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B7" w:rsidRPr="00766FA2" w:rsidRDefault="0096542C" w:rsidP="009F2FAE">
      <w:pPr>
        <w:pStyle w:val="Cuadrculamedia21"/>
      </w:pPr>
      <w:r>
        <w:rPr>
          <w:caps w:val="0"/>
        </w:rPr>
        <w:t>Magistrado ponente</w:t>
      </w:r>
      <w:r w:rsidR="001D4C64" w:rsidRPr="00766FA2">
        <w:t xml:space="preserve">: </w:t>
      </w:r>
      <w:r w:rsidR="000C5DB7" w:rsidRPr="00766FA2">
        <w:t>JAIME ENRIQUE RODRÍGUEZ NAVAS</w:t>
      </w:r>
    </w:p>
    <w:p w:rsidR="00F91B32" w:rsidRPr="00766FA2" w:rsidRDefault="00F91B32" w:rsidP="00331291">
      <w:pPr>
        <w:contextualSpacing/>
        <w:rPr>
          <w:b/>
          <w:bCs/>
          <w:sz w:val="24"/>
          <w:szCs w:val="24"/>
        </w:rPr>
      </w:pPr>
    </w:p>
    <w:p w:rsidR="000C5DB7" w:rsidRPr="00C357E2" w:rsidRDefault="000C5DB7" w:rsidP="00331291">
      <w:pPr>
        <w:contextualSpacing/>
        <w:rPr>
          <w:b/>
          <w:sz w:val="24"/>
          <w:szCs w:val="24"/>
        </w:rPr>
      </w:pPr>
      <w:r w:rsidRPr="00C357E2">
        <w:rPr>
          <w:b/>
          <w:sz w:val="24"/>
          <w:szCs w:val="24"/>
        </w:rPr>
        <w:t xml:space="preserve">Bogotá D.C., </w:t>
      </w:r>
      <w:r w:rsidR="00702E30">
        <w:rPr>
          <w:b/>
          <w:sz w:val="24"/>
          <w:szCs w:val="24"/>
        </w:rPr>
        <w:t xml:space="preserve">cinco </w:t>
      </w:r>
      <w:r w:rsidR="0047256F" w:rsidRPr="00C357E2">
        <w:rPr>
          <w:b/>
          <w:sz w:val="24"/>
          <w:szCs w:val="24"/>
        </w:rPr>
        <w:t>(</w:t>
      </w:r>
      <w:r w:rsidR="006F35CA">
        <w:rPr>
          <w:b/>
          <w:sz w:val="24"/>
          <w:szCs w:val="24"/>
        </w:rPr>
        <w:t>0</w:t>
      </w:r>
      <w:r w:rsidR="00702E30">
        <w:rPr>
          <w:b/>
          <w:sz w:val="24"/>
          <w:szCs w:val="24"/>
        </w:rPr>
        <w:t>5</w:t>
      </w:r>
      <w:r w:rsidR="0047256F" w:rsidRPr="00C357E2">
        <w:rPr>
          <w:b/>
          <w:sz w:val="24"/>
          <w:szCs w:val="24"/>
        </w:rPr>
        <w:t xml:space="preserve">) </w:t>
      </w:r>
      <w:r w:rsidRPr="00C357E2">
        <w:rPr>
          <w:b/>
          <w:sz w:val="24"/>
          <w:szCs w:val="24"/>
        </w:rPr>
        <w:t>de</w:t>
      </w:r>
      <w:r w:rsidR="0047256F" w:rsidRPr="00C357E2">
        <w:rPr>
          <w:b/>
          <w:sz w:val="24"/>
          <w:szCs w:val="24"/>
        </w:rPr>
        <w:t xml:space="preserve"> </w:t>
      </w:r>
      <w:r w:rsidR="00702E30">
        <w:rPr>
          <w:b/>
          <w:sz w:val="24"/>
          <w:szCs w:val="24"/>
        </w:rPr>
        <w:t>agosto</w:t>
      </w:r>
      <w:r w:rsidR="00C357E2" w:rsidRPr="00C357E2">
        <w:rPr>
          <w:b/>
          <w:sz w:val="24"/>
          <w:szCs w:val="24"/>
        </w:rPr>
        <w:t xml:space="preserve"> </w:t>
      </w:r>
      <w:r w:rsidR="000572B4" w:rsidRPr="00C357E2">
        <w:rPr>
          <w:b/>
          <w:sz w:val="24"/>
          <w:szCs w:val="24"/>
        </w:rPr>
        <w:t xml:space="preserve">de </w:t>
      </w:r>
      <w:r w:rsidRPr="00C357E2">
        <w:rPr>
          <w:b/>
          <w:sz w:val="24"/>
          <w:szCs w:val="24"/>
        </w:rPr>
        <w:t xml:space="preserve">dos mil </w:t>
      </w:r>
      <w:r w:rsidR="00C87516" w:rsidRPr="00C357E2">
        <w:rPr>
          <w:b/>
          <w:sz w:val="24"/>
          <w:szCs w:val="24"/>
        </w:rPr>
        <w:t>veint</w:t>
      </w:r>
      <w:r w:rsidR="004A40D6" w:rsidRPr="00C357E2">
        <w:rPr>
          <w:b/>
          <w:sz w:val="24"/>
          <w:szCs w:val="24"/>
        </w:rPr>
        <w:t>i</w:t>
      </w:r>
      <w:r w:rsidR="00227D3B" w:rsidRPr="00C357E2">
        <w:rPr>
          <w:b/>
          <w:sz w:val="24"/>
          <w:szCs w:val="24"/>
        </w:rPr>
        <w:t>dós</w:t>
      </w:r>
      <w:r w:rsidRPr="00C357E2">
        <w:rPr>
          <w:b/>
          <w:sz w:val="24"/>
          <w:szCs w:val="24"/>
        </w:rPr>
        <w:t xml:space="preserve"> (</w:t>
      </w:r>
      <w:r w:rsidR="00C87516" w:rsidRPr="00C357E2">
        <w:rPr>
          <w:b/>
          <w:sz w:val="24"/>
          <w:szCs w:val="24"/>
        </w:rPr>
        <w:t>202</w:t>
      </w:r>
      <w:r w:rsidR="00227D3B" w:rsidRPr="00C357E2">
        <w:rPr>
          <w:b/>
          <w:sz w:val="24"/>
          <w:szCs w:val="24"/>
        </w:rPr>
        <w:t>2</w:t>
      </w:r>
      <w:r w:rsidRPr="00C357E2">
        <w:rPr>
          <w:b/>
          <w:sz w:val="24"/>
          <w:szCs w:val="24"/>
        </w:rPr>
        <w:t>).</w:t>
      </w:r>
    </w:p>
    <w:p w:rsidR="00F91B32" w:rsidRPr="00766FA2" w:rsidRDefault="00F91B32" w:rsidP="00331291">
      <w:pPr>
        <w:contextualSpacing/>
        <w:rPr>
          <w:b/>
          <w:sz w:val="24"/>
          <w:szCs w:val="24"/>
        </w:rPr>
      </w:pPr>
    </w:p>
    <w:p w:rsidR="000C5DB7" w:rsidRPr="00C90D32" w:rsidRDefault="00C357E2" w:rsidP="00331291">
      <w:pPr>
        <w:tabs>
          <w:tab w:val="left" w:pos="1985"/>
        </w:tabs>
        <w:contextualSpacing/>
        <w:rPr>
          <w:bCs/>
          <w:sz w:val="24"/>
          <w:szCs w:val="24"/>
        </w:rPr>
      </w:pPr>
      <w:r>
        <w:rPr>
          <w:b/>
          <w:sz w:val="24"/>
          <w:szCs w:val="24"/>
        </w:rPr>
        <w:t>Radicado número</w:t>
      </w:r>
      <w:r w:rsidR="000C5DB7" w:rsidRPr="00766FA2">
        <w:rPr>
          <w:b/>
          <w:sz w:val="24"/>
          <w:szCs w:val="24"/>
        </w:rPr>
        <w:t>:</w:t>
      </w:r>
      <w:r w:rsidR="000C5DB7" w:rsidRPr="00766FA2">
        <w:rPr>
          <w:b/>
          <w:sz w:val="24"/>
          <w:szCs w:val="24"/>
        </w:rPr>
        <w:tab/>
      </w:r>
      <w:r>
        <w:rPr>
          <w:b/>
          <w:sz w:val="24"/>
          <w:szCs w:val="24"/>
        </w:rPr>
        <w:tab/>
      </w:r>
      <w:r w:rsidR="00C90D32" w:rsidRPr="00C90D32">
        <w:rPr>
          <w:bCs/>
          <w:sz w:val="24"/>
          <w:szCs w:val="24"/>
        </w:rPr>
        <w:t>11001-03-15-000-202</w:t>
      </w:r>
      <w:r>
        <w:rPr>
          <w:bCs/>
          <w:sz w:val="24"/>
          <w:szCs w:val="24"/>
        </w:rPr>
        <w:t>2</w:t>
      </w:r>
      <w:r w:rsidR="00C90D32" w:rsidRPr="00C90D32">
        <w:rPr>
          <w:bCs/>
          <w:sz w:val="24"/>
          <w:szCs w:val="24"/>
        </w:rPr>
        <w:t>-</w:t>
      </w:r>
      <w:r>
        <w:rPr>
          <w:bCs/>
          <w:sz w:val="24"/>
          <w:szCs w:val="24"/>
        </w:rPr>
        <w:t>0</w:t>
      </w:r>
      <w:r w:rsidR="00702E30">
        <w:rPr>
          <w:bCs/>
          <w:sz w:val="24"/>
          <w:szCs w:val="24"/>
        </w:rPr>
        <w:t>3418</w:t>
      </w:r>
      <w:r w:rsidR="00C90D32" w:rsidRPr="00C90D32">
        <w:rPr>
          <w:bCs/>
          <w:sz w:val="24"/>
          <w:szCs w:val="24"/>
        </w:rPr>
        <w:t>-</w:t>
      </w:r>
      <w:r>
        <w:rPr>
          <w:bCs/>
          <w:sz w:val="24"/>
          <w:szCs w:val="24"/>
        </w:rPr>
        <w:t>00</w:t>
      </w:r>
    </w:p>
    <w:p w:rsidR="000C5DB7" w:rsidRPr="00766FA2" w:rsidRDefault="000C5DB7" w:rsidP="00331291">
      <w:pPr>
        <w:tabs>
          <w:tab w:val="left" w:pos="1985"/>
        </w:tabs>
        <w:ind w:left="1980" w:hanging="1980"/>
        <w:contextualSpacing/>
        <w:rPr>
          <w:sz w:val="24"/>
          <w:szCs w:val="24"/>
        </w:rPr>
      </w:pPr>
      <w:r w:rsidRPr="00766FA2">
        <w:rPr>
          <w:b/>
          <w:sz w:val="24"/>
          <w:szCs w:val="24"/>
        </w:rPr>
        <w:t>Accionante:</w:t>
      </w:r>
      <w:r w:rsidRPr="00766FA2">
        <w:rPr>
          <w:b/>
          <w:sz w:val="24"/>
          <w:szCs w:val="24"/>
        </w:rPr>
        <w:tab/>
      </w:r>
      <w:r w:rsidR="00C357E2">
        <w:rPr>
          <w:b/>
          <w:sz w:val="24"/>
          <w:szCs w:val="24"/>
        </w:rPr>
        <w:tab/>
      </w:r>
      <w:r w:rsidR="00C357E2">
        <w:rPr>
          <w:b/>
          <w:sz w:val="24"/>
          <w:szCs w:val="24"/>
        </w:rPr>
        <w:tab/>
      </w:r>
      <w:r w:rsidR="00C357E2">
        <w:rPr>
          <w:b/>
          <w:sz w:val="24"/>
          <w:szCs w:val="24"/>
        </w:rPr>
        <w:tab/>
      </w:r>
      <w:r w:rsidR="00702E30">
        <w:rPr>
          <w:sz w:val="24"/>
          <w:szCs w:val="24"/>
        </w:rPr>
        <w:t>Clemencia Rodríguez Espinoza</w:t>
      </w:r>
    </w:p>
    <w:p w:rsidR="000C5DB7" w:rsidRPr="00766FA2" w:rsidRDefault="000C5DB7" w:rsidP="00331291">
      <w:pPr>
        <w:tabs>
          <w:tab w:val="left" w:pos="1985"/>
        </w:tabs>
        <w:ind w:left="2832" w:right="51" w:hanging="2832"/>
        <w:contextualSpacing/>
        <w:rPr>
          <w:bCs/>
          <w:sz w:val="24"/>
          <w:szCs w:val="24"/>
        </w:rPr>
      </w:pPr>
      <w:r w:rsidRPr="00766FA2">
        <w:rPr>
          <w:b/>
          <w:sz w:val="24"/>
          <w:szCs w:val="24"/>
        </w:rPr>
        <w:t>Accionado:</w:t>
      </w:r>
      <w:r w:rsidRPr="00766FA2">
        <w:rPr>
          <w:b/>
          <w:sz w:val="24"/>
          <w:szCs w:val="24"/>
        </w:rPr>
        <w:tab/>
      </w:r>
      <w:r w:rsidR="00C357E2">
        <w:rPr>
          <w:b/>
          <w:sz w:val="24"/>
          <w:szCs w:val="24"/>
        </w:rPr>
        <w:tab/>
      </w:r>
      <w:r w:rsidR="00273C24">
        <w:rPr>
          <w:bCs/>
          <w:sz w:val="24"/>
          <w:szCs w:val="24"/>
        </w:rPr>
        <w:t xml:space="preserve">Tribunal Administrativo de Cundinamarca, Sección Segunda, Subsección </w:t>
      </w:r>
      <w:r w:rsidR="00702E30">
        <w:rPr>
          <w:bCs/>
          <w:sz w:val="24"/>
          <w:szCs w:val="24"/>
        </w:rPr>
        <w:t>E</w:t>
      </w:r>
      <w:r w:rsidR="00273C24">
        <w:rPr>
          <w:bCs/>
          <w:sz w:val="24"/>
          <w:szCs w:val="24"/>
        </w:rPr>
        <w:t xml:space="preserve"> </w:t>
      </w:r>
    </w:p>
    <w:p w:rsidR="004608E4" w:rsidRPr="00766FA2" w:rsidRDefault="004608E4" w:rsidP="00331291">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rsidR="000C5DB7" w:rsidRDefault="000C5DB7" w:rsidP="00331291">
      <w:pPr>
        <w:tabs>
          <w:tab w:val="left" w:pos="8222"/>
        </w:tabs>
        <w:ind w:right="51"/>
        <w:contextualSpacing/>
        <w:rPr>
          <w:b/>
          <w:sz w:val="24"/>
          <w:szCs w:val="24"/>
        </w:rPr>
      </w:pPr>
    </w:p>
    <w:p w:rsidR="004608E4" w:rsidRPr="0043026E" w:rsidRDefault="00273C24" w:rsidP="00331291">
      <w:pPr>
        <w:tabs>
          <w:tab w:val="left" w:pos="8222"/>
        </w:tabs>
        <w:ind w:right="51"/>
        <w:contextualSpacing/>
        <w:rPr>
          <w:bCs/>
          <w:sz w:val="20"/>
          <w:szCs w:val="20"/>
        </w:rPr>
      </w:pPr>
      <w:r w:rsidRPr="0043026E">
        <w:rPr>
          <w:b/>
          <w:sz w:val="20"/>
          <w:szCs w:val="20"/>
        </w:rPr>
        <w:t xml:space="preserve">Tema: </w:t>
      </w:r>
      <w:r w:rsidR="009F2FAE">
        <w:rPr>
          <w:bCs/>
          <w:sz w:val="20"/>
          <w:szCs w:val="20"/>
        </w:rPr>
        <w:t>a</w:t>
      </w:r>
      <w:r w:rsidRPr="0043026E">
        <w:rPr>
          <w:bCs/>
          <w:sz w:val="20"/>
          <w:szCs w:val="20"/>
        </w:rPr>
        <w:t xml:space="preserve">cción de tutela contra providencias judiciales. </w:t>
      </w:r>
    </w:p>
    <w:p w:rsidR="004608E4" w:rsidRPr="0043026E" w:rsidRDefault="00273C24" w:rsidP="00331291">
      <w:pPr>
        <w:tabs>
          <w:tab w:val="left" w:pos="8222"/>
        </w:tabs>
        <w:ind w:right="51"/>
        <w:contextualSpacing/>
        <w:rPr>
          <w:bCs/>
          <w:sz w:val="20"/>
          <w:szCs w:val="20"/>
        </w:rPr>
      </w:pPr>
      <w:r w:rsidRPr="0043026E">
        <w:rPr>
          <w:b/>
          <w:sz w:val="20"/>
          <w:szCs w:val="20"/>
        </w:rPr>
        <w:t>Subtema 1</w:t>
      </w:r>
      <w:r w:rsidR="009F2FAE">
        <w:rPr>
          <w:b/>
          <w:sz w:val="20"/>
          <w:szCs w:val="20"/>
        </w:rPr>
        <w:t>:</w:t>
      </w:r>
      <w:r w:rsidRPr="0043026E">
        <w:rPr>
          <w:b/>
          <w:sz w:val="20"/>
          <w:szCs w:val="20"/>
        </w:rPr>
        <w:t xml:space="preserve"> </w:t>
      </w:r>
      <w:r w:rsidR="009F2FAE">
        <w:rPr>
          <w:bCs/>
          <w:sz w:val="20"/>
          <w:szCs w:val="20"/>
        </w:rPr>
        <w:t>r</w:t>
      </w:r>
      <w:r w:rsidRPr="0043026E">
        <w:rPr>
          <w:bCs/>
          <w:sz w:val="20"/>
          <w:szCs w:val="20"/>
        </w:rPr>
        <w:t xml:space="preserve">equisitos de procedibilidad. </w:t>
      </w:r>
    </w:p>
    <w:p w:rsidR="00273C24" w:rsidRPr="004608E4" w:rsidRDefault="009F2FAE" w:rsidP="00331291">
      <w:pPr>
        <w:tabs>
          <w:tab w:val="left" w:pos="8222"/>
        </w:tabs>
        <w:ind w:right="51"/>
        <w:contextualSpacing/>
        <w:rPr>
          <w:bCs/>
          <w:sz w:val="20"/>
          <w:szCs w:val="20"/>
        </w:rPr>
      </w:pPr>
      <w:r>
        <w:rPr>
          <w:b/>
          <w:sz w:val="20"/>
          <w:szCs w:val="20"/>
        </w:rPr>
        <w:t>Subtema 2:</w:t>
      </w:r>
      <w:r w:rsidR="00273C24" w:rsidRPr="0043026E">
        <w:rPr>
          <w:b/>
          <w:sz w:val="20"/>
          <w:szCs w:val="20"/>
        </w:rPr>
        <w:t xml:space="preserve"> </w:t>
      </w:r>
      <w:r w:rsidRPr="009F2FAE">
        <w:rPr>
          <w:sz w:val="20"/>
          <w:szCs w:val="20"/>
        </w:rPr>
        <w:t>r</w:t>
      </w:r>
      <w:r w:rsidR="00BB1D0F" w:rsidRPr="0043026E">
        <w:rPr>
          <w:bCs/>
          <w:sz w:val="20"/>
          <w:szCs w:val="20"/>
        </w:rPr>
        <w:t>elevancia constitucional. Improcedencia de la acció</w:t>
      </w:r>
      <w:r w:rsidR="00BB1D0F" w:rsidRPr="00A15ABD">
        <w:rPr>
          <w:bCs/>
          <w:sz w:val="20"/>
          <w:szCs w:val="20"/>
        </w:rPr>
        <w:t>n</w:t>
      </w:r>
      <w:r w:rsidR="00A15ABD" w:rsidRPr="00A15ABD">
        <w:rPr>
          <w:bCs/>
          <w:sz w:val="20"/>
          <w:szCs w:val="20"/>
        </w:rPr>
        <w:t>.</w:t>
      </w:r>
    </w:p>
    <w:p w:rsidR="00273C24" w:rsidRPr="00766FA2" w:rsidRDefault="00273C24" w:rsidP="00331291">
      <w:pPr>
        <w:tabs>
          <w:tab w:val="left" w:pos="8222"/>
        </w:tabs>
        <w:ind w:right="51"/>
        <w:contextualSpacing/>
        <w:rPr>
          <w:b/>
          <w:sz w:val="24"/>
          <w:szCs w:val="24"/>
        </w:rPr>
      </w:pPr>
    </w:p>
    <w:p w:rsidR="000C5DB7" w:rsidRPr="00766FA2" w:rsidRDefault="000C5DB7" w:rsidP="00331291">
      <w:pPr>
        <w:pBdr>
          <w:bottom w:val="single" w:sz="12" w:space="0" w:color="auto"/>
        </w:pBdr>
        <w:ind w:left="2832" w:hanging="2832"/>
        <w:contextualSpacing/>
        <w:rPr>
          <w:b/>
          <w:sz w:val="24"/>
          <w:szCs w:val="24"/>
        </w:rPr>
      </w:pPr>
      <w:r w:rsidRPr="00766FA2">
        <w:rPr>
          <w:b/>
          <w:sz w:val="24"/>
          <w:szCs w:val="24"/>
        </w:rPr>
        <w:t xml:space="preserve">SENTENCIA DE </w:t>
      </w:r>
      <w:r w:rsidR="004608E4">
        <w:rPr>
          <w:b/>
          <w:sz w:val="24"/>
          <w:szCs w:val="24"/>
        </w:rPr>
        <w:t>PRIMERA</w:t>
      </w:r>
      <w:r w:rsidRPr="00766FA2">
        <w:rPr>
          <w:b/>
          <w:sz w:val="24"/>
          <w:szCs w:val="24"/>
        </w:rPr>
        <w:t xml:space="preserve"> INSTANCIA</w:t>
      </w:r>
    </w:p>
    <w:p w:rsidR="00E81297" w:rsidRDefault="00E81297" w:rsidP="008B02EB">
      <w:pPr>
        <w:tabs>
          <w:tab w:val="left" w:pos="0"/>
        </w:tabs>
        <w:contextualSpacing/>
        <w:rPr>
          <w:sz w:val="24"/>
          <w:szCs w:val="24"/>
        </w:rPr>
      </w:pPr>
    </w:p>
    <w:p w:rsidR="004644C8" w:rsidRPr="004644C8" w:rsidRDefault="004644C8" w:rsidP="008B02EB">
      <w:pPr>
        <w:tabs>
          <w:tab w:val="left" w:pos="0"/>
        </w:tabs>
        <w:contextualSpacing/>
        <w:rPr>
          <w:color w:val="000000"/>
          <w:sz w:val="24"/>
          <w:szCs w:val="24"/>
        </w:rPr>
      </w:pPr>
      <w:r w:rsidRPr="004644C8">
        <w:rPr>
          <w:color w:val="000000"/>
          <w:sz w:val="24"/>
          <w:szCs w:val="24"/>
        </w:rPr>
        <w:t xml:space="preserve">La Sala decide </w:t>
      </w:r>
      <w:r w:rsidR="004608E4">
        <w:rPr>
          <w:color w:val="000000"/>
          <w:sz w:val="24"/>
          <w:szCs w:val="24"/>
        </w:rPr>
        <w:t xml:space="preserve">en primera instancia, la acción de tutela incoada por </w:t>
      </w:r>
      <w:r w:rsidR="00A12F13">
        <w:rPr>
          <w:color w:val="000000"/>
          <w:sz w:val="24"/>
          <w:szCs w:val="24"/>
        </w:rPr>
        <w:t>Clemencia Rodríguez Espinoza</w:t>
      </w:r>
      <w:r>
        <w:rPr>
          <w:bCs/>
          <w:color w:val="000000"/>
          <w:sz w:val="24"/>
          <w:szCs w:val="24"/>
        </w:rPr>
        <w:t xml:space="preserve"> </w:t>
      </w:r>
      <w:r w:rsidRPr="004644C8">
        <w:rPr>
          <w:color w:val="000000"/>
          <w:sz w:val="24"/>
          <w:szCs w:val="24"/>
        </w:rPr>
        <w:t>en contra de</w:t>
      </w:r>
      <w:r w:rsidR="004608E4">
        <w:rPr>
          <w:color w:val="000000"/>
          <w:sz w:val="24"/>
          <w:szCs w:val="24"/>
        </w:rPr>
        <w:t xml:space="preserve">l Tribunal Administrativo de Cundinamarca, Sección Segunda, Subsección </w:t>
      </w:r>
      <w:r w:rsidR="00A12F13">
        <w:rPr>
          <w:color w:val="000000"/>
          <w:sz w:val="24"/>
          <w:szCs w:val="24"/>
        </w:rPr>
        <w:t>E</w:t>
      </w:r>
      <w:r w:rsidR="004608E4">
        <w:rPr>
          <w:color w:val="000000"/>
          <w:sz w:val="24"/>
          <w:szCs w:val="24"/>
        </w:rPr>
        <w:t>.</w:t>
      </w:r>
    </w:p>
    <w:p w:rsidR="004644C8" w:rsidRDefault="004644C8" w:rsidP="008B02EB">
      <w:pPr>
        <w:pStyle w:val="Textoindependiente21"/>
        <w:spacing w:after="0"/>
        <w:ind w:left="0"/>
        <w:jc w:val="both"/>
        <w:rPr>
          <w:rFonts w:cs="Arial"/>
          <w:sz w:val="24"/>
          <w:szCs w:val="24"/>
        </w:rPr>
      </w:pPr>
    </w:p>
    <w:p w:rsidR="000C5DB7" w:rsidRPr="00766FA2" w:rsidRDefault="000C5DB7" w:rsidP="00331291">
      <w:pPr>
        <w:pStyle w:val="Ttulo1"/>
        <w:spacing w:before="0" w:after="0" w:line="240" w:lineRule="auto"/>
        <w:rPr>
          <w:rFonts w:cs="Arial"/>
          <w:szCs w:val="24"/>
        </w:rPr>
      </w:pPr>
      <w:r w:rsidRPr="00766FA2">
        <w:rPr>
          <w:rFonts w:cs="Arial"/>
          <w:szCs w:val="24"/>
        </w:rPr>
        <w:t>ANTECEDENTES</w:t>
      </w:r>
    </w:p>
    <w:p w:rsidR="008B02EB" w:rsidRDefault="008B02EB" w:rsidP="00331291">
      <w:pPr>
        <w:pStyle w:val="Ttulo2"/>
        <w:numPr>
          <w:ilvl w:val="0"/>
          <w:numId w:val="0"/>
        </w:numPr>
        <w:spacing w:before="0" w:after="0"/>
        <w:ind w:left="360" w:hanging="360"/>
        <w:rPr>
          <w:rFonts w:cs="Arial"/>
          <w:color w:val="000000"/>
          <w:szCs w:val="24"/>
          <w:lang w:eastAsia="es-ES"/>
        </w:rPr>
      </w:pPr>
    </w:p>
    <w:p w:rsidR="003E02F0" w:rsidRPr="003E02F0" w:rsidRDefault="003E02F0" w:rsidP="00331291">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rsidR="007E321C" w:rsidRDefault="007E321C" w:rsidP="00331291">
      <w:pPr>
        <w:rPr>
          <w:bCs/>
          <w:color w:val="000000"/>
          <w:sz w:val="24"/>
          <w:szCs w:val="24"/>
        </w:rPr>
      </w:pPr>
    </w:p>
    <w:p w:rsidR="00A12F13" w:rsidRPr="00A12F13" w:rsidRDefault="006F35CA" w:rsidP="00A12F13">
      <w:pPr>
        <w:tabs>
          <w:tab w:val="left" w:pos="1985"/>
        </w:tabs>
        <w:rPr>
          <w:rFonts w:eastAsia="Times New Roman"/>
          <w:sz w:val="24"/>
          <w:szCs w:val="24"/>
        </w:rPr>
      </w:pPr>
      <w:r>
        <w:rPr>
          <w:bCs/>
          <w:color w:val="000000"/>
          <w:sz w:val="24"/>
          <w:szCs w:val="24"/>
        </w:rPr>
        <w:t>C</w:t>
      </w:r>
      <w:r w:rsidR="00A12F13">
        <w:rPr>
          <w:bCs/>
          <w:color w:val="000000"/>
          <w:sz w:val="24"/>
          <w:szCs w:val="24"/>
        </w:rPr>
        <w:t>lemencia Rodríguez Espinoza por medio de apoderado</w:t>
      </w:r>
      <w:r w:rsidR="00A12F13">
        <w:rPr>
          <w:rStyle w:val="Refdenotaalpie"/>
          <w:bCs/>
          <w:color w:val="000000"/>
          <w:sz w:val="24"/>
          <w:szCs w:val="24"/>
        </w:rPr>
        <w:footnoteReference w:id="1"/>
      </w:r>
      <w:r w:rsidR="00A12F13">
        <w:rPr>
          <w:bCs/>
          <w:color w:val="000000"/>
          <w:sz w:val="24"/>
          <w:szCs w:val="24"/>
        </w:rPr>
        <w:t xml:space="preserve">, </w:t>
      </w:r>
      <w:r w:rsidR="007E321C">
        <w:rPr>
          <w:bCs/>
          <w:color w:val="000000"/>
          <w:sz w:val="24"/>
          <w:szCs w:val="24"/>
        </w:rPr>
        <w:t xml:space="preserve">presentó </w:t>
      </w:r>
      <w:r w:rsidR="00322E59" w:rsidRPr="0035132E">
        <w:rPr>
          <w:sz w:val="24"/>
          <w:szCs w:val="24"/>
        </w:rPr>
        <w:t>solicitud de amparo de sus derechos fundamentales</w:t>
      </w:r>
      <w:r w:rsidR="00C71581">
        <w:rPr>
          <w:sz w:val="24"/>
          <w:szCs w:val="24"/>
        </w:rPr>
        <w:t xml:space="preserve"> </w:t>
      </w:r>
      <w:r w:rsidR="00A12F13" w:rsidRPr="00A12F13">
        <w:rPr>
          <w:rFonts w:eastAsia="Times New Roman"/>
          <w:sz w:val="24"/>
          <w:szCs w:val="24"/>
        </w:rPr>
        <w:t>a la igualdad, al debido proceso, al mínimo vital y a la seguridad social, que consideró vulnerados por el Tribunal Administrativo de Cundinamarca, Sección Segunda, Subsección E con ocasión del fallo de segunda instancia de fecha 2</w:t>
      </w:r>
      <w:r w:rsidR="00EC5DFF">
        <w:rPr>
          <w:rFonts w:eastAsia="Times New Roman"/>
          <w:sz w:val="24"/>
          <w:szCs w:val="24"/>
        </w:rPr>
        <w:t>9</w:t>
      </w:r>
      <w:r w:rsidR="00A12F13" w:rsidRPr="00A12F13">
        <w:rPr>
          <w:rFonts w:eastAsia="Times New Roman"/>
          <w:sz w:val="24"/>
          <w:szCs w:val="24"/>
        </w:rPr>
        <w:t xml:space="preserve"> de abril de 2022 que revocó el proferido por el Juzgado Quince Administrativo de Oralidad del Circuito Judicial de Bogotá D.C., Sección Segunda el 23 de octubre de 2019 y en su lugar, negó  las pretensiones de la demanda que promovió en ejercicio del medio de control de nulidad y restablecimiento del derecho</w:t>
      </w:r>
      <w:r w:rsidR="008B02EB">
        <w:rPr>
          <w:rFonts w:eastAsia="Times New Roman"/>
          <w:sz w:val="24"/>
          <w:szCs w:val="24"/>
        </w:rPr>
        <w:t>,</w:t>
      </w:r>
      <w:r w:rsidR="00A12F13" w:rsidRPr="00A12F13">
        <w:rPr>
          <w:rFonts w:eastAsia="Times New Roman"/>
          <w:sz w:val="24"/>
          <w:szCs w:val="24"/>
        </w:rPr>
        <w:t xml:space="preserve"> identificado con el radicado número 11001-33-35-015-2018-00187-00/01.</w:t>
      </w:r>
    </w:p>
    <w:p w:rsidR="003E02F0" w:rsidRPr="003E02F0" w:rsidRDefault="003E02F0" w:rsidP="00A12F13">
      <w:pPr>
        <w:tabs>
          <w:tab w:val="left" w:pos="1985"/>
        </w:tabs>
        <w:rPr>
          <w:rFonts w:eastAsia="Verdana"/>
          <w:color w:val="000000"/>
          <w:sz w:val="24"/>
          <w:szCs w:val="24"/>
        </w:rPr>
      </w:pPr>
    </w:p>
    <w:p w:rsidR="003E02F0" w:rsidRPr="003E02F0" w:rsidRDefault="003E02F0" w:rsidP="00331291">
      <w:pPr>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p>
    <w:p w:rsidR="003E02F0" w:rsidRDefault="003E02F0" w:rsidP="00331291">
      <w:pPr>
        <w:rPr>
          <w:rFonts w:eastAsia="Verdana"/>
          <w:b/>
          <w:color w:val="000000"/>
          <w:sz w:val="24"/>
          <w:szCs w:val="24"/>
        </w:rPr>
      </w:pPr>
    </w:p>
    <w:p w:rsidR="00DE23B2" w:rsidRPr="004A5A17" w:rsidRDefault="00DE23B2" w:rsidP="00331291">
      <w:pPr>
        <w:rPr>
          <w:rFonts w:eastAsia="Verdana"/>
          <w:bCs/>
          <w:color w:val="000000"/>
          <w:sz w:val="24"/>
          <w:szCs w:val="24"/>
        </w:rPr>
      </w:pPr>
      <w:r w:rsidRPr="004A5A17">
        <w:rPr>
          <w:rFonts w:eastAsia="Verdana"/>
          <w:bCs/>
          <w:color w:val="000000"/>
          <w:sz w:val="24"/>
          <w:szCs w:val="24"/>
        </w:rPr>
        <w:t xml:space="preserve">Conforme a las pruebas allegadas al expediente y </w:t>
      </w:r>
      <w:r w:rsidR="004F5109">
        <w:rPr>
          <w:rFonts w:eastAsia="Verdana"/>
          <w:bCs/>
          <w:color w:val="000000"/>
          <w:sz w:val="24"/>
          <w:szCs w:val="24"/>
        </w:rPr>
        <w:t>lo</w:t>
      </w:r>
      <w:r w:rsidRPr="004A5A17">
        <w:rPr>
          <w:rFonts w:eastAsia="Verdana"/>
          <w:bCs/>
          <w:color w:val="000000"/>
          <w:sz w:val="24"/>
          <w:szCs w:val="24"/>
        </w:rPr>
        <w:t xml:space="preserve"> narrado</w:t>
      </w:r>
      <w:r w:rsidR="004F5109">
        <w:rPr>
          <w:rFonts w:eastAsia="Verdana"/>
          <w:bCs/>
          <w:color w:val="000000"/>
          <w:sz w:val="24"/>
          <w:szCs w:val="24"/>
        </w:rPr>
        <w:t xml:space="preserve"> por la accionante</w:t>
      </w:r>
      <w:r w:rsidRPr="004A5A17">
        <w:rPr>
          <w:rFonts w:eastAsia="Verdana"/>
          <w:bCs/>
          <w:color w:val="000000"/>
          <w:sz w:val="24"/>
          <w:szCs w:val="24"/>
        </w:rPr>
        <w:t xml:space="preserve"> en </w:t>
      </w:r>
      <w:r w:rsidR="004A5A17" w:rsidRPr="004A5A17">
        <w:rPr>
          <w:rFonts w:eastAsia="Verdana"/>
          <w:bCs/>
          <w:color w:val="000000"/>
          <w:sz w:val="24"/>
          <w:szCs w:val="24"/>
        </w:rPr>
        <w:t xml:space="preserve">el escrito de tutela, la Sala expone los siguientes hechos: </w:t>
      </w:r>
    </w:p>
    <w:p w:rsidR="00DE23B2" w:rsidRPr="003E02F0" w:rsidRDefault="00DE23B2" w:rsidP="00331291">
      <w:pPr>
        <w:rPr>
          <w:rFonts w:eastAsia="Verdana"/>
          <w:b/>
          <w:color w:val="000000"/>
          <w:sz w:val="24"/>
          <w:szCs w:val="24"/>
        </w:rPr>
      </w:pPr>
    </w:p>
    <w:p w:rsidR="00A174D1" w:rsidRDefault="00F2327C" w:rsidP="0096542C">
      <w:pPr>
        <w:widowControl w:val="0"/>
        <w:rPr>
          <w:bCs/>
          <w:color w:val="000000"/>
          <w:sz w:val="24"/>
          <w:szCs w:val="24"/>
        </w:rPr>
      </w:pPr>
      <w:r w:rsidRPr="007E1A7A">
        <w:rPr>
          <w:bCs/>
          <w:color w:val="000000"/>
          <w:sz w:val="24"/>
          <w:szCs w:val="24"/>
        </w:rPr>
        <w:t>1.2.</w:t>
      </w:r>
      <w:r w:rsidR="007E1A7A">
        <w:rPr>
          <w:bCs/>
          <w:color w:val="000000"/>
          <w:sz w:val="24"/>
          <w:szCs w:val="24"/>
        </w:rPr>
        <w:t>1</w:t>
      </w:r>
      <w:r w:rsidR="0044471A">
        <w:rPr>
          <w:bCs/>
          <w:color w:val="000000"/>
          <w:sz w:val="24"/>
          <w:szCs w:val="24"/>
        </w:rPr>
        <w:t xml:space="preserve">. </w:t>
      </w:r>
      <w:r w:rsidR="00A174D1">
        <w:rPr>
          <w:bCs/>
          <w:color w:val="000000"/>
          <w:sz w:val="24"/>
          <w:szCs w:val="24"/>
        </w:rPr>
        <w:t xml:space="preserve">La Administradora Colombiana de Pensiones – Colpensiones mediante Resolución GNR 318145 del 11 de noviembre de 2014 le reconoció a la señora Clemencia Rodríguez Espinosa pensión de vejez, efectiva a partir del 28 de enero del mismo año. </w:t>
      </w:r>
    </w:p>
    <w:p w:rsidR="00A174D1" w:rsidRDefault="00A174D1" w:rsidP="0096542C">
      <w:pPr>
        <w:widowControl w:val="0"/>
        <w:rPr>
          <w:bCs/>
          <w:color w:val="000000"/>
          <w:sz w:val="24"/>
          <w:szCs w:val="24"/>
        </w:rPr>
      </w:pPr>
    </w:p>
    <w:p w:rsidR="005A540B" w:rsidRDefault="00A174D1" w:rsidP="0096542C">
      <w:pPr>
        <w:widowControl w:val="0"/>
        <w:rPr>
          <w:bCs/>
          <w:color w:val="000000"/>
          <w:sz w:val="24"/>
          <w:szCs w:val="24"/>
        </w:rPr>
      </w:pPr>
      <w:r>
        <w:rPr>
          <w:bCs/>
          <w:color w:val="000000"/>
          <w:sz w:val="24"/>
          <w:szCs w:val="24"/>
        </w:rPr>
        <w:t xml:space="preserve">Posteriormente, </w:t>
      </w:r>
      <w:r w:rsidR="00AC53E0">
        <w:rPr>
          <w:bCs/>
          <w:color w:val="000000"/>
          <w:sz w:val="24"/>
          <w:szCs w:val="24"/>
        </w:rPr>
        <w:t>la Secretaría</w:t>
      </w:r>
      <w:r>
        <w:rPr>
          <w:bCs/>
          <w:color w:val="000000"/>
          <w:sz w:val="24"/>
          <w:szCs w:val="24"/>
        </w:rPr>
        <w:t xml:space="preserve"> de Educación de Bogotá mediante Resolución 1484 del 11 de marzo de 2015 reconoció y ordenó el pago de una pensión por invalidez, efectiva a partir del 27 de noviembre de 2014.</w:t>
      </w:r>
    </w:p>
    <w:p w:rsidR="005A540B" w:rsidRDefault="005A540B" w:rsidP="00331291">
      <w:pPr>
        <w:rPr>
          <w:bCs/>
          <w:color w:val="000000"/>
          <w:sz w:val="24"/>
          <w:szCs w:val="24"/>
        </w:rPr>
      </w:pPr>
    </w:p>
    <w:p w:rsidR="00DE23B2" w:rsidRDefault="00A174D1" w:rsidP="00331291">
      <w:pPr>
        <w:rPr>
          <w:bCs/>
          <w:color w:val="000000"/>
          <w:sz w:val="24"/>
          <w:szCs w:val="24"/>
        </w:rPr>
      </w:pPr>
      <w:r>
        <w:rPr>
          <w:bCs/>
          <w:color w:val="000000"/>
          <w:sz w:val="24"/>
          <w:szCs w:val="24"/>
        </w:rPr>
        <w:t xml:space="preserve">1.2.2. </w:t>
      </w:r>
      <w:r w:rsidR="00DE23B2">
        <w:rPr>
          <w:bCs/>
          <w:color w:val="000000"/>
          <w:sz w:val="24"/>
          <w:szCs w:val="24"/>
        </w:rPr>
        <w:t>La señora Rodríguez Espinosa solicitó ante Colpensiones la reliquidación de su pensión de vejez mediante requerimiento del 11 de julio de 2017, por lo que</w:t>
      </w:r>
      <w:r w:rsidR="004F5109">
        <w:rPr>
          <w:bCs/>
          <w:color w:val="000000"/>
          <w:sz w:val="24"/>
          <w:szCs w:val="24"/>
        </w:rPr>
        <w:t xml:space="preserve"> la mencionada entidad,</w:t>
      </w:r>
      <w:r w:rsidR="00DE23B2">
        <w:rPr>
          <w:bCs/>
          <w:color w:val="000000"/>
          <w:sz w:val="24"/>
          <w:szCs w:val="24"/>
        </w:rPr>
        <w:t xml:space="preserve"> por medio de auto APSUB 3175 del 22 de agosto de 2017 </w:t>
      </w:r>
      <w:r w:rsidR="001873DA">
        <w:rPr>
          <w:bCs/>
          <w:color w:val="000000"/>
          <w:sz w:val="24"/>
          <w:szCs w:val="24"/>
        </w:rPr>
        <w:lastRenderedPageBreak/>
        <w:t xml:space="preserve">solicitó a la accionante que aportara la </w:t>
      </w:r>
      <w:r w:rsidR="00DE23B2">
        <w:rPr>
          <w:bCs/>
          <w:color w:val="000000"/>
          <w:sz w:val="24"/>
          <w:szCs w:val="24"/>
        </w:rPr>
        <w:t xml:space="preserve">resolución </w:t>
      </w:r>
      <w:r w:rsidR="001873DA">
        <w:rPr>
          <w:bCs/>
          <w:color w:val="000000"/>
          <w:sz w:val="24"/>
          <w:szCs w:val="24"/>
        </w:rPr>
        <w:t xml:space="preserve">que le otorgó el </w:t>
      </w:r>
      <w:r w:rsidR="00DE23B2">
        <w:rPr>
          <w:bCs/>
          <w:color w:val="000000"/>
          <w:sz w:val="24"/>
          <w:szCs w:val="24"/>
        </w:rPr>
        <w:t xml:space="preserve">reconocimiento pensional por </w:t>
      </w:r>
      <w:r w:rsidR="001873DA">
        <w:rPr>
          <w:bCs/>
          <w:color w:val="000000"/>
          <w:sz w:val="24"/>
          <w:szCs w:val="24"/>
        </w:rPr>
        <w:t>invalidez, con el fin de establecer la c</w:t>
      </w:r>
      <w:r w:rsidR="00DE23B2">
        <w:rPr>
          <w:bCs/>
          <w:color w:val="000000"/>
          <w:sz w:val="24"/>
          <w:szCs w:val="24"/>
        </w:rPr>
        <w:t>ompatibilidad</w:t>
      </w:r>
      <w:r w:rsidR="004F5109">
        <w:rPr>
          <w:bCs/>
          <w:color w:val="000000"/>
          <w:sz w:val="24"/>
          <w:szCs w:val="24"/>
        </w:rPr>
        <w:t xml:space="preserve"> de las </w:t>
      </w:r>
      <w:r w:rsidR="001873DA">
        <w:rPr>
          <w:bCs/>
          <w:color w:val="000000"/>
          <w:sz w:val="24"/>
          <w:szCs w:val="24"/>
        </w:rPr>
        <w:t xml:space="preserve">dos </w:t>
      </w:r>
      <w:r w:rsidR="004F5109">
        <w:rPr>
          <w:bCs/>
          <w:color w:val="000000"/>
          <w:sz w:val="24"/>
          <w:szCs w:val="24"/>
        </w:rPr>
        <w:t>prestaciones</w:t>
      </w:r>
      <w:r w:rsidR="001873DA">
        <w:rPr>
          <w:bCs/>
          <w:color w:val="000000"/>
          <w:sz w:val="24"/>
          <w:szCs w:val="24"/>
        </w:rPr>
        <w:t xml:space="preserve">. </w:t>
      </w:r>
      <w:r w:rsidR="00DE23B2">
        <w:rPr>
          <w:bCs/>
          <w:color w:val="000000"/>
          <w:sz w:val="24"/>
          <w:szCs w:val="24"/>
        </w:rPr>
        <w:t xml:space="preserve"> </w:t>
      </w:r>
    </w:p>
    <w:p w:rsidR="00DE23B2" w:rsidRDefault="00DE23B2" w:rsidP="00331291">
      <w:pPr>
        <w:rPr>
          <w:bCs/>
          <w:color w:val="000000"/>
          <w:sz w:val="24"/>
          <w:szCs w:val="24"/>
        </w:rPr>
      </w:pPr>
    </w:p>
    <w:p w:rsidR="00A174D1" w:rsidRDefault="00A174D1" w:rsidP="00331291">
      <w:pPr>
        <w:rPr>
          <w:bCs/>
          <w:color w:val="000000"/>
          <w:sz w:val="24"/>
          <w:szCs w:val="24"/>
        </w:rPr>
      </w:pPr>
      <w:r>
        <w:rPr>
          <w:bCs/>
          <w:color w:val="000000"/>
          <w:sz w:val="24"/>
          <w:szCs w:val="24"/>
        </w:rPr>
        <w:t xml:space="preserve">Colpensiones </w:t>
      </w:r>
      <w:r w:rsidR="00EF5ED3">
        <w:rPr>
          <w:bCs/>
          <w:color w:val="000000"/>
          <w:sz w:val="24"/>
          <w:szCs w:val="24"/>
        </w:rPr>
        <w:t xml:space="preserve">en auto </w:t>
      </w:r>
      <w:r w:rsidR="004A5A17">
        <w:rPr>
          <w:bCs/>
          <w:color w:val="000000"/>
          <w:sz w:val="24"/>
          <w:szCs w:val="24"/>
        </w:rPr>
        <w:t>APSUB 3864</w:t>
      </w:r>
      <w:r w:rsidR="00EE5B75">
        <w:rPr>
          <w:bCs/>
          <w:color w:val="000000"/>
          <w:sz w:val="24"/>
          <w:szCs w:val="24"/>
        </w:rPr>
        <w:t xml:space="preserve"> del 27 de septiembre de 2017, </w:t>
      </w:r>
      <w:r w:rsidR="00EF5ED3">
        <w:rPr>
          <w:bCs/>
          <w:color w:val="000000"/>
          <w:sz w:val="24"/>
          <w:szCs w:val="24"/>
        </w:rPr>
        <w:t xml:space="preserve">pidió a </w:t>
      </w:r>
      <w:r w:rsidR="00EF5ED3">
        <w:rPr>
          <w:bCs/>
          <w:color w:val="000000"/>
          <w:sz w:val="24"/>
          <w:szCs w:val="24"/>
        </w:rPr>
        <w:t xml:space="preserve">la señora Rodríguez Espinoza </w:t>
      </w:r>
      <w:r w:rsidR="00EF5ED3">
        <w:rPr>
          <w:bCs/>
          <w:color w:val="000000"/>
          <w:sz w:val="24"/>
          <w:szCs w:val="24"/>
        </w:rPr>
        <w:t>su</w:t>
      </w:r>
      <w:r w:rsidR="00AC53E0">
        <w:rPr>
          <w:bCs/>
          <w:color w:val="000000"/>
          <w:sz w:val="24"/>
          <w:szCs w:val="24"/>
        </w:rPr>
        <w:t xml:space="preserve"> consentimiento para revocar la Resolución GNR 318145 </w:t>
      </w:r>
      <w:r w:rsidR="003F637F">
        <w:rPr>
          <w:bCs/>
          <w:color w:val="000000"/>
          <w:sz w:val="24"/>
          <w:szCs w:val="24"/>
        </w:rPr>
        <w:t xml:space="preserve">del </w:t>
      </w:r>
      <w:r w:rsidR="00AC53E0">
        <w:rPr>
          <w:bCs/>
          <w:color w:val="000000"/>
          <w:sz w:val="24"/>
          <w:szCs w:val="24"/>
        </w:rPr>
        <w:t>11 de septiembre de 2014</w:t>
      </w:r>
      <w:r w:rsidR="004A5A17">
        <w:rPr>
          <w:bCs/>
          <w:color w:val="000000"/>
          <w:sz w:val="24"/>
          <w:szCs w:val="24"/>
        </w:rPr>
        <w:t>, sin obtener pronunciamiento alguno.</w:t>
      </w:r>
    </w:p>
    <w:p w:rsidR="00DE23B2" w:rsidRDefault="00DE23B2" w:rsidP="00331291">
      <w:pPr>
        <w:rPr>
          <w:bCs/>
          <w:color w:val="000000"/>
          <w:sz w:val="24"/>
          <w:szCs w:val="24"/>
        </w:rPr>
      </w:pPr>
    </w:p>
    <w:p w:rsidR="004A5A17" w:rsidRDefault="00EF5ED3" w:rsidP="00331291">
      <w:pPr>
        <w:rPr>
          <w:bCs/>
          <w:color w:val="000000"/>
          <w:sz w:val="24"/>
          <w:szCs w:val="24"/>
        </w:rPr>
      </w:pPr>
      <w:r>
        <w:rPr>
          <w:bCs/>
          <w:color w:val="000000"/>
          <w:sz w:val="24"/>
          <w:szCs w:val="24"/>
        </w:rPr>
        <w:t xml:space="preserve">Como consecuencia de lo anterior, la entidad </w:t>
      </w:r>
      <w:r w:rsidR="004A5A17">
        <w:rPr>
          <w:bCs/>
          <w:color w:val="000000"/>
          <w:sz w:val="24"/>
          <w:szCs w:val="24"/>
        </w:rPr>
        <w:t xml:space="preserve">a través de la Resolución SUB 248559 del 7 de noviembre de 2017 </w:t>
      </w:r>
      <w:r>
        <w:rPr>
          <w:bCs/>
          <w:color w:val="000000"/>
          <w:sz w:val="24"/>
          <w:szCs w:val="24"/>
        </w:rPr>
        <w:t xml:space="preserve">le negó la </w:t>
      </w:r>
      <w:r w:rsidR="004A5A17">
        <w:rPr>
          <w:bCs/>
          <w:color w:val="000000"/>
          <w:sz w:val="24"/>
          <w:szCs w:val="24"/>
        </w:rPr>
        <w:t>reliquidación</w:t>
      </w:r>
      <w:r>
        <w:rPr>
          <w:bCs/>
          <w:color w:val="000000"/>
          <w:sz w:val="24"/>
          <w:szCs w:val="24"/>
        </w:rPr>
        <w:t xml:space="preserve">. Esta decisión fue confirmada mediante </w:t>
      </w:r>
      <w:r w:rsidR="004A5A17">
        <w:rPr>
          <w:bCs/>
          <w:color w:val="000000"/>
          <w:sz w:val="24"/>
          <w:szCs w:val="24"/>
        </w:rPr>
        <w:t>Resolución DIR 22584 del 11 de diciembre de 2017.</w:t>
      </w:r>
    </w:p>
    <w:p w:rsidR="004A5A17" w:rsidRDefault="004A5A17" w:rsidP="00331291">
      <w:pPr>
        <w:rPr>
          <w:bCs/>
          <w:color w:val="000000"/>
          <w:sz w:val="24"/>
          <w:szCs w:val="24"/>
        </w:rPr>
      </w:pPr>
    </w:p>
    <w:p w:rsidR="00D66F35" w:rsidRDefault="004A5A17" w:rsidP="00331291">
      <w:pPr>
        <w:rPr>
          <w:bCs/>
          <w:color w:val="000000"/>
          <w:sz w:val="24"/>
          <w:szCs w:val="24"/>
        </w:rPr>
      </w:pPr>
      <w:r>
        <w:rPr>
          <w:bCs/>
          <w:color w:val="000000"/>
          <w:sz w:val="24"/>
          <w:szCs w:val="24"/>
        </w:rPr>
        <w:t>1.2.3. L</w:t>
      </w:r>
      <w:r w:rsidR="00EE5B75">
        <w:rPr>
          <w:bCs/>
          <w:color w:val="000000"/>
          <w:sz w:val="24"/>
          <w:szCs w:val="24"/>
        </w:rPr>
        <w:t>a Administradora Colombiana de Pensiones – Colpensiones</w:t>
      </w:r>
      <w:r w:rsidR="00EF5ED3">
        <w:rPr>
          <w:bCs/>
          <w:color w:val="000000"/>
          <w:sz w:val="24"/>
          <w:szCs w:val="24"/>
        </w:rPr>
        <w:t>,</w:t>
      </w:r>
      <w:r w:rsidR="00EE5B75">
        <w:rPr>
          <w:bCs/>
          <w:color w:val="000000"/>
          <w:sz w:val="24"/>
          <w:szCs w:val="24"/>
        </w:rPr>
        <w:t xml:space="preserve"> en </w:t>
      </w:r>
      <w:r w:rsidR="00B81740">
        <w:rPr>
          <w:bCs/>
          <w:color w:val="000000"/>
          <w:sz w:val="24"/>
          <w:szCs w:val="24"/>
        </w:rPr>
        <w:t>ejercicio d</w:t>
      </w:r>
      <w:r w:rsidR="00247915">
        <w:rPr>
          <w:bCs/>
          <w:color w:val="000000"/>
          <w:sz w:val="24"/>
          <w:szCs w:val="24"/>
        </w:rPr>
        <w:t xml:space="preserve">el medio de control de </w:t>
      </w:r>
      <w:r w:rsidR="00B81740">
        <w:rPr>
          <w:bCs/>
          <w:color w:val="000000"/>
          <w:sz w:val="24"/>
          <w:szCs w:val="24"/>
        </w:rPr>
        <w:t>nulidad y restablecimiento del derecho</w:t>
      </w:r>
      <w:r w:rsidR="00EF5ED3">
        <w:rPr>
          <w:bCs/>
          <w:color w:val="000000"/>
          <w:sz w:val="24"/>
          <w:szCs w:val="24"/>
        </w:rPr>
        <w:t>,</w:t>
      </w:r>
      <w:r w:rsidR="00B81740">
        <w:rPr>
          <w:bCs/>
          <w:color w:val="000000"/>
          <w:sz w:val="24"/>
          <w:szCs w:val="24"/>
        </w:rPr>
        <w:t xml:space="preserve"> formuló demanda </w:t>
      </w:r>
      <w:r w:rsidR="00EF5ED3">
        <w:rPr>
          <w:bCs/>
          <w:color w:val="000000"/>
          <w:sz w:val="24"/>
          <w:szCs w:val="24"/>
        </w:rPr>
        <w:t xml:space="preserve">con el fin de </w:t>
      </w:r>
      <w:r w:rsidR="00B81740">
        <w:rPr>
          <w:bCs/>
          <w:color w:val="000000"/>
          <w:sz w:val="24"/>
          <w:szCs w:val="24"/>
        </w:rPr>
        <w:t xml:space="preserve">obtener la nulidad </w:t>
      </w:r>
      <w:r w:rsidR="0057102D">
        <w:rPr>
          <w:bCs/>
          <w:color w:val="000000"/>
          <w:sz w:val="24"/>
          <w:szCs w:val="24"/>
        </w:rPr>
        <w:t xml:space="preserve">de la </w:t>
      </w:r>
      <w:r w:rsidR="00EE5B75">
        <w:rPr>
          <w:bCs/>
          <w:color w:val="000000"/>
          <w:sz w:val="24"/>
          <w:szCs w:val="24"/>
        </w:rPr>
        <w:t xml:space="preserve">Resolución GNR 318145 </w:t>
      </w:r>
      <w:r w:rsidR="008E5EEB">
        <w:rPr>
          <w:bCs/>
          <w:color w:val="000000"/>
          <w:sz w:val="24"/>
          <w:szCs w:val="24"/>
        </w:rPr>
        <w:t>del</w:t>
      </w:r>
      <w:r w:rsidR="00EE5B75">
        <w:rPr>
          <w:bCs/>
          <w:color w:val="000000"/>
          <w:sz w:val="24"/>
          <w:szCs w:val="24"/>
        </w:rPr>
        <w:t xml:space="preserve"> 11 de septiembre de 2014 </w:t>
      </w:r>
      <w:r w:rsidR="007E1A7A">
        <w:rPr>
          <w:bCs/>
          <w:color w:val="000000"/>
          <w:sz w:val="24"/>
          <w:szCs w:val="24"/>
        </w:rPr>
        <w:t xml:space="preserve">mediante </w:t>
      </w:r>
      <w:r w:rsidR="00C73C72">
        <w:rPr>
          <w:bCs/>
          <w:color w:val="000000"/>
          <w:sz w:val="24"/>
          <w:szCs w:val="24"/>
        </w:rPr>
        <w:t>la</w:t>
      </w:r>
      <w:r w:rsidR="007E1A7A">
        <w:rPr>
          <w:bCs/>
          <w:color w:val="000000"/>
          <w:sz w:val="24"/>
          <w:szCs w:val="24"/>
        </w:rPr>
        <w:t xml:space="preserve"> </w:t>
      </w:r>
      <w:r w:rsidR="00034785">
        <w:rPr>
          <w:bCs/>
          <w:color w:val="000000"/>
          <w:sz w:val="24"/>
          <w:szCs w:val="24"/>
        </w:rPr>
        <w:t>que</w:t>
      </w:r>
      <w:r w:rsidR="007E1A7A">
        <w:rPr>
          <w:bCs/>
          <w:color w:val="000000"/>
          <w:sz w:val="24"/>
          <w:szCs w:val="24"/>
        </w:rPr>
        <w:t xml:space="preserve"> </w:t>
      </w:r>
      <w:r w:rsidR="00EE5B75">
        <w:rPr>
          <w:bCs/>
          <w:color w:val="000000"/>
          <w:sz w:val="24"/>
          <w:szCs w:val="24"/>
        </w:rPr>
        <w:t>reconoció</w:t>
      </w:r>
      <w:r w:rsidR="00EF5ED3">
        <w:rPr>
          <w:bCs/>
          <w:color w:val="000000"/>
          <w:sz w:val="24"/>
          <w:szCs w:val="24"/>
        </w:rPr>
        <w:t xml:space="preserve"> </w:t>
      </w:r>
      <w:r w:rsidR="00EE5B75">
        <w:rPr>
          <w:bCs/>
          <w:color w:val="000000"/>
          <w:sz w:val="24"/>
          <w:szCs w:val="24"/>
        </w:rPr>
        <w:t>pensión de invalidez a la señora Clemencia Rodríguez Espinoza</w:t>
      </w:r>
      <w:r w:rsidR="00204033">
        <w:rPr>
          <w:bCs/>
          <w:color w:val="000000"/>
          <w:sz w:val="24"/>
          <w:szCs w:val="24"/>
        </w:rPr>
        <w:t xml:space="preserve">; </w:t>
      </w:r>
      <w:r w:rsidR="00204033" w:rsidRPr="00DE23B2">
        <w:rPr>
          <w:bCs/>
          <w:color w:val="000000"/>
          <w:sz w:val="24"/>
          <w:szCs w:val="24"/>
        </w:rPr>
        <w:t xml:space="preserve">y a título de restablecimiento del derecho </w:t>
      </w:r>
      <w:r w:rsidR="00034785" w:rsidRPr="00DE23B2">
        <w:rPr>
          <w:bCs/>
          <w:color w:val="000000"/>
          <w:sz w:val="24"/>
          <w:szCs w:val="24"/>
        </w:rPr>
        <w:t xml:space="preserve">solicitó </w:t>
      </w:r>
      <w:r w:rsidR="00EF5ED3">
        <w:rPr>
          <w:bCs/>
          <w:color w:val="000000"/>
          <w:sz w:val="24"/>
          <w:szCs w:val="24"/>
        </w:rPr>
        <w:t xml:space="preserve">ordenar a la demanda devolver </w:t>
      </w:r>
      <w:r w:rsidR="00DE23B2" w:rsidRPr="00DE23B2">
        <w:rPr>
          <w:bCs/>
          <w:color w:val="000000"/>
          <w:sz w:val="24"/>
          <w:szCs w:val="24"/>
        </w:rPr>
        <w:t>los valores cancelados por conce</w:t>
      </w:r>
      <w:r w:rsidR="004F5109">
        <w:rPr>
          <w:bCs/>
          <w:color w:val="000000"/>
          <w:sz w:val="24"/>
          <w:szCs w:val="24"/>
        </w:rPr>
        <w:t>pto</w:t>
      </w:r>
      <w:r w:rsidR="00DE23B2">
        <w:rPr>
          <w:bCs/>
          <w:color w:val="000000"/>
          <w:sz w:val="24"/>
          <w:szCs w:val="24"/>
        </w:rPr>
        <w:t xml:space="preserve"> de pensión de vejez </w:t>
      </w:r>
      <w:r w:rsidR="00EF5ED3">
        <w:rPr>
          <w:bCs/>
          <w:color w:val="000000"/>
          <w:sz w:val="24"/>
          <w:szCs w:val="24"/>
        </w:rPr>
        <w:t xml:space="preserve">debidamente indexadas. </w:t>
      </w:r>
    </w:p>
    <w:p w:rsidR="00EF5ED3" w:rsidRDefault="00EF5ED3" w:rsidP="00331291">
      <w:pPr>
        <w:rPr>
          <w:bCs/>
          <w:color w:val="000000"/>
          <w:sz w:val="24"/>
          <w:szCs w:val="24"/>
        </w:rPr>
      </w:pPr>
    </w:p>
    <w:p w:rsidR="00902241" w:rsidRDefault="00D66F35" w:rsidP="00331291">
      <w:pPr>
        <w:rPr>
          <w:bCs/>
          <w:color w:val="000000"/>
          <w:sz w:val="24"/>
          <w:szCs w:val="24"/>
        </w:rPr>
      </w:pPr>
      <w:r w:rsidRPr="007E1A7A">
        <w:rPr>
          <w:bCs/>
          <w:color w:val="000000"/>
          <w:sz w:val="24"/>
          <w:szCs w:val="24"/>
        </w:rPr>
        <w:t>1.2.</w:t>
      </w:r>
      <w:r w:rsidR="004A5A17">
        <w:rPr>
          <w:bCs/>
          <w:color w:val="000000"/>
          <w:sz w:val="24"/>
          <w:szCs w:val="24"/>
        </w:rPr>
        <w:t>4</w:t>
      </w:r>
      <w:r w:rsidRPr="007E1A7A">
        <w:rPr>
          <w:bCs/>
          <w:color w:val="000000"/>
          <w:sz w:val="24"/>
          <w:szCs w:val="24"/>
        </w:rPr>
        <w:t>.</w:t>
      </w:r>
      <w:r w:rsidR="00902241">
        <w:rPr>
          <w:b/>
          <w:color w:val="000000"/>
          <w:sz w:val="24"/>
          <w:szCs w:val="24"/>
        </w:rPr>
        <w:t xml:space="preserve"> </w:t>
      </w:r>
      <w:r w:rsidR="00902241">
        <w:rPr>
          <w:bCs/>
          <w:color w:val="000000"/>
          <w:sz w:val="24"/>
          <w:szCs w:val="24"/>
        </w:rPr>
        <w:t>El asunto le correspondió a</w:t>
      </w:r>
      <w:r w:rsidR="00054798">
        <w:rPr>
          <w:bCs/>
          <w:color w:val="000000"/>
          <w:sz w:val="24"/>
          <w:szCs w:val="24"/>
        </w:rPr>
        <w:t xml:space="preserve">l Juzgado </w:t>
      </w:r>
      <w:r w:rsidR="00D658BC">
        <w:rPr>
          <w:bCs/>
          <w:color w:val="000000"/>
          <w:sz w:val="24"/>
          <w:szCs w:val="24"/>
        </w:rPr>
        <w:t>Quince Administrativo de Oralidad del Circuito Judicial de Bogotá D.C., Sección Segunda</w:t>
      </w:r>
      <w:r w:rsidR="00B147F8">
        <w:rPr>
          <w:bCs/>
          <w:color w:val="000000"/>
          <w:sz w:val="24"/>
          <w:szCs w:val="24"/>
        </w:rPr>
        <w:t xml:space="preserve"> </w:t>
      </w:r>
      <w:r w:rsidR="00902241">
        <w:rPr>
          <w:bCs/>
          <w:color w:val="000000"/>
          <w:sz w:val="24"/>
          <w:szCs w:val="24"/>
        </w:rPr>
        <w:t>qu</w:t>
      </w:r>
      <w:r w:rsidR="00634710">
        <w:rPr>
          <w:bCs/>
          <w:color w:val="000000"/>
          <w:sz w:val="24"/>
          <w:szCs w:val="24"/>
        </w:rPr>
        <w:t>ien en</w:t>
      </w:r>
      <w:r w:rsidR="00902241">
        <w:rPr>
          <w:bCs/>
          <w:color w:val="000000"/>
          <w:sz w:val="24"/>
          <w:szCs w:val="24"/>
        </w:rPr>
        <w:t xml:space="preserve"> sentencia del </w:t>
      </w:r>
      <w:r w:rsidR="00D658BC">
        <w:rPr>
          <w:bCs/>
          <w:color w:val="000000"/>
          <w:sz w:val="24"/>
          <w:szCs w:val="24"/>
        </w:rPr>
        <w:t>23 de octubre</w:t>
      </w:r>
      <w:r w:rsidR="00A16F74">
        <w:rPr>
          <w:bCs/>
          <w:color w:val="000000"/>
          <w:sz w:val="24"/>
          <w:szCs w:val="24"/>
        </w:rPr>
        <w:t xml:space="preserve"> de 2019</w:t>
      </w:r>
      <w:r w:rsidR="00ED088C">
        <w:rPr>
          <w:rStyle w:val="Refdenotaalpie"/>
          <w:bCs/>
          <w:color w:val="000000"/>
          <w:sz w:val="24"/>
          <w:szCs w:val="24"/>
        </w:rPr>
        <w:footnoteReference w:id="2"/>
      </w:r>
      <w:r w:rsidR="00902241">
        <w:rPr>
          <w:bCs/>
          <w:color w:val="000000"/>
          <w:sz w:val="24"/>
          <w:szCs w:val="24"/>
        </w:rPr>
        <w:t xml:space="preserve"> resolvió negar las pretensiones</w:t>
      </w:r>
      <w:r w:rsidR="00634710">
        <w:rPr>
          <w:bCs/>
          <w:color w:val="000000"/>
          <w:sz w:val="24"/>
          <w:szCs w:val="24"/>
        </w:rPr>
        <w:t>. C</w:t>
      </w:r>
      <w:r w:rsidR="00902241">
        <w:rPr>
          <w:bCs/>
          <w:color w:val="000000"/>
          <w:sz w:val="24"/>
          <w:szCs w:val="24"/>
        </w:rPr>
        <w:t>omo fundamento de su decisión, la autorida</w:t>
      </w:r>
      <w:r w:rsidR="0076670D">
        <w:rPr>
          <w:bCs/>
          <w:color w:val="000000"/>
          <w:sz w:val="24"/>
          <w:szCs w:val="24"/>
        </w:rPr>
        <w:t>d</w:t>
      </w:r>
      <w:r w:rsidR="00902241">
        <w:rPr>
          <w:bCs/>
          <w:color w:val="000000"/>
          <w:sz w:val="24"/>
          <w:szCs w:val="24"/>
        </w:rPr>
        <w:t xml:space="preserve"> consider</w:t>
      </w:r>
      <w:r w:rsidR="00D658BC">
        <w:rPr>
          <w:bCs/>
          <w:color w:val="000000"/>
          <w:sz w:val="24"/>
          <w:szCs w:val="24"/>
        </w:rPr>
        <w:t>ó que conforme a la jurisprudencia de la Corte Suprema de Justicia</w:t>
      </w:r>
      <w:r w:rsidR="004328DF">
        <w:rPr>
          <w:bCs/>
          <w:color w:val="000000"/>
          <w:sz w:val="24"/>
          <w:szCs w:val="24"/>
        </w:rPr>
        <w:t xml:space="preserve"> cuando la pensión de invalidez es de origen laboral y la pensión de vejez es de origen común, su reconocimiento es plenamente compatible en la medida que el pago proviene de diferentes fuentes de financiación.</w:t>
      </w:r>
    </w:p>
    <w:p w:rsidR="00902241" w:rsidRDefault="00902241" w:rsidP="00331291">
      <w:pPr>
        <w:rPr>
          <w:bCs/>
          <w:color w:val="000000"/>
          <w:sz w:val="24"/>
          <w:szCs w:val="24"/>
        </w:rPr>
      </w:pPr>
    </w:p>
    <w:p w:rsidR="004935D3" w:rsidRDefault="003732C9" w:rsidP="00331291">
      <w:pPr>
        <w:rPr>
          <w:bCs/>
          <w:color w:val="000000"/>
          <w:sz w:val="24"/>
          <w:szCs w:val="24"/>
        </w:rPr>
      </w:pPr>
      <w:r w:rsidRPr="006460A7">
        <w:rPr>
          <w:bCs/>
          <w:color w:val="000000"/>
          <w:sz w:val="24"/>
          <w:szCs w:val="24"/>
        </w:rPr>
        <w:t>1.2.</w:t>
      </w:r>
      <w:r w:rsidR="004A5A17">
        <w:rPr>
          <w:bCs/>
          <w:color w:val="000000"/>
          <w:sz w:val="24"/>
          <w:szCs w:val="24"/>
        </w:rPr>
        <w:t>5</w:t>
      </w:r>
      <w:r w:rsidRPr="006460A7">
        <w:rPr>
          <w:bCs/>
          <w:color w:val="000000"/>
          <w:sz w:val="24"/>
          <w:szCs w:val="24"/>
        </w:rPr>
        <w:t xml:space="preserve">. </w:t>
      </w:r>
      <w:r w:rsidR="00015EB8">
        <w:rPr>
          <w:bCs/>
          <w:color w:val="000000"/>
          <w:sz w:val="24"/>
          <w:szCs w:val="24"/>
        </w:rPr>
        <w:t>Colpensiones</w:t>
      </w:r>
      <w:r w:rsidRPr="006460A7">
        <w:rPr>
          <w:bCs/>
          <w:color w:val="000000"/>
          <w:sz w:val="24"/>
          <w:szCs w:val="24"/>
        </w:rPr>
        <w:t xml:space="preserve"> interpuso recurso de apelación en el que manifestó que </w:t>
      </w:r>
      <w:r w:rsidR="004935D3">
        <w:rPr>
          <w:bCs/>
          <w:color w:val="000000"/>
          <w:sz w:val="24"/>
          <w:szCs w:val="24"/>
        </w:rPr>
        <w:t xml:space="preserve">la pensión de invalidez y de vejez </w:t>
      </w:r>
      <w:r w:rsidR="00344DC6">
        <w:rPr>
          <w:bCs/>
          <w:color w:val="000000"/>
          <w:sz w:val="24"/>
          <w:szCs w:val="24"/>
        </w:rPr>
        <w:t xml:space="preserve">: i) son incompatibles conforme a los Decretos 3135 de 1968 y 1848 de 1969 y que al respecto no existe norma en contrario; </w:t>
      </w:r>
      <w:proofErr w:type="spellStart"/>
      <w:r w:rsidR="00344DC6">
        <w:rPr>
          <w:bCs/>
          <w:color w:val="000000"/>
          <w:sz w:val="24"/>
          <w:szCs w:val="24"/>
        </w:rPr>
        <w:t>ii</w:t>
      </w:r>
      <w:proofErr w:type="spellEnd"/>
      <w:r w:rsidR="00344DC6">
        <w:rPr>
          <w:bCs/>
          <w:color w:val="000000"/>
          <w:sz w:val="24"/>
          <w:szCs w:val="24"/>
        </w:rPr>
        <w:t xml:space="preserve">) su finalidad es la misma, pues las dos cubren la pérdida de la capacidad laboral; </w:t>
      </w:r>
      <w:proofErr w:type="spellStart"/>
      <w:r w:rsidR="00344DC6">
        <w:rPr>
          <w:bCs/>
          <w:color w:val="000000"/>
          <w:sz w:val="24"/>
          <w:szCs w:val="24"/>
        </w:rPr>
        <w:t>iii</w:t>
      </w:r>
      <w:proofErr w:type="spellEnd"/>
      <w:r w:rsidR="00344DC6">
        <w:rPr>
          <w:bCs/>
          <w:color w:val="000000"/>
          <w:sz w:val="24"/>
          <w:szCs w:val="24"/>
        </w:rPr>
        <w:t>) el Decreto Ley 1278 de 2002 dispuso que el desempeño de cargos en el sector educativo estatal es incompatible con el goce de la pensión de jubilación, vejez, gracia o similares y, dado que la demandada adquirió el estatus con posterioridad a la entrada en vigencia de dicha norma</w:t>
      </w:r>
      <w:r w:rsidR="008D5210">
        <w:rPr>
          <w:bCs/>
          <w:color w:val="000000"/>
          <w:sz w:val="24"/>
          <w:szCs w:val="24"/>
        </w:rPr>
        <w:t xml:space="preserve">, son incompatibles las prestaciones pensionales que le fueron reconocidas; </w:t>
      </w:r>
      <w:proofErr w:type="spellStart"/>
      <w:r w:rsidR="008D5210">
        <w:rPr>
          <w:bCs/>
          <w:color w:val="000000"/>
          <w:sz w:val="24"/>
          <w:szCs w:val="24"/>
        </w:rPr>
        <w:t>iv</w:t>
      </w:r>
      <w:proofErr w:type="spellEnd"/>
      <w:r w:rsidR="008D5210">
        <w:rPr>
          <w:bCs/>
          <w:color w:val="000000"/>
          <w:sz w:val="24"/>
          <w:szCs w:val="24"/>
        </w:rPr>
        <w:t>) las pensiones reconocidas son incompatibles porque para su reconocimiento</w:t>
      </w:r>
      <w:r w:rsidR="000A2728">
        <w:rPr>
          <w:bCs/>
          <w:color w:val="000000"/>
          <w:sz w:val="24"/>
          <w:szCs w:val="24"/>
        </w:rPr>
        <w:t xml:space="preserve"> se tuvieron en cuenta </w:t>
      </w:r>
      <w:r w:rsidR="008D5210">
        <w:rPr>
          <w:bCs/>
          <w:color w:val="000000"/>
          <w:sz w:val="24"/>
          <w:szCs w:val="24"/>
        </w:rPr>
        <w:t xml:space="preserve">tiempos laborados al sector público; </w:t>
      </w:r>
      <w:r w:rsidR="00E822E9">
        <w:rPr>
          <w:bCs/>
          <w:color w:val="000000"/>
          <w:sz w:val="24"/>
          <w:szCs w:val="24"/>
        </w:rPr>
        <w:t xml:space="preserve">y </w:t>
      </w:r>
      <w:r w:rsidR="008D5210">
        <w:rPr>
          <w:bCs/>
          <w:color w:val="000000"/>
          <w:sz w:val="24"/>
          <w:szCs w:val="24"/>
        </w:rPr>
        <w:t>v) la</w:t>
      </w:r>
      <w:r w:rsidR="000E6EB3">
        <w:rPr>
          <w:bCs/>
          <w:color w:val="000000"/>
          <w:sz w:val="24"/>
          <w:szCs w:val="24"/>
        </w:rPr>
        <w:t xml:space="preserve"> señora Rodríguez Espinoza fue notificada mediante auto APSUB 3864 del 27 de septiembre de 2017 respecto</w:t>
      </w:r>
      <w:r w:rsidR="008D5210">
        <w:rPr>
          <w:bCs/>
          <w:color w:val="000000"/>
          <w:sz w:val="24"/>
          <w:szCs w:val="24"/>
        </w:rPr>
        <w:t xml:space="preserve"> de la incompatibilidad de las pensiones que le fueron reconocidas por lo que, su falta de pronunciamiento desvirtúa la presunción de buena fe. </w:t>
      </w:r>
    </w:p>
    <w:p w:rsidR="004935D3" w:rsidRDefault="004935D3" w:rsidP="00331291">
      <w:pPr>
        <w:rPr>
          <w:bCs/>
          <w:color w:val="000000"/>
          <w:sz w:val="24"/>
          <w:szCs w:val="24"/>
        </w:rPr>
      </w:pPr>
    </w:p>
    <w:p w:rsidR="00E651AA" w:rsidRDefault="00D61271" w:rsidP="00331291">
      <w:pPr>
        <w:rPr>
          <w:bCs/>
          <w:color w:val="000000"/>
          <w:sz w:val="24"/>
          <w:szCs w:val="24"/>
        </w:rPr>
      </w:pPr>
      <w:r w:rsidRPr="006460A7">
        <w:rPr>
          <w:bCs/>
          <w:color w:val="000000"/>
          <w:sz w:val="24"/>
          <w:szCs w:val="24"/>
        </w:rPr>
        <w:t>1.2.</w:t>
      </w:r>
      <w:r w:rsidR="00E05FAC">
        <w:rPr>
          <w:bCs/>
          <w:color w:val="000000"/>
          <w:sz w:val="24"/>
          <w:szCs w:val="24"/>
        </w:rPr>
        <w:t>6</w:t>
      </w:r>
      <w:r w:rsidRPr="006460A7">
        <w:rPr>
          <w:bCs/>
          <w:color w:val="000000"/>
          <w:sz w:val="24"/>
          <w:szCs w:val="24"/>
        </w:rPr>
        <w:t>.</w:t>
      </w:r>
      <w:r w:rsidR="00E05FAC">
        <w:rPr>
          <w:bCs/>
          <w:color w:val="000000"/>
          <w:sz w:val="24"/>
          <w:szCs w:val="24"/>
        </w:rPr>
        <w:t xml:space="preserve"> </w:t>
      </w:r>
      <w:r w:rsidR="00634710">
        <w:rPr>
          <w:bCs/>
          <w:color w:val="000000"/>
          <w:sz w:val="24"/>
          <w:szCs w:val="24"/>
        </w:rPr>
        <w:t xml:space="preserve">El </w:t>
      </w:r>
      <w:r w:rsidR="006460A7" w:rsidRPr="006460A7">
        <w:rPr>
          <w:bCs/>
          <w:color w:val="000000"/>
          <w:sz w:val="24"/>
          <w:szCs w:val="24"/>
        </w:rPr>
        <w:t xml:space="preserve">Tribunal Administrativo de Cundinamarca, Sección Segunda, Subsección </w:t>
      </w:r>
      <w:r w:rsidR="00E05FAC">
        <w:rPr>
          <w:bCs/>
          <w:color w:val="000000"/>
          <w:sz w:val="24"/>
          <w:szCs w:val="24"/>
        </w:rPr>
        <w:t>E</w:t>
      </w:r>
      <w:r w:rsidR="006460A7" w:rsidRPr="006460A7">
        <w:rPr>
          <w:bCs/>
          <w:color w:val="000000"/>
          <w:sz w:val="24"/>
          <w:szCs w:val="24"/>
        </w:rPr>
        <w:t xml:space="preserve"> </w:t>
      </w:r>
      <w:r w:rsidR="00634710">
        <w:rPr>
          <w:bCs/>
          <w:color w:val="000000"/>
          <w:sz w:val="24"/>
          <w:szCs w:val="24"/>
        </w:rPr>
        <w:t xml:space="preserve">a quien le correspondió el conocimiento y decisión del recurso, decidió el </w:t>
      </w:r>
      <w:r w:rsidR="00E05FAC">
        <w:rPr>
          <w:bCs/>
          <w:color w:val="000000"/>
          <w:sz w:val="24"/>
          <w:szCs w:val="24"/>
        </w:rPr>
        <w:t>2</w:t>
      </w:r>
      <w:r w:rsidR="00EC5DFF">
        <w:rPr>
          <w:bCs/>
          <w:color w:val="000000"/>
          <w:sz w:val="24"/>
          <w:szCs w:val="24"/>
        </w:rPr>
        <w:t>9</w:t>
      </w:r>
      <w:r w:rsidR="006460A7" w:rsidRPr="006460A7">
        <w:rPr>
          <w:bCs/>
          <w:color w:val="000000"/>
          <w:sz w:val="24"/>
          <w:szCs w:val="24"/>
        </w:rPr>
        <w:t xml:space="preserve"> de </w:t>
      </w:r>
      <w:r w:rsidR="00E05FAC">
        <w:rPr>
          <w:bCs/>
          <w:color w:val="000000"/>
          <w:sz w:val="24"/>
          <w:szCs w:val="24"/>
        </w:rPr>
        <w:t>abril</w:t>
      </w:r>
      <w:r w:rsidR="006460A7" w:rsidRPr="006460A7">
        <w:rPr>
          <w:bCs/>
          <w:color w:val="000000"/>
          <w:sz w:val="24"/>
          <w:szCs w:val="24"/>
        </w:rPr>
        <w:t xml:space="preserve"> de 2022 </w:t>
      </w:r>
      <w:r w:rsidR="00634710">
        <w:rPr>
          <w:bCs/>
          <w:color w:val="000000"/>
          <w:sz w:val="24"/>
          <w:szCs w:val="24"/>
        </w:rPr>
        <w:t xml:space="preserve">la revocación de la sentencia bajo los </w:t>
      </w:r>
      <w:r w:rsidR="006460A7">
        <w:rPr>
          <w:bCs/>
          <w:color w:val="000000"/>
          <w:sz w:val="24"/>
          <w:szCs w:val="24"/>
        </w:rPr>
        <w:t>siguientes argumentos:</w:t>
      </w:r>
    </w:p>
    <w:p w:rsidR="00634710" w:rsidRDefault="00634710" w:rsidP="00331291">
      <w:pPr>
        <w:rPr>
          <w:bCs/>
          <w:color w:val="000000"/>
          <w:sz w:val="24"/>
          <w:szCs w:val="24"/>
        </w:rPr>
      </w:pPr>
    </w:p>
    <w:p w:rsidR="00E651AA" w:rsidRDefault="00E651AA" w:rsidP="00331291">
      <w:pPr>
        <w:rPr>
          <w:bCs/>
          <w:color w:val="000000"/>
          <w:sz w:val="24"/>
          <w:szCs w:val="24"/>
        </w:rPr>
      </w:pPr>
      <w:r>
        <w:rPr>
          <w:bCs/>
          <w:color w:val="000000"/>
          <w:sz w:val="24"/>
          <w:szCs w:val="24"/>
        </w:rPr>
        <w:t xml:space="preserve">1.2.6.1. Respecto del marco normativo y jurisprudencial aplicable al caso concreto indicó que: </w:t>
      </w:r>
    </w:p>
    <w:p w:rsidR="00E651AA" w:rsidRDefault="00E651AA" w:rsidP="00331291">
      <w:pPr>
        <w:rPr>
          <w:bCs/>
          <w:color w:val="000000"/>
          <w:sz w:val="24"/>
          <w:szCs w:val="24"/>
        </w:rPr>
      </w:pPr>
    </w:p>
    <w:p w:rsidR="00E651AA" w:rsidRDefault="00E651AA" w:rsidP="00331291">
      <w:pPr>
        <w:rPr>
          <w:bCs/>
          <w:color w:val="000000"/>
          <w:sz w:val="24"/>
          <w:szCs w:val="24"/>
        </w:rPr>
      </w:pPr>
      <w:r>
        <w:rPr>
          <w:bCs/>
          <w:color w:val="000000"/>
          <w:sz w:val="24"/>
          <w:szCs w:val="24"/>
        </w:rPr>
        <w:t xml:space="preserve">1.2.6.1.1. El régimen pensional de los </w:t>
      </w:r>
      <w:r w:rsidR="00617453">
        <w:rPr>
          <w:bCs/>
          <w:color w:val="000000"/>
          <w:sz w:val="24"/>
          <w:szCs w:val="24"/>
        </w:rPr>
        <w:t>docentes vinculados</w:t>
      </w:r>
      <w:r>
        <w:rPr>
          <w:bCs/>
          <w:color w:val="000000"/>
          <w:sz w:val="24"/>
          <w:szCs w:val="24"/>
        </w:rPr>
        <w:t xml:space="preserve"> con anterioridad a la entrada en vigencia de la Ley 812 de 2003, en lo concerniente a la pensión de invalidez, es el dispuesto en el artículo 31 del Decreto 3135 de 1968</w:t>
      </w:r>
      <w:r>
        <w:rPr>
          <w:rStyle w:val="Refdenotaalpie"/>
          <w:bCs/>
          <w:color w:val="000000"/>
          <w:sz w:val="24"/>
          <w:szCs w:val="24"/>
        </w:rPr>
        <w:footnoteReference w:id="3"/>
      </w:r>
      <w:r w:rsidR="00116B58">
        <w:rPr>
          <w:bCs/>
          <w:color w:val="000000"/>
          <w:sz w:val="24"/>
          <w:szCs w:val="24"/>
        </w:rPr>
        <w:t>,</w:t>
      </w:r>
      <w:r>
        <w:rPr>
          <w:bCs/>
          <w:color w:val="000000"/>
          <w:sz w:val="24"/>
          <w:szCs w:val="24"/>
        </w:rPr>
        <w:t xml:space="preserve"> que </w:t>
      </w:r>
      <w:r w:rsidR="00116B58">
        <w:rPr>
          <w:bCs/>
          <w:color w:val="000000"/>
          <w:sz w:val="24"/>
          <w:szCs w:val="24"/>
        </w:rPr>
        <w:t>estableció</w:t>
      </w:r>
      <w:r>
        <w:rPr>
          <w:bCs/>
          <w:color w:val="000000"/>
          <w:sz w:val="24"/>
          <w:szCs w:val="24"/>
        </w:rPr>
        <w:t xml:space="preserve"> </w:t>
      </w:r>
      <w:r>
        <w:rPr>
          <w:bCs/>
          <w:color w:val="000000"/>
          <w:sz w:val="24"/>
          <w:szCs w:val="24"/>
        </w:rPr>
        <w:lastRenderedPageBreak/>
        <w:t xml:space="preserve">la incompatibilidad entre la pensión de invalidez y la </w:t>
      </w:r>
      <w:r w:rsidR="00116B58">
        <w:rPr>
          <w:bCs/>
          <w:color w:val="000000"/>
          <w:sz w:val="24"/>
          <w:szCs w:val="24"/>
        </w:rPr>
        <w:t xml:space="preserve">de </w:t>
      </w:r>
      <w:r>
        <w:rPr>
          <w:bCs/>
          <w:color w:val="000000"/>
          <w:sz w:val="24"/>
          <w:szCs w:val="24"/>
        </w:rPr>
        <w:t>jubilación y</w:t>
      </w:r>
      <w:r w:rsidR="00116B58">
        <w:rPr>
          <w:bCs/>
          <w:color w:val="000000"/>
          <w:sz w:val="24"/>
          <w:szCs w:val="24"/>
        </w:rPr>
        <w:t xml:space="preserve">, </w:t>
      </w:r>
      <w:r>
        <w:rPr>
          <w:bCs/>
          <w:color w:val="000000"/>
          <w:sz w:val="24"/>
          <w:szCs w:val="24"/>
        </w:rPr>
        <w:t xml:space="preserve">en ese sentido le dio la opción al empleado o trabajador para optar por la más favorable en caso de concurrencia. </w:t>
      </w:r>
    </w:p>
    <w:p w:rsidR="00E651AA" w:rsidRDefault="00E651AA" w:rsidP="00331291">
      <w:pPr>
        <w:rPr>
          <w:bCs/>
          <w:color w:val="000000"/>
          <w:sz w:val="24"/>
          <w:szCs w:val="24"/>
        </w:rPr>
      </w:pPr>
    </w:p>
    <w:p w:rsidR="00E651AA" w:rsidRDefault="00E651AA" w:rsidP="00331291">
      <w:pPr>
        <w:rPr>
          <w:bCs/>
          <w:color w:val="000000"/>
          <w:sz w:val="24"/>
          <w:szCs w:val="24"/>
        </w:rPr>
      </w:pPr>
      <w:r>
        <w:rPr>
          <w:bCs/>
          <w:color w:val="000000"/>
          <w:sz w:val="24"/>
          <w:szCs w:val="24"/>
        </w:rPr>
        <w:t>Tal disposición fue reiterada en el artículo 88 del Decreto 1848 de 1969</w:t>
      </w:r>
      <w:r>
        <w:rPr>
          <w:rStyle w:val="Refdenotaalpie"/>
          <w:bCs/>
          <w:color w:val="000000"/>
          <w:sz w:val="24"/>
          <w:szCs w:val="24"/>
        </w:rPr>
        <w:footnoteReference w:id="4"/>
      </w:r>
      <w:r w:rsidR="00116B58">
        <w:rPr>
          <w:bCs/>
          <w:color w:val="000000"/>
          <w:sz w:val="24"/>
          <w:szCs w:val="24"/>
        </w:rPr>
        <w:t>,</w:t>
      </w:r>
      <w:r>
        <w:rPr>
          <w:bCs/>
          <w:color w:val="000000"/>
          <w:sz w:val="24"/>
          <w:szCs w:val="24"/>
        </w:rPr>
        <w:t xml:space="preserve"> en concordancia con el artículo 64 de la Constitución Política de 1886</w:t>
      </w:r>
      <w:r>
        <w:rPr>
          <w:rStyle w:val="Refdenotaalpie"/>
          <w:bCs/>
          <w:color w:val="000000"/>
          <w:sz w:val="24"/>
          <w:szCs w:val="24"/>
        </w:rPr>
        <w:footnoteReference w:id="5"/>
      </w:r>
      <w:r>
        <w:rPr>
          <w:bCs/>
          <w:color w:val="000000"/>
          <w:sz w:val="24"/>
          <w:szCs w:val="24"/>
        </w:rPr>
        <w:t xml:space="preserve"> y el artículo 128 de la Constitución Política vigente</w:t>
      </w:r>
      <w:r w:rsidR="00617453">
        <w:rPr>
          <w:rStyle w:val="Refdenotaalpie"/>
          <w:bCs/>
          <w:color w:val="000000"/>
          <w:sz w:val="24"/>
          <w:szCs w:val="24"/>
        </w:rPr>
        <w:footnoteReference w:id="6"/>
      </w:r>
      <w:r>
        <w:rPr>
          <w:bCs/>
          <w:color w:val="000000"/>
          <w:sz w:val="24"/>
          <w:szCs w:val="24"/>
        </w:rPr>
        <w:t xml:space="preserve">. </w:t>
      </w:r>
    </w:p>
    <w:p w:rsidR="00617453" w:rsidRDefault="00617453" w:rsidP="00331291">
      <w:pPr>
        <w:rPr>
          <w:bCs/>
          <w:color w:val="000000"/>
          <w:sz w:val="24"/>
          <w:szCs w:val="24"/>
        </w:rPr>
      </w:pPr>
    </w:p>
    <w:p w:rsidR="00617453" w:rsidRDefault="00617453" w:rsidP="00331291">
      <w:pPr>
        <w:rPr>
          <w:bCs/>
          <w:color w:val="000000"/>
          <w:sz w:val="24"/>
          <w:szCs w:val="24"/>
        </w:rPr>
      </w:pPr>
      <w:r>
        <w:rPr>
          <w:bCs/>
          <w:color w:val="000000"/>
          <w:sz w:val="24"/>
          <w:szCs w:val="24"/>
        </w:rPr>
        <w:t xml:space="preserve">1.2.6.1.2. </w:t>
      </w:r>
      <w:r w:rsidR="00FA1022">
        <w:rPr>
          <w:bCs/>
          <w:color w:val="000000"/>
          <w:sz w:val="24"/>
          <w:szCs w:val="24"/>
        </w:rPr>
        <w:t xml:space="preserve">El Consejo de Estado ha indicado que existe incompatibilidad entre las pensiones de jubilación e invalidez “porque el ordenamiento jurídico lo prohíbe y, por tanto, no pueden ser disfrutadas conjuntamente con base en lo siguiente: i) tienen su origen en una misma relación laboral; </w:t>
      </w:r>
      <w:proofErr w:type="spellStart"/>
      <w:r w:rsidR="00FA1022">
        <w:rPr>
          <w:bCs/>
          <w:color w:val="000000"/>
          <w:sz w:val="24"/>
          <w:szCs w:val="24"/>
        </w:rPr>
        <w:t>ii</w:t>
      </w:r>
      <w:proofErr w:type="spellEnd"/>
      <w:r w:rsidR="00FA1022">
        <w:rPr>
          <w:bCs/>
          <w:color w:val="000000"/>
          <w:sz w:val="24"/>
          <w:szCs w:val="24"/>
        </w:rPr>
        <w:t xml:space="preserve">) están condicionadas a los aportes que la demandante haga a la seguridad social; </w:t>
      </w:r>
      <w:proofErr w:type="spellStart"/>
      <w:r w:rsidR="00FA1022">
        <w:rPr>
          <w:bCs/>
          <w:color w:val="000000"/>
          <w:sz w:val="24"/>
          <w:szCs w:val="24"/>
        </w:rPr>
        <w:t>iii</w:t>
      </w:r>
      <w:proofErr w:type="spellEnd"/>
      <w:r w:rsidR="00FA1022">
        <w:rPr>
          <w:bCs/>
          <w:color w:val="000000"/>
          <w:sz w:val="24"/>
          <w:szCs w:val="24"/>
        </w:rPr>
        <w:t>) su finalidad es análoga, pues mientras la pensión de vejez tiene como finalidad cubrir la pérdida de la capacidad de trabajo por haber llegado la persona a la vejez, la pensión de invalidez también tiene por objeto cubrir la pérdida de la capacidad laboral, en razón de la invalidez”</w:t>
      </w:r>
      <w:r w:rsidR="00FA1022">
        <w:rPr>
          <w:rStyle w:val="Refdenotaalpie"/>
          <w:bCs/>
          <w:color w:val="000000"/>
          <w:sz w:val="24"/>
          <w:szCs w:val="24"/>
        </w:rPr>
        <w:footnoteReference w:id="7"/>
      </w:r>
      <w:r w:rsidR="00FA1022">
        <w:rPr>
          <w:bCs/>
          <w:color w:val="000000"/>
          <w:sz w:val="24"/>
          <w:szCs w:val="24"/>
        </w:rPr>
        <w:t>.</w:t>
      </w:r>
    </w:p>
    <w:p w:rsidR="00FA1022" w:rsidRDefault="00FA1022" w:rsidP="00331291">
      <w:pPr>
        <w:rPr>
          <w:bCs/>
          <w:color w:val="000000"/>
          <w:sz w:val="24"/>
          <w:szCs w:val="24"/>
        </w:rPr>
      </w:pPr>
    </w:p>
    <w:p w:rsidR="00DE1A3B" w:rsidRDefault="00FA1022" w:rsidP="00331291">
      <w:pPr>
        <w:rPr>
          <w:bCs/>
          <w:color w:val="000000"/>
          <w:sz w:val="24"/>
          <w:szCs w:val="24"/>
        </w:rPr>
      </w:pPr>
      <w:r>
        <w:rPr>
          <w:bCs/>
          <w:color w:val="000000"/>
          <w:sz w:val="24"/>
          <w:szCs w:val="24"/>
        </w:rPr>
        <w:t>1.2.6.1.3. La ley 100 de 1993 dispuso el Sistema General de Pensiones y en su artículo 13, literal j) estableció que “Ningún afiliado podrá recibir simultáneamente pensiones de invalidez y vejez”.</w:t>
      </w:r>
    </w:p>
    <w:p w:rsidR="005F2911" w:rsidRDefault="005F2911" w:rsidP="00331291">
      <w:pPr>
        <w:rPr>
          <w:bCs/>
          <w:color w:val="000000"/>
          <w:sz w:val="24"/>
          <w:szCs w:val="24"/>
        </w:rPr>
      </w:pPr>
    </w:p>
    <w:p w:rsidR="00FA1022" w:rsidRDefault="00FA1022" w:rsidP="00331291">
      <w:pPr>
        <w:rPr>
          <w:bCs/>
          <w:color w:val="000000"/>
          <w:sz w:val="24"/>
          <w:szCs w:val="24"/>
        </w:rPr>
      </w:pPr>
      <w:r>
        <w:rPr>
          <w:bCs/>
          <w:color w:val="000000"/>
          <w:sz w:val="24"/>
          <w:szCs w:val="24"/>
        </w:rPr>
        <w:t>Al respecto es preciso indicar que el régimen general de seguridad social tiene establecido dos aportes diferentes, esto es: “(i) las cotizaciones que tanto</w:t>
      </w:r>
      <w:r w:rsidR="00DE1A3B">
        <w:rPr>
          <w:bCs/>
          <w:color w:val="000000"/>
          <w:sz w:val="24"/>
          <w:szCs w:val="24"/>
        </w:rPr>
        <w:t xml:space="preserve"> </w:t>
      </w:r>
      <w:r>
        <w:rPr>
          <w:bCs/>
          <w:color w:val="000000"/>
          <w:sz w:val="24"/>
          <w:szCs w:val="24"/>
        </w:rPr>
        <w:t>empleado como empleador realizan para pensión de jubilación (art. 17 de la Ley 100 de 1993) y, (</w:t>
      </w:r>
      <w:proofErr w:type="spellStart"/>
      <w:r>
        <w:rPr>
          <w:bCs/>
          <w:color w:val="000000"/>
          <w:sz w:val="24"/>
          <w:szCs w:val="24"/>
        </w:rPr>
        <w:t>ii</w:t>
      </w:r>
      <w:proofErr w:type="spellEnd"/>
      <w:r>
        <w:rPr>
          <w:bCs/>
          <w:color w:val="000000"/>
          <w:sz w:val="24"/>
          <w:szCs w:val="24"/>
        </w:rPr>
        <w:t xml:space="preserve">) los aportes que se realizan en el sistema general de riesgos laborales (art. 16 de la Ley 1562 de </w:t>
      </w:r>
      <w:r w:rsidRPr="005A540B">
        <w:rPr>
          <w:bCs/>
          <w:color w:val="000000"/>
          <w:sz w:val="24"/>
          <w:szCs w:val="24"/>
        </w:rPr>
        <w:t>2012).</w:t>
      </w:r>
      <w:r w:rsidR="005A540B" w:rsidRPr="005A540B">
        <w:rPr>
          <w:bCs/>
          <w:color w:val="000000"/>
          <w:sz w:val="24"/>
          <w:szCs w:val="24"/>
        </w:rPr>
        <w:t>”</w:t>
      </w:r>
      <w:r w:rsidRPr="005A540B">
        <w:rPr>
          <w:rStyle w:val="Refdenotaalpie"/>
          <w:bCs/>
          <w:color w:val="000000"/>
          <w:sz w:val="24"/>
          <w:szCs w:val="24"/>
        </w:rPr>
        <w:footnoteReference w:id="8"/>
      </w:r>
      <w:r w:rsidRPr="005A540B">
        <w:rPr>
          <w:bCs/>
          <w:color w:val="000000"/>
          <w:sz w:val="24"/>
          <w:szCs w:val="24"/>
        </w:rPr>
        <w:t>, por</w:t>
      </w:r>
      <w:r>
        <w:rPr>
          <w:bCs/>
          <w:color w:val="000000"/>
          <w:sz w:val="24"/>
          <w:szCs w:val="24"/>
        </w:rPr>
        <w:t xml:space="preserve"> lo que, en el mencionado régimen</w:t>
      </w:r>
      <w:r w:rsidR="00DE1A3B">
        <w:rPr>
          <w:bCs/>
          <w:color w:val="000000"/>
          <w:sz w:val="24"/>
          <w:szCs w:val="24"/>
        </w:rPr>
        <w:t>,</w:t>
      </w:r>
      <w:r>
        <w:rPr>
          <w:bCs/>
          <w:color w:val="000000"/>
          <w:sz w:val="24"/>
          <w:szCs w:val="24"/>
        </w:rPr>
        <w:t xml:space="preserve"> la entidad responsable de invalidez está limitada por el origen de la enfermedad o del accidente laboral y en ese orden la entidad competente para reconocer la prestación es la administradora de riesgos laborales (ARL) a la que se encuentre afiliado el trabajador de conformidad con lo previsto en el Decreto 1925</w:t>
      </w:r>
      <w:r w:rsidR="005F2911">
        <w:rPr>
          <w:bCs/>
          <w:color w:val="000000"/>
          <w:sz w:val="24"/>
          <w:szCs w:val="24"/>
        </w:rPr>
        <w:t xml:space="preserve"> </w:t>
      </w:r>
      <w:r>
        <w:rPr>
          <w:bCs/>
          <w:color w:val="000000"/>
          <w:sz w:val="24"/>
          <w:szCs w:val="24"/>
        </w:rPr>
        <w:t>de 1994 y la Ley 776 de 2002.</w:t>
      </w:r>
    </w:p>
    <w:p w:rsidR="00FA1022" w:rsidRDefault="00FA1022" w:rsidP="00331291">
      <w:pPr>
        <w:rPr>
          <w:bCs/>
          <w:color w:val="000000"/>
          <w:sz w:val="24"/>
          <w:szCs w:val="24"/>
        </w:rPr>
      </w:pPr>
    </w:p>
    <w:p w:rsidR="00FA1022" w:rsidRDefault="00FA1022" w:rsidP="00331291">
      <w:pPr>
        <w:rPr>
          <w:bCs/>
          <w:color w:val="000000"/>
          <w:sz w:val="24"/>
          <w:szCs w:val="24"/>
        </w:rPr>
      </w:pPr>
      <w:r>
        <w:rPr>
          <w:bCs/>
          <w:color w:val="000000"/>
          <w:sz w:val="24"/>
          <w:szCs w:val="24"/>
        </w:rPr>
        <w:t>En ese sentido, ante la imposibilidad de devengar simultáneamente la pensión de invalidez y de jubilación, cuando la primera sea de origen laboral, el trabajador podrá “solicitar la devolución de sus aportes para pensión de jubilación en una de las dos modalidades: (i) que sea devuelta la totalidad del saldo de su cuenta individual de ahorro pensional si se encuentra afiliado al régimen de ahorro individual con solidaridad o (</w:t>
      </w:r>
      <w:proofErr w:type="spellStart"/>
      <w:r>
        <w:rPr>
          <w:bCs/>
          <w:color w:val="000000"/>
          <w:sz w:val="24"/>
          <w:szCs w:val="24"/>
        </w:rPr>
        <w:t>ii</w:t>
      </w:r>
      <w:proofErr w:type="spellEnd"/>
      <w:r>
        <w:rPr>
          <w:bCs/>
          <w:color w:val="000000"/>
          <w:sz w:val="24"/>
          <w:szCs w:val="24"/>
        </w:rPr>
        <w:t>) le sea otorgada la indemnización sustitutiva prevista en el artículo 37 de la Ley 100 de 1993 si se encuentra afiliado al régimen solidario de prima media con prestación definida”</w:t>
      </w:r>
      <w:r>
        <w:rPr>
          <w:rStyle w:val="Refdenotaalpie"/>
          <w:bCs/>
          <w:color w:val="000000"/>
          <w:sz w:val="24"/>
          <w:szCs w:val="24"/>
        </w:rPr>
        <w:footnoteReference w:id="9"/>
      </w:r>
      <w:r>
        <w:rPr>
          <w:bCs/>
          <w:color w:val="000000"/>
          <w:sz w:val="24"/>
          <w:szCs w:val="24"/>
        </w:rPr>
        <w:t>.</w:t>
      </w:r>
    </w:p>
    <w:p w:rsidR="00DE79FD" w:rsidRDefault="00DE79FD" w:rsidP="00331291">
      <w:pPr>
        <w:rPr>
          <w:bCs/>
          <w:color w:val="000000"/>
          <w:sz w:val="24"/>
          <w:szCs w:val="24"/>
        </w:rPr>
      </w:pPr>
    </w:p>
    <w:p w:rsidR="006460A7" w:rsidRDefault="00DE79FD" w:rsidP="00331291">
      <w:pPr>
        <w:rPr>
          <w:bCs/>
          <w:color w:val="000000"/>
          <w:sz w:val="24"/>
          <w:szCs w:val="24"/>
        </w:rPr>
      </w:pPr>
      <w:r>
        <w:rPr>
          <w:bCs/>
          <w:color w:val="000000"/>
          <w:sz w:val="24"/>
          <w:szCs w:val="24"/>
        </w:rPr>
        <w:t xml:space="preserve">1.2.6.1.4. Para los docentes vinculados al FNPSM antes de la entrada en vigencia de la Ley 812 de 2003, el reconocimiento de la pensión de invalidez y de jubilación </w:t>
      </w:r>
      <w:r>
        <w:rPr>
          <w:bCs/>
          <w:color w:val="000000"/>
          <w:sz w:val="24"/>
          <w:szCs w:val="24"/>
        </w:rPr>
        <w:lastRenderedPageBreak/>
        <w:t>est</w:t>
      </w:r>
      <w:r w:rsidR="003C4A9F">
        <w:rPr>
          <w:bCs/>
          <w:color w:val="000000"/>
          <w:sz w:val="24"/>
          <w:szCs w:val="24"/>
        </w:rPr>
        <w:t xml:space="preserve">á </w:t>
      </w:r>
      <w:r>
        <w:rPr>
          <w:bCs/>
          <w:color w:val="000000"/>
          <w:sz w:val="24"/>
          <w:szCs w:val="24"/>
        </w:rPr>
        <w:t>a cargo del mencionado fondo, por lo que, para tal efecto el artículo 8 de la Ley 91 de 1989 dispuso un sistema de cotizaciones que constituyen los recursos con los que se financia</w:t>
      </w:r>
      <w:r w:rsidR="00DE1A3B">
        <w:rPr>
          <w:bCs/>
          <w:color w:val="000000"/>
          <w:sz w:val="24"/>
          <w:szCs w:val="24"/>
        </w:rPr>
        <w:t xml:space="preserve"> y en ese orden</w:t>
      </w:r>
      <w:r w:rsidR="003C4A9F">
        <w:rPr>
          <w:bCs/>
          <w:color w:val="000000"/>
          <w:sz w:val="24"/>
          <w:szCs w:val="24"/>
        </w:rPr>
        <w:t xml:space="preserve">, </w:t>
      </w:r>
      <w:r>
        <w:rPr>
          <w:bCs/>
          <w:color w:val="000000"/>
          <w:sz w:val="24"/>
          <w:szCs w:val="24"/>
        </w:rPr>
        <w:t>las cotizaciones realizadas al referido fondo se dirigen a sufragar tanto la pensión de invalidez como la pensión de jubilación.</w:t>
      </w:r>
    </w:p>
    <w:p w:rsidR="00DE79FD" w:rsidRDefault="00DE79FD" w:rsidP="00331291">
      <w:pPr>
        <w:rPr>
          <w:bCs/>
          <w:color w:val="000000"/>
          <w:sz w:val="24"/>
          <w:szCs w:val="24"/>
        </w:rPr>
      </w:pPr>
    </w:p>
    <w:p w:rsidR="00790867" w:rsidRDefault="006460A7" w:rsidP="00331291">
      <w:pPr>
        <w:rPr>
          <w:bCs/>
          <w:color w:val="000000"/>
          <w:sz w:val="24"/>
          <w:szCs w:val="24"/>
        </w:rPr>
      </w:pPr>
      <w:r>
        <w:rPr>
          <w:bCs/>
          <w:color w:val="000000"/>
          <w:sz w:val="24"/>
          <w:szCs w:val="24"/>
        </w:rPr>
        <w:t>1.2.</w:t>
      </w:r>
      <w:r w:rsidR="00790867">
        <w:rPr>
          <w:bCs/>
          <w:color w:val="000000"/>
          <w:sz w:val="24"/>
          <w:szCs w:val="24"/>
        </w:rPr>
        <w:t>6</w:t>
      </w:r>
      <w:r>
        <w:rPr>
          <w:bCs/>
          <w:color w:val="000000"/>
          <w:sz w:val="24"/>
          <w:szCs w:val="24"/>
        </w:rPr>
        <w:t>.</w:t>
      </w:r>
      <w:r w:rsidR="00E651AA">
        <w:rPr>
          <w:bCs/>
          <w:color w:val="000000"/>
          <w:sz w:val="24"/>
          <w:szCs w:val="24"/>
        </w:rPr>
        <w:t>2</w:t>
      </w:r>
      <w:r w:rsidR="00C63ECF">
        <w:rPr>
          <w:bCs/>
          <w:color w:val="000000"/>
          <w:sz w:val="24"/>
          <w:szCs w:val="24"/>
        </w:rPr>
        <w:t>. Conforme</w:t>
      </w:r>
      <w:r w:rsidR="00790867">
        <w:rPr>
          <w:bCs/>
          <w:color w:val="000000"/>
          <w:sz w:val="24"/>
          <w:szCs w:val="24"/>
        </w:rPr>
        <w:t xml:space="preserve"> a las pruebas allegadas al proceso, quedó establecido que:</w:t>
      </w:r>
    </w:p>
    <w:p w:rsidR="00790867" w:rsidRDefault="00790867" w:rsidP="00331291">
      <w:pPr>
        <w:rPr>
          <w:bCs/>
          <w:color w:val="000000"/>
          <w:sz w:val="24"/>
          <w:szCs w:val="24"/>
        </w:rPr>
      </w:pPr>
    </w:p>
    <w:p w:rsidR="006460A7" w:rsidRDefault="00790867" w:rsidP="00331291">
      <w:pPr>
        <w:rPr>
          <w:bCs/>
          <w:color w:val="000000"/>
          <w:sz w:val="24"/>
          <w:szCs w:val="24"/>
        </w:rPr>
      </w:pPr>
      <w:r>
        <w:rPr>
          <w:bCs/>
          <w:color w:val="000000"/>
          <w:sz w:val="24"/>
          <w:szCs w:val="24"/>
        </w:rPr>
        <w:t>1.2.6.</w:t>
      </w:r>
      <w:r w:rsidR="00E651AA">
        <w:rPr>
          <w:bCs/>
          <w:color w:val="000000"/>
          <w:sz w:val="24"/>
          <w:szCs w:val="24"/>
        </w:rPr>
        <w:t>2</w:t>
      </w:r>
      <w:r>
        <w:rPr>
          <w:bCs/>
          <w:color w:val="000000"/>
          <w:sz w:val="24"/>
          <w:szCs w:val="24"/>
        </w:rPr>
        <w:t>.1. Colpensiones mediante Resolución número GNR 318145 del 11 de septiembre de 2014 le reconoció la pensión de vejez a la señora Clemencia Rodríguez Espinoza efectiva a partir del 28 de enero de 2014, en cuantía de $872.164</w:t>
      </w:r>
      <w:r w:rsidR="003C4A9F">
        <w:rPr>
          <w:bCs/>
          <w:color w:val="000000"/>
          <w:sz w:val="24"/>
          <w:szCs w:val="24"/>
        </w:rPr>
        <w:t>,</w:t>
      </w:r>
      <w:r>
        <w:rPr>
          <w:bCs/>
          <w:color w:val="000000"/>
          <w:sz w:val="24"/>
          <w:szCs w:val="24"/>
        </w:rPr>
        <w:t xml:space="preserve"> conforme a lo dispuesto en el Decreto 758 de 1994 y en virtud del régimen de transición de la Ley 100 de 1993</w:t>
      </w:r>
      <w:r w:rsidR="00FF4B93">
        <w:rPr>
          <w:bCs/>
          <w:color w:val="000000"/>
          <w:sz w:val="24"/>
          <w:szCs w:val="24"/>
        </w:rPr>
        <w:t>.</w:t>
      </w:r>
    </w:p>
    <w:p w:rsidR="00790867" w:rsidRDefault="00790867" w:rsidP="00331291">
      <w:pPr>
        <w:rPr>
          <w:bCs/>
          <w:color w:val="000000"/>
          <w:sz w:val="24"/>
          <w:szCs w:val="24"/>
        </w:rPr>
      </w:pPr>
    </w:p>
    <w:p w:rsidR="00790867" w:rsidRDefault="00790867" w:rsidP="00331291">
      <w:pPr>
        <w:rPr>
          <w:bCs/>
          <w:color w:val="000000"/>
          <w:sz w:val="24"/>
          <w:szCs w:val="24"/>
        </w:rPr>
      </w:pPr>
      <w:r>
        <w:rPr>
          <w:bCs/>
          <w:color w:val="000000"/>
          <w:sz w:val="24"/>
          <w:szCs w:val="24"/>
        </w:rPr>
        <w:t xml:space="preserve">Para lo anterior, la entidad tuvo en cuenta las semanas laboradas al Instituto Social de la </w:t>
      </w:r>
      <w:r w:rsidR="00DB2300">
        <w:rPr>
          <w:bCs/>
          <w:color w:val="000000"/>
          <w:sz w:val="24"/>
          <w:szCs w:val="24"/>
        </w:rPr>
        <w:t>Mujer</w:t>
      </w:r>
      <w:r>
        <w:rPr>
          <w:bCs/>
          <w:color w:val="000000"/>
          <w:sz w:val="24"/>
          <w:szCs w:val="24"/>
        </w:rPr>
        <w:t xml:space="preserve">, </w:t>
      </w:r>
      <w:proofErr w:type="spellStart"/>
      <w:r>
        <w:rPr>
          <w:bCs/>
          <w:color w:val="000000"/>
          <w:sz w:val="24"/>
          <w:szCs w:val="24"/>
        </w:rPr>
        <w:t>Impolaf</w:t>
      </w:r>
      <w:proofErr w:type="spellEnd"/>
      <w:r>
        <w:rPr>
          <w:bCs/>
          <w:color w:val="000000"/>
          <w:sz w:val="24"/>
          <w:szCs w:val="24"/>
        </w:rPr>
        <w:t xml:space="preserve"> LTDA, Universidad de Bogotá Jorge Tadeo Lozano, Universidad de San Buenaventura, Fundación Universitaria de Bogotá y los aportes efectuados por la demandante como independiente. </w:t>
      </w:r>
    </w:p>
    <w:p w:rsidR="00FF4B93" w:rsidRDefault="00FF4B93" w:rsidP="00331291">
      <w:pPr>
        <w:rPr>
          <w:bCs/>
          <w:color w:val="000000"/>
          <w:sz w:val="24"/>
          <w:szCs w:val="24"/>
        </w:rPr>
      </w:pPr>
    </w:p>
    <w:p w:rsidR="005A540B" w:rsidRDefault="00790867" w:rsidP="00331291">
      <w:pPr>
        <w:rPr>
          <w:bCs/>
          <w:color w:val="000000"/>
          <w:sz w:val="24"/>
          <w:szCs w:val="24"/>
        </w:rPr>
      </w:pPr>
      <w:r>
        <w:rPr>
          <w:bCs/>
          <w:color w:val="000000"/>
          <w:sz w:val="24"/>
          <w:szCs w:val="24"/>
        </w:rPr>
        <w:t>1.2.6.</w:t>
      </w:r>
      <w:r w:rsidR="00E651AA">
        <w:rPr>
          <w:bCs/>
          <w:color w:val="000000"/>
          <w:sz w:val="24"/>
          <w:szCs w:val="24"/>
        </w:rPr>
        <w:t>2</w:t>
      </w:r>
      <w:r>
        <w:rPr>
          <w:bCs/>
          <w:color w:val="000000"/>
          <w:sz w:val="24"/>
          <w:szCs w:val="24"/>
        </w:rPr>
        <w:t xml:space="preserve">.2. El </w:t>
      </w:r>
      <w:r w:rsidR="000E71BE">
        <w:rPr>
          <w:bCs/>
          <w:color w:val="000000"/>
          <w:sz w:val="24"/>
          <w:szCs w:val="24"/>
        </w:rPr>
        <w:t xml:space="preserve">Fondo Nacional de prestaciones Sociales del Magisterio — en adelante </w:t>
      </w:r>
      <w:r>
        <w:rPr>
          <w:bCs/>
          <w:color w:val="000000"/>
          <w:sz w:val="24"/>
          <w:szCs w:val="24"/>
        </w:rPr>
        <w:t>FNPSM</w:t>
      </w:r>
      <w:r w:rsidR="000E71BE">
        <w:rPr>
          <w:bCs/>
          <w:color w:val="000000"/>
          <w:sz w:val="24"/>
          <w:szCs w:val="24"/>
        </w:rPr>
        <w:t>—,</w:t>
      </w:r>
      <w:r>
        <w:rPr>
          <w:bCs/>
          <w:color w:val="000000"/>
          <w:sz w:val="24"/>
          <w:szCs w:val="24"/>
        </w:rPr>
        <w:t xml:space="preserve"> mediante Resolución número 1484 del 11 de marzo de 2015 le reconoció la pensión de invalidez a la señora Rodríguez Espinosa efectiva a partir del 27 de noviembre de 2014, en cuantía de $2.287.925, conforme </w:t>
      </w:r>
      <w:r w:rsidR="009F2FAE">
        <w:rPr>
          <w:bCs/>
          <w:color w:val="000000"/>
          <w:sz w:val="24"/>
          <w:szCs w:val="24"/>
        </w:rPr>
        <w:t>con</w:t>
      </w:r>
      <w:r>
        <w:rPr>
          <w:bCs/>
          <w:color w:val="000000"/>
          <w:sz w:val="24"/>
          <w:szCs w:val="24"/>
        </w:rPr>
        <w:t xml:space="preserve"> lo dispuesto en los Decretos 3135 de 1968 y 1848 de 1969 por haber resultado una pérdida de capacidad laboral del 80% de origen profesional.</w:t>
      </w:r>
    </w:p>
    <w:p w:rsidR="00DB2300" w:rsidRDefault="00DB2300" w:rsidP="00331291">
      <w:pPr>
        <w:rPr>
          <w:bCs/>
          <w:color w:val="000000"/>
          <w:sz w:val="24"/>
          <w:szCs w:val="24"/>
        </w:rPr>
      </w:pPr>
    </w:p>
    <w:p w:rsidR="00FF4B93" w:rsidRDefault="00FF4B93" w:rsidP="00331291">
      <w:pPr>
        <w:rPr>
          <w:bCs/>
          <w:color w:val="000000"/>
          <w:sz w:val="24"/>
          <w:szCs w:val="24"/>
        </w:rPr>
      </w:pPr>
      <w:r>
        <w:rPr>
          <w:bCs/>
          <w:color w:val="000000"/>
          <w:sz w:val="24"/>
          <w:szCs w:val="24"/>
        </w:rPr>
        <w:t>1.2.</w:t>
      </w:r>
      <w:r w:rsidR="00790867">
        <w:rPr>
          <w:bCs/>
          <w:color w:val="000000"/>
          <w:sz w:val="24"/>
          <w:szCs w:val="24"/>
        </w:rPr>
        <w:t>6.</w:t>
      </w:r>
      <w:r w:rsidR="00E651AA">
        <w:rPr>
          <w:bCs/>
          <w:color w:val="000000"/>
          <w:sz w:val="24"/>
          <w:szCs w:val="24"/>
        </w:rPr>
        <w:t>3</w:t>
      </w:r>
      <w:r>
        <w:rPr>
          <w:bCs/>
          <w:color w:val="000000"/>
          <w:sz w:val="24"/>
          <w:szCs w:val="24"/>
        </w:rPr>
        <w:t xml:space="preserve">. </w:t>
      </w:r>
      <w:r w:rsidR="00790867">
        <w:rPr>
          <w:bCs/>
          <w:color w:val="000000"/>
          <w:sz w:val="24"/>
          <w:szCs w:val="24"/>
        </w:rPr>
        <w:t xml:space="preserve">Las normas en virtud de las cuales le fue reconocida </w:t>
      </w:r>
      <w:r w:rsidR="003C4A9F">
        <w:rPr>
          <w:bCs/>
          <w:color w:val="000000"/>
          <w:sz w:val="24"/>
          <w:szCs w:val="24"/>
        </w:rPr>
        <w:t xml:space="preserve">a la demandante </w:t>
      </w:r>
      <w:r w:rsidR="00790867">
        <w:rPr>
          <w:bCs/>
          <w:color w:val="000000"/>
          <w:sz w:val="24"/>
          <w:szCs w:val="24"/>
        </w:rPr>
        <w:t>la pensión de invalidez y de vejez</w:t>
      </w:r>
      <w:r w:rsidR="003C4A9F">
        <w:rPr>
          <w:bCs/>
          <w:color w:val="000000"/>
          <w:sz w:val="24"/>
          <w:szCs w:val="24"/>
        </w:rPr>
        <w:t>,</w:t>
      </w:r>
      <w:r w:rsidR="00790867">
        <w:rPr>
          <w:bCs/>
          <w:color w:val="000000"/>
          <w:sz w:val="24"/>
          <w:szCs w:val="24"/>
        </w:rPr>
        <w:t xml:space="preserve"> disponen la incompatibilidad de estas prestaciones sociales</w:t>
      </w:r>
      <w:r w:rsidR="003C4A9F">
        <w:rPr>
          <w:bCs/>
          <w:color w:val="000000"/>
          <w:sz w:val="24"/>
          <w:szCs w:val="24"/>
        </w:rPr>
        <w:t xml:space="preserve">, esto es, en </w:t>
      </w:r>
      <w:r w:rsidR="00790867">
        <w:rPr>
          <w:bCs/>
          <w:color w:val="000000"/>
          <w:sz w:val="24"/>
          <w:szCs w:val="24"/>
        </w:rPr>
        <w:t xml:space="preserve">los artículos 31 del Decreto 3135 de 1968, 88 del Decreto 1848 de 1969 y 13 de la Ley 100 de 1993. </w:t>
      </w:r>
    </w:p>
    <w:p w:rsidR="00790867" w:rsidRDefault="00790867" w:rsidP="00331291">
      <w:pPr>
        <w:rPr>
          <w:bCs/>
          <w:color w:val="000000"/>
          <w:sz w:val="24"/>
          <w:szCs w:val="24"/>
        </w:rPr>
      </w:pPr>
    </w:p>
    <w:p w:rsidR="00790867" w:rsidRDefault="00790867" w:rsidP="00331291">
      <w:pPr>
        <w:rPr>
          <w:bCs/>
          <w:color w:val="000000"/>
          <w:sz w:val="24"/>
          <w:szCs w:val="24"/>
        </w:rPr>
      </w:pPr>
      <w:r>
        <w:rPr>
          <w:bCs/>
          <w:color w:val="000000"/>
          <w:sz w:val="24"/>
          <w:szCs w:val="24"/>
        </w:rPr>
        <w:t xml:space="preserve">En ese sentido, si bien las dos prestaciones no tienen origen en una misma relación laboral, lo cierto es que, la finalidad de ambas es análoga, pues cubren la pérdida de capacidad de trabajo. </w:t>
      </w:r>
    </w:p>
    <w:p w:rsidR="00470291" w:rsidRDefault="00470291" w:rsidP="00331291">
      <w:pPr>
        <w:rPr>
          <w:bCs/>
          <w:color w:val="000000"/>
          <w:sz w:val="24"/>
          <w:szCs w:val="24"/>
        </w:rPr>
      </w:pPr>
    </w:p>
    <w:p w:rsidR="00790867" w:rsidRDefault="00790867" w:rsidP="00331291">
      <w:pPr>
        <w:rPr>
          <w:bCs/>
          <w:color w:val="000000"/>
          <w:sz w:val="24"/>
          <w:szCs w:val="24"/>
        </w:rPr>
      </w:pPr>
      <w:r>
        <w:rPr>
          <w:bCs/>
          <w:color w:val="000000"/>
          <w:sz w:val="24"/>
          <w:szCs w:val="24"/>
        </w:rPr>
        <w:t>1.2.6.</w:t>
      </w:r>
      <w:r w:rsidR="00E651AA">
        <w:rPr>
          <w:bCs/>
          <w:color w:val="000000"/>
          <w:sz w:val="24"/>
          <w:szCs w:val="24"/>
        </w:rPr>
        <w:t>4</w:t>
      </w:r>
      <w:r>
        <w:rPr>
          <w:bCs/>
          <w:color w:val="000000"/>
          <w:sz w:val="24"/>
          <w:szCs w:val="24"/>
        </w:rPr>
        <w:t>. No obstante, la pensión de invalidez reconocida a la accionada por el FNPSM tiene origen en una enfermedad laboral, por lo que, la demandante tiene derecho a que Colpensiones —siendo la entidad a la que cotizó para la pensión de jubilación—, le otorgue la indemnización sustitutiva prevista en el artículo 37 de la Ley 100 de 1993, si así lo requiere</w:t>
      </w:r>
      <w:r w:rsidR="00C63ECF">
        <w:rPr>
          <w:bCs/>
          <w:color w:val="000000"/>
          <w:sz w:val="24"/>
          <w:szCs w:val="24"/>
        </w:rPr>
        <w:t xml:space="preserve"> y siempre que cumpla con las exigencias legales requeridas para tal fin. </w:t>
      </w:r>
    </w:p>
    <w:p w:rsidR="00C63ECF" w:rsidRDefault="00C63ECF" w:rsidP="00331291">
      <w:pPr>
        <w:rPr>
          <w:bCs/>
          <w:color w:val="000000"/>
          <w:sz w:val="24"/>
          <w:szCs w:val="24"/>
        </w:rPr>
      </w:pPr>
    </w:p>
    <w:p w:rsidR="00C63ECF" w:rsidRDefault="00C63ECF" w:rsidP="00331291">
      <w:pPr>
        <w:rPr>
          <w:bCs/>
          <w:color w:val="000000"/>
          <w:sz w:val="24"/>
          <w:szCs w:val="24"/>
        </w:rPr>
      </w:pPr>
      <w:r>
        <w:rPr>
          <w:bCs/>
          <w:color w:val="000000"/>
          <w:sz w:val="24"/>
          <w:szCs w:val="24"/>
        </w:rPr>
        <w:t>1.2.6.</w:t>
      </w:r>
      <w:r w:rsidR="00E651AA">
        <w:rPr>
          <w:bCs/>
          <w:color w:val="000000"/>
          <w:sz w:val="24"/>
          <w:szCs w:val="24"/>
        </w:rPr>
        <w:t>5</w:t>
      </w:r>
      <w:r>
        <w:rPr>
          <w:bCs/>
          <w:color w:val="000000"/>
          <w:sz w:val="24"/>
          <w:szCs w:val="24"/>
        </w:rPr>
        <w:t xml:space="preserve">. De las pruebas aportadas al expediente no es posible establecer que la señora Rodríguez Espinosa desplegó una conducta fraudulenta, maliciosa o deshonesta, o que llevó a cabo comportamientos que comprometieran su lealtad, rectitud y honestidad, pues si bien Colpensiones le informó que su pensión de vejez era incompatible con la pensión de invalidez reconocida por el FSPM, lo cierto es que, solo la autoridad judicial tiene la potestad de declarar que tales prestaciones son incompatibles, por lo que la demandada estaba en su derecho de esperar a que el conflicto judicial fuera resuelto. Por lo tanto, no hay lugar a recuperar las prestaciones periódicas que fueron pagadas a la demandada por concepto de pensión de vejez, pues se presume que fueron recibidas de buena fe y no se logró demostrar lo contrario. </w:t>
      </w:r>
    </w:p>
    <w:p w:rsidR="00790867" w:rsidRDefault="00790867" w:rsidP="00331291">
      <w:pPr>
        <w:rPr>
          <w:bCs/>
          <w:color w:val="000000"/>
          <w:sz w:val="24"/>
          <w:szCs w:val="24"/>
        </w:rPr>
      </w:pPr>
    </w:p>
    <w:p w:rsidR="00DB2300" w:rsidRDefault="00DB2300" w:rsidP="00331291">
      <w:pPr>
        <w:rPr>
          <w:bCs/>
          <w:color w:val="000000"/>
          <w:sz w:val="24"/>
          <w:szCs w:val="24"/>
        </w:rPr>
      </w:pPr>
    </w:p>
    <w:p w:rsidR="00DB2300" w:rsidRDefault="00DB2300" w:rsidP="00331291">
      <w:pPr>
        <w:rPr>
          <w:bCs/>
          <w:color w:val="000000"/>
          <w:sz w:val="24"/>
          <w:szCs w:val="24"/>
        </w:rPr>
      </w:pPr>
    </w:p>
    <w:p w:rsidR="00DB2300" w:rsidRDefault="00DB2300" w:rsidP="00331291">
      <w:pPr>
        <w:rPr>
          <w:bCs/>
          <w:color w:val="000000"/>
          <w:sz w:val="24"/>
          <w:szCs w:val="24"/>
        </w:rPr>
      </w:pPr>
    </w:p>
    <w:p w:rsidR="00DB2300" w:rsidRDefault="00DB2300" w:rsidP="00331291">
      <w:pPr>
        <w:rPr>
          <w:bCs/>
          <w:color w:val="000000"/>
          <w:sz w:val="24"/>
          <w:szCs w:val="24"/>
        </w:rPr>
      </w:pPr>
    </w:p>
    <w:p w:rsidR="003E02F0" w:rsidRPr="00F02330" w:rsidRDefault="003E02F0" w:rsidP="00331291">
      <w:pPr>
        <w:overflowPunct w:val="0"/>
        <w:autoSpaceDE w:val="0"/>
        <w:autoSpaceDN w:val="0"/>
        <w:adjustRightInd w:val="0"/>
        <w:contextualSpacing/>
        <w:rPr>
          <w:rFonts w:eastAsia="Times New Roman"/>
          <w:b/>
          <w:sz w:val="24"/>
          <w:szCs w:val="24"/>
          <w:lang w:eastAsia="es-ES"/>
        </w:rPr>
      </w:pPr>
      <w:r w:rsidRPr="00F02330">
        <w:rPr>
          <w:rFonts w:eastAsia="Times New Roman"/>
          <w:b/>
          <w:sz w:val="24"/>
          <w:szCs w:val="24"/>
          <w:lang w:eastAsia="es-ES"/>
        </w:rPr>
        <w:lastRenderedPageBreak/>
        <w:t>1.3. Pretensiones de tutela</w:t>
      </w:r>
    </w:p>
    <w:p w:rsidR="003E02F0" w:rsidRPr="00F02330" w:rsidRDefault="003E02F0" w:rsidP="00331291">
      <w:pPr>
        <w:contextualSpacing/>
        <w:rPr>
          <w:rFonts w:eastAsia="Verdana"/>
          <w:sz w:val="24"/>
          <w:szCs w:val="24"/>
        </w:rPr>
      </w:pPr>
    </w:p>
    <w:p w:rsidR="003E02F0" w:rsidRDefault="005E5CD3" w:rsidP="00331291">
      <w:pPr>
        <w:contextualSpacing/>
        <w:rPr>
          <w:rFonts w:eastAsia="Verdana"/>
          <w:color w:val="000000"/>
          <w:sz w:val="24"/>
          <w:szCs w:val="24"/>
        </w:rPr>
      </w:pPr>
      <w:r>
        <w:rPr>
          <w:bCs/>
          <w:color w:val="000000"/>
          <w:sz w:val="24"/>
          <w:szCs w:val="24"/>
        </w:rPr>
        <w:t>Clemencia Rodríguez Espinoza</w:t>
      </w:r>
      <w:r w:rsidR="003E02F0" w:rsidRPr="003E02F0">
        <w:rPr>
          <w:color w:val="000000"/>
          <w:sz w:val="24"/>
          <w:szCs w:val="24"/>
        </w:rPr>
        <w:t xml:space="preserve"> </w:t>
      </w:r>
      <w:r w:rsidR="003E02F0" w:rsidRPr="003E02F0">
        <w:rPr>
          <w:rFonts w:eastAsia="Verdana"/>
          <w:color w:val="000000"/>
          <w:sz w:val="24"/>
          <w:szCs w:val="24"/>
        </w:rPr>
        <w:t>en su escrito de tutela p</w:t>
      </w:r>
      <w:r w:rsidR="0061287B">
        <w:rPr>
          <w:rFonts w:eastAsia="Verdana"/>
          <w:color w:val="000000"/>
          <w:sz w:val="24"/>
          <w:szCs w:val="24"/>
        </w:rPr>
        <w:t>id</w:t>
      </w:r>
      <w:r w:rsidR="00F1524D">
        <w:rPr>
          <w:rFonts w:eastAsia="Verdana"/>
          <w:color w:val="000000"/>
          <w:sz w:val="24"/>
          <w:szCs w:val="24"/>
        </w:rPr>
        <w:t>ió</w:t>
      </w:r>
      <w:r w:rsidR="00475DBD">
        <w:rPr>
          <w:rStyle w:val="Refdenotaalpie"/>
          <w:rFonts w:eastAsia="Verdana"/>
          <w:color w:val="000000"/>
          <w:sz w:val="24"/>
          <w:szCs w:val="24"/>
        </w:rPr>
        <w:footnoteReference w:id="10"/>
      </w:r>
      <w:r w:rsidR="003E02F0" w:rsidRPr="003E02F0">
        <w:rPr>
          <w:rFonts w:eastAsia="Verdana"/>
          <w:color w:val="000000"/>
          <w:sz w:val="24"/>
          <w:szCs w:val="24"/>
        </w:rPr>
        <w:t xml:space="preserve">: </w:t>
      </w:r>
    </w:p>
    <w:p w:rsidR="00EB37E2" w:rsidRDefault="00EB37E2" w:rsidP="00331291">
      <w:pPr>
        <w:contextualSpacing/>
        <w:rPr>
          <w:rFonts w:eastAsia="Verdana"/>
          <w:color w:val="000000"/>
          <w:sz w:val="24"/>
          <w:szCs w:val="24"/>
        </w:rPr>
      </w:pPr>
    </w:p>
    <w:p w:rsidR="005E5CD3" w:rsidRDefault="00FD1D2D" w:rsidP="00331291">
      <w:pPr>
        <w:ind w:left="709"/>
        <w:rPr>
          <w:rFonts w:eastAsia="Verdana"/>
          <w:b/>
          <w:bCs/>
          <w:color w:val="000000"/>
          <w:sz w:val="22"/>
          <w:szCs w:val="22"/>
        </w:rPr>
      </w:pPr>
      <w:r w:rsidRPr="009614CF">
        <w:rPr>
          <w:rFonts w:eastAsia="Verdana"/>
          <w:color w:val="000000"/>
          <w:sz w:val="22"/>
          <w:szCs w:val="22"/>
        </w:rPr>
        <w:t>“</w:t>
      </w:r>
      <w:r w:rsidR="005E5CD3">
        <w:rPr>
          <w:rFonts w:eastAsia="Verdana"/>
          <w:b/>
          <w:bCs/>
          <w:color w:val="000000"/>
          <w:sz w:val="22"/>
          <w:szCs w:val="22"/>
        </w:rPr>
        <w:t xml:space="preserve">PRIMERO: </w:t>
      </w:r>
      <w:r w:rsidR="00130A93">
        <w:rPr>
          <w:rFonts w:eastAsia="Verdana"/>
          <w:b/>
          <w:bCs/>
          <w:color w:val="000000"/>
          <w:sz w:val="22"/>
          <w:szCs w:val="22"/>
        </w:rPr>
        <w:t xml:space="preserve">(…) </w:t>
      </w:r>
      <w:r w:rsidR="005E5CD3">
        <w:rPr>
          <w:rFonts w:eastAsia="Verdana"/>
          <w:b/>
          <w:bCs/>
          <w:color w:val="000000"/>
          <w:sz w:val="22"/>
          <w:szCs w:val="22"/>
        </w:rPr>
        <w:t xml:space="preserve">SE DEJE SIN EFECTOS </w:t>
      </w:r>
      <w:r w:rsidR="005E5CD3">
        <w:rPr>
          <w:rFonts w:eastAsia="Verdana"/>
          <w:color w:val="000000"/>
          <w:sz w:val="22"/>
          <w:szCs w:val="22"/>
        </w:rPr>
        <w:t xml:space="preserve">la sentencia emitida por el </w:t>
      </w:r>
      <w:r w:rsidR="005E5CD3">
        <w:rPr>
          <w:rFonts w:eastAsia="Verdana"/>
          <w:b/>
          <w:bCs/>
          <w:color w:val="000000"/>
          <w:sz w:val="22"/>
          <w:szCs w:val="22"/>
        </w:rPr>
        <w:t xml:space="preserve">TRIBUNAL ADMINISTRATIVO DE CUNDINAMCARCA – SECCIÓN SEGUNDA – SUBSECCIÓN “E” </w:t>
      </w:r>
      <w:r w:rsidR="005E5CD3">
        <w:rPr>
          <w:rFonts w:eastAsia="Verdana"/>
          <w:color w:val="000000"/>
          <w:sz w:val="22"/>
          <w:szCs w:val="22"/>
        </w:rPr>
        <w:t xml:space="preserve">de fecha </w:t>
      </w:r>
      <w:r w:rsidR="005E5CD3">
        <w:rPr>
          <w:rFonts w:eastAsia="Verdana"/>
          <w:b/>
          <w:bCs/>
          <w:color w:val="000000"/>
          <w:sz w:val="22"/>
          <w:szCs w:val="22"/>
        </w:rPr>
        <w:t xml:space="preserve">29 de </w:t>
      </w:r>
      <w:r w:rsidR="00130A93">
        <w:rPr>
          <w:rFonts w:eastAsia="Verdana"/>
          <w:b/>
          <w:bCs/>
          <w:color w:val="000000"/>
          <w:sz w:val="22"/>
          <w:szCs w:val="22"/>
        </w:rPr>
        <w:t>a</w:t>
      </w:r>
      <w:r w:rsidR="005E5CD3">
        <w:rPr>
          <w:rFonts w:eastAsia="Verdana"/>
          <w:b/>
          <w:bCs/>
          <w:color w:val="000000"/>
          <w:sz w:val="22"/>
          <w:szCs w:val="22"/>
        </w:rPr>
        <w:t>bril de 222</w:t>
      </w:r>
      <w:r w:rsidR="005E5CD3">
        <w:rPr>
          <w:rFonts w:eastAsia="Verdana"/>
          <w:color w:val="000000"/>
          <w:sz w:val="22"/>
          <w:szCs w:val="22"/>
        </w:rPr>
        <w:t xml:space="preserve">, mediante la cual </w:t>
      </w:r>
      <w:r w:rsidR="005E5CD3">
        <w:rPr>
          <w:rFonts w:eastAsia="Verdana"/>
          <w:b/>
          <w:bCs/>
          <w:color w:val="000000"/>
          <w:sz w:val="22"/>
          <w:szCs w:val="22"/>
        </w:rPr>
        <w:t xml:space="preserve">REVOCA </w:t>
      </w:r>
      <w:r w:rsidR="005E5CD3">
        <w:rPr>
          <w:rFonts w:eastAsia="Verdana"/>
          <w:color w:val="000000"/>
          <w:sz w:val="22"/>
          <w:szCs w:val="22"/>
        </w:rPr>
        <w:t xml:space="preserve">la sentencia </w:t>
      </w:r>
      <w:r w:rsidR="005E5CD3">
        <w:rPr>
          <w:rFonts w:eastAsia="Verdana"/>
          <w:b/>
          <w:bCs/>
          <w:color w:val="000000"/>
          <w:sz w:val="22"/>
          <w:szCs w:val="22"/>
        </w:rPr>
        <w:t xml:space="preserve">23 de </w:t>
      </w:r>
      <w:r w:rsidR="00130A93">
        <w:rPr>
          <w:rFonts w:eastAsia="Verdana"/>
          <w:b/>
          <w:bCs/>
          <w:color w:val="000000"/>
          <w:sz w:val="22"/>
          <w:szCs w:val="22"/>
        </w:rPr>
        <w:t>o</w:t>
      </w:r>
      <w:r w:rsidR="005E5CD3">
        <w:rPr>
          <w:rFonts w:eastAsia="Verdana"/>
          <w:b/>
          <w:bCs/>
          <w:color w:val="000000"/>
          <w:sz w:val="22"/>
          <w:szCs w:val="22"/>
        </w:rPr>
        <w:t xml:space="preserve">ctubre de 2019 </w:t>
      </w:r>
      <w:r w:rsidR="005E5CD3">
        <w:rPr>
          <w:rFonts w:eastAsia="Verdana"/>
          <w:color w:val="000000"/>
          <w:sz w:val="22"/>
          <w:szCs w:val="22"/>
        </w:rPr>
        <w:t xml:space="preserve">proferida por el </w:t>
      </w:r>
      <w:r w:rsidR="005E5CD3">
        <w:rPr>
          <w:rFonts w:eastAsia="Verdana"/>
          <w:b/>
          <w:bCs/>
          <w:color w:val="000000"/>
          <w:sz w:val="22"/>
          <w:szCs w:val="22"/>
        </w:rPr>
        <w:t>Juzgado Quince (15) Administrativo de Oralidad del Circuito Judicial de Bogotá – Sección Segunda.</w:t>
      </w:r>
    </w:p>
    <w:p w:rsidR="005E5CD3" w:rsidRDefault="005E5CD3" w:rsidP="00331291">
      <w:pPr>
        <w:ind w:left="709"/>
        <w:rPr>
          <w:rFonts w:eastAsia="Verdana"/>
          <w:b/>
          <w:bCs/>
          <w:color w:val="000000"/>
          <w:sz w:val="22"/>
          <w:szCs w:val="22"/>
        </w:rPr>
      </w:pPr>
    </w:p>
    <w:p w:rsidR="005E5CD3" w:rsidRPr="009F2FAE" w:rsidRDefault="005E5CD3" w:rsidP="009F2FAE">
      <w:pPr>
        <w:ind w:left="709"/>
        <w:rPr>
          <w:rFonts w:eastAsia="Verdana"/>
          <w:b/>
          <w:bCs/>
          <w:color w:val="000000"/>
          <w:sz w:val="22"/>
          <w:szCs w:val="22"/>
        </w:rPr>
      </w:pPr>
      <w:r>
        <w:rPr>
          <w:rFonts w:eastAsia="Verdana"/>
          <w:b/>
          <w:bCs/>
          <w:color w:val="000000"/>
          <w:sz w:val="22"/>
          <w:szCs w:val="22"/>
        </w:rPr>
        <w:t xml:space="preserve">SEGUNDO: </w:t>
      </w:r>
      <w:r w:rsidR="00130A93">
        <w:rPr>
          <w:rFonts w:eastAsia="Verdana"/>
          <w:b/>
          <w:bCs/>
          <w:color w:val="000000"/>
          <w:sz w:val="22"/>
          <w:szCs w:val="22"/>
        </w:rPr>
        <w:t xml:space="preserve">(…) </w:t>
      </w:r>
      <w:r>
        <w:rPr>
          <w:rFonts w:eastAsia="Verdana"/>
          <w:color w:val="000000"/>
          <w:sz w:val="22"/>
          <w:szCs w:val="22"/>
        </w:rPr>
        <w:t xml:space="preserve">se </w:t>
      </w:r>
      <w:r>
        <w:rPr>
          <w:rFonts w:eastAsia="Verdana"/>
          <w:b/>
          <w:bCs/>
          <w:color w:val="000000"/>
          <w:sz w:val="22"/>
          <w:szCs w:val="22"/>
        </w:rPr>
        <w:t xml:space="preserve">ORDENE </w:t>
      </w:r>
      <w:r>
        <w:rPr>
          <w:rFonts w:eastAsia="Verdana"/>
          <w:color w:val="000000"/>
          <w:sz w:val="22"/>
          <w:szCs w:val="22"/>
        </w:rPr>
        <w:t xml:space="preserve">al </w:t>
      </w:r>
      <w:r>
        <w:rPr>
          <w:rFonts w:eastAsia="Verdana"/>
          <w:b/>
          <w:bCs/>
          <w:color w:val="000000"/>
          <w:sz w:val="22"/>
          <w:szCs w:val="22"/>
        </w:rPr>
        <w:t xml:space="preserve">TRIBUNAL ADMINISTRATIVO DE CUNDINAMARCA – SECCIÓN SEGUNDA – SUBSECCIÓN “E” a proferir sentencia de fondo </w:t>
      </w:r>
      <w:r>
        <w:rPr>
          <w:rFonts w:eastAsia="Verdana"/>
          <w:color w:val="000000"/>
          <w:sz w:val="22"/>
          <w:szCs w:val="22"/>
        </w:rPr>
        <w:t xml:space="preserve">teniendo en cuenta la jurisprudencia de la Honorable Corte Suprema de Justicia sobre la Compatibilidad Pensional y por tanto se </w:t>
      </w:r>
      <w:r>
        <w:rPr>
          <w:rFonts w:eastAsia="Verdana"/>
          <w:b/>
          <w:bCs/>
          <w:color w:val="000000"/>
          <w:sz w:val="22"/>
          <w:szCs w:val="22"/>
        </w:rPr>
        <w:t xml:space="preserve">CONFIRME </w:t>
      </w:r>
      <w:r>
        <w:rPr>
          <w:rFonts w:eastAsia="Verdana"/>
          <w:color w:val="000000"/>
          <w:sz w:val="22"/>
          <w:szCs w:val="22"/>
        </w:rPr>
        <w:t xml:space="preserve">el fallo proferido el 23 de </w:t>
      </w:r>
      <w:r w:rsidR="00130A93">
        <w:rPr>
          <w:rFonts w:eastAsia="Verdana"/>
          <w:color w:val="000000"/>
          <w:sz w:val="22"/>
          <w:szCs w:val="22"/>
        </w:rPr>
        <w:t>o</w:t>
      </w:r>
      <w:r>
        <w:rPr>
          <w:rFonts w:eastAsia="Verdana"/>
          <w:color w:val="000000"/>
          <w:sz w:val="22"/>
          <w:szCs w:val="22"/>
        </w:rPr>
        <w:t xml:space="preserve">ctubre de 2019 por el </w:t>
      </w:r>
      <w:r>
        <w:rPr>
          <w:rFonts w:eastAsia="Verdana"/>
          <w:b/>
          <w:bCs/>
          <w:color w:val="000000"/>
          <w:sz w:val="22"/>
          <w:szCs w:val="22"/>
        </w:rPr>
        <w:t xml:space="preserve">Juzgado Quince (15) Administrativo del Circuito Judicial de Bogotá </w:t>
      </w:r>
      <w:r>
        <w:rPr>
          <w:rFonts w:eastAsia="Verdana"/>
          <w:color w:val="000000"/>
          <w:sz w:val="22"/>
          <w:szCs w:val="22"/>
        </w:rPr>
        <w:t>mediante el cual se negaron las pretensiones de la demanda.</w:t>
      </w:r>
    </w:p>
    <w:p w:rsidR="005E5CD3" w:rsidRDefault="005E5CD3" w:rsidP="00331291">
      <w:pPr>
        <w:ind w:left="709"/>
        <w:rPr>
          <w:rFonts w:eastAsia="Verdana"/>
          <w:color w:val="000000"/>
          <w:sz w:val="22"/>
          <w:szCs w:val="22"/>
        </w:rPr>
      </w:pPr>
    </w:p>
    <w:p w:rsidR="00EB37E2" w:rsidRPr="009614CF" w:rsidRDefault="005E5CD3" w:rsidP="00331291">
      <w:pPr>
        <w:ind w:left="709"/>
        <w:rPr>
          <w:rFonts w:eastAsia="Verdana"/>
          <w:color w:val="000000"/>
          <w:sz w:val="22"/>
          <w:szCs w:val="22"/>
        </w:rPr>
      </w:pPr>
      <w:r>
        <w:rPr>
          <w:rFonts w:eastAsia="Verdana"/>
          <w:b/>
          <w:bCs/>
          <w:color w:val="000000"/>
          <w:sz w:val="22"/>
          <w:szCs w:val="22"/>
        </w:rPr>
        <w:t xml:space="preserve">TERCERO: </w:t>
      </w:r>
      <w:r w:rsidR="00130A93">
        <w:rPr>
          <w:rFonts w:eastAsia="Verdana"/>
          <w:b/>
          <w:bCs/>
          <w:color w:val="000000"/>
          <w:sz w:val="22"/>
          <w:szCs w:val="22"/>
        </w:rPr>
        <w:t xml:space="preserve">(…) </w:t>
      </w:r>
      <w:r>
        <w:rPr>
          <w:rFonts w:eastAsia="Verdana"/>
          <w:color w:val="000000"/>
          <w:sz w:val="22"/>
          <w:szCs w:val="22"/>
        </w:rPr>
        <w:t xml:space="preserve">oficiar al </w:t>
      </w:r>
      <w:r>
        <w:rPr>
          <w:rFonts w:eastAsia="Verdana"/>
          <w:b/>
          <w:bCs/>
          <w:color w:val="000000"/>
          <w:sz w:val="22"/>
          <w:szCs w:val="22"/>
        </w:rPr>
        <w:t xml:space="preserve">Juzgado Quince (15) Administrativo Circuito Judicial de Bogotá – Sección Segunda </w:t>
      </w:r>
      <w:r>
        <w:rPr>
          <w:rFonts w:eastAsia="Verdana"/>
          <w:color w:val="000000"/>
          <w:sz w:val="22"/>
          <w:szCs w:val="22"/>
        </w:rPr>
        <w:t xml:space="preserve">para que allegue en su integridad </w:t>
      </w:r>
      <w:r>
        <w:rPr>
          <w:rFonts w:eastAsia="Verdana"/>
          <w:b/>
          <w:bCs/>
          <w:color w:val="000000"/>
          <w:sz w:val="22"/>
          <w:szCs w:val="22"/>
        </w:rPr>
        <w:t xml:space="preserve">11001-33-35-015-2018-00187-01, </w:t>
      </w:r>
      <w:r>
        <w:rPr>
          <w:rFonts w:eastAsia="Verdana"/>
          <w:color w:val="000000"/>
          <w:sz w:val="22"/>
          <w:szCs w:val="22"/>
        </w:rPr>
        <w:t>en dado caso de que el expediente administrativo haya sido devuelto al</w:t>
      </w:r>
      <w:r w:rsidR="009F2FAE">
        <w:rPr>
          <w:rFonts w:eastAsia="Verdana"/>
          <w:color w:val="000000"/>
          <w:sz w:val="22"/>
          <w:szCs w:val="22"/>
        </w:rPr>
        <w:t xml:space="preserve"> juzgado de origen</w:t>
      </w:r>
      <w:r w:rsidR="00EB37E2" w:rsidRPr="009614CF">
        <w:rPr>
          <w:rFonts w:eastAsia="Verdana"/>
          <w:color w:val="000000"/>
          <w:sz w:val="22"/>
          <w:szCs w:val="22"/>
        </w:rPr>
        <w:t>”</w:t>
      </w:r>
      <w:r w:rsidR="00EB37E2" w:rsidRPr="009614CF">
        <w:rPr>
          <w:rStyle w:val="Refdenotaalpie"/>
          <w:rFonts w:eastAsia="Verdana"/>
          <w:color w:val="000000"/>
          <w:sz w:val="22"/>
          <w:szCs w:val="22"/>
        </w:rPr>
        <w:footnoteReference w:id="11"/>
      </w:r>
      <w:r w:rsidR="00926C90" w:rsidRPr="009614CF">
        <w:rPr>
          <w:rFonts w:eastAsia="Verdana"/>
          <w:color w:val="000000"/>
          <w:sz w:val="22"/>
          <w:szCs w:val="22"/>
        </w:rPr>
        <w:t>.</w:t>
      </w:r>
    </w:p>
    <w:p w:rsidR="000A511D" w:rsidRPr="003E02F0" w:rsidRDefault="000A511D" w:rsidP="00331291">
      <w:pPr>
        <w:contextualSpacing/>
        <w:rPr>
          <w:rFonts w:eastAsia="Verdana"/>
          <w:color w:val="000000"/>
          <w:sz w:val="24"/>
          <w:szCs w:val="24"/>
        </w:rPr>
      </w:pPr>
    </w:p>
    <w:p w:rsidR="003E02F0" w:rsidRPr="003E02F0" w:rsidRDefault="003E02F0" w:rsidP="00331291">
      <w:pPr>
        <w:overflowPunct w:val="0"/>
        <w:autoSpaceDE w:val="0"/>
        <w:autoSpaceDN w:val="0"/>
        <w:adjustRightInd w:val="0"/>
        <w:contextualSpacing/>
        <w:rPr>
          <w:color w:val="000000"/>
          <w:sz w:val="24"/>
          <w:szCs w:val="24"/>
        </w:rPr>
      </w:pPr>
      <w:r w:rsidRPr="003E02F0">
        <w:rPr>
          <w:rFonts w:eastAsia="Arial Unicode MS"/>
          <w:b/>
          <w:color w:val="000000"/>
          <w:sz w:val="24"/>
          <w:szCs w:val="24"/>
        </w:rPr>
        <w:t>1.4. Argumentos de la solicitud de tutela</w:t>
      </w:r>
    </w:p>
    <w:p w:rsidR="003E02F0" w:rsidRPr="003E02F0" w:rsidRDefault="003E02F0" w:rsidP="00331291">
      <w:pPr>
        <w:overflowPunct w:val="0"/>
        <w:autoSpaceDE w:val="0"/>
        <w:autoSpaceDN w:val="0"/>
        <w:adjustRightInd w:val="0"/>
        <w:contextualSpacing/>
        <w:rPr>
          <w:color w:val="000000"/>
          <w:sz w:val="24"/>
          <w:szCs w:val="24"/>
        </w:rPr>
      </w:pPr>
    </w:p>
    <w:p w:rsidR="004F6210" w:rsidRDefault="00FB33CD" w:rsidP="00331291">
      <w:pPr>
        <w:overflowPunct w:val="0"/>
        <w:autoSpaceDE w:val="0"/>
        <w:autoSpaceDN w:val="0"/>
        <w:adjustRightInd w:val="0"/>
        <w:rPr>
          <w:color w:val="000000"/>
          <w:sz w:val="24"/>
          <w:szCs w:val="24"/>
        </w:rPr>
      </w:pPr>
      <w:r>
        <w:rPr>
          <w:color w:val="000000"/>
          <w:sz w:val="24"/>
          <w:szCs w:val="24"/>
        </w:rPr>
        <w:t xml:space="preserve">1.4.1. </w:t>
      </w:r>
      <w:r w:rsidR="0004084C">
        <w:rPr>
          <w:color w:val="000000"/>
          <w:sz w:val="24"/>
          <w:szCs w:val="24"/>
        </w:rPr>
        <w:t xml:space="preserve">La </w:t>
      </w:r>
      <w:r>
        <w:rPr>
          <w:color w:val="000000"/>
          <w:sz w:val="24"/>
          <w:szCs w:val="24"/>
        </w:rPr>
        <w:t>accionante</w:t>
      </w:r>
      <w:r w:rsidR="00581C86">
        <w:rPr>
          <w:color w:val="000000"/>
          <w:sz w:val="24"/>
          <w:szCs w:val="24"/>
        </w:rPr>
        <w:t xml:space="preserve"> manifestó que </w:t>
      </w:r>
      <w:bookmarkStart w:id="1" w:name="_Hlk81280383"/>
      <w:r w:rsidR="0087418C">
        <w:rPr>
          <w:color w:val="000000"/>
          <w:sz w:val="24"/>
          <w:szCs w:val="24"/>
        </w:rPr>
        <w:t>la autoridad cuestionada en la sentencia objeto de tutela, vulneró</w:t>
      </w:r>
      <w:r w:rsidR="009D3936">
        <w:rPr>
          <w:color w:val="000000"/>
          <w:sz w:val="24"/>
          <w:szCs w:val="24"/>
        </w:rPr>
        <w:t xml:space="preserve"> sus derechos fundamentales</w:t>
      </w:r>
      <w:r w:rsidR="00E76C33">
        <w:rPr>
          <w:color w:val="000000"/>
          <w:sz w:val="24"/>
          <w:szCs w:val="24"/>
        </w:rPr>
        <w:t xml:space="preserve"> a la igualdad, </w:t>
      </w:r>
      <w:r w:rsidR="00130A93">
        <w:rPr>
          <w:color w:val="000000"/>
          <w:sz w:val="24"/>
          <w:szCs w:val="24"/>
        </w:rPr>
        <w:t xml:space="preserve">al </w:t>
      </w:r>
      <w:r w:rsidR="00E76C33">
        <w:rPr>
          <w:color w:val="000000"/>
          <w:sz w:val="24"/>
          <w:szCs w:val="24"/>
        </w:rPr>
        <w:t xml:space="preserve">debido proceso y </w:t>
      </w:r>
      <w:r w:rsidR="00130A93">
        <w:rPr>
          <w:color w:val="000000"/>
          <w:sz w:val="24"/>
          <w:szCs w:val="24"/>
        </w:rPr>
        <w:t xml:space="preserve">a </w:t>
      </w:r>
      <w:r w:rsidR="00E76C33">
        <w:rPr>
          <w:color w:val="000000"/>
          <w:sz w:val="24"/>
          <w:szCs w:val="24"/>
        </w:rPr>
        <w:t xml:space="preserve">los principios constitucionales de favorabilidad en materia laboral, </w:t>
      </w:r>
      <w:r w:rsidR="00130A93">
        <w:rPr>
          <w:color w:val="000000"/>
          <w:sz w:val="24"/>
          <w:szCs w:val="24"/>
        </w:rPr>
        <w:t xml:space="preserve">a la </w:t>
      </w:r>
      <w:r w:rsidR="00E76C33">
        <w:rPr>
          <w:color w:val="000000"/>
          <w:sz w:val="24"/>
          <w:szCs w:val="24"/>
        </w:rPr>
        <w:t>seguridad jurídica e irretroactividad de la ley y</w:t>
      </w:r>
      <w:r w:rsidR="0004084C">
        <w:rPr>
          <w:color w:val="000000"/>
          <w:sz w:val="24"/>
          <w:szCs w:val="24"/>
        </w:rPr>
        <w:t>,</w:t>
      </w:r>
      <w:r w:rsidR="009D3936">
        <w:rPr>
          <w:color w:val="000000"/>
          <w:sz w:val="24"/>
          <w:szCs w:val="24"/>
        </w:rPr>
        <w:t xml:space="preserve"> </w:t>
      </w:r>
      <w:r w:rsidR="0004084C">
        <w:rPr>
          <w:color w:val="000000"/>
          <w:sz w:val="24"/>
          <w:szCs w:val="24"/>
        </w:rPr>
        <w:t>adujo</w:t>
      </w:r>
      <w:r w:rsidR="00E76C33">
        <w:rPr>
          <w:color w:val="000000"/>
          <w:sz w:val="24"/>
          <w:szCs w:val="24"/>
        </w:rPr>
        <w:t xml:space="preserve"> que para el caso concreto incurrió en los siguientes defectos</w:t>
      </w:r>
      <w:r w:rsidR="003F245D">
        <w:rPr>
          <w:rStyle w:val="Refdenotaalpie"/>
          <w:color w:val="000000"/>
          <w:sz w:val="24"/>
          <w:szCs w:val="24"/>
        </w:rPr>
        <w:footnoteReference w:id="12"/>
      </w:r>
      <w:r w:rsidR="00186DA6">
        <w:rPr>
          <w:color w:val="000000"/>
          <w:sz w:val="24"/>
          <w:szCs w:val="24"/>
        </w:rPr>
        <w:t>:</w:t>
      </w:r>
      <w:r w:rsidR="00244530">
        <w:rPr>
          <w:color w:val="000000"/>
          <w:sz w:val="24"/>
          <w:szCs w:val="24"/>
        </w:rPr>
        <w:t xml:space="preserve"> </w:t>
      </w:r>
      <w:bookmarkEnd w:id="1"/>
    </w:p>
    <w:p w:rsidR="009D3936" w:rsidRDefault="009D3936" w:rsidP="00331291">
      <w:pPr>
        <w:overflowPunct w:val="0"/>
        <w:autoSpaceDE w:val="0"/>
        <w:autoSpaceDN w:val="0"/>
        <w:adjustRightInd w:val="0"/>
        <w:rPr>
          <w:color w:val="000000"/>
          <w:sz w:val="24"/>
          <w:szCs w:val="24"/>
        </w:rPr>
      </w:pPr>
    </w:p>
    <w:p w:rsidR="00E76C33" w:rsidRDefault="00E76C33" w:rsidP="00E76C33">
      <w:pPr>
        <w:overflowPunct w:val="0"/>
        <w:autoSpaceDE w:val="0"/>
        <w:autoSpaceDN w:val="0"/>
        <w:adjustRightInd w:val="0"/>
        <w:ind w:left="708"/>
        <w:rPr>
          <w:color w:val="000000"/>
          <w:sz w:val="22"/>
          <w:szCs w:val="22"/>
        </w:rPr>
      </w:pPr>
      <w:r w:rsidRPr="00E76C33">
        <w:rPr>
          <w:color w:val="000000"/>
          <w:sz w:val="22"/>
          <w:szCs w:val="22"/>
        </w:rPr>
        <w:t>“</w:t>
      </w:r>
      <w:r w:rsidRPr="00E76C33">
        <w:rPr>
          <w:b/>
          <w:bCs/>
          <w:color w:val="000000"/>
          <w:sz w:val="22"/>
          <w:szCs w:val="22"/>
        </w:rPr>
        <w:t xml:space="preserve">Defecto material o sustantivo: </w:t>
      </w:r>
      <w:r w:rsidRPr="00E76C33">
        <w:rPr>
          <w:color w:val="000000"/>
          <w:sz w:val="22"/>
          <w:szCs w:val="22"/>
        </w:rPr>
        <w:t xml:space="preserve">Porque al proferirse la sentencia en cuestión, estas se decidieron con base en la inapropiada aplicación de la jurisprudencia que al respecto ha sentado el Consejo de Estado puesto que los casos que han sido objeto de la misma, resulta siendo el Fondo Nacional de prestaciones sociales del Magisterio a quien se le está solicitando en reconocimiento de la pensión de vejez y la de invalidez concurriendo claramente en una incompatibilidad, </w:t>
      </w:r>
      <w:r w:rsidRPr="00E76C33">
        <w:rPr>
          <w:b/>
          <w:bCs/>
          <w:color w:val="000000"/>
          <w:sz w:val="22"/>
          <w:szCs w:val="22"/>
        </w:rPr>
        <w:t xml:space="preserve">QUE PARA EL CASO EN CONCRETO SON HECHOS COMPLETAMENTE DIFERENTES </w:t>
      </w:r>
      <w:r w:rsidRPr="00E76C33">
        <w:rPr>
          <w:color w:val="000000"/>
          <w:sz w:val="22"/>
          <w:szCs w:val="22"/>
        </w:rPr>
        <w:t xml:space="preserve">puesto que mi representado percibe dichas prestaciones (vejez </w:t>
      </w:r>
      <w:proofErr w:type="spellStart"/>
      <w:r w:rsidRPr="00E76C33">
        <w:rPr>
          <w:color w:val="000000"/>
          <w:sz w:val="22"/>
          <w:szCs w:val="22"/>
        </w:rPr>
        <w:t>y</w:t>
      </w:r>
      <w:proofErr w:type="spellEnd"/>
      <w:r w:rsidRPr="00E76C33">
        <w:rPr>
          <w:color w:val="000000"/>
          <w:sz w:val="22"/>
          <w:szCs w:val="22"/>
        </w:rPr>
        <w:t xml:space="preserve"> invalidez) por entidades completamente diferentes como lo son la </w:t>
      </w:r>
      <w:r w:rsidRPr="00E76C33">
        <w:rPr>
          <w:b/>
          <w:bCs/>
          <w:color w:val="000000"/>
          <w:sz w:val="22"/>
          <w:szCs w:val="22"/>
        </w:rPr>
        <w:t xml:space="preserve">ADMINSTRADORA COLOMBIANA DE PENSIONES – COLPENSIONES Y EL FONDO NACIONAL DE PRESTACIONES SOCIALES DEL MAGISTERIO, gozando de CONTEXTOS FACTICOS Y JURIDICOS DIFERENTES </w:t>
      </w:r>
      <w:r w:rsidRPr="00E76C33">
        <w:rPr>
          <w:color w:val="000000"/>
          <w:sz w:val="22"/>
          <w:szCs w:val="22"/>
        </w:rPr>
        <w:t>a los analizados por el Consejo de Estado en la jurisprudencia que sirvió de base para el fallo de segunda instancia.</w:t>
      </w:r>
    </w:p>
    <w:p w:rsidR="00E76C33" w:rsidRDefault="00E76C33" w:rsidP="00E76C33">
      <w:pPr>
        <w:overflowPunct w:val="0"/>
        <w:autoSpaceDE w:val="0"/>
        <w:autoSpaceDN w:val="0"/>
        <w:adjustRightInd w:val="0"/>
        <w:ind w:left="708"/>
        <w:rPr>
          <w:color w:val="000000"/>
          <w:sz w:val="22"/>
          <w:szCs w:val="22"/>
        </w:rPr>
      </w:pPr>
    </w:p>
    <w:p w:rsidR="00E76C33" w:rsidRPr="00E76C33" w:rsidRDefault="00E76C33" w:rsidP="00E76C33">
      <w:pPr>
        <w:overflowPunct w:val="0"/>
        <w:autoSpaceDE w:val="0"/>
        <w:autoSpaceDN w:val="0"/>
        <w:adjustRightInd w:val="0"/>
        <w:ind w:left="708"/>
        <w:rPr>
          <w:color w:val="000000"/>
          <w:sz w:val="22"/>
          <w:szCs w:val="22"/>
        </w:rPr>
      </w:pPr>
      <w:r>
        <w:rPr>
          <w:b/>
          <w:bCs/>
          <w:color w:val="000000"/>
          <w:sz w:val="22"/>
          <w:szCs w:val="22"/>
        </w:rPr>
        <w:t xml:space="preserve">Del precedente judicial: </w:t>
      </w:r>
      <w:r>
        <w:rPr>
          <w:color w:val="000000"/>
          <w:sz w:val="22"/>
          <w:szCs w:val="22"/>
        </w:rPr>
        <w:t>Se incurre en esta causal en la providencia impugnada mediante esta acción, al desconocer el precedente judicial existente sobre esta materia, tal como se expresa a lo largo de esta acción, con lo cual además se defrauda el principio de confianza legítima en las decisiones judiciales</w:t>
      </w:r>
    </w:p>
    <w:p w:rsidR="00E76C33" w:rsidRDefault="00E76C33" w:rsidP="00331291">
      <w:pPr>
        <w:overflowPunct w:val="0"/>
        <w:autoSpaceDE w:val="0"/>
        <w:autoSpaceDN w:val="0"/>
        <w:adjustRightInd w:val="0"/>
        <w:rPr>
          <w:color w:val="000000"/>
          <w:sz w:val="24"/>
          <w:szCs w:val="24"/>
        </w:rPr>
      </w:pPr>
    </w:p>
    <w:p w:rsidR="009D3936" w:rsidRPr="00E76C33" w:rsidRDefault="00E76C33" w:rsidP="00E76C33">
      <w:pPr>
        <w:overflowPunct w:val="0"/>
        <w:autoSpaceDE w:val="0"/>
        <w:autoSpaceDN w:val="0"/>
        <w:adjustRightInd w:val="0"/>
        <w:ind w:left="708"/>
        <w:rPr>
          <w:color w:val="000000"/>
          <w:sz w:val="22"/>
          <w:szCs w:val="22"/>
        </w:rPr>
      </w:pPr>
      <w:r w:rsidRPr="00E76C33">
        <w:rPr>
          <w:b/>
          <w:bCs/>
          <w:color w:val="000000"/>
          <w:sz w:val="22"/>
          <w:szCs w:val="22"/>
        </w:rPr>
        <w:t>Desde la sentencia</w:t>
      </w:r>
      <w:r w:rsidRPr="00E76C33">
        <w:rPr>
          <w:color w:val="000000"/>
          <w:sz w:val="22"/>
          <w:szCs w:val="22"/>
        </w:rPr>
        <w:t xml:space="preserve"> </w:t>
      </w:r>
      <w:r w:rsidR="000E71BE" w:rsidRPr="00E76C33">
        <w:rPr>
          <w:b/>
          <w:bCs/>
          <w:color w:val="000000"/>
          <w:sz w:val="22"/>
          <w:szCs w:val="22"/>
        </w:rPr>
        <w:t xml:space="preserve">CSJ SL, 1.o dic. 2009, rad. 33558, reiterada en CSJ SL 153-2014, CSJ SL 9282-2014, CSJ SL10250-2014, CSJ SL17433-2014, CSJ SL17447-2014, CSJ SL 2096-2015, CSJ SL12155 de 2015, CSJ SL18072-2016, CSJ </w:t>
      </w:r>
      <w:r w:rsidR="000E71BE" w:rsidRPr="00E76C33">
        <w:rPr>
          <w:b/>
          <w:bCs/>
          <w:color w:val="000000"/>
          <w:sz w:val="22"/>
          <w:szCs w:val="22"/>
        </w:rPr>
        <w:lastRenderedPageBreak/>
        <w:t xml:space="preserve">SL1764-2018, CSJ SL1244-2019, CSJ 3869 del 2021 </w:t>
      </w:r>
      <w:r w:rsidRPr="00E76C33">
        <w:rPr>
          <w:b/>
          <w:bCs/>
          <w:color w:val="000000"/>
          <w:sz w:val="22"/>
          <w:szCs w:val="22"/>
        </w:rPr>
        <w:t>en donde se mantiene el criterio de que las pensiones de invalidez de origen laboral y de jubilación o vejez son compatibles puesto que cubren riesgos distintos, tienen fuentes de financiación autónomas y una reglamentación distinta.</w:t>
      </w:r>
      <w:r w:rsidR="000E71BE" w:rsidRPr="00E76C33">
        <w:rPr>
          <w:color w:val="000000"/>
          <w:sz w:val="22"/>
          <w:szCs w:val="22"/>
        </w:rPr>
        <w:t>”</w:t>
      </w:r>
      <w:r w:rsidR="000E71BE" w:rsidRPr="00E76C33">
        <w:rPr>
          <w:rStyle w:val="Refdenotaalpie"/>
          <w:color w:val="000000"/>
          <w:sz w:val="22"/>
          <w:szCs w:val="22"/>
        </w:rPr>
        <w:footnoteReference w:id="13"/>
      </w:r>
      <w:r w:rsidR="000E71BE" w:rsidRPr="00E76C33">
        <w:rPr>
          <w:color w:val="000000"/>
          <w:sz w:val="22"/>
          <w:szCs w:val="22"/>
        </w:rPr>
        <w:t>.</w:t>
      </w:r>
    </w:p>
    <w:p w:rsidR="009F5B85" w:rsidRDefault="009F5B85" w:rsidP="00331291">
      <w:pPr>
        <w:overflowPunct w:val="0"/>
        <w:autoSpaceDE w:val="0"/>
        <w:autoSpaceDN w:val="0"/>
        <w:adjustRightInd w:val="0"/>
        <w:contextualSpacing/>
        <w:rPr>
          <w:b/>
          <w:color w:val="000000"/>
          <w:sz w:val="24"/>
          <w:szCs w:val="24"/>
        </w:rPr>
      </w:pPr>
    </w:p>
    <w:p w:rsidR="00020B48" w:rsidRPr="003E02F0" w:rsidRDefault="00020B48" w:rsidP="00331291">
      <w:pPr>
        <w:overflowPunct w:val="0"/>
        <w:autoSpaceDE w:val="0"/>
        <w:autoSpaceDN w:val="0"/>
        <w:adjustRightInd w:val="0"/>
        <w:contextualSpacing/>
        <w:rPr>
          <w:rFonts w:eastAsia="Times New Roman"/>
          <w:b/>
          <w:color w:val="000000"/>
          <w:sz w:val="24"/>
          <w:szCs w:val="24"/>
          <w:lang w:eastAsia="es-ES"/>
        </w:rPr>
      </w:pPr>
      <w:r w:rsidRPr="003E02F0">
        <w:rPr>
          <w:b/>
          <w:color w:val="000000"/>
          <w:sz w:val="24"/>
          <w:szCs w:val="24"/>
        </w:rPr>
        <w:t>1.</w:t>
      </w:r>
      <w:r>
        <w:rPr>
          <w:b/>
          <w:color w:val="000000"/>
          <w:sz w:val="24"/>
          <w:szCs w:val="24"/>
        </w:rPr>
        <w:t>4</w:t>
      </w:r>
      <w:r w:rsidRPr="003E02F0">
        <w:rPr>
          <w:b/>
          <w:color w:val="000000"/>
          <w:sz w:val="24"/>
          <w:szCs w:val="24"/>
        </w:rPr>
        <w:t xml:space="preserve">. Trámite de tutela e intervenciones </w:t>
      </w:r>
    </w:p>
    <w:p w:rsidR="009F5B85" w:rsidRDefault="009F5B85" w:rsidP="00331291">
      <w:pPr>
        <w:overflowPunct w:val="0"/>
        <w:autoSpaceDE w:val="0"/>
        <w:autoSpaceDN w:val="0"/>
        <w:adjustRightInd w:val="0"/>
        <w:rPr>
          <w:rFonts w:eastAsia="Verdana"/>
          <w:color w:val="000000"/>
          <w:sz w:val="24"/>
          <w:szCs w:val="24"/>
        </w:rPr>
      </w:pPr>
    </w:p>
    <w:p w:rsidR="00477E21" w:rsidRDefault="00020B48" w:rsidP="00331291">
      <w:pPr>
        <w:overflowPunct w:val="0"/>
        <w:autoSpaceDE w:val="0"/>
        <w:autoSpaceDN w:val="0"/>
        <w:adjustRightInd w:val="0"/>
        <w:rPr>
          <w:sz w:val="24"/>
          <w:szCs w:val="24"/>
          <w:lang w:val="es-ES"/>
        </w:rPr>
      </w:pPr>
      <w:r w:rsidRPr="00E9517E">
        <w:rPr>
          <w:rFonts w:eastAsia="Verdana"/>
          <w:color w:val="000000"/>
          <w:sz w:val="24"/>
          <w:szCs w:val="24"/>
        </w:rPr>
        <w:t>1.</w:t>
      </w:r>
      <w:r>
        <w:rPr>
          <w:rFonts w:eastAsia="Verdana"/>
          <w:color w:val="000000"/>
          <w:sz w:val="24"/>
          <w:szCs w:val="24"/>
        </w:rPr>
        <w:t>4</w:t>
      </w:r>
      <w:r w:rsidRPr="00E9517E">
        <w:rPr>
          <w:rFonts w:eastAsia="Verdana"/>
          <w:color w:val="000000"/>
          <w:sz w:val="24"/>
          <w:szCs w:val="24"/>
        </w:rPr>
        <w:t xml:space="preserve">.1. </w:t>
      </w:r>
      <w:r w:rsidRPr="00E9517E">
        <w:rPr>
          <w:rFonts w:eastAsia="Verdana"/>
          <w:sz w:val="24"/>
          <w:szCs w:val="24"/>
        </w:rPr>
        <w:t>El</w:t>
      </w:r>
      <w:r>
        <w:rPr>
          <w:rFonts w:eastAsia="Verdana"/>
          <w:sz w:val="24"/>
          <w:szCs w:val="24"/>
        </w:rPr>
        <w:t xml:space="preserve"> Despacho del magistrado ponente, con auto del </w:t>
      </w:r>
      <w:r w:rsidR="001E4567">
        <w:rPr>
          <w:rFonts w:eastAsia="Verdana"/>
          <w:sz w:val="24"/>
          <w:szCs w:val="24"/>
        </w:rPr>
        <w:t>29 de junio</w:t>
      </w:r>
      <w:r>
        <w:rPr>
          <w:rFonts w:eastAsia="Verdana"/>
          <w:sz w:val="24"/>
          <w:szCs w:val="24"/>
        </w:rPr>
        <w:t xml:space="preserve"> de 2022</w:t>
      </w:r>
      <w:r>
        <w:rPr>
          <w:rStyle w:val="Refdenotaalpie"/>
          <w:rFonts w:eastAsia="Verdana"/>
          <w:sz w:val="24"/>
          <w:szCs w:val="24"/>
        </w:rPr>
        <w:footnoteReference w:id="14"/>
      </w:r>
      <w:r>
        <w:rPr>
          <w:rFonts w:eastAsia="Verdana"/>
          <w:sz w:val="24"/>
          <w:szCs w:val="24"/>
        </w:rPr>
        <w:t>, admitió la acción</w:t>
      </w:r>
      <w:r w:rsidR="00000F4B">
        <w:rPr>
          <w:rFonts w:eastAsia="Verdana"/>
          <w:sz w:val="24"/>
          <w:szCs w:val="24"/>
        </w:rPr>
        <w:t xml:space="preserve"> </w:t>
      </w:r>
      <w:r w:rsidR="00DA484E">
        <w:rPr>
          <w:rFonts w:eastAsia="Verdana"/>
          <w:sz w:val="24"/>
          <w:szCs w:val="24"/>
        </w:rPr>
        <w:t>y vinculó</w:t>
      </w:r>
      <w:r>
        <w:rPr>
          <w:rFonts w:eastAsia="Verdana"/>
          <w:sz w:val="24"/>
          <w:szCs w:val="24"/>
        </w:rPr>
        <w:t xml:space="preserve"> </w:t>
      </w:r>
      <w:r>
        <w:rPr>
          <w:rFonts w:eastAsia="Verdana"/>
          <w:bCs/>
          <w:sz w:val="24"/>
          <w:szCs w:val="24"/>
        </w:rPr>
        <w:t>como terceros interesados</w:t>
      </w:r>
      <w:r w:rsidR="00150C6D">
        <w:rPr>
          <w:rFonts w:eastAsia="Verdana"/>
          <w:bCs/>
          <w:sz w:val="24"/>
          <w:szCs w:val="24"/>
        </w:rPr>
        <w:t xml:space="preserve"> </w:t>
      </w:r>
      <w:r w:rsidR="00150C6D">
        <w:rPr>
          <w:rStyle w:val="normaltextrun"/>
          <w:bCs/>
          <w:color w:val="000000"/>
          <w:sz w:val="24"/>
          <w:szCs w:val="24"/>
          <w:shd w:val="clear" w:color="auto" w:fill="FFFFFF"/>
        </w:rPr>
        <w:t xml:space="preserve">a la Administradora Colombiana de Pensiones – Colpensiones y al Juzgado </w:t>
      </w:r>
      <w:r w:rsidR="00150C6D">
        <w:rPr>
          <w:sz w:val="24"/>
          <w:szCs w:val="24"/>
        </w:rPr>
        <w:t>Quince Administrativo de Oralidad del Circuito Judicial de Bogotá D.C., Sección Segunda</w:t>
      </w:r>
      <w:r w:rsidR="00000F4B">
        <w:rPr>
          <w:rStyle w:val="normaltextrun"/>
          <w:rFonts w:eastAsia="Times New Roman"/>
          <w:bCs/>
          <w:color w:val="000000"/>
          <w:sz w:val="24"/>
          <w:szCs w:val="24"/>
          <w:shd w:val="clear" w:color="auto" w:fill="FFFFFF"/>
        </w:rPr>
        <w:t>,</w:t>
      </w:r>
      <w:r w:rsidR="000C082B">
        <w:rPr>
          <w:rStyle w:val="normaltextrun"/>
          <w:rFonts w:eastAsia="Times New Roman"/>
          <w:bCs/>
          <w:color w:val="000000"/>
          <w:sz w:val="24"/>
          <w:szCs w:val="24"/>
          <w:shd w:val="clear" w:color="auto" w:fill="FFFFFF"/>
        </w:rPr>
        <w:t xml:space="preserve"> </w:t>
      </w:r>
      <w:r w:rsidR="00000F4B" w:rsidRPr="00EE1DC9">
        <w:rPr>
          <w:rStyle w:val="normaltextrun"/>
          <w:rFonts w:eastAsia="Times New Roman"/>
          <w:bCs/>
          <w:color w:val="000000"/>
          <w:sz w:val="24"/>
          <w:szCs w:val="24"/>
          <w:shd w:val="clear" w:color="auto" w:fill="FFFFFF"/>
        </w:rPr>
        <w:t>a</w:t>
      </w:r>
      <w:r w:rsidR="00000F4B">
        <w:rPr>
          <w:rStyle w:val="normaltextrun"/>
          <w:rFonts w:eastAsia="Times New Roman"/>
          <w:bCs/>
          <w:color w:val="000000"/>
          <w:sz w:val="24"/>
          <w:szCs w:val="24"/>
          <w:shd w:val="clear" w:color="auto" w:fill="FFFFFF"/>
        </w:rPr>
        <w:t xml:space="preserve"> las partes, personas y/o </w:t>
      </w:r>
      <w:r w:rsidR="00000F4B">
        <w:rPr>
          <w:sz w:val="24"/>
          <w:szCs w:val="24"/>
        </w:rPr>
        <w:t>entidades</w:t>
      </w:r>
      <w:r w:rsidR="00000F4B" w:rsidRPr="00EE1DC9">
        <w:rPr>
          <w:sz w:val="24"/>
          <w:szCs w:val="24"/>
        </w:rPr>
        <w:t xml:space="preserve"> que </w:t>
      </w:r>
      <w:r w:rsidR="00000F4B">
        <w:rPr>
          <w:sz w:val="24"/>
          <w:szCs w:val="24"/>
        </w:rPr>
        <w:t xml:space="preserve">hubieran </w:t>
      </w:r>
      <w:r w:rsidR="00000F4B" w:rsidRPr="00EE1DC9">
        <w:rPr>
          <w:sz w:val="24"/>
          <w:szCs w:val="24"/>
        </w:rPr>
        <w:t xml:space="preserve">participado en el proceso ordinario con radicado </w:t>
      </w:r>
      <w:r w:rsidR="00000F4B">
        <w:rPr>
          <w:sz w:val="24"/>
          <w:szCs w:val="24"/>
        </w:rPr>
        <w:t xml:space="preserve">número </w:t>
      </w:r>
      <w:r w:rsidR="00150C6D">
        <w:rPr>
          <w:sz w:val="24"/>
          <w:szCs w:val="24"/>
        </w:rPr>
        <w:t>11001-33-35-015-2018-00187-00/01</w:t>
      </w:r>
      <w:r w:rsidR="00000F4B">
        <w:rPr>
          <w:sz w:val="24"/>
          <w:szCs w:val="24"/>
        </w:rPr>
        <w:t>.</w:t>
      </w:r>
      <w:r w:rsidR="00477E21">
        <w:rPr>
          <w:sz w:val="24"/>
          <w:szCs w:val="24"/>
        </w:rPr>
        <w:t xml:space="preserve"> </w:t>
      </w:r>
    </w:p>
    <w:p w:rsidR="00020B48" w:rsidRDefault="00020B48" w:rsidP="00331291">
      <w:pPr>
        <w:overflowPunct w:val="0"/>
        <w:autoSpaceDE w:val="0"/>
        <w:autoSpaceDN w:val="0"/>
        <w:adjustRightInd w:val="0"/>
        <w:rPr>
          <w:rFonts w:eastAsia="Verdana"/>
          <w:color w:val="000000"/>
          <w:sz w:val="24"/>
          <w:szCs w:val="24"/>
        </w:rPr>
      </w:pPr>
    </w:p>
    <w:p w:rsidR="00A251E9" w:rsidRDefault="00020B48" w:rsidP="00331291">
      <w:pPr>
        <w:pStyle w:val="p1"/>
        <w:jc w:val="both"/>
        <w:rPr>
          <w:rFonts w:ascii="Arial" w:hAnsi="Arial" w:cs="Arial"/>
          <w:color w:val="000000"/>
          <w:sz w:val="24"/>
          <w:szCs w:val="24"/>
        </w:rPr>
      </w:pPr>
      <w:r w:rsidRPr="00E9517E">
        <w:rPr>
          <w:rFonts w:ascii="Arial" w:eastAsia="Verdana" w:hAnsi="Arial" w:cs="Arial"/>
          <w:color w:val="000000"/>
          <w:sz w:val="24"/>
          <w:szCs w:val="24"/>
        </w:rPr>
        <w:t>1.</w:t>
      </w:r>
      <w:r>
        <w:rPr>
          <w:rFonts w:ascii="Arial" w:eastAsia="Verdana" w:hAnsi="Arial" w:cs="Arial"/>
          <w:color w:val="000000"/>
          <w:sz w:val="24"/>
          <w:szCs w:val="24"/>
        </w:rPr>
        <w:t>4</w:t>
      </w:r>
      <w:r w:rsidRPr="00E9517E">
        <w:rPr>
          <w:rFonts w:ascii="Arial" w:eastAsia="Verdana" w:hAnsi="Arial" w:cs="Arial"/>
          <w:color w:val="000000"/>
          <w:sz w:val="24"/>
          <w:szCs w:val="24"/>
        </w:rPr>
        <w:t xml:space="preserve">.2. Enviadas las notificaciones de rigor, recibió </w:t>
      </w:r>
      <w:r w:rsidR="00EA5BCF">
        <w:rPr>
          <w:rFonts w:ascii="Arial" w:eastAsia="Verdana" w:hAnsi="Arial" w:cs="Arial"/>
          <w:color w:val="000000"/>
          <w:sz w:val="24"/>
          <w:szCs w:val="24"/>
        </w:rPr>
        <w:t xml:space="preserve">respuesta del </w:t>
      </w:r>
      <w:r w:rsidR="00FD6873">
        <w:rPr>
          <w:rStyle w:val="normaltextrun"/>
          <w:bCs/>
          <w:color w:val="000000"/>
          <w:sz w:val="24"/>
          <w:szCs w:val="24"/>
          <w:shd w:val="clear" w:color="auto" w:fill="FFFFFF"/>
        </w:rPr>
        <w:t xml:space="preserve">Juzgado </w:t>
      </w:r>
      <w:r w:rsidR="00FD6873">
        <w:rPr>
          <w:sz w:val="24"/>
          <w:szCs w:val="24"/>
        </w:rPr>
        <w:t xml:space="preserve">Quince Administrativo de Oralidad del Circuito Judicial de Bogotá D.C., Sección Segunda </w:t>
      </w:r>
      <w:r w:rsidR="00DA484E">
        <w:rPr>
          <w:sz w:val="24"/>
          <w:szCs w:val="24"/>
        </w:rPr>
        <w:t>que, además, anexó el expediente del proceso ordinario</w:t>
      </w:r>
      <w:r w:rsidR="00782EAD">
        <w:rPr>
          <w:sz w:val="24"/>
          <w:szCs w:val="24"/>
        </w:rPr>
        <w:t xml:space="preserve">, </w:t>
      </w:r>
      <w:r w:rsidR="00480491">
        <w:rPr>
          <w:sz w:val="24"/>
          <w:szCs w:val="24"/>
        </w:rPr>
        <w:t xml:space="preserve">del </w:t>
      </w:r>
      <w:r w:rsidR="00480491">
        <w:rPr>
          <w:rFonts w:ascii="Arial" w:eastAsia="Verdana" w:hAnsi="Arial" w:cs="Arial"/>
          <w:color w:val="000000"/>
          <w:sz w:val="24"/>
          <w:szCs w:val="24"/>
        </w:rPr>
        <w:t xml:space="preserve">Tribunal Administrativo de Cundinamarca, Sección Segunda Subsección </w:t>
      </w:r>
      <w:r w:rsidR="00AA0847">
        <w:rPr>
          <w:rFonts w:ascii="Arial" w:eastAsia="Verdana" w:hAnsi="Arial" w:cs="Arial"/>
          <w:color w:val="000000"/>
          <w:sz w:val="24"/>
          <w:szCs w:val="24"/>
        </w:rPr>
        <w:t>E</w:t>
      </w:r>
      <w:r w:rsidR="00480491">
        <w:rPr>
          <w:rStyle w:val="Refdenotaalpie"/>
          <w:rFonts w:ascii="Arial" w:eastAsia="Verdana" w:hAnsi="Arial" w:cs="Arial"/>
          <w:color w:val="000000"/>
          <w:sz w:val="24"/>
          <w:szCs w:val="24"/>
        </w:rPr>
        <w:footnoteReference w:id="15"/>
      </w:r>
      <w:r w:rsidR="00782EAD">
        <w:rPr>
          <w:rFonts w:ascii="Arial" w:eastAsia="Verdana" w:hAnsi="Arial" w:cs="Arial"/>
          <w:color w:val="000000"/>
          <w:sz w:val="24"/>
          <w:szCs w:val="24"/>
        </w:rPr>
        <w:t xml:space="preserve"> y de la </w:t>
      </w:r>
      <w:r w:rsidR="00782EAD">
        <w:rPr>
          <w:rStyle w:val="normaltextrun"/>
          <w:bCs/>
          <w:color w:val="000000"/>
          <w:sz w:val="24"/>
          <w:szCs w:val="24"/>
          <w:shd w:val="clear" w:color="auto" w:fill="FFFFFF"/>
        </w:rPr>
        <w:t>Administradora Colombiana de Pensiones – Colpensiones</w:t>
      </w:r>
      <w:r w:rsidR="00782EAD">
        <w:rPr>
          <w:rStyle w:val="Refdenotaalpie"/>
          <w:bCs/>
          <w:color w:val="000000"/>
          <w:sz w:val="24"/>
          <w:szCs w:val="24"/>
          <w:shd w:val="clear" w:color="auto" w:fill="FFFFFF"/>
        </w:rPr>
        <w:footnoteReference w:id="16"/>
      </w:r>
      <w:r w:rsidR="00C64426">
        <w:rPr>
          <w:sz w:val="24"/>
          <w:szCs w:val="24"/>
        </w:rPr>
        <w:t>.</w:t>
      </w:r>
    </w:p>
    <w:p w:rsidR="00A251E9" w:rsidRDefault="00A251E9" w:rsidP="00331291">
      <w:pPr>
        <w:pStyle w:val="p1"/>
        <w:jc w:val="both"/>
        <w:rPr>
          <w:rFonts w:ascii="Arial" w:hAnsi="Arial" w:cs="Arial"/>
          <w:color w:val="000000"/>
          <w:sz w:val="24"/>
          <w:szCs w:val="24"/>
        </w:rPr>
      </w:pPr>
    </w:p>
    <w:p w:rsidR="00546FC1" w:rsidRDefault="00546FC1" w:rsidP="00331291">
      <w:pPr>
        <w:pStyle w:val="p1"/>
        <w:jc w:val="both"/>
        <w:rPr>
          <w:rFonts w:ascii="Arial" w:eastAsia="Verdana" w:hAnsi="Arial" w:cs="Arial"/>
          <w:color w:val="000000"/>
          <w:sz w:val="24"/>
          <w:szCs w:val="24"/>
        </w:rPr>
      </w:pPr>
      <w:r w:rsidRPr="00D87A6B">
        <w:rPr>
          <w:rFonts w:ascii="Arial" w:eastAsia="Verdana" w:hAnsi="Arial" w:cs="Arial"/>
          <w:color w:val="000000"/>
          <w:sz w:val="24"/>
          <w:szCs w:val="24"/>
        </w:rPr>
        <w:t>1.4.2.</w:t>
      </w:r>
      <w:r>
        <w:rPr>
          <w:rFonts w:ascii="Arial" w:eastAsia="Verdana" w:hAnsi="Arial" w:cs="Arial"/>
          <w:color w:val="000000"/>
          <w:sz w:val="24"/>
          <w:szCs w:val="24"/>
        </w:rPr>
        <w:t>1.</w:t>
      </w:r>
      <w:r w:rsidR="00FD6873" w:rsidRPr="00FD6873">
        <w:rPr>
          <w:rStyle w:val="normaltextrun"/>
          <w:bCs/>
          <w:color w:val="000000"/>
          <w:sz w:val="24"/>
          <w:szCs w:val="24"/>
          <w:shd w:val="clear" w:color="auto" w:fill="FFFFFF"/>
        </w:rPr>
        <w:t xml:space="preserve"> </w:t>
      </w:r>
      <w:r w:rsidR="00D824B6">
        <w:rPr>
          <w:rStyle w:val="normaltextrun"/>
          <w:bCs/>
          <w:color w:val="000000"/>
          <w:sz w:val="24"/>
          <w:szCs w:val="24"/>
          <w:shd w:val="clear" w:color="auto" w:fill="FFFFFF"/>
        </w:rPr>
        <w:t xml:space="preserve">El </w:t>
      </w:r>
      <w:r w:rsidR="00FD6873">
        <w:rPr>
          <w:rStyle w:val="normaltextrun"/>
          <w:bCs/>
          <w:color w:val="000000"/>
          <w:sz w:val="24"/>
          <w:szCs w:val="24"/>
          <w:shd w:val="clear" w:color="auto" w:fill="FFFFFF"/>
        </w:rPr>
        <w:t xml:space="preserve">Juzgado </w:t>
      </w:r>
      <w:r w:rsidR="00FD6873">
        <w:rPr>
          <w:sz w:val="24"/>
          <w:szCs w:val="24"/>
        </w:rPr>
        <w:t>Quince Administrativo de Oralidad del Circuito Judicial de Bogotá D.C., Sección Segunda</w:t>
      </w:r>
      <w:r>
        <w:rPr>
          <w:rFonts w:ascii="Arial" w:eastAsia="Verdana" w:hAnsi="Arial" w:cs="Arial"/>
          <w:color w:val="000000"/>
          <w:sz w:val="24"/>
          <w:szCs w:val="24"/>
        </w:rPr>
        <w:t xml:space="preserve"> a través del ponente de la decisión de primera instancia </w:t>
      </w:r>
      <w:r w:rsidR="00FD6873">
        <w:rPr>
          <w:rFonts w:ascii="Arial" w:eastAsia="Verdana" w:hAnsi="Arial" w:cs="Arial"/>
          <w:color w:val="000000"/>
          <w:sz w:val="24"/>
          <w:szCs w:val="24"/>
        </w:rPr>
        <w:t xml:space="preserve">manifestó que el asunto fue resuelto conforme a la normatividad y la jurisprudencia aplicable al caso concreto. </w:t>
      </w:r>
    </w:p>
    <w:p w:rsidR="00AA71D5" w:rsidRDefault="00AA71D5" w:rsidP="00331291">
      <w:pPr>
        <w:pStyle w:val="p1"/>
        <w:jc w:val="both"/>
        <w:rPr>
          <w:rFonts w:ascii="Arial" w:hAnsi="Arial" w:cs="Arial"/>
          <w:color w:val="000000"/>
          <w:sz w:val="24"/>
          <w:szCs w:val="24"/>
        </w:rPr>
      </w:pPr>
    </w:p>
    <w:p w:rsidR="00CE0910" w:rsidRDefault="00881B4D" w:rsidP="00331291">
      <w:pPr>
        <w:pStyle w:val="Prrafodelista"/>
        <w:tabs>
          <w:tab w:val="left" w:pos="567"/>
        </w:tabs>
        <w:ind w:left="0"/>
        <w:jc w:val="both"/>
        <w:rPr>
          <w:rFonts w:ascii="Arial" w:hAnsi="Arial" w:cs="Arial"/>
          <w:sz w:val="24"/>
          <w:szCs w:val="24"/>
        </w:rPr>
      </w:pPr>
      <w:r w:rsidRPr="00D87A6B">
        <w:rPr>
          <w:rFonts w:ascii="Arial" w:eastAsia="Verdana" w:hAnsi="Arial" w:cs="Arial"/>
          <w:color w:val="000000"/>
          <w:sz w:val="24"/>
          <w:szCs w:val="24"/>
        </w:rPr>
        <w:t>1.</w:t>
      </w:r>
      <w:r w:rsidR="00D87A6B" w:rsidRPr="00D87A6B">
        <w:rPr>
          <w:rFonts w:ascii="Arial" w:eastAsia="Verdana" w:hAnsi="Arial" w:cs="Arial"/>
          <w:color w:val="000000"/>
          <w:sz w:val="24"/>
          <w:szCs w:val="24"/>
        </w:rPr>
        <w:t>4</w:t>
      </w:r>
      <w:r w:rsidR="00015649" w:rsidRPr="00D87A6B">
        <w:rPr>
          <w:rFonts w:ascii="Arial" w:eastAsia="Verdana" w:hAnsi="Arial" w:cs="Arial"/>
          <w:color w:val="000000"/>
          <w:sz w:val="24"/>
          <w:szCs w:val="24"/>
        </w:rPr>
        <w:t>.</w:t>
      </w:r>
      <w:r w:rsidR="005A0F53" w:rsidRPr="00D87A6B">
        <w:rPr>
          <w:rFonts w:ascii="Arial" w:eastAsia="Verdana" w:hAnsi="Arial" w:cs="Arial"/>
          <w:color w:val="000000"/>
          <w:sz w:val="24"/>
          <w:szCs w:val="24"/>
        </w:rPr>
        <w:t>2.</w:t>
      </w:r>
      <w:r w:rsidR="00546FC1">
        <w:rPr>
          <w:rFonts w:ascii="Arial" w:eastAsia="Verdana" w:hAnsi="Arial" w:cs="Arial"/>
          <w:color w:val="000000"/>
          <w:sz w:val="24"/>
          <w:szCs w:val="24"/>
        </w:rPr>
        <w:t>2</w:t>
      </w:r>
      <w:r w:rsidR="00015649" w:rsidRPr="00D87A6B">
        <w:rPr>
          <w:rFonts w:ascii="Arial" w:eastAsia="Verdana" w:hAnsi="Arial" w:cs="Arial"/>
          <w:color w:val="000000"/>
          <w:sz w:val="24"/>
          <w:szCs w:val="24"/>
        </w:rPr>
        <w:t>.</w:t>
      </w:r>
      <w:r w:rsidR="00015649" w:rsidRPr="00015649">
        <w:rPr>
          <w:rFonts w:ascii="Arial" w:eastAsia="Verdana" w:hAnsi="Arial" w:cs="Arial"/>
          <w:color w:val="000000"/>
          <w:sz w:val="24"/>
          <w:szCs w:val="24"/>
        </w:rPr>
        <w:t xml:space="preserve"> </w:t>
      </w:r>
      <w:r w:rsidR="00D87A6B">
        <w:rPr>
          <w:rFonts w:ascii="Arial" w:eastAsia="Verdana" w:hAnsi="Arial" w:cs="Arial"/>
          <w:color w:val="000000"/>
          <w:sz w:val="24"/>
          <w:szCs w:val="24"/>
        </w:rPr>
        <w:t>El</w:t>
      </w:r>
      <w:r w:rsidR="00C64426" w:rsidRPr="00C64426">
        <w:rPr>
          <w:rFonts w:ascii="Arial" w:eastAsia="Verdana" w:hAnsi="Arial" w:cs="Arial"/>
          <w:color w:val="000000"/>
          <w:sz w:val="24"/>
          <w:szCs w:val="24"/>
        </w:rPr>
        <w:t xml:space="preserve"> </w:t>
      </w:r>
      <w:r w:rsidR="00C64426">
        <w:rPr>
          <w:rFonts w:ascii="Arial" w:eastAsia="Verdana" w:hAnsi="Arial" w:cs="Arial"/>
          <w:color w:val="000000"/>
          <w:sz w:val="24"/>
          <w:szCs w:val="24"/>
        </w:rPr>
        <w:t xml:space="preserve">Tribunal Administrativo de Cundinamarca, Sección Segunda Subsección </w:t>
      </w:r>
      <w:r w:rsidR="00FD6873">
        <w:rPr>
          <w:rFonts w:ascii="Arial" w:eastAsia="Verdana" w:hAnsi="Arial" w:cs="Arial"/>
          <w:color w:val="000000"/>
          <w:sz w:val="24"/>
          <w:szCs w:val="24"/>
        </w:rPr>
        <w:t>E</w:t>
      </w:r>
      <w:r w:rsidR="003F25F6">
        <w:rPr>
          <w:rFonts w:ascii="Arial" w:eastAsia="Verdana" w:hAnsi="Arial" w:cs="Arial"/>
          <w:color w:val="000000"/>
          <w:sz w:val="24"/>
          <w:szCs w:val="24"/>
        </w:rPr>
        <w:t xml:space="preserve"> a través del magistrado ponente de la decisión de segunda instancia</w:t>
      </w:r>
      <w:r w:rsidR="00015649">
        <w:t xml:space="preserve">, </w:t>
      </w:r>
      <w:r w:rsidR="005219F4">
        <w:rPr>
          <w:rFonts w:ascii="Arial" w:hAnsi="Arial" w:cs="Arial"/>
          <w:sz w:val="24"/>
          <w:szCs w:val="24"/>
        </w:rPr>
        <w:t>indicó</w:t>
      </w:r>
      <w:r w:rsidR="00537586">
        <w:rPr>
          <w:rFonts w:ascii="Arial" w:hAnsi="Arial" w:cs="Arial"/>
          <w:sz w:val="24"/>
          <w:szCs w:val="24"/>
        </w:rPr>
        <w:t xml:space="preserve"> que </w:t>
      </w:r>
      <w:r w:rsidR="003F25F6">
        <w:rPr>
          <w:rFonts w:ascii="Arial" w:hAnsi="Arial" w:cs="Arial"/>
          <w:sz w:val="24"/>
          <w:szCs w:val="24"/>
        </w:rPr>
        <w:t xml:space="preserve">la solicitud no cumple los requisitos de la acción de tutela contra providencias judiciales, como quiera que la accionante manifiesta su inconformidad en relación </w:t>
      </w:r>
      <w:r w:rsidR="005A540B">
        <w:rPr>
          <w:rFonts w:ascii="Arial" w:hAnsi="Arial" w:cs="Arial"/>
          <w:sz w:val="24"/>
          <w:szCs w:val="24"/>
        </w:rPr>
        <w:t xml:space="preserve">con </w:t>
      </w:r>
      <w:r w:rsidR="003F25F6">
        <w:rPr>
          <w:rFonts w:ascii="Arial" w:hAnsi="Arial" w:cs="Arial"/>
          <w:sz w:val="24"/>
          <w:szCs w:val="24"/>
        </w:rPr>
        <w:t>cuestiones que fueron resueltas en el proceso ordinario por lo que la solicitud se torna improcedente.</w:t>
      </w:r>
    </w:p>
    <w:p w:rsidR="003F25F6" w:rsidRDefault="003F25F6" w:rsidP="00331291">
      <w:pPr>
        <w:pStyle w:val="Prrafodelista"/>
        <w:tabs>
          <w:tab w:val="left" w:pos="567"/>
        </w:tabs>
        <w:ind w:left="0"/>
        <w:jc w:val="both"/>
        <w:rPr>
          <w:rFonts w:ascii="Arial" w:hAnsi="Arial" w:cs="Arial"/>
          <w:sz w:val="24"/>
          <w:szCs w:val="24"/>
        </w:rPr>
      </w:pPr>
    </w:p>
    <w:p w:rsidR="003F25F6" w:rsidRDefault="003F25F6" w:rsidP="00331291">
      <w:pPr>
        <w:pStyle w:val="Prrafodelista"/>
        <w:tabs>
          <w:tab w:val="left" w:pos="567"/>
        </w:tabs>
        <w:ind w:left="0"/>
        <w:jc w:val="both"/>
        <w:rPr>
          <w:rFonts w:ascii="Arial" w:hAnsi="Arial" w:cs="Arial"/>
          <w:sz w:val="24"/>
          <w:szCs w:val="24"/>
        </w:rPr>
      </w:pPr>
      <w:r>
        <w:rPr>
          <w:rFonts w:ascii="Arial" w:hAnsi="Arial" w:cs="Arial"/>
          <w:sz w:val="24"/>
          <w:szCs w:val="24"/>
        </w:rPr>
        <w:t xml:space="preserve">Sostuvo que, conforme a las pruebas allegadas al expediente y la normatividad aplicable al caso concreto, pudo concluir que las pensiones de jubilación e invalidez no son compatibles en atención a lo establecido en los artículos 31 del Decreto 3135 de 1968, 88 del Decreto 1848 de 1969 y 13, literal j) de la Ley 100 de 1993, por lo que la decisión proferida no tuvo como único sustento la jurisprudencia del Consejo de Estado, sino principalmente la normatividad aplicable al asunto. </w:t>
      </w:r>
    </w:p>
    <w:p w:rsidR="00130A93" w:rsidRDefault="00130A93" w:rsidP="00331291">
      <w:pPr>
        <w:pStyle w:val="Prrafodelista"/>
        <w:tabs>
          <w:tab w:val="left" w:pos="567"/>
        </w:tabs>
        <w:ind w:left="0"/>
        <w:jc w:val="both"/>
        <w:rPr>
          <w:rFonts w:ascii="Arial" w:hAnsi="Arial" w:cs="Arial"/>
          <w:sz w:val="24"/>
          <w:szCs w:val="24"/>
        </w:rPr>
      </w:pPr>
    </w:p>
    <w:p w:rsidR="003F25F6" w:rsidRDefault="003F25F6" w:rsidP="00331291">
      <w:pPr>
        <w:pStyle w:val="Prrafodelista"/>
        <w:tabs>
          <w:tab w:val="left" w:pos="567"/>
        </w:tabs>
        <w:ind w:left="0"/>
        <w:jc w:val="both"/>
        <w:rPr>
          <w:rFonts w:ascii="Arial" w:hAnsi="Arial"/>
          <w:color w:val="000000"/>
          <w:sz w:val="24"/>
          <w:szCs w:val="24"/>
        </w:rPr>
      </w:pPr>
      <w:r>
        <w:rPr>
          <w:rFonts w:ascii="Arial" w:hAnsi="Arial" w:cs="Arial"/>
          <w:sz w:val="24"/>
          <w:szCs w:val="24"/>
        </w:rPr>
        <w:t>Explicó que, contrario a lo manifestado por la accionante, la decisión objeto de tutela fue sustentada en las normas de carácter general, incluidas las disposiciones del Sistema General de Pensiones y a la interpretación que de aquellas ha expuesto el Consejo de Estado</w:t>
      </w:r>
    </w:p>
    <w:p w:rsidR="00243BD7" w:rsidRDefault="00243BD7" w:rsidP="00331291">
      <w:pPr>
        <w:pStyle w:val="Prrafodelista"/>
        <w:tabs>
          <w:tab w:val="left" w:pos="567"/>
        </w:tabs>
        <w:ind w:left="0"/>
        <w:jc w:val="both"/>
        <w:rPr>
          <w:rFonts w:ascii="Arial" w:hAnsi="Arial"/>
          <w:color w:val="000000"/>
          <w:sz w:val="24"/>
          <w:szCs w:val="24"/>
        </w:rPr>
      </w:pPr>
    </w:p>
    <w:p w:rsidR="00586ED2" w:rsidRDefault="00243BD7" w:rsidP="003F25F6">
      <w:pPr>
        <w:pStyle w:val="Prrafodelista"/>
        <w:tabs>
          <w:tab w:val="left" w:pos="567"/>
        </w:tabs>
        <w:ind w:left="0"/>
        <w:jc w:val="both"/>
        <w:rPr>
          <w:rFonts w:ascii="Arial" w:hAnsi="Arial"/>
          <w:color w:val="000000"/>
          <w:sz w:val="24"/>
          <w:szCs w:val="24"/>
        </w:rPr>
      </w:pPr>
      <w:r>
        <w:rPr>
          <w:rFonts w:ascii="Arial" w:hAnsi="Arial"/>
          <w:color w:val="000000"/>
          <w:sz w:val="24"/>
          <w:szCs w:val="24"/>
        </w:rPr>
        <w:t>Adujo que</w:t>
      </w:r>
      <w:r w:rsidR="003F25F6">
        <w:rPr>
          <w:rFonts w:ascii="Arial" w:hAnsi="Arial"/>
          <w:color w:val="000000"/>
          <w:sz w:val="24"/>
          <w:szCs w:val="24"/>
        </w:rPr>
        <w:t xml:space="preserve">, la jurisprudencia de la Corte Suprema de Justica que sostiene que la pensión de invalidez y de jubilación son compatibles no fue acogida por esa Corporación, por ser contraria a los artículos 31 del Decreto 3135 de 1968, 88 del Decreto 1848 de 1969 y 13 de la ley 100 de 1993, que disponen la incompatibilidad de dichas prestaciones, y que, en el mismo sentido la jurisprudencia del Consejo de </w:t>
      </w:r>
      <w:r w:rsidR="003F25F6">
        <w:rPr>
          <w:rFonts w:ascii="Arial" w:hAnsi="Arial"/>
          <w:color w:val="000000"/>
          <w:sz w:val="24"/>
          <w:szCs w:val="24"/>
        </w:rPr>
        <w:lastRenderedPageBreak/>
        <w:t>Estado ha llegado a tal conclusión por considerar que la finalidad de ambas es análoga porque cubren la pérdida de la capacidad de trabajo.</w:t>
      </w:r>
    </w:p>
    <w:p w:rsidR="009F5B85" w:rsidRDefault="009F5B85" w:rsidP="00331291">
      <w:pPr>
        <w:pStyle w:val="p1"/>
        <w:jc w:val="both"/>
        <w:rPr>
          <w:rFonts w:ascii="Arial" w:hAnsi="Arial" w:cs="Arial"/>
          <w:sz w:val="24"/>
          <w:szCs w:val="24"/>
        </w:rPr>
      </w:pPr>
    </w:p>
    <w:p w:rsidR="00EF5DD2" w:rsidRDefault="00E51F18" w:rsidP="00331291">
      <w:pPr>
        <w:pStyle w:val="p1"/>
        <w:jc w:val="both"/>
        <w:rPr>
          <w:rFonts w:ascii="Arial" w:hAnsi="Arial" w:cs="Arial"/>
          <w:sz w:val="24"/>
          <w:szCs w:val="24"/>
        </w:rPr>
      </w:pPr>
      <w:r>
        <w:rPr>
          <w:rFonts w:ascii="Arial" w:hAnsi="Arial" w:cs="Arial"/>
          <w:sz w:val="24"/>
          <w:szCs w:val="24"/>
        </w:rPr>
        <w:t>A</w:t>
      </w:r>
      <w:r w:rsidR="00647D1C">
        <w:rPr>
          <w:rFonts w:ascii="Arial" w:hAnsi="Arial" w:cs="Arial"/>
          <w:sz w:val="24"/>
          <w:szCs w:val="24"/>
        </w:rPr>
        <w:t>gregó</w:t>
      </w:r>
      <w:r w:rsidR="00EF5DD2">
        <w:rPr>
          <w:rFonts w:ascii="Arial" w:hAnsi="Arial" w:cs="Arial"/>
          <w:sz w:val="24"/>
          <w:szCs w:val="24"/>
        </w:rPr>
        <w:t xml:space="preserve"> que</w:t>
      </w:r>
      <w:r w:rsidR="00647D1C">
        <w:rPr>
          <w:rFonts w:ascii="Arial" w:hAnsi="Arial" w:cs="Arial"/>
          <w:sz w:val="24"/>
          <w:szCs w:val="24"/>
        </w:rPr>
        <w:t>,</w:t>
      </w:r>
      <w:r w:rsidR="003F25F6">
        <w:rPr>
          <w:rFonts w:ascii="Arial" w:hAnsi="Arial" w:cs="Arial"/>
          <w:sz w:val="24"/>
          <w:szCs w:val="24"/>
        </w:rPr>
        <w:t xml:space="preserve"> la decisión no fue proferida de manera caprichosa o arbitraria en la medida que fue analizada conforme </w:t>
      </w:r>
      <w:r>
        <w:rPr>
          <w:rFonts w:ascii="Arial" w:hAnsi="Arial" w:cs="Arial"/>
          <w:sz w:val="24"/>
          <w:szCs w:val="24"/>
        </w:rPr>
        <w:t>a la</w:t>
      </w:r>
      <w:r w:rsidR="003F25F6">
        <w:rPr>
          <w:rFonts w:ascii="Arial" w:hAnsi="Arial" w:cs="Arial"/>
          <w:sz w:val="24"/>
          <w:szCs w:val="24"/>
        </w:rPr>
        <w:t xml:space="preserve"> situación fáctica y jurídica del caso concreto, por lo que los cuestionamientos que la accionante plantea en sede de tutela ya fueron resueltos en el proceso ordinario por lo que, </w:t>
      </w:r>
      <w:r w:rsidR="00EF5DD2">
        <w:rPr>
          <w:rFonts w:ascii="Arial" w:hAnsi="Arial" w:cs="Arial"/>
          <w:sz w:val="24"/>
          <w:szCs w:val="24"/>
        </w:rPr>
        <w:t>su pretensión e</w:t>
      </w:r>
      <w:r w:rsidR="003F25F6">
        <w:rPr>
          <w:rFonts w:ascii="Arial" w:hAnsi="Arial" w:cs="Arial"/>
          <w:sz w:val="24"/>
          <w:szCs w:val="24"/>
        </w:rPr>
        <w:t xml:space="preserve">s </w:t>
      </w:r>
      <w:r w:rsidR="00EF5DD2">
        <w:rPr>
          <w:rFonts w:ascii="Arial" w:hAnsi="Arial" w:cs="Arial"/>
          <w:sz w:val="24"/>
          <w:szCs w:val="24"/>
        </w:rPr>
        <w:t>que el juez constitucional reali</w:t>
      </w:r>
      <w:r w:rsidR="003F25F6">
        <w:rPr>
          <w:rFonts w:ascii="Arial" w:hAnsi="Arial" w:cs="Arial"/>
          <w:sz w:val="24"/>
          <w:szCs w:val="24"/>
        </w:rPr>
        <w:t>ce</w:t>
      </w:r>
      <w:r w:rsidR="00EF5DD2">
        <w:rPr>
          <w:rFonts w:ascii="Arial" w:hAnsi="Arial" w:cs="Arial"/>
          <w:sz w:val="24"/>
          <w:szCs w:val="24"/>
        </w:rPr>
        <w:t xml:space="preserve"> </w:t>
      </w:r>
      <w:r w:rsidR="0085747A">
        <w:rPr>
          <w:rFonts w:ascii="Arial" w:hAnsi="Arial" w:cs="Arial"/>
          <w:sz w:val="24"/>
          <w:szCs w:val="24"/>
        </w:rPr>
        <w:t xml:space="preserve">otro </w:t>
      </w:r>
      <w:r w:rsidR="00EF5DD2">
        <w:rPr>
          <w:rFonts w:ascii="Arial" w:hAnsi="Arial" w:cs="Arial"/>
          <w:sz w:val="24"/>
          <w:szCs w:val="24"/>
        </w:rPr>
        <w:t>análisis</w:t>
      </w:r>
      <w:r w:rsidR="009B1732">
        <w:rPr>
          <w:rFonts w:ascii="Arial" w:hAnsi="Arial" w:cs="Arial"/>
          <w:sz w:val="24"/>
          <w:szCs w:val="24"/>
        </w:rPr>
        <w:t xml:space="preserve"> respecto al asunto</w:t>
      </w:r>
      <w:r w:rsidR="0085747A">
        <w:rPr>
          <w:rFonts w:ascii="Arial" w:hAnsi="Arial" w:cs="Arial"/>
          <w:sz w:val="24"/>
          <w:szCs w:val="24"/>
        </w:rPr>
        <w:t xml:space="preserve"> con el único objetivo se lograr una decisión acorde con sus intereses. </w:t>
      </w:r>
    </w:p>
    <w:p w:rsidR="00E51F18" w:rsidRDefault="00E51F18" w:rsidP="00331291">
      <w:pPr>
        <w:pStyle w:val="p1"/>
        <w:jc w:val="both"/>
        <w:rPr>
          <w:rFonts w:ascii="Arial" w:hAnsi="Arial" w:cs="Arial"/>
          <w:sz w:val="24"/>
          <w:szCs w:val="24"/>
        </w:rPr>
      </w:pPr>
    </w:p>
    <w:p w:rsidR="00E51F18" w:rsidRDefault="00E51F18" w:rsidP="00331291">
      <w:pPr>
        <w:pStyle w:val="p1"/>
        <w:jc w:val="both"/>
        <w:rPr>
          <w:rFonts w:ascii="Arial" w:hAnsi="Arial" w:cs="Arial"/>
          <w:sz w:val="24"/>
          <w:szCs w:val="24"/>
        </w:rPr>
      </w:pPr>
      <w:r>
        <w:rPr>
          <w:rFonts w:ascii="Arial" w:hAnsi="Arial" w:cs="Arial"/>
          <w:sz w:val="24"/>
          <w:szCs w:val="24"/>
        </w:rPr>
        <w:t xml:space="preserve">Finalmente solicitó que la solicitud fuera declarada improcedente por no acreditar los requisitos para la procedencia de la acción de tutela contra providencias judiciales. </w:t>
      </w:r>
    </w:p>
    <w:p w:rsidR="00E51F18" w:rsidRDefault="00E51F18" w:rsidP="00331291">
      <w:pPr>
        <w:pStyle w:val="p1"/>
        <w:jc w:val="both"/>
        <w:rPr>
          <w:rFonts w:ascii="Arial" w:hAnsi="Arial" w:cs="Arial"/>
          <w:sz w:val="24"/>
          <w:szCs w:val="24"/>
        </w:rPr>
      </w:pPr>
    </w:p>
    <w:p w:rsidR="00E51F18" w:rsidRPr="009B3C78" w:rsidRDefault="00E51F18" w:rsidP="00331291">
      <w:pPr>
        <w:pStyle w:val="p1"/>
        <w:jc w:val="both"/>
        <w:rPr>
          <w:rFonts w:ascii="Arial" w:hAnsi="Arial" w:cs="Arial"/>
          <w:sz w:val="24"/>
          <w:szCs w:val="24"/>
        </w:rPr>
      </w:pPr>
      <w:r w:rsidRPr="00D87A6B">
        <w:rPr>
          <w:rFonts w:ascii="Arial" w:eastAsia="Verdana" w:hAnsi="Arial" w:cs="Arial"/>
          <w:color w:val="000000"/>
          <w:sz w:val="24"/>
          <w:szCs w:val="24"/>
        </w:rPr>
        <w:t>1.4.2.</w:t>
      </w:r>
      <w:r>
        <w:rPr>
          <w:rFonts w:ascii="Arial" w:eastAsia="Verdana" w:hAnsi="Arial" w:cs="Arial"/>
          <w:color w:val="000000"/>
          <w:sz w:val="24"/>
          <w:szCs w:val="24"/>
        </w:rPr>
        <w:t xml:space="preserve">3. </w:t>
      </w:r>
      <w:r w:rsidR="007175CF">
        <w:rPr>
          <w:rFonts w:ascii="Arial" w:eastAsia="Verdana" w:hAnsi="Arial" w:cs="Arial"/>
          <w:color w:val="000000"/>
          <w:sz w:val="24"/>
          <w:szCs w:val="24"/>
        </w:rPr>
        <w:t xml:space="preserve">La Administradora Colombiana de Pensiones – Colpensiones a través de la </w:t>
      </w:r>
      <w:r w:rsidR="0013198F">
        <w:rPr>
          <w:rFonts w:ascii="Arial" w:eastAsia="Verdana" w:hAnsi="Arial" w:cs="Arial"/>
          <w:color w:val="000000"/>
          <w:sz w:val="24"/>
          <w:szCs w:val="24"/>
        </w:rPr>
        <w:t>d</w:t>
      </w:r>
      <w:r w:rsidR="007175CF">
        <w:rPr>
          <w:rFonts w:ascii="Arial" w:eastAsia="Verdana" w:hAnsi="Arial" w:cs="Arial"/>
          <w:color w:val="000000"/>
          <w:sz w:val="24"/>
          <w:szCs w:val="24"/>
        </w:rPr>
        <w:t xml:space="preserve">irectora de la Dirección de Acciones Constitucionales solicitó declarar improcedente la solicitud por cuanto — a su juicio—, la accionante no sustentó ningún vicio, defecto o vulneración de los derechos fundamentales invocados. </w:t>
      </w:r>
    </w:p>
    <w:p w:rsidR="00E877F9" w:rsidRDefault="00E877F9" w:rsidP="00331291">
      <w:pPr>
        <w:pStyle w:val="p1"/>
        <w:jc w:val="both"/>
        <w:rPr>
          <w:sz w:val="24"/>
          <w:szCs w:val="24"/>
        </w:rPr>
      </w:pPr>
    </w:p>
    <w:p w:rsidR="00584E1D" w:rsidRDefault="00584E1D" w:rsidP="00331291">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rsidR="00584E1D" w:rsidRDefault="00584E1D" w:rsidP="00331291">
      <w:pPr>
        <w:tabs>
          <w:tab w:val="left" w:pos="426"/>
        </w:tabs>
        <w:contextualSpacing/>
        <w:rPr>
          <w:b/>
          <w:sz w:val="24"/>
          <w:szCs w:val="24"/>
          <w:lang w:val="es-ES_tradnl"/>
        </w:rPr>
      </w:pPr>
    </w:p>
    <w:p w:rsidR="000C5DB7" w:rsidRDefault="00584E1D" w:rsidP="00331291">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rsidR="00331291" w:rsidRPr="00766FA2" w:rsidRDefault="00331291" w:rsidP="00331291">
      <w:pPr>
        <w:tabs>
          <w:tab w:val="left" w:pos="426"/>
        </w:tabs>
        <w:contextualSpacing/>
        <w:rPr>
          <w:b/>
          <w:sz w:val="24"/>
          <w:szCs w:val="24"/>
          <w:lang w:val="es-ES_tradnl"/>
        </w:rPr>
      </w:pPr>
    </w:p>
    <w:p w:rsidR="002702B3" w:rsidRPr="002702B3" w:rsidRDefault="002702B3" w:rsidP="00331291">
      <w:pPr>
        <w:overflowPunct w:val="0"/>
        <w:autoSpaceDE w:val="0"/>
        <w:autoSpaceDN w:val="0"/>
        <w:adjustRightInd w:val="0"/>
        <w:contextualSpacing/>
        <w:rPr>
          <w:rFonts w:eastAsia="Times New Roman"/>
          <w:sz w:val="24"/>
          <w:szCs w:val="24"/>
          <w:lang w:val="es-ES_tradnl" w:eastAsia="es-ES"/>
        </w:rPr>
      </w:pPr>
      <w:r w:rsidRPr="002702B3">
        <w:rPr>
          <w:rFonts w:eastAsia="Times New Roman"/>
          <w:sz w:val="24"/>
          <w:szCs w:val="24"/>
          <w:lang w:val="es-ES_tradnl" w:eastAsia="es-ES"/>
        </w:rPr>
        <w:t>La Sala es competente para decidir la presente acción de tutela en virtud de lo dispuesto en el artículo 86 de la Constitución Política, en el Decreto 2591 de 1991, en el Decreto 333 de 2021 que modificó el Decreto 1069 de 2015 y en el Acuerdo de Sala Plena del Consejo de Estado No. 080 del 12 de marzo de 2019</w:t>
      </w:r>
      <w:r w:rsidRPr="002702B3">
        <w:rPr>
          <w:rFonts w:eastAsia="Times New Roman"/>
          <w:sz w:val="24"/>
          <w:szCs w:val="24"/>
          <w:vertAlign w:val="superscript"/>
          <w:lang w:val="es-ES_tradnl" w:eastAsia="es-ES"/>
        </w:rPr>
        <w:footnoteReference w:id="17"/>
      </w:r>
      <w:r w:rsidRPr="002702B3">
        <w:rPr>
          <w:rFonts w:eastAsia="Times New Roman"/>
          <w:sz w:val="24"/>
          <w:szCs w:val="24"/>
          <w:lang w:val="es-ES_tradnl" w:eastAsia="es-ES"/>
        </w:rPr>
        <w:t>.</w:t>
      </w:r>
    </w:p>
    <w:p w:rsidR="000C5DB7" w:rsidRPr="00766FA2" w:rsidRDefault="000C5DB7" w:rsidP="00331291">
      <w:pPr>
        <w:overflowPunct w:val="0"/>
        <w:autoSpaceDE w:val="0"/>
        <w:autoSpaceDN w:val="0"/>
        <w:adjustRightInd w:val="0"/>
        <w:contextualSpacing/>
        <w:rPr>
          <w:rFonts w:eastAsia="Times New Roman"/>
          <w:sz w:val="24"/>
          <w:szCs w:val="24"/>
          <w:lang w:eastAsia="es-ES"/>
        </w:rPr>
      </w:pPr>
    </w:p>
    <w:p w:rsidR="000C5DB7" w:rsidRPr="00766FA2" w:rsidRDefault="00584E1D" w:rsidP="00331291">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rsidR="000C5DB7" w:rsidRPr="00766FA2" w:rsidRDefault="000C5DB7" w:rsidP="00331291">
      <w:pPr>
        <w:contextualSpacing/>
        <w:rPr>
          <w:sz w:val="24"/>
          <w:szCs w:val="24"/>
          <w:lang w:val="es-ES_tradnl"/>
        </w:rPr>
      </w:pPr>
    </w:p>
    <w:p w:rsidR="00715820" w:rsidRDefault="006371BF" w:rsidP="00331291">
      <w:pPr>
        <w:contextualSpacing/>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la solicitud de amparo se dirige contra una providencia judicial, es pertinente realizar,  primero, un examen de procedibilidad general</w:t>
      </w:r>
      <w:r w:rsidRPr="00766FA2">
        <w:rPr>
          <w:sz w:val="24"/>
          <w:szCs w:val="24"/>
          <w:vertAlign w:val="superscript"/>
          <w:lang w:val="es-ES_tradnl"/>
        </w:rPr>
        <w:footnoteReference w:id="18"/>
      </w:r>
      <w:r w:rsidRPr="00766FA2">
        <w:rPr>
          <w:sz w:val="24"/>
          <w:szCs w:val="24"/>
          <w:lang w:val="es-ES_tradnl"/>
        </w:rPr>
        <w:t xml:space="preserve"> para, luego, en caso de resultar superado dicho estudio, pasar a hacer el pronunciamiento de fondo en el que se resuelva el problema jurídico, en los términos de los defectos aducidos por </w:t>
      </w:r>
      <w:r w:rsidR="00655370">
        <w:rPr>
          <w:sz w:val="24"/>
          <w:szCs w:val="24"/>
          <w:lang w:val="es-ES_tradnl"/>
        </w:rPr>
        <w:t>el accionante</w:t>
      </w:r>
      <w:r w:rsidRPr="00766FA2">
        <w:rPr>
          <w:sz w:val="24"/>
          <w:szCs w:val="24"/>
          <w:lang w:val="es-ES_tradnl"/>
        </w:rPr>
        <w:t xml:space="preserve"> conforme a las causales específicas de procedencia de la acción de tutela contra providencia judicia</w:t>
      </w:r>
      <w:r w:rsidR="00C519F5">
        <w:rPr>
          <w:sz w:val="24"/>
          <w:szCs w:val="24"/>
          <w:lang w:val="es-ES_tradnl"/>
        </w:rPr>
        <w:t>l.</w:t>
      </w:r>
      <w:r w:rsidRPr="00766FA2">
        <w:rPr>
          <w:sz w:val="24"/>
          <w:szCs w:val="24"/>
          <w:lang w:val="es-ES_tradnl"/>
        </w:rPr>
        <w:t xml:space="preserve"> </w:t>
      </w:r>
    </w:p>
    <w:p w:rsidR="00C56A73" w:rsidRDefault="00C56A73" w:rsidP="00331291">
      <w:pPr>
        <w:contextualSpacing/>
        <w:rPr>
          <w:sz w:val="24"/>
          <w:szCs w:val="24"/>
          <w:lang w:val="es-ES_tradnl"/>
        </w:rPr>
      </w:pPr>
    </w:p>
    <w:p w:rsidR="00C56A73" w:rsidRDefault="00C56A73" w:rsidP="00331291">
      <w:pPr>
        <w:contextualSpacing/>
        <w:rPr>
          <w:sz w:val="24"/>
          <w:szCs w:val="24"/>
          <w:lang w:val="es-ES_tradnl"/>
        </w:rPr>
      </w:pPr>
      <w:r w:rsidRPr="00766FA2">
        <w:rPr>
          <w:rFonts w:eastAsia="Verdana"/>
          <w:b/>
          <w:sz w:val="24"/>
          <w:szCs w:val="24"/>
          <w:lang w:val="es-ES_tradnl"/>
        </w:rPr>
        <w:t>2.</w:t>
      </w:r>
      <w:r>
        <w:rPr>
          <w:rFonts w:eastAsia="Verdana"/>
          <w:b/>
          <w:sz w:val="24"/>
          <w:szCs w:val="24"/>
          <w:lang w:val="es-ES_tradnl"/>
        </w:rPr>
        <w:t>3</w:t>
      </w:r>
      <w:r w:rsidRPr="00766FA2">
        <w:rPr>
          <w:rFonts w:eastAsia="Verdana"/>
          <w:b/>
          <w:sz w:val="24"/>
          <w:szCs w:val="24"/>
          <w:lang w:val="es-ES_tradnl"/>
        </w:rPr>
        <w:t xml:space="preserve">. </w:t>
      </w:r>
      <w:r w:rsidR="0061287B" w:rsidRPr="0064007B">
        <w:rPr>
          <w:rFonts w:eastAsia="Verdana"/>
          <w:bCs/>
          <w:sz w:val="24"/>
          <w:szCs w:val="24"/>
          <w:lang w:val="es-ES_tradnl"/>
        </w:rPr>
        <w:t xml:space="preserve">La Sala encuentra acreditada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Pr="00766FA2">
        <w:rPr>
          <w:sz w:val="24"/>
          <w:szCs w:val="24"/>
          <w:lang w:val="es-ES_tradnl"/>
        </w:rPr>
        <w:t xml:space="preserve">, </w:t>
      </w:r>
      <w:r w:rsidR="00C25E83">
        <w:rPr>
          <w:sz w:val="24"/>
          <w:szCs w:val="24"/>
          <w:lang w:val="es-ES_tradnl"/>
        </w:rPr>
        <w:t xml:space="preserve">porque </w:t>
      </w:r>
      <w:r w:rsidR="00BD4003">
        <w:rPr>
          <w:sz w:val="24"/>
          <w:szCs w:val="24"/>
          <w:lang w:val="es-ES_tradnl"/>
        </w:rPr>
        <w:t xml:space="preserve">la </w:t>
      </w:r>
      <w:r w:rsidR="0035048B">
        <w:rPr>
          <w:sz w:val="24"/>
          <w:szCs w:val="24"/>
          <w:lang w:val="es-ES_tradnl"/>
        </w:rPr>
        <w:t>accionante</w:t>
      </w:r>
      <w:r w:rsidR="00BA6108">
        <w:rPr>
          <w:sz w:val="24"/>
          <w:szCs w:val="24"/>
          <w:lang w:val="es-ES_tradnl"/>
        </w:rPr>
        <w:t xml:space="preserve">, </w:t>
      </w:r>
      <w:r w:rsidR="0035048B">
        <w:rPr>
          <w:sz w:val="24"/>
          <w:szCs w:val="24"/>
          <w:lang w:val="es-ES_tradnl"/>
        </w:rPr>
        <w:t xml:space="preserve">es </w:t>
      </w:r>
      <w:r w:rsidR="00EB641A">
        <w:rPr>
          <w:sz w:val="24"/>
          <w:szCs w:val="24"/>
          <w:lang w:val="es-ES_tradnl"/>
        </w:rPr>
        <w:t>la</w:t>
      </w:r>
      <w:r w:rsidR="0035048B">
        <w:rPr>
          <w:sz w:val="24"/>
          <w:szCs w:val="24"/>
          <w:lang w:val="es-ES_tradnl"/>
        </w:rPr>
        <w:t xml:space="preserve"> 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afirma son vulnerados, en su condición de parte demandante dentro del </w:t>
      </w:r>
      <w:r w:rsidR="00764BE2">
        <w:rPr>
          <w:sz w:val="24"/>
          <w:szCs w:val="24"/>
          <w:lang w:val="es-ES_tradnl"/>
        </w:rPr>
        <w:t>medio de control</w:t>
      </w:r>
      <w:r w:rsidRPr="00766FA2">
        <w:rPr>
          <w:sz w:val="24"/>
          <w:szCs w:val="24"/>
          <w:lang w:val="es-ES_tradnl"/>
        </w:rPr>
        <w:t xml:space="preserve"> objeto de </w:t>
      </w:r>
      <w:r w:rsidR="000705E7">
        <w:rPr>
          <w:sz w:val="24"/>
          <w:szCs w:val="24"/>
          <w:lang w:val="es-ES_tradnl"/>
        </w:rPr>
        <w:t>tutela</w:t>
      </w:r>
      <w:r w:rsidRPr="00766FA2">
        <w:rPr>
          <w:sz w:val="24"/>
          <w:szCs w:val="24"/>
          <w:lang w:val="es-ES_tradnl"/>
        </w:rPr>
        <w:t>, y, por lo tanto, en caso de configurarse los defectos alegados</w:t>
      </w:r>
      <w:r w:rsidR="0061287B">
        <w:rPr>
          <w:sz w:val="24"/>
          <w:szCs w:val="24"/>
          <w:lang w:val="es-ES_tradnl"/>
        </w:rPr>
        <w:t>,</w:t>
      </w:r>
      <w:r w:rsidRPr="00766FA2">
        <w:rPr>
          <w:sz w:val="24"/>
          <w:szCs w:val="24"/>
          <w:lang w:val="es-ES_tradnl"/>
        </w:rPr>
        <w:t xml:space="preserve"> resultarían afectad</w:t>
      </w:r>
      <w:r w:rsidR="00BE6A61">
        <w:rPr>
          <w:sz w:val="24"/>
          <w:szCs w:val="24"/>
          <w:lang w:val="es-ES_tradnl"/>
        </w:rPr>
        <w:t>a</w:t>
      </w:r>
      <w:r w:rsidRPr="00766FA2">
        <w:rPr>
          <w:sz w:val="24"/>
          <w:szCs w:val="24"/>
          <w:lang w:val="es-ES_tradnl"/>
        </w:rPr>
        <w:t xml:space="preserve">s sus </w:t>
      </w:r>
      <w:r>
        <w:rPr>
          <w:sz w:val="24"/>
          <w:szCs w:val="24"/>
          <w:lang w:val="es-ES_tradnl"/>
        </w:rPr>
        <w:t>garantías</w:t>
      </w:r>
      <w:r w:rsidRPr="00766FA2">
        <w:rPr>
          <w:sz w:val="24"/>
          <w:szCs w:val="24"/>
          <w:lang w:val="es-ES_tradnl"/>
        </w:rPr>
        <w:t xml:space="preserve"> al debido proceso y acceso a la administración de justicia.</w:t>
      </w:r>
    </w:p>
    <w:p w:rsidR="00C56A73" w:rsidRDefault="00C56A73" w:rsidP="00331291">
      <w:pPr>
        <w:rPr>
          <w:sz w:val="24"/>
          <w:szCs w:val="24"/>
          <w:lang w:val="es-ES_tradnl"/>
        </w:rPr>
      </w:pPr>
    </w:p>
    <w:p w:rsidR="0077393C" w:rsidRDefault="00C56A73" w:rsidP="00331291">
      <w:pPr>
        <w:tabs>
          <w:tab w:val="left" w:pos="0"/>
        </w:tabs>
        <w:rPr>
          <w:sz w:val="24"/>
          <w:szCs w:val="24"/>
          <w:lang w:val="es-ES_tradnl"/>
        </w:rPr>
      </w:pPr>
      <w:r w:rsidRPr="00766FA2">
        <w:rPr>
          <w:sz w:val="24"/>
          <w:szCs w:val="24"/>
          <w:lang w:val="es-ES_tradnl"/>
        </w:rPr>
        <w:t xml:space="preserve">También está probada </w:t>
      </w:r>
      <w:r w:rsidRPr="00766FA2">
        <w:rPr>
          <w:b/>
          <w:sz w:val="24"/>
          <w:szCs w:val="24"/>
          <w:lang w:val="es-ES_tradnl"/>
        </w:rPr>
        <w:t xml:space="preserve">la legitimación en la causa </w:t>
      </w:r>
      <w:r w:rsidRPr="00766FA2">
        <w:rPr>
          <w:b/>
          <w:i/>
          <w:sz w:val="24"/>
          <w:szCs w:val="24"/>
          <w:lang w:val="es-ES_tradnl"/>
        </w:rPr>
        <w:t>por pasiva</w:t>
      </w:r>
      <w:r w:rsidRPr="00766FA2">
        <w:rPr>
          <w:sz w:val="24"/>
          <w:szCs w:val="24"/>
          <w:lang w:val="es-ES_tradnl"/>
        </w:rPr>
        <w:t xml:space="preserve"> porqu</w:t>
      </w:r>
      <w:r w:rsidR="00764BE2">
        <w:rPr>
          <w:sz w:val="24"/>
          <w:szCs w:val="24"/>
          <w:lang w:val="es-ES_tradnl"/>
        </w:rPr>
        <w:t>e</w:t>
      </w:r>
      <w:r w:rsidR="000705E7" w:rsidRPr="000705E7">
        <w:rPr>
          <w:bCs/>
          <w:sz w:val="24"/>
          <w:szCs w:val="24"/>
        </w:rPr>
        <w:t xml:space="preserve"> </w:t>
      </w:r>
      <w:r w:rsidR="000705E7">
        <w:rPr>
          <w:bCs/>
          <w:sz w:val="24"/>
          <w:szCs w:val="24"/>
        </w:rPr>
        <w:t xml:space="preserve">el Tribunal Administrativo de Cundinamarca, Sección Segunda, Subsección </w:t>
      </w:r>
      <w:r w:rsidR="00BD4003">
        <w:rPr>
          <w:bCs/>
          <w:sz w:val="24"/>
          <w:szCs w:val="24"/>
        </w:rPr>
        <w:t>E</w:t>
      </w:r>
      <w:r w:rsidR="00C25E83">
        <w:rPr>
          <w:sz w:val="24"/>
          <w:szCs w:val="24"/>
          <w:lang w:val="es-ES_tradnl"/>
        </w:rPr>
        <w:t>,</w:t>
      </w:r>
      <w:r>
        <w:rPr>
          <w:sz w:val="24"/>
          <w:szCs w:val="24"/>
          <w:lang w:val="es-ES_tradnl"/>
        </w:rPr>
        <w:t xml:space="preserve"> profiri</w:t>
      </w:r>
      <w:r w:rsidR="00BA6108">
        <w:rPr>
          <w:sz w:val="24"/>
          <w:szCs w:val="24"/>
          <w:lang w:val="es-ES_tradnl"/>
        </w:rPr>
        <w:t>ó</w:t>
      </w:r>
      <w:r>
        <w:rPr>
          <w:sz w:val="24"/>
          <w:szCs w:val="24"/>
          <w:lang w:val="es-ES_tradnl"/>
        </w:rPr>
        <w:t xml:space="preserve"> la </w:t>
      </w:r>
      <w:r>
        <w:rPr>
          <w:sz w:val="24"/>
          <w:szCs w:val="24"/>
          <w:lang w:val="es-ES_tradnl"/>
        </w:rPr>
        <w:lastRenderedPageBreak/>
        <w:t>sentencia</w:t>
      </w:r>
      <w:r w:rsidR="00BA6108">
        <w:rPr>
          <w:sz w:val="24"/>
          <w:szCs w:val="24"/>
          <w:lang w:val="es-ES_tradnl"/>
        </w:rPr>
        <w:t xml:space="preserve"> de</w:t>
      </w:r>
      <w:r>
        <w:rPr>
          <w:sz w:val="24"/>
          <w:szCs w:val="24"/>
          <w:lang w:val="es-ES_tradnl"/>
        </w:rPr>
        <w:t xml:space="preserve"> segunda instancia</w:t>
      </w:r>
      <w:r w:rsidR="00BA6108">
        <w:rPr>
          <w:sz w:val="24"/>
          <w:szCs w:val="24"/>
          <w:lang w:val="es-ES_tradnl"/>
        </w:rPr>
        <w:t xml:space="preserve"> </w:t>
      </w:r>
      <w:r w:rsidRPr="00766FA2">
        <w:rPr>
          <w:sz w:val="24"/>
          <w:szCs w:val="24"/>
          <w:lang w:val="es-ES_tradnl"/>
        </w:rPr>
        <w:t xml:space="preserve">que, según </w:t>
      </w:r>
      <w:r w:rsidR="00BD4003">
        <w:rPr>
          <w:sz w:val="24"/>
          <w:szCs w:val="24"/>
          <w:lang w:val="es-ES_tradnl"/>
        </w:rPr>
        <w:t>la</w:t>
      </w:r>
      <w:r w:rsidR="000705E7">
        <w:rPr>
          <w:sz w:val="24"/>
          <w:szCs w:val="24"/>
          <w:lang w:val="es-ES_tradnl"/>
        </w:rPr>
        <w:t xml:space="preserve"> </w:t>
      </w:r>
      <w:r w:rsidR="00764BE2">
        <w:rPr>
          <w:sz w:val="24"/>
          <w:szCs w:val="24"/>
          <w:lang w:val="es-ES_tradnl"/>
        </w:rPr>
        <w:t>accionante</w:t>
      </w:r>
      <w:r w:rsidRPr="00766FA2">
        <w:rPr>
          <w:sz w:val="24"/>
          <w:szCs w:val="24"/>
          <w:lang w:val="es-ES_tradnl"/>
        </w:rPr>
        <w:t>, vulne</w:t>
      </w:r>
      <w:r>
        <w:rPr>
          <w:sz w:val="24"/>
          <w:szCs w:val="24"/>
          <w:lang w:val="es-ES_tradnl"/>
        </w:rPr>
        <w:t>r</w:t>
      </w:r>
      <w:r w:rsidR="00BA6108">
        <w:rPr>
          <w:sz w:val="24"/>
          <w:szCs w:val="24"/>
          <w:lang w:val="es-ES_tradnl"/>
        </w:rPr>
        <w:t>ó</w:t>
      </w:r>
      <w:r w:rsidRPr="00766FA2">
        <w:rPr>
          <w:sz w:val="24"/>
          <w:szCs w:val="24"/>
          <w:lang w:val="es-ES_tradnl"/>
        </w:rPr>
        <w:t xml:space="preserve"> sus derechos fundamentales. </w:t>
      </w:r>
    </w:p>
    <w:p w:rsidR="0085747A" w:rsidRDefault="0085747A" w:rsidP="00331291">
      <w:pPr>
        <w:tabs>
          <w:tab w:val="left" w:pos="0"/>
        </w:tabs>
        <w:rPr>
          <w:sz w:val="24"/>
          <w:szCs w:val="24"/>
          <w:lang w:val="es-ES_tradnl"/>
        </w:rPr>
      </w:pPr>
    </w:p>
    <w:p w:rsidR="008E7CD2" w:rsidRPr="00FA3AE0" w:rsidRDefault="00032CC4" w:rsidP="00331291">
      <w:pPr>
        <w:overflowPunct w:val="0"/>
        <w:autoSpaceDE w:val="0"/>
        <w:autoSpaceDN w:val="0"/>
        <w:adjustRightInd w:val="0"/>
        <w:rPr>
          <w:color w:val="000000"/>
          <w:sz w:val="24"/>
          <w:szCs w:val="24"/>
        </w:rPr>
      </w:pPr>
      <w:r>
        <w:rPr>
          <w:rFonts w:eastAsia="Times New Roman"/>
          <w:b/>
          <w:bCs/>
          <w:sz w:val="24"/>
          <w:szCs w:val="24"/>
          <w:lang w:eastAsia="es-CO"/>
        </w:rPr>
        <w:t>2</w:t>
      </w:r>
      <w:r w:rsidR="006C4F50">
        <w:rPr>
          <w:rFonts w:eastAsia="Times New Roman"/>
          <w:b/>
          <w:bCs/>
          <w:sz w:val="24"/>
          <w:szCs w:val="24"/>
          <w:lang w:eastAsia="es-CO"/>
        </w:rPr>
        <w:t xml:space="preserve">.4. </w:t>
      </w:r>
      <w:r w:rsidR="00942547">
        <w:rPr>
          <w:sz w:val="24"/>
          <w:szCs w:val="24"/>
        </w:rPr>
        <w:t xml:space="preserve"> </w:t>
      </w:r>
      <w:r w:rsidR="00627683">
        <w:rPr>
          <w:rFonts w:eastAsia="Arial Unicode MS"/>
          <w:sz w:val="24"/>
          <w:szCs w:val="24"/>
          <w:lang w:val="es-ES" w:eastAsia="es-ES"/>
        </w:rPr>
        <w:t>La</w:t>
      </w:r>
      <w:r w:rsidR="00044E8C">
        <w:rPr>
          <w:rFonts w:eastAsia="Arial Unicode MS"/>
          <w:sz w:val="24"/>
          <w:szCs w:val="24"/>
          <w:lang w:val="es-ES" w:eastAsia="es-ES"/>
        </w:rPr>
        <w:t xml:space="preserve"> accionante</w:t>
      </w:r>
      <w:r w:rsidR="008E7CD2" w:rsidRPr="008D6AC2">
        <w:rPr>
          <w:rFonts w:eastAsia="Arial Unicode MS"/>
          <w:sz w:val="24"/>
          <w:szCs w:val="24"/>
          <w:lang w:val="es-ES" w:eastAsia="es-ES"/>
        </w:rPr>
        <w:t xml:space="preserve"> expresó los argumentos por los cuales consideró que </w:t>
      </w:r>
      <w:r w:rsidR="008E7CD2">
        <w:rPr>
          <w:bCs/>
          <w:sz w:val="24"/>
          <w:szCs w:val="24"/>
        </w:rPr>
        <w:t xml:space="preserve">el Tribunal Administrativo de Cundinamarca, Sección Segunda, Subsección </w:t>
      </w:r>
      <w:r w:rsidR="00DC6BE2">
        <w:rPr>
          <w:bCs/>
          <w:sz w:val="24"/>
          <w:szCs w:val="24"/>
        </w:rPr>
        <w:t>E</w:t>
      </w:r>
      <w:r w:rsidR="008E7CD2" w:rsidRPr="008D6AC2">
        <w:rPr>
          <w:rFonts w:eastAsia="Arial Unicode MS"/>
          <w:sz w:val="24"/>
          <w:szCs w:val="24"/>
          <w:lang w:val="es-ES" w:eastAsia="es-ES"/>
        </w:rPr>
        <w:t xml:space="preserve"> vulneró sus derechos fundamentales, </w:t>
      </w:r>
      <w:r w:rsidR="008E7CD2">
        <w:rPr>
          <w:rFonts w:eastAsia="Arial Unicode MS"/>
          <w:sz w:val="24"/>
          <w:szCs w:val="24"/>
          <w:lang w:val="es-ES" w:eastAsia="es-ES"/>
        </w:rPr>
        <w:t xml:space="preserve">pues, como quedó expuesto </w:t>
      </w:r>
      <w:r w:rsidR="008E7CD2" w:rsidRPr="008D6AC2">
        <w:rPr>
          <w:rFonts w:eastAsia="Arial Unicode MS"/>
          <w:sz w:val="24"/>
          <w:szCs w:val="24"/>
          <w:lang w:val="es-ES" w:eastAsia="es-ES"/>
        </w:rPr>
        <w:t>en el numeral 1.4 de esta providencia, dicha autoridad,</w:t>
      </w:r>
      <w:r w:rsidR="008E7CD2">
        <w:rPr>
          <w:rFonts w:eastAsia="Arial Unicode MS"/>
          <w:sz w:val="24"/>
          <w:szCs w:val="24"/>
          <w:lang w:val="es-ES" w:eastAsia="es-ES"/>
        </w:rPr>
        <w:t xml:space="preserve"> a su juicio,</w:t>
      </w:r>
      <w:r w:rsidR="008E7CD2" w:rsidRPr="008D6AC2">
        <w:rPr>
          <w:rFonts w:eastAsia="Arial Unicode MS"/>
          <w:sz w:val="24"/>
          <w:szCs w:val="24"/>
          <w:lang w:val="es-ES" w:eastAsia="es-ES"/>
        </w:rPr>
        <w:t xml:space="preserve"> incurrió en</w:t>
      </w:r>
      <w:r w:rsidR="008E7CD2">
        <w:rPr>
          <w:rFonts w:eastAsia="Arial Unicode MS"/>
          <w:sz w:val="24"/>
          <w:szCs w:val="24"/>
          <w:lang w:val="es-ES" w:eastAsia="es-ES"/>
        </w:rPr>
        <w:t xml:space="preserve">: </w:t>
      </w:r>
      <w:r w:rsidR="008E7CD2">
        <w:rPr>
          <w:b/>
          <w:bCs/>
          <w:color w:val="000000"/>
          <w:sz w:val="24"/>
          <w:szCs w:val="24"/>
        </w:rPr>
        <w:t xml:space="preserve">i) defecto </w:t>
      </w:r>
      <w:r w:rsidR="00DC6BE2">
        <w:rPr>
          <w:b/>
          <w:bCs/>
          <w:color w:val="000000"/>
          <w:sz w:val="24"/>
          <w:szCs w:val="24"/>
        </w:rPr>
        <w:t>sustantivo</w:t>
      </w:r>
      <w:r w:rsidR="008E7CD2">
        <w:rPr>
          <w:b/>
          <w:bCs/>
          <w:color w:val="000000"/>
          <w:sz w:val="24"/>
          <w:szCs w:val="24"/>
        </w:rPr>
        <w:t xml:space="preserve"> </w:t>
      </w:r>
      <w:r w:rsidR="008E7CD2">
        <w:rPr>
          <w:color w:val="000000"/>
          <w:sz w:val="24"/>
          <w:szCs w:val="24"/>
        </w:rPr>
        <w:t>porque</w:t>
      </w:r>
      <w:r w:rsidR="008E7CD2">
        <w:rPr>
          <w:bCs/>
          <w:color w:val="000000"/>
          <w:sz w:val="24"/>
          <w:szCs w:val="24"/>
        </w:rPr>
        <w:t xml:space="preserve"> </w:t>
      </w:r>
      <w:r w:rsidR="00FA3AE0">
        <w:rPr>
          <w:bCs/>
          <w:color w:val="000000"/>
          <w:sz w:val="24"/>
          <w:szCs w:val="24"/>
        </w:rPr>
        <w:t>las prestaciones reconocidas estaban a cargo de entidades diferentes y los casos analizados en la jurisprudencia que sustentó la decisión tenían que ver con prestaciones reconocidas por el FNPSM, lo que hacía concurrente la incompatibilidad y</w:t>
      </w:r>
      <w:r w:rsidR="005219F4">
        <w:rPr>
          <w:bCs/>
          <w:color w:val="000000"/>
          <w:sz w:val="24"/>
          <w:szCs w:val="24"/>
        </w:rPr>
        <w:t>,</w:t>
      </w:r>
      <w:r w:rsidR="008E7CD2">
        <w:rPr>
          <w:bCs/>
          <w:color w:val="000000"/>
          <w:sz w:val="24"/>
          <w:szCs w:val="24"/>
        </w:rPr>
        <w:t xml:space="preserve"> </w:t>
      </w:r>
      <w:proofErr w:type="spellStart"/>
      <w:r w:rsidR="008E7CD2" w:rsidRPr="005219F4">
        <w:rPr>
          <w:b/>
          <w:bCs/>
          <w:color w:val="000000"/>
          <w:sz w:val="24"/>
          <w:szCs w:val="24"/>
        </w:rPr>
        <w:t>ii</w:t>
      </w:r>
      <w:proofErr w:type="spellEnd"/>
      <w:r w:rsidR="008E7CD2" w:rsidRPr="005219F4">
        <w:rPr>
          <w:b/>
          <w:bCs/>
          <w:color w:val="000000"/>
          <w:sz w:val="24"/>
          <w:szCs w:val="24"/>
        </w:rPr>
        <w:t>)</w:t>
      </w:r>
      <w:r w:rsidR="008E7CD2">
        <w:rPr>
          <w:color w:val="000000"/>
          <w:sz w:val="24"/>
          <w:szCs w:val="24"/>
        </w:rPr>
        <w:t xml:space="preserve"> </w:t>
      </w:r>
      <w:r w:rsidR="008E7CD2">
        <w:rPr>
          <w:b/>
          <w:bCs/>
          <w:color w:val="000000"/>
          <w:sz w:val="24"/>
          <w:szCs w:val="24"/>
        </w:rPr>
        <w:t>desconocimiento del precedente</w:t>
      </w:r>
      <w:r w:rsidR="00DC6BE2">
        <w:rPr>
          <w:b/>
          <w:bCs/>
          <w:color w:val="000000"/>
          <w:sz w:val="24"/>
          <w:szCs w:val="24"/>
        </w:rPr>
        <w:t xml:space="preserve"> </w:t>
      </w:r>
      <w:r w:rsidR="00FA3AE0">
        <w:rPr>
          <w:color w:val="000000"/>
          <w:sz w:val="24"/>
          <w:szCs w:val="24"/>
        </w:rPr>
        <w:t>porque desconoció el precedente de la Corte Suprema de Justicia respecto de la compatibilidad de las pensiones de vejez e invalidez al cubrir riesgos distintos, cuando tienen fuentes de financiación autónomas y una reglamentación distinta</w:t>
      </w:r>
      <w:r w:rsidR="008E7CD2">
        <w:rPr>
          <w:color w:val="000000"/>
          <w:sz w:val="24"/>
          <w:szCs w:val="24"/>
        </w:rPr>
        <w:t>.</w:t>
      </w:r>
      <w:r w:rsidR="00FA3AE0">
        <w:rPr>
          <w:color w:val="000000"/>
          <w:sz w:val="24"/>
          <w:szCs w:val="24"/>
        </w:rPr>
        <w:t xml:space="preserve"> Al respecto enunció las sentencias </w:t>
      </w:r>
      <w:r w:rsidR="00FA3AE0" w:rsidRPr="00FA3AE0">
        <w:rPr>
          <w:color w:val="000000"/>
          <w:sz w:val="24"/>
          <w:szCs w:val="24"/>
        </w:rPr>
        <w:t>“(…)</w:t>
      </w:r>
      <w:r w:rsidR="00FA3AE0">
        <w:rPr>
          <w:color w:val="000000"/>
          <w:sz w:val="24"/>
          <w:szCs w:val="24"/>
        </w:rPr>
        <w:t xml:space="preserve"> </w:t>
      </w:r>
      <w:r w:rsidR="00FA3AE0" w:rsidRPr="00E76C33">
        <w:rPr>
          <w:b/>
          <w:bCs/>
          <w:color w:val="000000"/>
          <w:sz w:val="22"/>
          <w:szCs w:val="22"/>
        </w:rPr>
        <w:t xml:space="preserve">CSJ SL, 1.o dic. 2009, rad. 33558, reiterada en CSJ SL 153-2014, CSJ SL 9282-2014, CSJ SL10250-2014, CSJ SL17433-2014, CSJ SL17447-2014, CSJ SL 2096-2015, CSJ SL12155 de 2015, CSJ SL18072-2016, CSJ SL1764-2018, CSJ SL1244-2019, CSJ 3869 del 2021 </w:t>
      </w:r>
      <w:r w:rsidR="00FA3AE0" w:rsidRPr="00FA3AE0">
        <w:rPr>
          <w:color w:val="000000"/>
          <w:sz w:val="22"/>
          <w:szCs w:val="22"/>
        </w:rPr>
        <w:t>(…)”</w:t>
      </w:r>
      <w:r w:rsidR="00FA3AE0" w:rsidRPr="00FA3AE0">
        <w:rPr>
          <w:rStyle w:val="Refdenotaalpie"/>
          <w:color w:val="000000"/>
          <w:sz w:val="22"/>
          <w:szCs w:val="22"/>
        </w:rPr>
        <w:footnoteReference w:id="19"/>
      </w:r>
      <w:r w:rsidR="00FA3AE0" w:rsidRPr="00FA3AE0">
        <w:rPr>
          <w:color w:val="000000"/>
          <w:sz w:val="22"/>
          <w:szCs w:val="22"/>
        </w:rPr>
        <w:t>.</w:t>
      </w:r>
    </w:p>
    <w:p w:rsidR="008E7CD2" w:rsidRDefault="008E7CD2" w:rsidP="00331291">
      <w:pPr>
        <w:overflowPunct w:val="0"/>
        <w:autoSpaceDE w:val="0"/>
        <w:autoSpaceDN w:val="0"/>
        <w:adjustRightInd w:val="0"/>
        <w:rPr>
          <w:color w:val="000000"/>
          <w:sz w:val="24"/>
          <w:szCs w:val="24"/>
        </w:rPr>
      </w:pPr>
    </w:p>
    <w:p w:rsidR="009F5B85" w:rsidRDefault="00970282" w:rsidP="009F2FAE">
      <w:pPr>
        <w:overflowPunct w:val="0"/>
        <w:autoSpaceDE w:val="0"/>
        <w:autoSpaceDN w:val="0"/>
        <w:adjustRightInd w:val="0"/>
        <w:spacing w:after="240"/>
        <w:rPr>
          <w:rFonts w:eastAsia="Times New Roman"/>
          <w:sz w:val="24"/>
          <w:szCs w:val="24"/>
          <w:lang w:eastAsia="es-CO"/>
        </w:rPr>
      </w:pPr>
      <w:r w:rsidRPr="00970282">
        <w:rPr>
          <w:sz w:val="24"/>
          <w:szCs w:val="24"/>
        </w:rPr>
        <w:t>2</w:t>
      </w:r>
      <w:r w:rsidR="008E7CD2" w:rsidRPr="00970282">
        <w:rPr>
          <w:sz w:val="24"/>
          <w:szCs w:val="24"/>
        </w:rPr>
        <w:t>.4.1.</w:t>
      </w:r>
      <w:r w:rsidR="008E7CD2" w:rsidRPr="00970282">
        <w:rPr>
          <w:b/>
          <w:bCs/>
          <w:sz w:val="24"/>
          <w:szCs w:val="24"/>
        </w:rPr>
        <w:t xml:space="preserve"> </w:t>
      </w:r>
      <w:r w:rsidR="008E7CD2" w:rsidRPr="00970282">
        <w:rPr>
          <w:sz w:val="24"/>
          <w:szCs w:val="24"/>
        </w:rPr>
        <w:t>En</w:t>
      </w:r>
      <w:r w:rsidR="008E7CD2">
        <w:rPr>
          <w:sz w:val="24"/>
          <w:szCs w:val="24"/>
        </w:rPr>
        <w:t xml:space="preserve"> este punto es preciso aclarar que, e</w:t>
      </w:r>
      <w:r w:rsidR="008E7CD2">
        <w:rPr>
          <w:rFonts w:eastAsia="Times New Roman"/>
          <w:sz w:val="24"/>
          <w:szCs w:val="24"/>
          <w:lang w:eastAsia="es-CO"/>
        </w:rPr>
        <w:t>l cargo que se formule contra una decisión judicial tendrá </w:t>
      </w:r>
      <w:r w:rsidR="008E7CD2">
        <w:rPr>
          <w:rFonts w:eastAsia="Times New Roman"/>
          <w:b/>
          <w:bCs/>
          <w:sz w:val="24"/>
          <w:szCs w:val="24"/>
          <w:lang w:eastAsia="es-CO"/>
        </w:rPr>
        <w:t>relevancia constitucional</w:t>
      </w:r>
      <w:r w:rsidR="008E7CD2">
        <w:rPr>
          <w:rFonts w:eastAsia="Times New Roman"/>
          <w:sz w:val="24"/>
          <w:szCs w:val="24"/>
          <w:lang w:eastAsia="es-CO"/>
        </w:rPr>
        <w:t> si presenta un problema constitucional y no se limita a revivir una controversia estricta y exclusivamente legal</w:t>
      </w:r>
      <w:r w:rsidR="008E7CD2">
        <w:rPr>
          <w:rStyle w:val="Refdenotaalpie"/>
          <w:rFonts w:eastAsia="Times New Roman"/>
          <w:sz w:val="24"/>
          <w:szCs w:val="24"/>
          <w:lang w:eastAsia="es-CO"/>
        </w:rPr>
        <w:footnoteReference w:id="20"/>
      </w:r>
      <w:r w:rsidR="008E7CD2">
        <w:rPr>
          <w:rFonts w:eastAsia="Times New Roman"/>
          <w:sz w:val="24"/>
          <w:szCs w:val="24"/>
          <w:lang w:eastAsia="es-CO"/>
        </w:rPr>
        <w:t>. De ese modo, en sede constitucional se ponderará entre la finalidad de la acción de tutela como garantía </w:t>
      </w:r>
      <w:proofErr w:type="spellStart"/>
      <w:r w:rsidR="008E7CD2">
        <w:rPr>
          <w:rFonts w:eastAsia="Times New Roman"/>
          <w:i/>
          <w:iCs/>
          <w:sz w:val="24"/>
          <w:szCs w:val="24"/>
          <w:lang w:eastAsia="es-CO"/>
        </w:rPr>
        <w:t>iusfundamental</w:t>
      </w:r>
      <w:proofErr w:type="spellEnd"/>
      <w:r w:rsidR="008E7CD2">
        <w:rPr>
          <w:rFonts w:eastAsia="Times New Roman"/>
          <w:sz w:val="24"/>
          <w:szCs w:val="24"/>
          <w:lang w:eastAsia="es-CO"/>
        </w:rPr>
        <w:t> y los principios de cosa juzgada y seguridad jurídica que gobiernan las decisiones judiciales</w:t>
      </w:r>
      <w:r w:rsidR="008E7CD2">
        <w:rPr>
          <w:rStyle w:val="Refdenotaalpie"/>
          <w:rFonts w:eastAsia="Times New Roman"/>
          <w:sz w:val="24"/>
          <w:szCs w:val="24"/>
          <w:lang w:eastAsia="es-CO"/>
        </w:rPr>
        <w:footnoteReference w:id="21"/>
      </w:r>
      <w:r w:rsidR="008E7CD2">
        <w:rPr>
          <w:rFonts w:eastAsia="Times New Roman"/>
          <w:sz w:val="24"/>
          <w:szCs w:val="24"/>
          <w:lang w:eastAsia="es-CO"/>
        </w:rPr>
        <w:t>. Así las cosas, el juez de tutela debe resolver asuntos de dimensión constitucional, con respeto de las competencias legales y del principio de autonomía de los jueces</w:t>
      </w:r>
      <w:r w:rsidR="008E7CD2">
        <w:rPr>
          <w:rStyle w:val="Refdenotaalpie"/>
          <w:rFonts w:eastAsia="Times New Roman"/>
          <w:sz w:val="24"/>
          <w:szCs w:val="24"/>
          <w:lang w:eastAsia="es-CO"/>
        </w:rPr>
        <w:footnoteReference w:id="22"/>
      </w:r>
      <w:r w:rsidR="008E7CD2">
        <w:rPr>
          <w:rFonts w:eastAsia="Times New Roman"/>
          <w:sz w:val="24"/>
          <w:szCs w:val="24"/>
          <w:lang w:eastAsia="es-CO"/>
        </w:rPr>
        <w:t>. </w:t>
      </w:r>
    </w:p>
    <w:p w:rsidR="008E7CD2" w:rsidRDefault="008E7CD2" w:rsidP="00331291">
      <w:pPr>
        <w:spacing w:after="240"/>
        <w:textAlignment w:val="baseline"/>
        <w:rPr>
          <w:rFonts w:eastAsia="Times New Roman"/>
          <w:sz w:val="24"/>
          <w:szCs w:val="24"/>
          <w:lang w:eastAsia="es-CO"/>
        </w:rPr>
      </w:pPr>
      <w:r>
        <w:rPr>
          <w:rFonts w:eastAsia="Times New Roman"/>
          <w:sz w:val="24"/>
          <w:szCs w:val="24"/>
          <w:lang w:eastAsia="es-CO"/>
        </w:rPr>
        <w:t>En suma, el requisito de relevancia constitucional persigue tres fines: (i) preservar la competencia y la independencia de los falladores ordinarios y, así, evitar que la acción de tutela se utilice para discutir asuntos de mera legalidad</w:t>
      </w:r>
      <w:r>
        <w:rPr>
          <w:rStyle w:val="Refdenotaalpie"/>
          <w:rFonts w:eastAsia="Times New Roman"/>
          <w:sz w:val="24"/>
          <w:szCs w:val="24"/>
          <w:lang w:eastAsia="es-CO"/>
        </w:rPr>
        <w:footnoteReference w:id="23"/>
      </w:r>
      <w:r>
        <w:rPr>
          <w:rFonts w:eastAsia="Times New Roman"/>
          <w:sz w:val="24"/>
          <w:szCs w:val="24"/>
          <w:lang w:eastAsia="es-CO"/>
        </w:rPr>
        <w:t>; (</w:t>
      </w:r>
      <w:proofErr w:type="spellStart"/>
      <w:r>
        <w:rPr>
          <w:rFonts w:eastAsia="Times New Roman"/>
          <w:sz w:val="24"/>
          <w:szCs w:val="24"/>
          <w:lang w:eastAsia="es-CO"/>
        </w:rPr>
        <w:t>ii</w:t>
      </w:r>
      <w:proofErr w:type="spellEnd"/>
      <w:r>
        <w:rPr>
          <w:rFonts w:eastAsia="Times New Roman"/>
          <w:sz w:val="24"/>
          <w:szCs w:val="24"/>
          <w:lang w:eastAsia="es-CO"/>
        </w:rPr>
        <w:t xml:space="preserve">) restringir el ejercicio del amparo a cuestiones que afecten los derechos fundamentales de las </w:t>
      </w:r>
      <w:r w:rsidR="005219F4">
        <w:rPr>
          <w:rFonts w:eastAsia="Times New Roman"/>
          <w:sz w:val="24"/>
          <w:szCs w:val="24"/>
          <w:lang w:eastAsia="es-CO"/>
        </w:rPr>
        <w:t>p</w:t>
      </w:r>
      <w:r>
        <w:rPr>
          <w:rFonts w:eastAsia="Times New Roman"/>
          <w:sz w:val="24"/>
          <w:szCs w:val="24"/>
          <w:lang w:eastAsia="es-CO"/>
        </w:rPr>
        <w:t>ersonas, e (</w:t>
      </w:r>
      <w:proofErr w:type="spellStart"/>
      <w:r>
        <w:rPr>
          <w:rFonts w:eastAsia="Times New Roman"/>
          <w:sz w:val="24"/>
          <w:szCs w:val="24"/>
          <w:lang w:eastAsia="es-CO"/>
        </w:rPr>
        <w:t>iii</w:t>
      </w:r>
      <w:proofErr w:type="spellEnd"/>
      <w:r>
        <w:rPr>
          <w:rFonts w:eastAsia="Times New Roman"/>
          <w:sz w:val="24"/>
          <w:szCs w:val="24"/>
          <w:lang w:eastAsia="es-CO"/>
        </w:rPr>
        <w:t>) impedir que la tutela se convierta en una instancia o recurso adicional para controvertir las decisiones judiciales</w:t>
      </w:r>
      <w:r>
        <w:rPr>
          <w:rStyle w:val="Refdenotaalpie"/>
          <w:rFonts w:eastAsia="Times New Roman"/>
          <w:sz w:val="24"/>
          <w:szCs w:val="24"/>
          <w:lang w:eastAsia="es-CO"/>
        </w:rPr>
        <w:footnoteReference w:id="24"/>
      </w:r>
      <w:r>
        <w:rPr>
          <w:rFonts w:eastAsia="Times New Roman"/>
          <w:sz w:val="24"/>
          <w:szCs w:val="24"/>
          <w:lang w:eastAsia="es-CO"/>
        </w:rPr>
        <w:t>. </w:t>
      </w:r>
    </w:p>
    <w:p w:rsidR="008E7CD2" w:rsidRDefault="008E7CD2" w:rsidP="00331291">
      <w:pPr>
        <w:spacing w:after="240"/>
        <w:textAlignment w:val="baseline"/>
        <w:rPr>
          <w:rFonts w:eastAsia="Times New Roman"/>
          <w:sz w:val="24"/>
          <w:szCs w:val="24"/>
          <w:lang w:eastAsia="es-CO"/>
        </w:rPr>
      </w:pPr>
      <w:r>
        <w:rPr>
          <w:rFonts w:eastAsia="Times New Roman"/>
          <w:sz w:val="24"/>
          <w:szCs w:val="24"/>
          <w:lang w:eastAsia="es-CO"/>
        </w:rPr>
        <w:t xml:space="preserve">Así, definir lo que es o no relevante en el plano constitucional depende de verificar que, a primera vista, el cuestionamiento esté dirigido contra una posible afectación </w:t>
      </w:r>
      <w:r>
        <w:rPr>
          <w:rFonts w:eastAsia="Times New Roman"/>
          <w:sz w:val="24"/>
          <w:szCs w:val="24"/>
          <w:lang w:eastAsia="es-CO"/>
        </w:rPr>
        <w:lastRenderedPageBreak/>
        <w:t>o vulneración de las garantías constitucionales relacionadas con el núcleo de los derechos fundamentales. En especial, debe hacerse énfasis en el derecho al debido proceso constitucional</w:t>
      </w:r>
      <w:r>
        <w:rPr>
          <w:rStyle w:val="Refdenotaalpie"/>
          <w:rFonts w:eastAsia="Times New Roman"/>
          <w:sz w:val="24"/>
          <w:szCs w:val="24"/>
          <w:lang w:eastAsia="es-CO"/>
        </w:rPr>
        <w:footnoteReference w:id="25"/>
      </w:r>
      <w:r>
        <w:rPr>
          <w:rFonts w:eastAsia="Times New Roman"/>
          <w:sz w:val="24"/>
          <w:szCs w:val="24"/>
          <w:lang w:eastAsia="es-CO"/>
        </w:rPr>
        <w:t>. Para ello, la jurisprudencia constitucional</w:t>
      </w:r>
      <w:r>
        <w:rPr>
          <w:rStyle w:val="Refdenotaalpie"/>
          <w:rFonts w:eastAsia="Times New Roman"/>
          <w:sz w:val="24"/>
          <w:szCs w:val="24"/>
          <w:lang w:eastAsia="es-CO"/>
        </w:rPr>
        <w:footnoteReference w:id="26"/>
      </w:r>
      <w:r>
        <w:rPr>
          <w:rFonts w:eastAsia="Times New Roman"/>
          <w:sz w:val="24"/>
          <w:szCs w:val="24"/>
          <w:lang w:eastAsia="es-CO"/>
        </w:rPr>
        <w:t> ha definido cuáles son los requisitos específicos de procedencia que pueden ser considerados como únicas causales que habilitan el control constitucional concreto. </w:t>
      </w:r>
    </w:p>
    <w:p w:rsidR="00B25D7D" w:rsidRDefault="008E7CD2" w:rsidP="00331291">
      <w:pPr>
        <w:overflowPunct w:val="0"/>
        <w:autoSpaceDE w:val="0"/>
        <w:autoSpaceDN w:val="0"/>
        <w:adjustRightInd w:val="0"/>
        <w:rPr>
          <w:sz w:val="24"/>
          <w:szCs w:val="24"/>
        </w:rPr>
      </w:pPr>
      <w:r>
        <w:rPr>
          <w:sz w:val="24"/>
          <w:szCs w:val="24"/>
        </w:rPr>
        <w:t xml:space="preserve">El requisito de relevancia constitucional exige, entonces, que los argumentos planteados en la solicitud de amparo estén dirigidos a </w:t>
      </w:r>
      <w:r>
        <w:rPr>
          <w:rFonts w:eastAsia="Times New Roman"/>
          <w:sz w:val="24"/>
          <w:szCs w:val="24"/>
          <w:lang w:eastAsia="es-ES"/>
        </w:rPr>
        <w:t>exponer las</w:t>
      </w:r>
      <w:r>
        <w:rPr>
          <w:sz w:val="24"/>
          <w:szCs w:val="24"/>
        </w:rPr>
        <w:t xml:space="preserve"> razones por las que el cuestionamiento a una providencia que ha hecho tránsito a cosa juzgada trasciende de la controversia litigiosa propia de la causa ordinaria</w:t>
      </w:r>
      <w:r>
        <w:rPr>
          <w:rStyle w:val="Refdenotaalpie"/>
          <w:sz w:val="24"/>
          <w:szCs w:val="24"/>
        </w:rPr>
        <w:footnoteReference w:id="27"/>
      </w:r>
      <w:r>
        <w:rPr>
          <w:sz w:val="24"/>
          <w:szCs w:val="24"/>
        </w:rPr>
        <w:t xml:space="preserve">, a una cuestión con </w:t>
      </w:r>
      <w:r>
        <w:rPr>
          <w:bCs/>
          <w:sz w:val="24"/>
          <w:szCs w:val="24"/>
        </w:rPr>
        <w:t>relevancia constitucional,</w:t>
      </w:r>
      <w:r>
        <w:rPr>
          <w:sz w:val="24"/>
          <w:szCs w:val="24"/>
        </w:rPr>
        <w:t xml:space="preserve"> en términos de</w:t>
      </w:r>
      <w:r>
        <w:rPr>
          <w:rFonts w:eastAsia="Times New Roman"/>
          <w:sz w:val="24"/>
          <w:szCs w:val="24"/>
          <w:lang w:eastAsia="es-ES"/>
        </w:rPr>
        <w:t xml:space="preserve"> los defectos definidos por la jurisprudencia como únicas causales que habilitan el control constitucional concreto</w:t>
      </w:r>
      <w:r>
        <w:rPr>
          <w:rStyle w:val="Refdenotaalpie"/>
          <w:rFonts w:eastAsia="Verdana"/>
          <w:sz w:val="24"/>
          <w:szCs w:val="24"/>
        </w:rPr>
        <w:footnoteReference w:id="28"/>
      </w:r>
      <w:r>
        <w:rPr>
          <w:rFonts w:eastAsia="Times New Roman"/>
          <w:sz w:val="24"/>
          <w:szCs w:val="24"/>
          <w:lang w:eastAsia="es-ES"/>
        </w:rPr>
        <w:t>.</w:t>
      </w:r>
      <w:r w:rsidR="009F5B85">
        <w:rPr>
          <w:rFonts w:eastAsia="Times New Roman"/>
          <w:sz w:val="24"/>
          <w:szCs w:val="24"/>
          <w:lang w:eastAsia="es-ES"/>
        </w:rPr>
        <w:t xml:space="preserve"> </w:t>
      </w:r>
      <w:r>
        <w:rPr>
          <w:sz w:val="24"/>
          <w:szCs w:val="24"/>
        </w:rPr>
        <w:t>Así, son improcedentes los argumentos destinados a proponer fórmulas que habrían podido ser tenidas en cuenta en el proceso ordinario, o reiterar las ya expuestas en este, toda vez que, como lo ha establecido la Corte Constitucional, “la función del juez de tutela no es la de fungir como una instancia adicional del procedimiento judicial que se confuta, pues ello desconocería la competencia y finalidad de administración de justicia por parte de los jueces naturales, así como su autonomía funcional”</w:t>
      </w:r>
      <w:r>
        <w:rPr>
          <w:rFonts w:eastAsia="Verdana"/>
          <w:sz w:val="24"/>
          <w:szCs w:val="24"/>
          <w:vertAlign w:val="superscript"/>
        </w:rPr>
        <w:t xml:space="preserve"> </w:t>
      </w:r>
      <w:r>
        <w:rPr>
          <w:rFonts w:eastAsia="Verdana"/>
          <w:sz w:val="24"/>
          <w:szCs w:val="24"/>
          <w:vertAlign w:val="superscript"/>
        </w:rPr>
        <w:footnoteReference w:id="29"/>
      </w:r>
      <w:r>
        <w:rPr>
          <w:sz w:val="24"/>
          <w:szCs w:val="24"/>
        </w:rPr>
        <w:t>.</w:t>
      </w:r>
    </w:p>
    <w:p w:rsidR="0085747A" w:rsidRDefault="0085747A" w:rsidP="00331291">
      <w:pPr>
        <w:overflowPunct w:val="0"/>
        <w:autoSpaceDE w:val="0"/>
        <w:autoSpaceDN w:val="0"/>
        <w:adjustRightInd w:val="0"/>
        <w:rPr>
          <w:sz w:val="24"/>
          <w:szCs w:val="24"/>
        </w:rPr>
      </w:pPr>
    </w:p>
    <w:p w:rsidR="004D2CC1" w:rsidRPr="00FA3AE0" w:rsidRDefault="001A6593" w:rsidP="004D2CC1">
      <w:pPr>
        <w:overflowPunct w:val="0"/>
        <w:autoSpaceDE w:val="0"/>
        <w:autoSpaceDN w:val="0"/>
        <w:adjustRightInd w:val="0"/>
        <w:rPr>
          <w:color w:val="000000"/>
          <w:sz w:val="24"/>
          <w:szCs w:val="24"/>
        </w:rPr>
      </w:pPr>
      <w:r>
        <w:rPr>
          <w:sz w:val="24"/>
          <w:szCs w:val="24"/>
        </w:rPr>
        <w:t>2.4.1.</w:t>
      </w:r>
      <w:r w:rsidR="007E407E">
        <w:rPr>
          <w:sz w:val="24"/>
          <w:szCs w:val="24"/>
        </w:rPr>
        <w:t>1.</w:t>
      </w:r>
      <w:r w:rsidR="004D2CC1" w:rsidRPr="00AA6129">
        <w:rPr>
          <w:bCs/>
          <w:sz w:val="24"/>
          <w:szCs w:val="24"/>
        </w:rPr>
        <w:t xml:space="preserve"> Ahora bien, los</w:t>
      </w:r>
      <w:r w:rsidR="004D2CC1" w:rsidRPr="00A00555">
        <w:rPr>
          <w:sz w:val="24"/>
          <w:szCs w:val="24"/>
        </w:rPr>
        <w:t xml:space="preserve"> cuestionamientos planteados </w:t>
      </w:r>
      <w:r w:rsidR="004D2CC1">
        <w:rPr>
          <w:sz w:val="24"/>
          <w:szCs w:val="24"/>
        </w:rPr>
        <w:t xml:space="preserve">por la accionante se subsumen </w:t>
      </w:r>
      <w:r w:rsidR="00DB37C0">
        <w:rPr>
          <w:sz w:val="24"/>
          <w:szCs w:val="24"/>
        </w:rPr>
        <w:t xml:space="preserve">en los términos de un defecto por desconocimiento del precedente en la medida que </w:t>
      </w:r>
      <w:r w:rsidR="0085747A">
        <w:rPr>
          <w:sz w:val="24"/>
          <w:szCs w:val="24"/>
        </w:rPr>
        <w:t xml:space="preserve">afirmó que </w:t>
      </w:r>
      <w:r w:rsidR="004D2CC1" w:rsidRPr="00A00555">
        <w:rPr>
          <w:sz w:val="24"/>
          <w:szCs w:val="24"/>
        </w:rPr>
        <w:t xml:space="preserve">el </w:t>
      </w:r>
      <w:r w:rsidR="0085747A">
        <w:rPr>
          <w:sz w:val="24"/>
          <w:szCs w:val="24"/>
        </w:rPr>
        <w:t xml:space="preserve">tribunal </w:t>
      </w:r>
      <w:r w:rsidR="004D2CC1">
        <w:rPr>
          <w:sz w:val="24"/>
          <w:szCs w:val="24"/>
          <w:lang w:val="es-MX"/>
        </w:rPr>
        <w:t xml:space="preserve">sustentó </w:t>
      </w:r>
      <w:r w:rsidR="0085747A">
        <w:rPr>
          <w:sz w:val="24"/>
          <w:szCs w:val="24"/>
          <w:lang w:val="es-MX"/>
        </w:rPr>
        <w:t>la</w:t>
      </w:r>
      <w:r w:rsidR="004D2CC1">
        <w:rPr>
          <w:sz w:val="24"/>
          <w:szCs w:val="24"/>
          <w:lang w:val="es-MX"/>
        </w:rPr>
        <w:t xml:space="preserve"> decisión en jurisprudencia que no t</w:t>
      </w:r>
      <w:r w:rsidR="0085747A">
        <w:rPr>
          <w:sz w:val="24"/>
          <w:szCs w:val="24"/>
          <w:lang w:val="es-MX"/>
        </w:rPr>
        <w:t xml:space="preserve">iene relación directa </w:t>
      </w:r>
      <w:proofErr w:type="spellStart"/>
      <w:r w:rsidR="004D2CC1">
        <w:rPr>
          <w:sz w:val="24"/>
          <w:szCs w:val="24"/>
          <w:lang w:val="es-MX"/>
        </w:rPr>
        <w:t xml:space="preserve">con </w:t>
      </w:r>
      <w:proofErr w:type="spellEnd"/>
      <w:r w:rsidR="004D2CC1">
        <w:rPr>
          <w:sz w:val="24"/>
          <w:szCs w:val="24"/>
          <w:lang w:val="es-MX"/>
        </w:rPr>
        <w:t xml:space="preserve">la situación fáctica y jurídica del caso concreto y desconoció el </w:t>
      </w:r>
      <w:r w:rsidR="004D2CC1">
        <w:rPr>
          <w:color w:val="000000"/>
          <w:sz w:val="24"/>
          <w:szCs w:val="24"/>
        </w:rPr>
        <w:t>precedente de la Corte Suprema de Justicia respecto de la compatibilidad de las pensiones de vejez e invalidez al cubrir riesgos distintos, cuando tienen fuentes de financiación autónomas y una reglamentación distinta</w:t>
      </w:r>
      <w:r w:rsidR="004D2CC1" w:rsidRPr="00FA3AE0">
        <w:rPr>
          <w:rStyle w:val="Refdenotaalpie"/>
          <w:color w:val="000000"/>
          <w:sz w:val="22"/>
          <w:szCs w:val="22"/>
        </w:rPr>
        <w:footnoteReference w:id="30"/>
      </w:r>
      <w:r w:rsidR="004D2CC1" w:rsidRPr="00FA3AE0">
        <w:rPr>
          <w:color w:val="000000"/>
          <w:sz w:val="22"/>
          <w:szCs w:val="22"/>
        </w:rPr>
        <w:t>.</w:t>
      </w:r>
    </w:p>
    <w:p w:rsidR="004D2CC1" w:rsidRDefault="004D2CC1" w:rsidP="004D2CC1">
      <w:pPr>
        <w:pStyle w:val="p1"/>
        <w:jc w:val="both"/>
        <w:rPr>
          <w:rFonts w:ascii="Arial" w:hAnsi="Arial" w:cs="Arial"/>
          <w:sz w:val="24"/>
          <w:szCs w:val="24"/>
          <w:lang w:val="es-MX"/>
        </w:rPr>
      </w:pPr>
    </w:p>
    <w:p w:rsidR="004D2CC1" w:rsidRPr="009A56C0" w:rsidRDefault="005219F4" w:rsidP="004D2CC1">
      <w:pPr>
        <w:rPr>
          <w:sz w:val="24"/>
          <w:szCs w:val="24"/>
        </w:rPr>
      </w:pPr>
      <w:r>
        <w:rPr>
          <w:rFonts w:eastAsia="Arial Unicode MS"/>
          <w:bCs/>
          <w:sz w:val="24"/>
          <w:szCs w:val="24"/>
          <w:lang w:val="es-ES_tradnl" w:eastAsia="es-ES"/>
        </w:rPr>
        <w:t>En este contexto</w:t>
      </w:r>
      <w:r w:rsidR="004D2CC1">
        <w:rPr>
          <w:rFonts w:eastAsia="Arial Unicode MS"/>
          <w:bCs/>
          <w:sz w:val="24"/>
          <w:szCs w:val="24"/>
          <w:lang w:val="es-ES_tradnl" w:eastAsia="es-ES"/>
        </w:rPr>
        <w:t xml:space="preserve">, </w:t>
      </w:r>
      <w:r>
        <w:rPr>
          <w:rFonts w:eastAsia="Arial Unicode MS"/>
          <w:bCs/>
          <w:sz w:val="24"/>
          <w:szCs w:val="24"/>
          <w:lang w:val="es-ES_tradnl" w:eastAsia="es-ES"/>
        </w:rPr>
        <w:t xml:space="preserve">es preciso reiterar que </w:t>
      </w:r>
      <w:r w:rsidR="004D2CC1">
        <w:rPr>
          <w:rFonts w:eastAsia="Arial Unicode MS"/>
          <w:bCs/>
          <w:sz w:val="24"/>
          <w:szCs w:val="24"/>
          <w:lang w:val="es-ES_tradnl" w:eastAsia="es-ES"/>
        </w:rPr>
        <w:t xml:space="preserve">un juicio sobre la relevancia constitucional exige que la accionante se refiera a los defectos concretos en que incurrió la sentencia atacada, y que hubieran determinado una afectación de sus derechos fundamentales. </w:t>
      </w:r>
      <w:r w:rsidR="008C20D6">
        <w:rPr>
          <w:rFonts w:eastAsia="Arial Unicode MS"/>
          <w:bCs/>
          <w:sz w:val="24"/>
          <w:szCs w:val="24"/>
          <w:lang w:val="es-ES_tradnl" w:eastAsia="es-ES"/>
        </w:rPr>
        <w:t>E</w:t>
      </w:r>
      <w:r w:rsidR="004D2CC1">
        <w:rPr>
          <w:rFonts w:eastAsia="Arial Unicode MS"/>
          <w:bCs/>
          <w:sz w:val="24"/>
          <w:szCs w:val="24"/>
          <w:lang w:eastAsia="es-ES"/>
        </w:rPr>
        <w:t xml:space="preserve">n términos </w:t>
      </w:r>
      <w:r w:rsidR="004D2CC1">
        <w:rPr>
          <w:sz w:val="24"/>
          <w:szCs w:val="24"/>
        </w:rPr>
        <w:t>del defecto por desconocimiento del precedente, la Corte ha indicado que este, “</w:t>
      </w:r>
      <w:r w:rsidR="004D2CC1" w:rsidRPr="009A56C0">
        <w:rPr>
          <w:sz w:val="24"/>
          <w:szCs w:val="24"/>
        </w:rPr>
        <w:t xml:space="preserve">se configura cuando el funcionario judicial se aparta de </w:t>
      </w:r>
      <w:r w:rsidR="004D2CC1" w:rsidRPr="009A56C0">
        <w:rPr>
          <w:sz w:val="24"/>
          <w:szCs w:val="24"/>
        </w:rPr>
        <w:lastRenderedPageBreak/>
        <w:t>las sentencias emitidos [sic] por los tribunales de cierre (precedente vertical) o los dictados por ellos mismos (precedente horizontal) al momento de resolver asuntos que presentan una situación fáctica similar a los decididos en aquellas providencias, sin exponer las razones jurídicas que justifiquen el cambio de jurisprudencia”</w:t>
      </w:r>
      <w:r w:rsidR="004D2CC1" w:rsidRPr="009A56C0">
        <w:rPr>
          <w:sz w:val="24"/>
          <w:szCs w:val="24"/>
          <w:vertAlign w:val="superscript"/>
        </w:rPr>
        <w:footnoteReference w:id="31"/>
      </w:r>
      <w:r w:rsidR="004D2CC1" w:rsidRPr="009A56C0">
        <w:rPr>
          <w:sz w:val="24"/>
          <w:szCs w:val="24"/>
        </w:rPr>
        <w:t xml:space="preserve">. Por tanto, la invocación de un precedente está determinado por la especialidad, de manera que sea el órgano de cierre que defina los criterios y reglas aplicables en casos semejantes, o, en el caso del precedente horizontal, los órganos judiciales deben resolver los asuntos que conocen a partir de un criterio de igualdad.  Por otro lado, la Corte ha dicho que, el </w:t>
      </w:r>
      <w:r w:rsidR="004D2CC1" w:rsidRPr="009A56C0">
        <w:rPr>
          <w:sz w:val="24"/>
          <w:szCs w:val="24"/>
          <w:lang w:val="es-ES"/>
        </w:rPr>
        <w:t>precedente constitucional no constituye una obligatoriedad absoluta, pues debido al principio de la autonomía judicial, el juez puede apartarse de aquellos, siempre y cuando presente </w:t>
      </w:r>
      <w:r w:rsidR="004D2CC1" w:rsidRPr="009A56C0">
        <w:rPr>
          <w:b/>
          <w:bCs/>
          <w:sz w:val="24"/>
          <w:szCs w:val="24"/>
          <w:lang w:val="es-ES"/>
        </w:rPr>
        <w:t>(i)</w:t>
      </w:r>
      <w:r w:rsidR="004D2CC1" w:rsidRPr="009A56C0">
        <w:rPr>
          <w:sz w:val="24"/>
          <w:szCs w:val="24"/>
          <w:lang w:val="es-ES"/>
        </w:rPr>
        <w:t> de forma explícita las </w:t>
      </w:r>
      <w:r w:rsidR="004D2CC1" w:rsidRPr="009A56C0">
        <w:rPr>
          <w:sz w:val="24"/>
          <w:szCs w:val="24"/>
        </w:rPr>
        <w:t>razones por las cuales se separa de aquellos, y </w:t>
      </w:r>
      <w:r w:rsidR="004D2CC1" w:rsidRPr="009A56C0">
        <w:rPr>
          <w:b/>
          <w:bCs/>
          <w:sz w:val="24"/>
          <w:szCs w:val="24"/>
        </w:rPr>
        <w:t>(</w:t>
      </w:r>
      <w:proofErr w:type="spellStart"/>
      <w:r w:rsidR="004D2CC1" w:rsidRPr="009A56C0">
        <w:rPr>
          <w:b/>
          <w:bCs/>
          <w:sz w:val="24"/>
          <w:szCs w:val="24"/>
        </w:rPr>
        <w:t>ii</w:t>
      </w:r>
      <w:proofErr w:type="spellEnd"/>
      <w:r w:rsidR="004D2CC1" w:rsidRPr="009A56C0">
        <w:rPr>
          <w:b/>
          <w:bCs/>
          <w:sz w:val="24"/>
          <w:szCs w:val="24"/>
        </w:rPr>
        <w:t>)</w:t>
      </w:r>
      <w:r w:rsidR="004D2CC1" w:rsidRPr="009A56C0">
        <w:rPr>
          <w:sz w:val="24"/>
          <w:szCs w:val="24"/>
        </w:rPr>
        <w:t xml:space="preserve"> demuestre con suficiencia que su interpretación aporta un mejor desarrollo a los derechos y principios constitucionales. </w:t>
      </w:r>
    </w:p>
    <w:p w:rsidR="004D2CC1" w:rsidRDefault="004D2CC1" w:rsidP="004D2CC1">
      <w:pPr>
        <w:rPr>
          <w:b/>
          <w:sz w:val="24"/>
          <w:szCs w:val="24"/>
        </w:rPr>
      </w:pPr>
    </w:p>
    <w:p w:rsidR="004D2CC1" w:rsidRDefault="0095710A" w:rsidP="004D2CC1">
      <w:pPr>
        <w:overflowPunct w:val="0"/>
        <w:autoSpaceDE w:val="0"/>
        <w:autoSpaceDN w:val="0"/>
        <w:adjustRightInd w:val="0"/>
        <w:rPr>
          <w:sz w:val="24"/>
          <w:szCs w:val="24"/>
        </w:rPr>
      </w:pPr>
      <w:r>
        <w:rPr>
          <w:rFonts w:eastAsia="Arial Unicode MS"/>
          <w:bCs/>
          <w:sz w:val="24"/>
          <w:szCs w:val="24"/>
          <w:lang w:val="es-ES_tradnl" w:eastAsia="es-ES"/>
        </w:rPr>
        <w:t>Clemencia Rodríguez Espinoza</w:t>
      </w:r>
      <w:r w:rsidR="004D2CC1">
        <w:rPr>
          <w:rFonts w:eastAsia="Arial Unicode MS"/>
          <w:bCs/>
          <w:sz w:val="24"/>
          <w:szCs w:val="24"/>
          <w:lang w:val="es-ES_tradnl" w:eastAsia="es-ES"/>
        </w:rPr>
        <w:t xml:space="preserve"> no dirigió sus argumentos contra las razones concretas que expuso la autoridad cuestionada y que sustentaron </w:t>
      </w:r>
      <w:r w:rsidR="0085747A">
        <w:rPr>
          <w:rFonts w:eastAsia="Arial Unicode MS"/>
          <w:bCs/>
          <w:sz w:val="24"/>
          <w:szCs w:val="24"/>
          <w:lang w:val="es-ES_tradnl" w:eastAsia="es-ES"/>
        </w:rPr>
        <w:t>la</w:t>
      </w:r>
      <w:r w:rsidR="004D2CC1">
        <w:rPr>
          <w:rFonts w:eastAsia="Arial Unicode MS"/>
          <w:bCs/>
          <w:sz w:val="24"/>
          <w:szCs w:val="24"/>
          <w:lang w:val="es-ES_tradnl" w:eastAsia="es-ES"/>
        </w:rPr>
        <w:t xml:space="preserve"> decisión, las cuales se pueden sintetizar en que</w:t>
      </w:r>
      <w:r w:rsidR="00EB641A">
        <w:rPr>
          <w:rStyle w:val="Refdenotaalpie"/>
          <w:rFonts w:eastAsia="Arial Unicode MS"/>
          <w:bCs/>
          <w:sz w:val="24"/>
          <w:szCs w:val="24"/>
          <w:lang w:val="es-ES_tradnl" w:eastAsia="es-ES"/>
        </w:rPr>
        <w:footnoteReference w:id="32"/>
      </w:r>
      <w:r w:rsidR="004D2CC1">
        <w:rPr>
          <w:rFonts w:eastAsia="Arial Unicode MS"/>
          <w:bCs/>
          <w:sz w:val="24"/>
          <w:szCs w:val="24"/>
          <w:lang w:val="es-ES_tradnl" w:eastAsia="es-ES"/>
        </w:rPr>
        <w:t xml:space="preserve">: </w:t>
      </w:r>
      <w:r w:rsidR="004D2CC1">
        <w:rPr>
          <w:sz w:val="24"/>
          <w:szCs w:val="24"/>
        </w:rPr>
        <w:t xml:space="preserve">i) el </w:t>
      </w:r>
      <w:r w:rsidR="003458AA">
        <w:rPr>
          <w:sz w:val="24"/>
          <w:szCs w:val="24"/>
        </w:rPr>
        <w:t>régimen pensional de los docentes vinculados con anterioridad a la entrada en vigencia de la Ley 812 de 2003,  en lo concerniente a la pensión de invalidez, es el contenido en el artículo 31 del Decreto 3135 de 1968</w:t>
      </w:r>
      <w:r w:rsidR="00433BF9">
        <w:rPr>
          <w:sz w:val="24"/>
          <w:szCs w:val="24"/>
        </w:rPr>
        <w:t xml:space="preserve"> en concordancia con el artículo 88 del Decreto 1848 de 1969</w:t>
      </w:r>
      <w:r w:rsidR="004D2CC1">
        <w:rPr>
          <w:sz w:val="24"/>
          <w:szCs w:val="24"/>
        </w:rPr>
        <w:t xml:space="preserve">; </w:t>
      </w:r>
      <w:proofErr w:type="spellStart"/>
      <w:r w:rsidR="004D2CC1" w:rsidRPr="00433BF9">
        <w:rPr>
          <w:sz w:val="24"/>
          <w:szCs w:val="24"/>
        </w:rPr>
        <w:t>ii</w:t>
      </w:r>
      <w:proofErr w:type="spellEnd"/>
      <w:r w:rsidR="004D2CC1" w:rsidRPr="00433BF9">
        <w:rPr>
          <w:sz w:val="24"/>
          <w:szCs w:val="24"/>
        </w:rPr>
        <w:t xml:space="preserve">) </w:t>
      </w:r>
      <w:r w:rsidR="00433BF9" w:rsidRPr="00433BF9">
        <w:rPr>
          <w:sz w:val="24"/>
          <w:szCs w:val="24"/>
        </w:rPr>
        <w:t>el Consejo de Estado ha indicado la incompatibilidad de las pensiones de jubilación e invalidez con base en que tales prestaciones tienen su origen en una misma relación laboral, están condicionadas a los aportes y su finalidad análoga</w:t>
      </w:r>
      <w:r w:rsidR="00433BF9">
        <w:rPr>
          <w:sz w:val="24"/>
          <w:szCs w:val="24"/>
        </w:rPr>
        <w:t>;</w:t>
      </w:r>
      <w:r w:rsidR="004D2CC1" w:rsidRPr="00406FAF">
        <w:rPr>
          <w:color w:val="FF0000"/>
          <w:sz w:val="24"/>
          <w:szCs w:val="24"/>
        </w:rPr>
        <w:t xml:space="preserve"> </w:t>
      </w:r>
      <w:proofErr w:type="spellStart"/>
      <w:r w:rsidR="004D2CC1" w:rsidRPr="00433BF9">
        <w:rPr>
          <w:sz w:val="24"/>
          <w:szCs w:val="24"/>
        </w:rPr>
        <w:t>iii</w:t>
      </w:r>
      <w:proofErr w:type="spellEnd"/>
      <w:r w:rsidR="004D2CC1" w:rsidRPr="00433BF9">
        <w:rPr>
          <w:sz w:val="24"/>
          <w:szCs w:val="24"/>
        </w:rPr>
        <w:t xml:space="preserve">) </w:t>
      </w:r>
      <w:r w:rsidR="00433BF9" w:rsidRPr="00433BF9">
        <w:rPr>
          <w:sz w:val="24"/>
          <w:szCs w:val="24"/>
        </w:rPr>
        <w:t>la ley 100 de 1993 en su artículo 13, literal j) dispuso que no era viable recibir simultáneamente las dos prestaciones</w:t>
      </w:r>
      <w:r w:rsidR="004D2CC1" w:rsidRPr="00433BF9">
        <w:rPr>
          <w:sz w:val="24"/>
          <w:szCs w:val="24"/>
        </w:rPr>
        <w:t xml:space="preserve">; </w:t>
      </w:r>
      <w:proofErr w:type="spellStart"/>
      <w:r w:rsidR="004D2CC1" w:rsidRPr="00433BF9">
        <w:rPr>
          <w:sz w:val="24"/>
          <w:szCs w:val="24"/>
        </w:rPr>
        <w:t>iv</w:t>
      </w:r>
      <w:proofErr w:type="spellEnd"/>
      <w:r w:rsidR="004D2CC1" w:rsidRPr="00433BF9">
        <w:rPr>
          <w:sz w:val="24"/>
          <w:szCs w:val="24"/>
        </w:rPr>
        <w:t xml:space="preserve">) </w:t>
      </w:r>
      <w:r w:rsidR="00433BF9" w:rsidRPr="00433BF9">
        <w:rPr>
          <w:sz w:val="24"/>
          <w:szCs w:val="24"/>
        </w:rPr>
        <w:t xml:space="preserve">las normas en virtud de las cuales le fue reconocida la pensión de invalidez (artículos 31 del Decreto 3135 de 1968 y 88 del Decreto 1848 de 1969) y de vejez (artículo 13, literal j) de la Ley 100 de </w:t>
      </w:r>
      <w:r w:rsidR="00433BF9" w:rsidRPr="00F76AB4">
        <w:rPr>
          <w:sz w:val="24"/>
          <w:szCs w:val="24"/>
        </w:rPr>
        <w:t xml:space="preserve">1993) a la demandante, establecen la incompatibilidad de estas prestaciones pensionales; </w:t>
      </w:r>
      <w:r w:rsidR="00F76AB4" w:rsidRPr="00F76AB4">
        <w:rPr>
          <w:sz w:val="24"/>
          <w:szCs w:val="24"/>
        </w:rPr>
        <w:t xml:space="preserve">y </w:t>
      </w:r>
      <w:r w:rsidR="00433BF9" w:rsidRPr="00F76AB4">
        <w:rPr>
          <w:sz w:val="24"/>
          <w:szCs w:val="24"/>
        </w:rPr>
        <w:t>v)</w:t>
      </w:r>
      <w:r w:rsidR="00F76AB4" w:rsidRPr="00F76AB4">
        <w:rPr>
          <w:sz w:val="24"/>
          <w:szCs w:val="24"/>
        </w:rPr>
        <w:t xml:space="preserve"> la finalidad de ambas prestaciones es análoga en la medida que cubren la pérdida de capacidad de trabajo.</w:t>
      </w:r>
    </w:p>
    <w:p w:rsidR="00F76AB4" w:rsidRDefault="00F76AB4" w:rsidP="004D2CC1">
      <w:pPr>
        <w:overflowPunct w:val="0"/>
        <w:autoSpaceDE w:val="0"/>
        <w:autoSpaceDN w:val="0"/>
        <w:adjustRightInd w:val="0"/>
        <w:rPr>
          <w:sz w:val="24"/>
          <w:szCs w:val="24"/>
        </w:rPr>
      </w:pPr>
    </w:p>
    <w:p w:rsidR="00314691" w:rsidRDefault="004D2CC1" w:rsidP="004D2CC1">
      <w:pPr>
        <w:overflowPunct w:val="0"/>
        <w:autoSpaceDE w:val="0"/>
        <w:autoSpaceDN w:val="0"/>
        <w:adjustRightInd w:val="0"/>
        <w:rPr>
          <w:bCs/>
          <w:sz w:val="24"/>
          <w:szCs w:val="24"/>
        </w:rPr>
      </w:pPr>
      <w:r>
        <w:rPr>
          <w:sz w:val="24"/>
          <w:szCs w:val="24"/>
        </w:rPr>
        <w:t xml:space="preserve">La Sala considera que la tutelante trajo a este trámite constitucional cuestionamientos que, lejos de indicar los yerros presentes en relación con </w:t>
      </w:r>
      <w:r w:rsidR="00175E25">
        <w:rPr>
          <w:sz w:val="24"/>
          <w:szCs w:val="24"/>
        </w:rPr>
        <w:t xml:space="preserve">las </w:t>
      </w:r>
      <w:r>
        <w:rPr>
          <w:sz w:val="24"/>
          <w:szCs w:val="24"/>
        </w:rPr>
        <w:t xml:space="preserve">reglas jurisprudenciales aplicadas en el estudio fáctico y jurídico realizado por </w:t>
      </w:r>
      <w:r w:rsidRPr="00A40147">
        <w:rPr>
          <w:sz w:val="24"/>
          <w:szCs w:val="24"/>
        </w:rPr>
        <w:t xml:space="preserve">el Tribunal Administrativo de Cundinamarca, Sección Segunda, Subsección </w:t>
      </w:r>
      <w:r w:rsidR="00556329">
        <w:rPr>
          <w:sz w:val="24"/>
          <w:szCs w:val="24"/>
        </w:rPr>
        <w:t>E</w:t>
      </w:r>
      <w:r w:rsidRPr="00A40147">
        <w:rPr>
          <w:bCs/>
          <w:sz w:val="24"/>
          <w:szCs w:val="24"/>
        </w:rPr>
        <w:t xml:space="preserve">, en realidad plantean </w:t>
      </w:r>
      <w:r w:rsidR="00314691">
        <w:rPr>
          <w:bCs/>
          <w:sz w:val="24"/>
          <w:szCs w:val="24"/>
        </w:rPr>
        <w:t>sus inconformidades</w:t>
      </w:r>
      <w:r w:rsidRPr="00A40147">
        <w:rPr>
          <w:bCs/>
          <w:sz w:val="24"/>
          <w:szCs w:val="24"/>
        </w:rPr>
        <w:t xml:space="preserve"> sobre la forma de estudiar el asunto y las conclusiones</w:t>
      </w:r>
      <w:r>
        <w:rPr>
          <w:bCs/>
          <w:sz w:val="24"/>
          <w:szCs w:val="24"/>
        </w:rPr>
        <w:t xml:space="preserve"> </w:t>
      </w:r>
      <w:r w:rsidR="0085747A">
        <w:rPr>
          <w:bCs/>
          <w:sz w:val="24"/>
          <w:szCs w:val="24"/>
        </w:rPr>
        <w:t xml:space="preserve">a las que debía llegar el juez en relación con la </w:t>
      </w:r>
      <w:r w:rsidR="00556329">
        <w:rPr>
          <w:bCs/>
          <w:sz w:val="24"/>
          <w:szCs w:val="24"/>
        </w:rPr>
        <w:t xml:space="preserve">compatibilidad </w:t>
      </w:r>
      <w:r w:rsidR="0085747A">
        <w:rPr>
          <w:bCs/>
          <w:sz w:val="24"/>
          <w:szCs w:val="24"/>
        </w:rPr>
        <w:t xml:space="preserve">pensional de vejez y de invalidez debidamente reconocidas. </w:t>
      </w:r>
    </w:p>
    <w:p w:rsidR="00314691" w:rsidRDefault="00314691" w:rsidP="004D2CC1">
      <w:pPr>
        <w:overflowPunct w:val="0"/>
        <w:autoSpaceDE w:val="0"/>
        <w:autoSpaceDN w:val="0"/>
        <w:adjustRightInd w:val="0"/>
        <w:rPr>
          <w:bCs/>
          <w:sz w:val="24"/>
          <w:szCs w:val="24"/>
        </w:rPr>
      </w:pPr>
    </w:p>
    <w:p w:rsidR="004D2CC1" w:rsidRDefault="004D2CC1" w:rsidP="004D2CC1">
      <w:pPr>
        <w:overflowPunct w:val="0"/>
        <w:autoSpaceDE w:val="0"/>
        <w:autoSpaceDN w:val="0"/>
        <w:adjustRightInd w:val="0"/>
        <w:rPr>
          <w:bCs/>
          <w:sz w:val="24"/>
          <w:szCs w:val="24"/>
        </w:rPr>
      </w:pPr>
      <w:r>
        <w:rPr>
          <w:bCs/>
          <w:sz w:val="24"/>
          <w:szCs w:val="24"/>
        </w:rPr>
        <w:t xml:space="preserve">En concreto, expuso </w:t>
      </w:r>
      <w:r w:rsidR="00314691">
        <w:rPr>
          <w:bCs/>
          <w:sz w:val="24"/>
          <w:szCs w:val="24"/>
        </w:rPr>
        <w:t>sus consideraciones</w:t>
      </w:r>
      <w:r>
        <w:rPr>
          <w:bCs/>
          <w:sz w:val="24"/>
          <w:szCs w:val="24"/>
        </w:rPr>
        <w:t xml:space="preserve"> respecto del análisis del </w:t>
      </w:r>
      <w:r w:rsidR="00556329">
        <w:rPr>
          <w:bCs/>
          <w:sz w:val="24"/>
          <w:szCs w:val="24"/>
        </w:rPr>
        <w:t>caso concreto y</w:t>
      </w:r>
      <w:r>
        <w:rPr>
          <w:bCs/>
          <w:sz w:val="24"/>
          <w:szCs w:val="24"/>
        </w:rPr>
        <w:t xml:space="preserve"> enunció las sentencias que, en su criterio, daban cuenta de la conclusión errada proferida por la autoridad cuestionada, pero no expuso reclamos en contra de la </w:t>
      </w:r>
      <w:r w:rsidR="00837790">
        <w:rPr>
          <w:bCs/>
          <w:sz w:val="24"/>
          <w:szCs w:val="24"/>
        </w:rPr>
        <w:t>providencia objeto de tutela,</w:t>
      </w:r>
      <w:r>
        <w:rPr>
          <w:bCs/>
          <w:sz w:val="24"/>
          <w:szCs w:val="24"/>
        </w:rPr>
        <w:t xml:space="preserve"> dirigidos a indicar concretamente la configuración del defecto y/o defectos que, en términos </w:t>
      </w:r>
      <w:proofErr w:type="spellStart"/>
      <w:r>
        <w:rPr>
          <w:bCs/>
          <w:i/>
          <w:sz w:val="24"/>
          <w:szCs w:val="24"/>
        </w:rPr>
        <w:t>iusfundamentales</w:t>
      </w:r>
      <w:proofErr w:type="spellEnd"/>
      <w:r w:rsidR="00D62E2A">
        <w:rPr>
          <w:bCs/>
          <w:i/>
          <w:sz w:val="24"/>
          <w:szCs w:val="24"/>
        </w:rPr>
        <w:t xml:space="preserve">, </w:t>
      </w:r>
      <w:r>
        <w:rPr>
          <w:bCs/>
          <w:sz w:val="24"/>
          <w:szCs w:val="24"/>
        </w:rPr>
        <w:t>incurrió al realizar el estudio de</w:t>
      </w:r>
      <w:r w:rsidR="00D62E2A">
        <w:rPr>
          <w:bCs/>
          <w:sz w:val="24"/>
          <w:szCs w:val="24"/>
        </w:rPr>
        <w:t xml:space="preserve"> la controversia planteada en el proceso ordinario</w:t>
      </w:r>
      <w:r>
        <w:rPr>
          <w:bCs/>
          <w:sz w:val="24"/>
          <w:szCs w:val="24"/>
        </w:rPr>
        <w:t xml:space="preserve">, pues </w:t>
      </w:r>
      <w:r w:rsidR="00175E25">
        <w:rPr>
          <w:bCs/>
          <w:sz w:val="24"/>
          <w:szCs w:val="24"/>
        </w:rPr>
        <w:t>aun</w:t>
      </w:r>
      <w:r>
        <w:rPr>
          <w:bCs/>
          <w:sz w:val="24"/>
          <w:szCs w:val="24"/>
        </w:rPr>
        <w:t xml:space="preserve"> cuando enunció las sentencias que</w:t>
      </w:r>
      <w:r w:rsidR="00556329">
        <w:rPr>
          <w:bCs/>
          <w:sz w:val="24"/>
          <w:szCs w:val="24"/>
        </w:rPr>
        <w:t xml:space="preserve"> — a su juicio—</w:t>
      </w:r>
      <w:r w:rsidR="00D62E2A">
        <w:rPr>
          <w:bCs/>
          <w:sz w:val="24"/>
          <w:szCs w:val="24"/>
        </w:rPr>
        <w:t xml:space="preserve">, la autoridad judicial </w:t>
      </w:r>
      <w:r>
        <w:rPr>
          <w:bCs/>
          <w:sz w:val="24"/>
          <w:szCs w:val="24"/>
        </w:rPr>
        <w:t xml:space="preserve">desconoció, lo cierto es que, los argumentos planteados no permiten concluir que el </w:t>
      </w:r>
      <w:r w:rsidR="0085747A">
        <w:rPr>
          <w:bCs/>
          <w:sz w:val="24"/>
          <w:szCs w:val="24"/>
        </w:rPr>
        <w:t>t</w:t>
      </w:r>
      <w:r>
        <w:rPr>
          <w:bCs/>
          <w:sz w:val="24"/>
          <w:szCs w:val="24"/>
        </w:rPr>
        <w:t>ribunal aplicó indebidamente</w:t>
      </w:r>
      <w:r w:rsidR="00314691">
        <w:rPr>
          <w:bCs/>
          <w:sz w:val="24"/>
          <w:szCs w:val="24"/>
        </w:rPr>
        <w:t xml:space="preserve"> las normas ni</w:t>
      </w:r>
      <w:r>
        <w:rPr>
          <w:sz w:val="24"/>
          <w:szCs w:val="24"/>
        </w:rPr>
        <w:t xml:space="preserve"> planteó en concreto el desconocimiento de una regla jurisprudencial. </w:t>
      </w:r>
      <w:r>
        <w:rPr>
          <w:bCs/>
          <w:sz w:val="24"/>
          <w:szCs w:val="24"/>
        </w:rPr>
        <w:t xml:space="preserve"> Esto lleva a que no se active la competencia del juez de tutela para </w:t>
      </w:r>
      <w:r w:rsidR="0085747A">
        <w:rPr>
          <w:bCs/>
          <w:sz w:val="24"/>
          <w:szCs w:val="24"/>
        </w:rPr>
        <w:t xml:space="preserve">analizar de fondo el </w:t>
      </w:r>
      <w:r w:rsidR="00175E25">
        <w:rPr>
          <w:bCs/>
          <w:sz w:val="24"/>
          <w:szCs w:val="24"/>
        </w:rPr>
        <w:t>defecto</w:t>
      </w:r>
      <w:r w:rsidR="0085747A">
        <w:rPr>
          <w:bCs/>
          <w:sz w:val="24"/>
          <w:szCs w:val="24"/>
        </w:rPr>
        <w:t xml:space="preserve"> atribuido</w:t>
      </w:r>
      <w:r>
        <w:rPr>
          <w:bCs/>
          <w:sz w:val="24"/>
          <w:szCs w:val="24"/>
        </w:rPr>
        <w:t xml:space="preserve">, toda vez que de hacerlo supondría, más bien, un juicio de legalidad respecto </w:t>
      </w:r>
      <w:r w:rsidR="00175E25">
        <w:rPr>
          <w:bCs/>
          <w:sz w:val="24"/>
          <w:szCs w:val="24"/>
        </w:rPr>
        <w:t>de la compatibilidad de las prestaciones objeto de debate en el asunto ordinario</w:t>
      </w:r>
      <w:r>
        <w:rPr>
          <w:bCs/>
          <w:sz w:val="24"/>
          <w:szCs w:val="24"/>
        </w:rPr>
        <w:t xml:space="preserve">, lo que no corresponde en esta instancia constitucional. </w:t>
      </w:r>
    </w:p>
    <w:p w:rsidR="00556329" w:rsidRDefault="00556329" w:rsidP="004D2CC1">
      <w:pPr>
        <w:overflowPunct w:val="0"/>
        <w:autoSpaceDE w:val="0"/>
        <w:autoSpaceDN w:val="0"/>
        <w:adjustRightInd w:val="0"/>
        <w:rPr>
          <w:color w:val="4472C4"/>
          <w:sz w:val="24"/>
          <w:szCs w:val="24"/>
          <w:lang w:val="es-ES_tradnl"/>
        </w:rPr>
      </w:pPr>
    </w:p>
    <w:p w:rsidR="007F6F44" w:rsidRDefault="007E407E" w:rsidP="00331291">
      <w:pPr>
        <w:tabs>
          <w:tab w:val="left" w:pos="0"/>
        </w:tabs>
        <w:rPr>
          <w:sz w:val="24"/>
          <w:szCs w:val="24"/>
        </w:rPr>
      </w:pPr>
      <w:r>
        <w:rPr>
          <w:b/>
          <w:bCs/>
          <w:sz w:val="24"/>
          <w:szCs w:val="24"/>
        </w:rPr>
        <w:lastRenderedPageBreak/>
        <w:t xml:space="preserve">2.5. </w:t>
      </w:r>
      <w:r w:rsidR="00C92A30">
        <w:rPr>
          <w:sz w:val="24"/>
          <w:szCs w:val="24"/>
        </w:rPr>
        <w:t>En consecuencia,</w:t>
      </w:r>
      <w:r w:rsidR="007F6F44" w:rsidRPr="00A40147">
        <w:rPr>
          <w:sz w:val="24"/>
          <w:szCs w:val="24"/>
        </w:rPr>
        <w:t xml:space="preserve"> en virtud del estudio antes expuesto, la acción de tutela incoada </w:t>
      </w:r>
      <w:r w:rsidR="00C92A30">
        <w:rPr>
          <w:sz w:val="24"/>
          <w:szCs w:val="24"/>
        </w:rPr>
        <w:t xml:space="preserve">por </w:t>
      </w:r>
      <w:r w:rsidR="00FB34CB">
        <w:rPr>
          <w:sz w:val="24"/>
          <w:szCs w:val="24"/>
        </w:rPr>
        <w:t xml:space="preserve">la señora </w:t>
      </w:r>
      <w:r w:rsidR="00556329">
        <w:rPr>
          <w:sz w:val="24"/>
          <w:szCs w:val="24"/>
        </w:rPr>
        <w:t>Clemencia Rodríguez Espinoza</w:t>
      </w:r>
      <w:r w:rsidR="00C92A30">
        <w:rPr>
          <w:sz w:val="24"/>
          <w:szCs w:val="24"/>
        </w:rPr>
        <w:t xml:space="preserve"> en contra de la p</w:t>
      </w:r>
      <w:r w:rsidR="007F6F44" w:rsidRPr="00A40147">
        <w:rPr>
          <w:sz w:val="24"/>
          <w:szCs w:val="24"/>
        </w:rPr>
        <w:t xml:space="preserve">rovidencia proferida por </w:t>
      </w:r>
      <w:r w:rsidR="007F6F44" w:rsidRPr="00A40147">
        <w:rPr>
          <w:rFonts w:eastAsia="Dotum"/>
          <w:sz w:val="24"/>
          <w:szCs w:val="24"/>
        </w:rPr>
        <w:t xml:space="preserve">el Tribunal Administrativo de Cundinamarca, Sección Segunda, Subsección </w:t>
      </w:r>
      <w:r w:rsidR="00556329">
        <w:rPr>
          <w:rFonts w:eastAsia="Dotum"/>
          <w:sz w:val="24"/>
          <w:szCs w:val="24"/>
        </w:rPr>
        <w:t>E</w:t>
      </w:r>
      <w:r w:rsidR="007F6F44" w:rsidRPr="00A40147">
        <w:rPr>
          <w:rFonts w:eastAsia="Dotum"/>
          <w:sz w:val="24"/>
          <w:szCs w:val="24"/>
        </w:rPr>
        <w:t xml:space="preserve"> de</w:t>
      </w:r>
      <w:r w:rsidR="007F6F44" w:rsidRPr="00A40147">
        <w:rPr>
          <w:color w:val="000000"/>
          <w:sz w:val="24"/>
          <w:szCs w:val="24"/>
        </w:rPr>
        <w:t xml:space="preserve">l </w:t>
      </w:r>
      <w:r w:rsidR="00556329">
        <w:rPr>
          <w:color w:val="000000"/>
          <w:sz w:val="24"/>
          <w:szCs w:val="24"/>
        </w:rPr>
        <w:t>2</w:t>
      </w:r>
      <w:r w:rsidR="00EC5DFF">
        <w:rPr>
          <w:color w:val="000000"/>
          <w:sz w:val="24"/>
          <w:szCs w:val="24"/>
        </w:rPr>
        <w:t>9</w:t>
      </w:r>
      <w:r w:rsidR="00556329">
        <w:rPr>
          <w:color w:val="000000"/>
          <w:sz w:val="24"/>
          <w:szCs w:val="24"/>
        </w:rPr>
        <w:t xml:space="preserve"> de abril</w:t>
      </w:r>
      <w:r w:rsidR="007F6F44" w:rsidRPr="00A40147">
        <w:rPr>
          <w:color w:val="000000"/>
          <w:sz w:val="24"/>
          <w:szCs w:val="24"/>
        </w:rPr>
        <w:t xml:space="preserve"> de 202</w:t>
      </w:r>
      <w:r w:rsidR="00C92A30">
        <w:rPr>
          <w:color w:val="000000"/>
          <w:sz w:val="24"/>
          <w:szCs w:val="24"/>
        </w:rPr>
        <w:t>2</w:t>
      </w:r>
      <w:r w:rsidR="007F6F44" w:rsidRPr="00A40147">
        <w:rPr>
          <w:sz w:val="24"/>
          <w:szCs w:val="24"/>
        </w:rPr>
        <w:t>, no superó el estudio de procedibilidad</w:t>
      </w:r>
      <w:r w:rsidR="00445538">
        <w:rPr>
          <w:sz w:val="24"/>
          <w:szCs w:val="24"/>
        </w:rPr>
        <w:t xml:space="preserve"> de relevancia constitucional. </w:t>
      </w:r>
      <w:bookmarkStart w:id="2" w:name="_GoBack"/>
      <w:bookmarkEnd w:id="2"/>
      <w:r w:rsidR="007F6F44">
        <w:rPr>
          <w:sz w:val="24"/>
          <w:szCs w:val="24"/>
        </w:rPr>
        <w:t xml:space="preserve"> </w:t>
      </w:r>
    </w:p>
    <w:p w:rsidR="007F6F44" w:rsidRPr="00FB075F" w:rsidRDefault="007F6F44" w:rsidP="00331291">
      <w:pPr>
        <w:tabs>
          <w:tab w:val="left" w:pos="0"/>
        </w:tabs>
        <w:rPr>
          <w:sz w:val="24"/>
          <w:szCs w:val="24"/>
        </w:rPr>
      </w:pPr>
    </w:p>
    <w:p w:rsidR="00E425BA" w:rsidRPr="00766FA2" w:rsidRDefault="00E425BA" w:rsidP="00331291">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rsidR="00E425BA" w:rsidRPr="00766FA2" w:rsidRDefault="00E425BA" w:rsidP="00331291">
      <w:pPr>
        <w:tabs>
          <w:tab w:val="left" w:pos="3109"/>
        </w:tabs>
        <w:rPr>
          <w:sz w:val="24"/>
          <w:szCs w:val="24"/>
        </w:rPr>
      </w:pPr>
    </w:p>
    <w:p w:rsidR="004D154B" w:rsidRPr="00766FA2" w:rsidRDefault="004D154B" w:rsidP="00331291">
      <w:pPr>
        <w:tabs>
          <w:tab w:val="left" w:pos="851"/>
        </w:tabs>
        <w:jc w:val="center"/>
        <w:rPr>
          <w:rFonts w:eastAsia="Verdana"/>
          <w:b/>
          <w:sz w:val="24"/>
          <w:szCs w:val="24"/>
        </w:rPr>
      </w:pPr>
      <w:r w:rsidRPr="00766FA2">
        <w:rPr>
          <w:rFonts w:eastAsia="Verdana"/>
          <w:b/>
          <w:sz w:val="24"/>
          <w:szCs w:val="24"/>
        </w:rPr>
        <w:t>FALLA</w:t>
      </w:r>
    </w:p>
    <w:p w:rsidR="004D154B" w:rsidRPr="00766FA2" w:rsidRDefault="004D154B" w:rsidP="00331291">
      <w:pPr>
        <w:tabs>
          <w:tab w:val="left" w:pos="851"/>
        </w:tabs>
        <w:rPr>
          <w:rFonts w:eastAsia="Verdana"/>
          <w:b/>
          <w:sz w:val="24"/>
          <w:szCs w:val="24"/>
        </w:rPr>
      </w:pPr>
    </w:p>
    <w:p w:rsidR="00C92A30" w:rsidRDefault="004D154B" w:rsidP="00331291">
      <w:pPr>
        <w:tabs>
          <w:tab w:val="left" w:pos="851"/>
        </w:tabs>
        <w:rPr>
          <w:rFonts w:eastAsia="Verdana"/>
          <w:b/>
          <w:sz w:val="24"/>
          <w:szCs w:val="24"/>
        </w:rPr>
      </w:pPr>
      <w:r w:rsidRPr="007E7476">
        <w:rPr>
          <w:rFonts w:eastAsia="Verdana"/>
          <w:b/>
          <w:sz w:val="24"/>
          <w:szCs w:val="24"/>
        </w:rPr>
        <w:t>PRIMERO:</w:t>
      </w:r>
      <w:r w:rsidR="001D5284" w:rsidRPr="007E7476">
        <w:rPr>
          <w:rFonts w:eastAsia="Verdana"/>
          <w:b/>
          <w:sz w:val="24"/>
          <w:szCs w:val="24"/>
        </w:rPr>
        <w:t xml:space="preserve"> </w:t>
      </w:r>
      <w:r w:rsidR="00C92A30" w:rsidRPr="007E7476">
        <w:rPr>
          <w:rFonts w:eastAsia="Verdana"/>
          <w:b/>
          <w:sz w:val="24"/>
          <w:szCs w:val="24"/>
        </w:rPr>
        <w:t xml:space="preserve">DECLARAR IMPROCEDENTE </w:t>
      </w:r>
      <w:r w:rsidR="00C92A30" w:rsidRPr="007E7476">
        <w:rPr>
          <w:rFonts w:eastAsia="Verdana"/>
          <w:sz w:val="24"/>
          <w:szCs w:val="24"/>
        </w:rPr>
        <w:t>la solicitud de amparo presentada por</w:t>
      </w:r>
      <w:r w:rsidR="00B154E3" w:rsidRPr="00B154E3">
        <w:rPr>
          <w:sz w:val="24"/>
          <w:szCs w:val="24"/>
        </w:rPr>
        <w:t xml:space="preserve"> </w:t>
      </w:r>
      <w:r w:rsidR="00556329">
        <w:rPr>
          <w:sz w:val="24"/>
          <w:szCs w:val="24"/>
        </w:rPr>
        <w:t>Clemencia Rodríguez Espinoza</w:t>
      </w:r>
      <w:r w:rsidR="00C92A30">
        <w:rPr>
          <w:sz w:val="24"/>
          <w:szCs w:val="24"/>
        </w:rPr>
        <w:t xml:space="preserve"> en contra del Tribunal Administrativo de Cundinamarca, Sección Segunda, Subsección </w:t>
      </w:r>
      <w:r w:rsidR="00556329">
        <w:rPr>
          <w:sz w:val="24"/>
          <w:szCs w:val="24"/>
        </w:rPr>
        <w:t>E</w:t>
      </w:r>
      <w:r w:rsidR="00C92A30" w:rsidRPr="00766FA2">
        <w:rPr>
          <w:rFonts w:eastAsia="Verdana"/>
          <w:sz w:val="24"/>
          <w:szCs w:val="24"/>
        </w:rPr>
        <w:t>, por los motivos expuestos en las consideraciones de esta providencia</w:t>
      </w:r>
    </w:p>
    <w:p w:rsidR="009F5B85" w:rsidRDefault="009F5B85" w:rsidP="00331291">
      <w:pPr>
        <w:tabs>
          <w:tab w:val="left" w:pos="851"/>
        </w:tabs>
        <w:rPr>
          <w:rFonts w:eastAsia="Verdana"/>
          <w:b/>
          <w:sz w:val="24"/>
          <w:szCs w:val="24"/>
        </w:rPr>
      </w:pPr>
    </w:p>
    <w:p w:rsidR="004D154B" w:rsidRDefault="000532C4" w:rsidP="00331291">
      <w:pPr>
        <w:tabs>
          <w:tab w:val="left" w:pos="851"/>
        </w:tabs>
        <w:rPr>
          <w:rFonts w:eastAsia="Verdana"/>
          <w:sz w:val="24"/>
          <w:szCs w:val="24"/>
        </w:rPr>
      </w:pPr>
      <w:r>
        <w:rPr>
          <w:rFonts w:eastAsia="Verdana"/>
          <w:b/>
          <w:sz w:val="24"/>
          <w:szCs w:val="24"/>
        </w:rPr>
        <w:t>SEGUNDO</w:t>
      </w:r>
      <w:r w:rsidR="003020C0" w:rsidRPr="00766FA2">
        <w:rPr>
          <w:rFonts w:eastAsia="Verdana"/>
          <w:b/>
          <w:sz w:val="24"/>
          <w:szCs w:val="24"/>
        </w:rPr>
        <w:t>:</w:t>
      </w:r>
      <w:r w:rsidR="003020C0">
        <w:rPr>
          <w:rFonts w:eastAsia="Verdana"/>
          <w:b/>
          <w:sz w:val="24"/>
          <w:szCs w:val="24"/>
        </w:rPr>
        <w:t xml:space="preserve"> </w:t>
      </w:r>
      <w:r w:rsidR="004D154B" w:rsidRPr="00766FA2">
        <w:rPr>
          <w:rFonts w:eastAsia="Verdana"/>
          <w:b/>
          <w:sz w:val="24"/>
          <w:szCs w:val="24"/>
        </w:rPr>
        <w:t>NOTIFICAR</w:t>
      </w:r>
      <w:r w:rsidR="004D154B" w:rsidRPr="00766FA2">
        <w:rPr>
          <w:rFonts w:eastAsia="Verdana"/>
          <w:sz w:val="24"/>
          <w:szCs w:val="24"/>
        </w:rPr>
        <w:t xml:space="preserve"> a las partes e intervinientes en la forma prevista en el artículo 30 del Decreto Ley 2591 de 1991.</w:t>
      </w:r>
    </w:p>
    <w:p w:rsidR="00043FEC" w:rsidRPr="00766FA2" w:rsidRDefault="00043FEC" w:rsidP="00331291">
      <w:pPr>
        <w:tabs>
          <w:tab w:val="left" w:pos="851"/>
        </w:tabs>
        <w:rPr>
          <w:rFonts w:eastAsia="Verdana"/>
          <w:sz w:val="24"/>
          <w:szCs w:val="24"/>
        </w:rPr>
      </w:pPr>
    </w:p>
    <w:p w:rsidR="002702B3" w:rsidRPr="00766FA2" w:rsidRDefault="002702B3" w:rsidP="00331291">
      <w:pPr>
        <w:rPr>
          <w:rFonts w:eastAsia="Verdana"/>
          <w:sz w:val="24"/>
          <w:szCs w:val="24"/>
        </w:rPr>
      </w:pPr>
      <w:r>
        <w:rPr>
          <w:rFonts w:eastAsia="Verdana"/>
          <w:b/>
          <w:sz w:val="24"/>
          <w:szCs w:val="24"/>
        </w:rPr>
        <w:t xml:space="preserve">TERCERO: </w:t>
      </w:r>
      <w:r w:rsidRPr="00766FA2">
        <w:rPr>
          <w:rFonts w:eastAsia="Verdana"/>
          <w:b/>
          <w:sz w:val="24"/>
          <w:szCs w:val="24"/>
        </w:rPr>
        <w:t>REMITIR</w:t>
      </w:r>
      <w:r w:rsidRPr="00766FA2">
        <w:rPr>
          <w:rFonts w:eastAsia="Verdana"/>
          <w:sz w:val="24"/>
          <w:szCs w:val="24"/>
        </w:rPr>
        <w:t xml:space="preserve"> la presente providencia, si no fuere impugnada, a la Corte Constitucional para su eventual revisión.</w:t>
      </w:r>
    </w:p>
    <w:p w:rsidR="004D154B" w:rsidRPr="00766FA2" w:rsidRDefault="004D154B" w:rsidP="00331291">
      <w:pPr>
        <w:rPr>
          <w:rFonts w:eastAsia="Verdana"/>
          <w:sz w:val="24"/>
          <w:szCs w:val="24"/>
        </w:rPr>
      </w:pPr>
    </w:p>
    <w:p w:rsidR="004D154B" w:rsidRPr="00766FA2" w:rsidRDefault="00D005FA" w:rsidP="00331291">
      <w:pPr>
        <w:tabs>
          <w:tab w:val="left" w:pos="709"/>
          <w:tab w:val="left" w:pos="9000"/>
        </w:tabs>
        <w:outlineLvl w:val="6"/>
        <w:rPr>
          <w:rFonts w:eastAsia="Verdana"/>
          <w:b/>
          <w:sz w:val="24"/>
          <w:szCs w:val="24"/>
        </w:rPr>
      </w:pPr>
      <w:r w:rsidRPr="00766FA2">
        <w:rPr>
          <w:rFonts w:eastAsia="Verdana"/>
          <w:b/>
          <w:sz w:val="24"/>
          <w:szCs w:val="24"/>
        </w:rPr>
        <w:t>NOTIFÍQUESE Y CÚMPLASE</w:t>
      </w:r>
    </w:p>
    <w:p w:rsidR="004D154B" w:rsidRDefault="004D154B" w:rsidP="0096542C">
      <w:pPr>
        <w:rPr>
          <w:rFonts w:eastAsia="Verdana"/>
          <w:b/>
          <w:sz w:val="24"/>
          <w:szCs w:val="24"/>
        </w:rPr>
      </w:pPr>
    </w:p>
    <w:p w:rsidR="0096542C" w:rsidRDefault="0096542C" w:rsidP="0096542C">
      <w:pPr>
        <w:rPr>
          <w:rFonts w:eastAsia="Verdana"/>
          <w:b/>
          <w:sz w:val="24"/>
          <w:szCs w:val="24"/>
        </w:rPr>
      </w:pPr>
    </w:p>
    <w:p w:rsidR="0096542C" w:rsidRPr="00766FA2" w:rsidRDefault="0096542C" w:rsidP="0096542C">
      <w:pPr>
        <w:rPr>
          <w:rFonts w:eastAsia="Verdana"/>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412"/>
      </w:tblGrid>
      <w:tr w:rsidR="0096542C" w:rsidTr="0096542C">
        <w:tc>
          <w:tcPr>
            <w:tcW w:w="9056" w:type="dxa"/>
            <w:gridSpan w:val="2"/>
          </w:tcPr>
          <w:p w:rsidR="0096542C" w:rsidRPr="00766FA2" w:rsidRDefault="0096542C" w:rsidP="0096542C">
            <w:pPr>
              <w:jc w:val="center"/>
              <w:rPr>
                <w:rFonts w:eastAsia="Verdana"/>
                <w:b/>
                <w:sz w:val="24"/>
                <w:szCs w:val="24"/>
              </w:rPr>
            </w:pPr>
            <w:r>
              <w:rPr>
                <w:rFonts w:eastAsia="Verdana"/>
                <w:b/>
                <w:sz w:val="24"/>
                <w:szCs w:val="24"/>
              </w:rPr>
              <w:t>NICOLÁS YEPES CORRALES</w:t>
            </w:r>
          </w:p>
          <w:p w:rsidR="0096542C" w:rsidRDefault="0096542C" w:rsidP="0096542C">
            <w:pPr>
              <w:jc w:val="center"/>
              <w:rPr>
                <w:rFonts w:eastAsia="Verdana"/>
                <w:b/>
                <w:sz w:val="24"/>
                <w:szCs w:val="24"/>
              </w:rPr>
            </w:pPr>
            <w:r>
              <w:rPr>
                <w:rFonts w:eastAsia="Verdana"/>
                <w:b/>
                <w:sz w:val="24"/>
                <w:szCs w:val="24"/>
              </w:rPr>
              <w:t>Presidente de Sala</w:t>
            </w:r>
          </w:p>
          <w:p w:rsidR="0096542C" w:rsidRDefault="0096542C" w:rsidP="0096542C">
            <w:pPr>
              <w:jc w:val="center"/>
              <w:rPr>
                <w:rFonts w:eastAsia="Verdana"/>
                <w:b/>
                <w:sz w:val="24"/>
                <w:szCs w:val="24"/>
              </w:rPr>
            </w:pPr>
          </w:p>
          <w:p w:rsidR="0096542C" w:rsidRDefault="0096542C" w:rsidP="0096542C">
            <w:pPr>
              <w:jc w:val="center"/>
              <w:rPr>
                <w:rFonts w:eastAsia="Verdana"/>
                <w:b/>
                <w:sz w:val="24"/>
                <w:szCs w:val="24"/>
              </w:rPr>
            </w:pPr>
          </w:p>
        </w:tc>
      </w:tr>
      <w:tr w:rsidR="0096542C" w:rsidTr="0096542C">
        <w:tc>
          <w:tcPr>
            <w:tcW w:w="4644" w:type="dxa"/>
          </w:tcPr>
          <w:p w:rsidR="0096542C" w:rsidRPr="00766FA2" w:rsidRDefault="0096542C" w:rsidP="0096542C">
            <w:pPr>
              <w:jc w:val="center"/>
              <w:rPr>
                <w:rFonts w:eastAsia="Verdana"/>
                <w:b/>
                <w:sz w:val="24"/>
                <w:szCs w:val="24"/>
              </w:rPr>
            </w:pPr>
            <w:r>
              <w:rPr>
                <w:rFonts w:eastAsia="Verdana"/>
                <w:b/>
                <w:sz w:val="24"/>
                <w:szCs w:val="24"/>
              </w:rPr>
              <w:t>JAIME ENRIQUE RODRÍGUEZ NAVAS</w:t>
            </w:r>
          </w:p>
          <w:p w:rsidR="0096542C" w:rsidRDefault="0096542C" w:rsidP="0096542C">
            <w:pPr>
              <w:jc w:val="center"/>
              <w:rPr>
                <w:rFonts w:eastAsia="Verdana"/>
                <w:b/>
                <w:sz w:val="24"/>
                <w:szCs w:val="24"/>
              </w:rPr>
            </w:pPr>
            <w:r>
              <w:rPr>
                <w:rFonts w:eastAsia="Verdana"/>
                <w:b/>
                <w:sz w:val="24"/>
                <w:szCs w:val="24"/>
              </w:rPr>
              <w:t>Magistrado</w:t>
            </w:r>
          </w:p>
        </w:tc>
        <w:tc>
          <w:tcPr>
            <w:tcW w:w="4412" w:type="dxa"/>
          </w:tcPr>
          <w:p w:rsidR="0096542C" w:rsidRPr="00766FA2" w:rsidRDefault="0096542C" w:rsidP="0096542C">
            <w:pPr>
              <w:tabs>
                <w:tab w:val="center" w:pos="4420"/>
                <w:tab w:val="right" w:pos="8840"/>
              </w:tabs>
              <w:jc w:val="center"/>
              <w:rPr>
                <w:rFonts w:eastAsia="Verdana"/>
                <w:b/>
                <w:sz w:val="24"/>
                <w:szCs w:val="24"/>
              </w:rPr>
            </w:pPr>
            <w:r>
              <w:rPr>
                <w:rFonts w:eastAsia="Verdana"/>
                <w:b/>
                <w:sz w:val="24"/>
                <w:szCs w:val="24"/>
              </w:rPr>
              <w:t>GUILLERMO SÁNCHEZ LUQUE</w:t>
            </w:r>
          </w:p>
          <w:p w:rsidR="0096542C" w:rsidRDefault="0096542C" w:rsidP="0096542C">
            <w:pPr>
              <w:jc w:val="center"/>
              <w:rPr>
                <w:rFonts w:eastAsia="Verdana"/>
                <w:b/>
                <w:sz w:val="24"/>
                <w:szCs w:val="24"/>
              </w:rPr>
            </w:pPr>
            <w:r w:rsidRPr="00AC16D7">
              <w:rPr>
                <w:rFonts w:eastAsia="Verdana"/>
                <w:b/>
                <w:sz w:val="24"/>
                <w:szCs w:val="24"/>
              </w:rPr>
              <w:t>Magistrado</w:t>
            </w:r>
          </w:p>
          <w:p w:rsidR="0096542C" w:rsidRDefault="0096542C" w:rsidP="0096542C">
            <w:pPr>
              <w:jc w:val="center"/>
              <w:rPr>
                <w:rFonts w:eastAsia="Verdana"/>
                <w:b/>
                <w:sz w:val="24"/>
                <w:szCs w:val="24"/>
              </w:rPr>
            </w:pPr>
            <w:r>
              <w:rPr>
                <w:rFonts w:eastAsia="Verdana"/>
                <w:b/>
                <w:sz w:val="24"/>
                <w:szCs w:val="24"/>
              </w:rPr>
              <w:t>Ausente con excusa</w:t>
            </w:r>
          </w:p>
        </w:tc>
      </w:tr>
      <w:tr w:rsidR="0096542C" w:rsidTr="0096542C">
        <w:tc>
          <w:tcPr>
            <w:tcW w:w="4644" w:type="dxa"/>
          </w:tcPr>
          <w:p w:rsidR="0096542C" w:rsidRDefault="0096542C" w:rsidP="0096542C">
            <w:pPr>
              <w:rPr>
                <w:rFonts w:eastAsia="Verdana"/>
                <w:b/>
                <w:sz w:val="24"/>
                <w:szCs w:val="24"/>
              </w:rPr>
            </w:pPr>
          </w:p>
        </w:tc>
        <w:tc>
          <w:tcPr>
            <w:tcW w:w="4412" w:type="dxa"/>
          </w:tcPr>
          <w:p w:rsidR="0096542C" w:rsidRDefault="0096542C" w:rsidP="0096542C">
            <w:pPr>
              <w:tabs>
                <w:tab w:val="center" w:pos="4420"/>
                <w:tab w:val="right" w:pos="8840"/>
              </w:tabs>
              <w:jc w:val="center"/>
              <w:rPr>
                <w:rFonts w:eastAsia="Verdana"/>
                <w:b/>
                <w:sz w:val="24"/>
                <w:szCs w:val="24"/>
              </w:rPr>
            </w:pPr>
          </w:p>
        </w:tc>
      </w:tr>
    </w:tbl>
    <w:p w:rsidR="00AC16D7" w:rsidRDefault="00AC16D7" w:rsidP="00331291">
      <w:pPr>
        <w:jc w:val="center"/>
        <w:rPr>
          <w:rFonts w:eastAsia="Verdana"/>
          <w:b/>
          <w:sz w:val="24"/>
          <w:szCs w:val="24"/>
        </w:rPr>
      </w:pPr>
    </w:p>
    <w:p w:rsidR="0096542C" w:rsidRDefault="0096542C">
      <w:pPr>
        <w:jc w:val="center"/>
        <w:rPr>
          <w:rFonts w:eastAsia="Verdana"/>
          <w:b/>
          <w:sz w:val="24"/>
          <w:szCs w:val="24"/>
        </w:rPr>
      </w:pPr>
    </w:p>
    <w:sectPr w:rsidR="0096542C" w:rsidSect="0096542C">
      <w:headerReference w:type="default" r:id="rId11"/>
      <w:footerReference w:type="default" r:id="rId12"/>
      <w:headerReference w:type="first" r:id="rId13"/>
      <w:footerReference w:type="first" r:id="rId14"/>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2F3" w:rsidRDefault="003772F3" w:rsidP="00117091">
      <w:r>
        <w:separator/>
      </w:r>
    </w:p>
  </w:endnote>
  <w:endnote w:type="continuationSeparator" w:id="0">
    <w:p w:rsidR="003772F3" w:rsidRDefault="003772F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96542C" w:rsidRPr="0096542C">
            <w:rPr>
              <w:noProof/>
              <w:lang w:val="es-ES"/>
            </w:rPr>
            <w:t>7</w:t>
          </w:r>
          <w:r w:rsidRPr="00B6429B">
            <w:fldChar w:fldCharType="end"/>
          </w:r>
        </w:p>
      </w:tc>
    </w:tr>
  </w:tbl>
  <w:p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96542C" w:rsidRPr="0096542C">
            <w:rPr>
              <w:noProof/>
              <w:lang w:val="es-ES"/>
            </w:rPr>
            <w:t>1</w:t>
          </w:r>
          <w:r w:rsidRPr="00B6429B">
            <w:fldChar w:fldCharType="end"/>
          </w:r>
        </w:p>
      </w:tc>
    </w:tr>
  </w:tbl>
  <w:p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2F3" w:rsidRDefault="003772F3" w:rsidP="00117091">
      <w:r>
        <w:separator/>
      </w:r>
    </w:p>
  </w:footnote>
  <w:footnote w:type="continuationSeparator" w:id="0">
    <w:p w:rsidR="003772F3" w:rsidRDefault="003772F3" w:rsidP="00117091">
      <w:r>
        <w:continuationSeparator/>
      </w:r>
    </w:p>
  </w:footnote>
  <w:footnote w:id="1">
    <w:p w:rsidR="00A12F13" w:rsidRDefault="00A12F13">
      <w:pPr>
        <w:pStyle w:val="Textonotapie"/>
      </w:pPr>
      <w:r>
        <w:rPr>
          <w:rStyle w:val="Refdenotaalpie"/>
        </w:rPr>
        <w:footnoteRef/>
      </w:r>
      <w:r>
        <w:t xml:space="preserve"> Archivo electrónico identificado con certificado: </w:t>
      </w:r>
      <w:r w:rsidRPr="00A12F13">
        <w:t>E1D6253C2FB2C019 C0749ADF1625893B F227C12F0C39FAF1 B2EA2E1B942846E5</w:t>
      </w:r>
      <w:r>
        <w:t>.</w:t>
      </w:r>
    </w:p>
  </w:footnote>
  <w:footnote w:id="2">
    <w:p w:rsidR="00ED088C" w:rsidRDefault="00ED088C">
      <w:pPr>
        <w:pStyle w:val="Textonotapie"/>
      </w:pPr>
      <w:r>
        <w:rPr>
          <w:rStyle w:val="Refdenotaalpie"/>
        </w:rPr>
        <w:footnoteRef/>
      </w:r>
      <w:r>
        <w:t xml:space="preserve"> Folios 35 a 42 del archivo electrónico que contiene el escrito de tutela y anexos, identificado con certificado </w:t>
      </w:r>
      <w:r w:rsidRPr="00ED088C">
        <w:t>E1D6253C2FB2C019 C0749ADF1625893B F227C12F0C39FAF1 B2EA2E1B942846E5</w:t>
      </w:r>
      <w:r>
        <w:t>.</w:t>
      </w:r>
    </w:p>
  </w:footnote>
  <w:footnote w:id="3">
    <w:p w:rsidR="00E651AA" w:rsidRDefault="00E651AA">
      <w:pPr>
        <w:pStyle w:val="Textonotapie"/>
      </w:pPr>
      <w:r>
        <w:rPr>
          <w:rStyle w:val="Refdenotaalpie"/>
        </w:rPr>
        <w:footnoteRef/>
      </w:r>
      <w:r>
        <w:t xml:space="preserve"> “Artículo 31. Las pensiones de jubilación, invalidez y retiro por vejez son incompatibles entre sí. El empleado o trabajador podrá optar por la </w:t>
      </w:r>
      <w:r w:rsidR="005F2911">
        <w:t>más</w:t>
      </w:r>
      <w:r>
        <w:t xml:space="preserve"> favorable cuando haya concurrencia de ellas”. </w:t>
      </w:r>
    </w:p>
  </w:footnote>
  <w:footnote w:id="4">
    <w:p w:rsidR="00E651AA" w:rsidRDefault="00E651AA">
      <w:pPr>
        <w:pStyle w:val="Textonotapie"/>
      </w:pPr>
      <w:r>
        <w:rPr>
          <w:rStyle w:val="Refdenotaalpie"/>
        </w:rPr>
        <w:footnoteRef/>
      </w:r>
      <w:r>
        <w:t xml:space="preserve"> “</w:t>
      </w:r>
      <w:r w:rsidRPr="00DE1A3B">
        <w:t>Artículo 88.</w:t>
      </w:r>
      <w:r>
        <w:t xml:space="preserve"> Incompatibilidad. Las pensiones de invalidez, jubilación y retiro por vejez, son incompatibles entre sí. En caso de concurrencia del derecho a ellas, el beneficiario optará por la que más le convenga económicamente”.</w:t>
      </w:r>
    </w:p>
  </w:footnote>
  <w:footnote w:id="5">
    <w:p w:rsidR="00E651AA" w:rsidRDefault="00E651AA">
      <w:pPr>
        <w:pStyle w:val="Textonotapie"/>
      </w:pPr>
      <w:r>
        <w:rPr>
          <w:rStyle w:val="Refdenotaalpie"/>
        </w:rPr>
        <w:footnoteRef/>
      </w:r>
      <w:r>
        <w:t xml:space="preserve"> “</w:t>
      </w:r>
      <w:r w:rsidRPr="00DE1A3B">
        <w:t>Artículo 64.</w:t>
      </w:r>
      <w:r>
        <w:t xml:space="preserve"> Nadie podrá recibir los sueldos del Tesoro público, salvo lo que para casos especiales determinen las leyes”.</w:t>
      </w:r>
    </w:p>
  </w:footnote>
  <w:footnote w:id="6">
    <w:p w:rsidR="00617453" w:rsidRPr="00617453" w:rsidRDefault="00617453" w:rsidP="00617453">
      <w:pPr>
        <w:pStyle w:val="Textonotapie"/>
        <w:rPr>
          <w:lang w:val="es-ES"/>
        </w:rPr>
      </w:pPr>
      <w:r>
        <w:rPr>
          <w:rStyle w:val="Refdenotaalpie"/>
        </w:rPr>
        <w:footnoteRef/>
      </w:r>
      <w:r>
        <w:t xml:space="preserve"> </w:t>
      </w:r>
      <w:bookmarkStart w:id="0" w:name="128"/>
      <w:r>
        <w:t>“</w:t>
      </w:r>
      <w:r w:rsidRPr="00DE1A3B">
        <w:t>Artículo 128</w:t>
      </w:r>
      <w:r w:rsidRPr="00DE1A3B">
        <w:rPr>
          <w:lang w:val="es-ES"/>
        </w:rPr>
        <w:t>.</w:t>
      </w:r>
      <w:r w:rsidRPr="00617453">
        <w:rPr>
          <w:b/>
          <w:bCs/>
          <w:lang w:val="es-ES"/>
        </w:rPr>
        <w:t> </w:t>
      </w:r>
      <w:bookmarkEnd w:id="0"/>
      <w:r w:rsidRPr="00617453">
        <w:rPr>
          <w:lang w:val="es-ES"/>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rsidR="00617453" w:rsidRDefault="00DB2300">
      <w:pPr>
        <w:pStyle w:val="Textonotapie"/>
      </w:pPr>
      <w:r w:rsidRPr="00617453">
        <w:t>Entiéndase</w:t>
      </w:r>
      <w:r w:rsidR="00617453" w:rsidRPr="00617453">
        <w:t xml:space="preserve"> por tesoro público el de la Nación, el de las entidades territoriales y el de las descentralizadas.</w:t>
      </w:r>
      <w:r w:rsidR="00617453">
        <w:t>”.</w:t>
      </w:r>
    </w:p>
  </w:footnote>
  <w:footnote w:id="7">
    <w:p w:rsidR="00FA1022" w:rsidRDefault="00FA1022">
      <w:pPr>
        <w:pStyle w:val="Textonotapie"/>
      </w:pPr>
      <w:r>
        <w:rPr>
          <w:rStyle w:val="Refdenotaalpie"/>
        </w:rPr>
        <w:footnoteRef/>
      </w:r>
      <w:r>
        <w:t xml:space="preserve"> Consejo de Estado, Sección Segunda, sentencia del 4 de abril de 2021, expediente con radicado número 2016-00164.</w:t>
      </w:r>
    </w:p>
  </w:footnote>
  <w:footnote w:id="8">
    <w:p w:rsidR="00FA1022" w:rsidRDefault="00FA1022">
      <w:pPr>
        <w:pStyle w:val="Textonotapie"/>
      </w:pPr>
      <w:r>
        <w:rPr>
          <w:rStyle w:val="Refdenotaalpie"/>
        </w:rPr>
        <w:footnoteRef/>
      </w:r>
      <w:r>
        <w:t xml:space="preserve"> Folio 57 a 59 del archivo electrónico que contiene el escrito de tuta y sus anexos, identificado con certificado: </w:t>
      </w:r>
      <w:r w:rsidRPr="00921CAC">
        <w:t>E1D6253C2FB2C019 C0749ADF1625893B F227C12F0C39FAF1 B2EA2E1B942846E5</w:t>
      </w:r>
      <w:r>
        <w:t>.</w:t>
      </w:r>
    </w:p>
  </w:footnote>
  <w:footnote w:id="9">
    <w:p w:rsidR="00FA1022" w:rsidRDefault="00FA1022">
      <w:pPr>
        <w:pStyle w:val="Textonotapie"/>
      </w:pPr>
      <w:r>
        <w:rPr>
          <w:rStyle w:val="Refdenotaalpie"/>
        </w:rPr>
        <w:footnoteRef/>
      </w:r>
      <w:r>
        <w:t xml:space="preserve"> Consejo de Estado, Sección Segunda, sentencia del 16 de abril de 2020, expediente 2013-00368.</w:t>
      </w:r>
    </w:p>
  </w:footnote>
  <w:footnote w:id="10">
    <w:p w:rsidR="00475DBD" w:rsidRPr="00475DBD" w:rsidRDefault="00475DBD" w:rsidP="00C417A6">
      <w:pPr>
        <w:pStyle w:val="Textonotapie"/>
        <w:rPr>
          <w:lang w:val="es-MX"/>
        </w:rPr>
      </w:pPr>
      <w:r>
        <w:rPr>
          <w:rStyle w:val="Refdenotaalpie"/>
        </w:rPr>
        <w:footnoteRef/>
      </w:r>
      <w:r>
        <w:t xml:space="preserve"> Folio</w:t>
      </w:r>
      <w:r w:rsidR="00F1524D">
        <w:t xml:space="preserve"> </w:t>
      </w:r>
      <w:r w:rsidR="005E5CD3">
        <w:t>29</w:t>
      </w:r>
      <w:r w:rsidR="005E5CD3" w:rsidRPr="005E5CD3">
        <w:t xml:space="preserve"> </w:t>
      </w:r>
      <w:r w:rsidR="005E5CD3">
        <w:t xml:space="preserve">del archivo electrónico que contiene el escrito de tuta y sus anexos, identificado con certificado: </w:t>
      </w:r>
      <w:r w:rsidR="005E5CD3" w:rsidRPr="00921CAC">
        <w:t>E1D6253C2FB2C019 C0749ADF1625893B F227C12F0C39FAF1 B2EA2E1B942846E5</w:t>
      </w:r>
      <w:r w:rsidR="002D1497">
        <w:t>.</w:t>
      </w:r>
    </w:p>
  </w:footnote>
  <w:footnote w:id="11">
    <w:p w:rsidR="00EB37E2" w:rsidRDefault="00EB37E2" w:rsidP="00C417A6">
      <w:pPr>
        <w:pStyle w:val="Textonotapie"/>
      </w:pPr>
      <w:r>
        <w:rPr>
          <w:rStyle w:val="Refdenotaalpie"/>
        </w:rPr>
        <w:footnoteRef/>
      </w:r>
      <w:r>
        <w:t xml:space="preserve"> </w:t>
      </w:r>
      <w:r w:rsidRPr="00EB37E2">
        <w:t>Esta es una trascripción literal. Los errores, erratas, mayúsculas y énfasis forman parte del texto original.</w:t>
      </w:r>
    </w:p>
  </w:footnote>
  <w:footnote w:id="12">
    <w:p w:rsidR="003F245D" w:rsidRDefault="003F245D">
      <w:pPr>
        <w:pStyle w:val="Textonotapie"/>
      </w:pPr>
      <w:r>
        <w:rPr>
          <w:rStyle w:val="Refdenotaalpie"/>
        </w:rPr>
        <w:footnoteRef/>
      </w:r>
      <w:r>
        <w:t xml:space="preserve"> Folio 29 del archivo electrónico que contiene el escrito de tuta y sus anexos, identificado con certificado: </w:t>
      </w:r>
      <w:r w:rsidRPr="00921CAC">
        <w:t>E1D6253C2FB2C019 C0749ADF1625893B F227C12F0C39FAF1 B2EA2E1B942846E5</w:t>
      </w:r>
      <w:r>
        <w:t>.</w:t>
      </w:r>
    </w:p>
  </w:footnote>
  <w:footnote w:id="13">
    <w:p w:rsidR="000E71BE" w:rsidRDefault="000E71BE">
      <w:pPr>
        <w:pStyle w:val="Textonotapie"/>
      </w:pPr>
      <w:r>
        <w:rPr>
          <w:rStyle w:val="Refdenotaalpie"/>
        </w:rPr>
        <w:footnoteRef/>
      </w:r>
      <w:r>
        <w:t xml:space="preserve"> </w:t>
      </w:r>
      <w:r w:rsidRPr="00EB37E2">
        <w:t>Esta es una trascripción literal. Los errores, erratas, mayúsculas y énfasis forman parte del texto original.</w:t>
      </w:r>
    </w:p>
  </w:footnote>
  <w:footnote w:id="14">
    <w:p w:rsidR="00020B48" w:rsidRDefault="00020B48" w:rsidP="00C417A6">
      <w:pPr>
        <w:pStyle w:val="Textonotapie"/>
      </w:pPr>
      <w:r>
        <w:rPr>
          <w:rStyle w:val="Refdenotaalpie"/>
        </w:rPr>
        <w:footnoteRef/>
      </w:r>
      <w:r>
        <w:t xml:space="preserve"> Archivo electrónico, identificado con certificado:</w:t>
      </w:r>
      <w:r w:rsidR="001E4567" w:rsidRPr="001E4567">
        <w:t xml:space="preserve"> 1E4161665E518888 AD60E6FF9EDDF75D 93FA531623FFDB2F F10FF3542F21AAEC</w:t>
      </w:r>
      <w:r w:rsidR="001E4567">
        <w:t>.</w:t>
      </w:r>
    </w:p>
  </w:footnote>
  <w:footnote w:id="15">
    <w:p w:rsidR="00480491" w:rsidRDefault="00480491">
      <w:pPr>
        <w:pStyle w:val="Textonotapie"/>
      </w:pPr>
      <w:r>
        <w:rPr>
          <w:rStyle w:val="Refdenotaalpie"/>
        </w:rPr>
        <w:footnoteRef/>
      </w:r>
      <w:r>
        <w:t xml:space="preserve"> </w:t>
      </w:r>
      <w:r>
        <w:rPr>
          <w:lang w:val="es-ES"/>
        </w:rPr>
        <w:t>Archivo electrónico identificado con certificado:</w:t>
      </w:r>
      <w:r w:rsidR="00782EAD" w:rsidRPr="00782EAD">
        <w:t xml:space="preserve"> </w:t>
      </w:r>
      <w:r w:rsidR="00782EAD" w:rsidRPr="00782EAD">
        <w:rPr>
          <w:lang w:val="es-ES"/>
        </w:rPr>
        <w:t>6F11630CA350B703 1E6B1B79A7FB0172 733614720865736C 162B6459CB13D9A4</w:t>
      </w:r>
      <w:r>
        <w:t>.</w:t>
      </w:r>
    </w:p>
  </w:footnote>
  <w:footnote w:id="16">
    <w:p w:rsidR="00782EAD" w:rsidRDefault="00782EAD">
      <w:pPr>
        <w:pStyle w:val="Textonotapie"/>
      </w:pPr>
      <w:r>
        <w:rPr>
          <w:rStyle w:val="Refdenotaalpie"/>
        </w:rPr>
        <w:footnoteRef/>
      </w:r>
      <w:r>
        <w:t xml:space="preserve"> Archivo electrónico identificado con certificado: </w:t>
      </w:r>
      <w:r w:rsidRPr="00782EAD">
        <w:t>43FA0ACAF286B2DC A39F0B1F3B1CDDF2 114DF25BCE507FCA D1C8BEFBA2A02EAC</w:t>
      </w:r>
      <w:r>
        <w:t>.</w:t>
      </w:r>
    </w:p>
  </w:footnote>
  <w:footnote w:id="17">
    <w:p w:rsidR="002702B3" w:rsidRPr="003B55CC" w:rsidRDefault="002702B3" w:rsidP="00AD2F7F">
      <w:pPr>
        <w:pStyle w:val="Textonotapie"/>
      </w:pPr>
      <w:r w:rsidRPr="003B55CC">
        <w:rPr>
          <w:rStyle w:val="Refdenotaalpie"/>
        </w:rPr>
        <w:footnoteRef/>
      </w:r>
      <w:r w:rsidRPr="003B55CC">
        <w:t xml:space="preserve"> Publicado en el diario oficial 50.913 del 1 de abril de 2019.</w:t>
      </w:r>
    </w:p>
  </w:footnote>
  <w:footnote w:id="18">
    <w:p w:rsidR="00487668" w:rsidRPr="00584E1D" w:rsidRDefault="00487668" w:rsidP="00AD2F7F">
      <w:r w:rsidRPr="003B55CC">
        <w:rPr>
          <w:rStyle w:val="Refdenotaalpie"/>
          <w:sz w:val="20"/>
          <w:szCs w:val="20"/>
        </w:rPr>
        <w:footnoteRef/>
      </w:r>
      <w:r w:rsidRPr="003B55CC">
        <w:rPr>
          <w:sz w:val="20"/>
          <w:szCs w:val="20"/>
        </w:rPr>
        <w:t xml:space="preserve"> </w:t>
      </w:r>
      <w:r w:rsidRPr="003B55CC">
        <w:rPr>
          <w:rFonts w:eastAsia="Times New Roman"/>
          <w:bCs/>
          <w:sz w:val="20"/>
          <w:szCs w:val="20"/>
          <w:lang w:eastAsia="es-ES"/>
        </w:rPr>
        <w:t>Antes que todo es necesario (i) verificar la legitimación en la causa como una exigencia preliminar en cualquier acción de amparo, para, posteriormente, pasar a constatar los demás requisitos generales de procedibilidad, en los siguientes términos: (</w:t>
      </w:r>
      <w:proofErr w:type="spellStart"/>
      <w:r w:rsidRPr="003B55CC">
        <w:rPr>
          <w:rFonts w:eastAsia="Times New Roman"/>
          <w:bCs/>
          <w:sz w:val="20"/>
          <w:szCs w:val="20"/>
          <w:lang w:eastAsia="es-ES"/>
        </w:rPr>
        <w:t>ii</w:t>
      </w:r>
      <w:proofErr w:type="spellEnd"/>
      <w:r w:rsidRPr="003B55CC">
        <w:rPr>
          <w:rFonts w:eastAsia="Times New Roman"/>
          <w:bCs/>
          <w:sz w:val="20"/>
          <w:szCs w:val="20"/>
          <w:lang w:eastAsia="es-ES"/>
        </w:rPr>
        <w:t>) que en la solicitud de tutela se expresen de manera clara los hechos y los fundamentos de la afectación de derechos que se imputa a la decisión judicial; (</w:t>
      </w:r>
      <w:proofErr w:type="spellStart"/>
      <w:r w:rsidRPr="003B55CC">
        <w:rPr>
          <w:rFonts w:eastAsia="Times New Roman"/>
          <w:bCs/>
          <w:sz w:val="20"/>
          <w:szCs w:val="20"/>
          <w:lang w:eastAsia="es-ES"/>
        </w:rPr>
        <w:t>iii</w:t>
      </w:r>
      <w:proofErr w:type="spellEnd"/>
      <w:r w:rsidRPr="003B55CC">
        <w:rPr>
          <w:rFonts w:eastAsia="Times New Roman"/>
          <w:bCs/>
          <w:sz w:val="20"/>
          <w:szCs w:val="20"/>
          <w:lang w:eastAsia="es-ES"/>
        </w:rPr>
        <w:t>) que la cuestión que se discute tenga relevancia constitucional; (</w:t>
      </w:r>
      <w:proofErr w:type="spellStart"/>
      <w:r w:rsidRPr="003B55CC">
        <w:rPr>
          <w:rFonts w:eastAsia="Times New Roman"/>
          <w:bCs/>
          <w:sz w:val="20"/>
          <w:szCs w:val="20"/>
          <w:lang w:eastAsia="es-ES"/>
        </w:rPr>
        <w:t>iv</w:t>
      </w:r>
      <w:proofErr w:type="spellEnd"/>
      <w:r w:rsidRPr="003B55CC">
        <w:rPr>
          <w:rFonts w:eastAsia="Times New Roman"/>
          <w:bCs/>
          <w:sz w:val="20"/>
          <w:szCs w:val="20"/>
          <w:lang w:eastAsia="es-ES"/>
        </w:rP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w:t>
      </w:r>
      <w:proofErr w:type="spellStart"/>
      <w:r w:rsidRPr="003B55CC">
        <w:rPr>
          <w:rFonts w:eastAsia="Times New Roman"/>
          <w:bCs/>
          <w:sz w:val="20"/>
          <w:szCs w:val="20"/>
          <w:lang w:eastAsia="es-ES"/>
        </w:rPr>
        <w:t>vii</w:t>
      </w:r>
      <w:proofErr w:type="spellEnd"/>
      <w:r w:rsidRPr="003B55CC">
        <w:rPr>
          <w:rFonts w:eastAsia="Times New Roman"/>
          <w:bCs/>
          <w:sz w:val="20"/>
          <w:szCs w:val="20"/>
          <w:lang w:eastAsia="es-ES"/>
        </w:rPr>
        <w:t>) no procede elevar una solicitud de amparo contra decisiones proferidas dentro de procesos de tutela.</w:t>
      </w:r>
    </w:p>
  </w:footnote>
  <w:footnote w:id="19">
    <w:p w:rsidR="00FA3AE0" w:rsidRDefault="00FA3AE0">
      <w:pPr>
        <w:pStyle w:val="Textonotapie"/>
      </w:pPr>
      <w:r>
        <w:rPr>
          <w:rStyle w:val="Refdenotaalpie"/>
        </w:rPr>
        <w:footnoteRef/>
      </w:r>
      <w:r>
        <w:t xml:space="preserve"> Apartado 1.4.</w:t>
      </w:r>
    </w:p>
  </w:footnote>
  <w:footnote w:id="20">
    <w:p w:rsidR="008E7CD2" w:rsidRDefault="008E7CD2" w:rsidP="008E7CD2">
      <w:pPr>
        <w:pStyle w:val="Textonotapie"/>
      </w:pPr>
      <w:r>
        <w:rPr>
          <w:rStyle w:val="Refdenotaalpie"/>
        </w:rPr>
        <w:footnoteRef/>
      </w:r>
      <w:r>
        <w:t xml:space="preserve"> “[L]os fundamentos de una decisión de tutela contra una sentencia judicial deben aclarar con transparencia la relevancia </w:t>
      </w:r>
      <w:proofErr w:type="spellStart"/>
      <w:r>
        <w:rPr>
          <w:i/>
          <w:iCs/>
        </w:rPr>
        <w:t>iusfundamental</w:t>
      </w:r>
      <w:proofErr w:type="spellEnd"/>
      <w:r>
        <w:t>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 se encuentra en condición de indefensión y que permite la aplicación uniforme y coherente – es decir segura y en condiciones de igualdad – de los derechos fundamentales a los distintos ámbitos del derecho”. Corte Constitucional. Sentencia C-590 de 2005. </w:t>
      </w:r>
    </w:p>
  </w:footnote>
  <w:footnote w:id="21">
    <w:p w:rsidR="008E7CD2" w:rsidRDefault="008E7CD2" w:rsidP="008E7CD2">
      <w:pPr>
        <w:pStyle w:val="Textonotapie"/>
      </w:pPr>
      <w:r>
        <w:rPr>
          <w:rStyle w:val="Refdenotaalpie"/>
        </w:rPr>
        <w:footnoteRef/>
      </w:r>
      <w:r>
        <w:t xml:space="preserve"> “</w:t>
      </w:r>
      <w:r>
        <w:rPr>
          <w:rStyle w:val="normaltextrun"/>
          <w:shd w:val="clear" w:color="auto" w:fill="FFFFFF"/>
        </w:rPr>
        <w:t>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r>
        <w:rPr>
          <w:rStyle w:val="eop"/>
          <w:shd w:val="clear" w:color="auto" w:fill="FFFFFF"/>
        </w:rPr>
        <w:t> </w:t>
      </w:r>
    </w:p>
  </w:footnote>
  <w:footnote w:id="22">
    <w:p w:rsidR="008E7CD2" w:rsidRDefault="008E7CD2" w:rsidP="008E7CD2">
      <w:pPr>
        <w:pStyle w:val="Textonotapie"/>
      </w:pPr>
      <w:r>
        <w:rPr>
          <w:rStyle w:val="Refdenotaalpie"/>
        </w:rPr>
        <w:footnoteRef/>
      </w:r>
      <w:r>
        <w:t xml:space="preserve"> C</w:t>
      </w:r>
      <w:r>
        <w:rPr>
          <w:rStyle w:val="normaltextrun"/>
          <w:shd w:val="clear" w:color="auto" w:fill="FFFFFF"/>
        </w:rPr>
        <w:t xml:space="preserve">onsejo de Estado, Sala de lo Contencioso Administrativo, Sección Tercera, Subsección C. Sentencias del 21 de febrero de 2020, expediente </w:t>
      </w:r>
      <w:proofErr w:type="spellStart"/>
      <w:r>
        <w:rPr>
          <w:rStyle w:val="normaltextrun"/>
          <w:shd w:val="clear" w:color="auto" w:fill="FFFFFF"/>
        </w:rPr>
        <w:t>n.°</w:t>
      </w:r>
      <w:proofErr w:type="spellEnd"/>
      <w:r>
        <w:rPr>
          <w:rStyle w:val="normaltextrun"/>
          <w:shd w:val="clear" w:color="auto" w:fill="FFFFFF"/>
        </w:rPr>
        <w:t xml:space="preserve"> 2019-5066-00; 4 de mayo de 2020, expediente </w:t>
      </w:r>
      <w:proofErr w:type="spellStart"/>
      <w:r>
        <w:rPr>
          <w:rStyle w:val="normaltextrun"/>
          <w:shd w:val="clear" w:color="auto" w:fill="FFFFFF"/>
        </w:rPr>
        <w:t>n.°</w:t>
      </w:r>
      <w:proofErr w:type="spellEnd"/>
      <w:r>
        <w:rPr>
          <w:rStyle w:val="normaltextrun"/>
          <w:shd w:val="clear" w:color="auto" w:fill="FFFFFF"/>
        </w:rPr>
        <w:t xml:space="preserve"> 2020-836-00.</w:t>
      </w:r>
      <w:r>
        <w:rPr>
          <w:rStyle w:val="eop"/>
          <w:shd w:val="clear" w:color="auto" w:fill="FFFFFF"/>
        </w:rPr>
        <w:t> </w:t>
      </w:r>
    </w:p>
  </w:footnote>
  <w:footnote w:id="23">
    <w:p w:rsidR="008E7CD2" w:rsidRDefault="008E7CD2" w:rsidP="008E7CD2">
      <w:pPr>
        <w:pStyle w:val="Textonotapie"/>
      </w:pPr>
      <w:r>
        <w:rPr>
          <w:rStyle w:val="Refdenotaalpie"/>
        </w:rPr>
        <w:footnoteRef/>
      </w:r>
      <w:r>
        <w:t xml:space="preserve"> </w:t>
      </w:r>
      <w:proofErr w:type="spellStart"/>
      <w:r>
        <w:rPr>
          <w:rStyle w:val="normaltextrun"/>
          <w:shd w:val="clear" w:color="auto" w:fill="FFFFFF"/>
          <w:lang w:val="fr-FR"/>
        </w:rPr>
        <w:t>Cfr</w:t>
      </w:r>
      <w:proofErr w:type="spellEnd"/>
      <w:r>
        <w:rPr>
          <w:rStyle w:val="normaltextrun"/>
          <w:shd w:val="clear" w:color="auto" w:fill="FFFFFF"/>
          <w:lang w:val="fr-FR"/>
        </w:rPr>
        <w:t>. Corte </w:t>
      </w:r>
      <w:proofErr w:type="spellStart"/>
      <w:r>
        <w:rPr>
          <w:rStyle w:val="normaltextrun"/>
          <w:shd w:val="clear" w:color="auto" w:fill="FFFFFF"/>
          <w:lang w:val="fr-FR"/>
        </w:rPr>
        <w:t>Constitucional</w:t>
      </w:r>
      <w:proofErr w:type="spellEnd"/>
      <w:r>
        <w:rPr>
          <w:rStyle w:val="normaltextrun"/>
          <w:shd w:val="clear" w:color="auto" w:fill="FFFFFF"/>
          <w:lang w:val="fr-FR"/>
        </w:rPr>
        <w:t>. Sentencias T-335 de 2000, T-1044 de 2007, T-658 de 2008, T-505 de 2009, T-610 de 2009, T-896 de 2010, T-040 de 2011, T-338 de 2012, T-512 de 2012, T-543 de 2012, T-1061 de 2012, T-931 de 2013, T-182 de 2014 y T-406 de 2014, </w:t>
      </w:r>
      <w:proofErr w:type="spellStart"/>
      <w:r>
        <w:rPr>
          <w:rStyle w:val="normaltextrun"/>
          <w:shd w:val="clear" w:color="auto" w:fill="FFFFFF"/>
          <w:lang w:val="fr-FR"/>
        </w:rPr>
        <w:t>citadas</w:t>
      </w:r>
      <w:proofErr w:type="spellEnd"/>
      <w:r>
        <w:rPr>
          <w:rStyle w:val="normaltextrun"/>
          <w:shd w:val="clear" w:color="auto" w:fill="FFFFFF"/>
          <w:lang w:val="fr-FR"/>
        </w:rPr>
        <w:t> en la sentencia T-422 de 2018.</w:t>
      </w:r>
      <w:r>
        <w:rPr>
          <w:rStyle w:val="eop"/>
          <w:shd w:val="clear" w:color="auto" w:fill="FFFFFF"/>
        </w:rPr>
        <w:t> </w:t>
      </w:r>
    </w:p>
  </w:footnote>
  <w:footnote w:id="24">
    <w:p w:rsidR="008E7CD2" w:rsidRDefault="008E7CD2" w:rsidP="008E7CD2">
      <w:pPr>
        <w:pStyle w:val="Textonotapie"/>
      </w:pPr>
      <w:r>
        <w:rPr>
          <w:rStyle w:val="Refdenotaalpie"/>
        </w:rPr>
        <w:footnoteRef/>
      </w:r>
      <w:r>
        <w:t xml:space="preserve"> “</w:t>
      </w:r>
      <w:r>
        <w:rPr>
          <w:rStyle w:val="normaltextrun"/>
          <w:shd w:val="clear" w:color="auto" w:fill="FFFFFF"/>
        </w:rPr>
        <w:t>[T]</w:t>
      </w:r>
      <w:proofErr w:type="spellStart"/>
      <w:r>
        <w:rPr>
          <w:rStyle w:val="normaltextrun"/>
          <w:shd w:val="clear" w:color="auto" w:fill="FFFFFF"/>
        </w:rPr>
        <w:t>eniendo</w:t>
      </w:r>
      <w:proofErr w:type="spellEnd"/>
      <w:r>
        <w:rPr>
          <w:rStyle w:val="normaltextrun"/>
          <w:shd w:val="clear" w:color="auto" w:fill="FFFFFF"/>
        </w:rPr>
        <w:t> en cuenta que la tutela contra providencias judiciales no da lugar a una tercera instancia, ni puede reemplazar los recursos ordinarios, es necesario que la causa que origina la presentación de la acción suponga el desconocimiento de un derecho fundamental”. Corte Constitucional. Sentencia T-422 de 2018.</w:t>
      </w:r>
      <w:r>
        <w:rPr>
          <w:rStyle w:val="eop"/>
          <w:shd w:val="clear" w:color="auto" w:fill="FFFFFF"/>
        </w:rPr>
        <w:t xml:space="preserve"> </w:t>
      </w:r>
    </w:p>
  </w:footnote>
  <w:footnote w:id="25">
    <w:p w:rsidR="008E7CD2" w:rsidRPr="00394F97" w:rsidRDefault="008E7CD2" w:rsidP="008E7CD2">
      <w:pPr>
        <w:pStyle w:val="Textonotapie"/>
      </w:pPr>
      <w:r w:rsidRPr="00394F97">
        <w:rPr>
          <w:rStyle w:val="Refdenotaalpie"/>
        </w:rPr>
        <w:footnoteRef/>
      </w:r>
      <w:r w:rsidRPr="00394F97">
        <w:t xml:space="preserve"> </w:t>
      </w:r>
      <w:r w:rsidRPr="00394F97">
        <w:rPr>
          <w:rStyle w:val="normaltextrun"/>
          <w:shd w:val="clear" w:color="auto" w:fill="FFFFFF"/>
        </w:rPr>
        <w:t>Corte Constitucional, sentencia T-102 de 16 de febrero de 2006. En igual sentido: T-075-18, T-451-18, T-422-18 y T-248-18.</w:t>
      </w:r>
      <w:r w:rsidRPr="00394F97">
        <w:rPr>
          <w:rStyle w:val="eop"/>
          <w:shd w:val="clear" w:color="auto" w:fill="FFFFFF"/>
        </w:rPr>
        <w:t> </w:t>
      </w:r>
    </w:p>
  </w:footnote>
  <w:footnote w:id="26">
    <w:p w:rsidR="008E7CD2" w:rsidRPr="00394F97" w:rsidRDefault="008E7CD2" w:rsidP="008E7CD2">
      <w:pPr>
        <w:pStyle w:val="Textonotapie"/>
      </w:pPr>
      <w:r w:rsidRPr="00394F97">
        <w:rPr>
          <w:rStyle w:val="Refdenotaalpie"/>
        </w:rPr>
        <w:footnoteRef/>
      </w:r>
      <w:r w:rsidRPr="00394F97">
        <w:t xml:space="preserve"> </w:t>
      </w:r>
      <w:r w:rsidRPr="00394F97">
        <w:rPr>
          <w:rStyle w:val="normaltextrun"/>
          <w:shd w:val="clear" w:color="auto" w:fill="FFFFFF"/>
        </w:rPr>
        <w:t>Cfr. </w:t>
      </w:r>
      <w:r w:rsidRPr="00394F97">
        <w:rPr>
          <w:rStyle w:val="normaltextrun"/>
          <w:shd w:val="clear" w:color="auto" w:fill="FFFFFF"/>
          <w:lang w:val="es-ES"/>
        </w:rPr>
        <w:t>sentencia C-590 de 2005.</w:t>
      </w:r>
    </w:p>
  </w:footnote>
  <w:footnote w:id="27">
    <w:p w:rsidR="008E7CD2" w:rsidRDefault="008E7CD2" w:rsidP="008E7CD2">
      <w:pPr>
        <w:pStyle w:val="Textonotapie"/>
        <w:rPr>
          <w:sz w:val="18"/>
          <w:szCs w:val="18"/>
        </w:rPr>
      </w:pPr>
      <w:r w:rsidRPr="00394F97">
        <w:rPr>
          <w:rStyle w:val="Refdenotaalpie"/>
        </w:rPr>
        <w:footnoteRef/>
      </w:r>
      <w:r w:rsidRPr="00394F97">
        <w:t xml:space="preserve"> Por supuesto, el fallador de tutela requiere examinar que, de esos asuntos legales, no se desprendan violaciones a los derechos y deberes constitucionales, pues, de ser así, adquieren relevancia constitucional inmediata. Corte Constitucional. Sentencia T-1031 de 2001, citada por la Corte Constitucional en las sentencias T-114 de 2002 y T-136 de 2015.</w:t>
      </w:r>
    </w:p>
  </w:footnote>
  <w:footnote w:id="28">
    <w:p w:rsidR="008E7CD2" w:rsidRPr="00394F97" w:rsidRDefault="008E7CD2" w:rsidP="008E7CD2">
      <w:pPr>
        <w:pStyle w:val="NormalWeb"/>
        <w:spacing w:before="0" w:beforeAutospacing="0" w:after="0" w:afterAutospacing="0"/>
        <w:jc w:val="both"/>
        <w:rPr>
          <w:rFonts w:ascii="Arial" w:eastAsia="Calibri" w:hAnsi="Arial" w:cs="Arial"/>
          <w:bCs/>
          <w:iCs/>
          <w:sz w:val="20"/>
          <w:szCs w:val="20"/>
          <w:lang w:val="es-CO" w:eastAsia="es-ES_tradnl"/>
        </w:rPr>
      </w:pPr>
      <w:r w:rsidRPr="00394F97">
        <w:rPr>
          <w:rFonts w:ascii="Arial" w:eastAsia="Calibri" w:hAnsi="Arial" w:cs="Arial"/>
          <w:bCs/>
          <w:iCs/>
          <w:sz w:val="20"/>
          <w:szCs w:val="20"/>
          <w:vertAlign w:val="superscript"/>
          <w:lang w:val="es-CO" w:eastAsia="es-ES_tradnl"/>
        </w:rPr>
        <w:footnoteRef/>
      </w:r>
      <w:r w:rsidRPr="00394F97">
        <w:rPr>
          <w:rFonts w:ascii="Arial" w:eastAsia="Calibri" w:hAnsi="Arial" w:cs="Arial"/>
          <w:bCs/>
          <w:iCs/>
          <w:sz w:val="20"/>
          <w:szCs w:val="20"/>
          <w:lang w:val="es-CO" w:eastAsia="es-ES_tradnl"/>
        </w:rPr>
        <w:t xml:space="preserve"> Sentencia C-590 de 2005.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dispuesto en el artículo 4º de la Carta Política que antepone de manera preferente la aplicación de sus postulados.</w:t>
      </w:r>
    </w:p>
  </w:footnote>
  <w:footnote w:id="29">
    <w:p w:rsidR="008E7CD2" w:rsidRDefault="008E7CD2" w:rsidP="008E7CD2">
      <w:pPr>
        <w:pStyle w:val="NormalWeb"/>
        <w:spacing w:before="0" w:beforeAutospacing="0" w:after="0" w:afterAutospacing="0"/>
        <w:jc w:val="both"/>
        <w:rPr>
          <w:rFonts w:ascii="Arial" w:eastAsia="Calibri" w:hAnsi="Arial" w:cs="Arial"/>
          <w:bCs/>
          <w:iCs/>
          <w:sz w:val="18"/>
          <w:szCs w:val="18"/>
          <w:lang w:val="es-CO" w:eastAsia="es-ES_tradnl"/>
        </w:rPr>
      </w:pPr>
      <w:r w:rsidRPr="00394F97">
        <w:rPr>
          <w:rFonts w:ascii="Arial" w:eastAsia="Calibri" w:hAnsi="Arial" w:cs="Arial"/>
          <w:bCs/>
          <w:iCs/>
          <w:sz w:val="20"/>
          <w:szCs w:val="20"/>
          <w:vertAlign w:val="superscript"/>
          <w:lang w:val="es-CO" w:eastAsia="es-ES_tradnl"/>
        </w:rPr>
        <w:footnoteRef/>
      </w:r>
      <w:r w:rsidRPr="00394F97">
        <w:rPr>
          <w:rFonts w:ascii="Arial" w:eastAsia="Calibri" w:hAnsi="Arial" w:cs="Arial"/>
          <w:bCs/>
          <w:iCs/>
          <w:sz w:val="20"/>
          <w:szCs w:val="20"/>
          <w:vertAlign w:val="superscript"/>
          <w:lang w:val="es-CO" w:eastAsia="es-ES_tradnl"/>
        </w:rPr>
        <w:t xml:space="preserve"> </w:t>
      </w:r>
      <w:r w:rsidRPr="00394F97">
        <w:rPr>
          <w:rFonts w:ascii="Arial" w:eastAsia="Calibri" w:hAnsi="Arial" w:cs="Arial"/>
          <w:bCs/>
          <w:iCs/>
          <w:sz w:val="20"/>
          <w:szCs w:val="20"/>
          <w:lang w:val="es-CO" w:eastAsia="es-ES_tradnl"/>
        </w:rPr>
        <w:t>Sentencia de la Corte Constitucional T-066 de 2019, que, a su vez reitera la T-336 de 2004.</w:t>
      </w:r>
    </w:p>
  </w:footnote>
  <w:footnote w:id="30">
    <w:p w:rsidR="004D2CC1" w:rsidRDefault="004D2CC1" w:rsidP="004D2CC1">
      <w:pPr>
        <w:pStyle w:val="Textonotapie"/>
      </w:pPr>
      <w:r>
        <w:rPr>
          <w:rStyle w:val="Refdenotaalpie"/>
        </w:rPr>
        <w:footnoteRef/>
      </w:r>
      <w:r>
        <w:t xml:space="preserve"> Apartado 1.4.</w:t>
      </w:r>
    </w:p>
  </w:footnote>
  <w:footnote w:id="31">
    <w:p w:rsidR="004D2CC1" w:rsidRDefault="004D2CC1" w:rsidP="004D2CC1">
      <w:pPr>
        <w:pStyle w:val="Textonotapie"/>
      </w:pPr>
      <w:r w:rsidRPr="00394F97">
        <w:rPr>
          <w:rStyle w:val="Refdenotaalpie"/>
        </w:rPr>
        <w:footnoteRef/>
      </w:r>
      <w:r w:rsidRPr="00394F97">
        <w:t xml:space="preserve"> Sentencia T-459 de 2017.</w:t>
      </w:r>
    </w:p>
  </w:footnote>
  <w:footnote w:id="32">
    <w:p w:rsidR="00EB641A" w:rsidRDefault="00EB641A">
      <w:pPr>
        <w:pStyle w:val="Textonotapie"/>
      </w:pPr>
      <w:r>
        <w:rPr>
          <w:rStyle w:val="Refdenotaalpie"/>
        </w:rPr>
        <w:footnoteRef/>
      </w:r>
      <w:r>
        <w:t xml:space="preserve"> Apartado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68" w:rsidRPr="008F2BC8" w:rsidRDefault="0096542C">
    <w:pPr>
      <w:pStyle w:val="Encabezado"/>
    </w:pPr>
    <w:r w:rsidRPr="008F2BC8">
      <w:rPr>
        <w:noProof/>
        <w:lang w:eastAsia="es-CO"/>
      </w:rPr>
      <w:drawing>
        <wp:anchor distT="0" distB="0" distL="114300" distR="114300" simplePos="0" relativeHeight="251658240"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8F2BC8" w:rsidRDefault="00487668">
    <w:pPr>
      <w:pStyle w:val="Encabezado"/>
    </w:pPr>
  </w:p>
  <w:p w:rsidR="00487668" w:rsidRPr="008F2BC8" w:rsidRDefault="0096542C">
    <w:pPr>
      <w:pStyle w:val="Encabezado"/>
    </w:pPr>
    <w:r w:rsidRPr="008F2BC8">
      <w:rPr>
        <w:noProof/>
        <w:sz w:val="20"/>
        <w:szCs w:val="20"/>
        <w:lang w:eastAsia="es-CO"/>
      </w:rPr>
      <mc:AlternateContent>
        <mc:Choice Requires="wps">
          <w:drawing>
            <wp:anchor distT="0" distB="0" distL="114300" distR="114300" simplePos="0" relativeHeight="251657216"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481505"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487668" w:rsidRPr="0037377A" w:rsidRDefault="00487668" w:rsidP="0054069D">
    <w:pPr>
      <w:pStyle w:val="Encabezado"/>
      <w:jc w:val="right"/>
      <w:rPr>
        <w:i/>
        <w:iCs/>
        <w:sz w:val="20"/>
        <w:szCs w:val="20"/>
      </w:rPr>
    </w:pPr>
    <w:r w:rsidRPr="0037377A">
      <w:rPr>
        <w:i/>
        <w:iCs/>
        <w:sz w:val="20"/>
        <w:szCs w:val="20"/>
      </w:rPr>
      <w:t>Radicado: 11001-03-15-000-202</w:t>
    </w:r>
    <w:r w:rsidR="00C357E2" w:rsidRPr="0037377A">
      <w:rPr>
        <w:i/>
        <w:iCs/>
        <w:sz w:val="20"/>
        <w:szCs w:val="20"/>
      </w:rPr>
      <w:t>2</w:t>
    </w:r>
    <w:r w:rsidRPr="0037377A">
      <w:rPr>
        <w:i/>
        <w:iCs/>
        <w:sz w:val="20"/>
        <w:szCs w:val="20"/>
      </w:rPr>
      <w:t>-</w:t>
    </w:r>
    <w:r w:rsidR="00C357E2" w:rsidRPr="0037377A">
      <w:rPr>
        <w:i/>
        <w:iCs/>
        <w:sz w:val="20"/>
        <w:szCs w:val="20"/>
      </w:rPr>
      <w:t>0</w:t>
    </w:r>
    <w:r w:rsidR="00702E30">
      <w:rPr>
        <w:i/>
        <w:iCs/>
        <w:sz w:val="20"/>
        <w:szCs w:val="20"/>
      </w:rPr>
      <w:t>3418</w:t>
    </w:r>
    <w:r w:rsidRPr="0037377A">
      <w:rPr>
        <w:i/>
        <w:iCs/>
        <w:sz w:val="20"/>
        <w:szCs w:val="20"/>
      </w:rPr>
      <w:t>-</w:t>
    </w:r>
    <w:r w:rsidR="00C357E2" w:rsidRPr="0037377A">
      <w:rPr>
        <w:i/>
        <w:iCs/>
        <w:sz w:val="20"/>
        <w:szCs w:val="20"/>
      </w:rPr>
      <w:t>00</w:t>
    </w:r>
  </w:p>
  <w:p w:rsidR="00487668" w:rsidRDefault="00487668" w:rsidP="008F2BC8">
    <w:pPr>
      <w:pStyle w:val="Encabezado"/>
      <w:tabs>
        <w:tab w:val="clear" w:pos="4252"/>
        <w:tab w:val="center" w:pos="3828"/>
      </w:tabs>
      <w:jc w:val="right"/>
      <w:rPr>
        <w:i/>
        <w:iCs/>
        <w:sz w:val="20"/>
        <w:szCs w:val="20"/>
      </w:rPr>
    </w:pPr>
    <w:r w:rsidRPr="0037377A">
      <w:rPr>
        <w:i/>
        <w:iCs/>
        <w:sz w:val="20"/>
        <w:szCs w:val="20"/>
      </w:rPr>
      <w:tab/>
    </w:r>
    <w:r w:rsidRPr="0037377A">
      <w:rPr>
        <w:i/>
        <w:iCs/>
        <w:sz w:val="20"/>
        <w:szCs w:val="20"/>
      </w:rPr>
      <w:tab/>
      <w:t xml:space="preserve">Accionante: </w:t>
    </w:r>
    <w:r w:rsidR="00702E30">
      <w:rPr>
        <w:i/>
        <w:iCs/>
        <w:sz w:val="20"/>
        <w:szCs w:val="20"/>
      </w:rPr>
      <w:t>Clemencia Rodríguez Espinoza</w:t>
    </w:r>
  </w:p>
  <w:p w:rsidR="009F2FAE" w:rsidRDefault="009F2FAE" w:rsidP="008F2BC8">
    <w:pPr>
      <w:pStyle w:val="Encabezado"/>
      <w:tabs>
        <w:tab w:val="clear" w:pos="4252"/>
        <w:tab w:val="center" w:pos="3828"/>
      </w:tabs>
      <w:jc w:val="right"/>
      <w:rPr>
        <w:i/>
        <w:iCs/>
        <w:sz w:val="20"/>
        <w:szCs w:val="20"/>
      </w:rPr>
    </w:pPr>
  </w:p>
  <w:p w:rsidR="009F2FAE" w:rsidRDefault="009F2FAE" w:rsidP="008F2BC8">
    <w:pPr>
      <w:pStyle w:val="Encabezado"/>
      <w:tabs>
        <w:tab w:val="clear" w:pos="4252"/>
        <w:tab w:val="center" w:pos="3828"/>
      </w:tabs>
      <w:jc w:val="right"/>
      <w:rPr>
        <w:i/>
        <w:iCs/>
        <w:sz w:val="20"/>
        <w:szCs w:val="20"/>
      </w:rPr>
    </w:pPr>
  </w:p>
  <w:p w:rsidR="009F2FAE" w:rsidRPr="0037377A" w:rsidRDefault="009F2FAE"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8E4" w:rsidRDefault="004608E4" w:rsidP="00C357E2">
    <w:pPr>
      <w:pStyle w:val="Encabezado"/>
    </w:pPr>
  </w:p>
  <w:p w:rsidR="00C357E2" w:rsidRPr="008F2BC8" w:rsidRDefault="0096542C" w:rsidP="00C357E2">
    <w:pPr>
      <w:pStyle w:val="Encabezado"/>
    </w:pPr>
    <w:r>
      <w:rPr>
        <w:noProof/>
        <w:lang w:eastAsia="es-CO"/>
      </w:rPr>
      <w:drawing>
        <wp:anchor distT="0" distB="0" distL="114300" distR="114300" simplePos="0" relativeHeight="251656192"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7E2" w:rsidRPr="008F2BC8" w:rsidRDefault="0096542C" w:rsidP="00C357E2">
    <w:pPr>
      <w:pStyle w:val="Encabezado"/>
    </w:pPr>
    <w:r w:rsidRPr="008F2BC8">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400040" cy="0"/>
              <wp:effectExtent l="17780" t="22225" r="20955"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120C3F"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" strokeweight="2.25pt">
              <v:shadow color="#1f3763" opacity=".5" offset="1pt"/>
            </v:shape>
          </w:pict>
        </mc:Fallback>
      </mc:AlternateContent>
    </w:r>
  </w:p>
  <w:p w:rsidR="00C357E2" w:rsidRPr="00C357E2" w:rsidRDefault="00C357E2" w:rsidP="00C357E2">
    <w:pPr>
      <w:pStyle w:val="Encabezado"/>
      <w:jc w:val="right"/>
      <w:rPr>
        <w:i/>
        <w:iCs/>
        <w:sz w:val="20"/>
        <w:szCs w:val="20"/>
      </w:rPr>
    </w:pPr>
    <w:r w:rsidRPr="00C357E2">
      <w:rPr>
        <w:i/>
        <w:iCs/>
        <w:sz w:val="20"/>
        <w:szCs w:val="20"/>
      </w:rPr>
      <w:t>Radicado: 11001-03-15-000-2022-0</w:t>
    </w:r>
    <w:r w:rsidR="00702E30">
      <w:rPr>
        <w:i/>
        <w:iCs/>
        <w:sz w:val="20"/>
        <w:szCs w:val="20"/>
      </w:rPr>
      <w:t>3418</w:t>
    </w:r>
    <w:r w:rsidRPr="00C357E2">
      <w:rPr>
        <w:i/>
        <w:iCs/>
        <w:sz w:val="20"/>
        <w:szCs w:val="20"/>
      </w:rPr>
      <w:t>-00</w:t>
    </w:r>
  </w:p>
  <w:p w:rsidR="00C357E2" w:rsidRPr="00C357E2" w:rsidRDefault="00C357E2" w:rsidP="009F2FAE">
    <w:pPr>
      <w:pStyle w:val="Encabezado"/>
      <w:tabs>
        <w:tab w:val="clear" w:pos="4252"/>
        <w:tab w:val="center" w:pos="3828"/>
      </w:tabs>
      <w:spacing w:after="240"/>
      <w:jc w:val="right"/>
      <w:rPr>
        <w:i/>
        <w:iCs/>
        <w:sz w:val="20"/>
        <w:szCs w:val="20"/>
      </w:rPr>
    </w:pPr>
    <w:r w:rsidRPr="00C357E2">
      <w:rPr>
        <w:i/>
        <w:iCs/>
        <w:sz w:val="20"/>
        <w:szCs w:val="20"/>
      </w:rPr>
      <w:tab/>
    </w:r>
    <w:r w:rsidRPr="00C357E2">
      <w:rPr>
        <w:i/>
        <w:iCs/>
        <w:sz w:val="20"/>
        <w:szCs w:val="20"/>
      </w:rPr>
      <w:tab/>
      <w:t xml:space="preserve">Accionante: </w:t>
    </w:r>
    <w:r w:rsidR="00702E30">
      <w:rPr>
        <w:i/>
        <w:iCs/>
        <w:sz w:val="20"/>
        <w:szCs w:val="20"/>
      </w:rPr>
      <w:t>Clemencia Rodríguez Espinoza</w:t>
    </w:r>
  </w:p>
  <w:p w:rsidR="00487668" w:rsidRPr="007F276C" w:rsidRDefault="00487668" w:rsidP="009F2FAE">
    <w:pPr>
      <w:pStyle w:val="Cuadrculamedia21"/>
    </w:pPr>
    <w:r w:rsidRPr="007F276C">
      <w:t>CONSEJO DE ESTADO</w:t>
    </w:r>
  </w:p>
  <w:p w:rsidR="00487668" w:rsidRPr="007F276C" w:rsidRDefault="00487668" w:rsidP="009F2FAE">
    <w:pPr>
      <w:pStyle w:val="Cuadrculamedia21"/>
    </w:pPr>
    <w:r w:rsidRPr="007F276C">
      <w:t>SALA DE LO CONTENCIOSO ADMINISTRATIVO</w:t>
    </w:r>
  </w:p>
  <w:p w:rsidR="00C357E2" w:rsidRDefault="00487668" w:rsidP="009F2FAE">
    <w:pPr>
      <w:pStyle w:val="Cuadrculamedia21"/>
    </w:pPr>
    <w:r w:rsidRPr="007F276C">
      <w:t xml:space="preserve">SECCIÓN TERCERA </w:t>
    </w:r>
  </w:p>
  <w:p w:rsidR="00487668" w:rsidRPr="007F276C" w:rsidRDefault="00487668" w:rsidP="009F2FAE">
    <w:pPr>
      <w:pStyle w:val="Cuadrculamedia21"/>
    </w:pPr>
    <w:r w:rsidRPr="007F276C">
      <w:t>SUBSECCIÓN C</w:t>
    </w:r>
  </w:p>
  <w:p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3F3CE1"/>
    <w:multiLevelType w:val="hybridMultilevel"/>
    <w:tmpl w:val="CF800098"/>
    <w:lvl w:ilvl="0" w:tplc="0568CC3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05859C9"/>
    <w:multiLevelType w:val="hybridMultilevel"/>
    <w:tmpl w:val="9684BFE6"/>
    <w:lvl w:ilvl="0" w:tplc="61E0643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5"/>
  </w:num>
  <w:num w:numId="7">
    <w:abstractNumId w:val="9"/>
  </w:num>
  <w:num w:numId="8">
    <w:abstractNumId w:val="4"/>
  </w:num>
  <w:num w:numId="9">
    <w:abstractNumId w:val="8"/>
  </w:num>
  <w:num w:numId="10">
    <w:abstractNumId w:val="0"/>
  </w:num>
  <w:num w:numId="11">
    <w:abstractNumId w:val="10"/>
  </w:num>
  <w:num w:numId="12">
    <w:abstractNumId w:val="11"/>
  </w:num>
  <w:num w:numId="13">
    <w:abstractNumId w:val="2"/>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F4B"/>
    <w:rsid w:val="000066C8"/>
    <w:rsid w:val="00006D3C"/>
    <w:rsid w:val="00010688"/>
    <w:rsid w:val="000106D3"/>
    <w:rsid w:val="0001267B"/>
    <w:rsid w:val="00015649"/>
    <w:rsid w:val="00015EB8"/>
    <w:rsid w:val="00017CB3"/>
    <w:rsid w:val="00020B48"/>
    <w:rsid w:val="0002230D"/>
    <w:rsid w:val="00025F2A"/>
    <w:rsid w:val="0003218E"/>
    <w:rsid w:val="000323B1"/>
    <w:rsid w:val="00032CC4"/>
    <w:rsid w:val="00033574"/>
    <w:rsid w:val="000339D1"/>
    <w:rsid w:val="00034785"/>
    <w:rsid w:val="00037AA7"/>
    <w:rsid w:val="0004084C"/>
    <w:rsid w:val="00040DFC"/>
    <w:rsid w:val="0004392F"/>
    <w:rsid w:val="00043FEC"/>
    <w:rsid w:val="00044E8C"/>
    <w:rsid w:val="00044EDE"/>
    <w:rsid w:val="000532C4"/>
    <w:rsid w:val="000533DC"/>
    <w:rsid w:val="000544A6"/>
    <w:rsid w:val="00054798"/>
    <w:rsid w:val="0005568F"/>
    <w:rsid w:val="00056556"/>
    <w:rsid w:val="000572B4"/>
    <w:rsid w:val="000578D4"/>
    <w:rsid w:val="000579DD"/>
    <w:rsid w:val="0006102E"/>
    <w:rsid w:val="00061B93"/>
    <w:rsid w:val="00062FA2"/>
    <w:rsid w:val="000630B1"/>
    <w:rsid w:val="00063412"/>
    <w:rsid w:val="00065B86"/>
    <w:rsid w:val="000705E7"/>
    <w:rsid w:val="0007138A"/>
    <w:rsid w:val="000717E4"/>
    <w:rsid w:val="000728E0"/>
    <w:rsid w:val="00073869"/>
    <w:rsid w:val="00073CBC"/>
    <w:rsid w:val="000748B2"/>
    <w:rsid w:val="00074933"/>
    <w:rsid w:val="00076779"/>
    <w:rsid w:val="00080E08"/>
    <w:rsid w:val="00083B8F"/>
    <w:rsid w:val="00084808"/>
    <w:rsid w:val="00085770"/>
    <w:rsid w:val="000867E4"/>
    <w:rsid w:val="00087A06"/>
    <w:rsid w:val="000904D2"/>
    <w:rsid w:val="00090A6A"/>
    <w:rsid w:val="00094D65"/>
    <w:rsid w:val="00094E7B"/>
    <w:rsid w:val="000950CA"/>
    <w:rsid w:val="00095CA3"/>
    <w:rsid w:val="00096FEC"/>
    <w:rsid w:val="000A0D21"/>
    <w:rsid w:val="000A2728"/>
    <w:rsid w:val="000A29B4"/>
    <w:rsid w:val="000A511D"/>
    <w:rsid w:val="000A59A9"/>
    <w:rsid w:val="000A7BB5"/>
    <w:rsid w:val="000B036D"/>
    <w:rsid w:val="000B4981"/>
    <w:rsid w:val="000B6087"/>
    <w:rsid w:val="000B67FA"/>
    <w:rsid w:val="000C082B"/>
    <w:rsid w:val="000C089F"/>
    <w:rsid w:val="000C2B43"/>
    <w:rsid w:val="000C3815"/>
    <w:rsid w:val="000C59BB"/>
    <w:rsid w:val="000C5DB7"/>
    <w:rsid w:val="000C64FB"/>
    <w:rsid w:val="000C7B4F"/>
    <w:rsid w:val="000D0BCC"/>
    <w:rsid w:val="000D0E41"/>
    <w:rsid w:val="000D32DB"/>
    <w:rsid w:val="000D37F2"/>
    <w:rsid w:val="000D501C"/>
    <w:rsid w:val="000D51DF"/>
    <w:rsid w:val="000D5563"/>
    <w:rsid w:val="000D5627"/>
    <w:rsid w:val="000D77CC"/>
    <w:rsid w:val="000E2D62"/>
    <w:rsid w:val="000E35C9"/>
    <w:rsid w:val="000E3B37"/>
    <w:rsid w:val="000E638B"/>
    <w:rsid w:val="000E6EB3"/>
    <w:rsid w:val="000E6FDE"/>
    <w:rsid w:val="000E71BE"/>
    <w:rsid w:val="000F1EB8"/>
    <w:rsid w:val="000F4977"/>
    <w:rsid w:val="000F7516"/>
    <w:rsid w:val="00100EA1"/>
    <w:rsid w:val="00101CAF"/>
    <w:rsid w:val="0010255B"/>
    <w:rsid w:val="00105352"/>
    <w:rsid w:val="00105A9B"/>
    <w:rsid w:val="001069EE"/>
    <w:rsid w:val="00107650"/>
    <w:rsid w:val="001078B5"/>
    <w:rsid w:val="00112A4A"/>
    <w:rsid w:val="00113E35"/>
    <w:rsid w:val="00115FDF"/>
    <w:rsid w:val="00116B58"/>
    <w:rsid w:val="00117091"/>
    <w:rsid w:val="00121C89"/>
    <w:rsid w:val="001239F2"/>
    <w:rsid w:val="0012691C"/>
    <w:rsid w:val="0012748A"/>
    <w:rsid w:val="00127C92"/>
    <w:rsid w:val="00130A93"/>
    <w:rsid w:val="00131347"/>
    <w:rsid w:val="001314F6"/>
    <w:rsid w:val="0013198F"/>
    <w:rsid w:val="00133F91"/>
    <w:rsid w:val="00135F64"/>
    <w:rsid w:val="00137C16"/>
    <w:rsid w:val="00142470"/>
    <w:rsid w:val="0014251B"/>
    <w:rsid w:val="00142D88"/>
    <w:rsid w:val="00143C53"/>
    <w:rsid w:val="00150C6D"/>
    <w:rsid w:val="00151EAB"/>
    <w:rsid w:val="0015393C"/>
    <w:rsid w:val="001556F7"/>
    <w:rsid w:val="00155E78"/>
    <w:rsid w:val="0015765B"/>
    <w:rsid w:val="00163D47"/>
    <w:rsid w:val="00163FC6"/>
    <w:rsid w:val="00164218"/>
    <w:rsid w:val="00166623"/>
    <w:rsid w:val="00166AF6"/>
    <w:rsid w:val="00167F33"/>
    <w:rsid w:val="00167FA0"/>
    <w:rsid w:val="00170DDA"/>
    <w:rsid w:val="0017246D"/>
    <w:rsid w:val="00175E25"/>
    <w:rsid w:val="00177834"/>
    <w:rsid w:val="00180591"/>
    <w:rsid w:val="00186DA6"/>
    <w:rsid w:val="001873DA"/>
    <w:rsid w:val="001874CE"/>
    <w:rsid w:val="00190D5F"/>
    <w:rsid w:val="00191101"/>
    <w:rsid w:val="0019115B"/>
    <w:rsid w:val="00194A69"/>
    <w:rsid w:val="00194CD0"/>
    <w:rsid w:val="00194F24"/>
    <w:rsid w:val="001953E0"/>
    <w:rsid w:val="00196FB8"/>
    <w:rsid w:val="001976F2"/>
    <w:rsid w:val="001A11AB"/>
    <w:rsid w:val="001A2023"/>
    <w:rsid w:val="001A43CB"/>
    <w:rsid w:val="001A6593"/>
    <w:rsid w:val="001B1E5A"/>
    <w:rsid w:val="001B2292"/>
    <w:rsid w:val="001B291F"/>
    <w:rsid w:val="001B2B62"/>
    <w:rsid w:val="001B5D50"/>
    <w:rsid w:val="001B6E23"/>
    <w:rsid w:val="001B7A86"/>
    <w:rsid w:val="001C111A"/>
    <w:rsid w:val="001C1197"/>
    <w:rsid w:val="001C208B"/>
    <w:rsid w:val="001C2B53"/>
    <w:rsid w:val="001C3C1F"/>
    <w:rsid w:val="001D0C82"/>
    <w:rsid w:val="001D3A9C"/>
    <w:rsid w:val="001D46D4"/>
    <w:rsid w:val="001D4C64"/>
    <w:rsid w:val="001D4D53"/>
    <w:rsid w:val="001D4E62"/>
    <w:rsid w:val="001D5085"/>
    <w:rsid w:val="001D520B"/>
    <w:rsid w:val="001D5284"/>
    <w:rsid w:val="001D5360"/>
    <w:rsid w:val="001D5816"/>
    <w:rsid w:val="001D5BEB"/>
    <w:rsid w:val="001D7328"/>
    <w:rsid w:val="001E093B"/>
    <w:rsid w:val="001E1C28"/>
    <w:rsid w:val="001E3D69"/>
    <w:rsid w:val="001E4567"/>
    <w:rsid w:val="001E556F"/>
    <w:rsid w:val="001E7758"/>
    <w:rsid w:val="001F0392"/>
    <w:rsid w:val="001F5705"/>
    <w:rsid w:val="001F633B"/>
    <w:rsid w:val="001F77D1"/>
    <w:rsid w:val="00200294"/>
    <w:rsid w:val="00201170"/>
    <w:rsid w:val="00201EC3"/>
    <w:rsid w:val="00204033"/>
    <w:rsid w:val="0020519A"/>
    <w:rsid w:val="00207157"/>
    <w:rsid w:val="002119B6"/>
    <w:rsid w:val="00212973"/>
    <w:rsid w:val="002141FD"/>
    <w:rsid w:val="00214D23"/>
    <w:rsid w:val="002217FF"/>
    <w:rsid w:val="002230E3"/>
    <w:rsid w:val="002232C9"/>
    <w:rsid w:val="00223E9A"/>
    <w:rsid w:val="0022445F"/>
    <w:rsid w:val="00226235"/>
    <w:rsid w:val="002279AE"/>
    <w:rsid w:val="00227D3B"/>
    <w:rsid w:val="00231A2E"/>
    <w:rsid w:val="002344BB"/>
    <w:rsid w:val="0023490B"/>
    <w:rsid w:val="002409A5"/>
    <w:rsid w:val="00243BD7"/>
    <w:rsid w:val="00244530"/>
    <w:rsid w:val="00244AF1"/>
    <w:rsid w:val="00245128"/>
    <w:rsid w:val="00245887"/>
    <w:rsid w:val="0024589F"/>
    <w:rsid w:val="00246239"/>
    <w:rsid w:val="00246900"/>
    <w:rsid w:val="002475E4"/>
    <w:rsid w:val="002477CB"/>
    <w:rsid w:val="00247915"/>
    <w:rsid w:val="00252780"/>
    <w:rsid w:val="00252E6D"/>
    <w:rsid w:val="00254098"/>
    <w:rsid w:val="0026512F"/>
    <w:rsid w:val="0026676B"/>
    <w:rsid w:val="002702B3"/>
    <w:rsid w:val="0027215E"/>
    <w:rsid w:val="00272D09"/>
    <w:rsid w:val="00273C24"/>
    <w:rsid w:val="00277643"/>
    <w:rsid w:val="00277CF8"/>
    <w:rsid w:val="00277D24"/>
    <w:rsid w:val="00280A9A"/>
    <w:rsid w:val="00280D5D"/>
    <w:rsid w:val="00281090"/>
    <w:rsid w:val="00281874"/>
    <w:rsid w:val="00284B3D"/>
    <w:rsid w:val="0028665C"/>
    <w:rsid w:val="0028766A"/>
    <w:rsid w:val="00290C0B"/>
    <w:rsid w:val="00293B93"/>
    <w:rsid w:val="00294381"/>
    <w:rsid w:val="0029456B"/>
    <w:rsid w:val="00294CD3"/>
    <w:rsid w:val="00295C5E"/>
    <w:rsid w:val="00296DA2"/>
    <w:rsid w:val="0029751A"/>
    <w:rsid w:val="002A15E7"/>
    <w:rsid w:val="002A3AAE"/>
    <w:rsid w:val="002A4456"/>
    <w:rsid w:val="002A4957"/>
    <w:rsid w:val="002A5BF4"/>
    <w:rsid w:val="002A5FA2"/>
    <w:rsid w:val="002B0171"/>
    <w:rsid w:val="002B0237"/>
    <w:rsid w:val="002B2800"/>
    <w:rsid w:val="002B4ADA"/>
    <w:rsid w:val="002B4F1D"/>
    <w:rsid w:val="002B6116"/>
    <w:rsid w:val="002C12BC"/>
    <w:rsid w:val="002C2D4A"/>
    <w:rsid w:val="002C3528"/>
    <w:rsid w:val="002C4C50"/>
    <w:rsid w:val="002C4D69"/>
    <w:rsid w:val="002D0958"/>
    <w:rsid w:val="002D0B70"/>
    <w:rsid w:val="002D1497"/>
    <w:rsid w:val="002D480B"/>
    <w:rsid w:val="002D746F"/>
    <w:rsid w:val="002E1978"/>
    <w:rsid w:val="002E26CF"/>
    <w:rsid w:val="002E54EC"/>
    <w:rsid w:val="002F07CE"/>
    <w:rsid w:val="002F150F"/>
    <w:rsid w:val="002F1BC1"/>
    <w:rsid w:val="002F1F0F"/>
    <w:rsid w:val="002F2F02"/>
    <w:rsid w:val="002F4032"/>
    <w:rsid w:val="002F79F7"/>
    <w:rsid w:val="00301FA1"/>
    <w:rsid w:val="003020C0"/>
    <w:rsid w:val="003038B0"/>
    <w:rsid w:val="00303D86"/>
    <w:rsid w:val="0030517E"/>
    <w:rsid w:val="00305C95"/>
    <w:rsid w:val="00306EC5"/>
    <w:rsid w:val="00306FA0"/>
    <w:rsid w:val="003073BB"/>
    <w:rsid w:val="003078A7"/>
    <w:rsid w:val="003100E9"/>
    <w:rsid w:val="0031042D"/>
    <w:rsid w:val="00310497"/>
    <w:rsid w:val="00312FE1"/>
    <w:rsid w:val="00314691"/>
    <w:rsid w:val="0031514A"/>
    <w:rsid w:val="00321706"/>
    <w:rsid w:val="0032296F"/>
    <w:rsid w:val="00322E59"/>
    <w:rsid w:val="00323AEA"/>
    <w:rsid w:val="003251BB"/>
    <w:rsid w:val="003265D1"/>
    <w:rsid w:val="00330F01"/>
    <w:rsid w:val="00331291"/>
    <w:rsid w:val="00331CD4"/>
    <w:rsid w:val="00333BB9"/>
    <w:rsid w:val="003405D4"/>
    <w:rsid w:val="003429A2"/>
    <w:rsid w:val="00343708"/>
    <w:rsid w:val="00344DC6"/>
    <w:rsid w:val="003458AA"/>
    <w:rsid w:val="00347D1F"/>
    <w:rsid w:val="0035048B"/>
    <w:rsid w:val="0035132E"/>
    <w:rsid w:val="0035169E"/>
    <w:rsid w:val="0035535E"/>
    <w:rsid w:val="00360658"/>
    <w:rsid w:val="00361478"/>
    <w:rsid w:val="00362441"/>
    <w:rsid w:val="0036381B"/>
    <w:rsid w:val="00363A5B"/>
    <w:rsid w:val="00364CBF"/>
    <w:rsid w:val="003669F6"/>
    <w:rsid w:val="00371800"/>
    <w:rsid w:val="003732C9"/>
    <w:rsid w:val="0037377A"/>
    <w:rsid w:val="00374674"/>
    <w:rsid w:val="00375411"/>
    <w:rsid w:val="00376A85"/>
    <w:rsid w:val="003772F3"/>
    <w:rsid w:val="00382258"/>
    <w:rsid w:val="00382BEE"/>
    <w:rsid w:val="00383425"/>
    <w:rsid w:val="00383839"/>
    <w:rsid w:val="00384507"/>
    <w:rsid w:val="003851B1"/>
    <w:rsid w:val="00385291"/>
    <w:rsid w:val="003859A8"/>
    <w:rsid w:val="0038741E"/>
    <w:rsid w:val="00387BBC"/>
    <w:rsid w:val="00391ADC"/>
    <w:rsid w:val="00393F0D"/>
    <w:rsid w:val="00394A69"/>
    <w:rsid w:val="00394F97"/>
    <w:rsid w:val="003950F9"/>
    <w:rsid w:val="003A12C4"/>
    <w:rsid w:val="003A3E01"/>
    <w:rsid w:val="003A4293"/>
    <w:rsid w:val="003A481A"/>
    <w:rsid w:val="003A4A2A"/>
    <w:rsid w:val="003A4EDE"/>
    <w:rsid w:val="003B127E"/>
    <w:rsid w:val="003B184C"/>
    <w:rsid w:val="003B3194"/>
    <w:rsid w:val="003B326D"/>
    <w:rsid w:val="003B3B90"/>
    <w:rsid w:val="003B4515"/>
    <w:rsid w:val="003B490B"/>
    <w:rsid w:val="003B55CC"/>
    <w:rsid w:val="003B6F7D"/>
    <w:rsid w:val="003C0BAD"/>
    <w:rsid w:val="003C1541"/>
    <w:rsid w:val="003C38F4"/>
    <w:rsid w:val="003C3E0C"/>
    <w:rsid w:val="003C4A9F"/>
    <w:rsid w:val="003C5D81"/>
    <w:rsid w:val="003C6C41"/>
    <w:rsid w:val="003D152B"/>
    <w:rsid w:val="003D16B2"/>
    <w:rsid w:val="003D1B94"/>
    <w:rsid w:val="003D23A5"/>
    <w:rsid w:val="003D345C"/>
    <w:rsid w:val="003D3679"/>
    <w:rsid w:val="003D3FA0"/>
    <w:rsid w:val="003D4284"/>
    <w:rsid w:val="003D478E"/>
    <w:rsid w:val="003D4B4A"/>
    <w:rsid w:val="003D5234"/>
    <w:rsid w:val="003D6C21"/>
    <w:rsid w:val="003D6E1D"/>
    <w:rsid w:val="003D7F00"/>
    <w:rsid w:val="003E02F0"/>
    <w:rsid w:val="003E249A"/>
    <w:rsid w:val="003E28C7"/>
    <w:rsid w:val="003F1C08"/>
    <w:rsid w:val="003F245D"/>
    <w:rsid w:val="003F25F6"/>
    <w:rsid w:val="003F28D5"/>
    <w:rsid w:val="003F2BA3"/>
    <w:rsid w:val="003F4EE1"/>
    <w:rsid w:val="003F62E9"/>
    <w:rsid w:val="003F637F"/>
    <w:rsid w:val="003F7284"/>
    <w:rsid w:val="003F7FF5"/>
    <w:rsid w:val="00402998"/>
    <w:rsid w:val="00404DFD"/>
    <w:rsid w:val="0040598E"/>
    <w:rsid w:val="00406FAF"/>
    <w:rsid w:val="0041034E"/>
    <w:rsid w:val="0041099C"/>
    <w:rsid w:val="0041151F"/>
    <w:rsid w:val="004160F5"/>
    <w:rsid w:val="0041653B"/>
    <w:rsid w:val="004168CB"/>
    <w:rsid w:val="004168D4"/>
    <w:rsid w:val="00417556"/>
    <w:rsid w:val="004209AE"/>
    <w:rsid w:val="004211FA"/>
    <w:rsid w:val="00424723"/>
    <w:rsid w:val="00424E52"/>
    <w:rsid w:val="00425617"/>
    <w:rsid w:val="00427C7D"/>
    <w:rsid w:val="0043026E"/>
    <w:rsid w:val="00430389"/>
    <w:rsid w:val="004307F7"/>
    <w:rsid w:val="00430D89"/>
    <w:rsid w:val="004328DF"/>
    <w:rsid w:val="00432AF1"/>
    <w:rsid w:val="00432E47"/>
    <w:rsid w:val="00433406"/>
    <w:rsid w:val="00433BF9"/>
    <w:rsid w:val="004346B2"/>
    <w:rsid w:val="00436B5D"/>
    <w:rsid w:val="00440FD6"/>
    <w:rsid w:val="00441773"/>
    <w:rsid w:val="0044471A"/>
    <w:rsid w:val="00445538"/>
    <w:rsid w:val="00447956"/>
    <w:rsid w:val="00451832"/>
    <w:rsid w:val="00451926"/>
    <w:rsid w:val="00451C2F"/>
    <w:rsid w:val="00452492"/>
    <w:rsid w:val="00454A84"/>
    <w:rsid w:val="004608E4"/>
    <w:rsid w:val="00460924"/>
    <w:rsid w:val="004609F0"/>
    <w:rsid w:val="00460EEB"/>
    <w:rsid w:val="004628BA"/>
    <w:rsid w:val="00463D52"/>
    <w:rsid w:val="004641A1"/>
    <w:rsid w:val="004644C8"/>
    <w:rsid w:val="0046547B"/>
    <w:rsid w:val="00465702"/>
    <w:rsid w:val="00465EC3"/>
    <w:rsid w:val="00466C6A"/>
    <w:rsid w:val="00470291"/>
    <w:rsid w:val="0047256F"/>
    <w:rsid w:val="004750B3"/>
    <w:rsid w:val="004753A1"/>
    <w:rsid w:val="00475DBD"/>
    <w:rsid w:val="0047637C"/>
    <w:rsid w:val="00477299"/>
    <w:rsid w:val="00477E21"/>
    <w:rsid w:val="00480491"/>
    <w:rsid w:val="004814FF"/>
    <w:rsid w:val="004849BB"/>
    <w:rsid w:val="00485422"/>
    <w:rsid w:val="004857F6"/>
    <w:rsid w:val="00486880"/>
    <w:rsid w:val="00487668"/>
    <w:rsid w:val="00490FA5"/>
    <w:rsid w:val="00491910"/>
    <w:rsid w:val="004935D3"/>
    <w:rsid w:val="00493A68"/>
    <w:rsid w:val="004947D8"/>
    <w:rsid w:val="00497735"/>
    <w:rsid w:val="00497FEA"/>
    <w:rsid w:val="004A1D38"/>
    <w:rsid w:val="004A20CF"/>
    <w:rsid w:val="004A40D6"/>
    <w:rsid w:val="004A4EB6"/>
    <w:rsid w:val="004A58C2"/>
    <w:rsid w:val="004A59A4"/>
    <w:rsid w:val="004A59E5"/>
    <w:rsid w:val="004A5A17"/>
    <w:rsid w:val="004A5B80"/>
    <w:rsid w:val="004B5456"/>
    <w:rsid w:val="004B7438"/>
    <w:rsid w:val="004B7B9D"/>
    <w:rsid w:val="004C1707"/>
    <w:rsid w:val="004C5EE6"/>
    <w:rsid w:val="004D1106"/>
    <w:rsid w:val="004D154B"/>
    <w:rsid w:val="004D15B8"/>
    <w:rsid w:val="004D21E1"/>
    <w:rsid w:val="004D2CC1"/>
    <w:rsid w:val="004D3BAD"/>
    <w:rsid w:val="004D3CA1"/>
    <w:rsid w:val="004D4910"/>
    <w:rsid w:val="004D4C9C"/>
    <w:rsid w:val="004D5983"/>
    <w:rsid w:val="004D5CEB"/>
    <w:rsid w:val="004D63F2"/>
    <w:rsid w:val="004D7D67"/>
    <w:rsid w:val="004D7FC3"/>
    <w:rsid w:val="004E3D73"/>
    <w:rsid w:val="004E4BFA"/>
    <w:rsid w:val="004E536D"/>
    <w:rsid w:val="004E5B52"/>
    <w:rsid w:val="004E5D3F"/>
    <w:rsid w:val="004E75FE"/>
    <w:rsid w:val="004F1945"/>
    <w:rsid w:val="004F48ED"/>
    <w:rsid w:val="004F5109"/>
    <w:rsid w:val="004F6210"/>
    <w:rsid w:val="004F6888"/>
    <w:rsid w:val="004F7046"/>
    <w:rsid w:val="00500269"/>
    <w:rsid w:val="005012B2"/>
    <w:rsid w:val="00501997"/>
    <w:rsid w:val="00501A82"/>
    <w:rsid w:val="00501A9B"/>
    <w:rsid w:val="005023A1"/>
    <w:rsid w:val="005035C5"/>
    <w:rsid w:val="005051C0"/>
    <w:rsid w:val="0050585D"/>
    <w:rsid w:val="00505946"/>
    <w:rsid w:val="00505D13"/>
    <w:rsid w:val="00507CFA"/>
    <w:rsid w:val="00507FF2"/>
    <w:rsid w:val="0051461E"/>
    <w:rsid w:val="00514693"/>
    <w:rsid w:val="005163AB"/>
    <w:rsid w:val="00517B65"/>
    <w:rsid w:val="005219F4"/>
    <w:rsid w:val="00522073"/>
    <w:rsid w:val="00522ADE"/>
    <w:rsid w:val="00523253"/>
    <w:rsid w:val="005252AA"/>
    <w:rsid w:val="005257C4"/>
    <w:rsid w:val="0052688D"/>
    <w:rsid w:val="00530A8F"/>
    <w:rsid w:val="00530BC4"/>
    <w:rsid w:val="00530CAD"/>
    <w:rsid w:val="005328C0"/>
    <w:rsid w:val="0053455E"/>
    <w:rsid w:val="00536A71"/>
    <w:rsid w:val="00537260"/>
    <w:rsid w:val="00537586"/>
    <w:rsid w:val="00537CB1"/>
    <w:rsid w:val="005402C8"/>
    <w:rsid w:val="0054069D"/>
    <w:rsid w:val="005409BA"/>
    <w:rsid w:val="00546FC1"/>
    <w:rsid w:val="00551E8E"/>
    <w:rsid w:val="00556329"/>
    <w:rsid w:val="0055703D"/>
    <w:rsid w:val="00560EE3"/>
    <w:rsid w:val="00561F19"/>
    <w:rsid w:val="00563B26"/>
    <w:rsid w:val="00563C3E"/>
    <w:rsid w:val="00564A92"/>
    <w:rsid w:val="00565E0E"/>
    <w:rsid w:val="005666FB"/>
    <w:rsid w:val="00566726"/>
    <w:rsid w:val="00570F57"/>
    <w:rsid w:val="0057102D"/>
    <w:rsid w:val="00572F17"/>
    <w:rsid w:val="005740D3"/>
    <w:rsid w:val="0057415A"/>
    <w:rsid w:val="00581228"/>
    <w:rsid w:val="00581C86"/>
    <w:rsid w:val="00584538"/>
    <w:rsid w:val="00584E1D"/>
    <w:rsid w:val="00585CA2"/>
    <w:rsid w:val="00586ED2"/>
    <w:rsid w:val="005A0F53"/>
    <w:rsid w:val="005A1A1C"/>
    <w:rsid w:val="005A1F68"/>
    <w:rsid w:val="005A2D69"/>
    <w:rsid w:val="005A358C"/>
    <w:rsid w:val="005A4387"/>
    <w:rsid w:val="005A540B"/>
    <w:rsid w:val="005A5CBD"/>
    <w:rsid w:val="005A6A94"/>
    <w:rsid w:val="005B0E44"/>
    <w:rsid w:val="005B2E8D"/>
    <w:rsid w:val="005B3C0A"/>
    <w:rsid w:val="005B40C0"/>
    <w:rsid w:val="005B4D4F"/>
    <w:rsid w:val="005B5FEB"/>
    <w:rsid w:val="005B6503"/>
    <w:rsid w:val="005B6DC3"/>
    <w:rsid w:val="005C1026"/>
    <w:rsid w:val="005C3769"/>
    <w:rsid w:val="005C4B7C"/>
    <w:rsid w:val="005C5864"/>
    <w:rsid w:val="005C668D"/>
    <w:rsid w:val="005D04AB"/>
    <w:rsid w:val="005D1618"/>
    <w:rsid w:val="005D1791"/>
    <w:rsid w:val="005E308C"/>
    <w:rsid w:val="005E38B6"/>
    <w:rsid w:val="005E5CD3"/>
    <w:rsid w:val="005E7503"/>
    <w:rsid w:val="005F0AEA"/>
    <w:rsid w:val="005F0FE1"/>
    <w:rsid w:val="005F2911"/>
    <w:rsid w:val="005F29B4"/>
    <w:rsid w:val="00605483"/>
    <w:rsid w:val="0061012D"/>
    <w:rsid w:val="0061044B"/>
    <w:rsid w:val="0061280A"/>
    <w:rsid w:val="0061287B"/>
    <w:rsid w:val="006146CC"/>
    <w:rsid w:val="00615162"/>
    <w:rsid w:val="006159CA"/>
    <w:rsid w:val="00616FC2"/>
    <w:rsid w:val="00617453"/>
    <w:rsid w:val="00620178"/>
    <w:rsid w:val="00621F3E"/>
    <w:rsid w:val="006229C0"/>
    <w:rsid w:val="00622F0A"/>
    <w:rsid w:val="00624369"/>
    <w:rsid w:val="0062526D"/>
    <w:rsid w:val="00627683"/>
    <w:rsid w:val="00632FF0"/>
    <w:rsid w:val="00633A9D"/>
    <w:rsid w:val="006343E1"/>
    <w:rsid w:val="00634710"/>
    <w:rsid w:val="006371BF"/>
    <w:rsid w:val="0064007B"/>
    <w:rsid w:val="00642070"/>
    <w:rsid w:val="00643802"/>
    <w:rsid w:val="0064412F"/>
    <w:rsid w:val="006460A7"/>
    <w:rsid w:val="00646C07"/>
    <w:rsid w:val="00647D1C"/>
    <w:rsid w:val="006517F3"/>
    <w:rsid w:val="00651F05"/>
    <w:rsid w:val="0065354E"/>
    <w:rsid w:val="00655370"/>
    <w:rsid w:val="00655744"/>
    <w:rsid w:val="00657B4E"/>
    <w:rsid w:val="006615F2"/>
    <w:rsid w:val="00662D21"/>
    <w:rsid w:val="00662DEB"/>
    <w:rsid w:val="00663267"/>
    <w:rsid w:val="00664A8F"/>
    <w:rsid w:val="006663BB"/>
    <w:rsid w:val="00667692"/>
    <w:rsid w:val="00670737"/>
    <w:rsid w:val="006708A2"/>
    <w:rsid w:val="00673B1F"/>
    <w:rsid w:val="006753B8"/>
    <w:rsid w:val="00680AB5"/>
    <w:rsid w:val="00681B59"/>
    <w:rsid w:val="00682D32"/>
    <w:rsid w:val="006834E4"/>
    <w:rsid w:val="00685672"/>
    <w:rsid w:val="00685BEE"/>
    <w:rsid w:val="0068691A"/>
    <w:rsid w:val="00690875"/>
    <w:rsid w:val="00693D8B"/>
    <w:rsid w:val="00693E5F"/>
    <w:rsid w:val="006967EF"/>
    <w:rsid w:val="00696A73"/>
    <w:rsid w:val="006A5086"/>
    <w:rsid w:val="006A5AD9"/>
    <w:rsid w:val="006A69A0"/>
    <w:rsid w:val="006A7934"/>
    <w:rsid w:val="006B0341"/>
    <w:rsid w:val="006B1918"/>
    <w:rsid w:val="006B6CC3"/>
    <w:rsid w:val="006C45D6"/>
    <w:rsid w:val="006C49C5"/>
    <w:rsid w:val="006C4F50"/>
    <w:rsid w:val="006D079E"/>
    <w:rsid w:val="006D22EB"/>
    <w:rsid w:val="006D3DEA"/>
    <w:rsid w:val="006D4799"/>
    <w:rsid w:val="006D53E7"/>
    <w:rsid w:val="006D5D94"/>
    <w:rsid w:val="006D688A"/>
    <w:rsid w:val="006E4729"/>
    <w:rsid w:val="006F058B"/>
    <w:rsid w:val="006F0A46"/>
    <w:rsid w:val="006F0C48"/>
    <w:rsid w:val="006F2DA5"/>
    <w:rsid w:val="006F35CA"/>
    <w:rsid w:val="006F4D56"/>
    <w:rsid w:val="006F5F58"/>
    <w:rsid w:val="006F6047"/>
    <w:rsid w:val="0070023E"/>
    <w:rsid w:val="00701EC8"/>
    <w:rsid w:val="007023BA"/>
    <w:rsid w:val="00702E30"/>
    <w:rsid w:val="00704868"/>
    <w:rsid w:val="00710B8F"/>
    <w:rsid w:val="00711697"/>
    <w:rsid w:val="0071191A"/>
    <w:rsid w:val="00712839"/>
    <w:rsid w:val="00715820"/>
    <w:rsid w:val="007175CF"/>
    <w:rsid w:val="0072475A"/>
    <w:rsid w:val="007260F6"/>
    <w:rsid w:val="00726578"/>
    <w:rsid w:val="0073021D"/>
    <w:rsid w:val="00733387"/>
    <w:rsid w:val="0073363B"/>
    <w:rsid w:val="00735D35"/>
    <w:rsid w:val="0073700D"/>
    <w:rsid w:val="0074235D"/>
    <w:rsid w:val="00742632"/>
    <w:rsid w:val="007434DC"/>
    <w:rsid w:val="007438D1"/>
    <w:rsid w:val="00745D63"/>
    <w:rsid w:val="00746E9B"/>
    <w:rsid w:val="00751493"/>
    <w:rsid w:val="007520E6"/>
    <w:rsid w:val="00752B48"/>
    <w:rsid w:val="00755665"/>
    <w:rsid w:val="00760DAF"/>
    <w:rsid w:val="00761CC4"/>
    <w:rsid w:val="00764BE2"/>
    <w:rsid w:val="0076670D"/>
    <w:rsid w:val="00766FA2"/>
    <w:rsid w:val="0077097F"/>
    <w:rsid w:val="00771778"/>
    <w:rsid w:val="0077393C"/>
    <w:rsid w:val="00773A85"/>
    <w:rsid w:val="00773BDC"/>
    <w:rsid w:val="00774E58"/>
    <w:rsid w:val="00775293"/>
    <w:rsid w:val="00777396"/>
    <w:rsid w:val="007804A1"/>
    <w:rsid w:val="00780B03"/>
    <w:rsid w:val="00780CC5"/>
    <w:rsid w:val="007810E5"/>
    <w:rsid w:val="00782219"/>
    <w:rsid w:val="00782EAD"/>
    <w:rsid w:val="0078453B"/>
    <w:rsid w:val="00784E5E"/>
    <w:rsid w:val="00785FD5"/>
    <w:rsid w:val="007866D3"/>
    <w:rsid w:val="00786D01"/>
    <w:rsid w:val="00790209"/>
    <w:rsid w:val="00790867"/>
    <w:rsid w:val="0079603E"/>
    <w:rsid w:val="007A1D0D"/>
    <w:rsid w:val="007A66C1"/>
    <w:rsid w:val="007B2378"/>
    <w:rsid w:val="007B3A25"/>
    <w:rsid w:val="007B4E2D"/>
    <w:rsid w:val="007C0389"/>
    <w:rsid w:val="007C0D46"/>
    <w:rsid w:val="007C1E23"/>
    <w:rsid w:val="007C6CC4"/>
    <w:rsid w:val="007C7E78"/>
    <w:rsid w:val="007D02C6"/>
    <w:rsid w:val="007D1834"/>
    <w:rsid w:val="007D3BE9"/>
    <w:rsid w:val="007D4A96"/>
    <w:rsid w:val="007D71D0"/>
    <w:rsid w:val="007E1A7A"/>
    <w:rsid w:val="007E321C"/>
    <w:rsid w:val="007E345E"/>
    <w:rsid w:val="007E407E"/>
    <w:rsid w:val="007E5521"/>
    <w:rsid w:val="007E7476"/>
    <w:rsid w:val="007F1F60"/>
    <w:rsid w:val="007F276C"/>
    <w:rsid w:val="007F2B6F"/>
    <w:rsid w:val="007F2D28"/>
    <w:rsid w:val="007F3540"/>
    <w:rsid w:val="007F6F44"/>
    <w:rsid w:val="007F6FD5"/>
    <w:rsid w:val="00803E57"/>
    <w:rsid w:val="00806B4A"/>
    <w:rsid w:val="00807448"/>
    <w:rsid w:val="00807E29"/>
    <w:rsid w:val="00811F70"/>
    <w:rsid w:val="00813098"/>
    <w:rsid w:val="0081381C"/>
    <w:rsid w:val="00815A0D"/>
    <w:rsid w:val="0081787A"/>
    <w:rsid w:val="00817A38"/>
    <w:rsid w:val="00822EDC"/>
    <w:rsid w:val="00823E1F"/>
    <w:rsid w:val="00824118"/>
    <w:rsid w:val="008245F8"/>
    <w:rsid w:val="00824802"/>
    <w:rsid w:val="008338A7"/>
    <w:rsid w:val="00835345"/>
    <w:rsid w:val="00837790"/>
    <w:rsid w:val="00840FBE"/>
    <w:rsid w:val="00844598"/>
    <w:rsid w:val="008477E9"/>
    <w:rsid w:val="0085089E"/>
    <w:rsid w:val="008513E6"/>
    <w:rsid w:val="008520F1"/>
    <w:rsid w:val="00852E5A"/>
    <w:rsid w:val="008543EA"/>
    <w:rsid w:val="00856B5D"/>
    <w:rsid w:val="0085747A"/>
    <w:rsid w:val="00857DC9"/>
    <w:rsid w:val="008672AF"/>
    <w:rsid w:val="00867BAF"/>
    <w:rsid w:val="00871943"/>
    <w:rsid w:val="00871D9A"/>
    <w:rsid w:val="00873AE4"/>
    <w:rsid w:val="0087418C"/>
    <w:rsid w:val="00875EB7"/>
    <w:rsid w:val="00875F5E"/>
    <w:rsid w:val="008760F2"/>
    <w:rsid w:val="00876265"/>
    <w:rsid w:val="00880936"/>
    <w:rsid w:val="00881B4D"/>
    <w:rsid w:val="00884360"/>
    <w:rsid w:val="008879C5"/>
    <w:rsid w:val="00892ECA"/>
    <w:rsid w:val="00893E02"/>
    <w:rsid w:val="008943EA"/>
    <w:rsid w:val="00894D32"/>
    <w:rsid w:val="0089532D"/>
    <w:rsid w:val="008A0619"/>
    <w:rsid w:val="008A581D"/>
    <w:rsid w:val="008A7879"/>
    <w:rsid w:val="008B02EB"/>
    <w:rsid w:val="008B3774"/>
    <w:rsid w:val="008B62B5"/>
    <w:rsid w:val="008C0DBE"/>
    <w:rsid w:val="008C1B41"/>
    <w:rsid w:val="008C20D6"/>
    <w:rsid w:val="008C4606"/>
    <w:rsid w:val="008C5B0E"/>
    <w:rsid w:val="008C64B2"/>
    <w:rsid w:val="008C6B1C"/>
    <w:rsid w:val="008D10F1"/>
    <w:rsid w:val="008D5210"/>
    <w:rsid w:val="008D67BD"/>
    <w:rsid w:val="008D7532"/>
    <w:rsid w:val="008D7884"/>
    <w:rsid w:val="008E39A6"/>
    <w:rsid w:val="008E4CD4"/>
    <w:rsid w:val="008E5EEB"/>
    <w:rsid w:val="008E6537"/>
    <w:rsid w:val="008E7CD2"/>
    <w:rsid w:val="008F2BC8"/>
    <w:rsid w:val="008F3A15"/>
    <w:rsid w:val="008F3CEE"/>
    <w:rsid w:val="008F3EC6"/>
    <w:rsid w:val="008F4BC6"/>
    <w:rsid w:val="008F527C"/>
    <w:rsid w:val="008F5E15"/>
    <w:rsid w:val="00900BD2"/>
    <w:rsid w:val="00902241"/>
    <w:rsid w:val="00905ECC"/>
    <w:rsid w:val="00906D71"/>
    <w:rsid w:val="00907A8F"/>
    <w:rsid w:val="0091075F"/>
    <w:rsid w:val="00911C03"/>
    <w:rsid w:val="00911C2B"/>
    <w:rsid w:val="00912938"/>
    <w:rsid w:val="00912EA2"/>
    <w:rsid w:val="00913263"/>
    <w:rsid w:val="009145C2"/>
    <w:rsid w:val="009158E6"/>
    <w:rsid w:val="00920792"/>
    <w:rsid w:val="009210E8"/>
    <w:rsid w:val="009214E2"/>
    <w:rsid w:val="00921CAC"/>
    <w:rsid w:val="00926C90"/>
    <w:rsid w:val="00926FB9"/>
    <w:rsid w:val="0093386D"/>
    <w:rsid w:val="00940813"/>
    <w:rsid w:val="00942547"/>
    <w:rsid w:val="009430C6"/>
    <w:rsid w:val="0095096E"/>
    <w:rsid w:val="00951DBE"/>
    <w:rsid w:val="0095208D"/>
    <w:rsid w:val="00953E60"/>
    <w:rsid w:val="00955F15"/>
    <w:rsid w:val="0095710A"/>
    <w:rsid w:val="009614CF"/>
    <w:rsid w:val="00964945"/>
    <w:rsid w:val="00964B2F"/>
    <w:rsid w:val="0096542C"/>
    <w:rsid w:val="009663E7"/>
    <w:rsid w:val="00970282"/>
    <w:rsid w:val="0097142D"/>
    <w:rsid w:val="00971583"/>
    <w:rsid w:val="00971B5C"/>
    <w:rsid w:val="00972D9D"/>
    <w:rsid w:val="0097486A"/>
    <w:rsid w:val="009748DA"/>
    <w:rsid w:val="00977B6D"/>
    <w:rsid w:val="0098123E"/>
    <w:rsid w:val="00981F38"/>
    <w:rsid w:val="00982F56"/>
    <w:rsid w:val="0098361D"/>
    <w:rsid w:val="00983670"/>
    <w:rsid w:val="00986DD7"/>
    <w:rsid w:val="00986FEF"/>
    <w:rsid w:val="00992245"/>
    <w:rsid w:val="0099254F"/>
    <w:rsid w:val="009926FE"/>
    <w:rsid w:val="00996286"/>
    <w:rsid w:val="009A1B94"/>
    <w:rsid w:val="009A3204"/>
    <w:rsid w:val="009A4799"/>
    <w:rsid w:val="009A5798"/>
    <w:rsid w:val="009A5FB1"/>
    <w:rsid w:val="009A66C9"/>
    <w:rsid w:val="009A740B"/>
    <w:rsid w:val="009B1257"/>
    <w:rsid w:val="009B1732"/>
    <w:rsid w:val="009B3C78"/>
    <w:rsid w:val="009B3C99"/>
    <w:rsid w:val="009B6AB7"/>
    <w:rsid w:val="009C3779"/>
    <w:rsid w:val="009C4CAC"/>
    <w:rsid w:val="009D2051"/>
    <w:rsid w:val="009D23EB"/>
    <w:rsid w:val="009D3936"/>
    <w:rsid w:val="009D4D38"/>
    <w:rsid w:val="009E05A8"/>
    <w:rsid w:val="009E6D4F"/>
    <w:rsid w:val="009E7618"/>
    <w:rsid w:val="009E7F06"/>
    <w:rsid w:val="009F2FAE"/>
    <w:rsid w:val="009F3B4F"/>
    <w:rsid w:val="009F4949"/>
    <w:rsid w:val="009F558D"/>
    <w:rsid w:val="009F5813"/>
    <w:rsid w:val="009F5B85"/>
    <w:rsid w:val="009F77D0"/>
    <w:rsid w:val="009F7893"/>
    <w:rsid w:val="00A0141D"/>
    <w:rsid w:val="00A04CA7"/>
    <w:rsid w:val="00A0511A"/>
    <w:rsid w:val="00A108C2"/>
    <w:rsid w:val="00A114E9"/>
    <w:rsid w:val="00A12F13"/>
    <w:rsid w:val="00A1429C"/>
    <w:rsid w:val="00A15263"/>
    <w:rsid w:val="00A15ABD"/>
    <w:rsid w:val="00A15ACE"/>
    <w:rsid w:val="00A16F74"/>
    <w:rsid w:val="00A174D1"/>
    <w:rsid w:val="00A21194"/>
    <w:rsid w:val="00A212D0"/>
    <w:rsid w:val="00A21CA8"/>
    <w:rsid w:val="00A226BC"/>
    <w:rsid w:val="00A23B1F"/>
    <w:rsid w:val="00A241B2"/>
    <w:rsid w:val="00A251E9"/>
    <w:rsid w:val="00A25837"/>
    <w:rsid w:val="00A25952"/>
    <w:rsid w:val="00A25C52"/>
    <w:rsid w:val="00A26DEE"/>
    <w:rsid w:val="00A31BF2"/>
    <w:rsid w:val="00A32594"/>
    <w:rsid w:val="00A32790"/>
    <w:rsid w:val="00A34D82"/>
    <w:rsid w:val="00A3683D"/>
    <w:rsid w:val="00A37038"/>
    <w:rsid w:val="00A373EB"/>
    <w:rsid w:val="00A3765E"/>
    <w:rsid w:val="00A400F7"/>
    <w:rsid w:val="00A40147"/>
    <w:rsid w:val="00A4379F"/>
    <w:rsid w:val="00A44009"/>
    <w:rsid w:val="00A467BD"/>
    <w:rsid w:val="00A5618B"/>
    <w:rsid w:val="00A62490"/>
    <w:rsid w:val="00A62DE5"/>
    <w:rsid w:val="00A64444"/>
    <w:rsid w:val="00A64CCA"/>
    <w:rsid w:val="00A66FEA"/>
    <w:rsid w:val="00A71A0E"/>
    <w:rsid w:val="00A72013"/>
    <w:rsid w:val="00A7280C"/>
    <w:rsid w:val="00A73868"/>
    <w:rsid w:val="00A769FA"/>
    <w:rsid w:val="00A779A5"/>
    <w:rsid w:val="00A77C28"/>
    <w:rsid w:val="00A80CA2"/>
    <w:rsid w:val="00A85B9F"/>
    <w:rsid w:val="00A8702B"/>
    <w:rsid w:val="00A8733B"/>
    <w:rsid w:val="00A9011A"/>
    <w:rsid w:val="00A901B7"/>
    <w:rsid w:val="00A91B02"/>
    <w:rsid w:val="00A92D76"/>
    <w:rsid w:val="00A94E24"/>
    <w:rsid w:val="00A952B2"/>
    <w:rsid w:val="00A957C9"/>
    <w:rsid w:val="00AA0847"/>
    <w:rsid w:val="00AA186A"/>
    <w:rsid w:val="00AA1FEA"/>
    <w:rsid w:val="00AA2930"/>
    <w:rsid w:val="00AA593F"/>
    <w:rsid w:val="00AA6129"/>
    <w:rsid w:val="00AA688F"/>
    <w:rsid w:val="00AA6AFC"/>
    <w:rsid w:val="00AA71D5"/>
    <w:rsid w:val="00AA7AA4"/>
    <w:rsid w:val="00AB2331"/>
    <w:rsid w:val="00AB28DF"/>
    <w:rsid w:val="00AB33F4"/>
    <w:rsid w:val="00AB4449"/>
    <w:rsid w:val="00AB55CF"/>
    <w:rsid w:val="00AB705A"/>
    <w:rsid w:val="00AC0074"/>
    <w:rsid w:val="00AC00F7"/>
    <w:rsid w:val="00AC13FF"/>
    <w:rsid w:val="00AC16D7"/>
    <w:rsid w:val="00AC53E0"/>
    <w:rsid w:val="00AC7582"/>
    <w:rsid w:val="00AC77D9"/>
    <w:rsid w:val="00AD19B8"/>
    <w:rsid w:val="00AD2F7F"/>
    <w:rsid w:val="00AD7D5E"/>
    <w:rsid w:val="00AE2AF4"/>
    <w:rsid w:val="00AE3091"/>
    <w:rsid w:val="00AE3E20"/>
    <w:rsid w:val="00AE4189"/>
    <w:rsid w:val="00AE5822"/>
    <w:rsid w:val="00AF00D8"/>
    <w:rsid w:val="00AF0D70"/>
    <w:rsid w:val="00AF1097"/>
    <w:rsid w:val="00AF4279"/>
    <w:rsid w:val="00AF634C"/>
    <w:rsid w:val="00B00068"/>
    <w:rsid w:val="00B01527"/>
    <w:rsid w:val="00B02EC3"/>
    <w:rsid w:val="00B0371F"/>
    <w:rsid w:val="00B04BED"/>
    <w:rsid w:val="00B066D1"/>
    <w:rsid w:val="00B1116C"/>
    <w:rsid w:val="00B14389"/>
    <w:rsid w:val="00B147F8"/>
    <w:rsid w:val="00B154E3"/>
    <w:rsid w:val="00B15D8E"/>
    <w:rsid w:val="00B16923"/>
    <w:rsid w:val="00B17CDD"/>
    <w:rsid w:val="00B23BB4"/>
    <w:rsid w:val="00B251D5"/>
    <w:rsid w:val="00B25926"/>
    <w:rsid w:val="00B25D7D"/>
    <w:rsid w:val="00B36E36"/>
    <w:rsid w:val="00B4416A"/>
    <w:rsid w:val="00B45A16"/>
    <w:rsid w:val="00B521FD"/>
    <w:rsid w:val="00B549A5"/>
    <w:rsid w:val="00B605E5"/>
    <w:rsid w:val="00B61EA9"/>
    <w:rsid w:val="00B63758"/>
    <w:rsid w:val="00B6429B"/>
    <w:rsid w:val="00B64F1E"/>
    <w:rsid w:val="00B65C85"/>
    <w:rsid w:val="00B67374"/>
    <w:rsid w:val="00B67567"/>
    <w:rsid w:val="00B70B5F"/>
    <w:rsid w:val="00B70D6A"/>
    <w:rsid w:val="00B70F70"/>
    <w:rsid w:val="00B70FE5"/>
    <w:rsid w:val="00B7170F"/>
    <w:rsid w:val="00B72282"/>
    <w:rsid w:val="00B7385B"/>
    <w:rsid w:val="00B747BF"/>
    <w:rsid w:val="00B74F24"/>
    <w:rsid w:val="00B767C5"/>
    <w:rsid w:val="00B76B35"/>
    <w:rsid w:val="00B76CC4"/>
    <w:rsid w:val="00B80036"/>
    <w:rsid w:val="00B81740"/>
    <w:rsid w:val="00B81B04"/>
    <w:rsid w:val="00B85135"/>
    <w:rsid w:val="00B864AF"/>
    <w:rsid w:val="00B866C5"/>
    <w:rsid w:val="00B9314A"/>
    <w:rsid w:val="00B93604"/>
    <w:rsid w:val="00B97E8B"/>
    <w:rsid w:val="00BA0ADD"/>
    <w:rsid w:val="00BA14B3"/>
    <w:rsid w:val="00BA3F78"/>
    <w:rsid w:val="00BA5152"/>
    <w:rsid w:val="00BA5781"/>
    <w:rsid w:val="00BA6108"/>
    <w:rsid w:val="00BB0DD6"/>
    <w:rsid w:val="00BB1D0F"/>
    <w:rsid w:val="00BB2357"/>
    <w:rsid w:val="00BB45C0"/>
    <w:rsid w:val="00BB52C5"/>
    <w:rsid w:val="00BB7790"/>
    <w:rsid w:val="00BB79AE"/>
    <w:rsid w:val="00BB79DA"/>
    <w:rsid w:val="00BC0A01"/>
    <w:rsid w:val="00BC3001"/>
    <w:rsid w:val="00BC4CDD"/>
    <w:rsid w:val="00BC6554"/>
    <w:rsid w:val="00BD370B"/>
    <w:rsid w:val="00BD4003"/>
    <w:rsid w:val="00BD67B1"/>
    <w:rsid w:val="00BD6DCC"/>
    <w:rsid w:val="00BE32EC"/>
    <w:rsid w:val="00BE38B3"/>
    <w:rsid w:val="00BE6285"/>
    <w:rsid w:val="00BE6A61"/>
    <w:rsid w:val="00BE7FEF"/>
    <w:rsid w:val="00BF21C7"/>
    <w:rsid w:val="00BF2ACB"/>
    <w:rsid w:val="00BF3615"/>
    <w:rsid w:val="00BF7394"/>
    <w:rsid w:val="00BF74CE"/>
    <w:rsid w:val="00C018AC"/>
    <w:rsid w:val="00C02C85"/>
    <w:rsid w:val="00C0691B"/>
    <w:rsid w:val="00C15C0D"/>
    <w:rsid w:val="00C162B0"/>
    <w:rsid w:val="00C23B12"/>
    <w:rsid w:val="00C23C67"/>
    <w:rsid w:val="00C25148"/>
    <w:rsid w:val="00C25E83"/>
    <w:rsid w:val="00C301D0"/>
    <w:rsid w:val="00C32394"/>
    <w:rsid w:val="00C3388A"/>
    <w:rsid w:val="00C33AE2"/>
    <w:rsid w:val="00C34C44"/>
    <w:rsid w:val="00C357E2"/>
    <w:rsid w:val="00C368D9"/>
    <w:rsid w:val="00C417A6"/>
    <w:rsid w:val="00C4344B"/>
    <w:rsid w:val="00C43CA0"/>
    <w:rsid w:val="00C44732"/>
    <w:rsid w:val="00C44D42"/>
    <w:rsid w:val="00C454F9"/>
    <w:rsid w:val="00C519F5"/>
    <w:rsid w:val="00C52443"/>
    <w:rsid w:val="00C54A33"/>
    <w:rsid w:val="00C55F0A"/>
    <w:rsid w:val="00C56A73"/>
    <w:rsid w:val="00C57472"/>
    <w:rsid w:val="00C60B56"/>
    <w:rsid w:val="00C63ECF"/>
    <w:rsid w:val="00C64426"/>
    <w:rsid w:val="00C64A27"/>
    <w:rsid w:val="00C675FD"/>
    <w:rsid w:val="00C7072E"/>
    <w:rsid w:val="00C71581"/>
    <w:rsid w:val="00C73C72"/>
    <w:rsid w:val="00C748D4"/>
    <w:rsid w:val="00C7549A"/>
    <w:rsid w:val="00C77923"/>
    <w:rsid w:val="00C82955"/>
    <w:rsid w:val="00C82C08"/>
    <w:rsid w:val="00C845F4"/>
    <w:rsid w:val="00C87516"/>
    <w:rsid w:val="00C90D32"/>
    <w:rsid w:val="00C91457"/>
    <w:rsid w:val="00C91C3D"/>
    <w:rsid w:val="00C92A30"/>
    <w:rsid w:val="00C93CFD"/>
    <w:rsid w:val="00C949E5"/>
    <w:rsid w:val="00C97E02"/>
    <w:rsid w:val="00CA2DFB"/>
    <w:rsid w:val="00CA3FD9"/>
    <w:rsid w:val="00CA43B5"/>
    <w:rsid w:val="00CA68E9"/>
    <w:rsid w:val="00CA6C48"/>
    <w:rsid w:val="00CA7FD5"/>
    <w:rsid w:val="00CB2039"/>
    <w:rsid w:val="00CB226A"/>
    <w:rsid w:val="00CB2824"/>
    <w:rsid w:val="00CB3811"/>
    <w:rsid w:val="00CB7EE0"/>
    <w:rsid w:val="00CC67AE"/>
    <w:rsid w:val="00CC67DF"/>
    <w:rsid w:val="00CD0105"/>
    <w:rsid w:val="00CD258C"/>
    <w:rsid w:val="00CD2F93"/>
    <w:rsid w:val="00CD737B"/>
    <w:rsid w:val="00CE0312"/>
    <w:rsid w:val="00CE0910"/>
    <w:rsid w:val="00CE13E3"/>
    <w:rsid w:val="00CE3CEF"/>
    <w:rsid w:val="00CE4916"/>
    <w:rsid w:val="00CE50C4"/>
    <w:rsid w:val="00CE6EFB"/>
    <w:rsid w:val="00CF0055"/>
    <w:rsid w:val="00CF2186"/>
    <w:rsid w:val="00CF27DA"/>
    <w:rsid w:val="00CF701C"/>
    <w:rsid w:val="00CF7A97"/>
    <w:rsid w:val="00D005FA"/>
    <w:rsid w:val="00D0197C"/>
    <w:rsid w:val="00D0304D"/>
    <w:rsid w:val="00D038A1"/>
    <w:rsid w:val="00D039AB"/>
    <w:rsid w:val="00D11FEC"/>
    <w:rsid w:val="00D12A48"/>
    <w:rsid w:val="00D13628"/>
    <w:rsid w:val="00D142FE"/>
    <w:rsid w:val="00D15D0C"/>
    <w:rsid w:val="00D163C7"/>
    <w:rsid w:val="00D16BC2"/>
    <w:rsid w:val="00D17B04"/>
    <w:rsid w:val="00D2231E"/>
    <w:rsid w:val="00D223BC"/>
    <w:rsid w:val="00D24218"/>
    <w:rsid w:val="00D25698"/>
    <w:rsid w:val="00D25B0A"/>
    <w:rsid w:val="00D2756B"/>
    <w:rsid w:val="00D2765F"/>
    <w:rsid w:val="00D30C19"/>
    <w:rsid w:val="00D31837"/>
    <w:rsid w:val="00D31E7E"/>
    <w:rsid w:val="00D34949"/>
    <w:rsid w:val="00D37EAE"/>
    <w:rsid w:val="00D41F0F"/>
    <w:rsid w:val="00D42501"/>
    <w:rsid w:val="00D458BC"/>
    <w:rsid w:val="00D46388"/>
    <w:rsid w:val="00D46C1F"/>
    <w:rsid w:val="00D5057C"/>
    <w:rsid w:val="00D50BDE"/>
    <w:rsid w:val="00D53A8F"/>
    <w:rsid w:val="00D5416F"/>
    <w:rsid w:val="00D55AAB"/>
    <w:rsid w:val="00D61271"/>
    <w:rsid w:val="00D61C34"/>
    <w:rsid w:val="00D62E2A"/>
    <w:rsid w:val="00D6452D"/>
    <w:rsid w:val="00D64E9E"/>
    <w:rsid w:val="00D658BC"/>
    <w:rsid w:val="00D6675B"/>
    <w:rsid w:val="00D66C0F"/>
    <w:rsid w:val="00D66F35"/>
    <w:rsid w:val="00D67226"/>
    <w:rsid w:val="00D677A8"/>
    <w:rsid w:val="00D67E46"/>
    <w:rsid w:val="00D67E8F"/>
    <w:rsid w:val="00D70299"/>
    <w:rsid w:val="00D70B9D"/>
    <w:rsid w:val="00D729A8"/>
    <w:rsid w:val="00D73EE7"/>
    <w:rsid w:val="00D742C9"/>
    <w:rsid w:val="00D75612"/>
    <w:rsid w:val="00D771F0"/>
    <w:rsid w:val="00D80C0E"/>
    <w:rsid w:val="00D824B6"/>
    <w:rsid w:val="00D833EE"/>
    <w:rsid w:val="00D838B1"/>
    <w:rsid w:val="00D841A1"/>
    <w:rsid w:val="00D84843"/>
    <w:rsid w:val="00D84CBF"/>
    <w:rsid w:val="00D84DB4"/>
    <w:rsid w:val="00D87A6B"/>
    <w:rsid w:val="00D87A73"/>
    <w:rsid w:val="00D920EA"/>
    <w:rsid w:val="00D92714"/>
    <w:rsid w:val="00D947CF"/>
    <w:rsid w:val="00D947F5"/>
    <w:rsid w:val="00DA0826"/>
    <w:rsid w:val="00DA20C1"/>
    <w:rsid w:val="00DA484E"/>
    <w:rsid w:val="00DA6104"/>
    <w:rsid w:val="00DA65E0"/>
    <w:rsid w:val="00DA78DF"/>
    <w:rsid w:val="00DB0D2F"/>
    <w:rsid w:val="00DB2300"/>
    <w:rsid w:val="00DB25AA"/>
    <w:rsid w:val="00DB37C0"/>
    <w:rsid w:val="00DB38EE"/>
    <w:rsid w:val="00DB4474"/>
    <w:rsid w:val="00DB4688"/>
    <w:rsid w:val="00DB559A"/>
    <w:rsid w:val="00DB7A08"/>
    <w:rsid w:val="00DC07F8"/>
    <w:rsid w:val="00DC1387"/>
    <w:rsid w:val="00DC2832"/>
    <w:rsid w:val="00DC3181"/>
    <w:rsid w:val="00DC6A53"/>
    <w:rsid w:val="00DC6BE2"/>
    <w:rsid w:val="00DC7AC1"/>
    <w:rsid w:val="00DC7F0B"/>
    <w:rsid w:val="00DD0B75"/>
    <w:rsid w:val="00DD2CEB"/>
    <w:rsid w:val="00DD2F5E"/>
    <w:rsid w:val="00DD3EF9"/>
    <w:rsid w:val="00DD418A"/>
    <w:rsid w:val="00DD5C08"/>
    <w:rsid w:val="00DD776A"/>
    <w:rsid w:val="00DE1A3B"/>
    <w:rsid w:val="00DE1BE7"/>
    <w:rsid w:val="00DE2230"/>
    <w:rsid w:val="00DE23B2"/>
    <w:rsid w:val="00DE408C"/>
    <w:rsid w:val="00DE42E6"/>
    <w:rsid w:val="00DE4FA9"/>
    <w:rsid w:val="00DE5BA5"/>
    <w:rsid w:val="00DE7123"/>
    <w:rsid w:val="00DE79FD"/>
    <w:rsid w:val="00DF1B6C"/>
    <w:rsid w:val="00DF2492"/>
    <w:rsid w:val="00DF2A25"/>
    <w:rsid w:val="00DF6A22"/>
    <w:rsid w:val="00DF75CB"/>
    <w:rsid w:val="00DF79A2"/>
    <w:rsid w:val="00DF7BAB"/>
    <w:rsid w:val="00E028CE"/>
    <w:rsid w:val="00E03F83"/>
    <w:rsid w:val="00E040F4"/>
    <w:rsid w:val="00E0485E"/>
    <w:rsid w:val="00E05FAC"/>
    <w:rsid w:val="00E06188"/>
    <w:rsid w:val="00E06C45"/>
    <w:rsid w:val="00E10A17"/>
    <w:rsid w:val="00E116A9"/>
    <w:rsid w:val="00E13C45"/>
    <w:rsid w:val="00E23628"/>
    <w:rsid w:val="00E25EC5"/>
    <w:rsid w:val="00E2765B"/>
    <w:rsid w:val="00E27891"/>
    <w:rsid w:val="00E30916"/>
    <w:rsid w:val="00E34A35"/>
    <w:rsid w:val="00E3553E"/>
    <w:rsid w:val="00E425BA"/>
    <w:rsid w:val="00E4328A"/>
    <w:rsid w:val="00E4503C"/>
    <w:rsid w:val="00E45687"/>
    <w:rsid w:val="00E458D7"/>
    <w:rsid w:val="00E45CDE"/>
    <w:rsid w:val="00E51F18"/>
    <w:rsid w:val="00E5204F"/>
    <w:rsid w:val="00E52B44"/>
    <w:rsid w:val="00E54558"/>
    <w:rsid w:val="00E54E01"/>
    <w:rsid w:val="00E560B5"/>
    <w:rsid w:val="00E615FD"/>
    <w:rsid w:val="00E61B7E"/>
    <w:rsid w:val="00E61FE3"/>
    <w:rsid w:val="00E635FC"/>
    <w:rsid w:val="00E651AA"/>
    <w:rsid w:val="00E65D59"/>
    <w:rsid w:val="00E66E47"/>
    <w:rsid w:val="00E70863"/>
    <w:rsid w:val="00E70EA8"/>
    <w:rsid w:val="00E71F1E"/>
    <w:rsid w:val="00E7375A"/>
    <w:rsid w:val="00E73A40"/>
    <w:rsid w:val="00E7554C"/>
    <w:rsid w:val="00E75EBA"/>
    <w:rsid w:val="00E7606D"/>
    <w:rsid w:val="00E7630E"/>
    <w:rsid w:val="00E76C33"/>
    <w:rsid w:val="00E800E8"/>
    <w:rsid w:val="00E80F59"/>
    <w:rsid w:val="00E81297"/>
    <w:rsid w:val="00E81E26"/>
    <w:rsid w:val="00E822E9"/>
    <w:rsid w:val="00E82C87"/>
    <w:rsid w:val="00E82DA5"/>
    <w:rsid w:val="00E82E92"/>
    <w:rsid w:val="00E8418F"/>
    <w:rsid w:val="00E856EE"/>
    <w:rsid w:val="00E8616A"/>
    <w:rsid w:val="00E86372"/>
    <w:rsid w:val="00E86472"/>
    <w:rsid w:val="00E86900"/>
    <w:rsid w:val="00E87355"/>
    <w:rsid w:val="00E877F9"/>
    <w:rsid w:val="00E92D24"/>
    <w:rsid w:val="00E93BD6"/>
    <w:rsid w:val="00E947A8"/>
    <w:rsid w:val="00E9623A"/>
    <w:rsid w:val="00EA0A57"/>
    <w:rsid w:val="00EA0FB7"/>
    <w:rsid w:val="00EA40B2"/>
    <w:rsid w:val="00EA4817"/>
    <w:rsid w:val="00EA58FA"/>
    <w:rsid w:val="00EA5BCF"/>
    <w:rsid w:val="00EA740D"/>
    <w:rsid w:val="00EA7C07"/>
    <w:rsid w:val="00EB01C1"/>
    <w:rsid w:val="00EB2DB6"/>
    <w:rsid w:val="00EB3087"/>
    <w:rsid w:val="00EB37E2"/>
    <w:rsid w:val="00EB3E1C"/>
    <w:rsid w:val="00EB4E6D"/>
    <w:rsid w:val="00EB57EA"/>
    <w:rsid w:val="00EB5D44"/>
    <w:rsid w:val="00EB641A"/>
    <w:rsid w:val="00EC1335"/>
    <w:rsid w:val="00EC1F42"/>
    <w:rsid w:val="00EC262A"/>
    <w:rsid w:val="00EC38ED"/>
    <w:rsid w:val="00EC5256"/>
    <w:rsid w:val="00EC5DFF"/>
    <w:rsid w:val="00ED088C"/>
    <w:rsid w:val="00ED1900"/>
    <w:rsid w:val="00ED43C8"/>
    <w:rsid w:val="00ED72BB"/>
    <w:rsid w:val="00EE2730"/>
    <w:rsid w:val="00EE5B75"/>
    <w:rsid w:val="00EE5E27"/>
    <w:rsid w:val="00EF33D5"/>
    <w:rsid w:val="00EF528A"/>
    <w:rsid w:val="00EF5DD2"/>
    <w:rsid w:val="00EF5ED3"/>
    <w:rsid w:val="00EF65BF"/>
    <w:rsid w:val="00EF7222"/>
    <w:rsid w:val="00F00FB7"/>
    <w:rsid w:val="00F00FEC"/>
    <w:rsid w:val="00F01167"/>
    <w:rsid w:val="00F02EDD"/>
    <w:rsid w:val="00F040D9"/>
    <w:rsid w:val="00F044BB"/>
    <w:rsid w:val="00F04C7A"/>
    <w:rsid w:val="00F06906"/>
    <w:rsid w:val="00F0772F"/>
    <w:rsid w:val="00F129D2"/>
    <w:rsid w:val="00F14073"/>
    <w:rsid w:val="00F1441F"/>
    <w:rsid w:val="00F1524D"/>
    <w:rsid w:val="00F16FD3"/>
    <w:rsid w:val="00F17D11"/>
    <w:rsid w:val="00F205EB"/>
    <w:rsid w:val="00F218F2"/>
    <w:rsid w:val="00F2327C"/>
    <w:rsid w:val="00F25160"/>
    <w:rsid w:val="00F25484"/>
    <w:rsid w:val="00F2646F"/>
    <w:rsid w:val="00F31F57"/>
    <w:rsid w:val="00F3227C"/>
    <w:rsid w:val="00F349BD"/>
    <w:rsid w:val="00F34DAD"/>
    <w:rsid w:val="00F37C85"/>
    <w:rsid w:val="00F41540"/>
    <w:rsid w:val="00F42ACE"/>
    <w:rsid w:val="00F46730"/>
    <w:rsid w:val="00F52D14"/>
    <w:rsid w:val="00F532EA"/>
    <w:rsid w:val="00F53628"/>
    <w:rsid w:val="00F545B2"/>
    <w:rsid w:val="00F603AE"/>
    <w:rsid w:val="00F606D7"/>
    <w:rsid w:val="00F6085F"/>
    <w:rsid w:val="00F61C17"/>
    <w:rsid w:val="00F61C57"/>
    <w:rsid w:val="00F62C69"/>
    <w:rsid w:val="00F66C6E"/>
    <w:rsid w:val="00F713AF"/>
    <w:rsid w:val="00F76AB4"/>
    <w:rsid w:val="00F776AD"/>
    <w:rsid w:val="00F81D34"/>
    <w:rsid w:val="00F82451"/>
    <w:rsid w:val="00F832CF"/>
    <w:rsid w:val="00F8444F"/>
    <w:rsid w:val="00F8548C"/>
    <w:rsid w:val="00F91885"/>
    <w:rsid w:val="00F918B9"/>
    <w:rsid w:val="00F91B32"/>
    <w:rsid w:val="00F95509"/>
    <w:rsid w:val="00F95EC3"/>
    <w:rsid w:val="00F9636E"/>
    <w:rsid w:val="00FA1022"/>
    <w:rsid w:val="00FA15C2"/>
    <w:rsid w:val="00FA16AF"/>
    <w:rsid w:val="00FA19C3"/>
    <w:rsid w:val="00FA262B"/>
    <w:rsid w:val="00FA3AE0"/>
    <w:rsid w:val="00FA4E10"/>
    <w:rsid w:val="00FA50BE"/>
    <w:rsid w:val="00FA5BD0"/>
    <w:rsid w:val="00FA6271"/>
    <w:rsid w:val="00FA7BC1"/>
    <w:rsid w:val="00FB075F"/>
    <w:rsid w:val="00FB1EEF"/>
    <w:rsid w:val="00FB33CD"/>
    <w:rsid w:val="00FB34CB"/>
    <w:rsid w:val="00FB5C77"/>
    <w:rsid w:val="00FB605A"/>
    <w:rsid w:val="00FB6257"/>
    <w:rsid w:val="00FB6A89"/>
    <w:rsid w:val="00FB6C11"/>
    <w:rsid w:val="00FC1E3F"/>
    <w:rsid w:val="00FC4954"/>
    <w:rsid w:val="00FC5188"/>
    <w:rsid w:val="00FC6A7C"/>
    <w:rsid w:val="00FC7402"/>
    <w:rsid w:val="00FD17D0"/>
    <w:rsid w:val="00FD1D2D"/>
    <w:rsid w:val="00FD2E47"/>
    <w:rsid w:val="00FD3474"/>
    <w:rsid w:val="00FD4C2B"/>
    <w:rsid w:val="00FD6873"/>
    <w:rsid w:val="00FD78BE"/>
    <w:rsid w:val="00FD7CCF"/>
    <w:rsid w:val="00FE09DF"/>
    <w:rsid w:val="00FE1033"/>
    <w:rsid w:val="00FE137B"/>
    <w:rsid w:val="00FE138A"/>
    <w:rsid w:val="00FE3D08"/>
    <w:rsid w:val="00FE5896"/>
    <w:rsid w:val="00FE6802"/>
    <w:rsid w:val="00FE6D24"/>
    <w:rsid w:val="00FF0BD7"/>
    <w:rsid w:val="00FF190B"/>
    <w:rsid w:val="00FF2A03"/>
    <w:rsid w:val="00FF2F2D"/>
    <w:rsid w:val="00FF37E3"/>
    <w:rsid w:val="00FF4B93"/>
    <w:rsid w:val="00FF4DEF"/>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60CB9"/>
  <w15:chartTrackingRefBased/>
  <w15:docId w15:val="{3E38B6ED-6FB7-49F1-9CC2-E7DD043F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417A6"/>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C417A6"/>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9F2FAE"/>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9F2FAE"/>
    <w:rPr>
      <w:b/>
      <w:caps/>
      <w:color w:val="000000"/>
      <w:sz w:val="24"/>
      <w:szCs w:val="16"/>
      <w:lang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paragraph" w:styleId="Revisin">
    <w:name w:val="Revision"/>
    <w:hidden/>
    <w:uiPriority w:val="99"/>
    <w:semiHidden/>
    <w:rsid w:val="00490FA5"/>
    <w:rPr>
      <w:sz w:val="16"/>
      <w:szCs w:val="16"/>
      <w:lang w:eastAsia="es-ES_tradnl"/>
    </w:rPr>
  </w:style>
  <w:style w:type="character" w:customStyle="1" w:styleId="fontstyle01">
    <w:name w:val="fontstyle01"/>
    <w:rsid w:val="00DC1387"/>
    <w:rPr>
      <w:rFonts w:ascii="TimesNewRomanPSMT" w:hAnsi="TimesNewRomanPSMT" w:hint="default"/>
      <w:b w:val="0"/>
      <w:bCs w:val="0"/>
      <w:i w:val="0"/>
      <w:iCs w:val="0"/>
      <w:color w:val="000000"/>
      <w:sz w:val="24"/>
      <w:szCs w:val="24"/>
    </w:rPr>
  </w:style>
  <w:style w:type="character" w:customStyle="1" w:styleId="fontstyle21">
    <w:name w:val="fontstyle21"/>
    <w:rsid w:val="00DC1387"/>
    <w:rPr>
      <w:rFonts w:ascii="TimesNewRomanPS-BoldMT" w:hAnsi="TimesNewRomanPS-BoldMT" w:hint="default"/>
      <w:b/>
      <w:bCs/>
      <w:i w:val="0"/>
      <w:iCs w:val="0"/>
      <w:color w:val="000000"/>
      <w:sz w:val="24"/>
      <w:szCs w:val="24"/>
    </w:rPr>
  </w:style>
  <w:style w:type="character" w:customStyle="1" w:styleId="fontstyle31">
    <w:name w:val="fontstyle31"/>
    <w:rsid w:val="00DC1387"/>
    <w:rPr>
      <w:rFonts w:ascii="Arial-ItalicMT" w:hAnsi="Arial-ItalicMT" w:hint="default"/>
      <w:b w:val="0"/>
      <w:bCs w:val="0"/>
      <w:i/>
      <w:iCs/>
      <w:color w:val="000000"/>
      <w:sz w:val="24"/>
      <w:szCs w:val="24"/>
    </w:rPr>
  </w:style>
  <w:style w:type="paragraph" w:styleId="Sinespaciado">
    <w:name w:val="No Spacing"/>
    <w:aliases w:val="CITA,Bullets"/>
    <w:uiPriority w:val="1"/>
    <w:qFormat/>
    <w:rsid w:val="00D67226"/>
    <w:pPr>
      <w:jc w:val="both"/>
    </w:pPr>
    <w:rPr>
      <w:rFonts w:ascii="Verdana" w:hAnsi="Verdana"/>
      <w:sz w:val="24"/>
      <w:szCs w:val="24"/>
      <w:lang w:val="es-ES" w:eastAsia="en-US"/>
    </w:rPr>
  </w:style>
  <w:style w:type="character" w:customStyle="1" w:styleId="findhit">
    <w:name w:val="findhit"/>
    <w:basedOn w:val="Fuentedeprrafopredeter"/>
    <w:rsid w:val="00942547"/>
  </w:style>
  <w:style w:type="character" w:customStyle="1" w:styleId="Mencinsinresolver1">
    <w:name w:val="Mención sin resolver1"/>
    <w:uiPriority w:val="99"/>
    <w:semiHidden/>
    <w:unhideWhenUsed/>
    <w:rsid w:val="00FC7402"/>
    <w:rPr>
      <w:color w:val="605E5C"/>
      <w:shd w:val="clear" w:color="auto" w:fill="E1DFDD"/>
    </w:rPr>
  </w:style>
  <w:style w:type="paragraph" w:customStyle="1" w:styleId="Cuadrculamedia210">
    <w:name w:val="Cuadrícula media 21"/>
    <w:uiPriority w:val="1"/>
    <w:qFormat/>
    <w:rsid w:val="007E407E"/>
    <w:rPr>
      <w:rFonts w:ascii="Calibri" w:eastAsia="SimSun" w:hAnsi="Calibri" w:cs="Times New Roman"/>
      <w:sz w:val="22"/>
      <w:szCs w:val="22"/>
      <w:lang w:eastAsia="en-US"/>
    </w:rPr>
  </w:style>
  <w:style w:type="table" w:styleId="Tablaconcuadrcula">
    <w:name w:val="Table Grid"/>
    <w:basedOn w:val="Tablanormal"/>
    <w:uiPriority w:val="39"/>
    <w:rsid w:val="0096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76487619">
      <w:bodyDiv w:val="1"/>
      <w:marLeft w:val="0"/>
      <w:marRight w:val="0"/>
      <w:marTop w:val="0"/>
      <w:marBottom w:val="0"/>
      <w:divBdr>
        <w:top w:val="none" w:sz="0" w:space="0" w:color="auto"/>
        <w:left w:val="none" w:sz="0" w:space="0" w:color="auto"/>
        <w:bottom w:val="none" w:sz="0" w:space="0" w:color="auto"/>
        <w:right w:val="none" w:sz="0" w:space="0" w:color="auto"/>
      </w:divBdr>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26076758">
      <w:bodyDiv w:val="1"/>
      <w:marLeft w:val="0"/>
      <w:marRight w:val="0"/>
      <w:marTop w:val="0"/>
      <w:marBottom w:val="0"/>
      <w:divBdr>
        <w:top w:val="none" w:sz="0" w:space="0" w:color="auto"/>
        <w:left w:val="none" w:sz="0" w:space="0" w:color="auto"/>
        <w:bottom w:val="none" w:sz="0" w:space="0" w:color="auto"/>
        <w:right w:val="none" w:sz="0" w:space="0" w:color="auto"/>
      </w:divBdr>
    </w:div>
    <w:div w:id="742678363">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038315596">
      <w:bodyDiv w:val="1"/>
      <w:marLeft w:val="0"/>
      <w:marRight w:val="0"/>
      <w:marTop w:val="0"/>
      <w:marBottom w:val="0"/>
      <w:divBdr>
        <w:top w:val="none" w:sz="0" w:space="0" w:color="auto"/>
        <w:left w:val="none" w:sz="0" w:space="0" w:color="auto"/>
        <w:bottom w:val="none" w:sz="0" w:space="0" w:color="auto"/>
        <w:right w:val="none" w:sz="0" w:space="0" w:color="auto"/>
      </w:divBdr>
    </w:div>
    <w:div w:id="1224021926">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546796100">
      <w:bodyDiv w:val="1"/>
      <w:marLeft w:val="0"/>
      <w:marRight w:val="0"/>
      <w:marTop w:val="0"/>
      <w:marBottom w:val="0"/>
      <w:divBdr>
        <w:top w:val="none" w:sz="0" w:space="0" w:color="auto"/>
        <w:left w:val="none" w:sz="0" w:space="0" w:color="auto"/>
        <w:bottom w:val="none" w:sz="0" w:space="0" w:color="auto"/>
        <w:right w:val="none" w:sz="0" w:space="0" w:color="auto"/>
      </w:divBdr>
    </w:div>
    <w:div w:id="15509212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65148611">
      <w:bodyDiv w:val="1"/>
      <w:marLeft w:val="0"/>
      <w:marRight w:val="0"/>
      <w:marTop w:val="0"/>
      <w:marBottom w:val="0"/>
      <w:divBdr>
        <w:top w:val="none" w:sz="0" w:space="0" w:color="auto"/>
        <w:left w:val="none" w:sz="0" w:space="0" w:color="auto"/>
        <w:bottom w:val="none" w:sz="0" w:space="0" w:color="auto"/>
        <w:right w:val="none" w:sz="0" w:space="0" w:color="auto"/>
      </w:divBdr>
    </w:div>
    <w:div w:id="1857034845">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 w:id="21319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ECCB-F18E-4039-9911-72E68511F3F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C3BEDEDC-BAFA-4C67-B4EB-E6B53C92E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7C40D-B1B8-4F19-9CAA-561737D8A87E}">
  <ds:schemaRefs>
    <ds:schemaRef ds:uri="http://schemas.microsoft.com/sharepoint/v3/contenttype/forms"/>
  </ds:schemaRefs>
</ds:datastoreItem>
</file>

<file path=customXml/itemProps4.xml><?xml version="1.0" encoding="utf-8"?>
<ds:datastoreItem xmlns:ds="http://schemas.openxmlformats.org/officeDocument/2006/customXml" ds:itemID="{DA60AC51-3D44-4EAA-A35F-C99EC6CB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4665</Words>
  <Characters>25659</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cp:lastModifiedBy>Sonia Esther Jaimes Valencia</cp:lastModifiedBy>
  <cp:revision>7</cp:revision>
  <dcterms:created xsi:type="dcterms:W3CDTF">2022-08-11T15:37:00Z</dcterms:created>
  <dcterms:modified xsi:type="dcterms:W3CDTF">2022-08-16T19:59:00Z</dcterms:modified>
</cp:coreProperties>
</file>