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AE8ED" w14:textId="77777777" w:rsidR="00663B1A" w:rsidRDefault="00663B1A" w:rsidP="00B209C4">
      <w:pPr>
        <w:tabs>
          <w:tab w:val="left" w:pos="8505"/>
        </w:tabs>
        <w:jc w:val="center"/>
        <w:rPr>
          <w:b/>
          <w:sz w:val="24"/>
          <w:szCs w:val="24"/>
        </w:rPr>
      </w:pPr>
    </w:p>
    <w:p w14:paraId="6F5EFEF2" w14:textId="07BA7EB0" w:rsidR="006B0AC2" w:rsidRPr="006B0AC2" w:rsidRDefault="006B0AC2" w:rsidP="00B209C4">
      <w:pPr>
        <w:tabs>
          <w:tab w:val="left" w:pos="8505"/>
        </w:tabs>
        <w:jc w:val="center"/>
        <w:rPr>
          <w:b/>
          <w:sz w:val="24"/>
          <w:szCs w:val="24"/>
        </w:rPr>
      </w:pPr>
      <w:r w:rsidRPr="006B0AC2">
        <w:rPr>
          <w:b/>
          <w:sz w:val="24"/>
          <w:szCs w:val="24"/>
        </w:rPr>
        <w:t>Consejero Ponente: NICOLÁS YEPES CORRALES</w:t>
      </w:r>
    </w:p>
    <w:p w14:paraId="2A676AA6" w14:textId="77777777" w:rsidR="006B0AC2" w:rsidRPr="006B0AC2" w:rsidRDefault="006B0AC2" w:rsidP="00E86DEF">
      <w:pPr>
        <w:spacing w:line="360" w:lineRule="auto"/>
        <w:rPr>
          <w:sz w:val="24"/>
          <w:szCs w:val="24"/>
        </w:rPr>
      </w:pPr>
    </w:p>
    <w:p w14:paraId="5C7328F6" w14:textId="230205E5" w:rsidR="001A40E4" w:rsidRPr="006B0AC2" w:rsidRDefault="006B0AC2" w:rsidP="00E86DEF">
      <w:pPr>
        <w:tabs>
          <w:tab w:val="left" w:pos="2070"/>
        </w:tabs>
        <w:spacing w:line="360" w:lineRule="auto"/>
        <w:rPr>
          <w:sz w:val="24"/>
          <w:szCs w:val="24"/>
        </w:rPr>
      </w:pPr>
      <w:r w:rsidRPr="006B0AC2">
        <w:rPr>
          <w:sz w:val="24"/>
          <w:szCs w:val="24"/>
        </w:rPr>
        <w:t xml:space="preserve">Bogotá D.C., </w:t>
      </w:r>
      <w:r w:rsidR="00E66927">
        <w:rPr>
          <w:sz w:val="24"/>
          <w:szCs w:val="24"/>
        </w:rPr>
        <w:t>ocho</w:t>
      </w:r>
      <w:r w:rsidR="0052517D">
        <w:rPr>
          <w:sz w:val="24"/>
          <w:szCs w:val="24"/>
        </w:rPr>
        <w:t xml:space="preserve"> </w:t>
      </w:r>
      <w:r w:rsidRPr="006B0AC2">
        <w:rPr>
          <w:sz w:val="24"/>
          <w:szCs w:val="24"/>
        </w:rPr>
        <w:t>(</w:t>
      </w:r>
      <w:r w:rsidR="00E66927">
        <w:rPr>
          <w:sz w:val="24"/>
          <w:szCs w:val="24"/>
        </w:rPr>
        <w:t>8</w:t>
      </w:r>
      <w:r w:rsidRPr="006B0AC2">
        <w:rPr>
          <w:sz w:val="24"/>
          <w:szCs w:val="24"/>
        </w:rPr>
        <w:t xml:space="preserve">) de </w:t>
      </w:r>
      <w:r w:rsidR="004C0F25">
        <w:rPr>
          <w:sz w:val="24"/>
          <w:szCs w:val="24"/>
        </w:rPr>
        <w:t>ju</w:t>
      </w:r>
      <w:r w:rsidR="00E66927">
        <w:rPr>
          <w:sz w:val="24"/>
          <w:szCs w:val="24"/>
        </w:rPr>
        <w:t>l</w:t>
      </w:r>
      <w:r w:rsidR="004C0F25">
        <w:rPr>
          <w:sz w:val="24"/>
          <w:szCs w:val="24"/>
        </w:rPr>
        <w:t xml:space="preserve">io </w:t>
      </w:r>
      <w:r w:rsidRPr="006B0AC2">
        <w:rPr>
          <w:sz w:val="24"/>
          <w:szCs w:val="24"/>
        </w:rPr>
        <w:t xml:space="preserve">de dos mil </w:t>
      </w:r>
      <w:r w:rsidR="004C0F25">
        <w:rPr>
          <w:sz w:val="24"/>
          <w:szCs w:val="24"/>
        </w:rPr>
        <w:t xml:space="preserve">veintidós </w:t>
      </w:r>
      <w:r w:rsidRPr="006B0AC2">
        <w:rPr>
          <w:sz w:val="24"/>
          <w:szCs w:val="24"/>
        </w:rPr>
        <w:t>(</w:t>
      </w:r>
      <w:r w:rsidR="004551B5">
        <w:rPr>
          <w:sz w:val="24"/>
          <w:szCs w:val="24"/>
        </w:rPr>
        <w:t>20</w:t>
      </w:r>
      <w:r w:rsidRPr="006B0AC2">
        <w:rPr>
          <w:sz w:val="24"/>
          <w:szCs w:val="24"/>
        </w:rPr>
        <w:t>2</w:t>
      </w:r>
      <w:r w:rsidR="004C0F25">
        <w:rPr>
          <w:sz w:val="24"/>
          <w:szCs w:val="24"/>
        </w:rPr>
        <w:t>2</w:t>
      </w:r>
      <w:r w:rsidRPr="006B0AC2">
        <w:rPr>
          <w:sz w:val="24"/>
          <w:szCs w:val="24"/>
        </w:rPr>
        <w:t>)</w:t>
      </w:r>
    </w:p>
    <w:p w14:paraId="48F74A38" w14:textId="77777777" w:rsidR="006B0AC2" w:rsidRPr="006B0AC2" w:rsidRDefault="006B0AC2" w:rsidP="00E86DEF">
      <w:pPr>
        <w:tabs>
          <w:tab w:val="left" w:pos="2070"/>
        </w:tabs>
        <w:spacing w:line="360" w:lineRule="auto"/>
        <w:rPr>
          <w:sz w:val="24"/>
          <w:szCs w:val="24"/>
        </w:rPr>
      </w:pPr>
    </w:p>
    <w:p w14:paraId="51E732EA" w14:textId="119DC345" w:rsidR="006B0AC2" w:rsidRPr="006B0AC2" w:rsidRDefault="006B0AC2" w:rsidP="00E86DEF">
      <w:pPr>
        <w:tabs>
          <w:tab w:val="left" w:pos="2070"/>
        </w:tabs>
        <w:spacing w:line="276" w:lineRule="auto"/>
        <w:rPr>
          <w:sz w:val="24"/>
          <w:szCs w:val="24"/>
        </w:rPr>
      </w:pPr>
      <w:r w:rsidRPr="006B0AC2">
        <w:rPr>
          <w:b/>
          <w:sz w:val="24"/>
          <w:szCs w:val="24"/>
        </w:rPr>
        <w:t>Radicación</w:t>
      </w:r>
      <w:r w:rsidRPr="00335126">
        <w:rPr>
          <w:b/>
          <w:bCs/>
          <w:sz w:val="24"/>
          <w:szCs w:val="24"/>
        </w:rPr>
        <w:t>:</w:t>
      </w:r>
      <w:r w:rsidRPr="006B0AC2">
        <w:rPr>
          <w:sz w:val="24"/>
          <w:szCs w:val="24"/>
        </w:rPr>
        <w:t xml:space="preserve"> </w:t>
      </w:r>
      <w:r w:rsidR="00C21CE2" w:rsidRPr="00C21CE2">
        <w:rPr>
          <w:sz w:val="24"/>
          <w:szCs w:val="24"/>
        </w:rPr>
        <w:t>11001-03-15-000-202</w:t>
      </w:r>
      <w:r w:rsidR="004C0F25">
        <w:rPr>
          <w:sz w:val="24"/>
          <w:szCs w:val="24"/>
        </w:rPr>
        <w:t>2</w:t>
      </w:r>
      <w:r w:rsidR="00C21CE2" w:rsidRPr="00C21CE2">
        <w:rPr>
          <w:sz w:val="24"/>
          <w:szCs w:val="24"/>
        </w:rPr>
        <w:t>-</w:t>
      </w:r>
      <w:r w:rsidR="004C0F25">
        <w:rPr>
          <w:sz w:val="24"/>
          <w:szCs w:val="24"/>
        </w:rPr>
        <w:t>02902</w:t>
      </w:r>
      <w:r w:rsidRPr="006B0AC2">
        <w:rPr>
          <w:sz w:val="24"/>
          <w:szCs w:val="24"/>
        </w:rPr>
        <w:t xml:space="preserve">-00 </w:t>
      </w:r>
    </w:p>
    <w:p w14:paraId="2D991C6B" w14:textId="4C43F31E" w:rsidR="006B0AC2" w:rsidRPr="006B0AC2" w:rsidRDefault="006B0AC2" w:rsidP="00E86DEF">
      <w:pPr>
        <w:tabs>
          <w:tab w:val="left" w:pos="2070"/>
        </w:tabs>
        <w:spacing w:line="276" w:lineRule="auto"/>
        <w:rPr>
          <w:sz w:val="24"/>
          <w:szCs w:val="24"/>
        </w:rPr>
      </w:pPr>
      <w:r w:rsidRPr="006B0AC2">
        <w:rPr>
          <w:b/>
          <w:sz w:val="24"/>
          <w:szCs w:val="24"/>
        </w:rPr>
        <w:t>Accionante</w:t>
      </w:r>
      <w:r w:rsidRPr="00335126">
        <w:rPr>
          <w:b/>
          <w:bCs/>
          <w:sz w:val="24"/>
          <w:szCs w:val="24"/>
        </w:rPr>
        <w:t>:</w:t>
      </w:r>
      <w:r w:rsidRPr="006B0AC2">
        <w:rPr>
          <w:sz w:val="24"/>
          <w:szCs w:val="24"/>
        </w:rPr>
        <w:t xml:space="preserve"> </w:t>
      </w:r>
      <w:r w:rsidR="004C0F25" w:rsidRPr="004C0F25">
        <w:rPr>
          <w:sz w:val="24"/>
          <w:szCs w:val="24"/>
        </w:rPr>
        <w:t>Francia Stella Gaviria Toro</w:t>
      </w:r>
    </w:p>
    <w:p w14:paraId="65E3ED71" w14:textId="5BF38B15" w:rsidR="006B0AC2" w:rsidRPr="006B0AC2" w:rsidRDefault="006B0AC2" w:rsidP="00E86DEF">
      <w:pPr>
        <w:tabs>
          <w:tab w:val="left" w:pos="2070"/>
        </w:tabs>
        <w:spacing w:line="276" w:lineRule="auto"/>
        <w:rPr>
          <w:sz w:val="24"/>
          <w:szCs w:val="24"/>
        </w:rPr>
      </w:pPr>
      <w:r w:rsidRPr="006B0AC2">
        <w:rPr>
          <w:b/>
          <w:sz w:val="24"/>
          <w:szCs w:val="24"/>
        </w:rPr>
        <w:t>Accionado</w:t>
      </w:r>
      <w:r w:rsidRPr="00335126">
        <w:rPr>
          <w:b/>
          <w:bCs/>
          <w:sz w:val="24"/>
          <w:szCs w:val="24"/>
        </w:rPr>
        <w:t>:</w:t>
      </w:r>
      <w:r w:rsidRPr="006B0AC2">
        <w:rPr>
          <w:sz w:val="24"/>
          <w:szCs w:val="24"/>
        </w:rPr>
        <w:t xml:space="preserve"> </w:t>
      </w:r>
      <w:r w:rsidR="0086725C" w:rsidRPr="0086725C">
        <w:rPr>
          <w:sz w:val="24"/>
          <w:szCs w:val="24"/>
        </w:rPr>
        <w:t xml:space="preserve">Tribunal Administrativo </w:t>
      </w:r>
      <w:r w:rsidR="005464CA" w:rsidRPr="005464CA">
        <w:rPr>
          <w:sz w:val="24"/>
          <w:szCs w:val="24"/>
        </w:rPr>
        <w:t>del Valle del Cauca</w:t>
      </w:r>
    </w:p>
    <w:p w14:paraId="7418E735" w14:textId="5D258696" w:rsidR="006B0AC2" w:rsidRDefault="006B0AC2" w:rsidP="00E86DEF">
      <w:pPr>
        <w:tabs>
          <w:tab w:val="left" w:pos="2070"/>
        </w:tabs>
        <w:spacing w:line="276" w:lineRule="auto"/>
        <w:rPr>
          <w:sz w:val="24"/>
          <w:szCs w:val="24"/>
        </w:rPr>
      </w:pPr>
      <w:r w:rsidRPr="006B0AC2">
        <w:rPr>
          <w:b/>
          <w:sz w:val="24"/>
          <w:szCs w:val="24"/>
        </w:rPr>
        <w:t>Asunto</w:t>
      </w:r>
      <w:r w:rsidRPr="00335126">
        <w:rPr>
          <w:b/>
          <w:bCs/>
          <w:sz w:val="24"/>
          <w:szCs w:val="24"/>
        </w:rPr>
        <w:t xml:space="preserve">: </w:t>
      </w:r>
      <w:r w:rsidRPr="006B0AC2">
        <w:rPr>
          <w:sz w:val="24"/>
          <w:szCs w:val="24"/>
        </w:rPr>
        <w:t>Acción de tutela –</w:t>
      </w:r>
      <w:r w:rsidR="00E86DEF">
        <w:rPr>
          <w:sz w:val="24"/>
          <w:szCs w:val="24"/>
        </w:rPr>
        <w:t xml:space="preserve"> Sentencia de primera i</w:t>
      </w:r>
      <w:r w:rsidR="0031180F">
        <w:rPr>
          <w:sz w:val="24"/>
          <w:szCs w:val="24"/>
        </w:rPr>
        <w:t xml:space="preserve">nstancia </w:t>
      </w:r>
    </w:p>
    <w:p w14:paraId="2B2EBA0F" w14:textId="77777777" w:rsidR="00E86DEF" w:rsidRDefault="00E86DEF" w:rsidP="00E86DEF">
      <w:pPr>
        <w:tabs>
          <w:tab w:val="left" w:pos="2070"/>
        </w:tabs>
        <w:spacing w:line="360" w:lineRule="auto"/>
        <w:rPr>
          <w:sz w:val="24"/>
          <w:szCs w:val="24"/>
        </w:rPr>
      </w:pPr>
    </w:p>
    <w:p w14:paraId="59353419" w14:textId="0DD7AA46" w:rsidR="00E86DEF" w:rsidRPr="00F77F71" w:rsidRDefault="004551B5" w:rsidP="004551B5">
      <w:pPr>
        <w:ind w:right="49"/>
        <w:rPr>
          <w:rFonts w:cs="Arial"/>
        </w:rPr>
      </w:pPr>
      <w:r w:rsidRPr="00F017FA">
        <w:rPr>
          <w:rFonts w:cs="Arial"/>
          <w:b/>
          <w:bCs/>
          <w:color w:val="000000"/>
        </w:rPr>
        <w:t xml:space="preserve">Tema: </w:t>
      </w:r>
      <w:r w:rsidRPr="00F017FA">
        <w:rPr>
          <w:rFonts w:cs="Arial"/>
          <w:bCs/>
          <w:color w:val="000000"/>
        </w:rPr>
        <w:t xml:space="preserve">Acción de tutela </w:t>
      </w:r>
      <w:r w:rsidR="00C344A8" w:rsidRPr="00F017FA">
        <w:rPr>
          <w:rFonts w:cs="Arial"/>
          <w:bCs/>
          <w:color w:val="000000"/>
        </w:rPr>
        <w:t xml:space="preserve">por violación del derecho al debido proceso y </w:t>
      </w:r>
      <w:r w:rsidRPr="00F017FA">
        <w:rPr>
          <w:rFonts w:cs="Arial"/>
          <w:bCs/>
          <w:color w:val="000000"/>
        </w:rPr>
        <w:t xml:space="preserve">en contra de providencia judicial. </w:t>
      </w:r>
      <w:r w:rsidRPr="00F017FA">
        <w:rPr>
          <w:rFonts w:cs="Arial"/>
          <w:b/>
          <w:bCs/>
          <w:color w:val="000000"/>
        </w:rPr>
        <w:t xml:space="preserve">Subtema: </w:t>
      </w:r>
      <w:r w:rsidRPr="00F017FA">
        <w:rPr>
          <w:rFonts w:cs="Arial"/>
          <w:bCs/>
          <w:color w:val="000000"/>
        </w:rPr>
        <w:t xml:space="preserve">Requisitos generales o de habilitación de la acción de tutela en contra de providencias judiciales </w:t>
      </w:r>
      <w:r w:rsidRPr="00F017FA">
        <w:rPr>
          <w:rFonts w:eastAsia="Times New Roman" w:cs="Arial"/>
          <w:lang w:eastAsia="es-ES"/>
        </w:rPr>
        <w:t xml:space="preserve">— legitimación en la causa por activa. </w:t>
      </w:r>
      <w:r w:rsidRPr="00F017FA">
        <w:rPr>
          <w:rFonts w:cs="Arial"/>
          <w:b/>
          <w:bCs/>
          <w:color w:val="000000"/>
        </w:rPr>
        <w:t xml:space="preserve">Decisión: </w:t>
      </w:r>
      <w:r w:rsidRPr="00F017FA">
        <w:rPr>
          <w:rFonts w:cs="Arial"/>
          <w:color w:val="000000"/>
        </w:rPr>
        <w:t>Se declara improcedente la</w:t>
      </w:r>
      <w:r w:rsidRPr="00F017FA">
        <w:rPr>
          <w:rFonts w:cs="Arial"/>
          <w:b/>
          <w:bCs/>
          <w:color w:val="000000"/>
        </w:rPr>
        <w:t xml:space="preserve"> </w:t>
      </w:r>
      <w:r w:rsidRPr="00F017FA">
        <w:rPr>
          <w:rFonts w:cs="Arial"/>
        </w:rPr>
        <w:t>solicitud de amparo por no haberse logrado acreditar la legitimación en la causa por activa.</w:t>
      </w:r>
    </w:p>
    <w:p w14:paraId="3AA4A405" w14:textId="77777777" w:rsidR="00E86DEF" w:rsidRDefault="00E86DEF" w:rsidP="00E86DEF">
      <w:pPr>
        <w:tabs>
          <w:tab w:val="left" w:pos="2070"/>
        </w:tabs>
        <w:spacing w:line="360" w:lineRule="auto"/>
        <w:rPr>
          <w:sz w:val="24"/>
          <w:szCs w:val="24"/>
        </w:rPr>
      </w:pPr>
    </w:p>
    <w:p w14:paraId="085D8AF0" w14:textId="1BD99047" w:rsidR="00E86DEF" w:rsidRDefault="00E86DEF" w:rsidP="00E86DEF">
      <w:pPr>
        <w:tabs>
          <w:tab w:val="left" w:pos="2070"/>
        </w:tabs>
        <w:spacing w:line="360" w:lineRule="auto"/>
        <w:rPr>
          <w:sz w:val="24"/>
          <w:szCs w:val="24"/>
        </w:rPr>
      </w:pPr>
      <w:r>
        <w:rPr>
          <w:sz w:val="24"/>
          <w:szCs w:val="24"/>
        </w:rPr>
        <w:t xml:space="preserve">La Sala decide la </w:t>
      </w:r>
      <w:r w:rsidR="00C6319A">
        <w:rPr>
          <w:sz w:val="24"/>
          <w:szCs w:val="24"/>
        </w:rPr>
        <w:t>acción de tutela</w:t>
      </w:r>
      <w:r w:rsidR="0005026F">
        <w:rPr>
          <w:rStyle w:val="Refdenotaalpie"/>
          <w:sz w:val="24"/>
          <w:szCs w:val="24"/>
        </w:rPr>
        <w:footnoteReference w:id="1"/>
      </w:r>
      <w:r w:rsidR="00C6319A">
        <w:rPr>
          <w:sz w:val="24"/>
          <w:szCs w:val="24"/>
        </w:rPr>
        <w:t xml:space="preserve"> presentada </w:t>
      </w:r>
      <w:r w:rsidR="005464CA" w:rsidRPr="005464CA">
        <w:rPr>
          <w:sz w:val="24"/>
          <w:szCs w:val="24"/>
        </w:rPr>
        <w:t>en contra del Tribunal Administrativo del Valle del Cauca</w:t>
      </w:r>
      <w:r>
        <w:rPr>
          <w:sz w:val="24"/>
          <w:szCs w:val="24"/>
        </w:rPr>
        <w:t xml:space="preserve">. </w:t>
      </w:r>
    </w:p>
    <w:p w14:paraId="573DA5F7" w14:textId="77777777" w:rsidR="00F77F71" w:rsidRDefault="00F77F71" w:rsidP="00985D3D">
      <w:pPr>
        <w:tabs>
          <w:tab w:val="left" w:pos="2070"/>
        </w:tabs>
        <w:spacing w:line="360" w:lineRule="auto"/>
        <w:jc w:val="center"/>
        <w:rPr>
          <w:b/>
          <w:sz w:val="24"/>
          <w:szCs w:val="24"/>
        </w:rPr>
      </w:pPr>
    </w:p>
    <w:p w14:paraId="2C8BFB1D" w14:textId="574A44C9" w:rsidR="00985D3D" w:rsidRDefault="00985D3D" w:rsidP="00985D3D">
      <w:pPr>
        <w:tabs>
          <w:tab w:val="left" w:pos="2070"/>
        </w:tabs>
        <w:spacing w:line="360" w:lineRule="auto"/>
        <w:jc w:val="center"/>
        <w:rPr>
          <w:b/>
          <w:sz w:val="24"/>
          <w:szCs w:val="24"/>
        </w:rPr>
      </w:pPr>
      <w:r>
        <w:rPr>
          <w:b/>
          <w:sz w:val="24"/>
          <w:szCs w:val="24"/>
        </w:rPr>
        <w:t>I. ANTECEDENTES</w:t>
      </w:r>
    </w:p>
    <w:p w14:paraId="1FDD4385" w14:textId="77777777" w:rsidR="00985D3D" w:rsidRDefault="00985D3D" w:rsidP="00985D3D">
      <w:pPr>
        <w:tabs>
          <w:tab w:val="left" w:pos="2070"/>
        </w:tabs>
        <w:spacing w:line="360" w:lineRule="auto"/>
        <w:rPr>
          <w:b/>
          <w:sz w:val="24"/>
          <w:szCs w:val="24"/>
        </w:rPr>
      </w:pPr>
    </w:p>
    <w:p w14:paraId="0674121F" w14:textId="55587426" w:rsidR="00985D3D" w:rsidRDefault="00985D3D" w:rsidP="00985D3D">
      <w:pPr>
        <w:tabs>
          <w:tab w:val="left" w:pos="2070"/>
        </w:tabs>
        <w:spacing w:line="360" w:lineRule="auto"/>
        <w:rPr>
          <w:b/>
          <w:sz w:val="24"/>
          <w:szCs w:val="24"/>
        </w:rPr>
      </w:pPr>
      <w:r>
        <w:rPr>
          <w:b/>
          <w:sz w:val="24"/>
          <w:szCs w:val="24"/>
        </w:rPr>
        <w:t xml:space="preserve">1.- La solicitud de tutela </w:t>
      </w:r>
    </w:p>
    <w:p w14:paraId="7EE29419" w14:textId="77777777" w:rsidR="00985D3D" w:rsidRDefault="00985D3D" w:rsidP="00985D3D">
      <w:pPr>
        <w:tabs>
          <w:tab w:val="left" w:pos="2070"/>
        </w:tabs>
        <w:spacing w:line="360" w:lineRule="auto"/>
        <w:rPr>
          <w:b/>
          <w:sz w:val="24"/>
          <w:szCs w:val="24"/>
        </w:rPr>
      </w:pPr>
    </w:p>
    <w:p w14:paraId="7C9B7342" w14:textId="25B002A2" w:rsidR="00844CB3" w:rsidRDefault="00985D3D" w:rsidP="00985D3D">
      <w:pPr>
        <w:tabs>
          <w:tab w:val="left" w:pos="2070"/>
        </w:tabs>
        <w:spacing w:line="360" w:lineRule="auto"/>
        <w:rPr>
          <w:sz w:val="24"/>
          <w:szCs w:val="24"/>
        </w:rPr>
      </w:pPr>
      <w:r>
        <w:rPr>
          <w:sz w:val="24"/>
          <w:szCs w:val="24"/>
        </w:rPr>
        <w:t xml:space="preserve">El </w:t>
      </w:r>
      <w:r w:rsidR="00E552B2">
        <w:rPr>
          <w:sz w:val="24"/>
          <w:szCs w:val="24"/>
        </w:rPr>
        <w:t>26</w:t>
      </w:r>
      <w:r w:rsidR="00CD3D94">
        <w:rPr>
          <w:sz w:val="24"/>
          <w:szCs w:val="24"/>
        </w:rPr>
        <w:t xml:space="preserve"> de </w:t>
      </w:r>
      <w:r w:rsidR="00E552B2">
        <w:rPr>
          <w:sz w:val="24"/>
          <w:szCs w:val="24"/>
        </w:rPr>
        <w:t xml:space="preserve">mayo </w:t>
      </w:r>
      <w:r>
        <w:rPr>
          <w:sz w:val="24"/>
          <w:szCs w:val="24"/>
        </w:rPr>
        <w:t>202</w:t>
      </w:r>
      <w:r w:rsidR="00E552B2">
        <w:rPr>
          <w:sz w:val="24"/>
          <w:szCs w:val="24"/>
        </w:rPr>
        <w:t>2</w:t>
      </w:r>
      <w:r>
        <w:rPr>
          <w:rStyle w:val="Refdenotaalpie"/>
          <w:sz w:val="24"/>
          <w:szCs w:val="24"/>
        </w:rPr>
        <w:footnoteReference w:id="2"/>
      </w:r>
      <w:r>
        <w:rPr>
          <w:sz w:val="24"/>
          <w:szCs w:val="24"/>
        </w:rPr>
        <w:t xml:space="preserve"> </w:t>
      </w:r>
      <w:r w:rsidR="00F95598">
        <w:rPr>
          <w:sz w:val="24"/>
          <w:szCs w:val="24"/>
        </w:rPr>
        <w:t xml:space="preserve">Luis Miguel Merino Jaramillo </w:t>
      </w:r>
      <w:r w:rsidR="00B132F9">
        <w:rPr>
          <w:sz w:val="24"/>
          <w:szCs w:val="24"/>
        </w:rPr>
        <w:t xml:space="preserve">afirmó presentar </w:t>
      </w:r>
      <w:r w:rsidR="00CD434D">
        <w:rPr>
          <w:sz w:val="24"/>
          <w:szCs w:val="24"/>
        </w:rPr>
        <w:t>este amparo</w:t>
      </w:r>
      <w:r w:rsidR="004551B5">
        <w:rPr>
          <w:sz w:val="24"/>
          <w:szCs w:val="24"/>
        </w:rPr>
        <w:t xml:space="preserve"> </w:t>
      </w:r>
      <w:r w:rsidR="004551B5" w:rsidRPr="00E1450D">
        <w:rPr>
          <w:iCs/>
          <w:sz w:val="24"/>
          <w:szCs w:val="24"/>
        </w:rPr>
        <w:t>“</w:t>
      </w:r>
      <w:r w:rsidR="00521690" w:rsidRPr="00521690">
        <w:rPr>
          <w:i/>
          <w:sz w:val="24"/>
          <w:szCs w:val="24"/>
        </w:rPr>
        <w:t>actuando como apoderado de la señora FRANCIA STELLA GAVIRIA TORO</w:t>
      </w:r>
      <w:r w:rsidR="004551B5" w:rsidRPr="00E1450D">
        <w:rPr>
          <w:iCs/>
          <w:sz w:val="24"/>
          <w:szCs w:val="24"/>
        </w:rPr>
        <w:t>”</w:t>
      </w:r>
      <w:r w:rsidR="00521690">
        <w:rPr>
          <w:rStyle w:val="Refdenotaalpie"/>
          <w:iCs/>
          <w:sz w:val="24"/>
          <w:szCs w:val="24"/>
        </w:rPr>
        <w:footnoteReference w:id="3"/>
      </w:r>
      <w:r w:rsidR="004551B5" w:rsidRPr="00E1450D">
        <w:rPr>
          <w:iCs/>
          <w:sz w:val="24"/>
          <w:szCs w:val="24"/>
        </w:rPr>
        <w:t>,</w:t>
      </w:r>
      <w:r w:rsidR="00377402">
        <w:rPr>
          <w:iCs/>
          <w:sz w:val="24"/>
          <w:szCs w:val="24"/>
        </w:rPr>
        <w:t xml:space="preserve"> en procura de la protección de sus</w:t>
      </w:r>
      <w:r w:rsidR="00CD434D">
        <w:rPr>
          <w:iCs/>
          <w:sz w:val="24"/>
          <w:szCs w:val="24"/>
        </w:rPr>
        <w:t xml:space="preserve"> </w:t>
      </w:r>
      <w:r w:rsidR="00324B8B" w:rsidRPr="00A8552E">
        <w:rPr>
          <w:iCs/>
          <w:sz w:val="24"/>
          <w:szCs w:val="24"/>
        </w:rPr>
        <w:t>derecho</w:t>
      </w:r>
      <w:r w:rsidR="00377402">
        <w:rPr>
          <w:iCs/>
          <w:sz w:val="24"/>
          <w:szCs w:val="24"/>
        </w:rPr>
        <w:t>s</w:t>
      </w:r>
      <w:r w:rsidR="00324B8B" w:rsidRPr="00A8552E">
        <w:rPr>
          <w:iCs/>
          <w:sz w:val="24"/>
          <w:szCs w:val="24"/>
        </w:rPr>
        <w:t xml:space="preserve"> </w:t>
      </w:r>
      <w:r w:rsidR="00F3337F" w:rsidRPr="00F3337F">
        <w:rPr>
          <w:iCs/>
          <w:sz w:val="24"/>
          <w:szCs w:val="24"/>
        </w:rPr>
        <w:t>al debido proceso, a la defensa, de acceso a la administración de justicia y a la confianza legítima</w:t>
      </w:r>
      <w:r w:rsidR="00CD434D">
        <w:rPr>
          <w:iCs/>
          <w:sz w:val="24"/>
          <w:szCs w:val="24"/>
        </w:rPr>
        <w:t>, que consideró vulnerado</w:t>
      </w:r>
      <w:r w:rsidR="002E55B1">
        <w:rPr>
          <w:iCs/>
          <w:sz w:val="24"/>
          <w:szCs w:val="24"/>
        </w:rPr>
        <w:t>s</w:t>
      </w:r>
      <w:r w:rsidR="00844CB3" w:rsidRPr="00A8552E">
        <w:rPr>
          <w:iCs/>
          <w:sz w:val="24"/>
          <w:szCs w:val="24"/>
        </w:rPr>
        <w:t xml:space="preserve"> </w:t>
      </w:r>
      <w:r w:rsidR="00CB6766" w:rsidRPr="00CB6766">
        <w:rPr>
          <w:iCs/>
          <w:sz w:val="24"/>
          <w:szCs w:val="24"/>
        </w:rPr>
        <w:t>con la providencia dictada el 31 de enero de 2022 por el Tribunal Administrativo del Valle del Cauca, por medio de la cual se revocó la dictada el 17 de mayo de 2017 por el Juzgado 17 Administrativo de Cali, que había accedido a las pretensiones elevadas dentro del medio de control de nulidad y restablecimiento del derecho No. 76001333301720150003900/01</w:t>
      </w:r>
      <w:r w:rsidR="00623998">
        <w:rPr>
          <w:rStyle w:val="Refdenotaalpie"/>
          <w:sz w:val="24"/>
          <w:szCs w:val="24"/>
        </w:rPr>
        <w:footnoteReference w:id="4"/>
      </w:r>
      <w:r w:rsidR="008256F0">
        <w:rPr>
          <w:sz w:val="24"/>
          <w:szCs w:val="24"/>
        </w:rPr>
        <w:t>.</w:t>
      </w:r>
    </w:p>
    <w:p w14:paraId="48CAFF5B" w14:textId="5044130A" w:rsidR="003A3447" w:rsidRDefault="003A3447" w:rsidP="00985D3D">
      <w:pPr>
        <w:tabs>
          <w:tab w:val="left" w:pos="2070"/>
        </w:tabs>
        <w:spacing w:line="360" w:lineRule="auto"/>
        <w:rPr>
          <w:sz w:val="24"/>
          <w:szCs w:val="24"/>
        </w:rPr>
      </w:pPr>
    </w:p>
    <w:p w14:paraId="5E9B4C02" w14:textId="06BFDFB7" w:rsidR="003470CB" w:rsidRDefault="003470CB" w:rsidP="00985D3D">
      <w:pPr>
        <w:tabs>
          <w:tab w:val="left" w:pos="2070"/>
        </w:tabs>
        <w:spacing w:line="360" w:lineRule="auto"/>
        <w:rPr>
          <w:sz w:val="24"/>
          <w:szCs w:val="24"/>
        </w:rPr>
      </w:pPr>
    </w:p>
    <w:p w14:paraId="09F6340B" w14:textId="45374531" w:rsidR="003470CB" w:rsidRDefault="003470CB" w:rsidP="00985D3D">
      <w:pPr>
        <w:tabs>
          <w:tab w:val="left" w:pos="2070"/>
        </w:tabs>
        <w:spacing w:line="360" w:lineRule="auto"/>
        <w:rPr>
          <w:sz w:val="24"/>
          <w:szCs w:val="24"/>
        </w:rPr>
      </w:pPr>
    </w:p>
    <w:p w14:paraId="74662F4E" w14:textId="77777777" w:rsidR="003470CB" w:rsidRDefault="003470CB" w:rsidP="00985D3D">
      <w:pPr>
        <w:tabs>
          <w:tab w:val="left" w:pos="2070"/>
        </w:tabs>
        <w:spacing w:line="360" w:lineRule="auto"/>
        <w:rPr>
          <w:sz w:val="24"/>
          <w:szCs w:val="24"/>
        </w:rPr>
      </w:pPr>
    </w:p>
    <w:p w14:paraId="1AD7EF40" w14:textId="547D2110" w:rsidR="006E7A27" w:rsidRDefault="006E7A27" w:rsidP="00985D3D">
      <w:pPr>
        <w:tabs>
          <w:tab w:val="left" w:pos="2070"/>
        </w:tabs>
        <w:spacing w:line="360" w:lineRule="auto"/>
        <w:rPr>
          <w:b/>
          <w:sz w:val="24"/>
          <w:szCs w:val="24"/>
        </w:rPr>
      </w:pPr>
      <w:r>
        <w:rPr>
          <w:b/>
          <w:sz w:val="24"/>
          <w:szCs w:val="24"/>
        </w:rPr>
        <w:lastRenderedPageBreak/>
        <w:t xml:space="preserve">2.- Hechos </w:t>
      </w:r>
    </w:p>
    <w:p w14:paraId="690A8AD6" w14:textId="77777777" w:rsidR="006E7A27" w:rsidRDefault="006E7A27" w:rsidP="00985D3D">
      <w:pPr>
        <w:tabs>
          <w:tab w:val="left" w:pos="2070"/>
        </w:tabs>
        <w:spacing w:line="360" w:lineRule="auto"/>
        <w:rPr>
          <w:b/>
          <w:sz w:val="24"/>
          <w:szCs w:val="24"/>
        </w:rPr>
      </w:pPr>
    </w:p>
    <w:p w14:paraId="05DF5A9A" w14:textId="6C61C795" w:rsidR="00217FD2" w:rsidRPr="00462FEE" w:rsidRDefault="006E7A27" w:rsidP="00AE644E">
      <w:pPr>
        <w:tabs>
          <w:tab w:val="left" w:pos="2070"/>
        </w:tabs>
        <w:spacing w:line="360" w:lineRule="auto"/>
        <w:rPr>
          <w:sz w:val="24"/>
          <w:szCs w:val="24"/>
        </w:rPr>
      </w:pPr>
      <w:r w:rsidRPr="00462FEE">
        <w:rPr>
          <w:sz w:val="24"/>
          <w:szCs w:val="24"/>
        </w:rPr>
        <w:t xml:space="preserve">2.1.- </w:t>
      </w:r>
      <w:r w:rsidR="00B300CA" w:rsidRPr="00462FEE">
        <w:rPr>
          <w:sz w:val="24"/>
          <w:szCs w:val="24"/>
        </w:rPr>
        <w:t>E</w:t>
      </w:r>
      <w:r w:rsidR="00DE2BE2" w:rsidRPr="00462FEE">
        <w:rPr>
          <w:sz w:val="24"/>
          <w:szCs w:val="24"/>
        </w:rPr>
        <w:t xml:space="preserve">l 1º de diciembre de 2006 </w:t>
      </w:r>
      <w:r w:rsidR="00B300CA" w:rsidRPr="00462FEE">
        <w:rPr>
          <w:sz w:val="24"/>
          <w:szCs w:val="24"/>
        </w:rPr>
        <w:t xml:space="preserve">Gaviria Toro se afilió </w:t>
      </w:r>
      <w:r w:rsidR="00DE3EFC" w:rsidRPr="00462FEE">
        <w:rPr>
          <w:sz w:val="24"/>
          <w:szCs w:val="24"/>
        </w:rPr>
        <w:t xml:space="preserve">a la Cooperativa de Trabajo Asociado –CTA–, y fue </w:t>
      </w:r>
      <w:r w:rsidR="00AE644E" w:rsidRPr="00462FEE">
        <w:rPr>
          <w:sz w:val="24"/>
          <w:szCs w:val="24"/>
        </w:rPr>
        <w:t>designada para prestar sus servicios</w:t>
      </w:r>
      <w:r w:rsidR="003E7A08" w:rsidRPr="00462FEE">
        <w:rPr>
          <w:sz w:val="24"/>
          <w:szCs w:val="24"/>
        </w:rPr>
        <w:t>,</w:t>
      </w:r>
      <w:r w:rsidR="00DE3EFC" w:rsidRPr="00462FEE">
        <w:rPr>
          <w:sz w:val="24"/>
          <w:szCs w:val="24"/>
        </w:rPr>
        <w:t xml:space="preserve"> </w:t>
      </w:r>
      <w:r w:rsidR="00AE644E" w:rsidRPr="00462FEE">
        <w:rPr>
          <w:sz w:val="24"/>
          <w:szCs w:val="24"/>
        </w:rPr>
        <w:t>como auxiliar de enfermería</w:t>
      </w:r>
      <w:r w:rsidR="003E7A08" w:rsidRPr="00462FEE">
        <w:rPr>
          <w:sz w:val="24"/>
          <w:szCs w:val="24"/>
        </w:rPr>
        <w:t>,</w:t>
      </w:r>
      <w:r w:rsidR="00AE644E" w:rsidRPr="00462FEE">
        <w:rPr>
          <w:sz w:val="24"/>
          <w:szCs w:val="24"/>
        </w:rPr>
        <w:t xml:space="preserve"> en </w:t>
      </w:r>
      <w:r w:rsidR="00747750" w:rsidRPr="00462FEE">
        <w:rPr>
          <w:sz w:val="24"/>
          <w:szCs w:val="24"/>
        </w:rPr>
        <w:t>la E.S.E. Hospital Santa Margarita de la Cumbre</w:t>
      </w:r>
      <w:r w:rsidR="00CD3D88" w:rsidRPr="00462FEE">
        <w:rPr>
          <w:rStyle w:val="Refdenotaalpie"/>
          <w:sz w:val="24"/>
          <w:szCs w:val="24"/>
        </w:rPr>
        <w:footnoteReference w:id="5"/>
      </w:r>
      <w:r w:rsidR="005712CE" w:rsidRPr="00462FEE">
        <w:rPr>
          <w:sz w:val="24"/>
          <w:szCs w:val="24"/>
        </w:rPr>
        <w:t>.</w:t>
      </w:r>
      <w:r w:rsidR="00DA7FF9" w:rsidRPr="00462FEE">
        <w:rPr>
          <w:sz w:val="24"/>
          <w:szCs w:val="24"/>
        </w:rPr>
        <w:t xml:space="preserve"> </w:t>
      </w:r>
    </w:p>
    <w:p w14:paraId="6EB25330" w14:textId="77777777" w:rsidR="00217FD2" w:rsidRPr="00462FEE" w:rsidRDefault="00217FD2" w:rsidP="00576456">
      <w:pPr>
        <w:tabs>
          <w:tab w:val="left" w:pos="2070"/>
        </w:tabs>
        <w:spacing w:line="360" w:lineRule="auto"/>
        <w:rPr>
          <w:sz w:val="24"/>
          <w:szCs w:val="24"/>
        </w:rPr>
      </w:pPr>
    </w:p>
    <w:p w14:paraId="4C08CD69" w14:textId="2620641A" w:rsidR="006E7A27" w:rsidRPr="00462FEE" w:rsidRDefault="00217FD2" w:rsidP="00AF7ADC">
      <w:pPr>
        <w:tabs>
          <w:tab w:val="left" w:pos="2070"/>
        </w:tabs>
        <w:spacing w:line="360" w:lineRule="auto"/>
        <w:rPr>
          <w:sz w:val="24"/>
          <w:szCs w:val="24"/>
        </w:rPr>
      </w:pPr>
      <w:r w:rsidRPr="00462FEE">
        <w:rPr>
          <w:sz w:val="24"/>
          <w:szCs w:val="24"/>
        </w:rPr>
        <w:t xml:space="preserve">2.2.- </w:t>
      </w:r>
      <w:r w:rsidR="00CE40CA" w:rsidRPr="00462FEE">
        <w:rPr>
          <w:sz w:val="24"/>
          <w:szCs w:val="24"/>
        </w:rPr>
        <w:t>A partir d</w:t>
      </w:r>
      <w:r w:rsidR="00DA7FF9" w:rsidRPr="00462FEE">
        <w:rPr>
          <w:sz w:val="24"/>
          <w:szCs w:val="24"/>
        </w:rPr>
        <w:t xml:space="preserve">el 1º de septiembre </w:t>
      </w:r>
      <w:r w:rsidR="00DE69E3" w:rsidRPr="00462FEE">
        <w:rPr>
          <w:sz w:val="24"/>
          <w:szCs w:val="24"/>
        </w:rPr>
        <w:t xml:space="preserve">de 2010 </w:t>
      </w:r>
      <w:r w:rsidR="00CE40CA" w:rsidRPr="00462FEE">
        <w:rPr>
          <w:sz w:val="24"/>
          <w:szCs w:val="24"/>
        </w:rPr>
        <w:t xml:space="preserve">Gaviria Toro </w:t>
      </w:r>
      <w:r w:rsidR="00DA7FF9" w:rsidRPr="00462FEE">
        <w:rPr>
          <w:sz w:val="24"/>
          <w:szCs w:val="24"/>
        </w:rPr>
        <w:t>se vinculó</w:t>
      </w:r>
      <w:r w:rsidR="00DE69E3" w:rsidRPr="00462FEE">
        <w:rPr>
          <w:sz w:val="24"/>
          <w:szCs w:val="24"/>
        </w:rPr>
        <w:t>, mediante contrato de prestación de servicios,</w:t>
      </w:r>
      <w:r w:rsidR="00DA7FF9" w:rsidRPr="00462FEE">
        <w:rPr>
          <w:sz w:val="24"/>
          <w:szCs w:val="24"/>
        </w:rPr>
        <w:t xml:space="preserve"> </w:t>
      </w:r>
      <w:r w:rsidR="008A79A2" w:rsidRPr="00462FEE">
        <w:rPr>
          <w:sz w:val="24"/>
          <w:szCs w:val="24"/>
        </w:rPr>
        <w:t xml:space="preserve">directamente </w:t>
      </w:r>
      <w:r w:rsidR="00B35324" w:rsidRPr="00462FEE">
        <w:rPr>
          <w:sz w:val="24"/>
          <w:szCs w:val="24"/>
        </w:rPr>
        <w:t>a</w:t>
      </w:r>
      <w:r w:rsidR="003E7A08" w:rsidRPr="00462FEE">
        <w:rPr>
          <w:sz w:val="24"/>
          <w:szCs w:val="24"/>
        </w:rPr>
        <w:t>l</w:t>
      </w:r>
      <w:r w:rsidR="00B35324" w:rsidRPr="00462FEE">
        <w:rPr>
          <w:sz w:val="24"/>
          <w:szCs w:val="24"/>
        </w:rPr>
        <w:t xml:space="preserve"> aludid</w:t>
      </w:r>
      <w:r w:rsidR="003E7A08" w:rsidRPr="00462FEE">
        <w:rPr>
          <w:sz w:val="24"/>
          <w:szCs w:val="24"/>
        </w:rPr>
        <w:t>o</w:t>
      </w:r>
      <w:r w:rsidR="00B35324" w:rsidRPr="00462FEE">
        <w:rPr>
          <w:sz w:val="24"/>
          <w:szCs w:val="24"/>
        </w:rPr>
        <w:t xml:space="preserve"> </w:t>
      </w:r>
      <w:r w:rsidR="003E7A08" w:rsidRPr="00462FEE">
        <w:rPr>
          <w:sz w:val="24"/>
          <w:szCs w:val="24"/>
        </w:rPr>
        <w:t>ente de salud</w:t>
      </w:r>
      <w:r w:rsidR="003324F7" w:rsidRPr="00462FEE">
        <w:rPr>
          <w:sz w:val="24"/>
          <w:szCs w:val="24"/>
        </w:rPr>
        <w:t>.</w:t>
      </w:r>
      <w:r w:rsidR="003E7A08" w:rsidRPr="00462FEE">
        <w:rPr>
          <w:sz w:val="24"/>
          <w:szCs w:val="24"/>
        </w:rPr>
        <w:t xml:space="preserve"> No obstante,</w:t>
      </w:r>
      <w:r w:rsidR="00AF7ADC" w:rsidRPr="00462FEE">
        <w:rPr>
          <w:sz w:val="24"/>
          <w:szCs w:val="24"/>
        </w:rPr>
        <w:t xml:space="preserve"> </w:t>
      </w:r>
      <w:r w:rsidR="003E7A08" w:rsidRPr="00462FEE">
        <w:rPr>
          <w:sz w:val="24"/>
          <w:szCs w:val="24"/>
        </w:rPr>
        <w:t>d</w:t>
      </w:r>
      <w:r w:rsidR="00C36368" w:rsidRPr="00462FEE">
        <w:rPr>
          <w:sz w:val="24"/>
          <w:szCs w:val="24"/>
        </w:rPr>
        <w:t xml:space="preserve">esde el </w:t>
      </w:r>
      <w:r w:rsidR="008C6469" w:rsidRPr="00462FEE">
        <w:rPr>
          <w:sz w:val="24"/>
          <w:szCs w:val="24"/>
        </w:rPr>
        <w:t xml:space="preserve">1º </w:t>
      </w:r>
      <w:r w:rsidR="00A4156D" w:rsidRPr="00462FEE">
        <w:rPr>
          <w:sz w:val="24"/>
          <w:szCs w:val="24"/>
        </w:rPr>
        <w:t xml:space="preserve">de </w:t>
      </w:r>
      <w:r w:rsidR="008C6469" w:rsidRPr="00462FEE">
        <w:rPr>
          <w:sz w:val="24"/>
          <w:szCs w:val="24"/>
        </w:rPr>
        <w:t xml:space="preserve">octubre </w:t>
      </w:r>
      <w:r w:rsidR="00A4156D" w:rsidRPr="00462FEE">
        <w:rPr>
          <w:sz w:val="24"/>
          <w:szCs w:val="24"/>
        </w:rPr>
        <w:t xml:space="preserve">de 2010 </w:t>
      </w:r>
      <w:r w:rsidR="00C36368" w:rsidRPr="00462FEE">
        <w:rPr>
          <w:sz w:val="24"/>
          <w:szCs w:val="24"/>
        </w:rPr>
        <w:t xml:space="preserve">hasta el 31 de diciembre de 2011 estuvo vinculada </w:t>
      </w:r>
      <w:r w:rsidR="00A4156D" w:rsidRPr="00462FEE">
        <w:rPr>
          <w:sz w:val="24"/>
          <w:szCs w:val="24"/>
        </w:rPr>
        <w:t xml:space="preserve">a </w:t>
      </w:r>
      <w:r w:rsidR="003642CF" w:rsidRPr="00462FEE">
        <w:rPr>
          <w:sz w:val="24"/>
          <w:szCs w:val="24"/>
        </w:rPr>
        <w:t>una</w:t>
      </w:r>
      <w:r w:rsidR="00A4156D" w:rsidRPr="00462FEE">
        <w:rPr>
          <w:sz w:val="24"/>
          <w:szCs w:val="24"/>
        </w:rPr>
        <w:t xml:space="preserve"> cooperativa de </w:t>
      </w:r>
      <w:r w:rsidR="008C6469" w:rsidRPr="00462FEE">
        <w:rPr>
          <w:sz w:val="24"/>
          <w:szCs w:val="24"/>
        </w:rPr>
        <w:t>trabajo asociado</w:t>
      </w:r>
      <w:r w:rsidR="003642CF" w:rsidRPr="00462FEE">
        <w:rPr>
          <w:sz w:val="24"/>
          <w:szCs w:val="24"/>
        </w:rPr>
        <w:t xml:space="preserve"> denominada </w:t>
      </w:r>
      <w:proofErr w:type="spellStart"/>
      <w:r w:rsidR="003642CF" w:rsidRPr="00462FEE">
        <w:rPr>
          <w:sz w:val="24"/>
          <w:szCs w:val="24"/>
        </w:rPr>
        <w:t>Fenix</w:t>
      </w:r>
      <w:proofErr w:type="spellEnd"/>
      <w:r w:rsidR="003642CF" w:rsidRPr="00462FEE">
        <w:rPr>
          <w:sz w:val="24"/>
          <w:szCs w:val="24"/>
        </w:rPr>
        <w:t xml:space="preserve"> Salud</w:t>
      </w:r>
      <w:r w:rsidR="00CE40CA" w:rsidRPr="00462FEE">
        <w:rPr>
          <w:sz w:val="24"/>
          <w:szCs w:val="24"/>
        </w:rPr>
        <w:t>.</w:t>
      </w:r>
      <w:r w:rsidR="00AF7ADC" w:rsidRPr="00462FEE">
        <w:rPr>
          <w:sz w:val="24"/>
          <w:szCs w:val="24"/>
        </w:rPr>
        <w:t xml:space="preserve"> </w:t>
      </w:r>
      <w:r w:rsidR="00CE40CA" w:rsidRPr="00462FEE">
        <w:rPr>
          <w:sz w:val="24"/>
          <w:szCs w:val="24"/>
        </w:rPr>
        <w:t>Ulteriormente</w:t>
      </w:r>
      <w:r w:rsidR="008A79A2" w:rsidRPr="00462FEE">
        <w:rPr>
          <w:sz w:val="24"/>
          <w:szCs w:val="24"/>
        </w:rPr>
        <w:t xml:space="preserve">, fue </w:t>
      </w:r>
      <w:r w:rsidR="00CD3D88" w:rsidRPr="00462FEE">
        <w:rPr>
          <w:sz w:val="24"/>
          <w:szCs w:val="24"/>
        </w:rPr>
        <w:t>traslada</w:t>
      </w:r>
      <w:r w:rsidR="008A79A2" w:rsidRPr="00462FEE">
        <w:rPr>
          <w:sz w:val="24"/>
          <w:szCs w:val="24"/>
        </w:rPr>
        <w:t xml:space="preserve"> a</w:t>
      </w:r>
      <w:r w:rsidR="00FD3029" w:rsidRPr="00462FEE">
        <w:rPr>
          <w:sz w:val="24"/>
          <w:szCs w:val="24"/>
        </w:rPr>
        <w:t xml:space="preserve"> la cooperativa</w:t>
      </w:r>
      <w:r w:rsidR="008A79A2" w:rsidRPr="00462FEE">
        <w:rPr>
          <w:sz w:val="24"/>
          <w:szCs w:val="24"/>
        </w:rPr>
        <w:t xml:space="preserve"> </w:t>
      </w:r>
      <w:proofErr w:type="spellStart"/>
      <w:r w:rsidR="00CD3D88" w:rsidRPr="00462FEE">
        <w:rPr>
          <w:sz w:val="24"/>
          <w:szCs w:val="24"/>
        </w:rPr>
        <w:t>Endosalud</w:t>
      </w:r>
      <w:proofErr w:type="spellEnd"/>
      <w:r w:rsidR="00CD3D88" w:rsidRPr="00462FEE">
        <w:rPr>
          <w:sz w:val="24"/>
          <w:szCs w:val="24"/>
        </w:rPr>
        <w:t xml:space="preserve"> de Occidente S.A</w:t>
      </w:r>
      <w:r w:rsidR="00D23875" w:rsidRPr="00462FEE">
        <w:rPr>
          <w:sz w:val="24"/>
          <w:szCs w:val="24"/>
        </w:rPr>
        <w:t>.</w:t>
      </w:r>
      <w:r w:rsidR="003F63DB" w:rsidRPr="00462FEE">
        <w:rPr>
          <w:sz w:val="24"/>
          <w:szCs w:val="24"/>
        </w:rPr>
        <w:t>,</w:t>
      </w:r>
      <w:r w:rsidR="00B452A8" w:rsidRPr="00462FEE">
        <w:rPr>
          <w:sz w:val="24"/>
          <w:szCs w:val="24"/>
        </w:rPr>
        <w:t xml:space="preserve"> afiliación que inició el 1º de enero de </w:t>
      </w:r>
      <w:r w:rsidR="003F63DB" w:rsidRPr="00462FEE">
        <w:rPr>
          <w:sz w:val="24"/>
          <w:szCs w:val="24"/>
        </w:rPr>
        <w:t>2012 y feneció el 31 de ese mismo mes y año</w:t>
      </w:r>
      <w:r w:rsidR="001826BF" w:rsidRPr="00462FEE">
        <w:rPr>
          <w:rStyle w:val="Refdenotaalpie"/>
          <w:sz w:val="24"/>
          <w:szCs w:val="24"/>
        </w:rPr>
        <w:footnoteReference w:id="6"/>
      </w:r>
      <w:r w:rsidR="00D23875" w:rsidRPr="00462FEE">
        <w:rPr>
          <w:sz w:val="24"/>
          <w:szCs w:val="24"/>
        </w:rPr>
        <w:t>.</w:t>
      </w:r>
    </w:p>
    <w:p w14:paraId="4A84D0DC" w14:textId="77777777" w:rsidR="006E7A27" w:rsidRPr="00462FEE" w:rsidRDefault="006E7A27" w:rsidP="00985D3D">
      <w:pPr>
        <w:tabs>
          <w:tab w:val="left" w:pos="2070"/>
        </w:tabs>
        <w:spacing w:line="360" w:lineRule="auto"/>
        <w:rPr>
          <w:sz w:val="24"/>
          <w:szCs w:val="24"/>
        </w:rPr>
      </w:pPr>
    </w:p>
    <w:p w14:paraId="08BA7B5C" w14:textId="6898F188" w:rsidR="006E7A27" w:rsidRPr="00D93EEF" w:rsidRDefault="006E7A27" w:rsidP="00EB0F1C">
      <w:pPr>
        <w:tabs>
          <w:tab w:val="left" w:pos="2070"/>
        </w:tabs>
        <w:spacing w:line="360" w:lineRule="auto"/>
      </w:pPr>
      <w:r w:rsidRPr="00462FEE">
        <w:rPr>
          <w:sz w:val="24"/>
          <w:szCs w:val="24"/>
        </w:rPr>
        <w:t>2.</w:t>
      </w:r>
      <w:r w:rsidR="007C7F23" w:rsidRPr="00462FEE">
        <w:rPr>
          <w:sz w:val="24"/>
          <w:szCs w:val="24"/>
        </w:rPr>
        <w:t>3</w:t>
      </w:r>
      <w:r w:rsidRPr="00462FEE">
        <w:rPr>
          <w:sz w:val="24"/>
          <w:szCs w:val="24"/>
        </w:rPr>
        <w:t xml:space="preserve">.- </w:t>
      </w:r>
      <w:r w:rsidR="008233EF" w:rsidRPr="00462FEE">
        <w:rPr>
          <w:sz w:val="24"/>
          <w:szCs w:val="24"/>
        </w:rPr>
        <w:t>El</w:t>
      </w:r>
      <w:r w:rsidR="001826BF" w:rsidRPr="00462FEE">
        <w:rPr>
          <w:sz w:val="24"/>
          <w:szCs w:val="24"/>
        </w:rPr>
        <w:t xml:space="preserve"> </w:t>
      </w:r>
      <w:r w:rsidR="00DC01AC" w:rsidRPr="00462FEE">
        <w:rPr>
          <w:sz w:val="24"/>
          <w:szCs w:val="24"/>
        </w:rPr>
        <w:t>26</w:t>
      </w:r>
      <w:r w:rsidR="001826BF" w:rsidRPr="00462FEE">
        <w:rPr>
          <w:sz w:val="24"/>
          <w:szCs w:val="24"/>
        </w:rPr>
        <w:t xml:space="preserve"> de </w:t>
      </w:r>
      <w:r w:rsidR="00DC01AC" w:rsidRPr="00462FEE">
        <w:rPr>
          <w:sz w:val="24"/>
          <w:szCs w:val="24"/>
        </w:rPr>
        <w:t xml:space="preserve">mayo </w:t>
      </w:r>
      <w:r w:rsidR="001826BF" w:rsidRPr="00462FEE">
        <w:rPr>
          <w:sz w:val="24"/>
          <w:szCs w:val="24"/>
        </w:rPr>
        <w:t xml:space="preserve">de 2014 le solicitó a la E.S.E. Hospital Santa Margarita </w:t>
      </w:r>
      <w:r w:rsidR="007F70D3" w:rsidRPr="00462FEE">
        <w:rPr>
          <w:sz w:val="24"/>
          <w:szCs w:val="24"/>
        </w:rPr>
        <w:t xml:space="preserve">que reconociera la relación laboral </w:t>
      </w:r>
      <w:r w:rsidR="00DC01AC" w:rsidRPr="00462FEE">
        <w:rPr>
          <w:sz w:val="24"/>
          <w:szCs w:val="24"/>
        </w:rPr>
        <w:t>existente entre ella y esa entidad y</w:t>
      </w:r>
      <w:r w:rsidR="00BB145C" w:rsidRPr="00462FEE">
        <w:rPr>
          <w:sz w:val="24"/>
          <w:szCs w:val="24"/>
        </w:rPr>
        <w:t xml:space="preserve">, en consecuencia, le </w:t>
      </w:r>
      <w:r w:rsidR="00456DC5" w:rsidRPr="00462FEE">
        <w:rPr>
          <w:sz w:val="24"/>
          <w:szCs w:val="24"/>
        </w:rPr>
        <w:t>pagara</w:t>
      </w:r>
      <w:r w:rsidR="00C15458" w:rsidRPr="00462FEE">
        <w:rPr>
          <w:sz w:val="24"/>
          <w:szCs w:val="24"/>
        </w:rPr>
        <w:t xml:space="preserve"> lo emolumentos dejados de percibir</w:t>
      </w:r>
      <w:r w:rsidR="00DC01AC" w:rsidRPr="00462FEE">
        <w:rPr>
          <w:sz w:val="24"/>
          <w:szCs w:val="24"/>
        </w:rPr>
        <w:t xml:space="preserve">. </w:t>
      </w:r>
      <w:r w:rsidR="00A34A0F" w:rsidRPr="00462FEE">
        <w:rPr>
          <w:sz w:val="24"/>
          <w:szCs w:val="24"/>
        </w:rPr>
        <w:t>No obstante, e</w:t>
      </w:r>
      <w:r w:rsidR="005C043F" w:rsidRPr="00462FEE">
        <w:rPr>
          <w:sz w:val="24"/>
          <w:szCs w:val="24"/>
        </w:rPr>
        <w:t>l Hospital requerido</w:t>
      </w:r>
      <w:r w:rsidR="009E6138" w:rsidRPr="00462FEE">
        <w:rPr>
          <w:sz w:val="24"/>
          <w:szCs w:val="24"/>
        </w:rPr>
        <w:t xml:space="preserve">, por oficio </w:t>
      </w:r>
      <w:r w:rsidR="00EB0F1C" w:rsidRPr="00462FEE">
        <w:rPr>
          <w:sz w:val="24"/>
          <w:szCs w:val="24"/>
        </w:rPr>
        <w:t>del 13</w:t>
      </w:r>
      <w:r w:rsidR="00FD509D" w:rsidRPr="00462FEE">
        <w:rPr>
          <w:sz w:val="24"/>
          <w:szCs w:val="24"/>
        </w:rPr>
        <w:t xml:space="preserve"> junio de 2014,</w:t>
      </w:r>
      <w:r w:rsidR="005C043F" w:rsidRPr="00462FEE">
        <w:rPr>
          <w:sz w:val="24"/>
          <w:szCs w:val="24"/>
        </w:rPr>
        <w:t xml:space="preserve"> </w:t>
      </w:r>
      <w:r w:rsidR="00A34A0F" w:rsidRPr="00462FEE">
        <w:rPr>
          <w:sz w:val="24"/>
          <w:szCs w:val="24"/>
        </w:rPr>
        <w:t xml:space="preserve">negó </w:t>
      </w:r>
      <w:r w:rsidR="005C043F" w:rsidRPr="00462FEE">
        <w:rPr>
          <w:sz w:val="24"/>
          <w:szCs w:val="24"/>
        </w:rPr>
        <w:t>la referida petición</w:t>
      </w:r>
      <w:r w:rsidR="00FF038A" w:rsidRPr="00462FEE">
        <w:rPr>
          <w:rStyle w:val="Refdenotaalpie"/>
          <w:sz w:val="24"/>
          <w:szCs w:val="24"/>
        </w:rPr>
        <w:footnoteReference w:id="7"/>
      </w:r>
      <w:r w:rsidR="00C15458" w:rsidRPr="00462FEE">
        <w:rPr>
          <w:sz w:val="24"/>
          <w:szCs w:val="24"/>
        </w:rPr>
        <w:t>.</w:t>
      </w:r>
    </w:p>
    <w:p w14:paraId="7EBD9FAD" w14:textId="77777777" w:rsidR="008439AD" w:rsidRDefault="008439AD" w:rsidP="00985D3D">
      <w:pPr>
        <w:tabs>
          <w:tab w:val="left" w:pos="2070"/>
        </w:tabs>
        <w:spacing w:line="360" w:lineRule="auto"/>
        <w:rPr>
          <w:rStyle w:val="Ninguno"/>
          <w:rFonts w:cs="Arial"/>
          <w:sz w:val="24"/>
          <w:szCs w:val="24"/>
        </w:rPr>
      </w:pPr>
    </w:p>
    <w:p w14:paraId="403E0C0A" w14:textId="0E3CEFCB" w:rsidR="00A34A0F" w:rsidRDefault="008439AD" w:rsidP="00A955BE">
      <w:pPr>
        <w:tabs>
          <w:tab w:val="left" w:pos="2070"/>
        </w:tabs>
        <w:spacing w:line="360" w:lineRule="auto"/>
        <w:rPr>
          <w:rStyle w:val="Ninguno"/>
          <w:rFonts w:cs="Arial"/>
          <w:sz w:val="24"/>
          <w:szCs w:val="24"/>
        </w:rPr>
      </w:pPr>
      <w:r>
        <w:rPr>
          <w:rStyle w:val="Ninguno"/>
          <w:rFonts w:cs="Arial"/>
          <w:sz w:val="24"/>
          <w:szCs w:val="24"/>
        </w:rPr>
        <w:t>2.</w:t>
      </w:r>
      <w:r w:rsidR="00A34A0F">
        <w:rPr>
          <w:rStyle w:val="Ninguno"/>
          <w:rFonts w:cs="Arial"/>
          <w:sz w:val="24"/>
          <w:szCs w:val="24"/>
        </w:rPr>
        <w:t>4</w:t>
      </w:r>
      <w:r>
        <w:rPr>
          <w:rStyle w:val="Ninguno"/>
          <w:rFonts w:cs="Arial"/>
          <w:sz w:val="24"/>
          <w:szCs w:val="24"/>
        </w:rPr>
        <w:t xml:space="preserve">.- </w:t>
      </w:r>
      <w:r w:rsidR="00716132">
        <w:rPr>
          <w:rStyle w:val="Ninguno"/>
          <w:rFonts w:cs="Arial"/>
          <w:sz w:val="24"/>
          <w:szCs w:val="24"/>
        </w:rPr>
        <w:t>Teniendo en cuenta</w:t>
      </w:r>
      <w:r w:rsidR="00866FFF">
        <w:rPr>
          <w:rStyle w:val="Ninguno"/>
          <w:rFonts w:cs="Arial"/>
          <w:sz w:val="24"/>
          <w:szCs w:val="24"/>
        </w:rPr>
        <w:t xml:space="preserve"> los hechos descritos, </w:t>
      </w:r>
      <w:r w:rsidR="008435C3">
        <w:rPr>
          <w:rStyle w:val="Ninguno"/>
          <w:rFonts w:cs="Arial"/>
          <w:sz w:val="24"/>
          <w:szCs w:val="24"/>
        </w:rPr>
        <w:t xml:space="preserve">Francia Gaviria Toro instauró medio de control de nulidad y restablecimiento del derecho </w:t>
      </w:r>
      <w:r w:rsidR="000D2CAF">
        <w:rPr>
          <w:rStyle w:val="Ninguno"/>
          <w:rFonts w:cs="Arial"/>
          <w:sz w:val="24"/>
          <w:szCs w:val="24"/>
        </w:rPr>
        <w:t xml:space="preserve">en contra de la </w:t>
      </w:r>
      <w:r w:rsidR="000D2CAF" w:rsidRPr="00747750">
        <w:rPr>
          <w:sz w:val="24"/>
          <w:szCs w:val="24"/>
        </w:rPr>
        <w:t>E.S.E. Hospital Santa Margarita</w:t>
      </w:r>
      <w:r w:rsidR="000D2CAF">
        <w:rPr>
          <w:rStyle w:val="Ninguno"/>
          <w:rFonts w:cs="Arial"/>
          <w:sz w:val="24"/>
          <w:szCs w:val="24"/>
        </w:rPr>
        <w:t xml:space="preserve"> </w:t>
      </w:r>
      <w:r w:rsidR="008435C3">
        <w:rPr>
          <w:rStyle w:val="Ninguno"/>
          <w:rFonts w:cs="Arial"/>
          <w:sz w:val="24"/>
          <w:szCs w:val="24"/>
        </w:rPr>
        <w:t xml:space="preserve">con el fin de que se declarara </w:t>
      </w:r>
      <w:r w:rsidR="009C6BDB">
        <w:rPr>
          <w:rStyle w:val="Ninguno"/>
          <w:rFonts w:cs="Arial"/>
          <w:sz w:val="24"/>
          <w:szCs w:val="24"/>
        </w:rPr>
        <w:t>la existencia de una relación laboral y se ordenara el pago de las acreencias dejadas de percibir</w:t>
      </w:r>
      <w:r w:rsidR="000D2CAF">
        <w:rPr>
          <w:rStyle w:val="Ninguno"/>
          <w:rFonts w:cs="Arial"/>
          <w:sz w:val="24"/>
          <w:szCs w:val="24"/>
        </w:rPr>
        <w:t>.</w:t>
      </w:r>
      <w:r w:rsidR="00D63569">
        <w:rPr>
          <w:rStyle w:val="Ninguno"/>
          <w:rFonts w:cs="Arial"/>
          <w:sz w:val="24"/>
          <w:szCs w:val="24"/>
        </w:rPr>
        <w:t xml:space="preserve"> Este trámite le correspondió al Juzgado 17 Administrativo de Cali bajo el radicado No. 7</w:t>
      </w:r>
      <w:r w:rsidR="00D63569" w:rsidRPr="00CB6766">
        <w:rPr>
          <w:iCs/>
          <w:sz w:val="24"/>
          <w:szCs w:val="24"/>
        </w:rPr>
        <w:t>6001333301720150003900</w:t>
      </w:r>
      <w:r w:rsidR="00D63569">
        <w:rPr>
          <w:iCs/>
          <w:sz w:val="24"/>
          <w:szCs w:val="24"/>
        </w:rPr>
        <w:t>.</w:t>
      </w:r>
    </w:p>
    <w:p w14:paraId="6F1A22A8" w14:textId="58B0879B" w:rsidR="00F14B9A" w:rsidRDefault="00F14B9A" w:rsidP="00A955BE">
      <w:pPr>
        <w:tabs>
          <w:tab w:val="left" w:pos="2070"/>
        </w:tabs>
        <w:spacing w:line="360" w:lineRule="auto"/>
        <w:rPr>
          <w:rStyle w:val="Ninguno"/>
          <w:rFonts w:cs="Arial"/>
          <w:sz w:val="24"/>
          <w:szCs w:val="24"/>
        </w:rPr>
      </w:pPr>
    </w:p>
    <w:p w14:paraId="1090E071" w14:textId="4E76EEAF" w:rsidR="00391A7C" w:rsidRDefault="00F14B9A" w:rsidP="00A955BE">
      <w:pPr>
        <w:tabs>
          <w:tab w:val="left" w:pos="2070"/>
        </w:tabs>
        <w:spacing w:line="360" w:lineRule="auto"/>
        <w:rPr>
          <w:rStyle w:val="Ninguno"/>
          <w:rFonts w:cs="Arial"/>
          <w:sz w:val="24"/>
          <w:szCs w:val="24"/>
        </w:rPr>
      </w:pPr>
      <w:r>
        <w:rPr>
          <w:rStyle w:val="Ninguno"/>
          <w:rFonts w:cs="Arial"/>
          <w:sz w:val="24"/>
          <w:szCs w:val="24"/>
        </w:rPr>
        <w:t xml:space="preserve">2.5.- </w:t>
      </w:r>
      <w:r w:rsidR="00C076E6">
        <w:rPr>
          <w:rStyle w:val="Ninguno"/>
          <w:rFonts w:cs="Arial"/>
          <w:sz w:val="24"/>
          <w:szCs w:val="24"/>
        </w:rPr>
        <w:t xml:space="preserve">Por sentencia del </w:t>
      </w:r>
      <w:r w:rsidR="00D63569">
        <w:rPr>
          <w:rStyle w:val="Ninguno"/>
          <w:rFonts w:cs="Arial"/>
          <w:sz w:val="24"/>
          <w:szCs w:val="24"/>
        </w:rPr>
        <w:t>17 de mayo de 2017</w:t>
      </w:r>
      <w:r w:rsidR="00940EF2">
        <w:rPr>
          <w:rStyle w:val="Refdenotaalpie"/>
          <w:rFonts w:cs="Arial"/>
          <w:sz w:val="24"/>
          <w:szCs w:val="24"/>
          <w:lang w:val="es-ES_tradnl"/>
        </w:rPr>
        <w:footnoteReference w:id="8"/>
      </w:r>
      <w:r w:rsidR="00D63569">
        <w:rPr>
          <w:rStyle w:val="Ninguno"/>
          <w:rFonts w:cs="Arial"/>
          <w:sz w:val="24"/>
          <w:szCs w:val="24"/>
        </w:rPr>
        <w:t xml:space="preserve"> el </w:t>
      </w:r>
      <w:r w:rsidR="00D63569" w:rsidRPr="00CD0856">
        <w:rPr>
          <w:rStyle w:val="Ninguno"/>
          <w:rFonts w:cs="Arial"/>
          <w:i/>
          <w:iCs/>
          <w:sz w:val="24"/>
          <w:szCs w:val="24"/>
        </w:rPr>
        <w:t>a quo</w:t>
      </w:r>
      <w:r w:rsidR="00D63569">
        <w:rPr>
          <w:rStyle w:val="Ninguno"/>
          <w:rFonts w:cs="Arial"/>
          <w:sz w:val="24"/>
          <w:szCs w:val="24"/>
        </w:rPr>
        <w:t xml:space="preserve"> ordinario accedió a las pretensiones de la demanda</w:t>
      </w:r>
      <w:r w:rsidR="00CD0856">
        <w:rPr>
          <w:rStyle w:val="Ninguno"/>
          <w:rFonts w:cs="Arial"/>
          <w:sz w:val="24"/>
          <w:szCs w:val="24"/>
        </w:rPr>
        <w:t xml:space="preserve"> </w:t>
      </w:r>
      <w:r w:rsidR="00DA7545">
        <w:rPr>
          <w:rStyle w:val="Ninguno"/>
          <w:rFonts w:cs="Arial"/>
          <w:sz w:val="24"/>
          <w:szCs w:val="24"/>
        </w:rPr>
        <w:t xml:space="preserve">al </w:t>
      </w:r>
      <w:r w:rsidR="00CD0856">
        <w:rPr>
          <w:rStyle w:val="Ninguno"/>
          <w:rFonts w:cs="Arial"/>
          <w:sz w:val="24"/>
          <w:szCs w:val="24"/>
        </w:rPr>
        <w:t>encontrar probados los elementos de una relación de trabajo entre la demandante y la demandada</w:t>
      </w:r>
      <w:r w:rsidR="00D03D73">
        <w:rPr>
          <w:rStyle w:val="Ninguno"/>
          <w:rFonts w:cs="Arial"/>
          <w:sz w:val="24"/>
          <w:szCs w:val="24"/>
        </w:rPr>
        <w:t xml:space="preserve">, por </w:t>
      </w:r>
      <w:r w:rsidR="00DA7545">
        <w:rPr>
          <w:rStyle w:val="Ninguno"/>
          <w:rFonts w:cs="Arial"/>
          <w:sz w:val="24"/>
          <w:szCs w:val="24"/>
        </w:rPr>
        <w:t>ende</w:t>
      </w:r>
      <w:r w:rsidR="00D03D73">
        <w:rPr>
          <w:rStyle w:val="Ninguno"/>
          <w:rFonts w:cs="Arial"/>
          <w:sz w:val="24"/>
          <w:szCs w:val="24"/>
        </w:rPr>
        <w:t xml:space="preserve">, declaró la nulidad del oficio del 13 de junio de </w:t>
      </w:r>
      <w:r w:rsidR="008004E3">
        <w:rPr>
          <w:rStyle w:val="Ninguno"/>
          <w:rFonts w:cs="Arial"/>
          <w:sz w:val="24"/>
          <w:szCs w:val="24"/>
        </w:rPr>
        <w:t xml:space="preserve">2014 y ordenó pagar los emolumentos </w:t>
      </w:r>
      <w:r w:rsidR="00DA7545">
        <w:rPr>
          <w:rStyle w:val="Ninguno"/>
          <w:rFonts w:cs="Arial"/>
          <w:sz w:val="24"/>
          <w:szCs w:val="24"/>
        </w:rPr>
        <w:t>derivados</w:t>
      </w:r>
      <w:r w:rsidR="008004E3">
        <w:rPr>
          <w:rStyle w:val="Ninguno"/>
          <w:rFonts w:cs="Arial"/>
          <w:sz w:val="24"/>
          <w:szCs w:val="24"/>
        </w:rPr>
        <w:t xml:space="preserve"> </w:t>
      </w:r>
      <w:r w:rsidR="00DA7545">
        <w:rPr>
          <w:rStyle w:val="Ninguno"/>
          <w:rFonts w:cs="Arial"/>
          <w:sz w:val="24"/>
          <w:szCs w:val="24"/>
        </w:rPr>
        <w:t xml:space="preserve">de </w:t>
      </w:r>
      <w:r w:rsidR="008004E3">
        <w:rPr>
          <w:rStyle w:val="Ninguno"/>
          <w:rFonts w:cs="Arial"/>
          <w:sz w:val="24"/>
          <w:szCs w:val="24"/>
        </w:rPr>
        <w:t>es</w:t>
      </w:r>
      <w:r w:rsidR="00DA7545">
        <w:rPr>
          <w:rStyle w:val="Ninguno"/>
          <w:rFonts w:cs="Arial"/>
          <w:sz w:val="24"/>
          <w:szCs w:val="24"/>
        </w:rPr>
        <w:t>e tipo de</w:t>
      </w:r>
      <w:r w:rsidR="008004E3">
        <w:rPr>
          <w:rStyle w:val="Ninguno"/>
          <w:rFonts w:cs="Arial"/>
          <w:sz w:val="24"/>
          <w:szCs w:val="24"/>
        </w:rPr>
        <w:t xml:space="preserve"> </w:t>
      </w:r>
      <w:r w:rsidR="00391A7C">
        <w:rPr>
          <w:rStyle w:val="Ninguno"/>
          <w:rFonts w:cs="Arial"/>
          <w:sz w:val="24"/>
          <w:szCs w:val="24"/>
        </w:rPr>
        <w:t>vinculación.</w:t>
      </w:r>
    </w:p>
    <w:p w14:paraId="71AF0B1C" w14:textId="77777777" w:rsidR="00391A7C" w:rsidRDefault="00391A7C" w:rsidP="00A955BE">
      <w:pPr>
        <w:tabs>
          <w:tab w:val="left" w:pos="2070"/>
        </w:tabs>
        <w:spacing w:line="360" w:lineRule="auto"/>
        <w:rPr>
          <w:rStyle w:val="Ninguno"/>
          <w:rFonts w:cs="Arial"/>
          <w:sz w:val="24"/>
          <w:szCs w:val="24"/>
        </w:rPr>
      </w:pPr>
    </w:p>
    <w:p w14:paraId="074F39D3" w14:textId="6FAE1686" w:rsidR="00F14B9A" w:rsidRDefault="00391A7C" w:rsidP="00BC5A79">
      <w:pPr>
        <w:tabs>
          <w:tab w:val="left" w:pos="2070"/>
        </w:tabs>
        <w:spacing w:line="360" w:lineRule="auto"/>
        <w:rPr>
          <w:sz w:val="24"/>
          <w:szCs w:val="24"/>
        </w:rPr>
      </w:pPr>
      <w:r>
        <w:rPr>
          <w:rStyle w:val="Ninguno"/>
          <w:rFonts w:cs="Arial"/>
          <w:sz w:val="24"/>
          <w:szCs w:val="24"/>
        </w:rPr>
        <w:t xml:space="preserve">2.6.- Inconforme, la </w:t>
      </w:r>
      <w:r w:rsidRPr="00747750">
        <w:rPr>
          <w:sz w:val="24"/>
          <w:szCs w:val="24"/>
        </w:rPr>
        <w:t>E.S.E. Hospital Santa Margarita</w:t>
      </w:r>
      <w:r>
        <w:rPr>
          <w:sz w:val="24"/>
          <w:szCs w:val="24"/>
        </w:rPr>
        <w:t xml:space="preserve"> formuló recurso de apelación</w:t>
      </w:r>
      <w:r w:rsidR="00346BF3">
        <w:rPr>
          <w:rStyle w:val="Refdenotaalpie"/>
          <w:sz w:val="24"/>
          <w:szCs w:val="24"/>
        </w:rPr>
        <w:footnoteReference w:id="9"/>
      </w:r>
      <w:r>
        <w:rPr>
          <w:sz w:val="24"/>
          <w:szCs w:val="24"/>
        </w:rPr>
        <w:t xml:space="preserve"> en contra de la sentencia en comento, </w:t>
      </w:r>
      <w:r w:rsidR="00DA7545">
        <w:rPr>
          <w:sz w:val="24"/>
          <w:szCs w:val="24"/>
        </w:rPr>
        <w:t>mediante el cual alegó</w:t>
      </w:r>
      <w:r>
        <w:rPr>
          <w:sz w:val="24"/>
          <w:szCs w:val="24"/>
        </w:rPr>
        <w:t xml:space="preserve"> que </w:t>
      </w:r>
      <w:r w:rsidR="00765C09">
        <w:rPr>
          <w:sz w:val="24"/>
          <w:szCs w:val="24"/>
        </w:rPr>
        <w:t xml:space="preserve">(i) </w:t>
      </w:r>
      <w:r>
        <w:rPr>
          <w:sz w:val="24"/>
          <w:szCs w:val="24"/>
        </w:rPr>
        <w:t xml:space="preserve">no existió un </w:t>
      </w:r>
      <w:r w:rsidR="00DC7D50">
        <w:rPr>
          <w:sz w:val="24"/>
          <w:szCs w:val="24"/>
        </w:rPr>
        <w:t xml:space="preserve">nexo </w:t>
      </w:r>
      <w:r w:rsidR="00D77256">
        <w:rPr>
          <w:sz w:val="24"/>
          <w:szCs w:val="24"/>
        </w:rPr>
        <w:lastRenderedPageBreak/>
        <w:t>laboral entre</w:t>
      </w:r>
      <w:r w:rsidR="00DC7D50">
        <w:rPr>
          <w:sz w:val="24"/>
          <w:szCs w:val="24"/>
        </w:rPr>
        <w:t xml:space="preserve"> Gaviria Toro y esa </w:t>
      </w:r>
      <w:r w:rsidR="001F1B73">
        <w:rPr>
          <w:sz w:val="24"/>
          <w:szCs w:val="24"/>
        </w:rPr>
        <w:t>entidad</w:t>
      </w:r>
      <w:r w:rsidR="00765C09">
        <w:rPr>
          <w:sz w:val="24"/>
          <w:szCs w:val="24"/>
        </w:rPr>
        <w:t>;</w:t>
      </w:r>
      <w:r w:rsidR="001F1B73">
        <w:rPr>
          <w:sz w:val="24"/>
          <w:szCs w:val="24"/>
        </w:rPr>
        <w:t xml:space="preserve"> </w:t>
      </w:r>
      <w:r w:rsidR="00765C09">
        <w:rPr>
          <w:sz w:val="24"/>
          <w:szCs w:val="24"/>
        </w:rPr>
        <w:t>(</w:t>
      </w:r>
      <w:proofErr w:type="spellStart"/>
      <w:r w:rsidR="00765C09">
        <w:rPr>
          <w:sz w:val="24"/>
          <w:szCs w:val="24"/>
        </w:rPr>
        <w:t>ii</w:t>
      </w:r>
      <w:proofErr w:type="spellEnd"/>
      <w:r w:rsidR="00765C09">
        <w:rPr>
          <w:sz w:val="24"/>
          <w:szCs w:val="24"/>
        </w:rPr>
        <w:t xml:space="preserve">) </w:t>
      </w:r>
      <w:r w:rsidR="00AD6DD0">
        <w:rPr>
          <w:sz w:val="24"/>
          <w:szCs w:val="24"/>
        </w:rPr>
        <w:t xml:space="preserve">no </w:t>
      </w:r>
      <w:r w:rsidR="00292C2E">
        <w:rPr>
          <w:sz w:val="24"/>
          <w:szCs w:val="24"/>
        </w:rPr>
        <w:t>había</w:t>
      </w:r>
      <w:r w:rsidR="00AD6DD0">
        <w:rPr>
          <w:sz w:val="24"/>
          <w:szCs w:val="24"/>
        </w:rPr>
        <w:t xml:space="preserve"> </w:t>
      </w:r>
      <w:r w:rsidR="001F1B73">
        <w:rPr>
          <w:sz w:val="24"/>
          <w:szCs w:val="24"/>
        </w:rPr>
        <w:t>legitimación</w:t>
      </w:r>
      <w:r w:rsidR="00765C09">
        <w:rPr>
          <w:sz w:val="24"/>
          <w:szCs w:val="24"/>
        </w:rPr>
        <w:t xml:space="preserve"> por pasiva;</w:t>
      </w:r>
      <w:r w:rsidR="001F1B73">
        <w:rPr>
          <w:sz w:val="24"/>
          <w:szCs w:val="24"/>
        </w:rPr>
        <w:t xml:space="preserve"> </w:t>
      </w:r>
      <w:r w:rsidR="00765C09">
        <w:rPr>
          <w:sz w:val="24"/>
          <w:szCs w:val="24"/>
        </w:rPr>
        <w:t>(</w:t>
      </w:r>
      <w:proofErr w:type="spellStart"/>
      <w:r w:rsidR="00765C09">
        <w:rPr>
          <w:sz w:val="24"/>
          <w:szCs w:val="24"/>
        </w:rPr>
        <w:t>iii</w:t>
      </w:r>
      <w:proofErr w:type="spellEnd"/>
      <w:r w:rsidR="00765C09">
        <w:rPr>
          <w:sz w:val="24"/>
          <w:szCs w:val="24"/>
        </w:rPr>
        <w:t xml:space="preserve">) </w:t>
      </w:r>
      <w:r w:rsidR="001F1B73">
        <w:rPr>
          <w:sz w:val="24"/>
          <w:szCs w:val="24"/>
        </w:rPr>
        <w:t>se presentó una indebida acumulación de pretensiones</w:t>
      </w:r>
      <w:r w:rsidR="00765C09">
        <w:rPr>
          <w:sz w:val="24"/>
          <w:szCs w:val="24"/>
        </w:rPr>
        <w:t>; (</w:t>
      </w:r>
      <w:proofErr w:type="spellStart"/>
      <w:r w:rsidR="00765C09">
        <w:rPr>
          <w:sz w:val="24"/>
          <w:szCs w:val="24"/>
        </w:rPr>
        <w:t>iv</w:t>
      </w:r>
      <w:proofErr w:type="spellEnd"/>
      <w:r w:rsidR="00765C09">
        <w:rPr>
          <w:sz w:val="24"/>
          <w:szCs w:val="24"/>
        </w:rPr>
        <w:t>)</w:t>
      </w:r>
      <w:r w:rsidR="001F1B73">
        <w:rPr>
          <w:sz w:val="24"/>
          <w:szCs w:val="24"/>
        </w:rPr>
        <w:t xml:space="preserve"> </w:t>
      </w:r>
      <w:r w:rsidR="0060265F">
        <w:rPr>
          <w:sz w:val="24"/>
          <w:szCs w:val="24"/>
        </w:rPr>
        <w:t xml:space="preserve">operó la prescripción; </w:t>
      </w:r>
      <w:r w:rsidR="00724CFE">
        <w:rPr>
          <w:sz w:val="24"/>
          <w:szCs w:val="24"/>
        </w:rPr>
        <w:t xml:space="preserve">y </w:t>
      </w:r>
      <w:r w:rsidR="0060265F">
        <w:rPr>
          <w:sz w:val="24"/>
          <w:szCs w:val="24"/>
        </w:rPr>
        <w:t xml:space="preserve">(v) no </w:t>
      </w:r>
      <w:r w:rsidR="00A3547C">
        <w:rPr>
          <w:sz w:val="24"/>
          <w:szCs w:val="24"/>
        </w:rPr>
        <w:t xml:space="preserve">se acreditaron </w:t>
      </w:r>
      <w:r w:rsidR="0060265F">
        <w:rPr>
          <w:sz w:val="24"/>
          <w:szCs w:val="24"/>
        </w:rPr>
        <w:t>los elementos de la relación laboral</w:t>
      </w:r>
      <w:r w:rsidR="00A3547C">
        <w:rPr>
          <w:sz w:val="24"/>
          <w:szCs w:val="24"/>
        </w:rPr>
        <w:t xml:space="preserve">, </w:t>
      </w:r>
      <w:r w:rsidR="00D77256">
        <w:rPr>
          <w:sz w:val="24"/>
          <w:szCs w:val="24"/>
        </w:rPr>
        <w:t xml:space="preserve">ni </w:t>
      </w:r>
      <w:r w:rsidR="00A3547C">
        <w:rPr>
          <w:sz w:val="24"/>
          <w:szCs w:val="24"/>
        </w:rPr>
        <w:t>el ocultamiento de</w:t>
      </w:r>
      <w:r w:rsidR="001E18C2">
        <w:rPr>
          <w:sz w:val="24"/>
          <w:szCs w:val="24"/>
        </w:rPr>
        <w:t>l contrato realidad</w:t>
      </w:r>
      <w:r w:rsidR="00254A0A">
        <w:rPr>
          <w:sz w:val="24"/>
          <w:szCs w:val="24"/>
        </w:rPr>
        <w:t>. Precisó que se valor</w:t>
      </w:r>
      <w:r w:rsidR="00BC5A79">
        <w:rPr>
          <w:sz w:val="24"/>
          <w:szCs w:val="24"/>
        </w:rPr>
        <w:t>ó</w:t>
      </w:r>
      <w:r w:rsidR="00254A0A">
        <w:rPr>
          <w:sz w:val="24"/>
          <w:szCs w:val="24"/>
        </w:rPr>
        <w:t xml:space="preserve"> </w:t>
      </w:r>
      <w:r w:rsidR="00BC5A79">
        <w:rPr>
          <w:sz w:val="24"/>
          <w:szCs w:val="24"/>
        </w:rPr>
        <w:t xml:space="preserve">indebidamente </w:t>
      </w:r>
      <w:r w:rsidR="00254A0A">
        <w:rPr>
          <w:sz w:val="24"/>
          <w:szCs w:val="24"/>
        </w:rPr>
        <w:t>la prueba</w:t>
      </w:r>
      <w:r w:rsidR="00BC5A79">
        <w:rPr>
          <w:sz w:val="24"/>
          <w:szCs w:val="24"/>
        </w:rPr>
        <w:t xml:space="preserve"> testimonial.</w:t>
      </w:r>
    </w:p>
    <w:p w14:paraId="38B31437" w14:textId="491B4E55" w:rsidR="00BC5A79" w:rsidRDefault="00BC5A79" w:rsidP="00BC5A79">
      <w:pPr>
        <w:tabs>
          <w:tab w:val="left" w:pos="2070"/>
        </w:tabs>
        <w:spacing w:line="360" w:lineRule="auto"/>
        <w:rPr>
          <w:sz w:val="24"/>
          <w:szCs w:val="24"/>
        </w:rPr>
      </w:pPr>
    </w:p>
    <w:p w14:paraId="3798F03E" w14:textId="46CA14DA" w:rsidR="00BC5A79" w:rsidRDefault="00BC5A79" w:rsidP="001B7569">
      <w:pPr>
        <w:tabs>
          <w:tab w:val="left" w:pos="2070"/>
        </w:tabs>
        <w:spacing w:line="360" w:lineRule="auto"/>
        <w:rPr>
          <w:sz w:val="24"/>
          <w:szCs w:val="24"/>
        </w:rPr>
      </w:pPr>
      <w:r>
        <w:rPr>
          <w:sz w:val="24"/>
          <w:szCs w:val="24"/>
        </w:rPr>
        <w:t xml:space="preserve">2.7.- </w:t>
      </w:r>
      <w:r w:rsidR="005E1A67">
        <w:rPr>
          <w:sz w:val="24"/>
          <w:szCs w:val="24"/>
        </w:rPr>
        <w:t>Por sentencia del 31 de enero de 2022</w:t>
      </w:r>
      <w:r w:rsidR="00431674">
        <w:rPr>
          <w:rStyle w:val="Refdenotaalpie"/>
          <w:sz w:val="24"/>
          <w:szCs w:val="24"/>
        </w:rPr>
        <w:footnoteReference w:id="10"/>
      </w:r>
      <w:r w:rsidR="005E1A67">
        <w:rPr>
          <w:sz w:val="24"/>
          <w:szCs w:val="24"/>
        </w:rPr>
        <w:t xml:space="preserve"> el Tribunal Administrativo del Valle del Cauca </w:t>
      </w:r>
      <w:r w:rsidR="00F225A1">
        <w:rPr>
          <w:sz w:val="24"/>
          <w:szCs w:val="24"/>
        </w:rPr>
        <w:t>revocó la dictada por el Juzgado 17 Administrativo de Cali, porque</w:t>
      </w:r>
      <w:r w:rsidR="00D77256">
        <w:rPr>
          <w:sz w:val="24"/>
          <w:szCs w:val="24"/>
        </w:rPr>
        <w:t>, en su criterio,</w:t>
      </w:r>
      <w:r w:rsidR="00732440">
        <w:rPr>
          <w:sz w:val="24"/>
          <w:szCs w:val="24"/>
        </w:rPr>
        <w:t xml:space="preserve"> no se aportó </w:t>
      </w:r>
      <w:r w:rsidR="00F30584">
        <w:rPr>
          <w:sz w:val="24"/>
          <w:szCs w:val="24"/>
        </w:rPr>
        <w:t>prueba documental que permit</w:t>
      </w:r>
      <w:r w:rsidR="00711A9F">
        <w:rPr>
          <w:sz w:val="24"/>
          <w:szCs w:val="24"/>
        </w:rPr>
        <w:t>iera</w:t>
      </w:r>
      <w:r w:rsidR="00F30584">
        <w:rPr>
          <w:sz w:val="24"/>
          <w:szCs w:val="24"/>
        </w:rPr>
        <w:t xml:space="preserve"> verificar el tipo de vinculación</w:t>
      </w:r>
      <w:r w:rsidR="00A34496">
        <w:rPr>
          <w:sz w:val="24"/>
          <w:szCs w:val="24"/>
        </w:rPr>
        <w:t>, la</w:t>
      </w:r>
      <w:r w:rsidR="00A7469E">
        <w:rPr>
          <w:sz w:val="24"/>
          <w:szCs w:val="24"/>
        </w:rPr>
        <w:t>s</w:t>
      </w:r>
      <w:r w:rsidR="00A34496">
        <w:rPr>
          <w:sz w:val="24"/>
          <w:szCs w:val="24"/>
        </w:rPr>
        <w:t xml:space="preserve"> fechas de inicio de </w:t>
      </w:r>
      <w:r w:rsidR="001B7569">
        <w:rPr>
          <w:sz w:val="24"/>
          <w:szCs w:val="24"/>
        </w:rPr>
        <w:t>los contratos</w:t>
      </w:r>
      <w:r w:rsidR="00767EE9">
        <w:rPr>
          <w:sz w:val="24"/>
          <w:szCs w:val="24"/>
        </w:rPr>
        <w:t xml:space="preserve">, el objeto </w:t>
      </w:r>
      <w:r w:rsidR="001B7569">
        <w:rPr>
          <w:sz w:val="24"/>
          <w:szCs w:val="24"/>
        </w:rPr>
        <w:t xml:space="preserve">y valor </w:t>
      </w:r>
      <w:r w:rsidR="00767EE9">
        <w:rPr>
          <w:sz w:val="24"/>
          <w:szCs w:val="24"/>
        </w:rPr>
        <w:t xml:space="preserve">de </w:t>
      </w:r>
      <w:r w:rsidR="00450C06">
        <w:rPr>
          <w:sz w:val="24"/>
          <w:szCs w:val="24"/>
        </w:rPr>
        <w:t>estos</w:t>
      </w:r>
      <w:r w:rsidR="001B7569">
        <w:rPr>
          <w:sz w:val="24"/>
          <w:szCs w:val="24"/>
        </w:rPr>
        <w:t xml:space="preserve"> o</w:t>
      </w:r>
      <w:r w:rsidR="00767EE9">
        <w:rPr>
          <w:sz w:val="24"/>
          <w:szCs w:val="24"/>
        </w:rPr>
        <w:t xml:space="preserve"> el contratista. Agregó </w:t>
      </w:r>
      <w:r w:rsidR="005D5243">
        <w:rPr>
          <w:sz w:val="24"/>
          <w:szCs w:val="24"/>
        </w:rPr>
        <w:t xml:space="preserve">que </w:t>
      </w:r>
      <w:r w:rsidR="00767EE9">
        <w:rPr>
          <w:sz w:val="24"/>
          <w:szCs w:val="24"/>
        </w:rPr>
        <w:t>ninguna de las partes alleg</w:t>
      </w:r>
      <w:r w:rsidR="00A7469E">
        <w:rPr>
          <w:sz w:val="24"/>
          <w:szCs w:val="24"/>
        </w:rPr>
        <w:t xml:space="preserve">ó las pruebas que fueron solicitadas por el </w:t>
      </w:r>
      <w:r w:rsidR="00A7469E" w:rsidRPr="00A7469E">
        <w:rPr>
          <w:i/>
          <w:iCs/>
          <w:sz w:val="24"/>
          <w:szCs w:val="24"/>
        </w:rPr>
        <w:t>a quo</w:t>
      </w:r>
      <w:r w:rsidR="00A7469E">
        <w:rPr>
          <w:sz w:val="24"/>
          <w:szCs w:val="24"/>
        </w:rPr>
        <w:t xml:space="preserve"> a efectos de establecer </w:t>
      </w:r>
      <w:r w:rsidR="00450C06">
        <w:rPr>
          <w:sz w:val="24"/>
          <w:szCs w:val="24"/>
        </w:rPr>
        <w:t>los datos referidos.</w:t>
      </w:r>
    </w:p>
    <w:p w14:paraId="6099DCE2" w14:textId="09BBB76D" w:rsidR="004803D3" w:rsidRDefault="004803D3" w:rsidP="001B7569">
      <w:pPr>
        <w:tabs>
          <w:tab w:val="left" w:pos="2070"/>
        </w:tabs>
        <w:spacing w:line="360" w:lineRule="auto"/>
        <w:rPr>
          <w:sz w:val="24"/>
          <w:szCs w:val="24"/>
        </w:rPr>
      </w:pPr>
    </w:p>
    <w:p w14:paraId="0178849A" w14:textId="451062B0" w:rsidR="004803D3" w:rsidRDefault="004803D3" w:rsidP="009208AA">
      <w:pPr>
        <w:tabs>
          <w:tab w:val="left" w:pos="2070"/>
        </w:tabs>
        <w:spacing w:line="360" w:lineRule="auto"/>
        <w:rPr>
          <w:rStyle w:val="Ninguno"/>
          <w:rFonts w:cs="Arial"/>
          <w:sz w:val="24"/>
          <w:szCs w:val="24"/>
        </w:rPr>
      </w:pPr>
      <w:r>
        <w:rPr>
          <w:sz w:val="24"/>
          <w:szCs w:val="24"/>
        </w:rPr>
        <w:t xml:space="preserve">2.7.1.- </w:t>
      </w:r>
      <w:r w:rsidR="00711A9F">
        <w:rPr>
          <w:sz w:val="24"/>
          <w:szCs w:val="24"/>
        </w:rPr>
        <w:t>A</w:t>
      </w:r>
      <w:r w:rsidR="00724CFE">
        <w:rPr>
          <w:sz w:val="24"/>
          <w:szCs w:val="24"/>
        </w:rPr>
        <w:t>ñadió</w:t>
      </w:r>
      <w:r>
        <w:rPr>
          <w:sz w:val="24"/>
          <w:szCs w:val="24"/>
        </w:rPr>
        <w:t xml:space="preserve"> que</w:t>
      </w:r>
      <w:r w:rsidR="000B4FF1">
        <w:rPr>
          <w:sz w:val="24"/>
          <w:szCs w:val="24"/>
        </w:rPr>
        <w:t xml:space="preserve">, al </w:t>
      </w:r>
      <w:r w:rsidR="005F5F2F">
        <w:rPr>
          <w:sz w:val="24"/>
          <w:szCs w:val="24"/>
        </w:rPr>
        <w:t>estudiar</w:t>
      </w:r>
      <w:r w:rsidR="000B4FF1">
        <w:rPr>
          <w:sz w:val="24"/>
          <w:szCs w:val="24"/>
        </w:rPr>
        <w:t xml:space="preserve"> la prueba </w:t>
      </w:r>
      <w:r w:rsidR="00DC6857">
        <w:rPr>
          <w:sz w:val="24"/>
          <w:szCs w:val="24"/>
        </w:rPr>
        <w:t>testimonial</w:t>
      </w:r>
      <w:r w:rsidR="000B4FF1">
        <w:rPr>
          <w:sz w:val="24"/>
          <w:szCs w:val="24"/>
        </w:rPr>
        <w:t xml:space="preserve"> y la declaración de la demanda</w:t>
      </w:r>
      <w:r w:rsidR="006B7DC8">
        <w:rPr>
          <w:sz w:val="24"/>
          <w:szCs w:val="24"/>
        </w:rPr>
        <w:t>nte</w:t>
      </w:r>
      <w:r w:rsidR="000B4FF1">
        <w:rPr>
          <w:sz w:val="24"/>
          <w:szCs w:val="24"/>
        </w:rPr>
        <w:t xml:space="preserve">, </w:t>
      </w:r>
      <w:r w:rsidR="00D973A5">
        <w:rPr>
          <w:sz w:val="24"/>
          <w:szCs w:val="24"/>
        </w:rPr>
        <w:t xml:space="preserve">era claro </w:t>
      </w:r>
      <w:r w:rsidR="00DC6857">
        <w:rPr>
          <w:sz w:val="24"/>
          <w:szCs w:val="24"/>
        </w:rPr>
        <w:t xml:space="preserve">que </w:t>
      </w:r>
      <w:r w:rsidR="006B7DC8">
        <w:rPr>
          <w:sz w:val="24"/>
          <w:szCs w:val="24"/>
        </w:rPr>
        <w:t xml:space="preserve">las órdenes y la coordinación </w:t>
      </w:r>
      <w:r w:rsidR="00805586">
        <w:rPr>
          <w:sz w:val="24"/>
          <w:szCs w:val="24"/>
        </w:rPr>
        <w:t>de los horarios provenían</w:t>
      </w:r>
      <w:r w:rsidR="006B7DC8">
        <w:rPr>
          <w:sz w:val="24"/>
          <w:szCs w:val="24"/>
        </w:rPr>
        <w:t xml:space="preserve"> </w:t>
      </w:r>
      <w:r w:rsidR="00574C91">
        <w:rPr>
          <w:sz w:val="24"/>
          <w:szCs w:val="24"/>
        </w:rPr>
        <w:t xml:space="preserve">directamente </w:t>
      </w:r>
      <w:r w:rsidR="006B7DC8">
        <w:rPr>
          <w:sz w:val="24"/>
          <w:szCs w:val="24"/>
        </w:rPr>
        <w:t>de la</w:t>
      </w:r>
      <w:r w:rsidR="009208AA">
        <w:rPr>
          <w:sz w:val="24"/>
          <w:szCs w:val="24"/>
        </w:rPr>
        <w:t xml:space="preserve">s cooperativas de trabajo a las que estaba </w:t>
      </w:r>
      <w:r w:rsidR="00781A44">
        <w:rPr>
          <w:sz w:val="24"/>
          <w:szCs w:val="24"/>
        </w:rPr>
        <w:t xml:space="preserve">vinculada </w:t>
      </w:r>
      <w:r w:rsidR="00C32464">
        <w:rPr>
          <w:sz w:val="24"/>
          <w:szCs w:val="24"/>
        </w:rPr>
        <w:t>Francia Gaviria</w:t>
      </w:r>
      <w:r w:rsidR="009D7A8D">
        <w:rPr>
          <w:sz w:val="24"/>
          <w:szCs w:val="24"/>
        </w:rPr>
        <w:t xml:space="preserve">. En suma, indicó que a partir de los elementos de prueba </w:t>
      </w:r>
      <w:r w:rsidR="005129A8">
        <w:rPr>
          <w:sz w:val="24"/>
          <w:szCs w:val="24"/>
        </w:rPr>
        <w:t>que obraban en el expediente</w:t>
      </w:r>
      <w:r w:rsidR="00431674">
        <w:rPr>
          <w:sz w:val="24"/>
          <w:szCs w:val="24"/>
        </w:rPr>
        <w:t xml:space="preserve"> </w:t>
      </w:r>
      <w:r w:rsidR="009D7A8D">
        <w:rPr>
          <w:sz w:val="24"/>
          <w:szCs w:val="24"/>
        </w:rPr>
        <w:t xml:space="preserve">no era posible establecer la existencia de una </w:t>
      </w:r>
      <w:r w:rsidR="00FB134F">
        <w:rPr>
          <w:sz w:val="24"/>
          <w:szCs w:val="24"/>
        </w:rPr>
        <w:t xml:space="preserve">verdadera </w:t>
      </w:r>
      <w:r w:rsidR="009D7A8D">
        <w:rPr>
          <w:sz w:val="24"/>
          <w:szCs w:val="24"/>
        </w:rPr>
        <w:t>relación laboral.</w:t>
      </w:r>
    </w:p>
    <w:p w14:paraId="363090C4" w14:textId="77777777" w:rsidR="00722554" w:rsidRPr="00190178" w:rsidRDefault="00722554" w:rsidP="00985D3D">
      <w:pPr>
        <w:tabs>
          <w:tab w:val="left" w:pos="2070"/>
        </w:tabs>
        <w:spacing w:line="360" w:lineRule="auto"/>
        <w:rPr>
          <w:sz w:val="24"/>
          <w:szCs w:val="24"/>
        </w:rPr>
      </w:pPr>
    </w:p>
    <w:p w14:paraId="3D705B97" w14:textId="4D116D5E" w:rsidR="005033D9" w:rsidRDefault="00CE6F23" w:rsidP="00985D3D">
      <w:pPr>
        <w:tabs>
          <w:tab w:val="left" w:pos="2070"/>
        </w:tabs>
        <w:spacing w:line="360" w:lineRule="auto"/>
        <w:rPr>
          <w:b/>
          <w:sz w:val="24"/>
          <w:szCs w:val="24"/>
        </w:rPr>
      </w:pPr>
      <w:r>
        <w:rPr>
          <w:b/>
          <w:sz w:val="24"/>
          <w:szCs w:val="24"/>
        </w:rPr>
        <w:t xml:space="preserve">3.- </w:t>
      </w:r>
      <w:r w:rsidR="005033D9">
        <w:rPr>
          <w:b/>
          <w:sz w:val="24"/>
          <w:szCs w:val="24"/>
        </w:rPr>
        <w:t xml:space="preserve">Fundamento de la solicitud de amparo </w:t>
      </w:r>
    </w:p>
    <w:p w14:paraId="17124B74" w14:textId="77777777" w:rsidR="005033D9" w:rsidRDefault="005033D9" w:rsidP="00985D3D">
      <w:pPr>
        <w:tabs>
          <w:tab w:val="left" w:pos="2070"/>
        </w:tabs>
        <w:spacing w:line="360" w:lineRule="auto"/>
        <w:rPr>
          <w:b/>
          <w:sz w:val="24"/>
          <w:szCs w:val="24"/>
        </w:rPr>
      </w:pPr>
    </w:p>
    <w:p w14:paraId="33E55A16" w14:textId="45C77233" w:rsidR="005033D9" w:rsidRDefault="003E5179" w:rsidP="005033D9">
      <w:pPr>
        <w:tabs>
          <w:tab w:val="left" w:pos="2070"/>
        </w:tabs>
        <w:spacing w:line="360" w:lineRule="auto"/>
        <w:rPr>
          <w:sz w:val="24"/>
          <w:szCs w:val="24"/>
        </w:rPr>
      </w:pPr>
      <w:r>
        <w:rPr>
          <w:sz w:val="24"/>
          <w:szCs w:val="24"/>
        </w:rPr>
        <w:t xml:space="preserve">3.1.- </w:t>
      </w:r>
      <w:r w:rsidR="003732A5">
        <w:rPr>
          <w:sz w:val="24"/>
          <w:szCs w:val="24"/>
        </w:rPr>
        <w:t>Se considera</w:t>
      </w:r>
      <w:r w:rsidR="00996067">
        <w:rPr>
          <w:sz w:val="24"/>
          <w:szCs w:val="24"/>
        </w:rPr>
        <w:t>n</w:t>
      </w:r>
      <w:r w:rsidR="003732A5">
        <w:rPr>
          <w:sz w:val="24"/>
          <w:szCs w:val="24"/>
        </w:rPr>
        <w:t xml:space="preserve"> vulnerado</w:t>
      </w:r>
      <w:r w:rsidR="00996067">
        <w:rPr>
          <w:sz w:val="24"/>
          <w:szCs w:val="24"/>
        </w:rPr>
        <w:t>s</w:t>
      </w:r>
      <w:r w:rsidR="003732A5">
        <w:rPr>
          <w:sz w:val="24"/>
          <w:szCs w:val="24"/>
        </w:rPr>
        <w:t xml:space="preserve"> </w:t>
      </w:r>
      <w:r w:rsidR="00996067">
        <w:rPr>
          <w:sz w:val="24"/>
          <w:szCs w:val="24"/>
        </w:rPr>
        <w:t xml:space="preserve">los </w:t>
      </w:r>
      <w:r w:rsidR="003732A5">
        <w:rPr>
          <w:sz w:val="24"/>
          <w:szCs w:val="24"/>
        </w:rPr>
        <w:t>derecho</w:t>
      </w:r>
      <w:r w:rsidR="00996067">
        <w:rPr>
          <w:sz w:val="24"/>
          <w:szCs w:val="24"/>
        </w:rPr>
        <w:t>s</w:t>
      </w:r>
      <w:r w:rsidR="003732A5">
        <w:rPr>
          <w:sz w:val="24"/>
          <w:szCs w:val="24"/>
        </w:rPr>
        <w:t xml:space="preserve"> fundamental</w:t>
      </w:r>
      <w:r w:rsidR="00996067">
        <w:rPr>
          <w:sz w:val="24"/>
          <w:szCs w:val="24"/>
        </w:rPr>
        <w:t>es</w:t>
      </w:r>
      <w:r w:rsidR="003732A5">
        <w:rPr>
          <w:sz w:val="24"/>
          <w:szCs w:val="24"/>
        </w:rPr>
        <w:t xml:space="preserve"> invocado</w:t>
      </w:r>
      <w:r w:rsidR="00996067">
        <w:rPr>
          <w:sz w:val="24"/>
          <w:szCs w:val="24"/>
        </w:rPr>
        <w:t>s</w:t>
      </w:r>
      <w:r w:rsidR="005033D9">
        <w:rPr>
          <w:sz w:val="24"/>
          <w:szCs w:val="24"/>
        </w:rPr>
        <w:t>, en tanto</w:t>
      </w:r>
      <w:r w:rsidR="00530D3D">
        <w:rPr>
          <w:sz w:val="24"/>
          <w:szCs w:val="24"/>
        </w:rPr>
        <w:t>:</w:t>
      </w:r>
      <w:r w:rsidR="005033D9">
        <w:rPr>
          <w:sz w:val="24"/>
          <w:szCs w:val="24"/>
        </w:rPr>
        <w:t xml:space="preserve"> </w:t>
      </w:r>
    </w:p>
    <w:p w14:paraId="71F58B22" w14:textId="324F3F08" w:rsidR="00530D3D" w:rsidRDefault="00530D3D" w:rsidP="005033D9">
      <w:pPr>
        <w:tabs>
          <w:tab w:val="left" w:pos="2070"/>
        </w:tabs>
        <w:spacing w:line="360" w:lineRule="auto"/>
        <w:rPr>
          <w:sz w:val="24"/>
          <w:szCs w:val="24"/>
        </w:rPr>
      </w:pPr>
    </w:p>
    <w:p w14:paraId="73F0DB9E" w14:textId="48E3F6B4" w:rsidR="008F3E6D" w:rsidRPr="003E5179" w:rsidRDefault="00530D3D" w:rsidP="00171ED0">
      <w:pPr>
        <w:tabs>
          <w:tab w:val="left" w:pos="2070"/>
        </w:tabs>
        <w:ind w:left="567" w:right="567"/>
        <w:rPr>
          <w:i/>
          <w:sz w:val="22"/>
          <w:szCs w:val="24"/>
        </w:rPr>
      </w:pPr>
      <w:r w:rsidRPr="00171ED0">
        <w:rPr>
          <w:sz w:val="22"/>
          <w:szCs w:val="24"/>
        </w:rPr>
        <w:t>“</w:t>
      </w:r>
      <w:r w:rsidR="00785023" w:rsidRPr="003E5179">
        <w:rPr>
          <w:i/>
          <w:sz w:val="22"/>
          <w:szCs w:val="24"/>
        </w:rPr>
        <w:t>11. El Tribunal no me reconoció personería jurídica para actuar y no me permitió acceder al expediente del proceso.</w:t>
      </w:r>
    </w:p>
    <w:p w14:paraId="6C7C44A2" w14:textId="7661F49B" w:rsidR="00785023" w:rsidRPr="003E5179" w:rsidRDefault="00785023" w:rsidP="00171ED0">
      <w:pPr>
        <w:tabs>
          <w:tab w:val="left" w:pos="2070"/>
        </w:tabs>
        <w:ind w:left="567" w:right="567"/>
        <w:rPr>
          <w:i/>
          <w:sz w:val="22"/>
          <w:szCs w:val="24"/>
        </w:rPr>
      </w:pPr>
    </w:p>
    <w:p w14:paraId="26F1E4F5" w14:textId="11979748" w:rsidR="00785023" w:rsidRPr="003E5179" w:rsidRDefault="00785023" w:rsidP="00171ED0">
      <w:pPr>
        <w:tabs>
          <w:tab w:val="left" w:pos="2070"/>
        </w:tabs>
        <w:ind w:left="567" w:right="567"/>
        <w:rPr>
          <w:i/>
          <w:sz w:val="22"/>
          <w:szCs w:val="24"/>
        </w:rPr>
      </w:pPr>
      <w:r w:rsidRPr="003E5179">
        <w:rPr>
          <w:i/>
          <w:sz w:val="22"/>
          <w:szCs w:val="24"/>
        </w:rPr>
        <w:t>12. El despacho no me notificó de la sentencia. De igual forma, la notificación número 39503 con destino a FRANCIA STELLA GAVIRIA TORO, no fue dirigida a su correo electrónico de notificaciones personales. Los correos : jorgeveraquintero@hotmail.com; haroldhmorenoc@hotmail.com., pertenecían al Dr. SANTIAGO ACEVEDO, QEPD.</w:t>
      </w:r>
      <w:r w:rsidR="00873564" w:rsidRPr="003E5179">
        <w:rPr>
          <w:i/>
          <w:sz w:val="22"/>
          <w:szCs w:val="24"/>
        </w:rPr>
        <w:t xml:space="preserve"> (…)</w:t>
      </w:r>
    </w:p>
    <w:p w14:paraId="7F9350E9" w14:textId="5193FDD8" w:rsidR="00873564" w:rsidRPr="003E5179" w:rsidRDefault="00873564" w:rsidP="00171ED0">
      <w:pPr>
        <w:tabs>
          <w:tab w:val="left" w:pos="2070"/>
        </w:tabs>
        <w:ind w:left="567" w:right="567"/>
        <w:rPr>
          <w:i/>
          <w:sz w:val="22"/>
          <w:szCs w:val="24"/>
        </w:rPr>
      </w:pPr>
    </w:p>
    <w:p w14:paraId="357E2368" w14:textId="590CB400" w:rsidR="00873564" w:rsidRPr="003E5179" w:rsidRDefault="00873564" w:rsidP="00171ED0">
      <w:pPr>
        <w:tabs>
          <w:tab w:val="left" w:pos="2070"/>
        </w:tabs>
        <w:ind w:left="567" w:right="567"/>
        <w:rPr>
          <w:i/>
          <w:sz w:val="22"/>
          <w:szCs w:val="24"/>
        </w:rPr>
      </w:pPr>
      <w:r w:rsidRPr="003E5179">
        <w:rPr>
          <w:i/>
          <w:sz w:val="22"/>
          <w:szCs w:val="24"/>
        </w:rPr>
        <w:t>14. En el presente caso por una indebida notificación, mi representada no tuvo la oportunidad de ejercer los derechos fundamentales mencionados, configurándose una vía de hecho que motiva la presente acción constitucional.</w:t>
      </w:r>
    </w:p>
    <w:p w14:paraId="576256B7" w14:textId="72A587D7" w:rsidR="003E5179" w:rsidRPr="003E5179" w:rsidRDefault="003E5179" w:rsidP="00171ED0">
      <w:pPr>
        <w:tabs>
          <w:tab w:val="left" w:pos="2070"/>
        </w:tabs>
        <w:ind w:left="567" w:right="567"/>
        <w:rPr>
          <w:i/>
          <w:sz w:val="22"/>
          <w:szCs w:val="24"/>
        </w:rPr>
      </w:pPr>
    </w:p>
    <w:p w14:paraId="62A83BBB" w14:textId="16F5F051" w:rsidR="00215717" w:rsidRPr="003470CB" w:rsidRDefault="003E5179" w:rsidP="003470CB">
      <w:pPr>
        <w:tabs>
          <w:tab w:val="left" w:pos="2070"/>
        </w:tabs>
        <w:ind w:left="567" w:right="567"/>
        <w:rPr>
          <w:i/>
          <w:sz w:val="22"/>
          <w:szCs w:val="24"/>
        </w:rPr>
      </w:pPr>
      <w:r w:rsidRPr="003E5179">
        <w:rPr>
          <w:i/>
          <w:sz w:val="22"/>
          <w:szCs w:val="24"/>
        </w:rPr>
        <w:t>15. Solicité al despacho copia del expediente y remitieron únicamente la sentencia y las notificaciones, negándome acceso a las pruebas que hay en el expediente para constatar si, en efecto, en el caso en concreto, el trabajo asociado se utilizó como instrumento para escapar a la legislación laboral y así eludir las obligaciones para con los trabajadores dependientes o subordinados por parte de la accionada. (…)</w:t>
      </w:r>
      <w:r w:rsidR="00171ED0" w:rsidRPr="00171ED0">
        <w:rPr>
          <w:sz w:val="22"/>
          <w:szCs w:val="24"/>
        </w:rPr>
        <w:t>”</w:t>
      </w:r>
      <w:r w:rsidR="00171ED0">
        <w:rPr>
          <w:rStyle w:val="Refdenotaalpie"/>
          <w:sz w:val="22"/>
          <w:szCs w:val="24"/>
        </w:rPr>
        <w:footnoteReference w:id="11"/>
      </w:r>
    </w:p>
    <w:p w14:paraId="3CDEE445" w14:textId="073430EA" w:rsidR="00215717" w:rsidRDefault="00215717" w:rsidP="005033D9">
      <w:pPr>
        <w:tabs>
          <w:tab w:val="left" w:pos="2070"/>
        </w:tabs>
        <w:spacing w:line="360" w:lineRule="auto"/>
        <w:rPr>
          <w:sz w:val="24"/>
          <w:szCs w:val="24"/>
        </w:rPr>
      </w:pPr>
      <w:r>
        <w:rPr>
          <w:sz w:val="24"/>
          <w:szCs w:val="24"/>
        </w:rPr>
        <w:lastRenderedPageBreak/>
        <w:t xml:space="preserve">3.2.- Adicionalmente, señaló que </w:t>
      </w:r>
      <w:r w:rsidR="00FB134F">
        <w:rPr>
          <w:sz w:val="24"/>
          <w:szCs w:val="24"/>
        </w:rPr>
        <w:t xml:space="preserve">la sentencia </w:t>
      </w:r>
      <w:r w:rsidR="00312F8A">
        <w:rPr>
          <w:sz w:val="24"/>
          <w:szCs w:val="24"/>
        </w:rPr>
        <w:t xml:space="preserve">dictada por </w:t>
      </w:r>
      <w:r w:rsidR="003D5599">
        <w:rPr>
          <w:sz w:val="24"/>
          <w:szCs w:val="24"/>
        </w:rPr>
        <w:t>el Tribunal Administrativo del Valle del Cauca incurrió en:</w:t>
      </w:r>
    </w:p>
    <w:p w14:paraId="4555B73E" w14:textId="046397A6" w:rsidR="003D5599" w:rsidRDefault="003D5599" w:rsidP="005033D9">
      <w:pPr>
        <w:tabs>
          <w:tab w:val="left" w:pos="2070"/>
        </w:tabs>
        <w:spacing w:line="360" w:lineRule="auto"/>
        <w:rPr>
          <w:sz w:val="24"/>
          <w:szCs w:val="24"/>
        </w:rPr>
      </w:pPr>
    </w:p>
    <w:p w14:paraId="7BBD71C6" w14:textId="46E97EBC" w:rsidR="003D5599" w:rsidRDefault="003D5599" w:rsidP="005033D9">
      <w:pPr>
        <w:tabs>
          <w:tab w:val="left" w:pos="2070"/>
        </w:tabs>
        <w:spacing w:line="360" w:lineRule="auto"/>
        <w:rPr>
          <w:sz w:val="24"/>
          <w:szCs w:val="24"/>
        </w:rPr>
      </w:pPr>
      <w:r>
        <w:rPr>
          <w:sz w:val="24"/>
          <w:szCs w:val="24"/>
        </w:rPr>
        <w:t xml:space="preserve">3.2.1.- Un defecto </w:t>
      </w:r>
      <w:r w:rsidR="00CA5F1A">
        <w:rPr>
          <w:sz w:val="24"/>
          <w:szCs w:val="24"/>
        </w:rPr>
        <w:t>sustantivo</w:t>
      </w:r>
      <w:r w:rsidR="00152A1D">
        <w:rPr>
          <w:sz w:val="24"/>
          <w:szCs w:val="24"/>
        </w:rPr>
        <w:t xml:space="preserve">, en la medida en que desconoció el principio de primacía de </w:t>
      </w:r>
      <w:r w:rsidR="00DC0CC6">
        <w:rPr>
          <w:sz w:val="24"/>
          <w:szCs w:val="24"/>
        </w:rPr>
        <w:t>la</w:t>
      </w:r>
      <w:r w:rsidR="00152A1D">
        <w:rPr>
          <w:sz w:val="24"/>
          <w:szCs w:val="24"/>
        </w:rPr>
        <w:t xml:space="preserve"> realidad sobre</w:t>
      </w:r>
      <w:r w:rsidR="00DC0CC6">
        <w:rPr>
          <w:sz w:val="24"/>
          <w:szCs w:val="24"/>
        </w:rPr>
        <w:t xml:space="preserve"> aspectos formales.</w:t>
      </w:r>
    </w:p>
    <w:p w14:paraId="06AFD37C" w14:textId="2250DFB7" w:rsidR="00DC0CC6" w:rsidRDefault="00DC0CC6" w:rsidP="005033D9">
      <w:pPr>
        <w:tabs>
          <w:tab w:val="left" w:pos="2070"/>
        </w:tabs>
        <w:spacing w:line="360" w:lineRule="auto"/>
        <w:rPr>
          <w:sz w:val="24"/>
          <w:szCs w:val="24"/>
        </w:rPr>
      </w:pPr>
    </w:p>
    <w:p w14:paraId="13A334A4" w14:textId="784522B9" w:rsidR="00DC0CC6" w:rsidRDefault="00DC0CC6" w:rsidP="005033D9">
      <w:pPr>
        <w:tabs>
          <w:tab w:val="left" w:pos="2070"/>
        </w:tabs>
        <w:spacing w:line="360" w:lineRule="auto"/>
        <w:rPr>
          <w:sz w:val="24"/>
          <w:szCs w:val="24"/>
        </w:rPr>
      </w:pPr>
      <w:r>
        <w:rPr>
          <w:sz w:val="24"/>
          <w:szCs w:val="24"/>
        </w:rPr>
        <w:t xml:space="preserve">3.2.2.- </w:t>
      </w:r>
      <w:r w:rsidR="00254444">
        <w:rPr>
          <w:sz w:val="24"/>
          <w:szCs w:val="24"/>
        </w:rPr>
        <w:t>Un defecto por desconocimiento del precedente judicial, pues p</w:t>
      </w:r>
      <w:r>
        <w:rPr>
          <w:sz w:val="24"/>
          <w:szCs w:val="24"/>
        </w:rPr>
        <w:t>asó por alto la</w:t>
      </w:r>
      <w:r w:rsidR="009014D2">
        <w:rPr>
          <w:sz w:val="24"/>
          <w:szCs w:val="24"/>
        </w:rPr>
        <w:t xml:space="preserve"> posición de la Sección Segunda de esta Corporación</w:t>
      </w:r>
      <w:r w:rsidR="004A45A9">
        <w:rPr>
          <w:rStyle w:val="Refdenotaalpie"/>
          <w:sz w:val="24"/>
          <w:szCs w:val="24"/>
        </w:rPr>
        <w:footnoteReference w:id="12"/>
      </w:r>
      <w:r w:rsidR="00254444">
        <w:rPr>
          <w:sz w:val="24"/>
          <w:szCs w:val="24"/>
        </w:rPr>
        <w:t xml:space="preserve"> respecto de</w:t>
      </w:r>
      <w:r w:rsidR="00F86CEC">
        <w:rPr>
          <w:sz w:val="24"/>
          <w:szCs w:val="24"/>
        </w:rPr>
        <w:t xml:space="preserve"> </w:t>
      </w:r>
      <w:r w:rsidR="00254444">
        <w:rPr>
          <w:sz w:val="24"/>
          <w:szCs w:val="24"/>
        </w:rPr>
        <w:t>l</w:t>
      </w:r>
      <w:r w:rsidR="00F86CEC">
        <w:rPr>
          <w:sz w:val="24"/>
          <w:szCs w:val="24"/>
        </w:rPr>
        <w:t>os</w:t>
      </w:r>
      <w:r w:rsidR="00254444">
        <w:rPr>
          <w:sz w:val="24"/>
          <w:szCs w:val="24"/>
        </w:rPr>
        <w:t xml:space="preserve"> contrato</w:t>
      </w:r>
      <w:r w:rsidR="00F86CEC">
        <w:rPr>
          <w:sz w:val="24"/>
          <w:szCs w:val="24"/>
        </w:rPr>
        <w:t>s</w:t>
      </w:r>
      <w:r w:rsidR="00254444">
        <w:rPr>
          <w:sz w:val="24"/>
          <w:szCs w:val="24"/>
        </w:rPr>
        <w:t xml:space="preserve"> realidad y </w:t>
      </w:r>
      <w:r w:rsidR="00F86CEC">
        <w:rPr>
          <w:sz w:val="24"/>
          <w:szCs w:val="24"/>
        </w:rPr>
        <w:t>de las cooperativas de trabajo asociado.</w:t>
      </w:r>
    </w:p>
    <w:p w14:paraId="7A4C0D9F" w14:textId="52B3943B" w:rsidR="001A3CAB" w:rsidRDefault="001A3CAB" w:rsidP="005033D9">
      <w:pPr>
        <w:tabs>
          <w:tab w:val="left" w:pos="2070"/>
        </w:tabs>
        <w:spacing w:line="360" w:lineRule="auto"/>
        <w:rPr>
          <w:sz w:val="24"/>
          <w:szCs w:val="24"/>
        </w:rPr>
      </w:pPr>
    </w:p>
    <w:p w14:paraId="4E4A84DB" w14:textId="7370C05D" w:rsidR="001A3CAB" w:rsidRDefault="001A3CAB" w:rsidP="005033D9">
      <w:pPr>
        <w:tabs>
          <w:tab w:val="left" w:pos="2070"/>
        </w:tabs>
        <w:spacing w:line="360" w:lineRule="auto"/>
        <w:rPr>
          <w:sz w:val="24"/>
          <w:szCs w:val="24"/>
        </w:rPr>
      </w:pPr>
      <w:r>
        <w:rPr>
          <w:sz w:val="24"/>
          <w:szCs w:val="24"/>
        </w:rPr>
        <w:t xml:space="preserve">3.2.3.- </w:t>
      </w:r>
      <w:r w:rsidR="00BC354C">
        <w:rPr>
          <w:sz w:val="24"/>
          <w:szCs w:val="24"/>
        </w:rPr>
        <w:t xml:space="preserve">Un defecto procedimental, porque </w:t>
      </w:r>
      <w:r w:rsidR="009523C3">
        <w:rPr>
          <w:sz w:val="24"/>
          <w:szCs w:val="24"/>
        </w:rPr>
        <w:t>la sentencia no se notificó en la forma establecida</w:t>
      </w:r>
      <w:r w:rsidR="005A7A31">
        <w:rPr>
          <w:sz w:val="24"/>
          <w:szCs w:val="24"/>
        </w:rPr>
        <w:t xml:space="preserve"> en el artículo 203 del CPACA.</w:t>
      </w:r>
    </w:p>
    <w:p w14:paraId="572E1FAE" w14:textId="77777777" w:rsidR="00215717" w:rsidRDefault="00215717" w:rsidP="005033D9">
      <w:pPr>
        <w:tabs>
          <w:tab w:val="left" w:pos="2070"/>
        </w:tabs>
        <w:spacing w:line="360" w:lineRule="auto"/>
        <w:rPr>
          <w:sz w:val="24"/>
          <w:szCs w:val="24"/>
        </w:rPr>
      </w:pPr>
    </w:p>
    <w:p w14:paraId="0D20466B" w14:textId="41E6465E" w:rsidR="005033D9" w:rsidRPr="005033D9" w:rsidRDefault="005033D9" w:rsidP="005033D9">
      <w:pPr>
        <w:tabs>
          <w:tab w:val="left" w:pos="2070"/>
        </w:tabs>
        <w:spacing w:line="360" w:lineRule="auto"/>
        <w:rPr>
          <w:b/>
          <w:sz w:val="24"/>
          <w:szCs w:val="24"/>
        </w:rPr>
      </w:pPr>
      <w:r>
        <w:rPr>
          <w:b/>
          <w:sz w:val="24"/>
          <w:szCs w:val="24"/>
        </w:rPr>
        <w:t xml:space="preserve">4.- Pretensiones </w:t>
      </w:r>
    </w:p>
    <w:p w14:paraId="3A266794" w14:textId="68EFDB8E" w:rsidR="005033D9" w:rsidRDefault="005033D9" w:rsidP="005033D9">
      <w:pPr>
        <w:tabs>
          <w:tab w:val="left" w:pos="2070"/>
        </w:tabs>
        <w:spacing w:line="360" w:lineRule="auto"/>
        <w:rPr>
          <w:sz w:val="24"/>
          <w:szCs w:val="24"/>
        </w:rPr>
      </w:pPr>
    </w:p>
    <w:p w14:paraId="54C6BFD2" w14:textId="7AF345FA" w:rsidR="00CF2720" w:rsidRDefault="00CF2720" w:rsidP="005033D9">
      <w:pPr>
        <w:tabs>
          <w:tab w:val="left" w:pos="2070"/>
        </w:tabs>
        <w:spacing w:line="360" w:lineRule="auto"/>
        <w:rPr>
          <w:sz w:val="24"/>
          <w:szCs w:val="24"/>
        </w:rPr>
      </w:pPr>
      <w:r>
        <w:rPr>
          <w:sz w:val="24"/>
          <w:szCs w:val="24"/>
        </w:rPr>
        <w:t>Se elevaron las siguientes:</w:t>
      </w:r>
    </w:p>
    <w:p w14:paraId="61D071C4" w14:textId="1DBBA901" w:rsidR="00CF2720" w:rsidRDefault="00CF2720" w:rsidP="005033D9">
      <w:pPr>
        <w:tabs>
          <w:tab w:val="left" w:pos="2070"/>
        </w:tabs>
        <w:spacing w:line="360" w:lineRule="auto"/>
        <w:rPr>
          <w:sz w:val="24"/>
          <w:szCs w:val="24"/>
        </w:rPr>
      </w:pPr>
    </w:p>
    <w:p w14:paraId="6C2C077A" w14:textId="520D2F57" w:rsidR="00187455" w:rsidRPr="00187455" w:rsidRDefault="00CF2720" w:rsidP="007337C4">
      <w:pPr>
        <w:tabs>
          <w:tab w:val="left" w:pos="2070"/>
        </w:tabs>
        <w:ind w:left="567" w:right="567"/>
        <w:rPr>
          <w:i/>
          <w:sz w:val="22"/>
          <w:szCs w:val="24"/>
        </w:rPr>
      </w:pPr>
      <w:r w:rsidRPr="00142B71">
        <w:rPr>
          <w:sz w:val="22"/>
          <w:szCs w:val="22"/>
        </w:rPr>
        <w:t>“</w:t>
      </w:r>
      <w:r w:rsidR="00187455" w:rsidRPr="00142B71">
        <w:rPr>
          <w:i/>
          <w:sz w:val="22"/>
          <w:szCs w:val="22"/>
        </w:rPr>
        <w:t xml:space="preserve">1. Ordenar al TRIBUNAL ADMINISTRATIVO DEL VALLE DEL CAUCA REVOCAR la sentencia de segunda instancia proferida el día </w:t>
      </w:r>
      <w:r w:rsidR="00256E35" w:rsidRPr="00142B71">
        <w:rPr>
          <w:i/>
          <w:sz w:val="22"/>
          <w:szCs w:val="22"/>
        </w:rPr>
        <w:t xml:space="preserve">[31] </w:t>
      </w:r>
      <w:r w:rsidR="00187455" w:rsidRPr="00142B71">
        <w:rPr>
          <w:i/>
          <w:sz w:val="22"/>
          <w:szCs w:val="22"/>
        </w:rPr>
        <w:t>de enero de dos mil veintidós (2022), por medio de la cual se ordenó notificar a las partes a los siguiente</w:t>
      </w:r>
      <w:r w:rsidR="00875109" w:rsidRPr="00142B71">
        <w:rPr>
          <w:i/>
          <w:sz w:val="22"/>
          <w:szCs w:val="22"/>
        </w:rPr>
        <w:t>[s]</w:t>
      </w:r>
      <w:r w:rsidR="00187455" w:rsidRPr="00142B71">
        <w:rPr>
          <w:i/>
          <w:sz w:val="22"/>
          <w:szCs w:val="22"/>
        </w:rPr>
        <w:t xml:space="preserve"> correos de notificación: soguzman@procuraduria.gov.co, hospitalsantamargarita@hotmail.com, santiagoabogado@hotmail.com, jorgeveraquintero@hotmail.com, haroldhmorenoc@hotmail.com, en su lugar, ordenar reconocerme personería jurídica, notificar la sentencia al correo de notificaciones judiciales oportunamente</w:t>
      </w:r>
      <w:r w:rsidR="00187455" w:rsidRPr="00187455">
        <w:rPr>
          <w:i/>
          <w:sz w:val="22"/>
          <w:szCs w:val="24"/>
        </w:rPr>
        <w:t xml:space="preserve"> allegado al despacho por mí en calidad de abogado apoderado de la parte demandante, y darme acceso a la totalidad del expediente digital. (…)</w:t>
      </w:r>
    </w:p>
    <w:p w14:paraId="6591E539" w14:textId="2913ACA0" w:rsidR="00187455" w:rsidRPr="00187455" w:rsidRDefault="00187455" w:rsidP="007337C4">
      <w:pPr>
        <w:tabs>
          <w:tab w:val="left" w:pos="2070"/>
        </w:tabs>
        <w:ind w:left="567" w:right="567"/>
        <w:rPr>
          <w:i/>
          <w:sz w:val="22"/>
          <w:szCs w:val="24"/>
        </w:rPr>
      </w:pPr>
    </w:p>
    <w:p w14:paraId="2BA83B34" w14:textId="4BDCCF93" w:rsidR="00CF2720" w:rsidRPr="009F2F61" w:rsidRDefault="00187455" w:rsidP="00187455">
      <w:pPr>
        <w:tabs>
          <w:tab w:val="left" w:pos="2070"/>
        </w:tabs>
        <w:ind w:left="567" w:right="567"/>
        <w:rPr>
          <w:i/>
          <w:sz w:val="22"/>
          <w:szCs w:val="22"/>
        </w:rPr>
      </w:pPr>
      <w:r w:rsidRPr="00187455">
        <w:rPr>
          <w:i/>
          <w:sz w:val="22"/>
          <w:szCs w:val="24"/>
        </w:rPr>
        <w:t xml:space="preserve">2. Ordenar al TRIBUNAL ADMINISTRATIVO DEL VALLE DEL CAUCA, que profiera una nueva sentencia, en la cual se haga una </w:t>
      </w:r>
      <w:r w:rsidRPr="009F2F61">
        <w:rPr>
          <w:i/>
          <w:sz w:val="22"/>
          <w:szCs w:val="22"/>
        </w:rPr>
        <w:t>valoración adecuada del precedente judicial en el tema de acuerdo a las reglas jurisprudenciales vigentes</w:t>
      </w:r>
      <w:r w:rsidR="007337C4" w:rsidRPr="009F2F61">
        <w:rPr>
          <w:sz w:val="22"/>
          <w:szCs w:val="22"/>
        </w:rPr>
        <w:t>”</w:t>
      </w:r>
      <w:r w:rsidR="00B13D9A" w:rsidRPr="009F2F61">
        <w:rPr>
          <w:rStyle w:val="Refdenotaalpie"/>
          <w:sz w:val="22"/>
          <w:szCs w:val="22"/>
        </w:rPr>
        <w:footnoteReference w:id="13"/>
      </w:r>
      <w:r w:rsidR="00B13D9A" w:rsidRPr="009F2F61">
        <w:rPr>
          <w:sz w:val="22"/>
          <w:szCs w:val="22"/>
        </w:rPr>
        <w:t>.</w:t>
      </w:r>
    </w:p>
    <w:p w14:paraId="15ABB403" w14:textId="77777777" w:rsidR="00CF2720" w:rsidRDefault="00CF2720" w:rsidP="005033D9">
      <w:pPr>
        <w:tabs>
          <w:tab w:val="left" w:pos="2070"/>
        </w:tabs>
        <w:spacing w:line="360" w:lineRule="auto"/>
        <w:rPr>
          <w:sz w:val="24"/>
          <w:szCs w:val="24"/>
        </w:rPr>
      </w:pPr>
    </w:p>
    <w:p w14:paraId="6BAA3029" w14:textId="6C09D391" w:rsidR="00CE6F23" w:rsidRDefault="005033D9" w:rsidP="00985D3D">
      <w:pPr>
        <w:tabs>
          <w:tab w:val="left" w:pos="2070"/>
        </w:tabs>
        <w:spacing w:line="360" w:lineRule="auto"/>
        <w:rPr>
          <w:b/>
          <w:sz w:val="24"/>
          <w:szCs w:val="24"/>
        </w:rPr>
      </w:pPr>
      <w:r>
        <w:rPr>
          <w:b/>
          <w:sz w:val="24"/>
          <w:szCs w:val="24"/>
        </w:rPr>
        <w:t xml:space="preserve">5.- </w:t>
      </w:r>
      <w:r w:rsidR="00CE6F23">
        <w:rPr>
          <w:b/>
          <w:sz w:val="24"/>
          <w:szCs w:val="24"/>
        </w:rPr>
        <w:t>Trámite de la acción de tutela y fundamento de la oposición</w:t>
      </w:r>
    </w:p>
    <w:p w14:paraId="782B7E5B" w14:textId="77777777" w:rsidR="00CE6F23" w:rsidRPr="00CF26ED" w:rsidRDefault="00CE6F23" w:rsidP="00985D3D">
      <w:pPr>
        <w:tabs>
          <w:tab w:val="left" w:pos="2070"/>
        </w:tabs>
        <w:spacing w:line="360" w:lineRule="auto"/>
        <w:rPr>
          <w:sz w:val="24"/>
          <w:szCs w:val="24"/>
        </w:rPr>
      </w:pPr>
    </w:p>
    <w:p w14:paraId="55846C86" w14:textId="5EDE00EF" w:rsidR="00CE6F23" w:rsidRPr="00CF26ED" w:rsidRDefault="00B73217" w:rsidP="00985D3D">
      <w:pPr>
        <w:tabs>
          <w:tab w:val="left" w:pos="2070"/>
        </w:tabs>
        <w:spacing w:line="360" w:lineRule="auto"/>
        <w:rPr>
          <w:sz w:val="24"/>
          <w:szCs w:val="24"/>
        </w:rPr>
      </w:pPr>
      <w:r>
        <w:rPr>
          <w:sz w:val="24"/>
          <w:szCs w:val="24"/>
        </w:rPr>
        <w:t xml:space="preserve">5.1.- </w:t>
      </w:r>
      <w:r w:rsidR="00CE6F23">
        <w:rPr>
          <w:sz w:val="24"/>
          <w:szCs w:val="24"/>
        </w:rPr>
        <w:t xml:space="preserve">Mediante proveído del </w:t>
      </w:r>
      <w:r w:rsidR="003F4B33">
        <w:rPr>
          <w:sz w:val="24"/>
          <w:szCs w:val="24"/>
        </w:rPr>
        <w:t>2</w:t>
      </w:r>
      <w:r w:rsidR="007648A4">
        <w:rPr>
          <w:sz w:val="24"/>
          <w:szCs w:val="24"/>
        </w:rPr>
        <w:t xml:space="preserve"> de </w:t>
      </w:r>
      <w:r w:rsidR="003F4B33">
        <w:rPr>
          <w:sz w:val="24"/>
          <w:szCs w:val="24"/>
        </w:rPr>
        <w:t xml:space="preserve">junio </w:t>
      </w:r>
      <w:r w:rsidR="00CE6F23">
        <w:rPr>
          <w:sz w:val="24"/>
          <w:szCs w:val="24"/>
        </w:rPr>
        <w:t>de</w:t>
      </w:r>
      <w:r w:rsidR="00FC54F5">
        <w:rPr>
          <w:sz w:val="24"/>
          <w:szCs w:val="24"/>
        </w:rPr>
        <w:t>l año en curso</w:t>
      </w:r>
      <w:r w:rsidR="00CE6F23">
        <w:rPr>
          <w:sz w:val="24"/>
          <w:szCs w:val="24"/>
        </w:rPr>
        <w:t xml:space="preserve"> esta Subsecc</w:t>
      </w:r>
      <w:r w:rsidR="00E6133F">
        <w:rPr>
          <w:sz w:val="24"/>
          <w:szCs w:val="24"/>
        </w:rPr>
        <w:t xml:space="preserve">ión admitió la acción de tutela; </w:t>
      </w:r>
      <w:r w:rsidR="00FC54F5">
        <w:rPr>
          <w:sz w:val="24"/>
          <w:szCs w:val="24"/>
        </w:rPr>
        <w:t>y dispuso</w:t>
      </w:r>
      <w:r w:rsidR="00E6133F">
        <w:rPr>
          <w:sz w:val="24"/>
          <w:szCs w:val="24"/>
        </w:rPr>
        <w:t xml:space="preserve"> </w:t>
      </w:r>
      <w:r w:rsidR="00FC54F5">
        <w:rPr>
          <w:sz w:val="24"/>
          <w:szCs w:val="24"/>
        </w:rPr>
        <w:t xml:space="preserve">la vinculación del </w:t>
      </w:r>
      <w:r w:rsidR="003E0C40" w:rsidRPr="003E0C40">
        <w:rPr>
          <w:sz w:val="24"/>
          <w:szCs w:val="24"/>
        </w:rPr>
        <w:t>Juzgado 17 Administrativo de Cali</w:t>
      </w:r>
      <w:r w:rsidR="00FC54F5">
        <w:rPr>
          <w:sz w:val="24"/>
          <w:szCs w:val="24"/>
        </w:rPr>
        <w:t xml:space="preserve"> </w:t>
      </w:r>
      <w:r w:rsidR="003E0C40" w:rsidRPr="003E0C40">
        <w:rPr>
          <w:sz w:val="24"/>
          <w:szCs w:val="24"/>
        </w:rPr>
        <w:t xml:space="preserve">y </w:t>
      </w:r>
      <w:r w:rsidR="00FC54F5">
        <w:rPr>
          <w:sz w:val="24"/>
          <w:szCs w:val="24"/>
        </w:rPr>
        <w:t xml:space="preserve">de </w:t>
      </w:r>
      <w:r w:rsidR="003E0C40" w:rsidRPr="003E0C40">
        <w:rPr>
          <w:sz w:val="24"/>
          <w:szCs w:val="24"/>
        </w:rPr>
        <w:t xml:space="preserve">la E.S.E. </w:t>
      </w:r>
      <w:r w:rsidR="003E0C40" w:rsidRPr="00672CC6">
        <w:rPr>
          <w:sz w:val="24"/>
          <w:szCs w:val="24"/>
        </w:rPr>
        <w:t>Hospital Santa Margarita de La Cumbre</w:t>
      </w:r>
      <w:r w:rsidR="003E0C40" w:rsidRPr="003E0C40">
        <w:rPr>
          <w:sz w:val="24"/>
          <w:szCs w:val="24"/>
        </w:rPr>
        <w:t xml:space="preserve">, Valle del Cauca. También </w:t>
      </w:r>
      <w:r w:rsidR="00CE6F23">
        <w:rPr>
          <w:sz w:val="24"/>
          <w:szCs w:val="24"/>
        </w:rPr>
        <w:t xml:space="preserve">ordenó </w:t>
      </w:r>
      <w:r w:rsidR="00AC7A77">
        <w:rPr>
          <w:sz w:val="24"/>
          <w:szCs w:val="24"/>
        </w:rPr>
        <w:t>notificar a la demandada</w:t>
      </w:r>
      <w:r w:rsidR="00CE6F23">
        <w:rPr>
          <w:sz w:val="24"/>
          <w:szCs w:val="24"/>
        </w:rPr>
        <w:t xml:space="preserve"> </w:t>
      </w:r>
      <w:r w:rsidR="007648A4">
        <w:rPr>
          <w:sz w:val="24"/>
          <w:szCs w:val="24"/>
        </w:rPr>
        <w:t>y a la</w:t>
      </w:r>
      <w:r w:rsidR="00AC7A77">
        <w:rPr>
          <w:sz w:val="24"/>
          <w:szCs w:val="24"/>
        </w:rPr>
        <w:t>s</w:t>
      </w:r>
      <w:r w:rsidR="00CE6F23">
        <w:rPr>
          <w:sz w:val="24"/>
          <w:szCs w:val="24"/>
        </w:rPr>
        <w:t xml:space="preserve"> </w:t>
      </w:r>
      <w:r w:rsidR="007648A4">
        <w:rPr>
          <w:sz w:val="24"/>
          <w:szCs w:val="24"/>
        </w:rPr>
        <w:t>vinculada</w:t>
      </w:r>
      <w:r w:rsidR="00AC7A77">
        <w:rPr>
          <w:sz w:val="24"/>
          <w:szCs w:val="24"/>
        </w:rPr>
        <w:t>s</w:t>
      </w:r>
      <w:r w:rsidR="00CE6F23">
        <w:rPr>
          <w:sz w:val="24"/>
          <w:szCs w:val="24"/>
        </w:rPr>
        <w:t xml:space="preserve">. </w:t>
      </w:r>
    </w:p>
    <w:p w14:paraId="7BD043F5" w14:textId="7979B6EC" w:rsidR="004D28C7" w:rsidRDefault="005033D9" w:rsidP="00985D3D">
      <w:pPr>
        <w:tabs>
          <w:tab w:val="left" w:pos="2070"/>
        </w:tabs>
        <w:spacing w:line="360" w:lineRule="auto"/>
        <w:rPr>
          <w:sz w:val="24"/>
          <w:szCs w:val="24"/>
        </w:rPr>
      </w:pPr>
      <w:r>
        <w:rPr>
          <w:sz w:val="24"/>
          <w:szCs w:val="24"/>
        </w:rPr>
        <w:lastRenderedPageBreak/>
        <w:t>5</w:t>
      </w:r>
      <w:r w:rsidR="00364F6B">
        <w:rPr>
          <w:sz w:val="24"/>
          <w:szCs w:val="24"/>
        </w:rPr>
        <w:t>.</w:t>
      </w:r>
      <w:r w:rsidR="001E51C6">
        <w:rPr>
          <w:sz w:val="24"/>
          <w:szCs w:val="24"/>
        </w:rPr>
        <w:t>2</w:t>
      </w:r>
      <w:r w:rsidR="00B375CA" w:rsidRPr="003E3F7C">
        <w:rPr>
          <w:sz w:val="24"/>
          <w:szCs w:val="24"/>
        </w:rPr>
        <w:t xml:space="preserve">.- </w:t>
      </w:r>
      <w:r w:rsidR="00BC6361">
        <w:rPr>
          <w:sz w:val="24"/>
          <w:szCs w:val="24"/>
        </w:rPr>
        <w:t xml:space="preserve">El </w:t>
      </w:r>
      <w:r w:rsidR="00527D32">
        <w:rPr>
          <w:sz w:val="24"/>
          <w:szCs w:val="24"/>
        </w:rPr>
        <w:t xml:space="preserve">Tribunal Administrativo del Valle del Cauca </w:t>
      </w:r>
      <w:r w:rsidR="00BD118D">
        <w:rPr>
          <w:sz w:val="24"/>
          <w:szCs w:val="24"/>
        </w:rPr>
        <w:t>explicó que, en efecto</w:t>
      </w:r>
      <w:r w:rsidR="00724CFE">
        <w:rPr>
          <w:sz w:val="24"/>
          <w:szCs w:val="24"/>
        </w:rPr>
        <w:t>,</w:t>
      </w:r>
      <w:r w:rsidR="00BD118D">
        <w:rPr>
          <w:sz w:val="24"/>
          <w:szCs w:val="24"/>
        </w:rPr>
        <w:t xml:space="preserve"> la sentencia se notificó a los correo</w:t>
      </w:r>
      <w:r w:rsidR="00495E9F">
        <w:rPr>
          <w:sz w:val="24"/>
          <w:szCs w:val="24"/>
        </w:rPr>
        <w:t>s</w:t>
      </w:r>
      <w:r w:rsidR="00BD118D">
        <w:rPr>
          <w:sz w:val="24"/>
          <w:szCs w:val="24"/>
        </w:rPr>
        <w:t xml:space="preserve"> del anterior apoderado</w:t>
      </w:r>
      <w:r w:rsidR="009C2F8D">
        <w:rPr>
          <w:sz w:val="24"/>
          <w:szCs w:val="24"/>
        </w:rPr>
        <w:t xml:space="preserve"> de la demandante</w:t>
      </w:r>
      <w:r w:rsidR="00BD118D">
        <w:rPr>
          <w:sz w:val="24"/>
          <w:szCs w:val="24"/>
        </w:rPr>
        <w:t>, sin embargo</w:t>
      </w:r>
      <w:r w:rsidR="004D28C7">
        <w:rPr>
          <w:sz w:val="24"/>
          <w:szCs w:val="24"/>
        </w:rPr>
        <w:t>,</w:t>
      </w:r>
      <w:r w:rsidR="00BD118D">
        <w:rPr>
          <w:sz w:val="24"/>
          <w:szCs w:val="24"/>
        </w:rPr>
        <w:t xml:space="preserve"> esa falencia se corrigió</w:t>
      </w:r>
      <w:r w:rsidR="00724CFE">
        <w:rPr>
          <w:sz w:val="24"/>
          <w:szCs w:val="24"/>
        </w:rPr>
        <w:t>,</w:t>
      </w:r>
      <w:r w:rsidR="00BD118D">
        <w:rPr>
          <w:sz w:val="24"/>
          <w:szCs w:val="24"/>
        </w:rPr>
        <w:t xml:space="preserve"> </w:t>
      </w:r>
      <w:r w:rsidR="00EA4967">
        <w:rPr>
          <w:sz w:val="24"/>
          <w:szCs w:val="24"/>
        </w:rPr>
        <w:t xml:space="preserve">pues se procedió a notificar el fallo a los correos indicados por el </w:t>
      </w:r>
      <w:r w:rsidR="00B95832">
        <w:rPr>
          <w:sz w:val="24"/>
          <w:szCs w:val="24"/>
        </w:rPr>
        <w:t>nuevo apoderado</w:t>
      </w:r>
      <w:r w:rsidR="004D28C7">
        <w:rPr>
          <w:sz w:val="24"/>
          <w:szCs w:val="24"/>
        </w:rPr>
        <w:t>, por lo que se trata de un hecho superado</w:t>
      </w:r>
      <w:r w:rsidR="00B95832">
        <w:rPr>
          <w:sz w:val="24"/>
          <w:szCs w:val="24"/>
        </w:rPr>
        <w:t>.</w:t>
      </w:r>
    </w:p>
    <w:p w14:paraId="4EB4E22E" w14:textId="77777777" w:rsidR="004D28C7" w:rsidRDefault="004D28C7" w:rsidP="00985D3D">
      <w:pPr>
        <w:tabs>
          <w:tab w:val="left" w:pos="2070"/>
        </w:tabs>
        <w:spacing w:line="360" w:lineRule="auto"/>
        <w:rPr>
          <w:sz w:val="24"/>
          <w:szCs w:val="24"/>
        </w:rPr>
      </w:pPr>
    </w:p>
    <w:p w14:paraId="32782FC6" w14:textId="279C26EA" w:rsidR="00326F04" w:rsidRDefault="00B95832" w:rsidP="00985D3D">
      <w:pPr>
        <w:tabs>
          <w:tab w:val="left" w:pos="2070"/>
        </w:tabs>
        <w:spacing w:line="360" w:lineRule="auto"/>
        <w:rPr>
          <w:sz w:val="24"/>
          <w:szCs w:val="24"/>
        </w:rPr>
      </w:pPr>
      <w:r>
        <w:rPr>
          <w:sz w:val="24"/>
          <w:szCs w:val="24"/>
        </w:rPr>
        <w:t>Sostuvo que, para la fecha en que</w:t>
      </w:r>
      <w:r w:rsidR="00DB4A76">
        <w:rPr>
          <w:sz w:val="24"/>
          <w:szCs w:val="24"/>
        </w:rPr>
        <w:t xml:space="preserve"> el profesional del derecho</w:t>
      </w:r>
      <w:r>
        <w:rPr>
          <w:sz w:val="24"/>
          <w:szCs w:val="24"/>
        </w:rPr>
        <w:t xml:space="preserve"> solicitó acceder al expediente digital</w:t>
      </w:r>
      <w:r w:rsidR="00D32E4C">
        <w:rPr>
          <w:sz w:val="24"/>
          <w:szCs w:val="24"/>
        </w:rPr>
        <w:t xml:space="preserve">, no fue posible </w:t>
      </w:r>
      <w:r w:rsidR="00DB4A76">
        <w:rPr>
          <w:sz w:val="24"/>
          <w:szCs w:val="24"/>
        </w:rPr>
        <w:t>contestarle favorablemente</w:t>
      </w:r>
      <w:r w:rsidR="008D3756">
        <w:rPr>
          <w:sz w:val="24"/>
          <w:szCs w:val="24"/>
        </w:rPr>
        <w:t xml:space="preserve">, </w:t>
      </w:r>
      <w:r w:rsidR="00D32E4C">
        <w:rPr>
          <w:sz w:val="24"/>
          <w:szCs w:val="24"/>
        </w:rPr>
        <w:t>ya que el Tribunal se encontraba en proceso de digitalización de los expedientes</w:t>
      </w:r>
      <w:r w:rsidR="00444C66">
        <w:rPr>
          <w:sz w:val="24"/>
          <w:szCs w:val="24"/>
        </w:rPr>
        <w:t xml:space="preserve"> y eran cientos de solicitudes en el mismo sentido, sin embargo, no se vulneró </w:t>
      </w:r>
      <w:r w:rsidR="003D6E9C">
        <w:rPr>
          <w:sz w:val="24"/>
          <w:szCs w:val="24"/>
        </w:rPr>
        <w:t xml:space="preserve">su </w:t>
      </w:r>
      <w:r w:rsidR="00444C66">
        <w:rPr>
          <w:sz w:val="24"/>
          <w:szCs w:val="24"/>
        </w:rPr>
        <w:t xml:space="preserve">derecho de defensa, </w:t>
      </w:r>
      <w:r w:rsidR="003D6E9C">
        <w:rPr>
          <w:sz w:val="24"/>
          <w:szCs w:val="24"/>
        </w:rPr>
        <w:t>ya que en ese momento el expediente se encontraba al despacho para proferir fallo</w:t>
      </w:r>
      <w:r w:rsidR="00031FCA">
        <w:rPr>
          <w:sz w:val="24"/>
          <w:szCs w:val="24"/>
        </w:rPr>
        <w:t xml:space="preserve">, es decir </w:t>
      </w:r>
      <w:r w:rsidR="00DB4A76">
        <w:rPr>
          <w:sz w:val="24"/>
          <w:szCs w:val="24"/>
        </w:rPr>
        <w:t>que</w:t>
      </w:r>
      <w:r w:rsidR="00031FCA">
        <w:rPr>
          <w:sz w:val="24"/>
          <w:szCs w:val="24"/>
        </w:rPr>
        <w:t xml:space="preserve"> ya se habían surtido todas las etapas de defensa y contradicción</w:t>
      </w:r>
      <w:r w:rsidR="00444C66">
        <w:rPr>
          <w:sz w:val="24"/>
          <w:szCs w:val="24"/>
        </w:rPr>
        <w:t>.</w:t>
      </w:r>
    </w:p>
    <w:p w14:paraId="5C4E4D00" w14:textId="42ECE413" w:rsidR="00031FCA" w:rsidRDefault="00031FCA" w:rsidP="00985D3D">
      <w:pPr>
        <w:tabs>
          <w:tab w:val="left" w:pos="2070"/>
        </w:tabs>
        <w:spacing w:line="360" w:lineRule="auto"/>
        <w:rPr>
          <w:sz w:val="24"/>
          <w:szCs w:val="24"/>
        </w:rPr>
      </w:pPr>
    </w:p>
    <w:p w14:paraId="14F67609" w14:textId="3ACD70A6" w:rsidR="00031FCA" w:rsidRDefault="00031FCA" w:rsidP="00985D3D">
      <w:pPr>
        <w:tabs>
          <w:tab w:val="left" w:pos="2070"/>
        </w:tabs>
        <w:spacing w:line="360" w:lineRule="auto"/>
        <w:rPr>
          <w:sz w:val="24"/>
          <w:szCs w:val="24"/>
        </w:rPr>
      </w:pPr>
      <w:r>
        <w:rPr>
          <w:sz w:val="24"/>
          <w:szCs w:val="24"/>
        </w:rPr>
        <w:t xml:space="preserve">En cuanto a la supuesta omisión </w:t>
      </w:r>
      <w:r w:rsidR="00333B60">
        <w:rPr>
          <w:sz w:val="24"/>
          <w:szCs w:val="24"/>
        </w:rPr>
        <w:t xml:space="preserve">del precedente, adujo que la motivación de la sentencia se basó en </w:t>
      </w:r>
      <w:r w:rsidR="00495E9F">
        <w:rPr>
          <w:sz w:val="24"/>
          <w:szCs w:val="24"/>
        </w:rPr>
        <w:t>un aspecto probatorio</w:t>
      </w:r>
      <w:r w:rsidR="001139F6">
        <w:rPr>
          <w:sz w:val="24"/>
          <w:szCs w:val="24"/>
        </w:rPr>
        <w:t xml:space="preserve"> y no jurisprudencial</w:t>
      </w:r>
      <w:r w:rsidR="00A060AF">
        <w:rPr>
          <w:sz w:val="24"/>
          <w:szCs w:val="24"/>
        </w:rPr>
        <w:t>, ya que, a partir de las pruebas allegadas, no se demostró la existencia de una relación laboral entre las partes de la litis.</w:t>
      </w:r>
    </w:p>
    <w:p w14:paraId="6F09C3D7" w14:textId="77777777" w:rsidR="00AF08F5" w:rsidRDefault="00AF08F5" w:rsidP="00985D3D">
      <w:pPr>
        <w:tabs>
          <w:tab w:val="left" w:pos="2070"/>
        </w:tabs>
        <w:spacing w:line="360" w:lineRule="auto"/>
        <w:rPr>
          <w:sz w:val="24"/>
          <w:szCs w:val="24"/>
        </w:rPr>
      </w:pPr>
    </w:p>
    <w:p w14:paraId="01B63FBC" w14:textId="77777777" w:rsidR="00326F04" w:rsidRPr="003E3F7C" w:rsidRDefault="00326F04" w:rsidP="00326F04">
      <w:pPr>
        <w:spacing w:line="360" w:lineRule="auto"/>
        <w:ind w:right="-93"/>
        <w:jc w:val="center"/>
        <w:rPr>
          <w:rFonts w:cs="Arial"/>
          <w:b/>
          <w:sz w:val="24"/>
          <w:szCs w:val="24"/>
        </w:rPr>
      </w:pPr>
      <w:r w:rsidRPr="003E3F7C">
        <w:rPr>
          <w:rFonts w:cs="Arial"/>
          <w:b/>
          <w:sz w:val="24"/>
          <w:szCs w:val="24"/>
        </w:rPr>
        <w:t>II. CONSIDERACIONES</w:t>
      </w:r>
    </w:p>
    <w:p w14:paraId="47B7B476" w14:textId="77777777" w:rsidR="00326F04" w:rsidRPr="003E3F7C" w:rsidRDefault="00326F04" w:rsidP="00326F04">
      <w:pPr>
        <w:spacing w:line="360" w:lineRule="auto"/>
        <w:ind w:right="49"/>
        <w:rPr>
          <w:rFonts w:cs="Arial"/>
          <w:b/>
          <w:sz w:val="24"/>
          <w:szCs w:val="24"/>
        </w:rPr>
      </w:pPr>
    </w:p>
    <w:p w14:paraId="6D92F04D" w14:textId="77777777" w:rsidR="00326F04" w:rsidRPr="003E3F7C" w:rsidRDefault="00326F04" w:rsidP="00326F04">
      <w:pPr>
        <w:spacing w:line="360" w:lineRule="auto"/>
        <w:ind w:right="49"/>
        <w:rPr>
          <w:rFonts w:cs="Arial"/>
          <w:b/>
          <w:sz w:val="24"/>
          <w:szCs w:val="24"/>
        </w:rPr>
      </w:pPr>
      <w:r w:rsidRPr="003E3F7C">
        <w:rPr>
          <w:rFonts w:cs="Arial"/>
          <w:b/>
          <w:sz w:val="24"/>
          <w:szCs w:val="24"/>
        </w:rPr>
        <w:t xml:space="preserve">1.- Competencia </w:t>
      </w:r>
    </w:p>
    <w:p w14:paraId="1EC0DC99" w14:textId="2BA35B1D" w:rsidR="00B375CA" w:rsidRPr="003E3F7C" w:rsidRDefault="00B375CA" w:rsidP="00985D3D">
      <w:pPr>
        <w:tabs>
          <w:tab w:val="left" w:pos="2070"/>
        </w:tabs>
        <w:spacing w:line="360" w:lineRule="auto"/>
        <w:rPr>
          <w:i/>
          <w:sz w:val="24"/>
          <w:szCs w:val="24"/>
        </w:rPr>
      </w:pPr>
    </w:p>
    <w:p w14:paraId="06851D90" w14:textId="3E906D67" w:rsidR="003E3F7C" w:rsidRPr="003E3F7C" w:rsidRDefault="003E3F7C" w:rsidP="003E3F7C">
      <w:pPr>
        <w:spacing w:line="360" w:lineRule="auto"/>
        <w:rPr>
          <w:sz w:val="24"/>
          <w:szCs w:val="24"/>
        </w:rPr>
      </w:pPr>
      <w:r w:rsidRPr="003E3F7C">
        <w:rPr>
          <w:sz w:val="24"/>
          <w:szCs w:val="24"/>
        </w:rPr>
        <w:t xml:space="preserve">Esta Sala es competente para conocer </w:t>
      </w:r>
      <w:r w:rsidR="003A6A16">
        <w:rPr>
          <w:sz w:val="24"/>
          <w:szCs w:val="24"/>
        </w:rPr>
        <w:t xml:space="preserve">de </w:t>
      </w:r>
      <w:r w:rsidRPr="003E3F7C">
        <w:rPr>
          <w:sz w:val="24"/>
          <w:szCs w:val="24"/>
        </w:rPr>
        <w:t xml:space="preserve">la acción de tutela de conformidad con lo establecido en los </w:t>
      </w:r>
      <w:r w:rsidRPr="003E3F7C">
        <w:rPr>
          <w:rFonts w:eastAsia="Arial"/>
          <w:sz w:val="24"/>
          <w:szCs w:val="24"/>
        </w:rPr>
        <w:t>artículos 86 de la Constitución, 37 del Decreto 2591 de 1991 y 13 del Acuerdo 080 de 2019 de la Sala Plena del Consejo de Estado.</w:t>
      </w:r>
    </w:p>
    <w:p w14:paraId="7FAB4841" w14:textId="1ABF33EA" w:rsidR="00BB3844" w:rsidRDefault="00BB3844" w:rsidP="00326F04">
      <w:pPr>
        <w:tabs>
          <w:tab w:val="left" w:pos="2070"/>
        </w:tabs>
        <w:spacing w:line="360" w:lineRule="auto"/>
        <w:rPr>
          <w:sz w:val="24"/>
          <w:szCs w:val="24"/>
        </w:rPr>
      </w:pPr>
    </w:p>
    <w:p w14:paraId="50B99EFC" w14:textId="77777777" w:rsidR="003E3F7C" w:rsidRPr="003E3F7C" w:rsidRDefault="003E3F7C" w:rsidP="003E3F7C">
      <w:pPr>
        <w:widowControl w:val="0"/>
        <w:spacing w:line="360" w:lineRule="auto"/>
        <w:ind w:right="49"/>
        <w:rPr>
          <w:b/>
          <w:sz w:val="24"/>
          <w:szCs w:val="24"/>
        </w:rPr>
      </w:pPr>
      <w:r w:rsidRPr="003E3F7C">
        <w:rPr>
          <w:rFonts w:eastAsia="Dotum"/>
          <w:b/>
          <w:sz w:val="24"/>
          <w:szCs w:val="24"/>
        </w:rPr>
        <w:t xml:space="preserve">2.- De la legitimación en la causa </w:t>
      </w:r>
    </w:p>
    <w:p w14:paraId="7C151A50" w14:textId="77777777" w:rsidR="003E3F7C" w:rsidRPr="003E3F7C" w:rsidRDefault="003E3F7C" w:rsidP="003E3F7C">
      <w:pPr>
        <w:spacing w:line="360" w:lineRule="auto"/>
        <w:ind w:right="49"/>
        <w:rPr>
          <w:rFonts w:eastAsia="Times New Roman"/>
          <w:bCs/>
          <w:sz w:val="24"/>
          <w:szCs w:val="24"/>
          <w:lang w:eastAsia="es-ES"/>
        </w:rPr>
      </w:pPr>
    </w:p>
    <w:p w14:paraId="509F5710" w14:textId="77777777" w:rsidR="003E3F7C" w:rsidRPr="003E3F7C" w:rsidRDefault="003E3F7C" w:rsidP="003E3F7C">
      <w:pPr>
        <w:spacing w:line="360" w:lineRule="auto"/>
        <w:ind w:right="49"/>
        <w:rPr>
          <w:rFonts w:eastAsia="Times New Roman"/>
          <w:bCs/>
          <w:sz w:val="24"/>
          <w:szCs w:val="24"/>
          <w:lang w:val="es-ES" w:eastAsia="es-ES"/>
        </w:rPr>
      </w:pPr>
      <w:r w:rsidRPr="003E3F7C">
        <w:rPr>
          <w:rFonts w:eastAsia="Times New Roman"/>
          <w:bCs/>
          <w:sz w:val="24"/>
          <w:szCs w:val="24"/>
          <w:lang w:val="es-ES" w:eastAsia="es-ES"/>
        </w:rPr>
        <w:t xml:space="preserve">La legitimación en la causa consiste, de una parte, en ser el titular del derecho o del interés que se invoca como fundamento de las pretensiones que se aducen, y, de otra, en ser el sujeto frente a quien deben reclamarse y controvertirse estas. Así estarían definidas la legitimación en la causa por activa y por pasiva, respectivamente. </w:t>
      </w:r>
    </w:p>
    <w:p w14:paraId="0BDBDF27" w14:textId="77777777" w:rsidR="003E3F7C" w:rsidRPr="003E3F7C" w:rsidRDefault="003E3F7C" w:rsidP="003E3F7C">
      <w:pPr>
        <w:spacing w:line="360" w:lineRule="auto"/>
        <w:ind w:right="49"/>
        <w:rPr>
          <w:rFonts w:eastAsia="Times New Roman"/>
          <w:bCs/>
          <w:sz w:val="24"/>
          <w:szCs w:val="24"/>
          <w:lang w:val="es-ES" w:eastAsia="es-ES"/>
        </w:rPr>
      </w:pPr>
    </w:p>
    <w:p w14:paraId="0D0C8295" w14:textId="77777777" w:rsidR="003E3F7C" w:rsidRPr="003E3F7C" w:rsidRDefault="003E3F7C" w:rsidP="003E3F7C">
      <w:pPr>
        <w:spacing w:line="360" w:lineRule="auto"/>
        <w:ind w:right="49"/>
        <w:rPr>
          <w:rFonts w:eastAsia="Times New Roman"/>
          <w:bCs/>
          <w:sz w:val="24"/>
          <w:szCs w:val="24"/>
          <w:lang w:val="es-ES" w:eastAsia="es-ES"/>
        </w:rPr>
      </w:pPr>
      <w:r w:rsidRPr="003E3F7C">
        <w:rPr>
          <w:rFonts w:eastAsia="Times New Roman"/>
          <w:bCs/>
          <w:sz w:val="24"/>
          <w:szCs w:val="24"/>
          <w:lang w:val="es-ES" w:eastAsia="es-ES"/>
        </w:rPr>
        <w:t xml:space="preserve">De esta manera, si los demandantes carecen de legitimación en la causa, no será posible que se les satisfaga las pretensiones que aducen, toda vez que no ostentan la titularidad de la relación jurídica, del derecho o del interés sustancial que les sirve de soporte a sus pedimentos. Ahora, si son los demandados los que no están legitimados, no podrán ser </w:t>
      </w:r>
      <w:r w:rsidRPr="003E3F7C">
        <w:rPr>
          <w:rFonts w:eastAsia="Times New Roman"/>
          <w:bCs/>
          <w:sz w:val="24"/>
          <w:szCs w:val="24"/>
          <w:lang w:val="es-ES" w:eastAsia="es-ES"/>
        </w:rPr>
        <w:lastRenderedPageBreak/>
        <w:t>constreñidos a realizar en favor de alguien alguna prestación, puesto que lo pretendido ha debido suplicársele a otros sujetos</w:t>
      </w:r>
      <w:r w:rsidRPr="003E3F7C">
        <w:rPr>
          <w:rFonts w:eastAsia="Times New Roman"/>
          <w:bCs/>
          <w:sz w:val="24"/>
          <w:szCs w:val="24"/>
          <w:vertAlign w:val="superscript"/>
          <w:lang w:val="es-ES" w:eastAsia="es-ES"/>
        </w:rPr>
        <w:footnoteReference w:id="14"/>
      </w:r>
      <w:r w:rsidRPr="003E3F7C">
        <w:rPr>
          <w:rFonts w:eastAsia="Times New Roman"/>
          <w:bCs/>
          <w:sz w:val="24"/>
          <w:szCs w:val="24"/>
          <w:lang w:val="es-ES" w:eastAsia="es-ES"/>
        </w:rPr>
        <w:t xml:space="preserve">. </w:t>
      </w:r>
    </w:p>
    <w:p w14:paraId="7B931BD1" w14:textId="77777777" w:rsidR="003E3F7C" w:rsidRPr="003E3F7C" w:rsidRDefault="003E3F7C" w:rsidP="003E3F7C">
      <w:pPr>
        <w:shd w:val="clear" w:color="auto" w:fill="FFFFFF"/>
        <w:spacing w:line="360" w:lineRule="auto"/>
        <w:ind w:right="49"/>
        <w:textAlignment w:val="baseline"/>
        <w:rPr>
          <w:color w:val="000000"/>
          <w:sz w:val="24"/>
          <w:szCs w:val="24"/>
          <w:shd w:val="clear" w:color="auto" w:fill="FFFFFF"/>
        </w:rPr>
      </w:pPr>
    </w:p>
    <w:p w14:paraId="559F2D7E" w14:textId="77777777" w:rsidR="003E3F7C" w:rsidRPr="003E3F7C" w:rsidRDefault="003E3F7C" w:rsidP="003E3F7C">
      <w:pPr>
        <w:spacing w:line="360" w:lineRule="auto"/>
        <w:ind w:right="49"/>
        <w:contextualSpacing/>
        <w:rPr>
          <w:rFonts w:eastAsia="Verdana"/>
          <w:sz w:val="24"/>
          <w:szCs w:val="24"/>
        </w:rPr>
      </w:pPr>
      <w:r w:rsidRPr="003E3F7C">
        <w:rPr>
          <w:rFonts w:eastAsia="Verdana"/>
          <w:sz w:val="24"/>
          <w:szCs w:val="24"/>
        </w:rPr>
        <w:t>Respecto de la acción de tutela en contra de providencias, son titulares del derecho y, por ende, se encuentran legitimados en la causa por activa para promoverla, quienes fueron parte</w:t>
      </w:r>
      <w:r w:rsidRPr="003E3F7C">
        <w:rPr>
          <w:rStyle w:val="Refdenotaalpie"/>
          <w:rFonts w:eastAsia="Verdana"/>
          <w:sz w:val="24"/>
          <w:szCs w:val="24"/>
        </w:rPr>
        <w:footnoteReference w:id="15"/>
      </w:r>
      <w:r w:rsidRPr="003E3F7C">
        <w:rPr>
          <w:rFonts w:eastAsia="Verdana"/>
          <w:sz w:val="24"/>
          <w:szCs w:val="24"/>
        </w:rPr>
        <w:t xml:space="preserve"> en los procesos judiciales. Sin embargo, para que los profesionales del derecho que actuaron en tales asuntos puedan invocar la causa tuitiva, requieren de un poder especial</w:t>
      </w:r>
      <w:r w:rsidRPr="003E3F7C">
        <w:rPr>
          <w:rStyle w:val="Refdenotaalpie"/>
          <w:rFonts w:eastAsia="Verdana"/>
          <w:sz w:val="24"/>
          <w:szCs w:val="24"/>
        </w:rPr>
        <w:footnoteReference w:id="16"/>
      </w:r>
      <w:r w:rsidRPr="003E3F7C">
        <w:rPr>
          <w:rFonts w:eastAsia="Verdana"/>
          <w:sz w:val="24"/>
          <w:szCs w:val="24"/>
        </w:rPr>
        <w:t>.</w:t>
      </w:r>
    </w:p>
    <w:p w14:paraId="4A0C30D1" w14:textId="77777777" w:rsidR="003E3F7C" w:rsidRDefault="003E3F7C" w:rsidP="00326F04">
      <w:pPr>
        <w:tabs>
          <w:tab w:val="left" w:pos="2070"/>
        </w:tabs>
        <w:spacing w:line="360" w:lineRule="auto"/>
        <w:rPr>
          <w:sz w:val="24"/>
          <w:szCs w:val="24"/>
        </w:rPr>
      </w:pPr>
    </w:p>
    <w:p w14:paraId="391DD8A1" w14:textId="6838075E" w:rsidR="003E3F7C" w:rsidRDefault="003E3F7C" w:rsidP="00326F04">
      <w:pPr>
        <w:tabs>
          <w:tab w:val="left" w:pos="2070"/>
        </w:tabs>
        <w:spacing w:line="360" w:lineRule="auto"/>
        <w:rPr>
          <w:b/>
          <w:sz w:val="24"/>
          <w:szCs w:val="24"/>
        </w:rPr>
      </w:pPr>
      <w:r>
        <w:rPr>
          <w:b/>
          <w:sz w:val="24"/>
          <w:szCs w:val="24"/>
        </w:rPr>
        <w:t xml:space="preserve">3.- Caso concreto </w:t>
      </w:r>
    </w:p>
    <w:p w14:paraId="2F8B2C51" w14:textId="77777777" w:rsidR="005033D9" w:rsidRDefault="005033D9" w:rsidP="00326F04">
      <w:pPr>
        <w:tabs>
          <w:tab w:val="left" w:pos="2070"/>
        </w:tabs>
        <w:spacing w:line="360" w:lineRule="auto"/>
        <w:rPr>
          <w:sz w:val="24"/>
          <w:szCs w:val="24"/>
        </w:rPr>
      </w:pPr>
    </w:p>
    <w:p w14:paraId="095694CF" w14:textId="067C7F51" w:rsidR="00B46930" w:rsidRDefault="00EC2195" w:rsidP="00326F04">
      <w:pPr>
        <w:tabs>
          <w:tab w:val="left" w:pos="2070"/>
        </w:tabs>
        <w:spacing w:line="360" w:lineRule="auto"/>
        <w:rPr>
          <w:sz w:val="24"/>
          <w:szCs w:val="24"/>
        </w:rPr>
      </w:pPr>
      <w:r>
        <w:rPr>
          <w:sz w:val="24"/>
          <w:szCs w:val="24"/>
        </w:rPr>
        <w:t xml:space="preserve">En el presente asunto se tiene que </w:t>
      </w:r>
      <w:r w:rsidR="00B46930">
        <w:rPr>
          <w:sz w:val="24"/>
          <w:szCs w:val="24"/>
        </w:rPr>
        <w:t>la</w:t>
      </w:r>
      <w:r>
        <w:rPr>
          <w:sz w:val="24"/>
          <w:szCs w:val="24"/>
        </w:rPr>
        <w:t xml:space="preserve"> señor</w:t>
      </w:r>
      <w:r w:rsidR="00B46930">
        <w:rPr>
          <w:sz w:val="24"/>
          <w:szCs w:val="24"/>
        </w:rPr>
        <w:t>a</w:t>
      </w:r>
      <w:r>
        <w:rPr>
          <w:sz w:val="24"/>
          <w:szCs w:val="24"/>
        </w:rPr>
        <w:t xml:space="preserve"> </w:t>
      </w:r>
      <w:r w:rsidR="00C344A8">
        <w:rPr>
          <w:sz w:val="24"/>
          <w:szCs w:val="24"/>
        </w:rPr>
        <w:t>Francia Stella Gaviria Toro</w:t>
      </w:r>
      <w:r>
        <w:rPr>
          <w:sz w:val="24"/>
          <w:szCs w:val="24"/>
        </w:rPr>
        <w:t xml:space="preserve">, en su calidad de demandante dentro del medio de control de </w:t>
      </w:r>
      <w:r w:rsidR="00853523" w:rsidRPr="00844CB3">
        <w:rPr>
          <w:sz w:val="24"/>
          <w:szCs w:val="24"/>
        </w:rPr>
        <w:t xml:space="preserve">nulidad y restablecimiento del derecho No. </w:t>
      </w:r>
      <w:r w:rsidR="00C344A8" w:rsidRPr="00CB6766">
        <w:rPr>
          <w:iCs/>
          <w:sz w:val="24"/>
          <w:szCs w:val="24"/>
        </w:rPr>
        <w:t>76001333301720150003900/01</w:t>
      </w:r>
      <w:r>
        <w:rPr>
          <w:sz w:val="24"/>
          <w:szCs w:val="24"/>
        </w:rPr>
        <w:t xml:space="preserve">, </w:t>
      </w:r>
      <w:r w:rsidR="00B46930">
        <w:rPr>
          <w:sz w:val="24"/>
          <w:szCs w:val="24"/>
        </w:rPr>
        <w:t>es la legítima</w:t>
      </w:r>
      <w:r>
        <w:rPr>
          <w:sz w:val="24"/>
          <w:szCs w:val="24"/>
        </w:rPr>
        <w:t xml:space="preserve"> titular de los derechos fundamentales que se aducen vulnerados en </w:t>
      </w:r>
      <w:r w:rsidR="00584607">
        <w:rPr>
          <w:sz w:val="24"/>
          <w:szCs w:val="24"/>
        </w:rPr>
        <w:t>esta</w:t>
      </w:r>
      <w:r>
        <w:rPr>
          <w:sz w:val="24"/>
          <w:szCs w:val="24"/>
        </w:rPr>
        <w:t xml:space="preserve"> acción tuitiva.</w:t>
      </w:r>
    </w:p>
    <w:p w14:paraId="715A8F9D" w14:textId="58E2A165" w:rsidR="006C684F" w:rsidRDefault="00EC2195" w:rsidP="00326F04">
      <w:pPr>
        <w:tabs>
          <w:tab w:val="left" w:pos="2070"/>
        </w:tabs>
        <w:spacing w:line="360" w:lineRule="auto"/>
        <w:rPr>
          <w:sz w:val="24"/>
          <w:szCs w:val="24"/>
        </w:rPr>
      </w:pPr>
      <w:r>
        <w:rPr>
          <w:sz w:val="24"/>
          <w:szCs w:val="24"/>
        </w:rPr>
        <w:t xml:space="preserve"> </w:t>
      </w:r>
    </w:p>
    <w:p w14:paraId="3E7DB0A0" w14:textId="5BA4A426" w:rsidR="0007131C" w:rsidRDefault="004D3AD0" w:rsidP="00326F04">
      <w:pPr>
        <w:tabs>
          <w:tab w:val="left" w:pos="2070"/>
        </w:tabs>
        <w:spacing w:line="360" w:lineRule="auto"/>
        <w:rPr>
          <w:sz w:val="24"/>
          <w:szCs w:val="24"/>
        </w:rPr>
      </w:pPr>
      <w:r>
        <w:rPr>
          <w:sz w:val="24"/>
          <w:szCs w:val="24"/>
        </w:rPr>
        <w:t xml:space="preserve">No obstante, </w:t>
      </w:r>
      <w:r w:rsidR="00EC2195">
        <w:rPr>
          <w:sz w:val="24"/>
          <w:szCs w:val="24"/>
        </w:rPr>
        <w:t>r</w:t>
      </w:r>
      <w:r w:rsidR="003E3F7C" w:rsidRPr="00EC2195">
        <w:rPr>
          <w:sz w:val="24"/>
          <w:szCs w:val="24"/>
        </w:rPr>
        <w:t>evisado el expediente</w:t>
      </w:r>
      <w:r>
        <w:rPr>
          <w:sz w:val="24"/>
          <w:szCs w:val="24"/>
        </w:rPr>
        <w:t>,</w:t>
      </w:r>
      <w:r w:rsidR="003E3F7C" w:rsidRPr="00EC2195">
        <w:rPr>
          <w:sz w:val="24"/>
          <w:szCs w:val="24"/>
        </w:rPr>
        <w:t xml:space="preserve"> se observa que no obra mandato otorgado por </w:t>
      </w:r>
      <w:r w:rsidR="00B46930">
        <w:rPr>
          <w:sz w:val="24"/>
          <w:szCs w:val="24"/>
        </w:rPr>
        <w:t>la prenombrada</w:t>
      </w:r>
      <w:r w:rsidR="00C11842">
        <w:rPr>
          <w:sz w:val="24"/>
          <w:szCs w:val="24"/>
        </w:rPr>
        <w:t xml:space="preserve"> en </w:t>
      </w:r>
      <w:r w:rsidR="00DD6C33">
        <w:rPr>
          <w:sz w:val="24"/>
          <w:szCs w:val="24"/>
        </w:rPr>
        <w:t>favor de</w:t>
      </w:r>
      <w:r w:rsidR="00C11842">
        <w:rPr>
          <w:sz w:val="24"/>
          <w:szCs w:val="24"/>
        </w:rPr>
        <w:t xml:space="preserve">l abogado </w:t>
      </w:r>
      <w:r w:rsidR="00C344A8">
        <w:rPr>
          <w:sz w:val="24"/>
          <w:szCs w:val="24"/>
        </w:rPr>
        <w:t xml:space="preserve">Luis Miguel Merino Jaramillo </w:t>
      </w:r>
      <w:r w:rsidR="001D58CD">
        <w:rPr>
          <w:sz w:val="24"/>
          <w:szCs w:val="24"/>
        </w:rPr>
        <w:t>para interponer</w:t>
      </w:r>
      <w:r w:rsidR="00AD448F">
        <w:rPr>
          <w:sz w:val="24"/>
          <w:szCs w:val="24"/>
        </w:rPr>
        <w:t>,</w:t>
      </w:r>
      <w:r w:rsidR="001D58CD">
        <w:rPr>
          <w:sz w:val="24"/>
          <w:szCs w:val="24"/>
        </w:rPr>
        <w:t xml:space="preserve"> </w:t>
      </w:r>
      <w:r w:rsidR="00C11842">
        <w:rPr>
          <w:sz w:val="24"/>
          <w:szCs w:val="24"/>
        </w:rPr>
        <w:t>específicamente</w:t>
      </w:r>
      <w:r w:rsidR="00AD448F">
        <w:rPr>
          <w:sz w:val="24"/>
          <w:szCs w:val="24"/>
        </w:rPr>
        <w:t>,</w:t>
      </w:r>
      <w:r w:rsidR="00C11842">
        <w:rPr>
          <w:sz w:val="24"/>
          <w:szCs w:val="24"/>
        </w:rPr>
        <w:t xml:space="preserve"> </w:t>
      </w:r>
      <w:r w:rsidR="001D58CD">
        <w:rPr>
          <w:sz w:val="24"/>
          <w:szCs w:val="24"/>
        </w:rPr>
        <w:t>la acción constitucional</w:t>
      </w:r>
      <w:r w:rsidR="00AD448F">
        <w:rPr>
          <w:sz w:val="24"/>
          <w:szCs w:val="24"/>
        </w:rPr>
        <w:t xml:space="preserve"> objeto de estudio</w:t>
      </w:r>
      <w:r w:rsidR="003E3F7C" w:rsidRPr="00EC2195">
        <w:rPr>
          <w:sz w:val="24"/>
          <w:szCs w:val="24"/>
        </w:rPr>
        <w:t>. De esta manera, se impone la improcedencia del amparo</w:t>
      </w:r>
      <w:r>
        <w:rPr>
          <w:sz w:val="24"/>
          <w:szCs w:val="24"/>
        </w:rPr>
        <w:t>,</w:t>
      </w:r>
      <w:r w:rsidR="003E3F7C" w:rsidRPr="00EC2195">
        <w:rPr>
          <w:sz w:val="24"/>
          <w:szCs w:val="24"/>
        </w:rPr>
        <w:t xml:space="preserve"> por falta de legit</w:t>
      </w:r>
      <w:r w:rsidR="0007131C">
        <w:rPr>
          <w:sz w:val="24"/>
          <w:szCs w:val="24"/>
        </w:rPr>
        <w:t>imación en la causa por activa.</w:t>
      </w:r>
    </w:p>
    <w:p w14:paraId="5F0A1D05" w14:textId="77777777" w:rsidR="009D3EE8" w:rsidRDefault="009D3EE8" w:rsidP="00326F04">
      <w:pPr>
        <w:tabs>
          <w:tab w:val="left" w:pos="2070"/>
        </w:tabs>
        <w:spacing w:line="360" w:lineRule="auto"/>
        <w:rPr>
          <w:sz w:val="24"/>
          <w:szCs w:val="24"/>
        </w:rPr>
      </w:pPr>
    </w:p>
    <w:p w14:paraId="3170674D" w14:textId="67087261" w:rsidR="009D3EE8" w:rsidRDefault="0007131C" w:rsidP="009D3EE8">
      <w:pPr>
        <w:tabs>
          <w:tab w:val="left" w:pos="2070"/>
        </w:tabs>
        <w:spacing w:line="360" w:lineRule="auto"/>
        <w:rPr>
          <w:sz w:val="24"/>
          <w:szCs w:val="24"/>
        </w:rPr>
      </w:pPr>
      <w:r>
        <w:rPr>
          <w:sz w:val="24"/>
          <w:szCs w:val="24"/>
        </w:rPr>
        <w:t>Ahora</w:t>
      </w:r>
      <w:r w:rsidR="001E6210">
        <w:rPr>
          <w:sz w:val="24"/>
          <w:szCs w:val="24"/>
        </w:rPr>
        <w:t xml:space="preserve">, </w:t>
      </w:r>
      <w:r>
        <w:rPr>
          <w:sz w:val="24"/>
          <w:szCs w:val="24"/>
        </w:rPr>
        <w:t xml:space="preserve">si bien es cierto que </w:t>
      </w:r>
      <w:r w:rsidR="00D32F4C">
        <w:rPr>
          <w:sz w:val="24"/>
          <w:szCs w:val="24"/>
        </w:rPr>
        <w:t>dentro de las pruebas allegadas</w:t>
      </w:r>
      <w:r w:rsidR="007A089C">
        <w:rPr>
          <w:sz w:val="24"/>
          <w:szCs w:val="24"/>
        </w:rPr>
        <w:t xml:space="preserve"> </w:t>
      </w:r>
      <w:r w:rsidR="00D32F4C">
        <w:rPr>
          <w:sz w:val="24"/>
          <w:szCs w:val="24"/>
        </w:rPr>
        <w:t>se avizora</w:t>
      </w:r>
      <w:r w:rsidR="00986A5B">
        <w:rPr>
          <w:sz w:val="24"/>
          <w:szCs w:val="24"/>
        </w:rPr>
        <w:t>n</w:t>
      </w:r>
      <w:r w:rsidR="00D32F4C">
        <w:rPr>
          <w:sz w:val="24"/>
          <w:szCs w:val="24"/>
        </w:rPr>
        <w:t xml:space="preserve"> un poder especial</w:t>
      </w:r>
      <w:r w:rsidR="00AD448F">
        <w:rPr>
          <w:rStyle w:val="Refdenotaalpie"/>
          <w:sz w:val="24"/>
          <w:szCs w:val="24"/>
        </w:rPr>
        <w:footnoteReference w:id="17"/>
      </w:r>
      <w:r w:rsidR="00D32F4C">
        <w:rPr>
          <w:sz w:val="24"/>
          <w:szCs w:val="24"/>
        </w:rPr>
        <w:t xml:space="preserve"> otorgado por </w:t>
      </w:r>
      <w:r w:rsidR="00986A5B">
        <w:rPr>
          <w:sz w:val="24"/>
          <w:szCs w:val="24"/>
        </w:rPr>
        <w:t xml:space="preserve">Francia Stella Gaviria Toro </w:t>
      </w:r>
      <w:r w:rsidR="00D32F4C">
        <w:rPr>
          <w:sz w:val="24"/>
          <w:szCs w:val="24"/>
        </w:rPr>
        <w:t xml:space="preserve">al </w:t>
      </w:r>
      <w:r w:rsidR="00C07827">
        <w:rPr>
          <w:sz w:val="24"/>
          <w:szCs w:val="24"/>
        </w:rPr>
        <w:t xml:space="preserve">mencionado </w:t>
      </w:r>
      <w:r w:rsidR="00D32F4C">
        <w:rPr>
          <w:sz w:val="24"/>
          <w:szCs w:val="24"/>
        </w:rPr>
        <w:t>profesional del derecho</w:t>
      </w:r>
      <w:r w:rsidR="00C07827">
        <w:rPr>
          <w:sz w:val="24"/>
          <w:szCs w:val="24"/>
        </w:rPr>
        <w:t>,</w:t>
      </w:r>
      <w:r w:rsidR="00D32F4C">
        <w:rPr>
          <w:sz w:val="24"/>
          <w:szCs w:val="24"/>
        </w:rPr>
        <w:t xml:space="preserve"> este </w:t>
      </w:r>
      <w:r w:rsidR="000F59DC">
        <w:rPr>
          <w:sz w:val="24"/>
          <w:szCs w:val="24"/>
        </w:rPr>
        <w:t>lo faculta para actuar,</w:t>
      </w:r>
      <w:r w:rsidR="00D32F4C">
        <w:rPr>
          <w:sz w:val="24"/>
          <w:szCs w:val="24"/>
        </w:rPr>
        <w:t xml:space="preserve"> específicamente</w:t>
      </w:r>
      <w:r w:rsidR="000F59DC">
        <w:rPr>
          <w:sz w:val="24"/>
          <w:szCs w:val="24"/>
        </w:rPr>
        <w:t>,</w:t>
      </w:r>
      <w:r w:rsidR="00D32F4C">
        <w:rPr>
          <w:sz w:val="24"/>
          <w:szCs w:val="24"/>
        </w:rPr>
        <w:t xml:space="preserve"> </w:t>
      </w:r>
      <w:r w:rsidR="000F59DC">
        <w:rPr>
          <w:sz w:val="24"/>
          <w:szCs w:val="24"/>
        </w:rPr>
        <w:t xml:space="preserve">en el medio de control de </w:t>
      </w:r>
      <w:r w:rsidR="00D32F4C">
        <w:rPr>
          <w:sz w:val="24"/>
          <w:szCs w:val="24"/>
        </w:rPr>
        <w:t>nulidad y restablecimiento</w:t>
      </w:r>
      <w:r w:rsidR="001E6210">
        <w:rPr>
          <w:sz w:val="24"/>
          <w:szCs w:val="24"/>
        </w:rPr>
        <w:t xml:space="preserve">, no así </w:t>
      </w:r>
      <w:r w:rsidR="00C07827">
        <w:rPr>
          <w:sz w:val="24"/>
          <w:szCs w:val="24"/>
        </w:rPr>
        <w:t>en</w:t>
      </w:r>
      <w:r w:rsidR="00DD176A">
        <w:rPr>
          <w:sz w:val="24"/>
          <w:szCs w:val="24"/>
        </w:rPr>
        <w:t xml:space="preserve"> esta </w:t>
      </w:r>
      <w:r w:rsidR="001E6210">
        <w:rPr>
          <w:sz w:val="24"/>
          <w:szCs w:val="24"/>
        </w:rPr>
        <w:t>causa</w:t>
      </w:r>
      <w:r w:rsidR="00BD034F">
        <w:rPr>
          <w:sz w:val="24"/>
          <w:szCs w:val="24"/>
        </w:rPr>
        <w:t>.</w:t>
      </w:r>
    </w:p>
    <w:p w14:paraId="0CFEDFDE" w14:textId="77777777" w:rsidR="00063571" w:rsidRPr="00EC2195" w:rsidRDefault="00063571" w:rsidP="00063571">
      <w:pPr>
        <w:tabs>
          <w:tab w:val="left" w:pos="709"/>
          <w:tab w:val="left" w:pos="1701"/>
        </w:tabs>
        <w:spacing w:line="360" w:lineRule="auto"/>
        <w:rPr>
          <w:sz w:val="24"/>
          <w:szCs w:val="24"/>
        </w:rPr>
      </w:pPr>
      <w:r w:rsidRPr="00EC2195">
        <w:rPr>
          <w:sz w:val="24"/>
          <w:szCs w:val="24"/>
        </w:rPr>
        <w:lastRenderedPageBreak/>
        <w:t>En mérito de lo expuesto, la Subsección C de la Sección Tercera de la Sala de lo Contencioso Administrativo del Consejo de Estado, administrando justicia en nombre de la República y por autoridad de la ley,</w:t>
      </w:r>
    </w:p>
    <w:p w14:paraId="28DEFC66" w14:textId="77777777" w:rsidR="00063571" w:rsidRPr="00EC2195" w:rsidRDefault="00063571" w:rsidP="00326F04">
      <w:pPr>
        <w:tabs>
          <w:tab w:val="left" w:pos="2070"/>
        </w:tabs>
        <w:spacing w:line="360" w:lineRule="auto"/>
        <w:rPr>
          <w:sz w:val="24"/>
          <w:szCs w:val="24"/>
        </w:rPr>
      </w:pPr>
    </w:p>
    <w:p w14:paraId="1A178119" w14:textId="12C0630B" w:rsidR="00063571" w:rsidRPr="00EC2195" w:rsidRDefault="00063571" w:rsidP="00063571">
      <w:pPr>
        <w:tabs>
          <w:tab w:val="left" w:pos="2070"/>
        </w:tabs>
        <w:spacing w:line="360" w:lineRule="auto"/>
        <w:jc w:val="center"/>
        <w:rPr>
          <w:b/>
          <w:sz w:val="24"/>
          <w:szCs w:val="24"/>
        </w:rPr>
      </w:pPr>
      <w:r w:rsidRPr="00EC2195">
        <w:rPr>
          <w:b/>
          <w:sz w:val="24"/>
          <w:szCs w:val="24"/>
        </w:rPr>
        <w:t>III. RESUELVE</w:t>
      </w:r>
    </w:p>
    <w:p w14:paraId="79A450FE" w14:textId="77777777" w:rsidR="00063571" w:rsidRPr="00EC2195" w:rsidRDefault="00063571" w:rsidP="00063571">
      <w:pPr>
        <w:tabs>
          <w:tab w:val="left" w:pos="2070"/>
        </w:tabs>
        <w:spacing w:line="360" w:lineRule="auto"/>
        <w:rPr>
          <w:b/>
          <w:sz w:val="24"/>
          <w:szCs w:val="24"/>
        </w:rPr>
      </w:pPr>
    </w:p>
    <w:p w14:paraId="2FC422BA" w14:textId="41AF3811" w:rsidR="00063571" w:rsidRPr="00EC2195" w:rsidRDefault="00063571" w:rsidP="00063571">
      <w:pPr>
        <w:tabs>
          <w:tab w:val="left" w:pos="2070"/>
        </w:tabs>
        <w:spacing w:line="360" w:lineRule="auto"/>
        <w:rPr>
          <w:sz w:val="24"/>
          <w:szCs w:val="24"/>
        </w:rPr>
      </w:pPr>
      <w:r w:rsidRPr="00EC2195">
        <w:rPr>
          <w:b/>
          <w:sz w:val="24"/>
          <w:szCs w:val="24"/>
        </w:rPr>
        <w:t xml:space="preserve">PRIMERO: DECLARAR IMPROCEDENTE </w:t>
      </w:r>
      <w:r w:rsidRPr="00EC2195">
        <w:rPr>
          <w:sz w:val="24"/>
          <w:szCs w:val="24"/>
        </w:rPr>
        <w:t xml:space="preserve">la </w:t>
      </w:r>
      <w:r w:rsidR="00EF4065">
        <w:rPr>
          <w:sz w:val="24"/>
          <w:szCs w:val="24"/>
        </w:rPr>
        <w:t>solicitud de amparo</w:t>
      </w:r>
      <w:r w:rsidRPr="00EC2195">
        <w:rPr>
          <w:sz w:val="24"/>
          <w:szCs w:val="24"/>
        </w:rPr>
        <w:t xml:space="preserve"> </w:t>
      </w:r>
      <w:r w:rsidR="005108A6">
        <w:rPr>
          <w:sz w:val="24"/>
          <w:szCs w:val="24"/>
        </w:rPr>
        <w:t xml:space="preserve">por falta de legitimación en la causa por activa. </w:t>
      </w:r>
    </w:p>
    <w:p w14:paraId="02ED0550" w14:textId="77777777" w:rsidR="00063571" w:rsidRPr="00EC2195" w:rsidRDefault="00063571" w:rsidP="00063571">
      <w:pPr>
        <w:tabs>
          <w:tab w:val="left" w:pos="2070"/>
        </w:tabs>
        <w:spacing w:line="360" w:lineRule="auto"/>
        <w:rPr>
          <w:sz w:val="24"/>
          <w:szCs w:val="24"/>
        </w:rPr>
      </w:pPr>
    </w:p>
    <w:p w14:paraId="1F9EECD9" w14:textId="0385BB10" w:rsidR="00063571" w:rsidRPr="00EC2195" w:rsidRDefault="00063571" w:rsidP="00063571">
      <w:pPr>
        <w:tabs>
          <w:tab w:val="left" w:pos="2070"/>
        </w:tabs>
        <w:spacing w:line="360" w:lineRule="auto"/>
        <w:rPr>
          <w:sz w:val="24"/>
          <w:szCs w:val="24"/>
        </w:rPr>
      </w:pPr>
      <w:r w:rsidRPr="00EC2195">
        <w:rPr>
          <w:b/>
          <w:sz w:val="24"/>
          <w:szCs w:val="24"/>
        </w:rPr>
        <w:t xml:space="preserve">SEGUNDO: NOTIFICAR </w:t>
      </w:r>
      <w:r w:rsidRPr="00EC2195">
        <w:rPr>
          <w:sz w:val="24"/>
          <w:szCs w:val="24"/>
        </w:rPr>
        <w:t>la presente decisión a</w:t>
      </w:r>
      <w:r w:rsidR="00536213" w:rsidRPr="00EC2195">
        <w:rPr>
          <w:sz w:val="24"/>
          <w:szCs w:val="24"/>
        </w:rPr>
        <w:t xml:space="preserve"> los interesados por el medio má</w:t>
      </w:r>
      <w:r w:rsidRPr="00EC2195">
        <w:rPr>
          <w:sz w:val="24"/>
          <w:szCs w:val="24"/>
        </w:rPr>
        <w:t xml:space="preserve">s expedito. </w:t>
      </w:r>
    </w:p>
    <w:p w14:paraId="7F865C2B" w14:textId="77777777" w:rsidR="00063571" w:rsidRPr="0053104D" w:rsidRDefault="00063571" w:rsidP="00063571">
      <w:pPr>
        <w:tabs>
          <w:tab w:val="left" w:pos="2070"/>
        </w:tabs>
        <w:spacing w:line="360" w:lineRule="auto"/>
        <w:rPr>
          <w:sz w:val="22"/>
          <w:szCs w:val="22"/>
        </w:rPr>
      </w:pPr>
    </w:p>
    <w:p w14:paraId="35425EDD" w14:textId="77777777" w:rsidR="00063571" w:rsidRPr="00EC2195" w:rsidRDefault="00063571" w:rsidP="00063571">
      <w:pPr>
        <w:tabs>
          <w:tab w:val="left" w:pos="709"/>
          <w:tab w:val="left" w:pos="1701"/>
        </w:tabs>
        <w:spacing w:line="360" w:lineRule="auto"/>
        <w:rPr>
          <w:sz w:val="24"/>
          <w:szCs w:val="24"/>
        </w:rPr>
      </w:pPr>
      <w:r w:rsidRPr="00EC2195">
        <w:rPr>
          <w:b/>
          <w:sz w:val="24"/>
          <w:szCs w:val="24"/>
        </w:rPr>
        <w:t xml:space="preserve">TERCERO: ENVIAR </w:t>
      </w:r>
      <w:r w:rsidRPr="00EC2195">
        <w:rPr>
          <w:sz w:val="24"/>
          <w:szCs w:val="24"/>
        </w:rPr>
        <w:t xml:space="preserve">a la Corte Constitucional para su eventual revisión en caso de no presentarse impugnación en contra de esta decisión. </w:t>
      </w:r>
    </w:p>
    <w:p w14:paraId="4E3E0E04" w14:textId="77777777" w:rsidR="00063571" w:rsidRPr="00EC2195" w:rsidRDefault="00063571" w:rsidP="00063571">
      <w:pPr>
        <w:spacing w:line="360" w:lineRule="auto"/>
        <w:jc w:val="center"/>
        <w:rPr>
          <w:b/>
          <w:color w:val="000000" w:themeColor="text1"/>
          <w:sz w:val="24"/>
          <w:szCs w:val="24"/>
        </w:rPr>
      </w:pPr>
    </w:p>
    <w:p w14:paraId="3DAC7F1A" w14:textId="77777777" w:rsidR="00063571" w:rsidRPr="00EC2195" w:rsidRDefault="00063571" w:rsidP="004D3AD0">
      <w:pPr>
        <w:jc w:val="center"/>
        <w:rPr>
          <w:b/>
          <w:color w:val="000000" w:themeColor="text1"/>
          <w:sz w:val="24"/>
          <w:szCs w:val="24"/>
        </w:rPr>
      </w:pPr>
      <w:r w:rsidRPr="00EC2195">
        <w:rPr>
          <w:b/>
          <w:color w:val="000000" w:themeColor="text1"/>
          <w:sz w:val="24"/>
          <w:szCs w:val="24"/>
        </w:rPr>
        <w:t>CÓPIESE, NOTIFÍQUESE Y CÚMPLASE</w:t>
      </w:r>
    </w:p>
    <w:p w14:paraId="4792F570" w14:textId="296B3B2B" w:rsidR="004D3AD0" w:rsidRDefault="004D3AD0" w:rsidP="004D3AD0">
      <w:pPr>
        <w:tabs>
          <w:tab w:val="left" w:pos="2070"/>
        </w:tabs>
        <w:jc w:val="center"/>
        <w:rPr>
          <w:b/>
          <w:sz w:val="24"/>
          <w:szCs w:val="24"/>
        </w:rPr>
      </w:pPr>
    </w:p>
    <w:p w14:paraId="11C9B751" w14:textId="0C1E2F35" w:rsidR="00F77F71" w:rsidRDefault="00F77F71" w:rsidP="004D3AD0">
      <w:pPr>
        <w:tabs>
          <w:tab w:val="left" w:pos="2070"/>
        </w:tabs>
        <w:jc w:val="center"/>
        <w:rPr>
          <w:b/>
          <w:sz w:val="24"/>
          <w:szCs w:val="24"/>
        </w:rPr>
      </w:pPr>
    </w:p>
    <w:p w14:paraId="2B96A1A7" w14:textId="77777777" w:rsidR="00F017FA" w:rsidRPr="00F865A8" w:rsidRDefault="00F017FA" w:rsidP="00F017FA">
      <w:pPr>
        <w:tabs>
          <w:tab w:val="left" w:pos="709"/>
          <w:tab w:val="left" w:pos="1701"/>
        </w:tabs>
        <w:jc w:val="center"/>
        <w:rPr>
          <w:rFonts w:eastAsia="Arial" w:cs="Arial"/>
          <w:b/>
          <w:sz w:val="24"/>
          <w:szCs w:val="24"/>
          <w:lang w:eastAsia="es-ES_tradnl"/>
        </w:rPr>
      </w:pPr>
      <w:r w:rsidRPr="00F865A8">
        <w:rPr>
          <w:rFonts w:eastAsia="Arial" w:cs="Arial"/>
          <w:b/>
          <w:sz w:val="24"/>
          <w:szCs w:val="24"/>
          <w:lang w:eastAsia="es-ES_tradnl"/>
        </w:rPr>
        <w:t xml:space="preserve">NICOLÁS YEPES CORRALES </w:t>
      </w:r>
    </w:p>
    <w:p w14:paraId="4CC44AED" w14:textId="77777777" w:rsidR="00F017FA" w:rsidRPr="00F865A8" w:rsidRDefault="00F017FA" w:rsidP="00F017FA">
      <w:pPr>
        <w:jc w:val="center"/>
        <w:rPr>
          <w:rFonts w:eastAsia="Arial" w:cs="Arial"/>
          <w:b/>
          <w:sz w:val="24"/>
          <w:szCs w:val="24"/>
          <w:lang w:eastAsia="es-ES_tradnl"/>
        </w:rPr>
      </w:pPr>
      <w:r w:rsidRPr="00F865A8">
        <w:rPr>
          <w:rFonts w:eastAsia="Arial" w:cs="Arial"/>
          <w:b/>
          <w:color w:val="000000"/>
          <w:sz w:val="24"/>
          <w:szCs w:val="24"/>
        </w:rPr>
        <w:t>Presidente de la Sala</w:t>
      </w:r>
    </w:p>
    <w:p w14:paraId="217B35F9" w14:textId="77777777" w:rsidR="00F017FA" w:rsidRDefault="00F017FA" w:rsidP="00F017FA">
      <w:pPr>
        <w:jc w:val="center"/>
        <w:rPr>
          <w:rFonts w:eastAsia="Arial" w:cs="Arial"/>
          <w:b/>
          <w:sz w:val="24"/>
          <w:szCs w:val="24"/>
          <w:lang w:eastAsia="es-ES_tradnl"/>
        </w:rPr>
      </w:pPr>
    </w:p>
    <w:p w14:paraId="0ED25D10" w14:textId="77777777" w:rsidR="00F017FA" w:rsidRPr="00F865A8" w:rsidRDefault="00F017FA" w:rsidP="00F017FA">
      <w:pPr>
        <w:jc w:val="center"/>
        <w:rPr>
          <w:rFonts w:eastAsia="Arial" w:cs="Arial"/>
          <w:b/>
          <w:sz w:val="24"/>
          <w:szCs w:val="24"/>
          <w:lang w:eastAsia="es-ES_tradnl"/>
        </w:rPr>
      </w:pPr>
    </w:p>
    <w:p w14:paraId="3748ECDB" w14:textId="77777777" w:rsidR="00F017FA" w:rsidRPr="00F865A8" w:rsidRDefault="00F017FA" w:rsidP="00F017FA">
      <w:pPr>
        <w:tabs>
          <w:tab w:val="left" w:pos="709"/>
          <w:tab w:val="left" w:pos="1701"/>
        </w:tabs>
        <w:jc w:val="center"/>
        <w:rPr>
          <w:rFonts w:eastAsia="Arial" w:cs="Arial"/>
          <w:b/>
          <w:sz w:val="24"/>
          <w:szCs w:val="24"/>
          <w:lang w:eastAsia="es-ES_tradnl"/>
        </w:rPr>
      </w:pPr>
      <w:r w:rsidRPr="00F865A8">
        <w:rPr>
          <w:rFonts w:eastAsia="Arial" w:cs="Arial"/>
          <w:b/>
          <w:sz w:val="24"/>
          <w:szCs w:val="24"/>
          <w:lang w:eastAsia="es-ES_tradnl"/>
        </w:rPr>
        <w:t>JAIME ENRIQUE RODRÍGUEZ NAVAS</w:t>
      </w:r>
    </w:p>
    <w:p w14:paraId="03B35053" w14:textId="77777777" w:rsidR="00F017FA" w:rsidRPr="00F865A8" w:rsidRDefault="00F017FA" w:rsidP="00F017FA">
      <w:pPr>
        <w:jc w:val="center"/>
        <w:rPr>
          <w:rFonts w:eastAsia="Times New Roman" w:cs="Arial"/>
          <w:sz w:val="24"/>
          <w:szCs w:val="24"/>
          <w:lang w:eastAsia="es-ES_tradnl"/>
        </w:rPr>
      </w:pPr>
      <w:r w:rsidRPr="00F865A8">
        <w:rPr>
          <w:rFonts w:eastAsia="Arial" w:cs="Arial"/>
          <w:b/>
          <w:sz w:val="24"/>
          <w:szCs w:val="24"/>
          <w:lang w:eastAsia="es-ES_tradnl"/>
        </w:rPr>
        <w:t xml:space="preserve">Consejero </w:t>
      </w:r>
      <w:r>
        <w:rPr>
          <w:rFonts w:eastAsia="Arial" w:cs="Arial"/>
          <w:b/>
          <w:sz w:val="24"/>
          <w:szCs w:val="24"/>
          <w:lang w:eastAsia="es-ES_tradnl"/>
        </w:rPr>
        <w:t>de Estado</w:t>
      </w:r>
    </w:p>
    <w:p w14:paraId="111D2D90" w14:textId="77777777" w:rsidR="00F017FA" w:rsidRDefault="00F017FA" w:rsidP="00F017FA">
      <w:pPr>
        <w:jc w:val="center"/>
        <w:rPr>
          <w:rFonts w:eastAsia="Arial" w:cs="Arial"/>
          <w:b/>
          <w:sz w:val="24"/>
          <w:szCs w:val="24"/>
          <w:lang w:eastAsia="es-ES_tradnl"/>
        </w:rPr>
      </w:pPr>
    </w:p>
    <w:p w14:paraId="2769A3A3" w14:textId="77777777" w:rsidR="00F017FA" w:rsidRPr="00F865A8" w:rsidRDefault="00F017FA" w:rsidP="00F017FA">
      <w:pPr>
        <w:jc w:val="center"/>
        <w:rPr>
          <w:rFonts w:eastAsia="Arial" w:cs="Arial"/>
          <w:b/>
          <w:sz w:val="24"/>
          <w:szCs w:val="24"/>
          <w:lang w:eastAsia="es-ES_tradnl"/>
        </w:rPr>
      </w:pPr>
    </w:p>
    <w:p w14:paraId="1AB77225" w14:textId="77777777" w:rsidR="00F017FA" w:rsidRPr="00F865A8" w:rsidRDefault="00F017FA" w:rsidP="00F017FA">
      <w:pPr>
        <w:jc w:val="center"/>
        <w:rPr>
          <w:rFonts w:eastAsia="Arial" w:cs="Arial"/>
          <w:b/>
          <w:sz w:val="24"/>
          <w:szCs w:val="24"/>
          <w:lang w:eastAsia="es-ES_tradnl"/>
        </w:rPr>
      </w:pPr>
      <w:r w:rsidRPr="00F865A8">
        <w:rPr>
          <w:rFonts w:eastAsia="Arial" w:cs="Arial"/>
          <w:b/>
          <w:sz w:val="24"/>
          <w:szCs w:val="24"/>
          <w:lang w:eastAsia="es-ES_tradnl"/>
        </w:rPr>
        <w:t>GUILLERMO SÁNCHEZ LUQUE</w:t>
      </w:r>
    </w:p>
    <w:p w14:paraId="0AA2A553" w14:textId="0362E5B1" w:rsidR="00F017FA" w:rsidRDefault="00F017FA" w:rsidP="00F017FA">
      <w:pPr>
        <w:jc w:val="center"/>
        <w:rPr>
          <w:rFonts w:eastAsia="Arial" w:cs="Arial"/>
          <w:b/>
          <w:sz w:val="24"/>
          <w:szCs w:val="24"/>
          <w:lang w:eastAsia="es-ES_tradnl"/>
        </w:rPr>
      </w:pPr>
      <w:r w:rsidRPr="00F865A8">
        <w:rPr>
          <w:rFonts w:eastAsia="Arial" w:cs="Arial"/>
          <w:b/>
          <w:sz w:val="24"/>
          <w:szCs w:val="24"/>
          <w:lang w:eastAsia="es-ES_tradnl"/>
        </w:rPr>
        <w:t>Consejero de Estado</w:t>
      </w:r>
    </w:p>
    <w:p w14:paraId="041270B3" w14:textId="527A3BBF" w:rsidR="00F13492" w:rsidRPr="00F865A8" w:rsidRDefault="00F13492" w:rsidP="00F017FA">
      <w:pPr>
        <w:jc w:val="center"/>
        <w:rPr>
          <w:rFonts w:eastAsia="Arial" w:cs="Arial"/>
          <w:b/>
          <w:sz w:val="24"/>
          <w:szCs w:val="24"/>
          <w:lang w:eastAsia="es-ES_tradnl"/>
        </w:rPr>
      </w:pPr>
      <w:r w:rsidRPr="005A5378">
        <w:rPr>
          <w:rFonts w:cs="Arial"/>
          <w:b/>
          <w:bCs/>
        </w:rPr>
        <w:t xml:space="preserve">Aclaración de Voto </w:t>
      </w:r>
      <w:r w:rsidRPr="005A5378">
        <w:rPr>
          <w:rFonts w:eastAsia="BatangChe" w:cs="Arial"/>
          <w:b/>
          <w:bCs/>
        </w:rPr>
        <w:t>Cfr. Rad.</w:t>
      </w:r>
      <w:r w:rsidRPr="00D51737">
        <w:t xml:space="preserve"> </w:t>
      </w:r>
      <w:r w:rsidRPr="00D51737">
        <w:rPr>
          <w:rFonts w:eastAsia="BatangChe" w:cs="Arial"/>
          <w:b/>
          <w:bCs/>
        </w:rPr>
        <w:t>11001-03-15-000-2019-00022-00</w:t>
      </w:r>
    </w:p>
    <w:p w14:paraId="7D05A8E4" w14:textId="5D2D2C36" w:rsidR="00F017FA" w:rsidRDefault="00F017FA" w:rsidP="004D3AD0">
      <w:pPr>
        <w:tabs>
          <w:tab w:val="left" w:pos="2070"/>
        </w:tabs>
        <w:jc w:val="center"/>
        <w:rPr>
          <w:b/>
          <w:sz w:val="24"/>
          <w:szCs w:val="24"/>
        </w:rPr>
      </w:pPr>
    </w:p>
    <w:p w14:paraId="2905F759" w14:textId="64EEE21A" w:rsidR="00F017FA" w:rsidRDefault="00F017FA" w:rsidP="004D3AD0">
      <w:pPr>
        <w:tabs>
          <w:tab w:val="left" w:pos="2070"/>
        </w:tabs>
        <w:jc w:val="center"/>
        <w:rPr>
          <w:b/>
          <w:sz w:val="24"/>
          <w:szCs w:val="24"/>
        </w:rPr>
      </w:pPr>
    </w:p>
    <w:sectPr w:rsidR="00F017FA" w:rsidSect="00810B28">
      <w:headerReference w:type="default" r:id="rId11"/>
      <w:headerReference w:type="first" r:id="rId12"/>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84D05" w14:textId="77777777" w:rsidR="003F6BAC" w:rsidRDefault="003F6BAC" w:rsidP="006B0AC2">
      <w:r>
        <w:separator/>
      </w:r>
    </w:p>
  </w:endnote>
  <w:endnote w:type="continuationSeparator" w:id="0">
    <w:p w14:paraId="68E65B95" w14:textId="77777777" w:rsidR="003F6BAC" w:rsidRDefault="003F6BAC" w:rsidP="006B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56061" w14:textId="77777777" w:rsidR="003F6BAC" w:rsidRDefault="003F6BAC" w:rsidP="006B0AC2">
      <w:r>
        <w:separator/>
      </w:r>
    </w:p>
  </w:footnote>
  <w:footnote w:type="continuationSeparator" w:id="0">
    <w:p w14:paraId="5839E6A5" w14:textId="77777777" w:rsidR="003F6BAC" w:rsidRDefault="003F6BAC" w:rsidP="006B0AC2">
      <w:r>
        <w:continuationSeparator/>
      </w:r>
    </w:p>
  </w:footnote>
  <w:footnote w:id="1">
    <w:p w14:paraId="04DC9422" w14:textId="72C6A3D0" w:rsidR="0005490D" w:rsidRPr="008545B3" w:rsidRDefault="0005490D">
      <w:pPr>
        <w:pStyle w:val="Textonotapie"/>
        <w:rPr>
          <w:sz w:val="18"/>
          <w:szCs w:val="18"/>
        </w:rPr>
      </w:pPr>
      <w:r w:rsidRPr="008545B3">
        <w:rPr>
          <w:rStyle w:val="Refdenotaalpie"/>
          <w:sz w:val="18"/>
          <w:szCs w:val="18"/>
        </w:rPr>
        <w:footnoteRef/>
      </w:r>
      <w:r w:rsidRPr="008545B3">
        <w:rPr>
          <w:sz w:val="18"/>
          <w:szCs w:val="18"/>
        </w:rPr>
        <w:t xml:space="preserve"> </w:t>
      </w:r>
      <w:r w:rsidR="008545B3" w:rsidRPr="008545B3">
        <w:rPr>
          <w:sz w:val="18"/>
          <w:szCs w:val="18"/>
        </w:rPr>
        <w:t>Obra escrito de tutela en el archivo digital subido en SAMAI, en el índice 2, con certificado 17599FA0713F7149 3050BD11BF48764D 5667ECB94ED6B4C0 06EDE14847525475.</w:t>
      </w:r>
    </w:p>
  </w:footnote>
  <w:footnote w:id="2">
    <w:p w14:paraId="569E472C" w14:textId="450BA79C" w:rsidR="0005490D" w:rsidRPr="003857AA" w:rsidRDefault="0005490D" w:rsidP="003857AA">
      <w:pPr>
        <w:rPr>
          <w:rFonts w:cs="Arial"/>
          <w:color w:val="000000" w:themeColor="text1"/>
          <w:sz w:val="18"/>
          <w:szCs w:val="18"/>
        </w:rPr>
      </w:pPr>
      <w:r w:rsidRPr="006D36B5">
        <w:rPr>
          <w:rStyle w:val="Refdenotaalpie"/>
          <w:rFonts w:cs="Arial"/>
          <w:color w:val="000000" w:themeColor="text1"/>
          <w:sz w:val="18"/>
          <w:szCs w:val="18"/>
        </w:rPr>
        <w:footnoteRef/>
      </w:r>
      <w:r w:rsidRPr="006D36B5">
        <w:rPr>
          <w:rFonts w:cs="Arial"/>
          <w:color w:val="000000" w:themeColor="text1"/>
          <w:sz w:val="18"/>
          <w:szCs w:val="18"/>
        </w:rPr>
        <w:t xml:space="preserve"> Obra correo electrónico en el </w:t>
      </w:r>
      <w:r w:rsidR="003857AA">
        <w:rPr>
          <w:rFonts w:cs="Arial"/>
          <w:color w:val="000000" w:themeColor="text1"/>
          <w:sz w:val="18"/>
          <w:szCs w:val="18"/>
        </w:rPr>
        <w:t xml:space="preserve">archivo digital </w:t>
      </w:r>
      <w:r w:rsidRPr="006D36B5">
        <w:rPr>
          <w:rFonts w:cs="Arial"/>
          <w:color w:val="000000" w:themeColor="text1"/>
          <w:sz w:val="18"/>
          <w:szCs w:val="18"/>
        </w:rPr>
        <w:t>subido en SAMAI</w:t>
      </w:r>
      <w:r w:rsidR="003857AA">
        <w:rPr>
          <w:rFonts w:cs="Arial"/>
          <w:color w:val="000000" w:themeColor="text1"/>
          <w:sz w:val="18"/>
          <w:szCs w:val="18"/>
        </w:rPr>
        <w:t>, en el índice 2,</w:t>
      </w:r>
      <w:r w:rsidRPr="006D36B5">
        <w:rPr>
          <w:rFonts w:cs="Arial"/>
          <w:color w:val="000000" w:themeColor="text1"/>
          <w:sz w:val="18"/>
          <w:szCs w:val="18"/>
        </w:rPr>
        <w:t xml:space="preserve"> con certificado </w:t>
      </w:r>
      <w:r w:rsidR="003857AA" w:rsidRPr="003857AA">
        <w:rPr>
          <w:rFonts w:cs="Arial"/>
          <w:color w:val="000000" w:themeColor="text1"/>
          <w:sz w:val="18"/>
          <w:szCs w:val="18"/>
        </w:rPr>
        <w:t>50EF598ABC2A026E AC99C2D5C0B1B8FC 9DB3FC5315568DBB ABA540946F281B73</w:t>
      </w:r>
      <w:r w:rsidRPr="006D36B5">
        <w:rPr>
          <w:rFonts w:cs="Arial"/>
          <w:color w:val="000000" w:themeColor="text1"/>
          <w:sz w:val="18"/>
          <w:szCs w:val="18"/>
        </w:rPr>
        <w:t xml:space="preserve">. </w:t>
      </w:r>
    </w:p>
  </w:footnote>
  <w:footnote w:id="3">
    <w:p w14:paraId="313ECF16" w14:textId="77045235" w:rsidR="00521690" w:rsidRPr="00521690" w:rsidRDefault="00521690" w:rsidP="00521690">
      <w:pPr>
        <w:pStyle w:val="Textonotapie"/>
        <w:rPr>
          <w:sz w:val="18"/>
          <w:szCs w:val="18"/>
        </w:rPr>
      </w:pPr>
      <w:r w:rsidRPr="00521690">
        <w:rPr>
          <w:rStyle w:val="Refdenotaalpie"/>
          <w:sz w:val="18"/>
          <w:szCs w:val="18"/>
        </w:rPr>
        <w:footnoteRef/>
      </w:r>
      <w:r w:rsidRPr="00521690">
        <w:rPr>
          <w:sz w:val="18"/>
          <w:szCs w:val="18"/>
        </w:rPr>
        <w:t xml:space="preserve"> A folio 1 del archivo digital subido en SAMAI, en el índice 2, con certificado 17599FA0713F7149 3050BD11BF48764D 5667ECB94ED6B4C0 06EDE14847525475.</w:t>
      </w:r>
    </w:p>
  </w:footnote>
  <w:footnote w:id="4">
    <w:p w14:paraId="24BEDADF" w14:textId="575FBE79" w:rsidR="0005490D" w:rsidRPr="00DF513A" w:rsidRDefault="0005490D" w:rsidP="00623998">
      <w:pPr>
        <w:pStyle w:val="Textonotapie"/>
        <w:rPr>
          <w:rFonts w:cs="Arial"/>
          <w:color w:val="000000" w:themeColor="text1"/>
          <w:sz w:val="18"/>
          <w:szCs w:val="18"/>
        </w:rPr>
      </w:pPr>
      <w:r w:rsidRPr="00DF513A">
        <w:rPr>
          <w:rStyle w:val="Refdenotaalpie"/>
          <w:rFonts w:cs="Arial"/>
          <w:color w:val="000000" w:themeColor="text1"/>
          <w:sz w:val="18"/>
          <w:szCs w:val="18"/>
        </w:rPr>
        <w:footnoteRef/>
      </w:r>
      <w:r w:rsidR="00DF513A" w:rsidRPr="00DF513A">
        <w:rPr>
          <w:sz w:val="18"/>
          <w:szCs w:val="18"/>
        </w:rPr>
        <w:t xml:space="preserve"> Proceso promovido por Francia Stella Gaviria Bravo en contra de la E.S.E. Hospital Santa Margarita.</w:t>
      </w:r>
    </w:p>
  </w:footnote>
  <w:footnote w:id="5">
    <w:p w14:paraId="3455B8B5" w14:textId="331EB4CE" w:rsidR="00CD3D88" w:rsidRPr="00D23875" w:rsidRDefault="00CD3D88" w:rsidP="00702203">
      <w:pPr>
        <w:rPr>
          <w:sz w:val="18"/>
          <w:szCs w:val="18"/>
        </w:rPr>
      </w:pPr>
      <w:r w:rsidRPr="00D23875">
        <w:rPr>
          <w:rStyle w:val="Refdenotaalpie"/>
          <w:sz w:val="18"/>
          <w:szCs w:val="18"/>
        </w:rPr>
        <w:footnoteRef/>
      </w:r>
      <w:r w:rsidRPr="00D23875">
        <w:rPr>
          <w:sz w:val="18"/>
          <w:szCs w:val="18"/>
        </w:rPr>
        <w:t xml:space="preserve"> A folio 1 del archivo digital subido en SAMAI, en el índice 2, con certificado </w:t>
      </w:r>
      <w:r w:rsidR="00702203" w:rsidRPr="00D23875">
        <w:rPr>
          <w:sz w:val="18"/>
          <w:szCs w:val="18"/>
        </w:rPr>
        <w:t>A17021D098CEFE9B FA710F3FC2050943 9AFDBB666E9763B6 87B4FDC92E0035D5</w:t>
      </w:r>
      <w:r w:rsidRPr="00D23875">
        <w:rPr>
          <w:sz w:val="18"/>
          <w:szCs w:val="18"/>
        </w:rPr>
        <w:t>.</w:t>
      </w:r>
    </w:p>
  </w:footnote>
  <w:footnote w:id="6">
    <w:p w14:paraId="0636373D" w14:textId="77777777" w:rsidR="001826BF" w:rsidRPr="00AC5C1B" w:rsidRDefault="001826BF" w:rsidP="001826BF">
      <w:pPr>
        <w:pStyle w:val="Textonotapie"/>
        <w:rPr>
          <w:sz w:val="18"/>
          <w:szCs w:val="18"/>
        </w:rPr>
      </w:pPr>
      <w:r w:rsidRPr="00AC5C1B">
        <w:rPr>
          <w:rStyle w:val="Refdenotaalpie"/>
          <w:sz w:val="18"/>
          <w:szCs w:val="18"/>
        </w:rPr>
        <w:footnoteRef/>
      </w:r>
      <w:r w:rsidRPr="00AC5C1B">
        <w:rPr>
          <w:sz w:val="18"/>
          <w:szCs w:val="18"/>
        </w:rPr>
        <w:t xml:space="preserve"> </w:t>
      </w:r>
      <w:proofErr w:type="spellStart"/>
      <w:r w:rsidRPr="00AC5C1B">
        <w:rPr>
          <w:sz w:val="18"/>
          <w:szCs w:val="18"/>
        </w:rPr>
        <w:t>Ibídem</w:t>
      </w:r>
      <w:proofErr w:type="spellEnd"/>
      <w:r w:rsidRPr="00AC5C1B">
        <w:rPr>
          <w:sz w:val="18"/>
          <w:szCs w:val="18"/>
        </w:rPr>
        <w:t>, folios 1-2.</w:t>
      </w:r>
    </w:p>
  </w:footnote>
  <w:footnote w:id="7">
    <w:p w14:paraId="028C3D02" w14:textId="21DBDA78" w:rsidR="00FF038A" w:rsidRPr="00C950EE" w:rsidRDefault="00FF038A" w:rsidP="00C950EE">
      <w:pPr>
        <w:rPr>
          <w:sz w:val="18"/>
          <w:szCs w:val="18"/>
        </w:rPr>
      </w:pPr>
      <w:r w:rsidRPr="00AC5C1B">
        <w:rPr>
          <w:rStyle w:val="Refdenotaalpie"/>
          <w:sz w:val="18"/>
          <w:szCs w:val="18"/>
        </w:rPr>
        <w:footnoteRef/>
      </w:r>
      <w:r w:rsidRPr="00AC5C1B">
        <w:rPr>
          <w:sz w:val="18"/>
          <w:szCs w:val="18"/>
        </w:rPr>
        <w:t xml:space="preserve"> </w:t>
      </w:r>
      <w:r w:rsidR="007C7F23">
        <w:rPr>
          <w:sz w:val="18"/>
          <w:szCs w:val="18"/>
        </w:rPr>
        <w:t xml:space="preserve">A folios 11 </w:t>
      </w:r>
      <w:r w:rsidR="00772B6F">
        <w:rPr>
          <w:sz w:val="18"/>
          <w:szCs w:val="18"/>
        </w:rPr>
        <w:t>y</w:t>
      </w:r>
      <w:r w:rsidR="007C7F23">
        <w:rPr>
          <w:sz w:val="18"/>
          <w:szCs w:val="18"/>
        </w:rPr>
        <w:t xml:space="preserve"> 14 </w:t>
      </w:r>
      <w:r w:rsidR="00772B6F">
        <w:rPr>
          <w:sz w:val="18"/>
          <w:szCs w:val="18"/>
        </w:rPr>
        <w:t>del archivo digital denominado “</w:t>
      </w:r>
      <w:r w:rsidR="00E77106">
        <w:rPr>
          <w:sz w:val="18"/>
          <w:szCs w:val="18"/>
        </w:rPr>
        <w:t>01 Expediente Digital”</w:t>
      </w:r>
      <w:r w:rsidR="00E77106" w:rsidRPr="00E77106">
        <w:rPr>
          <w:sz w:val="18"/>
          <w:szCs w:val="18"/>
        </w:rPr>
        <w:t xml:space="preserve"> </w:t>
      </w:r>
      <w:r w:rsidR="00E77106" w:rsidRPr="00D23875">
        <w:rPr>
          <w:sz w:val="18"/>
          <w:szCs w:val="18"/>
        </w:rPr>
        <w:t xml:space="preserve">subido en SAMAI, en el índice </w:t>
      </w:r>
      <w:r w:rsidR="00C950EE">
        <w:rPr>
          <w:sz w:val="18"/>
          <w:szCs w:val="18"/>
        </w:rPr>
        <w:t>9</w:t>
      </w:r>
      <w:r w:rsidR="00E77106" w:rsidRPr="00D23875">
        <w:rPr>
          <w:sz w:val="18"/>
          <w:szCs w:val="18"/>
        </w:rPr>
        <w:t xml:space="preserve">, con certificado </w:t>
      </w:r>
      <w:r w:rsidR="00C950EE" w:rsidRPr="00C950EE">
        <w:rPr>
          <w:sz w:val="18"/>
          <w:szCs w:val="18"/>
        </w:rPr>
        <w:t>FDA9B80B90DA033C 81FAB45390100F5F F639166CFE4E2D86 1D1CA15593F91A6A</w:t>
      </w:r>
      <w:r w:rsidR="00E77106" w:rsidRPr="00D23875">
        <w:rPr>
          <w:sz w:val="18"/>
          <w:szCs w:val="18"/>
        </w:rPr>
        <w:t>.</w:t>
      </w:r>
    </w:p>
  </w:footnote>
  <w:footnote w:id="8">
    <w:p w14:paraId="331D1384" w14:textId="5AEC2BD4" w:rsidR="00940EF2" w:rsidRPr="00346BF3" w:rsidRDefault="00940EF2">
      <w:pPr>
        <w:pStyle w:val="Textonotapie"/>
        <w:rPr>
          <w:sz w:val="18"/>
          <w:szCs w:val="18"/>
        </w:rPr>
      </w:pPr>
      <w:r w:rsidRPr="00346BF3">
        <w:rPr>
          <w:rStyle w:val="Refdenotaalpie"/>
          <w:sz w:val="18"/>
          <w:szCs w:val="18"/>
        </w:rPr>
        <w:footnoteRef/>
      </w:r>
      <w:r w:rsidRPr="00346BF3">
        <w:rPr>
          <w:sz w:val="18"/>
          <w:szCs w:val="18"/>
        </w:rPr>
        <w:t xml:space="preserve"> Obran argumentos de la sentencia a folio</w:t>
      </w:r>
      <w:r w:rsidR="00556B6A" w:rsidRPr="00346BF3">
        <w:rPr>
          <w:sz w:val="18"/>
          <w:szCs w:val="18"/>
        </w:rPr>
        <w:t xml:space="preserve"> 4 </w:t>
      </w:r>
      <w:r w:rsidR="00C3062A" w:rsidRPr="00346BF3">
        <w:rPr>
          <w:sz w:val="18"/>
          <w:szCs w:val="18"/>
        </w:rPr>
        <w:t>del archivo digital subido en SAMAI</w:t>
      </w:r>
      <w:r w:rsidR="00D05041" w:rsidRPr="00346BF3">
        <w:rPr>
          <w:sz w:val="18"/>
          <w:szCs w:val="18"/>
        </w:rPr>
        <w:t xml:space="preserve">, en el índice 2, con certificado </w:t>
      </w:r>
      <w:r w:rsidR="00346BF3" w:rsidRPr="00346BF3">
        <w:rPr>
          <w:sz w:val="18"/>
          <w:szCs w:val="18"/>
        </w:rPr>
        <w:t>A17021D098CEFE9B FA710F3FC2050943 9AFDBB666E9763B6 87B4FDC92E0035D5.</w:t>
      </w:r>
    </w:p>
  </w:footnote>
  <w:footnote w:id="9">
    <w:p w14:paraId="7B35A0EA" w14:textId="5E5FF7ED" w:rsidR="00346BF3" w:rsidRPr="00A7700B" w:rsidRDefault="00346BF3">
      <w:pPr>
        <w:pStyle w:val="Textonotapie"/>
        <w:rPr>
          <w:sz w:val="18"/>
          <w:szCs w:val="18"/>
        </w:rPr>
      </w:pPr>
      <w:r w:rsidRPr="00A7700B">
        <w:rPr>
          <w:rStyle w:val="Refdenotaalpie"/>
          <w:sz w:val="18"/>
          <w:szCs w:val="18"/>
        </w:rPr>
        <w:footnoteRef/>
      </w:r>
      <w:r w:rsidRPr="00A7700B">
        <w:rPr>
          <w:sz w:val="18"/>
          <w:szCs w:val="18"/>
        </w:rPr>
        <w:t xml:space="preserve"> Obran argumentos del recurso a folio</w:t>
      </w:r>
      <w:r w:rsidR="00A7700B" w:rsidRPr="00A7700B">
        <w:rPr>
          <w:sz w:val="18"/>
          <w:szCs w:val="18"/>
        </w:rPr>
        <w:t>s</w:t>
      </w:r>
      <w:r w:rsidRPr="00A7700B">
        <w:rPr>
          <w:sz w:val="18"/>
          <w:szCs w:val="18"/>
        </w:rPr>
        <w:t xml:space="preserve"> 4</w:t>
      </w:r>
      <w:r w:rsidR="00A7700B" w:rsidRPr="00A7700B">
        <w:rPr>
          <w:sz w:val="18"/>
          <w:szCs w:val="18"/>
        </w:rPr>
        <w:t>-5</w:t>
      </w:r>
      <w:r w:rsidRPr="00A7700B">
        <w:rPr>
          <w:sz w:val="18"/>
          <w:szCs w:val="18"/>
        </w:rPr>
        <w:t xml:space="preserve"> del archivo digital subido en SAMAI, en el índice 2, con certificado A17021D098CEFE9B FA710F3FC2050943 9AFDBB666E9763B6 87B4FDC92E0035D5.</w:t>
      </w:r>
    </w:p>
  </w:footnote>
  <w:footnote w:id="10">
    <w:p w14:paraId="3C067235" w14:textId="5620C334" w:rsidR="00431674" w:rsidRPr="00431674" w:rsidRDefault="00431674">
      <w:pPr>
        <w:pStyle w:val="Textonotapie"/>
        <w:rPr>
          <w:sz w:val="18"/>
          <w:szCs w:val="18"/>
        </w:rPr>
      </w:pPr>
      <w:r w:rsidRPr="00431674">
        <w:rPr>
          <w:rStyle w:val="Refdenotaalpie"/>
          <w:sz w:val="18"/>
          <w:szCs w:val="18"/>
        </w:rPr>
        <w:footnoteRef/>
      </w:r>
      <w:r w:rsidRPr="00431674">
        <w:rPr>
          <w:sz w:val="18"/>
          <w:szCs w:val="18"/>
        </w:rPr>
        <w:t xml:space="preserve"> Obra sentencia en el archivo digital subido en SAMAI, en el índice 2, con certificado A17021D098CEFE9B FA710F3FC2050943 9AFDBB666E9763B6 87B4FDC92E0035D5.</w:t>
      </w:r>
    </w:p>
  </w:footnote>
  <w:footnote w:id="11">
    <w:p w14:paraId="6FAE4B3B" w14:textId="5C0C5A45" w:rsidR="0005490D" w:rsidRPr="0005490D" w:rsidRDefault="0005490D">
      <w:pPr>
        <w:pStyle w:val="Textonotapie"/>
        <w:rPr>
          <w:sz w:val="18"/>
          <w:szCs w:val="18"/>
        </w:rPr>
      </w:pPr>
      <w:r w:rsidRPr="0005490D">
        <w:rPr>
          <w:rStyle w:val="Refdenotaalpie"/>
          <w:sz w:val="18"/>
          <w:szCs w:val="18"/>
        </w:rPr>
        <w:footnoteRef/>
      </w:r>
      <w:r w:rsidRPr="0005490D">
        <w:rPr>
          <w:sz w:val="18"/>
          <w:szCs w:val="18"/>
        </w:rPr>
        <w:t xml:space="preserve"> A folio 3 del escrito de tutela subido en SAMAI</w:t>
      </w:r>
      <w:r w:rsidR="00C67D88">
        <w:rPr>
          <w:sz w:val="18"/>
          <w:szCs w:val="18"/>
        </w:rPr>
        <w:t>, en el índice 2,</w:t>
      </w:r>
      <w:r w:rsidRPr="0005490D">
        <w:rPr>
          <w:sz w:val="18"/>
          <w:szCs w:val="18"/>
        </w:rPr>
        <w:t xml:space="preserve"> con certificado </w:t>
      </w:r>
      <w:r w:rsidR="00C67D88" w:rsidRPr="008545B3">
        <w:rPr>
          <w:sz w:val="18"/>
          <w:szCs w:val="18"/>
        </w:rPr>
        <w:t>17599FA0713F7149 3050BD11BF48764D 5667ECB94ED6B4C0 06EDE14847525475</w:t>
      </w:r>
      <w:r w:rsidRPr="0005490D">
        <w:rPr>
          <w:sz w:val="18"/>
          <w:szCs w:val="18"/>
        </w:rPr>
        <w:t>.</w:t>
      </w:r>
    </w:p>
  </w:footnote>
  <w:footnote w:id="12">
    <w:p w14:paraId="44815B78" w14:textId="49AE3E4F" w:rsidR="004A45A9" w:rsidRPr="00254444" w:rsidRDefault="004A45A9">
      <w:pPr>
        <w:pStyle w:val="Textonotapie"/>
        <w:rPr>
          <w:sz w:val="18"/>
          <w:szCs w:val="18"/>
        </w:rPr>
      </w:pPr>
      <w:r w:rsidRPr="00254444">
        <w:rPr>
          <w:rStyle w:val="Refdenotaalpie"/>
          <w:sz w:val="18"/>
          <w:szCs w:val="18"/>
        </w:rPr>
        <w:footnoteRef/>
      </w:r>
      <w:r w:rsidRPr="00254444">
        <w:rPr>
          <w:sz w:val="18"/>
          <w:szCs w:val="18"/>
        </w:rPr>
        <w:t xml:space="preserve"> Sentencias </w:t>
      </w:r>
      <w:r w:rsidR="00266E00" w:rsidRPr="00254444">
        <w:rPr>
          <w:sz w:val="18"/>
          <w:szCs w:val="18"/>
        </w:rPr>
        <w:t>del 23 de febrero de 2011, rad. 25000-23-25-000-2007-0041-01 (0260-09), C.P. Víctor Alvarado Ardila</w:t>
      </w:r>
      <w:r w:rsidR="004940F6" w:rsidRPr="00254444">
        <w:rPr>
          <w:sz w:val="18"/>
          <w:szCs w:val="18"/>
        </w:rPr>
        <w:t xml:space="preserve">, y del 27 de noviembre de 2014, rad. 05001-23-33-000-2012-00275-01 (3222-2013), C.P. </w:t>
      </w:r>
      <w:r w:rsidR="00254444" w:rsidRPr="00254444">
        <w:rPr>
          <w:sz w:val="18"/>
          <w:szCs w:val="18"/>
        </w:rPr>
        <w:t>Gerardo Arenas Monsalve.</w:t>
      </w:r>
    </w:p>
  </w:footnote>
  <w:footnote w:id="13">
    <w:p w14:paraId="4597CEA5" w14:textId="6BD7866A" w:rsidR="0005490D" w:rsidRPr="0005490D" w:rsidRDefault="0005490D">
      <w:pPr>
        <w:pStyle w:val="Textonotapie"/>
        <w:rPr>
          <w:rFonts w:cs="Arial"/>
          <w:color w:val="000000" w:themeColor="text1"/>
          <w:sz w:val="18"/>
          <w:szCs w:val="18"/>
        </w:rPr>
      </w:pPr>
      <w:r w:rsidRPr="0005490D">
        <w:rPr>
          <w:rStyle w:val="Refdenotaalpie"/>
          <w:rFonts w:cs="Arial"/>
          <w:color w:val="000000" w:themeColor="text1"/>
          <w:sz w:val="18"/>
          <w:szCs w:val="18"/>
        </w:rPr>
        <w:footnoteRef/>
      </w:r>
      <w:r w:rsidRPr="0005490D">
        <w:rPr>
          <w:rFonts w:cs="Arial"/>
          <w:color w:val="000000" w:themeColor="text1"/>
          <w:sz w:val="18"/>
          <w:szCs w:val="18"/>
        </w:rPr>
        <w:t xml:space="preserve"> </w:t>
      </w:r>
      <w:r w:rsidRPr="0005490D">
        <w:rPr>
          <w:sz w:val="18"/>
          <w:szCs w:val="18"/>
        </w:rPr>
        <w:t xml:space="preserve">A folio 4 </w:t>
      </w:r>
      <w:r w:rsidR="00256E35" w:rsidRPr="0005490D">
        <w:rPr>
          <w:sz w:val="18"/>
          <w:szCs w:val="18"/>
        </w:rPr>
        <w:t>del escrito de tutela subido en SAMAI</w:t>
      </w:r>
      <w:r w:rsidR="00256E35">
        <w:rPr>
          <w:sz w:val="18"/>
          <w:szCs w:val="18"/>
        </w:rPr>
        <w:t>, en el índice 2,</w:t>
      </w:r>
      <w:r w:rsidR="00256E35" w:rsidRPr="0005490D">
        <w:rPr>
          <w:sz w:val="18"/>
          <w:szCs w:val="18"/>
        </w:rPr>
        <w:t xml:space="preserve"> con certificado </w:t>
      </w:r>
      <w:r w:rsidR="00256E35" w:rsidRPr="008545B3">
        <w:rPr>
          <w:sz w:val="18"/>
          <w:szCs w:val="18"/>
        </w:rPr>
        <w:t>17599FA0713F7149 3050BD11BF48764D 5667ECB94ED6B4C0 06EDE14847525475</w:t>
      </w:r>
      <w:r w:rsidR="00256E35" w:rsidRPr="0005490D">
        <w:rPr>
          <w:sz w:val="18"/>
          <w:szCs w:val="18"/>
        </w:rPr>
        <w:t>.</w:t>
      </w:r>
    </w:p>
  </w:footnote>
  <w:footnote w:id="14">
    <w:p w14:paraId="56A10B52" w14:textId="77777777" w:rsidR="0005490D" w:rsidRPr="003C50DB" w:rsidRDefault="0005490D" w:rsidP="003E3F7C">
      <w:pPr>
        <w:pStyle w:val="Textonotapie"/>
        <w:ind w:right="49"/>
        <w:rPr>
          <w:rFonts w:eastAsia="Calibri" w:cs="Arial"/>
          <w:sz w:val="18"/>
          <w:szCs w:val="18"/>
        </w:rPr>
      </w:pPr>
      <w:r w:rsidRPr="003C50DB">
        <w:rPr>
          <w:rStyle w:val="Refdenotaalpie"/>
          <w:rFonts w:cs="Arial"/>
          <w:sz w:val="18"/>
          <w:szCs w:val="18"/>
        </w:rPr>
        <w:footnoteRef/>
      </w:r>
      <w:r w:rsidRPr="003C50DB">
        <w:rPr>
          <w:rFonts w:cs="Arial"/>
          <w:sz w:val="18"/>
          <w:szCs w:val="18"/>
        </w:rPr>
        <w:t xml:space="preserve"> Consejo de Estado, Sala Plena de lo Contencioso Administrativo, Sección Tercera, Subsección C, sentencia del 8 de mayo de 2013, expediente: 24510, C.P. Jaime Orlando Santofimio Gamboa. </w:t>
      </w:r>
    </w:p>
  </w:footnote>
  <w:footnote w:id="15">
    <w:p w14:paraId="1FDD719A" w14:textId="534D933F" w:rsidR="0005490D" w:rsidRPr="003C50DB" w:rsidRDefault="0005490D" w:rsidP="00494882">
      <w:pPr>
        <w:pStyle w:val="Textonotapie"/>
        <w:ind w:right="49"/>
        <w:rPr>
          <w:rFonts w:cs="Arial"/>
          <w:sz w:val="18"/>
          <w:szCs w:val="18"/>
        </w:rPr>
      </w:pPr>
      <w:r w:rsidRPr="003C50DB">
        <w:rPr>
          <w:rStyle w:val="Refdenotaalpie"/>
          <w:rFonts w:cs="Arial"/>
          <w:sz w:val="18"/>
          <w:szCs w:val="18"/>
        </w:rPr>
        <w:footnoteRef/>
      </w:r>
      <w:r w:rsidRPr="003C50DB">
        <w:rPr>
          <w:rFonts w:cs="Arial"/>
          <w:sz w:val="18"/>
          <w:szCs w:val="18"/>
        </w:rPr>
        <w:t xml:space="preserve"> “</w:t>
      </w:r>
      <w:r w:rsidRPr="003C50DB">
        <w:rPr>
          <w:rFonts w:cs="Arial"/>
          <w:i/>
          <w:sz w:val="18"/>
          <w:szCs w:val="18"/>
          <w:shd w:val="clear" w:color="auto" w:fill="FFFFFF"/>
        </w:rPr>
        <w:t>Se ha dicho que el </w:t>
      </w:r>
      <w:r w:rsidRPr="003C50DB">
        <w:rPr>
          <w:rFonts w:cs="Arial"/>
          <w:i/>
          <w:sz w:val="18"/>
          <w:szCs w:val="18"/>
          <w:bdr w:val="none" w:sz="0" w:space="0" w:color="auto" w:frame="1"/>
          <w:shd w:val="clear" w:color="auto" w:fill="FFFFFF"/>
        </w:rPr>
        <w:t>‘concepto de parte tiene una doble acepción según se la examine desde el punto de vista puramente procesal o teniendo en cuenta el derecho material en discusión. En el primer caso, son partes quienes intervienen en el proceso como demandantes o demandados, en procura de que se les satisfaga una pretensión procesal, independientemente de que les asista razón o no; de manera que desde este punto de vista la noción de parte es puramente formal. En sentido material tienen la condición de partes los sujetos de la relación jurídica sustancial objeto de la controversia o motivo del reconocimiento, así no intervengan en el proceso</w:t>
      </w:r>
      <w:r w:rsidRPr="003C50DB">
        <w:rPr>
          <w:rFonts w:cs="Arial"/>
          <w:sz w:val="18"/>
          <w:szCs w:val="18"/>
          <w:bdr w:val="none" w:sz="0" w:space="0" w:color="auto" w:frame="1"/>
          <w:shd w:val="clear" w:color="auto" w:fill="FFFFFF"/>
        </w:rPr>
        <w:t xml:space="preserve">”. </w:t>
      </w:r>
      <w:r w:rsidRPr="003C50DB">
        <w:rPr>
          <w:rFonts w:cs="Arial"/>
          <w:sz w:val="18"/>
          <w:szCs w:val="18"/>
        </w:rPr>
        <w:t>Corte Constitucional, Auto 027 del 21 de agosto de 1997, M.P. Antonio Barrera Carbonell.</w:t>
      </w:r>
    </w:p>
  </w:footnote>
  <w:footnote w:id="16">
    <w:p w14:paraId="181357D9" w14:textId="117A62FE" w:rsidR="0005490D" w:rsidRPr="003C50DB" w:rsidRDefault="0005490D" w:rsidP="00A11E73">
      <w:pPr>
        <w:ind w:right="49"/>
        <w:contextualSpacing/>
      </w:pPr>
      <w:r w:rsidRPr="003C50DB">
        <w:rPr>
          <w:rStyle w:val="Refdenotaalpie"/>
          <w:rFonts w:cs="Arial"/>
          <w:sz w:val="18"/>
          <w:szCs w:val="18"/>
        </w:rPr>
        <w:footnoteRef/>
      </w:r>
      <w:r w:rsidRPr="003C50DB">
        <w:rPr>
          <w:rFonts w:cs="Arial"/>
          <w:sz w:val="18"/>
          <w:szCs w:val="18"/>
        </w:rPr>
        <w:t xml:space="preserve"> </w:t>
      </w:r>
      <w:r w:rsidRPr="003C50DB">
        <w:rPr>
          <w:rFonts w:cs="Arial"/>
          <w:sz w:val="18"/>
          <w:szCs w:val="18"/>
          <w:bdr w:val="none" w:sz="0" w:space="0" w:color="auto" w:frame="1"/>
        </w:rPr>
        <w:t>“</w:t>
      </w:r>
      <w:r w:rsidRPr="003C50DB">
        <w:rPr>
          <w:rFonts w:cs="Arial"/>
          <w:i/>
          <w:sz w:val="18"/>
          <w:szCs w:val="18"/>
          <w:bdr w:val="none" w:sz="0" w:space="0" w:color="auto" w:frame="1"/>
        </w:rPr>
        <w:t>[L</w:t>
      </w:r>
      <w:r w:rsidRPr="003C50DB">
        <w:rPr>
          <w:rFonts w:cs="Arial"/>
          <w:i/>
          <w:sz w:val="18"/>
          <w:szCs w:val="18"/>
          <w:u w:val="single"/>
          <w:bdr w:val="none" w:sz="0" w:space="0" w:color="auto" w:frame="1"/>
        </w:rPr>
        <w:t>]a falta de poder especial para adelantar el proceso de tutela por parte de un apoderado judicial, aun cuando tenga poder específico o general en otros asuntos, no lo habilita para ejercer la acción de amparo constitucional a nombre de su mandante</w:t>
      </w:r>
      <w:r w:rsidRPr="003C50DB">
        <w:rPr>
          <w:rFonts w:cs="Arial"/>
          <w:i/>
          <w:sz w:val="18"/>
          <w:szCs w:val="18"/>
          <w:bdr w:val="none" w:sz="0" w:space="0" w:color="auto" w:frame="1"/>
        </w:rPr>
        <w:t xml:space="preserve"> y, por lo tanto, en estos casos, la tutela debe ser declarada improcedente ante la falta de legitimación por activa</w:t>
      </w:r>
      <w:r w:rsidRPr="003C50DB">
        <w:rPr>
          <w:rFonts w:cs="Arial"/>
          <w:sz w:val="18"/>
          <w:szCs w:val="18"/>
          <w:bdr w:val="none" w:sz="0" w:space="0" w:color="auto" w:frame="1"/>
        </w:rPr>
        <w:t>”</w:t>
      </w:r>
      <w:r w:rsidRPr="003C50DB">
        <w:rPr>
          <w:rStyle w:val="Refdenotaalpie"/>
          <w:rFonts w:cs="Arial"/>
          <w:sz w:val="18"/>
          <w:szCs w:val="18"/>
          <w:bdr w:val="none" w:sz="0" w:space="0" w:color="auto" w:frame="1"/>
        </w:rPr>
        <w:footnoteRef/>
      </w:r>
      <w:r w:rsidRPr="003C50DB">
        <w:rPr>
          <w:rFonts w:cs="Arial"/>
          <w:sz w:val="18"/>
          <w:szCs w:val="18"/>
          <w:bdr w:val="none" w:sz="0" w:space="0" w:color="auto" w:frame="1"/>
        </w:rPr>
        <w:t>.</w:t>
      </w:r>
      <w:r w:rsidRPr="003C50DB">
        <w:rPr>
          <w:rFonts w:cs="Arial"/>
          <w:sz w:val="18"/>
          <w:szCs w:val="18"/>
        </w:rPr>
        <w:t xml:space="preserve"> Corte Constitucional, sentencia T-658 del 15 de agosto de 2002, M.P. Rodrigo Escobar Gil.</w:t>
      </w:r>
    </w:p>
  </w:footnote>
  <w:footnote w:id="17">
    <w:p w14:paraId="4BA6F55F" w14:textId="70DD92D5" w:rsidR="0005490D" w:rsidRPr="00BB1D73" w:rsidRDefault="0005490D" w:rsidP="00BB1D73">
      <w:pPr>
        <w:rPr>
          <w:rFonts w:cs="Arial"/>
          <w:sz w:val="18"/>
          <w:szCs w:val="18"/>
        </w:rPr>
      </w:pPr>
      <w:r w:rsidRPr="003C50DB">
        <w:rPr>
          <w:rStyle w:val="Refdenotaalpie"/>
          <w:rFonts w:cs="Arial"/>
          <w:sz w:val="18"/>
          <w:szCs w:val="18"/>
        </w:rPr>
        <w:footnoteRef/>
      </w:r>
      <w:r w:rsidRPr="003C50DB">
        <w:rPr>
          <w:rFonts w:cs="Arial"/>
          <w:sz w:val="18"/>
          <w:szCs w:val="18"/>
        </w:rPr>
        <w:t xml:space="preserve"> Obra poder a folio</w:t>
      </w:r>
      <w:r w:rsidR="00064313">
        <w:rPr>
          <w:rFonts w:cs="Arial"/>
          <w:sz w:val="18"/>
          <w:szCs w:val="18"/>
        </w:rPr>
        <w:t>s 1-</w:t>
      </w:r>
      <w:r w:rsidR="00A11E73" w:rsidRPr="003C50DB">
        <w:rPr>
          <w:rFonts w:cs="Arial"/>
          <w:sz w:val="18"/>
          <w:szCs w:val="18"/>
        </w:rPr>
        <w:t>2</w:t>
      </w:r>
      <w:r w:rsidRPr="003C50DB">
        <w:rPr>
          <w:rFonts w:cs="Arial"/>
          <w:sz w:val="18"/>
          <w:szCs w:val="18"/>
        </w:rPr>
        <w:t xml:space="preserve"> de</w:t>
      </w:r>
      <w:r w:rsidR="00BB1D73">
        <w:rPr>
          <w:rFonts w:cs="Arial"/>
          <w:sz w:val="18"/>
          <w:szCs w:val="18"/>
        </w:rPr>
        <w:t xml:space="preserve"> </w:t>
      </w:r>
      <w:r w:rsidRPr="003C50DB">
        <w:rPr>
          <w:rFonts w:cs="Arial"/>
          <w:sz w:val="18"/>
          <w:szCs w:val="18"/>
        </w:rPr>
        <w:t>l</w:t>
      </w:r>
      <w:r w:rsidR="00BB1D73">
        <w:rPr>
          <w:rFonts w:cs="Arial"/>
          <w:sz w:val="18"/>
          <w:szCs w:val="18"/>
        </w:rPr>
        <w:t>os</w:t>
      </w:r>
      <w:r w:rsidRPr="003C50DB">
        <w:rPr>
          <w:rFonts w:cs="Arial"/>
          <w:sz w:val="18"/>
          <w:szCs w:val="18"/>
        </w:rPr>
        <w:t xml:space="preserve"> archivo</w:t>
      </w:r>
      <w:r w:rsidR="00BB1D73">
        <w:rPr>
          <w:rFonts w:cs="Arial"/>
          <w:sz w:val="18"/>
          <w:szCs w:val="18"/>
        </w:rPr>
        <w:t>s</w:t>
      </w:r>
      <w:r w:rsidRPr="003C50DB">
        <w:rPr>
          <w:rFonts w:cs="Arial"/>
          <w:sz w:val="18"/>
          <w:szCs w:val="18"/>
        </w:rPr>
        <w:t xml:space="preserve"> digital</w:t>
      </w:r>
      <w:r w:rsidR="00BB1D73">
        <w:rPr>
          <w:rFonts w:cs="Arial"/>
          <w:sz w:val="18"/>
          <w:szCs w:val="18"/>
        </w:rPr>
        <w:t>es</w:t>
      </w:r>
      <w:r w:rsidRPr="003C50DB">
        <w:rPr>
          <w:rFonts w:cs="Arial"/>
          <w:sz w:val="18"/>
          <w:szCs w:val="18"/>
        </w:rPr>
        <w:t xml:space="preserve"> subido</w:t>
      </w:r>
      <w:r w:rsidR="00BB1D73">
        <w:rPr>
          <w:rFonts w:cs="Arial"/>
          <w:sz w:val="18"/>
          <w:szCs w:val="18"/>
        </w:rPr>
        <w:t>s</w:t>
      </w:r>
      <w:r w:rsidRPr="003C50DB">
        <w:rPr>
          <w:rFonts w:cs="Arial"/>
          <w:sz w:val="18"/>
          <w:szCs w:val="18"/>
        </w:rPr>
        <w:t xml:space="preserve"> en SAMAI</w:t>
      </w:r>
      <w:r w:rsidR="001D481F">
        <w:rPr>
          <w:rFonts w:cs="Arial"/>
          <w:sz w:val="18"/>
          <w:szCs w:val="18"/>
        </w:rPr>
        <w:t>, en el índice 2,</w:t>
      </w:r>
      <w:r w:rsidRPr="003C50DB">
        <w:rPr>
          <w:rFonts w:cs="Arial"/>
          <w:sz w:val="18"/>
          <w:szCs w:val="18"/>
        </w:rPr>
        <w:t xml:space="preserve"> con certificado </w:t>
      </w:r>
      <w:r w:rsidR="001D481F" w:rsidRPr="001D481F">
        <w:rPr>
          <w:rFonts w:cs="Arial"/>
          <w:sz w:val="18"/>
          <w:szCs w:val="18"/>
        </w:rPr>
        <w:t>85C34CF8F11C6FEE 7245249BDAB5B742 2A3E0B8C2BE8361A 3EAE8FDCF8C75037</w:t>
      </w:r>
      <w:r w:rsidR="00BB1D73">
        <w:rPr>
          <w:rFonts w:cs="Arial"/>
          <w:sz w:val="18"/>
          <w:szCs w:val="18"/>
        </w:rPr>
        <w:t xml:space="preserve"> y </w:t>
      </w:r>
      <w:r w:rsidR="00BB1D73" w:rsidRPr="00BB1D73">
        <w:rPr>
          <w:rFonts w:cs="Arial"/>
          <w:sz w:val="18"/>
          <w:szCs w:val="18"/>
        </w:rPr>
        <w:t>38B9CD91857D3905 F9106343D2E42420 7236C89918ECD6C9 D93294F5FF03EE70</w:t>
      </w:r>
      <w:r w:rsidRPr="003C50DB">
        <w:rPr>
          <w:rFonts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871386791"/>
      <w:docPartObj>
        <w:docPartGallery w:val="Page Numbers (Top of Page)"/>
        <w:docPartUnique/>
      </w:docPartObj>
    </w:sdtPr>
    <w:sdtContent>
      <w:p w14:paraId="082B491A" w14:textId="2BE1FA7E" w:rsidR="0005490D" w:rsidRPr="003470CB" w:rsidRDefault="0005490D">
        <w:pPr>
          <w:pStyle w:val="Encabezado"/>
          <w:jc w:val="center"/>
          <w:rPr>
            <w:sz w:val="18"/>
            <w:szCs w:val="18"/>
          </w:rPr>
        </w:pPr>
        <w:r w:rsidRPr="003470CB">
          <w:rPr>
            <w:sz w:val="18"/>
            <w:szCs w:val="18"/>
          </w:rPr>
          <w:fldChar w:fldCharType="begin"/>
        </w:r>
        <w:r w:rsidRPr="003470CB">
          <w:rPr>
            <w:sz w:val="18"/>
            <w:szCs w:val="18"/>
          </w:rPr>
          <w:instrText>PAGE   \* MERGEFORMAT</w:instrText>
        </w:r>
        <w:r w:rsidRPr="003470CB">
          <w:rPr>
            <w:sz w:val="18"/>
            <w:szCs w:val="18"/>
          </w:rPr>
          <w:fldChar w:fldCharType="separate"/>
        </w:r>
        <w:r w:rsidR="00DE660E" w:rsidRPr="003470CB">
          <w:rPr>
            <w:noProof/>
            <w:sz w:val="18"/>
            <w:szCs w:val="18"/>
            <w:lang w:val="es-ES"/>
          </w:rPr>
          <w:t>6</w:t>
        </w:r>
        <w:r w:rsidRPr="003470CB">
          <w:rPr>
            <w:sz w:val="18"/>
            <w:szCs w:val="18"/>
          </w:rPr>
          <w:fldChar w:fldCharType="end"/>
        </w:r>
      </w:p>
    </w:sdtContent>
  </w:sdt>
  <w:p w14:paraId="7B11CA8D" w14:textId="77777777" w:rsidR="0005490D" w:rsidRPr="003470CB" w:rsidRDefault="0005490D" w:rsidP="00680712">
    <w:pPr>
      <w:tabs>
        <w:tab w:val="left" w:pos="2070"/>
      </w:tabs>
      <w:spacing w:line="276" w:lineRule="auto"/>
      <w:jc w:val="right"/>
      <w:rPr>
        <w:i/>
        <w:sz w:val="18"/>
        <w:szCs w:val="18"/>
      </w:rPr>
    </w:pPr>
    <w:r w:rsidRPr="003470CB">
      <w:rPr>
        <w:i/>
        <w:sz w:val="18"/>
        <w:szCs w:val="18"/>
      </w:rPr>
      <w:t>Sentencia de primera instancia</w:t>
    </w:r>
  </w:p>
  <w:p w14:paraId="74948DB0" w14:textId="19C250FF" w:rsidR="0005490D" w:rsidRPr="003470CB" w:rsidRDefault="0005490D" w:rsidP="00680712">
    <w:pPr>
      <w:tabs>
        <w:tab w:val="left" w:pos="2070"/>
      </w:tabs>
      <w:spacing w:line="276" w:lineRule="auto"/>
      <w:jc w:val="right"/>
      <w:rPr>
        <w:i/>
        <w:sz w:val="18"/>
        <w:szCs w:val="18"/>
      </w:rPr>
    </w:pPr>
    <w:r w:rsidRPr="003470CB">
      <w:rPr>
        <w:i/>
        <w:sz w:val="18"/>
        <w:szCs w:val="18"/>
      </w:rPr>
      <w:t>Radicación: 11001-03-15-000-202</w:t>
    </w:r>
    <w:r w:rsidR="002210CC" w:rsidRPr="003470CB">
      <w:rPr>
        <w:i/>
        <w:sz w:val="18"/>
        <w:szCs w:val="18"/>
      </w:rPr>
      <w:t>2</w:t>
    </w:r>
    <w:r w:rsidRPr="003470CB">
      <w:rPr>
        <w:i/>
        <w:sz w:val="18"/>
        <w:szCs w:val="18"/>
      </w:rPr>
      <w:t>-</w:t>
    </w:r>
    <w:r w:rsidR="002210CC" w:rsidRPr="003470CB">
      <w:rPr>
        <w:i/>
        <w:sz w:val="18"/>
        <w:szCs w:val="18"/>
      </w:rPr>
      <w:t>02902</w:t>
    </w:r>
    <w:r w:rsidRPr="003470CB">
      <w:rPr>
        <w:i/>
        <w:sz w:val="18"/>
        <w:szCs w:val="18"/>
      </w:rPr>
      <w:t xml:space="preserve">-00 </w:t>
    </w:r>
  </w:p>
  <w:p w14:paraId="020C8C8E" w14:textId="49E4433C" w:rsidR="0005490D" w:rsidRPr="003470CB" w:rsidRDefault="0005490D" w:rsidP="00680712">
    <w:pPr>
      <w:tabs>
        <w:tab w:val="left" w:pos="2070"/>
      </w:tabs>
      <w:spacing w:line="276" w:lineRule="auto"/>
      <w:jc w:val="right"/>
      <w:rPr>
        <w:i/>
        <w:sz w:val="18"/>
        <w:szCs w:val="18"/>
      </w:rPr>
    </w:pPr>
    <w:r w:rsidRPr="003470CB">
      <w:rPr>
        <w:i/>
        <w:sz w:val="18"/>
        <w:szCs w:val="18"/>
      </w:rPr>
      <w:t xml:space="preserve">Accionante: </w:t>
    </w:r>
    <w:r w:rsidR="002210CC" w:rsidRPr="003470CB">
      <w:rPr>
        <w:i/>
        <w:sz w:val="18"/>
        <w:szCs w:val="18"/>
      </w:rPr>
      <w:t>Francia Stella Gaviria Toro</w:t>
    </w:r>
  </w:p>
  <w:p w14:paraId="3678E18D" w14:textId="2EACDD87" w:rsidR="0005490D" w:rsidRPr="003470CB" w:rsidRDefault="0005490D" w:rsidP="00680712">
    <w:pPr>
      <w:tabs>
        <w:tab w:val="left" w:pos="2070"/>
      </w:tabs>
      <w:spacing w:line="276" w:lineRule="auto"/>
      <w:jc w:val="right"/>
      <w:rPr>
        <w:i/>
        <w:sz w:val="18"/>
        <w:szCs w:val="18"/>
      </w:rPr>
    </w:pPr>
    <w:r w:rsidRPr="003470CB">
      <w:rPr>
        <w:i/>
        <w:sz w:val="18"/>
        <w:szCs w:val="18"/>
      </w:rPr>
      <w:t xml:space="preserve">Accionado: Tribunal Administrativo del Valle del Cauca </w:t>
    </w:r>
  </w:p>
  <w:p w14:paraId="5671C061" w14:textId="77777777" w:rsidR="0005490D" w:rsidRPr="003470CB" w:rsidRDefault="0005490D" w:rsidP="00680712">
    <w:pPr>
      <w:pStyle w:val="Encabezado"/>
      <w:jc w:val="right"/>
      <w:rPr>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9A63" w14:textId="77777777" w:rsidR="0005490D" w:rsidRPr="00E44FE5" w:rsidRDefault="0005490D" w:rsidP="006B0AC2">
    <w:pPr>
      <w:pStyle w:val="Encabezado"/>
      <w:rPr>
        <w:sz w:val="24"/>
        <w:szCs w:val="24"/>
      </w:rPr>
    </w:pPr>
    <w:r w:rsidRPr="00E44FE5">
      <w:rPr>
        <w:noProof/>
        <w:sz w:val="24"/>
        <w:szCs w:val="24"/>
        <w:lang w:val="en-US"/>
      </w:rPr>
      <w:drawing>
        <wp:anchor distT="0" distB="0" distL="114300" distR="114300" simplePos="0" relativeHeight="251659264" behindDoc="1" locked="0" layoutInCell="1" allowOverlap="1" wp14:anchorId="031CBB80" wp14:editId="0051D819">
          <wp:simplePos x="0" y="0"/>
          <wp:positionH relativeFrom="column">
            <wp:posOffset>-61491</wp:posOffset>
          </wp:positionH>
          <wp:positionV relativeFrom="paragraph">
            <wp:posOffset>-211616</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969080" w14:textId="77777777" w:rsidR="0005490D" w:rsidRPr="00E44FE5" w:rsidRDefault="0005490D" w:rsidP="006B0AC2">
    <w:pPr>
      <w:tabs>
        <w:tab w:val="center" w:pos="4703"/>
        <w:tab w:val="left" w:pos="7035"/>
      </w:tabs>
      <w:jc w:val="left"/>
      <w:rPr>
        <w:rFonts w:cs="Arial"/>
        <w:b/>
        <w:bCs/>
        <w:sz w:val="24"/>
        <w:szCs w:val="24"/>
        <w:lang w:eastAsia="es-ES"/>
      </w:rPr>
    </w:pPr>
    <w:r>
      <w:rPr>
        <w:rFonts w:cs="Arial"/>
        <w:b/>
        <w:bCs/>
        <w:sz w:val="24"/>
        <w:szCs w:val="24"/>
        <w:lang w:eastAsia="es-ES"/>
      </w:rPr>
      <w:tab/>
    </w:r>
    <w:r w:rsidRPr="00E44FE5">
      <w:rPr>
        <w:rFonts w:cs="Arial"/>
        <w:b/>
        <w:bCs/>
        <w:sz w:val="24"/>
        <w:szCs w:val="24"/>
        <w:lang w:eastAsia="es-ES"/>
      </w:rPr>
      <w:t>CONSEJO DE ESTADO</w:t>
    </w:r>
    <w:r>
      <w:rPr>
        <w:rFonts w:cs="Arial"/>
        <w:b/>
        <w:bCs/>
        <w:sz w:val="24"/>
        <w:szCs w:val="24"/>
        <w:lang w:eastAsia="es-ES"/>
      </w:rPr>
      <w:tab/>
    </w:r>
  </w:p>
  <w:p w14:paraId="36322B62" w14:textId="77777777" w:rsidR="0005490D" w:rsidRPr="00E44FE5" w:rsidRDefault="0005490D" w:rsidP="006B0AC2">
    <w:pPr>
      <w:jc w:val="center"/>
      <w:rPr>
        <w:rFonts w:cs="Arial"/>
        <w:b/>
        <w:bCs/>
        <w:color w:val="000000"/>
        <w:sz w:val="24"/>
        <w:szCs w:val="24"/>
        <w:lang w:eastAsia="es-ES"/>
      </w:rPr>
    </w:pPr>
    <w:r w:rsidRPr="00E44FE5">
      <w:rPr>
        <w:rFonts w:cs="Arial"/>
        <w:b/>
        <w:bCs/>
        <w:color w:val="000000"/>
        <w:sz w:val="24"/>
        <w:szCs w:val="24"/>
        <w:lang w:eastAsia="es-ES"/>
      </w:rPr>
      <w:t>SALA DE LO CONTENCIOSO ADMINISTRATIVO</w:t>
    </w:r>
  </w:p>
  <w:p w14:paraId="3DB720E0" w14:textId="77777777" w:rsidR="0005490D" w:rsidRPr="00E44FE5" w:rsidRDefault="0005490D" w:rsidP="006B0AC2">
    <w:pPr>
      <w:jc w:val="center"/>
      <w:rPr>
        <w:rFonts w:cs="Arial"/>
        <w:b/>
        <w:bCs/>
        <w:color w:val="000000"/>
        <w:sz w:val="24"/>
        <w:szCs w:val="24"/>
        <w:lang w:eastAsia="es-ES"/>
      </w:rPr>
    </w:pPr>
    <w:r w:rsidRPr="00E44FE5">
      <w:rPr>
        <w:rFonts w:cs="Arial"/>
        <w:b/>
        <w:bCs/>
        <w:color w:val="000000"/>
        <w:sz w:val="24"/>
        <w:szCs w:val="24"/>
        <w:lang w:eastAsia="es-ES"/>
      </w:rPr>
      <w:t>SECCIÓN TERCERA</w:t>
    </w:r>
  </w:p>
  <w:p w14:paraId="3574F5C9" w14:textId="77777777" w:rsidR="0005490D" w:rsidRDefault="0005490D" w:rsidP="006B0AC2">
    <w:pPr>
      <w:jc w:val="center"/>
      <w:rPr>
        <w:rFonts w:cs="Arial"/>
        <w:b/>
        <w:bCs/>
        <w:color w:val="000000"/>
        <w:sz w:val="24"/>
        <w:szCs w:val="24"/>
        <w:lang w:eastAsia="es-ES"/>
      </w:rPr>
    </w:pPr>
    <w:r w:rsidRPr="00E44FE5">
      <w:rPr>
        <w:rFonts w:cs="Arial"/>
        <w:b/>
        <w:bCs/>
        <w:color w:val="000000"/>
        <w:sz w:val="24"/>
        <w:szCs w:val="24"/>
        <w:lang w:eastAsia="es-ES"/>
      </w:rPr>
      <w:t>SUBSECCIÓN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797F"/>
    <w:multiLevelType w:val="hybridMultilevel"/>
    <w:tmpl w:val="78724F34"/>
    <w:lvl w:ilvl="0" w:tplc="373081D0">
      <w:start w:val="1"/>
      <w:numFmt w:val="decimal"/>
      <w:lvlText w:val="%1."/>
      <w:lvlJc w:val="left"/>
      <w:pPr>
        <w:ind w:left="360" w:hanging="360"/>
      </w:pPr>
      <w:rPr>
        <w:rFonts w:eastAsia="Calibri" w:hint="default"/>
        <w:b w:val="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4F6355E9"/>
    <w:multiLevelType w:val="hybridMultilevel"/>
    <w:tmpl w:val="2BBC25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543442213">
    <w:abstractNumId w:val="1"/>
  </w:num>
  <w:num w:numId="2" w16cid:durableId="1757558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AC2"/>
    <w:rsid w:val="00004ED1"/>
    <w:rsid w:val="00012AE0"/>
    <w:rsid w:val="00015478"/>
    <w:rsid w:val="000154D7"/>
    <w:rsid w:val="00015941"/>
    <w:rsid w:val="000219C4"/>
    <w:rsid w:val="00031FCA"/>
    <w:rsid w:val="000348A8"/>
    <w:rsid w:val="00044165"/>
    <w:rsid w:val="0005026F"/>
    <w:rsid w:val="000516DA"/>
    <w:rsid w:val="000538B8"/>
    <w:rsid w:val="00053D4F"/>
    <w:rsid w:val="0005410D"/>
    <w:rsid w:val="0005490D"/>
    <w:rsid w:val="000611D7"/>
    <w:rsid w:val="00063571"/>
    <w:rsid w:val="00064313"/>
    <w:rsid w:val="0007131C"/>
    <w:rsid w:val="00083C52"/>
    <w:rsid w:val="00085695"/>
    <w:rsid w:val="0009628B"/>
    <w:rsid w:val="000A64BC"/>
    <w:rsid w:val="000A65E4"/>
    <w:rsid w:val="000B4FF1"/>
    <w:rsid w:val="000C5CFD"/>
    <w:rsid w:val="000C660E"/>
    <w:rsid w:val="000D1DC4"/>
    <w:rsid w:val="000D2CAF"/>
    <w:rsid w:val="000D6865"/>
    <w:rsid w:val="000E4DB4"/>
    <w:rsid w:val="000E553E"/>
    <w:rsid w:val="000F10EC"/>
    <w:rsid w:val="000F59DC"/>
    <w:rsid w:val="000F5F1F"/>
    <w:rsid w:val="000F7AB7"/>
    <w:rsid w:val="00107523"/>
    <w:rsid w:val="001139F6"/>
    <w:rsid w:val="001257E1"/>
    <w:rsid w:val="00142B71"/>
    <w:rsid w:val="001430AA"/>
    <w:rsid w:val="00152A1D"/>
    <w:rsid w:val="00153A7A"/>
    <w:rsid w:val="00161E1A"/>
    <w:rsid w:val="00171ED0"/>
    <w:rsid w:val="00173024"/>
    <w:rsid w:val="001826BF"/>
    <w:rsid w:val="001843A1"/>
    <w:rsid w:val="00187455"/>
    <w:rsid w:val="00190178"/>
    <w:rsid w:val="001925DC"/>
    <w:rsid w:val="00195B48"/>
    <w:rsid w:val="001A0409"/>
    <w:rsid w:val="001A0B82"/>
    <w:rsid w:val="001A3CAB"/>
    <w:rsid w:val="001A40E4"/>
    <w:rsid w:val="001A493B"/>
    <w:rsid w:val="001B2281"/>
    <w:rsid w:val="001B3F1D"/>
    <w:rsid w:val="001B7569"/>
    <w:rsid w:val="001D27E1"/>
    <w:rsid w:val="001D481F"/>
    <w:rsid w:val="001D5684"/>
    <w:rsid w:val="001D58CD"/>
    <w:rsid w:val="001D6F52"/>
    <w:rsid w:val="001E18C2"/>
    <w:rsid w:val="001E51C6"/>
    <w:rsid w:val="001E6210"/>
    <w:rsid w:val="001F1B73"/>
    <w:rsid w:val="001F331D"/>
    <w:rsid w:val="00202D41"/>
    <w:rsid w:val="00210710"/>
    <w:rsid w:val="00215717"/>
    <w:rsid w:val="00216E9D"/>
    <w:rsid w:val="00217FD2"/>
    <w:rsid w:val="002210CC"/>
    <w:rsid w:val="002305C9"/>
    <w:rsid w:val="00233BF4"/>
    <w:rsid w:val="00243FD0"/>
    <w:rsid w:val="00254444"/>
    <w:rsid w:val="00254A0A"/>
    <w:rsid w:val="00256E35"/>
    <w:rsid w:val="00256E4C"/>
    <w:rsid w:val="002666EB"/>
    <w:rsid w:val="00266E00"/>
    <w:rsid w:val="00292C2E"/>
    <w:rsid w:val="002C7CB7"/>
    <w:rsid w:val="002D1B21"/>
    <w:rsid w:val="002D7FCB"/>
    <w:rsid w:val="002E1CDA"/>
    <w:rsid w:val="002E55B1"/>
    <w:rsid w:val="002E5922"/>
    <w:rsid w:val="002E6DCB"/>
    <w:rsid w:val="002F1340"/>
    <w:rsid w:val="002F1796"/>
    <w:rsid w:val="00304CEF"/>
    <w:rsid w:val="003104E6"/>
    <w:rsid w:val="0031180F"/>
    <w:rsid w:val="00312638"/>
    <w:rsid w:val="00312F8A"/>
    <w:rsid w:val="00324B8B"/>
    <w:rsid w:val="00326F04"/>
    <w:rsid w:val="003324F7"/>
    <w:rsid w:val="00333B60"/>
    <w:rsid w:val="00335126"/>
    <w:rsid w:val="00345610"/>
    <w:rsid w:val="00346BF3"/>
    <w:rsid w:val="003470CB"/>
    <w:rsid w:val="00354B03"/>
    <w:rsid w:val="00362897"/>
    <w:rsid w:val="003642CF"/>
    <w:rsid w:val="00364F6B"/>
    <w:rsid w:val="00367325"/>
    <w:rsid w:val="003732A5"/>
    <w:rsid w:val="003753B9"/>
    <w:rsid w:val="00377402"/>
    <w:rsid w:val="003857AA"/>
    <w:rsid w:val="00391A7C"/>
    <w:rsid w:val="003A303B"/>
    <w:rsid w:val="003A3447"/>
    <w:rsid w:val="003A63BC"/>
    <w:rsid w:val="003A68A9"/>
    <w:rsid w:val="003A6A16"/>
    <w:rsid w:val="003C08D7"/>
    <w:rsid w:val="003C50DB"/>
    <w:rsid w:val="003D5599"/>
    <w:rsid w:val="003D6E9C"/>
    <w:rsid w:val="003E0C40"/>
    <w:rsid w:val="003E2C95"/>
    <w:rsid w:val="003E3F7C"/>
    <w:rsid w:val="003E5179"/>
    <w:rsid w:val="003E7A08"/>
    <w:rsid w:val="003F4B33"/>
    <w:rsid w:val="003F63DB"/>
    <w:rsid w:val="003F6BAC"/>
    <w:rsid w:val="00405BAE"/>
    <w:rsid w:val="004238C7"/>
    <w:rsid w:val="00431674"/>
    <w:rsid w:val="00434B2E"/>
    <w:rsid w:val="004431CC"/>
    <w:rsid w:val="00444C66"/>
    <w:rsid w:val="00450C06"/>
    <w:rsid w:val="004551B5"/>
    <w:rsid w:val="00456DC5"/>
    <w:rsid w:val="00462FEE"/>
    <w:rsid w:val="00467092"/>
    <w:rsid w:val="00472B17"/>
    <w:rsid w:val="00473452"/>
    <w:rsid w:val="00473482"/>
    <w:rsid w:val="004803D3"/>
    <w:rsid w:val="00483EA5"/>
    <w:rsid w:val="004865F4"/>
    <w:rsid w:val="00493F99"/>
    <w:rsid w:val="004940F6"/>
    <w:rsid w:val="00494882"/>
    <w:rsid w:val="00495979"/>
    <w:rsid w:val="00495E9F"/>
    <w:rsid w:val="004A45A9"/>
    <w:rsid w:val="004B3F4A"/>
    <w:rsid w:val="004C0F25"/>
    <w:rsid w:val="004C6449"/>
    <w:rsid w:val="004D28C7"/>
    <w:rsid w:val="004D3AD0"/>
    <w:rsid w:val="004E2223"/>
    <w:rsid w:val="00501941"/>
    <w:rsid w:val="00501CE1"/>
    <w:rsid w:val="005033D9"/>
    <w:rsid w:val="005108A6"/>
    <w:rsid w:val="005129A8"/>
    <w:rsid w:val="0051438E"/>
    <w:rsid w:val="00521690"/>
    <w:rsid w:val="005216DA"/>
    <w:rsid w:val="00523F82"/>
    <w:rsid w:val="0052517D"/>
    <w:rsid w:val="005268D2"/>
    <w:rsid w:val="00527D32"/>
    <w:rsid w:val="00527EA5"/>
    <w:rsid w:val="00530D3D"/>
    <w:rsid w:val="0053104D"/>
    <w:rsid w:val="005312CA"/>
    <w:rsid w:val="00536213"/>
    <w:rsid w:val="00540E92"/>
    <w:rsid w:val="005464CA"/>
    <w:rsid w:val="00554EA8"/>
    <w:rsid w:val="00556B6A"/>
    <w:rsid w:val="0056066C"/>
    <w:rsid w:val="005705C3"/>
    <w:rsid w:val="005712CE"/>
    <w:rsid w:val="00574C91"/>
    <w:rsid w:val="00574EA1"/>
    <w:rsid w:val="005750F3"/>
    <w:rsid w:val="00576456"/>
    <w:rsid w:val="00584607"/>
    <w:rsid w:val="00587A23"/>
    <w:rsid w:val="005A7A31"/>
    <w:rsid w:val="005B7590"/>
    <w:rsid w:val="005C043F"/>
    <w:rsid w:val="005C3A2F"/>
    <w:rsid w:val="005C7402"/>
    <w:rsid w:val="005D5243"/>
    <w:rsid w:val="005E1A67"/>
    <w:rsid w:val="005E6E03"/>
    <w:rsid w:val="005F5F2F"/>
    <w:rsid w:val="00602200"/>
    <w:rsid w:val="0060265F"/>
    <w:rsid w:val="00610970"/>
    <w:rsid w:val="00613A2B"/>
    <w:rsid w:val="0061549A"/>
    <w:rsid w:val="00623998"/>
    <w:rsid w:val="00624DFA"/>
    <w:rsid w:val="00634CF7"/>
    <w:rsid w:val="00642136"/>
    <w:rsid w:val="006430C6"/>
    <w:rsid w:val="0064569B"/>
    <w:rsid w:val="0066333D"/>
    <w:rsid w:val="00663B1A"/>
    <w:rsid w:val="006669A6"/>
    <w:rsid w:val="00672CC6"/>
    <w:rsid w:val="00680712"/>
    <w:rsid w:val="00684854"/>
    <w:rsid w:val="00695515"/>
    <w:rsid w:val="006A10CA"/>
    <w:rsid w:val="006A1727"/>
    <w:rsid w:val="006A2EDF"/>
    <w:rsid w:val="006B0AC2"/>
    <w:rsid w:val="006B3EE1"/>
    <w:rsid w:val="006B484A"/>
    <w:rsid w:val="006B7DC8"/>
    <w:rsid w:val="006B7DE0"/>
    <w:rsid w:val="006C001F"/>
    <w:rsid w:val="006C223A"/>
    <w:rsid w:val="006C684F"/>
    <w:rsid w:val="006C7D15"/>
    <w:rsid w:val="006D36B5"/>
    <w:rsid w:val="006E53F3"/>
    <w:rsid w:val="006E7A27"/>
    <w:rsid w:val="00702203"/>
    <w:rsid w:val="00705F70"/>
    <w:rsid w:val="00711A9F"/>
    <w:rsid w:val="00716132"/>
    <w:rsid w:val="00722554"/>
    <w:rsid w:val="00723A5E"/>
    <w:rsid w:val="00724CFE"/>
    <w:rsid w:val="00732440"/>
    <w:rsid w:val="007337C4"/>
    <w:rsid w:val="007378CE"/>
    <w:rsid w:val="00743A34"/>
    <w:rsid w:val="00747750"/>
    <w:rsid w:val="007503E6"/>
    <w:rsid w:val="00760EE1"/>
    <w:rsid w:val="00763B87"/>
    <w:rsid w:val="007648A4"/>
    <w:rsid w:val="00765C09"/>
    <w:rsid w:val="007664B2"/>
    <w:rsid w:val="0076700D"/>
    <w:rsid w:val="00767EE9"/>
    <w:rsid w:val="00771837"/>
    <w:rsid w:val="00772B6F"/>
    <w:rsid w:val="00781A44"/>
    <w:rsid w:val="00785023"/>
    <w:rsid w:val="00787407"/>
    <w:rsid w:val="00793399"/>
    <w:rsid w:val="00794E64"/>
    <w:rsid w:val="007A089C"/>
    <w:rsid w:val="007B0194"/>
    <w:rsid w:val="007B2CA1"/>
    <w:rsid w:val="007B396E"/>
    <w:rsid w:val="007B7885"/>
    <w:rsid w:val="007C7F23"/>
    <w:rsid w:val="007D45A7"/>
    <w:rsid w:val="007D6E61"/>
    <w:rsid w:val="007E4E85"/>
    <w:rsid w:val="007F156A"/>
    <w:rsid w:val="007F2CB4"/>
    <w:rsid w:val="007F70D3"/>
    <w:rsid w:val="008004E3"/>
    <w:rsid w:val="00800789"/>
    <w:rsid w:val="00802EEA"/>
    <w:rsid w:val="00805586"/>
    <w:rsid w:val="00810B28"/>
    <w:rsid w:val="0081112E"/>
    <w:rsid w:val="00811EE4"/>
    <w:rsid w:val="008131B8"/>
    <w:rsid w:val="00814A80"/>
    <w:rsid w:val="00815F78"/>
    <w:rsid w:val="008233EF"/>
    <w:rsid w:val="008256F0"/>
    <w:rsid w:val="00830831"/>
    <w:rsid w:val="00833486"/>
    <w:rsid w:val="00836A81"/>
    <w:rsid w:val="00836CC0"/>
    <w:rsid w:val="008435C3"/>
    <w:rsid w:val="008439AD"/>
    <w:rsid w:val="00844CB3"/>
    <w:rsid w:val="00853523"/>
    <w:rsid w:val="008545B3"/>
    <w:rsid w:val="00854A50"/>
    <w:rsid w:val="0086246F"/>
    <w:rsid w:val="0086464D"/>
    <w:rsid w:val="00866FFF"/>
    <w:rsid w:val="0086725C"/>
    <w:rsid w:val="00873564"/>
    <w:rsid w:val="00875109"/>
    <w:rsid w:val="0088327A"/>
    <w:rsid w:val="00885CB1"/>
    <w:rsid w:val="00896DDA"/>
    <w:rsid w:val="00897520"/>
    <w:rsid w:val="008A79A2"/>
    <w:rsid w:val="008B214D"/>
    <w:rsid w:val="008C2925"/>
    <w:rsid w:val="008C6469"/>
    <w:rsid w:val="008C693F"/>
    <w:rsid w:val="008C6BCE"/>
    <w:rsid w:val="008D05E2"/>
    <w:rsid w:val="008D3756"/>
    <w:rsid w:val="008D3A42"/>
    <w:rsid w:val="008E23AD"/>
    <w:rsid w:val="008E7985"/>
    <w:rsid w:val="008F0BA4"/>
    <w:rsid w:val="008F3E6D"/>
    <w:rsid w:val="008F5793"/>
    <w:rsid w:val="009014D2"/>
    <w:rsid w:val="00906C62"/>
    <w:rsid w:val="009171F9"/>
    <w:rsid w:val="009208AA"/>
    <w:rsid w:val="00936EA4"/>
    <w:rsid w:val="00940343"/>
    <w:rsid w:val="00940DDF"/>
    <w:rsid w:val="00940EF2"/>
    <w:rsid w:val="009422B0"/>
    <w:rsid w:val="00947AC6"/>
    <w:rsid w:val="00947C8F"/>
    <w:rsid w:val="009523C3"/>
    <w:rsid w:val="00955012"/>
    <w:rsid w:val="0095675A"/>
    <w:rsid w:val="009572CB"/>
    <w:rsid w:val="00957407"/>
    <w:rsid w:val="00965094"/>
    <w:rsid w:val="00971C3D"/>
    <w:rsid w:val="00985D3D"/>
    <w:rsid w:val="00986A5B"/>
    <w:rsid w:val="00994D50"/>
    <w:rsid w:val="00996067"/>
    <w:rsid w:val="009966DB"/>
    <w:rsid w:val="009A118B"/>
    <w:rsid w:val="009C2F8D"/>
    <w:rsid w:val="009C5B60"/>
    <w:rsid w:val="009C6BDB"/>
    <w:rsid w:val="009D3EE8"/>
    <w:rsid w:val="009D5912"/>
    <w:rsid w:val="009D7A8D"/>
    <w:rsid w:val="009E3766"/>
    <w:rsid w:val="009E6138"/>
    <w:rsid w:val="009F2F61"/>
    <w:rsid w:val="00A060AF"/>
    <w:rsid w:val="00A061EA"/>
    <w:rsid w:val="00A11E73"/>
    <w:rsid w:val="00A14CCA"/>
    <w:rsid w:val="00A317AB"/>
    <w:rsid w:val="00A33DFC"/>
    <w:rsid w:val="00A34496"/>
    <w:rsid w:val="00A34A0F"/>
    <w:rsid w:val="00A3547C"/>
    <w:rsid w:val="00A373D2"/>
    <w:rsid w:val="00A40872"/>
    <w:rsid w:val="00A4156D"/>
    <w:rsid w:val="00A41B97"/>
    <w:rsid w:val="00A53DF5"/>
    <w:rsid w:val="00A62174"/>
    <w:rsid w:val="00A636EC"/>
    <w:rsid w:val="00A63E11"/>
    <w:rsid w:val="00A7469E"/>
    <w:rsid w:val="00A7700B"/>
    <w:rsid w:val="00A777AB"/>
    <w:rsid w:val="00A8552E"/>
    <w:rsid w:val="00A9416F"/>
    <w:rsid w:val="00A95027"/>
    <w:rsid w:val="00A955BE"/>
    <w:rsid w:val="00AA45CE"/>
    <w:rsid w:val="00AA5F66"/>
    <w:rsid w:val="00AB7646"/>
    <w:rsid w:val="00AC5C1B"/>
    <w:rsid w:val="00AC7A77"/>
    <w:rsid w:val="00AD2259"/>
    <w:rsid w:val="00AD25BF"/>
    <w:rsid w:val="00AD448F"/>
    <w:rsid w:val="00AD63A4"/>
    <w:rsid w:val="00AD6DD0"/>
    <w:rsid w:val="00AE4282"/>
    <w:rsid w:val="00AE5753"/>
    <w:rsid w:val="00AE644E"/>
    <w:rsid w:val="00AF08F5"/>
    <w:rsid w:val="00AF60ED"/>
    <w:rsid w:val="00AF7ADC"/>
    <w:rsid w:val="00B132F9"/>
    <w:rsid w:val="00B13D9A"/>
    <w:rsid w:val="00B178C4"/>
    <w:rsid w:val="00B209C4"/>
    <w:rsid w:val="00B300CA"/>
    <w:rsid w:val="00B306F8"/>
    <w:rsid w:val="00B35324"/>
    <w:rsid w:val="00B375CA"/>
    <w:rsid w:val="00B408A1"/>
    <w:rsid w:val="00B422E1"/>
    <w:rsid w:val="00B452A8"/>
    <w:rsid w:val="00B46930"/>
    <w:rsid w:val="00B56AA8"/>
    <w:rsid w:val="00B66442"/>
    <w:rsid w:val="00B708D3"/>
    <w:rsid w:val="00B73217"/>
    <w:rsid w:val="00B77C2B"/>
    <w:rsid w:val="00B90D77"/>
    <w:rsid w:val="00B95832"/>
    <w:rsid w:val="00BA0EF0"/>
    <w:rsid w:val="00BA154B"/>
    <w:rsid w:val="00BA44CF"/>
    <w:rsid w:val="00BA74A4"/>
    <w:rsid w:val="00BA7BA7"/>
    <w:rsid w:val="00BB145C"/>
    <w:rsid w:val="00BB1D73"/>
    <w:rsid w:val="00BB3844"/>
    <w:rsid w:val="00BC1304"/>
    <w:rsid w:val="00BC354C"/>
    <w:rsid w:val="00BC5A79"/>
    <w:rsid w:val="00BC6361"/>
    <w:rsid w:val="00BD034F"/>
    <w:rsid w:val="00BD118D"/>
    <w:rsid w:val="00BD7DE9"/>
    <w:rsid w:val="00BE3E38"/>
    <w:rsid w:val="00BF48E7"/>
    <w:rsid w:val="00C05AAA"/>
    <w:rsid w:val="00C076E6"/>
    <w:rsid w:val="00C07827"/>
    <w:rsid w:val="00C11842"/>
    <w:rsid w:val="00C15458"/>
    <w:rsid w:val="00C15D65"/>
    <w:rsid w:val="00C16CBC"/>
    <w:rsid w:val="00C21CE2"/>
    <w:rsid w:val="00C27C1C"/>
    <w:rsid w:val="00C304EE"/>
    <w:rsid w:val="00C3062A"/>
    <w:rsid w:val="00C32464"/>
    <w:rsid w:val="00C32E7A"/>
    <w:rsid w:val="00C33843"/>
    <w:rsid w:val="00C344A8"/>
    <w:rsid w:val="00C34C28"/>
    <w:rsid w:val="00C3569D"/>
    <w:rsid w:val="00C36368"/>
    <w:rsid w:val="00C37F0A"/>
    <w:rsid w:val="00C44CFD"/>
    <w:rsid w:val="00C45894"/>
    <w:rsid w:val="00C45FD9"/>
    <w:rsid w:val="00C5021D"/>
    <w:rsid w:val="00C6319A"/>
    <w:rsid w:val="00C67D88"/>
    <w:rsid w:val="00C7638B"/>
    <w:rsid w:val="00C86EB2"/>
    <w:rsid w:val="00C92957"/>
    <w:rsid w:val="00C92E10"/>
    <w:rsid w:val="00C950EE"/>
    <w:rsid w:val="00CA3D0A"/>
    <w:rsid w:val="00CA5F1A"/>
    <w:rsid w:val="00CB6766"/>
    <w:rsid w:val="00CC13F2"/>
    <w:rsid w:val="00CC2ACA"/>
    <w:rsid w:val="00CD0856"/>
    <w:rsid w:val="00CD3D88"/>
    <w:rsid w:val="00CD3D94"/>
    <w:rsid w:val="00CD414C"/>
    <w:rsid w:val="00CD434D"/>
    <w:rsid w:val="00CE0705"/>
    <w:rsid w:val="00CE1129"/>
    <w:rsid w:val="00CE2470"/>
    <w:rsid w:val="00CE40CA"/>
    <w:rsid w:val="00CE6F23"/>
    <w:rsid w:val="00CF26ED"/>
    <w:rsid w:val="00CF2720"/>
    <w:rsid w:val="00D00258"/>
    <w:rsid w:val="00D03D73"/>
    <w:rsid w:val="00D05041"/>
    <w:rsid w:val="00D1573A"/>
    <w:rsid w:val="00D16C4A"/>
    <w:rsid w:val="00D22FB0"/>
    <w:rsid w:val="00D23875"/>
    <w:rsid w:val="00D272CE"/>
    <w:rsid w:val="00D32E4C"/>
    <w:rsid w:val="00D32F4C"/>
    <w:rsid w:val="00D34B8E"/>
    <w:rsid w:val="00D36399"/>
    <w:rsid w:val="00D42985"/>
    <w:rsid w:val="00D54FCD"/>
    <w:rsid w:val="00D571A6"/>
    <w:rsid w:val="00D62749"/>
    <w:rsid w:val="00D63569"/>
    <w:rsid w:val="00D65A1D"/>
    <w:rsid w:val="00D749F8"/>
    <w:rsid w:val="00D77256"/>
    <w:rsid w:val="00D87257"/>
    <w:rsid w:val="00D90DD5"/>
    <w:rsid w:val="00D93EEF"/>
    <w:rsid w:val="00D96A40"/>
    <w:rsid w:val="00D973A5"/>
    <w:rsid w:val="00DA7545"/>
    <w:rsid w:val="00DA7FF9"/>
    <w:rsid w:val="00DB0EA4"/>
    <w:rsid w:val="00DB41A7"/>
    <w:rsid w:val="00DB4A76"/>
    <w:rsid w:val="00DB5480"/>
    <w:rsid w:val="00DB598C"/>
    <w:rsid w:val="00DC01AC"/>
    <w:rsid w:val="00DC0CC6"/>
    <w:rsid w:val="00DC0CFB"/>
    <w:rsid w:val="00DC3696"/>
    <w:rsid w:val="00DC6857"/>
    <w:rsid w:val="00DC7D50"/>
    <w:rsid w:val="00DD176A"/>
    <w:rsid w:val="00DD6C33"/>
    <w:rsid w:val="00DD748D"/>
    <w:rsid w:val="00DE2BE2"/>
    <w:rsid w:val="00DE2D3C"/>
    <w:rsid w:val="00DE3EFC"/>
    <w:rsid w:val="00DE5E1A"/>
    <w:rsid w:val="00DE660E"/>
    <w:rsid w:val="00DE69E3"/>
    <w:rsid w:val="00DF2AFE"/>
    <w:rsid w:val="00DF513A"/>
    <w:rsid w:val="00E00C77"/>
    <w:rsid w:val="00E11844"/>
    <w:rsid w:val="00E1237B"/>
    <w:rsid w:val="00E12C97"/>
    <w:rsid w:val="00E1450D"/>
    <w:rsid w:val="00E34287"/>
    <w:rsid w:val="00E552B2"/>
    <w:rsid w:val="00E55DE7"/>
    <w:rsid w:val="00E6133F"/>
    <w:rsid w:val="00E66927"/>
    <w:rsid w:val="00E70CB9"/>
    <w:rsid w:val="00E7289F"/>
    <w:rsid w:val="00E77106"/>
    <w:rsid w:val="00E77875"/>
    <w:rsid w:val="00E86DEF"/>
    <w:rsid w:val="00E87AE1"/>
    <w:rsid w:val="00E93B8B"/>
    <w:rsid w:val="00EA001F"/>
    <w:rsid w:val="00EA4967"/>
    <w:rsid w:val="00EB0F1C"/>
    <w:rsid w:val="00EC2195"/>
    <w:rsid w:val="00ED2995"/>
    <w:rsid w:val="00ED32B6"/>
    <w:rsid w:val="00EE7543"/>
    <w:rsid w:val="00EF198C"/>
    <w:rsid w:val="00EF4065"/>
    <w:rsid w:val="00EF4C64"/>
    <w:rsid w:val="00F017FA"/>
    <w:rsid w:val="00F13492"/>
    <w:rsid w:val="00F14B9A"/>
    <w:rsid w:val="00F14F66"/>
    <w:rsid w:val="00F17E6F"/>
    <w:rsid w:val="00F20245"/>
    <w:rsid w:val="00F20FC8"/>
    <w:rsid w:val="00F225A1"/>
    <w:rsid w:val="00F30584"/>
    <w:rsid w:val="00F3337F"/>
    <w:rsid w:val="00F34250"/>
    <w:rsid w:val="00F3486F"/>
    <w:rsid w:val="00F36CDE"/>
    <w:rsid w:val="00F51037"/>
    <w:rsid w:val="00F532AB"/>
    <w:rsid w:val="00F53918"/>
    <w:rsid w:val="00F61728"/>
    <w:rsid w:val="00F62BBC"/>
    <w:rsid w:val="00F76202"/>
    <w:rsid w:val="00F76274"/>
    <w:rsid w:val="00F77CA0"/>
    <w:rsid w:val="00F77F71"/>
    <w:rsid w:val="00F86CEC"/>
    <w:rsid w:val="00F95598"/>
    <w:rsid w:val="00FA148B"/>
    <w:rsid w:val="00FB134F"/>
    <w:rsid w:val="00FB35F1"/>
    <w:rsid w:val="00FB37F7"/>
    <w:rsid w:val="00FC3E9F"/>
    <w:rsid w:val="00FC3FCF"/>
    <w:rsid w:val="00FC54F5"/>
    <w:rsid w:val="00FC6089"/>
    <w:rsid w:val="00FD3029"/>
    <w:rsid w:val="00FD4D29"/>
    <w:rsid w:val="00FD509D"/>
    <w:rsid w:val="00FD6DB9"/>
    <w:rsid w:val="00FE78F5"/>
    <w:rsid w:val="00FF038A"/>
    <w:rsid w:val="00FF111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195C6"/>
  <w15:chartTrackingRefBased/>
  <w15:docId w15:val="{C62808A1-DD70-4732-B0D4-43AC5FAC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0AC2"/>
    <w:pPr>
      <w:tabs>
        <w:tab w:val="center" w:pos="4419"/>
        <w:tab w:val="right" w:pos="8838"/>
      </w:tabs>
    </w:pPr>
  </w:style>
  <w:style w:type="character" w:customStyle="1" w:styleId="EncabezadoCar">
    <w:name w:val="Encabezado Car"/>
    <w:basedOn w:val="Fuentedeprrafopredeter"/>
    <w:link w:val="Encabezado"/>
    <w:uiPriority w:val="99"/>
    <w:rsid w:val="006B0AC2"/>
  </w:style>
  <w:style w:type="paragraph" w:styleId="Piedepgina">
    <w:name w:val="footer"/>
    <w:basedOn w:val="Normal"/>
    <w:link w:val="PiedepginaCar"/>
    <w:uiPriority w:val="99"/>
    <w:unhideWhenUsed/>
    <w:rsid w:val="006B0AC2"/>
    <w:pPr>
      <w:tabs>
        <w:tab w:val="center" w:pos="4419"/>
        <w:tab w:val="right" w:pos="8838"/>
      </w:tabs>
    </w:pPr>
  </w:style>
  <w:style w:type="character" w:customStyle="1" w:styleId="PiedepginaCar">
    <w:name w:val="Pie de página Car"/>
    <w:basedOn w:val="Fuentedeprrafopredeter"/>
    <w:link w:val="Piedepgina"/>
    <w:uiPriority w:val="99"/>
    <w:rsid w:val="006B0AC2"/>
  </w:style>
  <w:style w:type="character" w:styleId="Refdecomentario">
    <w:name w:val="annotation reference"/>
    <w:basedOn w:val="Fuentedeprrafopredeter"/>
    <w:uiPriority w:val="99"/>
    <w:semiHidden/>
    <w:unhideWhenUsed/>
    <w:rsid w:val="0031180F"/>
    <w:rPr>
      <w:sz w:val="16"/>
      <w:szCs w:val="16"/>
    </w:rPr>
  </w:style>
  <w:style w:type="paragraph" w:styleId="Textocomentario">
    <w:name w:val="annotation text"/>
    <w:basedOn w:val="Normal"/>
    <w:link w:val="TextocomentarioCar"/>
    <w:uiPriority w:val="99"/>
    <w:semiHidden/>
    <w:unhideWhenUsed/>
    <w:rsid w:val="0031180F"/>
  </w:style>
  <w:style w:type="character" w:customStyle="1" w:styleId="TextocomentarioCar">
    <w:name w:val="Texto comentario Car"/>
    <w:basedOn w:val="Fuentedeprrafopredeter"/>
    <w:link w:val="Textocomentario"/>
    <w:uiPriority w:val="99"/>
    <w:semiHidden/>
    <w:rsid w:val="0031180F"/>
  </w:style>
  <w:style w:type="paragraph" w:styleId="Asuntodelcomentario">
    <w:name w:val="annotation subject"/>
    <w:basedOn w:val="Textocomentario"/>
    <w:next w:val="Textocomentario"/>
    <w:link w:val="AsuntodelcomentarioCar"/>
    <w:uiPriority w:val="99"/>
    <w:semiHidden/>
    <w:unhideWhenUsed/>
    <w:rsid w:val="0031180F"/>
    <w:rPr>
      <w:b/>
      <w:bCs/>
    </w:rPr>
  </w:style>
  <w:style w:type="character" w:customStyle="1" w:styleId="AsuntodelcomentarioCar">
    <w:name w:val="Asunto del comentario Car"/>
    <w:basedOn w:val="TextocomentarioCar"/>
    <w:link w:val="Asuntodelcomentario"/>
    <w:uiPriority w:val="99"/>
    <w:semiHidden/>
    <w:rsid w:val="0031180F"/>
    <w:rPr>
      <w:b/>
      <w:bCs/>
    </w:rPr>
  </w:style>
  <w:style w:type="paragraph" w:styleId="Textodeglobo">
    <w:name w:val="Balloon Text"/>
    <w:basedOn w:val="Normal"/>
    <w:link w:val="TextodegloboCar"/>
    <w:uiPriority w:val="99"/>
    <w:semiHidden/>
    <w:unhideWhenUsed/>
    <w:rsid w:val="0031180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180F"/>
    <w:rPr>
      <w:rFonts w:ascii="Segoe UI" w:hAnsi="Segoe UI" w:cs="Segoe UI"/>
      <w:sz w:val="18"/>
      <w:szCs w:val="18"/>
    </w:rPr>
  </w:style>
  <w:style w:type="paragraph" w:styleId="Prrafodelista">
    <w:name w:val="List Paragraph"/>
    <w:basedOn w:val="Normal"/>
    <w:uiPriority w:val="34"/>
    <w:qFormat/>
    <w:rsid w:val="00985D3D"/>
    <w:pPr>
      <w:ind w:left="720"/>
      <w:contextualSpacing/>
    </w:p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
    <w:uiPriority w:val="99"/>
    <w:unhideWhenUsed/>
    <w:qFormat/>
    <w:rsid w:val="00985D3D"/>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qFormat/>
    <w:rsid w:val="00985D3D"/>
  </w:style>
  <w:style w:type="character" w:styleId="Refdenotaalpie">
    <w:name w:val="footnote reference"/>
    <w:aliases w:val="Texto de nota al pie,referencia nota al pie,Footnotes refss,Appel note de bas de page,Ref. de nota al pie 2,Footnote number,BVI fnr,f,4_G,16 Point,Superscript 6 Point,Texto nota al pie,Pie de Página,FC,Texto de nota al pi,Nota de pie"/>
    <w:basedOn w:val="Fuentedeprrafopredeter"/>
    <w:link w:val="4GChar"/>
    <w:uiPriority w:val="99"/>
    <w:unhideWhenUsed/>
    <w:qFormat/>
    <w:rsid w:val="00985D3D"/>
    <w:rPr>
      <w:vertAlign w:val="superscript"/>
    </w:rPr>
  </w:style>
  <w:style w:type="character" w:customStyle="1" w:styleId="Ninguno">
    <w:name w:val="Ninguno"/>
    <w:rsid w:val="006E7A27"/>
    <w:rPr>
      <w:lang w:val="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E3F7C"/>
    <w:rPr>
      <w:vertAlign w:val="superscript"/>
    </w:rPr>
  </w:style>
  <w:style w:type="character" w:styleId="Hipervnculo">
    <w:name w:val="Hyperlink"/>
    <w:basedOn w:val="Fuentedeprrafopredeter"/>
    <w:uiPriority w:val="99"/>
    <w:semiHidden/>
    <w:unhideWhenUsed/>
    <w:rsid w:val="00833486"/>
    <w:rPr>
      <w:color w:val="0000FF"/>
      <w:u w:val="single"/>
    </w:rPr>
  </w:style>
  <w:style w:type="paragraph" w:styleId="NormalWeb">
    <w:name w:val="Normal (Web)"/>
    <w:basedOn w:val="Normal"/>
    <w:uiPriority w:val="99"/>
    <w:unhideWhenUsed/>
    <w:rsid w:val="009C5B60"/>
    <w:pPr>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baj">
    <w:name w:val="b_aj"/>
    <w:basedOn w:val="Fuentedeprrafopredeter"/>
    <w:rsid w:val="009C5B60"/>
  </w:style>
  <w:style w:type="paragraph" w:styleId="Revisin">
    <w:name w:val="Revision"/>
    <w:hidden/>
    <w:uiPriority w:val="99"/>
    <w:semiHidden/>
    <w:rsid w:val="006D36B5"/>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74716">
      <w:bodyDiv w:val="1"/>
      <w:marLeft w:val="0"/>
      <w:marRight w:val="0"/>
      <w:marTop w:val="0"/>
      <w:marBottom w:val="0"/>
      <w:divBdr>
        <w:top w:val="none" w:sz="0" w:space="0" w:color="auto"/>
        <w:left w:val="none" w:sz="0" w:space="0" w:color="auto"/>
        <w:bottom w:val="none" w:sz="0" w:space="0" w:color="auto"/>
        <w:right w:val="none" w:sz="0" w:space="0" w:color="auto"/>
      </w:divBdr>
    </w:div>
    <w:div w:id="278953417">
      <w:bodyDiv w:val="1"/>
      <w:marLeft w:val="0"/>
      <w:marRight w:val="0"/>
      <w:marTop w:val="0"/>
      <w:marBottom w:val="0"/>
      <w:divBdr>
        <w:top w:val="none" w:sz="0" w:space="0" w:color="auto"/>
        <w:left w:val="none" w:sz="0" w:space="0" w:color="auto"/>
        <w:bottom w:val="none" w:sz="0" w:space="0" w:color="auto"/>
        <w:right w:val="none" w:sz="0" w:space="0" w:color="auto"/>
      </w:divBdr>
    </w:div>
    <w:div w:id="983584934">
      <w:bodyDiv w:val="1"/>
      <w:marLeft w:val="0"/>
      <w:marRight w:val="0"/>
      <w:marTop w:val="0"/>
      <w:marBottom w:val="0"/>
      <w:divBdr>
        <w:top w:val="none" w:sz="0" w:space="0" w:color="auto"/>
        <w:left w:val="none" w:sz="0" w:space="0" w:color="auto"/>
        <w:bottom w:val="none" w:sz="0" w:space="0" w:color="auto"/>
        <w:right w:val="none" w:sz="0" w:space="0" w:color="auto"/>
      </w:divBdr>
    </w:div>
    <w:div w:id="1097866301">
      <w:bodyDiv w:val="1"/>
      <w:marLeft w:val="0"/>
      <w:marRight w:val="0"/>
      <w:marTop w:val="0"/>
      <w:marBottom w:val="0"/>
      <w:divBdr>
        <w:top w:val="none" w:sz="0" w:space="0" w:color="auto"/>
        <w:left w:val="none" w:sz="0" w:space="0" w:color="auto"/>
        <w:bottom w:val="none" w:sz="0" w:space="0" w:color="auto"/>
        <w:right w:val="none" w:sz="0" w:space="0" w:color="auto"/>
      </w:divBdr>
    </w:div>
    <w:div w:id="1581282660">
      <w:bodyDiv w:val="1"/>
      <w:marLeft w:val="0"/>
      <w:marRight w:val="0"/>
      <w:marTop w:val="0"/>
      <w:marBottom w:val="0"/>
      <w:divBdr>
        <w:top w:val="none" w:sz="0" w:space="0" w:color="auto"/>
        <w:left w:val="none" w:sz="0" w:space="0" w:color="auto"/>
        <w:bottom w:val="none" w:sz="0" w:space="0" w:color="auto"/>
        <w:right w:val="none" w:sz="0" w:space="0" w:color="auto"/>
      </w:divBdr>
    </w:div>
    <w:div w:id="1658612973">
      <w:bodyDiv w:val="1"/>
      <w:marLeft w:val="0"/>
      <w:marRight w:val="0"/>
      <w:marTop w:val="0"/>
      <w:marBottom w:val="0"/>
      <w:divBdr>
        <w:top w:val="none" w:sz="0" w:space="0" w:color="auto"/>
        <w:left w:val="none" w:sz="0" w:space="0" w:color="auto"/>
        <w:bottom w:val="none" w:sz="0" w:space="0" w:color="auto"/>
        <w:right w:val="none" w:sz="0" w:space="0" w:color="auto"/>
      </w:divBdr>
    </w:div>
    <w:div w:id="1783643915">
      <w:bodyDiv w:val="1"/>
      <w:marLeft w:val="0"/>
      <w:marRight w:val="0"/>
      <w:marTop w:val="0"/>
      <w:marBottom w:val="0"/>
      <w:divBdr>
        <w:top w:val="none" w:sz="0" w:space="0" w:color="auto"/>
        <w:left w:val="none" w:sz="0" w:space="0" w:color="auto"/>
        <w:bottom w:val="none" w:sz="0" w:space="0" w:color="auto"/>
        <w:right w:val="none" w:sz="0" w:space="0" w:color="auto"/>
      </w:divBdr>
    </w:div>
    <w:div w:id="1804804979">
      <w:bodyDiv w:val="1"/>
      <w:marLeft w:val="0"/>
      <w:marRight w:val="0"/>
      <w:marTop w:val="0"/>
      <w:marBottom w:val="0"/>
      <w:divBdr>
        <w:top w:val="none" w:sz="0" w:space="0" w:color="auto"/>
        <w:left w:val="none" w:sz="0" w:space="0" w:color="auto"/>
        <w:bottom w:val="none" w:sz="0" w:space="0" w:color="auto"/>
        <w:right w:val="none" w:sz="0" w:space="0" w:color="auto"/>
      </w:divBdr>
    </w:div>
    <w:div w:id="1979334316">
      <w:bodyDiv w:val="1"/>
      <w:marLeft w:val="0"/>
      <w:marRight w:val="0"/>
      <w:marTop w:val="0"/>
      <w:marBottom w:val="0"/>
      <w:divBdr>
        <w:top w:val="none" w:sz="0" w:space="0" w:color="auto"/>
        <w:left w:val="none" w:sz="0" w:space="0" w:color="auto"/>
        <w:bottom w:val="none" w:sz="0" w:space="0" w:color="auto"/>
        <w:right w:val="none" w:sz="0" w:space="0" w:color="auto"/>
      </w:divBdr>
    </w:div>
    <w:div w:id="209316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3C6B7335167F145BCA082A8F6CB3F14" ma:contentTypeVersion="6" ma:contentTypeDescription="Crear nuevo documento." ma:contentTypeScope="" ma:versionID="56dabe277afbfec0f09f38f57a501054">
  <xsd:schema xmlns:xsd="http://www.w3.org/2001/XMLSchema" xmlns:xs="http://www.w3.org/2001/XMLSchema" xmlns:p="http://schemas.microsoft.com/office/2006/metadata/properties" xmlns:ns2="90c507b4-eb83-4d09-9396-a464e3679abf" xmlns:ns3="3f651fff-6043-404f-be87-95b68ded21b6" targetNamespace="http://schemas.microsoft.com/office/2006/metadata/properties" ma:root="true" ma:fieldsID="3f844d84c58f5f9e77e42ef56eac6e81" ns2:_="" ns3:_="">
    <xsd:import namespace="90c507b4-eb83-4d09-9396-a464e3679abf"/>
    <xsd:import namespace="3f651fff-6043-404f-be87-95b68ded21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507b4-eb83-4d09-9396-a464e367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651fff-6043-404f-be87-95b68ded21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0E3BC-1806-4322-8924-5434E9B8FC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745441-742C-455C-BE4C-B3A319519BC5}">
  <ds:schemaRefs>
    <ds:schemaRef ds:uri="http://schemas.microsoft.com/sharepoint/v3/contenttype/forms"/>
  </ds:schemaRefs>
</ds:datastoreItem>
</file>

<file path=customXml/itemProps3.xml><?xml version="1.0" encoding="utf-8"?>
<ds:datastoreItem xmlns:ds="http://schemas.openxmlformats.org/officeDocument/2006/customXml" ds:itemID="{025C2E32-0826-4069-BCCC-E40EFC9AD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507b4-eb83-4d09-9396-a464e3679abf"/>
    <ds:schemaRef ds:uri="3f651fff-6043-404f-be87-95b68ded2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2EE13D-49FC-4EFB-B096-4280BA034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1147</TotalTime>
  <Pages>7</Pages>
  <Words>1867</Words>
  <Characters>10272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dc:description/>
  <cp:lastModifiedBy>Astrid Lorena Bermeo Aceldas</cp:lastModifiedBy>
  <cp:revision>187</cp:revision>
  <dcterms:created xsi:type="dcterms:W3CDTF">2022-06-28T20:10:00Z</dcterms:created>
  <dcterms:modified xsi:type="dcterms:W3CDTF">2022-07-16T22:20:00Z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0x01010013C6B7335167F145BCA082A8F6CB3F14</vt:lpwstr>
  </property>
</Properties>
</file>