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7CDF3" w14:textId="77777777" w:rsidR="001E19FB" w:rsidRPr="009E6652" w:rsidRDefault="001E19FB" w:rsidP="001E19FB">
      <w:pPr>
        <w:pStyle w:val="Sinespaciado"/>
        <w:spacing w:after="240"/>
        <w:rPr>
          <w:szCs w:val="24"/>
        </w:rPr>
      </w:pPr>
      <w:r>
        <w:rPr>
          <w:caps w:val="0"/>
          <w:szCs w:val="24"/>
        </w:rPr>
        <w:t>Magistrado</w:t>
      </w:r>
      <w:r w:rsidRPr="00211F0C">
        <w:rPr>
          <w:caps w:val="0"/>
          <w:szCs w:val="24"/>
        </w:rPr>
        <w:t xml:space="preserve"> ponente</w:t>
      </w:r>
      <w:r w:rsidRPr="00211F0C">
        <w:rPr>
          <w:szCs w:val="24"/>
        </w:rPr>
        <w:t>: JAIME ENRIQUE RODRÍGUEZ NAVAS</w:t>
      </w:r>
    </w:p>
    <w:p w14:paraId="55D4AC2E" w14:textId="6F219BD6" w:rsidR="001E19FB" w:rsidRPr="00E86730" w:rsidRDefault="001E19FB" w:rsidP="001E19FB">
      <w:pPr>
        <w:spacing w:before="240" w:after="240"/>
        <w:rPr>
          <w:b/>
          <w:sz w:val="24"/>
          <w:szCs w:val="24"/>
        </w:rPr>
      </w:pPr>
      <w:r w:rsidRPr="00E86730">
        <w:rPr>
          <w:b/>
          <w:sz w:val="24"/>
          <w:szCs w:val="24"/>
        </w:rPr>
        <w:t xml:space="preserve">Bogotá D.C., </w:t>
      </w:r>
      <w:r w:rsidR="00BE1507">
        <w:rPr>
          <w:b/>
          <w:sz w:val="24"/>
          <w:szCs w:val="24"/>
        </w:rPr>
        <w:t xml:space="preserve">cinco (05) de agosto </w:t>
      </w:r>
      <w:r w:rsidRPr="00E86730">
        <w:rPr>
          <w:b/>
          <w:sz w:val="24"/>
          <w:szCs w:val="24"/>
        </w:rPr>
        <w:t>de dos mil veintidós (2022).</w:t>
      </w:r>
    </w:p>
    <w:p w14:paraId="5ADE56CC" w14:textId="77777777" w:rsidR="001E19FB" w:rsidRPr="00EF2471" w:rsidRDefault="001E19FB" w:rsidP="001E19FB">
      <w:pPr>
        <w:tabs>
          <w:tab w:val="left" w:pos="1985"/>
        </w:tabs>
        <w:contextualSpacing/>
        <w:rPr>
          <w:sz w:val="24"/>
          <w:szCs w:val="24"/>
        </w:rPr>
      </w:pPr>
      <w:r w:rsidRPr="00EF2471">
        <w:rPr>
          <w:b/>
          <w:sz w:val="24"/>
          <w:szCs w:val="24"/>
        </w:rPr>
        <w:t>Radica</w:t>
      </w:r>
      <w:r>
        <w:rPr>
          <w:b/>
          <w:sz w:val="24"/>
          <w:szCs w:val="24"/>
        </w:rPr>
        <w:t>do número</w:t>
      </w:r>
      <w:r w:rsidRPr="00EF2471">
        <w:rPr>
          <w:b/>
          <w:sz w:val="24"/>
          <w:szCs w:val="24"/>
        </w:rPr>
        <w:t>:</w:t>
      </w:r>
      <w:r>
        <w:rPr>
          <w:b/>
          <w:sz w:val="24"/>
          <w:szCs w:val="24"/>
        </w:rPr>
        <w:tab/>
      </w:r>
      <w:r w:rsidRPr="00EF2471">
        <w:rPr>
          <w:b/>
          <w:sz w:val="24"/>
          <w:szCs w:val="24"/>
        </w:rPr>
        <w:tab/>
      </w:r>
      <w:r w:rsidRPr="00215FE2">
        <w:rPr>
          <w:bCs/>
          <w:sz w:val="24"/>
          <w:szCs w:val="24"/>
        </w:rPr>
        <w:t>11001</w:t>
      </w:r>
      <w:r>
        <w:rPr>
          <w:bCs/>
          <w:sz w:val="24"/>
          <w:szCs w:val="24"/>
        </w:rPr>
        <w:t>-</w:t>
      </w:r>
      <w:r w:rsidRPr="00215FE2">
        <w:rPr>
          <w:bCs/>
          <w:sz w:val="24"/>
          <w:szCs w:val="24"/>
        </w:rPr>
        <w:t>03</w:t>
      </w:r>
      <w:r>
        <w:rPr>
          <w:bCs/>
          <w:sz w:val="24"/>
          <w:szCs w:val="24"/>
        </w:rPr>
        <w:t>-</w:t>
      </w:r>
      <w:r w:rsidRPr="00215FE2">
        <w:rPr>
          <w:bCs/>
          <w:sz w:val="24"/>
          <w:szCs w:val="24"/>
        </w:rPr>
        <w:t>15</w:t>
      </w:r>
      <w:r>
        <w:rPr>
          <w:bCs/>
          <w:sz w:val="24"/>
          <w:szCs w:val="24"/>
        </w:rPr>
        <w:t>-</w:t>
      </w:r>
      <w:r w:rsidRPr="00215FE2">
        <w:rPr>
          <w:bCs/>
          <w:sz w:val="24"/>
          <w:szCs w:val="24"/>
        </w:rPr>
        <w:t>000</w:t>
      </w:r>
      <w:r>
        <w:rPr>
          <w:bCs/>
          <w:sz w:val="24"/>
          <w:szCs w:val="24"/>
        </w:rPr>
        <w:t>-</w:t>
      </w:r>
      <w:r w:rsidRPr="00215FE2">
        <w:rPr>
          <w:bCs/>
          <w:sz w:val="24"/>
          <w:szCs w:val="24"/>
        </w:rPr>
        <w:t>20</w:t>
      </w:r>
      <w:r>
        <w:rPr>
          <w:bCs/>
          <w:sz w:val="24"/>
          <w:szCs w:val="24"/>
        </w:rPr>
        <w:t>22-03114-</w:t>
      </w:r>
      <w:r w:rsidRPr="00215FE2">
        <w:rPr>
          <w:bCs/>
          <w:sz w:val="24"/>
          <w:szCs w:val="24"/>
        </w:rPr>
        <w:t>00</w:t>
      </w:r>
      <w:r>
        <w:rPr>
          <w:bCs/>
          <w:sz w:val="24"/>
          <w:szCs w:val="24"/>
        </w:rPr>
        <w:t>.</w:t>
      </w:r>
    </w:p>
    <w:p w14:paraId="1EB4B424" w14:textId="77777777" w:rsidR="001E19FB" w:rsidRPr="00341F63" w:rsidRDefault="001E19FB" w:rsidP="001E19FB">
      <w:pPr>
        <w:tabs>
          <w:tab w:val="left" w:pos="1985"/>
        </w:tabs>
        <w:ind w:left="1980" w:hanging="1980"/>
        <w:contextualSpacing/>
        <w:rPr>
          <w:sz w:val="24"/>
          <w:szCs w:val="24"/>
        </w:rPr>
      </w:pPr>
      <w:r w:rsidRPr="00EF2471">
        <w:rPr>
          <w:b/>
          <w:sz w:val="24"/>
          <w:szCs w:val="24"/>
        </w:rPr>
        <w:t>Accionante:</w:t>
      </w:r>
      <w:r w:rsidRPr="00EF2471">
        <w:rPr>
          <w:b/>
          <w:sz w:val="24"/>
          <w:szCs w:val="24"/>
        </w:rPr>
        <w:tab/>
      </w:r>
      <w:r>
        <w:rPr>
          <w:b/>
          <w:sz w:val="24"/>
          <w:szCs w:val="24"/>
        </w:rPr>
        <w:tab/>
      </w:r>
      <w:r>
        <w:rPr>
          <w:b/>
          <w:sz w:val="24"/>
          <w:szCs w:val="24"/>
        </w:rPr>
        <w:tab/>
      </w:r>
      <w:r>
        <w:rPr>
          <w:b/>
          <w:sz w:val="24"/>
          <w:szCs w:val="24"/>
        </w:rPr>
        <w:tab/>
      </w:r>
      <w:r>
        <w:rPr>
          <w:sz w:val="24"/>
          <w:szCs w:val="24"/>
        </w:rPr>
        <w:t>Paula Gaviria Betancur.</w:t>
      </w:r>
    </w:p>
    <w:p w14:paraId="156F8F5D" w14:textId="77777777" w:rsidR="001E19FB" w:rsidRPr="00EB55E5" w:rsidRDefault="001E19FB" w:rsidP="001E19FB">
      <w:pPr>
        <w:tabs>
          <w:tab w:val="left" w:pos="1985"/>
        </w:tabs>
        <w:ind w:left="2832" w:right="51" w:hanging="2832"/>
        <w:contextualSpacing/>
        <w:rPr>
          <w:b/>
          <w:sz w:val="24"/>
          <w:szCs w:val="24"/>
        </w:rPr>
      </w:pPr>
      <w:r w:rsidRPr="00EF2471">
        <w:rPr>
          <w:b/>
          <w:sz w:val="24"/>
          <w:szCs w:val="24"/>
        </w:rPr>
        <w:t>Accionado:</w:t>
      </w:r>
      <w:r w:rsidRPr="00EF2471">
        <w:rPr>
          <w:b/>
          <w:sz w:val="24"/>
          <w:szCs w:val="24"/>
        </w:rPr>
        <w:tab/>
      </w:r>
      <w:r>
        <w:rPr>
          <w:b/>
          <w:sz w:val="24"/>
          <w:szCs w:val="24"/>
        </w:rPr>
        <w:tab/>
      </w:r>
      <w:r>
        <w:rPr>
          <w:bCs/>
          <w:sz w:val="24"/>
          <w:szCs w:val="24"/>
        </w:rPr>
        <w:t>Sección B del Tribunal Administrativo del Atlántico y Sección Quinta del Consejo de Estado.</w:t>
      </w:r>
    </w:p>
    <w:p w14:paraId="73DBA4CB" w14:textId="77777777" w:rsidR="001E19FB" w:rsidRPr="00EF2471" w:rsidRDefault="001E19FB" w:rsidP="001E19FB">
      <w:pPr>
        <w:ind w:left="1985" w:hanging="1985"/>
        <w:contextualSpacing/>
        <w:rPr>
          <w:b/>
          <w:sz w:val="24"/>
          <w:szCs w:val="24"/>
        </w:rPr>
      </w:pPr>
      <w:r w:rsidRPr="00EF2471">
        <w:rPr>
          <w:b/>
          <w:sz w:val="24"/>
          <w:szCs w:val="24"/>
        </w:rPr>
        <w:t xml:space="preserve">Referencia: </w:t>
      </w:r>
      <w:r w:rsidRPr="00EF2471">
        <w:rPr>
          <w:b/>
          <w:sz w:val="24"/>
          <w:szCs w:val="24"/>
        </w:rPr>
        <w:tab/>
      </w:r>
      <w:r>
        <w:rPr>
          <w:b/>
          <w:sz w:val="24"/>
          <w:szCs w:val="24"/>
        </w:rPr>
        <w:tab/>
      </w:r>
      <w:r>
        <w:rPr>
          <w:b/>
          <w:sz w:val="24"/>
          <w:szCs w:val="24"/>
        </w:rPr>
        <w:tab/>
      </w:r>
      <w:r w:rsidRPr="00EF2471">
        <w:rPr>
          <w:sz w:val="24"/>
          <w:szCs w:val="24"/>
        </w:rPr>
        <w:t>Acción de tutela</w:t>
      </w:r>
      <w:r>
        <w:rPr>
          <w:sz w:val="24"/>
          <w:szCs w:val="24"/>
        </w:rPr>
        <w:t>.</w:t>
      </w:r>
    </w:p>
    <w:p w14:paraId="4C4E00EC" w14:textId="77777777" w:rsidR="001E19FB" w:rsidRDefault="001E19FB" w:rsidP="001E19FB">
      <w:pPr>
        <w:spacing w:before="240"/>
        <w:ind w:left="1985" w:hanging="1985"/>
        <w:contextualSpacing/>
        <w:rPr>
          <w:b/>
          <w:sz w:val="24"/>
          <w:szCs w:val="24"/>
        </w:rPr>
      </w:pPr>
    </w:p>
    <w:p w14:paraId="67863D44" w14:textId="77777777" w:rsidR="001E19FB" w:rsidRDefault="001E19FB" w:rsidP="001E19FB">
      <w:pPr>
        <w:spacing w:before="240"/>
        <w:ind w:left="1985" w:hanging="1985"/>
        <w:contextualSpacing/>
        <w:rPr>
          <w:sz w:val="20"/>
          <w:szCs w:val="24"/>
        </w:rPr>
      </w:pPr>
      <w:r w:rsidRPr="0096721A">
        <w:rPr>
          <w:b/>
          <w:sz w:val="20"/>
          <w:szCs w:val="24"/>
        </w:rPr>
        <w:t>Tema:</w:t>
      </w:r>
      <w:r w:rsidR="00BB7E0A">
        <w:rPr>
          <w:b/>
          <w:sz w:val="20"/>
          <w:szCs w:val="24"/>
        </w:rPr>
        <w:t xml:space="preserve"> </w:t>
      </w:r>
      <w:r w:rsidR="00BB7E0A">
        <w:rPr>
          <w:sz w:val="20"/>
          <w:szCs w:val="24"/>
        </w:rPr>
        <w:t>acción de tutela contra providencias judiciales.</w:t>
      </w:r>
      <w:r>
        <w:rPr>
          <w:sz w:val="20"/>
          <w:szCs w:val="24"/>
        </w:rPr>
        <w:t xml:space="preserve"> </w:t>
      </w:r>
    </w:p>
    <w:p w14:paraId="23E94A3F" w14:textId="77777777" w:rsidR="001E19FB" w:rsidRPr="00BB7E0A" w:rsidRDefault="001E19FB" w:rsidP="00BB7E0A">
      <w:pPr>
        <w:spacing w:before="240"/>
        <w:contextualSpacing/>
        <w:rPr>
          <w:sz w:val="20"/>
          <w:szCs w:val="24"/>
        </w:rPr>
      </w:pPr>
      <w:r w:rsidRPr="0096721A">
        <w:rPr>
          <w:b/>
          <w:sz w:val="20"/>
          <w:szCs w:val="24"/>
        </w:rPr>
        <w:t>Subtema 1:</w:t>
      </w:r>
      <w:r>
        <w:rPr>
          <w:b/>
          <w:sz w:val="20"/>
          <w:szCs w:val="24"/>
        </w:rPr>
        <w:t xml:space="preserve"> </w:t>
      </w:r>
      <w:r w:rsidR="00BB7E0A" w:rsidRPr="00BB7E0A">
        <w:rPr>
          <w:sz w:val="20"/>
          <w:szCs w:val="24"/>
        </w:rPr>
        <w:t>requisitos generales y específicos de procedencia de la acción de tutela contra providencias judiciales</w:t>
      </w:r>
    </w:p>
    <w:p w14:paraId="47D225FB" w14:textId="61F25E77" w:rsidR="001E19FB" w:rsidRPr="00BB7E0A" w:rsidRDefault="001E19FB" w:rsidP="001E19FB">
      <w:pPr>
        <w:spacing w:before="240"/>
        <w:ind w:left="1985" w:hanging="1985"/>
        <w:contextualSpacing/>
        <w:rPr>
          <w:sz w:val="20"/>
          <w:szCs w:val="24"/>
        </w:rPr>
      </w:pPr>
      <w:r w:rsidRPr="0096721A">
        <w:rPr>
          <w:b/>
          <w:sz w:val="20"/>
          <w:szCs w:val="24"/>
        </w:rPr>
        <w:t>Subtema 2:</w:t>
      </w:r>
      <w:r>
        <w:rPr>
          <w:b/>
          <w:sz w:val="20"/>
          <w:szCs w:val="24"/>
        </w:rPr>
        <w:t xml:space="preserve"> </w:t>
      </w:r>
      <w:r w:rsidR="00696EEB" w:rsidRPr="00696EEB">
        <w:rPr>
          <w:bCs/>
          <w:sz w:val="20"/>
          <w:szCs w:val="24"/>
        </w:rPr>
        <w:t>relevancia constitucional.</w:t>
      </w:r>
    </w:p>
    <w:p w14:paraId="6407F8E1" w14:textId="77777777" w:rsidR="001E19FB" w:rsidRPr="00D30202" w:rsidRDefault="001E19FB" w:rsidP="001E19FB">
      <w:pPr>
        <w:spacing w:before="240"/>
        <w:contextualSpacing/>
        <w:rPr>
          <w:sz w:val="20"/>
          <w:szCs w:val="24"/>
        </w:rPr>
      </w:pPr>
      <w:r>
        <w:rPr>
          <w:b/>
          <w:sz w:val="20"/>
          <w:szCs w:val="24"/>
        </w:rPr>
        <w:t>Subtema 3:</w:t>
      </w:r>
      <w:r>
        <w:rPr>
          <w:sz w:val="20"/>
          <w:szCs w:val="24"/>
        </w:rPr>
        <w:t xml:space="preserve"> </w:t>
      </w:r>
      <w:r w:rsidR="00BB7E0A">
        <w:rPr>
          <w:sz w:val="20"/>
          <w:szCs w:val="24"/>
        </w:rPr>
        <w:t>acción de cumplimiento, sanción por incurrir en desacato.</w:t>
      </w:r>
    </w:p>
    <w:p w14:paraId="20E3C2C1" w14:textId="77777777" w:rsidR="001E19FB" w:rsidRPr="00211F0C" w:rsidRDefault="001E19FB" w:rsidP="001E19FB">
      <w:pPr>
        <w:pBdr>
          <w:bottom w:val="single" w:sz="12" w:space="0" w:color="auto"/>
        </w:pBdr>
        <w:spacing w:before="240" w:after="240"/>
        <w:ind w:left="2829" w:hanging="2829"/>
        <w:rPr>
          <w:b/>
          <w:sz w:val="24"/>
          <w:szCs w:val="24"/>
        </w:rPr>
      </w:pPr>
      <w:r>
        <w:rPr>
          <w:b/>
          <w:sz w:val="24"/>
          <w:szCs w:val="24"/>
        </w:rPr>
        <w:t>SENTENCIA DE PRIMERA INSTANCIA</w:t>
      </w:r>
    </w:p>
    <w:p w14:paraId="5CB338FC" w14:textId="77777777" w:rsidR="001E19FB" w:rsidRDefault="001E19FB" w:rsidP="001E19FB">
      <w:pPr>
        <w:tabs>
          <w:tab w:val="left" w:pos="1985"/>
        </w:tabs>
        <w:spacing w:before="240" w:after="240"/>
        <w:rPr>
          <w:bCs/>
          <w:sz w:val="24"/>
          <w:szCs w:val="24"/>
        </w:rPr>
      </w:pPr>
      <w:r>
        <w:rPr>
          <w:bCs/>
          <w:sz w:val="24"/>
          <w:szCs w:val="24"/>
        </w:rPr>
        <w:t xml:space="preserve">La Sala decide, en primera instancia, la acción de tutela presentada por </w:t>
      </w:r>
      <w:r>
        <w:rPr>
          <w:sz w:val="24"/>
          <w:szCs w:val="24"/>
        </w:rPr>
        <w:t>Paula Gaviria Betancur</w:t>
      </w:r>
      <w:r>
        <w:rPr>
          <w:bCs/>
          <w:sz w:val="24"/>
          <w:szCs w:val="24"/>
        </w:rPr>
        <w:t xml:space="preserve"> en contra de la Sección B del Tribunal Administrativo del Atlántico y Sección Quinta del Consejo de Estado.</w:t>
      </w:r>
    </w:p>
    <w:p w14:paraId="629DF157" w14:textId="77777777" w:rsidR="001E19FB" w:rsidRDefault="001E19FB" w:rsidP="001E19FB">
      <w:pPr>
        <w:tabs>
          <w:tab w:val="left" w:pos="1985"/>
        </w:tabs>
        <w:spacing w:before="240" w:after="240"/>
        <w:jc w:val="center"/>
        <w:rPr>
          <w:b/>
          <w:sz w:val="24"/>
          <w:szCs w:val="24"/>
        </w:rPr>
      </w:pPr>
      <w:r>
        <w:rPr>
          <w:b/>
          <w:sz w:val="24"/>
          <w:szCs w:val="24"/>
        </w:rPr>
        <w:t>I. ANTECEDENTES</w:t>
      </w:r>
    </w:p>
    <w:p w14:paraId="60406F9E" w14:textId="77777777" w:rsidR="001E19FB" w:rsidRPr="00E86730" w:rsidRDefault="001E19FB" w:rsidP="001E19FB">
      <w:pPr>
        <w:tabs>
          <w:tab w:val="left" w:pos="1985"/>
        </w:tabs>
        <w:spacing w:before="240" w:after="240"/>
        <w:rPr>
          <w:b/>
          <w:sz w:val="24"/>
          <w:szCs w:val="24"/>
        </w:rPr>
      </w:pPr>
      <w:r>
        <w:rPr>
          <w:b/>
          <w:sz w:val="24"/>
          <w:szCs w:val="24"/>
        </w:rPr>
        <w:t>1.1. Solicitud de tutela</w:t>
      </w:r>
    </w:p>
    <w:p w14:paraId="2306F883" w14:textId="77777777" w:rsidR="006025AB" w:rsidRDefault="001E19FB" w:rsidP="001E19FB">
      <w:pPr>
        <w:tabs>
          <w:tab w:val="left" w:pos="1985"/>
        </w:tabs>
        <w:spacing w:before="240" w:after="240"/>
        <w:rPr>
          <w:sz w:val="24"/>
          <w:szCs w:val="24"/>
        </w:rPr>
      </w:pPr>
      <w:r>
        <w:rPr>
          <w:sz w:val="24"/>
          <w:szCs w:val="24"/>
        </w:rPr>
        <w:t>Paula Gaviria Betancur, actuando en nombre propio</w:t>
      </w:r>
      <w:r>
        <w:rPr>
          <w:rStyle w:val="Refdenotaalpie"/>
          <w:sz w:val="24"/>
          <w:szCs w:val="24"/>
        </w:rPr>
        <w:footnoteReference w:id="1"/>
      </w:r>
      <w:r>
        <w:rPr>
          <w:sz w:val="24"/>
          <w:szCs w:val="24"/>
        </w:rPr>
        <w:t>, presentó</w:t>
      </w:r>
      <w:r w:rsidRPr="00211F0C">
        <w:rPr>
          <w:sz w:val="24"/>
          <w:szCs w:val="24"/>
        </w:rPr>
        <w:t xml:space="preserve"> </w:t>
      </w:r>
      <w:r>
        <w:rPr>
          <w:sz w:val="24"/>
          <w:szCs w:val="24"/>
        </w:rPr>
        <w:t>acción de tutela en procura de la protección de sus derechos fundamentales al debido proceso, al acceso a la administración de justicia, a la tutela judicial efectiva, al buen nombre y al patrimonio</w:t>
      </w:r>
      <w:r>
        <w:rPr>
          <w:rStyle w:val="Refdenotaalpie"/>
          <w:sz w:val="24"/>
          <w:szCs w:val="24"/>
        </w:rPr>
        <w:footnoteReference w:id="2"/>
      </w:r>
      <w:r>
        <w:rPr>
          <w:sz w:val="24"/>
          <w:szCs w:val="24"/>
        </w:rPr>
        <w:t>. Tales garantías las consideró vulneradas</w:t>
      </w:r>
      <w:r w:rsidR="006025AB">
        <w:rPr>
          <w:sz w:val="24"/>
          <w:szCs w:val="24"/>
        </w:rPr>
        <w:t xml:space="preserve"> por la </w:t>
      </w:r>
      <w:r w:rsidR="006025AB">
        <w:rPr>
          <w:bCs/>
          <w:sz w:val="24"/>
          <w:szCs w:val="24"/>
        </w:rPr>
        <w:t xml:space="preserve">Sección B del Tribunal Administrativo del Atlántico y la Sección Quinta del Consejo de Estado, dado que, dentro del incidente de desacato con radicado núm. </w:t>
      </w:r>
      <w:r w:rsidR="006025AB" w:rsidRPr="003F09DA">
        <w:rPr>
          <w:bCs/>
          <w:sz w:val="24"/>
          <w:szCs w:val="24"/>
        </w:rPr>
        <w:t>08001233300220150012500</w:t>
      </w:r>
      <w:r w:rsidR="006025AB">
        <w:rPr>
          <w:bCs/>
          <w:sz w:val="24"/>
          <w:szCs w:val="24"/>
        </w:rPr>
        <w:t>,</w:t>
      </w:r>
      <w:r w:rsidR="006025AB" w:rsidRPr="001C5D01">
        <w:rPr>
          <w:bCs/>
          <w:sz w:val="24"/>
          <w:szCs w:val="24"/>
        </w:rPr>
        <w:t xml:space="preserve"> </w:t>
      </w:r>
      <w:r w:rsidR="006025AB">
        <w:rPr>
          <w:bCs/>
          <w:sz w:val="24"/>
          <w:szCs w:val="24"/>
        </w:rPr>
        <w:t>han negado sus solicitudes de inaplicación de una sanción impuesta en su contra.</w:t>
      </w:r>
    </w:p>
    <w:p w14:paraId="5D787395" w14:textId="77777777" w:rsidR="001E19FB" w:rsidRDefault="001E19FB" w:rsidP="001E19FB">
      <w:pPr>
        <w:tabs>
          <w:tab w:val="left" w:pos="1985"/>
        </w:tabs>
        <w:spacing w:before="240" w:after="240"/>
        <w:rPr>
          <w:b/>
          <w:bCs/>
          <w:sz w:val="24"/>
          <w:szCs w:val="24"/>
        </w:rPr>
      </w:pPr>
      <w:r w:rsidRPr="005757FF">
        <w:rPr>
          <w:b/>
          <w:bCs/>
          <w:sz w:val="24"/>
          <w:szCs w:val="24"/>
        </w:rPr>
        <w:t>1.2. Hechos</w:t>
      </w:r>
    </w:p>
    <w:p w14:paraId="70F70B98" w14:textId="77777777" w:rsidR="001E19FB" w:rsidRDefault="001E19FB" w:rsidP="001E19FB">
      <w:pPr>
        <w:widowControl w:val="0"/>
        <w:tabs>
          <w:tab w:val="left" w:pos="1985"/>
        </w:tabs>
        <w:spacing w:before="240" w:after="240"/>
        <w:rPr>
          <w:bCs/>
          <w:sz w:val="24"/>
          <w:szCs w:val="24"/>
        </w:rPr>
      </w:pPr>
      <w:r>
        <w:rPr>
          <w:sz w:val="24"/>
          <w:szCs w:val="24"/>
        </w:rPr>
        <w:t xml:space="preserve">1.2.1. </w:t>
      </w:r>
      <w:r w:rsidR="00C6726D">
        <w:rPr>
          <w:sz w:val="24"/>
          <w:szCs w:val="24"/>
        </w:rPr>
        <w:t>Luz Helena Pájaro Vargas presentó acción de cumplimiento en contra de la Dirección Nacional de la Unidad Administrativa Especial de Atención y Reparación Integral a las Víctimas, con el fin de que dicha entidad acatara lo establecido en el artículo 119 del Decreto Reglamentario 4800</w:t>
      </w:r>
      <w:r w:rsidR="00F43E01">
        <w:rPr>
          <w:sz w:val="24"/>
          <w:szCs w:val="24"/>
        </w:rPr>
        <w:t xml:space="preserve"> de 2011</w:t>
      </w:r>
      <w:r w:rsidR="00F43E01">
        <w:rPr>
          <w:rStyle w:val="Refdenotaalpie"/>
          <w:sz w:val="24"/>
          <w:szCs w:val="24"/>
        </w:rPr>
        <w:footnoteReference w:id="3"/>
      </w:r>
      <w:r w:rsidR="00F43E01">
        <w:rPr>
          <w:sz w:val="24"/>
          <w:szCs w:val="24"/>
        </w:rPr>
        <w:t xml:space="preserve">, </w:t>
      </w:r>
      <w:r w:rsidR="006B7594">
        <w:rPr>
          <w:sz w:val="24"/>
          <w:szCs w:val="24"/>
        </w:rPr>
        <w:t>con ocasión de la</w:t>
      </w:r>
      <w:r w:rsidR="00F43E01">
        <w:rPr>
          <w:sz w:val="24"/>
          <w:szCs w:val="24"/>
        </w:rPr>
        <w:t xml:space="preserve"> separación del grupo familiar al que pertenecía como beneficia</w:t>
      </w:r>
      <w:r w:rsidR="001E4F32">
        <w:rPr>
          <w:sz w:val="24"/>
          <w:szCs w:val="24"/>
        </w:rPr>
        <w:t>ria</w:t>
      </w:r>
      <w:r w:rsidR="00F43E01">
        <w:rPr>
          <w:sz w:val="24"/>
          <w:szCs w:val="24"/>
        </w:rPr>
        <w:t xml:space="preserve"> de la ayuda </w:t>
      </w:r>
      <w:r w:rsidR="00F43E01">
        <w:rPr>
          <w:sz w:val="24"/>
          <w:szCs w:val="24"/>
        </w:rPr>
        <w:lastRenderedPageBreak/>
        <w:t>humanitaria por desplazamiento forzado.</w:t>
      </w:r>
    </w:p>
    <w:p w14:paraId="5084B8B5" w14:textId="77777777" w:rsidR="006025AB" w:rsidRDefault="001E19FB" w:rsidP="006025AB">
      <w:pPr>
        <w:widowControl w:val="0"/>
        <w:tabs>
          <w:tab w:val="left" w:pos="1985"/>
        </w:tabs>
        <w:spacing w:before="240" w:after="240"/>
        <w:rPr>
          <w:sz w:val="24"/>
          <w:szCs w:val="24"/>
        </w:rPr>
      </w:pPr>
      <w:r>
        <w:rPr>
          <w:sz w:val="24"/>
          <w:szCs w:val="24"/>
        </w:rPr>
        <w:t xml:space="preserve">1.2.2. </w:t>
      </w:r>
      <w:r w:rsidR="00C163A5">
        <w:rPr>
          <w:sz w:val="24"/>
          <w:szCs w:val="24"/>
        </w:rPr>
        <w:t>En aquella oportunidad, el asunto correspondió al Tribunal Administrativo del Atlántico</w:t>
      </w:r>
      <w:r w:rsidR="005E2879">
        <w:rPr>
          <w:sz w:val="24"/>
          <w:szCs w:val="24"/>
        </w:rPr>
        <w:t>,</w:t>
      </w:r>
      <w:r w:rsidR="00C163A5">
        <w:rPr>
          <w:sz w:val="24"/>
          <w:szCs w:val="24"/>
        </w:rPr>
        <w:t xml:space="preserve"> autoridad judicial</w:t>
      </w:r>
      <w:r w:rsidR="005E2879">
        <w:rPr>
          <w:sz w:val="24"/>
          <w:szCs w:val="24"/>
        </w:rPr>
        <w:t xml:space="preserve"> que, en</w:t>
      </w:r>
      <w:r w:rsidR="00C163A5">
        <w:rPr>
          <w:sz w:val="24"/>
          <w:szCs w:val="24"/>
        </w:rPr>
        <w:t xml:space="preserve"> sentencia el 2 de junio de 2015</w:t>
      </w:r>
      <w:r w:rsidR="00C163A5">
        <w:rPr>
          <w:rStyle w:val="Refdenotaalpie"/>
          <w:sz w:val="24"/>
          <w:szCs w:val="24"/>
        </w:rPr>
        <w:footnoteReference w:id="4"/>
      </w:r>
      <w:r w:rsidR="005E2879">
        <w:rPr>
          <w:sz w:val="24"/>
          <w:szCs w:val="24"/>
        </w:rPr>
        <w:t>, ordenó:</w:t>
      </w:r>
    </w:p>
    <w:p w14:paraId="0EAEE694" w14:textId="77777777" w:rsidR="005E2879" w:rsidRDefault="005E2879" w:rsidP="005E2879">
      <w:pPr>
        <w:widowControl w:val="0"/>
        <w:tabs>
          <w:tab w:val="left" w:pos="1985"/>
        </w:tabs>
        <w:spacing w:before="240" w:after="240"/>
        <w:ind w:left="708"/>
        <w:rPr>
          <w:sz w:val="22"/>
          <w:szCs w:val="24"/>
        </w:rPr>
      </w:pPr>
      <w:r w:rsidRPr="005E2879">
        <w:rPr>
          <w:sz w:val="22"/>
          <w:szCs w:val="24"/>
        </w:rPr>
        <w:t>“1.- (…) a la Dirección Nacional de la Unidad de Atención y Reparación Integral a las Víctimas, por conducto de su representante legal o a quien haga sus veces, que en el término máximo e improrrogable de cinco (5) días, proceda a dar cumplimiento a los dispuesto en el [a]</w:t>
      </w:r>
      <w:proofErr w:type="spellStart"/>
      <w:r w:rsidRPr="005E2879">
        <w:rPr>
          <w:sz w:val="22"/>
          <w:szCs w:val="24"/>
        </w:rPr>
        <w:t>rtículo</w:t>
      </w:r>
      <w:proofErr w:type="spellEnd"/>
      <w:r w:rsidRPr="005E2879">
        <w:rPr>
          <w:sz w:val="22"/>
          <w:szCs w:val="24"/>
        </w:rPr>
        <w:t xml:space="preserve"> 119 del Decreto 4800 de 2011, teniente a iniciar el trámite administrativo correspondiente al grupo familiar al cual se encuentra vinculada la señora Luz Helena Pájaro Vargas (…).</w:t>
      </w:r>
    </w:p>
    <w:p w14:paraId="66D061AD" w14:textId="77777777" w:rsidR="005E2879" w:rsidRDefault="005E2879" w:rsidP="005E2879">
      <w:pPr>
        <w:widowControl w:val="0"/>
        <w:tabs>
          <w:tab w:val="left" w:pos="1985"/>
        </w:tabs>
        <w:spacing w:before="240" w:after="240"/>
        <w:ind w:left="708"/>
        <w:rPr>
          <w:sz w:val="22"/>
          <w:szCs w:val="24"/>
        </w:rPr>
      </w:pPr>
      <w:r>
        <w:rPr>
          <w:sz w:val="22"/>
          <w:szCs w:val="24"/>
        </w:rPr>
        <w:t>(…)”</w:t>
      </w:r>
      <w:r>
        <w:rPr>
          <w:rStyle w:val="Refdenotaalpie"/>
          <w:sz w:val="22"/>
          <w:szCs w:val="24"/>
        </w:rPr>
        <w:footnoteReference w:id="5"/>
      </w:r>
      <w:r>
        <w:rPr>
          <w:sz w:val="22"/>
          <w:szCs w:val="24"/>
        </w:rPr>
        <w:t>.</w:t>
      </w:r>
    </w:p>
    <w:p w14:paraId="6340269A" w14:textId="77777777" w:rsidR="005E2879" w:rsidRPr="005E2879" w:rsidRDefault="005E2879" w:rsidP="005E2879">
      <w:pPr>
        <w:widowControl w:val="0"/>
        <w:tabs>
          <w:tab w:val="left" w:pos="1985"/>
        </w:tabs>
        <w:spacing w:before="240" w:after="240"/>
        <w:rPr>
          <w:sz w:val="24"/>
          <w:szCs w:val="24"/>
        </w:rPr>
      </w:pPr>
      <w:r>
        <w:rPr>
          <w:sz w:val="24"/>
          <w:szCs w:val="24"/>
        </w:rPr>
        <w:t>Sin embargo, ante</w:t>
      </w:r>
      <w:r w:rsidRPr="005E2879">
        <w:rPr>
          <w:sz w:val="24"/>
          <w:szCs w:val="24"/>
        </w:rPr>
        <w:t xml:space="preserve"> </w:t>
      </w:r>
      <w:r>
        <w:rPr>
          <w:sz w:val="24"/>
          <w:szCs w:val="24"/>
        </w:rPr>
        <w:t>el incumplimiento de dicha orden, la señora Pájaro Vargas</w:t>
      </w:r>
      <w:r w:rsidR="00F76A3E">
        <w:rPr>
          <w:sz w:val="24"/>
          <w:szCs w:val="24"/>
        </w:rPr>
        <w:t xml:space="preserve"> radicó memorial </w:t>
      </w:r>
      <w:r w:rsidR="00BB7E0A">
        <w:rPr>
          <w:sz w:val="24"/>
          <w:szCs w:val="24"/>
        </w:rPr>
        <w:t>el 25 de septiembre de 2015</w:t>
      </w:r>
      <w:r w:rsidR="00BB7E0A">
        <w:rPr>
          <w:rStyle w:val="Refdenotaalpie"/>
          <w:sz w:val="24"/>
          <w:szCs w:val="24"/>
        </w:rPr>
        <w:footnoteReference w:id="6"/>
      </w:r>
      <w:r w:rsidR="00BB7E0A">
        <w:rPr>
          <w:sz w:val="24"/>
          <w:szCs w:val="24"/>
        </w:rPr>
        <w:t xml:space="preserve">, </w:t>
      </w:r>
      <w:r w:rsidR="00F76A3E">
        <w:rPr>
          <w:sz w:val="24"/>
          <w:szCs w:val="24"/>
        </w:rPr>
        <w:t>en el que manifestó que la</w:t>
      </w:r>
      <w:r w:rsidR="00AC5A5B">
        <w:rPr>
          <w:sz w:val="24"/>
          <w:szCs w:val="24"/>
        </w:rPr>
        <w:t xml:space="preserve"> referida</w:t>
      </w:r>
      <w:r w:rsidR="00F76A3E">
        <w:rPr>
          <w:sz w:val="24"/>
          <w:szCs w:val="24"/>
        </w:rPr>
        <w:t xml:space="preserve"> entidad había incurrido en </w:t>
      </w:r>
      <w:r>
        <w:rPr>
          <w:sz w:val="24"/>
          <w:szCs w:val="24"/>
        </w:rPr>
        <w:t>desacato</w:t>
      </w:r>
      <w:r>
        <w:rPr>
          <w:rStyle w:val="Refdenotaalpie"/>
          <w:sz w:val="24"/>
          <w:szCs w:val="24"/>
        </w:rPr>
        <w:footnoteReference w:id="7"/>
      </w:r>
      <w:r w:rsidR="00F76A3E">
        <w:rPr>
          <w:sz w:val="24"/>
          <w:szCs w:val="24"/>
        </w:rPr>
        <w:t xml:space="preserve">. En consecuencia, el Tribunal Administrativo del Atlántico dictó auto el 29 </w:t>
      </w:r>
      <w:r w:rsidR="001E4F32">
        <w:rPr>
          <w:sz w:val="24"/>
          <w:szCs w:val="24"/>
        </w:rPr>
        <w:t>siguiente</w:t>
      </w:r>
      <w:r w:rsidR="00F76A3E">
        <w:rPr>
          <w:rStyle w:val="Refdenotaalpie"/>
          <w:sz w:val="24"/>
          <w:szCs w:val="24"/>
        </w:rPr>
        <w:footnoteReference w:id="8"/>
      </w:r>
      <w:r w:rsidR="00F76A3E">
        <w:rPr>
          <w:sz w:val="24"/>
          <w:szCs w:val="24"/>
        </w:rPr>
        <w:t>, en el que ordenó la apertura del respectivo incidente, corrió traslado a las partes y ordenó su notificación.</w:t>
      </w:r>
    </w:p>
    <w:p w14:paraId="2F15CC58" w14:textId="77777777" w:rsidR="00CE2317" w:rsidRDefault="001E19FB" w:rsidP="001E19FB">
      <w:pPr>
        <w:widowControl w:val="0"/>
        <w:tabs>
          <w:tab w:val="left" w:pos="1985"/>
        </w:tabs>
        <w:spacing w:before="240" w:after="240"/>
        <w:rPr>
          <w:sz w:val="24"/>
          <w:szCs w:val="24"/>
        </w:rPr>
      </w:pPr>
      <w:r>
        <w:rPr>
          <w:sz w:val="24"/>
          <w:szCs w:val="24"/>
        </w:rPr>
        <w:t>1.2.</w:t>
      </w:r>
      <w:r w:rsidR="00F76A3E">
        <w:rPr>
          <w:sz w:val="24"/>
          <w:szCs w:val="24"/>
        </w:rPr>
        <w:t xml:space="preserve">3. </w:t>
      </w:r>
      <w:r w:rsidR="00CE2317">
        <w:rPr>
          <w:sz w:val="24"/>
          <w:szCs w:val="24"/>
        </w:rPr>
        <w:t>El</w:t>
      </w:r>
      <w:r w:rsidR="009C7F88">
        <w:rPr>
          <w:sz w:val="24"/>
          <w:szCs w:val="24"/>
        </w:rPr>
        <w:t xml:space="preserve"> Tribunal Administrativo del Atlántico</w:t>
      </w:r>
      <w:r w:rsidR="00CE2317">
        <w:rPr>
          <w:sz w:val="24"/>
          <w:szCs w:val="24"/>
        </w:rPr>
        <w:t xml:space="preserve"> </w:t>
      </w:r>
      <w:r w:rsidR="00AC5A5B">
        <w:rPr>
          <w:sz w:val="24"/>
          <w:szCs w:val="24"/>
        </w:rPr>
        <w:t>decidió el incidente de desacato</w:t>
      </w:r>
      <w:r w:rsidR="00CE2317">
        <w:rPr>
          <w:sz w:val="24"/>
          <w:szCs w:val="24"/>
        </w:rPr>
        <w:t xml:space="preserve"> en </w:t>
      </w:r>
      <w:r w:rsidR="009C7F88">
        <w:rPr>
          <w:sz w:val="24"/>
          <w:szCs w:val="24"/>
        </w:rPr>
        <w:t xml:space="preserve">auto </w:t>
      </w:r>
      <w:r w:rsidR="00CE2317">
        <w:rPr>
          <w:sz w:val="24"/>
          <w:szCs w:val="24"/>
        </w:rPr>
        <w:t>d</w:t>
      </w:r>
      <w:r w:rsidR="009C7F88">
        <w:rPr>
          <w:sz w:val="24"/>
          <w:szCs w:val="24"/>
        </w:rPr>
        <w:t xml:space="preserve">el </w:t>
      </w:r>
      <w:r w:rsidR="00056617">
        <w:rPr>
          <w:sz w:val="24"/>
          <w:szCs w:val="24"/>
        </w:rPr>
        <w:t>21</w:t>
      </w:r>
      <w:r w:rsidR="009C7F88">
        <w:rPr>
          <w:sz w:val="24"/>
          <w:szCs w:val="24"/>
        </w:rPr>
        <w:t xml:space="preserve"> de </w:t>
      </w:r>
      <w:r w:rsidR="00056617">
        <w:rPr>
          <w:sz w:val="24"/>
          <w:szCs w:val="24"/>
        </w:rPr>
        <w:t>abril</w:t>
      </w:r>
      <w:r w:rsidR="009C7F88">
        <w:rPr>
          <w:sz w:val="24"/>
          <w:szCs w:val="24"/>
        </w:rPr>
        <w:t xml:space="preserve"> </w:t>
      </w:r>
      <w:r w:rsidR="00056617">
        <w:rPr>
          <w:sz w:val="24"/>
          <w:szCs w:val="24"/>
        </w:rPr>
        <w:t>de 2016</w:t>
      </w:r>
      <w:r w:rsidR="009C7F88">
        <w:rPr>
          <w:rStyle w:val="Refdenotaalpie"/>
          <w:sz w:val="24"/>
          <w:szCs w:val="24"/>
        </w:rPr>
        <w:footnoteReference w:id="9"/>
      </w:r>
      <w:r w:rsidR="009C7F88">
        <w:rPr>
          <w:sz w:val="24"/>
          <w:szCs w:val="24"/>
        </w:rPr>
        <w:t>, en e</w:t>
      </w:r>
      <w:r w:rsidR="00F76A3E">
        <w:rPr>
          <w:sz w:val="24"/>
          <w:szCs w:val="24"/>
        </w:rPr>
        <w:t>l</w:t>
      </w:r>
      <w:r w:rsidR="009C7F88">
        <w:rPr>
          <w:sz w:val="24"/>
          <w:szCs w:val="24"/>
        </w:rPr>
        <w:t xml:space="preserve"> que resolvió</w:t>
      </w:r>
      <w:r w:rsidR="00CE2317">
        <w:rPr>
          <w:sz w:val="24"/>
          <w:szCs w:val="24"/>
        </w:rPr>
        <w:t>:</w:t>
      </w:r>
    </w:p>
    <w:p w14:paraId="724D231C" w14:textId="77777777" w:rsidR="00CE2317" w:rsidRDefault="00CE2317" w:rsidP="00CE2317">
      <w:pPr>
        <w:widowControl w:val="0"/>
        <w:tabs>
          <w:tab w:val="left" w:pos="1985"/>
        </w:tabs>
        <w:spacing w:before="240" w:after="240"/>
        <w:ind w:left="708"/>
        <w:rPr>
          <w:sz w:val="22"/>
          <w:szCs w:val="24"/>
        </w:rPr>
      </w:pPr>
      <w:r w:rsidRPr="00CE2317">
        <w:rPr>
          <w:sz w:val="22"/>
          <w:szCs w:val="24"/>
        </w:rPr>
        <w:t xml:space="preserve">“1.- </w:t>
      </w:r>
      <w:r>
        <w:rPr>
          <w:sz w:val="22"/>
          <w:szCs w:val="24"/>
        </w:rPr>
        <w:t>Declarar</w:t>
      </w:r>
      <w:r w:rsidR="009C7F88" w:rsidRPr="00CE2317">
        <w:rPr>
          <w:sz w:val="22"/>
          <w:szCs w:val="24"/>
        </w:rPr>
        <w:t xml:space="preserve"> que </w:t>
      </w:r>
      <w:r w:rsidRPr="00CE2317">
        <w:rPr>
          <w:sz w:val="22"/>
          <w:szCs w:val="24"/>
        </w:rPr>
        <w:t xml:space="preserve">la </w:t>
      </w:r>
      <w:r w:rsidR="00056617">
        <w:rPr>
          <w:sz w:val="22"/>
          <w:szCs w:val="24"/>
        </w:rPr>
        <w:t>D</w:t>
      </w:r>
      <w:r w:rsidRPr="00CE2317">
        <w:rPr>
          <w:sz w:val="22"/>
          <w:szCs w:val="24"/>
        </w:rPr>
        <w:t>irector</w:t>
      </w:r>
      <w:r w:rsidR="00056617">
        <w:rPr>
          <w:sz w:val="22"/>
          <w:szCs w:val="24"/>
        </w:rPr>
        <w:t>a N</w:t>
      </w:r>
      <w:r w:rsidRPr="00CE2317">
        <w:rPr>
          <w:sz w:val="22"/>
          <w:szCs w:val="24"/>
        </w:rPr>
        <w:t xml:space="preserve">acional de la </w:t>
      </w:r>
      <w:r w:rsidR="00056617">
        <w:rPr>
          <w:sz w:val="22"/>
          <w:szCs w:val="24"/>
        </w:rPr>
        <w:t>U</w:t>
      </w:r>
      <w:r w:rsidRPr="00CE2317">
        <w:rPr>
          <w:sz w:val="22"/>
          <w:szCs w:val="24"/>
        </w:rPr>
        <w:t xml:space="preserve">nidad de </w:t>
      </w:r>
      <w:r w:rsidR="00056617">
        <w:rPr>
          <w:sz w:val="22"/>
          <w:szCs w:val="24"/>
        </w:rPr>
        <w:t>A</w:t>
      </w:r>
      <w:r w:rsidRPr="00CE2317">
        <w:rPr>
          <w:sz w:val="22"/>
          <w:szCs w:val="24"/>
        </w:rPr>
        <w:t xml:space="preserve">tención </w:t>
      </w:r>
      <w:r w:rsidR="00056617">
        <w:rPr>
          <w:sz w:val="22"/>
          <w:szCs w:val="24"/>
        </w:rPr>
        <w:t>y R</w:t>
      </w:r>
      <w:r w:rsidRPr="00CE2317">
        <w:rPr>
          <w:sz w:val="22"/>
          <w:szCs w:val="24"/>
        </w:rPr>
        <w:t>eparaci</w:t>
      </w:r>
      <w:r w:rsidR="00056617">
        <w:rPr>
          <w:sz w:val="22"/>
          <w:szCs w:val="24"/>
        </w:rPr>
        <w:t xml:space="preserve">ón Integral de </w:t>
      </w:r>
      <w:r>
        <w:rPr>
          <w:sz w:val="22"/>
          <w:szCs w:val="24"/>
        </w:rPr>
        <w:t>V</w:t>
      </w:r>
      <w:r w:rsidRPr="00CE2317">
        <w:rPr>
          <w:sz w:val="22"/>
          <w:szCs w:val="24"/>
        </w:rPr>
        <w:t>íctimas incurrió en desacato de las órdenes impartidas en el fallo de cumplimiento fechado 2 de junio de 2015</w:t>
      </w:r>
      <w:r>
        <w:rPr>
          <w:sz w:val="22"/>
          <w:szCs w:val="24"/>
        </w:rPr>
        <w:t>.</w:t>
      </w:r>
    </w:p>
    <w:p w14:paraId="1448CC88" w14:textId="77777777" w:rsidR="00CE2317" w:rsidRDefault="00CE2317" w:rsidP="00CE2317">
      <w:pPr>
        <w:widowControl w:val="0"/>
        <w:tabs>
          <w:tab w:val="left" w:pos="1985"/>
        </w:tabs>
        <w:spacing w:before="240" w:after="240"/>
        <w:ind w:left="708"/>
        <w:rPr>
          <w:sz w:val="22"/>
          <w:szCs w:val="24"/>
        </w:rPr>
      </w:pPr>
      <w:r>
        <w:rPr>
          <w:sz w:val="22"/>
          <w:szCs w:val="24"/>
        </w:rPr>
        <w:t xml:space="preserve">2.- Imponer como sanción a la </w:t>
      </w:r>
      <w:r w:rsidR="00056617">
        <w:rPr>
          <w:b/>
          <w:sz w:val="22"/>
          <w:szCs w:val="24"/>
          <w:u w:val="single"/>
        </w:rPr>
        <w:t>Directora N</w:t>
      </w:r>
      <w:r w:rsidRPr="00CE2317">
        <w:rPr>
          <w:b/>
          <w:sz w:val="22"/>
          <w:szCs w:val="24"/>
          <w:u w:val="single"/>
        </w:rPr>
        <w:t>acional</w:t>
      </w:r>
      <w:r w:rsidR="00545F55">
        <w:rPr>
          <w:sz w:val="22"/>
          <w:szCs w:val="24"/>
        </w:rPr>
        <w:t xml:space="preserve"> de la U</w:t>
      </w:r>
      <w:r w:rsidRPr="00CE2317">
        <w:rPr>
          <w:sz w:val="22"/>
          <w:szCs w:val="24"/>
        </w:rPr>
        <w:t xml:space="preserve">nidad de </w:t>
      </w:r>
      <w:r w:rsidR="00545F55">
        <w:rPr>
          <w:sz w:val="22"/>
          <w:szCs w:val="24"/>
        </w:rPr>
        <w:t>A</w:t>
      </w:r>
      <w:r w:rsidRPr="00CE2317">
        <w:rPr>
          <w:sz w:val="22"/>
          <w:szCs w:val="24"/>
        </w:rPr>
        <w:t xml:space="preserve">tención </w:t>
      </w:r>
      <w:r w:rsidR="00545F55">
        <w:rPr>
          <w:sz w:val="22"/>
          <w:szCs w:val="24"/>
        </w:rPr>
        <w:t>y R</w:t>
      </w:r>
      <w:r w:rsidRPr="00CE2317">
        <w:rPr>
          <w:sz w:val="22"/>
          <w:szCs w:val="24"/>
        </w:rPr>
        <w:t>eparaci</w:t>
      </w:r>
      <w:r w:rsidR="00545F55">
        <w:rPr>
          <w:sz w:val="22"/>
          <w:szCs w:val="24"/>
        </w:rPr>
        <w:t>ón Integral de V</w:t>
      </w:r>
      <w:r w:rsidRPr="00CE2317">
        <w:rPr>
          <w:sz w:val="22"/>
          <w:szCs w:val="24"/>
        </w:rPr>
        <w:t>íctimas</w:t>
      </w:r>
      <w:r>
        <w:rPr>
          <w:sz w:val="22"/>
          <w:szCs w:val="24"/>
        </w:rPr>
        <w:t>, multa equivalente a cinco (5) salarios mínimos legales mensuales vigentes, cantidad que deberá consignar a órdenes del Consejo Superior de la Judicatura – Dirección Ejecutiva de Administración Judicial” (negritas</w:t>
      </w:r>
      <w:r w:rsidR="00056617">
        <w:rPr>
          <w:sz w:val="22"/>
          <w:szCs w:val="24"/>
        </w:rPr>
        <w:t xml:space="preserve"> y subrayado</w:t>
      </w:r>
      <w:r>
        <w:rPr>
          <w:sz w:val="22"/>
          <w:szCs w:val="24"/>
        </w:rPr>
        <w:t xml:space="preserve"> por fuera de texto).</w:t>
      </w:r>
    </w:p>
    <w:p w14:paraId="47DB2B7D" w14:textId="77777777" w:rsidR="00CE2317" w:rsidRPr="00CE2317" w:rsidRDefault="00CE2317" w:rsidP="00CE2317">
      <w:pPr>
        <w:widowControl w:val="0"/>
        <w:tabs>
          <w:tab w:val="left" w:pos="1985"/>
        </w:tabs>
        <w:spacing w:before="240" w:after="240"/>
        <w:ind w:left="708"/>
        <w:rPr>
          <w:sz w:val="22"/>
          <w:szCs w:val="24"/>
        </w:rPr>
      </w:pPr>
      <w:r>
        <w:rPr>
          <w:sz w:val="22"/>
          <w:szCs w:val="24"/>
        </w:rPr>
        <w:t>(…)”.</w:t>
      </w:r>
    </w:p>
    <w:p w14:paraId="3E202916" w14:textId="77777777" w:rsidR="009C7F88" w:rsidRDefault="009C7F88" w:rsidP="006A077B">
      <w:pPr>
        <w:widowControl w:val="0"/>
        <w:tabs>
          <w:tab w:val="left" w:pos="1985"/>
        </w:tabs>
        <w:spacing w:before="240" w:after="240"/>
        <w:rPr>
          <w:sz w:val="24"/>
          <w:szCs w:val="24"/>
        </w:rPr>
      </w:pPr>
      <w:r>
        <w:rPr>
          <w:sz w:val="24"/>
          <w:szCs w:val="24"/>
        </w:rPr>
        <w:t xml:space="preserve">1.2.4. </w:t>
      </w:r>
      <w:r w:rsidR="00CE2317">
        <w:rPr>
          <w:sz w:val="24"/>
          <w:szCs w:val="24"/>
        </w:rPr>
        <w:t>Posteriormente</w:t>
      </w:r>
      <w:r>
        <w:rPr>
          <w:sz w:val="24"/>
          <w:szCs w:val="24"/>
        </w:rPr>
        <w:t>, el grado jurisdiccional de consulta correspondió a la Sección Quinta del Consejo de Estado</w:t>
      </w:r>
      <w:r w:rsidR="00056617">
        <w:rPr>
          <w:sz w:val="24"/>
          <w:szCs w:val="24"/>
        </w:rPr>
        <w:t>, autoridad judicial que, en proveído del 8 de junio de 2016</w:t>
      </w:r>
      <w:r w:rsidR="00056617">
        <w:rPr>
          <w:rStyle w:val="Refdenotaalpie"/>
          <w:sz w:val="24"/>
          <w:szCs w:val="24"/>
        </w:rPr>
        <w:footnoteReference w:id="10"/>
      </w:r>
      <w:r w:rsidR="00056617">
        <w:rPr>
          <w:sz w:val="24"/>
          <w:szCs w:val="24"/>
        </w:rPr>
        <w:t xml:space="preserve">, confirmó la sanción impuesta </w:t>
      </w:r>
      <w:r w:rsidR="00545F55">
        <w:rPr>
          <w:sz w:val="24"/>
          <w:szCs w:val="24"/>
        </w:rPr>
        <w:t>a</w:t>
      </w:r>
      <w:r w:rsidR="00545F55" w:rsidRPr="00545F55">
        <w:rPr>
          <w:sz w:val="24"/>
          <w:szCs w:val="24"/>
        </w:rPr>
        <w:t xml:space="preserve"> </w:t>
      </w:r>
      <w:r w:rsidR="00545F55">
        <w:rPr>
          <w:sz w:val="24"/>
          <w:szCs w:val="24"/>
        </w:rPr>
        <w:t>Paula Gaviria Betancur</w:t>
      </w:r>
      <w:r w:rsidR="00D6602D">
        <w:rPr>
          <w:sz w:val="24"/>
          <w:szCs w:val="24"/>
        </w:rPr>
        <w:t xml:space="preserve"> —</w:t>
      </w:r>
      <w:r w:rsidR="00545F55">
        <w:rPr>
          <w:sz w:val="24"/>
          <w:szCs w:val="24"/>
        </w:rPr>
        <w:t>quien ocupó el c</w:t>
      </w:r>
      <w:r w:rsidR="00D6602D">
        <w:rPr>
          <w:sz w:val="24"/>
          <w:szCs w:val="24"/>
        </w:rPr>
        <w:t>argo de directora de la entidad</w:t>
      </w:r>
      <w:r w:rsidR="00545F55">
        <w:rPr>
          <w:sz w:val="24"/>
          <w:szCs w:val="24"/>
        </w:rPr>
        <w:t xml:space="preserve"> hasta </w:t>
      </w:r>
      <w:r w:rsidR="00D6602D">
        <w:rPr>
          <w:sz w:val="24"/>
          <w:szCs w:val="24"/>
        </w:rPr>
        <w:t>el 2 de junio de 2016, fecha en la que fue nombrada consejera presidencial para los derechos humanos</w:t>
      </w:r>
      <w:r w:rsidR="006A077B">
        <w:rPr>
          <w:rStyle w:val="Refdenotaalpie"/>
          <w:sz w:val="24"/>
          <w:szCs w:val="24"/>
        </w:rPr>
        <w:footnoteReference w:id="11"/>
      </w:r>
      <w:r w:rsidR="00D6602D">
        <w:rPr>
          <w:sz w:val="24"/>
          <w:szCs w:val="24"/>
        </w:rPr>
        <w:t>—</w:t>
      </w:r>
      <w:r w:rsidR="006A077B">
        <w:rPr>
          <w:sz w:val="24"/>
          <w:szCs w:val="24"/>
        </w:rPr>
        <w:t xml:space="preserve">, </w:t>
      </w:r>
      <w:r w:rsidR="000C701A">
        <w:rPr>
          <w:sz w:val="24"/>
          <w:szCs w:val="24"/>
        </w:rPr>
        <w:t xml:space="preserve">debido a que era la encargada de acatar las órdenes del fallo de cumplimiento. También exhortó a Alan Jesús Edmundo Jara Urzola, director nacional de la UARIV en aquel momento, para que </w:t>
      </w:r>
      <w:r w:rsidR="00AC5A5B">
        <w:rPr>
          <w:sz w:val="24"/>
          <w:szCs w:val="24"/>
        </w:rPr>
        <w:t xml:space="preserve">cumpliera </w:t>
      </w:r>
      <w:r w:rsidR="000C701A">
        <w:rPr>
          <w:sz w:val="24"/>
          <w:szCs w:val="24"/>
        </w:rPr>
        <w:t xml:space="preserve">el fallo del 2 de junio de 2015, en caso </w:t>
      </w:r>
      <w:r w:rsidR="0015373C">
        <w:rPr>
          <w:sz w:val="24"/>
          <w:szCs w:val="24"/>
        </w:rPr>
        <w:t xml:space="preserve">de </w:t>
      </w:r>
      <w:r w:rsidR="000C701A">
        <w:rPr>
          <w:sz w:val="24"/>
          <w:szCs w:val="24"/>
        </w:rPr>
        <w:t>que aún no se hubiera hecho.</w:t>
      </w:r>
    </w:p>
    <w:p w14:paraId="72D50030" w14:textId="5326A532" w:rsidR="00F23BBB" w:rsidRDefault="00F23BBB" w:rsidP="001E19FB">
      <w:pPr>
        <w:widowControl w:val="0"/>
        <w:tabs>
          <w:tab w:val="left" w:pos="1985"/>
        </w:tabs>
        <w:spacing w:before="240" w:after="240"/>
        <w:rPr>
          <w:noProof/>
          <w:sz w:val="24"/>
          <w:szCs w:val="24"/>
          <w:lang w:eastAsia="es-CO"/>
        </w:rPr>
      </w:pPr>
      <w:r>
        <w:rPr>
          <w:sz w:val="24"/>
          <w:szCs w:val="24"/>
        </w:rPr>
        <w:t xml:space="preserve">1.2.5. </w:t>
      </w:r>
      <w:r w:rsidR="000B5266">
        <w:rPr>
          <w:sz w:val="24"/>
          <w:szCs w:val="24"/>
        </w:rPr>
        <w:t>Luego, la UARIV solicitó que se declarara que había cumplido el fallo de tutela y que se revocara la sanci</w:t>
      </w:r>
      <w:r w:rsidR="0015373C">
        <w:rPr>
          <w:sz w:val="24"/>
          <w:szCs w:val="24"/>
        </w:rPr>
        <w:t>ón</w:t>
      </w:r>
      <w:r w:rsidR="002E029B">
        <w:rPr>
          <w:sz w:val="24"/>
          <w:szCs w:val="24"/>
        </w:rPr>
        <w:t xml:space="preserve"> impuesta</w:t>
      </w:r>
      <w:r w:rsidR="000B5266">
        <w:rPr>
          <w:sz w:val="24"/>
          <w:szCs w:val="24"/>
        </w:rPr>
        <w:t xml:space="preserve"> a la señora Gaviria Betancur. Como fundamentos de su petición, expuso que mediante comunicaci</w:t>
      </w:r>
      <w:r w:rsidR="005F29EC">
        <w:rPr>
          <w:sz w:val="24"/>
          <w:szCs w:val="24"/>
        </w:rPr>
        <w:t>ones</w:t>
      </w:r>
      <w:r w:rsidR="000B5266">
        <w:rPr>
          <w:sz w:val="24"/>
          <w:szCs w:val="24"/>
        </w:rPr>
        <w:t xml:space="preserve"> escrita</w:t>
      </w:r>
      <w:r w:rsidR="005F29EC">
        <w:rPr>
          <w:sz w:val="24"/>
          <w:szCs w:val="24"/>
        </w:rPr>
        <w:t>s</w:t>
      </w:r>
      <w:r w:rsidR="000B5266">
        <w:rPr>
          <w:sz w:val="24"/>
          <w:szCs w:val="24"/>
        </w:rPr>
        <w:t>, identificada</w:t>
      </w:r>
      <w:r w:rsidR="005F29EC">
        <w:rPr>
          <w:sz w:val="24"/>
          <w:szCs w:val="24"/>
        </w:rPr>
        <w:t>s</w:t>
      </w:r>
      <w:r w:rsidR="000B5266">
        <w:rPr>
          <w:sz w:val="24"/>
          <w:szCs w:val="24"/>
        </w:rPr>
        <w:t xml:space="preserve"> con número</w:t>
      </w:r>
      <w:r w:rsidR="005F29EC">
        <w:rPr>
          <w:sz w:val="24"/>
          <w:szCs w:val="24"/>
        </w:rPr>
        <w:t>s</w:t>
      </w:r>
      <w:r w:rsidR="000B5266">
        <w:rPr>
          <w:sz w:val="24"/>
          <w:szCs w:val="24"/>
        </w:rPr>
        <w:t xml:space="preserve"> de radicado 201672025338591</w:t>
      </w:r>
      <w:r w:rsidR="00137BF4">
        <w:rPr>
          <w:sz w:val="24"/>
          <w:szCs w:val="24"/>
        </w:rPr>
        <w:t xml:space="preserve"> </w:t>
      </w:r>
      <w:r w:rsidR="000B5266">
        <w:rPr>
          <w:noProof/>
          <w:sz w:val="24"/>
          <w:szCs w:val="24"/>
          <w:lang w:eastAsia="es-CO"/>
        </w:rPr>
        <w:t>del 26 de mayo de 2016</w:t>
      </w:r>
      <w:r w:rsidR="005F29EC">
        <w:rPr>
          <w:noProof/>
          <w:sz w:val="24"/>
          <w:szCs w:val="24"/>
          <w:lang w:eastAsia="es-CO"/>
        </w:rPr>
        <w:t xml:space="preserve"> y 20166020238431 del 7 de julio de mismo año, resolvió la solicitud de división del grupo familiar elevada por la señora Pájaro Vargas, y como consecuencia de ello, </w:t>
      </w:r>
      <w:r w:rsidR="005F29EC">
        <w:rPr>
          <w:noProof/>
          <w:sz w:val="24"/>
          <w:szCs w:val="24"/>
          <w:lang w:eastAsia="es-CO"/>
        </w:rPr>
        <w:lastRenderedPageBreak/>
        <w:t>su grupo familiar quedó conformado por ella</w:t>
      </w:r>
      <w:r w:rsidR="00B53015">
        <w:rPr>
          <w:noProof/>
          <w:sz w:val="24"/>
          <w:szCs w:val="24"/>
          <w:lang w:eastAsia="es-CO"/>
        </w:rPr>
        <w:t>,</w:t>
      </w:r>
      <w:r w:rsidR="005F29EC">
        <w:rPr>
          <w:noProof/>
          <w:sz w:val="24"/>
          <w:szCs w:val="24"/>
          <w:lang w:eastAsia="es-CO"/>
        </w:rPr>
        <w:t xml:space="preserve"> en calidad de madre cabeza de familia, y sus hijos Pedro Rafael y Dayana Michel Matute Pájaro. </w:t>
      </w:r>
    </w:p>
    <w:p w14:paraId="7075316A" w14:textId="77777777" w:rsidR="00137BF4" w:rsidRDefault="00137BF4" w:rsidP="001E19FB">
      <w:pPr>
        <w:widowControl w:val="0"/>
        <w:tabs>
          <w:tab w:val="left" w:pos="1985"/>
        </w:tabs>
        <w:spacing w:before="240" w:after="240"/>
        <w:rPr>
          <w:noProof/>
          <w:sz w:val="24"/>
          <w:szCs w:val="24"/>
          <w:lang w:eastAsia="es-CO"/>
        </w:rPr>
      </w:pPr>
      <w:r>
        <w:rPr>
          <w:noProof/>
          <w:sz w:val="24"/>
          <w:szCs w:val="24"/>
          <w:lang w:eastAsia="es-CO"/>
        </w:rPr>
        <w:t xml:space="preserve">El referido tribunal resolvió </w:t>
      </w:r>
      <w:r w:rsidR="00B53015">
        <w:rPr>
          <w:noProof/>
          <w:sz w:val="24"/>
          <w:szCs w:val="24"/>
          <w:lang w:eastAsia="es-CO"/>
        </w:rPr>
        <w:t>dicha</w:t>
      </w:r>
      <w:r>
        <w:rPr>
          <w:noProof/>
          <w:sz w:val="24"/>
          <w:szCs w:val="24"/>
          <w:lang w:eastAsia="es-CO"/>
        </w:rPr>
        <w:t xml:space="preserve"> solicitud mediante auto </w:t>
      </w:r>
      <w:r w:rsidR="007F7063">
        <w:rPr>
          <w:noProof/>
          <w:sz w:val="24"/>
          <w:szCs w:val="24"/>
          <w:lang w:eastAsia="es-CO"/>
        </w:rPr>
        <w:t>del 10 de noviembre 2016</w:t>
      </w:r>
      <w:r w:rsidR="007F7063">
        <w:rPr>
          <w:rStyle w:val="Refdenotaalpie"/>
          <w:noProof/>
          <w:sz w:val="24"/>
          <w:szCs w:val="24"/>
          <w:lang w:eastAsia="es-CO"/>
        </w:rPr>
        <w:footnoteReference w:id="12"/>
      </w:r>
      <w:r w:rsidR="007F7063">
        <w:rPr>
          <w:noProof/>
          <w:sz w:val="24"/>
          <w:szCs w:val="24"/>
          <w:lang w:eastAsia="es-CO"/>
        </w:rPr>
        <w:t xml:space="preserve">, y declaró que no era procedente acceder a lo requerido, debido a que </w:t>
      </w:r>
      <w:r w:rsidR="00F67046">
        <w:rPr>
          <w:noProof/>
          <w:sz w:val="24"/>
          <w:szCs w:val="24"/>
          <w:lang w:eastAsia="es-CO"/>
        </w:rPr>
        <w:t>las comunicaciones escritas antes mencionadas, no fueron notificadas correcta</w:t>
      </w:r>
      <w:r w:rsidR="00B53015">
        <w:rPr>
          <w:noProof/>
          <w:sz w:val="24"/>
          <w:szCs w:val="24"/>
          <w:lang w:eastAsia="es-CO"/>
        </w:rPr>
        <w:t>mente</w:t>
      </w:r>
      <w:r w:rsidR="00AC5A5B">
        <w:rPr>
          <w:noProof/>
          <w:sz w:val="24"/>
          <w:szCs w:val="24"/>
          <w:lang w:eastAsia="es-CO"/>
        </w:rPr>
        <w:t xml:space="preserve">, pues </w:t>
      </w:r>
      <w:r w:rsidR="00F67046">
        <w:rPr>
          <w:noProof/>
          <w:sz w:val="24"/>
          <w:szCs w:val="24"/>
          <w:lang w:eastAsia="es-CO"/>
        </w:rPr>
        <w:t>fueron e</w:t>
      </w:r>
      <w:r w:rsidR="001E4F32">
        <w:rPr>
          <w:noProof/>
          <w:sz w:val="24"/>
          <w:szCs w:val="24"/>
          <w:lang w:eastAsia="es-CO"/>
        </w:rPr>
        <w:t xml:space="preserve">nviadas a una dirección </w:t>
      </w:r>
      <w:r w:rsidR="00AC5A5B">
        <w:rPr>
          <w:noProof/>
          <w:sz w:val="24"/>
          <w:szCs w:val="24"/>
          <w:lang w:eastAsia="es-CO"/>
        </w:rPr>
        <w:t>equivocada</w:t>
      </w:r>
      <w:r w:rsidR="001E4F32">
        <w:rPr>
          <w:noProof/>
          <w:sz w:val="24"/>
          <w:szCs w:val="24"/>
          <w:lang w:eastAsia="es-CO"/>
        </w:rPr>
        <w:t>. Por esa razón, indicó</w:t>
      </w:r>
      <w:r w:rsidR="00F67046">
        <w:rPr>
          <w:noProof/>
          <w:sz w:val="24"/>
          <w:szCs w:val="24"/>
          <w:lang w:eastAsia="es-CO"/>
        </w:rPr>
        <w:t xml:space="preserve"> que no había constancia en el expediente de que la señora Pájaro Vargas las hubiera conocido. </w:t>
      </w:r>
      <w:r w:rsidR="001E4F32">
        <w:rPr>
          <w:noProof/>
          <w:sz w:val="24"/>
          <w:szCs w:val="24"/>
          <w:lang w:eastAsia="es-CO"/>
        </w:rPr>
        <w:t>Así</w:t>
      </w:r>
      <w:r w:rsidR="001E64D0">
        <w:rPr>
          <w:noProof/>
          <w:sz w:val="24"/>
          <w:szCs w:val="24"/>
          <w:lang w:eastAsia="es-CO"/>
        </w:rPr>
        <w:t xml:space="preserve">, </w:t>
      </w:r>
      <w:r w:rsidR="001E4F32">
        <w:rPr>
          <w:noProof/>
          <w:sz w:val="24"/>
          <w:szCs w:val="24"/>
          <w:lang w:eastAsia="es-CO"/>
        </w:rPr>
        <w:t>sostuvo</w:t>
      </w:r>
      <w:r w:rsidR="001E64D0">
        <w:rPr>
          <w:noProof/>
          <w:sz w:val="24"/>
          <w:szCs w:val="24"/>
          <w:lang w:eastAsia="es-CO"/>
        </w:rPr>
        <w:t xml:space="preserve"> que dicha circunstancia no hacía desaparecer el desacato, pues era claro que la órden no se había cumplido en el tér</w:t>
      </w:r>
      <w:r w:rsidR="00B53015">
        <w:rPr>
          <w:noProof/>
          <w:sz w:val="24"/>
          <w:szCs w:val="24"/>
          <w:lang w:eastAsia="es-CO"/>
        </w:rPr>
        <w:t>m</w:t>
      </w:r>
      <w:r w:rsidR="001E64D0">
        <w:rPr>
          <w:noProof/>
          <w:sz w:val="24"/>
          <w:szCs w:val="24"/>
          <w:lang w:eastAsia="es-CO"/>
        </w:rPr>
        <w:t xml:space="preserve">ino de 5 días otorgado para ello. </w:t>
      </w:r>
    </w:p>
    <w:p w14:paraId="5AF592A3" w14:textId="0C9C596A" w:rsidR="0015373C" w:rsidRDefault="00A03F7E" w:rsidP="001E19FB">
      <w:pPr>
        <w:widowControl w:val="0"/>
        <w:tabs>
          <w:tab w:val="left" w:pos="1985"/>
        </w:tabs>
        <w:spacing w:before="240" w:after="240"/>
        <w:rPr>
          <w:noProof/>
          <w:sz w:val="24"/>
          <w:szCs w:val="24"/>
          <w:lang w:eastAsia="es-CO"/>
        </w:rPr>
      </w:pPr>
      <w:r>
        <w:rPr>
          <w:noProof/>
          <w:sz w:val="24"/>
          <w:szCs w:val="24"/>
          <w:lang w:eastAsia="es-CO"/>
        </w:rPr>
        <w:t xml:space="preserve">1.2.6. </w:t>
      </w:r>
      <w:r w:rsidR="0015373C">
        <w:rPr>
          <w:noProof/>
          <w:sz w:val="24"/>
          <w:szCs w:val="24"/>
          <w:lang w:eastAsia="es-CO"/>
        </w:rPr>
        <w:t xml:space="preserve">La señora Gaviria Betancur informó que, con posterioridad a las actuaciones procesales antes indicadas, presentó dos acciones de tutela en contra de Tribunal Administrativo del Atlántico y de </w:t>
      </w:r>
      <w:r w:rsidR="00AC5A5B">
        <w:rPr>
          <w:noProof/>
          <w:sz w:val="24"/>
          <w:szCs w:val="24"/>
          <w:lang w:eastAsia="es-CO"/>
        </w:rPr>
        <w:t>la Sección Quinta de esta</w:t>
      </w:r>
      <w:r w:rsidR="0015373C">
        <w:rPr>
          <w:noProof/>
          <w:sz w:val="24"/>
          <w:szCs w:val="24"/>
          <w:lang w:eastAsia="es-CO"/>
        </w:rPr>
        <w:t xml:space="preserve"> Corpora</w:t>
      </w:r>
      <w:r w:rsidR="00A27FE4">
        <w:rPr>
          <w:noProof/>
          <w:sz w:val="24"/>
          <w:szCs w:val="24"/>
          <w:lang w:eastAsia="es-CO"/>
        </w:rPr>
        <w:t>ción, con el fin de que dictara</w:t>
      </w:r>
      <w:r w:rsidR="0015373C">
        <w:rPr>
          <w:noProof/>
          <w:sz w:val="24"/>
          <w:szCs w:val="24"/>
          <w:lang w:eastAsia="es-CO"/>
        </w:rPr>
        <w:t xml:space="preserve"> un nuevo pronunciamiento frente a la solicitud de inaplicación de la sación por desacato. Según indicó, ambas acciones fueron negadas</w:t>
      </w:r>
      <w:r w:rsidR="002E029B">
        <w:rPr>
          <w:noProof/>
          <w:sz w:val="24"/>
          <w:szCs w:val="24"/>
          <w:lang w:eastAsia="es-CO"/>
        </w:rPr>
        <w:t xml:space="preserve"> </w:t>
      </w:r>
      <w:r w:rsidR="0015373C">
        <w:rPr>
          <w:noProof/>
          <w:sz w:val="24"/>
          <w:szCs w:val="24"/>
          <w:lang w:eastAsia="es-CO"/>
        </w:rPr>
        <w:t xml:space="preserve">y en ninguna de ellas se discutieron los hechos que son </w:t>
      </w:r>
      <w:r w:rsidR="00A27FE4">
        <w:rPr>
          <w:noProof/>
          <w:sz w:val="24"/>
          <w:szCs w:val="24"/>
          <w:lang w:eastAsia="es-CO"/>
        </w:rPr>
        <w:t>o</w:t>
      </w:r>
      <w:r w:rsidR="0015373C">
        <w:rPr>
          <w:noProof/>
          <w:sz w:val="24"/>
          <w:szCs w:val="24"/>
          <w:lang w:eastAsia="es-CO"/>
        </w:rPr>
        <w:t xml:space="preserve">bjeto de la presente solicitud. </w:t>
      </w:r>
    </w:p>
    <w:p w14:paraId="1A075D0C" w14:textId="3E455CDB" w:rsidR="0015373C" w:rsidRDefault="0015373C" w:rsidP="001E19FB">
      <w:pPr>
        <w:widowControl w:val="0"/>
        <w:tabs>
          <w:tab w:val="left" w:pos="1985"/>
        </w:tabs>
        <w:spacing w:before="240" w:after="240"/>
        <w:rPr>
          <w:bCs/>
          <w:noProof/>
          <w:sz w:val="24"/>
          <w:szCs w:val="24"/>
          <w:lang w:eastAsia="es-CO"/>
        </w:rPr>
      </w:pPr>
      <w:r>
        <w:rPr>
          <w:noProof/>
          <w:sz w:val="24"/>
          <w:szCs w:val="24"/>
          <w:lang w:eastAsia="es-CO"/>
        </w:rPr>
        <w:t xml:space="preserve">1.2.6.1. </w:t>
      </w:r>
      <w:r w:rsidR="00A27FE4">
        <w:rPr>
          <w:noProof/>
          <w:sz w:val="24"/>
          <w:szCs w:val="24"/>
          <w:lang w:eastAsia="es-CO"/>
        </w:rPr>
        <w:t>La</w:t>
      </w:r>
      <w:r>
        <w:rPr>
          <w:noProof/>
          <w:sz w:val="24"/>
          <w:szCs w:val="24"/>
          <w:lang w:eastAsia="es-CO"/>
        </w:rPr>
        <w:t xml:space="preserve"> primera acción de tutela </w:t>
      </w:r>
      <w:r w:rsidR="00AC5A5B">
        <w:rPr>
          <w:noProof/>
          <w:sz w:val="24"/>
          <w:szCs w:val="24"/>
          <w:lang w:eastAsia="es-CO"/>
        </w:rPr>
        <w:t xml:space="preserve">fue instaurada </w:t>
      </w:r>
      <w:r w:rsidR="00D3704D">
        <w:rPr>
          <w:noProof/>
          <w:sz w:val="24"/>
          <w:szCs w:val="24"/>
          <w:lang w:eastAsia="es-CO"/>
        </w:rPr>
        <w:t xml:space="preserve">el 25 de mayo de 2017, e </w:t>
      </w:r>
      <w:r>
        <w:rPr>
          <w:noProof/>
          <w:sz w:val="24"/>
          <w:szCs w:val="24"/>
          <w:lang w:eastAsia="es-CO"/>
        </w:rPr>
        <w:t xml:space="preserve">identificada con el número de radicado </w:t>
      </w:r>
      <w:r w:rsidR="00C15E60" w:rsidRPr="00C15E60">
        <w:rPr>
          <w:bCs/>
          <w:noProof/>
          <w:sz w:val="24"/>
          <w:szCs w:val="24"/>
          <w:lang w:eastAsia="es-CO"/>
        </w:rPr>
        <w:t>11001</w:t>
      </w:r>
      <w:r w:rsidR="00C15E60">
        <w:rPr>
          <w:bCs/>
          <w:noProof/>
          <w:sz w:val="24"/>
          <w:szCs w:val="24"/>
          <w:lang w:eastAsia="es-CO"/>
        </w:rPr>
        <w:t>-</w:t>
      </w:r>
      <w:r w:rsidR="00C15E60" w:rsidRPr="00C15E60">
        <w:rPr>
          <w:bCs/>
          <w:noProof/>
          <w:sz w:val="24"/>
          <w:szCs w:val="24"/>
          <w:lang w:eastAsia="es-CO"/>
        </w:rPr>
        <w:t>03</w:t>
      </w:r>
      <w:r w:rsidR="00C15E60">
        <w:rPr>
          <w:bCs/>
          <w:noProof/>
          <w:sz w:val="24"/>
          <w:szCs w:val="24"/>
          <w:lang w:eastAsia="es-CO"/>
        </w:rPr>
        <w:t>-</w:t>
      </w:r>
      <w:r w:rsidR="00C15E60" w:rsidRPr="00C15E60">
        <w:rPr>
          <w:bCs/>
          <w:noProof/>
          <w:sz w:val="24"/>
          <w:szCs w:val="24"/>
          <w:lang w:eastAsia="es-CO"/>
        </w:rPr>
        <w:t>15</w:t>
      </w:r>
      <w:r w:rsidR="00C15E60">
        <w:rPr>
          <w:bCs/>
          <w:noProof/>
          <w:sz w:val="24"/>
          <w:szCs w:val="24"/>
          <w:lang w:eastAsia="es-CO"/>
        </w:rPr>
        <w:t>-</w:t>
      </w:r>
      <w:r w:rsidR="00C15E60" w:rsidRPr="00C15E60">
        <w:rPr>
          <w:bCs/>
          <w:noProof/>
          <w:sz w:val="24"/>
          <w:szCs w:val="24"/>
          <w:lang w:eastAsia="es-CO"/>
        </w:rPr>
        <w:t>000</w:t>
      </w:r>
      <w:r w:rsidR="00C15E60">
        <w:rPr>
          <w:bCs/>
          <w:noProof/>
          <w:sz w:val="24"/>
          <w:szCs w:val="24"/>
          <w:lang w:eastAsia="es-CO"/>
        </w:rPr>
        <w:t>-</w:t>
      </w:r>
      <w:r w:rsidR="00C15E60" w:rsidRPr="00C15E60">
        <w:rPr>
          <w:bCs/>
          <w:noProof/>
          <w:sz w:val="24"/>
          <w:szCs w:val="24"/>
          <w:lang w:eastAsia="es-CO"/>
        </w:rPr>
        <w:t>2017</w:t>
      </w:r>
      <w:r w:rsidR="00C15E60">
        <w:rPr>
          <w:bCs/>
          <w:noProof/>
          <w:sz w:val="24"/>
          <w:szCs w:val="24"/>
          <w:lang w:eastAsia="es-CO"/>
        </w:rPr>
        <w:t>-</w:t>
      </w:r>
      <w:r w:rsidR="00C15E60" w:rsidRPr="00C15E60">
        <w:rPr>
          <w:bCs/>
          <w:noProof/>
          <w:sz w:val="24"/>
          <w:szCs w:val="24"/>
          <w:lang w:eastAsia="es-CO"/>
        </w:rPr>
        <w:t>01343</w:t>
      </w:r>
      <w:r w:rsidR="00C15E60">
        <w:rPr>
          <w:bCs/>
          <w:noProof/>
          <w:sz w:val="24"/>
          <w:szCs w:val="24"/>
          <w:lang w:eastAsia="es-CO"/>
        </w:rPr>
        <w:t>-</w:t>
      </w:r>
      <w:r w:rsidR="00C15E60" w:rsidRPr="00C15E60">
        <w:rPr>
          <w:bCs/>
          <w:noProof/>
          <w:sz w:val="24"/>
          <w:szCs w:val="24"/>
          <w:lang w:eastAsia="es-CO"/>
        </w:rPr>
        <w:t>00</w:t>
      </w:r>
      <w:r w:rsidR="00C15E60">
        <w:rPr>
          <w:bCs/>
          <w:noProof/>
          <w:sz w:val="24"/>
          <w:szCs w:val="24"/>
          <w:lang w:eastAsia="es-CO"/>
        </w:rPr>
        <w:t>/01</w:t>
      </w:r>
      <w:r w:rsidR="00C15E60">
        <w:rPr>
          <w:rStyle w:val="Refdenotaalpie"/>
          <w:bCs/>
          <w:noProof/>
          <w:sz w:val="24"/>
          <w:szCs w:val="24"/>
          <w:lang w:eastAsia="es-CO"/>
        </w:rPr>
        <w:footnoteReference w:id="13"/>
      </w:r>
      <w:r w:rsidR="00C15E60">
        <w:rPr>
          <w:bCs/>
          <w:noProof/>
          <w:sz w:val="24"/>
          <w:szCs w:val="24"/>
          <w:lang w:eastAsia="es-CO"/>
        </w:rPr>
        <w:t xml:space="preserve">. En aquella oportunidad, su conocimiento correspondió a la Sección Primera del Consejo de Estado, autoridad que </w:t>
      </w:r>
      <w:r w:rsidR="00A27FE4">
        <w:rPr>
          <w:bCs/>
          <w:noProof/>
          <w:sz w:val="24"/>
          <w:szCs w:val="24"/>
          <w:lang w:eastAsia="es-CO"/>
        </w:rPr>
        <w:t>en</w:t>
      </w:r>
      <w:r w:rsidR="00C15E60">
        <w:rPr>
          <w:bCs/>
          <w:noProof/>
          <w:sz w:val="24"/>
          <w:szCs w:val="24"/>
          <w:lang w:eastAsia="es-CO"/>
        </w:rPr>
        <w:t xml:space="preserve"> sentencia del 6 de octubre del mismo año, declaró la improcedencia por falta de inmediatez</w:t>
      </w:r>
      <w:r w:rsidR="00C15E60">
        <w:rPr>
          <w:rStyle w:val="Refdenotaalpie"/>
          <w:bCs/>
          <w:noProof/>
          <w:sz w:val="24"/>
          <w:szCs w:val="24"/>
          <w:lang w:eastAsia="es-CO"/>
        </w:rPr>
        <w:footnoteReference w:id="14"/>
      </w:r>
      <w:r w:rsidR="00C15E60">
        <w:rPr>
          <w:bCs/>
          <w:noProof/>
          <w:sz w:val="24"/>
          <w:szCs w:val="24"/>
          <w:lang w:eastAsia="es-CO"/>
        </w:rPr>
        <w:t>. Dicha decisión fue confirmada por la Subsección B de la Sección Segunda de la misma Corporación, en sentencia del 12 de febrero de 2018</w:t>
      </w:r>
      <w:r w:rsidR="00C15E60">
        <w:rPr>
          <w:rStyle w:val="Refdenotaalpie"/>
          <w:bCs/>
          <w:noProof/>
          <w:sz w:val="24"/>
          <w:szCs w:val="24"/>
          <w:lang w:eastAsia="es-CO"/>
        </w:rPr>
        <w:footnoteReference w:id="15"/>
      </w:r>
      <w:r w:rsidR="00EB45D2">
        <w:rPr>
          <w:bCs/>
          <w:noProof/>
          <w:sz w:val="24"/>
          <w:szCs w:val="24"/>
          <w:lang w:eastAsia="es-CO"/>
        </w:rPr>
        <w:t xml:space="preserve">. </w:t>
      </w:r>
    </w:p>
    <w:p w14:paraId="27894311" w14:textId="651F00B6" w:rsidR="003A6CE9" w:rsidRPr="00C15E60" w:rsidRDefault="003A6CE9" w:rsidP="001E19FB">
      <w:pPr>
        <w:widowControl w:val="0"/>
        <w:tabs>
          <w:tab w:val="left" w:pos="1985"/>
        </w:tabs>
        <w:spacing w:before="240" w:after="240"/>
        <w:rPr>
          <w:noProof/>
          <w:sz w:val="24"/>
          <w:szCs w:val="24"/>
          <w:lang w:eastAsia="es-CO"/>
        </w:rPr>
      </w:pPr>
      <w:r>
        <w:rPr>
          <w:bCs/>
          <w:noProof/>
          <w:sz w:val="24"/>
          <w:szCs w:val="24"/>
          <w:lang w:eastAsia="es-CO"/>
        </w:rPr>
        <w:t xml:space="preserve">1.2.6.2. La segunda acción de tutela fue radicada </w:t>
      </w:r>
      <w:r w:rsidR="00411D96">
        <w:rPr>
          <w:bCs/>
          <w:noProof/>
          <w:sz w:val="24"/>
          <w:szCs w:val="24"/>
          <w:lang w:eastAsia="es-CO"/>
        </w:rPr>
        <w:t>el 17 de diciembre de 2020</w:t>
      </w:r>
      <w:r w:rsidR="00411D96">
        <w:rPr>
          <w:rStyle w:val="Refdenotaalpie"/>
          <w:bCs/>
          <w:noProof/>
          <w:sz w:val="24"/>
          <w:szCs w:val="24"/>
          <w:lang w:eastAsia="es-CO"/>
        </w:rPr>
        <w:footnoteReference w:id="16"/>
      </w:r>
      <w:r w:rsidR="00A27FE4">
        <w:rPr>
          <w:bCs/>
          <w:noProof/>
          <w:sz w:val="24"/>
          <w:szCs w:val="24"/>
          <w:lang w:eastAsia="es-CO"/>
        </w:rPr>
        <w:t xml:space="preserve"> </w:t>
      </w:r>
      <w:r w:rsidR="00411D96">
        <w:rPr>
          <w:bCs/>
          <w:noProof/>
          <w:sz w:val="24"/>
          <w:szCs w:val="24"/>
          <w:lang w:eastAsia="es-CO"/>
        </w:rPr>
        <w:t xml:space="preserve">y se </w:t>
      </w:r>
      <w:r w:rsidR="002E029B">
        <w:rPr>
          <w:bCs/>
          <w:noProof/>
          <w:sz w:val="24"/>
          <w:szCs w:val="24"/>
          <w:lang w:eastAsia="es-CO"/>
        </w:rPr>
        <w:t xml:space="preserve">le </w:t>
      </w:r>
      <w:r w:rsidR="00411D96">
        <w:rPr>
          <w:bCs/>
          <w:noProof/>
          <w:sz w:val="24"/>
          <w:szCs w:val="24"/>
          <w:lang w:eastAsia="es-CO"/>
        </w:rPr>
        <w:t xml:space="preserve">asingó el número de radicado </w:t>
      </w:r>
      <w:r w:rsidR="00411D96" w:rsidRPr="00411D96">
        <w:rPr>
          <w:bCs/>
          <w:noProof/>
          <w:sz w:val="24"/>
          <w:szCs w:val="24"/>
          <w:lang w:eastAsia="es-CO"/>
        </w:rPr>
        <w:t>11001</w:t>
      </w:r>
      <w:r w:rsidR="00411D96">
        <w:rPr>
          <w:bCs/>
          <w:noProof/>
          <w:sz w:val="24"/>
          <w:szCs w:val="24"/>
          <w:lang w:eastAsia="es-CO"/>
        </w:rPr>
        <w:t>-</w:t>
      </w:r>
      <w:r w:rsidR="00411D96" w:rsidRPr="00411D96">
        <w:rPr>
          <w:bCs/>
          <w:noProof/>
          <w:sz w:val="24"/>
          <w:szCs w:val="24"/>
          <w:lang w:eastAsia="es-CO"/>
        </w:rPr>
        <w:t>03</w:t>
      </w:r>
      <w:r w:rsidR="00411D96">
        <w:rPr>
          <w:bCs/>
          <w:noProof/>
          <w:sz w:val="24"/>
          <w:szCs w:val="24"/>
          <w:lang w:eastAsia="es-CO"/>
        </w:rPr>
        <w:t>-</w:t>
      </w:r>
      <w:r w:rsidR="00411D96" w:rsidRPr="00411D96">
        <w:rPr>
          <w:bCs/>
          <w:noProof/>
          <w:sz w:val="24"/>
          <w:szCs w:val="24"/>
          <w:lang w:eastAsia="es-CO"/>
        </w:rPr>
        <w:t>15</w:t>
      </w:r>
      <w:r w:rsidR="00411D96">
        <w:rPr>
          <w:bCs/>
          <w:noProof/>
          <w:sz w:val="24"/>
          <w:szCs w:val="24"/>
          <w:lang w:eastAsia="es-CO"/>
        </w:rPr>
        <w:t>-</w:t>
      </w:r>
      <w:r w:rsidR="00411D96" w:rsidRPr="00411D96">
        <w:rPr>
          <w:bCs/>
          <w:noProof/>
          <w:sz w:val="24"/>
          <w:szCs w:val="24"/>
          <w:lang w:eastAsia="es-CO"/>
        </w:rPr>
        <w:t>000</w:t>
      </w:r>
      <w:r w:rsidR="00411D96">
        <w:rPr>
          <w:bCs/>
          <w:noProof/>
          <w:sz w:val="24"/>
          <w:szCs w:val="24"/>
          <w:lang w:eastAsia="es-CO"/>
        </w:rPr>
        <w:t>-</w:t>
      </w:r>
      <w:r w:rsidR="00411D96" w:rsidRPr="00411D96">
        <w:rPr>
          <w:bCs/>
          <w:noProof/>
          <w:sz w:val="24"/>
          <w:szCs w:val="24"/>
          <w:lang w:eastAsia="es-CO"/>
        </w:rPr>
        <w:t>2021</w:t>
      </w:r>
      <w:r w:rsidR="00411D96">
        <w:rPr>
          <w:bCs/>
          <w:noProof/>
          <w:sz w:val="24"/>
          <w:szCs w:val="24"/>
          <w:lang w:eastAsia="es-CO"/>
        </w:rPr>
        <w:t>-</w:t>
      </w:r>
      <w:r w:rsidR="00411D96" w:rsidRPr="00411D96">
        <w:rPr>
          <w:bCs/>
          <w:noProof/>
          <w:sz w:val="24"/>
          <w:szCs w:val="24"/>
          <w:lang w:eastAsia="es-CO"/>
        </w:rPr>
        <w:t>00054</w:t>
      </w:r>
      <w:r w:rsidR="00411D96">
        <w:rPr>
          <w:bCs/>
          <w:noProof/>
          <w:sz w:val="24"/>
          <w:szCs w:val="24"/>
          <w:lang w:eastAsia="es-CO"/>
        </w:rPr>
        <w:t>-</w:t>
      </w:r>
      <w:r w:rsidR="00411D96" w:rsidRPr="00411D96">
        <w:rPr>
          <w:bCs/>
          <w:noProof/>
          <w:sz w:val="24"/>
          <w:szCs w:val="24"/>
          <w:lang w:eastAsia="es-CO"/>
        </w:rPr>
        <w:t>00</w:t>
      </w:r>
      <w:r w:rsidR="00411D96">
        <w:rPr>
          <w:bCs/>
          <w:noProof/>
          <w:sz w:val="24"/>
          <w:szCs w:val="24"/>
          <w:lang w:eastAsia="es-CO"/>
        </w:rPr>
        <w:t>/01. Dicho asunto fue decidido, en primera instancia, por la Sección Cuarta de esta Corporación, en fallo del 18 de febrero de 2021</w:t>
      </w:r>
      <w:r w:rsidR="00411D96">
        <w:rPr>
          <w:rStyle w:val="Refdenotaalpie"/>
          <w:bCs/>
          <w:noProof/>
          <w:sz w:val="24"/>
          <w:szCs w:val="24"/>
          <w:lang w:eastAsia="es-CO"/>
        </w:rPr>
        <w:footnoteReference w:id="17"/>
      </w:r>
      <w:r w:rsidR="00411D96">
        <w:rPr>
          <w:bCs/>
          <w:noProof/>
          <w:sz w:val="24"/>
          <w:szCs w:val="24"/>
          <w:lang w:eastAsia="es-CO"/>
        </w:rPr>
        <w:t xml:space="preserve">, que declaró la improcedencia </w:t>
      </w:r>
      <w:r w:rsidR="000B1BC8">
        <w:rPr>
          <w:bCs/>
          <w:noProof/>
          <w:sz w:val="24"/>
          <w:szCs w:val="24"/>
          <w:lang w:eastAsia="es-CO"/>
        </w:rPr>
        <w:t xml:space="preserve">ante la existencia de una actuación temeraria </w:t>
      </w:r>
      <w:r w:rsidR="00D3704D">
        <w:rPr>
          <w:bCs/>
          <w:noProof/>
          <w:sz w:val="24"/>
          <w:szCs w:val="24"/>
          <w:lang w:eastAsia="es-CO"/>
        </w:rPr>
        <w:t xml:space="preserve">por parte </w:t>
      </w:r>
      <w:r w:rsidR="000B1BC8">
        <w:rPr>
          <w:bCs/>
          <w:noProof/>
          <w:sz w:val="24"/>
          <w:szCs w:val="24"/>
          <w:lang w:eastAsia="es-CO"/>
        </w:rPr>
        <w:t xml:space="preserve">de la señora Gaviria Betancur, en la medida en que encontró que entre las anteriores peticiones </w:t>
      </w:r>
      <w:r w:rsidR="00A27FE4">
        <w:rPr>
          <w:bCs/>
          <w:noProof/>
          <w:sz w:val="24"/>
          <w:szCs w:val="24"/>
          <w:lang w:eastAsia="es-CO"/>
        </w:rPr>
        <w:t xml:space="preserve">de amparo </w:t>
      </w:r>
      <w:r w:rsidR="000B1BC8">
        <w:rPr>
          <w:bCs/>
          <w:noProof/>
          <w:sz w:val="24"/>
          <w:szCs w:val="24"/>
          <w:lang w:eastAsia="es-CO"/>
        </w:rPr>
        <w:t>(</w:t>
      </w:r>
      <w:r w:rsidR="000B1BC8" w:rsidRPr="00C15E60">
        <w:rPr>
          <w:bCs/>
          <w:noProof/>
          <w:sz w:val="24"/>
          <w:szCs w:val="24"/>
          <w:lang w:eastAsia="es-CO"/>
        </w:rPr>
        <w:t>11001</w:t>
      </w:r>
      <w:r w:rsidR="000B1BC8">
        <w:rPr>
          <w:bCs/>
          <w:noProof/>
          <w:sz w:val="24"/>
          <w:szCs w:val="24"/>
          <w:lang w:eastAsia="es-CO"/>
        </w:rPr>
        <w:t>-</w:t>
      </w:r>
      <w:r w:rsidR="000B1BC8" w:rsidRPr="00C15E60">
        <w:rPr>
          <w:bCs/>
          <w:noProof/>
          <w:sz w:val="24"/>
          <w:szCs w:val="24"/>
          <w:lang w:eastAsia="es-CO"/>
        </w:rPr>
        <w:t>03</w:t>
      </w:r>
      <w:r w:rsidR="000B1BC8">
        <w:rPr>
          <w:bCs/>
          <w:noProof/>
          <w:sz w:val="24"/>
          <w:szCs w:val="24"/>
          <w:lang w:eastAsia="es-CO"/>
        </w:rPr>
        <w:t>-</w:t>
      </w:r>
      <w:r w:rsidR="000B1BC8" w:rsidRPr="00C15E60">
        <w:rPr>
          <w:bCs/>
          <w:noProof/>
          <w:sz w:val="24"/>
          <w:szCs w:val="24"/>
          <w:lang w:eastAsia="es-CO"/>
        </w:rPr>
        <w:t>15</w:t>
      </w:r>
      <w:r w:rsidR="000B1BC8">
        <w:rPr>
          <w:bCs/>
          <w:noProof/>
          <w:sz w:val="24"/>
          <w:szCs w:val="24"/>
          <w:lang w:eastAsia="es-CO"/>
        </w:rPr>
        <w:t>-</w:t>
      </w:r>
      <w:r w:rsidR="000B1BC8" w:rsidRPr="00C15E60">
        <w:rPr>
          <w:bCs/>
          <w:noProof/>
          <w:sz w:val="24"/>
          <w:szCs w:val="24"/>
          <w:lang w:eastAsia="es-CO"/>
        </w:rPr>
        <w:t>000</w:t>
      </w:r>
      <w:r w:rsidR="000B1BC8">
        <w:rPr>
          <w:bCs/>
          <w:noProof/>
          <w:sz w:val="24"/>
          <w:szCs w:val="24"/>
          <w:lang w:eastAsia="es-CO"/>
        </w:rPr>
        <w:t>-</w:t>
      </w:r>
      <w:r w:rsidR="000B1BC8" w:rsidRPr="00C15E60">
        <w:rPr>
          <w:bCs/>
          <w:noProof/>
          <w:sz w:val="24"/>
          <w:szCs w:val="24"/>
          <w:lang w:eastAsia="es-CO"/>
        </w:rPr>
        <w:t>2017</w:t>
      </w:r>
      <w:r w:rsidR="000B1BC8">
        <w:rPr>
          <w:bCs/>
          <w:noProof/>
          <w:sz w:val="24"/>
          <w:szCs w:val="24"/>
          <w:lang w:eastAsia="es-CO"/>
        </w:rPr>
        <w:t>-</w:t>
      </w:r>
      <w:r w:rsidR="000B1BC8" w:rsidRPr="00C15E60">
        <w:rPr>
          <w:bCs/>
          <w:noProof/>
          <w:sz w:val="24"/>
          <w:szCs w:val="24"/>
          <w:lang w:eastAsia="es-CO"/>
        </w:rPr>
        <w:t>01343</w:t>
      </w:r>
      <w:r w:rsidR="000B1BC8">
        <w:rPr>
          <w:bCs/>
          <w:noProof/>
          <w:sz w:val="24"/>
          <w:szCs w:val="24"/>
          <w:lang w:eastAsia="es-CO"/>
        </w:rPr>
        <w:t>-</w:t>
      </w:r>
      <w:r w:rsidR="000B1BC8" w:rsidRPr="00C15E60">
        <w:rPr>
          <w:bCs/>
          <w:noProof/>
          <w:sz w:val="24"/>
          <w:szCs w:val="24"/>
          <w:lang w:eastAsia="es-CO"/>
        </w:rPr>
        <w:t>00</w:t>
      </w:r>
      <w:r w:rsidR="000B1BC8">
        <w:rPr>
          <w:bCs/>
          <w:noProof/>
          <w:sz w:val="24"/>
          <w:szCs w:val="24"/>
          <w:lang w:eastAsia="es-CO"/>
        </w:rPr>
        <w:t xml:space="preserve">/01 y </w:t>
      </w:r>
      <w:r w:rsidR="000B1BC8" w:rsidRPr="00411D96">
        <w:rPr>
          <w:bCs/>
          <w:noProof/>
          <w:sz w:val="24"/>
          <w:szCs w:val="24"/>
          <w:lang w:eastAsia="es-CO"/>
        </w:rPr>
        <w:t>11001</w:t>
      </w:r>
      <w:r w:rsidR="000B1BC8">
        <w:rPr>
          <w:bCs/>
          <w:noProof/>
          <w:sz w:val="24"/>
          <w:szCs w:val="24"/>
          <w:lang w:eastAsia="es-CO"/>
        </w:rPr>
        <w:t>-</w:t>
      </w:r>
      <w:r w:rsidR="000B1BC8" w:rsidRPr="00411D96">
        <w:rPr>
          <w:bCs/>
          <w:noProof/>
          <w:sz w:val="24"/>
          <w:szCs w:val="24"/>
          <w:lang w:eastAsia="es-CO"/>
        </w:rPr>
        <w:t>03</w:t>
      </w:r>
      <w:r w:rsidR="000B1BC8">
        <w:rPr>
          <w:bCs/>
          <w:noProof/>
          <w:sz w:val="24"/>
          <w:szCs w:val="24"/>
          <w:lang w:eastAsia="es-CO"/>
        </w:rPr>
        <w:t>-</w:t>
      </w:r>
      <w:r w:rsidR="000B1BC8" w:rsidRPr="00411D96">
        <w:rPr>
          <w:bCs/>
          <w:noProof/>
          <w:sz w:val="24"/>
          <w:szCs w:val="24"/>
          <w:lang w:eastAsia="es-CO"/>
        </w:rPr>
        <w:t>15</w:t>
      </w:r>
      <w:r w:rsidR="000B1BC8">
        <w:rPr>
          <w:bCs/>
          <w:noProof/>
          <w:sz w:val="24"/>
          <w:szCs w:val="24"/>
          <w:lang w:eastAsia="es-CO"/>
        </w:rPr>
        <w:t>-</w:t>
      </w:r>
      <w:r w:rsidR="000B1BC8" w:rsidRPr="00411D96">
        <w:rPr>
          <w:bCs/>
          <w:noProof/>
          <w:sz w:val="24"/>
          <w:szCs w:val="24"/>
          <w:lang w:eastAsia="es-CO"/>
        </w:rPr>
        <w:t>000</w:t>
      </w:r>
      <w:r w:rsidR="000B1BC8">
        <w:rPr>
          <w:bCs/>
          <w:noProof/>
          <w:sz w:val="24"/>
          <w:szCs w:val="24"/>
          <w:lang w:eastAsia="es-CO"/>
        </w:rPr>
        <w:t>-</w:t>
      </w:r>
      <w:r w:rsidR="000B1BC8" w:rsidRPr="00411D96">
        <w:rPr>
          <w:bCs/>
          <w:noProof/>
          <w:sz w:val="24"/>
          <w:szCs w:val="24"/>
          <w:lang w:eastAsia="es-CO"/>
        </w:rPr>
        <w:t>2021</w:t>
      </w:r>
      <w:r w:rsidR="000B1BC8">
        <w:rPr>
          <w:bCs/>
          <w:noProof/>
          <w:sz w:val="24"/>
          <w:szCs w:val="24"/>
          <w:lang w:eastAsia="es-CO"/>
        </w:rPr>
        <w:t>-</w:t>
      </w:r>
      <w:r w:rsidR="000B1BC8" w:rsidRPr="00411D96">
        <w:rPr>
          <w:bCs/>
          <w:noProof/>
          <w:sz w:val="24"/>
          <w:szCs w:val="24"/>
          <w:lang w:eastAsia="es-CO"/>
        </w:rPr>
        <w:t>00054</w:t>
      </w:r>
      <w:r w:rsidR="000B1BC8">
        <w:rPr>
          <w:bCs/>
          <w:noProof/>
          <w:sz w:val="24"/>
          <w:szCs w:val="24"/>
          <w:lang w:eastAsia="es-CO"/>
        </w:rPr>
        <w:t>-</w:t>
      </w:r>
      <w:r w:rsidR="000B1BC8" w:rsidRPr="00411D96">
        <w:rPr>
          <w:bCs/>
          <w:noProof/>
          <w:sz w:val="24"/>
          <w:szCs w:val="24"/>
          <w:lang w:eastAsia="es-CO"/>
        </w:rPr>
        <w:t>00</w:t>
      </w:r>
      <w:r w:rsidR="000B1BC8">
        <w:rPr>
          <w:bCs/>
          <w:noProof/>
          <w:sz w:val="24"/>
          <w:szCs w:val="24"/>
          <w:lang w:eastAsia="es-CO"/>
        </w:rPr>
        <w:t xml:space="preserve">/01) había identidad de partes, hechos y pretensiones. Esta decisión fue modificada en segunda instancia por la Subsección B de la Sección Tercera de la misma Corporación, en </w:t>
      </w:r>
      <w:r w:rsidR="00A27FE4">
        <w:rPr>
          <w:bCs/>
          <w:noProof/>
          <w:sz w:val="24"/>
          <w:szCs w:val="24"/>
          <w:lang w:eastAsia="es-CO"/>
        </w:rPr>
        <w:t>providencia</w:t>
      </w:r>
      <w:r w:rsidR="000B1BC8">
        <w:rPr>
          <w:bCs/>
          <w:noProof/>
          <w:sz w:val="24"/>
          <w:szCs w:val="24"/>
          <w:lang w:eastAsia="es-CO"/>
        </w:rPr>
        <w:t xml:space="preserve"> del 9 de abril del mismo año</w:t>
      </w:r>
      <w:r w:rsidR="000B1BC8">
        <w:rPr>
          <w:rStyle w:val="Refdenotaalpie"/>
          <w:bCs/>
          <w:noProof/>
          <w:sz w:val="24"/>
          <w:szCs w:val="24"/>
          <w:lang w:eastAsia="es-CO"/>
        </w:rPr>
        <w:footnoteReference w:id="18"/>
      </w:r>
      <w:r w:rsidR="000B1BC8">
        <w:rPr>
          <w:bCs/>
          <w:noProof/>
          <w:sz w:val="24"/>
          <w:szCs w:val="24"/>
          <w:lang w:eastAsia="es-CO"/>
        </w:rPr>
        <w:t>, en el sentido</w:t>
      </w:r>
      <w:r w:rsidR="00AC5A5B">
        <w:rPr>
          <w:bCs/>
          <w:noProof/>
          <w:sz w:val="24"/>
          <w:szCs w:val="24"/>
          <w:lang w:eastAsia="es-CO"/>
        </w:rPr>
        <w:t xml:space="preserve"> de declarar que en el caso hab</w:t>
      </w:r>
      <w:r w:rsidR="00D3704D">
        <w:rPr>
          <w:bCs/>
          <w:noProof/>
          <w:sz w:val="24"/>
          <w:szCs w:val="24"/>
          <w:lang w:eastAsia="es-CO"/>
        </w:rPr>
        <w:t>í</w:t>
      </w:r>
      <w:r w:rsidR="00AC5A5B">
        <w:rPr>
          <w:bCs/>
          <w:noProof/>
          <w:sz w:val="24"/>
          <w:szCs w:val="24"/>
          <w:lang w:eastAsia="es-CO"/>
        </w:rPr>
        <w:t>a operado la cosa juzgada constitucional.</w:t>
      </w:r>
    </w:p>
    <w:p w14:paraId="57DEB55F" w14:textId="6A9A64BA" w:rsidR="00A03F7E" w:rsidRDefault="0015373C" w:rsidP="001E19FB">
      <w:pPr>
        <w:widowControl w:val="0"/>
        <w:tabs>
          <w:tab w:val="left" w:pos="1985"/>
        </w:tabs>
        <w:spacing w:before="240" w:after="240"/>
        <w:rPr>
          <w:noProof/>
          <w:sz w:val="24"/>
          <w:szCs w:val="24"/>
          <w:lang w:eastAsia="es-CO"/>
        </w:rPr>
      </w:pPr>
      <w:r>
        <w:rPr>
          <w:noProof/>
          <w:sz w:val="24"/>
          <w:szCs w:val="24"/>
          <w:lang w:eastAsia="es-CO"/>
        </w:rPr>
        <w:t xml:space="preserve">1.2.7. </w:t>
      </w:r>
      <w:r w:rsidR="00762C66">
        <w:rPr>
          <w:noProof/>
          <w:sz w:val="24"/>
          <w:szCs w:val="24"/>
          <w:lang w:eastAsia="es-CO"/>
        </w:rPr>
        <w:t>L</w:t>
      </w:r>
      <w:r w:rsidR="00696EEB">
        <w:rPr>
          <w:noProof/>
          <w:sz w:val="24"/>
          <w:szCs w:val="24"/>
          <w:lang w:eastAsia="es-CO"/>
        </w:rPr>
        <w:t>uego, l</w:t>
      </w:r>
      <w:r w:rsidR="00762C66">
        <w:rPr>
          <w:noProof/>
          <w:sz w:val="24"/>
          <w:szCs w:val="24"/>
          <w:lang w:eastAsia="es-CO"/>
        </w:rPr>
        <w:t xml:space="preserve">a UARIV </w:t>
      </w:r>
      <w:r w:rsidR="00B53015">
        <w:rPr>
          <w:noProof/>
          <w:sz w:val="24"/>
          <w:szCs w:val="24"/>
          <w:lang w:eastAsia="es-CO"/>
        </w:rPr>
        <w:t>radicó ant</w:t>
      </w:r>
      <w:r w:rsidR="001E4F32">
        <w:rPr>
          <w:noProof/>
          <w:sz w:val="24"/>
          <w:szCs w:val="24"/>
          <w:lang w:eastAsia="es-CO"/>
        </w:rPr>
        <w:t xml:space="preserve">e el Tribunal Administrativo del Atántico </w:t>
      </w:r>
      <w:r w:rsidR="00B53015">
        <w:rPr>
          <w:noProof/>
          <w:sz w:val="24"/>
          <w:szCs w:val="24"/>
          <w:lang w:eastAsia="es-CO"/>
        </w:rPr>
        <w:t>varias</w:t>
      </w:r>
      <w:r w:rsidR="00762C66">
        <w:rPr>
          <w:noProof/>
          <w:sz w:val="24"/>
          <w:szCs w:val="24"/>
          <w:lang w:eastAsia="es-CO"/>
        </w:rPr>
        <w:t xml:space="preserve"> solicitud</w:t>
      </w:r>
      <w:r w:rsidR="00B53015">
        <w:rPr>
          <w:noProof/>
          <w:sz w:val="24"/>
          <w:szCs w:val="24"/>
          <w:lang w:eastAsia="es-CO"/>
        </w:rPr>
        <w:t>es</w:t>
      </w:r>
      <w:r w:rsidR="00762C66">
        <w:rPr>
          <w:noProof/>
          <w:sz w:val="24"/>
          <w:szCs w:val="24"/>
          <w:lang w:eastAsia="es-CO"/>
        </w:rPr>
        <w:t xml:space="preserve"> en el sentido de </w:t>
      </w:r>
      <w:r w:rsidR="00D3704D">
        <w:rPr>
          <w:noProof/>
          <w:sz w:val="24"/>
          <w:szCs w:val="24"/>
          <w:lang w:eastAsia="es-CO"/>
        </w:rPr>
        <w:t xml:space="preserve">que se levantara la sanción y se declarara el </w:t>
      </w:r>
      <w:r w:rsidR="00D3704D">
        <w:rPr>
          <w:noProof/>
          <w:sz w:val="24"/>
          <w:szCs w:val="24"/>
          <w:lang w:eastAsia="es-CO"/>
        </w:rPr>
        <w:lastRenderedPageBreak/>
        <w:t>cumplimiento del fallo</w:t>
      </w:r>
      <w:r w:rsidR="00762C66">
        <w:rPr>
          <w:noProof/>
          <w:sz w:val="24"/>
          <w:szCs w:val="24"/>
          <w:lang w:eastAsia="es-CO"/>
        </w:rPr>
        <w:t>, y dicha autoridad judicial resolvió</w:t>
      </w:r>
      <w:r w:rsidR="00B53015">
        <w:rPr>
          <w:noProof/>
          <w:sz w:val="24"/>
          <w:szCs w:val="24"/>
          <w:lang w:eastAsia="es-CO"/>
        </w:rPr>
        <w:t xml:space="preserve">, en </w:t>
      </w:r>
      <w:r w:rsidR="00D3704D">
        <w:rPr>
          <w:noProof/>
          <w:sz w:val="24"/>
          <w:szCs w:val="24"/>
          <w:lang w:eastAsia="es-CO"/>
        </w:rPr>
        <w:t>cada una</w:t>
      </w:r>
      <w:r w:rsidR="00B53015">
        <w:rPr>
          <w:noProof/>
          <w:sz w:val="24"/>
          <w:szCs w:val="24"/>
          <w:lang w:eastAsia="es-CO"/>
        </w:rPr>
        <w:t xml:space="preserve"> de ellas,</w:t>
      </w:r>
      <w:r w:rsidR="00762C66">
        <w:rPr>
          <w:noProof/>
          <w:sz w:val="24"/>
          <w:szCs w:val="24"/>
          <w:lang w:eastAsia="es-CO"/>
        </w:rPr>
        <w:t xml:space="preserve"> estarse a lo </w:t>
      </w:r>
      <w:r w:rsidR="00D3704D">
        <w:rPr>
          <w:noProof/>
          <w:sz w:val="24"/>
          <w:szCs w:val="24"/>
          <w:lang w:eastAsia="es-CO"/>
        </w:rPr>
        <w:t>resuelto</w:t>
      </w:r>
      <w:r w:rsidR="00762C66">
        <w:rPr>
          <w:noProof/>
          <w:sz w:val="24"/>
          <w:szCs w:val="24"/>
          <w:lang w:eastAsia="es-CO"/>
        </w:rPr>
        <w:t xml:space="preserve"> en el proveído del 10 de noviembre 2016</w:t>
      </w:r>
      <w:r w:rsidR="00B53015">
        <w:rPr>
          <w:rStyle w:val="Refdenotaalpie"/>
          <w:noProof/>
          <w:sz w:val="24"/>
          <w:szCs w:val="24"/>
          <w:lang w:eastAsia="es-CO"/>
        </w:rPr>
        <w:footnoteReference w:id="19"/>
      </w:r>
      <w:r w:rsidR="00B53015">
        <w:rPr>
          <w:noProof/>
          <w:sz w:val="24"/>
          <w:szCs w:val="24"/>
          <w:lang w:eastAsia="es-CO"/>
        </w:rPr>
        <w:t xml:space="preserve">, </w:t>
      </w:r>
      <w:r w:rsidR="00D3704D">
        <w:rPr>
          <w:noProof/>
          <w:sz w:val="24"/>
          <w:szCs w:val="24"/>
          <w:lang w:eastAsia="es-CO"/>
        </w:rPr>
        <w:t>pues</w:t>
      </w:r>
      <w:r w:rsidR="00B53015">
        <w:rPr>
          <w:noProof/>
          <w:sz w:val="24"/>
          <w:szCs w:val="24"/>
          <w:lang w:eastAsia="es-CO"/>
        </w:rPr>
        <w:t xml:space="preserve"> ya había dictado un pronunciamiento al respecto.</w:t>
      </w:r>
    </w:p>
    <w:p w14:paraId="15E0E152" w14:textId="77777777" w:rsidR="00174B73" w:rsidRDefault="0015373C" w:rsidP="00576FBC">
      <w:pPr>
        <w:widowControl w:val="0"/>
        <w:tabs>
          <w:tab w:val="left" w:pos="1985"/>
        </w:tabs>
        <w:spacing w:before="240" w:after="240"/>
        <w:rPr>
          <w:sz w:val="24"/>
          <w:szCs w:val="24"/>
        </w:rPr>
      </w:pPr>
      <w:r>
        <w:rPr>
          <w:sz w:val="24"/>
          <w:szCs w:val="24"/>
        </w:rPr>
        <w:t xml:space="preserve">1.2.8. </w:t>
      </w:r>
      <w:r w:rsidR="005917B0">
        <w:rPr>
          <w:noProof/>
          <w:sz w:val="24"/>
          <w:szCs w:val="24"/>
          <w:lang w:eastAsia="es-CO"/>
        </w:rPr>
        <w:t xml:space="preserve">La señora Gaviria Betancur informó que fue requerida por la </w:t>
      </w:r>
      <w:r w:rsidR="00576FBC">
        <w:rPr>
          <w:bCs/>
          <w:sz w:val="24"/>
          <w:szCs w:val="24"/>
        </w:rPr>
        <w:t xml:space="preserve">Dirección Seccional de Administración Judicial de Barranquilla, con ocasión del proceso de cobro coactivo identificado con número de radicado </w:t>
      </w:r>
      <w:r w:rsidR="00576FBC" w:rsidRPr="002A2472">
        <w:rPr>
          <w:sz w:val="24"/>
          <w:szCs w:val="24"/>
        </w:rPr>
        <w:t>8001129000020180012100</w:t>
      </w:r>
      <w:r w:rsidR="00576FBC">
        <w:rPr>
          <w:sz w:val="24"/>
          <w:szCs w:val="24"/>
        </w:rPr>
        <w:t xml:space="preserve"> que fue adelantado en su contra </w:t>
      </w:r>
      <w:r w:rsidR="00131027">
        <w:rPr>
          <w:sz w:val="24"/>
          <w:szCs w:val="24"/>
        </w:rPr>
        <w:t>para</w:t>
      </w:r>
      <w:r w:rsidR="00576FBC">
        <w:rPr>
          <w:sz w:val="24"/>
          <w:szCs w:val="24"/>
        </w:rPr>
        <w:t xml:space="preserve"> que cancelara la sanción impuesta en el incidente de desacato. </w:t>
      </w:r>
    </w:p>
    <w:p w14:paraId="6F30B82A" w14:textId="385F0D07" w:rsidR="00174B73" w:rsidRDefault="00576FBC" w:rsidP="00576FBC">
      <w:pPr>
        <w:widowControl w:val="0"/>
        <w:tabs>
          <w:tab w:val="left" w:pos="1985"/>
        </w:tabs>
        <w:spacing w:before="240" w:after="240"/>
        <w:rPr>
          <w:sz w:val="24"/>
          <w:szCs w:val="24"/>
        </w:rPr>
      </w:pPr>
      <w:r>
        <w:rPr>
          <w:sz w:val="24"/>
          <w:szCs w:val="24"/>
        </w:rPr>
        <w:t>Por esa razón, presentó una petición el 9 de marzo de 2022</w:t>
      </w:r>
      <w:r>
        <w:rPr>
          <w:rStyle w:val="Refdenotaalpie"/>
          <w:sz w:val="24"/>
          <w:szCs w:val="24"/>
        </w:rPr>
        <w:footnoteReference w:id="20"/>
      </w:r>
      <w:r>
        <w:rPr>
          <w:sz w:val="24"/>
          <w:szCs w:val="24"/>
        </w:rPr>
        <w:t xml:space="preserve"> ante el Tribunal Administrativo del Atlántico con el fin de </w:t>
      </w:r>
      <w:r w:rsidR="00670CB6">
        <w:rPr>
          <w:sz w:val="24"/>
          <w:szCs w:val="24"/>
        </w:rPr>
        <w:t>que</w:t>
      </w:r>
      <w:r w:rsidR="00131027">
        <w:rPr>
          <w:sz w:val="24"/>
          <w:szCs w:val="24"/>
        </w:rPr>
        <w:t>: (i)</w:t>
      </w:r>
      <w:r>
        <w:rPr>
          <w:sz w:val="24"/>
          <w:szCs w:val="24"/>
        </w:rPr>
        <w:t xml:space="preserve"> </w:t>
      </w:r>
      <w:r w:rsidR="00152660">
        <w:rPr>
          <w:sz w:val="24"/>
          <w:szCs w:val="24"/>
        </w:rPr>
        <w:t xml:space="preserve">decretara la pérdida de fuerza ejecutoria de la </w:t>
      </w:r>
      <w:r w:rsidR="00131027">
        <w:rPr>
          <w:sz w:val="24"/>
          <w:szCs w:val="24"/>
        </w:rPr>
        <w:t>providencia</w:t>
      </w:r>
      <w:r w:rsidR="00152660">
        <w:rPr>
          <w:sz w:val="24"/>
          <w:szCs w:val="24"/>
        </w:rPr>
        <w:t xml:space="preserve"> </w:t>
      </w:r>
      <w:r w:rsidR="00131027">
        <w:rPr>
          <w:sz w:val="24"/>
          <w:szCs w:val="24"/>
        </w:rPr>
        <w:t>dictada el 8 de junio de 2016</w:t>
      </w:r>
      <w:r w:rsidR="00152660">
        <w:rPr>
          <w:sz w:val="24"/>
          <w:szCs w:val="24"/>
        </w:rPr>
        <w:t xml:space="preserve"> por la Sección </w:t>
      </w:r>
      <w:r w:rsidR="00131027">
        <w:rPr>
          <w:sz w:val="24"/>
          <w:szCs w:val="24"/>
        </w:rPr>
        <w:t>Q</w:t>
      </w:r>
      <w:r w:rsidR="00152660">
        <w:rPr>
          <w:sz w:val="24"/>
          <w:szCs w:val="24"/>
        </w:rPr>
        <w:t>uinta del Consejo de Estado</w:t>
      </w:r>
      <w:r w:rsidR="00131027">
        <w:rPr>
          <w:sz w:val="24"/>
          <w:szCs w:val="24"/>
        </w:rPr>
        <w:t xml:space="preserve"> en </w:t>
      </w:r>
      <w:r w:rsidR="00670CB6">
        <w:rPr>
          <w:sz w:val="24"/>
          <w:szCs w:val="24"/>
        </w:rPr>
        <w:t xml:space="preserve">el </w:t>
      </w:r>
      <w:r w:rsidR="00131027">
        <w:rPr>
          <w:sz w:val="24"/>
          <w:szCs w:val="24"/>
        </w:rPr>
        <w:t>trámite de consulta del incidente de desacato</w:t>
      </w:r>
      <w:r w:rsidR="00670CB6">
        <w:rPr>
          <w:sz w:val="24"/>
          <w:szCs w:val="24"/>
        </w:rPr>
        <w:t xml:space="preserve">; </w:t>
      </w:r>
      <w:r w:rsidR="002E029B">
        <w:rPr>
          <w:sz w:val="24"/>
          <w:szCs w:val="24"/>
        </w:rPr>
        <w:t>e</w:t>
      </w:r>
      <w:r w:rsidR="00131027">
        <w:rPr>
          <w:sz w:val="24"/>
          <w:szCs w:val="24"/>
        </w:rPr>
        <w:t xml:space="preserve"> (ii) informara a la Dirección Ejecutiva de Administración </w:t>
      </w:r>
      <w:r w:rsidR="00174B73">
        <w:rPr>
          <w:sz w:val="24"/>
          <w:szCs w:val="24"/>
        </w:rPr>
        <w:t xml:space="preserve">Judicial que no había lugar al pago de la sanción </w:t>
      </w:r>
      <w:r w:rsidR="00670CB6">
        <w:rPr>
          <w:sz w:val="24"/>
          <w:szCs w:val="24"/>
        </w:rPr>
        <w:t>puesto que</w:t>
      </w:r>
      <w:r w:rsidR="00174B73">
        <w:rPr>
          <w:sz w:val="24"/>
          <w:szCs w:val="24"/>
        </w:rPr>
        <w:t xml:space="preserve"> el fallo había sido cumplido.</w:t>
      </w:r>
    </w:p>
    <w:p w14:paraId="3B1617FF" w14:textId="1ED46350" w:rsidR="00174B73" w:rsidRPr="00576FBC" w:rsidRDefault="0015373C" w:rsidP="00576FBC">
      <w:pPr>
        <w:widowControl w:val="0"/>
        <w:tabs>
          <w:tab w:val="left" w:pos="1985"/>
        </w:tabs>
        <w:spacing w:before="240" w:after="240"/>
        <w:rPr>
          <w:sz w:val="24"/>
          <w:szCs w:val="24"/>
        </w:rPr>
      </w:pPr>
      <w:r>
        <w:rPr>
          <w:sz w:val="24"/>
          <w:szCs w:val="24"/>
        </w:rPr>
        <w:t xml:space="preserve">1.2.9. </w:t>
      </w:r>
      <w:r w:rsidR="00174B73">
        <w:rPr>
          <w:sz w:val="24"/>
          <w:szCs w:val="24"/>
        </w:rPr>
        <w:t>El Tribunal Administrativo del Atlántico dictó auto el 19 de abril de 2022</w:t>
      </w:r>
      <w:r w:rsidR="00174B73">
        <w:rPr>
          <w:rStyle w:val="Refdenotaalpie"/>
          <w:sz w:val="24"/>
          <w:szCs w:val="24"/>
        </w:rPr>
        <w:footnoteReference w:id="21"/>
      </w:r>
      <w:r w:rsidR="00174B73">
        <w:rPr>
          <w:sz w:val="24"/>
          <w:szCs w:val="24"/>
        </w:rPr>
        <w:t>, en el que resolvió que l</w:t>
      </w:r>
      <w:r w:rsidR="00670CB6">
        <w:rPr>
          <w:sz w:val="24"/>
          <w:szCs w:val="24"/>
        </w:rPr>
        <w:t xml:space="preserve">a señora Gaviria Betancur </w:t>
      </w:r>
      <w:r w:rsidR="00174B73">
        <w:rPr>
          <w:sz w:val="24"/>
          <w:szCs w:val="24"/>
        </w:rPr>
        <w:t xml:space="preserve">debía estarse a lo resuelto en el proveído del 10 de noviembre de 2016. </w:t>
      </w:r>
      <w:r w:rsidR="00D3704D">
        <w:rPr>
          <w:sz w:val="24"/>
          <w:szCs w:val="24"/>
        </w:rPr>
        <w:t>También</w:t>
      </w:r>
      <w:r w:rsidR="00174B73">
        <w:rPr>
          <w:sz w:val="24"/>
          <w:szCs w:val="24"/>
        </w:rPr>
        <w:t xml:space="preserve"> indicó que no podía inaplicar la sanción impuesta en desacato, pues ello conllevaría a que dispusiera de una acreencia </w:t>
      </w:r>
      <w:r w:rsidR="00514002">
        <w:rPr>
          <w:sz w:val="24"/>
          <w:szCs w:val="24"/>
        </w:rPr>
        <w:t>cuy</w:t>
      </w:r>
      <w:r w:rsidR="00670CB6">
        <w:rPr>
          <w:sz w:val="24"/>
          <w:szCs w:val="24"/>
        </w:rPr>
        <w:t>o</w:t>
      </w:r>
      <w:r w:rsidR="00514002">
        <w:rPr>
          <w:sz w:val="24"/>
          <w:szCs w:val="24"/>
        </w:rPr>
        <w:t xml:space="preserve"> titular era la </w:t>
      </w:r>
      <w:r w:rsidR="00174B73">
        <w:rPr>
          <w:sz w:val="24"/>
          <w:szCs w:val="24"/>
        </w:rPr>
        <w:t xml:space="preserve">Dirección </w:t>
      </w:r>
      <w:r w:rsidR="00514002">
        <w:rPr>
          <w:sz w:val="24"/>
          <w:szCs w:val="24"/>
        </w:rPr>
        <w:t>Ejecutiva</w:t>
      </w:r>
      <w:r w:rsidR="00174B73">
        <w:rPr>
          <w:sz w:val="24"/>
          <w:szCs w:val="24"/>
        </w:rPr>
        <w:t xml:space="preserve"> de Administración Judicial</w:t>
      </w:r>
      <w:r w:rsidR="00514002">
        <w:rPr>
          <w:sz w:val="24"/>
          <w:szCs w:val="24"/>
        </w:rPr>
        <w:t xml:space="preserve">; y que tampoco podía decretar la pérdida de fuerza ejecutoria, puesto que dicha figura únicamente aplicaba </w:t>
      </w:r>
      <w:r w:rsidR="002E029B">
        <w:rPr>
          <w:sz w:val="24"/>
          <w:szCs w:val="24"/>
        </w:rPr>
        <w:t>en</w:t>
      </w:r>
      <w:r w:rsidR="00514002">
        <w:rPr>
          <w:sz w:val="24"/>
          <w:szCs w:val="24"/>
        </w:rPr>
        <w:t xml:space="preserve"> actos administrativos.</w:t>
      </w:r>
    </w:p>
    <w:p w14:paraId="59A36B79" w14:textId="77777777" w:rsidR="001E19FB" w:rsidRDefault="001E19FB" w:rsidP="00576FBC">
      <w:pPr>
        <w:widowControl w:val="0"/>
        <w:tabs>
          <w:tab w:val="left" w:pos="1985"/>
        </w:tabs>
        <w:spacing w:before="240" w:after="240"/>
        <w:rPr>
          <w:b/>
          <w:bCs/>
          <w:sz w:val="24"/>
          <w:szCs w:val="24"/>
        </w:rPr>
      </w:pPr>
      <w:r>
        <w:rPr>
          <w:b/>
          <w:bCs/>
          <w:sz w:val="24"/>
          <w:szCs w:val="24"/>
        </w:rPr>
        <w:t>1.3. Pretensiones y argumentos de la acción de tutela</w:t>
      </w:r>
    </w:p>
    <w:p w14:paraId="6D5EF8FD" w14:textId="77777777" w:rsidR="001E19FB" w:rsidRDefault="001E19FB" w:rsidP="006D17C9">
      <w:pPr>
        <w:tabs>
          <w:tab w:val="left" w:pos="1985"/>
        </w:tabs>
        <w:spacing w:before="240" w:after="240"/>
        <w:rPr>
          <w:sz w:val="22"/>
          <w:szCs w:val="22"/>
        </w:rPr>
      </w:pPr>
      <w:r>
        <w:rPr>
          <w:sz w:val="24"/>
          <w:szCs w:val="24"/>
        </w:rPr>
        <w:t xml:space="preserve">1.3.1. </w:t>
      </w:r>
      <w:r w:rsidR="00220276">
        <w:rPr>
          <w:sz w:val="24"/>
          <w:szCs w:val="24"/>
        </w:rPr>
        <w:t>Paula Gaviria Escobar solicitó la protección de los derechos invocados. En consecuencia, pidió que se dejara sin efectos la decisión del 19 de abril de 2022, proferida por el Tribunal Administrativo del Atlántico y se ordenara a dicha autoridad judicial, que dictara un nuevo pronunciamiento de fondo, claro y congruente, en el que tuviera en cuenta los argumentos, hechos y pruebas presentados en el escrito que radicó el 9 de marzo del mismo año. También requirió que se instara a las autoridades judiciales contra las que dirigió su acción, a que, en adelante, verifi</w:t>
      </w:r>
      <w:r w:rsidR="00BD7409">
        <w:rPr>
          <w:sz w:val="24"/>
          <w:szCs w:val="24"/>
        </w:rPr>
        <w:t>caran</w:t>
      </w:r>
      <w:r w:rsidR="00220276">
        <w:rPr>
          <w:sz w:val="24"/>
          <w:szCs w:val="24"/>
        </w:rPr>
        <w:t xml:space="preserve"> la existencia de responsabilidad objetiva</w:t>
      </w:r>
      <w:r w:rsidR="00F06326">
        <w:rPr>
          <w:sz w:val="24"/>
          <w:szCs w:val="24"/>
        </w:rPr>
        <w:t xml:space="preserve"> y subjetiva del funcionario responsable de acreditar el cumplimiento de órdenes judiciales, en el marco de acciones de cumplimiento.</w:t>
      </w:r>
    </w:p>
    <w:p w14:paraId="6F8301A9" w14:textId="77777777" w:rsidR="001E19FB" w:rsidRDefault="001E19FB" w:rsidP="006D17C9">
      <w:pPr>
        <w:tabs>
          <w:tab w:val="left" w:pos="0"/>
        </w:tabs>
        <w:spacing w:before="240" w:after="240"/>
        <w:rPr>
          <w:sz w:val="24"/>
          <w:szCs w:val="24"/>
        </w:rPr>
      </w:pPr>
      <w:r>
        <w:rPr>
          <w:sz w:val="24"/>
          <w:szCs w:val="24"/>
        </w:rPr>
        <w:t xml:space="preserve">1.3.2. </w:t>
      </w:r>
      <w:r w:rsidR="00F06326">
        <w:rPr>
          <w:sz w:val="24"/>
          <w:szCs w:val="24"/>
        </w:rPr>
        <w:t>Como fundamentos de su petici</w:t>
      </w:r>
      <w:r w:rsidR="00670CB6">
        <w:rPr>
          <w:sz w:val="24"/>
          <w:szCs w:val="24"/>
        </w:rPr>
        <w:t xml:space="preserve">ón de amparo constitucional, la señora Gaviria Betancur expuso que, de conformidad con el artículo 5 del Acuerdo </w:t>
      </w:r>
      <w:r w:rsidR="00670CB6" w:rsidRPr="00670CB6">
        <w:rPr>
          <w:sz w:val="24"/>
          <w:szCs w:val="24"/>
        </w:rPr>
        <w:t>No. PSAA10-6979 de junio 18 de 2010</w:t>
      </w:r>
      <w:r w:rsidR="00670CB6">
        <w:rPr>
          <w:rStyle w:val="Refdenotaalpie"/>
          <w:sz w:val="24"/>
          <w:szCs w:val="24"/>
        </w:rPr>
        <w:footnoteReference w:id="22"/>
      </w:r>
      <w:r w:rsidR="00670CB6">
        <w:rPr>
          <w:sz w:val="24"/>
          <w:szCs w:val="24"/>
        </w:rPr>
        <w:t>, los jueces debían informar a las oficinas de cobro coactivo acerca del cumplimiento de órdenes judiciales, sin que ello implicara la disposición de una acreencia en cabeza de la Dirección Ejecutiva de Administración Judicial.</w:t>
      </w:r>
    </w:p>
    <w:p w14:paraId="0FE3A510" w14:textId="007EB7DB" w:rsidR="00023D0A" w:rsidRDefault="00023D0A" w:rsidP="006D17C9">
      <w:pPr>
        <w:tabs>
          <w:tab w:val="left" w:pos="0"/>
        </w:tabs>
        <w:spacing w:before="240" w:after="240"/>
        <w:rPr>
          <w:sz w:val="24"/>
          <w:szCs w:val="24"/>
        </w:rPr>
      </w:pPr>
      <w:r>
        <w:rPr>
          <w:sz w:val="24"/>
          <w:szCs w:val="24"/>
        </w:rPr>
        <w:t>Por otro lado, explicó que existían varios pronunciamientos judiciales que daban lugar a que la decisión en su caso fuera favorable a sus intereses. Así, por un lado, indicó que la Corte Constitucional, en sentencia SU-034 de 2018</w:t>
      </w:r>
      <w:r w:rsidR="00DA6FDC">
        <w:rPr>
          <w:sz w:val="24"/>
          <w:szCs w:val="24"/>
        </w:rPr>
        <w:t>, estableció que la finalidad de</w:t>
      </w:r>
      <w:r w:rsidR="00BD7409">
        <w:rPr>
          <w:sz w:val="24"/>
          <w:szCs w:val="24"/>
        </w:rPr>
        <w:t>l</w:t>
      </w:r>
      <w:r w:rsidR="00DA6FDC">
        <w:rPr>
          <w:sz w:val="24"/>
          <w:szCs w:val="24"/>
        </w:rPr>
        <w:t xml:space="preserve"> incidente de desacato era persuadir el cumplimiento de la orden  judicial y, aunque la sanción hubiera sido confirmada en el trámite de consulta, era viable </w:t>
      </w:r>
      <w:r w:rsidR="00DA6FDC">
        <w:rPr>
          <w:sz w:val="24"/>
          <w:szCs w:val="24"/>
        </w:rPr>
        <w:lastRenderedPageBreak/>
        <w:t>levantarla si el juez de conocimiento acreditaba su cumplimiento.</w:t>
      </w:r>
      <w:r w:rsidR="00B33210">
        <w:rPr>
          <w:sz w:val="24"/>
          <w:szCs w:val="24"/>
        </w:rPr>
        <w:t xml:space="preserve"> Por otro, hizo referencia a otras sentencias de tutela que han resuelto </w:t>
      </w:r>
      <w:r w:rsidR="002E029B">
        <w:rPr>
          <w:sz w:val="24"/>
          <w:szCs w:val="24"/>
        </w:rPr>
        <w:t>acciones de tutela</w:t>
      </w:r>
      <w:r w:rsidR="00B33210">
        <w:rPr>
          <w:sz w:val="24"/>
          <w:szCs w:val="24"/>
        </w:rPr>
        <w:t xml:space="preserve"> presentadas por ella, en las que se ha concedido el amparo de sus derechos fundamentales, cuando las autoridades judiciales que conocen los incidentes de desacato, se han negado a declarar el cumplimiento y a levantar la sanción impuesta.</w:t>
      </w:r>
    </w:p>
    <w:p w14:paraId="2B40033F" w14:textId="0DF29D0D" w:rsidR="00B33210" w:rsidRDefault="00B33210" w:rsidP="006D17C9">
      <w:pPr>
        <w:tabs>
          <w:tab w:val="left" w:pos="0"/>
        </w:tabs>
        <w:spacing w:before="240" w:after="240"/>
        <w:rPr>
          <w:sz w:val="24"/>
          <w:szCs w:val="24"/>
        </w:rPr>
      </w:pPr>
      <w:r>
        <w:rPr>
          <w:sz w:val="24"/>
          <w:szCs w:val="24"/>
        </w:rPr>
        <w:t xml:space="preserve">Finalmente, </w:t>
      </w:r>
      <w:r w:rsidR="007C5C9A">
        <w:rPr>
          <w:sz w:val="24"/>
          <w:szCs w:val="24"/>
        </w:rPr>
        <w:t xml:space="preserve">reiteró que la UARIV acreditó el cumplimiento del fallo, razón suficiente para que se </w:t>
      </w:r>
      <w:r w:rsidR="002E029B">
        <w:rPr>
          <w:sz w:val="24"/>
          <w:szCs w:val="24"/>
        </w:rPr>
        <w:t>analizara</w:t>
      </w:r>
      <w:r w:rsidR="007C5C9A">
        <w:rPr>
          <w:sz w:val="24"/>
          <w:szCs w:val="24"/>
        </w:rPr>
        <w:t xml:space="preserve"> su petición y se accediera a sus pretensiones.</w:t>
      </w:r>
    </w:p>
    <w:p w14:paraId="51C956B6" w14:textId="77777777" w:rsidR="001E19FB" w:rsidRDefault="001E19FB" w:rsidP="001E19FB">
      <w:pPr>
        <w:tabs>
          <w:tab w:val="left" w:pos="1985"/>
        </w:tabs>
        <w:spacing w:before="240" w:after="240"/>
        <w:rPr>
          <w:b/>
          <w:bCs/>
          <w:sz w:val="24"/>
          <w:szCs w:val="24"/>
        </w:rPr>
      </w:pPr>
      <w:r>
        <w:rPr>
          <w:b/>
          <w:bCs/>
          <w:sz w:val="24"/>
          <w:szCs w:val="24"/>
        </w:rPr>
        <w:t>1.4. Trámite de tutela e intervenciones</w:t>
      </w:r>
    </w:p>
    <w:p w14:paraId="34106141" w14:textId="77777777" w:rsidR="007C5C9A" w:rsidRDefault="001E19FB" w:rsidP="007C5C9A">
      <w:pPr>
        <w:tabs>
          <w:tab w:val="left" w:pos="1985"/>
        </w:tabs>
        <w:spacing w:before="240" w:after="240"/>
        <w:rPr>
          <w:sz w:val="24"/>
          <w:szCs w:val="24"/>
        </w:rPr>
      </w:pPr>
      <w:r w:rsidRPr="00A3417F">
        <w:rPr>
          <w:bCs/>
          <w:sz w:val="24"/>
          <w:szCs w:val="24"/>
        </w:rPr>
        <w:t>1.4.1.</w:t>
      </w:r>
      <w:r>
        <w:rPr>
          <w:bCs/>
          <w:sz w:val="24"/>
          <w:szCs w:val="24"/>
        </w:rPr>
        <w:t xml:space="preserve"> El despacho del magistrado ponente admitió la acción de tutela mediante auto del 1</w:t>
      </w:r>
      <w:r w:rsidR="00023D0A">
        <w:rPr>
          <w:bCs/>
          <w:sz w:val="24"/>
          <w:szCs w:val="24"/>
        </w:rPr>
        <w:t>3</w:t>
      </w:r>
      <w:r>
        <w:rPr>
          <w:bCs/>
          <w:sz w:val="24"/>
          <w:szCs w:val="24"/>
        </w:rPr>
        <w:t xml:space="preserve"> de </w:t>
      </w:r>
      <w:r w:rsidR="00023D0A">
        <w:rPr>
          <w:bCs/>
          <w:sz w:val="24"/>
          <w:szCs w:val="24"/>
        </w:rPr>
        <w:t>junio</w:t>
      </w:r>
      <w:r>
        <w:rPr>
          <w:bCs/>
          <w:sz w:val="24"/>
          <w:szCs w:val="24"/>
        </w:rPr>
        <w:t xml:space="preserve"> de 2022</w:t>
      </w:r>
      <w:r>
        <w:rPr>
          <w:rStyle w:val="Refdenotaalpie"/>
          <w:bCs/>
          <w:sz w:val="24"/>
          <w:szCs w:val="24"/>
        </w:rPr>
        <w:footnoteReference w:id="23"/>
      </w:r>
      <w:r>
        <w:rPr>
          <w:bCs/>
          <w:sz w:val="24"/>
          <w:szCs w:val="24"/>
        </w:rPr>
        <w:t>, y ordenó comunicar</w:t>
      </w:r>
      <w:r w:rsidR="00BD7409">
        <w:rPr>
          <w:bCs/>
          <w:sz w:val="24"/>
          <w:szCs w:val="24"/>
        </w:rPr>
        <w:t>,</w:t>
      </w:r>
      <w:r>
        <w:rPr>
          <w:bCs/>
          <w:sz w:val="24"/>
          <w:szCs w:val="24"/>
        </w:rPr>
        <w:t xml:space="preserve"> </w:t>
      </w:r>
      <w:r>
        <w:rPr>
          <w:sz w:val="24"/>
          <w:szCs w:val="24"/>
        </w:rPr>
        <w:t>como parte accionada</w:t>
      </w:r>
      <w:r w:rsidR="00BD7409">
        <w:rPr>
          <w:sz w:val="24"/>
          <w:szCs w:val="24"/>
        </w:rPr>
        <w:t>,</w:t>
      </w:r>
      <w:r>
        <w:rPr>
          <w:bCs/>
          <w:sz w:val="24"/>
          <w:szCs w:val="24"/>
        </w:rPr>
        <w:t xml:space="preserve"> al </w:t>
      </w:r>
      <w:r>
        <w:rPr>
          <w:sz w:val="24"/>
          <w:szCs w:val="24"/>
        </w:rPr>
        <w:t xml:space="preserve">Tribunal Administrativo </w:t>
      </w:r>
      <w:r w:rsidR="00DA6FDC">
        <w:rPr>
          <w:sz w:val="24"/>
          <w:szCs w:val="24"/>
        </w:rPr>
        <w:t>del Atlántico</w:t>
      </w:r>
      <w:r>
        <w:rPr>
          <w:sz w:val="24"/>
          <w:szCs w:val="24"/>
        </w:rPr>
        <w:t xml:space="preserve"> y </w:t>
      </w:r>
      <w:r w:rsidR="00DA6FDC">
        <w:rPr>
          <w:sz w:val="24"/>
          <w:szCs w:val="24"/>
        </w:rPr>
        <w:t>a la Sección Quinta del Consejo de Estado</w:t>
      </w:r>
      <w:r>
        <w:rPr>
          <w:sz w:val="24"/>
          <w:szCs w:val="24"/>
        </w:rPr>
        <w:t>, y vincular</w:t>
      </w:r>
      <w:r w:rsidR="00BD7409">
        <w:rPr>
          <w:sz w:val="24"/>
          <w:szCs w:val="24"/>
        </w:rPr>
        <w:t xml:space="preserve"> como, terceros con interés,</w:t>
      </w:r>
      <w:r>
        <w:rPr>
          <w:sz w:val="24"/>
          <w:szCs w:val="24"/>
        </w:rPr>
        <w:t xml:space="preserve"> </w:t>
      </w:r>
      <w:r w:rsidR="007C5C9A">
        <w:rPr>
          <w:sz w:val="24"/>
          <w:szCs w:val="24"/>
        </w:rPr>
        <w:t xml:space="preserve">a Luz Elena Pájaro Vargas, a la Unidad Administrativa Especial para la Atención y Reparación Integral a las Víctimas – UARIV, a quienes intervinieron en el trámite de cumplimiento con radicado núm. </w:t>
      </w:r>
      <w:r w:rsidR="007C5C9A" w:rsidRPr="003F09DA">
        <w:rPr>
          <w:bCs/>
          <w:sz w:val="24"/>
          <w:szCs w:val="24"/>
        </w:rPr>
        <w:t>08001</w:t>
      </w:r>
      <w:r w:rsidR="007C5C9A">
        <w:rPr>
          <w:bCs/>
          <w:sz w:val="24"/>
          <w:szCs w:val="24"/>
        </w:rPr>
        <w:t>-</w:t>
      </w:r>
      <w:r w:rsidR="007C5C9A" w:rsidRPr="003F09DA">
        <w:rPr>
          <w:bCs/>
          <w:sz w:val="24"/>
          <w:szCs w:val="24"/>
        </w:rPr>
        <w:t>23</w:t>
      </w:r>
      <w:r w:rsidR="007C5C9A">
        <w:rPr>
          <w:bCs/>
          <w:sz w:val="24"/>
          <w:szCs w:val="24"/>
        </w:rPr>
        <w:t>-</w:t>
      </w:r>
      <w:r w:rsidR="007C5C9A" w:rsidRPr="003F09DA">
        <w:rPr>
          <w:bCs/>
          <w:sz w:val="24"/>
          <w:szCs w:val="24"/>
        </w:rPr>
        <w:t>33</w:t>
      </w:r>
      <w:r w:rsidR="007C5C9A">
        <w:rPr>
          <w:bCs/>
          <w:sz w:val="24"/>
          <w:szCs w:val="24"/>
        </w:rPr>
        <w:t>-</w:t>
      </w:r>
      <w:r w:rsidR="007C5C9A" w:rsidRPr="003F09DA">
        <w:rPr>
          <w:bCs/>
          <w:sz w:val="24"/>
          <w:szCs w:val="24"/>
        </w:rPr>
        <w:t>002</w:t>
      </w:r>
      <w:r w:rsidR="007C5C9A">
        <w:rPr>
          <w:bCs/>
          <w:sz w:val="24"/>
          <w:szCs w:val="24"/>
        </w:rPr>
        <w:t>-</w:t>
      </w:r>
      <w:r w:rsidR="007C5C9A" w:rsidRPr="003F09DA">
        <w:rPr>
          <w:bCs/>
          <w:sz w:val="24"/>
          <w:szCs w:val="24"/>
        </w:rPr>
        <w:t>2015</w:t>
      </w:r>
      <w:r w:rsidR="007C5C9A">
        <w:rPr>
          <w:bCs/>
          <w:sz w:val="24"/>
          <w:szCs w:val="24"/>
        </w:rPr>
        <w:t>-</w:t>
      </w:r>
      <w:r w:rsidR="007C5C9A" w:rsidRPr="003F09DA">
        <w:rPr>
          <w:bCs/>
          <w:sz w:val="24"/>
          <w:szCs w:val="24"/>
        </w:rPr>
        <w:t>00125</w:t>
      </w:r>
      <w:r w:rsidR="007C5C9A">
        <w:rPr>
          <w:bCs/>
          <w:sz w:val="24"/>
          <w:szCs w:val="24"/>
        </w:rPr>
        <w:t>-</w:t>
      </w:r>
      <w:r w:rsidR="007C5C9A" w:rsidRPr="003F09DA">
        <w:rPr>
          <w:bCs/>
          <w:sz w:val="24"/>
          <w:szCs w:val="24"/>
        </w:rPr>
        <w:t>00</w:t>
      </w:r>
      <w:r w:rsidR="007C5C9A">
        <w:rPr>
          <w:bCs/>
          <w:sz w:val="24"/>
          <w:szCs w:val="24"/>
        </w:rPr>
        <w:t xml:space="preserve">, y a la Dirección Seccional de Administración Judicial de Barranquilla que lleva el proceso de cobro coactivo con radicado núm. </w:t>
      </w:r>
      <w:r w:rsidR="007C5C9A" w:rsidRPr="002A2472">
        <w:rPr>
          <w:sz w:val="24"/>
          <w:szCs w:val="24"/>
        </w:rPr>
        <w:t>8001129000020180012100</w:t>
      </w:r>
      <w:r w:rsidR="007C5C9A">
        <w:rPr>
          <w:bCs/>
          <w:sz w:val="24"/>
          <w:szCs w:val="24"/>
        </w:rPr>
        <w:t>. Por último, negó la solicitud de medida provisional y ordenó la suspensión de términos.</w:t>
      </w:r>
    </w:p>
    <w:p w14:paraId="736FCBFC" w14:textId="77777777" w:rsidR="006B600A" w:rsidRDefault="001E19FB" w:rsidP="001E19FB">
      <w:pPr>
        <w:tabs>
          <w:tab w:val="left" w:pos="1985"/>
        </w:tabs>
        <w:spacing w:before="240" w:after="240"/>
        <w:rPr>
          <w:bCs/>
          <w:sz w:val="24"/>
          <w:szCs w:val="24"/>
        </w:rPr>
      </w:pPr>
      <w:r>
        <w:rPr>
          <w:bCs/>
          <w:sz w:val="24"/>
          <w:szCs w:val="24"/>
        </w:rPr>
        <w:t xml:space="preserve">1.4.2. </w:t>
      </w:r>
      <w:r w:rsidR="00F904FF">
        <w:rPr>
          <w:bCs/>
          <w:sz w:val="24"/>
          <w:szCs w:val="24"/>
        </w:rPr>
        <w:t xml:space="preserve">El </w:t>
      </w:r>
      <w:r w:rsidR="003303E9">
        <w:rPr>
          <w:b/>
          <w:bCs/>
          <w:sz w:val="24"/>
          <w:szCs w:val="24"/>
        </w:rPr>
        <w:t>T</w:t>
      </w:r>
      <w:r w:rsidR="00F904FF">
        <w:rPr>
          <w:b/>
          <w:bCs/>
          <w:sz w:val="24"/>
          <w:szCs w:val="24"/>
        </w:rPr>
        <w:t>ribunal Administrativo del Atlántico</w:t>
      </w:r>
      <w:r w:rsidR="00F904FF" w:rsidRPr="00F904FF">
        <w:rPr>
          <w:rStyle w:val="Refdenotaalpie"/>
          <w:bCs/>
          <w:sz w:val="24"/>
          <w:szCs w:val="24"/>
        </w:rPr>
        <w:footnoteReference w:id="24"/>
      </w:r>
      <w:r w:rsidR="00F904FF">
        <w:rPr>
          <w:b/>
          <w:bCs/>
          <w:sz w:val="24"/>
          <w:szCs w:val="24"/>
        </w:rPr>
        <w:t xml:space="preserve"> </w:t>
      </w:r>
      <w:r w:rsidR="00F904FF" w:rsidRPr="00F904FF">
        <w:rPr>
          <w:bCs/>
          <w:sz w:val="24"/>
          <w:szCs w:val="24"/>
        </w:rPr>
        <w:t>solicitó que se declarara la improcedencia de la acción de tutela</w:t>
      </w:r>
      <w:r w:rsidR="00F904FF">
        <w:rPr>
          <w:bCs/>
          <w:sz w:val="24"/>
          <w:szCs w:val="24"/>
        </w:rPr>
        <w:t xml:space="preserve"> o que, en su defecto, se negaran </w:t>
      </w:r>
      <w:r w:rsidR="003303E9">
        <w:rPr>
          <w:bCs/>
          <w:sz w:val="24"/>
          <w:szCs w:val="24"/>
        </w:rPr>
        <w:t>sus</w:t>
      </w:r>
      <w:r w:rsidR="00F904FF">
        <w:rPr>
          <w:bCs/>
          <w:sz w:val="24"/>
          <w:szCs w:val="24"/>
        </w:rPr>
        <w:t xml:space="preserve"> pretensiones</w:t>
      </w:r>
      <w:r w:rsidR="003303E9">
        <w:rPr>
          <w:bCs/>
          <w:sz w:val="24"/>
          <w:szCs w:val="24"/>
        </w:rPr>
        <w:t>. Al respecto, afirmó que la solicitud de amparo no cumplió con los requisitos de procedencia contra providencias judiciales, generales y específicos</w:t>
      </w:r>
      <w:r w:rsidR="006B600A">
        <w:rPr>
          <w:bCs/>
          <w:sz w:val="24"/>
          <w:szCs w:val="24"/>
        </w:rPr>
        <w:t>.</w:t>
      </w:r>
    </w:p>
    <w:p w14:paraId="22F1666E" w14:textId="77777777" w:rsidR="006D17C9" w:rsidRPr="00F904FF" w:rsidRDefault="00BB7E0A" w:rsidP="001E19FB">
      <w:pPr>
        <w:tabs>
          <w:tab w:val="left" w:pos="1985"/>
        </w:tabs>
        <w:spacing w:before="240" w:after="240"/>
        <w:rPr>
          <w:bCs/>
          <w:sz w:val="24"/>
          <w:szCs w:val="24"/>
        </w:rPr>
      </w:pPr>
      <w:r>
        <w:rPr>
          <w:bCs/>
          <w:sz w:val="24"/>
          <w:szCs w:val="24"/>
        </w:rPr>
        <w:t>En relación con los hechos en que se sustentó la petición, manifestó que con ocasión del incidente de desacato, impuso sanción a la accionante debido a que en ese momento, fungía como Directora Nacional de la UARIV. Así mismo, expuso que a pesar de que inició el trámite incidental</w:t>
      </w:r>
      <w:r w:rsidR="00F73313">
        <w:rPr>
          <w:bCs/>
          <w:sz w:val="24"/>
          <w:szCs w:val="24"/>
        </w:rPr>
        <w:t xml:space="preserve">, la entidad guardó silencio y solo </w:t>
      </w:r>
      <w:r w:rsidR="00817C64">
        <w:rPr>
          <w:bCs/>
          <w:sz w:val="24"/>
          <w:szCs w:val="24"/>
        </w:rPr>
        <w:t xml:space="preserve">se pronunció </w:t>
      </w:r>
      <w:r w:rsidR="00F73313">
        <w:rPr>
          <w:bCs/>
          <w:sz w:val="24"/>
          <w:szCs w:val="24"/>
        </w:rPr>
        <w:t>hasta el 4 de noviembre de 2016</w:t>
      </w:r>
      <w:r w:rsidR="00817C64">
        <w:rPr>
          <w:bCs/>
          <w:sz w:val="24"/>
          <w:szCs w:val="24"/>
        </w:rPr>
        <w:t>, fecha en la que</w:t>
      </w:r>
      <w:r w:rsidR="00F73313">
        <w:rPr>
          <w:bCs/>
          <w:sz w:val="24"/>
          <w:szCs w:val="24"/>
        </w:rPr>
        <w:t xml:space="preserve"> solicitó que se declarara el cumplimiento del fallo y el levantamiento de la sanción</w:t>
      </w:r>
      <w:r w:rsidR="00D82B5D">
        <w:rPr>
          <w:bCs/>
          <w:sz w:val="24"/>
          <w:szCs w:val="24"/>
        </w:rPr>
        <w:t xml:space="preserve"> impuesta a la señora Gaviria Betancur</w:t>
      </w:r>
      <w:r w:rsidR="00817C64">
        <w:rPr>
          <w:bCs/>
          <w:sz w:val="24"/>
          <w:szCs w:val="24"/>
        </w:rPr>
        <w:t xml:space="preserve"> mediante auto del 2 de junio de 2015</w:t>
      </w:r>
      <w:r w:rsidR="00F73313">
        <w:rPr>
          <w:bCs/>
          <w:sz w:val="24"/>
          <w:szCs w:val="24"/>
        </w:rPr>
        <w:t>.</w:t>
      </w:r>
      <w:r w:rsidR="00817C64">
        <w:rPr>
          <w:bCs/>
          <w:sz w:val="24"/>
          <w:szCs w:val="24"/>
        </w:rPr>
        <w:t xml:space="preserve"> Frente a dicha petición, indicó que en proveído del 10 de noviembre de 2016, declaró que no era procedente acceder a lo solicitado, puesto que la sanción había sido confirmada por el Consejo de Estado</w:t>
      </w:r>
      <w:r w:rsidR="006B600A">
        <w:rPr>
          <w:bCs/>
          <w:sz w:val="24"/>
          <w:szCs w:val="24"/>
        </w:rPr>
        <w:t>, razón por la que la providencia que sancionó por desacato, se encontraba ejecutoriada “</w:t>
      </w:r>
      <w:r w:rsidR="006B600A" w:rsidRPr="006B600A">
        <w:rPr>
          <w:bCs/>
          <w:sz w:val="24"/>
          <w:szCs w:val="24"/>
        </w:rPr>
        <w:t xml:space="preserve">y la ley no </w:t>
      </w:r>
      <w:r w:rsidR="006B600A">
        <w:rPr>
          <w:bCs/>
          <w:sz w:val="24"/>
          <w:szCs w:val="24"/>
        </w:rPr>
        <w:t>[tenía]</w:t>
      </w:r>
      <w:r w:rsidR="006B600A" w:rsidRPr="006B600A">
        <w:rPr>
          <w:bCs/>
          <w:sz w:val="24"/>
          <w:szCs w:val="24"/>
        </w:rPr>
        <w:t xml:space="preserve"> contemplada la inaplicación de decisiones judiciales que se </w:t>
      </w:r>
      <w:r w:rsidR="006B600A">
        <w:rPr>
          <w:bCs/>
          <w:sz w:val="24"/>
          <w:szCs w:val="24"/>
        </w:rPr>
        <w:t>[encontraran]</w:t>
      </w:r>
      <w:r w:rsidR="006B600A" w:rsidRPr="006B600A">
        <w:rPr>
          <w:bCs/>
          <w:sz w:val="24"/>
          <w:szCs w:val="24"/>
        </w:rPr>
        <w:t xml:space="preserve"> en firme</w:t>
      </w:r>
      <w:r w:rsidR="006B600A">
        <w:rPr>
          <w:bCs/>
          <w:sz w:val="24"/>
          <w:szCs w:val="24"/>
        </w:rPr>
        <w:t>”</w:t>
      </w:r>
      <w:r w:rsidR="006B600A">
        <w:rPr>
          <w:rStyle w:val="Refdenotaalpie"/>
          <w:bCs/>
          <w:sz w:val="24"/>
          <w:szCs w:val="24"/>
        </w:rPr>
        <w:footnoteReference w:id="25"/>
      </w:r>
      <w:r w:rsidR="006B600A" w:rsidRPr="006B600A">
        <w:rPr>
          <w:bCs/>
          <w:sz w:val="24"/>
          <w:szCs w:val="24"/>
        </w:rPr>
        <w:t>.</w:t>
      </w:r>
    </w:p>
    <w:p w14:paraId="21F34262" w14:textId="77777777" w:rsidR="001E19FB" w:rsidRPr="006B600A" w:rsidRDefault="001E19FB" w:rsidP="001E19FB">
      <w:pPr>
        <w:tabs>
          <w:tab w:val="left" w:pos="1985"/>
        </w:tabs>
        <w:spacing w:before="240" w:after="240"/>
        <w:rPr>
          <w:bCs/>
          <w:sz w:val="24"/>
          <w:szCs w:val="24"/>
        </w:rPr>
      </w:pPr>
      <w:r>
        <w:rPr>
          <w:bCs/>
          <w:sz w:val="24"/>
          <w:szCs w:val="24"/>
        </w:rPr>
        <w:t xml:space="preserve">1.4.3. </w:t>
      </w:r>
      <w:r w:rsidR="006B600A">
        <w:rPr>
          <w:bCs/>
          <w:sz w:val="24"/>
          <w:szCs w:val="24"/>
        </w:rPr>
        <w:t xml:space="preserve">La </w:t>
      </w:r>
      <w:r w:rsidR="006B600A">
        <w:rPr>
          <w:b/>
          <w:bCs/>
          <w:sz w:val="24"/>
          <w:szCs w:val="24"/>
        </w:rPr>
        <w:t xml:space="preserve">Unidad </w:t>
      </w:r>
      <w:r w:rsidR="006B600A" w:rsidRPr="006B600A">
        <w:rPr>
          <w:b/>
          <w:bCs/>
          <w:sz w:val="24"/>
          <w:szCs w:val="24"/>
        </w:rPr>
        <w:t>Administrativa Especial de Atención y Reparación Integral a las Víctimas</w:t>
      </w:r>
      <w:r w:rsidR="006B600A">
        <w:rPr>
          <w:b/>
          <w:bCs/>
          <w:sz w:val="24"/>
          <w:szCs w:val="24"/>
        </w:rPr>
        <w:t xml:space="preserve"> – UARIV</w:t>
      </w:r>
      <w:r w:rsidR="006B600A" w:rsidRPr="006B600A">
        <w:rPr>
          <w:rStyle w:val="Refdenotaalpie"/>
          <w:bCs/>
          <w:sz w:val="24"/>
          <w:szCs w:val="24"/>
        </w:rPr>
        <w:footnoteReference w:id="26"/>
      </w:r>
      <w:r w:rsidR="006B600A" w:rsidRPr="006B600A">
        <w:rPr>
          <w:bCs/>
          <w:sz w:val="24"/>
          <w:szCs w:val="24"/>
        </w:rPr>
        <w:t>, actuando por medio de</w:t>
      </w:r>
      <w:r w:rsidR="006B600A">
        <w:rPr>
          <w:b/>
          <w:bCs/>
          <w:sz w:val="24"/>
          <w:szCs w:val="24"/>
        </w:rPr>
        <w:t xml:space="preserve"> </w:t>
      </w:r>
      <w:r w:rsidR="006B600A" w:rsidRPr="006B600A">
        <w:rPr>
          <w:bCs/>
          <w:sz w:val="24"/>
          <w:szCs w:val="24"/>
        </w:rPr>
        <w:t xml:space="preserve">la Jefe </w:t>
      </w:r>
      <w:r w:rsidR="006B600A">
        <w:rPr>
          <w:bCs/>
          <w:sz w:val="24"/>
          <w:szCs w:val="24"/>
        </w:rPr>
        <w:t xml:space="preserve">de la Oficina Asesora Jurídica (E), </w:t>
      </w:r>
      <w:r w:rsidR="002A4E94">
        <w:rPr>
          <w:bCs/>
          <w:sz w:val="24"/>
          <w:szCs w:val="24"/>
        </w:rPr>
        <w:t>solicitó que se concediera la acción de tutela, pues afirmó que, como el fallo de cumplimiento ya había sido acatado, la sanción impuesta carecía de objeto, motivo por la que debía ser inaplicada por las autoridades judiciales contra las que se dirigió la acción.</w:t>
      </w:r>
    </w:p>
    <w:p w14:paraId="0C467AD4" w14:textId="069CEF23" w:rsidR="006D17C9" w:rsidRPr="00563D5C" w:rsidRDefault="001E19FB" w:rsidP="001E19FB">
      <w:pPr>
        <w:widowControl w:val="0"/>
        <w:tabs>
          <w:tab w:val="left" w:pos="1985"/>
        </w:tabs>
        <w:spacing w:before="240" w:after="240"/>
        <w:rPr>
          <w:bCs/>
          <w:sz w:val="24"/>
          <w:szCs w:val="24"/>
        </w:rPr>
      </w:pPr>
      <w:r>
        <w:rPr>
          <w:bCs/>
          <w:sz w:val="24"/>
          <w:szCs w:val="24"/>
        </w:rPr>
        <w:t xml:space="preserve">1.4.4. </w:t>
      </w:r>
      <w:r w:rsidR="007C5C9A" w:rsidRPr="007C5C9A">
        <w:rPr>
          <w:b/>
          <w:sz w:val="24"/>
          <w:szCs w:val="24"/>
        </w:rPr>
        <w:t>Luz Elena Pájaro Vargas</w:t>
      </w:r>
      <w:r w:rsidR="007C5C9A">
        <w:rPr>
          <w:sz w:val="24"/>
          <w:szCs w:val="24"/>
        </w:rPr>
        <w:t>,</w:t>
      </w:r>
      <w:r w:rsidR="007C5C9A">
        <w:rPr>
          <w:bCs/>
          <w:sz w:val="24"/>
          <w:szCs w:val="24"/>
        </w:rPr>
        <w:t xml:space="preserve"> la </w:t>
      </w:r>
      <w:r w:rsidR="007C5C9A">
        <w:rPr>
          <w:b/>
          <w:bCs/>
          <w:sz w:val="24"/>
          <w:szCs w:val="24"/>
        </w:rPr>
        <w:t>Sección Quinta del Consejo de Estado</w:t>
      </w:r>
      <w:r w:rsidR="007C5C9A">
        <w:rPr>
          <w:bCs/>
          <w:sz w:val="24"/>
          <w:szCs w:val="24"/>
        </w:rPr>
        <w:t xml:space="preserve"> </w:t>
      </w:r>
      <w:r w:rsidR="00563D5C">
        <w:rPr>
          <w:bCs/>
          <w:sz w:val="24"/>
          <w:szCs w:val="24"/>
        </w:rPr>
        <w:t xml:space="preserve">y la </w:t>
      </w:r>
      <w:r w:rsidR="00563D5C" w:rsidRPr="00563D5C">
        <w:rPr>
          <w:b/>
          <w:bCs/>
          <w:sz w:val="24"/>
          <w:szCs w:val="24"/>
        </w:rPr>
        <w:t>Dirección Seccional de Administración Judicial de Barranquilla</w:t>
      </w:r>
      <w:r w:rsidR="00563D5C">
        <w:rPr>
          <w:b/>
          <w:bCs/>
          <w:sz w:val="24"/>
          <w:szCs w:val="24"/>
        </w:rPr>
        <w:t xml:space="preserve"> </w:t>
      </w:r>
      <w:r w:rsidR="00563D5C">
        <w:rPr>
          <w:bCs/>
          <w:sz w:val="24"/>
          <w:szCs w:val="24"/>
        </w:rPr>
        <w:t>guardaron silencio.</w:t>
      </w:r>
    </w:p>
    <w:p w14:paraId="06E2C699" w14:textId="77777777" w:rsidR="001E19FB" w:rsidRDefault="001E19FB" w:rsidP="001E19FB">
      <w:pPr>
        <w:tabs>
          <w:tab w:val="left" w:pos="1985"/>
        </w:tabs>
        <w:spacing w:before="240" w:after="240"/>
        <w:jc w:val="center"/>
        <w:rPr>
          <w:b/>
          <w:bCs/>
          <w:sz w:val="24"/>
          <w:szCs w:val="24"/>
        </w:rPr>
      </w:pPr>
      <w:r>
        <w:rPr>
          <w:b/>
          <w:bCs/>
          <w:sz w:val="24"/>
          <w:szCs w:val="24"/>
        </w:rPr>
        <w:lastRenderedPageBreak/>
        <w:t>II. CONSIDERACIONES</w:t>
      </w:r>
    </w:p>
    <w:p w14:paraId="44E99C2C" w14:textId="77777777" w:rsidR="001E19FB" w:rsidRDefault="001E19FB" w:rsidP="001E19FB">
      <w:pPr>
        <w:tabs>
          <w:tab w:val="left" w:pos="1985"/>
        </w:tabs>
        <w:spacing w:before="240" w:after="240"/>
        <w:rPr>
          <w:b/>
          <w:bCs/>
          <w:sz w:val="24"/>
          <w:szCs w:val="24"/>
        </w:rPr>
      </w:pPr>
      <w:r>
        <w:rPr>
          <w:b/>
          <w:bCs/>
          <w:sz w:val="24"/>
          <w:szCs w:val="24"/>
        </w:rPr>
        <w:t xml:space="preserve">2.1. Competencia </w:t>
      </w:r>
    </w:p>
    <w:p w14:paraId="19BCE06D" w14:textId="77777777" w:rsidR="002E029B" w:rsidRPr="009E4FC7" w:rsidRDefault="002E029B" w:rsidP="002E029B">
      <w:pPr>
        <w:keepNext/>
        <w:widowControl w:val="0"/>
        <w:tabs>
          <w:tab w:val="left" w:pos="1985"/>
        </w:tabs>
        <w:spacing w:before="240" w:after="240"/>
        <w:rPr>
          <w:rFonts w:eastAsia="Times New Roman"/>
          <w:sz w:val="24"/>
          <w:szCs w:val="24"/>
          <w:lang w:val="es-ES_tradnl" w:eastAsia="es-ES"/>
        </w:rPr>
      </w:pPr>
      <w:r w:rsidRPr="009E4FC7">
        <w:rPr>
          <w:rFonts w:eastAsia="Times New Roman"/>
          <w:sz w:val="24"/>
          <w:szCs w:val="24"/>
          <w:lang w:val="es-ES_tradnl" w:eastAsia="es-ES"/>
        </w:rPr>
        <w:t>La Sala es competente para conocer del amparo constitucional deprecado por la parte actora, en virtud de lo dispuesto en el artículo 86 de la Constitución Política de Colombia y en el artículo 37 del Decreto 2591 de 1991.</w:t>
      </w:r>
    </w:p>
    <w:p w14:paraId="49275584" w14:textId="77777777" w:rsidR="001E19FB" w:rsidRDefault="001E19FB" w:rsidP="001E19FB">
      <w:pPr>
        <w:tabs>
          <w:tab w:val="left" w:pos="1985"/>
        </w:tabs>
        <w:spacing w:before="240" w:after="240"/>
        <w:rPr>
          <w:b/>
          <w:bCs/>
          <w:sz w:val="24"/>
          <w:szCs w:val="24"/>
        </w:rPr>
      </w:pPr>
      <w:r>
        <w:rPr>
          <w:b/>
          <w:bCs/>
          <w:sz w:val="24"/>
          <w:szCs w:val="24"/>
        </w:rPr>
        <w:t xml:space="preserve">2.2. </w:t>
      </w:r>
      <w:proofErr w:type="spellStart"/>
      <w:r>
        <w:rPr>
          <w:b/>
          <w:bCs/>
          <w:sz w:val="24"/>
          <w:szCs w:val="24"/>
        </w:rPr>
        <w:t>Procedebilidad</w:t>
      </w:r>
      <w:proofErr w:type="spellEnd"/>
      <w:r>
        <w:rPr>
          <w:b/>
          <w:bCs/>
          <w:sz w:val="24"/>
          <w:szCs w:val="24"/>
        </w:rPr>
        <w:t xml:space="preserve"> de la acción</w:t>
      </w:r>
    </w:p>
    <w:p w14:paraId="05089262" w14:textId="77777777" w:rsidR="001E19FB" w:rsidRDefault="001E19FB" w:rsidP="001E19FB">
      <w:pPr>
        <w:widowControl w:val="0"/>
        <w:spacing w:after="240"/>
        <w:textAlignment w:val="baseline"/>
        <w:rPr>
          <w:rFonts w:eastAsia="Times New Roman"/>
          <w:sz w:val="24"/>
          <w:szCs w:val="24"/>
          <w:lang w:eastAsia="es-CO"/>
        </w:rPr>
      </w:pPr>
      <w:r w:rsidRPr="006978E4">
        <w:rPr>
          <w:sz w:val="24"/>
          <w:szCs w:val="24"/>
        </w:rPr>
        <w:t>2.2.1.</w:t>
      </w:r>
      <w:r>
        <w:rPr>
          <w:b/>
          <w:bCs/>
          <w:sz w:val="24"/>
          <w:szCs w:val="24"/>
        </w:rPr>
        <w:t xml:space="preserve"> </w:t>
      </w:r>
      <w:r>
        <w:rPr>
          <w:rFonts w:eastAsia="Times New Roman"/>
          <w:sz w:val="24"/>
          <w:szCs w:val="24"/>
          <w:lang w:eastAsia="es-CO"/>
        </w:rPr>
        <w:t>La jurisprudencia constitucional ha establecido que, cuando una solicitud de amparo va dirigida en contra de una providencia judicial, el juez de tutela debe, de forma preliminar, analizar los requisitos generales de procedibilidad de la acción</w:t>
      </w:r>
      <w:r>
        <w:rPr>
          <w:rFonts w:eastAsia="Times New Roman"/>
          <w:sz w:val="24"/>
          <w:szCs w:val="24"/>
          <w:vertAlign w:val="superscript"/>
          <w:lang w:eastAsia="es-CO"/>
        </w:rPr>
        <w:footnoteReference w:id="27"/>
      </w:r>
      <w:r>
        <w:rPr>
          <w:rFonts w:eastAsia="Times New Roman"/>
          <w:sz w:val="24"/>
          <w:szCs w:val="24"/>
          <w:lang w:eastAsia="es-CO"/>
        </w:rPr>
        <w:t>. Así, una vez verificada la observación de los presupuestos que la determinan, procede el pronunciamiento de fondo sobre la problemática jurídica que el actor plantea en función de los defectos en que incurre la actuación acusada y conforme a las causales específicas de procedencia de la acción de tutela contra providencias judiciales</w:t>
      </w:r>
      <w:r>
        <w:rPr>
          <w:rFonts w:eastAsia="Times New Roman"/>
          <w:sz w:val="24"/>
          <w:szCs w:val="24"/>
          <w:vertAlign w:val="superscript"/>
          <w:lang w:eastAsia="es-CO"/>
        </w:rPr>
        <w:footnoteReference w:id="28"/>
      </w:r>
      <w:r>
        <w:rPr>
          <w:rFonts w:eastAsia="Times New Roman"/>
          <w:sz w:val="24"/>
          <w:szCs w:val="24"/>
          <w:lang w:eastAsia="es-CO"/>
        </w:rPr>
        <w:t xml:space="preserve">. </w:t>
      </w:r>
    </w:p>
    <w:p w14:paraId="34E45C85" w14:textId="77777777" w:rsidR="001E19FB" w:rsidRDefault="001E19FB" w:rsidP="001E19FB">
      <w:pPr>
        <w:widowControl w:val="0"/>
        <w:spacing w:after="240"/>
        <w:textAlignment w:val="baseline"/>
        <w:rPr>
          <w:sz w:val="24"/>
          <w:szCs w:val="24"/>
          <w:lang w:val="es-ES" w:eastAsia="es-CO"/>
        </w:rPr>
      </w:pPr>
      <w:r>
        <w:rPr>
          <w:sz w:val="24"/>
          <w:szCs w:val="24"/>
          <w:lang w:eastAsia="es-CO"/>
        </w:rPr>
        <w:t xml:space="preserve">En virtud del requisito de procedibilidad de </w:t>
      </w:r>
      <w:r>
        <w:rPr>
          <w:b/>
          <w:bCs/>
          <w:sz w:val="24"/>
          <w:szCs w:val="24"/>
          <w:lang w:eastAsia="es-CO"/>
        </w:rPr>
        <w:t>relevancia constitucional</w:t>
      </w:r>
      <w:r>
        <w:rPr>
          <w:sz w:val="24"/>
          <w:szCs w:val="24"/>
          <w:lang w:eastAsia="es-CO"/>
        </w:rPr>
        <w:t xml:space="preserve">, el escrito de tutela debe contener una debida carga argumentativa, que pueda demostrar en materia de defectos, los yerros en que los incurrió el juez de instancia al decidir la controversia, y cómo esos errores vulneraron el derecho fundamental invocado. Esto es así, porque </w:t>
      </w:r>
      <w:r>
        <w:rPr>
          <w:sz w:val="24"/>
          <w:szCs w:val="24"/>
          <w:lang w:val="es-ES" w:eastAsia="es-CO"/>
        </w:rPr>
        <w:t>“la función del juez de tutela no es la de fungir como una instancia adicional del procedimiento judicial que se cuestiona, pues ello desconocería la competencia y finalidad de la administración de justicia por parte de los jueces naturales, así como su autonomía funcional”</w:t>
      </w:r>
      <w:r>
        <w:rPr>
          <w:sz w:val="24"/>
          <w:szCs w:val="24"/>
          <w:vertAlign w:val="superscript"/>
          <w:lang w:eastAsia="es-CO"/>
        </w:rPr>
        <w:footnoteReference w:id="29"/>
      </w:r>
      <w:r>
        <w:rPr>
          <w:sz w:val="24"/>
          <w:szCs w:val="24"/>
          <w:lang w:val="es-ES" w:eastAsia="es-CO"/>
        </w:rPr>
        <w:t>.</w:t>
      </w:r>
    </w:p>
    <w:p w14:paraId="37BE2685" w14:textId="7F0D141A" w:rsidR="00554BC1" w:rsidRDefault="001E19FB" w:rsidP="001E19FB">
      <w:pPr>
        <w:widowControl w:val="0"/>
        <w:spacing w:after="240"/>
        <w:textAlignment w:val="baseline"/>
        <w:rPr>
          <w:sz w:val="24"/>
          <w:szCs w:val="24"/>
        </w:rPr>
      </w:pPr>
      <w:r>
        <w:rPr>
          <w:sz w:val="24"/>
          <w:szCs w:val="24"/>
          <w:lang w:val="es-ES" w:eastAsia="es-CO"/>
        </w:rPr>
        <w:t xml:space="preserve">2.2.2. En el </w:t>
      </w:r>
      <w:r w:rsidR="00780D84">
        <w:rPr>
          <w:sz w:val="24"/>
          <w:szCs w:val="24"/>
          <w:lang w:val="es-ES" w:eastAsia="es-CO"/>
        </w:rPr>
        <w:t>presente asunto</w:t>
      </w:r>
      <w:r>
        <w:rPr>
          <w:sz w:val="24"/>
          <w:szCs w:val="24"/>
          <w:lang w:val="es-ES" w:eastAsia="es-CO"/>
        </w:rPr>
        <w:t xml:space="preserve">, </w:t>
      </w:r>
      <w:r w:rsidR="00780D84">
        <w:rPr>
          <w:sz w:val="24"/>
          <w:szCs w:val="24"/>
          <w:lang w:val="es-ES" w:eastAsia="es-CO"/>
        </w:rPr>
        <w:t xml:space="preserve">Paula Gaviria Betancur cuestionó la constitucionalidad del auto </w:t>
      </w:r>
      <w:r w:rsidR="00BE0854">
        <w:rPr>
          <w:sz w:val="24"/>
          <w:szCs w:val="24"/>
          <w:lang w:val="es-ES" w:eastAsia="es-CO"/>
        </w:rPr>
        <w:t>de 19 de abril de 2022</w:t>
      </w:r>
      <w:r w:rsidR="00874A24">
        <w:rPr>
          <w:sz w:val="24"/>
          <w:szCs w:val="24"/>
          <w:lang w:val="es-ES" w:eastAsia="es-CO"/>
        </w:rPr>
        <w:t xml:space="preserve">, en el que el Tribunal Administrativo del Atlántico </w:t>
      </w:r>
      <w:r w:rsidR="00981B5B">
        <w:rPr>
          <w:sz w:val="24"/>
          <w:szCs w:val="24"/>
          <w:lang w:val="es-ES" w:eastAsia="es-CO"/>
        </w:rPr>
        <w:t>no accedió a la</w:t>
      </w:r>
      <w:r w:rsidR="00874A24">
        <w:rPr>
          <w:sz w:val="24"/>
          <w:szCs w:val="24"/>
          <w:lang w:val="es-ES" w:eastAsia="es-CO"/>
        </w:rPr>
        <w:t xml:space="preserve"> solicitud que presentó el 9 de marzo de 2022, con el fin de que (i) decretara la pérdida de fuerza ejecutoria </w:t>
      </w:r>
      <w:r w:rsidR="00981B5B">
        <w:rPr>
          <w:sz w:val="24"/>
          <w:szCs w:val="24"/>
          <w:lang w:val="es-ES" w:eastAsia="es-CO"/>
        </w:rPr>
        <w:t xml:space="preserve">de la providencia del 21 de abril de 2016, posteriormente confirmada en auto del 8 de junio siguiente, </w:t>
      </w:r>
      <w:r w:rsidR="009D4534">
        <w:rPr>
          <w:sz w:val="24"/>
          <w:szCs w:val="24"/>
          <w:lang w:val="es-ES" w:eastAsia="es-CO"/>
        </w:rPr>
        <w:t>e</w:t>
      </w:r>
      <w:r w:rsidR="00981B5B">
        <w:rPr>
          <w:sz w:val="24"/>
          <w:szCs w:val="24"/>
          <w:lang w:val="es-ES" w:eastAsia="es-CO"/>
        </w:rPr>
        <w:t xml:space="preserve"> (ii) </w:t>
      </w:r>
      <w:r w:rsidR="00554BC1">
        <w:rPr>
          <w:sz w:val="24"/>
          <w:szCs w:val="24"/>
          <w:lang w:val="es-ES" w:eastAsia="es-CO"/>
        </w:rPr>
        <w:t>informara</w:t>
      </w:r>
      <w:r w:rsidR="00981B5B">
        <w:rPr>
          <w:sz w:val="24"/>
          <w:szCs w:val="24"/>
          <w:lang w:val="es-ES" w:eastAsia="es-CO"/>
        </w:rPr>
        <w:t xml:space="preserve"> a la </w:t>
      </w:r>
      <w:r w:rsidR="00981B5B">
        <w:rPr>
          <w:sz w:val="24"/>
          <w:szCs w:val="24"/>
          <w:lang w:val="es-ES" w:eastAsia="es-CO"/>
        </w:rPr>
        <w:lastRenderedPageBreak/>
        <w:t>Dirección Ejecutiva de Administración Judicial</w:t>
      </w:r>
      <w:r w:rsidR="00554BC1">
        <w:rPr>
          <w:sz w:val="24"/>
          <w:szCs w:val="24"/>
          <w:lang w:val="es-ES" w:eastAsia="es-CO"/>
        </w:rPr>
        <w:t xml:space="preserve"> sobre el cumplimiento del fallo que dio origen a la sanción y su consecuen</w:t>
      </w:r>
      <w:r w:rsidR="009A2E15">
        <w:rPr>
          <w:sz w:val="24"/>
          <w:szCs w:val="24"/>
          <w:lang w:val="es-ES" w:eastAsia="es-CO"/>
        </w:rPr>
        <w:t>te</w:t>
      </w:r>
      <w:r w:rsidR="00554BC1">
        <w:rPr>
          <w:sz w:val="24"/>
          <w:szCs w:val="24"/>
          <w:lang w:val="es-ES" w:eastAsia="es-CO"/>
        </w:rPr>
        <w:t xml:space="preserve"> inejecutabilidad. </w:t>
      </w:r>
      <w:r>
        <w:rPr>
          <w:sz w:val="24"/>
          <w:szCs w:val="24"/>
        </w:rPr>
        <w:t xml:space="preserve">En su escrito, la accionante no protestó la configuración de algún defecto en específico, </w:t>
      </w:r>
      <w:r w:rsidR="00117E1A">
        <w:rPr>
          <w:sz w:val="24"/>
          <w:szCs w:val="24"/>
        </w:rPr>
        <w:t xml:space="preserve">sin embargo, los argumentos planteados se adecuan a un </w:t>
      </w:r>
      <w:r w:rsidR="00117E1A" w:rsidRPr="009D4534">
        <w:rPr>
          <w:b/>
          <w:sz w:val="24"/>
          <w:szCs w:val="24"/>
        </w:rPr>
        <w:t>defecto sustantivo</w:t>
      </w:r>
      <w:r w:rsidR="00117E1A">
        <w:rPr>
          <w:sz w:val="24"/>
          <w:szCs w:val="24"/>
        </w:rPr>
        <w:t xml:space="preserve"> por </w:t>
      </w:r>
      <w:r w:rsidR="00CE33BC">
        <w:rPr>
          <w:sz w:val="24"/>
          <w:szCs w:val="24"/>
        </w:rPr>
        <w:t xml:space="preserve">inaplicación de lo dispuesto en el artículo 5 del Acuerdo No. </w:t>
      </w:r>
      <w:r w:rsidR="00CE33BC" w:rsidRPr="00670CB6">
        <w:rPr>
          <w:sz w:val="24"/>
          <w:szCs w:val="24"/>
        </w:rPr>
        <w:t>PSAA10-6979 de junio 18 de 2010</w:t>
      </w:r>
      <w:r w:rsidR="00CE33BC">
        <w:rPr>
          <w:sz w:val="24"/>
          <w:szCs w:val="24"/>
        </w:rPr>
        <w:t>, y por desconocimiento del precedente.</w:t>
      </w:r>
    </w:p>
    <w:p w14:paraId="14D88BBE" w14:textId="47C291E1" w:rsidR="00322FFB" w:rsidRDefault="00CB5693" w:rsidP="001E19FB">
      <w:pPr>
        <w:widowControl w:val="0"/>
        <w:spacing w:after="240"/>
        <w:textAlignment w:val="baseline"/>
        <w:rPr>
          <w:sz w:val="24"/>
          <w:szCs w:val="24"/>
          <w:lang w:val="es-ES" w:eastAsia="es-CO"/>
        </w:rPr>
      </w:pPr>
      <w:r>
        <w:rPr>
          <w:sz w:val="24"/>
          <w:szCs w:val="24"/>
        </w:rPr>
        <w:t xml:space="preserve">2.2.3. </w:t>
      </w:r>
      <w:r w:rsidR="00CF5589">
        <w:rPr>
          <w:sz w:val="24"/>
          <w:szCs w:val="24"/>
        </w:rPr>
        <w:t>Ahora bien</w:t>
      </w:r>
      <w:r w:rsidR="00322FFB">
        <w:rPr>
          <w:sz w:val="24"/>
          <w:szCs w:val="24"/>
        </w:rPr>
        <w:t>,</w:t>
      </w:r>
      <w:r w:rsidR="00CF5589">
        <w:rPr>
          <w:sz w:val="24"/>
          <w:szCs w:val="24"/>
        </w:rPr>
        <w:t xml:space="preserve"> en relación con la inaplicación de lo establecido en el mencionado acto administrativo,</w:t>
      </w:r>
      <w:r w:rsidR="00322FFB">
        <w:rPr>
          <w:sz w:val="24"/>
          <w:szCs w:val="24"/>
        </w:rPr>
        <w:t xml:space="preserve"> </w:t>
      </w:r>
      <w:r w:rsidR="00CF5589">
        <w:rPr>
          <w:sz w:val="24"/>
          <w:szCs w:val="24"/>
        </w:rPr>
        <w:t xml:space="preserve">la Sala observó, luego de revisar la solicitud que dio origen a la providencia objeto de la acción de tutela, y el contenido de esta última, que la señora Gaviria Betancur indicó al referido tribunal que en su caso debía aplicar lo dispuesto en el artículo 5, para efectos de que informara a la </w:t>
      </w:r>
      <w:r w:rsidR="00CF5589">
        <w:rPr>
          <w:sz w:val="24"/>
          <w:szCs w:val="24"/>
          <w:lang w:val="es-ES" w:eastAsia="es-CO"/>
        </w:rPr>
        <w:t>Dirección Ejecutiva de Administración Judicial, que la sanción que le había sido impuesta por desacato ya no podía ser ejecutada.</w:t>
      </w:r>
      <w:r w:rsidR="00CF5589">
        <w:rPr>
          <w:sz w:val="24"/>
          <w:szCs w:val="24"/>
        </w:rPr>
        <w:t xml:space="preserve"> </w:t>
      </w:r>
      <w:r w:rsidR="009A2E15">
        <w:rPr>
          <w:sz w:val="24"/>
          <w:szCs w:val="24"/>
          <w:lang w:val="es-ES" w:eastAsia="es-CO"/>
        </w:rPr>
        <w:t xml:space="preserve">Frente a dicha petición, la mencionada autoridad judicial expuso que </w:t>
      </w:r>
      <w:r w:rsidR="007F5765">
        <w:rPr>
          <w:sz w:val="24"/>
          <w:szCs w:val="24"/>
          <w:lang w:val="es-ES" w:eastAsia="es-CO"/>
        </w:rPr>
        <w:t xml:space="preserve">el </w:t>
      </w:r>
      <w:r w:rsidR="009D4534">
        <w:rPr>
          <w:sz w:val="24"/>
          <w:szCs w:val="24"/>
          <w:lang w:val="es-ES" w:eastAsia="es-CO"/>
        </w:rPr>
        <w:t>A</w:t>
      </w:r>
      <w:r w:rsidR="007F5765">
        <w:rPr>
          <w:sz w:val="24"/>
          <w:szCs w:val="24"/>
          <w:lang w:val="es-ES" w:eastAsia="es-CO"/>
        </w:rPr>
        <w:t>cuerdo</w:t>
      </w:r>
      <w:r w:rsidR="009A2E15">
        <w:rPr>
          <w:sz w:val="24"/>
          <w:szCs w:val="24"/>
          <w:lang w:val="es-ES" w:eastAsia="es-CO"/>
        </w:rPr>
        <w:t xml:space="preserve"> </w:t>
      </w:r>
      <w:r>
        <w:rPr>
          <w:sz w:val="24"/>
          <w:szCs w:val="24"/>
          <w:lang w:val="es-ES" w:eastAsia="es-CO"/>
        </w:rPr>
        <w:t>no contenía disposiciones que estuvieran encaminadas a eximir d</w:t>
      </w:r>
      <w:r w:rsidR="009A2E15">
        <w:rPr>
          <w:sz w:val="24"/>
          <w:szCs w:val="24"/>
          <w:lang w:val="es-ES" w:eastAsia="es-CO"/>
        </w:rPr>
        <w:t xml:space="preserve">el pago </w:t>
      </w:r>
      <w:r>
        <w:rPr>
          <w:sz w:val="24"/>
          <w:szCs w:val="24"/>
          <w:lang w:val="es-ES" w:eastAsia="es-CO"/>
        </w:rPr>
        <w:t>por</w:t>
      </w:r>
      <w:r w:rsidR="009A2E15">
        <w:rPr>
          <w:sz w:val="24"/>
          <w:szCs w:val="24"/>
          <w:lang w:val="es-ES" w:eastAsia="es-CO"/>
        </w:rPr>
        <w:t xml:space="preserve"> sanciones</w:t>
      </w:r>
      <w:r>
        <w:rPr>
          <w:sz w:val="24"/>
          <w:szCs w:val="24"/>
          <w:lang w:val="es-ES" w:eastAsia="es-CO"/>
        </w:rPr>
        <w:t xml:space="preserve"> impuestas en trámites incidentales. Por el contrario, explicó que en aquella normativa se estableció el procedimiento que las oficinas de cobro coactivo de las Direcciones Ejecutivas de Administración Judicial debían adelantar para efectos de recaudar el pago de las multas impuestas</w:t>
      </w:r>
      <w:r w:rsidR="00BA2D83">
        <w:rPr>
          <w:sz w:val="24"/>
          <w:szCs w:val="24"/>
          <w:lang w:val="es-ES" w:eastAsia="es-CO"/>
        </w:rPr>
        <w:t>, motivo por el que, entre otras razones, no podía acceder a dicha petición</w:t>
      </w:r>
      <w:r>
        <w:rPr>
          <w:sz w:val="24"/>
          <w:szCs w:val="24"/>
          <w:lang w:val="es-ES" w:eastAsia="es-CO"/>
        </w:rPr>
        <w:t xml:space="preserve">. </w:t>
      </w:r>
    </w:p>
    <w:p w14:paraId="19ED8BA3" w14:textId="0FA9ADD9" w:rsidR="007F5765" w:rsidRDefault="00BA2D83" w:rsidP="001E19FB">
      <w:pPr>
        <w:widowControl w:val="0"/>
        <w:spacing w:after="240"/>
        <w:textAlignment w:val="baseline"/>
        <w:rPr>
          <w:sz w:val="24"/>
          <w:szCs w:val="24"/>
          <w:lang w:val="es-ES" w:eastAsia="es-CO"/>
        </w:rPr>
      </w:pPr>
      <w:r>
        <w:rPr>
          <w:sz w:val="24"/>
          <w:szCs w:val="24"/>
          <w:lang w:val="es-ES" w:eastAsia="es-CO"/>
        </w:rPr>
        <w:t>Para la Sala</w:t>
      </w:r>
      <w:r w:rsidR="007F5765">
        <w:rPr>
          <w:sz w:val="24"/>
          <w:szCs w:val="24"/>
          <w:lang w:val="es-ES" w:eastAsia="es-CO"/>
        </w:rPr>
        <w:t xml:space="preserve"> es claro que el </w:t>
      </w:r>
      <w:r w:rsidR="009D4534">
        <w:rPr>
          <w:sz w:val="24"/>
          <w:szCs w:val="24"/>
          <w:lang w:val="es-ES" w:eastAsia="es-CO"/>
        </w:rPr>
        <w:t>fundamento</w:t>
      </w:r>
      <w:r w:rsidR="007F5765">
        <w:rPr>
          <w:sz w:val="24"/>
          <w:szCs w:val="24"/>
          <w:lang w:val="es-ES" w:eastAsia="es-CO"/>
        </w:rPr>
        <w:t xml:space="preserve"> bajo análisis no reflej</w:t>
      </w:r>
      <w:r w:rsidR="00137D0C">
        <w:rPr>
          <w:sz w:val="24"/>
          <w:szCs w:val="24"/>
          <w:lang w:val="es-ES" w:eastAsia="es-CO"/>
        </w:rPr>
        <w:t>ó</w:t>
      </w:r>
      <w:r w:rsidR="007F5765">
        <w:rPr>
          <w:sz w:val="24"/>
          <w:szCs w:val="24"/>
          <w:lang w:val="es-ES" w:eastAsia="es-CO"/>
        </w:rPr>
        <w:t xml:space="preserve"> la vulneración de los derechos invocados </w:t>
      </w:r>
      <w:r w:rsidR="00137D0C">
        <w:rPr>
          <w:sz w:val="24"/>
          <w:szCs w:val="24"/>
          <w:lang w:val="es-ES" w:eastAsia="es-CO"/>
        </w:rPr>
        <w:t xml:space="preserve">protestada </w:t>
      </w:r>
      <w:r w:rsidR="007F5765">
        <w:rPr>
          <w:sz w:val="24"/>
          <w:szCs w:val="24"/>
          <w:lang w:val="es-ES" w:eastAsia="es-CO"/>
        </w:rPr>
        <w:t xml:space="preserve">por la señora Gaviria Betancur, </w:t>
      </w:r>
      <w:r w:rsidR="00137D0C">
        <w:rPr>
          <w:sz w:val="24"/>
          <w:szCs w:val="24"/>
          <w:lang w:val="es-ES" w:eastAsia="es-CO"/>
        </w:rPr>
        <w:t xml:space="preserve">pues está encaminado a que se revise nuevamente su argumentación, sin que se tenga en cuenta el análisis </w:t>
      </w:r>
      <w:r w:rsidR="00896128">
        <w:rPr>
          <w:sz w:val="24"/>
          <w:szCs w:val="24"/>
          <w:lang w:val="es-ES" w:eastAsia="es-CO"/>
        </w:rPr>
        <w:t>que</w:t>
      </w:r>
      <w:r w:rsidR="00137D0C">
        <w:rPr>
          <w:sz w:val="24"/>
          <w:szCs w:val="24"/>
          <w:lang w:val="es-ES" w:eastAsia="es-CO"/>
        </w:rPr>
        <w:t xml:space="preserve"> el Tribunal Administrativo del Atlántico </w:t>
      </w:r>
      <w:r w:rsidR="00896128">
        <w:rPr>
          <w:sz w:val="24"/>
          <w:szCs w:val="24"/>
          <w:lang w:val="es-ES" w:eastAsia="es-CO"/>
        </w:rPr>
        <w:t xml:space="preserve">realizó </w:t>
      </w:r>
      <w:r w:rsidR="00137D0C">
        <w:rPr>
          <w:sz w:val="24"/>
          <w:szCs w:val="24"/>
          <w:lang w:val="es-ES" w:eastAsia="es-CO"/>
        </w:rPr>
        <w:t xml:space="preserve">al examinar la solicitud junto con el contenido de la norma. Así mismo, el cargo carece de relevancia constitucional, pues no cuestionó las consideraciones </w:t>
      </w:r>
      <w:r w:rsidR="009E2CDF">
        <w:rPr>
          <w:sz w:val="24"/>
          <w:szCs w:val="24"/>
          <w:lang w:val="es-ES" w:eastAsia="es-CO"/>
        </w:rPr>
        <w:t>expuestas por</w:t>
      </w:r>
      <w:r w:rsidR="00137D0C">
        <w:rPr>
          <w:sz w:val="24"/>
          <w:szCs w:val="24"/>
          <w:lang w:val="es-ES" w:eastAsia="es-CO"/>
        </w:rPr>
        <w:t xml:space="preserve"> la referida autoridad judicial, sino que fue presentado </w:t>
      </w:r>
      <w:r w:rsidR="009E2CDF">
        <w:rPr>
          <w:sz w:val="24"/>
          <w:szCs w:val="24"/>
          <w:lang w:val="es-ES" w:eastAsia="es-CO"/>
        </w:rPr>
        <w:t>de</w:t>
      </w:r>
      <w:r w:rsidR="00137D0C">
        <w:rPr>
          <w:sz w:val="24"/>
          <w:szCs w:val="24"/>
          <w:lang w:val="es-ES" w:eastAsia="es-CO"/>
        </w:rPr>
        <w:t xml:space="preserve"> la misma forma en la que fue planteado en la petición del 9 de marzo del año en curso, con el fin de que el juez constitucional adoptara una interpretación distinta de</w:t>
      </w:r>
      <w:r w:rsidR="009E2CDF">
        <w:rPr>
          <w:sz w:val="24"/>
          <w:szCs w:val="24"/>
          <w:lang w:val="es-ES" w:eastAsia="es-CO"/>
        </w:rPr>
        <w:t xml:space="preserve"> la aplicación de la norma en comento, que fuera afín a los intereses de la señora Gaviria Betancur, y así accediera a su solicitud. </w:t>
      </w:r>
    </w:p>
    <w:p w14:paraId="683321E2" w14:textId="3BA66B2E" w:rsidR="001F2DF0" w:rsidRDefault="00896128" w:rsidP="001E19FB">
      <w:pPr>
        <w:widowControl w:val="0"/>
        <w:spacing w:after="240"/>
        <w:textAlignment w:val="baseline"/>
        <w:rPr>
          <w:sz w:val="24"/>
          <w:szCs w:val="24"/>
          <w:lang w:val="es-ES" w:eastAsia="es-CO"/>
        </w:rPr>
      </w:pPr>
      <w:r>
        <w:rPr>
          <w:sz w:val="24"/>
          <w:szCs w:val="24"/>
          <w:lang w:val="es-ES" w:eastAsia="es-CO"/>
        </w:rPr>
        <w:t xml:space="preserve">2.2.4. En cuanto al cargo de desconocimiento del precedente, </w:t>
      </w:r>
      <w:r w:rsidR="001F2DF0">
        <w:rPr>
          <w:sz w:val="24"/>
          <w:szCs w:val="24"/>
          <w:lang w:val="es-ES" w:eastAsia="es-CO"/>
        </w:rPr>
        <w:t>la señora Gaviria Betancur afirmó que</w:t>
      </w:r>
      <w:r w:rsidR="00BE67F3">
        <w:rPr>
          <w:sz w:val="24"/>
          <w:szCs w:val="24"/>
          <w:lang w:val="es-ES" w:eastAsia="es-CO"/>
        </w:rPr>
        <w:t xml:space="preserve"> el Tribunal Administrativo de Atlántico, al negarse a inaplicar </w:t>
      </w:r>
      <w:r w:rsidR="003273DD">
        <w:rPr>
          <w:sz w:val="24"/>
          <w:szCs w:val="24"/>
          <w:lang w:val="es-ES" w:eastAsia="es-CO"/>
        </w:rPr>
        <w:t>l</w:t>
      </w:r>
      <w:r w:rsidR="00BE67F3">
        <w:rPr>
          <w:sz w:val="24"/>
          <w:szCs w:val="24"/>
          <w:lang w:val="es-ES" w:eastAsia="es-CO"/>
        </w:rPr>
        <w:t>a sanción impuesta en el incidente de desacato,</w:t>
      </w:r>
      <w:r w:rsidR="001F2DF0">
        <w:rPr>
          <w:sz w:val="24"/>
          <w:szCs w:val="24"/>
          <w:lang w:val="es-ES" w:eastAsia="es-CO"/>
        </w:rPr>
        <w:t xml:space="preserve"> no tuvo en cuenta lo establecido en la sentencia </w:t>
      </w:r>
      <w:r w:rsidR="001F2DF0" w:rsidRPr="00286CFE">
        <w:rPr>
          <w:b/>
          <w:sz w:val="24"/>
          <w:szCs w:val="24"/>
          <w:lang w:val="es-ES" w:eastAsia="es-CO"/>
        </w:rPr>
        <w:t>SU-034 de 2018</w:t>
      </w:r>
      <w:r w:rsidR="001F2DF0">
        <w:rPr>
          <w:sz w:val="24"/>
          <w:szCs w:val="24"/>
          <w:lang w:val="es-ES" w:eastAsia="es-CO"/>
        </w:rPr>
        <w:t>, pues en ella el alto Tribunal Constitucional indicó que, como la finalidad del desacato</w:t>
      </w:r>
      <w:r w:rsidR="001F2DF0" w:rsidRPr="001F2DF0">
        <w:rPr>
          <w:sz w:val="24"/>
          <w:szCs w:val="24"/>
          <w:lang w:val="es-ES" w:eastAsia="es-CO"/>
        </w:rPr>
        <w:t xml:space="preserve"> </w:t>
      </w:r>
      <w:r w:rsidR="0065425B">
        <w:rPr>
          <w:sz w:val="24"/>
          <w:szCs w:val="24"/>
          <w:lang w:val="es-ES" w:eastAsia="es-CO"/>
        </w:rPr>
        <w:t>era</w:t>
      </w:r>
      <w:r w:rsidR="001F2DF0">
        <w:rPr>
          <w:sz w:val="24"/>
          <w:szCs w:val="24"/>
          <w:lang w:val="es-ES" w:eastAsia="es-CO"/>
        </w:rPr>
        <w:t xml:space="preserve"> persuadir el cumplimiento de la orden más allá de </w:t>
      </w:r>
      <w:r w:rsidR="00BE67F3">
        <w:rPr>
          <w:sz w:val="24"/>
          <w:szCs w:val="24"/>
          <w:lang w:val="es-ES" w:eastAsia="es-CO"/>
        </w:rPr>
        <w:t>la imposición de</w:t>
      </w:r>
      <w:r w:rsidR="001F2DF0">
        <w:rPr>
          <w:sz w:val="24"/>
          <w:szCs w:val="24"/>
          <w:lang w:val="es-ES" w:eastAsia="es-CO"/>
        </w:rPr>
        <w:t xml:space="preserve"> una sanción, los jueces </w:t>
      </w:r>
      <w:r w:rsidR="00BE67F3">
        <w:rPr>
          <w:sz w:val="24"/>
          <w:szCs w:val="24"/>
          <w:lang w:val="es-ES" w:eastAsia="es-CO"/>
        </w:rPr>
        <w:t>podían</w:t>
      </w:r>
      <w:r w:rsidR="006B0C45">
        <w:rPr>
          <w:sz w:val="24"/>
          <w:szCs w:val="24"/>
          <w:lang w:val="es-ES" w:eastAsia="es-CO"/>
        </w:rPr>
        <w:t xml:space="preserve"> levantar</w:t>
      </w:r>
      <w:r w:rsidR="001F2DF0">
        <w:rPr>
          <w:sz w:val="24"/>
          <w:szCs w:val="24"/>
          <w:lang w:val="es-ES" w:eastAsia="es-CO"/>
        </w:rPr>
        <w:t>las si se acredita</w:t>
      </w:r>
      <w:r w:rsidR="00BE67F3">
        <w:rPr>
          <w:sz w:val="24"/>
          <w:szCs w:val="24"/>
          <w:lang w:val="es-ES" w:eastAsia="es-CO"/>
        </w:rPr>
        <w:t>ba</w:t>
      </w:r>
      <w:r w:rsidR="001F2DF0">
        <w:rPr>
          <w:sz w:val="24"/>
          <w:szCs w:val="24"/>
          <w:lang w:val="es-ES" w:eastAsia="es-CO"/>
        </w:rPr>
        <w:t xml:space="preserve"> el cumplimiento de</w:t>
      </w:r>
      <w:r w:rsidR="00712426">
        <w:rPr>
          <w:sz w:val="24"/>
          <w:szCs w:val="24"/>
          <w:lang w:val="es-ES" w:eastAsia="es-CO"/>
        </w:rPr>
        <w:t>l</w:t>
      </w:r>
      <w:r w:rsidR="001F2DF0">
        <w:rPr>
          <w:sz w:val="24"/>
          <w:szCs w:val="24"/>
          <w:lang w:val="es-ES" w:eastAsia="es-CO"/>
        </w:rPr>
        <w:t xml:space="preserve"> fallo desacatado. </w:t>
      </w:r>
      <w:r w:rsidR="00BE67F3">
        <w:rPr>
          <w:sz w:val="24"/>
          <w:szCs w:val="24"/>
          <w:lang w:val="es-ES" w:eastAsia="es-CO"/>
        </w:rPr>
        <w:t>Por esa razón</w:t>
      </w:r>
      <w:r w:rsidR="001F2DF0">
        <w:rPr>
          <w:sz w:val="24"/>
          <w:szCs w:val="24"/>
          <w:lang w:val="es-ES" w:eastAsia="es-CO"/>
        </w:rPr>
        <w:t xml:space="preserve">, a su juicio, </w:t>
      </w:r>
      <w:r w:rsidR="00BE67F3">
        <w:rPr>
          <w:sz w:val="24"/>
          <w:szCs w:val="24"/>
          <w:lang w:val="es-ES" w:eastAsia="es-CO"/>
        </w:rPr>
        <w:t>la referida autoridad</w:t>
      </w:r>
      <w:r w:rsidR="001F2DF0">
        <w:rPr>
          <w:sz w:val="24"/>
          <w:szCs w:val="24"/>
          <w:lang w:val="es-ES" w:eastAsia="es-CO"/>
        </w:rPr>
        <w:t xml:space="preserve"> debía inaplicar la sanción, en la medida en que, tanto ella, como la UARIV, acreditaron el cumplimiento en varias oportunidades</w:t>
      </w:r>
      <w:r w:rsidR="0065425B">
        <w:rPr>
          <w:sz w:val="24"/>
          <w:szCs w:val="24"/>
          <w:lang w:val="es-ES" w:eastAsia="es-CO"/>
        </w:rPr>
        <w:t>,</w:t>
      </w:r>
      <w:r w:rsidR="001F2DF0">
        <w:rPr>
          <w:sz w:val="24"/>
          <w:szCs w:val="24"/>
          <w:lang w:val="es-ES" w:eastAsia="es-CO"/>
        </w:rPr>
        <w:t xml:space="preserve"> desde que la</w:t>
      </w:r>
      <w:r w:rsidR="00FC5250">
        <w:rPr>
          <w:sz w:val="24"/>
          <w:szCs w:val="24"/>
          <w:lang w:val="es-ES" w:eastAsia="es-CO"/>
        </w:rPr>
        <w:t xml:space="preserve"> Sección Quinta del Consejo de E</w:t>
      </w:r>
      <w:r w:rsidR="001F2DF0">
        <w:rPr>
          <w:sz w:val="24"/>
          <w:szCs w:val="24"/>
          <w:lang w:val="es-ES" w:eastAsia="es-CO"/>
        </w:rPr>
        <w:t>stado dejó en firme la sanción</w:t>
      </w:r>
      <w:r w:rsidR="0065425B">
        <w:rPr>
          <w:sz w:val="24"/>
          <w:szCs w:val="24"/>
          <w:lang w:val="es-ES" w:eastAsia="es-CO"/>
        </w:rPr>
        <w:t>.</w:t>
      </w:r>
    </w:p>
    <w:p w14:paraId="45B86B62" w14:textId="7F3138FC" w:rsidR="009A0018" w:rsidRDefault="00BE67F3" w:rsidP="001E19FB">
      <w:pPr>
        <w:widowControl w:val="0"/>
        <w:spacing w:after="240"/>
        <w:textAlignment w:val="baseline"/>
        <w:rPr>
          <w:sz w:val="24"/>
          <w:szCs w:val="24"/>
          <w:lang w:eastAsia="es-CO"/>
        </w:rPr>
      </w:pPr>
      <w:r>
        <w:rPr>
          <w:sz w:val="24"/>
          <w:szCs w:val="24"/>
          <w:lang w:val="es-ES" w:eastAsia="es-CO"/>
        </w:rPr>
        <w:t xml:space="preserve">Pues bien, al revisar </w:t>
      </w:r>
      <w:r w:rsidR="0065425B">
        <w:rPr>
          <w:sz w:val="24"/>
          <w:szCs w:val="24"/>
          <w:lang w:val="es-ES" w:eastAsia="es-CO"/>
        </w:rPr>
        <w:t>dicha providencia</w:t>
      </w:r>
      <w:r>
        <w:rPr>
          <w:sz w:val="24"/>
          <w:szCs w:val="24"/>
          <w:lang w:val="es-ES" w:eastAsia="es-CO"/>
        </w:rPr>
        <w:t xml:space="preserve">, la Sala verificó que en </w:t>
      </w:r>
      <w:r w:rsidR="00286CFE">
        <w:rPr>
          <w:sz w:val="24"/>
          <w:szCs w:val="24"/>
          <w:lang w:val="es-ES" w:eastAsia="es-CO"/>
        </w:rPr>
        <w:t>aqu</w:t>
      </w:r>
      <w:r>
        <w:rPr>
          <w:sz w:val="24"/>
          <w:szCs w:val="24"/>
          <w:lang w:val="es-ES" w:eastAsia="es-CO"/>
        </w:rPr>
        <w:t>ella</w:t>
      </w:r>
      <w:r w:rsidR="003273DD">
        <w:rPr>
          <w:sz w:val="24"/>
          <w:szCs w:val="24"/>
          <w:lang w:val="es-ES" w:eastAsia="es-CO"/>
        </w:rPr>
        <w:t>,</w:t>
      </w:r>
      <w:r>
        <w:rPr>
          <w:sz w:val="24"/>
          <w:szCs w:val="24"/>
          <w:lang w:val="es-ES" w:eastAsia="es-CO"/>
        </w:rPr>
        <w:t xml:space="preserve"> la discusión del problema jurídico planteado versó sobre la</w:t>
      </w:r>
      <w:r w:rsidR="006B0C45">
        <w:rPr>
          <w:sz w:val="24"/>
          <w:szCs w:val="24"/>
          <w:lang w:val="es-ES" w:eastAsia="es-CO"/>
        </w:rPr>
        <w:t xml:space="preserve"> existencia de</w:t>
      </w:r>
      <w:r>
        <w:rPr>
          <w:sz w:val="24"/>
          <w:szCs w:val="24"/>
          <w:lang w:val="es-ES" w:eastAsia="es-CO"/>
        </w:rPr>
        <w:t xml:space="preserve"> vulneración de derechos fundamentales por parte de las autoridades judiciales que se negaron a levantar las sanciones impuestas en incidentes de desacato, luego de haberse acreditado el cumplimiento de los fallos de forma extemporánea. </w:t>
      </w:r>
      <w:r w:rsidR="006B0C45">
        <w:rPr>
          <w:sz w:val="24"/>
          <w:szCs w:val="24"/>
          <w:lang w:val="es-ES" w:eastAsia="es-CO"/>
        </w:rPr>
        <w:t>Para ello, analizó, entre otros ejes temáticos, el deber de cumplimiento de las providencias judiciales como componente del derecho fundamental al acceso a la administración de justicia y al debido proceso</w:t>
      </w:r>
      <w:r w:rsidR="009A0018">
        <w:rPr>
          <w:sz w:val="24"/>
          <w:szCs w:val="24"/>
          <w:lang w:val="es-ES" w:eastAsia="es-CO"/>
        </w:rPr>
        <w:t xml:space="preserve">, y la </w:t>
      </w:r>
      <w:r w:rsidR="009A0018" w:rsidRPr="009A0018">
        <w:rPr>
          <w:sz w:val="24"/>
          <w:szCs w:val="24"/>
          <w:lang w:eastAsia="es-CO"/>
        </w:rPr>
        <w:t>jurisprudencia constitucional en relación con el incidente de desacato como mecanismo de carácter judicial para hacer cumplir los fallos</w:t>
      </w:r>
      <w:r w:rsidR="009A0018">
        <w:rPr>
          <w:sz w:val="24"/>
          <w:szCs w:val="24"/>
          <w:lang w:eastAsia="es-CO"/>
        </w:rPr>
        <w:t xml:space="preserve">. </w:t>
      </w:r>
    </w:p>
    <w:p w14:paraId="430CB683" w14:textId="77777777" w:rsidR="00204759" w:rsidRDefault="009A0018" w:rsidP="00204759">
      <w:pPr>
        <w:widowControl w:val="0"/>
        <w:spacing w:after="240"/>
        <w:textAlignment w:val="baseline"/>
        <w:rPr>
          <w:sz w:val="24"/>
          <w:szCs w:val="24"/>
          <w:lang w:eastAsia="es-CO"/>
        </w:rPr>
      </w:pPr>
      <w:r>
        <w:rPr>
          <w:sz w:val="24"/>
          <w:szCs w:val="24"/>
          <w:lang w:eastAsia="es-CO"/>
        </w:rPr>
        <w:t>En ese orden, la Corte Constitucional concluyó que el acceso a la administración de justicia “</w:t>
      </w:r>
      <w:r w:rsidRPr="009A0018">
        <w:rPr>
          <w:sz w:val="24"/>
          <w:szCs w:val="24"/>
          <w:lang w:eastAsia="es-CO"/>
        </w:rPr>
        <w:t xml:space="preserve">no se circunscribe exclusivamente al ejercicio del derecho de acción, sino que está inescindiblemente vinculado al debido proceso y a la expectativa de las partes de que, una vez en firme, la decisión judicial que pone fin a una controversia </w:t>
      </w:r>
      <w:r w:rsidRPr="009A0018">
        <w:rPr>
          <w:sz w:val="24"/>
          <w:szCs w:val="24"/>
          <w:lang w:eastAsia="es-CO"/>
        </w:rPr>
        <w:lastRenderedPageBreak/>
        <w:t>se materialice en debida forma</w:t>
      </w:r>
      <w:r>
        <w:rPr>
          <w:sz w:val="24"/>
          <w:szCs w:val="24"/>
          <w:lang w:eastAsia="es-CO"/>
        </w:rPr>
        <w:t>”</w:t>
      </w:r>
      <w:r>
        <w:rPr>
          <w:rStyle w:val="Refdenotaalpie"/>
          <w:sz w:val="24"/>
          <w:szCs w:val="24"/>
          <w:lang w:eastAsia="es-CO"/>
        </w:rPr>
        <w:footnoteReference w:id="30"/>
      </w:r>
      <w:r w:rsidRPr="009A0018">
        <w:rPr>
          <w:sz w:val="24"/>
          <w:szCs w:val="24"/>
          <w:lang w:eastAsia="es-CO"/>
        </w:rPr>
        <w:t>.</w:t>
      </w:r>
      <w:r>
        <w:rPr>
          <w:sz w:val="24"/>
          <w:szCs w:val="24"/>
          <w:lang w:eastAsia="es-CO"/>
        </w:rPr>
        <w:t xml:space="preserve"> </w:t>
      </w:r>
    </w:p>
    <w:p w14:paraId="3541B1EC" w14:textId="7F28C0DD" w:rsidR="00204759" w:rsidRPr="00204759" w:rsidRDefault="009A0018" w:rsidP="00204759">
      <w:pPr>
        <w:widowControl w:val="0"/>
        <w:spacing w:after="240"/>
        <w:textAlignment w:val="baseline"/>
        <w:rPr>
          <w:sz w:val="24"/>
          <w:szCs w:val="24"/>
          <w:lang w:eastAsia="es-CO"/>
        </w:rPr>
      </w:pPr>
      <w:r>
        <w:rPr>
          <w:sz w:val="24"/>
          <w:szCs w:val="24"/>
          <w:lang w:eastAsia="es-CO"/>
        </w:rPr>
        <w:t xml:space="preserve">Así mismo, </w:t>
      </w:r>
      <w:r w:rsidR="00204759">
        <w:rPr>
          <w:sz w:val="24"/>
          <w:szCs w:val="24"/>
          <w:lang w:eastAsia="es-CO"/>
        </w:rPr>
        <w:t xml:space="preserve">y en relación con lo anterior, indicó que para efectos de verificar el cumplimiento del fallo, los jueces que deciden los incidentes de desacato se deben limitar a verificar </w:t>
      </w:r>
      <w:r w:rsidR="00204759" w:rsidRPr="00204759">
        <w:rPr>
          <w:sz w:val="24"/>
          <w:szCs w:val="24"/>
          <w:lang w:eastAsia="es-CO"/>
        </w:rPr>
        <w:t>“(i) a quién se dirigió la orden, (ii) en qué término debía ejecutarse, (iii) el alcance de la misma, (iv) si efectivamente existió incumplimiento parcial o integral de la orden dictada en la sentencia, y de ser el caso (v) cuáles fueron las razones por las que el accionado no obedeció lo ordenado dentro del proceso”</w:t>
      </w:r>
      <w:r w:rsidR="00204759" w:rsidRPr="00204759">
        <w:rPr>
          <w:sz w:val="24"/>
          <w:szCs w:val="24"/>
          <w:vertAlign w:val="superscript"/>
          <w:lang w:eastAsia="es-CO"/>
        </w:rPr>
        <w:footnoteReference w:id="31"/>
      </w:r>
      <w:r w:rsidR="00204759" w:rsidRPr="00204759">
        <w:rPr>
          <w:sz w:val="24"/>
          <w:szCs w:val="24"/>
          <w:lang w:eastAsia="es-CO"/>
        </w:rPr>
        <w:t>.</w:t>
      </w:r>
      <w:r w:rsidR="00204759">
        <w:rPr>
          <w:sz w:val="24"/>
          <w:szCs w:val="24"/>
          <w:lang w:eastAsia="es-CO"/>
        </w:rPr>
        <w:t xml:space="preserve"> Frente a este último aspecto, adujo que los operadores judiciales también debían examinar si el fallo contenía órdenes complejas que no podían materializarse de forma inmediata y requerían la participación de varios sujetos y entidades; o si se trataba de casos en los que el incumplimiento obedeciera a una circunstancia de fuerza mayor o cas</w:t>
      </w:r>
      <w:r w:rsidR="00D3235C">
        <w:rPr>
          <w:sz w:val="24"/>
          <w:szCs w:val="24"/>
          <w:lang w:eastAsia="es-CO"/>
        </w:rPr>
        <w:t>o</w:t>
      </w:r>
      <w:r w:rsidR="00204759">
        <w:rPr>
          <w:sz w:val="24"/>
          <w:szCs w:val="24"/>
          <w:lang w:eastAsia="es-CO"/>
        </w:rPr>
        <w:t xml:space="preserve"> fortuito</w:t>
      </w:r>
      <w:r w:rsidR="00D3235C">
        <w:rPr>
          <w:sz w:val="24"/>
          <w:szCs w:val="24"/>
          <w:lang w:eastAsia="es-CO"/>
        </w:rPr>
        <w:t xml:space="preserve">, con el fin de analizar la responsabilidad subjetiva de </w:t>
      </w:r>
      <w:r w:rsidR="003938E3">
        <w:rPr>
          <w:sz w:val="24"/>
          <w:szCs w:val="24"/>
          <w:lang w:eastAsia="es-CO"/>
        </w:rPr>
        <w:t>quien deb</w:t>
      </w:r>
      <w:r w:rsidR="00286CFE">
        <w:rPr>
          <w:sz w:val="24"/>
          <w:szCs w:val="24"/>
          <w:lang w:eastAsia="es-CO"/>
        </w:rPr>
        <w:t>ía</w:t>
      </w:r>
      <w:r w:rsidR="003938E3">
        <w:rPr>
          <w:sz w:val="24"/>
          <w:szCs w:val="24"/>
          <w:lang w:eastAsia="es-CO"/>
        </w:rPr>
        <w:t xml:space="preserve"> cumplir la orden. </w:t>
      </w:r>
    </w:p>
    <w:p w14:paraId="040C53A9" w14:textId="5489FB98" w:rsidR="00204759" w:rsidRDefault="003938E3" w:rsidP="001E19FB">
      <w:pPr>
        <w:widowControl w:val="0"/>
        <w:spacing w:after="240"/>
        <w:textAlignment w:val="baseline"/>
        <w:rPr>
          <w:sz w:val="24"/>
          <w:szCs w:val="24"/>
          <w:lang w:eastAsia="es-CO"/>
        </w:rPr>
      </w:pPr>
      <w:r>
        <w:rPr>
          <w:sz w:val="24"/>
          <w:szCs w:val="24"/>
          <w:lang w:eastAsia="es-CO"/>
        </w:rPr>
        <w:t xml:space="preserve">Bajo este orden de ideas, la alta Corte analizó el caso concreto y verificó cada uno de los elementos antes mencionados. Así, al momento de examinar la razón por la que hubo desacato, </w:t>
      </w:r>
      <w:r w:rsidR="00286CFE">
        <w:rPr>
          <w:sz w:val="24"/>
          <w:szCs w:val="24"/>
          <w:lang w:eastAsia="es-CO"/>
        </w:rPr>
        <w:t>advirtió</w:t>
      </w:r>
      <w:r>
        <w:rPr>
          <w:sz w:val="24"/>
          <w:szCs w:val="24"/>
          <w:lang w:eastAsia="es-CO"/>
        </w:rPr>
        <w:t xml:space="preserve"> que </w:t>
      </w:r>
      <w:r w:rsidR="00D1790B">
        <w:rPr>
          <w:sz w:val="24"/>
          <w:szCs w:val="24"/>
          <w:lang w:eastAsia="es-CO"/>
        </w:rPr>
        <w:t>existieron</w:t>
      </w:r>
      <w:r>
        <w:rPr>
          <w:sz w:val="24"/>
          <w:szCs w:val="24"/>
          <w:lang w:eastAsia="es-CO"/>
        </w:rPr>
        <w:t xml:space="preserve"> circunstancia</w:t>
      </w:r>
      <w:r w:rsidR="00D1790B">
        <w:rPr>
          <w:sz w:val="24"/>
          <w:szCs w:val="24"/>
          <w:lang w:eastAsia="es-CO"/>
        </w:rPr>
        <w:t>s</w:t>
      </w:r>
      <w:r>
        <w:rPr>
          <w:sz w:val="24"/>
          <w:szCs w:val="24"/>
          <w:lang w:eastAsia="es-CO"/>
        </w:rPr>
        <w:t xml:space="preserve"> que impidieron acatar las órdenes del fallo</w:t>
      </w:r>
      <w:r w:rsidR="00D1790B">
        <w:rPr>
          <w:sz w:val="24"/>
          <w:szCs w:val="24"/>
          <w:lang w:eastAsia="es-CO"/>
        </w:rPr>
        <w:t xml:space="preserve"> de forma inmediata, dada su complejidad.</w:t>
      </w:r>
      <w:r>
        <w:rPr>
          <w:sz w:val="24"/>
          <w:szCs w:val="24"/>
          <w:lang w:eastAsia="es-CO"/>
        </w:rPr>
        <w:t xml:space="preserve"> </w:t>
      </w:r>
      <w:r w:rsidR="00D1790B">
        <w:rPr>
          <w:sz w:val="24"/>
          <w:szCs w:val="24"/>
          <w:lang w:eastAsia="es-CO"/>
        </w:rPr>
        <w:t>P</w:t>
      </w:r>
      <w:r>
        <w:rPr>
          <w:sz w:val="24"/>
          <w:szCs w:val="24"/>
          <w:lang w:eastAsia="es-CO"/>
        </w:rPr>
        <w:t>or ese motivo</w:t>
      </w:r>
      <w:r w:rsidR="00D1790B">
        <w:rPr>
          <w:sz w:val="24"/>
          <w:szCs w:val="24"/>
          <w:lang w:eastAsia="es-CO"/>
        </w:rPr>
        <w:t xml:space="preserve">, indicó que correspondía a las autoridades judiciales que conocieron </w:t>
      </w:r>
      <w:r w:rsidR="00286CFE">
        <w:rPr>
          <w:sz w:val="24"/>
          <w:szCs w:val="24"/>
          <w:lang w:eastAsia="es-CO"/>
        </w:rPr>
        <w:t>del incidente, modular</w:t>
      </w:r>
      <w:r w:rsidR="0065425B">
        <w:rPr>
          <w:sz w:val="24"/>
          <w:szCs w:val="24"/>
          <w:lang w:eastAsia="es-CO"/>
        </w:rPr>
        <w:t xml:space="preserve"> </w:t>
      </w:r>
      <w:r w:rsidR="00FC5250">
        <w:rPr>
          <w:sz w:val="24"/>
          <w:szCs w:val="24"/>
          <w:lang w:eastAsia="es-CO"/>
        </w:rPr>
        <w:t>tales disposiciones</w:t>
      </w:r>
      <w:r w:rsidR="00D1790B">
        <w:rPr>
          <w:sz w:val="24"/>
          <w:szCs w:val="24"/>
          <w:lang w:eastAsia="es-CO"/>
        </w:rPr>
        <w:t xml:space="preserve"> para que se pudieran cumplir y materializar</w:t>
      </w:r>
      <w:r w:rsidR="0065425B">
        <w:rPr>
          <w:sz w:val="24"/>
          <w:szCs w:val="24"/>
          <w:lang w:eastAsia="es-CO"/>
        </w:rPr>
        <w:t xml:space="preserve">; y </w:t>
      </w:r>
      <w:r w:rsidR="00D1790B">
        <w:rPr>
          <w:sz w:val="24"/>
          <w:szCs w:val="24"/>
          <w:lang w:eastAsia="es-CO"/>
        </w:rPr>
        <w:t xml:space="preserve">analizar la responsabilidad subjetiva </w:t>
      </w:r>
      <w:r w:rsidR="0065425B">
        <w:rPr>
          <w:sz w:val="24"/>
          <w:szCs w:val="24"/>
          <w:lang w:eastAsia="es-CO"/>
        </w:rPr>
        <w:t>del funcionario llamado a acatar, puesto</w:t>
      </w:r>
      <w:r w:rsidR="00D1790B">
        <w:rPr>
          <w:sz w:val="24"/>
          <w:szCs w:val="24"/>
          <w:lang w:eastAsia="es-CO"/>
        </w:rPr>
        <w:t xml:space="preserve"> que e</w:t>
      </w:r>
      <w:r w:rsidR="00286CFE">
        <w:rPr>
          <w:sz w:val="24"/>
          <w:szCs w:val="24"/>
          <w:lang w:eastAsia="es-CO"/>
        </w:rPr>
        <w:t>l</w:t>
      </w:r>
      <w:r w:rsidR="00D1790B">
        <w:rPr>
          <w:sz w:val="24"/>
          <w:szCs w:val="24"/>
          <w:lang w:eastAsia="es-CO"/>
        </w:rPr>
        <w:t xml:space="preserve"> incumplimiento no obedeció a una conducta negligente</w:t>
      </w:r>
      <w:r w:rsidR="00286CFE">
        <w:rPr>
          <w:sz w:val="24"/>
          <w:szCs w:val="24"/>
          <w:lang w:eastAsia="es-CO"/>
        </w:rPr>
        <w:t xml:space="preserve">. </w:t>
      </w:r>
      <w:r w:rsidR="00FC5250">
        <w:rPr>
          <w:sz w:val="24"/>
          <w:szCs w:val="24"/>
          <w:lang w:eastAsia="es-CO"/>
        </w:rPr>
        <w:t>Dichas</w:t>
      </w:r>
      <w:r w:rsidR="0065425B">
        <w:rPr>
          <w:sz w:val="24"/>
          <w:szCs w:val="24"/>
          <w:lang w:eastAsia="es-CO"/>
        </w:rPr>
        <w:t xml:space="preserve"> consideraciones llevaron a que concluyera que no había lugar a mantener la sanción</w:t>
      </w:r>
      <w:r w:rsidR="00D52457">
        <w:rPr>
          <w:sz w:val="24"/>
          <w:szCs w:val="24"/>
          <w:lang w:eastAsia="es-CO"/>
        </w:rPr>
        <w:t>.</w:t>
      </w:r>
    </w:p>
    <w:p w14:paraId="07A5321C" w14:textId="7EA1CAE7" w:rsidR="001F2DF0" w:rsidRPr="00D52457" w:rsidRDefault="00D52457" w:rsidP="001E19FB">
      <w:pPr>
        <w:widowControl w:val="0"/>
        <w:spacing w:after="240"/>
        <w:textAlignment w:val="baseline"/>
        <w:rPr>
          <w:sz w:val="24"/>
          <w:szCs w:val="24"/>
          <w:lang w:eastAsia="es-CO"/>
        </w:rPr>
      </w:pPr>
      <w:r>
        <w:rPr>
          <w:sz w:val="24"/>
          <w:szCs w:val="24"/>
          <w:lang w:eastAsia="es-CO"/>
        </w:rPr>
        <w:t xml:space="preserve">Ahora bien, frente a lo expuesto en líneas anteriores, la Sala observa que la sentencia cuyo </w:t>
      </w:r>
      <w:r w:rsidR="0065425B">
        <w:rPr>
          <w:sz w:val="24"/>
          <w:szCs w:val="24"/>
          <w:lang w:eastAsia="es-CO"/>
        </w:rPr>
        <w:t>des</w:t>
      </w:r>
      <w:r>
        <w:rPr>
          <w:sz w:val="24"/>
          <w:szCs w:val="24"/>
          <w:lang w:eastAsia="es-CO"/>
        </w:rPr>
        <w:t>conocimiento fue protestado no estableció una regla jurisprudencial respecto de los casos en los que se deben inaplicar las sanciones impuestas en incidentes de desacato</w:t>
      </w:r>
      <w:r w:rsidR="0065425B">
        <w:rPr>
          <w:sz w:val="24"/>
          <w:szCs w:val="24"/>
          <w:lang w:eastAsia="es-CO"/>
        </w:rPr>
        <w:t xml:space="preserve">, así como tampoco </w:t>
      </w:r>
      <w:r w:rsidR="002D323F">
        <w:rPr>
          <w:sz w:val="24"/>
          <w:szCs w:val="24"/>
          <w:lang w:eastAsia="es-CO"/>
        </w:rPr>
        <w:t>dispuso</w:t>
      </w:r>
      <w:r w:rsidR="0065425B">
        <w:rPr>
          <w:sz w:val="24"/>
          <w:szCs w:val="24"/>
          <w:lang w:eastAsia="es-CO"/>
        </w:rPr>
        <w:t xml:space="preserve"> </w:t>
      </w:r>
      <w:r w:rsidR="002D323F">
        <w:rPr>
          <w:sz w:val="24"/>
          <w:szCs w:val="24"/>
          <w:lang w:eastAsia="es-CO"/>
        </w:rPr>
        <w:t xml:space="preserve">el deber en cabeza de los jueces, de </w:t>
      </w:r>
      <w:r w:rsidR="0065425B">
        <w:rPr>
          <w:sz w:val="24"/>
          <w:szCs w:val="24"/>
          <w:lang w:eastAsia="es-CO"/>
        </w:rPr>
        <w:t>levantar las sanciones una vez verificaran el cumplimiento, tal y como la señora Gaviria Betancur lo manifestó es su escrito</w:t>
      </w:r>
      <w:r>
        <w:rPr>
          <w:sz w:val="24"/>
          <w:szCs w:val="24"/>
          <w:lang w:eastAsia="es-CO"/>
        </w:rPr>
        <w:t xml:space="preserve">. Por el contrario, </w:t>
      </w:r>
      <w:r w:rsidR="0065425B">
        <w:rPr>
          <w:sz w:val="24"/>
          <w:szCs w:val="24"/>
          <w:lang w:eastAsia="es-CO"/>
        </w:rPr>
        <w:t xml:space="preserve">la providencia </w:t>
      </w:r>
      <w:r w:rsidR="002D323F">
        <w:rPr>
          <w:sz w:val="24"/>
          <w:szCs w:val="24"/>
          <w:lang w:eastAsia="es-CO"/>
        </w:rPr>
        <w:t>reiteró</w:t>
      </w:r>
      <w:r w:rsidR="0065425B">
        <w:rPr>
          <w:sz w:val="24"/>
          <w:szCs w:val="24"/>
          <w:lang w:eastAsia="es-CO"/>
        </w:rPr>
        <w:t xml:space="preserve"> los criterios que se deben tener en cuenta en trámites de dicha naturaleza, para verificar el acatamiento del fallo, teniendo en cuenta las circunstancias</w:t>
      </w:r>
      <w:r w:rsidR="002D323F">
        <w:rPr>
          <w:sz w:val="24"/>
          <w:szCs w:val="24"/>
          <w:lang w:eastAsia="es-CO"/>
        </w:rPr>
        <w:t xml:space="preserve"> particulares del caso</w:t>
      </w:r>
      <w:r w:rsidR="0065425B">
        <w:rPr>
          <w:sz w:val="24"/>
          <w:szCs w:val="24"/>
          <w:lang w:eastAsia="es-CO"/>
        </w:rPr>
        <w:t xml:space="preserve"> que se pueden presentar para ello</w:t>
      </w:r>
      <w:r w:rsidR="001248A4">
        <w:rPr>
          <w:sz w:val="24"/>
          <w:szCs w:val="24"/>
          <w:lang w:eastAsia="es-CO"/>
        </w:rPr>
        <w:t>. Bajo ese análisis</w:t>
      </w:r>
      <w:r w:rsidR="0065425B">
        <w:rPr>
          <w:sz w:val="24"/>
          <w:szCs w:val="24"/>
          <w:lang w:eastAsia="es-CO"/>
        </w:rPr>
        <w:t xml:space="preserve">, para la Subsección este cargo también carece de relevancia constitucional, pues </w:t>
      </w:r>
      <w:r w:rsidR="002D323F">
        <w:rPr>
          <w:sz w:val="24"/>
          <w:szCs w:val="24"/>
          <w:lang w:eastAsia="es-CO"/>
        </w:rPr>
        <w:t xml:space="preserve">no presentó, en materia del defecto por desconocimiento del precedente, </w:t>
      </w:r>
      <w:r w:rsidR="002D323F">
        <w:rPr>
          <w:rFonts w:eastAsia="Times New Roman"/>
          <w:sz w:val="24"/>
          <w:szCs w:val="24"/>
          <w:lang w:eastAsia="es-CO"/>
        </w:rPr>
        <w:t>la posible vulneración de los derechos invocados, toda vez que la carga argumentativa corresponde a la interpretación y al criterio de la accionante, sobre cómo debía ser resuelta su petición de inaplicación de la sanción, a la luz de dicha jurisprudencia.</w:t>
      </w:r>
    </w:p>
    <w:p w14:paraId="7667601F" w14:textId="7E438C4F" w:rsidR="001E19FB" w:rsidRPr="00C94080" w:rsidRDefault="001E19FB" w:rsidP="001E19FB">
      <w:pPr>
        <w:widowControl w:val="0"/>
        <w:spacing w:after="240"/>
        <w:textAlignment w:val="baseline"/>
        <w:rPr>
          <w:sz w:val="24"/>
          <w:szCs w:val="24"/>
        </w:rPr>
      </w:pPr>
      <w:r>
        <w:rPr>
          <w:sz w:val="24"/>
          <w:szCs w:val="24"/>
        </w:rPr>
        <w:t xml:space="preserve">2.2.3. </w:t>
      </w:r>
      <w:r>
        <w:rPr>
          <w:sz w:val="24"/>
          <w:szCs w:val="24"/>
          <w:lang w:eastAsia="es-CO"/>
        </w:rPr>
        <w:t>Por los motivos expuestos en líneas anteriores</w:t>
      </w:r>
      <w:r>
        <w:rPr>
          <w:b/>
          <w:bCs/>
          <w:sz w:val="24"/>
          <w:szCs w:val="24"/>
          <w:lang w:eastAsia="es-CO"/>
        </w:rPr>
        <w:t xml:space="preserve">, </w:t>
      </w:r>
      <w:r>
        <w:rPr>
          <w:color w:val="000000"/>
          <w:sz w:val="24"/>
          <w:szCs w:val="24"/>
          <w:shd w:val="clear" w:color="auto" w:fill="FFFFFF"/>
        </w:rPr>
        <w:t xml:space="preserve">la Sala considera que la acción de tutela no cumplió con el requisito de relevancia constitucional, en la medida en que el escrito de amparo, </w:t>
      </w:r>
      <w:r>
        <w:rPr>
          <w:rFonts w:eastAsia="Times New Roman"/>
          <w:sz w:val="24"/>
          <w:szCs w:val="24"/>
          <w:lang w:eastAsia="es-CO"/>
        </w:rPr>
        <w:t xml:space="preserve">más allá de la </w:t>
      </w:r>
      <w:r w:rsidR="00435F62">
        <w:rPr>
          <w:rFonts w:eastAsia="Times New Roman"/>
          <w:sz w:val="24"/>
          <w:szCs w:val="24"/>
          <w:lang w:eastAsia="es-CO"/>
        </w:rPr>
        <w:t>presentar una situación de vulneración de los derechos fundamentales que fueron invocados</w:t>
      </w:r>
      <w:r>
        <w:rPr>
          <w:rFonts w:eastAsia="Times New Roman"/>
          <w:sz w:val="24"/>
          <w:szCs w:val="24"/>
          <w:lang w:eastAsia="es-CO"/>
        </w:rPr>
        <w:t xml:space="preserve">, </w:t>
      </w:r>
      <w:r w:rsidR="00435F62">
        <w:rPr>
          <w:rFonts w:eastAsia="Times New Roman"/>
          <w:sz w:val="24"/>
          <w:szCs w:val="24"/>
          <w:lang w:eastAsia="es-CO"/>
        </w:rPr>
        <w:t>pretendió reabrir el debate de un asunto que fue resuelto por los jueces de</w:t>
      </w:r>
      <w:bookmarkStart w:id="0" w:name="_GoBack"/>
      <w:bookmarkEnd w:id="0"/>
      <w:r w:rsidR="00435F62">
        <w:rPr>
          <w:rFonts w:eastAsia="Times New Roman"/>
          <w:sz w:val="24"/>
          <w:szCs w:val="24"/>
          <w:lang w:eastAsia="es-CO"/>
        </w:rPr>
        <w:t xml:space="preserve"> la acción de cumplimiento, como si la </w:t>
      </w:r>
      <w:r>
        <w:rPr>
          <w:rFonts w:eastAsia="Times New Roman"/>
          <w:sz w:val="24"/>
          <w:szCs w:val="24"/>
          <w:lang w:eastAsia="es-CO"/>
        </w:rPr>
        <w:t>acción de tutela fuera una instancia adicional. Así mismo, es claro que los fundamentos expuestos en la pet</w:t>
      </w:r>
      <w:r w:rsidR="001248A4">
        <w:rPr>
          <w:rFonts w:eastAsia="Times New Roman"/>
          <w:sz w:val="24"/>
          <w:szCs w:val="24"/>
          <w:lang w:eastAsia="es-CO"/>
        </w:rPr>
        <w:t xml:space="preserve">ición de amparo constitucional, </w:t>
      </w:r>
      <w:r>
        <w:rPr>
          <w:rFonts w:eastAsia="Times New Roman"/>
          <w:sz w:val="24"/>
          <w:szCs w:val="24"/>
          <w:lang w:eastAsia="es-CO"/>
        </w:rPr>
        <w:t xml:space="preserve">demuestran la existencia de una diferencia de </w:t>
      </w:r>
      <w:r>
        <w:rPr>
          <w:rFonts w:eastAsia="Times New Roman"/>
          <w:sz w:val="24"/>
          <w:szCs w:val="24"/>
          <w:lang w:val="es-ES" w:eastAsia="es-CO"/>
        </w:rPr>
        <w:t xml:space="preserve">criterio entre los fundamentos legales y jurisprudenciales que sirvieron a los jueces del proceso, y la posición de la señora </w:t>
      </w:r>
      <w:r w:rsidR="00435F62">
        <w:rPr>
          <w:rFonts w:eastAsia="Times New Roman"/>
          <w:sz w:val="24"/>
          <w:szCs w:val="24"/>
          <w:lang w:val="es-ES" w:eastAsia="es-CO"/>
        </w:rPr>
        <w:t>Gaviria Betancur</w:t>
      </w:r>
      <w:r>
        <w:rPr>
          <w:rFonts w:eastAsia="Times New Roman"/>
          <w:sz w:val="24"/>
          <w:szCs w:val="24"/>
          <w:lang w:val="es-ES" w:eastAsia="es-CO"/>
        </w:rPr>
        <w:t xml:space="preserve">. </w:t>
      </w:r>
    </w:p>
    <w:p w14:paraId="76DF8563" w14:textId="4C85D048" w:rsidR="001E19FB" w:rsidRDefault="001E19FB" w:rsidP="001E19FB">
      <w:pPr>
        <w:widowControl w:val="0"/>
        <w:spacing w:after="240"/>
        <w:textAlignment w:val="baseline"/>
        <w:rPr>
          <w:rFonts w:eastAsia="Times New Roman"/>
          <w:sz w:val="24"/>
          <w:szCs w:val="24"/>
          <w:lang w:val="es-ES" w:eastAsia="es-CO"/>
        </w:rPr>
      </w:pPr>
      <w:r>
        <w:rPr>
          <w:rFonts w:eastAsia="Times New Roman"/>
          <w:sz w:val="24"/>
          <w:szCs w:val="24"/>
          <w:lang w:val="es-ES" w:eastAsia="es-CO"/>
        </w:rPr>
        <w:t>Por lo anterior, y teniendo en cuenta que la jurisprudencia constitucional ha definido que “la finalidad de la acción de tutela es conjurar aquellas situaciones en que la decisión de la autoridad judicial incurre en graves falencias, de relevancia constitucional, que conlleva a una decisión incompatible con la Constitución”</w:t>
      </w:r>
      <w:r>
        <w:rPr>
          <w:rStyle w:val="Refdenotaalpie"/>
          <w:rFonts w:eastAsia="Times New Roman"/>
          <w:sz w:val="24"/>
          <w:szCs w:val="24"/>
          <w:lang w:val="es-ES" w:eastAsia="es-CO"/>
        </w:rPr>
        <w:footnoteReference w:id="32"/>
      </w:r>
      <w:r>
        <w:rPr>
          <w:rFonts w:eastAsia="Times New Roman"/>
          <w:sz w:val="24"/>
          <w:szCs w:val="24"/>
          <w:lang w:val="es-ES" w:eastAsia="es-CO"/>
        </w:rPr>
        <w:t xml:space="preserve">, la </w:t>
      </w:r>
      <w:r>
        <w:rPr>
          <w:rFonts w:eastAsia="Times New Roman"/>
          <w:sz w:val="24"/>
          <w:szCs w:val="24"/>
          <w:lang w:val="es-ES" w:eastAsia="es-CO"/>
        </w:rPr>
        <w:lastRenderedPageBreak/>
        <w:t xml:space="preserve">Sala concluye que la solicitud de amparo es improcedente porque no cumplió con dicho requisito. Tampoco advierte graves falencias en la sentencia cuestionada, que haga que el asunto objeto de la solitud trascienda de la discusión litigiosa del proceso ordinario. </w:t>
      </w:r>
    </w:p>
    <w:p w14:paraId="780D182E" w14:textId="77777777" w:rsidR="001E19FB" w:rsidRDefault="001E19FB" w:rsidP="001E19FB">
      <w:pPr>
        <w:widowControl w:val="0"/>
        <w:spacing w:after="240"/>
        <w:textAlignment w:val="baseline"/>
        <w:rPr>
          <w:rFonts w:eastAsia="Times New Roman"/>
          <w:sz w:val="24"/>
          <w:szCs w:val="24"/>
          <w:lang w:val="es-ES" w:eastAsia="es-CO"/>
        </w:rPr>
      </w:pPr>
      <w:r>
        <w:rPr>
          <w:rFonts w:eastAsia="Times New Roman"/>
          <w:sz w:val="24"/>
          <w:szCs w:val="24"/>
          <w:lang w:val="es-ES" w:eastAsia="es-CO"/>
        </w:rPr>
        <w:t>Así las cosas, en la medida en que en el presente caso, la acción de tutela carece de relevancia constitucional, la Subsección declarará en la parte resolutiva de la sentencia de primera instancia, la improcedencia de la solicitud de amparo.</w:t>
      </w:r>
    </w:p>
    <w:p w14:paraId="2965883C" w14:textId="77777777" w:rsidR="001E19FB" w:rsidRPr="00374537" w:rsidRDefault="001E19FB" w:rsidP="001E19FB">
      <w:pPr>
        <w:widowControl w:val="0"/>
        <w:spacing w:after="240"/>
        <w:jc w:val="center"/>
        <w:textAlignment w:val="baseline"/>
        <w:rPr>
          <w:rFonts w:eastAsia="Times New Roman"/>
          <w:b/>
          <w:bCs/>
          <w:sz w:val="24"/>
          <w:szCs w:val="24"/>
          <w:lang w:val="es-ES" w:eastAsia="es-CO"/>
        </w:rPr>
      </w:pPr>
      <w:r w:rsidRPr="00374537">
        <w:rPr>
          <w:rFonts w:eastAsia="Times New Roman"/>
          <w:b/>
          <w:bCs/>
          <w:sz w:val="24"/>
          <w:szCs w:val="24"/>
          <w:lang w:val="es-ES" w:eastAsia="es-CO"/>
        </w:rPr>
        <w:t>III. DECISIÓN</w:t>
      </w:r>
    </w:p>
    <w:p w14:paraId="37283273" w14:textId="77777777" w:rsidR="001E19FB" w:rsidRPr="005A3074" w:rsidRDefault="001E19FB" w:rsidP="001E19FB">
      <w:pPr>
        <w:keepNext/>
        <w:spacing w:after="240"/>
        <w:textAlignment w:val="baseline"/>
        <w:rPr>
          <w:sz w:val="24"/>
          <w:szCs w:val="24"/>
          <w:shd w:val="clear" w:color="auto" w:fill="FFFFFF"/>
        </w:rPr>
      </w:pPr>
      <w:r>
        <w:rPr>
          <w:sz w:val="24"/>
          <w:szCs w:val="24"/>
          <w:shd w:val="clear" w:color="auto" w:fill="FFFFFF"/>
        </w:rPr>
        <w:t>En mérito de lo expuesto, el Consejo de Estado, Sala de lo Contencioso Administrativo, Sección Tercera, Subsección C, administrando justicia en nombre de la República y por autoridad de la ley, </w:t>
      </w:r>
    </w:p>
    <w:p w14:paraId="1C2438A7" w14:textId="77777777" w:rsidR="001E19FB" w:rsidRPr="00786BDF" w:rsidRDefault="001E19FB" w:rsidP="001E19FB">
      <w:pPr>
        <w:pStyle w:val="Textoindependiente21"/>
        <w:keepNext/>
        <w:widowControl w:val="0"/>
        <w:spacing w:before="240"/>
        <w:ind w:left="0"/>
        <w:jc w:val="center"/>
        <w:rPr>
          <w:rFonts w:cs="Arial"/>
          <w:b/>
          <w:sz w:val="24"/>
          <w:szCs w:val="24"/>
        </w:rPr>
      </w:pPr>
      <w:r>
        <w:rPr>
          <w:rFonts w:cs="Arial"/>
          <w:b/>
          <w:sz w:val="24"/>
          <w:szCs w:val="24"/>
        </w:rPr>
        <w:t>FALLA</w:t>
      </w:r>
    </w:p>
    <w:p w14:paraId="349E0E19" w14:textId="66D48E09" w:rsidR="001E19FB" w:rsidRPr="006978E4" w:rsidRDefault="001E19FB" w:rsidP="001E19FB">
      <w:pPr>
        <w:pStyle w:val="Prrafodelista"/>
        <w:widowControl w:val="0"/>
        <w:spacing w:before="240" w:after="240"/>
        <w:ind w:left="0"/>
        <w:contextualSpacing w:val="0"/>
        <w:rPr>
          <w:sz w:val="24"/>
          <w:szCs w:val="24"/>
        </w:rPr>
      </w:pPr>
      <w:r w:rsidRPr="00211F0C">
        <w:rPr>
          <w:b/>
          <w:sz w:val="24"/>
          <w:szCs w:val="24"/>
        </w:rPr>
        <w:t>PRIMERO</w:t>
      </w:r>
      <w:r>
        <w:rPr>
          <w:b/>
          <w:sz w:val="24"/>
          <w:szCs w:val="24"/>
        </w:rPr>
        <w:t xml:space="preserve">. </w:t>
      </w:r>
      <w:r w:rsidRPr="006978E4">
        <w:rPr>
          <w:b/>
          <w:bCs/>
          <w:sz w:val="24"/>
          <w:szCs w:val="24"/>
        </w:rPr>
        <w:t>DECLARAR</w:t>
      </w:r>
      <w:r>
        <w:rPr>
          <w:b/>
          <w:bCs/>
          <w:sz w:val="24"/>
          <w:szCs w:val="24"/>
        </w:rPr>
        <w:t xml:space="preserve"> </w:t>
      </w:r>
      <w:r>
        <w:rPr>
          <w:sz w:val="24"/>
          <w:szCs w:val="24"/>
        </w:rPr>
        <w:t xml:space="preserve">la improcedencia de la acción de tutela presentada por </w:t>
      </w:r>
      <w:r w:rsidR="00435F62">
        <w:rPr>
          <w:sz w:val="24"/>
          <w:szCs w:val="24"/>
        </w:rPr>
        <w:t>Paula Gaviria Betancur</w:t>
      </w:r>
      <w:r>
        <w:rPr>
          <w:sz w:val="24"/>
          <w:szCs w:val="24"/>
        </w:rPr>
        <w:t xml:space="preserve"> en contra del Tribunal Administrativo </w:t>
      </w:r>
      <w:r w:rsidR="00435F62">
        <w:rPr>
          <w:sz w:val="24"/>
          <w:szCs w:val="24"/>
        </w:rPr>
        <w:t>del Atlántico y de la Sección Quinta del Consejo de Estado</w:t>
      </w:r>
      <w:r>
        <w:rPr>
          <w:sz w:val="24"/>
          <w:szCs w:val="24"/>
        </w:rPr>
        <w:t>.</w:t>
      </w:r>
    </w:p>
    <w:p w14:paraId="2E8FAE19" w14:textId="77777777" w:rsidR="001E19FB" w:rsidRDefault="001E19FB" w:rsidP="001E19FB">
      <w:pPr>
        <w:spacing w:after="240"/>
        <w:textAlignment w:val="baseline"/>
        <w:rPr>
          <w:color w:val="000000"/>
          <w:sz w:val="24"/>
          <w:szCs w:val="24"/>
          <w:shd w:val="clear" w:color="auto" w:fill="FFFFFF"/>
        </w:rPr>
      </w:pPr>
      <w:r w:rsidRPr="00581D1D">
        <w:rPr>
          <w:rFonts w:eastAsia="Times New Roman"/>
          <w:b/>
          <w:sz w:val="24"/>
          <w:szCs w:val="24"/>
          <w:lang w:val="es-ES_tradnl" w:eastAsia="es-CO"/>
        </w:rPr>
        <w:t xml:space="preserve">SEGUNDO. </w:t>
      </w:r>
      <w:r>
        <w:rPr>
          <w:b/>
          <w:bCs/>
          <w:color w:val="000000"/>
          <w:sz w:val="24"/>
          <w:szCs w:val="24"/>
          <w:shd w:val="clear" w:color="auto" w:fill="FFFFFF"/>
        </w:rPr>
        <w:t xml:space="preserve">NOTIFICAR </w:t>
      </w:r>
      <w:r>
        <w:rPr>
          <w:color w:val="000000"/>
          <w:sz w:val="24"/>
          <w:szCs w:val="24"/>
          <w:shd w:val="clear" w:color="auto" w:fill="FFFFFF"/>
        </w:rPr>
        <w:t xml:space="preserve">la presente decisión a las partes por el medio más expedito. </w:t>
      </w:r>
    </w:p>
    <w:p w14:paraId="5916C6D4" w14:textId="77777777" w:rsidR="001E19FB" w:rsidRDefault="001E19FB" w:rsidP="001E19FB">
      <w:pPr>
        <w:textAlignment w:val="baseline"/>
        <w:rPr>
          <w:color w:val="000000"/>
          <w:sz w:val="24"/>
          <w:szCs w:val="24"/>
          <w:shd w:val="clear" w:color="auto" w:fill="FFFFFF"/>
        </w:rPr>
      </w:pPr>
      <w:r>
        <w:rPr>
          <w:b/>
          <w:bCs/>
          <w:color w:val="000000"/>
          <w:sz w:val="24"/>
          <w:szCs w:val="24"/>
          <w:shd w:val="clear" w:color="auto" w:fill="FFFFFF"/>
        </w:rPr>
        <w:t xml:space="preserve">TERCERO. ENVIAR </w:t>
      </w:r>
      <w:r>
        <w:rPr>
          <w:color w:val="000000"/>
          <w:sz w:val="24"/>
          <w:szCs w:val="24"/>
          <w:shd w:val="clear" w:color="auto" w:fill="FFFFFF"/>
        </w:rPr>
        <w:t xml:space="preserve">la presente providencia a la Corte Constitucional para su eventual revisión, en caso de que no sea impugnada. </w:t>
      </w:r>
    </w:p>
    <w:p w14:paraId="59D6935F" w14:textId="77777777" w:rsidR="001E19FB" w:rsidRPr="00211F0C" w:rsidRDefault="001E19FB" w:rsidP="001E19FB">
      <w:pPr>
        <w:pStyle w:val="Textoindependiente21"/>
        <w:keepNext/>
        <w:spacing w:before="240" w:after="0"/>
        <w:ind w:left="0"/>
        <w:jc w:val="both"/>
        <w:rPr>
          <w:rFonts w:cs="Arial"/>
          <w:sz w:val="24"/>
          <w:szCs w:val="24"/>
        </w:rPr>
      </w:pPr>
      <w:r w:rsidRPr="00211F0C">
        <w:rPr>
          <w:rFonts w:cs="Arial"/>
          <w:b/>
          <w:sz w:val="24"/>
          <w:szCs w:val="24"/>
        </w:rPr>
        <w:t>Notifíquese y Cúmplase</w:t>
      </w:r>
      <w:r w:rsidRPr="00FC5250">
        <w:rPr>
          <w:rFonts w:cs="Arial"/>
          <w:b/>
          <w:sz w:val="24"/>
          <w:szCs w:val="24"/>
        </w:rPr>
        <w:t>,</w:t>
      </w:r>
    </w:p>
    <w:p w14:paraId="17E093FB" w14:textId="77777777" w:rsidR="001E19FB" w:rsidRPr="00211F0C" w:rsidRDefault="001E19FB" w:rsidP="001E19FB">
      <w:pPr>
        <w:pStyle w:val="Textoindependiente21"/>
        <w:keepNext/>
        <w:spacing w:after="0"/>
        <w:ind w:left="0"/>
        <w:jc w:val="both"/>
        <w:rPr>
          <w:rFonts w:cs="Arial"/>
          <w:sz w:val="24"/>
          <w:szCs w:val="24"/>
        </w:rPr>
      </w:pPr>
    </w:p>
    <w:p w14:paraId="1D99D050" w14:textId="77777777" w:rsidR="001E19FB" w:rsidRPr="00211F0C" w:rsidRDefault="001E19FB" w:rsidP="001E19FB">
      <w:pPr>
        <w:pStyle w:val="Textoindependiente21"/>
        <w:keepNext/>
        <w:spacing w:after="0"/>
        <w:ind w:left="0"/>
        <w:jc w:val="both"/>
        <w:rPr>
          <w:rFonts w:cs="Arial"/>
          <w:sz w:val="24"/>
          <w:szCs w:val="24"/>
        </w:rPr>
      </w:pPr>
    </w:p>
    <w:p w14:paraId="30D95585" w14:textId="77777777" w:rsidR="001E19FB" w:rsidRPr="00211F0C" w:rsidRDefault="001E19FB" w:rsidP="001E19FB">
      <w:pPr>
        <w:pStyle w:val="Textoindependiente21"/>
        <w:keepNext/>
        <w:spacing w:after="0"/>
        <w:ind w:left="0"/>
        <w:jc w:val="both"/>
        <w:rPr>
          <w:rFonts w:cs="Arial"/>
          <w:sz w:val="24"/>
          <w:szCs w:val="24"/>
        </w:rPr>
      </w:pPr>
    </w:p>
    <w:p w14:paraId="1CB29B99" w14:textId="77777777" w:rsidR="001E19FB" w:rsidRDefault="001E19FB" w:rsidP="001E19FB">
      <w:pPr>
        <w:jc w:val="center"/>
        <w:textAlignment w:val="baseline"/>
        <w:rPr>
          <w:b/>
          <w:bCs/>
          <w:color w:val="000000"/>
          <w:sz w:val="24"/>
          <w:szCs w:val="24"/>
          <w:shd w:val="clear" w:color="auto" w:fill="FFFFFF"/>
        </w:rPr>
      </w:pPr>
      <w:r>
        <w:rPr>
          <w:b/>
          <w:bCs/>
          <w:color w:val="000000"/>
          <w:sz w:val="24"/>
          <w:szCs w:val="24"/>
          <w:shd w:val="clear" w:color="auto" w:fill="FFFFFF"/>
        </w:rPr>
        <w:t>NICOLAS YEPES CORRALES</w:t>
      </w:r>
    </w:p>
    <w:p w14:paraId="0B07EC9D" w14:textId="77777777" w:rsidR="001E19FB" w:rsidRDefault="001E19FB" w:rsidP="001E19FB">
      <w:pPr>
        <w:jc w:val="center"/>
        <w:textAlignment w:val="baseline"/>
        <w:rPr>
          <w:b/>
          <w:bCs/>
          <w:color w:val="000000"/>
          <w:sz w:val="24"/>
          <w:szCs w:val="24"/>
          <w:shd w:val="clear" w:color="auto" w:fill="FFFFFF"/>
        </w:rPr>
      </w:pPr>
      <w:r>
        <w:rPr>
          <w:b/>
          <w:bCs/>
          <w:color w:val="000000"/>
          <w:sz w:val="24"/>
          <w:szCs w:val="24"/>
          <w:shd w:val="clear" w:color="auto" w:fill="FFFFFF"/>
        </w:rPr>
        <w:t>Presidente de Sala</w:t>
      </w:r>
    </w:p>
    <w:p w14:paraId="4A0D0712" w14:textId="77777777" w:rsidR="001E19FB" w:rsidRDefault="001E19FB" w:rsidP="001E19FB">
      <w:pPr>
        <w:pStyle w:val="Textoindependiente21"/>
        <w:keepNext/>
        <w:spacing w:after="0"/>
        <w:ind w:left="0"/>
        <w:jc w:val="both"/>
        <w:rPr>
          <w:rFonts w:cs="Arial"/>
          <w:sz w:val="24"/>
          <w:szCs w:val="24"/>
        </w:rPr>
      </w:pPr>
    </w:p>
    <w:p w14:paraId="70D514AE" w14:textId="77777777" w:rsidR="001E19FB" w:rsidRPr="00211F0C" w:rsidRDefault="001E19FB" w:rsidP="001E19FB">
      <w:pPr>
        <w:pStyle w:val="Textoindependiente21"/>
        <w:keepNext/>
        <w:spacing w:after="0"/>
        <w:ind w:left="0"/>
        <w:jc w:val="both"/>
        <w:rPr>
          <w:rFonts w:cs="Arial"/>
          <w:sz w:val="24"/>
          <w:szCs w:val="24"/>
        </w:rPr>
      </w:pPr>
    </w:p>
    <w:p w14:paraId="39873A91" w14:textId="77777777" w:rsidR="001E19FB" w:rsidRPr="00211F0C" w:rsidRDefault="001E19FB" w:rsidP="001E19FB">
      <w:pPr>
        <w:pStyle w:val="Textoindependiente21"/>
        <w:keepNext/>
        <w:spacing w:after="0"/>
        <w:ind w:left="0"/>
        <w:jc w:val="center"/>
        <w:rPr>
          <w:rFonts w:cs="Arial"/>
          <w:b/>
          <w:sz w:val="24"/>
          <w:szCs w:val="24"/>
        </w:rPr>
      </w:pPr>
      <w:r w:rsidRPr="00211F0C">
        <w:rPr>
          <w:rFonts w:cs="Arial"/>
          <w:b/>
          <w:sz w:val="24"/>
          <w:szCs w:val="24"/>
        </w:rPr>
        <w:t>JAIME ENRIQUE RODRÍGUEZ NAVAS</w:t>
      </w:r>
    </w:p>
    <w:p w14:paraId="13DEA11F" w14:textId="77777777" w:rsidR="001E19FB" w:rsidRPr="00211F0C" w:rsidRDefault="001E19FB" w:rsidP="001E19FB">
      <w:pPr>
        <w:pStyle w:val="Textoindependiente21"/>
        <w:keepNext/>
        <w:spacing w:after="0"/>
        <w:ind w:left="0"/>
        <w:jc w:val="center"/>
        <w:rPr>
          <w:rFonts w:cs="Arial"/>
          <w:sz w:val="24"/>
          <w:szCs w:val="24"/>
        </w:rPr>
      </w:pPr>
      <w:r w:rsidRPr="00211F0C">
        <w:rPr>
          <w:rFonts w:cs="Arial"/>
          <w:b/>
          <w:sz w:val="24"/>
          <w:szCs w:val="24"/>
        </w:rPr>
        <w:t>Magistrado</w:t>
      </w:r>
    </w:p>
    <w:p w14:paraId="5ED7F0EF" w14:textId="77777777" w:rsidR="001E19FB" w:rsidRDefault="001E19FB" w:rsidP="001E19FB">
      <w:pPr>
        <w:keepNext/>
        <w:overflowPunct w:val="0"/>
        <w:autoSpaceDE w:val="0"/>
        <w:autoSpaceDN w:val="0"/>
        <w:adjustRightInd w:val="0"/>
        <w:rPr>
          <w:rFonts w:eastAsia="Times New Roman"/>
          <w:sz w:val="24"/>
          <w:szCs w:val="24"/>
          <w:lang w:val="es-ES_tradnl" w:eastAsia="es-ES"/>
        </w:rPr>
      </w:pPr>
    </w:p>
    <w:p w14:paraId="1D42F664" w14:textId="77777777" w:rsidR="001E19FB" w:rsidRDefault="001E19FB" w:rsidP="001E19FB">
      <w:pPr>
        <w:keepNext/>
        <w:overflowPunct w:val="0"/>
        <w:autoSpaceDE w:val="0"/>
        <w:autoSpaceDN w:val="0"/>
        <w:adjustRightInd w:val="0"/>
        <w:rPr>
          <w:rFonts w:eastAsia="Times New Roman"/>
          <w:sz w:val="24"/>
          <w:szCs w:val="24"/>
          <w:lang w:val="es-ES_tradnl" w:eastAsia="es-ES"/>
        </w:rPr>
      </w:pPr>
    </w:p>
    <w:p w14:paraId="2CF30D95" w14:textId="77777777" w:rsidR="001E19FB" w:rsidRDefault="001E19FB" w:rsidP="001E19FB">
      <w:pPr>
        <w:jc w:val="center"/>
        <w:textAlignment w:val="baseline"/>
        <w:rPr>
          <w:b/>
          <w:bCs/>
          <w:color w:val="000000"/>
          <w:sz w:val="24"/>
          <w:szCs w:val="24"/>
          <w:shd w:val="clear" w:color="auto" w:fill="FFFFFF"/>
        </w:rPr>
      </w:pPr>
      <w:r>
        <w:rPr>
          <w:b/>
          <w:bCs/>
          <w:color w:val="000000"/>
          <w:sz w:val="24"/>
          <w:szCs w:val="24"/>
          <w:shd w:val="clear" w:color="auto" w:fill="FFFFFF"/>
        </w:rPr>
        <w:t>GUILLERMO SÁNCHEZ LUQUE</w:t>
      </w:r>
    </w:p>
    <w:p w14:paraId="035CC9E6" w14:textId="77777777" w:rsidR="001E19FB" w:rsidRDefault="001E19FB" w:rsidP="001E19FB">
      <w:pPr>
        <w:keepNext/>
        <w:overflowPunct w:val="0"/>
        <w:autoSpaceDE w:val="0"/>
        <w:autoSpaceDN w:val="0"/>
        <w:adjustRightInd w:val="0"/>
        <w:jc w:val="center"/>
        <w:rPr>
          <w:b/>
          <w:bCs/>
          <w:color w:val="000000"/>
          <w:sz w:val="24"/>
          <w:szCs w:val="24"/>
          <w:shd w:val="clear" w:color="auto" w:fill="FFFFFF"/>
        </w:rPr>
      </w:pPr>
      <w:r>
        <w:rPr>
          <w:b/>
          <w:bCs/>
          <w:color w:val="000000"/>
          <w:sz w:val="24"/>
          <w:szCs w:val="24"/>
          <w:shd w:val="clear" w:color="auto" w:fill="FFFFFF"/>
        </w:rPr>
        <w:t>Magistrado</w:t>
      </w:r>
    </w:p>
    <w:p w14:paraId="53BC8306" w14:textId="01FB609D" w:rsidR="00D16C0C" w:rsidRPr="00211F0C" w:rsidRDefault="00D16C0C" w:rsidP="001E19FB">
      <w:pPr>
        <w:keepNext/>
        <w:overflowPunct w:val="0"/>
        <w:autoSpaceDE w:val="0"/>
        <w:autoSpaceDN w:val="0"/>
        <w:adjustRightInd w:val="0"/>
        <w:jc w:val="center"/>
        <w:rPr>
          <w:rFonts w:eastAsia="Times New Roman"/>
          <w:sz w:val="24"/>
          <w:szCs w:val="24"/>
          <w:lang w:val="es-ES_tradnl" w:eastAsia="es-ES"/>
        </w:rPr>
      </w:pPr>
      <w:r>
        <w:rPr>
          <w:b/>
          <w:bCs/>
          <w:color w:val="000000"/>
          <w:sz w:val="24"/>
          <w:szCs w:val="24"/>
          <w:shd w:val="clear" w:color="auto" w:fill="FFFFFF"/>
        </w:rPr>
        <w:t>Ausente con excusa</w:t>
      </w:r>
    </w:p>
    <w:p w14:paraId="19BA3BF2" w14:textId="77777777" w:rsidR="001E19FB" w:rsidRPr="00211F0C" w:rsidRDefault="001E19FB" w:rsidP="001E19FB">
      <w:pPr>
        <w:keepNext/>
        <w:overflowPunct w:val="0"/>
        <w:autoSpaceDE w:val="0"/>
        <w:autoSpaceDN w:val="0"/>
        <w:adjustRightInd w:val="0"/>
        <w:rPr>
          <w:rFonts w:eastAsia="Times New Roman"/>
          <w:sz w:val="24"/>
          <w:szCs w:val="24"/>
          <w:lang w:val="es-ES_tradnl" w:eastAsia="es-ES"/>
        </w:rPr>
      </w:pPr>
    </w:p>
    <w:p w14:paraId="189A8005" w14:textId="77777777" w:rsidR="001E19FB" w:rsidRPr="00211F0C" w:rsidRDefault="001E19FB" w:rsidP="001E19FB">
      <w:pPr>
        <w:tabs>
          <w:tab w:val="left" w:pos="3109"/>
        </w:tabs>
        <w:rPr>
          <w:sz w:val="24"/>
          <w:szCs w:val="24"/>
        </w:rPr>
      </w:pPr>
    </w:p>
    <w:p w14:paraId="7A2DEFC4" w14:textId="77777777" w:rsidR="001E19FB" w:rsidRDefault="001E19FB" w:rsidP="001E19FB"/>
    <w:p w14:paraId="4F543BFF" w14:textId="77777777" w:rsidR="001E19FB" w:rsidRPr="00680865" w:rsidRDefault="001E19FB" w:rsidP="001E19FB">
      <w:pPr>
        <w:rPr>
          <w:lang w:val="es-MX"/>
        </w:rPr>
      </w:pPr>
    </w:p>
    <w:p w14:paraId="6D8E80F9" w14:textId="77777777" w:rsidR="001E19FB" w:rsidRDefault="001E19FB" w:rsidP="001E19FB"/>
    <w:p w14:paraId="0EF6BA69" w14:textId="77777777" w:rsidR="001E19FB" w:rsidRDefault="001E19FB" w:rsidP="001E19FB"/>
    <w:p w14:paraId="2A59FBA1" w14:textId="77777777" w:rsidR="001E19FB" w:rsidRDefault="001E19FB" w:rsidP="001E19FB"/>
    <w:p w14:paraId="59170CC7" w14:textId="77777777" w:rsidR="001E19FB" w:rsidRDefault="001E19FB" w:rsidP="001E19FB"/>
    <w:p w14:paraId="64521E75" w14:textId="77777777" w:rsidR="001E19FB" w:rsidRDefault="001E19FB" w:rsidP="001E19FB"/>
    <w:p w14:paraId="3D676B7C" w14:textId="77777777" w:rsidR="00DA60BA" w:rsidRDefault="00DA60BA"/>
    <w:sectPr w:rsidR="00DA60BA" w:rsidSect="00696EEB">
      <w:headerReference w:type="default" r:id="rId10"/>
      <w:footerReference w:type="default" r:id="rId11"/>
      <w:headerReference w:type="first" r:id="rId12"/>
      <w:footerReference w:type="first" r:id="rId13"/>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7CA6" w14:textId="77777777" w:rsidR="00DE1B5E" w:rsidRDefault="00DE1B5E" w:rsidP="001E19FB">
      <w:r>
        <w:separator/>
      </w:r>
    </w:p>
  </w:endnote>
  <w:endnote w:type="continuationSeparator" w:id="0">
    <w:p w14:paraId="2A03345B" w14:textId="77777777" w:rsidR="00DE1B5E" w:rsidRDefault="00DE1B5E" w:rsidP="001E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117E1A" w14:paraId="050512B1" w14:textId="77777777" w:rsidTr="00EB45D2">
      <w:trPr>
        <w:jc w:val="right"/>
      </w:trPr>
      <w:tc>
        <w:tcPr>
          <w:tcW w:w="4795" w:type="dxa"/>
          <w:vAlign w:val="center"/>
        </w:tcPr>
        <w:p w14:paraId="4FB97EBE" w14:textId="77777777" w:rsidR="00117E1A" w:rsidRDefault="00117E1A" w:rsidP="00EB45D2">
          <w:pPr>
            <w:pStyle w:val="Encabezado"/>
            <w:jc w:val="center"/>
            <w:rPr>
              <w:color w:val="767171"/>
              <w:sz w:val="20"/>
              <w:szCs w:val="20"/>
            </w:rPr>
          </w:pPr>
          <w:r w:rsidRPr="00A21194">
            <w:rPr>
              <w:color w:val="767171"/>
              <w:sz w:val="20"/>
              <w:szCs w:val="20"/>
            </w:rPr>
            <w:t>Calle 12 No. 7-65 – Tel: (57-1) 350-6700 – Bogotá D.C. – Colombia</w:t>
          </w:r>
        </w:p>
        <w:p w14:paraId="1A40127F" w14:textId="77777777" w:rsidR="00117E1A" w:rsidRPr="00A21194" w:rsidRDefault="00117E1A" w:rsidP="00EB45D2">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71252F4" w14:textId="77777777" w:rsidR="00117E1A" w:rsidRPr="00B6429B" w:rsidRDefault="00117E1A" w:rsidP="00EB45D2">
          <w:pPr>
            <w:pStyle w:val="Piedepgina"/>
            <w:jc w:val="center"/>
          </w:pPr>
          <w:r w:rsidRPr="00B6429B">
            <w:fldChar w:fldCharType="begin"/>
          </w:r>
          <w:r w:rsidRPr="00B6429B">
            <w:instrText>PAGE   \* MERGEFORMAT</w:instrText>
          </w:r>
          <w:r w:rsidRPr="00B6429B">
            <w:fldChar w:fldCharType="separate"/>
          </w:r>
          <w:r w:rsidR="00FC5250" w:rsidRPr="00FC5250">
            <w:rPr>
              <w:noProof/>
              <w:lang w:val="es-ES"/>
            </w:rPr>
            <w:t>9</w:t>
          </w:r>
          <w:r w:rsidRPr="00B6429B">
            <w:fldChar w:fldCharType="end"/>
          </w:r>
        </w:p>
      </w:tc>
    </w:tr>
  </w:tbl>
  <w:p w14:paraId="2EAABEAF" w14:textId="77777777" w:rsidR="00117E1A" w:rsidRPr="00C53B7C" w:rsidRDefault="00117E1A" w:rsidP="00EB45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117E1A" w14:paraId="2042807C" w14:textId="77777777" w:rsidTr="00EB45D2">
      <w:trPr>
        <w:jc w:val="right"/>
      </w:trPr>
      <w:tc>
        <w:tcPr>
          <w:tcW w:w="4795" w:type="dxa"/>
          <w:vAlign w:val="center"/>
        </w:tcPr>
        <w:p w14:paraId="10FD2C65" w14:textId="77777777" w:rsidR="00117E1A" w:rsidRDefault="00117E1A" w:rsidP="00EB45D2">
          <w:pPr>
            <w:pStyle w:val="Encabezado"/>
            <w:jc w:val="center"/>
            <w:rPr>
              <w:color w:val="767171"/>
              <w:sz w:val="20"/>
              <w:szCs w:val="20"/>
            </w:rPr>
          </w:pPr>
          <w:r w:rsidRPr="00A21194">
            <w:rPr>
              <w:color w:val="767171"/>
              <w:sz w:val="20"/>
              <w:szCs w:val="20"/>
            </w:rPr>
            <w:t>Calle 12 No. 7-65 – Tel: (57-1) 350-6700 – Bogotá D.C. – Colombia</w:t>
          </w:r>
        </w:p>
        <w:p w14:paraId="5B9CD9CF" w14:textId="77777777" w:rsidR="00117E1A" w:rsidRPr="00A21194" w:rsidRDefault="00117E1A" w:rsidP="00EB45D2">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B5CC01A" w14:textId="77777777" w:rsidR="00117E1A" w:rsidRPr="00B6429B" w:rsidRDefault="00117E1A" w:rsidP="00EB45D2">
          <w:pPr>
            <w:pStyle w:val="Piedepgina"/>
            <w:jc w:val="center"/>
          </w:pPr>
          <w:r w:rsidRPr="00B6429B">
            <w:fldChar w:fldCharType="begin"/>
          </w:r>
          <w:r w:rsidRPr="00B6429B">
            <w:instrText>PAGE   \* MERGEFORMAT</w:instrText>
          </w:r>
          <w:r w:rsidRPr="00B6429B">
            <w:fldChar w:fldCharType="separate"/>
          </w:r>
          <w:r w:rsidR="00D16C0C" w:rsidRPr="00D16C0C">
            <w:rPr>
              <w:noProof/>
              <w:lang w:val="es-ES"/>
            </w:rPr>
            <w:t>1</w:t>
          </w:r>
          <w:r w:rsidRPr="00B6429B">
            <w:fldChar w:fldCharType="end"/>
          </w:r>
        </w:p>
      </w:tc>
    </w:tr>
  </w:tbl>
  <w:p w14:paraId="3247E320" w14:textId="77777777" w:rsidR="00117E1A" w:rsidRPr="00C53B7C" w:rsidRDefault="00117E1A" w:rsidP="00EB45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F7CC" w14:textId="77777777" w:rsidR="00DE1B5E" w:rsidRDefault="00DE1B5E" w:rsidP="001E19FB">
      <w:r>
        <w:separator/>
      </w:r>
    </w:p>
  </w:footnote>
  <w:footnote w:type="continuationSeparator" w:id="0">
    <w:p w14:paraId="3F0BC476" w14:textId="77777777" w:rsidR="00DE1B5E" w:rsidRDefault="00DE1B5E" w:rsidP="001E19FB">
      <w:r>
        <w:continuationSeparator/>
      </w:r>
    </w:p>
  </w:footnote>
  <w:footnote w:id="1">
    <w:p w14:paraId="6CF6FB29" w14:textId="77777777" w:rsidR="00117E1A" w:rsidRPr="00A4767A" w:rsidRDefault="00117E1A" w:rsidP="001E19FB">
      <w:pPr>
        <w:pStyle w:val="Textonotapie"/>
        <w:rPr>
          <w:sz w:val="15"/>
          <w:szCs w:val="15"/>
          <w:lang w:val="es-MX"/>
        </w:rPr>
      </w:pPr>
      <w:r w:rsidRPr="009E6652">
        <w:rPr>
          <w:rStyle w:val="Refdenotaalpie"/>
        </w:rPr>
        <w:footnoteRef/>
      </w:r>
      <w:r w:rsidRPr="009E6652">
        <w:t xml:space="preserve"> </w:t>
      </w:r>
      <w:r w:rsidRPr="009E6652">
        <w:rPr>
          <w:lang w:val="es-MX"/>
        </w:rPr>
        <w:t xml:space="preserve">Archivo electrónico identificado con certificado </w:t>
      </w:r>
      <w:r>
        <w:t xml:space="preserve">C3EAD80C3C54D134 2060FDAF6C556BA36F 200B38F460B448E5B3 </w:t>
      </w:r>
      <w:r w:rsidRPr="0002647B">
        <w:t>20F496F6A4EE87738</w:t>
      </w:r>
      <w:r>
        <w:t>4, ubicado en el índice 2 d</w:t>
      </w:r>
      <w:r w:rsidRPr="009E6652">
        <w:t>el expediente digital.</w:t>
      </w:r>
    </w:p>
  </w:footnote>
  <w:footnote w:id="2">
    <w:p w14:paraId="5A0E3EE4" w14:textId="77777777" w:rsidR="00117E1A" w:rsidRDefault="00117E1A" w:rsidP="001E19FB">
      <w:pPr>
        <w:pStyle w:val="Textonotapie"/>
      </w:pPr>
      <w:r>
        <w:rPr>
          <w:rStyle w:val="Refdenotaalpie"/>
        </w:rPr>
        <w:footnoteRef/>
      </w:r>
      <w:r>
        <w:t xml:space="preserve"> Archivo electrónico identificado con certificado </w:t>
      </w:r>
      <w:r w:rsidRPr="0002647B">
        <w:t xml:space="preserve">9ACA3A4154E4F8FA 364BADB90915ACA8 7FE1B791052B78D8 AE516250CC5C7C90 </w:t>
      </w:r>
      <w:r>
        <w:t>ubicado en el índice 2 d</w:t>
      </w:r>
      <w:r w:rsidRPr="009E6652">
        <w:t>el expediente digital</w:t>
      </w:r>
      <w:r>
        <w:t>.</w:t>
      </w:r>
    </w:p>
  </w:footnote>
  <w:footnote w:id="3">
    <w:p w14:paraId="6F8F995A" w14:textId="77777777" w:rsidR="00117E1A" w:rsidRPr="00F43E01" w:rsidRDefault="00117E1A" w:rsidP="00F43E01">
      <w:pPr>
        <w:pStyle w:val="Textonotapie"/>
      </w:pPr>
      <w:r>
        <w:rPr>
          <w:rStyle w:val="Refdenotaalpie"/>
        </w:rPr>
        <w:footnoteRef/>
      </w:r>
      <w:r>
        <w:t xml:space="preserve"> Decreto reglamentario 4800 de 2011, artículo 119</w:t>
      </w:r>
      <w:r w:rsidRPr="00F43E01">
        <w:t xml:space="preserve">. </w:t>
      </w:r>
      <w:r>
        <w:t>“</w:t>
      </w:r>
      <w:r w:rsidRPr="00F43E01">
        <w:rPr>
          <w:iCs/>
        </w:rPr>
        <w:t>Ayuda humanitaria en caso de división del grupo familiar.</w:t>
      </w:r>
      <w:r w:rsidRPr="00F43E01">
        <w:t> Cuando se efectúe la división de grupos familiares inscritos en el Registro Único de Víctimas, se mantendrá el monto de la ayuda humanitaria que el grupo inicial venía recibiendo y seguirá siendo entregado al jefe de hogar que había sido reportado. </w:t>
      </w:r>
    </w:p>
    <w:p w14:paraId="72FAFA71" w14:textId="77777777" w:rsidR="00117E1A" w:rsidRPr="00F43E01" w:rsidRDefault="00117E1A" w:rsidP="00F43E01">
      <w:pPr>
        <w:pStyle w:val="Textonotapie"/>
      </w:pPr>
      <w:r w:rsidRPr="00F43E01">
        <w:rPr>
          <w:bCs/>
        </w:rPr>
        <w:t>Parágrafo.</w:t>
      </w:r>
      <w:r w:rsidRPr="00F43E01">
        <w:t> En aquellos grupos familiares cuya división obedezca al abandono por parte del jefe del hogar y se requiere la protección de los niños, niñas y adolescentes o es producto de violencia intrafamiliar, dichos hogares recibirán de manera separada la ayuda humanitaria correspondiente, de manera proporcional según la conformación del grupo familiar. </w:t>
      </w:r>
    </w:p>
    <w:p w14:paraId="2166BEDC" w14:textId="77777777" w:rsidR="00117E1A" w:rsidRDefault="00117E1A">
      <w:pPr>
        <w:pStyle w:val="Textonotapie"/>
      </w:pPr>
      <w:r w:rsidRPr="00F43E01">
        <w:t>Para tal efecto, la persona deberá acreditar de manera sumaria dicha situación. La Unidad Administrativa para la Atención y Reparación Integral de las Víctimas podrá solicitar al Defensor de Familia o al Comisario de Familia correspondiente, la información que le permita realizar la entrega separada de la citada ayuda humanitaria</w:t>
      </w:r>
      <w:r>
        <w:t>”</w:t>
      </w:r>
      <w:r w:rsidRPr="00F43E01">
        <w:t>. </w:t>
      </w:r>
    </w:p>
  </w:footnote>
  <w:footnote w:id="4">
    <w:p w14:paraId="7DB4B07F" w14:textId="77777777" w:rsidR="00117E1A" w:rsidRDefault="00117E1A">
      <w:pPr>
        <w:pStyle w:val="Textonotapie"/>
      </w:pPr>
      <w:r>
        <w:rPr>
          <w:rStyle w:val="Refdenotaalpie"/>
        </w:rPr>
        <w:footnoteRef/>
      </w:r>
      <w:r>
        <w:t xml:space="preserve"> Archivo electrónico identificado con certificado </w:t>
      </w:r>
      <w:r w:rsidRPr="00C163A5">
        <w:t>2E471D9B9BAEBA4D 8290F26295B3882D 480D19C4B0EEEBFE DC484F02DBC171CB</w:t>
      </w:r>
      <w:r>
        <w:t>, ubicado en el índice 10 del expediente digital.</w:t>
      </w:r>
    </w:p>
  </w:footnote>
  <w:footnote w:id="5">
    <w:p w14:paraId="17E3E948" w14:textId="77777777" w:rsidR="00117E1A" w:rsidRDefault="00117E1A">
      <w:pPr>
        <w:pStyle w:val="Textonotapie"/>
      </w:pPr>
      <w:r>
        <w:rPr>
          <w:rStyle w:val="Refdenotaalpie"/>
        </w:rPr>
        <w:footnoteRef/>
      </w:r>
      <w:r>
        <w:t xml:space="preserve"> Ibidem.</w:t>
      </w:r>
    </w:p>
  </w:footnote>
  <w:footnote w:id="6">
    <w:p w14:paraId="1D792D6D" w14:textId="77777777" w:rsidR="00117E1A" w:rsidRDefault="00117E1A">
      <w:pPr>
        <w:pStyle w:val="Textonotapie"/>
      </w:pPr>
      <w:r>
        <w:rPr>
          <w:rStyle w:val="Refdenotaalpie"/>
        </w:rPr>
        <w:footnoteRef/>
      </w:r>
      <w:r>
        <w:t xml:space="preserve"> Ibidem.</w:t>
      </w:r>
    </w:p>
  </w:footnote>
  <w:footnote w:id="7">
    <w:p w14:paraId="4CD05FE6" w14:textId="77777777" w:rsidR="00117E1A" w:rsidRDefault="00117E1A">
      <w:pPr>
        <w:pStyle w:val="Textonotapie"/>
      </w:pPr>
      <w:r>
        <w:rPr>
          <w:rStyle w:val="Refdenotaalpie"/>
        </w:rPr>
        <w:footnoteRef/>
      </w:r>
      <w:r>
        <w:t xml:space="preserve"> Ibidem.</w:t>
      </w:r>
    </w:p>
  </w:footnote>
  <w:footnote w:id="8">
    <w:p w14:paraId="70FBE852" w14:textId="77777777" w:rsidR="00117E1A" w:rsidRDefault="00117E1A">
      <w:pPr>
        <w:pStyle w:val="Textonotapie"/>
      </w:pPr>
      <w:r>
        <w:rPr>
          <w:rStyle w:val="Refdenotaalpie"/>
        </w:rPr>
        <w:footnoteRef/>
      </w:r>
      <w:r>
        <w:t xml:space="preserve"> Ibidem.</w:t>
      </w:r>
    </w:p>
  </w:footnote>
  <w:footnote w:id="9">
    <w:p w14:paraId="0B0C95F7" w14:textId="77777777" w:rsidR="00117E1A" w:rsidRDefault="00117E1A">
      <w:pPr>
        <w:pStyle w:val="Textonotapie"/>
      </w:pPr>
      <w:r>
        <w:rPr>
          <w:rStyle w:val="Refdenotaalpie"/>
        </w:rPr>
        <w:footnoteRef/>
      </w:r>
      <w:r>
        <w:t xml:space="preserve"> Ibidem.</w:t>
      </w:r>
    </w:p>
  </w:footnote>
  <w:footnote w:id="10">
    <w:p w14:paraId="7CE1E816" w14:textId="77777777" w:rsidR="00117E1A" w:rsidRDefault="00117E1A">
      <w:pPr>
        <w:pStyle w:val="Textonotapie"/>
      </w:pPr>
      <w:r>
        <w:rPr>
          <w:rStyle w:val="Refdenotaalpie"/>
        </w:rPr>
        <w:footnoteRef/>
      </w:r>
      <w:r>
        <w:t xml:space="preserve"> Ibidem.</w:t>
      </w:r>
    </w:p>
  </w:footnote>
  <w:footnote w:id="11">
    <w:p w14:paraId="01919F83" w14:textId="77777777" w:rsidR="00117E1A" w:rsidRPr="006A077B" w:rsidRDefault="00117E1A" w:rsidP="006A077B">
      <w:pPr>
        <w:pStyle w:val="Textonotapie"/>
        <w:rPr>
          <w:sz w:val="15"/>
          <w:szCs w:val="15"/>
        </w:rPr>
      </w:pPr>
      <w:r>
        <w:rPr>
          <w:rStyle w:val="Refdenotaalpie"/>
        </w:rPr>
        <w:footnoteRef/>
      </w:r>
      <w:r>
        <w:t xml:space="preserve"> </w:t>
      </w:r>
      <w:r w:rsidRPr="009E6652">
        <w:rPr>
          <w:lang w:val="es-MX"/>
        </w:rPr>
        <w:t xml:space="preserve">Archivo electrónico identificado con certificado </w:t>
      </w:r>
      <w:r>
        <w:t xml:space="preserve">C3EAD80C3C54D134 2060FDAF6C556BA36F 200B38F460B448E5B3 </w:t>
      </w:r>
      <w:r w:rsidRPr="0002647B">
        <w:t>20F496F6A4EE87738</w:t>
      </w:r>
      <w:r>
        <w:t>4, ubicado en el índice 2 d</w:t>
      </w:r>
      <w:r w:rsidRPr="009E6652">
        <w:t>el expediente digital.</w:t>
      </w:r>
    </w:p>
  </w:footnote>
  <w:footnote w:id="12">
    <w:p w14:paraId="4AA12075" w14:textId="77777777" w:rsidR="00117E1A" w:rsidRDefault="00117E1A">
      <w:pPr>
        <w:pStyle w:val="Textonotapie"/>
      </w:pPr>
      <w:r>
        <w:rPr>
          <w:rStyle w:val="Refdenotaalpie"/>
        </w:rPr>
        <w:footnoteRef/>
      </w:r>
      <w:r>
        <w:t xml:space="preserve"> Archivo electrónico identificado con certificado </w:t>
      </w:r>
      <w:r w:rsidRPr="00C163A5">
        <w:t>2E471D9B9BAEBA4D 8290F26295B3882D 480D19C4B0EEEBFE DC484F02DBC171CB</w:t>
      </w:r>
      <w:r>
        <w:t>, ubicado en el índice 10 del expediente digital.</w:t>
      </w:r>
    </w:p>
  </w:footnote>
  <w:footnote w:id="13">
    <w:p w14:paraId="2267075E" w14:textId="77777777" w:rsidR="00117E1A" w:rsidRPr="00C15E60" w:rsidRDefault="00117E1A">
      <w:pPr>
        <w:pStyle w:val="Textonotapie"/>
      </w:pPr>
      <w:r>
        <w:rPr>
          <w:rStyle w:val="Refdenotaalpie"/>
        </w:rPr>
        <w:footnoteRef/>
      </w:r>
      <w:r>
        <w:t xml:space="preserve"> Archivo electrónico ubicado en el índice 1 del expediente digital con número de radicado </w:t>
      </w:r>
      <w:r w:rsidRPr="00C15E60">
        <w:rPr>
          <w:bCs/>
        </w:rPr>
        <w:t>11001</w:t>
      </w:r>
      <w:r>
        <w:rPr>
          <w:bCs/>
        </w:rPr>
        <w:t>-</w:t>
      </w:r>
      <w:r w:rsidRPr="00C15E60">
        <w:rPr>
          <w:bCs/>
        </w:rPr>
        <w:t>03</w:t>
      </w:r>
      <w:r>
        <w:rPr>
          <w:bCs/>
        </w:rPr>
        <w:t>-</w:t>
      </w:r>
      <w:r w:rsidRPr="00C15E60">
        <w:rPr>
          <w:bCs/>
        </w:rPr>
        <w:t>15</w:t>
      </w:r>
      <w:r>
        <w:rPr>
          <w:bCs/>
        </w:rPr>
        <w:t>-</w:t>
      </w:r>
      <w:r w:rsidRPr="00C15E60">
        <w:rPr>
          <w:bCs/>
        </w:rPr>
        <w:t>0002017</w:t>
      </w:r>
      <w:r>
        <w:rPr>
          <w:bCs/>
        </w:rPr>
        <w:t>-</w:t>
      </w:r>
      <w:r w:rsidRPr="00C15E60">
        <w:rPr>
          <w:bCs/>
        </w:rPr>
        <w:t>01343</w:t>
      </w:r>
      <w:r>
        <w:rPr>
          <w:bCs/>
        </w:rPr>
        <w:t>-</w:t>
      </w:r>
      <w:r w:rsidRPr="00C15E60">
        <w:rPr>
          <w:bCs/>
        </w:rPr>
        <w:t>00</w:t>
      </w:r>
      <w:r>
        <w:rPr>
          <w:bCs/>
        </w:rPr>
        <w:t>/01.</w:t>
      </w:r>
    </w:p>
  </w:footnote>
  <w:footnote w:id="14">
    <w:p w14:paraId="65925E70" w14:textId="77777777" w:rsidR="00117E1A" w:rsidRDefault="00117E1A">
      <w:pPr>
        <w:pStyle w:val="Textonotapie"/>
      </w:pPr>
      <w:r>
        <w:rPr>
          <w:rStyle w:val="Refdenotaalpie"/>
        </w:rPr>
        <w:footnoteRef/>
      </w:r>
      <w:r>
        <w:t xml:space="preserve"> Archivo electrónico identificado con certificado </w:t>
      </w:r>
      <w:r w:rsidRPr="00C15E60">
        <w:t>2583033491F89D38 6D027576E167D2D0 A24879940EF549FD ACFF37C25B2FE514</w:t>
      </w:r>
      <w:r>
        <w:t xml:space="preserve">, ubicado en el índice 34 del expediente digital con número de radicado </w:t>
      </w:r>
      <w:r w:rsidRPr="00C15E60">
        <w:rPr>
          <w:bCs/>
        </w:rPr>
        <w:t>11001</w:t>
      </w:r>
      <w:r>
        <w:rPr>
          <w:bCs/>
        </w:rPr>
        <w:t>-</w:t>
      </w:r>
      <w:r w:rsidRPr="00C15E60">
        <w:rPr>
          <w:bCs/>
        </w:rPr>
        <w:t>03</w:t>
      </w:r>
      <w:r>
        <w:rPr>
          <w:bCs/>
        </w:rPr>
        <w:t>-</w:t>
      </w:r>
      <w:r w:rsidRPr="00C15E60">
        <w:rPr>
          <w:bCs/>
        </w:rPr>
        <w:t>15</w:t>
      </w:r>
      <w:r>
        <w:rPr>
          <w:bCs/>
        </w:rPr>
        <w:t>-</w:t>
      </w:r>
      <w:r w:rsidRPr="00C15E60">
        <w:rPr>
          <w:bCs/>
        </w:rPr>
        <w:t>0002017</w:t>
      </w:r>
      <w:r>
        <w:rPr>
          <w:bCs/>
        </w:rPr>
        <w:t>-</w:t>
      </w:r>
      <w:r w:rsidRPr="00C15E60">
        <w:rPr>
          <w:bCs/>
        </w:rPr>
        <w:t>01343</w:t>
      </w:r>
      <w:r>
        <w:rPr>
          <w:bCs/>
        </w:rPr>
        <w:t>-</w:t>
      </w:r>
      <w:r w:rsidRPr="00C15E60">
        <w:rPr>
          <w:bCs/>
        </w:rPr>
        <w:t>00</w:t>
      </w:r>
      <w:r>
        <w:t>.</w:t>
      </w:r>
    </w:p>
  </w:footnote>
  <w:footnote w:id="15">
    <w:p w14:paraId="3B3DDEDB" w14:textId="77777777" w:rsidR="00117E1A" w:rsidRDefault="00117E1A">
      <w:pPr>
        <w:pStyle w:val="Textonotapie"/>
      </w:pPr>
      <w:r>
        <w:rPr>
          <w:rStyle w:val="Refdenotaalpie"/>
        </w:rPr>
        <w:footnoteRef/>
      </w:r>
      <w:r>
        <w:t xml:space="preserve"> Archivo electrónico identificado con certificado </w:t>
      </w:r>
      <w:r w:rsidRPr="00C15E60">
        <w:t>1A10E66FF5F84DC9 38A309FA1CE10DC4 7F6DD872D3A51865 21284A120563B388</w:t>
      </w:r>
      <w:r>
        <w:t xml:space="preserve">, ubicado en el índice 4 del expediente digital con número de radicado </w:t>
      </w:r>
      <w:r w:rsidRPr="00C15E60">
        <w:rPr>
          <w:bCs/>
        </w:rPr>
        <w:t>11001</w:t>
      </w:r>
      <w:r>
        <w:rPr>
          <w:bCs/>
        </w:rPr>
        <w:t>-</w:t>
      </w:r>
      <w:r w:rsidRPr="00C15E60">
        <w:rPr>
          <w:bCs/>
        </w:rPr>
        <w:t>03</w:t>
      </w:r>
      <w:r>
        <w:rPr>
          <w:bCs/>
        </w:rPr>
        <w:t>-</w:t>
      </w:r>
      <w:r w:rsidRPr="00C15E60">
        <w:rPr>
          <w:bCs/>
        </w:rPr>
        <w:t>15</w:t>
      </w:r>
      <w:r>
        <w:rPr>
          <w:bCs/>
        </w:rPr>
        <w:t>-</w:t>
      </w:r>
      <w:r w:rsidRPr="00C15E60">
        <w:rPr>
          <w:bCs/>
        </w:rPr>
        <w:t>0002017</w:t>
      </w:r>
      <w:r>
        <w:rPr>
          <w:bCs/>
        </w:rPr>
        <w:t>-</w:t>
      </w:r>
      <w:r w:rsidRPr="00C15E60">
        <w:rPr>
          <w:bCs/>
        </w:rPr>
        <w:t>01343</w:t>
      </w:r>
      <w:r>
        <w:rPr>
          <w:bCs/>
        </w:rPr>
        <w:t>-01.</w:t>
      </w:r>
    </w:p>
  </w:footnote>
  <w:footnote w:id="16">
    <w:p w14:paraId="4F9B4E2D" w14:textId="77777777" w:rsidR="00117E1A" w:rsidRDefault="00117E1A">
      <w:pPr>
        <w:pStyle w:val="Textonotapie"/>
      </w:pPr>
      <w:r>
        <w:rPr>
          <w:rStyle w:val="Refdenotaalpie"/>
        </w:rPr>
        <w:footnoteRef/>
      </w:r>
      <w:r>
        <w:t xml:space="preserve"> Archivo electrónico identificado con certificado </w:t>
      </w:r>
      <w:r w:rsidRPr="00411D96">
        <w:t>F57920D96F8F43A1 7ED195772C4FCE27 00BA032DDE24AECA D61A76A2EF70D90A</w:t>
      </w:r>
      <w:r>
        <w:t xml:space="preserve">, ubicado en el índice 2 del expediente digital con número de radicado </w:t>
      </w:r>
      <w:r w:rsidRPr="00411D96">
        <w:rPr>
          <w:bCs/>
        </w:rPr>
        <w:t>11001</w:t>
      </w:r>
      <w:r>
        <w:rPr>
          <w:bCs/>
        </w:rPr>
        <w:t>-</w:t>
      </w:r>
      <w:r w:rsidRPr="00411D96">
        <w:rPr>
          <w:bCs/>
        </w:rPr>
        <w:t>03</w:t>
      </w:r>
      <w:r>
        <w:rPr>
          <w:bCs/>
        </w:rPr>
        <w:t>-</w:t>
      </w:r>
      <w:r w:rsidRPr="00411D96">
        <w:rPr>
          <w:bCs/>
        </w:rPr>
        <w:t>15</w:t>
      </w:r>
      <w:r>
        <w:rPr>
          <w:bCs/>
        </w:rPr>
        <w:t>-</w:t>
      </w:r>
      <w:r w:rsidRPr="00411D96">
        <w:rPr>
          <w:bCs/>
        </w:rPr>
        <w:t>000</w:t>
      </w:r>
      <w:r>
        <w:rPr>
          <w:bCs/>
        </w:rPr>
        <w:t>-</w:t>
      </w:r>
      <w:r w:rsidRPr="00411D96">
        <w:rPr>
          <w:bCs/>
        </w:rPr>
        <w:t>2021</w:t>
      </w:r>
      <w:r>
        <w:rPr>
          <w:bCs/>
        </w:rPr>
        <w:t>-</w:t>
      </w:r>
      <w:r w:rsidRPr="00411D96">
        <w:rPr>
          <w:bCs/>
        </w:rPr>
        <w:t>00054</w:t>
      </w:r>
      <w:r>
        <w:rPr>
          <w:bCs/>
        </w:rPr>
        <w:t>-</w:t>
      </w:r>
      <w:r w:rsidRPr="00411D96">
        <w:rPr>
          <w:bCs/>
        </w:rPr>
        <w:t>00</w:t>
      </w:r>
      <w:r>
        <w:rPr>
          <w:bCs/>
        </w:rPr>
        <w:t>.</w:t>
      </w:r>
    </w:p>
  </w:footnote>
  <w:footnote w:id="17">
    <w:p w14:paraId="1412ED4A" w14:textId="77777777" w:rsidR="00117E1A" w:rsidRDefault="00117E1A">
      <w:pPr>
        <w:pStyle w:val="Textonotapie"/>
      </w:pPr>
      <w:r>
        <w:rPr>
          <w:rStyle w:val="Refdenotaalpie"/>
        </w:rPr>
        <w:footnoteRef/>
      </w:r>
      <w:r>
        <w:t xml:space="preserve"> Archivo electrónico identificado con certificado </w:t>
      </w:r>
      <w:r w:rsidRPr="00411D96">
        <w:t>2F7FC1D2E1936C27 2A0E568DD4D40CB5 52A3FDBDB59BAEF9 8E7B66AD3FCA553A</w:t>
      </w:r>
      <w:r>
        <w:t xml:space="preserve">, ubicado en el índice 14 del expediente digital con número de radicado </w:t>
      </w:r>
      <w:r w:rsidRPr="00411D96">
        <w:rPr>
          <w:bCs/>
        </w:rPr>
        <w:t>11001</w:t>
      </w:r>
      <w:r>
        <w:rPr>
          <w:bCs/>
        </w:rPr>
        <w:t>-</w:t>
      </w:r>
      <w:r w:rsidRPr="00411D96">
        <w:rPr>
          <w:bCs/>
        </w:rPr>
        <w:t>03</w:t>
      </w:r>
      <w:r>
        <w:rPr>
          <w:bCs/>
        </w:rPr>
        <w:t>-</w:t>
      </w:r>
      <w:r w:rsidRPr="00411D96">
        <w:rPr>
          <w:bCs/>
        </w:rPr>
        <w:t>15</w:t>
      </w:r>
      <w:r>
        <w:rPr>
          <w:bCs/>
        </w:rPr>
        <w:t>-</w:t>
      </w:r>
      <w:r w:rsidRPr="00411D96">
        <w:rPr>
          <w:bCs/>
        </w:rPr>
        <w:t>000</w:t>
      </w:r>
      <w:r>
        <w:rPr>
          <w:bCs/>
        </w:rPr>
        <w:t>-</w:t>
      </w:r>
      <w:r w:rsidRPr="00411D96">
        <w:rPr>
          <w:bCs/>
        </w:rPr>
        <w:t>2021</w:t>
      </w:r>
      <w:r>
        <w:rPr>
          <w:bCs/>
        </w:rPr>
        <w:t>-</w:t>
      </w:r>
      <w:r w:rsidRPr="00411D96">
        <w:rPr>
          <w:bCs/>
        </w:rPr>
        <w:t>00054</w:t>
      </w:r>
      <w:r>
        <w:rPr>
          <w:bCs/>
        </w:rPr>
        <w:t>-</w:t>
      </w:r>
      <w:r w:rsidRPr="00411D96">
        <w:rPr>
          <w:bCs/>
        </w:rPr>
        <w:t>00</w:t>
      </w:r>
      <w:r>
        <w:t>.</w:t>
      </w:r>
    </w:p>
  </w:footnote>
  <w:footnote w:id="18">
    <w:p w14:paraId="3525FAAA" w14:textId="77777777" w:rsidR="00117E1A" w:rsidRDefault="00117E1A">
      <w:pPr>
        <w:pStyle w:val="Textonotapie"/>
      </w:pPr>
      <w:r>
        <w:rPr>
          <w:rStyle w:val="Refdenotaalpie"/>
        </w:rPr>
        <w:footnoteRef/>
      </w:r>
      <w:r>
        <w:t xml:space="preserve"> Archivo electrónico identificado con certificado </w:t>
      </w:r>
      <w:r w:rsidRPr="000B1BC8">
        <w:t>FD3DEBAA216A4B8A E8665BC7AC1041BB C290148173C80D44 180DA28C92726F2A</w:t>
      </w:r>
      <w:r>
        <w:t xml:space="preserve">, ubicado en el índice 5 del expediente con número de radicado </w:t>
      </w:r>
      <w:r w:rsidRPr="00411D96">
        <w:rPr>
          <w:bCs/>
        </w:rPr>
        <w:t>11001</w:t>
      </w:r>
      <w:r>
        <w:rPr>
          <w:bCs/>
        </w:rPr>
        <w:t>-</w:t>
      </w:r>
      <w:r w:rsidRPr="00411D96">
        <w:rPr>
          <w:bCs/>
        </w:rPr>
        <w:t>03</w:t>
      </w:r>
      <w:r>
        <w:rPr>
          <w:bCs/>
        </w:rPr>
        <w:t>-</w:t>
      </w:r>
      <w:r w:rsidRPr="00411D96">
        <w:rPr>
          <w:bCs/>
        </w:rPr>
        <w:t>15</w:t>
      </w:r>
      <w:r>
        <w:rPr>
          <w:bCs/>
        </w:rPr>
        <w:t>-</w:t>
      </w:r>
      <w:r w:rsidRPr="00411D96">
        <w:rPr>
          <w:bCs/>
        </w:rPr>
        <w:t>000</w:t>
      </w:r>
      <w:r>
        <w:rPr>
          <w:bCs/>
        </w:rPr>
        <w:t>-</w:t>
      </w:r>
      <w:r w:rsidRPr="00411D96">
        <w:rPr>
          <w:bCs/>
        </w:rPr>
        <w:t>2021</w:t>
      </w:r>
      <w:r>
        <w:rPr>
          <w:bCs/>
        </w:rPr>
        <w:t>-</w:t>
      </w:r>
      <w:r w:rsidRPr="00411D96">
        <w:rPr>
          <w:bCs/>
        </w:rPr>
        <w:t>00054</w:t>
      </w:r>
      <w:r>
        <w:rPr>
          <w:bCs/>
        </w:rPr>
        <w:t>-01.</w:t>
      </w:r>
    </w:p>
  </w:footnote>
  <w:footnote w:id="19">
    <w:p w14:paraId="0D0E09E0" w14:textId="77777777" w:rsidR="00117E1A" w:rsidRDefault="00117E1A" w:rsidP="00B53015">
      <w:pPr>
        <w:pStyle w:val="Textonotapie"/>
      </w:pPr>
      <w:r>
        <w:rPr>
          <w:rStyle w:val="Refdenotaalpie"/>
        </w:rPr>
        <w:footnoteRef/>
      </w:r>
      <w:r>
        <w:t xml:space="preserve"> Ibidem.</w:t>
      </w:r>
    </w:p>
  </w:footnote>
  <w:footnote w:id="20">
    <w:p w14:paraId="6E9DA01A" w14:textId="77777777" w:rsidR="00117E1A" w:rsidRDefault="00117E1A">
      <w:pPr>
        <w:pStyle w:val="Textonotapie"/>
      </w:pPr>
      <w:r>
        <w:rPr>
          <w:rStyle w:val="Refdenotaalpie"/>
        </w:rPr>
        <w:footnoteRef/>
      </w:r>
      <w:r>
        <w:t xml:space="preserve"> Archivo electrónico identificado con certificado </w:t>
      </w:r>
      <w:r w:rsidRPr="00576FBC">
        <w:t>E523227D5F0D87AE EE1741A9966334D9 3E18A77DD519533E 2FB6844D44BAB9C8</w:t>
      </w:r>
      <w:r>
        <w:t>, ubicado en el índice 2 del expediente digital.</w:t>
      </w:r>
    </w:p>
  </w:footnote>
  <w:footnote w:id="21">
    <w:p w14:paraId="3013FB75" w14:textId="77777777" w:rsidR="00117E1A" w:rsidRDefault="00117E1A">
      <w:pPr>
        <w:pStyle w:val="Textonotapie"/>
      </w:pPr>
      <w:r>
        <w:rPr>
          <w:rStyle w:val="Refdenotaalpie"/>
        </w:rPr>
        <w:footnoteRef/>
      </w:r>
      <w:r>
        <w:t xml:space="preserve"> Ibidem.</w:t>
      </w:r>
    </w:p>
  </w:footnote>
  <w:footnote w:id="22">
    <w:p w14:paraId="09A294A5" w14:textId="77777777" w:rsidR="00117E1A" w:rsidRPr="00023D0A" w:rsidRDefault="00117E1A">
      <w:pPr>
        <w:pStyle w:val="Textonotapie"/>
        <w:rPr>
          <w:lang w:val="es-ES"/>
        </w:rPr>
      </w:pPr>
      <w:r>
        <w:rPr>
          <w:rStyle w:val="Refdenotaalpie"/>
        </w:rPr>
        <w:footnoteRef/>
      </w:r>
      <w:r>
        <w:t xml:space="preserve"> Acuerdo No. PSAA10-6979 de junio 18 de 2010, artículo 5. “</w:t>
      </w:r>
      <w:r w:rsidRPr="00023D0A">
        <w:rPr>
          <w:lang w:val="es-ES"/>
        </w:rPr>
        <w:t>En caso de cesación de los efectos de la obligación contenida en actos administrativos o providencias judiciales por alguna de las causas determinadas en la ley, la decisión que así lo determine deberá comunicarse a la oficina de cobro coactivo que corresponda, dentro de los tres (3) días siguientes a su ejecutoria, para que se disponga la terminación de la actuación administrativa de cob</w:t>
      </w:r>
      <w:r>
        <w:rPr>
          <w:lang w:val="es-ES"/>
        </w:rPr>
        <w:t xml:space="preserve">ro coactivo, si fuere el caso”. </w:t>
      </w:r>
    </w:p>
  </w:footnote>
  <w:footnote w:id="23">
    <w:p w14:paraId="3D2D28F3" w14:textId="77777777" w:rsidR="00117E1A" w:rsidRDefault="00117E1A" w:rsidP="001E19FB">
      <w:pPr>
        <w:pStyle w:val="Textonotapie"/>
      </w:pPr>
      <w:r>
        <w:rPr>
          <w:rStyle w:val="Refdenotaalpie"/>
        </w:rPr>
        <w:footnoteRef/>
      </w:r>
      <w:r>
        <w:t xml:space="preserve"> Archivo electrónico identificado con certificado </w:t>
      </w:r>
      <w:r w:rsidRPr="00023D0A">
        <w:t>732C12DBC6E22CED DA32AB580622F1C9 FF123B2C7DC237E3 DAC84B8DEB1330DC</w:t>
      </w:r>
      <w:r>
        <w:t>, ubicado en el índice 4 del expediente digital.</w:t>
      </w:r>
    </w:p>
  </w:footnote>
  <w:footnote w:id="24">
    <w:p w14:paraId="0888D629" w14:textId="77777777" w:rsidR="00117E1A" w:rsidRDefault="00117E1A">
      <w:pPr>
        <w:pStyle w:val="Textonotapie"/>
      </w:pPr>
      <w:r>
        <w:rPr>
          <w:rStyle w:val="Refdenotaalpie"/>
        </w:rPr>
        <w:footnoteRef/>
      </w:r>
      <w:r>
        <w:t xml:space="preserve"> Archivo electrónico identificado con certificado </w:t>
      </w:r>
      <w:r w:rsidRPr="00F904FF">
        <w:t>3B7BF2B857AEE3A9 200ACB0E525E0369 D3F96F19DE822973 82316A0EB2CCA6AF</w:t>
      </w:r>
      <w:r>
        <w:t>, ubicado en el índice 9 del expediente digital.</w:t>
      </w:r>
    </w:p>
  </w:footnote>
  <w:footnote w:id="25">
    <w:p w14:paraId="048C9B3F" w14:textId="77777777" w:rsidR="00117E1A" w:rsidRDefault="00117E1A">
      <w:pPr>
        <w:pStyle w:val="Textonotapie"/>
      </w:pPr>
      <w:r>
        <w:rPr>
          <w:rStyle w:val="Refdenotaalpie"/>
        </w:rPr>
        <w:footnoteRef/>
      </w:r>
      <w:r>
        <w:t xml:space="preserve"> Ibidem.</w:t>
      </w:r>
    </w:p>
  </w:footnote>
  <w:footnote w:id="26">
    <w:p w14:paraId="212C63C8" w14:textId="77777777" w:rsidR="00117E1A" w:rsidRDefault="00117E1A">
      <w:pPr>
        <w:pStyle w:val="Textonotapie"/>
      </w:pPr>
      <w:r>
        <w:rPr>
          <w:rStyle w:val="Refdenotaalpie"/>
        </w:rPr>
        <w:footnoteRef/>
      </w:r>
      <w:r>
        <w:t xml:space="preserve"> Archivo electrónico identificado con certificado </w:t>
      </w:r>
      <w:r w:rsidRPr="006B600A">
        <w:t>4730106920E8D203 D9C0E111F5BDDFCA 432B5B4687313EB5 E224DED378E3F2CB</w:t>
      </w:r>
      <w:r>
        <w:t>, ubicado en el índice 11 del expediente digital.</w:t>
      </w:r>
    </w:p>
  </w:footnote>
  <w:footnote w:id="27">
    <w:p w14:paraId="7D13C0A2" w14:textId="77777777" w:rsidR="00117E1A" w:rsidRDefault="00117E1A" w:rsidP="001E19FB">
      <w:pPr>
        <w:pStyle w:val="Textonotapie"/>
        <w:rPr>
          <w:lang w:val="es-MX"/>
        </w:rPr>
      </w:pPr>
      <w:r>
        <w:rPr>
          <w:rStyle w:val="Refdenotaalpie"/>
        </w:rPr>
        <w:footnoteRef/>
      </w:r>
      <w:r>
        <w:t xml:space="preserve"> 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28">
    <w:p w14:paraId="79D1FA3D" w14:textId="77777777" w:rsidR="00117E1A" w:rsidRDefault="00117E1A" w:rsidP="001E19FB">
      <w:pPr>
        <w:pStyle w:val="Textonotapie"/>
        <w:rPr>
          <w:lang w:val="es-MX"/>
        </w:rPr>
      </w:pPr>
      <w:r>
        <w:rPr>
          <w:rStyle w:val="Refdenotaalpie"/>
        </w:rPr>
        <w:footnoteRef/>
      </w:r>
      <w: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9">
    <w:p w14:paraId="0779EBE0" w14:textId="77777777" w:rsidR="00117E1A" w:rsidRDefault="00117E1A" w:rsidP="001E19FB">
      <w:pPr>
        <w:pStyle w:val="Textonotapie"/>
        <w:rPr>
          <w:sz w:val="15"/>
          <w:szCs w:val="15"/>
          <w:lang w:val="es-MX"/>
        </w:rPr>
      </w:pPr>
      <w:r>
        <w:rPr>
          <w:rStyle w:val="Refdenotaalpie"/>
        </w:rPr>
        <w:footnoteRef/>
      </w:r>
      <w:r>
        <w:t xml:space="preserve"> </w:t>
      </w:r>
      <w:r>
        <w:rPr>
          <w:lang w:val="es-MX"/>
        </w:rPr>
        <w:t>Cfr. Sentencias T-066 de 2019 y T-336 de 2004.</w:t>
      </w:r>
    </w:p>
  </w:footnote>
  <w:footnote w:id="30">
    <w:p w14:paraId="362B18BF" w14:textId="556CB068" w:rsidR="009A0018" w:rsidRDefault="009A0018">
      <w:pPr>
        <w:pStyle w:val="Textonotapie"/>
      </w:pPr>
      <w:r>
        <w:rPr>
          <w:rStyle w:val="Refdenotaalpie"/>
        </w:rPr>
        <w:footnoteRef/>
      </w:r>
      <w:r>
        <w:t xml:space="preserve"> Corte Constitucional, sentencia SU-034 de 2018.</w:t>
      </w:r>
    </w:p>
  </w:footnote>
  <w:footnote w:id="31">
    <w:p w14:paraId="345378A9" w14:textId="77777777" w:rsidR="00204759" w:rsidRDefault="00204759" w:rsidP="00204759">
      <w:pPr>
        <w:pStyle w:val="Textonotapie"/>
      </w:pPr>
      <w:r>
        <w:rPr>
          <w:rStyle w:val="Refdenotaalpie"/>
        </w:rPr>
        <w:footnoteRef/>
      </w:r>
      <w:r>
        <w:t xml:space="preserve"> Ibidem.</w:t>
      </w:r>
    </w:p>
  </w:footnote>
  <w:footnote w:id="32">
    <w:p w14:paraId="6B5AB1A3" w14:textId="77777777" w:rsidR="00117E1A" w:rsidRDefault="00117E1A" w:rsidP="001E19FB">
      <w:pPr>
        <w:pStyle w:val="Textonotapie"/>
        <w:rPr>
          <w:sz w:val="15"/>
          <w:szCs w:val="15"/>
        </w:rPr>
      </w:pPr>
      <w:r>
        <w:rPr>
          <w:rStyle w:val="Refdenotaalpie"/>
        </w:rPr>
        <w:footnoteRef/>
      </w:r>
      <w:r>
        <w:t xml:space="preserve"> Corte Constitucional, sentencia SU-573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D2D1" w14:textId="77777777" w:rsidR="00117E1A" w:rsidRPr="00A15ACE" w:rsidRDefault="00117E1A">
    <w:pPr>
      <w:pStyle w:val="Encabezado"/>
    </w:pPr>
    <w:r>
      <w:rPr>
        <w:noProof/>
        <w:lang w:eastAsia="es-CO"/>
      </w:rPr>
      <w:drawing>
        <wp:anchor distT="0" distB="0" distL="114300" distR="114300" simplePos="0" relativeHeight="251660288" behindDoc="0" locked="0" layoutInCell="1" allowOverlap="1" wp14:anchorId="07820E34" wp14:editId="2367962B">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E662E" w14:textId="77777777" w:rsidR="00117E1A" w:rsidRPr="00A15ACE" w:rsidRDefault="00117E1A">
    <w:pPr>
      <w:pStyle w:val="Encabezado"/>
    </w:pPr>
  </w:p>
  <w:p w14:paraId="5CC2CCC6" w14:textId="77777777" w:rsidR="00117E1A" w:rsidRPr="00A15ACE" w:rsidRDefault="00117E1A">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57F8A8B7" wp14:editId="796D5E0D">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7E6AB35"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MsgIAAKUFAAAOAAAAZHJzL2Uyb0RvYy54bWysVFFvmzAQfp+0/2DxToFAAkFNqpaQvXRb&#10;pXbas2ObYA1sZDsh0bT/vrMJrOlepql5cGzs++67u+/u9u7UNujIlOZSrLzoJvQQE0RSLvYr79vL&#10;1s88pA0WFDdSsJV3Ztq7W3/8cNt3OZvJWjaUKQQgQud9t/JqY7o8CDSpWYv1jeyYgMtKqhYbOKp9&#10;QBXuAb1tglkYLoJeKtopSZjW8HUzXHprh19VjJivVaWZQc3KA27GrcqtO7sG61uc7xXuak4uNPB/&#10;sGgxF+B0gtpgg9FB8b+gWk6U1LIyN0S2gawqTpiLAaKJwjfRPNe4Yy4WSI7upjTp94MlX45PCnG6&#10;8mYeEriFEhVQKGKkQsr+IcpQ1TBSYzSz2eo7nYNRIZ6UjZecxHP3KMkPjYQsaiz2zLF+OXcAFVmL&#10;4MrEHnQHPnf9Z0nhDT4Y6VJ3qlRrISEp6OQqdJ4qxE4GEfg4T8IwTKCQZLwLcD4adkqbT0y2yG5W&#10;njYK831tIJ4hoMi5wcdHbSwtnI8G1quQW940Tg6NQD3kI5unc2ehZcOpvbXvtNrvikahI7aKcj8X&#10;JNy8fqbkQVCHVjNMy8veYN4Me/DeCIvHnEgHSnA6Gdi67xCxE9DPZbgsszJL/GS2KP0k3Gz8+22R&#10;+IttlM438aYoNtEvSzRK8ppTyoTlOoo5Sv5NLJe2GmQ4yXnKSnCN7tIHZK+Z3m/nYZrEmZ+m89hP&#10;4jL0H7Jt4d8X0WKRlg/FQ/mGaemi1+9DdkqlZSUPhqnnmvaIcquGWRYvYRZRDs0fZ+EiXKYews0e&#10;phYxykNKmu/c1E68VnYW46rW0TZOF/EgoaaDdnAKmFsFjAIYpOFyM7kfMjUW2Z6mMl2C/5NLEMUo&#10;ANc0tk+GjttJen5SYzPBLHBGl7llh83rM+xfT9f1bwA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dSwJzL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14:paraId="3836AE82" w14:textId="77777777" w:rsidR="00117E1A" w:rsidRPr="00D17695" w:rsidRDefault="00117E1A" w:rsidP="001E19FB">
    <w:pPr>
      <w:pStyle w:val="Encabezado"/>
      <w:jc w:val="right"/>
      <w:rPr>
        <w:i/>
        <w:iCs/>
        <w:color w:val="767171"/>
        <w:sz w:val="20"/>
        <w:szCs w:val="20"/>
      </w:rPr>
    </w:pPr>
    <w:r w:rsidRPr="00D17695">
      <w:rPr>
        <w:i/>
        <w:iCs/>
        <w:color w:val="767171"/>
        <w:sz w:val="20"/>
        <w:szCs w:val="20"/>
      </w:rPr>
      <w:t xml:space="preserve">Radicado: </w:t>
    </w:r>
    <w:r w:rsidRPr="001E19FB">
      <w:rPr>
        <w:bCs/>
        <w:i/>
        <w:iCs/>
        <w:color w:val="767171"/>
        <w:sz w:val="20"/>
        <w:szCs w:val="20"/>
      </w:rPr>
      <w:t>11001-03-15-000-2022-03114-00</w:t>
    </w:r>
  </w:p>
  <w:p w14:paraId="24D17E41" w14:textId="77777777" w:rsidR="00117E1A" w:rsidRDefault="00117E1A" w:rsidP="001E19FB">
    <w:pPr>
      <w:pStyle w:val="Encabezado"/>
      <w:jc w:val="right"/>
      <w:rPr>
        <w:i/>
        <w:iCs/>
        <w:color w:val="767171"/>
        <w:sz w:val="20"/>
        <w:szCs w:val="20"/>
      </w:rPr>
    </w:pPr>
    <w:r w:rsidRPr="00D17695">
      <w:rPr>
        <w:i/>
        <w:iCs/>
        <w:color w:val="767171"/>
        <w:sz w:val="20"/>
        <w:szCs w:val="20"/>
      </w:rPr>
      <w:tab/>
    </w:r>
    <w:r w:rsidRPr="00D17695">
      <w:rPr>
        <w:i/>
        <w:iCs/>
        <w:color w:val="767171"/>
        <w:sz w:val="20"/>
        <w:szCs w:val="20"/>
      </w:rPr>
      <w:tab/>
      <w:t>Accionante</w:t>
    </w:r>
    <w:r>
      <w:rPr>
        <w:i/>
        <w:iCs/>
        <w:color w:val="767171"/>
        <w:sz w:val="20"/>
        <w:szCs w:val="20"/>
      </w:rPr>
      <w:t xml:space="preserve">: </w:t>
    </w:r>
    <w:r w:rsidRPr="001E19FB">
      <w:rPr>
        <w:bCs/>
        <w:i/>
        <w:iCs/>
        <w:color w:val="767171"/>
        <w:sz w:val="20"/>
        <w:szCs w:val="20"/>
      </w:rPr>
      <w:t>Paula Gaviria Betancur</w:t>
    </w:r>
  </w:p>
  <w:p w14:paraId="13E552F7" w14:textId="77777777" w:rsidR="00117E1A" w:rsidRDefault="00117E1A" w:rsidP="00EB45D2">
    <w:pPr>
      <w:pStyle w:val="Encabezado"/>
      <w:jc w:val="right"/>
      <w:rPr>
        <w:i/>
        <w:iCs/>
        <w:color w:val="767171"/>
        <w:sz w:val="20"/>
        <w:szCs w:val="20"/>
      </w:rPr>
    </w:pPr>
  </w:p>
  <w:p w14:paraId="5FAC8EEB" w14:textId="77777777" w:rsidR="00117E1A" w:rsidRPr="00D17695" w:rsidRDefault="00117E1A" w:rsidP="00EB45D2">
    <w:pPr>
      <w:pStyle w:val="Encabezado"/>
      <w:jc w:val="right"/>
      <w:rPr>
        <w:i/>
        <w:iCs/>
        <w:color w:val="767171"/>
        <w:sz w:val="20"/>
        <w:szCs w:val="20"/>
      </w:rPr>
    </w:pPr>
  </w:p>
  <w:p w14:paraId="79F3A842" w14:textId="77777777" w:rsidR="00117E1A" w:rsidRPr="00D17695" w:rsidRDefault="00117E1A" w:rsidP="00EB45D2">
    <w:pPr>
      <w:pStyle w:val="Encabezado"/>
      <w:jc w:val="right"/>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0E8E" w14:textId="77777777" w:rsidR="00117E1A" w:rsidRPr="00A15ACE" w:rsidRDefault="00117E1A" w:rsidP="00EB45D2">
    <w:pPr>
      <w:pStyle w:val="Encabezado"/>
    </w:pPr>
    <w:r>
      <w:rPr>
        <w:noProof/>
        <w:lang w:eastAsia="es-CO"/>
      </w:rPr>
      <w:drawing>
        <wp:anchor distT="0" distB="0" distL="114300" distR="114300" simplePos="0" relativeHeight="251661312" behindDoc="0" locked="0" layoutInCell="1" allowOverlap="1" wp14:anchorId="73BE164D" wp14:editId="5E6A724B">
          <wp:simplePos x="0" y="0"/>
          <wp:positionH relativeFrom="column">
            <wp:posOffset>-474980</wp:posOffset>
          </wp:positionH>
          <wp:positionV relativeFrom="paragraph">
            <wp:posOffset>150495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638B2" w14:textId="77777777" w:rsidR="00117E1A" w:rsidRPr="00A15ACE" w:rsidRDefault="00117E1A" w:rsidP="00EB45D2">
    <w:pPr>
      <w:pStyle w:val="Encabezado"/>
    </w:pPr>
    <w:r w:rsidRPr="0070023E">
      <w:rPr>
        <w:noProof/>
        <w:sz w:val="20"/>
        <w:szCs w:val="20"/>
        <w:lang w:eastAsia="es-CO"/>
      </w:rPr>
      <mc:AlternateContent>
        <mc:Choice Requires="wps">
          <w:drawing>
            <wp:anchor distT="0" distB="0" distL="114300" distR="114300" simplePos="0" relativeHeight="251662336" behindDoc="0" locked="0" layoutInCell="1" allowOverlap="1" wp14:anchorId="34AF9DDC" wp14:editId="5047C901">
              <wp:simplePos x="0" y="0"/>
              <wp:positionH relativeFrom="column">
                <wp:posOffset>1379855</wp:posOffset>
              </wp:positionH>
              <wp:positionV relativeFrom="paragraph">
                <wp:posOffset>60325</wp:posOffset>
              </wp:positionV>
              <wp:extent cx="5400040" cy="0"/>
              <wp:effectExtent l="17780" t="22225" r="20955"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619B8D"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2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SzwkcAslKqBQxEiFlP1DlKGqYaTGKLH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u2ijdr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14:paraId="302A0012" w14:textId="77777777" w:rsidR="00117E1A" w:rsidRPr="00D17695" w:rsidRDefault="00117E1A" w:rsidP="00EB45D2">
    <w:pPr>
      <w:pStyle w:val="Encabezado"/>
      <w:jc w:val="right"/>
      <w:rPr>
        <w:i/>
        <w:iCs/>
        <w:color w:val="767171"/>
        <w:sz w:val="20"/>
        <w:szCs w:val="20"/>
      </w:rPr>
    </w:pPr>
    <w:r w:rsidRPr="00D17695">
      <w:rPr>
        <w:i/>
        <w:iCs/>
        <w:color w:val="767171"/>
        <w:sz w:val="20"/>
        <w:szCs w:val="20"/>
      </w:rPr>
      <w:t xml:space="preserve">Radicado: </w:t>
    </w:r>
    <w:r w:rsidRPr="001E19FB">
      <w:rPr>
        <w:bCs/>
        <w:i/>
        <w:iCs/>
        <w:color w:val="767171"/>
        <w:sz w:val="20"/>
        <w:szCs w:val="20"/>
      </w:rPr>
      <w:t>11001-03-15-000-2022-03114-00</w:t>
    </w:r>
  </w:p>
  <w:p w14:paraId="565192AC" w14:textId="77777777" w:rsidR="00117E1A" w:rsidRDefault="00117E1A" w:rsidP="00EB45D2">
    <w:pPr>
      <w:pStyle w:val="Encabezado"/>
      <w:jc w:val="right"/>
      <w:rPr>
        <w:i/>
        <w:iCs/>
        <w:color w:val="767171"/>
        <w:sz w:val="20"/>
        <w:szCs w:val="20"/>
      </w:rPr>
    </w:pPr>
    <w:r w:rsidRPr="00D17695">
      <w:rPr>
        <w:i/>
        <w:iCs/>
        <w:color w:val="767171"/>
        <w:sz w:val="20"/>
        <w:szCs w:val="20"/>
      </w:rPr>
      <w:tab/>
    </w:r>
    <w:r w:rsidRPr="00D17695">
      <w:rPr>
        <w:i/>
        <w:iCs/>
        <w:color w:val="767171"/>
        <w:sz w:val="20"/>
        <w:szCs w:val="20"/>
      </w:rPr>
      <w:tab/>
      <w:t>Accionante</w:t>
    </w:r>
    <w:r>
      <w:rPr>
        <w:i/>
        <w:iCs/>
        <w:color w:val="767171"/>
        <w:sz w:val="20"/>
        <w:szCs w:val="20"/>
      </w:rPr>
      <w:t xml:space="preserve">: </w:t>
    </w:r>
    <w:r w:rsidRPr="001E19FB">
      <w:rPr>
        <w:bCs/>
        <w:i/>
        <w:iCs/>
        <w:color w:val="767171"/>
        <w:sz w:val="20"/>
        <w:szCs w:val="20"/>
      </w:rPr>
      <w:t>Paula Gaviria Betancur</w:t>
    </w:r>
  </w:p>
  <w:p w14:paraId="1274AC0D" w14:textId="77777777" w:rsidR="00117E1A" w:rsidRPr="00A15ACE" w:rsidRDefault="00117E1A" w:rsidP="00EB45D2">
    <w:pPr>
      <w:pStyle w:val="Encabezado"/>
      <w:rPr>
        <w:color w:val="767171"/>
      </w:rPr>
    </w:pPr>
  </w:p>
  <w:p w14:paraId="20F920DA" w14:textId="77777777" w:rsidR="00117E1A" w:rsidRPr="007F276C" w:rsidRDefault="00117E1A" w:rsidP="00EB45D2">
    <w:pPr>
      <w:pStyle w:val="Sinespaciado"/>
    </w:pPr>
    <w:r w:rsidRPr="007F276C">
      <w:t>CONSEJO DE ESTADO</w:t>
    </w:r>
  </w:p>
  <w:p w14:paraId="106E1288" w14:textId="77777777" w:rsidR="00117E1A" w:rsidRPr="007F276C" w:rsidRDefault="00117E1A" w:rsidP="00EB45D2">
    <w:pPr>
      <w:pStyle w:val="Sinespaciado"/>
    </w:pPr>
    <w:r w:rsidRPr="007F276C">
      <w:t>SALA DE LO CONTENCIOSO ADMINISTRATIVO</w:t>
    </w:r>
  </w:p>
  <w:p w14:paraId="69C99BE2" w14:textId="77777777" w:rsidR="00117E1A" w:rsidRDefault="00117E1A" w:rsidP="00EB45D2">
    <w:pPr>
      <w:pStyle w:val="Sinespaciado"/>
    </w:pPr>
    <w:r w:rsidRPr="007F276C">
      <w:t xml:space="preserve">SECCIÓN TERCERA </w:t>
    </w:r>
  </w:p>
  <w:p w14:paraId="766E1AF2" w14:textId="77777777" w:rsidR="00117E1A" w:rsidRPr="007F276C" w:rsidRDefault="00117E1A" w:rsidP="00EB45D2">
    <w:pPr>
      <w:pStyle w:val="Sinespaciado"/>
    </w:pPr>
    <w:r w:rsidRPr="007F276C">
      <w:t>SUBSECCIÓN C</w:t>
    </w:r>
  </w:p>
  <w:p w14:paraId="790C9AB1" w14:textId="77777777" w:rsidR="00117E1A" w:rsidRDefault="00117E1A" w:rsidP="00EB45D2">
    <w:pPr>
      <w:pStyle w:val="Encabezado"/>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FB"/>
    <w:rsid w:val="00021F31"/>
    <w:rsid w:val="00023D0A"/>
    <w:rsid w:val="00056617"/>
    <w:rsid w:val="000A55BC"/>
    <w:rsid w:val="000B1BC8"/>
    <w:rsid w:val="000B5266"/>
    <w:rsid w:val="000C701A"/>
    <w:rsid w:val="00117E1A"/>
    <w:rsid w:val="001248A4"/>
    <w:rsid w:val="00131027"/>
    <w:rsid w:val="00137BF4"/>
    <w:rsid w:val="00137D0C"/>
    <w:rsid w:val="00152660"/>
    <w:rsid w:val="0015373C"/>
    <w:rsid w:val="00174B73"/>
    <w:rsid w:val="001E19FB"/>
    <w:rsid w:val="001E4F32"/>
    <w:rsid w:val="001E64D0"/>
    <w:rsid w:val="001F2DF0"/>
    <w:rsid w:val="00204759"/>
    <w:rsid w:val="00220276"/>
    <w:rsid w:val="00286CFE"/>
    <w:rsid w:val="002A4E94"/>
    <w:rsid w:val="002B14AE"/>
    <w:rsid w:val="002D323F"/>
    <w:rsid w:val="002E029B"/>
    <w:rsid w:val="00305149"/>
    <w:rsid w:val="00322FFB"/>
    <w:rsid w:val="003273DD"/>
    <w:rsid w:val="003303E9"/>
    <w:rsid w:val="003938E3"/>
    <w:rsid w:val="003A6CE9"/>
    <w:rsid w:val="00411D96"/>
    <w:rsid w:val="00435F62"/>
    <w:rsid w:val="00514002"/>
    <w:rsid w:val="00545F55"/>
    <w:rsid w:val="00554BC1"/>
    <w:rsid w:val="00563D5C"/>
    <w:rsid w:val="00576FBC"/>
    <w:rsid w:val="005917B0"/>
    <w:rsid w:val="005E2879"/>
    <w:rsid w:val="005F29EC"/>
    <w:rsid w:val="006025AB"/>
    <w:rsid w:val="00651F63"/>
    <w:rsid w:val="00653791"/>
    <w:rsid w:val="0065425B"/>
    <w:rsid w:val="00670CB6"/>
    <w:rsid w:val="00696EEB"/>
    <w:rsid w:val="006A077B"/>
    <w:rsid w:val="006B0C45"/>
    <w:rsid w:val="006B600A"/>
    <w:rsid w:val="006B7594"/>
    <w:rsid w:val="006D17C9"/>
    <w:rsid w:val="006D5AF9"/>
    <w:rsid w:val="00712426"/>
    <w:rsid w:val="00762C66"/>
    <w:rsid w:val="00780D84"/>
    <w:rsid w:val="007C5C9A"/>
    <w:rsid w:val="007F5765"/>
    <w:rsid w:val="007F7063"/>
    <w:rsid w:val="00817C64"/>
    <w:rsid w:val="0085380D"/>
    <w:rsid w:val="00857F7B"/>
    <w:rsid w:val="00874A24"/>
    <w:rsid w:val="00896128"/>
    <w:rsid w:val="00954EA9"/>
    <w:rsid w:val="00981B5B"/>
    <w:rsid w:val="009A0018"/>
    <w:rsid w:val="009A2E15"/>
    <w:rsid w:val="009C7F88"/>
    <w:rsid w:val="009D4534"/>
    <w:rsid w:val="009E2CDF"/>
    <w:rsid w:val="00A03F7E"/>
    <w:rsid w:val="00A27FE4"/>
    <w:rsid w:val="00A628F1"/>
    <w:rsid w:val="00A84B52"/>
    <w:rsid w:val="00A878AD"/>
    <w:rsid w:val="00AC5A5B"/>
    <w:rsid w:val="00B33210"/>
    <w:rsid w:val="00B53015"/>
    <w:rsid w:val="00B771A3"/>
    <w:rsid w:val="00BA2D83"/>
    <w:rsid w:val="00BB7E0A"/>
    <w:rsid w:val="00BD7409"/>
    <w:rsid w:val="00BE0854"/>
    <w:rsid w:val="00BE1507"/>
    <w:rsid w:val="00BE67F3"/>
    <w:rsid w:val="00C02D27"/>
    <w:rsid w:val="00C15E60"/>
    <w:rsid w:val="00C163A5"/>
    <w:rsid w:val="00C6726D"/>
    <w:rsid w:val="00CB5693"/>
    <w:rsid w:val="00CE2317"/>
    <w:rsid w:val="00CE33BC"/>
    <w:rsid w:val="00CF5589"/>
    <w:rsid w:val="00D001EA"/>
    <w:rsid w:val="00D16C0C"/>
    <w:rsid w:val="00D1790B"/>
    <w:rsid w:val="00D3235C"/>
    <w:rsid w:val="00D3704D"/>
    <w:rsid w:val="00D52457"/>
    <w:rsid w:val="00D6602D"/>
    <w:rsid w:val="00D82B5D"/>
    <w:rsid w:val="00DA60BA"/>
    <w:rsid w:val="00DA6FDC"/>
    <w:rsid w:val="00DC36F8"/>
    <w:rsid w:val="00DE1B5E"/>
    <w:rsid w:val="00E01136"/>
    <w:rsid w:val="00EB45D2"/>
    <w:rsid w:val="00F06326"/>
    <w:rsid w:val="00F23BBB"/>
    <w:rsid w:val="00F43E01"/>
    <w:rsid w:val="00F67046"/>
    <w:rsid w:val="00F71ED9"/>
    <w:rsid w:val="00F73313"/>
    <w:rsid w:val="00F76A3E"/>
    <w:rsid w:val="00F904FF"/>
    <w:rsid w:val="00FC52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223E8"/>
  <w15:chartTrackingRefBased/>
  <w15:docId w15:val="{B5D63CCB-0A5A-448F-8700-D4B82ED7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9FB"/>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9FB"/>
    <w:pPr>
      <w:tabs>
        <w:tab w:val="center" w:pos="4252"/>
        <w:tab w:val="right" w:pos="8504"/>
      </w:tabs>
    </w:pPr>
  </w:style>
  <w:style w:type="character" w:customStyle="1" w:styleId="EncabezadoCar">
    <w:name w:val="Encabezado Car"/>
    <w:basedOn w:val="Fuentedeprrafopredeter"/>
    <w:link w:val="Encabezado"/>
    <w:uiPriority w:val="99"/>
    <w:rsid w:val="001E19FB"/>
    <w:rPr>
      <w:rFonts w:ascii="Arial" w:eastAsia="Calibri" w:hAnsi="Arial" w:cs="Arial"/>
      <w:sz w:val="16"/>
      <w:szCs w:val="16"/>
      <w:lang w:eastAsia="es-ES_tradnl"/>
    </w:rPr>
  </w:style>
  <w:style w:type="paragraph" w:styleId="Piedepgina">
    <w:name w:val="footer"/>
    <w:basedOn w:val="Normal"/>
    <w:link w:val="PiedepginaCar"/>
    <w:uiPriority w:val="99"/>
    <w:unhideWhenUsed/>
    <w:rsid w:val="001E19FB"/>
    <w:pPr>
      <w:tabs>
        <w:tab w:val="center" w:pos="4252"/>
        <w:tab w:val="right" w:pos="8504"/>
      </w:tabs>
    </w:pPr>
  </w:style>
  <w:style w:type="character" w:customStyle="1" w:styleId="PiedepginaCar">
    <w:name w:val="Pie de página Car"/>
    <w:basedOn w:val="Fuentedeprrafopredeter"/>
    <w:link w:val="Piedepgina"/>
    <w:uiPriority w:val="99"/>
    <w:rsid w:val="001E19FB"/>
    <w:rPr>
      <w:rFonts w:ascii="Arial" w:eastAsia="Calibri" w:hAnsi="Arial" w:cs="Arial"/>
      <w:sz w:val="16"/>
      <w:szCs w:val="16"/>
      <w:lang w:eastAsia="es-ES_tradnl"/>
    </w:rPr>
  </w:style>
  <w:style w:type="paragraph" w:customStyle="1" w:styleId="Textoindependiente21">
    <w:name w:val="Texto independiente 21"/>
    <w:basedOn w:val="Normal"/>
    <w:qFormat/>
    <w:rsid w:val="001E19FB"/>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1E19FB"/>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1E19FB"/>
    <w:rPr>
      <w:rFonts w:ascii="Arial" w:eastAsia="Calibri" w:hAnsi="Arial" w:cs="Arial"/>
      <w:b/>
      <w:caps/>
      <w:color w:val="000000"/>
      <w:sz w:val="24"/>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semiHidden/>
    <w:unhideWhenUsed/>
    <w:qFormat/>
    <w:rsid w:val="001E19F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qFormat/>
    <w:rsid w:val="001E19FB"/>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1E19F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19FB"/>
    <w:rPr>
      <w:rFonts w:asciiTheme="minorHAnsi" w:eastAsiaTheme="minorHAnsi" w:hAnsiTheme="minorHAnsi" w:cstheme="minorBidi"/>
      <w:sz w:val="22"/>
      <w:szCs w:val="22"/>
      <w:vertAlign w:val="superscript"/>
      <w:lang w:eastAsia="en-US"/>
    </w:rPr>
  </w:style>
  <w:style w:type="paragraph" w:styleId="Prrafodelista">
    <w:name w:val="List Paragraph"/>
    <w:basedOn w:val="Normal"/>
    <w:link w:val="PrrafodelistaCar"/>
    <w:uiPriority w:val="34"/>
    <w:qFormat/>
    <w:rsid w:val="001E19FB"/>
    <w:pPr>
      <w:ind w:left="720"/>
      <w:contextualSpacing/>
    </w:pPr>
  </w:style>
  <w:style w:type="character" w:customStyle="1" w:styleId="PrrafodelistaCar">
    <w:name w:val="Párrafo de lista Car"/>
    <w:link w:val="Prrafodelista"/>
    <w:uiPriority w:val="34"/>
    <w:qFormat/>
    <w:locked/>
    <w:rsid w:val="001E19FB"/>
    <w:rPr>
      <w:rFonts w:ascii="Arial" w:eastAsia="Calibri" w:hAnsi="Arial" w:cs="Arial"/>
      <w:sz w:val="16"/>
      <w:szCs w:val="16"/>
      <w:lang w:eastAsia="es-ES_tradnl"/>
    </w:rPr>
  </w:style>
  <w:style w:type="paragraph" w:styleId="NormalWeb">
    <w:name w:val="Normal (Web)"/>
    <w:basedOn w:val="Normal"/>
    <w:uiPriority w:val="99"/>
    <w:semiHidden/>
    <w:unhideWhenUsed/>
    <w:rsid w:val="00F43E01"/>
    <w:rPr>
      <w:rFonts w:ascii="Times New Roman" w:hAnsi="Times New Roman" w:cs="Times New Roman"/>
      <w:sz w:val="24"/>
      <w:szCs w:val="24"/>
    </w:rPr>
  </w:style>
  <w:style w:type="paragraph" w:styleId="Revisin">
    <w:name w:val="Revision"/>
    <w:hidden/>
    <w:uiPriority w:val="99"/>
    <w:semiHidden/>
    <w:rsid w:val="00A84B52"/>
    <w:pPr>
      <w:spacing w:after="0" w:line="240" w:lineRule="auto"/>
    </w:pPr>
    <w:rPr>
      <w:rFonts w:ascii="Arial" w:eastAsia="Calibri" w:hAnsi="Arial" w:cs="Arial"/>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8724">
      <w:bodyDiv w:val="1"/>
      <w:marLeft w:val="0"/>
      <w:marRight w:val="0"/>
      <w:marTop w:val="0"/>
      <w:marBottom w:val="0"/>
      <w:divBdr>
        <w:top w:val="none" w:sz="0" w:space="0" w:color="auto"/>
        <w:left w:val="none" w:sz="0" w:space="0" w:color="auto"/>
        <w:bottom w:val="none" w:sz="0" w:space="0" w:color="auto"/>
        <w:right w:val="none" w:sz="0" w:space="0" w:color="auto"/>
      </w:divBdr>
    </w:div>
    <w:div w:id="724911781">
      <w:bodyDiv w:val="1"/>
      <w:marLeft w:val="0"/>
      <w:marRight w:val="0"/>
      <w:marTop w:val="0"/>
      <w:marBottom w:val="0"/>
      <w:divBdr>
        <w:top w:val="none" w:sz="0" w:space="0" w:color="auto"/>
        <w:left w:val="none" w:sz="0" w:space="0" w:color="auto"/>
        <w:bottom w:val="none" w:sz="0" w:space="0" w:color="auto"/>
        <w:right w:val="none" w:sz="0" w:space="0" w:color="auto"/>
      </w:divBdr>
    </w:div>
    <w:div w:id="1182278491">
      <w:bodyDiv w:val="1"/>
      <w:marLeft w:val="0"/>
      <w:marRight w:val="0"/>
      <w:marTop w:val="0"/>
      <w:marBottom w:val="0"/>
      <w:divBdr>
        <w:top w:val="none" w:sz="0" w:space="0" w:color="auto"/>
        <w:left w:val="none" w:sz="0" w:space="0" w:color="auto"/>
        <w:bottom w:val="none" w:sz="0" w:space="0" w:color="auto"/>
        <w:right w:val="none" w:sz="0" w:space="0" w:color="auto"/>
      </w:divBdr>
    </w:div>
    <w:div w:id="12091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6D84-E573-47E9-8852-1E838328E7F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0CEAE351-266F-4EBB-9AC9-BDCE924A87B8}">
  <ds:schemaRefs>
    <ds:schemaRef ds:uri="http://schemas.microsoft.com/sharepoint/v3/contenttype/forms"/>
  </ds:schemaRefs>
</ds:datastoreItem>
</file>

<file path=customXml/itemProps3.xml><?xml version="1.0" encoding="utf-8"?>
<ds:datastoreItem xmlns:ds="http://schemas.openxmlformats.org/officeDocument/2006/customXml" ds:itemID="{2D968FC5-9A5D-45DC-AD51-A3AD7E36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119C2-903E-4CD9-96DC-DA0EAC45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3870</Words>
  <Characters>21287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3</cp:revision>
  <dcterms:created xsi:type="dcterms:W3CDTF">2022-08-09T15:32:00Z</dcterms:created>
  <dcterms:modified xsi:type="dcterms:W3CDTF">2022-08-16T15:10:00Z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