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C164" w14:textId="77777777" w:rsidR="00606953" w:rsidRPr="0026030A" w:rsidRDefault="00606953" w:rsidP="00606953">
      <w:pPr>
        <w:jc w:val="center"/>
        <w:rPr>
          <w:b/>
          <w:sz w:val="24"/>
          <w:szCs w:val="24"/>
        </w:rPr>
      </w:pPr>
      <w:r w:rsidRPr="0026030A">
        <w:rPr>
          <w:b/>
          <w:sz w:val="24"/>
          <w:szCs w:val="24"/>
        </w:rPr>
        <w:t>Consejero Ponente: NICOLÁS YEPES CORRALES</w:t>
      </w:r>
    </w:p>
    <w:p w14:paraId="565C7A80" w14:textId="77777777" w:rsidR="00606953" w:rsidRDefault="00606953" w:rsidP="003A7AAA">
      <w:pPr>
        <w:spacing w:line="360" w:lineRule="auto"/>
        <w:rPr>
          <w:rFonts w:cs="Arial"/>
          <w:sz w:val="24"/>
          <w:szCs w:val="24"/>
        </w:rPr>
      </w:pPr>
    </w:p>
    <w:p w14:paraId="5409D06A" w14:textId="65198DDC" w:rsidR="003A7AAA" w:rsidRPr="003A7AAA" w:rsidRDefault="003A7AAA" w:rsidP="003A7AAA">
      <w:pPr>
        <w:spacing w:line="360" w:lineRule="auto"/>
        <w:rPr>
          <w:rFonts w:cs="Arial"/>
          <w:sz w:val="24"/>
          <w:szCs w:val="24"/>
        </w:rPr>
      </w:pPr>
      <w:r w:rsidRPr="003A7AAA">
        <w:rPr>
          <w:rFonts w:cs="Arial"/>
          <w:sz w:val="24"/>
          <w:szCs w:val="24"/>
        </w:rPr>
        <w:t xml:space="preserve">Bogotá D.C., </w:t>
      </w:r>
      <w:r w:rsidR="002C1DE4">
        <w:rPr>
          <w:sz w:val="24"/>
          <w:szCs w:val="24"/>
        </w:rPr>
        <w:t>veinti</w:t>
      </w:r>
      <w:r w:rsidR="00A2445B">
        <w:rPr>
          <w:sz w:val="24"/>
          <w:szCs w:val="24"/>
        </w:rPr>
        <w:t>nueve</w:t>
      </w:r>
      <w:r w:rsidR="00915328">
        <w:rPr>
          <w:sz w:val="24"/>
          <w:szCs w:val="24"/>
        </w:rPr>
        <w:t xml:space="preserve"> </w:t>
      </w:r>
      <w:r w:rsidR="00915328" w:rsidRPr="00EC0484">
        <w:rPr>
          <w:sz w:val="24"/>
          <w:szCs w:val="24"/>
        </w:rPr>
        <w:t>(</w:t>
      </w:r>
      <w:r w:rsidR="002C1DE4">
        <w:rPr>
          <w:sz w:val="24"/>
          <w:szCs w:val="24"/>
        </w:rPr>
        <w:t>2</w:t>
      </w:r>
      <w:r w:rsidR="00A2445B">
        <w:rPr>
          <w:sz w:val="24"/>
          <w:szCs w:val="24"/>
        </w:rPr>
        <w:t>9</w:t>
      </w:r>
      <w:r w:rsidR="00915328" w:rsidRPr="00EC0484">
        <w:rPr>
          <w:sz w:val="24"/>
          <w:szCs w:val="24"/>
        </w:rPr>
        <w:t xml:space="preserve">) de </w:t>
      </w:r>
      <w:r w:rsidR="00A2445B">
        <w:rPr>
          <w:sz w:val="24"/>
          <w:szCs w:val="24"/>
        </w:rPr>
        <w:t>ju</w:t>
      </w:r>
      <w:r w:rsidR="003E1603">
        <w:rPr>
          <w:sz w:val="24"/>
          <w:szCs w:val="24"/>
        </w:rPr>
        <w:t>l</w:t>
      </w:r>
      <w:r w:rsidR="00A2445B">
        <w:rPr>
          <w:sz w:val="24"/>
          <w:szCs w:val="24"/>
        </w:rPr>
        <w:t>io</w:t>
      </w:r>
      <w:r w:rsidR="00915328" w:rsidRPr="00EC0484">
        <w:rPr>
          <w:sz w:val="24"/>
          <w:szCs w:val="24"/>
        </w:rPr>
        <w:t xml:space="preserve"> </w:t>
      </w:r>
      <w:r w:rsidRPr="003A7AAA">
        <w:rPr>
          <w:rFonts w:cs="Arial"/>
          <w:sz w:val="24"/>
          <w:szCs w:val="24"/>
        </w:rPr>
        <w:t>de dos mil veinti</w:t>
      </w:r>
      <w:r w:rsidR="002C1DE4">
        <w:rPr>
          <w:rFonts w:cs="Arial"/>
          <w:sz w:val="24"/>
          <w:szCs w:val="24"/>
        </w:rPr>
        <w:t>dós</w:t>
      </w:r>
      <w:r w:rsidRPr="003A7AAA">
        <w:rPr>
          <w:rFonts w:cs="Arial"/>
          <w:sz w:val="24"/>
          <w:szCs w:val="24"/>
        </w:rPr>
        <w:t xml:space="preserve"> (202</w:t>
      </w:r>
      <w:r w:rsidR="002C1DE4">
        <w:rPr>
          <w:rFonts w:cs="Arial"/>
          <w:sz w:val="24"/>
          <w:szCs w:val="24"/>
        </w:rPr>
        <w:t>2</w:t>
      </w:r>
      <w:r w:rsidRPr="003A7AAA">
        <w:rPr>
          <w:rFonts w:cs="Arial"/>
          <w:sz w:val="24"/>
          <w:szCs w:val="24"/>
        </w:rPr>
        <w:t>)</w:t>
      </w:r>
    </w:p>
    <w:p w14:paraId="178D64A0" w14:textId="3B3ED439" w:rsidR="003A7AAA" w:rsidRPr="003A7AAA" w:rsidRDefault="00606953" w:rsidP="00606953">
      <w:pPr>
        <w:tabs>
          <w:tab w:val="left" w:pos="6513"/>
        </w:tabs>
        <w:spacing w:line="360" w:lineRule="auto"/>
        <w:rPr>
          <w:rFonts w:cs="Arial"/>
          <w:sz w:val="24"/>
          <w:szCs w:val="24"/>
        </w:rPr>
      </w:pPr>
      <w:r>
        <w:rPr>
          <w:rFonts w:cs="Arial"/>
          <w:sz w:val="24"/>
          <w:szCs w:val="24"/>
        </w:rPr>
        <w:tab/>
      </w:r>
    </w:p>
    <w:p w14:paraId="7D607FE0" w14:textId="77777777" w:rsidR="003767C9" w:rsidRPr="00FA7741" w:rsidRDefault="003767C9" w:rsidP="003767C9">
      <w:pPr>
        <w:pStyle w:val="Sinespaciado1"/>
        <w:spacing w:line="276" w:lineRule="auto"/>
        <w:jc w:val="both"/>
        <w:rPr>
          <w:rFonts w:ascii="Arial" w:hAnsi="Arial" w:cs="Arial"/>
          <w:b/>
          <w:sz w:val="22"/>
          <w:szCs w:val="22"/>
          <w:lang w:val="es-ES"/>
        </w:rPr>
      </w:pPr>
      <w:r w:rsidRPr="00FA7741">
        <w:rPr>
          <w:rFonts w:ascii="Arial" w:hAnsi="Arial" w:cs="Arial"/>
          <w:b/>
          <w:sz w:val="22"/>
          <w:szCs w:val="22"/>
          <w:lang w:val="es-ES"/>
        </w:rPr>
        <w:t xml:space="preserve">Radicación: </w:t>
      </w:r>
      <w:r w:rsidRPr="00FA7741">
        <w:rPr>
          <w:rFonts w:ascii="Arial" w:hAnsi="Arial" w:cs="Arial"/>
          <w:sz w:val="22"/>
          <w:szCs w:val="22"/>
          <w:lang w:val="es-ES"/>
        </w:rPr>
        <w:t>11001-03-15-000-2022-03752-00</w:t>
      </w:r>
    </w:p>
    <w:p w14:paraId="7A16B014" w14:textId="77777777" w:rsidR="003767C9" w:rsidRPr="00FA7741" w:rsidRDefault="003767C9" w:rsidP="003767C9">
      <w:pPr>
        <w:pStyle w:val="Sinespaciado1"/>
        <w:spacing w:line="276" w:lineRule="auto"/>
        <w:jc w:val="both"/>
        <w:rPr>
          <w:rFonts w:ascii="Arial" w:hAnsi="Arial" w:cs="Arial"/>
          <w:sz w:val="22"/>
          <w:szCs w:val="22"/>
          <w:lang w:val="es-ES"/>
        </w:rPr>
      </w:pPr>
      <w:r w:rsidRPr="00FA7741">
        <w:rPr>
          <w:rFonts w:ascii="Arial" w:hAnsi="Arial" w:cs="Arial"/>
          <w:b/>
          <w:sz w:val="22"/>
          <w:szCs w:val="22"/>
          <w:lang w:val="es-ES"/>
        </w:rPr>
        <w:t xml:space="preserve">Accionante: </w:t>
      </w:r>
      <w:r w:rsidRPr="00FA7741">
        <w:rPr>
          <w:rFonts w:ascii="Arial" w:hAnsi="Arial" w:cs="Arial"/>
          <w:sz w:val="22"/>
          <w:szCs w:val="22"/>
          <w:lang w:val="es-ES"/>
        </w:rPr>
        <w:t>Jairo Alberto Fajardo Rondón</w:t>
      </w:r>
    </w:p>
    <w:p w14:paraId="279805EA" w14:textId="536DEB45" w:rsidR="003A7AAA" w:rsidRPr="00144039" w:rsidRDefault="003767C9" w:rsidP="003767C9">
      <w:pPr>
        <w:spacing w:line="276" w:lineRule="auto"/>
        <w:rPr>
          <w:rFonts w:cs="Arial"/>
          <w:sz w:val="22"/>
          <w:szCs w:val="24"/>
        </w:rPr>
      </w:pPr>
      <w:r w:rsidRPr="00FA7741">
        <w:rPr>
          <w:rFonts w:cs="Arial"/>
          <w:b/>
          <w:sz w:val="22"/>
          <w:szCs w:val="22"/>
          <w:lang w:val="es-ES"/>
        </w:rPr>
        <w:t xml:space="preserve">Accionados: </w:t>
      </w:r>
      <w:r w:rsidRPr="00FA7741">
        <w:rPr>
          <w:rFonts w:cs="Arial"/>
          <w:sz w:val="22"/>
          <w:szCs w:val="22"/>
          <w:lang w:val="es-ES"/>
        </w:rPr>
        <w:t>Comisión Nacional de Disciplina Judicial y Consejo Superior de la</w:t>
      </w:r>
      <w:r w:rsidRPr="00FA7741">
        <w:rPr>
          <w:rFonts w:cs="Arial"/>
          <w:b/>
          <w:sz w:val="22"/>
          <w:szCs w:val="22"/>
          <w:lang w:val="es-ES"/>
        </w:rPr>
        <w:t xml:space="preserve"> </w:t>
      </w:r>
      <w:r w:rsidRPr="00FA7741">
        <w:rPr>
          <w:rFonts w:cs="Arial"/>
          <w:sz w:val="22"/>
          <w:szCs w:val="22"/>
          <w:lang w:val="es-ES"/>
        </w:rPr>
        <w:t xml:space="preserve">Judicatura </w:t>
      </w:r>
      <w:r w:rsidR="003A7AAA" w:rsidRPr="00144039">
        <w:rPr>
          <w:b/>
          <w:sz w:val="22"/>
          <w:szCs w:val="24"/>
        </w:rPr>
        <w:t xml:space="preserve">Asunto: </w:t>
      </w:r>
      <w:r w:rsidR="003A7AAA" w:rsidRPr="00144039">
        <w:rPr>
          <w:rFonts w:cs="Arial"/>
          <w:sz w:val="22"/>
          <w:szCs w:val="24"/>
        </w:rPr>
        <w:t xml:space="preserve">Acción de tutela – </w:t>
      </w:r>
      <w:r w:rsidR="00915328" w:rsidRPr="00144039">
        <w:rPr>
          <w:rFonts w:cs="Arial"/>
          <w:sz w:val="22"/>
          <w:szCs w:val="24"/>
        </w:rPr>
        <w:t>Auto ordena remitir por competencia</w:t>
      </w:r>
    </w:p>
    <w:p w14:paraId="0E27AD2A" w14:textId="77777777" w:rsidR="003A7AAA" w:rsidRDefault="003A7AAA" w:rsidP="003A7AAA">
      <w:pPr>
        <w:spacing w:line="360" w:lineRule="auto"/>
        <w:rPr>
          <w:rFonts w:cs="Arial"/>
          <w:sz w:val="24"/>
          <w:szCs w:val="24"/>
        </w:rPr>
      </w:pPr>
    </w:p>
    <w:p w14:paraId="56E37CD7" w14:textId="6023ECBB" w:rsidR="003767C9" w:rsidRDefault="003A7AAA" w:rsidP="003767C9">
      <w:pPr>
        <w:pStyle w:val="Sinespaciado"/>
        <w:spacing w:line="360" w:lineRule="auto"/>
        <w:jc w:val="both"/>
        <w:rPr>
          <w:rFonts w:ascii="Arial" w:hAnsi="Arial" w:cs="Arial"/>
        </w:rPr>
      </w:pPr>
      <w:r w:rsidRPr="0034622E">
        <w:rPr>
          <w:rFonts w:ascii="Arial" w:hAnsi="Arial" w:cs="Arial"/>
        </w:rPr>
        <w:t>1.-</w:t>
      </w:r>
      <w:r>
        <w:t xml:space="preserve"> </w:t>
      </w:r>
      <w:r w:rsidR="003767C9">
        <w:rPr>
          <w:rFonts w:ascii="Arial" w:hAnsi="Arial" w:cs="Arial"/>
        </w:rPr>
        <w:t xml:space="preserve">El señor </w:t>
      </w:r>
      <w:r w:rsidR="003767C9" w:rsidRPr="00FA7741">
        <w:rPr>
          <w:rFonts w:ascii="Arial" w:hAnsi="Arial" w:cs="Arial"/>
        </w:rPr>
        <w:t>Jairo Alberto Fajardo Rondón</w:t>
      </w:r>
      <w:r w:rsidR="003767C9" w:rsidRPr="00E441A8">
        <w:rPr>
          <w:rFonts w:ascii="Arial" w:hAnsi="Arial" w:cs="Arial"/>
        </w:rPr>
        <w:t>, en nombre propio, interpuso acción de tutela</w:t>
      </w:r>
      <w:r w:rsidR="003767C9" w:rsidRPr="00E441A8">
        <w:rPr>
          <w:rStyle w:val="Refdenotaalpie"/>
          <w:rFonts w:ascii="Arial" w:hAnsi="Arial" w:cs="Arial"/>
        </w:rPr>
        <w:footnoteReference w:id="1"/>
      </w:r>
      <w:r w:rsidR="003767C9" w:rsidRPr="00E441A8">
        <w:rPr>
          <w:rFonts w:ascii="Arial" w:hAnsi="Arial" w:cs="Arial"/>
        </w:rPr>
        <w:t xml:space="preserve">  en procura de la protección de sus derechos fundamentales </w:t>
      </w:r>
      <w:r w:rsidR="003767C9" w:rsidRPr="004318D7">
        <w:rPr>
          <w:rFonts w:ascii="Arial" w:hAnsi="Arial" w:cs="Arial"/>
        </w:rPr>
        <w:t xml:space="preserve">a la igualdad, al debido proceso administrativo, al trabajo y al acceso a los cargos públicos mediante méritos, que estima transgredidos con: i) la dilación en los nombramientos y la comunicación de vacantes disponibles por parte de las demandadas, y ii) la negativa en aplicar la lista de la convocatoria </w:t>
      </w:r>
      <w:r w:rsidR="003767C9" w:rsidRPr="003767C9">
        <w:rPr>
          <w:rFonts w:ascii="Arial" w:hAnsi="Arial" w:cs="Arial"/>
        </w:rPr>
        <w:t xml:space="preserve">núm. </w:t>
      </w:r>
      <w:r w:rsidR="003767C9" w:rsidRPr="004318D7">
        <w:rPr>
          <w:rFonts w:ascii="Arial" w:hAnsi="Arial" w:cs="Arial"/>
        </w:rPr>
        <w:t>22 y designarlo en el cargo de Magistrado de la Comisión Seccional de Disciplina Judicial.</w:t>
      </w:r>
    </w:p>
    <w:p w14:paraId="542A0004" w14:textId="77777777" w:rsidR="007C628A" w:rsidRPr="00144039" w:rsidRDefault="007C628A" w:rsidP="003A7AAA">
      <w:pPr>
        <w:spacing w:line="360" w:lineRule="auto"/>
        <w:rPr>
          <w:sz w:val="24"/>
          <w:szCs w:val="24"/>
          <w:lang w:val="es-ES_tradnl"/>
        </w:rPr>
      </w:pPr>
    </w:p>
    <w:p w14:paraId="167020BA" w14:textId="67E2DAEE" w:rsidR="003767C9" w:rsidRDefault="004A20F5" w:rsidP="002C1DE4">
      <w:pPr>
        <w:spacing w:line="360" w:lineRule="auto"/>
        <w:ind w:right="50"/>
        <w:contextualSpacing/>
        <w:rPr>
          <w:sz w:val="24"/>
          <w:szCs w:val="24"/>
        </w:rPr>
      </w:pPr>
      <w:r w:rsidRPr="00AF3668">
        <w:rPr>
          <w:sz w:val="24"/>
          <w:szCs w:val="24"/>
        </w:rPr>
        <w:t xml:space="preserve">2.- </w:t>
      </w:r>
      <w:r w:rsidR="002C1DE4">
        <w:rPr>
          <w:sz w:val="24"/>
          <w:szCs w:val="24"/>
        </w:rPr>
        <w:t xml:space="preserve">Mediante auto del </w:t>
      </w:r>
      <w:r w:rsidR="003767C9">
        <w:rPr>
          <w:sz w:val="24"/>
          <w:szCs w:val="24"/>
        </w:rPr>
        <w:t>12 de julio</w:t>
      </w:r>
      <w:r w:rsidR="002C1DE4">
        <w:rPr>
          <w:sz w:val="24"/>
          <w:szCs w:val="24"/>
        </w:rPr>
        <w:t xml:space="preserve"> 2022</w:t>
      </w:r>
      <w:r w:rsidR="00144039">
        <w:rPr>
          <w:rStyle w:val="Refdenotaalpie"/>
          <w:sz w:val="24"/>
          <w:szCs w:val="24"/>
        </w:rPr>
        <w:footnoteReference w:id="2"/>
      </w:r>
      <w:r w:rsidR="002C1DE4">
        <w:rPr>
          <w:sz w:val="24"/>
          <w:szCs w:val="24"/>
        </w:rPr>
        <w:t xml:space="preserve"> este Despacho resolvió admitir la solicitud de amparo constitucional</w:t>
      </w:r>
      <w:r w:rsidR="003767C9">
        <w:rPr>
          <w:sz w:val="24"/>
          <w:szCs w:val="24"/>
        </w:rPr>
        <w:t xml:space="preserve"> y ordenó la vinculación de </w:t>
      </w:r>
      <w:r w:rsidR="003767C9" w:rsidRPr="00F838AF">
        <w:rPr>
          <w:rFonts w:eastAsia="Times New Roman" w:cs="Arial"/>
          <w:sz w:val="24"/>
          <w:szCs w:val="24"/>
          <w:lang w:eastAsia="es-CO"/>
        </w:rPr>
        <w:t>An</w:t>
      </w:r>
      <w:r w:rsidR="003767C9">
        <w:rPr>
          <w:rFonts w:eastAsia="Times New Roman" w:cs="Arial"/>
          <w:sz w:val="24"/>
          <w:szCs w:val="24"/>
          <w:lang w:eastAsia="es-CO"/>
        </w:rPr>
        <w:t xml:space="preserve">tonio Manuel Barrios Guardiola y Luis Ariel Rodríguez Ferreira, </w:t>
      </w:r>
      <w:r w:rsidR="003767C9">
        <w:rPr>
          <w:rFonts w:cs="Arial"/>
          <w:bCs/>
          <w:sz w:val="24"/>
          <w:szCs w:val="24"/>
        </w:rPr>
        <w:t>como terceros interesados, por ser integrantes del Registro de Elegibles de la Convocatoria núm. 22.</w:t>
      </w:r>
    </w:p>
    <w:p w14:paraId="462FCF0C" w14:textId="77777777" w:rsidR="003767C9" w:rsidRDefault="003767C9" w:rsidP="002C1DE4">
      <w:pPr>
        <w:spacing w:line="360" w:lineRule="auto"/>
        <w:ind w:right="50"/>
        <w:contextualSpacing/>
        <w:rPr>
          <w:sz w:val="24"/>
          <w:szCs w:val="24"/>
        </w:rPr>
      </w:pPr>
    </w:p>
    <w:p w14:paraId="6B652291" w14:textId="5E24CB4A" w:rsidR="0034622E" w:rsidRDefault="002C1DE4" w:rsidP="0034622E">
      <w:pPr>
        <w:spacing w:line="360" w:lineRule="auto"/>
        <w:rPr>
          <w:sz w:val="24"/>
          <w:szCs w:val="24"/>
          <w:lang w:val="es-ES_tradnl"/>
        </w:rPr>
      </w:pPr>
      <w:r>
        <w:rPr>
          <w:sz w:val="24"/>
          <w:szCs w:val="24"/>
          <w:lang w:val="es-ES_tradnl"/>
        </w:rPr>
        <w:t xml:space="preserve">3.- </w:t>
      </w:r>
      <w:r w:rsidR="0025057C">
        <w:rPr>
          <w:sz w:val="24"/>
          <w:szCs w:val="24"/>
          <w:lang w:val="es-ES_tradnl"/>
        </w:rPr>
        <w:t>D</w:t>
      </w:r>
      <w:r w:rsidR="0034622E">
        <w:rPr>
          <w:sz w:val="24"/>
          <w:szCs w:val="24"/>
          <w:lang w:val="es-ES_tradnl"/>
        </w:rPr>
        <w:t>urante el traslado de la demanda, los terceros interesados pusieron de presente que actualmente se tramitan en esta Corporación otras acciones de tutela</w:t>
      </w:r>
      <w:r w:rsidR="000D5CB6">
        <w:rPr>
          <w:rStyle w:val="Refdenotaalpie"/>
          <w:sz w:val="24"/>
          <w:szCs w:val="24"/>
          <w:lang w:val="es-ES_tradnl"/>
        </w:rPr>
        <w:footnoteReference w:id="3"/>
      </w:r>
      <w:r w:rsidR="0034622E">
        <w:rPr>
          <w:sz w:val="24"/>
          <w:szCs w:val="24"/>
          <w:lang w:val="es-ES_tradnl"/>
        </w:rPr>
        <w:t xml:space="preserve"> con la misma causa, objeto y sujetos.</w:t>
      </w:r>
    </w:p>
    <w:p w14:paraId="145DA52A" w14:textId="77777777" w:rsidR="0034622E" w:rsidRDefault="0034622E" w:rsidP="007C628A">
      <w:pPr>
        <w:spacing w:line="360" w:lineRule="auto"/>
        <w:rPr>
          <w:sz w:val="24"/>
          <w:szCs w:val="24"/>
          <w:lang w:val="es-ES_tradnl"/>
        </w:rPr>
      </w:pPr>
    </w:p>
    <w:p w14:paraId="3297F19D" w14:textId="55B647E5" w:rsidR="00EF4CFF" w:rsidRDefault="0034622E" w:rsidP="0025057C">
      <w:pPr>
        <w:spacing w:line="360" w:lineRule="auto"/>
        <w:rPr>
          <w:sz w:val="24"/>
          <w:szCs w:val="24"/>
          <w:lang w:val="es-ES_tradnl"/>
        </w:rPr>
      </w:pPr>
      <w:r>
        <w:rPr>
          <w:sz w:val="24"/>
          <w:szCs w:val="24"/>
          <w:lang w:val="es-ES_tradnl"/>
        </w:rPr>
        <w:t xml:space="preserve">4.- </w:t>
      </w:r>
      <w:r w:rsidR="0025057C">
        <w:rPr>
          <w:sz w:val="24"/>
          <w:szCs w:val="24"/>
          <w:lang w:val="es-ES_tradnl"/>
        </w:rPr>
        <w:t>En esa medida, e</w:t>
      </w:r>
      <w:r w:rsidRPr="0034622E">
        <w:rPr>
          <w:sz w:val="24"/>
          <w:szCs w:val="24"/>
          <w:lang w:val="es-ES_tradnl"/>
        </w:rPr>
        <w:t>ste Despacho advierte que</w:t>
      </w:r>
      <w:r>
        <w:rPr>
          <w:sz w:val="24"/>
          <w:szCs w:val="24"/>
          <w:lang w:val="es-ES_tradnl"/>
        </w:rPr>
        <w:t>,</w:t>
      </w:r>
      <w:r w:rsidRPr="0034622E">
        <w:rPr>
          <w:sz w:val="24"/>
          <w:szCs w:val="24"/>
          <w:lang w:val="es-ES_tradnl"/>
        </w:rPr>
        <w:t xml:space="preserve"> </w:t>
      </w:r>
      <w:r w:rsidR="0025057C">
        <w:rPr>
          <w:sz w:val="24"/>
          <w:szCs w:val="24"/>
          <w:lang w:val="es-ES_tradnl"/>
        </w:rPr>
        <w:t xml:space="preserve">en el proceso con radicado núm. </w:t>
      </w:r>
      <w:r w:rsidR="0025057C" w:rsidRPr="0025057C">
        <w:rPr>
          <w:sz w:val="24"/>
          <w:szCs w:val="24"/>
          <w:lang w:val="es-ES_tradnl"/>
        </w:rPr>
        <w:t>11001-03-15-000-2021-07384-00</w:t>
      </w:r>
      <w:r w:rsidR="00EF4CFF">
        <w:rPr>
          <w:rStyle w:val="Refdenotaalpie"/>
          <w:sz w:val="24"/>
          <w:szCs w:val="24"/>
          <w:lang w:val="es-ES_tradnl"/>
        </w:rPr>
        <w:footnoteReference w:id="4"/>
      </w:r>
      <w:r w:rsidR="00D72DCD">
        <w:rPr>
          <w:sz w:val="24"/>
          <w:szCs w:val="24"/>
          <w:lang w:val="es-ES_tradnl"/>
        </w:rPr>
        <w:t>,</w:t>
      </w:r>
      <w:r w:rsidR="0025057C" w:rsidRPr="0025057C">
        <w:rPr>
          <w:sz w:val="24"/>
          <w:szCs w:val="24"/>
          <w:lang w:val="es-ES_tradnl"/>
        </w:rPr>
        <w:t xml:space="preserve"> </w:t>
      </w:r>
      <w:r w:rsidR="00EF4CFF">
        <w:rPr>
          <w:sz w:val="24"/>
          <w:szCs w:val="24"/>
          <w:lang w:val="es-ES_tradnl"/>
        </w:rPr>
        <w:t>magistrada ponente Myriam Stella</w:t>
      </w:r>
      <w:r w:rsidR="00EF4CFF" w:rsidRPr="00EF4CFF">
        <w:rPr>
          <w:rFonts w:cs="Arial"/>
          <w:sz w:val="24"/>
          <w:szCs w:val="24"/>
        </w:rPr>
        <w:t xml:space="preserve"> </w:t>
      </w:r>
      <w:r w:rsidR="00EF4CFF">
        <w:rPr>
          <w:rFonts w:cs="Arial"/>
          <w:sz w:val="24"/>
          <w:szCs w:val="24"/>
        </w:rPr>
        <w:t>Gutiérrez Arguello,</w:t>
      </w:r>
      <w:r w:rsidR="00EF4CFF">
        <w:rPr>
          <w:sz w:val="24"/>
          <w:szCs w:val="24"/>
          <w:lang w:val="es-ES_tradnl"/>
        </w:rPr>
        <w:t xml:space="preserve"> se profirió sentencia el 10 de marzo de 2022, por los mismos hechos y derechos que el solicitante alega vulnerados.</w:t>
      </w:r>
    </w:p>
    <w:p w14:paraId="56A471BC" w14:textId="77777777" w:rsidR="0025057C" w:rsidRDefault="0025057C" w:rsidP="0034622E">
      <w:pPr>
        <w:spacing w:line="360" w:lineRule="auto"/>
        <w:rPr>
          <w:sz w:val="24"/>
          <w:szCs w:val="24"/>
          <w:lang w:val="es-ES_tradnl"/>
        </w:rPr>
      </w:pPr>
    </w:p>
    <w:p w14:paraId="13678A6A" w14:textId="7439553F" w:rsidR="002D2876" w:rsidRDefault="00EF4CFF" w:rsidP="0025057C">
      <w:pPr>
        <w:pStyle w:val="Sinespaciado"/>
        <w:spacing w:line="360" w:lineRule="auto"/>
        <w:ind w:right="50"/>
        <w:jc w:val="both"/>
        <w:rPr>
          <w:rFonts w:ascii="Arial" w:hAnsi="Arial" w:cs="Arial"/>
          <w:lang w:val="es-ES_tradnl"/>
        </w:rPr>
      </w:pPr>
      <w:r>
        <w:rPr>
          <w:rFonts w:ascii="Arial" w:hAnsi="Arial" w:cs="Arial"/>
          <w:lang w:val="es-ES_tradnl"/>
        </w:rPr>
        <w:lastRenderedPageBreak/>
        <w:t>5</w:t>
      </w:r>
      <w:r w:rsidR="0025057C" w:rsidRPr="00006CF5">
        <w:rPr>
          <w:rFonts w:ascii="Arial" w:hAnsi="Arial" w:cs="Arial"/>
          <w:lang w:val="es-ES_tradnl"/>
        </w:rPr>
        <w:t>.- En consecuencia y, conforme con lo dispuesto en el artículo 2.2.3.1.3.1</w:t>
      </w:r>
      <w:r w:rsidR="0025057C" w:rsidRPr="00006CF5">
        <w:rPr>
          <w:rStyle w:val="Refdenotaalpie"/>
          <w:rFonts w:ascii="Arial" w:hAnsi="Arial" w:cs="Arial"/>
          <w:lang w:val="es-ES_tradnl"/>
        </w:rPr>
        <w:footnoteReference w:id="5"/>
      </w:r>
      <w:r w:rsidR="0025057C" w:rsidRPr="00006CF5">
        <w:rPr>
          <w:rFonts w:ascii="Arial" w:hAnsi="Arial" w:cs="Arial"/>
          <w:lang w:val="es-ES_tradnl"/>
        </w:rPr>
        <w:t xml:space="preserve"> del Decreto 1834 de 2015</w:t>
      </w:r>
      <w:r w:rsidR="0025057C" w:rsidRPr="00006CF5">
        <w:rPr>
          <w:rStyle w:val="Refdenotaalpie"/>
          <w:rFonts w:ascii="Arial" w:hAnsi="Arial" w:cs="Arial"/>
          <w:lang w:val="es-ES_tradnl"/>
        </w:rPr>
        <w:footnoteReference w:id="6"/>
      </w:r>
      <w:r w:rsidR="0025057C" w:rsidRPr="00006CF5">
        <w:rPr>
          <w:rFonts w:ascii="Arial" w:hAnsi="Arial" w:cs="Arial"/>
          <w:lang w:val="es-ES_tradnl"/>
        </w:rPr>
        <w:t xml:space="preserve">, </w:t>
      </w:r>
      <w:r w:rsidR="002D2876">
        <w:rPr>
          <w:rFonts w:ascii="Arial" w:hAnsi="Arial" w:cs="Arial"/>
          <w:lang w:val="es-ES_tradnl"/>
        </w:rPr>
        <w:t>en el caso de acciones de tutelas masivas</w:t>
      </w:r>
      <w:r>
        <w:rPr>
          <w:rFonts w:ascii="Arial" w:hAnsi="Arial" w:cs="Arial"/>
          <w:lang w:val="es-ES_tradnl"/>
        </w:rPr>
        <w:t>,</w:t>
      </w:r>
      <w:r w:rsidR="002D2876">
        <w:rPr>
          <w:rFonts w:ascii="Arial" w:hAnsi="Arial" w:cs="Arial"/>
          <w:lang w:val="es-ES_tradnl"/>
        </w:rPr>
        <w:t xml:space="preserve"> </w:t>
      </w:r>
      <w:r w:rsidR="002D2876" w:rsidRPr="002D2876">
        <w:rPr>
          <w:rFonts w:ascii="Arial" w:hAnsi="Arial" w:cs="Arial"/>
          <w:lang w:val="es-ES_tradnl"/>
        </w:rPr>
        <w:t xml:space="preserve">se remitirán </w:t>
      </w:r>
      <w:r w:rsidR="002D2876">
        <w:rPr>
          <w:rFonts w:ascii="Arial" w:hAnsi="Arial" w:cs="Arial"/>
          <w:lang w:val="es-ES_tradnl"/>
        </w:rPr>
        <w:t>las de</w:t>
      </w:r>
      <w:r w:rsidR="002D2876" w:rsidRPr="002D2876">
        <w:rPr>
          <w:rFonts w:ascii="Arial" w:hAnsi="Arial" w:cs="Arial"/>
          <w:lang w:val="es-ES_tradnl"/>
        </w:rPr>
        <w:t xml:space="preserve"> iguales características que con posterioridad se presenten</w:t>
      </w:r>
      <w:r w:rsidR="002D2876">
        <w:rPr>
          <w:rFonts w:ascii="Arial" w:hAnsi="Arial" w:cs="Arial"/>
          <w:lang w:val="es-ES_tradnl"/>
        </w:rPr>
        <w:t xml:space="preserve">, al Despacho que </w:t>
      </w:r>
      <w:r w:rsidR="002D2876" w:rsidRPr="002D2876">
        <w:rPr>
          <w:rFonts w:ascii="Arial" w:hAnsi="Arial" w:cs="Arial"/>
          <w:lang w:val="es-ES_tradnl"/>
        </w:rPr>
        <w:t>hubiese avocado en primer lugar el conocimiento de ellas, incluso después del fallo de instancia.</w:t>
      </w:r>
    </w:p>
    <w:p w14:paraId="56250D1D" w14:textId="77777777" w:rsidR="002D2876" w:rsidRDefault="002D2876" w:rsidP="0025057C">
      <w:pPr>
        <w:pStyle w:val="Sinespaciado"/>
        <w:spacing w:line="360" w:lineRule="auto"/>
        <w:ind w:right="50"/>
        <w:jc w:val="both"/>
        <w:rPr>
          <w:rFonts w:ascii="Arial" w:hAnsi="Arial" w:cs="Arial"/>
          <w:lang w:val="es-ES_tradnl"/>
        </w:rPr>
      </w:pPr>
    </w:p>
    <w:p w14:paraId="1DEF32A3" w14:textId="77777777" w:rsidR="002D2876" w:rsidRPr="00615892" w:rsidRDefault="002D2876" w:rsidP="002D2876">
      <w:pPr>
        <w:pStyle w:val="Sangradetextonormal"/>
        <w:tabs>
          <w:tab w:val="left" w:pos="3810"/>
        </w:tabs>
        <w:spacing w:after="0" w:line="360" w:lineRule="auto"/>
        <w:ind w:left="0"/>
        <w:jc w:val="both"/>
        <w:rPr>
          <w:rFonts w:ascii="Arial" w:hAnsi="Arial" w:cs="Arial"/>
        </w:rPr>
      </w:pPr>
      <w:r w:rsidRPr="00615892">
        <w:rPr>
          <w:rFonts w:ascii="Arial" w:hAnsi="Arial" w:cs="Arial"/>
        </w:rPr>
        <w:t xml:space="preserve">En mérito de lo expuesto, el Despacho, </w:t>
      </w:r>
    </w:p>
    <w:p w14:paraId="7DAC1E4C" w14:textId="77777777" w:rsidR="0025057C" w:rsidRPr="002D2876" w:rsidRDefault="0025057C" w:rsidP="0034622E">
      <w:pPr>
        <w:spacing w:line="360" w:lineRule="auto"/>
        <w:rPr>
          <w:sz w:val="24"/>
          <w:szCs w:val="24"/>
          <w:lang w:val="es-ES"/>
        </w:rPr>
      </w:pPr>
    </w:p>
    <w:p w14:paraId="497F3B3A" w14:textId="44ECFC03" w:rsidR="007C628A" w:rsidRDefault="007C628A" w:rsidP="007C628A">
      <w:pPr>
        <w:pStyle w:val="Sinespaciado"/>
        <w:spacing w:line="360" w:lineRule="auto"/>
        <w:ind w:right="51"/>
        <w:jc w:val="center"/>
        <w:rPr>
          <w:rFonts w:ascii="Arial" w:eastAsia="BatangChe" w:hAnsi="Arial" w:cs="Arial"/>
          <w:b/>
        </w:rPr>
      </w:pPr>
      <w:r>
        <w:rPr>
          <w:rFonts w:ascii="Arial" w:eastAsia="BatangChe" w:hAnsi="Arial" w:cs="Arial"/>
          <w:b/>
        </w:rPr>
        <w:t>RESUELVE</w:t>
      </w:r>
    </w:p>
    <w:p w14:paraId="31100BAB" w14:textId="77777777" w:rsidR="007C628A" w:rsidRDefault="007C628A" w:rsidP="007C628A">
      <w:pPr>
        <w:pStyle w:val="Sinespaciado"/>
        <w:spacing w:line="360" w:lineRule="auto"/>
        <w:ind w:right="51"/>
        <w:jc w:val="both"/>
        <w:rPr>
          <w:rFonts w:ascii="Arial" w:eastAsia="BatangChe" w:hAnsi="Arial" w:cs="Arial"/>
          <w:b/>
        </w:rPr>
      </w:pPr>
    </w:p>
    <w:p w14:paraId="4F9C72AA" w14:textId="5FBA9F1B" w:rsidR="007C628A" w:rsidRPr="0025057C" w:rsidRDefault="007C628A" w:rsidP="007C628A">
      <w:pPr>
        <w:spacing w:line="360" w:lineRule="auto"/>
        <w:ind w:right="51"/>
        <w:contextualSpacing/>
        <w:rPr>
          <w:rFonts w:cs="Arial"/>
          <w:color w:val="000000" w:themeColor="text1"/>
          <w:sz w:val="24"/>
          <w:szCs w:val="24"/>
        </w:rPr>
      </w:pPr>
      <w:r>
        <w:rPr>
          <w:rFonts w:cs="Arial"/>
          <w:b/>
          <w:sz w:val="24"/>
          <w:szCs w:val="24"/>
        </w:rPr>
        <w:t xml:space="preserve">ÚNICO: </w:t>
      </w:r>
      <w:r>
        <w:rPr>
          <w:rFonts w:cs="Arial"/>
          <w:b/>
          <w:color w:val="000000" w:themeColor="text1"/>
          <w:sz w:val="24"/>
          <w:szCs w:val="24"/>
        </w:rPr>
        <w:t>REMITIR</w:t>
      </w:r>
      <w:r>
        <w:rPr>
          <w:rFonts w:cs="Arial"/>
          <w:bCs/>
          <w:color w:val="000000" w:themeColor="text1"/>
          <w:sz w:val="24"/>
          <w:szCs w:val="24"/>
        </w:rPr>
        <w:t>,</w:t>
      </w:r>
      <w:r>
        <w:rPr>
          <w:rFonts w:cs="Arial"/>
          <w:color w:val="000000" w:themeColor="text1"/>
          <w:sz w:val="24"/>
          <w:szCs w:val="24"/>
        </w:rPr>
        <w:t xml:space="preserve"> por la Secretaría General de esta Corporación, </w:t>
      </w:r>
      <w:r w:rsidR="0025057C" w:rsidRPr="00006CF5">
        <w:rPr>
          <w:rFonts w:cs="Arial"/>
          <w:sz w:val="24"/>
          <w:szCs w:val="24"/>
        </w:rPr>
        <w:t>el expediente de la referencia al despacho de</w:t>
      </w:r>
      <w:r w:rsidR="0025057C">
        <w:rPr>
          <w:rFonts w:cs="Arial"/>
          <w:sz w:val="24"/>
          <w:szCs w:val="24"/>
        </w:rPr>
        <w:t xml:space="preserve"> </w:t>
      </w:r>
      <w:r w:rsidR="0025057C" w:rsidRPr="00006CF5">
        <w:rPr>
          <w:rFonts w:cs="Arial"/>
          <w:sz w:val="24"/>
          <w:szCs w:val="24"/>
        </w:rPr>
        <w:t>l</w:t>
      </w:r>
      <w:r w:rsidR="0025057C">
        <w:rPr>
          <w:rFonts w:cs="Arial"/>
          <w:sz w:val="24"/>
          <w:szCs w:val="24"/>
        </w:rPr>
        <w:t>a magistrada Myriam Stella Gutiérrez Arguello</w:t>
      </w:r>
      <w:r>
        <w:rPr>
          <w:rFonts w:cs="Arial"/>
          <w:color w:val="000000" w:themeColor="text1"/>
          <w:sz w:val="24"/>
          <w:szCs w:val="24"/>
        </w:rPr>
        <w:t>, para lo de su cargo.</w:t>
      </w:r>
    </w:p>
    <w:p w14:paraId="3C902550" w14:textId="77777777" w:rsidR="00037DD6" w:rsidRPr="00CB1521" w:rsidRDefault="00037DD6" w:rsidP="00037DD6">
      <w:pPr>
        <w:spacing w:line="360" w:lineRule="auto"/>
        <w:ind w:right="50"/>
        <w:jc w:val="center"/>
        <w:rPr>
          <w:rFonts w:cs="Arial"/>
          <w:b/>
          <w:bCs/>
          <w:sz w:val="24"/>
          <w:szCs w:val="24"/>
        </w:rPr>
      </w:pPr>
    </w:p>
    <w:p w14:paraId="00F43793" w14:textId="1BDF7745" w:rsidR="00037DD6" w:rsidRPr="00CB1521" w:rsidRDefault="00BA1FF1" w:rsidP="00037DD6">
      <w:pPr>
        <w:spacing w:line="360" w:lineRule="auto"/>
        <w:ind w:right="50"/>
        <w:jc w:val="center"/>
        <w:rPr>
          <w:rFonts w:cs="Arial"/>
          <w:b/>
          <w:bCs/>
          <w:sz w:val="24"/>
          <w:szCs w:val="24"/>
        </w:rPr>
      </w:pPr>
      <w:r>
        <w:rPr>
          <w:rFonts w:cs="Arial"/>
          <w:b/>
          <w:bCs/>
          <w:sz w:val="24"/>
          <w:szCs w:val="24"/>
        </w:rPr>
        <w:t xml:space="preserve">NOTIFÍQUESE Y </w:t>
      </w:r>
      <w:r w:rsidR="00037DD6" w:rsidRPr="00CB1521">
        <w:rPr>
          <w:rFonts w:cs="Arial"/>
          <w:b/>
          <w:bCs/>
          <w:sz w:val="24"/>
          <w:szCs w:val="24"/>
        </w:rPr>
        <w:t>CÚMPLASE</w:t>
      </w:r>
    </w:p>
    <w:p w14:paraId="6F980B8F" w14:textId="282A4CE4" w:rsidR="006B6E61" w:rsidRDefault="006B6E61" w:rsidP="00C53402">
      <w:pPr>
        <w:spacing w:line="360" w:lineRule="auto"/>
        <w:ind w:right="50"/>
        <w:jc w:val="center"/>
        <w:rPr>
          <w:rFonts w:cs="Arial"/>
          <w:b/>
          <w:bCs/>
          <w:noProof/>
          <w:sz w:val="24"/>
          <w:szCs w:val="24"/>
        </w:rPr>
      </w:pPr>
    </w:p>
    <w:p w14:paraId="79D48B76" w14:textId="77777777" w:rsidR="007A57C3" w:rsidRDefault="007A57C3" w:rsidP="00C53402">
      <w:pPr>
        <w:spacing w:line="360" w:lineRule="auto"/>
        <w:ind w:right="50"/>
        <w:jc w:val="center"/>
        <w:rPr>
          <w:rFonts w:cs="Arial"/>
          <w:b/>
          <w:bCs/>
          <w:noProof/>
          <w:sz w:val="24"/>
          <w:szCs w:val="24"/>
        </w:rPr>
      </w:pPr>
    </w:p>
    <w:p w14:paraId="1A56F73F" w14:textId="77777777" w:rsidR="00037DD6" w:rsidRPr="00CB1521" w:rsidRDefault="00037DD6" w:rsidP="00037DD6">
      <w:pPr>
        <w:ind w:right="50"/>
        <w:jc w:val="center"/>
        <w:rPr>
          <w:rFonts w:cs="Arial"/>
          <w:b/>
          <w:sz w:val="24"/>
          <w:szCs w:val="24"/>
        </w:rPr>
      </w:pPr>
      <w:r w:rsidRPr="00CB1521">
        <w:rPr>
          <w:rFonts w:cs="Arial"/>
          <w:b/>
          <w:sz w:val="24"/>
          <w:szCs w:val="24"/>
        </w:rPr>
        <w:t>NICOLÁS YEPES CORRALES</w:t>
      </w:r>
    </w:p>
    <w:p w14:paraId="338178BC" w14:textId="6275CCB9" w:rsidR="00037DD6" w:rsidRPr="007F26CB" w:rsidRDefault="00037DD6" w:rsidP="007F26CB">
      <w:pPr>
        <w:ind w:right="50"/>
        <w:jc w:val="center"/>
        <w:rPr>
          <w:color w:val="000000" w:themeColor="text1"/>
          <w:sz w:val="24"/>
          <w:szCs w:val="24"/>
        </w:rPr>
      </w:pPr>
      <w:r w:rsidRPr="00CB1521">
        <w:rPr>
          <w:rFonts w:cs="Arial"/>
          <w:b/>
          <w:sz w:val="24"/>
          <w:szCs w:val="24"/>
        </w:rPr>
        <w:t>Consejero Ponente</w:t>
      </w:r>
    </w:p>
    <w:sectPr w:rsidR="00037DD6" w:rsidRPr="007F26CB" w:rsidSect="00810B28">
      <w:headerReference w:type="even" r:id="rId7"/>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5D63" w14:textId="77777777" w:rsidR="00871129" w:rsidRDefault="00871129" w:rsidP="003A7AAA">
      <w:r>
        <w:separator/>
      </w:r>
    </w:p>
  </w:endnote>
  <w:endnote w:type="continuationSeparator" w:id="0">
    <w:p w14:paraId="5AF3EF7E" w14:textId="77777777" w:rsidR="00871129" w:rsidRDefault="00871129" w:rsidP="003A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F2A2" w14:textId="77777777" w:rsidR="00871129" w:rsidRDefault="00871129" w:rsidP="003A7AAA">
      <w:r>
        <w:separator/>
      </w:r>
    </w:p>
  </w:footnote>
  <w:footnote w:type="continuationSeparator" w:id="0">
    <w:p w14:paraId="5B309EA5" w14:textId="77777777" w:rsidR="00871129" w:rsidRDefault="00871129" w:rsidP="003A7AAA">
      <w:r>
        <w:continuationSeparator/>
      </w:r>
    </w:p>
  </w:footnote>
  <w:footnote w:id="1">
    <w:p w14:paraId="70392BCE" w14:textId="77777777" w:rsidR="003767C9" w:rsidRPr="00D72DCD" w:rsidRDefault="003767C9" w:rsidP="003767C9">
      <w:pPr>
        <w:pStyle w:val="Textonotapie"/>
        <w:rPr>
          <w:rFonts w:cs="Arial"/>
          <w:sz w:val="16"/>
          <w:szCs w:val="16"/>
          <w:lang w:eastAsia="zh-CN"/>
        </w:rPr>
      </w:pPr>
      <w:r w:rsidRPr="00D72DCD">
        <w:rPr>
          <w:rStyle w:val="Refdenotaalpie"/>
          <w:rFonts w:cs="Arial"/>
          <w:sz w:val="16"/>
          <w:szCs w:val="16"/>
        </w:rPr>
        <w:footnoteRef/>
      </w:r>
      <w:r w:rsidRPr="00D72DCD">
        <w:rPr>
          <w:rFonts w:cs="Arial"/>
          <w:sz w:val="16"/>
          <w:szCs w:val="16"/>
        </w:rPr>
        <w:t xml:space="preserve"> Obra en SAMAI, índice 2, certificado 09000B14BEA3315E 9194AA9EBD5E01EB 8CEF3A79BAA880A4 DC9E04D9D796D261.</w:t>
      </w:r>
    </w:p>
  </w:footnote>
  <w:footnote w:id="2">
    <w:p w14:paraId="07E67355" w14:textId="6E41674C" w:rsidR="00144039" w:rsidRPr="00D72DCD" w:rsidRDefault="00144039">
      <w:pPr>
        <w:pStyle w:val="Textonotapie"/>
        <w:rPr>
          <w:sz w:val="16"/>
          <w:szCs w:val="16"/>
        </w:rPr>
      </w:pPr>
      <w:r w:rsidRPr="00D72DCD">
        <w:rPr>
          <w:rStyle w:val="Refdenotaalpie"/>
          <w:sz w:val="16"/>
          <w:szCs w:val="16"/>
        </w:rPr>
        <w:footnoteRef/>
      </w:r>
      <w:r w:rsidRPr="00D72DCD">
        <w:rPr>
          <w:sz w:val="16"/>
          <w:szCs w:val="16"/>
        </w:rPr>
        <w:t xml:space="preserve"> Obra en </w:t>
      </w:r>
      <w:proofErr w:type="spellStart"/>
      <w:r w:rsidRPr="00D72DCD">
        <w:rPr>
          <w:sz w:val="16"/>
          <w:szCs w:val="16"/>
        </w:rPr>
        <w:t>Samai</w:t>
      </w:r>
      <w:proofErr w:type="spellEnd"/>
      <w:r w:rsidRPr="00D72DCD">
        <w:rPr>
          <w:sz w:val="16"/>
          <w:szCs w:val="16"/>
        </w:rPr>
        <w:t xml:space="preserve">, índice </w:t>
      </w:r>
      <w:r w:rsidR="000D5CB6" w:rsidRPr="00D72DCD">
        <w:rPr>
          <w:sz w:val="16"/>
          <w:szCs w:val="16"/>
        </w:rPr>
        <w:t>5</w:t>
      </w:r>
      <w:r w:rsidRPr="00D72DCD">
        <w:rPr>
          <w:sz w:val="16"/>
          <w:szCs w:val="16"/>
        </w:rPr>
        <w:t xml:space="preserve">, certificado </w:t>
      </w:r>
      <w:r w:rsidR="000D5CB6" w:rsidRPr="00D72DCD">
        <w:rPr>
          <w:sz w:val="16"/>
          <w:szCs w:val="16"/>
        </w:rPr>
        <w:t>41C22A725CC0F211 3E01CF78CBC3CFB9 26C65E9D9CFB3038 F3F670AA82F7580F.</w:t>
      </w:r>
    </w:p>
  </w:footnote>
  <w:footnote w:id="3">
    <w:p w14:paraId="4497B950" w14:textId="7544FFBC" w:rsidR="000D5CB6" w:rsidRPr="00D72DCD" w:rsidRDefault="000D5CB6">
      <w:pPr>
        <w:pStyle w:val="Textonotapie"/>
        <w:rPr>
          <w:sz w:val="16"/>
          <w:szCs w:val="16"/>
        </w:rPr>
      </w:pPr>
      <w:r w:rsidRPr="00D72DCD">
        <w:rPr>
          <w:rStyle w:val="Refdenotaalpie"/>
          <w:sz w:val="16"/>
          <w:szCs w:val="16"/>
        </w:rPr>
        <w:footnoteRef/>
      </w:r>
      <w:r w:rsidRPr="00D72DCD">
        <w:rPr>
          <w:sz w:val="16"/>
          <w:szCs w:val="16"/>
        </w:rPr>
        <w:t xml:space="preserve"> </w:t>
      </w:r>
      <w:r w:rsidR="003E0C71" w:rsidRPr="00D72DCD">
        <w:rPr>
          <w:sz w:val="16"/>
          <w:szCs w:val="16"/>
        </w:rPr>
        <w:t>Hicieron referencia a los procesos 11001-03-15-000-2022-03558-00 y 11001-03-15-000-2022-03682-00.</w:t>
      </w:r>
    </w:p>
  </w:footnote>
  <w:footnote w:id="4">
    <w:p w14:paraId="43C4009B" w14:textId="589B0201" w:rsidR="00EF4CFF" w:rsidRPr="00D72DCD" w:rsidRDefault="00EF4CFF">
      <w:pPr>
        <w:pStyle w:val="Textonotapie"/>
        <w:rPr>
          <w:sz w:val="16"/>
          <w:szCs w:val="16"/>
        </w:rPr>
      </w:pPr>
      <w:r w:rsidRPr="00D72DCD">
        <w:rPr>
          <w:rStyle w:val="Refdenotaalpie"/>
          <w:sz w:val="16"/>
          <w:szCs w:val="16"/>
        </w:rPr>
        <w:footnoteRef/>
      </w:r>
      <w:r w:rsidRPr="00D72DCD">
        <w:rPr>
          <w:sz w:val="16"/>
          <w:szCs w:val="16"/>
        </w:rPr>
        <w:t xml:space="preserve"> El demandante es Luis Ariel Rodríguez Ferreira, los demandados son el Consejo Superior </w:t>
      </w:r>
      <w:r w:rsidR="0010517F">
        <w:rPr>
          <w:sz w:val="16"/>
          <w:szCs w:val="16"/>
        </w:rPr>
        <w:t>d</w:t>
      </w:r>
      <w:r w:rsidRPr="00D72DCD">
        <w:rPr>
          <w:sz w:val="16"/>
          <w:szCs w:val="16"/>
        </w:rPr>
        <w:t>e La Judicatura, la Unidad de Administración de Carrera Judicial y la Comisión Nacional de Disciplina Judicial, y como tercero interesado el aquí tutelante.</w:t>
      </w:r>
    </w:p>
  </w:footnote>
  <w:footnote w:id="5">
    <w:p w14:paraId="24B71C63" w14:textId="77777777" w:rsidR="0025057C" w:rsidRPr="00D72DCD" w:rsidRDefault="0025057C" w:rsidP="0025057C">
      <w:pPr>
        <w:pStyle w:val="Textonotapie"/>
        <w:rPr>
          <w:rFonts w:cs="Arial"/>
          <w:sz w:val="16"/>
          <w:szCs w:val="16"/>
          <w:lang w:val="es-ES"/>
        </w:rPr>
      </w:pPr>
      <w:r w:rsidRPr="00D72DCD">
        <w:rPr>
          <w:rStyle w:val="Refdenotaalpie"/>
          <w:rFonts w:cs="Arial"/>
          <w:sz w:val="16"/>
          <w:szCs w:val="16"/>
        </w:rPr>
        <w:footnoteRef/>
      </w:r>
      <w:r w:rsidRPr="00D72DCD">
        <w:rPr>
          <w:rFonts w:cs="Arial"/>
          <w:sz w:val="16"/>
          <w:szCs w:val="16"/>
        </w:rPr>
        <w:t xml:space="preserve"> Reglas de reparto de acciones de tutela masivas</w:t>
      </w:r>
      <w:r w:rsidRPr="00D72DCD">
        <w:rPr>
          <w:rFonts w:cs="Arial"/>
          <w:sz w:val="16"/>
          <w:szCs w:val="16"/>
          <w:lang w:val="es-ES"/>
        </w:rPr>
        <w:t>:</w:t>
      </w:r>
    </w:p>
    <w:p w14:paraId="1FC8B717" w14:textId="77777777" w:rsidR="0025057C" w:rsidRPr="0025057C" w:rsidRDefault="0025057C" w:rsidP="0025057C">
      <w:pPr>
        <w:pStyle w:val="Textonotapie"/>
        <w:rPr>
          <w:rFonts w:cs="Arial"/>
          <w:sz w:val="16"/>
        </w:rPr>
      </w:pPr>
      <w:r w:rsidRPr="0025057C">
        <w:rPr>
          <w:rFonts w:cs="Arial"/>
          <w:sz w:val="16"/>
        </w:rPr>
        <w:t>Artículo 2.2.3.1.3.1. Reparto de acciones de tutela masivas. 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w:t>
      </w:r>
    </w:p>
    <w:p w14:paraId="06BB8932" w14:textId="1A215DF2" w:rsidR="0025057C" w:rsidRPr="002D2876" w:rsidRDefault="0025057C" w:rsidP="0025057C">
      <w:pPr>
        <w:pStyle w:val="Textonotapie"/>
        <w:rPr>
          <w:rFonts w:cs="Arial"/>
          <w:sz w:val="16"/>
        </w:rPr>
      </w:pPr>
      <w:r w:rsidRPr="002D2876">
        <w:rPr>
          <w:rFonts w:cs="Arial"/>
          <w:sz w:val="16"/>
        </w:rPr>
        <w:t>A dicho Despacho se remitirán las tutelas de iguales características que con posterioridad se presenten, incluso después del fallo de instancia.</w:t>
      </w:r>
    </w:p>
    <w:p w14:paraId="638AF357" w14:textId="77777777" w:rsidR="0025057C" w:rsidRPr="0025057C" w:rsidRDefault="0025057C" w:rsidP="0025057C">
      <w:pPr>
        <w:pStyle w:val="Textonotapie"/>
        <w:rPr>
          <w:rFonts w:cs="Arial"/>
          <w:sz w:val="16"/>
        </w:rPr>
      </w:pPr>
      <w:r w:rsidRPr="0025057C">
        <w:rPr>
          <w:rFonts w:cs="Arial"/>
          <w:sz w:val="16"/>
        </w:rPr>
        <w:t>Para tal fin, la autoridad pública o el particular contra quienes se dirija la acción deberán indicar al juez competente, en el informe de contestación, la existencia de acciones de tutela anteriores que se hubiesen</w:t>
      </w:r>
    </w:p>
    <w:p w14:paraId="64A648F0" w14:textId="77777777" w:rsidR="0025057C" w:rsidRPr="0025057C" w:rsidRDefault="0025057C" w:rsidP="0025057C">
      <w:pPr>
        <w:pStyle w:val="Textonotapie"/>
        <w:rPr>
          <w:rFonts w:cs="Arial"/>
          <w:sz w:val="16"/>
        </w:rPr>
      </w:pPr>
      <w:r w:rsidRPr="0025057C">
        <w:rPr>
          <w:rFonts w:cs="Arial"/>
          <w:sz w:val="16"/>
        </w:rPr>
        <w:t>presentado en su contra por la misma acción u omisión, en los términos del presente artículo, señalando el despacho que, en primer lugar, avocó conocimiento, sin perjuicio de que el accionante o el juez previamente hayan podido indicar o tener conocimiento de esa situación.</w:t>
      </w:r>
    </w:p>
  </w:footnote>
  <w:footnote w:id="6">
    <w:p w14:paraId="5A491473" w14:textId="77777777" w:rsidR="0025057C" w:rsidRPr="00006CF5" w:rsidRDefault="0025057C" w:rsidP="0025057C">
      <w:pPr>
        <w:pStyle w:val="Textonotapie"/>
        <w:rPr>
          <w:rFonts w:cs="Arial"/>
          <w:lang w:val="es-ES_tradnl"/>
        </w:rPr>
      </w:pPr>
      <w:r w:rsidRPr="0025057C">
        <w:rPr>
          <w:rStyle w:val="Refdenotaalpie"/>
          <w:rFonts w:cs="Arial"/>
          <w:sz w:val="16"/>
        </w:rPr>
        <w:footnoteRef/>
      </w:r>
      <w:r w:rsidRPr="0025057C">
        <w:rPr>
          <w:rFonts w:cs="Arial"/>
          <w:sz w:val="16"/>
        </w:rPr>
        <w:t xml:space="preserve"> </w:t>
      </w:r>
      <w:r w:rsidRPr="0025057C">
        <w:rPr>
          <w:rFonts w:cs="Arial"/>
          <w:sz w:val="16"/>
          <w:lang w:val="es-ES_tradnl"/>
        </w:rPr>
        <w:t>Por el cual se adiciona el Decreto 1069 de 2015, Decreto Único Reglamentario del Sector de Justicia y del Derecho y se reglamenta parcialmente el artículo 37 del Decreto Estatutario 2591 de 1991, en lo relativo a las reglas de reparto para acciones de tutela masivas, el Despacho.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11188147"/>
      <w:docPartObj>
        <w:docPartGallery w:val="Page Numbers (Top of Page)"/>
        <w:docPartUnique/>
      </w:docPartObj>
    </w:sdtPr>
    <w:sdtContent>
      <w:p w14:paraId="6BF2318E" w14:textId="29819219" w:rsidR="00553D4F" w:rsidRDefault="00553D4F" w:rsidP="00EE528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E9A290" w14:textId="77777777" w:rsidR="00553D4F" w:rsidRDefault="00553D4F" w:rsidP="00553D4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6"/>
        <w:szCs w:val="16"/>
      </w:rPr>
      <w:id w:val="-2141261686"/>
      <w:docPartObj>
        <w:docPartGallery w:val="Page Numbers (Top of Page)"/>
        <w:docPartUnique/>
      </w:docPartObj>
    </w:sdtPr>
    <w:sdtContent>
      <w:p w14:paraId="6B0A45C7" w14:textId="153432A4" w:rsidR="00553D4F" w:rsidRPr="00553D4F" w:rsidRDefault="00553D4F" w:rsidP="00EE528D">
        <w:pPr>
          <w:pStyle w:val="Encabezado"/>
          <w:framePr w:wrap="none" w:vAnchor="text" w:hAnchor="margin" w:xAlign="right" w:y="1"/>
          <w:rPr>
            <w:rStyle w:val="Nmerodepgina"/>
            <w:sz w:val="16"/>
            <w:szCs w:val="16"/>
          </w:rPr>
        </w:pPr>
        <w:r w:rsidRPr="00553D4F">
          <w:rPr>
            <w:rStyle w:val="Nmerodepgina"/>
            <w:sz w:val="16"/>
            <w:szCs w:val="16"/>
          </w:rPr>
          <w:fldChar w:fldCharType="begin"/>
        </w:r>
        <w:r w:rsidRPr="00553D4F">
          <w:rPr>
            <w:rStyle w:val="Nmerodepgina"/>
            <w:sz w:val="16"/>
            <w:szCs w:val="16"/>
          </w:rPr>
          <w:instrText xml:space="preserve"> PAGE </w:instrText>
        </w:r>
        <w:r w:rsidRPr="00553D4F">
          <w:rPr>
            <w:rStyle w:val="Nmerodepgina"/>
            <w:sz w:val="16"/>
            <w:szCs w:val="16"/>
          </w:rPr>
          <w:fldChar w:fldCharType="separate"/>
        </w:r>
        <w:r w:rsidR="00D72DCD">
          <w:rPr>
            <w:rStyle w:val="Nmerodepgina"/>
            <w:noProof/>
            <w:sz w:val="16"/>
            <w:szCs w:val="16"/>
          </w:rPr>
          <w:t>2</w:t>
        </w:r>
        <w:r w:rsidRPr="00553D4F">
          <w:rPr>
            <w:rStyle w:val="Nmerodepgina"/>
            <w:sz w:val="16"/>
            <w:szCs w:val="16"/>
          </w:rPr>
          <w:fldChar w:fldCharType="end"/>
        </w:r>
      </w:p>
    </w:sdtContent>
  </w:sdt>
  <w:p w14:paraId="416C66DA" w14:textId="77777777" w:rsidR="000D6831" w:rsidRPr="00553D4F" w:rsidRDefault="000D6831" w:rsidP="00553D4F">
    <w:pPr>
      <w:spacing w:line="276" w:lineRule="auto"/>
      <w:ind w:right="360"/>
      <w:jc w:val="right"/>
      <w:rPr>
        <w:i/>
        <w:sz w:val="16"/>
        <w:szCs w:val="16"/>
      </w:rPr>
    </w:pPr>
  </w:p>
  <w:p w14:paraId="214DAB58" w14:textId="36ADB7AE" w:rsidR="0073247F" w:rsidRPr="00553D4F" w:rsidRDefault="0073247F" w:rsidP="003E492F">
    <w:pPr>
      <w:spacing w:line="276" w:lineRule="auto"/>
      <w:jc w:val="right"/>
      <w:rPr>
        <w:i/>
        <w:sz w:val="16"/>
        <w:szCs w:val="16"/>
      </w:rPr>
    </w:pPr>
    <w:r w:rsidRPr="00553D4F">
      <w:rPr>
        <w:i/>
        <w:sz w:val="16"/>
        <w:szCs w:val="16"/>
      </w:rPr>
      <w:t>Auto que remite</w:t>
    </w:r>
  </w:p>
  <w:p w14:paraId="33B73C4F" w14:textId="77777777" w:rsidR="0034622E" w:rsidRPr="0034622E" w:rsidRDefault="0034622E" w:rsidP="0034622E">
    <w:pPr>
      <w:pStyle w:val="Encabezado"/>
      <w:jc w:val="right"/>
      <w:rPr>
        <w:i/>
        <w:sz w:val="16"/>
        <w:szCs w:val="16"/>
      </w:rPr>
    </w:pPr>
    <w:r w:rsidRPr="0034622E">
      <w:rPr>
        <w:i/>
        <w:sz w:val="16"/>
        <w:szCs w:val="16"/>
      </w:rPr>
      <w:t>Radicación: 11001-03-15-000-2022-03752-00</w:t>
    </w:r>
  </w:p>
  <w:p w14:paraId="17916490" w14:textId="77777777" w:rsidR="0034622E" w:rsidRPr="0034622E" w:rsidRDefault="0034622E" w:rsidP="0034622E">
    <w:pPr>
      <w:pStyle w:val="Encabezado"/>
      <w:jc w:val="right"/>
      <w:rPr>
        <w:i/>
        <w:sz w:val="16"/>
        <w:szCs w:val="16"/>
      </w:rPr>
    </w:pPr>
    <w:r w:rsidRPr="0034622E">
      <w:rPr>
        <w:i/>
        <w:sz w:val="16"/>
        <w:szCs w:val="16"/>
      </w:rPr>
      <w:t>Accionante: Jairo Alberto Fajardo Rondón</w:t>
    </w:r>
  </w:p>
  <w:p w14:paraId="7D295BA5" w14:textId="3FCBB530" w:rsidR="000D6831" w:rsidRDefault="0034622E" w:rsidP="0034622E">
    <w:pPr>
      <w:pStyle w:val="Encabezado"/>
      <w:jc w:val="right"/>
      <w:rPr>
        <w:i/>
        <w:sz w:val="16"/>
        <w:szCs w:val="16"/>
      </w:rPr>
    </w:pPr>
    <w:r w:rsidRPr="0034622E">
      <w:rPr>
        <w:i/>
        <w:sz w:val="16"/>
        <w:szCs w:val="16"/>
      </w:rPr>
      <w:t>Accionados: Comisión Nacional de Disciplina Judicial y Consejo Superior de la Judicatura</w:t>
    </w:r>
  </w:p>
  <w:p w14:paraId="04F2DA38" w14:textId="77777777" w:rsidR="0034622E" w:rsidRDefault="0034622E" w:rsidP="0034622E">
    <w:pPr>
      <w:pStyle w:val="Encabezado"/>
      <w:jc w:val="right"/>
      <w:rPr>
        <w:i/>
        <w:sz w:val="16"/>
        <w:szCs w:val="16"/>
      </w:rPr>
    </w:pPr>
  </w:p>
  <w:p w14:paraId="3FA931EC" w14:textId="77777777" w:rsidR="0034622E" w:rsidRPr="00553D4F" w:rsidRDefault="0034622E" w:rsidP="0034622E">
    <w:pPr>
      <w:pStyle w:val="Encabezado"/>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9312" w14:textId="77777777" w:rsidR="003A7AAA" w:rsidRPr="00E44FE5" w:rsidRDefault="003A7AAA" w:rsidP="003A7AAA">
    <w:pPr>
      <w:pStyle w:val="Encabezado"/>
      <w:rPr>
        <w:sz w:val="24"/>
        <w:szCs w:val="24"/>
      </w:rPr>
    </w:pPr>
    <w:r w:rsidRPr="00E44FE5">
      <w:rPr>
        <w:noProof/>
        <w:sz w:val="24"/>
        <w:szCs w:val="24"/>
        <w:lang w:eastAsia="es-CO"/>
      </w:rPr>
      <w:drawing>
        <wp:anchor distT="0" distB="0" distL="114300" distR="114300" simplePos="0" relativeHeight="251659264" behindDoc="1" locked="0" layoutInCell="1" allowOverlap="1" wp14:anchorId="15602110" wp14:editId="23E1171D">
          <wp:simplePos x="0" y="0"/>
          <wp:positionH relativeFrom="column">
            <wp:posOffset>-61491</wp:posOffset>
          </wp:positionH>
          <wp:positionV relativeFrom="paragraph">
            <wp:posOffset>-211616</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0FB9F" w14:textId="77777777" w:rsidR="003A7AAA" w:rsidRPr="00E44FE5" w:rsidRDefault="003A7AAA" w:rsidP="003A7AAA">
    <w:pPr>
      <w:tabs>
        <w:tab w:val="center" w:pos="4703"/>
        <w:tab w:val="left" w:pos="7035"/>
      </w:tabs>
      <w:jc w:val="center"/>
      <w:rPr>
        <w:rFonts w:cs="Arial"/>
        <w:b/>
        <w:bCs/>
        <w:sz w:val="24"/>
        <w:szCs w:val="24"/>
        <w:lang w:eastAsia="es-ES"/>
      </w:rPr>
    </w:pPr>
    <w:r w:rsidRPr="00E44FE5">
      <w:rPr>
        <w:rFonts w:cs="Arial"/>
        <w:b/>
        <w:bCs/>
        <w:sz w:val="24"/>
        <w:szCs w:val="24"/>
        <w:lang w:eastAsia="es-ES"/>
      </w:rPr>
      <w:t>CONSEJO DE ESTADO</w:t>
    </w:r>
  </w:p>
  <w:p w14:paraId="3131D3C3" w14:textId="77777777" w:rsidR="003A7AAA" w:rsidRPr="00E44FE5" w:rsidRDefault="003A7AAA" w:rsidP="003A7AAA">
    <w:pPr>
      <w:jc w:val="center"/>
      <w:rPr>
        <w:rFonts w:cs="Arial"/>
        <w:b/>
        <w:bCs/>
        <w:color w:val="000000"/>
        <w:sz w:val="24"/>
        <w:szCs w:val="24"/>
        <w:lang w:eastAsia="es-ES"/>
      </w:rPr>
    </w:pPr>
    <w:r w:rsidRPr="00E44FE5">
      <w:rPr>
        <w:rFonts w:cs="Arial"/>
        <w:b/>
        <w:bCs/>
        <w:color w:val="000000"/>
        <w:sz w:val="24"/>
        <w:szCs w:val="24"/>
        <w:lang w:eastAsia="es-ES"/>
      </w:rPr>
      <w:t>SALA DE LO CONTENCIOSO ADMINISTRATIVO</w:t>
    </w:r>
  </w:p>
  <w:p w14:paraId="5F95A0E0" w14:textId="77777777" w:rsidR="003A7AAA" w:rsidRPr="00E44FE5" w:rsidRDefault="003A7AAA" w:rsidP="003A7AAA">
    <w:pPr>
      <w:jc w:val="center"/>
      <w:rPr>
        <w:rFonts w:cs="Arial"/>
        <w:b/>
        <w:bCs/>
        <w:color w:val="000000"/>
        <w:sz w:val="24"/>
        <w:szCs w:val="24"/>
        <w:lang w:eastAsia="es-ES"/>
      </w:rPr>
    </w:pPr>
    <w:r w:rsidRPr="00E44FE5">
      <w:rPr>
        <w:rFonts w:cs="Arial"/>
        <w:b/>
        <w:bCs/>
        <w:color w:val="000000"/>
        <w:sz w:val="24"/>
        <w:szCs w:val="24"/>
        <w:lang w:eastAsia="es-ES"/>
      </w:rPr>
      <w:t>SECCIÓN TERCERA</w:t>
    </w:r>
  </w:p>
  <w:p w14:paraId="0A49A4B1" w14:textId="77777777" w:rsidR="003A7AAA" w:rsidRDefault="003A7AAA" w:rsidP="003A7AAA">
    <w:pPr>
      <w:jc w:val="center"/>
      <w:rPr>
        <w:rFonts w:cs="Arial"/>
        <w:b/>
        <w:bCs/>
        <w:color w:val="000000"/>
        <w:sz w:val="24"/>
        <w:szCs w:val="24"/>
        <w:lang w:eastAsia="es-ES"/>
      </w:rPr>
    </w:pPr>
    <w:r w:rsidRPr="00E44FE5">
      <w:rPr>
        <w:rFonts w:cs="Arial"/>
        <w:b/>
        <w:bCs/>
        <w:color w:val="000000"/>
        <w:sz w:val="24"/>
        <w:szCs w:val="24"/>
        <w:lang w:eastAsia="es-ES"/>
      </w:rPr>
      <w:t>SUBSECCIÓN C</w:t>
    </w:r>
  </w:p>
  <w:p w14:paraId="463FE2AE" w14:textId="77777777" w:rsidR="003A7AAA" w:rsidRPr="003A7AAA" w:rsidRDefault="003A7AAA" w:rsidP="003A7AAA">
    <w:pPr>
      <w:pStyle w:val="Encabezado"/>
      <w:tabs>
        <w:tab w:val="clear" w:pos="4419"/>
        <w:tab w:val="clear" w:pos="8838"/>
        <w:tab w:val="left" w:pos="4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AA"/>
    <w:rsid w:val="00013F85"/>
    <w:rsid w:val="00037DD6"/>
    <w:rsid w:val="000418C2"/>
    <w:rsid w:val="0005498C"/>
    <w:rsid w:val="0009155F"/>
    <w:rsid w:val="000B70AC"/>
    <w:rsid w:val="000C1009"/>
    <w:rsid w:val="000D2379"/>
    <w:rsid w:val="000D5CB6"/>
    <w:rsid w:val="000D6831"/>
    <w:rsid w:val="0010517F"/>
    <w:rsid w:val="0011794D"/>
    <w:rsid w:val="00144039"/>
    <w:rsid w:val="0015367D"/>
    <w:rsid w:val="001A40E4"/>
    <w:rsid w:val="001E3071"/>
    <w:rsid w:val="0025057C"/>
    <w:rsid w:val="00251A75"/>
    <w:rsid w:val="002523E8"/>
    <w:rsid w:val="002638C7"/>
    <w:rsid w:val="002A3DFD"/>
    <w:rsid w:val="002B6429"/>
    <w:rsid w:val="002C1DE4"/>
    <w:rsid w:val="002C6276"/>
    <w:rsid w:val="002D2876"/>
    <w:rsid w:val="002E324E"/>
    <w:rsid w:val="0033122D"/>
    <w:rsid w:val="0034622E"/>
    <w:rsid w:val="003767C9"/>
    <w:rsid w:val="00383FD0"/>
    <w:rsid w:val="003A4A25"/>
    <w:rsid w:val="003A7AAA"/>
    <w:rsid w:val="003E0C71"/>
    <w:rsid w:val="003E1603"/>
    <w:rsid w:val="003E492F"/>
    <w:rsid w:val="004279B8"/>
    <w:rsid w:val="00464A2B"/>
    <w:rsid w:val="00476252"/>
    <w:rsid w:val="004910C7"/>
    <w:rsid w:val="004A20F5"/>
    <w:rsid w:val="004A41DE"/>
    <w:rsid w:val="004B1EA8"/>
    <w:rsid w:val="00502C83"/>
    <w:rsid w:val="00552C85"/>
    <w:rsid w:val="00553D4F"/>
    <w:rsid w:val="00561C24"/>
    <w:rsid w:val="005B7E6B"/>
    <w:rsid w:val="005E2F2B"/>
    <w:rsid w:val="005E44E7"/>
    <w:rsid w:val="00606953"/>
    <w:rsid w:val="00622EAA"/>
    <w:rsid w:val="006324B7"/>
    <w:rsid w:val="00660F98"/>
    <w:rsid w:val="006711AE"/>
    <w:rsid w:val="006969E1"/>
    <w:rsid w:val="006B2346"/>
    <w:rsid w:val="006B6E61"/>
    <w:rsid w:val="007009CF"/>
    <w:rsid w:val="00711834"/>
    <w:rsid w:val="00722203"/>
    <w:rsid w:val="0073247F"/>
    <w:rsid w:val="00765F1B"/>
    <w:rsid w:val="007845E4"/>
    <w:rsid w:val="007A199F"/>
    <w:rsid w:val="007A3F74"/>
    <w:rsid w:val="007A57C3"/>
    <w:rsid w:val="007C628A"/>
    <w:rsid w:val="007F005B"/>
    <w:rsid w:val="007F112F"/>
    <w:rsid w:val="007F26CB"/>
    <w:rsid w:val="0080496B"/>
    <w:rsid w:val="00810B28"/>
    <w:rsid w:val="00810C1C"/>
    <w:rsid w:val="00871129"/>
    <w:rsid w:val="0087456E"/>
    <w:rsid w:val="00915328"/>
    <w:rsid w:val="00931ABB"/>
    <w:rsid w:val="0094298D"/>
    <w:rsid w:val="0094419E"/>
    <w:rsid w:val="00983513"/>
    <w:rsid w:val="009A39A2"/>
    <w:rsid w:val="009E2CC0"/>
    <w:rsid w:val="009E5032"/>
    <w:rsid w:val="009F5D90"/>
    <w:rsid w:val="00A02CCA"/>
    <w:rsid w:val="00A2445B"/>
    <w:rsid w:val="00A417D0"/>
    <w:rsid w:val="00A43D94"/>
    <w:rsid w:val="00A46379"/>
    <w:rsid w:val="00AE2B75"/>
    <w:rsid w:val="00AF3668"/>
    <w:rsid w:val="00BA1FF1"/>
    <w:rsid w:val="00BB501D"/>
    <w:rsid w:val="00BE39B1"/>
    <w:rsid w:val="00C12550"/>
    <w:rsid w:val="00C16BCF"/>
    <w:rsid w:val="00C53402"/>
    <w:rsid w:val="00C66644"/>
    <w:rsid w:val="00CA0ABE"/>
    <w:rsid w:val="00CC23EB"/>
    <w:rsid w:val="00CE0E51"/>
    <w:rsid w:val="00D42923"/>
    <w:rsid w:val="00D43948"/>
    <w:rsid w:val="00D66BFF"/>
    <w:rsid w:val="00D72DCD"/>
    <w:rsid w:val="00DC53E2"/>
    <w:rsid w:val="00E0145F"/>
    <w:rsid w:val="00E17EC3"/>
    <w:rsid w:val="00E36587"/>
    <w:rsid w:val="00E70CB9"/>
    <w:rsid w:val="00E81F54"/>
    <w:rsid w:val="00E858D2"/>
    <w:rsid w:val="00EC1E85"/>
    <w:rsid w:val="00EF4CFF"/>
    <w:rsid w:val="00F20F57"/>
    <w:rsid w:val="00FB07B3"/>
    <w:rsid w:val="00FC17D4"/>
    <w:rsid w:val="00FE50F8"/>
    <w:rsid w:val="00FF07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0AB60"/>
  <w15:docId w15:val="{8CDB7CBC-61FD-C74C-B5A4-1A915717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AA"/>
    <w:pPr>
      <w:tabs>
        <w:tab w:val="center" w:pos="4419"/>
        <w:tab w:val="right" w:pos="8838"/>
      </w:tabs>
    </w:pPr>
  </w:style>
  <w:style w:type="character" w:customStyle="1" w:styleId="EncabezadoCar">
    <w:name w:val="Encabezado Car"/>
    <w:basedOn w:val="Fuentedeprrafopredeter"/>
    <w:link w:val="Encabezado"/>
    <w:uiPriority w:val="99"/>
    <w:rsid w:val="003A7AAA"/>
  </w:style>
  <w:style w:type="paragraph" w:styleId="Piedepgina">
    <w:name w:val="footer"/>
    <w:basedOn w:val="Normal"/>
    <w:link w:val="PiedepginaCar"/>
    <w:uiPriority w:val="99"/>
    <w:unhideWhenUsed/>
    <w:rsid w:val="003A7AAA"/>
    <w:pPr>
      <w:tabs>
        <w:tab w:val="center" w:pos="4419"/>
        <w:tab w:val="right" w:pos="8838"/>
      </w:tabs>
    </w:pPr>
  </w:style>
  <w:style w:type="character" w:customStyle="1" w:styleId="PiedepginaCar">
    <w:name w:val="Pie de página Car"/>
    <w:basedOn w:val="Fuentedeprrafopredeter"/>
    <w:link w:val="Piedepgina"/>
    <w:uiPriority w:val="99"/>
    <w:rsid w:val="003A7AAA"/>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4B1EA8"/>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 Car Car Car,C Car"/>
    <w:basedOn w:val="Fuentedeprrafopredeter"/>
    <w:link w:val="Textonotapie"/>
    <w:uiPriority w:val="99"/>
    <w:semiHidden/>
    <w:rsid w:val="004B1EA8"/>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4B1EA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3247F"/>
    <w:rPr>
      <w:vertAlign w:val="superscript"/>
    </w:rPr>
  </w:style>
  <w:style w:type="character" w:customStyle="1" w:styleId="SinespaciadoCar">
    <w:name w:val="Sin espaciado Car"/>
    <w:aliases w:val="C. Extensa Car,CITA 1 Car,CITA Car"/>
    <w:link w:val="Sinespaciado"/>
    <w:uiPriority w:val="1"/>
    <w:locked/>
    <w:rsid w:val="00037DD6"/>
    <w:rPr>
      <w:rFonts w:ascii="Times New Roman" w:eastAsia="Times New Roman" w:hAnsi="Times New Roman"/>
      <w:sz w:val="24"/>
      <w:szCs w:val="24"/>
      <w:lang w:val="es-ES" w:eastAsia="es-ES"/>
    </w:rPr>
  </w:style>
  <w:style w:type="paragraph" w:styleId="Sinespaciado">
    <w:name w:val="No Spacing"/>
    <w:aliases w:val="C. Extensa,CITA 1,CITA"/>
    <w:link w:val="SinespaciadoCar"/>
    <w:uiPriority w:val="1"/>
    <w:qFormat/>
    <w:rsid w:val="00037DD6"/>
    <w:pPr>
      <w:jc w:val="left"/>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E17EC3"/>
    <w:rPr>
      <w:sz w:val="16"/>
      <w:szCs w:val="16"/>
    </w:rPr>
  </w:style>
  <w:style w:type="paragraph" w:styleId="Textocomentario">
    <w:name w:val="annotation text"/>
    <w:basedOn w:val="Normal"/>
    <w:link w:val="TextocomentarioCar"/>
    <w:uiPriority w:val="99"/>
    <w:semiHidden/>
    <w:unhideWhenUsed/>
    <w:rsid w:val="00E17EC3"/>
  </w:style>
  <w:style w:type="character" w:customStyle="1" w:styleId="TextocomentarioCar">
    <w:name w:val="Texto comentario Car"/>
    <w:basedOn w:val="Fuentedeprrafopredeter"/>
    <w:link w:val="Textocomentario"/>
    <w:uiPriority w:val="99"/>
    <w:semiHidden/>
    <w:rsid w:val="00E17EC3"/>
  </w:style>
  <w:style w:type="paragraph" w:styleId="Asuntodelcomentario">
    <w:name w:val="annotation subject"/>
    <w:basedOn w:val="Textocomentario"/>
    <w:next w:val="Textocomentario"/>
    <w:link w:val="AsuntodelcomentarioCar"/>
    <w:uiPriority w:val="99"/>
    <w:semiHidden/>
    <w:unhideWhenUsed/>
    <w:rsid w:val="00E17EC3"/>
    <w:rPr>
      <w:b/>
      <w:bCs/>
    </w:rPr>
  </w:style>
  <w:style w:type="character" w:customStyle="1" w:styleId="AsuntodelcomentarioCar">
    <w:name w:val="Asunto del comentario Car"/>
    <w:basedOn w:val="TextocomentarioCar"/>
    <w:link w:val="Asuntodelcomentario"/>
    <w:uiPriority w:val="99"/>
    <w:semiHidden/>
    <w:rsid w:val="00E17EC3"/>
    <w:rPr>
      <w:b/>
      <w:bCs/>
    </w:rPr>
  </w:style>
  <w:style w:type="paragraph" w:styleId="Textodeglobo">
    <w:name w:val="Balloon Text"/>
    <w:basedOn w:val="Normal"/>
    <w:link w:val="TextodegloboCar"/>
    <w:uiPriority w:val="99"/>
    <w:semiHidden/>
    <w:unhideWhenUsed/>
    <w:rsid w:val="00E17E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EC3"/>
    <w:rPr>
      <w:rFonts w:ascii="Segoe UI" w:hAnsi="Segoe UI" w:cs="Segoe UI"/>
      <w:sz w:val="18"/>
      <w:szCs w:val="18"/>
    </w:rPr>
  </w:style>
  <w:style w:type="character" w:styleId="Nmerodepgina">
    <w:name w:val="page number"/>
    <w:basedOn w:val="Fuentedeprrafopredeter"/>
    <w:uiPriority w:val="99"/>
    <w:semiHidden/>
    <w:unhideWhenUsed/>
    <w:rsid w:val="00553D4F"/>
  </w:style>
  <w:style w:type="paragraph" w:customStyle="1" w:styleId="Sinespaciado1">
    <w:name w:val="Sin espaciado1"/>
    <w:link w:val="NoSpacingChar"/>
    <w:qFormat/>
    <w:rsid w:val="003767C9"/>
    <w:pPr>
      <w:jc w:val="left"/>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3767C9"/>
    <w:rPr>
      <w:rFonts w:ascii="Times New Roman" w:eastAsia="Times New Roman" w:hAnsi="Times New Roman" w:cs="Times New Roman"/>
      <w:sz w:val="24"/>
      <w:szCs w:val="24"/>
      <w:lang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
    <w:qFormat/>
    <w:locked/>
    <w:rsid w:val="003767C9"/>
    <w:rPr>
      <w:rFonts w:ascii="Times New Roman" w:eastAsia="Times New Roman" w:hAnsi="Times New Roman"/>
      <w:lang w:val="zh-CN" w:eastAsia="es-ES"/>
    </w:rPr>
  </w:style>
  <w:style w:type="paragraph" w:styleId="Sangradetextonormal">
    <w:name w:val="Body Text Indent"/>
    <w:basedOn w:val="Normal"/>
    <w:link w:val="SangradetextonormalCar"/>
    <w:rsid w:val="002D2876"/>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D287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71889">
      <w:bodyDiv w:val="1"/>
      <w:marLeft w:val="0"/>
      <w:marRight w:val="0"/>
      <w:marTop w:val="0"/>
      <w:marBottom w:val="0"/>
      <w:divBdr>
        <w:top w:val="none" w:sz="0" w:space="0" w:color="auto"/>
        <w:left w:val="none" w:sz="0" w:space="0" w:color="auto"/>
        <w:bottom w:val="none" w:sz="0" w:space="0" w:color="auto"/>
        <w:right w:val="none" w:sz="0" w:space="0" w:color="auto"/>
      </w:divBdr>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605969098">
      <w:bodyDiv w:val="1"/>
      <w:marLeft w:val="0"/>
      <w:marRight w:val="0"/>
      <w:marTop w:val="0"/>
      <w:marBottom w:val="0"/>
      <w:divBdr>
        <w:top w:val="none" w:sz="0" w:space="0" w:color="auto"/>
        <w:left w:val="none" w:sz="0" w:space="0" w:color="auto"/>
        <w:bottom w:val="none" w:sz="0" w:space="0" w:color="auto"/>
        <w:right w:val="none" w:sz="0" w:space="0" w:color="auto"/>
      </w:divBdr>
    </w:div>
    <w:div w:id="10924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CDFE-829D-4BA0-8B3B-ED05A52B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2022-07-29T22:15:00Z</cp:lastPrinted>
  <dcterms:created xsi:type="dcterms:W3CDTF">2022-07-29T22:15:00Z</dcterms:created>
  <dcterms:modified xsi:type="dcterms:W3CDTF">2022-07-29T22:16:00Z</dcterms:modified>
</cp:coreProperties>
</file>