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5A2E91" w14:textId="77777777" w:rsidR="002A5DEA" w:rsidRPr="00302FD8" w:rsidRDefault="002A5DEA" w:rsidP="000D7F37">
      <w:pPr>
        <w:spacing w:before="240" w:line="240" w:lineRule="auto"/>
        <w:jc w:val="center"/>
        <w:rPr>
          <w:rFonts w:ascii="Arial" w:eastAsia="Calibri" w:hAnsi="Arial" w:cs="Arial"/>
          <w:b/>
          <w:caps/>
          <w:sz w:val="24"/>
          <w:szCs w:val="16"/>
          <w:lang w:eastAsia="es-ES_tradnl"/>
        </w:rPr>
      </w:pPr>
      <w:r>
        <w:rPr>
          <w:rFonts w:ascii="Arial" w:eastAsia="Calibri" w:hAnsi="Arial" w:cs="Arial"/>
          <w:b/>
          <w:sz w:val="24"/>
          <w:szCs w:val="16"/>
          <w:lang w:eastAsia="es-ES_tradnl"/>
        </w:rPr>
        <w:t>Magistrado</w:t>
      </w:r>
      <w:r w:rsidRPr="00B37F3B">
        <w:rPr>
          <w:rFonts w:ascii="Arial" w:eastAsia="Calibri" w:hAnsi="Arial" w:cs="Arial"/>
          <w:b/>
          <w:sz w:val="24"/>
          <w:szCs w:val="16"/>
          <w:lang w:eastAsia="es-ES_tradnl"/>
        </w:rPr>
        <w:t xml:space="preserve"> ponente</w:t>
      </w:r>
      <w:r w:rsidRPr="00B37F3B">
        <w:rPr>
          <w:rFonts w:ascii="Arial" w:eastAsia="Calibri" w:hAnsi="Arial" w:cs="Arial"/>
          <w:b/>
          <w:caps/>
          <w:sz w:val="24"/>
          <w:szCs w:val="16"/>
          <w:lang w:eastAsia="es-ES_tradnl"/>
        </w:rPr>
        <w:t>: JAIME ENRIQUE RODRÍGUEZ NAVAS</w:t>
      </w:r>
    </w:p>
    <w:p w14:paraId="57B9250D" w14:textId="73843C86" w:rsidR="002A5DEA" w:rsidRPr="0039226D" w:rsidRDefault="002A5DEA" w:rsidP="000D7F37">
      <w:pPr>
        <w:spacing w:line="240" w:lineRule="auto"/>
        <w:jc w:val="both"/>
        <w:rPr>
          <w:rFonts w:ascii="Arial" w:eastAsia="Calibri" w:hAnsi="Arial" w:cs="Arial"/>
          <w:b/>
          <w:bCs/>
          <w:sz w:val="24"/>
          <w:szCs w:val="24"/>
          <w:lang w:eastAsia="es-ES_tradnl"/>
        </w:rPr>
      </w:pPr>
      <w:r w:rsidRPr="00302FD8">
        <w:rPr>
          <w:rFonts w:ascii="Arial" w:eastAsia="Calibri" w:hAnsi="Arial" w:cs="Arial"/>
          <w:b/>
          <w:bCs/>
          <w:sz w:val="24"/>
          <w:szCs w:val="24"/>
          <w:lang w:val="es-419" w:eastAsia="es-ES_tradnl"/>
        </w:rPr>
        <w:t xml:space="preserve">Bogotá D.C., </w:t>
      </w:r>
      <w:r w:rsidR="002B7FF5">
        <w:rPr>
          <w:rFonts w:ascii="Arial" w:eastAsia="Calibri" w:hAnsi="Arial" w:cs="Arial"/>
          <w:b/>
          <w:bCs/>
          <w:sz w:val="24"/>
          <w:szCs w:val="24"/>
          <w:lang w:val="es-419" w:eastAsia="es-ES_tradnl"/>
        </w:rPr>
        <w:t>veintiuno (21) de octubre de dos mil veintidós (2022)</w:t>
      </w:r>
    </w:p>
    <w:p w14:paraId="74CF3C49" w14:textId="636E8D86" w:rsidR="002A5DEA" w:rsidRPr="00B37F3B" w:rsidRDefault="002A5DEA" w:rsidP="000D7F37">
      <w:pPr>
        <w:tabs>
          <w:tab w:val="left" w:pos="1985"/>
        </w:tabs>
        <w:spacing w:before="240" w:after="0" w:line="240" w:lineRule="auto"/>
        <w:contextualSpacing/>
        <w:jc w:val="both"/>
        <w:rPr>
          <w:rFonts w:ascii="Arial" w:eastAsia="Calibri" w:hAnsi="Arial" w:cs="Arial"/>
          <w:sz w:val="24"/>
          <w:szCs w:val="24"/>
          <w:lang w:val="es-419" w:eastAsia="es-ES_tradnl"/>
        </w:rPr>
      </w:pPr>
      <w:r w:rsidRPr="00B37F3B">
        <w:rPr>
          <w:rFonts w:ascii="Arial" w:eastAsia="Calibri" w:hAnsi="Arial" w:cs="Arial"/>
          <w:b/>
          <w:sz w:val="24"/>
          <w:szCs w:val="24"/>
          <w:lang w:val="es-419" w:eastAsia="es-ES_tradnl"/>
        </w:rPr>
        <w:t>Radica</w:t>
      </w:r>
      <w:r>
        <w:rPr>
          <w:rFonts w:ascii="Arial" w:eastAsia="Calibri" w:hAnsi="Arial" w:cs="Arial"/>
          <w:b/>
          <w:sz w:val="24"/>
          <w:szCs w:val="24"/>
          <w:lang w:val="es-419" w:eastAsia="es-ES_tradnl"/>
        </w:rPr>
        <w:t>do número</w:t>
      </w:r>
      <w:r w:rsidRPr="00B37F3B">
        <w:rPr>
          <w:rFonts w:ascii="Arial" w:eastAsia="Calibri" w:hAnsi="Arial" w:cs="Arial"/>
          <w:b/>
          <w:sz w:val="24"/>
          <w:szCs w:val="24"/>
          <w:lang w:val="es-419" w:eastAsia="es-ES_tradnl"/>
        </w:rPr>
        <w:t>:</w:t>
      </w:r>
      <w:r>
        <w:rPr>
          <w:rFonts w:ascii="Arial" w:eastAsia="Calibri" w:hAnsi="Arial" w:cs="Arial"/>
          <w:b/>
          <w:sz w:val="24"/>
          <w:szCs w:val="24"/>
          <w:lang w:val="es-419" w:eastAsia="es-ES_tradnl"/>
        </w:rPr>
        <w:tab/>
      </w:r>
      <w:r w:rsidRPr="00B37F3B">
        <w:rPr>
          <w:rFonts w:ascii="Arial" w:eastAsia="Calibri" w:hAnsi="Arial" w:cs="Arial"/>
          <w:b/>
          <w:sz w:val="24"/>
          <w:szCs w:val="24"/>
          <w:lang w:val="es-419" w:eastAsia="es-ES_tradnl"/>
        </w:rPr>
        <w:tab/>
      </w:r>
      <w:r w:rsidR="0039226D">
        <w:rPr>
          <w:rFonts w:ascii="Arial" w:eastAsia="Calibri" w:hAnsi="Arial" w:cs="Arial"/>
          <w:sz w:val="24"/>
          <w:szCs w:val="24"/>
          <w:lang w:eastAsia="es-ES_tradnl"/>
        </w:rPr>
        <w:t>11001-03-15-000-2021-04994</w:t>
      </w:r>
      <w:r w:rsidRPr="00333417">
        <w:rPr>
          <w:rFonts w:ascii="Arial" w:eastAsia="Calibri" w:hAnsi="Arial" w:cs="Arial"/>
          <w:sz w:val="24"/>
          <w:szCs w:val="24"/>
          <w:lang w:eastAsia="es-ES_tradnl"/>
        </w:rPr>
        <w:t>-0</w:t>
      </w:r>
      <w:r w:rsidR="006D5C77">
        <w:rPr>
          <w:rFonts w:ascii="Arial" w:eastAsia="Calibri" w:hAnsi="Arial" w:cs="Arial"/>
          <w:sz w:val="24"/>
          <w:szCs w:val="24"/>
          <w:lang w:eastAsia="es-ES_tradnl"/>
        </w:rPr>
        <w:t>0</w:t>
      </w:r>
    </w:p>
    <w:p w14:paraId="4D48B12F" w14:textId="77777777" w:rsidR="002A5DEA" w:rsidRPr="0000235E" w:rsidRDefault="002A5DEA" w:rsidP="000D7F37">
      <w:pPr>
        <w:tabs>
          <w:tab w:val="left" w:pos="1985"/>
        </w:tabs>
        <w:spacing w:after="0" w:line="240" w:lineRule="auto"/>
        <w:ind w:left="2832" w:hanging="2832"/>
        <w:contextualSpacing/>
        <w:jc w:val="both"/>
        <w:rPr>
          <w:rFonts w:ascii="Arial" w:eastAsia="Calibri" w:hAnsi="Arial" w:cs="Arial"/>
          <w:sz w:val="24"/>
          <w:szCs w:val="24"/>
          <w:lang w:eastAsia="es-ES_tradnl"/>
        </w:rPr>
      </w:pPr>
      <w:r w:rsidRPr="00B37F3B">
        <w:rPr>
          <w:rFonts w:ascii="Arial" w:eastAsia="Calibri" w:hAnsi="Arial" w:cs="Arial"/>
          <w:b/>
          <w:sz w:val="24"/>
          <w:szCs w:val="24"/>
          <w:lang w:val="es-419" w:eastAsia="es-ES_tradnl"/>
        </w:rPr>
        <w:t>Accionante:</w:t>
      </w:r>
      <w:r w:rsidRPr="00B37F3B">
        <w:rPr>
          <w:rFonts w:ascii="Arial" w:eastAsia="Calibri" w:hAnsi="Arial" w:cs="Arial"/>
          <w:b/>
          <w:sz w:val="24"/>
          <w:szCs w:val="24"/>
          <w:lang w:val="es-419" w:eastAsia="es-ES_tradnl"/>
        </w:rPr>
        <w:tab/>
      </w:r>
      <w:r>
        <w:rPr>
          <w:rFonts w:ascii="Arial" w:eastAsia="Calibri" w:hAnsi="Arial" w:cs="Arial"/>
          <w:b/>
          <w:sz w:val="24"/>
          <w:szCs w:val="24"/>
          <w:lang w:val="es-419" w:eastAsia="es-ES_tradnl"/>
        </w:rPr>
        <w:tab/>
      </w:r>
      <w:r w:rsidR="0000235E">
        <w:rPr>
          <w:rFonts w:ascii="Arial" w:eastAsia="Calibri" w:hAnsi="Arial" w:cs="Arial"/>
          <w:sz w:val="24"/>
          <w:szCs w:val="24"/>
          <w:lang w:eastAsia="es-ES_tradnl"/>
        </w:rPr>
        <w:t>Jorge Eduardo Ferreira Vargas</w:t>
      </w:r>
    </w:p>
    <w:p w14:paraId="78C22ADE" w14:textId="77777777" w:rsidR="002A5DEA" w:rsidRDefault="002A5DEA" w:rsidP="000D7F37">
      <w:pPr>
        <w:tabs>
          <w:tab w:val="left" w:pos="1985"/>
        </w:tabs>
        <w:spacing w:after="0" w:line="240" w:lineRule="auto"/>
        <w:ind w:left="2832" w:right="51" w:hanging="2832"/>
        <w:contextualSpacing/>
        <w:jc w:val="both"/>
        <w:rPr>
          <w:rFonts w:ascii="Arial" w:eastAsia="Calibri" w:hAnsi="Arial" w:cs="Arial"/>
          <w:sz w:val="24"/>
          <w:szCs w:val="24"/>
          <w:lang w:eastAsia="es-ES_tradnl"/>
        </w:rPr>
      </w:pPr>
      <w:r w:rsidRPr="00B37F3B">
        <w:rPr>
          <w:rFonts w:ascii="Arial" w:eastAsia="Calibri" w:hAnsi="Arial" w:cs="Arial"/>
          <w:b/>
          <w:sz w:val="24"/>
          <w:szCs w:val="24"/>
          <w:lang w:val="es-419" w:eastAsia="es-ES_tradnl"/>
        </w:rPr>
        <w:t>Accionado:</w:t>
      </w:r>
      <w:r w:rsidRPr="00B37F3B">
        <w:rPr>
          <w:rFonts w:ascii="Arial" w:eastAsia="Calibri" w:hAnsi="Arial" w:cs="Arial"/>
          <w:b/>
          <w:sz w:val="24"/>
          <w:szCs w:val="24"/>
          <w:lang w:val="es-419" w:eastAsia="es-ES_tradnl"/>
        </w:rPr>
        <w:tab/>
      </w:r>
      <w:r>
        <w:rPr>
          <w:rFonts w:ascii="Arial" w:eastAsia="Calibri" w:hAnsi="Arial" w:cs="Arial"/>
          <w:b/>
          <w:sz w:val="24"/>
          <w:szCs w:val="24"/>
          <w:lang w:val="es-419" w:eastAsia="es-ES_tradnl"/>
        </w:rPr>
        <w:tab/>
      </w:r>
      <w:r w:rsidR="0000235E">
        <w:rPr>
          <w:rFonts w:ascii="Arial" w:eastAsia="Calibri" w:hAnsi="Arial" w:cs="Arial"/>
          <w:sz w:val="24"/>
          <w:szCs w:val="24"/>
          <w:lang w:eastAsia="es-ES_tradnl"/>
        </w:rPr>
        <w:t>Consejo Superior de la Judicatura, Dirección Ejecutiva de Administración Judicial</w:t>
      </w:r>
    </w:p>
    <w:p w14:paraId="4BF37BD6" w14:textId="096E53C6" w:rsidR="002A5DEA" w:rsidRDefault="002A5DEA" w:rsidP="000D7F37">
      <w:pPr>
        <w:pBdr>
          <w:bottom w:val="single" w:sz="4" w:space="1" w:color="auto"/>
        </w:pBdr>
        <w:spacing w:line="240" w:lineRule="auto"/>
        <w:ind w:left="1985" w:hanging="1985"/>
        <w:jc w:val="both"/>
        <w:rPr>
          <w:rFonts w:ascii="Arial" w:eastAsia="Calibri" w:hAnsi="Arial" w:cs="Arial"/>
          <w:sz w:val="24"/>
          <w:szCs w:val="24"/>
          <w:lang w:val="es-419" w:eastAsia="es-ES_tradnl"/>
        </w:rPr>
      </w:pPr>
      <w:r w:rsidRPr="00B37F3B">
        <w:rPr>
          <w:rFonts w:ascii="Arial" w:eastAsia="Calibri" w:hAnsi="Arial" w:cs="Arial"/>
          <w:b/>
          <w:sz w:val="24"/>
          <w:szCs w:val="24"/>
          <w:lang w:val="es-419" w:eastAsia="es-ES_tradnl"/>
        </w:rPr>
        <w:t xml:space="preserve">Referencia: </w:t>
      </w:r>
      <w:r w:rsidRPr="00B37F3B">
        <w:rPr>
          <w:rFonts w:ascii="Arial" w:eastAsia="Calibri" w:hAnsi="Arial" w:cs="Arial"/>
          <w:b/>
          <w:sz w:val="24"/>
          <w:szCs w:val="24"/>
          <w:lang w:val="es-419" w:eastAsia="es-ES_tradnl"/>
        </w:rPr>
        <w:tab/>
      </w:r>
      <w:r>
        <w:rPr>
          <w:rFonts w:ascii="Arial" w:eastAsia="Calibri" w:hAnsi="Arial" w:cs="Arial"/>
          <w:b/>
          <w:sz w:val="24"/>
          <w:szCs w:val="24"/>
          <w:lang w:val="es-419" w:eastAsia="es-ES_tradnl"/>
        </w:rPr>
        <w:tab/>
      </w:r>
      <w:r>
        <w:rPr>
          <w:rFonts w:ascii="Arial" w:eastAsia="Calibri" w:hAnsi="Arial" w:cs="Arial"/>
          <w:b/>
          <w:sz w:val="24"/>
          <w:szCs w:val="24"/>
          <w:lang w:val="es-419" w:eastAsia="es-ES_tradnl"/>
        </w:rPr>
        <w:tab/>
      </w:r>
      <w:r w:rsidRPr="00B37F3B">
        <w:rPr>
          <w:rFonts w:ascii="Arial" w:eastAsia="Calibri" w:hAnsi="Arial" w:cs="Arial"/>
          <w:sz w:val="24"/>
          <w:szCs w:val="24"/>
          <w:lang w:val="es-419" w:eastAsia="es-ES_tradnl"/>
        </w:rPr>
        <w:t>Acción de tutela</w:t>
      </w:r>
      <w:r>
        <w:rPr>
          <w:rFonts w:ascii="Arial" w:eastAsia="Calibri" w:hAnsi="Arial" w:cs="Arial"/>
          <w:sz w:val="24"/>
          <w:szCs w:val="24"/>
          <w:lang w:val="es-419" w:eastAsia="es-ES_tradnl"/>
        </w:rPr>
        <w:t xml:space="preserve"> – solicitud de nulidad</w:t>
      </w:r>
    </w:p>
    <w:p w14:paraId="56E29DE1" w14:textId="77777777" w:rsidR="002A5DEA" w:rsidRPr="00B37F3B" w:rsidRDefault="002A5DEA" w:rsidP="000D7F37">
      <w:pPr>
        <w:pBdr>
          <w:bottom w:val="single" w:sz="4" w:space="1" w:color="auto"/>
        </w:pBdr>
        <w:spacing w:before="240" w:line="240" w:lineRule="auto"/>
        <w:ind w:left="1985" w:hanging="1985"/>
        <w:jc w:val="both"/>
        <w:rPr>
          <w:rFonts w:ascii="Arial" w:eastAsia="Calibri" w:hAnsi="Arial" w:cs="Arial"/>
          <w:b/>
          <w:sz w:val="24"/>
          <w:szCs w:val="24"/>
          <w:lang w:val="es-419" w:eastAsia="es-ES_tradnl"/>
        </w:rPr>
      </w:pPr>
      <w:r>
        <w:rPr>
          <w:rFonts w:ascii="Arial" w:eastAsia="Calibri" w:hAnsi="Arial" w:cs="Arial"/>
          <w:b/>
          <w:sz w:val="24"/>
          <w:szCs w:val="24"/>
          <w:lang w:val="es-419" w:eastAsia="es-ES_tradnl"/>
        </w:rPr>
        <w:t xml:space="preserve">AUTO QUE RESUELVE </w:t>
      </w:r>
      <w:r w:rsidR="004808F4">
        <w:rPr>
          <w:rFonts w:ascii="Arial" w:eastAsia="Calibri" w:hAnsi="Arial" w:cs="Arial"/>
          <w:b/>
          <w:sz w:val="24"/>
          <w:szCs w:val="24"/>
          <w:lang w:val="es-419" w:eastAsia="es-ES_tradnl"/>
        </w:rPr>
        <w:t>SOLICITUD DE NULIDAD</w:t>
      </w:r>
    </w:p>
    <w:p w14:paraId="4ECF921C" w14:textId="15D7E215" w:rsidR="002A5DEA" w:rsidRDefault="002A5DEA" w:rsidP="000D7F37">
      <w:pPr>
        <w:pStyle w:val="4GChar"/>
        <w:spacing w:before="240" w:after="240"/>
        <w:rPr>
          <w:rFonts w:ascii="Arial" w:eastAsia="Calibri" w:hAnsi="Arial" w:cs="Arial"/>
          <w:sz w:val="24"/>
          <w:szCs w:val="24"/>
          <w:vertAlign w:val="baseline"/>
          <w:lang w:eastAsia="es-ES_tradnl"/>
        </w:rPr>
      </w:pPr>
      <w:r>
        <w:rPr>
          <w:rFonts w:ascii="Arial" w:eastAsia="Calibri" w:hAnsi="Arial" w:cs="Arial"/>
          <w:sz w:val="24"/>
          <w:szCs w:val="24"/>
          <w:vertAlign w:val="baseline"/>
          <w:lang w:eastAsia="es-ES_tradnl"/>
        </w:rPr>
        <w:t xml:space="preserve">La Sala procede a resolver </w:t>
      </w:r>
      <w:r w:rsidR="00720D78">
        <w:rPr>
          <w:rFonts w:ascii="Arial" w:eastAsia="Calibri" w:hAnsi="Arial" w:cs="Arial"/>
          <w:sz w:val="24"/>
          <w:szCs w:val="24"/>
          <w:vertAlign w:val="baseline"/>
          <w:lang w:eastAsia="es-ES_tradnl"/>
        </w:rPr>
        <w:t xml:space="preserve">la solicitud de nulidad </w:t>
      </w:r>
      <w:r w:rsidR="002B7FF5">
        <w:rPr>
          <w:rFonts w:ascii="Arial" w:eastAsia="Calibri" w:hAnsi="Arial" w:cs="Arial"/>
          <w:sz w:val="24"/>
          <w:szCs w:val="24"/>
          <w:vertAlign w:val="baseline"/>
          <w:lang w:eastAsia="es-ES_tradnl"/>
        </w:rPr>
        <w:t xml:space="preserve">que presentó </w:t>
      </w:r>
      <w:r w:rsidR="00FF7E07">
        <w:rPr>
          <w:rFonts w:ascii="Arial" w:eastAsia="Calibri" w:hAnsi="Arial" w:cs="Arial"/>
          <w:sz w:val="24"/>
          <w:szCs w:val="24"/>
          <w:vertAlign w:val="baseline"/>
          <w:lang w:eastAsia="es-ES_tradnl"/>
        </w:rPr>
        <w:t>la Dirección Ejecutiva de Administración Judicial</w:t>
      </w:r>
      <w:r w:rsidR="002B7FF5">
        <w:rPr>
          <w:rFonts w:ascii="Arial" w:eastAsia="Calibri" w:hAnsi="Arial" w:cs="Arial"/>
          <w:sz w:val="24"/>
          <w:szCs w:val="24"/>
          <w:vertAlign w:val="baseline"/>
          <w:lang w:eastAsia="es-ES_tradnl"/>
        </w:rPr>
        <w:t xml:space="preserve"> dentro del trámite constitucional de la referencia</w:t>
      </w:r>
      <w:r w:rsidR="00FF7E07">
        <w:rPr>
          <w:rFonts w:ascii="Arial" w:eastAsia="Calibri" w:hAnsi="Arial" w:cs="Arial"/>
          <w:sz w:val="24"/>
          <w:szCs w:val="24"/>
          <w:vertAlign w:val="baseline"/>
          <w:lang w:eastAsia="es-ES_tradnl"/>
        </w:rPr>
        <w:t>.</w:t>
      </w:r>
    </w:p>
    <w:p w14:paraId="0C25200E" w14:textId="77777777" w:rsidR="002A5DEA" w:rsidRPr="002162AD" w:rsidRDefault="002A5DEA" w:rsidP="000D7F37">
      <w:pPr>
        <w:pStyle w:val="4GChar"/>
        <w:spacing w:before="240" w:after="240"/>
        <w:jc w:val="center"/>
        <w:rPr>
          <w:rFonts w:ascii="Arial" w:eastAsia="Calibri" w:hAnsi="Arial" w:cs="Arial"/>
          <w:b/>
          <w:sz w:val="24"/>
          <w:szCs w:val="24"/>
          <w:vertAlign w:val="baseline"/>
          <w:lang w:eastAsia="es-ES_tradnl"/>
        </w:rPr>
      </w:pPr>
      <w:r w:rsidRPr="002162AD">
        <w:rPr>
          <w:rFonts w:ascii="Arial" w:eastAsia="Calibri" w:hAnsi="Arial" w:cs="Arial"/>
          <w:b/>
          <w:sz w:val="24"/>
          <w:szCs w:val="24"/>
          <w:vertAlign w:val="baseline"/>
          <w:lang w:eastAsia="es-ES_tradnl"/>
        </w:rPr>
        <w:t>I.</w:t>
      </w:r>
      <w:r>
        <w:rPr>
          <w:rFonts w:ascii="Arial" w:eastAsia="Calibri" w:hAnsi="Arial" w:cs="Arial"/>
          <w:b/>
          <w:sz w:val="24"/>
          <w:szCs w:val="24"/>
          <w:vertAlign w:val="baseline"/>
          <w:lang w:eastAsia="es-ES_tradnl"/>
        </w:rPr>
        <w:t xml:space="preserve"> ANTECEDENTES</w:t>
      </w:r>
    </w:p>
    <w:p w14:paraId="074B7170" w14:textId="34E67A12" w:rsidR="002A5DEA" w:rsidRDefault="002A5DEA" w:rsidP="000D7F37">
      <w:pPr>
        <w:pStyle w:val="4GChar"/>
        <w:spacing w:before="240" w:after="240"/>
        <w:rPr>
          <w:rFonts w:ascii="Arial" w:eastAsia="Calibri" w:hAnsi="Arial" w:cs="Arial"/>
          <w:b/>
          <w:sz w:val="24"/>
          <w:szCs w:val="24"/>
          <w:vertAlign w:val="baseline"/>
          <w:lang w:eastAsia="es-ES_tradnl"/>
        </w:rPr>
      </w:pPr>
      <w:r w:rsidRPr="00486433">
        <w:rPr>
          <w:rFonts w:ascii="Arial" w:eastAsia="Calibri" w:hAnsi="Arial" w:cs="Arial"/>
          <w:b/>
          <w:sz w:val="24"/>
          <w:szCs w:val="24"/>
          <w:vertAlign w:val="baseline"/>
          <w:lang w:eastAsia="es-ES_tradnl"/>
        </w:rPr>
        <w:t>1.1.</w:t>
      </w:r>
      <w:r>
        <w:rPr>
          <w:rFonts w:ascii="Arial" w:eastAsia="Calibri" w:hAnsi="Arial" w:cs="Arial"/>
          <w:b/>
          <w:sz w:val="24"/>
          <w:szCs w:val="24"/>
          <w:vertAlign w:val="baseline"/>
          <w:lang w:eastAsia="es-ES_tradnl"/>
        </w:rPr>
        <w:t xml:space="preserve"> Solicitud de </w:t>
      </w:r>
      <w:r w:rsidRPr="004E4475">
        <w:rPr>
          <w:rFonts w:ascii="Arial" w:eastAsia="Calibri" w:hAnsi="Arial" w:cs="Arial"/>
          <w:b/>
          <w:sz w:val="24"/>
          <w:szCs w:val="24"/>
          <w:vertAlign w:val="baseline"/>
          <w:lang w:eastAsia="es-ES_tradnl"/>
        </w:rPr>
        <w:t>tutela</w:t>
      </w:r>
      <w:r w:rsidR="00F76A19">
        <w:rPr>
          <w:rFonts w:ascii="Arial" w:eastAsia="Calibri" w:hAnsi="Arial" w:cs="Arial"/>
          <w:b/>
          <w:sz w:val="24"/>
          <w:szCs w:val="24"/>
          <w:vertAlign w:val="baseline"/>
          <w:lang w:eastAsia="es-ES_tradnl"/>
        </w:rPr>
        <w:t xml:space="preserve"> y trámite</w:t>
      </w:r>
      <w:r w:rsidR="004E4475" w:rsidRPr="004E4475">
        <w:rPr>
          <w:rStyle w:val="Refdenotaalpie"/>
          <w:rFonts w:ascii="Arial" w:hAnsi="Arial" w:cs="Arial"/>
          <w:b/>
          <w:sz w:val="24"/>
          <w:szCs w:val="24"/>
          <w:lang w:eastAsia="es-ES"/>
        </w:rPr>
        <w:footnoteReference w:id="1"/>
      </w:r>
    </w:p>
    <w:p w14:paraId="744B7993" w14:textId="26241CF5" w:rsidR="004E4475" w:rsidRPr="004E4475" w:rsidRDefault="00F76A19" w:rsidP="000D7F37">
      <w:pPr>
        <w:pStyle w:val="4GChar"/>
        <w:spacing w:before="240" w:after="240"/>
        <w:rPr>
          <w:rFonts w:ascii="Arial" w:eastAsia="Calibri" w:hAnsi="Arial" w:cs="Arial"/>
          <w:sz w:val="24"/>
          <w:szCs w:val="24"/>
          <w:vertAlign w:val="baseline"/>
          <w:lang w:eastAsia="es-ES_tradnl"/>
        </w:rPr>
      </w:pPr>
      <w:r>
        <w:rPr>
          <w:rFonts w:ascii="Arial" w:eastAsia="Calibri" w:hAnsi="Arial" w:cs="Arial"/>
          <w:sz w:val="24"/>
          <w:szCs w:val="24"/>
          <w:vertAlign w:val="baseline"/>
          <w:lang w:eastAsia="es-ES_tradnl"/>
        </w:rPr>
        <w:t xml:space="preserve">1.1.1. </w:t>
      </w:r>
      <w:r w:rsidR="004E4475" w:rsidRPr="004E4475">
        <w:rPr>
          <w:rFonts w:ascii="Arial" w:eastAsia="Calibri" w:hAnsi="Arial" w:cs="Arial"/>
          <w:sz w:val="24"/>
          <w:szCs w:val="24"/>
          <w:vertAlign w:val="baseline"/>
          <w:lang w:eastAsia="es-ES_tradnl"/>
        </w:rPr>
        <w:t>Jorge Eduardo Ferreira Vargas solicitó el amparo constitucional de sus derechos fundamentales al debido proceso y de petición, que consideró vulnerados por el Consejo Superior de la Judicatura, Dirección Ejecutiva de Administración Judicial</w:t>
      </w:r>
      <w:r w:rsidR="008E2067">
        <w:rPr>
          <w:rFonts w:ascii="Arial" w:eastAsia="Calibri" w:hAnsi="Arial" w:cs="Arial"/>
          <w:sz w:val="24"/>
          <w:szCs w:val="24"/>
          <w:vertAlign w:val="baseline"/>
          <w:lang w:eastAsia="es-ES_tradnl"/>
        </w:rPr>
        <w:t xml:space="preserve">, </w:t>
      </w:r>
      <w:r w:rsidR="00443500">
        <w:rPr>
          <w:rFonts w:ascii="Arial" w:eastAsia="Calibri" w:hAnsi="Arial" w:cs="Arial"/>
          <w:sz w:val="24"/>
          <w:szCs w:val="24"/>
          <w:vertAlign w:val="baseline"/>
          <w:lang w:eastAsia="es-ES_tradnl"/>
        </w:rPr>
        <w:t xml:space="preserve">ante la falta de respuesta a una </w:t>
      </w:r>
      <w:r w:rsidR="004E4475" w:rsidRPr="004E4475">
        <w:rPr>
          <w:rFonts w:ascii="Arial" w:eastAsia="Calibri" w:hAnsi="Arial" w:cs="Arial"/>
          <w:sz w:val="24"/>
          <w:szCs w:val="24"/>
          <w:vertAlign w:val="baseline"/>
          <w:lang w:eastAsia="es-ES_tradnl"/>
        </w:rPr>
        <w:t xml:space="preserve">petición en la que solicitó información </w:t>
      </w:r>
      <w:r w:rsidR="008E2067">
        <w:rPr>
          <w:rFonts w:ascii="Arial" w:eastAsia="Calibri" w:hAnsi="Arial" w:cs="Arial"/>
          <w:sz w:val="24"/>
          <w:szCs w:val="24"/>
          <w:vertAlign w:val="baseline"/>
          <w:lang w:eastAsia="es-ES_tradnl"/>
        </w:rPr>
        <w:t>sobre</w:t>
      </w:r>
      <w:r w:rsidR="004E4475" w:rsidRPr="004E4475">
        <w:rPr>
          <w:rFonts w:ascii="Arial" w:eastAsia="Calibri" w:hAnsi="Arial" w:cs="Arial"/>
          <w:sz w:val="24"/>
          <w:szCs w:val="24"/>
          <w:vertAlign w:val="baseline"/>
          <w:lang w:eastAsia="es-ES_tradnl"/>
        </w:rPr>
        <w:t xml:space="preserve"> el pago de una sentencia judicial.</w:t>
      </w:r>
    </w:p>
    <w:p w14:paraId="6A642C1F" w14:textId="40607359" w:rsidR="000113C5" w:rsidRPr="006D5C77" w:rsidRDefault="00F76A19" w:rsidP="000D7F37">
      <w:pPr>
        <w:spacing w:line="240" w:lineRule="auto"/>
        <w:contextualSpacing/>
        <w:jc w:val="both"/>
        <w:rPr>
          <w:rFonts w:ascii="Arial" w:eastAsia="Verdana" w:hAnsi="Arial" w:cs="Arial"/>
          <w:sz w:val="24"/>
          <w:szCs w:val="24"/>
        </w:rPr>
      </w:pPr>
      <w:r>
        <w:rPr>
          <w:rFonts w:ascii="Arial" w:hAnsi="Arial" w:cs="Arial"/>
          <w:sz w:val="24"/>
          <w:szCs w:val="24"/>
        </w:rPr>
        <w:t>1.1.2 Luego de</w:t>
      </w:r>
      <w:r w:rsidR="008E2067">
        <w:rPr>
          <w:rFonts w:ascii="Arial" w:hAnsi="Arial" w:cs="Arial"/>
          <w:sz w:val="24"/>
          <w:szCs w:val="24"/>
        </w:rPr>
        <w:t xml:space="preserve"> notificado el auto admisorio</w:t>
      </w:r>
      <w:r w:rsidR="00F5224F">
        <w:rPr>
          <w:rStyle w:val="Refdenotaalpie"/>
          <w:rFonts w:ascii="Arial" w:hAnsi="Arial" w:cs="Arial"/>
          <w:sz w:val="24"/>
          <w:szCs w:val="24"/>
        </w:rPr>
        <w:footnoteReference w:id="2"/>
      </w:r>
      <w:r w:rsidR="008E2067">
        <w:rPr>
          <w:rFonts w:ascii="Arial" w:hAnsi="Arial" w:cs="Arial"/>
          <w:sz w:val="24"/>
          <w:szCs w:val="24"/>
        </w:rPr>
        <w:t xml:space="preserve"> y</w:t>
      </w:r>
      <w:r>
        <w:rPr>
          <w:rFonts w:ascii="Arial" w:hAnsi="Arial" w:cs="Arial"/>
          <w:sz w:val="24"/>
          <w:szCs w:val="24"/>
        </w:rPr>
        <w:t xml:space="preserve"> </w:t>
      </w:r>
      <w:r w:rsidR="008E2067">
        <w:rPr>
          <w:rFonts w:ascii="Arial" w:hAnsi="Arial" w:cs="Arial"/>
          <w:sz w:val="24"/>
          <w:szCs w:val="24"/>
        </w:rPr>
        <w:t xml:space="preserve">de </w:t>
      </w:r>
      <w:r w:rsidR="00F5224F">
        <w:rPr>
          <w:rFonts w:ascii="Arial" w:hAnsi="Arial" w:cs="Arial"/>
          <w:sz w:val="24"/>
          <w:szCs w:val="24"/>
        </w:rPr>
        <w:t xml:space="preserve">resolver los </w:t>
      </w:r>
      <w:r w:rsidR="008E2067">
        <w:rPr>
          <w:rFonts w:ascii="Arial" w:hAnsi="Arial" w:cs="Arial"/>
          <w:sz w:val="24"/>
          <w:szCs w:val="24"/>
        </w:rPr>
        <w:t>impedimento</w:t>
      </w:r>
      <w:r w:rsidR="00F5224F">
        <w:rPr>
          <w:rFonts w:ascii="Arial" w:hAnsi="Arial" w:cs="Arial"/>
          <w:sz w:val="24"/>
          <w:szCs w:val="24"/>
        </w:rPr>
        <w:t>s</w:t>
      </w:r>
      <w:r w:rsidR="008E2067">
        <w:rPr>
          <w:rFonts w:ascii="Arial" w:hAnsi="Arial" w:cs="Arial"/>
          <w:sz w:val="24"/>
          <w:szCs w:val="24"/>
        </w:rPr>
        <w:t xml:space="preserve"> </w:t>
      </w:r>
      <w:r w:rsidR="00F5224F">
        <w:rPr>
          <w:rFonts w:ascii="Arial" w:hAnsi="Arial" w:cs="Arial"/>
          <w:sz w:val="24"/>
          <w:szCs w:val="24"/>
        </w:rPr>
        <w:t xml:space="preserve">presentados por </w:t>
      </w:r>
      <w:r w:rsidR="008E2067">
        <w:rPr>
          <w:rFonts w:ascii="Arial" w:hAnsi="Arial" w:cs="Arial"/>
          <w:sz w:val="24"/>
          <w:szCs w:val="24"/>
        </w:rPr>
        <w:t>los magistrados Nicolás Yepes Corrales y Guillermo Sánchez Luque</w:t>
      </w:r>
      <w:r>
        <w:rPr>
          <w:rFonts w:ascii="Arial" w:hAnsi="Arial" w:cs="Arial"/>
          <w:sz w:val="24"/>
          <w:szCs w:val="24"/>
        </w:rPr>
        <w:t xml:space="preserve">, </w:t>
      </w:r>
      <w:r w:rsidR="00230C92">
        <w:rPr>
          <w:rFonts w:ascii="Arial" w:eastAsia="Verdana" w:hAnsi="Arial" w:cs="Arial"/>
          <w:sz w:val="24"/>
          <w:szCs w:val="24"/>
        </w:rPr>
        <w:t>la Sala profirió sentencia</w:t>
      </w:r>
      <w:r w:rsidR="008E2067">
        <w:rPr>
          <w:rFonts w:ascii="Arial" w:eastAsia="Verdana" w:hAnsi="Arial" w:cs="Arial"/>
          <w:sz w:val="24"/>
          <w:szCs w:val="24"/>
        </w:rPr>
        <w:t>,</w:t>
      </w:r>
      <w:r w:rsidR="00230C92">
        <w:rPr>
          <w:rFonts w:ascii="Arial" w:eastAsia="Verdana" w:hAnsi="Arial" w:cs="Arial"/>
          <w:sz w:val="24"/>
          <w:szCs w:val="24"/>
        </w:rPr>
        <w:t xml:space="preserve"> el</w:t>
      </w:r>
      <w:r w:rsidR="008641A3">
        <w:rPr>
          <w:rFonts w:ascii="Arial" w:eastAsia="Verdana" w:hAnsi="Arial" w:cs="Arial"/>
          <w:sz w:val="24"/>
          <w:szCs w:val="24"/>
        </w:rPr>
        <w:t xml:space="preserve"> </w:t>
      </w:r>
      <w:r w:rsidR="000113C5">
        <w:rPr>
          <w:rFonts w:ascii="Arial" w:eastAsia="Verdana" w:hAnsi="Arial" w:cs="Arial"/>
          <w:sz w:val="24"/>
          <w:szCs w:val="24"/>
        </w:rPr>
        <w:t xml:space="preserve">19 de agosto </w:t>
      </w:r>
      <w:r w:rsidR="008E2067">
        <w:rPr>
          <w:rFonts w:ascii="Arial" w:eastAsia="Verdana" w:hAnsi="Arial" w:cs="Arial"/>
          <w:sz w:val="24"/>
          <w:szCs w:val="24"/>
        </w:rPr>
        <w:t>de 2022</w:t>
      </w:r>
      <w:r w:rsidR="000113C5">
        <w:rPr>
          <w:rFonts w:ascii="Arial" w:eastAsia="Verdana" w:hAnsi="Arial" w:cs="Arial"/>
          <w:sz w:val="24"/>
          <w:szCs w:val="24"/>
        </w:rPr>
        <w:t>,</w:t>
      </w:r>
      <w:r w:rsidR="008641A3">
        <w:rPr>
          <w:rFonts w:ascii="Arial" w:eastAsia="Verdana" w:hAnsi="Arial" w:cs="Arial"/>
          <w:sz w:val="24"/>
          <w:szCs w:val="24"/>
        </w:rPr>
        <w:t xml:space="preserve"> </w:t>
      </w:r>
      <w:r w:rsidR="00230C92">
        <w:rPr>
          <w:rFonts w:ascii="Arial" w:eastAsia="Verdana" w:hAnsi="Arial" w:cs="Arial"/>
          <w:sz w:val="24"/>
          <w:szCs w:val="24"/>
        </w:rPr>
        <w:t xml:space="preserve">en la que </w:t>
      </w:r>
      <w:r w:rsidR="000113C5">
        <w:rPr>
          <w:rFonts w:ascii="Arial" w:eastAsia="Verdana" w:hAnsi="Arial" w:cs="Arial"/>
          <w:sz w:val="24"/>
          <w:szCs w:val="24"/>
        </w:rPr>
        <w:t xml:space="preserve">amparó el derecho fundamental de petición invocado por el actor y ordenó a la </w:t>
      </w:r>
      <w:r w:rsidR="000113C5" w:rsidRPr="000113C5">
        <w:rPr>
          <w:rFonts w:ascii="Arial" w:eastAsia="Verdana" w:hAnsi="Arial" w:cs="Arial"/>
          <w:sz w:val="24"/>
          <w:szCs w:val="24"/>
        </w:rPr>
        <w:t xml:space="preserve">Dirección Ejecutiva de Administración Judicial que, dentro de las 48 horas siguientes a la notificación de </w:t>
      </w:r>
      <w:r w:rsidR="002B7FF5">
        <w:rPr>
          <w:rFonts w:ascii="Arial" w:eastAsia="Verdana" w:hAnsi="Arial" w:cs="Arial"/>
          <w:sz w:val="24"/>
          <w:szCs w:val="24"/>
        </w:rPr>
        <w:t xml:space="preserve">la </w:t>
      </w:r>
      <w:r w:rsidR="000113C5" w:rsidRPr="000113C5">
        <w:rPr>
          <w:rFonts w:ascii="Arial" w:eastAsia="Verdana" w:hAnsi="Arial" w:cs="Arial"/>
          <w:sz w:val="24"/>
          <w:szCs w:val="24"/>
        </w:rPr>
        <w:t>providencia, d</w:t>
      </w:r>
      <w:r w:rsidR="000113C5">
        <w:rPr>
          <w:rFonts w:ascii="Arial" w:eastAsia="Verdana" w:hAnsi="Arial" w:cs="Arial"/>
          <w:sz w:val="24"/>
          <w:szCs w:val="24"/>
        </w:rPr>
        <w:t>iera</w:t>
      </w:r>
      <w:r w:rsidR="000113C5" w:rsidRPr="000113C5">
        <w:rPr>
          <w:rFonts w:ascii="Arial" w:eastAsia="Verdana" w:hAnsi="Arial" w:cs="Arial"/>
          <w:sz w:val="24"/>
          <w:szCs w:val="24"/>
        </w:rPr>
        <w:t xml:space="preserve"> respuesta de fondo, de forma clara, precisa y congruente a la petición presentada por Jorge Eduardo Ferreira Vargas</w:t>
      </w:r>
      <w:r w:rsidR="000113C5">
        <w:rPr>
          <w:rFonts w:ascii="Arial" w:eastAsia="Verdana" w:hAnsi="Arial" w:cs="Arial"/>
          <w:sz w:val="24"/>
          <w:szCs w:val="24"/>
        </w:rPr>
        <w:t xml:space="preserve">. </w:t>
      </w:r>
      <w:r w:rsidR="003362E0">
        <w:rPr>
          <w:rFonts w:ascii="Arial" w:eastAsia="Verdana" w:hAnsi="Arial" w:cs="Arial"/>
          <w:sz w:val="24"/>
          <w:szCs w:val="24"/>
        </w:rPr>
        <w:t>Esta decisión, fue notificada</w:t>
      </w:r>
      <w:r w:rsidR="00F5224F">
        <w:rPr>
          <w:rFonts w:ascii="Arial" w:eastAsia="Verdana" w:hAnsi="Arial" w:cs="Arial"/>
          <w:sz w:val="24"/>
          <w:szCs w:val="24"/>
        </w:rPr>
        <w:t xml:space="preserve"> en debida forma</w:t>
      </w:r>
      <w:r w:rsidR="003362E0">
        <w:rPr>
          <w:rFonts w:ascii="Arial" w:eastAsia="Verdana" w:hAnsi="Arial" w:cs="Arial"/>
          <w:sz w:val="24"/>
          <w:szCs w:val="24"/>
        </w:rPr>
        <w:t xml:space="preserve"> a las partes.</w:t>
      </w:r>
    </w:p>
    <w:p w14:paraId="30F41383" w14:textId="31D3F64E" w:rsidR="006D5C77" w:rsidRPr="006D5C77" w:rsidRDefault="00836AA3" w:rsidP="000D7F37">
      <w:pPr>
        <w:spacing w:line="240" w:lineRule="auto"/>
        <w:contextualSpacing/>
        <w:jc w:val="both"/>
        <w:rPr>
          <w:rFonts w:ascii="Arial" w:eastAsia="Verdana" w:hAnsi="Arial" w:cs="Arial"/>
          <w:bCs/>
          <w:sz w:val="24"/>
          <w:szCs w:val="24"/>
        </w:rPr>
      </w:pPr>
      <w:r>
        <w:rPr>
          <w:rFonts w:ascii="Arial" w:eastAsia="Verdana" w:hAnsi="Arial" w:cs="Arial"/>
          <w:sz w:val="24"/>
          <w:szCs w:val="24"/>
        </w:rPr>
        <w:t xml:space="preserve"> </w:t>
      </w:r>
    </w:p>
    <w:p w14:paraId="30498B1B" w14:textId="3111B11E" w:rsidR="002A5DEA" w:rsidRDefault="002A5DEA" w:rsidP="000D7F37">
      <w:pPr>
        <w:spacing w:before="240" w:line="240" w:lineRule="auto"/>
        <w:jc w:val="both"/>
        <w:rPr>
          <w:rFonts w:ascii="Arial" w:eastAsia="Calibri" w:hAnsi="Arial" w:cs="Arial"/>
          <w:b/>
          <w:sz w:val="24"/>
          <w:szCs w:val="24"/>
          <w:lang w:val="es-ES"/>
        </w:rPr>
      </w:pPr>
      <w:r w:rsidRPr="002A5DEA">
        <w:rPr>
          <w:rFonts w:ascii="Arial" w:eastAsia="Calibri" w:hAnsi="Arial" w:cs="Arial"/>
          <w:b/>
          <w:sz w:val="24"/>
          <w:szCs w:val="24"/>
          <w:lang w:val="es-ES"/>
        </w:rPr>
        <w:t>1.</w:t>
      </w:r>
      <w:r w:rsidR="008E2067">
        <w:rPr>
          <w:rFonts w:ascii="Arial" w:eastAsia="Calibri" w:hAnsi="Arial" w:cs="Arial"/>
          <w:b/>
          <w:sz w:val="24"/>
          <w:szCs w:val="24"/>
          <w:lang w:val="es-ES"/>
        </w:rPr>
        <w:t>2</w:t>
      </w:r>
      <w:r w:rsidRPr="002A5DEA">
        <w:rPr>
          <w:rFonts w:ascii="Arial" w:eastAsia="Calibri" w:hAnsi="Arial" w:cs="Arial"/>
          <w:b/>
          <w:sz w:val="24"/>
          <w:szCs w:val="24"/>
          <w:lang w:val="es-ES"/>
        </w:rPr>
        <w:t>. Solicitud de nulidad</w:t>
      </w:r>
      <w:r w:rsidR="00706EB6">
        <w:rPr>
          <w:rFonts w:ascii="Arial" w:eastAsia="Calibri" w:hAnsi="Arial" w:cs="Arial"/>
          <w:b/>
          <w:sz w:val="24"/>
          <w:szCs w:val="24"/>
          <w:lang w:val="es-ES"/>
        </w:rPr>
        <w:t xml:space="preserve"> y trámite</w:t>
      </w:r>
    </w:p>
    <w:p w14:paraId="19862616" w14:textId="32D66A86" w:rsidR="00AB3478" w:rsidRDefault="00706EB6" w:rsidP="000D7F37">
      <w:pPr>
        <w:spacing w:before="240" w:line="240" w:lineRule="auto"/>
        <w:jc w:val="both"/>
        <w:rPr>
          <w:rFonts w:ascii="Arial" w:eastAsia="Calibri" w:hAnsi="Arial" w:cs="Arial"/>
          <w:sz w:val="24"/>
          <w:szCs w:val="24"/>
          <w:lang w:val="es-ES"/>
        </w:rPr>
      </w:pPr>
      <w:r>
        <w:rPr>
          <w:rFonts w:ascii="Arial" w:eastAsia="Calibri" w:hAnsi="Arial" w:cs="Arial"/>
          <w:sz w:val="24"/>
          <w:szCs w:val="24"/>
          <w:lang w:val="es-ES"/>
        </w:rPr>
        <w:t xml:space="preserve">1.2.1. </w:t>
      </w:r>
      <w:r w:rsidR="006B6C9D">
        <w:rPr>
          <w:rFonts w:ascii="Arial" w:eastAsia="Calibri" w:hAnsi="Arial" w:cs="Arial"/>
          <w:sz w:val="24"/>
          <w:szCs w:val="24"/>
          <w:lang w:val="es-ES"/>
        </w:rPr>
        <w:t>La Dirección Ejecutiva de Administración Judicial</w:t>
      </w:r>
      <w:r w:rsidR="00657187">
        <w:rPr>
          <w:rFonts w:ascii="Arial" w:eastAsia="Calibri" w:hAnsi="Arial" w:cs="Arial"/>
          <w:sz w:val="24"/>
          <w:szCs w:val="24"/>
          <w:lang w:val="es-ES"/>
        </w:rPr>
        <w:t xml:space="preserve"> </w:t>
      </w:r>
      <w:r w:rsidR="008E2067">
        <w:rPr>
          <w:rFonts w:ascii="Arial" w:eastAsia="Calibri" w:hAnsi="Arial" w:cs="Arial"/>
          <w:sz w:val="24"/>
          <w:szCs w:val="24"/>
          <w:lang w:val="es-ES"/>
        </w:rPr>
        <w:t>presentó escrito</w:t>
      </w:r>
      <w:r w:rsidR="003362E0">
        <w:rPr>
          <w:rFonts w:ascii="Arial" w:eastAsia="Calibri" w:hAnsi="Arial" w:cs="Arial"/>
          <w:sz w:val="24"/>
          <w:szCs w:val="24"/>
          <w:lang w:val="es-ES"/>
        </w:rPr>
        <w:t>, el 26 de septiembre de 2022,</w:t>
      </w:r>
      <w:r w:rsidR="008E2067">
        <w:rPr>
          <w:rFonts w:ascii="Arial" w:eastAsia="Calibri" w:hAnsi="Arial" w:cs="Arial"/>
          <w:sz w:val="24"/>
          <w:szCs w:val="24"/>
          <w:lang w:val="es-ES"/>
        </w:rPr>
        <w:t xml:space="preserve"> en el que </w:t>
      </w:r>
      <w:r w:rsidR="00657187">
        <w:rPr>
          <w:rFonts w:ascii="Arial" w:eastAsia="Calibri" w:hAnsi="Arial" w:cs="Arial"/>
          <w:sz w:val="24"/>
          <w:szCs w:val="24"/>
          <w:lang w:val="es-ES"/>
        </w:rPr>
        <w:t>afirmó que se configuró una nulidad</w:t>
      </w:r>
      <w:r w:rsidR="002C1A26">
        <w:rPr>
          <w:rFonts w:ascii="Arial" w:eastAsia="Calibri" w:hAnsi="Arial" w:cs="Arial"/>
          <w:sz w:val="24"/>
          <w:szCs w:val="24"/>
          <w:lang w:val="es-ES"/>
        </w:rPr>
        <w:t xml:space="preserve"> dentro del trámite de tutela</w:t>
      </w:r>
      <w:r w:rsidR="00657187">
        <w:rPr>
          <w:rFonts w:ascii="Arial" w:eastAsia="Calibri" w:hAnsi="Arial" w:cs="Arial"/>
          <w:sz w:val="24"/>
          <w:szCs w:val="24"/>
          <w:lang w:val="es-ES"/>
        </w:rPr>
        <w:t xml:space="preserve">, puesto que </w:t>
      </w:r>
      <w:r w:rsidR="002C1A26">
        <w:rPr>
          <w:rFonts w:ascii="Arial" w:eastAsia="Calibri" w:hAnsi="Arial" w:cs="Arial"/>
          <w:sz w:val="24"/>
          <w:szCs w:val="24"/>
          <w:lang w:val="es-ES"/>
        </w:rPr>
        <w:t>no se le notificó el auto</w:t>
      </w:r>
      <w:r w:rsidR="00F5224F">
        <w:rPr>
          <w:rFonts w:ascii="Arial" w:eastAsia="Calibri" w:hAnsi="Arial" w:cs="Arial"/>
          <w:sz w:val="24"/>
          <w:szCs w:val="24"/>
          <w:lang w:val="es-ES"/>
        </w:rPr>
        <w:t xml:space="preserve"> que admitió la acción del 30 de septiembre de 2021, y, en </w:t>
      </w:r>
      <w:r w:rsidR="002C1A26">
        <w:rPr>
          <w:rFonts w:ascii="Arial" w:eastAsia="Calibri" w:hAnsi="Arial" w:cs="Arial"/>
          <w:sz w:val="24"/>
          <w:szCs w:val="24"/>
          <w:lang w:val="es-ES"/>
        </w:rPr>
        <w:t xml:space="preserve">consecuencia, </w:t>
      </w:r>
      <w:r w:rsidR="00AB3478">
        <w:rPr>
          <w:rFonts w:ascii="Arial" w:eastAsia="Calibri" w:hAnsi="Arial" w:cs="Arial"/>
          <w:sz w:val="24"/>
          <w:szCs w:val="24"/>
          <w:lang w:val="es-ES"/>
        </w:rPr>
        <w:t xml:space="preserve">se le negó la oportunidad de intervenir en el proceso y </w:t>
      </w:r>
      <w:r w:rsidR="00B445C5">
        <w:rPr>
          <w:rFonts w:ascii="Arial" w:eastAsia="Calibri" w:hAnsi="Arial" w:cs="Arial"/>
          <w:sz w:val="24"/>
          <w:szCs w:val="24"/>
          <w:lang w:val="es-ES"/>
        </w:rPr>
        <w:t>de</w:t>
      </w:r>
      <w:r w:rsidR="00AB3478">
        <w:rPr>
          <w:rFonts w:ascii="Arial" w:eastAsia="Calibri" w:hAnsi="Arial" w:cs="Arial"/>
          <w:sz w:val="24"/>
          <w:szCs w:val="24"/>
          <w:lang w:val="es-ES"/>
        </w:rPr>
        <w:t xml:space="preserve"> ejercer su derecho de contradicción.</w:t>
      </w:r>
    </w:p>
    <w:p w14:paraId="5DDCFACA" w14:textId="77777777" w:rsidR="00B445C5" w:rsidRDefault="00B445C5" w:rsidP="000D7F37">
      <w:pPr>
        <w:spacing w:before="240" w:line="240" w:lineRule="auto"/>
        <w:jc w:val="both"/>
        <w:rPr>
          <w:rFonts w:ascii="Arial" w:eastAsia="Calibri" w:hAnsi="Arial" w:cs="Arial"/>
          <w:sz w:val="24"/>
          <w:szCs w:val="24"/>
          <w:lang w:val="es-ES"/>
        </w:rPr>
      </w:pPr>
      <w:r>
        <w:rPr>
          <w:rFonts w:ascii="Arial" w:eastAsia="Calibri" w:hAnsi="Arial" w:cs="Arial"/>
          <w:sz w:val="24"/>
          <w:szCs w:val="24"/>
          <w:lang w:val="es-ES"/>
        </w:rPr>
        <w:t>I</w:t>
      </w:r>
      <w:r w:rsidR="00AB3478">
        <w:rPr>
          <w:rFonts w:ascii="Arial" w:eastAsia="Calibri" w:hAnsi="Arial" w:cs="Arial"/>
          <w:sz w:val="24"/>
          <w:szCs w:val="24"/>
          <w:lang w:val="es-ES"/>
        </w:rPr>
        <w:t xml:space="preserve">ndicó que </w:t>
      </w:r>
      <w:r>
        <w:rPr>
          <w:rFonts w:ascii="Arial" w:eastAsia="Calibri" w:hAnsi="Arial" w:cs="Arial"/>
          <w:sz w:val="24"/>
          <w:szCs w:val="24"/>
          <w:lang w:val="es-ES"/>
        </w:rPr>
        <w:t xml:space="preserve">únicamente le fue notificado el auto del 5 de noviembre de 2021 que declaró fundado el impedimento del magistrado Guillermo Sánchez Luque y la sentencia del 19 de agosto de 2022 que amparó el derecho fundamental de petición que invocó como vulnerado el accionante. </w:t>
      </w:r>
    </w:p>
    <w:p w14:paraId="0C932B38" w14:textId="1E190402" w:rsidR="00155ABE" w:rsidRDefault="00B445C5" w:rsidP="000D7F37">
      <w:pPr>
        <w:spacing w:before="240" w:line="240" w:lineRule="auto"/>
        <w:jc w:val="both"/>
        <w:rPr>
          <w:rFonts w:ascii="Arial" w:hAnsi="Arial" w:cs="Arial"/>
          <w:iCs/>
          <w:sz w:val="24"/>
          <w:szCs w:val="24"/>
        </w:rPr>
      </w:pPr>
      <w:r>
        <w:rPr>
          <w:rFonts w:ascii="Arial" w:hAnsi="Arial" w:cs="Arial"/>
          <w:iCs/>
          <w:sz w:val="24"/>
          <w:szCs w:val="24"/>
        </w:rPr>
        <w:t>Manifestó</w:t>
      </w:r>
      <w:r w:rsidR="00493620">
        <w:rPr>
          <w:rFonts w:ascii="Arial" w:hAnsi="Arial" w:cs="Arial"/>
          <w:iCs/>
          <w:sz w:val="24"/>
          <w:szCs w:val="24"/>
        </w:rPr>
        <w:t xml:space="preserve"> que</w:t>
      </w:r>
      <w:r w:rsidR="003362E0">
        <w:rPr>
          <w:rFonts w:ascii="Arial" w:hAnsi="Arial" w:cs="Arial"/>
          <w:iCs/>
          <w:sz w:val="24"/>
          <w:szCs w:val="24"/>
        </w:rPr>
        <w:t xml:space="preserve">, en virtud de lo previsto en </w:t>
      </w:r>
      <w:r w:rsidR="00493620">
        <w:rPr>
          <w:rFonts w:ascii="Arial" w:hAnsi="Arial" w:cs="Arial"/>
          <w:iCs/>
          <w:sz w:val="24"/>
          <w:szCs w:val="24"/>
        </w:rPr>
        <w:t>el numeral 1 del artículo 290 del C</w:t>
      </w:r>
      <w:r w:rsidR="000345ED">
        <w:rPr>
          <w:rFonts w:ascii="Arial" w:hAnsi="Arial" w:cs="Arial"/>
          <w:iCs/>
          <w:sz w:val="24"/>
          <w:szCs w:val="24"/>
        </w:rPr>
        <w:t xml:space="preserve">ódigo </w:t>
      </w:r>
      <w:r w:rsidR="00493620">
        <w:rPr>
          <w:rFonts w:ascii="Arial" w:hAnsi="Arial" w:cs="Arial"/>
          <w:iCs/>
          <w:sz w:val="24"/>
          <w:szCs w:val="24"/>
        </w:rPr>
        <w:t>G</w:t>
      </w:r>
      <w:r w:rsidR="000345ED">
        <w:rPr>
          <w:rFonts w:ascii="Arial" w:hAnsi="Arial" w:cs="Arial"/>
          <w:iCs/>
          <w:sz w:val="24"/>
          <w:szCs w:val="24"/>
        </w:rPr>
        <w:t xml:space="preserve">eneral del </w:t>
      </w:r>
      <w:r w:rsidR="00493620">
        <w:rPr>
          <w:rFonts w:ascii="Arial" w:hAnsi="Arial" w:cs="Arial"/>
          <w:iCs/>
          <w:sz w:val="24"/>
          <w:szCs w:val="24"/>
        </w:rPr>
        <w:t>P</w:t>
      </w:r>
      <w:r w:rsidR="000345ED">
        <w:rPr>
          <w:rFonts w:ascii="Arial" w:hAnsi="Arial" w:cs="Arial"/>
          <w:iCs/>
          <w:sz w:val="24"/>
          <w:szCs w:val="24"/>
        </w:rPr>
        <w:t>roceso</w:t>
      </w:r>
      <w:r w:rsidR="00493620">
        <w:rPr>
          <w:rFonts w:ascii="Arial" w:hAnsi="Arial" w:cs="Arial"/>
          <w:iCs/>
          <w:sz w:val="24"/>
          <w:szCs w:val="24"/>
        </w:rPr>
        <w:t xml:space="preserve">, </w:t>
      </w:r>
      <w:r w:rsidR="00C604F8">
        <w:rPr>
          <w:rFonts w:ascii="Arial" w:hAnsi="Arial" w:cs="Arial"/>
          <w:iCs/>
          <w:sz w:val="24"/>
          <w:szCs w:val="24"/>
        </w:rPr>
        <w:t>se le debió notificar</w:t>
      </w:r>
      <w:r w:rsidR="00493620">
        <w:rPr>
          <w:rFonts w:ascii="Arial" w:hAnsi="Arial" w:cs="Arial"/>
          <w:iCs/>
          <w:sz w:val="24"/>
          <w:szCs w:val="24"/>
        </w:rPr>
        <w:t xml:space="preserve"> personalmente </w:t>
      </w:r>
      <w:r w:rsidR="00C604F8">
        <w:rPr>
          <w:rFonts w:ascii="Arial" w:hAnsi="Arial" w:cs="Arial"/>
          <w:iCs/>
          <w:sz w:val="24"/>
          <w:szCs w:val="24"/>
        </w:rPr>
        <w:t xml:space="preserve">el auto admisorio </w:t>
      </w:r>
      <w:r w:rsidR="00C129C9">
        <w:rPr>
          <w:rFonts w:ascii="Arial" w:hAnsi="Arial" w:cs="Arial"/>
          <w:iCs/>
          <w:sz w:val="24"/>
          <w:szCs w:val="24"/>
        </w:rPr>
        <w:t>a</w:t>
      </w:r>
      <w:r w:rsidR="000345ED">
        <w:rPr>
          <w:rFonts w:ascii="Arial" w:hAnsi="Arial" w:cs="Arial"/>
          <w:iCs/>
          <w:sz w:val="24"/>
          <w:szCs w:val="24"/>
        </w:rPr>
        <w:t xml:space="preserve"> la dirección electrónica </w:t>
      </w:r>
      <w:r w:rsidR="003362E0" w:rsidRPr="003362E0">
        <w:rPr>
          <w:rFonts w:ascii="Arial" w:hAnsi="Arial" w:cs="Arial"/>
          <w:b/>
          <w:bCs/>
          <w:iCs/>
          <w:sz w:val="24"/>
          <w:szCs w:val="24"/>
        </w:rPr>
        <w:t>deajnotif@deaj.ramajudicial.gov.co</w:t>
      </w:r>
      <w:r w:rsidR="003362E0">
        <w:rPr>
          <w:rFonts w:ascii="Arial" w:hAnsi="Arial" w:cs="Arial"/>
          <w:b/>
          <w:bCs/>
          <w:iCs/>
          <w:sz w:val="24"/>
          <w:szCs w:val="24"/>
        </w:rPr>
        <w:t xml:space="preserve">. </w:t>
      </w:r>
      <w:r w:rsidR="003362E0">
        <w:rPr>
          <w:rFonts w:ascii="Arial" w:hAnsi="Arial" w:cs="Arial"/>
          <w:iCs/>
          <w:sz w:val="24"/>
          <w:szCs w:val="24"/>
        </w:rPr>
        <w:t>Además, a</w:t>
      </w:r>
      <w:r w:rsidR="00C129C9">
        <w:rPr>
          <w:rFonts w:ascii="Arial" w:hAnsi="Arial" w:cs="Arial"/>
          <w:iCs/>
          <w:sz w:val="24"/>
          <w:szCs w:val="24"/>
        </w:rPr>
        <w:t xml:space="preserve">dvirtió que </w:t>
      </w:r>
      <w:r w:rsidR="00155ABE">
        <w:rPr>
          <w:rFonts w:ascii="Arial" w:hAnsi="Arial" w:cs="Arial"/>
          <w:iCs/>
          <w:sz w:val="24"/>
          <w:szCs w:val="24"/>
        </w:rPr>
        <w:t xml:space="preserve">una vez </w:t>
      </w:r>
      <w:r w:rsidR="000345ED">
        <w:rPr>
          <w:rFonts w:ascii="Arial" w:hAnsi="Arial" w:cs="Arial"/>
          <w:iCs/>
          <w:sz w:val="24"/>
          <w:szCs w:val="24"/>
        </w:rPr>
        <w:t>revisó</w:t>
      </w:r>
      <w:r w:rsidR="00155ABE">
        <w:rPr>
          <w:rFonts w:ascii="Arial" w:hAnsi="Arial" w:cs="Arial"/>
          <w:iCs/>
          <w:sz w:val="24"/>
          <w:szCs w:val="24"/>
        </w:rPr>
        <w:t xml:space="preserve"> la bandeja </w:t>
      </w:r>
      <w:r w:rsidR="000345ED">
        <w:rPr>
          <w:rFonts w:ascii="Arial" w:hAnsi="Arial" w:cs="Arial"/>
          <w:iCs/>
          <w:sz w:val="24"/>
          <w:szCs w:val="24"/>
        </w:rPr>
        <w:t>de</w:t>
      </w:r>
      <w:r w:rsidR="00155ABE">
        <w:rPr>
          <w:rFonts w:ascii="Arial" w:hAnsi="Arial" w:cs="Arial"/>
          <w:iCs/>
          <w:sz w:val="24"/>
          <w:szCs w:val="24"/>
        </w:rPr>
        <w:t xml:space="preserve"> entrada </w:t>
      </w:r>
      <w:r w:rsidR="000345ED">
        <w:rPr>
          <w:rFonts w:ascii="Arial" w:hAnsi="Arial" w:cs="Arial"/>
          <w:iCs/>
          <w:sz w:val="24"/>
          <w:szCs w:val="24"/>
        </w:rPr>
        <w:t xml:space="preserve">del dicho correo, </w:t>
      </w:r>
      <w:r w:rsidR="00155ABE">
        <w:rPr>
          <w:rFonts w:ascii="Arial" w:hAnsi="Arial" w:cs="Arial"/>
          <w:iCs/>
          <w:sz w:val="24"/>
          <w:szCs w:val="24"/>
        </w:rPr>
        <w:t xml:space="preserve">no encontró </w:t>
      </w:r>
      <w:r w:rsidR="000345ED">
        <w:rPr>
          <w:rFonts w:ascii="Arial" w:hAnsi="Arial" w:cs="Arial"/>
          <w:iCs/>
          <w:sz w:val="24"/>
          <w:szCs w:val="24"/>
        </w:rPr>
        <w:t>algún</w:t>
      </w:r>
      <w:r w:rsidR="00155ABE">
        <w:rPr>
          <w:rFonts w:ascii="Arial" w:hAnsi="Arial" w:cs="Arial"/>
          <w:iCs/>
          <w:sz w:val="24"/>
          <w:szCs w:val="24"/>
        </w:rPr>
        <w:t xml:space="preserve"> mensaje en el que se </w:t>
      </w:r>
      <w:r w:rsidR="000345ED">
        <w:rPr>
          <w:rFonts w:ascii="Arial" w:hAnsi="Arial" w:cs="Arial"/>
          <w:iCs/>
          <w:sz w:val="24"/>
          <w:szCs w:val="24"/>
        </w:rPr>
        <w:t xml:space="preserve">le </w:t>
      </w:r>
      <w:r w:rsidR="00155ABE">
        <w:rPr>
          <w:rFonts w:ascii="Arial" w:hAnsi="Arial" w:cs="Arial"/>
          <w:iCs/>
          <w:sz w:val="24"/>
          <w:szCs w:val="24"/>
        </w:rPr>
        <w:t xml:space="preserve">haya remitido </w:t>
      </w:r>
      <w:r w:rsidR="000345ED">
        <w:rPr>
          <w:rFonts w:ascii="Arial" w:hAnsi="Arial" w:cs="Arial"/>
          <w:iCs/>
          <w:sz w:val="24"/>
          <w:szCs w:val="24"/>
        </w:rPr>
        <w:t xml:space="preserve">la providencia </w:t>
      </w:r>
      <w:r w:rsidR="00F5224F">
        <w:rPr>
          <w:rFonts w:ascii="Arial" w:hAnsi="Arial" w:cs="Arial"/>
          <w:iCs/>
          <w:sz w:val="24"/>
          <w:szCs w:val="24"/>
        </w:rPr>
        <w:t xml:space="preserve">admisoria </w:t>
      </w:r>
      <w:r w:rsidR="000345ED">
        <w:rPr>
          <w:rFonts w:ascii="Arial" w:hAnsi="Arial" w:cs="Arial"/>
          <w:iCs/>
          <w:sz w:val="24"/>
          <w:szCs w:val="24"/>
        </w:rPr>
        <w:t>y</w:t>
      </w:r>
      <w:r w:rsidR="00155ABE">
        <w:rPr>
          <w:rFonts w:ascii="Arial" w:hAnsi="Arial" w:cs="Arial"/>
          <w:iCs/>
          <w:sz w:val="24"/>
          <w:szCs w:val="24"/>
        </w:rPr>
        <w:t xml:space="preserve"> el escrito</w:t>
      </w:r>
      <w:r w:rsidR="000345ED">
        <w:rPr>
          <w:rFonts w:ascii="Arial" w:hAnsi="Arial" w:cs="Arial"/>
          <w:iCs/>
          <w:sz w:val="24"/>
          <w:szCs w:val="24"/>
        </w:rPr>
        <w:t xml:space="preserve"> de</w:t>
      </w:r>
      <w:r w:rsidR="00F5224F">
        <w:rPr>
          <w:rFonts w:ascii="Arial" w:hAnsi="Arial" w:cs="Arial"/>
          <w:iCs/>
          <w:sz w:val="24"/>
          <w:szCs w:val="24"/>
        </w:rPr>
        <w:t xml:space="preserve"> tutela. </w:t>
      </w:r>
    </w:p>
    <w:p w14:paraId="234FAABF" w14:textId="23244C6A" w:rsidR="00360C82" w:rsidRDefault="00706EB6" w:rsidP="000D7F37">
      <w:pPr>
        <w:spacing w:before="240" w:line="240" w:lineRule="auto"/>
        <w:jc w:val="both"/>
        <w:rPr>
          <w:rFonts w:ascii="Arial" w:hAnsi="Arial" w:cs="Arial"/>
          <w:iCs/>
          <w:sz w:val="24"/>
          <w:szCs w:val="24"/>
        </w:rPr>
      </w:pPr>
      <w:r>
        <w:rPr>
          <w:rFonts w:ascii="Arial" w:hAnsi="Arial" w:cs="Arial"/>
          <w:iCs/>
          <w:sz w:val="24"/>
          <w:szCs w:val="24"/>
        </w:rPr>
        <w:lastRenderedPageBreak/>
        <w:t>Por último</w:t>
      </w:r>
      <w:r w:rsidR="00D405A2">
        <w:rPr>
          <w:rFonts w:ascii="Arial" w:hAnsi="Arial" w:cs="Arial"/>
          <w:iCs/>
          <w:sz w:val="24"/>
          <w:szCs w:val="24"/>
        </w:rPr>
        <w:t>, la entidad accionada solicitó</w:t>
      </w:r>
      <w:r>
        <w:rPr>
          <w:rFonts w:ascii="Arial" w:hAnsi="Arial" w:cs="Arial"/>
          <w:iCs/>
          <w:sz w:val="24"/>
          <w:szCs w:val="24"/>
        </w:rPr>
        <w:t>,</w:t>
      </w:r>
      <w:r w:rsidR="00D405A2">
        <w:rPr>
          <w:rFonts w:ascii="Arial" w:hAnsi="Arial" w:cs="Arial"/>
          <w:iCs/>
          <w:sz w:val="24"/>
          <w:szCs w:val="24"/>
        </w:rPr>
        <w:t xml:space="preserve"> como medida provi</w:t>
      </w:r>
      <w:r w:rsidR="00096F0A">
        <w:rPr>
          <w:rFonts w:ascii="Arial" w:hAnsi="Arial" w:cs="Arial"/>
          <w:iCs/>
          <w:sz w:val="24"/>
          <w:szCs w:val="24"/>
        </w:rPr>
        <w:t>s</w:t>
      </w:r>
      <w:r w:rsidR="00D405A2">
        <w:rPr>
          <w:rFonts w:ascii="Arial" w:hAnsi="Arial" w:cs="Arial"/>
          <w:iCs/>
          <w:sz w:val="24"/>
          <w:szCs w:val="24"/>
        </w:rPr>
        <w:t>ional</w:t>
      </w:r>
      <w:r>
        <w:rPr>
          <w:rFonts w:ascii="Arial" w:hAnsi="Arial" w:cs="Arial"/>
          <w:iCs/>
          <w:sz w:val="24"/>
          <w:szCs w:val="24"/>
        </w:rPr>
        <w:t>,</w:t>
      </w:r>
      <w:r w:rsidR="00096F0A">
        <w:rPr>
          <w:rFonts w:ascii="Arial" w:hAnsi="Arial" w:cs="Arial"/>
          <w:iCs/>
          <w:sz w:val="24"/>
          <w:szCs w:val="24"/>
        </w:rPr>
        <w:t xml:space="preserve"> la suspensión de los efectos de la sentencia </w:t>
      </w:r>
      <w:r>
        <w:rPr>
          <w:rFonts w:ascii="Arial" w:hAnsi="Arial" w:cs="Arial"/>
          <w:iCs/>
          <w:sz w:val="24"/>
          <w:szCs w:val="24"/>
        </w:rPr>
        <w:t>d</w:t>
      </w:r>
      <w:r w:rsidR="00096F0A">
        <w:rPr>
          <w:rFonts w:ascii="Arial" w:hAnsi="Arial" w:cs="Arial"/>
          <w:iCs/>
          <w:sz w:val="24"/>
          <w:szCs w:val="24"/>
        </w:rPr>
        <w:t>el 19 de agosto de 2022, toda vez que se avizoraba la violación de los derechos de defensa y contradicción.</w:t>
      </w:r>
    </w:p>
    <w:p w14:paraId="643BAA3E" w14:textId="5DCE70E9" w:rsidR="000C6990" w:rsidRPr="009103E5" w:rsidRDefault="008F0279" w:rsidP="000D7F37">
      <w:pPr>
        <w:widowControl w:val="0"/>
        <w:spacing w:before="240" w:line="240" w:lineRule="auto"/>
        <w:jc w:val="both"/>
        <w:rPr>
          <w:rFonts w:ascii="Arial" w:eastAsia="Calibri" w:hAnsi="Arial" w:cs="Arial"/>
          <w:sz w:val="24"/>
          <w:szCs w:val="24"/>
        </w:rPr>
      </w:pPr>
      <w:r>
        <w:rPr>
          <w:rFonts w:ascii="Arial" w:eastAsia="Calibri" w:hAnsi="Arial" w:cs="Arial"/>
          <w:sz w:val="24"/>
          <w:szCs w:val="24"/>
        </w:rPr>
        <w:t xml:space="preserve">1.2.2. </w:t>
      </w:r>
      <w:r w:rsidR="009103E5">
        <w:rPr>
          <w:rFonts w:ascii="Arial" w:eastAsia="Calibri" w:hAnsi="Arial" w:cs="Arial"/>
          <w:sz w:val="24"/>
          <w:szCs w:val="24"/>
        </w:rPr>
        <w:t xml:space="preserve">La </w:t>
      </w:r>
      <w:r w:rsidR="00792405">
        <w:rPr>
          <w:rFonts w:ascii="Arial" w:eastAsia="Calibri" w:hAnsi="Arial" w:cs="Arial"/>
          <w:sz w:val="24"/>
          <w:szCs w:val="24"/>
        </w:rPr>
        <w:t>Secretaría</w:t>
      </w:r>
      <w:r w:rsidR="009103E5">
        <w:rPr>
          <w:rFonts w:ascii="Arial" w:eastAsia="Calibri" w:hAnsi="Arial" w:cs="Arial"/>
          <w:sz w:val="24"/>
          <w:szCs w:val="24"/>
        </w:rPr>
        <w:t xml:space="preserve"> General del Consejo de Estado</w:t>
      </w:r>
      <w:r w:rsidR="00792405">
        <w:rPr>
          <w:rFonts w:ascii="Arial" w:eastAsia="Calibri" w:hAnsi="Arial" w:cs="Arial"/>
          <w:sz w:val="24"/>
          <w:szCs w:val="24"/>
        </w:rPr>
        <w:t xml:space="preserve"> realizó la fijación en lista</w:t>
      </w:r>
      <w:r w:rsidR="00706EB6">
        <w:rPr>
          <w:rFonts w:ascii="Arial" w:eastAsia="Calibri" w:hAnsi="Arial" w:cs="Arial"/>
          <w:sz w:val="24"/>
          <w:szCs w:val="24"/>
        </w:rPr>
        <w:t xml:space="preserve"> del escrito de nulidad</w:t>
      </w:r>
      <w:r w:rsidR="00792405">
        <w:rPr>
          <w:rFonts w:ascii="Arial" w:eastAsia="Calibri" w:hAnsi="Arial" w:cs="Arial"/>
          <w:sz w:val="24"/>
          <w:szCs w:val="24"/>
        </w:rPr>
        <w:t>, el 2</w:t>
      </w:r>
      <w:r w:rsidR="0045702F">
        <w:rPr>
          <w:rFonts w:ascii="Arial" w:eastAsia="Calibri" w:hAnsi="Arial" w:cs="Arial"/>
          <w:sz w:val="24"/>
          <w:szCs w:val="24"/>
        </w:rPr>
        <w:t>9</w:t>
      </w:r>
      <w:r w:rsidR="00792405">
        <w:rPr>
          <w:rFonts w:ascii="Arial" w:eastAsia="Calibri" w:hAnsi="Arial" w:cs="Arial"/>
          <w:sz w:val="24"/>
          <w:szCs w:val="24"/>
        </w:rPr>
        <w:t xml:space="preserve"> de septiembre del año en curso, por el término de tres días</w:t>
      </w:r>
      <w:r w:rsidR="000C6990">
        <w:rPr>
          <w:rStyle w:val="Refdenotaalpie"/>
          <w:rFonts w:ascii="Arial" w:eastAsia="Calibri" w:hAnsi="Arial" w:cs="Arial"/>
          <w:sz w:val="24"/>
          <w:szCs w:val="24"/>
        </w:rPr>
        <w:footnoteReference w:id="3"/>
      </w:r>
      <w:r w:rsidR="000C6990">
        <w:rPr>
          <w:rFonts w:ascii="Arial" w:eastAsia="Calibri" w:hAnsi="Arial" w:cs="Arial"/>
          <w:sz w:val="24"/>
          <w:szCs w:val="24"/>
        </w:rPr>
        <w:t xml:space="preserve">. Cumplido </w:t>
      </w:r>
      <w:r>
        <w:rPr>
          <w:rFonts w:ascii="Arial" w:eastAsia="Calibri" w:hAnsi="Arial" w:cs="Arial"/>
          <w:sz w:val="24"/>
          <w:szCs w:val="24"/>
        </w:rPr>
        <w:t>este plazo</w:t>
      </w:r>
      <w:r w:rsidR="000C6990">
        <w:rPr>
          <w:rFonts w:ascii="Arial" w:eastAsia="Calibri" w:hAnsi="Arial" w:cs="Arial"/>
          <w:sz w:val="24"/>
          <w:szCs w:val="24"/>
        </w:rPr>
        <w:t xml:space="preserve">, el expediente </w:t>
      </w:r>
      <w:r w:rsidR="003362E0">
        <w:rPr>
          <w:rFonts w:ascii="Arial" w:eastAsia="Calibri" w:hAnsi="Arial" w:cs="Arial"/>
          <w:sz w:val="24"/>
          <w:szCs w:val="24"/>
        </w:rPr>
        <w:t xml:space="preserve">pasó </w:t>
      </w:r>
      <w:r w:rsidR="000C6990">
        <w:rPr>
          <w:rFonts w:ascii="Arial" w:eastAsia="Calibri" w:hAnsi="Arial" w:cs="Arial"/>
          <w:sz w:val="24"/>
          <w:szCs w:val="24"/>
        </w:rPr>
        <w:t xml:space="preserve">al despacho, el </w:t>
      </w:r>
      <w:r w:rsidR="0045702F">
        <w:rPr>
          <w:rFonts w:ascii="Arial" w:eastAsia="Calibri" w:hAnsi="Arial" w:cs="Arial"/>
          <w:sz w:val="24"/>
          <w:szCs w:val="24"/>
        </w:rPr>
        <w:t>6 de octubre</w:t>
      </w:r>
      <w:r w:rsidR="000C6990">
        <w:rPr>
          <w:rFonts w:ascii="Arial" w:eastAsia="Calibri" w:hAnsi="Arial" w:cs="Arial"/>
          <w:sz w:val="24"/>
          <w:szCs w:val="24"/>
        </w:rPr>
        <w:t xml:space="preserve"> siguiente, para </w:t>
      </w:r>
      <w:r w:rsidR="002B7FF5">
        <w:rPr>
          <w:rFonts w:ascii="Arial" w:eastAsia="Calibri" w:hAnsi="Arial" w:cs="Arial"/>
          <w:sz w:val="24"/>
          <w:szCs w:val="24"/>
        </w:rPr>
        <w:t>resolver lo pertinente</w:t>
      </w:r>
      <w:r w:rsidR="000C6990">
        <w:rPr>
          <w:rStyle w:val="Refdenotaalpie"/>
          <w:rFonts w:ascii="Arial" w:eastAsia="Calibri" w:hAnsi="Arial" w:cs="Arial"/>
          <w:sz w:val="24"/>
          <w:szCs w:val="24"/>
        </w:rPr>
        <w:footnoteReference w:id="4"/>
      </w:r>
      <w:r w:rsidR="000C6990">
        <w:rPr>
          <w:rFonts w:ascii="Arial" w:eastAsia="Calibri" w:hAnsi="Arial" w:cs="Arial"/>
          <w:sz w:val="24"/>
          <w:szCs w:val="24"/>
        </w:rPr>
        <w:t>.</w:t>
      </w:r>
    </w:p>
    <w:p w14:paraId="5FFF09E0" w14:textId="77777777" w:rsidR="002A5DEA" w:rsidRDefault="002A5DEA" w:rsidP="000D7F37">
      <w:pPr>
        <w:widowControl w:val="0"/>
        <w:spacing w:before="240" w:line="240" w:lineRule="auto"/>
        <w:jc w:val="center"/>
        <w:rPr>
          <w:rFonts w:ascii="Arial" w:eastAsia="Calibri" w:hAnsi="Arial" w:cs="Arial"/>
          <w:b/>
          <w:sz w:val="24"/>
          <w:szCs w:val="24"/>
          <w:lang w:val="es-ES"/>
        </w:rPr>
      </w:pPr>
      <w:r>
        <w:rPr>
          <w:rFonts w:ascii="Arial" w:eastAsia="Calibri" w:hAnsi="Arial" w:cs="Arial"/>
          <w:b/>
          <w:sz w:val="24"/>
          <w:szCs w:val="24"/>
          <w:lang w:val="es-ES"/>
        </w:rPr>
        <w:tab/>
        <w:t>II. CONSIDERACIONES</w:t>
      </w:r>
    </w:p>
    <w:p w14:paraId="09C186D5" w14:textId="2162350C" w:rsidR="00DA7EB6" w:rsidRPr="00DA7EB6" w:rsidRDefault="00DA7EB6" w:rsidP="000D7F37">
      <w:pPr>
        <w:widowControl w:val="0"/>
        <w:spacing w:before="240" w:line="240" w:lineRule="auto"/>
        <w:jc w:val="both"/>
        <w:rPr>
          <w:rFonts w:ascii="Arial" w:eastAsia="Calibri" w:hAnsi="Arial" w:cs="Arial"/>
          <w:b/>
          <w:bCs/>
          <w:sz w:val="24"/>
          <w:szCs w:val="24"/>
        </w:rPr>
      </w:pPr>
      <w:r>
        <w:rPr>
          <w:rFonts w:ascii="Arial" w:eastAsia="Calibri" w:hAnsi="Arial" w:cs="Arial"/>
          <w:b/>
          <w:bCs/>
          <w:sz w:val="24"/>
          <w:szCs w:val="24"/>
        </w:rPr>
        <w:t>2.1. De la nulidad</w:t>
      </w:r>
    </w:p>
    <w:p w14:paraId="3E383235" w14:textId="41C9C6D8" w:rsidR="00204DB3" w:rsidRDefault="002A5DEA" w:rsidP="000D7F37">
      <w:pPr>
        <w:widowControl w:val="0"/>
        <w:spacing w:before="240" w:line="240" w:lineRule="auto"/>
        <w:jc w:val="both"/>
        <w:rPr>
          <w:rFonts w:ascii="Arial" w:eastAsia="Calibri" w:hAnsi="Arial" w:cs="Arial"/>
          <w:sz w:val="24"/>
          <w:szCs w:val="24"/>
        </w:rPr>
      </w:pPr>
      <w:r>
        <w:rPr>
          <w:rFonts w:ascii="Arial" w:eastAsia="Calibri" w:hAnsi="Arial" w:cs="Arial"/>
          <w:sz w:val="24"/>
          <w:szCs w:val="24"/>
        </w:rPr>
        <w:t>2.1.</w:t>
      </w:r>
      <w:r w:rsidR="00DA7EB6">
        <w:rPr>
          <w:rFonts w:ascii="Arial" w:eastAsia="Calibri" w:hAnsi="Arial" w:cs="Arial"/>
          <w:sz w:val="24"/>
          <w:szCs w:val="24"/>
        </w:rPr>
        <w:t>1.</w:t>
      </w:r>
      <w:r>
        <w:rPr>
          <w:rFonts w:ascii="Arial" w:eastAsia="Calibri" w:hAnsi="Arial" w:cs="Arial"/>
          <w:sz w:val="24"/>
          <w:szCs w:val="24"/>
        </w:rPr>
        <w:t xml:space="preserve"> El artículo 86 superior</w:t>
      </w:r>
      <w:r w:rsidRPr="007754C9">
        <w:rPr>
          <w:rFonts w:ascii="Arial" w:eastAsia="Calibri" w:hAnsi="Arial" w:cs="Arial"/>
          <w:sz w:val="24"/>
          <w:szCs w:val="24"/>
        </w:rPr>
        <w:t xml:space="preserve"> y el Decreto 2591 de 1991 no </w:t>
      </w:r>
      <w:r>
        <w:rPr>
          <w:rFonts w:ascii="Arial" w:eastAsia="Calibri" w:hAnsi="Arial" w:cs="Arial"/>
          <w:sz w:val="24"/>
          <w:szCs w:val="24"/>
        </w:rPr>
        <w:t>establecen</w:t>
      </w:r>
      <w:r w:rsidRPr="007754C9">
        <w:rPr>
          <w:rFonts w:ascii="Arial" w:eastAsia="Calibri" w:hAnsi="Arial" w:cs="Arial"/>
          <w:sz w:val="24"/>
          <w:szCs w:val="24"/>
        </w:rPr>
        <w:t xml:space="preserve"> causas de nulidad procesal o el procedimiento para solicitarlas o declararlas</w:t>
      </w:r>
      <w:r>
        <w:rPr>
          <w:rFonts w:ascii="Arial" w:eastAsia="Calibri" w:hAnsi="Arial" w:cs="Arial"/>
          <w:sz w:val="24"/>
          <w:szCs w:val="24"/>
        </w:rPr>
        <w:t xml:space="preserve"> en </w:t>
      </w:r>
      <w:r w:rsidR="00204DB3">
        <w:rPr>
          <w:rFonts w:ascii="Arial" w:eastAsia="Calibri" w:hAnsi="Arial" w:cs="Arial"/>
          <w:sz w:val="24"/>
          <w:szCs w:val="24"/>
        </w:rPr>
        <w:t>asuntos</w:t>
      </w:r>
      <w:r>
        <w:rPr>
          <w:rFonts w:ascii="Arial" w:eastAsia="Calibri" w:hAnsi="Arial" w:cs="Arial"/>
          <w:sz w:val="24"/>
          <w:szCs w:val="24"/>
        </w:rPr>
        <w:t xml:space="preserve"> de tutela</w:t>
      </w:r>
      <w:r w:rsidRPr="007754C9">
        <w:rPr>
          <w:rFonts w:ascii="Arial" w:eastAsia="Calibri" w:hAnsi="Arial" w:cs="Arial"/>
          <w:sz w:val="24"/>
          <w:szCs w:val="24"/>
        </w:rPr>
        <w:t xml:space="preserve">. </w:t>
      </w:r>
      <w:r>
        <w:rPr>
          <w:rFonts w:ascii="Arial" w:eastAsia="Calibri" w:hAnsi="Arial" w:cs="Arial"/>
          <w:sz w:val="24"/>
          <w:szCs w:val="24"/>
        </w:rPr>
        <w:t>No obstante</w:t>
      </w:r>
      <w:r w:rsidRPr="007754C9">
        <w:rPr>
          <w:rFonts w:ascii="Arial" w:eastAsia="Calibri" w:hAnsi="Arial" w:cs="Arial"/>
          <w:sz w:val="24"/>
          <w:szCs w:val="24"/>
        </w:rPr>
        <w:t xml:space="preserve">, la jurisprudencia constitucional ha </w:t>
      </w:r>
      <w:r>
        <w:rPr>
          <w:rFonts w:ascii="Arial" w:eastAsia="Calibri" w:hAnsi="Arial" w:cs="Arial"/>
          <w:sz w:val="24"/>
          <w:szCs w:val="24"/>
        </w:rPr>
        <w:t>definido</w:t>
      </w:r>
      <w:r w:rsidRPr="007754C9">
        <w:rPr>
          <w:rFonts w:ascii="Arial" w:eastAsia="Calibri" w:hAnsi="Arial" w:cs="Arial"/>
          <w:sz w:val="24"/>
          <w:szCs w:val="24"/>
        </w:rPr>
        <w:t xml:space="preserve"> que </w:t>
      </w:r>
      <w:r>
        <w:rPr>
          <w:rFonts w:ascii="Arial" w:eastAsia="Calibri" w:hAnsi="Arial" w:cs="Arial"/>
          <w:sz w:val="24"/>
          <w:szCs w:val="24"/>
        </w:rPr>
        <w:t>eso no significa que</w:t>
      </w:r>
      <w:r w:rsidRPr="007754C9">
        <w:rPr>
          <w:rFonts w:ascii="Arial" w:eastAsia="Calibri" w:hAnsi="Arial" w:cs="Arial"/>
          <w:sz w:val="24"/>
          <w:szCs w:val="24"/>
        </w:rPr>
        <w:t xml:space="preserve"> en el trámite de la solicitud de amparo </w:t>
      </w:r>
      <w:r>
        <w:rPr>
          <w:rFonts w:ascii="Arial" w:eastAsia="Calibri" w:hAnsi="Arial" w:cs="Arial"/>
          <w:sz w:val="24"/>
          <w:szCs w:val="24"/>
        </w:rPr>
        <w:t>no se pueda</w:t>
      </w:r>
      <w:r w:rsidRPr="007754C9">
        <w:rPr>
          <w:rFonts w:ascii="Arial" w:eastAsia="Calibri" w:hAnsi="Arial" w:cs="Arial"/>
          <w:sz w:val="24"/>
          <w:szCs w:val="24"/>
        </w:rPr>
        <w:t>n configurar irregularidades o vicios que afecten su validez y, por</w:t>
      </w:r>
      <w:r w:rsidR="008F0279">
        <w:rPr>
          <w:rFonts w:ascii="Arial" w:eastAsia="Calibri" w:hAnsi="Arial" w:cs="Arial"/>
          <w:sz w:val="24"/>
          <w:szCs w:val="24"/>
        </w:rPr>
        <w:t xml:space="preserve"> lo</w:t>
      </w:r>
      <w:r w:rsidRPr="007754C9">
        <w:rPr>
          <w:rFonts w:ascii="Arial" w:eastAsia="Calibri" w:hAnsi="Arial" w:cs="Arial"/>
          <w:sz w:val="24"/>
          <w:szCs w:val="24"/>
        </w:rPr>
        <w:t xml:space="preserve"> tanto, impliquen un desconocimiento de las garantías del debido proceso de los sujetos que intervienen</w:t>
      </w:r>
      <w:r w:rsidRPr="007754C9">
        <w:rPr>
          <w:rFonts w:ascii="Arial" w:eastAsia="Calibri" w:hAnsi="Arial" w:cs="Arial"/>
          <w:sz w:val="24"/>
          <w:szCs w:val="24"/>
          <w:vertAlign w:val="superscript"/>
        </w:rPr>
        <w:footnoteReference w:id="5"/>
      </w:r>
      <w:r w:rsidRPr="007754C9">
        <w:rPr>
          <w:rFonts w:ascii="Arial" w:eastAsia="Calibri" w:hAnsi="Arial" w:cs="Arial"/>
          <w:sz w:val="24"/>
          <w:szCs w:val="24"/>
        </w:rPr>
        <w:t xml:space="preserve">. </w:t>
      </w:r>
    </w:p>
    <w:p w14:paraId="562AD228" w14:textId="39B3175A" w:rsidR="002A5DEA" w:rsidRPr="007754C9" w:rsidRDefault="002A5DEA" w:rsidP="000D7F37">
      <w:pPr>
        <w:widowControl w:val="0"/>
        <w:spacing w:before="240" w:line="240" w:lineRule="auto"/>
        <w:jc w:val="both"/>
        <w:rPr>
          <w:rFonts w:ascii="Arial" w:eastAsia="Calibri" w:hAnsi="Arial" w:cs="Arial"/>
          <w:sz w:val="24"/>
          <w:szCs w:val="24"/>
        </w:rPr>
      </w:pPr>
      <w:r w:rsidRPr="007754C9">
        <w:rPr>
          <w:rFonts w:ascii="Arial" w:eastAsia="Calibri" w:hAnsi="Arial" w:cs="Arial"/>
          <w:sz w:val="24"/>
          <w:szCs w:val="24"/>
        </w:rPr>
        <w:t>De esta manera, ha señalado que</w:t>
      </w:r>
      <w:r w:rsidR="00204DB3">
        <w:rPr>
          <w:rFonts w:ascii="Arial" w:eastAsia="Calibri" w:hAnsi="Arial" w:cs="Arial"/>
          <w:sz w:val="24"/>
          <w:szCs w:val="24"/>
        </w:rPr>
        <w:t>,</w:t>
      </w:r>
      <w:r w:rsidRPr="007754C9">
        <w:rPr>
          <w:rFonts w:ascii="Arial" w:eastAsia="Calibri" w:hAnsi="Arial" w:cs="Arial"/>
          <w:sz w:val="24"/>
          <w:szCs w:val="24"/>
        </w:rPr>
        <w:t xml:space="preserve"> por analogía, </w:t>
      </w:r>
      <w:r>
        <w:rPr>
          <w:rFonts w:ascii="Arial" w:eastAsia="Calibri" w:hAnsi="Arial" w:cs="Arial"/>
          <w:sz w:val="24"/>
          <w:szCs w:val="24"/>
        </w:rPr>
        <w:t>se pueden aplicar las</w:t>
      </w:r>
      <w:r w:rsidRPr="007754C9">
        <w:rPr>
          <w:rFonts w:ascii="Arial" w:eastAsia="Calibri" w:hAnsi="Arial" w:cs="Arial"/>
          <w:sz w:val="24"/>
          <w:szCs w:val="24"/>
        </w:rPr>
        <w:t xml:space="preserve"> causales de nulidad </w:t>
      </w:r>
      <w:r>
        <w:rPr>
          <w:rFonts w:ascii="Arial" w:eastAsia="Calibri" w:hAnsi="Arial" w:cs="Arial"/>
          <w:sz w:val="24"/>
          <w:szCs w:val="24"/>
        </w:rPr>
        <w:t>dispuestas</w:t>
      </w:r>
      <w:r w:rsidRPr="007754C9">
        <w:rPr>
          <w:rFonts w:ascii="Arial" w:eastAsia="Calibri" w:hAnsi="Arial" w:cs="Arial"/>
          <w:sz w:val="24"/>
          <w:szCs w:val="24"/>
        </w:rPr>
        <w:t xml:space="preserve"> en el artículo 133 del Código General del Proceso, siempre que no </w:t>
      </w:r>
      <w:r>
        <w:rPr>
          <w:rFonts w:ascii="Arial" w:eastAsia="Calibri" w:hAnsi="Arial" w:cs="Arial"/>
          <w:sz w:val="24"/>
          <w:szCs w:val="24"/>
        </w:rPr>
        <w:t>sean</w:t>
      </w:r>
      <w:r w:rsidRPr="007754C9">
        <w:rPr>
          <w:rFonts w:ascii="Arial" w:eastAsia="Calibri" w:hAnsi="Arial" w:cs="Arial"/>
          <w:sz w:val="24"/>
          <w:szCs w:val="24"/>
        </w:rPr>
        <w:t xml:space="preserve"> contrarias a los principios de celeridad y eficacia que caracterizan </w:t>
      </w:r>
      <w:r>
        <w:rPr>
          <w:rFonts w:ascii="Arial" w:eastAsia="Calibri" w:hAnsi="Arial" w:cs="Arial"/>
          <w:sz w:val="24"/>
          <w:szCs w:val="24"/>
        </w:rPr>
        <w:t xml:space="preserve">a </w:t>
      </w:r>
      <w:r w:rsidR="00204DB3">
        <w:rPr>
          <w:rFonts w:ascii="Arial" w:eastAsia="Calibri" w:hAnsi="Arial" w:cs="Arial"/>
          <w:sz w:val="24"/>
          <w:szCs w:val="24"/>
        </w:rPr>
        <w:t>el medio de control constitucional</w:t>
      </w:r>
      <w:r>
        <w:rPr>
          <w:rFonts w:ascii="Arial" w:eastAsia="Calibri" w:hAnsi="Arial" w:cs="Arial"/>
          <w:sz w:val="24"/>
          <w:szCs w:val="24"/>
        </w:rPr>
        <w:t xml:space="preserve"> de tutela</w:t>
      </w:r>
      <w:r w:rsidRPr="007754C9">
        <w:rPr>
          <w:rFonts w:ascii="Arial" w:eastAsia="Calibri" w:hAnsi="Arial" w:cs="Arial"/>
          <w:sz w:val="24"/>
          <w:szCs w:val="24"/>
          <w:vertAlign w:val="superscript"/>
        </w:rPr>
        <w:footnoteReference w:id="6"/>
      </w:r>
      <w:r w:rsidRPr="007754C9">
        <w:rPr>
          <w:rFonts w:ascii="Arial" w:eastAsia="Calibri" w:hAnsi="Arial" w:cs="Arial"/>
          <w:sz w:val="24"/>
          <w:szCs w:val="24"/>
        </w:rPr>
        <w:t xml:space="preserve">. </w:t>
      </w:r>
    </w:p>
    <w:p w14:paraId="3013E387" w14:textId="6E17FF99" w:rsidR="002A5DEA" w:rsidRDefault="00204DB3" w:rsidP="00204DB3">
      <w:pPr>
        <w:spacing w:before="240" w:line="240" w:lineRule="auto"/>
        <w:jc w:val="both"/>
        <w:rPr>
          <w:rFonts w:ascii="Arial" w:eastAsia="Calibri" w:hAnsi="Arial" w:cs="Arial"/>
          <w:sz w:val="24"/>
          <w:szCs w:val="24"/>
        </w:rPr>
      </w:pPr>
      <w:r>
        <w:rPr>
          <w:rFonts w:ascii="Arial" w:eastAsia="Calibri" w:hAnsi="Arial" w:cs="Arial"/>
          <w:sz w:val="24"/>
          <w:szCs w:val="24"/>
        </w:rPr>
        <w:t>2.</w:t>
      </w:r>
      <w:r w:rsidR="003A36E9">
        <w:rPr>
          <w:rFonts w:ascii="Arial" w:eastAsia="Calibri" w:hAnsi="Arial" w:cs="Arial"/>
          <w:sz w:val="24"/>
          <w:szCs w:val="24"/>
        </w:rPr>
        <w:t>1</w:t>
      </w:r>
      <w:r>
        <w:rPr>
          <w:rFonts w:ascii="Arial" w:eastAsia="Calibri" w:hAnsi="Arial" w:cs="Arial"/>
          <w:sz w:val="24"/>
          <w:szCs w:val="24"/>
        </w:rPr>
        <w:t>.</w:t>
      </w:r>
      <w:r w:rsidR="0021369A">
        <w:rPr>
          <w:rFonts w:ascii="Arial" w:eastAsia="Calibri" w:hAnsi="Arial" w:cs="Arial"/>
          <w:sz w:val="24"/>
          <w:szCs w:val="24"/>
        </w:rPr>
        <w:t>2</w:t>
      </w:r>
      <w:r>
        <w:rPr>
          <w:rFonts w:ascii="Arial" w:eastAsia="Calibri" w:hAnsi="Arial" w:cs="Arial"/>
          <w:sz w:val="24"/>
          <w:szCs w:val="24"/>
        </w:rPr>
        <w:t xml:space="preserve">. </w:t>
      </w:r>
      <w:r w:rsidR="002A5DEA">
        <w:rPr>
          <w:rFonts w:ascii="Arial" w:eastAsia="Calibri" w:hAnsi="Arial" w:cs="Arial"/>
          <w:sz w:val="24"/>
          <w:szCs w:val="24"/>
        </w:rPr>
        <w:t>En el asunto</w:t>
      </w:r>
      <w:r w:rsidR="00CC5A98">
        <w:rPr>
          <w:rFonts w:ascii="Arial" w:eastAsia="Calibri" w:hAnsi="Arial" w:cs="Arial"/>
          <w:sz w:val="24"/>
          <w:szCs w:val="24"/>
        </w:rPr>
        <w:t xml:space="preserve"> bajo estudio</w:t>
      </w:r>
      <w:r w:rsidR="002A5DEA">
        <w:rPr>
          <w:rFonts w:ascii="Arial" w:eastAsia="Calibri" w:hAnsi="Arial" w:cs="Arial"/>
          <w:sz w:val="24"/>
          <w:szCs w:val="24"/>
        </w:rPr>
        <w:t xml:space="preserve">, </w:t>
      </w:r>
      <w:r w:rsidR="00FA78C2">
        <w:rPr>
          <w:rFonts w:ascii="Arial" w:eastAsia="Calibri" w:hAnsi="Arial" w:cs="Arial"/>
          <w:sz w:val="24"/>
          <w:szCs w:val="24"/>
        </w:rPr>
        <w:t>la Dirección Ejecutiva de Administración Judicial</w:t>
      </w:r>
      <w:r w:rsidR="002A5DEA">
        <w:rPr>
          <w:rFonts w:ascii="Arial" w:eastAsia="Calibri" w:hAnsi="Arial" w:cs="Arial"/>
          <w:sz w:val="24"/>
          <w:szCs w:val="24"/>
        </w:rPr>
        <w:t xml:space="preserve"> afirmó que</w:t>
      </w:r>
      <w:r w:rsidR="00224884">
        <w:rPr>
          <w:rFonts w:ascii="Arial" w:eastAsia="Calibri" w:hAnsi="Arial" w:cs="Arial"/>
          <w:sz w:val="24"/>
          <w:szCs w:val="24"/>
        </w:rPr>
        <w:t xml:space="preserve"> en </w:t>
      </w:r>
      <w:r w:rsidR="00FA78C2">
        <w:rPr>
          <w:rFonts w:ascii="Arial" w:eastAsia="Calibri" w:hAnsi="Arial" w:cs="Arial"/>
          <w:sz w:val="24"/>
          <w:szCs w:val="24"/>
        </w:rPr>
        <w:t xml:space="preserve">el trámite de la presente acción no se le notificó el auto </w:t>
      </w:r>
      <w:r w:rsidR="00D7594D">
        <w:rPr>
          <w:rFonts w:ascii="Arial" w:eastAsia="Calibri" w:hAnsi="Arial" w:cs="Arial"/>
          <w:sz w:val="24"/>
          <w:szCs w:val="24"/>
        </w:rPr>
        <w:t xml:space="preserve">que admitió la acción, </w:t>
      </w:r>
      <w:r w:rsidR="00FA78C2">
        <w:rPr>
          <w:rFonts w:ascii="Arial" w:eastAsia="Calibri" w:hAnsi="Arial" w:cs="Arial"/>
          <w:sz w:val="24"/>
          <w:szCs w:val="24"/>
        </w:rPr>
        <w:t>por lo que consideró que se configuró una indebida notificación</w:t>
      </w:r>
      <w:r w:rsidR="002B7FF5">
        <w:rPr>
          <w:rFonts w:ascii="Arial" w:eastAsia="Calibri" w:hAnsi="Arial" w:cs="Arial"/>
          <w:sz w:val="24"/>
          <w:szCs w:val="24"/>
        </w:rPr>
        <w:t xml:space="preserve"> que genera</w:t>
      </w:r>
      <w:r>
        <w:rPr>
          <w:rFonts w:ascii="Arial" w:eastAsia="Calibri" w:hAnsi="Arial" w:cs="Arial"/>
          <w:sz w:val="24"/>
          <w:szCs w:val="24"/>
        </w:rPr>
        <w:t>ba la</w:t>
      </w:r>
      <w:r w:rsidR="002B7FF5">
        <w:rPr>
          <w:rFonts w:ascii="Arial" w:eastAsia="Calibri" w:hAnsi="Arial" w:cs="Arial"/>
          <w:sz w:val="24"/>
          <w:szCs w:val="24"/>
        </w:rPr>
        <w:t xml:space="preserve"> nulidad de </w:t>
      </w:r>
      <w:r>
        <w:rPr>
          <w:rFonts w:ascii="Arial" w:eastAsia="Calibri" w:hAnsi="Arial" w:cs="Arial"/>
          <w:sz w:val="24"/>
          <w:szCs w:val="24"/>
        </w:rPr>
        <w:t xml:space="preserve">todo </w:t>
      </w:r>
      <w:r w:rsidR="001E7EB4">
        <w:rPr>
          <w:rFonts w:ascii="Arial" w:eastAsia="Calibri" w:hAnsi="Arial" w:cs="Arial"/>
          <w:sz w:val="24"/>
          <w:szCs w:val="24"/>
        </w:rPr>
        <w:t xml:space="preserve">lo </w:t>
      </w:r>
      <w:r>
        <w:rPr>
          <w:rFonts w:ascii="Arial" w:eastAsia="Calibri" w:hAnsi="Arial" w:cs="Arial"/>
          <w:sz w:val="24"/>
          <w:szCs w:val="24"/>
        </w:rPr>
        <w:t>actuado</w:t>
      </w:r>
      <w:r w:rsidR="00FA78C2">
        <w:rPr>
          <w:rFonts w:ascii="Arial" w:eastAsia="Calibri" w:hAnsi="Arial" w:cs="Arial"/>
          <w:sz w:val="24"/>
          <w:szCs w:val="24"/>
        </w:rPr>
        <w:t>.</w:t>
      </w:r>
      <w:r>
        <w:rPr>
          <w:rFonts w:ascii="Arial" w:eastAsia="Calibri" w:hAnsi="Arial" w:cs="Arial"/>
          <w:sz w:val="24"/>
          <w:szCs w:val="24"/>
        </w:rPr>
        <w:t xml:space="preserve"> En atención a </w:t>
      </w:r>
      <w:r w:rsidR="00224884">
        <w:rPr>
          <w:rFonts w:ascii="Arial" w:eastAsia="Calibri" w:hAnsi="Arial" w:cs="Arial"/>
          <w:sz w:val="24"/>
          <w:szCs w:val="24"/>
        </w:rPr>
        <w:t>lo expuesto, la Sala resalta que</w:t>
      </w:r>
      <w:r w:rsidR="004808F4">
        <w:rPr>
          <w:rFonts w:ascii="Arial" w:eastAsia="Calibri" w:hAnsi="Arial" w:cs="Arial"/>
          <w:sz w:val="24"/>
          <w:szCs w:val="24"/>
        </w:rPr>
        <w:t xml:space="preserve"> la</w:t>
      </w:r>
      <w:r>
        <w:rPr>
          <w:rFonts w:ascii="Arial" w:eastAsia="Calibri" w:hAnsi="Arial" w:cs="Arial"/>
          <w:sz w:val="24"/>
          <w:szCs w:val="24"/>
        </w:rPr>
        <w:t xml:space="preserve"> posible</w:t>
      </w:r>
      <w:r w:rsidR="004808F4">
        <w:rPr>
          <w:rFonts w:ascii="Arial" w:eastAsia="Calibri" w:hAnsi="Arial" w:cs="Arial"/>
          <w:sz w:val="24"/>
          <w:szCs w:val="24"/>
        </w:rPr>
        <w:t xml:space="preserve"> irregularidad invocada por la parte accionante, </w:t>
      </w:r>
      <w:r>
        <w:rPr>
          <w:rFonts w:ascii="Arial" w:eastAsia="Calibri" w:hAnsi="Arial" w:cs="Arial"/>
          <w:sz w:val="24"/>
          <w:szCs w:val="24"/>
        </w:rPr>
        <w:t>se ajusta</w:t>
      </w:r>
      <w:r w:rsidR="004808F4">
        <w:rPr>
          <w:rFonts w:ascii="Arial" w:eastAsia="Calibri" w:hAnsi="Arial" w:cs="Arial"/>
          <w:sz w:val="24"/>
          <w:szCs w:val="24"/>
        </w:rPr>
        <w:t xml:space="preserve"> a lo dispuesto en el numeral </w:t>
      </w:r>
      <w:r w:rsidR="00413DE4">
        <w:rPr>
          <w:rFonts w:ascii="Arial" w:eastAsia="Calibri" w:hAnsi="Arial" w:cs="Arial"/>
          <w:sz w:val="24"/>
          <w:szCs w:val="24"/>
        </w:rPr>
        <w:t>8</w:t>
      </w:r>
      <w:r w:rsidR="004808F4">
        <w:rPr>
          <w:rFonts w:ascii="Arial" w:eastAsia="Calibri" w:hAnsi="Arial" w:cs="Arial"/>
          <w:sz w:val="24"/>
          <w:szCs w:val="24"/>
        </w:rPr>
        <w:t xml:space="preserve"> del artículo 133</w:t>
      </w:r>
      <w:r w:rsidR="00224884">
        <w:rPr>
          <w:rFonts w:ascii="Arial" w:eastAsia="Calibri" w:hAnsi="Arial" w:cs="Arial"/>
          <w:sz w:val="24"/>
          <w:szCs w:val="24"/>
        </w:rPr>
        <w:t xml:space="preserve"> </w:t>
      </w:r>
      <w:r w:rsidR="004808F4">
        <w:rPr>
          <w:rFonts w:ascii="Arial" w:eastAsia="Calibri" w:hAnsi="Arial" w:cs="Arial"/>
          <w:sz w:val="24"/>
          <w:szCs w:val="24"/>
        </w:rPr>
        <w:t>d</w:t>
      </w:r>
      <w:r w:rsidR="00224884">
        <w:rPr>
          <w:rFonts w:ascii="Arial" w:eastAsia="Calibri" w:hAnsi="Arial" w:cs="Arial"/>
          <w:sz w:val="24"/>
          <w:szCs w:val="24"/>
        </w:rPr>
        <w:t>el Código General del Pr</w:t>
      </w:r>
      <w:r w:rsidR="004808F4">
        <w:rPr>
          <w:rFonts w:ascii="Arial" w:eastAsia="Calibri" w:hAnsi="Arial" w:cs="Arial"/>
          <w:sz w:val="24"/>
          <w:szCs w:val="24"/>
        </w:rPr>
        <w:t>oceso, que establece lo siguiente:</w:t>
      </w:r>
    </w:p>
    <w:p w14:paraId="060C9088" w14:textId="77777777" w:rsidR="004808F4" w:rsidRDefault="004808F4" w:rsidP="000D7F37">
      <w:pPr>
        <w:widowControl w:val="0"/>
        <w:spacing w:before="240" w:line="240" w:lineRule="auto"/>
        <w:ind w:left="708"/>
        <w:jc w:val="both"/>
        <w:rPr>
          <w:rFonts w:ascii="Arial" w:eastAsia="Calibri" w:hAnsi="Arial" w:cs="Arial"/>
          <w:szCs w:val="24"/>
        </w:rPr>
      </w:pPr>
      <w:r>
        <w:rPr>
          <w:rFonts w:ascii="Arial" w:eastAsia="Calibri" w:hAnsi="Arial" w:cs="Arial"/>
          <w:szCs w:val="24"/>
        </w:rPr>
        <w:t xml:space="preserve">“Artículo 133. Causales de nulidad. </w:t>
      </w:r>
      <w:r w:rsidRPr="004808F4">
        <w:rPr>
          <w:rFonts w:ascii="Arial" w:eastAsia="Calibri" w:hAnsi="Arial" w:cs="Arial"/>
          <w:szCs w:val="24"/>
        </w:rPr>
        <w:t>El proceso es nulo, en todo o en parte, solamente en los siguientes casos:</w:t>
      </w:r>
      <w:r>
        <w:rPr>
          <w:rFonts w:ascii="Arial" w:eastAsia="Calibri" w:hAnsi="Arial" w:cs="Arial"/>
          <w:szCs w:val="24"/>
        </w:rPr>
        <w:t xml:space="preserve"> (…)</w:t>
      </w:r>
    </w:p>
    <w:p w14:paraId="2F81604B" w14:textId="21946BF8" w:rsidR="00413DE4" w:rsidRDefault="00413DE4" w:rsidP="000D7F37">
      <w:pPr>
        <w:widowControl w:val="0"/>
        <w:spacing w:before="240" w:line="240" w:lineRule="auto"/>
        <w:ind w:left="708"/>
        <w:jc w:val="both"/>
        <w:rPr>
          <w:rFonts w:ascii="Arial" w:eastAsia="Calibri" w:hAnsi="Arial" w:cs="Arial"/>
          <w:szCs w:val="24"/>
        </w:rPr>
      </w:pPr>
      <w:r>
        <w:rPr>
          <w:rFonts w:ascii="Arial" w:eastAsia="Calibri" w:hAnsi="Arial" w:cs="Arial"/>
          <w:szCs w:val="24"/>
        </w:rPr>
        <w:t>8</w:t>
      </w:r>
      <w:r w:rsidR="004808F4" w:rsidRPr="004808F4">
        <w:rPr>
          <w:rFonts w:ascii="Arial" w:eastAsia="Calibri" w:hAnsi="Arial" w:cs="Arial"/>
          <w:szCs w:val="24"/>
        </w:rPr>
        <w:t xml:space="preserve">. </w:t>
      </w:r>
      <w:r w:rsidRPr="00413DE4">
        <w:rPr>
          <w:rFonts w:ascii="Arial" w:eastAsia="Calibri" w:hAnsi="Arial" w:cs="Arial"/>
          <w:szCs w:val="24"/>
        </w:rPr>
        <w:t>Cuando no se practica en legal forma la notificación del auto admisorio de la demanda a personas determinadas, o el emplazamiento de las demás personas</w:t>
      </w:r>
      <w:r>
        <w:rPr>
          <w:rFonts w:ascii="Arial" w:eastAsia="Calibri" w:hAnsi="Arial" w:cs="Arial"/>
          <w:szCs w:val="24"/>
        </w:rPr>
        <w:t xml:space="preserve"> </w:t>
      </w:r>
      <w:r w:rsidRPr="00413DE4">
        <w:rPr>
          <w:rFonts w:ascii="Arial" w:eastAsia="Calibri" w:hAnsi="Arial" w:cs="Arial"/>
          <w:szCs w:val="24"/>
        </w:rPr>
        <w:t>aunque sean indeterminadas, que deban ser citadas como partes, o de aquellas que deban suceder en el proceso a cualquiera de las partes, cuando la ley así lo ordena, o no se cita en debida forma al Ministerio Público o a cualquier otra persona o entidad que de acuerdo con la ley debió ser citado.</w:t>
      </w:r>
    </w:p>
    <w:p w14:paraId="559FE08A" w14:textId="1D7395B7" w:rsidR="006E0817" w:rsidRDefault="004808F4" w:rsidP="000D7F37">
      <w:pPr>
        <w:widowControl w:val="0"/>
        <w:spacing w:before="240" w:after="0" w:line="240" w:lineRule="auto"/>
        <w:ind w:left="708"/>
        <w:jc w:val="both"/>
        <w:rPr>
          <w:rFonts w:ascii="Arial" w:eastAsia="Calibri" w:hAnsi="Arial" w:cs="Arial"/>
          <w:szCs w:val="24"/>
        </w:rPr>
      </w:pPr>
      <w:r>
        <w:rPr>
          <w:rFonts w:ascii="Arial" w:eastAsia="Calibri" w:hAnsi="Arial" w:cs="Arial"/>
          <w:szCs w:val="24"/>
        </w:rPr>
        <w:t>(…)”.</w:t>
      </w:r>
    </w:p>
    <w:p w14:paraId="76433D0F" w14:textId="77777777" w:rsidR="00C30840" w:rsidRDefault="00C30840" w:rsidP="000D7F37">
      <w:pPr>
        <w:widowControl w:val="0"/>
        <w:spacing w:after="0" w:line="240" w:lineRule="auto"/>
        <w:jc w:val="both"/>
        <w:rPr>
          <w:rFonts w:ascii="Arial" w:eastAsia="Calibri" w:hAnsi="Arial" w:cs="Arial"/>
          <w:szCs w:val="24"/>
        </w:rPr>
      </w:pPr>
    </w:p>
    <w:p w14:paraId="7C0278F0" w14:textId="7B5847A2" w:rsidR="00C30840" w:rsidRDefault="0021369A" w:rsidP="000D7F37">
      <w:pPr>
        <w:shd w:val="clear" w:color="auto" w:fill="FFFFFF"/>
        <w:spacing w:after="0" w:line="240" w:lineRule="auto"/>
        <w:jc w:val="both"/>
        <w:rPr>
          <w:rFonts w:ascii="Arial" w:eastAsia="Times New Roman" w:hAnsi="Arial" w:cs="Arial"/>
          <w:sz w:val="24"/>
          <w:szCs w:val="24"/>
          <w:lang w:eastAsia="es-US"/>
        </w:rPr>
      </w:pPr>
      <w:r>
        <w:rPr>
          <w:rFonts w:ascii="Arial" w:eastAsia="Times New Roman" w:hAnsi="Arial" w:cs="Arial"/>
          <w:sz w:val="24"/>
          <w:szCs w:val="24"/>
          <w:bdr w:val="none" w:sz="0" w:space="0" w:color="auto" w:frame="1"/>
          <w:lang w:val="es-US" w:eastAsia="es-US"/>
        </w:rPr>
        <w:t>2.</w:t>
      </w:r>
      <w:r w:rsidR="003A36E9">
        <w:rPr>
          <w:rFonts w:ascii="Arial" w:eastAsia="Times New Roman" w:hAnsi="Arial" w:cs="Arial"/>
          <w:sz w:val="24"/>
          <w:szCs w:val="24"/>
          <w:bdr w:val="none" w:sz="0" w:space="0" w:color="auto" w:frame="1"/>
          <w:lang w:val="es-US" w:eastAsia="es-US"/>
        </w:rPr>
        <w:t>1</w:t>
      </w:r>
      <w:r>
        <w:rPr>
          <w:rFonts w:ascii="Arial" w:eastAsia="Times New Roman" w:hAnsi="Arial" w:cs="Arial"/>
          <w:sz w:val="24"/>
          <w:szCs w:val="24"/>
          <w:bdr w:val="none" w:sz="0" w:space="0" w:color="auto" w:frame="1"/>
          <w:lang w:val="es-US" w:eastAsia="es-US"/>
        </w:rPr>
        <w:t>.</w:t>
      </w:r>
      <w:r w:rsidR="003A36E9">
        <w:rPr>
          <w:rFonts w:ascii="Arial" w:eastAsia="Times New Roman" w:hAnsi="Arial" w:cs="Arial"/>
          <w:sz w:val="24"/>
          <w:szCs w:val="24"/>
          <w:bdr w:val="none" w:sz="0" w:space="0" w:color="auto" w:frame="1"/>
          <w:lang w:val="es-US" w:eastAsia="es-US"/>
        </w:rPr>
        <w:t>3</w:t>
      </w:r>
      <w:r>
        <w:rPr>
          <w:rFonts w:ascii="Arial" w:eastAsia="Times New Roman" w:hAnsi="Arial" w:cs="Arial"/>
          <w:sz w:val="24"/>
          <w:szCs w:val="24"/>
          <w:bdr w:val="none" w:sz="0" w:space="0" w:color="auto" w:frame="1"/>
          <w:lang w:val="es-US" w:eastAsia="es-US"/>
        </w:rPr>
        <w:t xml:space="preserve">. </w:t>
      </w:r>
      <w:r w:rsidR="00204DB3">
        <w:rPr>
          <w:rFonts w:ascii="Arial" w:eastAsia="Times New Roman" w:hAnsi="Arial" w:cs="Arial"/>
          <w:sz w:val="24"/>
          <w:szCs w:val="24"/>
          <w:bdr w:val="none" w:sz="0" w:space="0" w:color="auto" w:frame="1"/>
          <w:lang w:val="es-US" w:eastAsia="es-US"/>
        </w:rPr>
        <w:t>Al respecto</w:t>
      </w:r>
      <w:r w:rsidR="00C30840" w:rsidRPr="00C30840">
        <w:rPr>
          <w:rFonts w:ascii="Arial" w:eastAsia="Times New Roman" w:hAnsi="Arial" w:cs="Arial"/>
          <w:sz w:val="24"/>
          <w:szCs w:val="24"/>
          <w:bdr w:val="none" w:sz="0" w:space="0" w:color="auto" w:frame="1"/>
          <w:lang w:val="es-US" w:eastAsia="es-US"/>
        </w:rPr>
        <w:t>, </w:t>
      </w:r>
      <w:r w:rsidR="00C30840" w:rsidRPr="00C30840">
        <w:rPr>
          <w:rFonts w:ascii="Arial" w:eastAsia="Times New Roman" w:hAnsi="Arial" w:cs="Arial"/>
          <w:sz w:val="24"/>
          <w:szCs w:val="24"/>
          <w:lang w:eastAsia="es-US"/>
        </w:rPr>
        <w:t xml:space="preserve">la Corte </w:t>
      </w:r>
      <w:r w:rsidR="00204DB3">
        <w:rPr>
          <w:rFonts w:ascii="Arial" w:eastAsia="Times New Roman" w:hAnsi="Arial" w:cs="Arial"/>
          <w:sz w:val="24"/>
          <w:szCs w:val="24"/>
          <w:lang w:eastAsia="es-US"/>
        </w:rPr>
        <w:t xml:space="preserve">Constitucional, </w:t>
      </w:r>
      <w:r w:rsidR="00C30840" w:rsidRPr="00DA7EB6">
        <w:rPr>
          <w:rFonts w:ascii="Arial" w:eastAsia="Times New Roman" w:hAnsi="Arial" w:cs="Arial"/>
          <w:sz w:val="24"/>
          <w:szCs w:val="24"/>
          <w:lang w:eastAsia="es-US"/>
        </w:rPr>
        <w:t>en</w:t>
      </w:r>
      <w:r w:rsidR="00C30840" w:rsidRPr="00C30840">
        <w:rPr>
          <w:rFonts w:ascii="Arial" w:eastAsia="Times New Roman" w:hAnsi="Arial" w:cs="Arial"/>
          <w:sz w:val="24"/>
          <w:szCs w:val="24"/>
          <w:lang w:eastAsia="es-US"/>
        </w:rPr>
        <w:t xml:space="preserve"> el Auto </w:t>
      </w:r>
      <w:r w:rsidR="00237A1F">
        <w:rPr>
          <w:rFonts w:ascii="Arial" w:eastAsia="Times New Roman" w:hAnsi="Arial" w:cs="Arial"/>
          <w:sz w:val="24"/>
          <w:szCs w:val="24"/>
          <w:lang w:eastAsia="es-US"/>
        </w:rPr>
        <w:t>397</w:t>
      </w:r>
      <w:r w:rsidR="00C30840" w:rsidRPr="00C30840">
        <w:rPr>
          <w:rFonts w:ascii="Arial" w:eastAsia="Times New Roman" w:hAnsi="Arial" w:cs="Arial"/>
          <w:sz w:val="24"/>
          <w:szCs w:val="24"/>
          <w:lang w:eastAsia="es-US"/>
        </w:rPr>
        <w:t xml:space="preserve"> de 201</w:t>
      </w:r>
      <w:r w:rsidR="00237A1F">
        <w:rPr>
          <w:rFonts w:ascii="Arial" w:eastAsia="Times New Roman" w:hAnsi="Arial" w:cs="Arial"/>
          <w:sz w:val="24"/>
          <w:szCs w:val="24"/>
          <w:lang w:eastAsia="es-US"/>
        </w:rPr>
        <w:t>8</w:t>
      </w:r>
      <w:r w:rsidR="00204DB3">
        <w:rPr>
          <w:rFonts w:ascii="Arial" w:eastAsia="Times New Roman" w:hAnsi="Arial" w:cs="Arial"/>
          <w:sz w:val="24"/>
          <w:szCs w:val="24"/>
          <w:lang w:eastAsia="es-US"/>
        </w:rPr>
        <w:t>,</w:t>
      </w:r>
      <w:r w:rsidR="00C30840" w:rsidRPr="00C30840">
        <w:rPr>
          <w:rFonts w:ascii="Arial" w:eastAsia="Times New Roman" w:hAnsi="Arial" w:cs="Arial"/>
          <w:sz w:val="24"/>
          <w:szCs w:val="24"/>
          <w:lang w:eastAsia="es-US"/>
        </w:rPr>
        <w:t> </w:t>
      </w:r>
      <w:r w:rsidR="00237A1F">
        <w:rPr>
          <w:rFonts w:ascii="Arial" w:eastAsia="Times New Roman" w:hAnsi="Arial" w:cs="Arial"/>
          <w:sz w:val="24"/>
          <w:szCs w:val="24"/>
          <w:lang w:eastAsia="es-US"/>
        </w:rPr>
        <w:t xml:space="preserve">manifestó en relación con la falta de notificación de las partes o las personas con un interés legítimo en las resultas del proceso: </w:t>
      </w:r>
    </w:p>
    <w:p w14:paraId="75FB91A5" w14:textId="04C11F18" w:rsidR="00B35888" w:rsidRDefault="00B35888" w:rsidP="000D7F37">
      <w:pPr>
        <w:pStyle w:val="Sinespaciado"/>
        <w:shd w:val="clear" w:color="auto" w:fill="FFFFFF"/>
        <w:spacing w:before="0" w:beforeAutospacing="0" w:after="0" w:afterAutospacing="0"/>
        <w:jc w:val="both"/>
        <w:rPr>
          <w:rFonts w:ascii="Arial" w:hAnsi="Arial" w:cs="Arial"/>
          <w:lang w:val="es-CO"/>
        </w:rPr>
      </w:pPr>
    </w:p>
    <w:p w14:paraId="7FD29E54" w14:textId="4FC37B6E" w:rsidR="00237A1F" w:rsidRPr="00237A1F" w:rsidRDefault="00237A1F" w:rsidP="00237A1F">
      <w:pPr>
        <w:pStyle w:val="Sinespaciado"/>
        <w:shd w:val="clear" w:color="auto" w:fill="FFFFFF"/>
        <w:spacing w:before="0" w:beforeAutospacing="0" w:after="0" w:afterAutospacing="0"/>
        <w:ind w:left="708"/>
        <w:jc w:val="both"/>
        <w:rPr>
          <w:rFonts w:ascii="Arial" w:hAnsi="Arial" w:cs="Arial"/>
          <w:sz w:val="22"/>
          <w:szCs w:val="22"/>
          <w:lang w:val="es-CO"/>
        </w:rPr>
      </w:pPr>
      <w:r w:rsidRPr="00237A1F">
        <w:rPr>
          <w:rFonts w:ascii="Arial" w:hAnsi="Arial" w:cs="Arial"/>
          <w:sz w:val="22"/>
          <w:szCs w:val="22"/>
          <w:lang w:val="es-CO"/>
        </w:rPr>
        <w:t xml:space="preserve">“En suma, el juez constitucional tiene la obligación de notificar tanto a las partes como a los terceros interesados, todas las providencias judiciales que se generen en el transcurso del trámite de tutela, incluyendo el auto que la admite. Dicha obligación impone al juez el deber de escoger una vía de comunicación eficaz, es decir, que pueda garantizar -en atención a las circunstancias particulares de cada caso concreto- la transmisión efectiva y fidedigna del contenido de la providencia judicial; de manera que, de no realizarse la notificación de alguna providencia o </w:t>
      </w:r>
      <w:r w:rsidRPr="00237A1F">
        <w:rPr>
          <w:rFonts w:ascii="Arial" w:hAnsi="Arial" w:cs="Arial"/>
          <w:sz w:val="22"/>
          <w:szCs w:val="22"/>
          <w:lang w:val="es-CO"/>
        </w:rPr>
        <w:lastRenderedPageBreak/>
        <w:t>existir duda sobre su eficacia, el trámite estaría viciado de una irregularidad que afecta su validez, pues se genera una vulneración del debido proceso”.</w:t>
      </w:r>
    </w:p>
    <w:p w14:paraId="19630122" w14:textId="77777777" w:rsidR="00237A1F" w:rsidRDefault="00237A1F" w:rsidP="000D7F37">
      <w:pPr>
        <w:pStyle w:val="Sinespaciado"/>
        <w:shd w:val="clear" w:color="auto" w:fill="FFFFFF"/>
        <w:spacing w:before="0" w:beforeAutospacing="0" w:after="0" w:afterAutospacing="0"/>
        <w:jc w:val="both"/>
        <w:rPr>
          <w:rFonts w:ascii="Arial" w:hAnsi="Arial" w:cs="Arial"/>
          <w:lang w:val="es-CO"/>
        </w:rPr>
      </w:pPr>
    </w:p>
    <w:p w14:paraId="56B0C91A" w14:textId="0F3D61A4" w:rsidR="00B35888" w:rsidRPr="00B35888" w:rsidRDefault="00BF692A" w:rsidP="000D7F37">
      <w:pPr>
        <w:pStyle w:val="Sinespaciado"/>
        <w:shd w:val="clear" w:color="auto" w:fill="FFFFFF"/>
        <w:spacing w:before="0" w:beforeAutospacing="0" w:after="0" w:afterAutospacing="0"/>
        <w:jc w:val="both"/>
        <w:rPr>
          <w:rFonts w:ascii="Arial" w:hAnsi="Arial" w:cs="Arial"/>
        </w:rPr>
      </w:pPr>
      <w:r>
        <w:rPr>
          <w:rFonts w:ascii="Arial" w:hAnsi="Arial" w:cs="Arial"/>
          <w:lang w:val="es-CO"/>
        </w:rPr>
        <w:t>Así pues, l</w:t>
      </w:r>
      <w:r w:rsidR="00B35888" w:rsidRPr="00B35888">
        <w:rPr>
          <w:rFonts w:ascii="Arial" w:hAnsi="Arial" w:cs="Arial"/>
          <w:lang w:val="es-CO"/>
        </w:rPr>
        <w:t>a notificación ha sido entendida como el acto material por medio del cual se pone en conocimiento de las partes y terceros interesados, en un mismo proceso judicial, el contenido de las providencias que se profieren en éste, con el fin de que, si lo estiman pertinente, acudan a los estrados judiciales para defender su postura y aporten el material probatorio que pretendan hacer valer</w:t>
      </w:r>
      <w:r w:rsidR="002B7FF5">
        <w:rPr>
          <w:rFonts w:ascii="Arial" w:hAnsi="Arial" w:cs="Arial"/>
          <w:lang w:val="es-CO"/>
        </w:rPr>
        <w:t xml:space="preserve">. </w:t>
      </w:r>
      <w:r>
        <w:rPr>
          <w:rFonts w:ascii="Arial" w:hAnsi="Arial" w:cs="Arial"/>
          <w:lang w:val="es-CO"/>
        </w:rPr>
        <w:t>De este modo</w:t>
      </w:r>
      <w:r w:rsidR="00B35888" w:rsidRPr="00B35888">
        <w:rPr>
          <w:rFonts w:ascii="Arial" w:hAnsi="Arial" w:cs="Arial"/>
          <w:lang w:val="es-CO"/>
        </w:rPr>
        <w:t xml:space="preserve">, se pretende asegurar a los involucrados los derechos de defensa, contradicción e impugnación y se obliga a los sujetos procesales </w:t>
      </w:r>
      <w:r w:rsidR="002B7FF5">
        <w:rPr>
          <w:rFonts w:ascii="Arial" w:hAnsi="Arial" w:cs="Arial"/>
          <w:lang w:val="es-CO"/>
        </w:rPr>
        <w:t>a</w:t>
      </w:r>
      <w:r w:rsidR="00B35888" w:rsidRPr="00B35888">
        <w:rPr>
          <w:rFonts w:ascii="Arial" w:hAnsi="Arial" w:cs="Arial"/>
          <w:lang w:val="es-CO"/>
        </w:rPr>
        <w:t xml:space="preserve"> adecuar de forma voluntaria o coactiva sus actos conforme a lo ordenado por la autoridad judicial</w:t>
      </w:r>
      <w:r>
        <w:rPr>
          <w:rStyle w:val="Refdenotaalpie"/>
          <w:rFonts w:ascii="Arial" w:hAnsi="Arial" w:cs="Arial"/>
          <w:lang w:val="es-CO"/>
        </w:rPr>
        <w:footnoteReference w:id="7"/>
      </w:r>
      <w:r w:rsidR="00B35888" w:rsidRPr="00B35888">
        <w:rPr>
          <w:rFonts w:ascii="Arial" w:hAnsi="Arial" w:cs="Arial"/>
          <w:lang w:val="es-CO"/>
        </w:rPr>
        <w:t>.</w:t>
      </w:r>
      <w:r w:rsidR="002B7FF5">
        <w:rPr>
          <w:rFonts w:ascii="Arial" w:hAnsi="Arial" w:cs="Arial"/>
          <w:lang w:val="es-CO"/>
        </w:rPr>
        <w:t xml:space="preserve"> Además, se garantiza </w:t>
      </w:r>
      <w:r w:rsidR="002B7FF5" w:rsidRPr="00B35888">
        <w:rPr>
          <w:rFonts w:ascii="Arial" w:hAnsi="Arial" w:cs="Arial"/>
          <w:lang w:val="es-CO"/>
        </w:rPr>
        <w:t>la transparencia de la administración de justicia.</w:t>
      </w:r>
    </w:p>
    <w:p w14:paraId="571FC2EF" w14:textId="77777777" w:rsidR="00B35888" w:rsidRPr="00B35888" w:rsidRDefault="00B35888" w:rsidP="000D7F37">
      <w:pPr>
        <w:pStyle w:val="Sinespaciado"/>
        <w:shd w:val="clear" w:color="auto" w:fill="FFFFFF"/>
        <w:spacing w:before="0" w:beforeAutospacing="0" w:after="0" w:afterAutospacing="0"/>
        <w:jc w:val="both"/>
        <w:rPr>
          <w:rFonts w:ascii="Arial" w:hAnsi="Arial" w:cs="Arial"/>
        </w:rPr>
      </w:pPr>
      <w:r w:rsidRPr="00B35888">
        <w:rPr>
          <w:rFonts w:ascii="Arial" w:hAnsi="Arial" w:cs="Arial"/>
          <w:lang w:val="es-CO"/>
        </w:rPr>
        <w:t> </w:t>
      </w:r>
    </w:p>
    <w:p w14:paraId="78863884" w14:textId="00060DD0" w:rsidR="00B35888" w:rsidRPr="002A3DA4" w:rsidRDefault="003A36E9" w:rsidP="000D7F37">
      <w:pPr>
        <w:pStyle w:val="Sinespaciado"/>
        <w:shd w:val="clear" w:color="auto" w:fill="FFFFFF"/>
        <w:spacing w:before="0" w:beforeAutospacing="0" w:after="0" w:afterAutospacing="0"/>
        <w:jc w:val="both"/>
        <w:rPr>
          <w:rFonts w:ascii="Arial" w:hAnsi="Arial" w:cs="Arial"/>
        </w:rPr>
      </w:pPr>
      <w:r>
        <w:rPr>
          <w:rFonts w:ascii="Arial" w:hAnsi="Arial" w:cs="Arial"/>
          <w:lang w:val="es-CO"/>
        </w:rPr>
        <w:t xml:space="preserve">2.1.4. </w:t>
      </w:r>
      <w:r w:rsidR="00B35888" w:rsidRPr="002A3DA4">
        <w:rPr>
          <w:rFonts w:ascii="Arial" w:hAnsi="Arial" w:cs="Arial"/>
          <w:lang w:val="es-CO"/>
        </w:rPr>
        <w:t>En el marco de la acción de tutela, el</w:t>
      </w:r>
      <w:r w:rsidR="00085EBE">
        <w:rPr>
          <w:rFonts w:ascii="Arial" w:hAnsi="Arial" w:cs="Arial"/>
          <w:lang w:val="es-CO"/>
        </w:rPr>
        <w:t xml:space="preserve"> artículo 16 del</w:t>
      </w:r>
      <w:r w:rsidR="00B35888" w:rsidRPr="002A3DA4">
        <w:rPr>
          <w:rFonts w:ascii="Arial" w:hAnsi="Arial" w:cs="Arial"/>
          <w:lang w:val="es-CO"/>
        </w:rPr>
        <w:t xml:space="preserve"> Decreto 2591 de 1991 </w:t>
      </w:r>
      <w:r w:rsidR="002B7FF5">
        <w:rPr>
          <w:rFonts w:ascii="Arial" w:hAnsi="Arial" w:cs="Arial"/>
          <w:lang w:val="es-CO"/>
        </w:rPr>
        <w:t xml:space="preserve">establece </w:t>
      </w:r>
      <w:r w:rsidR="00B35888" w:rsidRPr="002A3DA4">
        <w:rPr>
          <w:rFonts w:ascii="Arial" w:hAnsi="Arial" w:cs="Arial"/>
          <w:lang w:val="es-CO"/>
        </w:rPr>
        <w:t>que “las providencias que se dicten se notificarán a las partes o intervinientes, por el medio que el juez considere más expedito y eficaz”</w:t>
      </w:r>
      <w:r w:rsidR="00085EBE">
        <w:rPr>
          <w:rFonts w:ascii="Arial" w:hAnsi="Arial" w:cs="Arial"/>
          <w:lang w:val="es-CO"/>
        </w:rPr>
        <w:t xml:space="preserve">, </w:t>
      </w:r>
      <w:r w:rsidR="00B35888" w:rsidRPr="002A3DA4">
        <w:rPr>
          <w:rFonts w:ascii="Arial" w:hAnsi="Arial" w:cs="Arial"/>
          <w:lang w:val="es-CO"/>
        </w:rPr>
        <w:t>y el</w:t>
      </w:r>
      <w:r w:rsidR="00085EBE">
        <w:rPr>
          <w:rFonts w:ascii="Arial" w:hAnsi="Arial" w:cs="Arial"/>
          <w:lang w:val="es-CO"/>
        </w:rPr>
        <w:t xml:space="preserve"> artículo 5 del</w:t>
      </w:r>
      <w:r w:rsidR="00B35888" w:rsidRPr="002A3DA4">
        <w:rPr>
          <w:rFonts w:ascii="Arial" w:hAnsi="Arial" w:cs="Arial"/>
          <w:lang w:val="es-CO"/>
        </w:rPr>
        <w:t xml:space="preserve"> Decreto 306 de 1992 dispone que de “todas las providencias que se dicten en el trámite de una acción de tutela se deberán notificar a las partes o a los intervinientes”.</w:t>
      </w:r>
    </w:p>
    <w:p w14:paraId="50331D28" w14:textId="77777777" w:rsidR="00B35888" w:rsidRPr="00B35888" w:rsidRDefault="00B35888" w:rsidP="000D7F37">
      <w:pPr>
        <w:pStyle w:val="Sinespaciado"/>
        <w:shd w:val="clear" w:color="auto" w:fill="FFFFFF"/>
        <w:spacing w:before="0" w:beforeAutospacing="0" w:after="0" w:afterAutospacing="0"/>
        <w:jc w:val="both"/>
        <w:rPr>
          <w:rFonts w:ascii="Arial" w:hAnsi="Arial" w:cs="Arial"/>
        </w:rPr>
      </w:pPr>
      <w:r w:rsidRPr="00B35888">
        <w:rPr>
          <w:rFonts w:ascii="Arial" w:hAnsi="Arial" w:cs="Arial"/>
          <w:lang w:val="es-CO"/>
        </w:rPr>
        <w:t> </w:t>
      </w:r>
    </w:p>
    <w:p w14:paraId="53F27573" w14:textId="22433E20" w:rsidR="00B35888" w:rsidRPr="00B35888" w:rsidRDefault="00B35888" w:rsidP="000D7F37">
      <w:pPr>
        <w:pStyle w:val="Sinespaciado"/>
        <w:shd w:val="clear" w:color="auto" w:fill="FFFFFF"/>
        <w:spacing w:before="0" w:beforeAutospacing="0" w:after="0" w:afterAutospacing="0"/>
        <w:jc w:val="both"/>
        <w:rPr>
          <w:rFonts w:ascii="Arial" w:hAnsi="Arial" w:cs="Arial"/>
        </w:rPr>
      </w:pPr>
      <w:r w:rsidRPr="00B35888">
        <w:rPr>
          <w:rFonts w:ascii="Arial" w:hAnsi="Arial" w:cs="Arial"/>
          <w:lang w:val="es-CO"/>
        </w:rPr>
        <w:t>E</w:t>
      </w:r>
      <w:r w:rsidR="002A3DA4">
        <w:rPr>
          <w:rFonts w:ascii="Arial" w:hAnsi="Arial" w:cs="Arial"/>
          <w:lang w:val="es-CO"/>
        </w:rPr>
        <w:t xml:space="preserve">l Alto Tribunal Constitucional, </w:t>
      </w:r>
      <w:r w:rsidRPr="00B35888">
        <w:rPr>
          <w:rFonts w:ascii="Arial" w:hAnsi="Arial" w:cs="Arial"/>
          <w:lang w:val="es-CO"/>
        </w:rPr>
        <w:t xml:space="preserve">con fundamento en las normas </w:t>
      </w:r>
      <w:r w:rsidR="00C428B4">
        <w:rPr>
          <w:rFonts w:ascii="Arial" w:hAnsi="Arial" w:cs="Arial"/>
          <w:lang w:val="es-CO"/>
        </w:rPr>
        <w:t>reseñadas</w:t>
      </w:r>
      <w:r w:rsidR="00085EBE">
        <w:rPr>
          <w:rFonts w:ascii="Arial" w:hAnsi="Arial" w:cs="Arial"/>
          <w:lang w:val="es-CO"/>
        </w:rPr>
        <w:t>,</w:t>
      </w:r>
      <w:r w:rsidRPr="00B35888">
        <w:rPr>
          <w:rFonts w:ascii="Arial" w:hAnsi="Arial" w:cs="Arial"/>
          <w:lang w:val="es-CO"/>
        </w:rPr>
        <w:t xml:space="preserve"> ha considerado que un medio de notificación </w:t>
      </w:r>
      <w:r w:rsidR="003A36E9">
        <w:rPr>
          <w:rFonts w:ascii="Arial" w:hAnsi="Arial" w:cs="Arial"/>
          <w:lang w:val="es-CO"/>
        </w:rPr>
        <w:t>es</w:t>
      </w:r>
      <w:r w:rsidRPr="00B35888">
        <w:rPr>
          <w:rFonts w:ascii="Arial" w:hAnsi="Arial" w:cs="Arial"/>
          <w:lang w:val="es-CO"/>
        </w:rPr>
        <w:t> </w:t>
      </w:r>
      <w:r w:rsidRPr="00B35888">
        <w:rPr>
          <w:rFonts w:ascii="Arial" w:hAnsi="Arial" w:cs="Arial"/>
          <w:i/>
          <w:iCs/>
          <w:lang w:val="es-CO"/>
        </w:rPr>
        <w:t>expedito</w:t>
      </w:r>
      <w:r w:rsidRPr="00B35888">
        <w:rPr>
          <w:rFonts w:ascii="Arial" w:hAnsi="Arial" w:cs="Arial"/>
          <w:lang w:val="es-CO"/>
        </w:rPr>
        <w:t> cuando es rápido y oportuno</w:t>
      </w:r>
      <w:r w:rsidR="003A36E9">
        <w:rPr>
          <w:rFonts w:ascii="Arial" w:hAnsi="Arial" w:cs="Arial"/>
          <w:lang w:val="es-CO"/>
        </w:rPr>
        <w:t>,</w:t>
      </w:r>
      <w:r w:rsidRPr="00B35888">
        <w:rPr>
          <w:rFonts w:ascii="Arial" w:hAnsi="Arial" w:cs="Arial"/>
          <w:lang w:val="es-CO"/>
        </w:rPr>
        <w:t xml:space="preserve"> y e</w:t>
      </w:r>
      <w:r w:rsidR="003A36E9">
        <w:rPr>
          <w:rFonts w:ascii="Arial" w:hAnsi="Arial" w:cs="Arial"/>
          <w:lang w:val="es-CO"/>
        </w:rPr>
        <w:t>s</w:t>
      </w:r>
      <w:r w:rsidRPr="00B35888">
        <w:rPr>
          <w:rFonts w:ascii="Arial" w:hAnsi="Arial" w:cs="Arial"/>
          <w:lang w:val="es-CO"/>
        </w:rPr>
        <w:t> </w:t>
      </w:r>
      <w:r w:rsidRPr="00B35888">
        <w:rPr>
          <w:rFonts w:ascii="Arial" w:hAnsi="Arial" w:cs="Arial"/>
          <w:i/>
          <w:iCs/>
          <w:lang w:val="es-CO"/>
        </w:rPr>
        <w:t>eficaz</w:t>
      </w:r>
      <w:r w:rsidRPr="00B35888">
        <w:rPr>
          <w:rFonts w:ascii="Arial" w:hAnsi="Arial" w:cs="Arial"/>
          <w:lang w:val="es-CO"/>
        </w:rPr>
        <w:t> cuando garantiza que el destinatario (parte o tercero con interés) se entere de forma efectiva y fidedigna del contenido de la providencia</w:t>
      </w:r>
      <w:r w:rsidR="002A3DA4">
        <w:rPr>
          <w:rStyle w:val="Refdenotaalpie"/>
          <w:rFonts w:ascii="Arial" w:hAnsi="Arial" w:cs="Arial"/>
          <w:lang w:val="es-CO"/>
        </w:rPr>
        <w:footnoteReference w:id="8"/>
      </w:r>
      <w:r w:rsidRPr="00B35888">
        <w:rPr>
          <w:rFonts w:ascii="Arial" w:hAnsi="Arial" w:cs="Arial"/>
          <w:lang w:val="es-CO"/>
        </w:rPr>
        <w:t>.</w:t>
      </w:r>
    </w:p>
    <w:p w14:paraId="1790A887" w14:textId="77777777" w:rsidR="00B35888" w:rsidRPr="00B35888" w:rsidRDefault="00B35888" w:rsidP="000D7F37">
      <w:pPr>
        <w:pStyle w:val="Sinespaciado"/>
        <w:shd w:val="clear" w:color="auto" w:fill="FFFFFF"/>
        <w:spacing w:before="0" w:beforeAutospacing="0" w:after="0" w:afterAutospacing="0"/>
        <w:jc w:val="both"/>
        <w:rPr>
          <w:rFonts w:ascii="Arial" w:hAnsi="Arial" w:cs="Arial"/>
        </w:rPr>
      </w:pPr>
      <w:r w:rsidRPr="00B35888">
        <w:rPr>
          <w:rFonts w:ascii="Arial" w:hAnsi="Arial" w:cs="Arial"/>
          <w:lang w:val="es-CO"/>
        </w:rPr>
        <w:t> </w:t>
      </w:r>
    </w:p>
    <w:p w14:paraId="5358078B" w14:textId="157F3F37" w:rsidR="005574FA" w:rsidRPr="0021369A" w:rsidRDefault="00B35888" w:rsidP="0021369A">
      <w:pPr>
        <w:pStyle w:val="Sinespaciado"/>
        <w:shd w:val="clear" w:color="auto" w:fill="FFFFFF"/>
        <w:spacing w:before="0" w:beforeAutospacing="0" w:after="0" w:afterAutospacing="0"/>
        <w:jc w:val="both"/>
        <w:rPr>
          <w:rFonts w:ascii="Arial" w:hAnsi="Arial" w:cs="Arial"/>
        </w:rPr>
      </w:pPr>
      <w:r w:rsidRPr="00B35888">
        <w:rPr>
          <w:rFonts w:ascii="Arial" w:hAnsi="Arial" w:cs="Arial"/>
          <w:lang w:val="es-CO"/>
        </w:rPr>
        <w:t xml:space="preserve">Bajo este panorama, resulta claro que al juez de tutela le asiste la posibilidad de elegir el medio de notificación que estime más conveniente para comunicar el inicio del trámite del proceso, las distintas actuaciones desplegadas en desarrollo del mismo y el fallo, sin embargo, según </w:t>
      </w:r>
      <w:r w:rsidR="003A36E9">
        <w:rPr>
          <w:rFonts w:ascii="Arial" w:hAnsi="Arial" w:cs="Arial"/>
          <w:lang w:val="es-CO"/>
        </w:rPr>
        <w:t xml:space="preserve">la </w:t>
      </w:r>
      <w:r w:rsidRPr="00B35888">
        <w:rPr>
          <w:rFonts w:ascii="Arial" w:hAnsi="Arial" w:cs="Arial"/>
          <w:lang w:val="es-CO"/>
        </w:rPr>
        <w:t>Corte</w:t>
      </w:r>
      <w:r w:rsidR="003A36E9">
        <w:rPr>
          <w:rFonts w:ascii="Arial" w:hAnsi="Arial" w:cs="Arial"/>
          <w:lang w:val="es-CO"/>
        </w:rPr>
        <w:t xml:space="preserve"> Constitucional</w:t>
      </w:r>
      <w:r w:rsidRPr="00B35888">
        <w:rPr>
          <w:rFonts w:ascii="Arial" w:hAnsi="Arial" w:cs="Arial"/>
          <w:lang w:val="es-CO"/>
        </w:rPr>
        <w:t xml:space="preserve"> </w:t>
      </w:r>
      <w:r w:rsidRPr="002A3DA4">
        <w:rPr>
          <w:rFonts w:ascii="Arial" w:hAnsi="Arial" w:cs="Arial"/>
          <w:lang w:val="es-CO"/>
        </w:rPr>
        <w:t>“en ningún momento debe considerarse que se deja a su libre arbitrio la forma en que debe llevarse la notificación, pues ello equivaldría a permitir la violación constante del derecho fundamental al debido proceso”</w:t>
      </w:r>
      <w:r w:rsidR="002A3DA4">
        <w:rPr>
          <w:rStyle w:val="Refdenotaalpie"/>
          <w:rFonts w:ascii="Arial" w:hAnsi="Arial" w:cs="Arial"/>
          <w:lang w:val="es-CO"/>
        </w:rPr>
        <w:footnoteReference w:id="9"/>
      </w:r>
      <w:r w:rsidRPr="002A3DA4">
        <w:rPr>
          <w:rFonts w:ascii="Arial" w:hAnsi="Arial" w:cs="Arial"/>
          <w:lang w:val="es-CO"/>
        </w:rPr>
        <w:t>.</w:t>
      </w:r>
    </w:p>
    <w:p w14:paraId="1E454CD7" w14:textId="7BB46A1E" w:rsidR="00574852" w:rsidRPr="00DA7EB6" w:rsidRDefault="00BD0FC9" w:rsidP="000D7F37">
      <w:pPr>
        <w:widowControl w:val="0"/>
        <w:spacing w:before="240" w:line="240" w:lineRule="auto"/>
        <w:jc w:val="both"/>
        <w:rPr>
          <w:rFonts w:ascii="Arial" w:eastAsia="Calibri" w:hAnsi="Arial" w:cs="Arial"/>
          <w:b/>
          <w:bCs/>
          <w:sz w:val="24"/>
          <w:szCs w:val="24"/>
          <w:lang w:val="es-US"/>
        </w:rPr>
      </w:pPr>
      <w:r>
        <w:rPr>
          <w:rFonts w:ascii="Arial" w:eastAsia="Calibri" w:hAnsi="Arial" w:cs="Arial"/>
          <w:b/>
          <w:bCs/>
          <w:sz w:val="24"/>
          <w:szCs w:val="24"/>
          <w:lang w:val="es-US"/>
        </w:rPr>
        <w:t xml:space="preserve">2.2. </w:t>
      </w:r>
      <w:r w:rsidR="0021698F" w:rsidRPr="00DA7EB6">
        <w:rPr>
          <w:rFonts w:ascii="Arial" w:eastAsia="Calibri" w:hAnsi="Arial" w:cs="Arial"/>
          <w:b/>
          <w:bCs/>
          <w:sz w:val="24"/>
          <w:szCs w:val="24"/>
          <w:lang w:val="es-US"/>
        </w:rPr>
        <w:t>Caso concreto</w:t>
      </w:r>
    </w:p>
    <w:p w14:paraId="0D438E2E" w14:textId="3D4FC41F" w:rsidR="00AD0EF4" w:rsidRDefault="00BD0FC9" w:rsidP="000D7F37">
      <w:pPr>
        <w:widowControl w:val="0"/>
        <w:spacing w:before="240" w:line="240" w:lineRule="auto"/>
        <w:jc w:val="both"/>
        <w:rPr>
          <w:rFonts w:ascii="Arial" w:eastAsia="Calibri" w:hAnsi="Arial" w:cs="Arial"/>
          <w:sz w:val="24"/>
          <w:szCs w:val="24"/>
        </w:rPr>
      </w:pPr>
      <w:r w:rsidRPr="00BD0FC9">
        <w:rPr>
          <w:rFonts w:ascii="Arial" w:eastAsia="Calibri" w:hAnsi="Arial" w:cs="Arial"/>
          <w:sz w:val="24"/>
          <w:szCs w:val="24"/>
        </w:rPr>
        <w:t>E</w:t>
      </w:r>
      <w:r>
        <w:rPr>
          <w:rFonts w:ascii="Arial" w:eastAsia="Calibri" w:hAnsi="Arial" w:cs="Arial"/>
          <w:sz w:val="24"/>
          <w:szCs w:val="24"/>
        </w:rPr>
        <w:t xml:space="preserve">n </w:t>
      </w:r>
      <w:r w:rsidR="003A36E9">
        <w:rPr>
          <w:rFonts w:ascii="Arial" w:eastAsia="Calibri" w:hAnsi="Arial" w:cs="Arial"/>
          <w:sz w:val="24"/>
          <w:szCs w:val="24"/>
        </w:rPr>
        <w:t>el</w:t>
      </w:r>
      <w:r w:rsidR="00237A1F">
        <w:rPr>
          <w:rFonts w:ascii="Arial" w:eastAsia="Calibri" w:hAnsi="Arial" w:cs="Arial"/>
          <w:sz w:val="24"/>
          <w:szCs w:val="24"/>
        </w:rPr>
        <w:t xml:space="preserve"> </w:t>
      </w:r>
      <w:r w:rsidR="003A36E9">
        <w:rPr>
          <w:rFonts w:ascii="Arial" w:eastAsia="Calibri" w:hAnsi="Arial" w:cs="Arial"/>
          <w:sz w:val="24"/>
          <w:szCs w:val="24"/>
        </w:rPr>
        <w:t>caso bajo estudio</w:t>
      </w:r>
      <w:r>
        <w:rPr>
          <w:rFonts w:ascii="Arial" w:eastAsia="Calibri" w:hAnsi="Arial" w:cs="Arial"/>
          <w:sz w:val="24"/>
          <w:szCs w:val="24"/>
        </w:rPr>
        <w:t xml:space="preserve"> la Dirección Ejecutiva de Administración Judicial solicitó </w:t>
      </w:r>
      <w:r w:rsidR="003A36E9">
        <w:rPr>
          <w:rFonts w:ascii="Arial" w:eastAsia="Calibri" w:hAnsi="Arial" w:cs="Arial"/>
          <w:sz w:val="24"/>
          <w:szCs w:val="24"/>
        </w:rPr>
        <w:t>que se</w:t>
      </w:r>
      <w:r>
        <w:rPr>
          <w:rFonts w:ascii="Arial" w:eastAsia="Calibri" w:hAnsi="Arial" w:cs="Arial"/>
          <w:sz w:val="24"/>
          <w:szCs w:val="24"/>
        </w:rPr>
        <w:t xml:space="preserve"> declara</w:t>
      </w:r>
      <w:r w:rsidR="003A36E9">
        <w:rPr>
          <w:rFonts w:ascii="Arial" w:eastAsia="Calibri" w:hAnsi="Arial" w:cs="Arial"/>
          <w:sz w:val="24"/>
          <w:szCs w:val="24"/>
        </w:rPr>
        <w:t>ra</w:t>
      </w:r>
      <w:r>
        <w:rPr>
          <w:rFonts w:ascii="Arial" w:eastAsia="Calibri" w:hAnsi="Arial" w:cs="Arial"/>
          <w:sz w:val="24"/>
          <w:szCs w:val="24"/>
        </w:rPr>
        <w:t xml:space="preserve"> de nulidad de </w:t>
      </w:r>
      <w:r w:rsidR="003362E0">
        <w:rPr>
          <w:rFonts w:ascii="Arial" w:eastAsia="Calibri" w:hAnsi="Arial" w:cs="Arial"/>
          <w:sz w:val="24"/>
          <w:szCs w:val="24"/>
        </w:rPr>
        <w:t>todo lo</w:t>
      </w:r>
      <w:r>
        <w:rPr>
          <w:rFonts w:ascii="Arial" w:eastAsia="Calibri" w:hAnsi="Arial" w:cs="Arial"/>
          <w:sz w:val="24"/>
          <w:szCs w:val="24"/>
        </w:rPr>
        <w:t xml:space="preserve"> actuado </w:t>
      </w:r>
      <w:r w:rsidR="003835F1">
        <w:rPr>
          <w:rFonts w:ascii="Arial" w:eastAsia="Calibri" w:hAnsi="Arial" w:cs="Arial"/>
          <w:sz w:val="24"/>
          <w:szCs w:val="24"/>
        </w:rPr>
        <w:t>dentro</w:t>
      </w:r>
      <w:r>
        <w:rPr>
          <w:rFonts w:ascii="Arial" w:eastAsia="Calibri" w:hAnsi="Arial" w:cs="Arial"/>
          <w:sz w:val="24"/>
          <w:szCs w:val="24"/>
        </w:rPr>
        <w:t xml:space="preserve"> de</w:t>
      </w:r>
      <w:r w:rsidR="003A36E9">
        <w:rPr>
          <w:rFonts w:ascii="Arial" w:eastAsia="Calibri" w:hAnsi="Arial" w:cs="Arial"/>
          <w:sz w:val="24"/>
          <w:szCs w:val="24"/>
        </w:rPr>
        <w:t xml:space="preserve">l trámite </w:t>
      </w:r>
      <w:r>
        <w:rPr>
          <w:rFonts w:ascii="Arial" w:eastAsia="Calibri" w:hAnsi="Arial" w:cs="Arial"/>
          <w:sz w:val="24"/>
          <w:szCs w:val="24"/>
        </w:rPr>
        <w:t>de</w:t>
      </w:r>
      <w:r w:rsidR="003A36E9">
        <w:rPr>
          <w:rFonts w:ascii="Arial" w:eastAsia="Calibri" w:hAnsi="Arial" w:cs="Arial"/>
          <w:sz w:val="24"/>
          <w:szCs w:val="24"/>
        </w:rPr>
        <w:t xml:space="preserve"> la</w:t>
      </w:r>
      <w:r>
        <w:rPr>
          <w:rFonts w:ascii="Arial" w:eastAsia="Calibri" w:hAnsi="Arial" w:cs="Arial"/>
          <w:sz w:val="24"/>
          <w:szCs w:val="24"/>
        </w:rPr>
        <w:t xml:space="preserve"> tutela promovida por Jorge Eduardo Ferreira Vargas</w:t>
      </w:r>
      <w:r w:rsidR="003835F1">
        <w:rPr>
          <w:rFonts w:ascii="Arial" w:eastAsia="Calibri" w:hAnsi="Arial" w:cs="Arial"/>
          <w:sz w:val="24"/>
          <w:szCs w:val="24"/>
        </w:rPr>
        <w:t xml:space="preserve"> en su contra, por violación </w:t>
      </w:r>
      <w:r w:rsidR="003A36E9">
        <w:rPr>
          <w:rFonts w:ascii="Arial" w:eastAsia="Calibri" w:hAnsi="Arial" w:cs="Arial"/>
          <w:sz w:val="24"/>
          <w:szCs w:val="24"/>
        </w:rPr>
        <w:t>de</w:t>
      </w:r>
      <w:r w:rsidR="003835F1">
        <w:rPr>
          <w:rFonts w:ascii="Arial" w:eastAsia="Calibri" w:hAnsi="Arial" w:cs="Arial"/>
          <w:sz w:val="24"/>
          <w:szCs w:val="24"/>
        </w:rPr>
        <w:t>l debido proceso</w:t>
      </w:r>
      <w:r w:rsidR="003A36E9">
        <w:rPr>
          <w:rFonts w:ascii="Arial" w:eastAsia="Calibri" w:hAnsi="Arial" w:cs="Arial"/>
          <w:sz w:val="24"/>
          <w:szCs w:val="24"/>
        </w:rPr>
        <w:t>,</w:t>
      </w:r>
      <w:r w:rsidR="003835F1">
        <w:rPr>
          <w:rFonts w:ascii="Arial" w:eastAsia="Calibri" w:hAnsi="Arial" w:cs="Arial"/>
          <w:sz w:val="24"/>
          <w:szCs w:val="24"/>
        </w:rPr>
        <w:t xml:space="preserve"> como consecuencia de la indebida notificación del auto admisorio </w:t>
      </w:r>
      <w:r w:rsidR="003A36E9">
        <w:rPr>
          <w:rFonts w:ascii="Arial" w:eastAsia="Calibri" w:hAnsi="Arial" w:cs="Arial"/>
          <w:sz w:val="24"/>
          <w:szCs w:val="24"/>
        </w:rPr>
        <w:t xml:space="preserve">que </w:t>
      </w:r>
      <w:r w:rsidR="003835F1">
        <w:rPr>
          <w:rFonts w:ascii="Arial" w:eastAsia="Calibri" w:hAnsi="Arial" w:cs="Arial"/>
          <w:sz w:val="24"/>
          <w:szCs w:val="24"/>
        </w:rPr>
        <w:t xml:space="preserve">le impidió </w:t>
      </w:r>
      <w:r w:rsidR="003A36E9">
        <w:rPr>
          <w:rFonts w:ascii="Arial" w:eastAsia="Calibri" w:hAnsi="Arial" w:cs="Arial"/>
          <w:sz w:val="24"/>
          <w:szCs w:val="24"/>
        </w:rPr>
        <w:t xml:space="preserve">ejercer sus derechos de defensa y contradicción. </w:t>
      </w:r>
    </w:p>
    <w:p w14:paraId="5A642AA9" w14:textId="3ECC2B92" w:rsidR="003835F1" w:rsidRDefault="00CA7801" w:rsidP="000D7F37">
      <w:pPr>
        <w:widowControl w:val="0"/>
        <w:spacing w:before="240" w:line="240" w:lineRule="auto"/>
        <w:jc w:val="both"/>
        <w:rPr>
          <w:rFonts w:ascii="Arial" w:eastAsia="Calibri" w:hAnsi="Arial" w:cs="Arial"/>
          <w:sz w:val="24"/>
          <w:szCs w:val="24"/>
        </w:rPr>
      </w:pPr>
      <w:r>
        <w:rPr>
          <w:rFonts w:ascii="Arial" w:eastAsia="Calibri" w:hAnsi="Arial" w:cs="Arial"/>
          <w:sz w:val="24"/>
          <w:szCs w:val="24"/>
        </w:rPr>
        <w:t>Pues bie</w:t>
      </w:r>
      <w:r w:rsidR="00F377F3">
        <w:rPr>
          <w:rFonts w:ascii="Arial" w:eastAsia="Calibri" w:hAnsi="Arial" w:cs="Arial"/>
          <w:sz w:val="24"/>
          <w:szCs w:val="24"/>
        </w:rPr>
        <w:t>n, una vez</w:t>
      </w:r>
      <w:r w:rsidR="007567C7">
        <w:rPr>
          <w:rFonts w:ascii="Arial" w:eastAsia="Calibri" w:hAnsi="Arial" w:cs="Arial"/>
          <w:sz w:val="24"/>
          <w:szCs w:val="24"/>
        </w:rPr>
        <w:t xml:space="preserve"> </w:t>
      </w:r>
      <w:r w:rsidR="003A36E9">
        <w:rPr>
          <w:rFonts w:ascii="Arial" w:eastAsia="Calibri" w:hAnsi="Arial" w:cs="Arial"/>
          <w:sz w:val="24"/>
          <w:szCs w:val="24"/>
        </w:rPr>
        <w:t xml:space="preserve">la Sala </w:t>
      </w:r>
      <w:r w:rsidR="00F377F3">
        <w:rPr>
          <w:rFonts w:ascii="Arial" w:eastAsia="Calibri" w:hAnsi="Arial" w:cs="Arial"/>
          <w:sz w:val="24"/>
          <w:szCs w:val="24"/>
        </w:rPr>
        <w:t xml:space="preserve">revisó las actuaciones contenidas en el expediente digital de tutela en Samai, </w:t>
      </w:r>
      <w:r w:rsidR="00495CFA">
        <w:rPr>
          <w:rFonts w:ascii="Arial" w:eastAsia="Calibri" w:hAnsi="Arial" w:cs="Arial"/>
          <w:sz w:val="24"/>
          <w:szCs w:val="24"/>
        </w:rPr>
        <w:t>en</w:t>
      </w:r>
      <w:r w:rsidR="00F377F3">
        <w:rPr>
          <w:rFonts w:ascii="Arial" w:eastAsia="Calibri" w:hAnsi="Arial" w:cs="Arial"/>
          <w:sz w:val="24"/>
          <w:szCs w:val="24"/>
        </w:rPr>
        <w:t>contró que, en el índice 18, obran constancias de que e</w:t>
      </w:r>
      <w:r w:rsidR="007567C7">
        <w:rPr>
          <w:rFonts w:ascii="Arial" w:eastAsia="Calibri" w:hAnsi="Arial" w:cs="Arial"/>
          <w:sz w:val="24"/>
          <w:szCs w:val="24"/>
        </w:rPr>
        <w:t xml:space="preserve">l auto admisorio </w:t>
      </w:r>
      <w:r w:rsidR="0031259E">
        <w:rPr>
          <w:rFonts w:ascii="Arial" w:eastAsia="Calibri" w:hAnsi="Arial" w:cs="Arial"/>
          <w:sz w:val="24"/>
          <w:szCs w:val="24"/>
        </w:rPr>
        <w:t>d</w:t>
      </w:r>
      <w:r w:rsidR="007567C7">
        <w:rPr>
          <w:rFonts w:ascii="Arial" w:eastAsia="Calibri" w:hAnsi="Arial" w:cs="Arial"/>
          <w:sz w:val="24"/>
          <w:szCs w:val="24"/>
        </w:rPr>
        <w:t xml:space="preserve">el 30 de septiembre de 2021, fue notificado </w:t>
      </w:r>
      <w:r w:rsidR="003A36E9">
        <w:rPr>
          <w:rFonts w:ascii="Arial" w:eastAsia="Calibri" w:hAnsi="Arial" w:cs="Arial"/>
          <w:sz w:val="24"/>
          <w:szCs w:val="24"/>
        </w:rPr>
        <w:t xml:space="preserve">por la Secretaría general del Consejo de Estado </w:t>
      </w:r>
      <w:r w:rsidR="007567C7">
        <w:rPr>
          <w:rFonts w:ascii="Arial" w:eastAsia="Calibri" w:hAnsi="Arial" w:cs="Arial"/>
          <w:sz w:val="24"/>
          <w:szCs w:val="24"/>
        </w:rPr>
        <w:t xml:space="preserve">a la Dirección Ejecutiva de Administración Judicial, mediante </w:t>
      </w:r>
      <w:r w:rsidR="003A36E9">
        <w:rPr>
          <w:rFonts w:ascii="Arial" w:eastAsia="Calibri" w:hAnsi="Arial" w:cs="Arial"/>
          <w:sz w:val="24"/>
          <w:szCs w:val="24"/>
        </w:rPr>
        <w:t>mensaje de datos enviado el 5 de octubre de 2021, a la dirección</w:t>
      </w:r>
      <w:r w:rsidR="007567C7">
        <w:rPr>
          <w:rFonts w:ascii="Arial" w:eastAsia="Calibri" w:hAnsi="Arial" w:cs="Arial"/>
          <w:sz w:val="24"/>
          <w:szCs w:val="24"/>
        </w:rPr>
        <w:t xml:space="preserve"> electrónic</w:t>
      </w:r>
      <w:r w:rsidR="003A36E9">
        <w:rPr>
          <w:rFonts w:ascii="Arial" w:eastAsia="Calibri" w:hAnsi="Arial" w:cs="Arial"/>
          <w:sz w:val="24"/>
          <w:szCs w:val="24"/>
        </w:rPr>
        <w:t>a</w:t>
      </w:r>
      <w:r w:rsidR="007567C7">
        <w:rPr>
          <w:rFonts w:ascii="Arial" w:eastAsia="Calibri" w:hAnsi="Arial" w:cs="Arial"/>
          <w:sz w:val="24"/>
          <w:szCs w:val="24"/>
        </w:rPr>
        <w:t xml:space="preserve"> </w:t>
      </w:r>
      <w:r w:rsidR="0031259E" w:rsidRPr="003362E0">
        <w:rPr>
          <w:rFonts w:ascii="Arial" w:eastAsia="Calibri" w:hAnsi="Arial" w:cs="Arial"/>
          <w:b/>
          <w:bCs/>
          <w:sz w:val="24"/>
          <w:szCs w:val="24"/>
        </w:rPr>
        <w:t>deajnotif@deaj.ramajudicial.gov.co</w:t>
      </w:r>
      <w:r w:rsidR="0031259E" w:rsidRPr="00C171B7">
        <w:rPr>
          <w:rFonts w:ascii="Arial" w:eastAsia="Calibri" w:hAnsi="Arial" w:cs="Arial"/>
          <w:sz w:val="24"/>
          <w:szCs w:val="24"/>
          <w:vertAlign w:val="superscript"/>
        </w:rPr>
        <w:footnoteReference w:id="10"/>
      </w:r>
      <w:r w:rsidR="00F377F3">
        <w:rPr>
          <w:rFonts w:ascii="Arial" w:eastAsia="Calibri" w:hAnsi="Arial" w:cs="Arial"/>
          <w:sz w:val="24"/>
          <w:szCs w:val="24"/>
        </w:rPr>
        <w:t xml:space="preserve">: </w:t>
      </w:r>
    </w:p>
    <w:p w14:paraId="1E0C522F" w14:textId="0DCA9BDE" w:rsidR="00B1316C" w:rsidRDefault="005D61F8" w:rsidP="005D61F8">
      <w:pPr>
        <w:widowControl w:val="0"/>
        <w:spacing w:before="240" w:line="240" w:lineRule="auto"/>
        <w:jc w:val="center"/>
        <w:rPr>
          <w:rFonts w:ascii="Arial" w:eastAsia="Calibri" w:hAnsi="Arial" w:cs="Arial"/>
          <w:sz w:val="24"/>
          <w:szCs w:val="24"/>
        </w:rPr>
      </w:pPr>
      <w:r>
        <w:rPr>
          <w:noProof/>
        </w:rPr>
        <w:lastRenderedPageBreak/>
        <mc:AlternateContent>
          <mc:Choice Requires="wps">
            <w:drawing>
              <wp:anchor distT="0" distB="0" distL="114300" distR="114300" simplePos="0" relativeHeight="251663360" behindDoc="0" locked="0" layoutInCell="1" allowOverlap="1" wp14:anchorId="79B4A198" wp14:editId="5A0450A3">
                <wp:simplePos x="0" y="0"/>
                <wp:positionH relativeFrom="column">
                  <wp:posOffset>3467372</wp:posOffset>
                </wp:positionH>
                <wp:positionV relativeFrom="paragraph">
                  <wp:posOffset>927553</wp:posOffset>
                </wp:positionV>
                <wp:extent cx="1164772" cy="163286"/>
                <wp:effectExtent l="19050" t="19050" r="16510" b="46355"/>
                <wp:wrapNone/>
                <wp:docPr id="10" name="Flecha: hacia la izquierda 10"/>
                <wp:cNvGraphicFramePr/>
                <a:graphic xmlns:a="http://schemas.openxmlformats.org/drawingml/2006/main">
                  <a:graphicData uri="http://schemas.microsoft.com/office/word/2010/wordprocessingShape">
                    <wps:wsp>
                      <wps:cNvSpPr/>
                      <wps:spPr>
                        <a:xfrm>
                          <a:off x="0" y="0"/>
                          <a:ext cx="1164772" cy="163286"/>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xmlns:oel="http://schemas.microsoft.com/office/2019/extlst">
            <w:pict>
              <v:shapetype w14:anchorId="336B82F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10" o:spid="_x0000_s1026" type="#_x0000_t66" style="position:absolute;margin-left:273pt;margin-top:73.05pt;width:91.7pt;height:12.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" adj="1514" fillcolor="#5b9bd5 [3204]" strokecolor="#1f4d78 [1604]" strokeweight="1pt"/>
            </w:pict>
          </mc:Fallback>
        </mc:AlternateContent>
      </w:r>
      <w:r w:rsidR="00495CFA">
        <w:rPr>
          <w:noProof/>
        </w:rPr>
        <mc:AlternateContent>
          <mc:Choice Requires="wps">
            <w:drawing>
              <wp:anchor distT="0" distB="0" distL="114300" distR="114300" simplePos="0" relativeHeight="251659264" behindDoc="0" locked="0" layoutInCell="1" allowOverlap="1" wp14:anchorId="62D99F7F" wp14:editId="23F8BF6B">
                <wp:simplePos x="0" y="0"/>
                <wp:positionH relativeFrom="column">
                  <wp:posOffset>4094934</wp:posOffset>
                </wp:positionH>
                <wp:positionV relativeFrom="paragraph">
                  <wp:posOffset>2086882</wp:posOffset>
                </wp:positionV>
                <wp:extent cx="1164772" cy="163286"/>
                <wp:effectExtent l="19050" t="19050" r="16510" b="46355"/>
                <wp:wrapNone/>
                <wp:docPr id="7" name="Flecha: hacia la izquierda 7"/>
                <wp:cNvGraphicFramePr/>
                <a:graphic xmlns:a="http://schemas.openxmlformats.org/drawingml/2006/main">
                  <a:graphicData uri="http://schemas.microsoft.com/office/word/2010/wordprocessingShape">
                    <wps:wsp>
                      <wps:cNvSpPr/>
                      <wps:spPr>
                        <a:xfrm>
                          <a:off x="0" y="0"/>
                          <a:ext cx="1164772" cy="163286"/>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xmlns:oel="http://schemas.microsoft.com/office/2019/extlst">
            <w:pict>
              <v:shape w14:anchorId="2178345D" id="Flecha: hacia la izquierda 7" o:spid="_x0000_s1026" type="#_x0000_t66" style="position:absolute;margin-left:322.45pt;margin-top:164.3pt;width:91.7pt;height:12.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" adj="1514" fillcolor="#5b9bd5 [3204]" strokecolor="#1f4d78 [1604]" strokeweight="1pt"/>
            </w:pict>
          </mc:Fallback>
        </mc:AlternateContent>
      </w:r>
      <w:r w:rsidR="00495CFA">
        <w:rPr>
          <w:noProof/>
        </w:rPr>
        <w:drawing>
          <wp:inline distT="0" distB="0" distL="0" distR="0" wp14:anchorId="0D2F85AB" wp14:editId="078CE1FA">
            <wp:extent cx="4857750" cy="2551629"/>
            <wp:effectExtent l="19050" t="19050" r="19050" b="203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91322" cy="2569263"/>
                    </a:xfrm>
                    <a:prstGeom prst="rect">
                      <a:avLst/>
                    </a:prstGeom>
                    <a:ln>
                      <a:solidFill>
                        <a:schemeClr val="tx1"/>
                      </a:solidFill>
                    </a:ln>
                  </pic:spPr>
                </pic:pic>
              </a:graphicData>
            </a:graphic>
          </wp:inline>
        </w:drawing>
      </w:r>
    </w:p>
    <w:p w14:paraId="3D569F4B" w14:textId="30CA52F7" w:rsidR="00B1316C" w:rsidRDefault="005D61F8" w:rsidP="005D61F8">
      <w:pPr>
        <w:widowControl w:val="0"/>
        <w:spacing w:before="240" w:line="240" w:lineRule="auto"/>
        <w:jc w:val="center"/>
        <w:rPr>
          <w:rFonts w:ascii="Arial" w:eastAsia="Calibri" w:hAnsi="Arial" w:cs="Arial"/>
          <w:sz w:val="24"/>
          <w:szCs w:val="24"/>
        </w:rPr>
      </w:pPr>
      <w:r>
        <w:rPr>
          <w:noProof/>
        </w:rPr>
        <mc:AlternateContent>
          <mc:Choice Requires="wps">
            <w:drawing>
              <wp:anchor distT="0" distB="0" distL="114300" distR="114300" simplePos="0" relativeHeight="251665408" behindDoc="0" locked="0" layoutInCell="1" allowOverlap="1" wp14:anchorId="59606C8E" wp14:editId="508295A2">
                <wp:simplePos x="0" y="0"/>
                <wp:positionH relativeFrom="column">
                  <wp:posOffset>3118213</wp:posOffset>
                </wp:positionH>
                <wp:positionV relativeFrom="paragraph">
                  <wp:posOffset>954224</wp:posOffset>
                </wp:positionV>
                <wp:extent cx="1164772" cy="163286"/>
                <wp:effectExtent l="19050" t="19050" r="16510" b="46355"/>
                <wp:wrapNone/>
                <wp:docPr id="12" name="Flecha: hacia la izquierda 12"/>
                <wp:cNvGraphicFramePr/>
                <a:graphic xmlns:a="http://schemas.openxmlformats.org/drawingml/2006/main">
                  <a:graphicData uri="http://schemas.microsoft.com/office/word/2010/wordprocessingShape">
                    <wps:wsp>
                      <wps:cNvSpPr/>
                      <wps:spPr>
                        <a:xfrm>
                          <a:off x="0" y="0"/>
                          <a:ext cx="1164772" cy="163286"/>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xmlns:oel="http://schemas.microsoft.com/office/2019/extlst">
            <w:pict>
              <v:shape w14:anchorId="450C1598" id="Flecha: hacia la izquierda 12" o:spid="_x0000_s1026" type="#_x0000_t66" style="position:absolute;margin-left:245.55pt;margin-top:75.15pt;width:91.7pt;height:12.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" adj="1514" fillcolor="#5b9bd5 [3204]" strokecolor="#1f4d78 [1604]" strokeweight="1pt"/>
            </w:pict>
          </mc:Fallback>
        </mc:AlternateContent>
      </w:r>
      <w:r>
        <w:rPr>
          <w:noProof/>
        </w:rPr>
        <mc:AlternateContent>
          <mc:Choice Requires="wps">
            <w:drawing>
              <wp:anchor distT="0" distB="0" distL="114300" distR="114300" simplePos="0" relativeHeight="251661312" behindDoc="0" locked="0" layoutInCell="1" allowOverlap="1" wp14:anchorId="557E6EC0" wp14:editId="5D8242F7">
                <wp:simplePos x="0" y="0"/>
                <wp:positionH relativeFrom="column">
                  <wp:posOffset>3668577</wp:posOffset>
                </wp:positionH>
                <wp:positionV relativeFrom="paragraph">
                  <wp:posOffset>1591582</wp:posOffset>
                </wp:positionV>
                <wp:extent cx="1164772" cy="163286"/>
                <wp:effectExtent l="19050" t="19050" r="16510" b="46355"/>
                <wp:wrapNone/>
                <wp:docPr id="9" name="Flecha: hacia la izquierda 9"/>
                <wp:cNvGraphicFramePr/>
                <a:graphic xmlns:a="http://schemas.openxmlformats.org/drawingml/2006/main">
                  <a:graphicData uri="http://schemas.microsoft.com/office/word/2010/wordprocessingShape">
                    <wps:wsp>
                      <wps:cNvSpPr/>
                      <wps:spPr>
                        <a:xfrm>
                          <a:off x="0" y="0"/>
                          <a:ext cx="1164772" cy="163286"/>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xmlns:oel="http://schemas.microsoft.com/office/2019/extlst">
            <w:pict>
              <v:shape w14:anchorId="530CA4D7" id="Flecha: hacia la izquierda 9" o:spid="_x0000_s1026" type="#_x0000_t66" style="position:absolute;margin-left:288.85pt;margin-top:125.3pt;width:91.7pt;height:12.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" adj="1514" fillcolor="#5b9bd5 [3204]" strokecolor="#1f4d78 [1604]" strokeweight="1pt"/>
            </w:pict>
          </mc:Fallback>
        </mc:AlternateContent>
      </w:r>
      <w:r>
        <w:rPr>
          <w:noProof/>
        </w:rPr>
        <w:drawing>
          <wp:inline distT="0" distB="0" distL="0" distR="0" wp14:anchorId="58E4D57C" wp14:editId="5B3802CE">
            <wp:extent cx="4866217" cy="2577872"/>
            <wp:effectExtent l="19050" t="19050" r="10795" b="133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12641" cy="2602465"/>
                    </a:xfrm>
                    <a:prstGeom prst="rect">
                      <a:avLst/>
                    </a:prstGeom>
                    <a:ln>
                      <a:solidFill>
                        <a:schemeClr val="tx1"/>
                      </a:solidFill>
                    </a:ln>
                  </pic:spPr>
                </pic:pic>
              </a:graphicData>
            </a:graphic>
          </wp:inline>
        </w:drawing>
      </w:r>
    </w:p>
    <w:p w14:paraId="418F6776" w14:textId="4E4B1CBB" w:rsidR="00B1316C" w:rsidRDefault="005D61F8" w:rsidP="000D7F37">
      <w:pPr>
        <w:widowControl w:val="0"/>
        <w:spacing w:before="240" w:line="240" w:lineRule="auto"/>
        <w:jc w:val="both"/>
        <w:rPr>
          <w:rFonts w:ascii="Arial" w:eastAsia="Calibri" w:hAnsi="Arial" w:cs="Arial"/>
          <w:sz w:val="24"/>
          <w:szCs w:val="24"/>
        </w:rPr>
      </w:pPr>
      <w:r>
        <w:rPr>
          <w:rFonts w:ascii="Arial" w:eastAsia="Calibri" w:hAnsi="Arial" w:cs="Arial"/>
          <w:sz w:val="24"/>
          <w:szCs w:val="24"/>
        </w:rPr>
        <w:t>A</w:t>
      </w:r>
      <w:r w:rsidR="00BE117C">
        <w:rPr>
          <w:rFonts w:ascii="Arial" w:eastAsia="Calibri" w:hAnsi="Arial" w:cs="Arial"/>
          <w:sz w:val="24"/>
          <w:szCs w:val="24"/>
        </w:rPr>
        <w:t xml:space="preserve">demás, </w:t>
      </w:r>
      <w:r w:rsidR="00336921">
        <w:rPr>
          <w:rFonts w:ascii="Arial" w:eastAsia="Calibri" w:hAnsi="Arial" w:cs="Arial"/>
          <w:sz w:val="24"/>
          <w:szCs w:val="24"/>
        </w:rPr>
        <w:t>que,</w:t>
      </w:r>
      <w:r w:rsidR="00BE117C">
        <w:rPr>
          <w:rFonts w:ascii="Arial" w:eastAsia="Calibri" w:hAnsi="Arial" w:cs="Arial"/>
          <w:sz w:val="24"/>
          <w:szCs w:val="24"/>
        </w:rPr>
        <w:t xml:space="preserve"> a</w:t>
      </w:r>
      <w:r>
        <w:rPr>
          <w:rFonts w:ascii="Arial" w:eastAsia="Calibri" w:hAnsi="Arial" w:cs="Arial"/>
          <w:sz w:val="24"/>
          <w:szCs w:val="24"/>
        </w:rPr>
        <w:t>l referido mensaje de datos</w:t>
      </w:r>
      <w:r w:rsidR="00BE117C">
        <w:rPr>
          <w:rFonts w:ascii="Arial" w:eastAsia="Calibri" w:hAnsi="Arial" w:cs="Arial"/>
          <w:sz w:val="24"/>
          <w:szCs w:val="24"/>
        </w:rPr>
        <w:t xml:space="preserve"> del 5 de octubre de 2021</w:t>
      </w:r>
      <w:r>
        <w:rPr>
          <w:rFonts w:ascii="Arial" w:eastAsia="Calibri" w:hAnsi="Arial" w:cs="Arial"/>
          <w:sz w:val="24"/>
          <w:szCs w:val="24"/>
        </w:rPr>
        <w:t>, la Secretaría General del Consejo de Estado adjuntó dos documentos, correspondientes al escrito de tutela, en formato PDF, y al auto admisorio</w:t>
      </w:r>
      <w:r w:rsidR="00BE117C">
        <w:rPr>
          <w:rFonts w:ascii="Arial" w:eastAsia="Calibri" w:hAnsi="Arial" w:cs="Arial"/>
          <w:sz w:val="24"/>
          <w:szCs w:val="24"/>
        </w:rPr>
        <w:t xml:space="preserve"> del 30 de septiembre del mismo año</w:t>
      </w:r>
      <w:r>
        <w:rPr>
          <w:rFonts w:ascii="Arial" w:eastAsia="Calibri" w:hAnsi="Arial" w:cs="Arial"/>
          <w:sz w:val="24"/>
          <w:szCs w:val="24"/>
        </w:rPr>
        <w:t xml:space="preserve">, en formato Word: </w:t>
      </w:r>
    </w:p>
    <w:p w14:paraId="6C2195CD" w14:textId="5100A0E1" w:rsidR="00C53FAA" w:rsidRDefault="00C53FAA" w:rsidP="00C53FAA">
      <w:pPr>
        <w:widowControl w:val="0"/>
        <w:spacing w:before="240" w:line="240" w:lineRule="auto"/>
        <w:jc w:val="center"/>
        <w:rPr>
          <w:rFonts w:ascii="Arial" w:eastAsia="Calibri" w:hAnsi="Arial" w:cs="Arial"/>
          <w:sz w:val="24"/>
          <w:szCs w:val="24"/>
        </w:rPr>
      </w:pPr>
      <w:r>
        <w:rPr>
          <w:noProof/>
        </w:rPr>
        <w:drawing>
          <wp:inline distT="0" distB="0" distL="0" distR="0" wp14:anchorId="5030FC34" wp14:editId="6A260E54">
            <wp:extent cx="4900930" cy="2631017"/>
            <wp:effectExtent l="19050" t="19050" r="13970" b="171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51924"/>
                    <a:stretch/>
                  </pic:blipFill>
                  <pic:spPr bwMode="auto">
                    <a:xfrm>
                      <a:off x="0" y="0"/>
                      <a:ext cx="4907888" cy="263475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2D73585" w14:textId="47C5B021" w:rsidR="005D61F8" w:rsidRDefault="005D61F8" w:rsidP="005D61F8">
      <w:pPr>
        <w:widowControl w:val="0"/>
        <w:spacing w:before="240" w:line="240" w:lineRule="auto"/>
        <w:jc w:val="center"/>
        <w:rPr>
          <w:rFonts w:ascii="Arial" w:eastAsia="Calibri" w:hAnsi="Arial" w:cs="Arial"/>
          <w:sz w:val="24"/>
          <w:szCs w:val="24"/>
        </w:rPr>
      </w:pPr>
      <w:r>
        <w:rPr>
          <w:noProof/>
        </w:rPr>
        <w:lastRenderedPageBreak/>
        <w:drawing>
          <wp:inline distT="0" distB="0" distL="0" distR="0" wp14:anchorId="72EBBDFD" wp14:editId="231A6C9E">
            <wp:extent cx="4900930" cy="2706166"/>
            <wp:effectExtent l="19050" t="19050" r="13970" b="184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50551"/>
                    <a:stretch/>
                  </pic:blipFill>
                  <pic:spPr bwMode="auto">
                    <a:xfrm>
                      <a:off x="0" y="0"/>
                      <a:ext cx="4907888" cy="271000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93305A8" w14:textId="44C4C709" w:rsidR="00C171B7" w:rsidRPr="00237A1F" w:rsidRDefault="00BE117C" w:rsidP="000D7F37">
      <w:pPr>
        <w:widowControl w:val="0"/>
        <w:spacing w:before="240" w:line="240" w:lineRule="auto"/>
        <w:jc w:val="both"/>
        <w:rPr>
          <w:rFonts w:ascii="Arial" w:eastAsia="Calibri" w:hAnsi="Arial" w:cs="Arial"/>
          <w:sz w:val="24"/>
          <w:szCs w:val="24"/>
          <w:lang w:eastAsia="es-ES_tradnl"/>
        </w:rPr>
      </w:pPr>
      <w:r>
        <w:rPr>
          <w:rFonts w:ascii="Arial" w:eastAsia="Calibri" w:hAnsi="Arial" w:cs="Arial"/>
          <w:sz w:val="24"/>
          <w:szCs w:val="24"/>
        </w:rPr>
        <w:t xml:space="preserve">De lo expuesto, la Sala </w:t>
      </w:r>
      <w:r w:rsidR="00F34BE7">
        <w:rPr>
          <w:rFonts w:ascii="Arial" w:eastAsia="Calibri" w:hAnsi="Arial" w:cs="Arial"/>
          <w:sz w:val="24"/>
          <w:szCs w:val="24"/>
        </w:rPr>
        <w:t>encuentra que no se configur</w:t>
      </w:r>
      <w:r w:rsidR="00C171B7">
        <w:rPr>
          <w:rFonts w:ascii="Arial" w:eastAsia="Calibri" w:hAnsi="Arial" w:cs="Arial"/>
          <w:sz w:val="24"/>
          <w:szCs w:val="24"/>
        </w:rPr>
        <w:t>ó</w:t>
      </w:r>
      <w:r w:rsidR="00F34BE7">
        <w:rPr>
          <w:rFonts w:ascii="Arial" w:eastAsia="Calibri" w:hAnsi="Arial" w:cs="Arial"/>
          <w:sz w:val="24"/>
          <w:szCs w:val="24"/>
        </w:rPr>
        <w:t xml:space="preserve"> l</w:t>
      </w:r>
      <w:r w:rsidR="00C171B7">
        <w:rPr>
          <w:rFonts w:ascii="Arial" w:eastAsia="Calibri" w:hAnsi="Arial" w:cs="Arial"/>
          <w:sz w:val="24"/>
          <w:szCs w:val="24"/>
        </w:rPr>
        <w:t xml:space="preserve">a irregularidad procesal que adujo </w:t>
      </w:r>
      <w:r w:rsidR="00F34BE7">
        <w:rPr>
          <w:rFonts w:ascii="Arial" w:eastAsia="Calibri" w:hAnsi="Arial" w:cs="Arial"/>
          <w:sz w:val="24"/>
          <w:szCs w:val="24"/>
        </w:rPr>
        <w:t xml:space="preserve">la </w:t>
      </w:r>
      <w:r w:rsidR="00F34BE7">
        <w:rPr>
          <w:rFonts w:ascii="Arial" w:eastAsia="Calibri" w:hAnsi="Arial" w:cs="Arial"/>
          <w:sz w:val="24"/>
          <w:szCs w:val="24"/>
          <w:lang w:eastAsia="es-ES_tradnl"/>
        </w:rPr>
        <w:t xml:space="preserve">Dirección </w:t>
      </w:r>
      <w:r w:rsidR="00F34BE7" w:rsidRPr="00237A1F">
        <w:rPr>
          <w:rFonts w:ascii="Arial" w:eastAsia="Calibri" w:hAnsi="Arial" w:cs="Arial"/>
          <w:sz w:val="24"/>
          <w:szCs w:val="24"/>
          <w:lang w:eastAsia="es-ES_tradnl"/>
        </w:rPr>
        <w:t xml:space="preserve">Ejecutiva de Administración Judicial, en la medida en que </w:t>
      </w:r>
      <w:r w:rsidR="00C171B7" w:rsidRPr="00237A1F">
        <w:rPr>
          <w:rFonts w:ascii="Arial" w:eastAsia="Calibri" w:hAnsi="Arial" w:cs="Arial"/>
          <w:sz w:val="24"/>
          <w:szCs w:val="24"/>
          <w:lang w:eastAsia="es-ES_tradnl"/>
        </w:rPr>
        <w:t>esta</w:t>
      </w:r>
      <w:r w:rsidR="00F34BE7" w:rsidRPr="00237A1F">
        <w:rPr>
          <w:rFonts w:ascii="Arial" w:eastAsia="Calibri" w:hAnsi="Arial" w:cs="Arial"/>
          <w:sz w:val="24"/>
          <w:szCs w:val="24"/>
          <w:lang w:eastAsia="es-ES_tradnl"/>
        </w:rPr>
        <w:t xml:space="preserve"> autoridad, en su condición de accionada dentro del presente trámite constitucional, fue notificada debidamente del auto admisorio, </w:t>
      </w:r>
      <w:r w:rsidR="00C171B7" w:rsidRPr="00237A1F">
        <w:rPr>
          <w:rFonts w:ascii="Arial" w:eastAsia="Calibri" w:hAnsi="Arial" w:cs="Arial"/>
          <w:sz w:val="24"/>
          <w:szCs w:val="24"/>
          <w:lang w:eastAsia="es-ES_tradnl"/>
        </w:rPr>
        <w:t xml:space="preserve">en los términos del artículo 16 del Decreto 2591 de 1991, </w:t>
      </w:r>
      <w:r w:rsidR="00F34BE7" w:rsidRPr="00237A1F">
        <w:rPr>
          <w:rFonts w:ascii="Arial" w:eastAsia="Calibri" w:hAnsi="Arial" w:cs="Arial"/>
          <w:sz w:val="24"/>
          <w:szCs w:val="24"/>
          <w:lang w:eastAsia="es-ES_tradnl"/>
        </w:rPr>
        <w:t xml:space="preserve">con mensaje de datos enviado el 5 de octubre del </w:t>
      </w:r>
      <w:r w:rsidR="00D7594D">
        <w:rPr>
          <w:rFonts w:ascii="Arial" w:eastAsia="Calibri" w:hAnsi="Arial" w:cs="Arial"/>
          <w:sz w:val="24"/>
          <w:szCs w:val="24"/>
          <w:lang w:eastAsia="es-ES_tradnl"/>
        </w:rPr>
        <w:t>2021</w:t>
      </w:r>
      <w:r w:rsidR="00F34BE7" w:rsidRPr="00237A1F">
        <w:rPr>
          <w:rFonts w:ascii="Arial" w:eastAsia="Calibri" w:hAnsi="Arial" w:cs="Arial"/>
          <w:sz w:val="24"/>
          <w:szCs w:val="24"/>
          <w:lang w:eastAsia="es-ES_tradnl"/>
        </w:rPr>
        <w:t xml:space="preserve">, a la dirección electrónica </w:t>
      </w:r>
      <w:r w:rsidR="00C171B7" w:rsidRPr="003362E0">
        <w:rPr>
          <w:rFonts w:ascii="Arial" w:eastAsia="Calibri" w:hAnsi="Arial" w:cs="Arial"/>
          <w:b/>
          <w:bCs/>
          <w:sz w:val="24"/>
          <w:szCs w:val="24"/>
        </w:rPr>
        <w:t>deajnotif@deaj.ramajudicial.gov.co</w:t>
      </w:r>
      <w:r w:rsidR="00C171B7" w:rsidRPr="00237A1F">
        <w:rPr>
          <w:rFonts w:ascii="Arial" w:eastAsia="Calibri" w:hAnsi="Arial" w:cs="Arial"/>
          <w:sz w:val="24"/>
          <w:szCs w:val="24"/>
          <w:lang w:eastAsia="es-ES_tradnl"/>
        </w:rPr>
        <w:t xml:space="preserve">  </w:t>
      </w:r>
      <w:r w:rsidR="00F34BE7" w:rsidRPr="00237A1F">
        <w:rPr>
          <w:rFonts w:ascii="Arial" w:eastAsia="Calibri" w:hAnsi="Arial" w:cs="Arial"/>
          <w:sz w:val="24"/>
          <w:szCs w:val="24"/>
          <w:lang w:eastAsia="es-ES_tradnl"/>
        </w:rPr>
        <w:t xml:space="preserve">que </w:t>
      </w:r>
      <w:r w:rsidR="00D7594D">
        <w:rPr>
          <w:rFonts w:ascii="Arial" w:eastAsia="Calibri" w:hAnsi="Arial" w:cs="Arial"/>
          <w:sz w:val="24"/>
          <w:szCs w:val="24"/>
          <w:lang w:eastAsia="es-ES_tradnl"/>
        </w:rPr>
        <w:t>informó</w:t>
      </w:r>
      <w:r w:rsidR="00C171B7" w:rsidRPr="00237A1F">
        <w:rPr>
          <w:rFonts w:ascii="Arial" w:eastAsia="Calibri" w:hAnsi="Arial" w:cs="Arial"/>
          <w:sz w:val="24"/>
          <w:szCs w:val="24"/>
          <w:lang w:eastAsia="es-ES_tradnl"/>
        </w:rPr>
        <w:t>,</w:t>
      </w:r>
      <w:r w:rsidR="004538A3" w:rsidRPr="00237A1F">
        <w:rPr>
          <w:rFonts w:ascii="Arial" w:eastAsia="Calibri" w:hAnsi="Arial" w:cs="Arial"/>
          <w:sz w:val="24"/>
          <w:szCs w:val="24"/>
          <w:lang w:eastAsia="es-ES_tradnl"/>
        </w:rPr>
        <w:t xml:space="preserve"> </w:t>
      </w:r>
      <w:r w:rsidR="00F34BE7" w:rsidRPr="00237A1F">
        <w:rPr>
          <w:rFonts w:ascii="Arial" w:eastAsia="Calibri" w:hAnsi="Arial" w:cs="Arial"/>
          <w:sz w:val="24"/>
          <w:szCs w:val="24"/>
          <w:lang w:eastAsia="es-ES_tradnl"/>
        </w:rPr>
        <w:t>es de su dominio.</w:t>
      </w:r>
      <w:r w:rsidR="00C171B7" w:rsidRPr="00237A1F">
        <w:rPr>
          <w:rFonts w:ascii="Arial" w:eastAsia="Calibri" w:hAnsi="Arial" w:cs="Arial"/>
          <w:sz w:val="24"/>
          <w:szCs w:val="24"/>
          <w:lang w:eastAsia="es-ES_tradnl"/>
        </w:rPr>
        <w:t xml:space="preserve"> </w:t>
      </w:r>
    </w:p>
    <w:p w14:paraId="7139E444" w14:textId="1144F7D3" w:rsidR="00495CFA" w:rsidRPr="00237A1F" w:rsidRDefault="00237A1F" w:rsidP="000D7F37">
      <w:pPr>
        <w:widowControl w:val="0"/>
        <w:spacing w:before="240" w:line="240" w:lineRule="auto"/>
        <w:jc w:val="both"/>
        <w:rPr>
          <w:rFonts w:ascii="Arial" w:eastAsia="Calibri" w:hAnsi="Arial" w:cs="Arial"/>
          <w:sz w:val="24"/>
          <w:szCs w:val="24"/>
        </w:rPr>
      </w:pPr>
      <w:r w:rsidRPr="00237A1F">
        <w:rPr>
          <w:rFonts w:ascii="Arial" w:eastAsia="Calibri" w:hAnsi="Arial" w:cs="Arial"/>
          <w:sz w:val="24"/>
          <w:szCs w:val="24"/>
          <w:lang w:eastAsia="es-ES_tradnl"/>
        </w:rPr>
        <w:t>En ese orden de ideas</w:t>
      </w:r>
      <w:r w:rsidR="00C171B7" w:rsidRPr="00237A1F">
        <w:rPr>
          <w:rFonts w:ascii="Arial" w:eastAsia="Calibri" w:hAnsi="Arial" w:cs="Arial"/>
          <w:sz w:val="24"/>
          <w:szCs w:val="24"/>
          <w:lang w:eastAsia="es-ES_tradnl"/>
        </w:rPr>
        <w:t xml:space="preserve">, </w:t>
      </w:r>
      <w:r w:rsidR="007749F1">
        <w:rPr>
          <w:rFonts w:ascii="Arial" w:eastAsia="Calibri" w:hAnsi="Arial" w:cs="Arial"/>
          <w:sz w:val="24"/>
          <w:szCs w:val="24"/>
          <w:lang w:eastAsia="es-ES_tradnl"/>
        </w:rPr>
        <w:t xml:space="preserve">dado que le fueron garantizados los derechos fundamentales a la defensa y a la contradicción a la Dirección </w:t>
      </w:r>
      <w:r w:rsidR="007749F1" w:rsidRPr="00237A1F">
        <w:rPr>
          <w:rFonts w:ascii="Arial" w:eastAsia="Calibri" w:hAnsi="Arial" w:cs="Arial"/>
          <w:sz w:val="24"/>
          <w:szCs w:val="24"/>
          <w:lang w:eastAsia="es-ES_tradnl"/>
        </w:rPr>
        <w:t>Ejecutiva de Administración Judicial</w:t>
      </w:r>
      <w:r w:rsidR="007749F1">
        <w:rPr>
          <w:rFonts w:ascii="Arial" w:eastAsia="Calibri" w:hAnsi="Arial" w:cs="Arial"/>
          <w:sz w:val="24"/>
          <w:szCs w:val="24"/>
          <w:lang w:eastAsia="es-ES_tradnl"/>
        </w:rPr>
        <w:t xml:space="preserve">, </w:t>
      </w:r>
      <w:r w:rsidR="00C171B7" w:rsidRPr="00237A1F">
        <w:rPr>
          <w:rFonts w:ascii="Arial" w:eastAsia="Calibri" w:hAnsi="Arial" w:cs="Arial"/>
          <w:sz w:val="24"/>
          <w:szCs w:val="24"/>
          <w:lang w:eastAsia="es-ES_tradnl"/>
        </w:rPr>
        <w:t>esta Judicatura negará la solicitud de nulidad</w:t>
      </w:r>
      <w:r w:rsidRPr="00237A1F">
        <w:rPr>
          <w:rFonts w:ascii="Arial" w:eastAsia="Calibri" w:hAnsi="Arial" w:cs="Arial"/>
          <w:sz w:val="24"/>
          <w:szCs w:val="24"/>
          <w:lang w:eastAsia="es-ES_tradnl"/>
        </w:rPr>
        <w:t>, y, en consecuencia, la petición de medida cautelar</w:t>
      </w:r>
      <w:r w:rsidR="00FC0940">
        <w:rPr>
          <w:rFonts w:ascii="Arial" w:eastAsia="Calibri" w:hAnsi="Arial" w:cs="Arial"/>
          <w:sz w:val="24"/>
          <w:szCs w:val="24"/>
          <w:lang w:eastAsia="es-ES_tradnl"/>
        </w:rPr>
        <w:t>,</w:t>
      </w:r>
      <w:r w:rsidRPr="00237A1F">
        <w:rPr>
          <w:rFonts w:ascii="Arial" w:eastAsia="Calibri" w:hAnsi="Arial" w:cs="Arial"/>
          <w:sz w:val="24"/>
          <w:szCs w:val="24"/>
          <w:lang w:eastAsia="es-ES_tradnl"/>
        </w:rPr>
        <w:t xml:space="preserve"> por las razones expuestas en la presente providencia</w:t>
      </w:r>
      <w:r w:rsidR="00C171B7" w:rsidRPr="00237A1F">
        <w:rPr>
          <w:rFonts w:ascii="Arial" w:eastAsia="Calibri" w:hAnsi="Arial" w:cs="Arial"/>
          <w:sz w:val="24"/>
          <w:szCs w:val="24"/>
          <w:lang w:eastAsia="es-ES_tradnl"/>
        </w:rPr>
        <w:t>.</w:t>
      </w:r>
      <w:r w:rsidRPr="00237A1F">
        <w:rPr>
          <w:rFonts w:ascii="Arial" w:eastAsia="Calibri" w:hAnsi="Arial" w:cs="Arial"/>
          <w:sz w:val="24"/>
          <w:szCs w:val="24"/>
          <w:lang w:eastAsia="es-ES_tradnl"/>
        </w:rPr>
        <w:t xml:space="preserve"> </w:t>
      </w:r>
    </w:p>
    <w:p w14:paraId="7734B011" w14:textId="54EB0B7E" w:rsidR="002A5DEA" w:rsidRPr="00237A1F" w:rsidRDefault="002A5DEA" w:rsidP="000D7F37">
      <w:pPr>
        <w:spacing w:before="240" w:line="240" w:lineRule="auto"/>
        <w:jc w:val="both"/>
        <w:rPr>
          <w:rFonts w:ascii="Arial" w:eastAsia="Calibri" w:hAnsi="Arial" w:cs="Arial"/>
          <w:bCs/>
          <w:sz w:val="24"/>
          <w:szCs w:val="24"/>
        </w:rPr>
      </w:pPr>
      <w:r w:rsidRPr="00237A1F">
        <w:rPr>
          <w:rFonts w:ascii="Arial" w:eastAsia="Calibri" w:hAnsi="Arial" w:cs="Arial"/>
          <w:bCs/>
          <w:sz w:val="24"/>
          <w:szCs w:val="24"/>
        </w:rPr>
        <w:t>En mérito de lo expuesto, la Subsección C de la Sección Tercera del Consejo de Estado,</w:t>
      </w:r>
    </w:p>
    <w:p w14:paraId="3B53653A" w14:textId="77777777" w:rsidR="002A5DEA" w:rsidRPr="00237A1F" w:rsidRDefault="002A5DEA" w:rsidP="000D7F37">
      <w:pPr>
        <w:spacing w:before="240" w:line="240" w:lineRule="auto"/>
        <w:jc w:val="center"/>
        <w:rPr>
          <w:rFonts w:ascii="Arial" w:eastAsia="Calibri" w:hAnsi="Arial" w:cs="Arial"/>
          <w:b/>
          <w:sz w:val="24"/>
          <w:szCs w:val="24"/>
        </w:rPr>
      </w:pPr>
      <w:r w:rsidRPr="00237A1F">
        <w:rPr>
          <w:rFonts w:ascii="Arial" w:eastAsia="Calibri" w:hAnsi="Arial" w:cs="Arial"/>
          <w:b/>
          <w:sz w:val="24"/>
          <w:szCs w:val="24"/>
        </w:rPr>
        <w:t>RESUELVE</w:t>
      </w:r>
    </w:p>
    <w:p w14:paraId="095F2F06" w14:textId="0AE3A0C7" w:rsidR="002A5DEA" w:rsidRPr="00237A1F" w:rsidRDefault="002A5DEA" w:rsidP="000D7F37">
      <w:pPr>
        <w:spacing w:before="240" w:line="240" w:lineRule="auto"/>
        <w:jc w:val="both"/>
        <w:rPr>
          <w:rFonts w:ascii="Arial" w:eastAsia="Calibri" w:hAnsi="Arial" w:cs="Arial"/>
          <w:sz w:val="24"/>
          <w:szCs w:val="24"/>
        </w:rPr>
      </w:pPr>
      <w:r w:rsidRPr="00237A1F">
        <w:rPr>
          <w:rFonts w:ascii="Arial" w:eastAsia="Calibri" w:hAnsi="Arial" w:cs="Arial"/>
          <w:b/>
          <w:sz w:val="24"/>
          <w:szCs w:val="24"/>
        </w:rPr>
        <w:t xml:space="preserve">PRIMERO. </w:t>
      </w:r>
      <w:r w:rsidR="00720D78" w:rsidRPr="00237A1F">
        <w:rPr>
          <w:rFonts w:ascii="Arial" w:eastAsia="Calibri" w:hAnsi="Arial" w:cs="Arial"/>
          <w:b/>
          <w:sz w:val="24"/>
          <w:szCs w:val="24"/>
        </w:rPr>
        <w:t>NEGAR</w:t>
      </w:r>
      <w:r w:rsidRPr="00237A1F">
        <w:rPr>
          <w:rFonts w:ascii="Arial" w:eastAsia="Calibri" w:hAnsi="Arial" w:cs="Arial"/>
          <w:sz w:val="24"/>
          <w:szCs w:val="24"/>
        </w:rPr>
        <w:t xml:space="preserve"> la solicitud de nulidad </w:t>
      </w:r>
      <w:r w:rsidR="00237A1F" w:rsidRPr="00237A1F">
        <w:rPr>
          <w:rFonts w:ascii="Arial" w:eastAsia="Calibri" w:hAnsi="Arial" w:cs="Arial"/>
          <w:sz w:val="24"/>
          <w:szCs w:val="24"/>
        </w:rPr>
        <w:t xml:space="preserve">y de medida cautelar </w:t>
      </w:r>
      <w:r w:rsidRPr="00237A1F">
        <w:rPr>
          <w:rFonts w:ascii="Arial" w:eastAsia="Calibri" w:hAnsi="Arial" w:cs="Arial"/>
          <w:sz w:val="24"/>
          <w:szCs w:val="24"/>
        </w:rPr>
        <w:t xml:space="preserve">presentada por </w:t>
      </w:r>
      <w:r w:rsidR="00F75368" w:rsidRPr="00237A1F">
        <w:rPr>
          <w:rFonts w:ascii="Arial" w:eastAsia="Calibri" w:hAnsi="Arial" w:cs="Arial"/>
          <w:sz w:val="24"/>
          <w:szCs w:val="24"/>
        </w:rPr>
        <w:t>la Dirección Ejecutiva de Administración Judicial</w:t>
      </w:r>
      <w:r w:rsidRPr="00237A1F">
        <w:rPr>
          <w:rFonts w:ascii="Arial" w:eastAsia="Calibri" w:hAnsi="Arial" w:cs="Arial"/>
          <w:sz w:val="24"/>
          <w:szCs w:val="24"/>
        </w:rPr>
        <w:t>.</w:t>
      </w:r>
    </w:p>
    <w:p w14:paraId="239BC190" w14:textId="77777777" w:rsidR="002A5DEA" w:rsidRPr="00237A1F" w:rsidRDefault="002A5DEA" w:rsidP="000D7F37">
      <w:pPr>
        <w:spacing w:before="240" w:line="240" w:lineRule="auto"/>
        <w:jc w:val="both"/>
        <w:rPr>
          <w:rFonts w:ascii="Arial" w:eastAsia="Calibri" w:hAnsi="Arial" w:cs="Arial"/>
          <w:sz w:val="24"/>
          <w:szCs w:val="24"/>
        </w:rPr>
      </w:pPr>
      <w:r w:rsidRPr="00237A1F">
        <w:rPr>
          <w:rFonts w:ascii="Arial" w:eastAsia="Calibri" w:hAnsi="Arial" w:cs="Arial"/>
          <w:b/>
          <w:sz w:val="24"/>
          <w:szCs w:val="24"/>
        </w:rPr>
        <w:t xml:space="preserve">SEGUNDO. </w:t>
      </w:r>
      <w:r w:rsidRPr="00237A1F">
        <w:rPr>
          <w:rFonts w:ascii="Arial" w:eastAsia="Calibri" w:hAnsi="Arial" w:cs="Arial"/>
          <w:b/>
          <w:bCs/>
          <w:sz w:val="24"/>
          <w:szCs w:val="24"/>
        </w:rPr>
        <w:t>NOTIFICAR</w:t>
      </w:r>
      <w:r w:rsidRPr="00237A1F">
        <w:rPr>
          <w:rFonts w:ascii="Arial" w:eastAsia="Calibri" w:hAnsi="Arial" w:cs="Arial"/>
          <w:b/>
          <w:sz w:val="24"/>
          <w:szCs w:val="24"/>
        </w:rPr>
        <w:t xml:space="preserve"> </w:t>
      </w:r>
      <w:r w:rsidRPr="00237A1F">
        <w:rPr>
          <w:rFonts w:ascii="Arial" w:eastAsia="Calibri" w:hAnsi="Arial" w:cs="Arial"/>
          <w:sz w:val="24"/>
          <w:szCs w:val="24"/>
        </w:rPr>
        <w:t>esta decisión a las partes por el medio más expedito posible.</w:t>
      </w:r>
    </w:p>
    <w:p w14:paraId="295D769F" w14:textId="77777777" w:rsidR="002A5DEA" w:rsidRPr="00237A1F" w:rsidRDefault="002A5DEA" w:rsidP="000D7F37">
      <w:pPr>
        <w:spacing w:before="240" w:line="240" w:lineRule="auto"/>
        <w:jc w:val="both"/>
        <w:rPr>
          <w:rFonts w:ascii="Arial" w:eastAsia="Calibri" w:hAnsi="Arial" w:cs="Arial"/>
          <w:sz w:val="24"/>
          <w:szCs w:val="24"/>
        </w:rPr>
      </w:pPr>
      <w:r w:rsidRPr="00237A1F">
        <w:rPr>
          <w:rFonts w:ascii="Arial" w:eastAsia="Calibri" w:hAnsi="Arial" w:cs="Arial"/>
          <w:b/>
          <w:sz w:val="24"/>
          <w:szCs w:val="24"/>
        </w:rPr>
        <w:t xml:space="preserve">TERCERO. ENVIAR </w:t>
      </w:r>
      <w:r w:rsidRPr="00237A1F">
        <w:rPr>
          <w:rFonts w:ascii="Arial" w:eastAsia="Calibri" w:hAnsi="Arial" w:cs="Arial"/>
          <w:sz w:val="24"/>
          <w:szCs w:val="24"/>
        </w:rPr>
        <w:t>el expediente a la Corte Constitucional para su eventual revisión.</w:t>
      </w:r>
    </w:p>
    <w:p w14:paraId="0D7E40D8" w14:textId="6FC9F122" w:rsidR="00A912FF" w:rsidRPr="00237A1F" w:rsidRDefault="002A5DEA" w:rsidP="000D7F37">
      <w:pPr>
        <w:spacing w:before="240" w:line="240" w:lineRule="auto"/>
        <w:jc w:val="both"/>
        <w:rPr>
          <w:rFonts w:ascii="Arial" w:eastAsia="Calibri" w:hAnsi="Arial" w:cs="Arial"/>
          <w:b/>
          <w:bCs/>
          <w:sz w:val="24"/>
          <w:szCs w:val="24"/>
          <w:lang w:val="es-ES"/>
        </w:rPr>
      </w:pPr>
      <w:r w:rsidRPr="00237A1F">
        <w:rPr>
          <w:rFonts w:ascii="Arial" w:eastAsia="Calibri" w:hAnsi="Arial" w:cs="Arial"/>
          <w:b/>
          <w:bCs/>
          <w:sz w:val="24"/>
          <w:szCs w:val="24"/>
          <w:lang w:val="es-ES"/>
        </w:rPr>
        <w:t>Notifíquese y cúmplase,</w:t>
      </w:r>
    </w:p>
    <w:p w14:paraId="31349A04" w14:textId="77777777" w:rsidR="00237A1F" w:rsidRPr="00237A1F" w:rsidRDefault="00237A1F" w:rsidP="000D7F37">
      <w:pPr>
        <w:spacing w:before="240" w:line="240" w:lineRule="auto"/>
        <w:jc w:val="both"/>
        <w:rPr>
          <w:rFonts w:ascii="Arial" w:eastAsia="Calibri" w:hAnsi="Arial" w:cs="Arial"/>
          <w:b/>
          <w:bCs/>
          <w:sz w:val="24"/>
          <w:szCs w:val="24"/>
          <w:lang w:val="es-ES"/>
        </w:rPr>
      </w:pPr>
    </w:p>
    <w:p w14:paraId="6B3E5589" w14:textId="77777777" w:rsidR="00A912FF" w:rsidRPr="00237A1F" w:rsidRDefault="00A912FF" w:rsidP="000D7F37">
      <w:pPr>
        <w:spacing w:after="0" w:line="240" w:lineRule="auto"/>
        <w:jc w:val="center"/>
        <w:rPr>
          <w:rFonts w:ascii="Arial" w:eastAsia="Verdana" w:hAnsi="Arial" w:cs="Arial"/>
          <w:b/>
          <w:sz w:val="24"/>
          <w:szCs w:val="24"/>
        </w:rPr>
      </w:pPr>
      <w:r w:rsidRPr="00237A1F">
        <w:rPr>
          <w:rFonts w:ascii="Arial" w:eastAsia="Verdana" w:hAnsi="Arial" w:cs="Arial"/>
          <w:b/>
          <w:sz w:val="24"/>
          <w:szCs w:val="24"/>
        </w:rPr>
        <w:t>JAIME ENRIQUE RODRÍGUEZ NAVAS</w:t>
      </w:r>
    </w:p>
    <w:p w14:paraId="12C5D986" w14:textId="4A055E40" w:rsidR="00A912FF" w:rsidRPr="00237A1F" w:rsidRDefault="00A912FF" w:rsidP="000D7F37">
      <w:pPr>
        <w:spacing w:line="240" w:lineRule="auto"/>
        <w:jc w:val="center"/>
        <w:rPr>
          <w:rFonts w:ascii="Arial" w:eastAsia="Verdana" w:hAnsi="Arial" w:cs="Arial"/>
          <w:b/>
          <w:sz w:val="24"/>
          <w:szCs w:val="24"/>
        </w:rPr>
      </w:pPr>
      <w:r w:rsidRPr="00237A1F">
        <w:rPr>
          <w:rFonts w:ascii="Arial" w:eastAsia="Verdana" w:hAnsi="Arial" w:cs="Arial"/>
          <w:b/>
          <w:sz w:val="24"/>
          <w:szCs w:val="24"/>
        </w:rPr>
        <w:t>Presidente de Sala</w:t>
      </w:r>
    </w:p>
    <w:p w14:paraId="4B369463" w14:textId="77777777" w:rsidR="00A912FF" w:rsidRPr="00237A1F" w:rsidRDefault="00A912FF" w:rsidP="000D7F37">
      <w:pPr>
        <w:spacing w:line="240" w:lineRule="auto"/>
        <w:jc w:val="center"/>
        <w:rPr>
          <w:rFonts w:ascii="Arial" w:eastAsia="Verdana" w:hAnsi="Arial" w:cs="Arial"/>
          <w:b/>
          <w:sz w:val="24"/>
          <w:szCs w:val="24"/>
        </w:rPr>
      </w:pPr>
    </w:p>
    <w:p w14:paraId="58661412" w14:textId="77777777" w:rsidR="00A912FF" w:rsidRPr="00237A1F" w:rsidRDefault="00A912FF" w:rsidP="000D7F37">
      <w:pPr>
        <w:spacing w:after="0" w:line="240" w:lineRule="auto"/>
        <w:jc w:val="center"/>
        <w:rPr>
          <w:rFonts w:ascii="Arial" w:eastAsia="Verdana" w:hAnsi="Arial" w:cs="Arial"/>
          <w:b/>
          <w:sz w:val="24"/>
          <w:szCs w:val="24"/>
        </w:rPr>
      </w:pPr>
      <w:r w:rsidRPr="00237A1F">
        <w:rPr>
          <w:rFonts w:ascii="Arial" w:eastAsia="Verdana" w:hAnsi="Arial" w:cs="Arial"/>
          <w:b/>
          <w:sz w:val="24"/>
          <w:szCs w:val="24"/>
        </w:rPr>
        <w:t>JUAN CARLOS HENAO PÉREZ</w:t>
      </w:r>
    </w:p>
    <w:p w14:paraId="72A3462E" w14:textId="4AFD8C13" w:rsidR="00A912FF" w:rsidRPr="00237A1F" w:rsidRDefault="00A912FF" w:rsidP="000D7F37">
      <w:pPr>
        <w:spacing w:line="240" w:lineRule="auto"/>
        <w:jc w:val="center"/>
        <w:rPr>
          <w:rFonts w:ascii="Arial" w:eastAsia="Verdana" w:hAnsi="Arial" w:cs="Arial"/>
          <w:b/>
          <w:sz w:val="24"/>
          <w:szCs w:val="24"/>
        </w:rPr>
      </w:pPr>
      <w:r w:rsidRPr="00237A1F">
        <w:rPr>
          <w:rFonts w:ascii="Arial" w:eastAsia="Verdana" w:hAnsi="Arial" w:cs="Arial"/>
          <w:b/>
          <w:sz w:val="24"/>
          <w:szCs w:val="24"/>
        </w:rPr>
        <w:t>Conjuez</w:t>
      </w:r>
    </w:p>
    <w:p w14:paraId="29250F28" w14:textId="77777777" w:rsidR="00A912FF" w:rsidRPr="00237A1F" w:rsidRDefault="00A912FF" w:rsidP="000D7F37">
      <w:pPr>
        <w:spacing w:line="240" w:lineRule="auto"/>
        <w:jc w:val="center"/>
        <w:rPr>
          <w:rFonts w:ascii="Arial" w:eastAsia="Verdana" w:hAnsi="Arial" w:cs="Arial"/>
          <w:b/>
          <w:sz w:val="24"/>
          <w:szCs w:val="24"/>
        </w:rPr>
      </w:pPr>
    </w:p>
    <w:p w14:paraId="0DC341A2" w14:textId="77777777" w:rsidR="00A912FF" w:rsidRPr="00237A1F" w:rsidRDefault="00A912FF" w:rsidP="000D7F37">
      <w:pPr>
        <w:spacing w:after="0" w:line="240" w:lineRule="auto"/>
        <w:jc w:val="center"/>
        <w:rPr>
          <w:rFonts w:ascii="Arial" w:eastAsia="Verdana" w:hAnsi="Arial" w:cs="Arial"/>
          <w:b/>
          <w:sz w:val="24"/>
          <w:szCs w:val="24"/>
        </w:rPr>
      </w:pPr>
      <w:r w:rsidRPr="00237A1F">
        <w:rPr>
          <w:rFonts w:ascii="Arial" w:eastAsia="Verdana" w:hAnsi="Arial" w:cs="Arial"/>
          <w:b/>
          <w:sz w:val="24"/>
          <w:szCs w:val="24"/>
        </w:rPr>
        <w:t>SOLMARINA DE LA ROSA FLÓREZ</w:t>
      </w:r>
    </w:p>
    <w:p w14:paraId="39B0B17C" w14:textId="790F39B5" w:rsidR="00E24829" w:rsidRPr="00237A1F" w:rsidRDefault="00A912FF" w:rsidP="000D7F37">
      <w:pPr>
        <w:spacing w:line="240" w:lineRule="auto"/>
        <w:jc w:val="center"/>
      </w:pPr>
      <w:r w:rsidRPr="00237A1F">
        <w:rPr>
          <w:rFonts w:ascii="Arial" w:eastAsia="Verdana" w:hAnsi="Arial" w:cs="Arial"/>
          <w:b/>
          <w:sz w:val="24"/>
          <w:szCs w:val="24"/>
        </w:rPr>
        <w:t>Conjuez</w:t>
      </w:r>
      <w:bookmarkStart w:id="0" w:name="_GoBack"/>
      <w:bookmarkEnd w:id="0"/>
    </w:p>
    <w:sectPr w:rsidR="00E24829" w:rsidRPr="00237A1F" w:rsidSect="002A5DEA">
      <w:headerReference w:type="default" r:id="rId10"/>
      <w:footerReference w:type="default" r:id="rId11"/>
      <w:headerReference w:type="first" r:id="rId12"/>
      <w:footerReference w:type="first" r:id="rId13"/>
      <w:pgSz w:w="12240" w:h="20160" w:code="5"/>
      <w:pgMar w:top="1418" w:right="1701" w:bottom="1418" w:left="1701" w:header="709" w:footer="9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C64A56" w14:textId="77777777" w:rsidR="008D3CC5" w:rsidRDefault="008D3CC5" w:rsidP="002A5DEA">
      <w:pPr>
        <w:spacing w:after="0" w:line="240" w:lineRule="auto"/>
      </w:pPr>
      <w:r>
        <w:separator/>
      </w:r>
    </w:p>
  </w:endnote>
  <w:endnote w:type="continuationSeparator" w:id="0">
    <w:p w14:paraId="26BC1FFE" w14:textId="77777777" w:rsidR="008D3CC5" w:rsidRDefault="008D3CC5" w:rsidP="002A5D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right"/>
      <w:tblCellMar>
        <w:top w:w="115" w:type="dxa"/>
        <w:left w:w="115" w:type="dxa"/>
        <w:bottom w:w="115" w:type="dxa"/>
        <w:right w:w="115" w:type="dxa"/>
      </w:tblCellMar>
      <w:tblLook w:val="04A0" w:firstRow="1" w:lastRow="0" w:firstColumn="1" w:lastColumn="0" w:noHBand="0" w:noVBand="1"/>
    </w:tblPr>
    <w:tblGrid>
      <w:gridCol w:w="8396"/>
      <w:gridCol w:w="442"/>
    </w:tblGrid>
    <w:tr w:rsidR="00F3718E" w14:paraId="6083823E" w14:textId="77777777" w:rsidTr="00B6429B">
      <w:trPr>
        <w:jc w:val="right"/>
      </w:trPr>
      <w:tc>
        <w:tcPr>
          <w:tcW w:w="4795" w:type="dxa"/>
          <w:vAlign w:val="center"/>
        </w:tcPr>
        <w:p w14:paraId="7AFB4239" w14:textId="77777777" w:rsidR="00F3718E" w:rsidRDefault="00622F12" w:rsidP="00B6429B">
          <w:pPr>
            <w:pStyle w:val="Encabezado"/>
            <w:jc w:val="center"/>
            <w:rPr>
              <w:color w:val="767171"/>
              <w:sz w:val="20"/>
              <w:szCs w:val="20"/>
            </w:rPr>
          </w:pPr>
          <w:r w:rsidRPr="00A21194">
            <w:rPr>
              <w:color w:val="767171"/>
              <w:sz w:val="20"/>
              <w:szCs w:val="20"/>
            </w:rPr>
            <w:t>Calle 12 No. 7-65 – Tel: (57-1) 350-6700 – Bogotá D.C. – Colombia</w:t>
          </w:r>
        </w:p>
        <w:p w14:paraId="14287B9F" w14:textId="77777777" w:rsidR="00F3718E" w:rsidRPr="00A21194" w:rsidRDefault="00622F12" w:rsidP="00B6429B">
          <w:pPr>
            <w:pStyle w:val="Encabezado"/>
            <w:jc w:val="center"/>
            <w:rPr>
              <w:caps/>
              <w:color w:val="000000"/>
            </w:rPr>
          </w:pPr>
          <w:r w:rsidRPr="00A21194">
            <w:rPr>
              <w:color w:val="767171"/>
              <w:sz w:val="20"/>
              <w:szCs w:val="20"/>
            </w:rPr>
            <w:t>www.consejodeestado.gov.co</w:t>
          </w:r>
        </w:p>
      </w:tc>
      <w:tc>
        <w:tcPr>
          <w:tcW w:w="250" w:type="pct"/>
          <w:shd w:val="clear" w:color="auto" w:fill="auto"/>
          <w:vAlign w:val="center"/>
        </w:tcPr>
        <w:p w14:paraId="701B406D" w14:textId="77777777" w:rsidR="00F3718E" w:rsidRPr="006B2D41" w:rsidRDefault="00622F12" w:rsidP="00B6429B">
          <w:pPr>
            <w:pStyle w:val="Piedepgina"/>
            <w:jc w:val="center"/>
            <w:rPr>
              <w:rFonts w:ascii="Arial" w:hAnsi="Arial" w:cs="Arial"/>
            </w:rPr>
          </w:pPr>
          <w:r w:rsidRPr="006B2D41">
            <w:rPr>
              <w:rFonts w:ascii="Arial" w:hAnsi="Arial" w:cs="Arial"/>
            </w:rPr>
            <w:fldChar w:fldCharType="begin"/>
          </w:r>
          <w:r w:rsidRPr="006B2D41">
            <w:rPr>
              <w:rFonts w:ascii="Arial" w:hAnsi="Arial" w:cs="Arial"/>
            </w:rPr>
            <w:instrText>PAGE   \* MERGEFORMAT</w:instrText>
          </w:r>
          <w:r w:rsidRPr="006B2D41">
            <w:rPr>
              <w:rFonts w:ascii="Arial" w:hAnsi="Arial" w:cs="Arial"/>
            </w:rPr>
            <w:fldChar w:fldCharType="separate"/>
          </w:r>
          <w:r w:rsidR="004E4475" w:rsidRPr="004E4475">
            <w:rPr>
              <w:rFonts w:ascii="Arial" w:hAnsi="Arial" w:cs="Arial"/>
              <w:noProof/>
              <w:lang w:val="es-ES"/>
            </w:rPr>
            <w:t>5</w:t>
          </w:r>
          <w:r w:rsidRPr="006B2D41">
            <w:rPr>
              <w:rFonts w:ascii="Arial" w:hAnsi="Arial" w:cs="Arial"/>
            </w:rPr>
            <w:fldChar w:fldCharType="end"/>
          </w:r>
        </w:p>
      </w:tc>
    </w:tr>
  </w:tbl>
  <w:p w14:paraId="30286D0D" w14:textId="77777777" w:rsidR="00F3718E" w:rsidRPr="008C0DBE" w:rsidRDefault="008D3CC5" w:rsidP="00394A69">
    <w:pPr>
      <w:pStyle w:val="Piedepgina"/>
      <w:jc w:val="center"/>
      <w:rPr>
        <w:color w:val="767171"/>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right"/>
      <w:tblCellMar>
        <w:top w:w="115" w:type="dxa"/>
        <w:left w:w="115" w:type="dxa"/>
        <w:bottom w:w="115" w:type="dxa"/>
        <w:right w:w="115" w:type="dxa"/>
      </w:tblCellMar>
      <w:tblLook w:val="04A0" w:firstRow="1" w:lastRow="0" w:firstColumn="1" w:lastColumn="0" w:noHBand="0" w:noVBand="1"/>
    </w:tblPr>
    <w:tblGrid>
      <w:gridCol w:w="8396"/>
      <w:gridCol w:w="442"/>
    </w:tblGrid>
    <w:tr w:rsidR="00F3718E" w14:paraId="6DEFE1F5" w14:textId="77777777" w:rsidTr="00B6429B">
      <w:trPr>
        <w:jc w:val="right"/>
      </w:trPr>
      <w:tc>
        <w:tcPr>
          <w:tcW w:w="4795" w:type="dxa"/>
          <w:vAlign w:val="center"/>
        </w:tcPr>
        <w:p w14:paraId="7633D309" w14:textId="77777777" w:rsidR="00F3718E" w:rsidRDefault="00622F12" w:rsidP="00B6429B">
          <w:pPr>
            <w:pStyle w:val="Encabezado"/>
            <w:jc w:val="center"/>
            <w:rPr>
              <w:color w:val="767171"/>
              <w:sz w:val="20"/>
              <w:szCs w:val="20"/>
            </w:rPr>
          </w:pPr>
          <w:r w:rsidRPr="00A21194">
            <w:rPr>
              <w:color w:val="767171"/>
              <w:sz w:val="20"/>
              <w:szCs w:val="20"/>
            </w:rPr>
            <w:t>Calle 12 No. 7-65 – Tel: (57-1) 350-6700 – Bogotá D.C. – Colombia</w:t>
          </w:r>
        </w:p>
        <w:p w14:paraId="3D33F1F0" w14:textId="77777777" w:rsidR="00F3718E" w:rsidRPr="00A21194" w:rsidRDefault="00622F12" w:rsidP="00B6429B">
          <w:pPr>
            <w:pStyle w:val="Encabezado"/>
            <w:jc w:val="center"/>
            <w:rPr>
              <w:caps/>
              <w:color w:val="000000"/>
            </w:rPr>
          </w:pPr>
          <w:r w:rsidRPr="00A21194">
            <w:rPr>
              <w:color w:val="767171"/>
              <w:sz w:val="20"/>
              <w:szCs w:val="20"/>
            </w:rPr>
            <w:t>www.consejodeestado.gov.co</w:t>
          </w:r>
        </w:p>
      </w:tc>
      <w:tc>
        <w:tcPr>
          <w:tcW w:w="250" w:type="pct"/>
          <w:shd w:val="clear" w:color="auto" w:fill="auto"/>
          <w:vAlign w:val="center"/>
        </w:tcPr>
        <w:p w14:paraId="0CD54CCC" w14:textId="77777777" w:rsidR="00F3718E" w:rsidRPr="002A5DEA" w:rsidRDefault="00622F12">
          <w:pPr>
            <w:pStyle w:val="Piedepgina"/>
            <w:jc w:val="center"/>
            <w:rPr>
              <w:rFonts w:ascii="Arial" w:hAnsi="Arial" w:cs="Arial"/>
            </w:rPr>
          </w:pPr>
          <w:r w:rsidRPr="002A5DEA">
            <w:rPr>
              <w:rFonts w:ascii="Arial" w:hAnsi="Arial" w:cs="Arial"/>
            </w:rPr>
            <w:fldChar w:fldCharType="begin"/>
          </w:r>
          <w:r w:rsidRPr="002A5DEA">
            <w:rPr>
              <w:rFonts w:ascii="Arial" w:hAnsi="Arial" w:cs="Arial"/>
            </w:rPr>
            <w:instrText>PAGE   \* MERGEFORMAT</w:instrText>
          </w:r>
          <w:r w:rsidRPr="002A5DEA">
            <w:rPr>
              <w:rFonts w:ascii="Arial" w:hAnsi="Arial" w:cs="Arial"/>
            </w:rPr>
            <w:fldChar w:fldCharType="separate"/>
          </w:r>
          <w:r w:rsidR="004E4475" w:rsidRPr="004E4475">
            <w:rPr>
              <w:rFonts w:ascii="Arial" w:hAnsi="Arial" w:cs="Arial"/>
              <w:noProof/>
              <w:lang w:val="es-ES"/>
            </w:rPr>
            <w:t>1</w:t>
          </w:r>
          <w:r w:rsidRPr="002A5DEA">
            <w:rPr>
              <w:rFonts w:ascii="Arial" w:hAnsi="Arial" w:cs="Arial"/>
            </w:rPr>
            <w:fldChar w:fldCharType="end"/>
          </w:r>
        </w:p>
      </w:tc>
    </w:tr>
  </w:tbl>
  <w:p w14:paraId="26BC6885" w14:textId="77777777" w:rsidR="00F3718E" w:rsidRDefault="008D3CC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FF994B" w14:textId="77777777" w:rsidR="008D3CC5" w:rsidRDefault="008D3CC5" w:rsidP="002A5DEA">
      <w:pPr>
        <w:spacing w:after="0" w:line="240" w:lineRule="auto"/>
      </w:pPr>
      <w:r>
        <w:separator/>
      </w:r>
    </w:p>
  </w:footnote>
  <w:footnote w:type="continuationSeparator" w:id="0">
    <w:p w14:paraId="7DCB7FA0" w14:textId="77777777" w:rsidR="008D3CC5" w:rsidRDefault="008D3CC5" w:rsidP="002A5DEA">
      <w:pPr>
        <w:spacing w:after="0" w:line="240" w:lineRule="auto"/>
      </w:pPr>
      <w:r>
        <w:continuationSeparator/>
      </w:r>
    </w:p>
  </w:footnote>
  <w:footnote w:id="1">
    <w:p w14:paraId="7410A175" w14:textId="77777777" w:rsidR="004E4475" w:rsidRPr="00204DB3" w:rsidRDefault="004E4475" w:rsidP="006D5C77">
      <w:pPr>
        <w:pStyle w:val="Textonotapie"/>
        <w:widowControl w:val="0"/>
        <w:jc w:val="both"/>
        <w:rPr>
          <w:rFonts w:ascii="Arial" w:hAnsi="Arial" w:cs="Arial"/>
        </w:rPr>
      </w:pPr>
      <w:r w:rsidRPr="00204DB3">
        <w:rPr>
          <w:rStyle w:val="Refdenotaalpie"/>
          <w:rFonts w:ascii="Arial" w:hAnsi="Arial" w:cs="Arial"/>
        </w:rPr>
        <w:footnoteRef/>
      </w:r>
      <w:r w:rsidRPr="00204DB3">
        <w:rPr>
          <w:rFonts w:ascii="Arial" w:hAnsi="Arial" w:cs="Arial"/>
        </w:rPr>
        <w:t xml:space="preserve">  Documento visible en el expediente digital de tutela, con certificado 0316EA4340B99862 0159F4C2E9816B8D CF80AF7BA0794CA1 E1DE9810EED5CAA, índice 2 de Samai.</w:t>
      </w:r>
    </w:p>
  </w:footnote>
  <w:footnote w:id="2">
    <w:p w14:paraId="2152E4C0" w14:textId="4972F4F4" w:rsidR="00F5224F" w:rsidRPr="00F5224F" w:rsidRDefault="00F5224F">
      <w:pPr>
        <w:pStyle w:val="Textonotapie"/>
        <w:rPr>
          <w:rFonts w:ascii="Arial" w:hAnsi="Arial" w:cs="Arial"/>
          <w:sz w:val="18"/>
          <w:szCs w:val="18"/>
          <w:lang w:val="es-MX"/>
        </w:rPr>
      </w:pPr>
      <w:r w:rsidRPr="00F5224F">
        <w:rPr>
          <w:rStyle w:val="Refdenotaalpie"/>
          <w:rFonts w:ascii="Arial" w:hAnsi="Arial" w:cs="Arial"/>
          <w:sz w:val="18"/>
          <w:szCs w:val="18"/>
        </w:rPr>
        <w:footnoteRef/>
      </w:r>
      <w:r w:rsidRPr="00F5224F">
        <w:rPr>
          <w:rFonts w:ascii="Arial" w:hAnsi="Arial" w:cs="Arial"/>
          <w:sz w:val="18"/>
          <w:szCs w:val="18"/>
        </w:rPr>
        <w:t xml:space="preserve"> </w:t>
      </w:r>
      <w:r w:rsidRPr="00F5224F">
        <w:rPr>
          <w:rFonts w:ascii="Arial" w:hAnsi="Arial" w:cs="Arial"/>
          <w:sz w:val="18"/>
          <w:szCs w:val="18"/>
          <w:lang w:val="es-MX"/>
        </w:rPr>
        <w:t>Del 30 de septiembre de 2021.</w:t>
      </w:r>
    </w:p>
  </w:footnote>
  <w:footnote w:id="3">
    <w:p w14:paraId="2729A57F" w14:textId="4AC96206" w:rsidR="000C6990" w:rsidRPr="00204DB3" w:rsidRDefault="000C6990" w:rsidP="000C6990">
      <w:pPr>
        <w:pStyle w:val="Textonotapie"/>
        <w:jc w:val="both"/>
        <w:rPr>
          <w:rFonts w:ascii="Arial" w:hAnsi="Arial" w:cs="Arial"/>
        </w:rPr>
      </w:pPr>
      <w:r w:rsidRPr="00204DB3">
        <w:rPr>
          <w:rStyle w:val="Refdenotaalpie"/>
          <w:rFonts w:ascii="Arial" w:hAnsi="Arial" w:cs="Arial"/>
        </w:rPr>
        <w:footnoteRef/>
      </w:r>
      <w:r w:rsidRPr="00204DB3">
        <w:rPr>
          <w:rFonts w:ascii="Arial" w:hAnsi="Arial" w:cs="Arial"/>
        </w:rPr>
        <w:t xml:space="preserve"> Archivo electrónico identificado con certificado </w:t>
      </w:r>
      <w:r w:rsidR="0045702F" w:rsidRPr="00204DB3">
        <w:rPr>
          <w:rFonts w:ascii="Arial" w:hAnsi="Arial" w:cs="Arial"/>
        </w:rPr>
        <w:t>8609C1E1C383DB54 670DF416E8174F44 A8F88B090762300A</w:t>
      </w:r>
      <w:r w:rsidRPr="00204DB3">
        <w:rPr>
          <w:rFonts w:ascii="Arial" w:hAnsi="Arial" w:cs="Arial"/>
        </w:rPr>
        <w:t>, ubicad</w:t>
      </w:r>
      <w:r w:rsidR="0045702F" w:rsidRPr="00204DB3">
        <w:rPr>
          <w:rFonts w:ascii="Arial" w:hAnsi="Arial" w:cs="Arial"/>
        </w:rPr>
        <w:t>o</w:t>
      </w:r>
      <w:r w:rsidRPr="00204DB3">
        <w:rPr>
          <w:rFonts w:ascii="Arial" w:hAnsi="Arial" w:cs="Arial"/>
        </w:rPr>
        <w:t xml:space="preserve"> en índice </w:t>
      </w:r>
      <w:r w:rsidR="0045702F" w:rsidRPr="00204DB3">
        <w:rPr>
          <w:rFonts w:ascii="Arial" w:hAnsi="Arial" w:cs="Arial"/>
        </w:rPr>
        <w:t>41</w:t>
      </w:r>
      <w:r w:rsidRPr="00204DB3">
        <w:rPr>
          <w:rFonts w:ascii="Arial" w:hAnsi="Arial" w:cs="Arial"/>
        </w:rPr>
        <w:t xml:space="preserve"> del expediente digital.</w:t>
      </w:r>
    </w:p>
  </w:footnote>
  <w:footnote w:id="4">
    <w:p w14:paraId="03BEB828" w14:textId="501E6CBA" w:rsidR="000C6990" w:rsidRPr="00204DB3" w:rsidRDefault="000C6990" w:rsidP="000C6990">
      <w:pPr>
        <w:pStyle w:val="Textonotapie"/>
        <w:jc w:val="both"/>
        <w:rPr>
          <w:rFonts w:ascii="Arial" w:hAnsi="Arial" w:cs="Arial"/>
        </w:rPr>
      </w:pPr>
      <w:r w:rsidRPr="00204DB3">
        <w:rPr>
          <w:rStyle w:val="Refdenotaalpie"/>
          <w:rFonts w:ascii="Arial" w:hAnsi="Arial" w:cs="Arial"/>
        </w:rPr>
        <w:footnoteRef/>
      </w:r>
      <w:r w:rsidRPr="00204DB3">
        <w:rPr>
          <w:rFonts w:ascii="Arial" w:hAnsi="Arial" w:cs="Arial"/>
        </w:rPr>
        <w:t xml:space="preserve"> Archivo electrónico identificado con certificado </w:t>
      </w:r>
      <w:r w:rsidR="00FA78C2" w:rsidRPr="00204DB3">
        <w:rPr>
          <w:rFonts w:ascii="Arial" w:hAnsi="Arial" w:cs="Arial"/>
        </w:rPr>
        <w:t>128FABC637358C4C 962C86DEE8465947 1F5146D231D80301 EDE17DA65163D85E</w:t>
      </w:r>
      <w:r w:rsidRPr="00204DB3">
        <w:rPr>
          <w:rFonts w:ascii="Arial" w:hAnsi="Arial" w:cs="Arial"/>
        </w:rPr>
        <w:t xml:space="preserve">, ubicado en el índice </w:t>
      </w:r>
      <w:r w:rsidR="00FA78C2" w:rsidRPr="00204DB3">
        <w:rPr>
          <w:rFonts w:ascii="Arial" w:hAnsi="Arial" w:cs="Arial"/>
        </w:rPr>
        <w:t>42</w:t>
      </w:r>
      <w:r w:rsidRPr="00204DB3">
        <w:rPr>
          <w:rFonts w:ascii="Arial" w:hAnsi="Arial" w:cs="Arial"/>
        </w:rPr>
        <w:t xml:space="preserve"> del expediente digital.</w:t>
      </w:r>
    </w:p>
  </w:footnote>
  <w:footnote w:id="5">
    <w:p w14:paraId="46AB80CA" w14:textId="77777777" w:rsidR="002A5DEA" w:rsidRPr="00204DB3" w:rsidRDefault="002A5DEA" w:rsidP="002A5DEA">
      <w:pPr>
        <w:pStyle w:val="Textonotapie"/>
        <w:widowControl w:val="0"/>
        <w:tabs>
          <w:tab w:val="left" w:pos="8080"/>
        </w:tabs>
        <w:jc w:val="both"/>
        <w:rPr>
          <w:rFonts w:ascii="Arial" w:hAnsi="Arial" w:cs="Arial"/>
          <w:color w:val="000000"/>
          <w:lang w:val="pt-BR"/>
        </w:rPr>
      </w:pPr>
      <w:r w:rsidRPr="00204DB3">
        <w:rPr>
          <w:rStyle w:val="Refdenotaalpie"/>
          <w:rFonts w:ascii="Arial" w:hAnsi="Arial" w:cs="Arial"/>
          <w:color w:val="000000"/>
        </w:rPr>
        <w:footnoteRef/>
      </w:r>
      <w:r w:rsidRPr="00204DB3">
        <w:rPr>
          <w:rFonts w:ascii="Arial" w:hAnsi="Arial" w:cs="Arial"/>
          <w:color w:val="000000"/>
          <w:lang w:val="pt-BR"/>
        </w:rPr>
        <w:t xml:space="preserve"> Corte Constitucional, sentencia T-661 de 2014. </w:t>
      </w:r>
    </w:p>
  </w:footnote>
  <w:footnote w:id="6">
    <w:p w14:paraId="2B2B80B9" w14:textId="77777777" w:rsidR="002A5DEA" w:rsidRPr="00204DB3" w:rsidRDefault="002A5DEA" w:rsidP="002A5DEA">
      <w:pPr>
        <w:pStyle w:val="Textonotapie"/>
        <w:widowControl w:val="0"/>
        <w:jc w:val="both"/>
        <w:rPr>
          <w:rFonts w:ascii="Arial" w:hAnsi="Arial" w:cs="Arial"/>
          <w:color w:val="000000"/>
          <w:lang w:val="es-ES"/>
        </w:rPr>
      </w:pPr>
      <w:r w:rsidRPr="00204DB3">
        <w:rPr>
          <w:rStyle w:val="Refdenotaalpie"/>
          <w:rFonts w:ascii="Arial" w:hAnsi="Arial" w:cs="Arial"/>
          <w:color w:val="000000"/>
        </w:rPr>
        <w:footnoteRef/>
      </w:r>
      <w:r w:rsidRPr="00204DB3">
        <w:rPr>
          <w:rFonts w:ascii="Arial" w:hAnsi="Arial" w:cs="Arial"/>
          <w:color w:val="000000"/>
        </w:rPr>
        <w:t xml:space="preserve"> </w:t>
      </w:r>
      <w:r w:rsidRPr="00204DB3">
        <w:rPr>
          <w:rFonts w:ascii="Arial" w:hAnsi="Arial" w:cs="Arial"/>
          <w:color w:val="000000"/>
          <w:lang w:val="es-ES"/>
        </w:rPr>
        <w:t xml:space="preserve">Corte Constitucional, Auto 159 de 2018. </w:t>
      </w:r>
    </w:p>
  </w:footnote>
  <w:footnote w:id="7">
    <w:p w14:paraId="5437C81D" w14:textId="3B46FCA5" w:rsidR="00BF692A" w:rsidRPr="00204DB3" w:rsidRDefault="00BF692A">
      <w:pPr>
        <w:pStyle w:val="Textonotapie"/>
        <w:rPr>
          <w:rFonts w:ascii="Arial" w:hAnsi="Arial" w:cs="Arial"/>
        </w:rPr>
      </w:pPr>
      <w:r w:rsidRPr="00204DB3">
        <w:rPr>
          <w:rStyle w:val="Refdenotaalpie"/>
          <w:rFonts w:ascii="Arial" w:hAnsi="Arial" w:cs="Arial"/>
        </w:rPr>
        <w:footnoteRef/>
      </w:r>
      <w:r w:rsidRPr="00204DB3">
        <w:rPr>
          <w:rFonts w:ascii="Arial" w:hAnsi="Arial" w:cs="Arial"/>
        </w:rPr>
        <w:t xml:space="preserve"> Corte Constitucional, Sentencia T-286 de 2018</w:t>
      </w:r>
      <w:r w:rsidR="002A3DA4" w:rsidRPr="00204DB3">
        <w:rPr>
          <w:rFonts w:ascii="Arial" w:hAnsi="Arial" w:cs="Arial"/>
        </w:rPr>
        <w:t>.</w:t>
      </w:r>
    </w:p>
  </w:footnote>
  <w:footnote w:id="8">
    <w:p w14:paraId="7944F328" w14:textId="4F3EE794" w:rsidR="002A3DA4" w:rsidRPr="00204DB3" w:rsidRDefault="002A3DA4">
      <w:pPr>
        <w:pStyle w:val="Textonotapie"/>
        <w:rPr>
          <w:rFonts w:ascii="Arial" w:hAnsi="Arial" w:cs="Arial"/>
        </w:rPr>
      </w:pPr>
      <w:r w:rsidRPr="00204DB3">
        <w:rPr>
          <w:rStyle w:val="Refdenotaalpie"/>
          <w:rFonts w:ascii="Arial" w:hAnsi="Arial" w:cs="Arial"/>
        </w:rPr>
        <w:footnoteRef/>
      </w:r>
      <w:r w:rsidRPr="00204DB3">
        <w:rPr>
          <w:rFonts w:ascii="Arial" w:hAnsi="Arial" w:cs="Arial"/>
        </w:rPr>
        <w:t xml:space="preserve"> Corte Constitucional, Auto 065 de 2013.</w:t>
      </w:r>
    </w:p>
  </w:footnote>
  <w:footnote w:id="9">
    <w:p w14:paraId="7E157EF7" w14:textId="336222EB" w:rsidR="002A3DA4" w:rsidRPr="00204DB3" w:rsidRDefault="002A3DA4">
      <w:pPr>
        <w:pStyle w:val="Textonotapie"/>
      </w:pPr>
      <w:r w:rsidRPr="00204DB3">
        <w:rPr>
          <w:rStyle w:val="Refdenotaalpie"/>
          <w:rFonts w:ascii="Arial" w:hAnsi="Arial" w:cs="Arial"/>
        </w:rPr>
        <w:footnoteRef/>
      </w:r>
      <w:r w:rsidRPr="00204DB3">
        <w:rPr>
          <w:rFonts w:ascii="Arial" w:hAnsi="Arial" w:cs="Arial"/>
        </w:rPr>
        <w:t xml:space="preserve"> </w:t>
      </w:r>
      <w:r w:rsidR="0010217C" w:rsidRPr="00204DB3">
        <w:rPr>
          <w:rFonts w:ascii="Arial" w:hAnsi="Arial" w:cs="Arial"/>
        </w:rPr>
        <w:t xml:space="preserve">Corte Constitucional, </w:t>
      </w:r>
      <w:r w:rsidRPr="00204DB3">
        <w:rPr>
          <w:rFonts w:ascii="Arial" w:hAnsi="Arial" w:cs="Arial"/>
          <w:color w:val="2D2D2D"/>
          <w:shd w:val="clear" w:color="auto" w:fill="FFFFFF"/>
        </w:rPr>
        <w:t>Auto 091 de 2002</w:t>
      </w:r>
      <w:r w:rsidR="0010217C" w:rsidRPr="00204DB3">
        <w:rPr>
          <w:rFonts w:ascii="Arial" w:hAnsi="Arial" w:cs="Arial"/>
          <w:color w:val="2D2D2D"/>
          <w:shd w:val="clear" w:color="auto" w:fill="FFFFFF"/>
        </w:rPr>
        <w:t>.</w:t>
      </w:r>
    </w:p>
  </w:footnote>
  <w:footnote w:id="10">
    <w:p w14:paraId="38C14985" w14:textId="77777777" w:rsidR="0031259E" w:rsidRPr="00204DB3" w:rsidRDefault="0031259E" w:rsidP="001D1F45">
      <w:pPr>
        <w:pStyle w:val="Textonotapie"/>
        <w:jc w:val="both"/>
        <w:rPr>
          <w:rFonts w:ascii="Arial" w:hAnsi="Arial" w:cs="Arial"/>
          <w:lang w:val="es-US"/>
        </w:rPr>
      </w:pPr>
      <w:r w:rsidRPr="00204DB3">
        <w:rPr>
          <w:rStyle w:val="Refdenotaalpie"/>
          <w:rFonts w:ascii="Arial" w:hAnsi="Arial" w:cs="Arial"/>
        </w:rPr>
        <w:footnoteRef/>
      </w:r>
      <w:r w:rsidRPr="00204DB3">
        <w:rPr>
          <w:rFonts w:ascii="Arial" w:hAnsi="Arial" w:cs="Arial"/>
        </w:rPr>
        <w:t xml:space="preserve"> Archivo electrónico identificado con certificado: 219F038A47EE61E8 23FFF004DB4A3EA5 4EFADD756DC113FD B579E703CA55684C, índice 18 de Samai.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100BD" w14:textId="3E789D2B" w:rsidR="00F3718E" w:rsidRPr="00302FD8" w:rsidRDefault="004808F4" w:rsidP="004808F4">
    <w:pPr>
      <w:pStyle w:val="Encabezado"/>
      <w:jc w:val="right"/>
      <w:rPr>
        <w:rFonts w:ascii="Arial" w:hAnsi="Arial" w:cs="Arial"/>
        <w:i/>
        <w:color w:val="767171"/>
        <w:sz w:val="20"/>
        <w:szCs w:val="20"/>
      </w:rPr>
    </w:pPr>
    <w:r>
      <w:rPr>
        <w:noProof/>
        <w:lang w:eastAsia="es-CO"/>
      </w:rPr>
      <w:drawing>
        <wp:anchor distT="0" distB="0" distL="114300" distR="114300" simplePos="0" relativeHeight="251660288" behindDoc="0" locked="0" layoutInCell="1" allowOverlap="1" wp14:anchorId="021972E6" wp14:editId="11596D5B">
          <wp:simplePos x="0" y="0"/>
          <wp:positionH relativeFrom="margin">
            <wp:align>left</wp:align>
          </wp:positionH>
          <wp:positionV relativeFrom="paragraph">
            <wp:posOffset>-222064</wp:posOffset>
          </wp:positionV>
          <wp:extent cx="717550" cy="667385"/>
          <wp:effectExtent l="0" t="0" r="6350" b="0"/>
          <wp:wrapSquare wrapText="bothSides"/>
          <wp:docPr id="93" name="Imagen 93" descr="ESCUDO diseñado FINAL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CUDO diseñado FINAL 2-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550" cy="667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023E">
      <w:rPr>
        <w:noProof/>
        <w:sz w:val="20"/>
        <w:szCs w:val="20"/>
        <w:lang w:eastAsia="es-CO"/>
      </w:rPr>
      <mc:AlternateContent>
        <mc:Choice Requires="wps">
          <w:drawing>
            <wp:anchor distT="0" distB="0" distL="114300" distR="114300" simplePos="0" relativeHeight="251659264" behindDoc="0" locked="0" layoutInCell="1" allowOverlap="1" wp14:anchorId="788367E8" wp14:editId="64361D20">
              <wp:simplePos x="0" y="0"/>
              <wp:positionH relativeFrom="column">
                <wp:posOffset>1379855</wp:posOffset>
              </wp:positionH>
              <wp:positionV relativeFrom="paragraph">
                <wp:posOffset>-33391</wp:posOffset>
              </wp:positionV>
              <wp:extent cx="5400040" cy="0"/>
              <wp:effectExtent l="0" t="19050" r="29210" b="19050"/>
              <wp:wrapNone/>
              <wp:docPr id="1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straightConnector1">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shapetype w14:anchorId="62748C44" id="_x0000_t32" coordsize="21600,21600" o:spt="32" o:oned="t" path="m,l21600,21600e" filled="f">
              <v:path arrowok="t" fillok="f" o:connecttype="none"/>
              <o:lock v:ext="edit" shapetype="t"/>
            </v:shapetype>
            <v:shape id="Conector recto de flecha 11" o:spid="_x0000_s1026" type="#_x0000_t32" style="position:absolute;margin-left:108.65pt;margin-top:-2.65pt;width:425.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" strokeweight="2.25pt">
              <v:shadow color="#1f3763" opacity=".5" offset="1pt"/>
            </v:shape>
          </w:pict>
        </mc:Fallback>
      </mc:AlternateContent>
    </w:r>
    <w:r w:rsidR="00622F12" w:rsidRPr="00302FD8">
      <w:rPr>
        <w:rFonts w:ascii="Arial" w:hAnsi="Arial" w:cs="Arial"/>
        <w:i/>
        <w:color w:val="767171"/>
        <w:sz w:val="20"/>
        <w:szCs w:val="20"/>
      </w:rPr>
      <w:t>Radicado: 11001-03-15-000-2021-049</w:t>
    </w:r>
    <w:r w:rsidR="006500AE">
      <w:rPr>
        <w:rFonts w:ascii="Arial" w:hAnsi="Arial" w:cs="Arial"/>
        <w:i/>
        <w:color w:val="767171"/>
        <w:sz w:val="20"/>
        <w:szCs w:val="20"/>
      </w:rPr>
      <w:t>94</w:t>
    </w:r>
    <w:r w:rsidR="00622F12" w:rsidRPr="00302FD8">
      <w:rPr>
        <w:rFonts w:ascii="Arial" w:hAnsi="Arial" w:cs="Arial"/>
        <w:i/>
        <w:color w:val="767171"/>
        <w:sz w:val="20"/>
        <w:szCs w:val="20"/>
      </w:rPr>
      <w:t>-0</w:t>
    </w:r>
    <w:r w:rsidR="006500AE">
      <w:rPr>
        <w:rFonts w:ascii="Arial" w:hAnsi="Arial" w:cs="Arial"/>
        <w:i/>
        <w:color w:val="767171"/>
        <w:sz w:val="20"/>
        <w:szCs w:val="20"/>
      </w:rPr>
      <w:t>0</w:t>
    </w:r>
  </w:p>
  <w:p w14:paraId="603606B9" w14:textId="1478056D" w:rsidR="00F3718E" w:rsidRDefault="00622F12" w:rsidP="000D5FD9">
    <w:pPr>
      <w:pStyle w:val="Encabezado"/>
      <w:jc w:val="right"/>
      <w:rPr>
        <w:rFonts w:ascii="Arial" w:hAnsi="Arial" w:cs="Arial"/>
        <w:i/>
        <w:color w:val="767171"/>
        <w:sz w:val="20"/>
        <w:szCs w:val="20"/>
      </w:rPr>
    </w:pPr>
    <w:r w:rsidRPr="00302FD8">
      <w:rPr>
        <w:rFonts w:ascii="Arial" w:hAnsi="Arial" w:cs="Arial"/>
        <w:i/>
        <w:color w:val="767171"/>
        <w:sz w:val="20"/>
        <w:szCs w:val="20"/>
      </w:rPr>
      <w:tab/>
      <w:t xml:space="preserve">Accionante: </w:t>
    </w:r>
    <w:r w:rsidR="006500AE">
      <w:rPr>
        <w:rFonts w:ascii="Arial" w:hAnsi="Arial" w:cs="Arial"/>
        <w:i/>
        <w:color w:val="767171"/>
        <w:sz w:val="20"/>
        <w:szCs w:val="20"/>
      </w:rPr>
      <w:t>Jorge Eduardo Ferreira Vargas</w:t>
    </w:r>
  </w:p>
  <w:p w14:paraId="13ACD0DC" w14:textId="1A037C93" w:rsidR="006B2D41" w:rsidRDefault="008D3CC5" w:rsidP="000D5FD9">
    <w:pPr>
      <w:pStyle w:val="Encabezado"/>
      <w:jc w:val="right"/>
      <w:rPr>
        <w:rFonts w:ascii="Arial" w:hAnsi="Arial" w:cs="Arial"/>
        <w:i/>
        <w:color w:val="767171"/>
        <w:sz w:val="20"/>
        <w:szCs w:val="20"/>
      </w:rPr>
    </w:pPr>
  </w:p>
  <w:p w14:paraId="12CED74A" w14:textId="77777777" w:rsidR="006500AE" w:rsidRPr="00302FD8" w:rsidRDefault="006500AE" w:rsidP="000D5FD9">
    <w:pPr>
      <w:pStyle w:val="Encabezado"/>
      <w:jc w:val="right"/>
      <w:rPr>
        <w:rFonts w:ascii="Arial" w:hAnsi="Arial" w:cs="Arial"/>
        <w:i/>
        <w:color w:val="767171"/>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D5F77" w14:textId="1694F596" w:rsidR="00302FD8" w:rsidRPr="00E24829" w:rsidRDefault="000D7F37" w:rsidP="002A5DEA">
    <w:pPr>
      <w:pStyle w:val="Encabezado"/>
      <w:jc w:val="right"/>
      <w:rPr>
        <w:rFonts w:ascii="Arial" w:hAnsi="Arial" w:cs="Arial"/>
        <w:i/>
        <w:color w:val="767171"/>
        <w:sz w:val="18"/>
        <w:szCs w:val="20"/>
      </w:rPr>
    </w:pPr>
    <w:r w:rsidRPr="00E24829">
      <w:rPr>
        <w:noProof/>
        <w:sz w:val="20"/>
        <w:lang w:eastAsia="es-CO"/>
      </w:rPr>
      <w:drawing>
        <wp:anchor distT="0" distB="0" distL="114300" distR="114300" simplePos="0" relativeHeight="251661312" behindDoc="0" locked="0" layoutInCell="1" allowOverlap="1" wp14:anchorId="0B08398F" wp14:editId="7EE3B9E2">
          <wp:simplePos x="0" y="0"/>
          <wp:positionH relativeFrom="margin">
            <wp:align>left</wp:align>
          </wp:positionH>
          <wp:positionV relativeFrom="paragraph">
            <wp:posOffset>135255</wp:posOffset>
          </wp:positionV>
          <wp:extent cx="986155" cy="917575"/>
          <wp:effectExtent l="0" t="0" r="0" b="0"/>
          <wp:wrapSquare wrapText="bothSides"/>
          <wp:docPr id="94" name="Imagen 94" descr="ESCUDO diseñado FINAL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CUDO diseñado FINAL 2-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6155" cy="917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22F12" w:rsidRPr="00E24829">
      <w:rPr>
        <w:noProof/>
        <w:sz w:val="18"/>
        <w:szCs w:val="20"/>
        <w:lang w:eastAsia="es-CO"/>
      </w:rPr>
      <mc:AlternateContent>
        <mc:Choice Requires="wps">
          <w:drawing>
            <wp:anchor distT="0" distB="0" distL="114300" distR="114300" simplePos="0" relativeHeight="251662336" behindDoc="0" locked="0" layoutInCell="1" allowOverlap="1" wp14:anchorId="480D1B20" wp14:editId="7AF4E3B0">
              <wp:simplePos x="0" y="0"/>
              <wp:positionH relativeFrom="column">
                <wp:posOffset>1379855</wp:posOffset>
              </wp:positionH>
              <wp:positionV relativeFrom="paragraph">
                <wp:posOffset>-26406</wp:posOffset>
              </wp:positionV>
              <wp:extent cx="5400040" cy="0"/>
              <wp:effectExtent l="0" t="19050" r="29210" b="19050"/>
              <wp:wrapNone/>
              <wp:docPr id="1"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straightConnector1">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shapetype w14:anchorId="79824707" id="_x0000_t32" coordsize="21600,21600" o:spt="32" o:oned="t" path="m,l21600,21600e" filled="f">
              <v:path arrowok="t" fillok="f" o:connecttype="none"/>
              <o:lock v:ext="edit" shapetype="t"/>
            </v:shapetype>
            <v:shape id="Conector recto de flecha 1" o:spid="_x0000_s1026" type="#_x0000_t32" style="position:absolute;margin-left:108.65pt;margin-top:-2.1pt;width:425.2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" strokeweight="2.25pt">
              <v:shadow color="#1f3763" opacity=".5" offset="1pt"/>
            </v:shape>
          </w:pict>
        </mc:Fallback>
      </mc:AlternateContent>
    </w:r>
    <w:r w:rsidR="00622F12" w:rsidRPr="00E24829">
      <w:rPr>
        <w:rFonts w:ascii="Arial" w:hAnsi="Arial" w:cs="Arial"/>
        <w:i/>
        <w:color w:val="767171"/>
        <w:sz w:val="18"/>
        <w:szCs w:val="20"/>
      </w:rPr>
      <w:t>Radicado: 11001-03-15-000-2021-049</w:t>
    </w:r>
    <w:r w:rsidR="006500AE">
      <w:rPr>
        <w:rFonts w:ascii="Arial" w:hAnsi="Arial" w:cs="Arial"/>
        <w:i/>
        <w:color w:val="767171"/>
        <w:sz w:val="18"/>
        <w:szCs w:val="20"/>
      </w:rPr>
      <w:t>94</w:t>
    </w:r>
    <w:r w:rsidR="00622F12" w:rsidRPr="00E24829">
      <w:rPr>
        <w:rFonts w:ascii="Arial" w:hAnsi="Arial" w:cs="Arial"/>
        <w:i/>
        <w:color w:val="767171"/>
        <w:sz w:val="18"/>
        <w:szCs w:val="20"/>
      </w:rPr>
      <w:t>-0</w:t>
    </w:r>
    <w:r w:rsidR="006500AE">
      <w:rPr>
        <w:rFonts w:ascii="Arial" w:hAnsi="Arial" w:cs="Arial"/>
        <w:i/>
        <w:color w:val="767171"/>
        <w:sz w:val="18"/>
        <w:szCs w:val="20"/>
      </w:rPr>
      <w:t>0</w:t>
    </w:r>
  </w:p>
  <w:p w14:paraId="7485A7F2" w14:textId="04ED16EB" w:rsidR="00302FD8" w:rsidRPr="00E24829" w:rsidRDefault="00622F12" w:rsidP="006500AE">
    <w:pPr>
      <w:pStyle w:val="Encabezado"/>
      <w:jc w:val="right"/>
      <w:rPr>
        <w:rFonts w:ascii="Arial" w:hAnsi="Arial" w:cs="Arial"/>
        <w:i/>
        <w:color w:val="767171"/>
        <w:sz w:val="18"/>
        <w:szCs w:val="20"/>
      </w:rPr>
    </w:pPr>
    <w:r w:rsidRPr="00E24829">
      <w:rPr>
        <w:rFonts w:ascii="Arial" w:hAnsi="Arial" w:cs="Arial"/>
        <w:i/>
        <w:color w:val="767171"/>
        <w:sz w:val="18"/>
        <w:szCs w:val="20"/>
      </w:rPr>
      <w:tab/>
      <w:t xml:space="preserve">Accionante: </w:t>
    </w:r>
    <w:r w:rsidR="006500AE">
      <w:rPr>
        <w:rFonts w:ascii="Arial" w:hAnsi="Arial" w:cs="Arial"/>
        <w:i/>
        <w:color w:val="767171"/>
        <w:sz w:val="18"/>
        <w:szCs w:val="20"/>
      </w:rPr>
      <w:t>Jorge Eduardo Ferreira Vargas</w:t>
    </w:r>
  </w:p>
  <w:p w14:paraId="4688D6D7" w14:textId="1E8459D3" w:rsidR="00F3718E" w:rsidRPr="00A15ACE" w:rsidRDefault="008D3CC5" w:rsidP="00F1441F">
    <w:pPr>
      <w:pStyle w:val="Encabezado"/>
      <w:rPr>
        <w:color w:val="767171"/>
      </w:rPr>
    </w:pPr>
  </w:p>
  <w:p w14:paraId="0AA6CD8D" w14:textId="77777777" w:rsidR="00F3718E" w:rsidRPr="00B37F3B" w:rsidRDefault="00622F12" w:rsidP="00B37F3B">
    <w:pPr>
      <w:spacing w:after="0"/>
      <w:jc w:val="center"/>
      <w:rPr>
        <w:rFonts w:ascii="Arial" w:hAnsi="Arial" w:cs="Arial"/>
        <w:b/>
        <w:bCs/>
        <w:sz w:val="24"/>
        <w:szCs w:val="24"/>
      </w:rPr>
    </w:pPr>
    <w:r w:rsidRPr="00B37F3B">
      <w:rPr>
        <w:rFonts w:ascii="Arial" w:hAnsi="Arial" w:cs="Arial"/>
        <w:b/>
        <w:bCs/>
        <w:sz w:val="24"/>
        <w:szCs w:val="24"/>
      </w:rPr>
      <w:t>CONSEJO DE ESTADO</w:t>
    </w:r>
  </w:p>
  <w:p w14:paraId="3C284CBA" w14:textId="77777777" w:rsidR="00F3718E" w:rsidRPr="00B37F3B" w:rsidRDefault="00622F12" w:rsidP="00B37F3B">
    <w:pPr>
      <w:spacing w:after="0"/>
      <w:jc w:val="center"/>
      <w:rPr>
        <w:rFonts w:ascii="Arial" w:hAnsi="Arial" w:cs="Arial"/>
        <w:b/>
        <w:bCs/>
        <w:sz w:val="24"/>
        <w:szCs w:val="24"/>
      </w:rPr>
    </w:pPr>
    <w:r w:rsidRPr="00B37F3B">
      <w:rPr>
        <w:rFonts w:ascii="Arial" w:hAnsi="Arial" w:cs="Arial"/>
        <w:b/>
        <w:bCs/>
        <w:sz w:val="24"/>
        <w:szCs w:val="24"/>
      </w:rPr>
      <w:t>SALA DE LO CONTENCIOSO ADMINISTRATIVO</w:t>
    </w:r>
  </w:p>
  <w:p w14:paraId="71143F61" w14:textId="77777777" w:rsidR="00302FD8" w:rsidRDefault="00622F12" w:rsidP="00B37F3B">
    <w:pPr>
      <w:spacing w:after="0"/>
      <w:jc w:val="center"/>
      <w:rPr>
        <w:rFonts w:ascii="Arial" w:hAnsi="Arial" w:cs="Arial"/>
        <w:b/>
        <w:bCs/>
        <w:sz w:val="24"/>
        <w:szCs w:val="24"/>
      </w:rPr>
    </w:pPr>
    <w:r>
      <w:rPr>
        <w:rFonts w:ascii="Arial" w:hAnsi="Arial" w:cs="Arial"/>
        <w:b/>
        <w:bCs/>
        <w:sz w:val="24"/>
        <w:szCs w:val="24"/>
      </w:rPr>
      <w:t xml:space="preserve">SECCIÓN TERCERA </w:t>
    </w:r>
  </w:p>
  <w:p w14:paraId="30D054D7" w14:textId="77777777" w:rsidR="00F3718E" w:rsidRPr="00B37F3B" w:rsidRDefault="00622F12" w:rsidP="00B37F3B">
    <w:pPr>
      <w:spacing w:after="0"/>
      <w:jc w:val="center"/>
      <w:rPr>
        <w:rFonts w:ascii="Arial" w:hAnsi="Arial" w:cs="Arial"/>
        <w:b/>
        <w:bCs/>
        <w:sz w:val="24"/>
        <w:szCs w:val="24"/>
      </w:rPr>
    </w:pPr>
    <w:r w:rsidRPr="00B37F3B">
      <w:rPr>
        <w:rFonts w:ascii="Arial" w:hAnsi="Arial" w:cs="Arial"/>
        <w:b/>
        <w:bCs/>
        <w:sz w:val="24"/>
        <w:szCs w:val="24"/>
      </w:rPr>
      <w:t>SUBSECCIÓN C</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CO" w:vendorID="64" w:dllVersion="6" w:nlCheck="1" w:checkStyle="1"/>
  <w:activeWritingStyle w:appName="MSWord" w:lang="es-ES" w:vendorID="64" w:dllVersion="6" w:nlCheck="1" w:checkStyle="1"/>
  <w:activeWritingStyle w:appName="MSWord" w:lang="es-419" w:vendorID="64" w:dllVersion="6" w:nlCheck="1" w:checkStyle="1"/>
  <w:activeWritingStyle w:appName="MSWord" w:lang="es-ES_tradnl" w:vendorID="64" w:dllVersion="6" w:nlCheck="1" w:checkStyle="1"/>
  <w:activeWritingStyle w:appName="MSWord" w:lang="es-419" w:vendorID="64" w:dllVersion="4096" w:nlCheck="1" w:checkStyle="0"/>
  <w:activeWritingStyle w:appName="MSWord" w:lang="es-CO"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US" w:vendorID="64" w:dllVersion="4096"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DEA"/>
    <w:rsid w:val="0000235E"/>
    <w:rsid w:val="000113C5"/>
    <w:rsid w:val="00030A08"/>
    <w:rsid w:val="000345ED"/>
    <w:rsid w:val="0003492D"/>
    <w:rsid w:val="00071DBD"/>
    <w:rsid w:val="00085EBE"/>
    <w:rsid w:val="00096F0A"/>
    <w:rsid w:val="000C6990"/>
    <w:rsid w:val="000D3B53"/>
    <w:rsid w:val="000D7F37"/>
    <w:rsid w:val="0010217C"/>
    <w:rsid w:val="001072C1"/>
    <w:rsid w:val="001231BD"/>
    <w:rsid w:val="00155ABE"/>
    <w:rsid w:val="001D1F45"/>
    <w:rsid w:val="001E7EB4"/>
    <w:rsid w:val="00204DB3"/>
    <w:rsid w:val="0021369A"/>
    <w:rsid w:val="0021698F"/>
    <w:rsid w:val="00223D4B"/>
    <w:rsid w:val="00224884"/>
    <w:rsid w:val="002272C9"/>
    <w:rsid w:val="00230C92"/>
    <w:rsid w:val="00237A1F"/>
    <w:rsid w:val="0027024E"/>
    <w:rsid w:val="002A3734"/>
    <w:rsid w:val="002A3D67"/>
    <w:rsid w:val="002A3DA4"/>
    <w:rsid w:val="002A5DEA"/>
    <w:rsid w:val="002A7F9D"/>
    <w:rsid w:val="002B331D"/>
    <w:rsid w:val="002B7FF5"/>
    <w:rsid w:val="002C1A26"/>
    <w:rsid w:val="0031259E"/>
    <w:rsid w:val="003362E0"/>
    <w:rsid w:val="00336921"/>
    <w:rsid w:val="00360C82"/>
    <w:rsid w:val="00362EFF"/>
    <w:rsid w:val="003835F1"/>
    <w:rsid w:val="00384B01"/>
    <w:rsid w:val="0039226D"/>
    <w:rsid w:val="003A36E9"/>
    <w:rsid w:val="003B08B9"/>
    <w:rsid w:val="003C7EB5"/>
    <w:rsid w:val="00413DE4"/>
    <w:rsid w:val="00443500"/>
    <w:rsid w:val="004538A3"/>
    <w:rsid w:val="0045702F"/>
    <w:rsid w:val="00463C98"/>
    <w:rsid w:val="00467783"/>
    <w:rsid w:val="004808F4"/>
    <w:rsid w:val="00493620"/>
    <w:rsid w:val="00495CFA"/>
    <w:rsid w:val="004E1F86"/>
    <w:rsid w:val="004E4475"/>
    <w:rsid w:val="005574FA"/>
    <w:rsid w:val="005644F5"/>
    <w:rsid w:val="00574852"/>
    <w:rsid w:val="00575052"/>
    <w:rsid w:val="00584258"/>
    <w:rsid w:val="005955DB"/>
    <w:rsid w:val="005D61F8"/>
    <w:rsid w:val="00622F12"/>
    <w:rsid w:val="0064034D"/>
    <w:rsid w:val="006500AE"/>
    <w:rsid w:val="00653791"/>
    <w:rsid w:val="006560BF"/>
    <w:rsid w:val="00657187"/>
    <w:rsid w:val="00681419"/>
    <w:rsid w:val="006850B8"/>
    <w:rsid w:val="00693BEA"/>
    <w:rsid w:val="006B6C9D"/>
    <w:rsid w:val="006D44A0"/>
    <w:rsid w:val="006D5C77"/>
    <w:rsid w:val="006E0817"/>
    <w:rsid w:val="00706EB6"/>
    <w:rsid w:val="00720D78"/>
    <w:rsid w:val="00745C1B"/>
    <w:rsid w:val="00755978"/>
    <w:rsid w:val="007567C7"/>
    <w:rsid w:val="00765C95"/>
    <w:rsid w:val="007749F1"/>
    <w:rsid w:val="00792405"/>
    <w:rsid w:val="007D351C"/>
    <w:rsid w:val="00836AA3"/>
    <w:rsid w:val="0085471F"/>
    <w:rsid w:val="008641A3"/>
    <w:rsid w:val="0086786A"/>
    <w:rsid w:val="008B089B"/>
    <w:rsid w:val="008D3CC5"/>
    <w:rsid w:val="008E2067"/>
    <w:rsid w:val="008F0279"/>
    <w:rsid w:val="009103E5"/>
    <w:rsid w:val="0091331B"/>
    <w:rsid w:val="009316A1"/>
    <w:rsid w:val="009517B5"/>
    <w:rsid w:val="00970562"/>
    <w:rsid w:val="0099494F"/>
    <w:rsid w:val="009A4746"/>
    <w:rsid w:val="00A31C50"/>
    <w:rsid w:val="00A52773"/>
    <w:rsid w:val="00A912FF"/>
    <w:rsid w:val="00AB3478"/>
    <w:rsid w:val="00AD0EF4"/>
    <w:rsid w:val="00B1316C"/>
    <w:rsid w:val="00B35888"/>
    <w:rsid w:val="00B445C5"/>
    <w:rsid w:val="00B771A3"/>
    <w:rsid w:val="00BB3B69"/>
    <w:rsid w:val="00BD0FC9"/>
    <w:rsid w:val="00BE117C"/>
    <w:rsid w:val="00BF692A"/>
    <w:rsid w:val="00C129C9"/>
    <w:rsid w:val="00C171B7"/>
    <w:rsid w:val="00C30840"/>
    <w:rsid w:val="00C428B4"/>
    <w:rsid w:val="00C53611"/>
    <w:rsid w:val="00C53FAA"/>
    <w:rsid w:val="00C604F8"/>
    <w:rsid w:val="00C71277"/>
    <w:rsid w:val="00CA7801"/>
    <w:rsid w:val="00CC5A98"/>
    <w:rsid w:val="00CE7C44"/>
    <w:rsid w:val="00D1020F"/>
    <w:rsid w:val="00D10DA8"/>
    <w:rsid w:val="00D405A2"/>
    <w:rsid w:val="00D7594D"/>
    <w:rsid w:val="00D85F2C"/>
    <w:rsid w:val="00D968D1"/>
    <w:rsid w:val="00DA1F2E"/>
    <w:rsid w:val="00DA60BA"/>
    <w:rsid w:val="00DA7EB6"/>
    <w:rsid w:val="00DE42EA"/>
    <w:rsid w:val="00E136B7"/>
    <w:rsid w:val="00E1712B"/>
    <w:rsid w:val="00E24829"/>
    <w:rsid w:val="00E24FBB"/>
    <w:rsid w:val="00E46F0B"/>
    <w:rsid w:val="00EB18C0"/>
    <w:rsid w:val="00EB611D"/>
    <w:rsid w:val="00EC211B"/>
    <w:rsid w:val="00F34BE7"/>
    <w:rsid w:val="00F377F3"/>
    <w:rsid w:val="00F5224F"/>
    <w:rsid w:val="00F660A2"/>
    <w:rsid w:val="00F75368"/>
    <w:rsid w:val="00F76A19"/>
    <w:rsid w:val="00FA78C2"/>
    <w:rsid w:val="00FA7E0D"/>
    <w:rsid w:val="00FC0940"/>
    <w:rsid w:val="00FD3728"/>
    <w:rsid w:val="00FD4EE8"/>
    <w:rsid w:val="00FF7E0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A5999"/>
  <w15:chartTrackingRefBased/>
  <w15:docId w15:val="{7D0E55B0-7F79-464B-9CDA-816863337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5DE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A5DE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A5DEA"/>
  </w:style>
  <w:style w:type="paragraph" w:styleId="Piedepgina">
    <w:name w:val="footer"/>
    <w:basedOn w:val="Normal"/>
    <w:link w:val="PiedepginaCar"/>
    <w:uiPriority w:val="99"/>
    <w:unhideWhenUsed/>
    <w:rsid w:val="002A5DE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A5DEA"/>
  </w:style>
  <w:style w:type="paragraph" w:styleId="Textonotapie">
    <w:name w:val="footnote text"/>
    <w:aliases w:val="Footnote Text Char Char Char Char Char,Footnote Text Char Char Char Char,Footnote reference,FA Fu,Footnote Text Char Char Char,Footnote Text Char,Footnote Text Char Char Char Char Char Char Char Char,Footnote referenc,texto de nota al pie"/>
    <w:basedOn w:val="Normal"/>
    <w:link w:val="TextonotapieCar"/>
    <w:uiPriority w:val="99"/>
    <w:unhideWhenUsed/>
    <w:qFormat/>
    <w:rsid w:val="002A5DE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r Car,Footnote Text Char Char Char Char Char Char Char Char Car"/>
    <w:basedOn w:val="Fuentedeprrafopredeter"/>
    <w:link w:val="Textonotapie"/>
    <w:uiPriority w:val="99"/>
    <w:qFormat/>
    <w:rsid w:val="002A5DEA"/>
    <w:rPr>
      <w:sz w:val="20"/>
      <w:szCs w:val="20"/>
    </w:rPr>
  </w:style>
  <w:style w:type="character" w:styleId="Refdenotaalpie">
    <w:name w:val="footnote reference"/>
    <w:aliases w:val="Texto de nota al pie,referencia nota al pie,Ref. de nota al pie 2,Footnotes refss,Appel note de bas de page,Pie de Página,FC,f,Texto de nota al pi,Footnote number,BVI fnr,4_G,16 Point,Superscript 6 Point,Texto nota al pie,Nota de pie"/>
    <w:link w:val="4GChar"/>
    <w:uiPriority w:val="99"/>
    <w:unhideWhenUsed/>
    <w:qFormat/>
    <w:rsid w:val="002A5DEA"/>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2A5DEA"/>
    <w:pPr>
      <w:spacing w:after="0" w:line="240" w:lineRule="auto"/>
      <w:jc w:val="both"/>
    </w:pPr>
    <w:rPr>
      <w:vertAlign w:val="superscript"/>
    </w:rPr>
  </w:style>
  <w:style w:type="character" w:styleId="Hipervnculo">
    <w:name w:val="Hyperlink"/>
    <w:basedOn w:val="Fuentedeprrafopredeter"/>
    <w:uiPriority w:val="99"/>
    <w:unhideWhenUsed/>
    <w:rsid w:val="00D1020F"/>
    <w:rPr>
      <w:color w:val="0563C1" w:themeColor="hyperlink"/>
      <w:u w:val="single"/>
    </w:rPr>
  </w:style>
  <w:style w:type="table" w:styleId="Tablaconcuadrcula">
    <w:name w:val="Table Grid"/>
    <w:basedOn w:val="Tablanormal"/>
    <w:uiPriority w:val="39"/>
    <w:rsid w:val="00E248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C129C9"/>
    <w:rPr>
      <w:color w:val="605E5C"/>
      <w:shd w:val="clear" w:color="auto" w:fill="E1DFDD"/>
    </w:rPr>
  </w:style>
  <w:style w:type="paragraph" w:styleId="Sinespaciado">
    <w:name w:val="No Spacing"/>
    <w:basedOn w:val="Normal"/>
    <w:uiPriority w:val="1"/>
    <w:qFormat/>
    <w:rsid w:val="00C30840"/>
    <w:pPr>
      <w:spacing w:before="100" w:beforeAutospacing="1" w:after="100" w:afterAutospacing="1" w:line="240" w:lineRule="auto"/>
    </w:pPr>
    <w:rPr>
      <w:rFonts w:ascii="Times New Roman" w:eastAsia="Times New Roman" w:hAnsi="Times New Roman" w:cs="Times New Roman"/>
      <w:sz w:val="24"/>
      <w:szCs w:val="24"/>
      <w:lang w:val="es-US" w:eastAsia="es-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068006">
      <w:bodyDiv w:val="1"/>
      <w:marLeft w:val="0"/>
      <w:marRight w:val="0"/>
      <w:marTop w:val="0"/>
      <w:marBottom w:val="0"/>
      <w:divBdr>
        <w:top w:val="none" w:sz="0" w:space="0" w:color="auto"/>
        <w:left w:val="none" w:sz="0" w:space="0" w:color="auto"/>
        <w:bottom w:val="none" w:sz="0" w:space="0" w:color="auto"/>
        <w:right w:val="none" w:sz="0" w:space="0" w:color="auto"/>
      </w:divBdr>
    </w:div>
    <w:div w:id="340352472">
      <w:bodyDiv w:val="1"/>
      <w:marLeft w:val="0"/>
      <w:marRight w:val="0"/>
      <w:marTop w:val="0"/>
      <w:marBottom w:val="0"/>
      <w:divBdr>
        <w:top w:val="none" w:sz="0" w:space="0" w:color="auto"/>
        <w:left w:val="none" w:sz="0" w:space="0" w:color="auto"/>
        <w:bottom w:val="none" w:sz="0" w:space="0" w:color="auto"/>
        <w:right w:val="none" w:sz="0" w:space="0" w:color="auto"/>
      </w:divBdr>
    </w:div>
    <w:div w:id="1809786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960481-A8F3-4B9C-B9BD-5001F32A1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1615</Words>
  <Characters>8884</Characters>
  <Application>Microsoft Office Word</Application>
  <DocSecurity>0</DocSecurity>
  <Lines>74</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ANDRÉS BEDOYA FLÓREZ</dc:creator>
  <cp:keywords/>
  <dc:description/>
  <cp:lastModifiedBy>Sonia Esther Jaimes Valencia</cp:lastModifiedBy>
  <cp:revision>4</cp:revision>
  <dcterms:created xsi:type="dcterms:W3CDTF">2022-10-18T21:10:00Z</dcterms:created>
  <dcterms:modified xsi:type="dcterms:W3CDTF">2022-10-21T19:20:00Z</dcterms:modified>
</cp:coreProperties>
</file>