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81" w:rsidRPr="00342C79" w:rsidRDefault="00C85781" w:rsidP="00342C79">
      <w:pPr>
        <w:pStyle w:val="Sinespaciado"/>
        <w:spacing w:line="360" w:lineRule="auto"/>
        <w:jc w:val="both"/>
        <w:rPr>
          <w:rFonts w:ascii="Arial" w:hAnsi="Arial" w:cs="Arial"/>
          <w:b/>
          <w:sz w:val="26"/>
          <w:szCs w:val="26"/>
        </w:rPr>
      </w:pPr>
      <w:bookmarkStart w:id="0" w:name="_GoBack"/>
      <w:bookmarkEnd w:id="0"/>
    </w:p>
    <w:p w:rsidR="00C85781" w:rsidRPr="00342C79" w:rsidRDefault="00C85781" w:rsidP="00342C79">
      <w:pPr>
        <w:pStyle w:val="Sinespaciado"/>
        <w:spacing w:line="360" w:lineRule="auto"/>
        <w:jc w:val="both"/>
        <w:rPr>
          <w:rFonts w:ascii="Arial" w:hAnsi="Arial" w:cs="Arial"/>
          <w:b/>
          <w:sz w:val="26"/>
          <w:szCs w:val="26"/>
        </w:rPr>
      </w:pPr>
      <w:r w:rsidRPr="00342C79">
        <w:rPr>
          <w:rFonts w:ascii="Arial" w:hAnsi="Arial" w:cs="Arial"/>
          <w:b/>
          <w:sz w:val="26"/>
          <w:szCs w:val="26"/>
        </w:rPr>
        <w:t>Radicación:</w:t>
      </w:r>
      <w:r w:rsidRPr="00342C79">
        <w:rPr>
          <w:rFonts w:ascii="Arial" w:hAnsi="Arial" w:cs="Arial"/>
          <w:b/>
          <w:sz w:val="26"/>
          <w:szCs w:val="26"/>
        </w:rPr>
        <w:tab/>
      </w:r>
      <w:r w:rsidRPr="00342C79">
        <w:rPr>
          <w:rFonts w:ascii="Arial" w:hAnsi="Arial" w:cs="Arial"/>
          <w:b/>
          <w:sz w:val="26"/>
          <w:szCs w:val="26"/>
        </w:rPr>
        <w:tab/>
        <w:t>41-001-31-20-001-2016-00230-00</w:t>
      </w:r>
    </w:p>
    <w:p w:rsidR="00C85781" w:rsidRPr="00342C79" w:rsidRDefault="00C85781" w:rsidP="00342C79">
      <w:pPr>
        <w:pStyle w:val="Sinespaciado"/>
        <w:spacing w:line="360" w:lineRule="auto"/>
        <w:ind w:left="2124" w:hanging="2124"/>
        <w:jc w:val="both"/>
        <w:rPr>
          <w:rFonts w:ascii="Arial" w:hAnsi="Arial" w:cs="Arial"/>
          <w:b/>
          <w:sz w:val="26"/>
          <w:szCs w:val="26"/>
        </w:rPr>
      </w:pPr>
      <w:r w:rsidRPr="00342C79">
        <w:rPr>
          <w:rFonts w:ascii="Arial" w:hAnsi="Arial" w:cs="Arial"/>
          <w:b/>
          <w:sz w:val="26"/>
          <w:szCs w:val="26"/>
        </w:rPr>
        <w:t xml:space="preserve">Afectada: </w:t>
      </w:r>
      <w:r w:rsidRPr="00342C79">
        <w:rPr>
          <w:rFonts w:ascii="Arial" w:hAnsi="Arial" w:cs="Arial"/>
          <w:b/>
          <w:sz w:val="26"/>
          <w:szCs w:val="26"/>
        </w:rPr>
        <w:tab/>
        <w:t xml:space="preserve">JESUS CUELLAR BUENDIA  </w:t>
      </w:r>
    </w:p>
    <w:p w:rsidR="00C85781" w:rsidRPr="00342C79" w:rsidRDefault="00C85781" w:rsidP="00342C79">
      <w:pPr>
        <w:pStyle w:val="Sinespaciado"/>
        <w:spacing w:line="360" w:lineRule="auto"/>
        <w:ind w:left="2124" w:hanging="2124"/>
        <w:jc w:val="both"/>
        <w:rPr>
          <w:rFonts w:ascii="Arial" w:hAnsi="Arial" w:cs="Arial"/>
          <w:b/>
          <w:sz w:val="26"/>
          <w:szCs w:val="26"/>
        </w:rPr>
      </w:pPr>
      <w:r w:rsidRPr="00342C79">
        <w:rPr>
          <w:rFonts w:ascii="Arial" w:hAnsi="Arial" w:cs="Arial"/>
          <w:b/>
          <w:sz w:val="26"/>
          <w:szCs w:val="26"/>
        </w:rPr>
        <w:t>Asunto:</w:t>
      </w:r>
      <w:r w:rsidRPr="00342C79">
        <w:rPr>
          <w:rFonts w:ascii="Arial" w:hAnsi="Arial" w:cs="Arial"/>
          <w:b/>
          <w:sz w:val="26"/>
          <w:szCs w:val="26"/>
        </w:rPr>
        <w:tab/>
        <w:t>Avoca Conocimiento.</w:t>
      </w:r>
    </w:p>
    <w:p w:rsidR="00C85781" w:rsidRPr="00342C79" w:rsidRDefault="00C85781" w:rsidP="00342C79">
      <w:pPr>
        <w:spacing w:after="0" w:line="360" w:lineRule="auto"/>
        <w:jc w:val="both"/>
        <w:rPr>
          <w:rFonts w:ascii="Arial" w:hAnsi="Arial" w:cs="Arial"/>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Neiva, Huila, diez (10) de febrero de dos mil diecisiete (2017)</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De conformidad con lo dispuesto en los artículos 33, 35 y 39 de la Ley 1708 de 2014 y en los Acuerdos PSAA15 10402 del 29 de octubre de 2015, artículos 1º y 2º del Acuerdo PSAA16-10517 del 17 de mayo de 2016, emitidos por la Sala Administrativa del Consejo Superior de la Judicatura, este Despacho es competente para conocer de esta acción.</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highlight w:val="yellow"/>
        </w:rPr>
      </w:pPr>
      <w:r w:rsidRPr="00342C79">
        <w:rPr>
          <w:rFonts w:ascii="Arial" w:hAnsi="Arial" w:cs="Arial"/>
          <w:sz w:val="26"/>
          <w:szCs w:val="26"/>
        </w:rPr>
        <w:t>Acorde a la resolución de procedencia extinción de dominio, proferida por la Fiscalía Quinta Delegada ante los Jueces Penales del Circuito Especializado de Neiva, el 11 de junio de 2015</w:t>
      </w:r>
      <w:r w:rsidRPr="00342C79">
        <w:rPr>
          <w:rStyle w:val="Refdenotaalpie"/>
          <w:rFonts w:ascii="Arial" w:hAnsi="Arial" w:cs="Arial"/>
          <w:sz w:val="26"/>
          <w:szCs w:val="26"/>
        </w:rPr>
        <w:footnoteReference w:id="1"/>
      </w:r>
      <w:r w:rsidRPr="00342C79">
        <w:rPr>
          <w:rFonts w:ascii="Arial" w:hAnsi="Arial" w:cs="Arial"/>
          <w:sz w:val="26"/>
          <w:szCs w:val="26"/>
        </w:rPr>
        <w:t>, decisión que fue confirmada el 04 de noviembre de 2016</w:t>
      </w:r>
      <w:r w:rsidRPr="00342C79">
        <w:rPr>
          <w:rStyle w:val="Refdenotaalpie"/>
          <w:rFonts w:ascii="Arial" w:hAnsi="Arial" w:cs="Arial"/>
          <w:sz w:val="26"/>
          <w:szCs w:val="26"/>
        </w:rPr>
        <w:footnoteReference w:id="2"/>
      </w:r>
      <w:r w:rsidRPr="00342C79">
        <w:rPr>
          <w:rFonts w:ascii="Arial" w:hAnsi="Arial" w:cs="Arial"/>
          <w:sz w:val="26"/>
          <w:szCs w:val="26"/>
        </w:rPr>
        <w:t xml:space="preserve">, por la Fiscalía Segunda Delegada ante el Tribunal Superior para la Extinción del Derecho de Dominio y el Lavado de Activos de Bogotá D.C., respecto del vehículo camión, marca Dodge 600, modelo 1974, color verde oliva, carrocería tipo estaca, motor No FE6003657C, chasis 4866516 de placas VSC 924, servicio público, línea D 600 197, serie 4866516, de propiedad de JESUS CUELLAR BUENDIA según certificado </w:t>
      </w:r>
      <w:r w:rsidRPr="00342C79">
        <w:rPr>
          <w:rFonts w:ascii="Arial" w:hAnsi="Arial" w:cs="Arial"/>
          <w:sz w:val="26"/>
          <w:szCs w:val="26"/>
        </w:rPr>
        <w:lastRenderedPageBreak/>
        <w:t>de tradición expedido por el Instituto de Transito y Transportes del Huila</w:t>
      </w:r>
      <w:r w:rsidRPr="00342C79">
        <w:rPr>
          <w:rStyle w:val="Refdenotaalpie"/>
          <w:rFonts w:ascii="Arial" w:hAnsi="Arial" w:cs="Arial"/>
          <w:sz w:val="26"/>
          <w:szCs w:val="26"/>
        </w:rPr>
        <w:footnoteReference w:id="3"/>
      </w:r>
      <w:r w:rsidRPr="00342C79">
        <w:rPr>
          <w:rFonts w:ascii="Arial" w:hAnsi="Arial" w:cs="Arial"/>
          <w:sz w:val="26"/>
          <w:szCs w:val="26"/>
        </w:rPr>
        <w:t xml:space="preserve">, se dispondrá avocar conocimiento de estas diligencias conforme al artículo 137 de la Ley 1708 de 2014. </w:t>
      </w:r>
    </w:p>
    <w:p w:rsidR="00C85781" w:rsidRPr="00342C79" w:rsidRDefault="00C85781" w:rsidP="00342C79">
      <w:pPr>
        <w:pStyle w:val="Sinespaciado"/>
        <w:spacing w:line="360" w:lineRule="auto"/>
        <w:rPr>
          <w:sz w:val="26"/>
          <w:szCs w:val="26"/>
          <w:highlight w:val="yellow"/>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Ello por cuanto, si bien es cierto la Fiscalía Instructora adelantó la fase inicial e investigación y declaró la procedencia de la acción de extinción de dominio de conformidad con lo normado en la Ley 793 de 2002 y 1453 de 2011, los artículos 217 y 218 de la Ley 1708 de 2014 establece el régimen de transición y el procedimiento a seguir.</w:t>
      </w:r>
    </w:p>
    <w:p w:rsidR="00C85781" w:rsidRPr="00342C79" w:rsidRDefault="00C85781" w:rsidP="00342C79">
      <w:pPr>
        <w:pStyle w:val="Sinespaciado"/>
        <w:spacing w:line="360" w:lineRule="auto"/>
        <w:rPr>
          <w:sz w:val="26"/>
          <w:szCs w:val="26"/>
        </w:rPr>
      </w:pPr>
    </w:p>
    <w:p w:rsidR="00C85781" w:rsidRDefault="00C85781" w:rsidP="00342C79">
      <w:pPr>
        <w:spacing w:after="0" w:line="360" w:lineRule="auto"/>
        <w:jc w:val="both"/>
        <w:rPr>
          <w:rFonts w:ascii="Arial" w:hAnsi="Arial" w:cs="Arial"/>
          <w:sz w:val="26"/>
          <w:szCs w:val="26"/>
        </w:rPr>
      </w:pPr>
      <w:r w:rsidRPr="00342C79">
        <w:rPr>
          <w:rFonts w:ascii="Arial" w:hAnsi="Arial" w:cs="Arial"/>
          <w:sz w:val="26"/>
          <w:szCs w:val="26"/>
        </w:rPr>
        <w:lastRenderedPageBreak/>
        <w:t>Al respecto, la norma mencionada indica que en los procesos en los que se haya proferido resolución de inicio con las causales previstas en los numerales 1 al 7 de le Ley 793 de 2002 y antes de la expedición de la Ley 1453 de 2011 seguirá rigiéndose por aquella normatividad.</w:t>
      </w:r>
    </w:p>
    <w:p w:rsidR="00342C79" w:rsidRPr="00342C79" w:rsidRDefault="00342C79" w:rsidP="00342C79">
      <w:pPr>
        <w:spacing w:after="0" w:line="360" w:lineRule="auto"/>
        <w:jc w:val="both"/>
        <w:rPr>
          <w:rFonts w:ascii="Arial" w:hAnsi="Arial" w:cs="Arial"/>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En igual sentido instituyó que en los procesos en los que se profirió resolución de inicio con las causales previstas en el artículo 72 de la Ley 1453 de 2011 continuará rigiéndose por estas normas.</w:t>
      </w: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 xml:space="preserve">Es decir, el artículo 217 de la Ley 1708 de 2014, salvaguarda únicamente las causales de extinción previstas en la Ley vigente al momento de la resolución de Inicio, las cuales se aplicaran de conformidad con la norma vigente para la época, sin que ello implique que las restantes instituciones </w:t>
      </w:r>
      <w:r w:rsidRPr="00342C79">
        <w:rPr>
          <w:rFonts w:ascii="Arial" w:hAnsi="Arial" w:cs="Arial"/>
          <w:sz w:val="26"/>
          <w:szCs w:val="26"/>
        </w:rPr>
        <w:lastRenderedPageBreak/>
        <w:t>sustanciales o procesales deban aplicarse conforme a la normatividad que regía en el momento de iniciarse la acción extintiva.</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En otras palabras, salvo las causales de extinción vigentes al momento de que la Fiscalía profirió la resolución de inicio, todos los demás trámites del proceso de extinción de dominio deben adelantarse con la Ley 1708 de 2014, desde el momento en que entro a regir, esto es 20 de julio de 2014.</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Así lo explicó la Sala de Casación Penal de la Corte Suprema de Justicia en diferentes pronunciamientos en los que señaló:</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lastRenderedPageBreak/>
        <w:t xml:space="preserve"> “</w:t>
      </w:r>
      <w:r w:rsidRPr="00342C79">
        <w:rPr>
          <w:rFonts w:ascii="Arial" w:hAnsi="Arial" w:cs="Arial"/>
          <w:i/>
          <w:sz w:val="26"/>
          <w:szCs w:val="26"/>
        </w:rPr>
        <w:t xml:space="preserve">Por lo tanto, el aludido régimen de transición solamente está referido a </w:t>
      </w:r>
      <w:r w:rsidRPr="00342C79">
        <w:rPr>
          <w:rFonts w:ascii="Arial" w:hAnsi="Arial" w:cs="Arial"/>
          <w:i/>
          <w:sz w:val="26"/>
          <w:szCs w:val="26"/>
          <w:u w:val="single"/>
        </w:rPr>
        <w:t>las causales de extinción de domino legalmente contempladas al dictarse la resolución de inicio</w:t>
      </w:r>
      <w:r w:rsidRPr="00342C79">
        <w:rPr>
          <w:rFonts w:ascii="Arial" w:hAnsi="Arial" w:cs="Arial"/>
          <w:i/>
          <w:sz w:val="26"/>
          <w:szCs w:val="26"/>
        </w:rPr>
        <w:t>, y no comprende las restantes instituciones sustanciales o procesales contenidas en las diferentes normas que han regulado el tema. En consecuencia, en la actualidad la ley vigente –y aplicable al sub examine- es la 1708 de 2014, salvo por las excepciones a las que se ha hecho referencia</w:t>
      </w:r>
      <w:r w:rsidRPr="00342C79">
        <w:rPr>
          <w:rFonts w:ascii="Arial" w:hAnsi="Arial" w:cs="Arial"/>
          <w:sz w:val="26"/>
          <w:szCs w:val="26"/>
        </w:rPr>
        <w:t>…”</w:t>
      </w:r>
      <w:r w:rsidRPr="00342C79">
        <w:rPr>
          <w:rStyle w:val="Refdenotaalpie"/>
          <w:rFonts w:ascii="Arial" w:hAnsi="Arial" w:cs="Arial"/>
          <w:sz w:val="26"/>
          <w:szCs w:val="26"/>
        </w:rPr>
        <w:footnoteReference w:id="4"/>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lastRenderedPageBreak/>
        <w:t xml:space="preserve">De otra parte, considera el Despacho, que si bien, la Fiscalía adelantó la fase inicial, practica de pruebas y resolución de procedencia de la acción de extinción de domino bajo los preceptos de Ley 793 de 2002 y 1453 de 2011, sin tener en cuenta el tránsito de legislación y la entrada en vigencia de la Ley 1708 de 2014, en el presente caso no se evidencia la configuración de perjuicios insubsanables contra los sujetos procesales o intervinientes que impidieran el pleno ejercicio de las garantías y derechos reconocidos en la Constitución y la Ley, razón por la cual no hay lugar a declarar nulidad de lo actuado.   </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lastRenderedPageBreak/>
        <w:t>Así las cosas, el trámite a imprimir en la presente acción de extinción de dominio es el establecido en la Ley 1708 de 2014, salvo la causal de extinción invocada por la Fiscalía en la resolución de inicio, 3ª del artículo 2º de la Ley 793 de 2002.</w:t>
      </w:r>
    </w:p>
    <w:p w:rsidR="00C85781" w:rsidRPr="00342C79" w:rsidRDefault="00C85781" w:rsidP="00342C79">
      <w:pPr>
        <w:spacing w:after="0" w:line="360" w:lineRule="auto"/>
        <w:jc w:val="both"/>
        <w:rPr>
          <w:rFonts w:ascii="Arial" w:hAnsi="Arial" w:cs="Arial"/>
          <w:sz w:val="26"/>
          <w:szCs w:val="26"/>
        </w:rPr>
      </w:pPr>
    </w:p>
    <w:p w:rsidR="00C85781" w:rsidRPr="00342C79" w:rsidRDefault="00C85781" w:rsidP="00342C79">
      <w:pPr>
        <w:spacing w:after="0" w:line="360" w:lineRule="auto"/>
        <w:jc w:val="both"/>
        <w:rPr>
          <w:rFonts w:ascii="Arial" w:hAnsi="Arial" w:cs="Arial"/>
          <w:sz w:val="26"/>
          <w:szCs w:val="26"/>
        </w:rPr>
      </w:pPr>
      <w:r w:rsidRPr="00342C79">
        <w:rPr>
          <w:rFonts w:ascii="Arial" w:hAnsi="Arial" w:cs="Arial"/>
          <w:sz w:val="26"/>
          <w:szCs w:val="26"/>
        </w:rPr>
        <w:t xml:space="preserve">Respecto al curador ad litem designado en la etapa inicial por la fiscalía en representación de los terceros y personas inciertas e indeterminadas, se dejará sin efecto tal designación, disponiendo la terminación de la representación, habida cuenta que al tenor de lo previsto en el artículo 140 inciso segundo de  la Ley 1708 de 2014, establece que los terceros indeterminados serán representados por el Ministerio Publico, por consiguiente, a partir </w:t>
      </w:r>
      <w:r w:rsidRPr="00342C79">
        <w:rPr>
          <w:rFonts w:ascii="Arial" w:hAnsi="Arial" w:cs="Arial"/>
          <w:sz w:val="26"/>
          <w:szCs w:val="26"/>
        </w:rPr>
        <w:lastRenderedPageBreak/>
        <w:t>de este estadio procesal los terceros indeterminados estarán representados por sus delegados, cesando así la actuación del curador ad litem.</w:t>
      </w:r>
    </w:p>
    <w:p w:rsidR="00C85781" w:rsidRPr="00342C79" w:rsidRDefault="00C85781" w:rsidP="00342C79">
      <w:pPr>
        <w:pStyle w:val="Sinespaciado"/>
        <w:spacing w:line="360" w:lineRule="auto"/>
        <w:rPr>
          <w:sz w:val="26"/>
          <w:szCs w:val="26"/>
        </w:rPr>
      </w:pPr>
    </w:p>
    <w:p w:rsidR="00C85781" w:rsidRPr="00342C79" w:rsidRDefault="00C85781" w:rsidP="00342C79">
      <w:pPr>
        <w:pStyle w:val="Sinespaciado"/>
        <w:spacing w:line="360" w:lineRule="auto"/>
        <w:jc w:val="both"/>
        <w:rPr>
          <w:rFonts w:ascii="Arial" w:hAnsi="Arial" w:cs="Arial"/>
          <w:sz w:val="26"/>
          <w:szCs w:val="26"/>
        </w:rPr>
      </w:pPr>
      <w:r w:rsidRPr="00342C79">
        <w:rPr>
          <w:rFonts w:ascii="Arial" w:hAnsi="Arial" w:cs="Arial"/>
          <w:sz w:val="26"/>
          <w:szCs w:val="26"/>
        </w:rPr>
        <w:t>En mérito de lo expuesto, el juzgado,</w:t>
      </w:r>
    </w:p>
    <w:p w:rsidR="00C85781" w:rsidRPr="00342C79" w:rsidRDefault="00C85781" w:rsidP="00342C79">
      <w:pPr>
        <w:pStyle w:val="Sinespaciado"/>
        <w:spacing w:line="360" w:lineRule="auto"/>
        <w:rPr>
          <w:sz w:val="26"/>
          <w:szCs w:val="26"/>
        </w:rPr>
      </w:pPr>
    </w:p>
    <w:p w:rsidR="00C85781" w:rsidRPr="00342C79" w:rsidRDefault="00C85781" w:rsidP="00342C79">
      <w:pPr>
        <w:spacing w:after="0" w:line="360" w:lineRule="auto"/>
        <w:jc w:val="center"/>
        <w:rPr>
          <w:rFonts w:ascii="Arial" w:hAnsi="Arial" w:cs="Arial"/>
          <w:sz w:val="26"/>
          <w:szCs w:val="26"/>
        </w:rPr>
      </w:pPr>
      <w:r w:rsidRPr="00342C79">
        <w:rPr>
          <w:rFonts w:ascii="Arial" w:hAnsi="Arial" w:cs="Arial"/>
          <w:b/>
          <w:sz w:val="26"/>
          <w:szCs w:val="26"/>
        </w:rPr>
        <w:t>RESUELVE</w:t>
      </w:r>
      <w:r w:rsidRPr="00342C79">
        <w:rPr>
          <w:rFonts w:ascii="Arial" w:hAnsi="Arial" w:cs="Arial"/>
          <w:sz w:val="26"/>
          <w:szCs w:val="26"/>
        </w:rPr>
        <w:t>:</w:t>
      </w:r>
    </w:p>
    <w:p w:rsidR="00C85781" w:rsidRPr="00342C79" w:rsidRDefault="00C85781" w:rsidP="00342C79">
      <w:pPr>
        <w:pStyle w:val="Sinespaciado"/>
        <w:spacing w:line="360" w:lineRule="auto"/>
        <w:rPr>
          <w:sz w:val="26"/>
          <w:szCs w:val="26"/>
        </w:rPr>
      </w:pPr>
    </w:p>
    <w:p w:rsidR="00C85781" w:rsidRPr="00342C79" w:rsidRDefault="00C85781" w:rsidP="00342C79">
      <w:pPr>
        <w:pStyle w:val="Prrafodelista"/>
        <w:numPr>
          <w:ilvl w:val="0"/>
          <w:numId w:val="1"/>
        </w:numPr>
        <w:spacing w:after="0" w:line="360" w:lineRule="auto"/>
        <w:jc w:val="both"/>
        <w:rPr>
          <w:rFonts w:ascii="Arial" w:hAnsi="Arial" w:cs="Arial"/>
          <w:sz w:val="26"/>
          <w:szCs w:val="26"/>
        </w:rPr>
      </w:pPr>
      <w:r w:rsidRPr="00342C79">
        <w:rPr>
          <w:rFonts w:ascii="Arial" w:hAnsi="Arial" w:cs="Arial"/>
          <w:sz w:val="26"/>
          <w:szCs w:val="26"/>
        </w:rPr>
        <w:t xml:space="preserve">Avocar conocimiento de la solicitud de procedencia de la acción de  extinción de dominio sobre camión, marca Dodge 600, modelo 1974, color verde oliva, carrocería tipo estaca, motor No FE6003657C, chasis 4866516 de placas VSC 924, servicio público, línea D 600 197, serie </w:t>
      </w:r>
      <w:r w:rsidRPr="00342C79">
        <w:rPr>
          <w:rFonts w:ascii="Arial" w:hAnsi="Arial" w:cs="Arial"/>
          <w:sz w:val="26"/>
          <w:szCs w:val="26"/>
        </w:rPr>
        <w:lastRenderedPageBreak/>
        <w:t>4866516, de propiedad de JESUS CUELLAR BUENDIA según certificado de tradición expedido por el Instituto de Transito y Transportes del Huila.</w:t>
      </w:r>
    </w:p>
    <w:p w:rsidR="00C85781" w:rsidRPr="00342C79" w:rsidRDefault="00C85781" w:rsidP="00342C79">
      <w:pPr>
        <w:pStyle w:val="Sinespaciado"/>
        <w:spacing w:line="360" w:lineRule="auto"/>
        <w:rPr>
          <w:sz w:val="26"/>
          <w:szCs w:val="26"/>
        </w:rPr>
      </w:pPr>
    </w:p>
    <w:p w:rsidR="00C85781" w:rsidRPr="00342C79" w:rsidRDefault="00C85781" w:rsidP="00342C79">
      <w:pPr>
        <w:pStyle w:val="Prrafodelista"/>
        <w:spacing w:after="0" w:line="360" w:lineRule="auto"/>
        <w:ind w:left="360"/>
        <w:jc w:val="both"/>
        <w:rPr>
          <w:rFonts w:ascii="Arial" w:hAnsi="Arial" w:cs="Arial"/>
          <w:sz w:val="26"/>
          <w:szCs w:val="26"/>
        </w:rPr>
      </w:pPr>
      <w:r w:rsidRPr="00342C79">
        <w:rPr>
          <w:rFonts w:ascii="Arial" w:hAnsi="Arial" w:cs="Arial"/>
          <w:sz w:val="26"/>
          <w:szCs w:val="26"/>
        </w:rPr>
        <w:t xml:space="preserve">La presente actuación continuará su trámite bajo los preceptos normativos de la Ley 1708 de 2014. </w:t>
      </w:r>
    </w:p>
    <w:p w:rsidR="00C85781" w:rsidRPr="00342C79" w:rsidRDefault="00C85781" w:rsidP="00342C79">
      <w:pPr>
        <w:pStyle w:val="Sinespaciado"/>
        <w:spacing w:line="360" w:lineRule="auto"/>
        <w:rPr>
          <w:sz w:val="26"/>
          <w:szCs w:val="26"/>
        </w:rPr>
      </w:pPr>
      <w:r w:rsidRPr="00342C79">
        <w:rPr>
          <w:rFonts w:ascii="Arial" w:hAnsi="Arial" w:cs="Arial"/>
          <w:sz w:val="26"/>
          <w:szCs w:val="26"/>
        </w:rPr>
        <w:t xml:space="preserve"> </w:t>
      </w:r>
      <w:r w:rsidRPr="00342C79">
        <w:rPr>
          <w:sz w:val="26"/>
          <w:szCs w:val="26"/>
        </w:rPr>
        <w:t xml:space="preserve"> </w:t>
      </w:r>
    </w:p>
    <w:p w:rsidR="00C85781" w:rsidRPr="00342C79" w:rsidRDefault="00C85781" w:rsidP="00342C79">
      <w:pPr>
        <w:pStyle w:val="Prrafodelista"/>
        <w:numPr>
          <w:ilvl w:val="0"/>
          <w:numId w:val="1"/>
        </w:numPr>
        <w:spacing w:after="0" w:line="360" w:lineRule="auto"/>
        <w:jc w:val="both"/>
        <w:rPr>
          <w:rFonts w:ascii="Arial" w:hAnsi="Arial" w:cs="Arial"/>
          <w:sz w:val="26"/>
          <w:szCs w:val="26"/>
        </w:rPr>
      </w:pPr>
      <w:r w:rsidRPr="00342C79">
        <w:rPr>
          <w:rFonts w:ascii="Arial" w:hAnsi="Arial" w:cs="Arial"/>
          <w:sz w:val="26"/>
          <w:szCs w:val="26"/>
        </w:rPr>
        <w:t xml:space="preserve">Notificar personalmente esta decisión al señor JESUS CUELLAR BUENDIA, -en calidad de propietario y afectado-, al apoderado Dr. BASILIO ARIAS AVILA, a la Procuraduría General de la Nación y al Ministerio de Justicia y del Derecho, conforme a lo previsto en los artículos 52 a 58 y 138 del Código de Extinción de Dominio.  </w:t>
      </w:r>
    </w:p>
    <w:p w:rsidR="00C85781" w:rsidRPr="00342C79" w:rsidRDefault="00C85781" w:rsidP="00342C79">
      <w:pPr>
        <w:pStyle w:val="Sinespaciado"/>
        <w:spacing w:line="360" w:lineRule="auto"/>
        <w:rPr>
          <w:sz w:val="26"/>
          <w:szCs w:val="26"/>
        </w:rPr>
      </w:pPr>
    </w:p>
    <w:p w:rsidR="00C85781" w:rsidRPr="00342C79" w:rsidRDefault="00C85781" w:rsidP="00342C79">
      <w:pPr>
        <w:pStyle w:val="Prrafodelista"/>
        <w:numPr>
          <w:ilvl w:val="0"/>
          <w:numId w:val="1"/>
        </w:numPr>
        <w:spacing w:after="0" w:line="360" w:lineRule="auto"/>
        <w:jc w:val="both"/>
        <w:rPr>
          <w:rFonts w:ascii="Arial" w:hAnsi="Arial" w:cs="Arial"/>
          <w:sz w:val="26"/>
          <w:szCs w:val="26"/>
        </w:rPr>
      </w:pPr>
      <w:r w:rsidRPr="00342C79">
        <w:rPr>
          <w:rFonts w:ascii="Arial" w:hAnsi="Arial" w:cs="Arial"/>
          <w:sz w:val="26"/>
          <w:szCs w:val="26"/>
        </w:rPr>
        <w:lastRenderedPageBreak/>
        <w:t xml:space="preserve">Con el fin de enterar esta decisión al señor JESUS CUELLAR BUENDIA, se comisiona al Juzgado Penal Municipal – reparto – de Florencia – Caquetá, para que notifique personalmente este proveído.    </w:t>
      </w:r>
    </w:p>
    <w:p w:rsidR="00C85781" w:rsidRPr="00342C79" w:rsidRDefault="00C85781" w:rsidP="00342C79">
      <w:pPr>
        <w:pStyle w:val="Sinespaciado"/>
        <w:spacing w:line="360" w:lineRule="auto"/>
        <w:rPr>
          <w:sz w:val="26"/>
          <w:szCs w:val="26"/>
        </w:rPr>
      </w:pPr>
    </w:p>
    <w:p w:rsidR="00C85781" w:rsidRPr="00342C79" w:rsidRDefault="00C85781" w:rsidP="00342C79">
      <w:pPr>
        <w:pStyle w:val="Sinespaciado"/>
        <w:spacing w:line="360" w:lineRule="auto"/>
        <w:ind w:left="360"/>
        <w:jc w:val="both"/>
        <w:rPr>
          <w:rFonts w:ascii="Arial" w:hAnsi="Arial" w:cs="Arial"/>
          <w:sz w:val="26"/>
          <w:szCs w:val="26"/>
        </w:rPr>
      </w:pPr>
      <w:r w:rsidRPr="00342C79">
        <w:rPr>
          <w:rFonts w:ascii="Arial" w:hAnsi="Arial" w:cs="Arial"/>
          <w:sz w:val="26"/>
          <w:szCs w:val="26"/>
        </w:rPr>
        <w:t>El término para practicar la diligencia será de 10 días hábiles contados a partir de recibido de la comisión.  Líbrese el despacho comisorio con los insertos del caso.</w:t>
      </w:r>
    </w:p>
    <w:p w:rsidR="00C85781" w:rsidRPr="00342C79" w:rsidRDefault="00C85781" w:rsidP="00342C79">
      <w:pPr>
        <w:pStyle w:val="Sinespaciado"/>
        <w:spacing w:line="360" w:lineRule="auto"/>
        <w:rPr>
          <w:sz w:val="26"/>
          <w:szCs w:val="26"/>
        </w:rPr>
      </w:pPr>
    </w:p>
    <w:p w:rsidR="00C85781" w:rsidRPr="00342C79" w:rsidRDefault="00C85781" w:rsidP="00342C79">
      <w:pPr>
        <w:pStyle w:val="Sinespaciado"/>
        <w:numPr>
          <w:ilvl w:val="0"/>
          <w:numId w:val="1"/>
        </w:numPr>
        <w:spacing w:line="360" w:lineRule="auto"/>
        <w:jc w:val="both"/>
        <w:rPr>
          <w:rFonts w:ascii="Arial" w:hAnsi="Arial" w:cs="Arial"/>
          <w:sz w:val="26"/>
          <w:szCs w:val="26"/>
        </w:rPr>
      </w:pPr>
      <w:r w:rsidRPr="00342C79">
        <w:rPr>
          <w:rFonts w:ascii="Arial" w:hAnsi="Arial" w:cs="Arial"/>
          <w:sz w:val="26"/>
          <w:szCs w:val="26"/>
        </w:rPr>
        <w:t>Comunicar el inicio del presente trámite a la Fiscalía Quinta Delegada ante los Jueces Penales del Circuito Especializados Unidad de Extinción de Dominio de Neiva – Huila, y a la Sociedad de Activos Especiales -SAE S.A.S.</w:t>
      </w:r>
    </w:p>
    <w:p w:rsidR="00C85781" w:rsidRPr="00342C79" w:rsidRDefault="00C85781" w:rsidP="00342C79">
      <w:pPr>
        <w:pStyle w:val="Sinespaciado"/>
        <w:rPr>
          <w:sz w:val="26"/>
          <w:szCs w:val="26"/>
        </w:rPr>
      </w:pPr>
    </w:p>
    <w:p w:rsidR="00C85781" w:rsidRPr="00342C79" w:rsidRDefault="00C85781" w:rsidP="00342C79">
      <w:pPr>
        <w:pStyle w:val="Prrafodelista"/>
        <w:numPr>
          <w:ilvl w:val="0"/>
          <w:numId w:val="1"/>
        </w:numPr>
        <w:spacing w:after="0" w:line="360" w:lineRule="auto"/>
        <w:jc w:val="both"/>
        <w:rPr>
          <w:rFonts w:ascii="Arial" w:hAnsi="Arial" w:cs="Arial"/>
          <w:sz w:val="26"/>
          <w:szCs w:val="26"/>
        </w:rPr>
      </w:pPr>
      <w:r w:rsidRPr="00342C79">
        <w:rPr>
          <w:rFonts w:ascii="Arial" w:hAnsi="Arial" w:cs="Arial"/>
          <w:sz w:val="26"/>
          <w:szCs w:val="26"/>
        </w:rPr>
        <w:t xml:space="preserve">DEJAR sin efecto la designación del abogado HECTOR URRIAGO TRUJILLO como curador ad litem de los terceros y personas inciertas e indeterminadas, quienes continuarán siendo representados por el Ministerio Público, conforme a lo expuesto en la parte motiva de este proveído. </w:t>
      </w:r>
    </w:p>
    <w:p w:rsidR="00C85781" w:rsidRPr="00342C79" w:rsidRDefault="00C85781" w:rsidP="00342C79">
      <w:pPr>
        <w:pStyle w:val="Prrafodelista"/>
        <w:spacing w:line="360" w:lineRule="auto"/>
        <w:rPr>
          <w:rFonts w:ascii="Arial" w:hAnsi="Arial" w:cs="Arial"/>
          <w:sz w:val="26"/>
          <w:szCs w:val="26"/>
        </w:rPr>
      </w:pPr>
    </w:p>
    <w:p w:rsidR="00C85781" w:rsidRPr="00342C79" w:rsidRDefault="00C85781" w:rsidP="00342C79">
      <w:pPr>
        <w:pStyle w:val="Prrafodelista"/>
        <w:numPr>
          <w:ilvl w:val="0"/>
          <w:numId w:val="1"/>
        </w:numPr>
        <w:spacing w:line="360" w:lineRule="auto"/>
        <w:jc w:val="both"/>
        <w:rPr>
          <w:rFonts w:ascii="Arial" w:hAnsi="Arial" w:cs="Arial"/>
          <w:sz w:val="26"/>
          <w:szCs w:val="26"/>
        </w:rPr>
      </w:pPr>
      <w:r w:rsidRPr="00342C79">
        <w:rPr>
          <w:rFonts w:ascii="Arial" w:hAnsi="Arial" w:cs="Arial"/>
          <w:sz w:val="26"/>
          <w:szCs w:val="26"/>
        </w:rPr>
        <w:t>Se advierte a los sujetos procesales que en adelante, las demás providencias que se profieran serán notificadas por estado, salvo la sentencia, de conformidad con los artículos 53 -inciso 3º- y 54 de la Ley 1708 de 2015.</w:t>
      </w:r>
    </w:p>
    <w:p w:rsidR="00C85781" w:rsidRPr="00342C79" w:rsidRDefault="00C85781" w:rsidP="00342C79">
      <w:pPr>
        <w:pStyle w:val="Prrafodelista"/>
        <w:spacing w:line="360" w:lineRule="auto"/>
        <w:rPr>
          <w:rFonts w:ascii="Arial" w:hAnsi="Arial" w:cs="Arial"/>
          <w:sz w:val="26"/>
          <w:szCs w:val="26"/>
        </w:rPr>
      </w:pPr>
    </w:p>
    <w:p w:rsidR="00C85781" w:rsidRPr="00342C79" w:rsidRDefault="00C85781" w:rsidP="00342C79">
      <w:pPr>
        <w:spacing w:line="360" w:lineRule="auto"/>
        <w:jc w:val="center"/>
        <w:rPr>
          <w:rFonts w:ascii="Arial" w:hAnsi="Arial" w:cs="Arial"/>
          <w:sz w:val="26"/>
          <w:szCs w:val="26"/>
        </w:rPr>
      </w:pPr>
      <w:r w:rsidRPr="00342C79">
        <w:rPr>
          <w:rFonts w:ascii="Arial" w:hAnsi="Arial" w:cs="Arial"/>
          <w:b/>
          <w:sz w:val="26"/>
          <w:szCs w:val="26"/>
        </w:rPr>
        <w:t>NOTIFÍQUESE Y CÚMPLASE,</w:t>
      </w:r>
    </w:p>
    <w:p w:rsidR="00C85781" w:rsidRPr="00342C79" w:rsidRDefault="00342C79" w:rsidP="00342C79">
      <w:pPr>
        <w:spacing w:after="0" w:line="360" w:lineRule="auto"/>
        <w:rPr>
          <w:rFonts w:ascii="Arial" w:hAnsi="Arial" w:cs="Arial"/>
          <w:sz w:val="26"/>
          <w:szCs w:val="26"/>
        </w:rPr>
      </w:pPr>
      <w:r w:rsidRPr="00342C79">
        <w:rPr>
          <w:noProof/>
          <w:sz w:val="26"/>
          <w:szCs w:val="26"/>
          <w:lang w:val="es-ES" w:eastAsia="es-ES"/>
        </w:rPr>
        <w:lastRenderedPageBreak/>
        <w:drawing>
          <wp:anchor distT="0" distB="0" distL="114300" distR="114300" simplePos="0" relativeHeight="251661312" behindDoc="0" locked="0" layoutInCell="1" allowOverlap="1" wp14:anchorId="5542D6BC" wp14:editId="0034CDBB">
            <wp:simplePos x="0" y="0"/>
            <wp:positionH relativeFrom="margin">
              <wp:align>center</wp:align>
            </wp:positionH>
            <wp:positionV relativeFrom="paragraph">
              <wp:posOffset>104140</wp:posOffset>
            </wp:positionV>
            <wp:extent cx="2780030" cy="111188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5132" t="67258" r="32428" b="24345"/>
                    <a:stretch>
                      <a:fillRect/>
                    </a:stretch>
                  </pic:blipFill>
                  <pic:spPr bwMode="auto">
                    <a:xfrm>
                      <a:off x="0" y="0"/>
                      <a:ext cx="278003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781" w:rsidRPr="00342C79">
        <w:rPr>
          <w:rFonts w:ascii="Arial" w:hAnsi="Arial" w:cs="Arial"/>
          <w:sz w:val="26"/>
          <w:szCs w:val="26"/>
        </w:rPr>
        <w:t xml:space="preserve">La Juez, </w:t>
      </w:r>
    </w:p>
    <w:p w:rsidR="00342C79" w:rsidRPr="00342C79" w:rsidRDefault="00342C79" w:rsidP="00342C79">
      <w:pPr>
        <w:spacing w:after="0" w:line="360" w:lineRule="auto"/>
        <w:rPr>
          <w:rFonts w:ascii="Arial" w:hAnsi="Arial" w:cs="Arial"/>
          <w:sz w:val="26"/>
          <w:szCs w:val="26"/>
        </w:rPr>
      </w:pPr>
    </w:p>
    <w:p w:rsidR="00342C79" w:rsidRPr="00342C79" w:rsidRDefault="00342C79" w:rsidP="00342C79">
      <w:pPr>
        <w:spacing w:after="0" w:line="360" w:lineRule="auto"/>
        <w:rPr>
          <w:rFonts w:ascii="Arial" w:hAnsi="Arial" w:cs="Arial"/>
          <w:sz w:val="26"/>
          <w:szCs w:val="26"/>
        </w:rPr>
      </w:pPr>
    </w:p>
    <w:p w:rsidR="00342C79" w:rsidRPr="00342C79" w:rsidRDefault="00342C79" w:rsidP="00342C79">
      <w:pPr>
        <w:spacing w:after="0" w:line="360" w:lineRule="auto"/>
        <w:rPr>
          <w:rFonts w:ascii="Arial" w:hAnsi="Arial" w:cs="Arial"/>
          <w:sz w:val="26"/>
          <w:szCs w:val="26"/>
        </w:rPr>
      </w:pPr>
    </w:p>
    <w:p w:rsidR="00C85781" w:rsidRPr="00342C79" w:rsidRDefault="00C85781" w:rsidP="00342C79">
      <w:pPr>
        <w:spacing w:after="0" w:line="360" w:lineRule="auto"/>
        <w:jc w:val="center"/>
        <w:rPr>
          <w:rFonts w:ascii="Arial" w:hAnsi="Arial" w:cs="Arial"/>
          <w:sz w:val="26"/>
          <w:szCs w:val="26"/>
        </w:rPr>
      </w:pPr>
    </w:p>
    <w:p w:rsidR="00C85781" w:rsidRPr="00342C79" w:rsidRDefault="00342C79" w:rsidP="00342C79">
      <w:pPr>
        <w:spacing w:after="0" w:line="360" w:lineRule="auto"/>
        <w:ind w:firstLine="708"/>
        <w:jc w:val="center"/>
        <w:rPr>
          <w:rFonts w:ascii="Arial" w:hAnsi="Arial" w:cs="Arial"/>
          <w:sz w:val="26"/>
          <w:szCs w:val="26"/>
        </w:rPr>
      </w:pPr>
      <w:r w:rsidRPr="00342C79">
        <w:rPr>
          <w:rFonts w:ascii="Arial" w:hAnsi="Arial" w:cs="Arial"/>
          <w:b/>
          <w:noProof/>
          <w:sz w:val="26"/>
          <w:szCs w:val="26"/>
          <w:lang w:val="es-ES" w:eastAsia="es-ES"/>
        </w:rPr>
        <mc:AlternateContent>
          <mc:Choice Requires="wps">
            <w:drawing>
              <wp:anchor distT="45720" distB="45720" distL="114300" distR="114300" simplePos="0" relativeHeight="251659264" behindDoc="0" locked="0" layoutInCell="1" allowOverlap="1" wp14:anchorId="27D30F84" wp14:editId="6706FA57">
                <wp:simplePos x="0" y="0"/>
                <wp:positionH relativeFrom="page">
                  <wp:align>center</wp:align>
                </wp:positionH>
                <wp:positionV relativeFrom="paragraph">
                  <wp:posOffset>14605</wp:posOffset>
                </wp:positionV>
                <wp:extent cx="2679700" cy="1974850"/>
                <wp:effectExtent l="0" t="0" r="25400" b="2540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974850"/>
                        </a:xfrm>
                        <a:prstGeom prst="rect">
                          <a:avLst/>
                        </a:prstGeom>
                        <a:solidFill>
                          <a:srgbClr val="FFFFFF"/>
                        </a:solidFill>
                        <a:ln w="9525">
                          <a:solidFill>
                            <a:srgbClr val="000000"/>
                          </a:solidFill>
                          <a:miter lim="800000"/>
                          <a:headEnd/>
                          <a:tailEnd/>
                        </a:ln>
                      </wps:spPr>
                      <wps:txbx>
                        <w:txbxContent>
                          <w:p w:rsidR="00C85781" w:rsidRPr="00A93ADA" w:rsidRDefault="00C85781" w:rsidP="00C85781">
                            <w:pPr>
                              <w:pStyle w:val="Encabezado"/>
                              <w:tabs>
                                <w:tab w:val="clear" w:pos="4419"/>
                                <w:tab w:val="clear" w:pos="8838"/>
                                <w:tab w:val="left" w:pos="3036"/>
                              </w:tabs>
                              <w:jc w:val="center"/>
                              <w:rPr>
                                <w:rFonts w:cs="Arial"/>
                                <w:b/>
                                <w:szCs w:val="28"/>
                              </w:rPr>
                            </w:pPr>
                            <w:r w:rsidRPr="00A93ADA">
                              <w:rPr>
                                <w:noProof/>
                                <w:lang w:val="es-ES"/>
                              </w:rPr>
                              <w:drawing>
                                <wp:inline distT="0" distB="0" distL="0" distR="0" wp14:anchorId="13F8A876" wp14:editId="45638611">
                                  <wp:extent cx="347980" cy="3670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s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630" cy="370915"/>
                                          </a:xfrm>
                                          <a:prstGeom prst="rect">
                                            <a:avLst/>
                                          </a:prstGeom>
                                          <a:noFill/>
                                          <a:ln>
                                            <a:noFill/>
                                          </a:ln>
                                        </pic:spPr>
                                      </pic:pic>
                                    </a:graphicData>
                                  </a:graphic>
                                </wp:inline>
                              </w:drawing>
                            </w:r>
                          </w:p>
                          <w:p w:rsidR="00C85781" w:rsidRPr="00342C79" w:rsidRDefault="00C85781" w:rsidP="00C85781">
                            <w:pPr>
                              <w:pStyle w:val="Encabezado"/>
                              <w:tabs>
                                <w:tab w:val="clear" w:pos="4419"/>
                                <w:tab w:val="clear" w:pos="8838"/>
                                <w:tab w:val="left" w:pos="3036"/>
                              </w:tabs>
                              <w:jc w:val="center"/>
                              <w:rPr>
                                <w:rFonts w:ascii="Arial" w:hAnsi="Arial" w:cs="Arial"/>
                                <w:sz w:val="18"/>
                                <w:szCs w:val="16"/>
                              </w:rPr>
                            </w:pPr>
                            <w:r w:rsidRPr="00342C79">
                              <w:rPr>
                                <w:rFonts w:ascii="Arial" w:hAnsi="Arial" w:cs="Arial"/>
                                <w:b/>
                                <w:sz w:val="18"/>
                                <w:szCs w:val="16"/>
                              </w:rPr>
                              <w:t>JUZGADO PENAL DEL CIRCUITO</w:t>
                            </w:r>
                          </w:p>
                          <w:p w:rsidR="00C85781" w:rsidRPr="00342C79" w:rsidRDefault="00C85781" w:rsidP="00C85781">
                            <w:pPr>
                              <w:pStyle w:val="Encabezado"/>
                              <w:tabs>
                                <w:tab w:val="clear" w:pos="4419"/>
                                <w:tab w:val="clear" w:pos="8838"/>
                                <w:tab w:val="left" w:pos="3036"/>
                              </w:tabs>
                              <w:jc w:val="center"/>
                              <w:rPr>
                                <w:rFonts w:ascii="Arial" w:hAnsi="Arial" w:cs="Arial"/>
                                <w:b/>
                                <w:sz w:val="18"/>
                                <w:szCs w:val="16"/>
                              </w:rPr>
                            </w:pPr>
                            <w:r w:rsidRPr="00342C79">
                              <w:rPr>
                                <w:rFonts w:ascii="Arial" w:hAnsi="Arial" w:cs="Arial"/>
                                <w:b/>
                                <w:sz w:val="18"/>
                                <w:szCs w:val="16"/>
                              </w:rPr>
                              <w:t>ESPECIALIZADO DE EXTINCIÓN DE DOMINIO</w:t>
                            </w:r>
                          </w:p>
                          <w:p w:rsidR="00C85781" w:rsidRPr="00342C79" w:rsidRDefault="00C85781" w:rsidP="00C85781">
                            <w:pPr>
                              <w:pStyle w:val="Encabezado"/>
                              <w:tabs>
                                <w:tab w:val="clear" w:pos="4419"/>
                                <w:tab w:val="clear" w:pos="8838"/>
                                <w:tab w:val="left" w:pos="3036"/>
                              </w:tabs>
                              <w:jc w:val="center"/>
                              <w:rPr>
                                <w:rFonts w:ascii="Arial" w:hAnsi="Arial" w:cs="Arial"/>
                                <w:b/>
                                <w:sz w:val="18"/>
                                <w:szCs w:val="16"/>
                              </w:rPr>
                            </w:pP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Neiva, Huila _________________________</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La providencia anterior se notifica por</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Estado No. _________ fijado a las 7:00 A.M.</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Secretaria___________________________</w:t>
                            </w:r>
                          </w:p>
                          <w:p w:rsidR="00C85781" w:rsidRDefault="00C85781" w:rsidP="00C8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7D30F84" id="_x0000_t202" coordsize="21600,21600" o:spt="202" path="m,l,21600r21600,l21600,xe">
                <v:stroke joinstyle="miter"/>
                <v:path gradientshapeok="t" o:connecttype="rect"/>
              </v:shapetype>
              <v:shape id="Cuadro de texto 2" o:spid="_x0000_s1026" type="#_x0000_t202" style="position:absolute;left:0;text-align:left;margin-left:0;margin-top:1.15pt;width:211pt;height:155.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">
                <v:textbox>
                  <w:txbxContent>
                    <w:p w:rsidR="00C85781" w:rsidRPr="00A93ADA" w:rsidRDefault="00C85781" w:rsidP="00C85781">
                      <w:pPr>
                        <w:pStyle w:val="Encabezado"/>
                        <w:tabs>
                          <w:tab w:val="clear" w:pos="4419"/>
                          <w:tab w:val="clear" w:pos="8838"/>
                          <w:tab w:val="left" w:pos="3036"/>
                        </w:tabs>
                        <w:jc w:val="center"/>
                        <w:rPr>
                          <w:rFonts w:cs="Arial"/>
                          <w:b/>
                          <w:szCs w:val="28"/>
                        </w:rPr>
                      </w:pPr>
                      <w:r w:rsidRPr="00A93ADA">
                        <w:rPr>
                          <w:noProof/>
                          <w:lang w:val="es-CO" w:eastAsia="es-CO"/>
                        </w:rPr>
                        <w:drawing>
                          <wp:inline distT="0" distB="0" distL="0" distR="0" wp14:anchorId="13F8A876" wp14:editId="45638611">
                            <wp:extent cx="347980" cy="3670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s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630" cy="370915"/>
                                    </a:xfrm>
                                    <a:prstGeom prst="rect">
                                      <a:avLst/>
                                    </a:prstGeom>
                                    <a:noFill/>
                                    <a:ln>
                                      <a:noFill/>
                                    </a:ln>
                                  </pic:spPr>
                                </pic:pic>
                              </a:graphicData>
                            </a:graphic>
                          </wp:inline>
                        </w:drawing>
                      </w:r>
                    </w:p>
                    <w:p w:rsidR="00C85781" w:rsidRPr="00342C79" w:rsidRDefault="00C85781" w:rsidP="00C85781">
                      <w:pPr>
                        <w:pStyle w:val="Encabezado"/>
                        <w:tabs>
                          <w:tab w:val="clear" w:pos="4419"/>
                          <w:tab w:val="clear" w:pos="8838"/>
                          <w:tab w:val="left" w:pos="3036"/>
                        </w:tabs>
                        <w:jc w:val="center"/>
                        <w:rPr>
                          <w:rFonts w:ascii="Arial" w:hAnsi="Arial" w:cs="Arial"/>
                          <w:sz w:val="18"/>
                          <w:szCs w:val="16"/>
                        </w:rPr>
                      </w:pPr>
                      <w:r w:rsidRPr="00342C79">
                        <w:rPr>
                          <w:rFonts w:ascii="Arial" w:hAnsi="Arial" w:cs="Arial"/>
                          <w:b/>
                          <w:sz w:val="18"/>
                          <w:szCs w:val="16"/>
                        </w:rPr>
                        <w:t>JUZGADO PENAL DEL CIRCUITO</w:t>
                      </w:r>
                    </w:p>
                    <w:p w:rsidR="00C85781" w:rsidRPr="00342C79" w:rsidRDefault="00C85781" w:rsidP="00C85781">
                      <w:pPr>
                        <w:pStyle w:val="Encabezado"/>
                        <w:tabs>
                          <w:tab w:val="clear" w:pos="4419"/>
                          <w:tab w:val="clear" w:pos="8838"/>
                          <w:tab w:val="left" w:pos="3036"/>
                        </w:tabs>
                        <w:jc w:val="center"/>
                        <w:rPr>
                          <w:rFonts w:ascii="Arial" w:hAnsi="Arial" w:cs="Arial"/>
                          <w:b/>
                          <w:sz w:val="18"/>
                          <w:szCs w:val="16"/>
                        </w:rPr>
                      </w:pPr>
                      <w:r w:rsidRPr="00342C79">
                        <w:rPr>
                          <w:rFonts w:ascii="Arial" w:hAnsi="Arial" w:cs="Arial"/>
                          <w:b/>
                          <w:sz w:val="18"/>
                          <w:szCs w:val="16"/>
                        </w:rPr>
                        <w:t>ESPECIALIZADO DE EXTINCIÓN DE DOMINIO</w:t>
                      </w:r>
                    </w:p>
                    <w:p w:rsidR="00C85781" w:rsidRPr="00342C79" w:rsidRDefault="00C85781" w:rsidP="00C85781">
                      <w:pPr>
                        <w:pStyle w:val="Encabezado"/>
                        <w:tabs>
                          <w:tab w:val="clear" w:pos="4419"/>
                          <w:tab w:val="clear" w:pos="8838"/>
                          <w:tab w:val="left" w:pos="3036"/>
                        </w:tabs>
                        <w:jc w:val="center"/>
                        <w:rPr>
                          <w:rFonts w:ascii="Arial" w:hAnsi="Arial" w:cs="Arial"/>
                          <w:b/>
                          <w:sz w:val="18"/>
                          <w:szCs w:val="16"/>
                        </w:rPr>
                      </w:pP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Neiva, Huila _________________________</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La providencia anterior se notifica por</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Estado No. _________ fijado a las 7:00 A.M.</w:t>
                      </w:r>
                    </w:p>
                    <w:p w:rsidR="00C85781" w:rsidRPr="00342C79" w:rsidRDefault="00C85781" w:rsidP="00C85781">
                      <w:pPr>
                        <w:pStyle w:val="Encabezado"/>
                        <w:tabs>
                          <w:tab w:val="clear" w:pos="4419"/>
                          <w:tab w:val="clear" w:pos="8838"/>
                          <w:tab w:val="left" w:pos="3036"/>
                        </w:tabs>
                        <w:spacing w:line="480" w:lineRule="auto"/>
                        <w:jc w:val="both"/>
                        <w:rPr>
                          <w:rFonts w:ascii="Arial" w:hAnsi="Arial" w:cs="Arial"/>
                          <w:sz w:val="18"/>
                          <w:szCs w:val="16"/>
                        </w:rPr>
                      </w:pPr>
                      <w:r w:rsidRPr="00342C79">
                        <w:rPr>
                          <w:rFonts w:ascii="Arial" w:hAnsi="Arial" w:cs="Arial"/>
                          <w:sz w:val="18"/>
                          <w:szCs w:val="16"/>
                        </w:rPr>
                        <w:t>Secretaria___________________________</w:t>
                      </w:r>
                    </w:p>
                    <w:p w:rsidR="00C85781" w:rsidRDefault="00C85781" w:rsidP="00C85781"/>
                  </w:txbxContent>
                </v:textbox>
                <w10:wrap type="square" anchorx="page"/>
              </v:shape>
            </w:pict>
          </mc:Fallback>
        </mc:AlternateContent>
      </w:r>
    </w:p>
    <w:p w:rsidR="00C85781" w:rsidRPr="00342C79" w:rsidRDefault="00C85781" w:rsidP="00342C79">
      <w:pPr>
        <w:spacing w:line="360" w:lineRule="auto"/>
        <w:jc w:val="center"/>
        <w:rPr>
          <w:rFonts w:ascii="Arial" w:hAnsi="Arial" w:cs="Arial"/>
          <w:sz w:val="26"/>
          <w:szCs w:val="26"/>
        </w:rPr>
      </w:pPr>
    </w:p>
    <w:p w:rsidR="00F0079D" w:rsidRPr="00342C79" w:rsidRDefault="00DA57C9" w:rsidP="00342C79">
      <w:pPr>
        <w:spacing w:line="360" w:lineRule="auto"/>
        <w:rPr>
          <w:sz w:val="26"/>
          <w:szCs w:val="26"/>
        </w:rPr>
      </w:pPr>
    </w:p>
    <w:sectPr w:rsidR="00F0079D" w:rsidRPr="00342C79">
      <w:headerReference w:type="default" r:id="rId10"/>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C9" w:rsidRDefault="00DA57C9" w:rsidP="00C85781">
      <w:pPr>
        <w:spacing w:after="0" w:line="240" w:lineRule="auto"/>
      </w:pPr>
      <w:r>
        <w:separator/>
      </w:r>
    </w:p>
  </w:endnote>
  <w:endnote w:type="continuationSeparator" w:id="0">
    <w:p w:rsidR="00DA57C9" w:rsidRDefault="00DA57C9" w:rsidP="00C8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C9" w:rsidRDefault="00DA57C9" w:rsidP="00C85781">
      <w:pPr>
        <w:spacing w:after="0" w:line="240" w:lineRule="auto"/>
      </w:pPr>
      <w:r>
        <w:separator/>
      </w:r>
    </w:p>
  </w:footnote>
  <w:footnote w:type="continuationSeparator" w:id="0">
    <w:p w:rsidR="00DA57C9" w:rsidRDefault="00DA57C9" w:rsidP="00C85781">
      <w:pPr>
        <w:spacing w:after="0" w:line="240" w:lineRule="auto"/>
      </w:pPr>
      <w:r>
        <w:continuationSeparator/>
      </w:r>
    </w:p>
  </w:footnote>
  <w:footnote w:id="1">
    <w:p w:rsidR="00C85781" w:rsidRPr="00C67FD1" w:rsidRDefault="00C85781" w:rsidP="00C85781">
      <w:pPr>
        <w:pStyle w:val="Textonotapie"/>
      </w:pPr>
      <w:r>
        <w:rPr>
          <w:rStyle w:val="Refdenotaalpie"/>
        </w:rPr>
        <w:footnoteRef/>
      </w:r>
      <w:r>
        <w:t xml:space="preserve"> Folio 20 al 46 del cuaderno original No 2 de la Fiscalía.</w:t>
      </w:r>
    </w:p>
  </w:footnote>
  <w:footnote w:id="2">
    <w:p w:rsidR="00C85781" w:rsidRPr="00111994" w:rsidRDefault="00C85781" w:rsidP="00C85781">
      <w:pPr>
        <w:pStyle w:val="Textonotapie"/>
      </w:pPr>
      <w:r>
        <w:rPr>
          <w:rStyle w:val="Refdenotaalpie"/>
        </w:rPr>
        <w:footnoteRef/>
      </w:r>
      <w:r>
        <w:t xml:space="preserve"> Folio 29 al 43del cuaderno de segunda instancia</w:t>
      </w:r>
    </w:p>
  </w:footnote>
  <w:footnote w:id="3">
    <w:p w:rsidR="00C85781" w:rsidRPr="008B067D" w:rsidRDefault="00C85781" w:rsidP="00C85781">
      <w:pPr>
        <w:pStyle w:val="Textonotapie"/>
      </w:pPr>
      <w:r>
        <w:rPr>
          <w:rStyle w:val="Refdenotaalpie"/>
        </w:rPr>
        <w:footnoteRef/>
      </w:r>
      <w:r>
        <w:t xml:space="preserve"> Folio 287 cuaderno origina No 1 de la Fiscalía </w:t>
      </w:r>
    </w:p>
  </w:footnote>
  <w:footnote w:id="4">
    <w:p w:rsidR="00C85781" w:rsidRDefault="00C85781" w:rsidP="00C85781">
      <w:pPr>
        <w:pStyle w:val="Textonotapie"/>
      </w:pPr>
      <w:r>
        <w:rPr>
          <w:rStyle w:val="Refdenotaalpie"/>
        </w:rPr>
        <w:footnoteRef/>
      </w:r>
      <w:r>
        <w:t xml:space="preserve"> </w:t>
      </w:r>
      <w:r>
        <w:rPr>
          <w:rFonts w:ascii="Arial" w:hAnsi="Arial" w:cs="Arial"/>
          <w:sz w:val="18"/>
        </w:rPr>
        <w:t>Corte Suprema de Justicia, Sala de Casación Penal, AP7908-2016 Radicación No. 49227, M.P. Luis Guillermo Salazar Otero y AP7025-2016 Radicación No. 48.991, M.P. Patricia Salazar Cuellar.</w:t>
      </w:r>
    </w:p>
    <w:p w:rsidR="00C85781" w:rsidRDefault="00C85781" w:rsidP="00C85781">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5C" w:rsidRDefault="00DA57C9" w:rsidP="00467E5C">
    <w:pPr>
      <w:pStyle w:val="Encabezado"/>
      <w:tabs>
        <w:tab w:val="clear" w:pos="4419"/>
        <w:tab w:val="clear" w:pos="8838"/>
        <w:tab w:val="left" w:pos="3036"/>
      </w:tabs>
    </w:pPr>
  </w:p>
  <w:p w:rsidR="00467E5C" w:rsidRDefault="00E81F75" w:rsidP="00467E5C">
    <w:pPr>
      <w:pStyle w:val="Encabezado"/>
      <w:tabs>
        <w:tab w:val="clear" w:pos="4419"/>
        <w:tab w:val="clear" w:pos="8838"/>
        <w:tab w:val="left" w:pos="3036"/>
      </w:tabs>
    </w:pPr>
    <w:r>
      <w:rPr>
        <w:noProof/>
        <w:lang w:val="es-ES"/>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777240" cy="1033145"/>
          <wp:effectExtent l="0" t="0" r="3810" b="0"/>
          <wp:wrapNone/>
          <wp:docPr id="1" name="Imagen 1" descr="Descripción: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5C" w:rsidRDefault="00DA57C9" w:rsidP="00467E5C">
    <w:pPr>
      <w:pStyle w:val="Encabezado"/>
      <w:tabs>
        <w:tab w:val="clear" w:pos="4419"/>
        <w:tab w:val="clear" w:pos="8838"/>
        <w:tab w:val="left" w:pos="3036"/>
      </w:tabs>
    </w:pPr>
  </w:p>
  <w:p w:rsidR="00467E5C" w:rsidRDefault="00DA57C9" w:rsidP="00467E5C">
    <w:pPr>
      <w:pStyle w:val="Encabezado"/>
      <w:tabs>
        <w:tab w:val="clear" w:pos="4419"/>
        <w:tab w:val="clear" w:pos="8838"/>
        <w:tab w:val="left" w:pos="3036"/>
      </w:tabs>
    </w:pPr>
  </w:p>
  <w:p w:rsidR="00467E5C" w:rsidRDefault="00DA57C9" w:rsidP="00467E5C">
    <w:pPr>
      <w:pStyle w:val="Encabezado"/>
      <w:tabs>
        <w:tab w:val="clear" w:pos="4419"/>
        <w:tab w:val="clear" w:pos="8838"/>
        <w:tab w:val="left" w:pos="3036"/>
      </w:tabs>
    </w:pPr>
  </w:p>
  <w:p w:rsidR="00467E5C" w:rsidRDefault="00DA57C9" w:rsidP="00467E5C">
    <w:pPr>
      <w:pStyle w:val="Encabezado"/>
      <w:tabs>
        <w:tab w:val="clear" w:pos="4419"/>
        <w:tab w:val="clear" w:pos="8838"/>
        <w:tab w:val="left" w:pos="3036"/>
      </w:tabs>
    </w:pPr>
  </w:p>
  <w:p w:rsidR="00467E5C" w:rsidRDefault="00DA57C9" w:rsidP="00467E5C">
    <w:pPr>
      <w:pStyle w:val="Encabezado"/>
      <w:tabs>
        <w:tab w:val="clear" w:pos="4419"/>
        <w:tab w:val="clear" w:pos="8838"/>
        <w:tab w:val="left" w:pos="3036"/>
      </w:tabs>
      <w:jc w:val="center"/>
      <w:rPr>
        <w:rFonts w:ascii="Arial" w:hAnsi="Arial" w:cs="Arial"/>
        <w:sz w:val="28"/>
        <w:szCs w:val="28"/>
      </w:rPr>
    </w:pPr>
  </w:p>
  <w:p w:rsidR="00467E5C" w:rsidRPr="000B3158" w:rsidRDefault="00DA57C9" w:rsidP="00467E5C">
    <w:pPr>
      <w:pStyle w:val="Encabezado"/>
      <w:tabs>
        <w:tab w:val="clear" w:pos="4419"/>
        <w:tab w:val="clear" w:pos="8838"/>
        <w:tab w:val="left" w:pos="3036"/>
      </w:tabs>
      <w:jc w:val="center"/>
      <w:rPr>
        <w:rFonts w:ascii="Arial" w:hAnsi="Arial" w:cs="Arial"/>
        <w:sz w:val="28"/>
        <w:szCs w:val="28"/>
      </w:rPr>
    </w:pPr>
  </w:p>
  <w:p w:rsidR="00467E5C" w:rsidRDefault="00C85781" w:rsidP="00467E5C">
    <w:pPr>
      <w:pStyle w:val="Encabezado"/>
      <w:tabs>
        <w:tab w:val="clear" w:pos="4419"/>
        <w:tab w:val="clear" w:pos="8838"/>
        <w:tab w:val="left" w:pos="3036"/>
      </w:tabs>
      <w:jc w:val="center"/>
      <w:rPr>
        <w:rFonts w:ascii="Arial" w:hAnsi="Arial" w:cs="Arial"/>
        <w:b/>
        <w:sz w:val="28"/>
        <w:szCs w:val="28"/>
      </w:rPr>
    </w:pPr>
    <w:r w:rsidRPr="000B3158">
      <w:rPr>
        <w:rFonts w:ascii="Arial" w:hAnsi="Arial" w:cs="Arial"/>
        <w:b/>
        <w:sz w:val="28"/>
        <w:szCs w:val="28"/>
      </w:rPr>
      <w:t xml:space="preserve">JUZGADO PENAL DEL CIRCUITO </w:t>
    </w:r>
  </w:p>
  <w:p w:rsidR="00467E5C" w:rsidRPr="000B3158" w:rsidRDefault="00C85781" w:rsidP="00467E5C">
    <w:pPr>
      <w:pStyle w:val="Encabezado"/>
      <w:tabs>
        <w:tab w:val="clear" w:pos="4419"/>
        <w:tab w:val="clear" w:pos="8838"/>
        <w:tab w:val="left" w:pos="3036"/>
      </w:tabs>
      <w:jc w:val="center"/>
      <w:rPr>
        <w:rFonts w:ascii="Arial" w:hAnsi="Arial" w:cs="Arial"/>
        <w:b/>
        <w:sz w:val="28"/>
        <w:szCs w:val="28"/>
      </w:rPr>
    </w:pPr>
    <w:r w:rsidRPr="000B3158">
      <w:rPr>
        <w:rFonts w:ascii="Arial" w:hAnsi="Arial" w:cs="Arial"/>
        <w:b/>
        <w:sz w:val="28"/>
        <w:szCs w:val="28"/>
      </w:rPr>
      <w:t xml:space="preserve">ESPECIALIZADO </w:t>
    </w:r>
    <w:r>
      <w:rPr>
        <w:rFonts w:ascii="Arial" w:hAnsi="Arial" w:cs="Arial"/>
        <w:b/>
        <w:sz w:val="28"/>
        <w:szCs w:val="28"/>
      </w:rPr>
      <w:t>DE</w:t>
    </w:r>
    <w:r w:rsidRPr="000B3158">
      <w:rPr>
        <w:rFonts w:ascii="Arial" w:hAnsi="Arial" w:cs="Arial"/>
        <w:b/>
        <w:sz w:val="28"/>
        <w:szCs w:val="28"/>
      </w:rPr>
      <w:t xml:space="preserve"> EXTINCIÓN DE DOMINIO</w:t>
    </w:r>
  </w:p>
  <w:p w:rsidR="00467E5C" w:rsidRPr="000B3158" w:rsidRDefault="00C85781" w:rsidP="00467E5C">
    <w:pPr>
      <w:pStyle w:val="Encabezado"/>
      <w:tabs>
        <w:tab w:val="clear" w:pos="4419"/>
        <w:tab w:val="clear" w:pos="8838"/>
        <w:tab w:val="left" w:pos="3036"/>
      </w:tabs>
      <w:jc w:val="center"/>
      <w:rPr>
        <w:rFonts w:ascii="Arial" w:hAnsi="Arial" w:cs="Arial"/>
        <w:b/>
        <w:sz w:val="28"/>
        <w:szCs w:val="28"/>
      </w:rPr>
    </w:pPr>
    <w:r w:rsidRPr="000B3158">
      <w:rPr>
        <w:rFonts w:ascii="Arial" w:hAnsi="Arial" w:cs="Arial"/>
        <w:b/>
        <w:sz w:val="28"/>
        <w:szCs w:val="28"/>
      </w:rPr>
      <w:t>NEIVA – HUILA</w:t>
    </w:r>
  </w:p>
  <w:p w:rsidR="00467E5C" w:rsidRDefault="00DA57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F7AA4"/>
    <w:multiLevelType w:val="hybridMultilevel"/>
    <w:tmpl w:val="7BA26E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75"/>
    <w:rsid w:val="00342C79"/>
    <w:rsid w:val="005830ED"/>
    <w:rsid w:val="007633F2"/>
    <w:rsid w:val="009B52BC"/>
    <w:rsid w:val="00C85781"/>
    <w:rsid w:val="00DA57C9"/>
    <w:rsid w:val="00E81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A683B1-5DED-47B3-BBDE-7AF570B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F75"/>
    <w:pPr>
      <w:tabs>
        <w:tab w:val="center" w:pos="4419"/>
        <w:tab w:val="right" w:pos="8838"/>
      </w:tabs>
      <w:spacing w:after="0" w:line="240" w:lineRule="auto"/>
    </w:pPr>
    <w:rPr>
      <w:rFonts w:ascii="Roman PS" w:eastAsia="Times New Roman" w:hAnsi="Roman PS" w:cs="Times New Roman"/>
      <w:sz w:val="20"/>
      <w:szCs w:val="20"/>
      <w:lang w:val="es-ES_tradnl" w:eastAsia="es-ES"/>
    </w:rPr>
  </w:style>
  <w:style w:type="character" w:customStyle="1" w:styleId="EncabezadoCar">
    <w:name w:val="Encabezado Car"/>
    <w:basedOn w:val="Fuentedeprrafopredeter"/>
    <w:link w:val="Encabezado"/>
    <w:uiPriority w:val="99"/>
    <w:rsid w:val="00E81F75"/>
    <w:rPr>
      <w:rFonts w:ascii="Roman PS" w:eastAsia="Times New Roman" w:hAnsi="Roman PS" w:cs="Times New Roman"/>
      <w:sz w:val="20"/>
      <w:szCs w:val="20"/>
      <w:lang w:val="es-ES_tradnl" w:eastAsia="es-ES"/>
    </w:rPr>
  </w:style>
  <w:style w:type="paragraph" w:styleId="Prrafodelista">
    <w:name w:val="List Paragraph"/>
    <w:basedOn w:val="Normal"/>
    <w:uiPriority w:val="34"/>
    <w:qFormat/>
    <w:rsid w:val="00C85781"/>
    <w:pPr>
      <w:ind w:left="720"/>
      <w:contextualSpacing/>
    </w:pPr>
  </w:style>
  <w:style w:type="paragraph" w:styleId="Sinespaciado">
    <w:name w:val="No Spacing"/>
    <w:uiPriority w:val="1"/>
    <w:qFormat/>
    <w:rsid w:val="00C85781"/>
    <w:pPr>
      <w:spacing w:after="0" w:line="240" w:lineRule="auto"/>
    </w:p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
    <w:basedOn w:val="Normal"/>
    <w:link w:val="TextonotapieCar"/>
    <w:uiPriority w:val="99"/>
    <w:unhideWhenUsed/>
    <w:qFormat/>
    <w:rsid w:val="00C8578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r Car"/>
    <w:basedOn w:val="Fuentedeprrafopredeter"/>
    <w:link w:val="Textonotapie"/>
    <w:uiPriority w:val="99"/>
    <w:rsid w:val="00C85781"/>
    <w:rPr>
      <w:sz w:val="20"/>
      <w:szCs w:val="20"/>
    </w:rPr>
  </w:style>
  <w:style w:type="character" w:styleId="Refdenotaalpie">
    <w:name w:val="footnote reference"/>
    <w:aliases w:val="Texto de nota al pie,referencia nota al pie,Nota a pie,Ref. de nota al pie 2,Footnote symbol,Footnote,Char Car Car Car Ca,Ref. de nota al pie2,Nota de pie,Pie de pagina,BVI fnr,Ref,de nota al pie,Footnotes refss,Footnote number,f,4_G"/>
    <w:basedOn w:val="Fuentedeprrafopredeter"/>
    <w:uiPriority w:val="99"/>
    <w:unhideWhenUsed/>
    <w:rsid w:val="00C85781"/>
    <w:rPr>
      <w:vertAlign w:val="superscript"/>
    </w:rPr>
  </w:style>
  <w:style w:type="paragraph" w:styleId="Piedepgina">
    <w:name w:val="footer"/>
    <w:basedOn w:val="Normal"/>
    <w:link w:val="PiedepginaCar"/>
    <w:uiPriority w:val="99"/>
    <w:unhideWhenUsed/>
    <w:rsid w:val="00C85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Reinel Puentes Quintero</dc:creator>
  <cp:keywords/>
  <dc:description/>
  <cp:lastModifiedBy>Limas Rodriguez</cp:lastModifiedBy>
  <cp:revision>2</cp:revision>
  <dcterms:created xsi:type="dcterms:W3CDTF">2017-05-04T20:46:00Z</dcterms:created>
  <dcterms:modified xsi:type="dcterms:W3CDTF">2017-05-04T20:46:00Z</dcterms:modified>
</cp:coreProperties>
</file>