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910" w:rsidRPr="00B14B4E" w:rsidRDefault="00326910" w:rsidP="00326910">
      <w:pPr>
        <w:jc w:val="center"/>
        <w:rPr>
          <w:rFonts w:ascii="Tahoma" w:hAnsi="Tahoma" w:cs="Tahoma"/>
          <w:b/>
          <w:sz w:val="40"/>
          <w:u w:val="single"/>
        </w:rPr>
      </w:pPr>
      <w:bookmarkStart w:id="0" w:name="_GoBack"/>
      <w:bookmarkEnd w:id="0"/>
      <w:r w:rsidRPr="00B14B4E">
        <w:rPr>
          <w:rFonts w:ascii="Tahoma" w:hAnsi="Tahoma" w:cs="Tahoma"/>
          <w:b/>
          <w:sz w:val="40"/>
          <w:u w:val="single"/>
        </w:rPr>
        <w:t>EDICTO</w:t>
      </w:r>
    </w:p>
    <w:p w:rsidR="00326910" w:rsidRPr="00B14B4E" w:rsidRDefault="00326910" w:rsidP="00326910">
      <w:pPr>
        <w:jc w:val="center"/>
        <w:rPr>
          <w:rFonts w:ascii="Tahoma" w:hAnsi="Tahoma" w:cs="Tahoma"/>
          <w:b/>
          <w:sz w:val="40"/>
          <w:u w:val="single"/>
        </w:rPr>
      </w:pPr>
      <w:r w:rsidRPr="00B14B4E">
        <w:rPr>
          <w:rFonts w:ascii="Tahoma" w:hAnsi="Tahoma" w:cs="Tahoma"/>
          <w:b/>
          <w:sz w:val="40"/>
          <w:u w:val="single"/>
        </w:rPr>
        <w:t>EMPLAZATORIO</w:t>
      </w:r>
    </w:p>
    <w:p w:rsidR="00326910" w:rsidRPr="00B14B4E" w:rsidRDefault="00326910" w:rsidP="00326910">
      <w:pPr>
        <w:jc w:val="center"/>
        <w:rPr>
          <w:rFonts w:ascii="Tahoma" w:hAnsi="Tahoma" w:cs="Tahoma"/>
          <w:sz w:val="22"/>
        </w:rPr>
      </w:pPr>
      <w:r w:rsidRPr="00B14B4E">
        <w:rPr>
          <w:rFonts w:ascii="Tahoma" w:hAnsi="Tahoma" w:cs="Tahoma"/>
          <w:sz w:val="22"/>
        </w:rPr>
        <w:t>Art. 140 Ley 1708 de 2014</w:t>
      </w:r>
    </w:p>
    <w:p w:rsidR="00326910" w:rsidRPr="00B14B4E" w:rsidRDefault="00326910" w:rsidP="00326910">
      <w:pPr>
        <w:jc w:val="center"/>
        <w:rPr>
          <w:rFonts w:ascii="Tahoma" w:hAnsi="Tahoma" w:cs="Tahoma"/>
          <w:sz w:val="22"/>
        </w:rPr>
      </w:pPr>
    </w:p>
    <w:p w:rsidR="00326910" w:rsidRPr="00B14B4E" w:rsidRDefault="00326910" w:rsidP="00326910">
      <w:pPr>
        <w:jc w:val="center"/>
        <w:rPr>
          <w:rFonts w:ascii="Tahoma" w:hAnsi="Tahoma" w:cs="Tahoma"/>
          <w:sz w:val="22"/>
        </w:rPr>
      </w:pPr>
      <w:r>
        <w:rPr>
          <w:rFonts w:ascii="Tahoma" w:hAnsi="Tahoma" w:cs="Tahoma"/>
          <w:sz w:val="22"/>
        </w:rPr>
        <w:t>El suscrito Secretario del Juzgado Penal de</w:t>
      </w:r>
      <w:r w:rsidRPr="00B14B4E">
        <w:rPr>
          <w:rFonts w:ascii="Tahoma" w:hAnsi="Tahoma" w:cs="Tahoma"/>
          <w:sz w:val="22"/>
        </w:rPr>
        <w:t>l Circuito Especializado de Extinción de</w:t>
      </w:r>
    </w:p>
    <w:p w:rsidR="00326910" w:rsidRDefault="00326910" w:rsidP="00326910">
      <w:pPr>
        <w:jc w:val="center"/>
        <w:rPr>
          <w:rFonts w:ascii="Tahoma" w:hAnsi="Tahoma" w:cs="Tahoma"/>
          <w:sz w:val="22"/>
        </w:rPr>
      </w:pPr>
      <w:r w:rsidRPr="00B14B4E">
        <w:rPr>
          <w:rFonts w:ascii="Tahoma" w:hAnsi="Tahoma" w:cs="Tahoma"/>
          <w:sz w:val="22"/>
        </w:rPr>
        <w:t>Dominio de Barranquilla.</w:t>
      </w:r>
    </w:p>
    <w:p w:rsidR="00326910" w:rsidRPr="00D2454A" w:rsidRDefault="00326910" w:rsidP="00326910">
      <w:pPr>
        <w:jc w:val="center"/>
        <w:rPr>
          <w:rFonts w:ascii="Tahoma" w:hAnsi="Tahoma" w:cs="Tahoma"/>
          <w:sz w:val="22"/>
        </w:rPr>
      </w:pPr>
    </w:p>
    <w:p w:rsidR="00326910" w:rsidRPr="00B14B4E" w:rsidRDefault="00326910" w:rsidP="00326910">
      <w:pPr>
        <w:jc w:val="center"/>
        <w:rPr>
          <w:rFonts w:ascii="Tahoma" w:hAnsi="Tahoma" w:cs="Tahoma"/>
          <w:b/>
        </w:rPr>
      </w:pPr>
      <w:r w:rsidRPr="00B14B4E">
        <w:rPr>
          <w:rFonts w:ascii="Tahoma" w:hAnsi="Tahoma" w:cs="Tahoma"/>
          <w:b/>
        </w:rPr>
        <w:t>CITA Y EMPLAZA</w:t>
      </w:r>
    </w:p>
    <w:p w:rsidR="00326910" w:rsidRPr="00B14B4E" w:rsidRDefault="00326910" w:rsidP="00326910">
      <w:pPr>
        <w:jc w:val="center"/>
        <w:rPr>
          <w:rFonts w:ascii="Tahoma" w:hAnsi="Tahoma" w:cs="Tahoma"/>
          <w:b/>
        </w:rPr>
      </w:pPr>
    </w:p>
    <w:p w:rsidR="00326910" w:rsidRPr="00B14B4E" w:rsidRDefault="00326910" w:rsidP="00326910">
      <w:pPr>
        <w:spacing w:line="276" w:lineRule="auto"/>
        <w:jc w:val="both"/>
        <w:rPr>
          <w:rFonts w:ascii="Tahoma" w:hAnsi="Tahoma" w:cs="Tahoma"/>
          <w:sz w:val="22"/>
        </w:rPr>
      </w:pPr>
      <w:r w:rsidRPr="00B14B4E">
        <w:rPr>
          <w:rFonts w:ascii="Tahoma" w:hAnsi="Tahoma" w:cs="Tahoma"/>
          <w:sz w:val="22"/>
        </w:rPr>
        <w:t>A LOS DEMÁS TITULARES DE DERECHOS SOBRE LOS BIENES OBJETO DE LA PRESENTE ACCIÓN Y A LOS TERCEROS INDETERMINADOS QUE SE CREAN CON DERECHO SOBRE LOS MISMOS, para que comparezcan a este Juzgado y hagan valer sus derechos dentro del proceso de Extinción de Dominio No</w:t>
      </w:r>
      <w:r w:rsidRPr="00447323">
        <w:rPr>
          <w:rFonts w:ascii="Tahoma" w:hAnsi="Tahoma" w:cs="Tahoma"/>
          <w:b/>
          <w:color w:val="000000" w:themeColor="text1"/>
          <w:sz w:val="22"/>
        </w:rPr>
        <w:t>.</w:t>
      </w:r>
      <w:r w:rsidRPr="00447323">
        <w:rPr>
          <w:rFonts w:ascii="Arial" w:eastAsia="Calibri" w:hAnsi="Arial" w:cs="Arial"/>
          <w:b/>
          <w:color w:val="000000" w:themeColor="text1"/>
          <w:sz w:val="22"/>
        </w:rPr>
        <w:t xml:space="preserve"> </w:t>
      </w:r>
      <w:r>
        <w:rPr>
          <w:rFonts w:ascii="Tahoma" w:hAnsi="Tahoma" w:cs="Tahoma"/>
          <w:b/>
          <w:sz w:val="22"/>
        </w:rPr>
        <w:t>080013120001201700036</w:t>
      </w:r>
      <w:r w:rsidRPr="00B14B4E">
        <w:rPr>
          <w:rFonts w:ascii="Tahoma" w:hAnsi="Tahoma" w:cs="Tahoma"/>
          <w:color w:val="000000" w:themeColor="text1"/>
          <w:sz w:val="22"/>
        </w:rPr>
        <w:t xml:space="preserve"> (Rad. Fiscalía</w:t>
      </w:r>
      <w:r>
        <w:rPr>
          <w:rFonts w:ascii="Tahoma" w:hAnsi="Tahoma" w:cs="Tahoma"/>
          <w:color w:val="000000" w:themeColor="text1"/>
          <w:sz w:val="22"/>
        </w:rPr>
        <w:t xml:space="preserve"> 00052 </w:t>
      </w:r>
      <w:r w:rsidRPr="00B14B4E">
        <w:rPr>
          <w:rFonts w:ascii="Tahoma" w:hAnsi="Tahoma" w:cs="Tahoma"/>
          <w:color w:val="000000" w:themeColor="text1"/>
          <w:sz w:val="22"/>
        </w:rPr>
        <w:t xml:space="preserve">E.D.), </w:t>
      </w:r>
      <w:r>
        <w:rPr>
          <w:rFonts w:ascii="Tahoma" w:hAnsi="Tahoma" w:cs="Tahoma"/>
          <w:sz w:val="22"/>
        </w:rPr>
        <w:t>siendo afectada la señora JOSEFA MARIA MADERA OROZCO</w:t>
      </w:r>
      <w:r w:rsidRPr="00B14B4E">
        <w:rPr>
          <w:rFonts w:ascii="Tahoma" w:hAnsi="Tahoma" w:cs="Tahoma"/>
          <w:b/>
          <w:sz w:val="22"/>
        </w:rPr>
        <w:t>,</w:t>
      </w:r>
      <w:r>
        <w:rPr>
          <w:rFonts w:ascii="Tahoma" w:hAnsi="Tahoma" w:cs="Tahoma"/>
          <w:sz w:val="22"/>
        </w:rPr>
        <w:t xml:space="preserve"> dando </w:t>
      </w:r>
      <w:r w:rsidRPr="00B14B4E">
        <w:rPr>
          <w:rFonts w:ascii="Tahoma" w:hAnsi="Tahoma" w:cs="Tahoma"/>
          <w:sz w:val="22"/>
        </w:rPr>
        <w:t>cumplimiento a lo ordenado en el auto de</w:t>
      </w:r>
      <w:r>
        <w:rPr>
          <w:rFonts w:ascii="Tahoma" w:hAnsi="Tahoma" w:cs="Tahoma"/>
          <w:sz w:val="22"/>
        </w:rPr>
        <w:t xml:space="preserve">l 18 de Junio </w:t>
      </w:r>
      <w:r w:rsidRPr="00B14B4E">
        <w:rPr>
          <w:rFonts w:ascii="Tahoma" w:hAnsi="Tahoma" w:cs="Tahoma"/>
          <w:sz w:val="22"/>
        </w:rPr>
        <w:t xml:space="preserve">del presente año, y de conformidad </w:t>
      </w:r>
      <w:r>
        <w:rPr>
          <w:rFonts w:ascii="Tahoma" w:hAnsi="Tahoma" w:cs="Tahoma"/>
          <w:sz w:val="22"/>
        </w:rPr>
        <w:t>co</w:t>
      </w:r>
      <w:r w:rsidRPr="00B14B4E">
        <w:rPr>
          <w:rFonts w:ascii="Tahoma" w:hAnsi="Tahoma" w:cs="Tahoma"/>
          <w:sz w:val="22"/>
        </w:rPr>
        <w:t xml:space="preserve">n lo dispuesto en el artículo 137 de la Ley 1708 de 2014, proferido dentro del citado radicado, que </w:t>
      </w:r>
      <w:r>
        <w:rPr>
          <w:rFonts w:ascii="Tahoma" w:hAnsi="Tahoma" w:cs="Tahoma"/>
          <w:sz w:val="22"/>
        </w:rPr>
        <w:t>s</w:t>
      </w:r>
      <w:r w:rsidRPr="00B14B4E">
        <w:rPr>
          <w:rFonts w:ascii="Tahoma" w:hAnsi="Tahoma" w:cs="Tahoma"/>
          <w:sz w:val="22"/>
        </w:rPr>
        <w:t xml:space="preserve">e </w:t>
      </w:r>
      <w:r w:rsidRPr="00B14B4E">
        <w:rPr>
          <w:rFonts w:ascii="Tahoma" w:hAnsi="Tahoma" w:cs="Tahoma"/>
          <w:b/>
          <w:sz w:val="22"/>
        </w:rPr>
        <w:t>AVOCÓ CONOCIMIENTO</w:t>
      </w:r>
      <w:r w:rsidRPr="00B14B4E">
        <w:rPr>
          <w:rFonts w:ascii="Tahoma" w:hAnsi="Tahoma" w:cs="Tahoma"/>
          <w:sz w:val="22"/>
        </w:rPr>
        <w:t xml:space="preserve"> de la acción de extinción de dominio </w:t>
      </w:r>
      <w:r>
        <w:rPr>
          <w:rFonts w:ascii="Tahoma" w:hAnsi="Tahoma" w:cs="Tahoma"/>
          <w:sz w:val="22"/>
        </w:rPr>
        <w:t>el 07 de Septiembre de 2017</w:t>
      </w:r>
      <w:r w:rsidRPr="00B14B4E">
        <w:rPr>
          <w:rFonts w:ascii="Tahoma" w:hAnsi="Tahoma" w:cs="Tahoma"/>
          <w:sz w:val="22"/>
        </w:rPr>
        <w:t xml:space="preserve"> </w:t>
      </w:r>
      <w:r>
        <w:rPr>
          <w:rFonts w:ascii="Tahoma" w:hAnsi="Tahoma" w:cs="Tahoma"/>
          <w:sz w:val="22"/>
        </w:rPr>
        <w:t xml:space="preserve">en donde resultó afectado el </w:t>
      </w:r>
      <w:r w:rsidRPr="00B14B4E">
        <w:rPr>
          <w:rFonts w:ascii="Tahoma" w:hAnsi="Tahoma" w:cs="Tahoma"/>
          <w:sz w:val="22"/>
        </w:rPr>
        <w:t>siguiente bien:</w:t>
      </w:r>
    </w:p>
    <w:p w:rsidR="00326910" w:rsidRDefault="00326910" w:rsidP="00326910">
      <w:pPr>
        <w:jc w:val="both"/>
        <w:rPr>
          <w:rFonts w:ascii="Arial" w:hAnsi="Arial" w:cs="Arial"/>
          <w:color w:val="FF0000"/>
          <w:sz w:val="16"/>
        </w:rPr>
      </w:pPr>
    </w:p>
    <w:p w:rsidR="00326910" w:rsidRPr="00B14B4E" w:rsidRDefault="00326910" w:rsidP="00326910">
      <w:pPr>
        <w:jc w:val="both"/>
        <w:rPr>
          <w:rFonts w:ascii="Arial" w:hAnsi="Arial" w:cs="Arial"/>
          <w:color w:val="FF0000"/>
          <w:sz w:val="16"/>
        </w:rPr>
      </w:pPr>
    </w:p>
    <w:tbl>
      <w:tblPr>
        <w:tblStyle w:val="Tablaconcuadrcula"/>
        <w:tblW w:w="0" w:type="auto"/>
        <w:tblInd w:w="421" w:type="dxa"/>
        <w:tblLayout w:type="fixed"/>
        <w:tblLook w:val="04A0" w:firstRow="1" w:lastRow="0" w:firstColumn="1" w:lastColumn="0" w:noHBand="0" w:noVBand="1"/>
      </w:tblPr>
      <w:tblGrid>
        <w:gridCol w:w="2392"/>
        <w:gridCol w:w="236"/>
        <w:gridCol w:w="5735"/>
      </w:tblGrid>
      <w:tr w:rsidR="00326910" w:rsidRPr="00B14B4E" w:rsidTr="000C1931">
        <w:tc>
          <w:tcPr>
            <w:tcW w:w="8363" w:type="dxa"/>
            <w:gridSpan w:val="3"/>
          </w:tcPr>
          <w:p w:rsidR="00326910" w:rsidRPr="00B14B4E" w:rsidRDefault="00326910" w:rsidP="000C1931">
            <w:pPr>
              <w:jc w:val="center"/>
              <w:rPr>
                <w:rFonts w:ascii="Tahoma" w:hAnsi="Tahoma" w:cs="Tahoma"/>
                <w:b/>
                <w:sz w:val="22"/>
              </w:rPr>
            </w:pPr>
            <w:r w:rsidRPr="00B14B4E">
              <w:rPr>
                <w:rFonts w:ascii="Tahoma" w:hAnsi="Tahoma" w:cs="Tahoma"/>
                <w:b/>
                <w:sz w:val="28"/>
              </w:rPr>
              <w:t xml:space="preserve">Inmueble-Matricula Inmobiliaria Nº </w:t>
            </w:r>
            <w:r>
              <w:rPr>
                <w:rFonts w:ascii="Tahoma" w:hAnsi="Tahoma" w:cs="Tahoma"/>
                <w:b/>
                <w:sz w:val="28"/>
              </w:rPr>
              <w:t>040-64123</w:t>
            </w:r>
          </w:p>
        </w:tc>
      </w:tr>
      <w:tr w:rsidR="00326910" w:rsidRPr="00B14B4E" w:rsidTr="000C1931">
        <w:tc>
          <w:tcPr>
            <w:tcW w:w="2392" w:type="dxa"/>
          </w:tcPr>
          <w:p w:rsidR="00326910" w:rsidRPr="00B14B4E" w:rsidRDefault="00326910" w:rsidP="000C1931">
            <w:pPr>
              <w:jc w:val="both"/>
              <w:rPr>
                <w:rFonts w:ascii="Tahoma" w:hAnsi="Tahoma" w:cs="Tahoma"/>
                <w:sz w:val="22"/>
              </w:rPr>
            </w:pPr>
            <w:r w:rsidRPr="00B14B4E">
              <w:rPr>
                <w:rFonts w:ascii="Tahoma" w:hAnsi="Tahoma" w:cs="Tahoma"/>
                <w:sz w:val="22"/>
              </w:rPr>
              <w:t>Dirección Inmueble</w:t>
            </w:r>
          </w:p>
        </w:tc>
        <w:tc>
          <w:tcPr>
            <w:tcW w:w="236" w:type="dxa"/>
          </w:tcPr>
          <w:p w:rsidR="00326910" w:rsidRPr="00B14B4E" w:rsidRDefault="00326910" w:rsidP="000C1931">
            <w:pPr>
              <w:jc w:val="both"/>
              <w:rPr>
                <w:rFonts w:ascii="Tahoma" w:hAnsi="Tahoma" w:cs="Tahoma"/>
                <w:sz w:val="22"/>
              </w:rPr>
            </w:pPr>
            <w:r w:rsidRPr="00B14B4E">
              <w:rPr>
                <w:rFonts w:ascii="Tahoma" w:hAnsi="Tahoma" w:cs="Tahoma"/>
                <w:sz w:val="22"/>
              </w:rPr>
              <w:t>:</w:t>
            </w:r>
          </w:p>
        </w:tc>
        <w:tc>
          <w:tcPr>
            <w:tcW w:w="5735" w:type="dxa"/>
          </w:tcPr>
          <w:p w:rsidR="00326910" w:rsidRPr="00B14B4E" w:rsidRDefault="00326910" w:rsidP="000C1931">
            <w:pPr>
              <w:jc w:val="both"/>
              <w:rPr>
                <w:rFonts w:ascii="Tahoma" w:hAnsi="Tahoma" w:cs="Tahoma"/>
                <w:sz w:val="22"/>
              </w:rPr>
            </w:pPr>
            <w:r>
              <w:rPr>
                <w:rFonts w:ascii="Tahoma" w:hAnsi="Tahoma" w:cs="Tahoma"/>
                <w:sz w:val="22"/>
              </w:rPr>
              <w:t>Calle 38 No. 26-77</w:t>
            </w:r>
          </w:p>
        </w:tc>
      </w:tr>
      <w:tr w:rsidR="00326910" w:rsidRPr="00B14B4E" w:rsidTr="000C1931">
        <w:tc>
          <w:tcPr>
            <w:tcW w:w="2392" w:type="dxa"/>
          </w:tcPr>
          <w:p w:rsidR="00326910" w:rsidRPr="00B14B4E" w:rsidRDefault="00326910" w:rsidP="000C1931">
            <w:pPr>
              <w:jc w:val="both"/>
              <w:rPr>
                <w:rFonts w:ascii="Tahoma" w:hAnsi="Tahoma" w:cs="Tahoma"/>
                <w:sz w:val="22"/>
              </w:rPr>
            </w:pPr>
            <w:r>
              <w:rPr>
                <w:rFonts w:ascii="Tahoma" w:hAnsi="Tahoma" w:cs="Tahoma"/>
                <w:sz w:val="22"/>
              </w:rPr>
              <w:t>Barrio</w:t>
            </w:r>
          </w:p>
        </w:tc>
        <w:tc>
          <w:tcPr>
            <w:tcW w:w="236" w:type="dxa"/>
          </w:tcPr>
          <w:p w:rsidR="00326910" w:rsidRPr="00B14B4E" w:rsidRDefault="00326910" w:rsidP="000C1931">
            <w:pPr>
              <w:jc w:val="both"/>
              <w:rPr>
                <w:rFonts w:ascii="Tahoma" w:hAnsi="Tahoma" w:cs="Tahoma"/>
                <w:sz w:val="22"/>
              </w:rPr>
            </w:pPr>
            <w:r w:rsidRPr="00B14B4E">
              <w:rPr>
                <w:rFonts w:ascii="Tahoma" w:hAnsi="Tahoma" w:cs="Tahoma"/>
                <w:sz w:val="22"/>
              </w:rPr>
              <w:t>:</w:t>
            </w:r>
          </w:p>
        </w:tc>
        <w:tc>
          <w:tcPr>
            <w:tcW w:w="5735" w:type="dxa"/>
          </w:tcPr>
          <w:p w:rsidR="00326910" w:rsidRPr="00B14B4E" w:rsidRDefault="00326910" w:rsidP="000C1931">
            <w:pPr>
              <w:jc w:val="both"/>
              <w:rPr>
                <w:rFonts w:ascii="Tahoma" w:hAnsi="Tahoma" w:cs="Tahoma"/>
                <w:sz w:val="22"/>
              </w:rPr>
            </w:pPr>
            <w:r>
              <w:rPr>
                <w:rFonts w:ascii="Tahoma" w:hAnsi="Tahoma" w:cs="Tahoma"/>
                <w:sz w:val="22"/>
              </w:rPr>
              <w:t>Montes</w:t>
            </w:r>
          </w:p>
        </w:tc>
      </w:tr>
      <w:tr w:rsidR="00326910" w:rsidRPr="00B14B4E" w:rsidTr="000C1931">
        <w:tc>
          <w:tcPr>
            <w:tcW w:w="2392" w:type="dxa"/>
          </w:tcPr>
          <w:p w:rsidR="00326910" w:rsidRDefault="00326910" w:rsidP="000C1931">
            <w:pPr>
              <w:jc w:val="both"/>
              <w:rPr>
                <w:rFonts w:ascii="Tahoma" w:hAnsi="Tahoma" w:cs="Tahoma"/>
                <w:sz w:val="22"/>
              </w:rPr>
            </w:pPr>
            <w:r>
              <w:rPr>
                <w:rFonts w:ascii="Tahoma" w:hAnsi="Tahoma" w:cs="Tahoma"/>
                <w:sz w:val="22"/>
              </w:rPr>
              <w:t>Ciudad</w:t>
            </w:r>
          </w:p>
        </w:tc>
        <w:tc>
          <w:tcPr>
            <w:tcW w:w="236" w:type="dxa"/>
          </w:tcPr>
          <w:p w:rsidR="00326910" w:rsidRPr="00B14B4E" w:rsidRDefault="00326910" w:rsidP="000C1931">
            <w:pPr>
              <w:jc w:val="both"/>
              <w:rPr>
                <w:rFonts w:ascii="Tahoma" w:hAnsi="Tahoma" w:cs="Tahoma"/>
                <w:sz w:val="22"/>
              </w:rPr>
            </w:pPr>
            <w:r>
              <w:rPr>
                <w:rFonts w:ascii="Tahoma" w:hAnsi="Tahoma" w:cs="Tahoma"/>
                <w:sz w:val="22"/>
              </w:rPr>
              <w:t>:</w:t>
            </w:r>
          </w:p>
        </w:tc>
        <w:tc>
          <w:tcPr>
            <w:tcW w:w="5735" w:type="dxa"/>
          </w:tcPr>
          <w:p w:rsidR="00326910" w:rsidRPr="00507430" w:rsidRDefault="00326910" w:rsidP="000C1931">
            <w:pPr>
              <w:jc w:val="both"/>
              <w:rPr>
                <w:rFonts w:ascii="Tahoma" w:hAnsi="Tahoma" w:cs="Tahoma"/>
                <w:sz w:val="22"/>
              </w:rPr>
            </w:pPr>
            <w:r>
              <w:rPr>
                <w:rFonts w:ascii="Tahoma" w:hAnsi="Tahoma" w:cs="Tahoma"/>
                <w:sz w:val="22"/>
              </w:rPr>
              <w:t>Barranquilla</w:t>
            </w:r>
          </w:p>
        </w:tc>
      </w:tr>
      <w:tr w:rsidR="00326910" w:rsidRPr="00B14B4E" w:rsidTr="000C1931">
        <w:tc>
          <w:tcPr>
            <w:tcW w:w="2392" w:type="dxa"/>
          </w:tcPr>
          <w:p w:rsidR="00326910" w:rsidRPr="00B14B4E" w:rsidRDefault="00326910" w:rsidP="000C1931">
            <w:pPr>
              <w:jc w:val="both"/>
              <w:rPr>
                <w:rFonts w:ascii="Tahoma" w:hAnsi="Tahoma" w:cs="Tahoma"/>
                <w:sz w:val="22"/>
              </w:rPr>
            </w:pPr>
            <w:r>
              <w:rPr>
                <w:rFonts w:ascii="Tahoma" w:hAnsi="Tahoma" w:cs="Tahoma"/>
                <w:sz w:val="22"/>
              </w:rPr>
              <w:t>Propietario (a)</w:t>
            </w:r>
          </w:p>
        </w:tc>
        <w:tc>
          <w:tcPr>
            <w:tcW w:w="236" w:type="dxa"/>
          </w:tcPr>
          <w:p w:rsidR="00326910" w:rsidRPr="00B14B4E" w:rsidRDefault="00326910" w:rsidP="000C1931">
            <w:pPr>
              <w:jc w:val="both"/>
              <w:rPr>
                <w:rFonts w:ascii="Tahoma" w:hAnsi="Tahoma" w:cs="Tahoma"/>
                <w:sz w:val="22"/>
              </w:rPr>
            </w:pPr>
            <w:r>
              <w:rPr>
                <w:rFonts w:ascii="Tahoma" w:hAnsi="Tahoma" w:cs="Tahoma"/>
                <w:sz w:val="22"/>
              </w:rPr>
              <w:t>:</w:t>
            </w:r>
          </w:p>
        </w:tc>
        <w:tc>
          <w:tcPr>
            <w:tcW w:w="5735" w:type="dxa"/>
          </w:tcPr>
          <w:p w:rsidR="00326910" w:rsidRPr="00B14B4E" w:rsidRDefault="00326910" w:rsidP="000C1931">
            <w:pPr>
              <w:jc w:val="both"/>
              <w:rPr>
                <w:rFonts w:ascii="Tahoma" w:hAnsi="Tahoma" w:cs="Tahoma"/>
                <w:sz w:val="22"/>
              </w:rPr>
            </w:pPr>
            <w:r>
              <w:rPr>
                <w:rFonts w:ascii="Tahoma" w:hAnsi="Tahoma" w:cs="Tahoma"/>
                <w:sz w:val="22"/>
              </w:rPr>
              <w:t>JOSEFA MARIA MADERA OROZCO</w:t>
            </w:r>
          </w:p>
        </w:tc>
      </w:tr>
    </w:tbl>
    <w:p w:rsidR="00326910" w:rsidRDefault="00326910" w:rsidP="00326910">
      <w:pPr>
        <w:spacing w:line="276" w:lineRule="auto"/>
        <w:jc w:val="both"/>
        <w:rPr>
          <w:rFonts w:ascii="Tahoma" w:hAnsi="Tahoma" w:cs="Tahoma"/>
          <w:b/>
          <w:sz w:val="22"/>
        </w:rPr>
      </w:pPr>
    </w:p>
    <w:p w:rsidR="00326910" w:rsidRDefault="00326910" w:rsidP="00326910">
      <w:pPr>
        <w:spacing w:line="276" w:lineRule="auto"/>
        <w:jc w:val="both"/>
        <w:rPr>
          <w:rFonts w:ascii="Tahoma" w:hAnsi="Tahoma" w:cs="Tahoma"/>
          <w:sz w:val="22"/>
        </w:rPr>
      </w:pPr>
      <w:r w:rsidRPr="00B14B4E">
        <w:rPr>
          <w:rFonts w:ascii="Tahoma" w:hAnsi="Tahoma" w:cs="Tahoma"/>
          <w:b/>
          <w:sz w:val="22"/>
        </w:rPr>
        <w:lastRenderedPageBreak/>
        <w:t>CONSTANCIA DE FIJACIÓN:</w:t>
      </w:r>
      <w:r w:rsidRPr="00B14B4E">
        <w:rPr>
          <w:rFonts w:ascii="Tahoma" w:hAnsi="Tahoma" w:cs="Tahoma"/>
          <w:sz w:val="22"/>
        </w:rPr>
        <w:t xml:space="preserve"> Para los efectos del Art. 140 de la Ley 1708 de 2014, se fija el presente EDICTO en </w:t>
      </w:r>
      <w:r>
        <w:rPr>
          <w:rFonts w:ascii="Tahoma" w:hAnsi="Tahoma" w:cs="Tahoma"/>
          <w:sz w:val="22"/>
        </w:rPr>
        <w:t>un lugar visible de la secretarí</w:t>
      </w:r>
      <w:r w:rsidRPr="00B14B4E">
        <w:rPr>
          <w:rFonts w:ascii="Tahoma" w:hAnsi="Tahoma" w:cs="Tahoma"/>
          <w:sz w:val="22"/>
        </w:rPr>
        <w:t xml:space="preserve">a de este Juzgado por el término de cinco (5) días hábiles, y se expide copia para su publicación en la página web de la Fiscalía General de la Nación, en la página web de la Rama Judicial, en un periódico de amplia circulación nacional y se difundirá en una radiodifusora o por cualquier otro medio con cobertura en </w:t>
      </w:r>
      <w:r>
        <w:rPr>
          <w:rFonts w:ascii="Tahoma" w:hAnsi="Tahoma" w:cs="Tahoma"/>
          <w:sz w:val="22"/>
        </w:rPr>
        <w:t>la localidad donde se encuentre el bien, hoy Dieciocho</w:t>
      </w:r>
      <w:r w:rsidRPr="00B14B4E">
        <w:rPr>
          <w:rFonts w:ascii="Tahoma" w:hAnsi="Tahoma" w:cs="Tahoma"/>
          <w:sz w:val="22"/>
        </w:rPr>
        <w:t xml:space="preserve"> (</w:t>
      </w:r>
      <w:r>
        <w:rPr>
          <w:rFonts w:ascii="Tahoma" w:hAnsi="Tahoma" w:cs="Tahoma"/>
          <w:sz w:val="22"/>
        </w:rPr>
        <w:t>18</w:t>
      </w:r>
      <w:r w:rsidRPr="00B14B4E">
        <w:rPr>
          <w:rFonts w:ascii="Tahoma" w:hAnsi="Tahoma" w:cs="Tahoma"/>
          <w:sz w:val="22"/>
        </w:rPr>
        <w:t xml:space="preserve">) de </w:t>
      </w:r>
      <w:r>
        <w:rPr>
          <w:rFonts w:ascii="Tahoma" w:hAnsi="Tahoma" w:cs="Tahoma"/>
          <w:sz w:val="22"/>
        </w:rPr>
        <w:t xml:space="preserve">Junio </w:t>
      </w:r>
      <w:r w:rsidRPr="00B14B4E">
        <w:rPr>
          <w:rFonts w:ascii="Tahoma" w:hAnsi="Tahoma" w:cs="Tahoma"/>
          <w:sz w:val="22"/>
        </w:rPr>
        <w:t xml:space="preserve">de </w:t>
      </w:r>
      <w:r>
        <w:rPr>
          <w:rFonts w:ascii="Tahoma" w:hAnsi="Tahoma" w:cs="Tahoma"/>
          <w:sz w:val="22"/>
        </w:rPr>
        <w:t>dos mil dieciocho (2018</w:t>
      </w:r>
      <w:r w:rsidRPr="00B14B4E">
        <w:rPr>
          <w:rFonts w:ascii="Tahoma" w:hAnsi="Tahoma" w:cs="Tahoma"/>
          <w:sz w:val="22"/>
        </w:rPr>
        <w:t xml:space="preserve">), siendo las </w:t>
      </w:r>
      <w:r>
        <w:rPr>
          <w:rFonts w:ascii="Tahoma" w:hAnsi="Tahoma" w:cs="Tahoma"/>
          <w:sz w:val="22"/>
        </w:rPr>
        <w:t>ocho</w:t>
      </w:r>
      <w:r w:rsidRPr="00B14B4E">
        <w:rPr>
          <w:rFonts w:ascii="Tahoma" w:hAnsi="Tahoma" w:cs="Tahoma"/>
          <w:sz w:val="22"/>
        </w:rPr>
        <w:t xml:space="preserve"> (</w:t>
      </w:r>
      <w:r>
        <w:rPr>
          <w:rFonts w:ascii="Tahoma" w:hAnsi="Tahoma" w:cs="Tahoma"/>
          <w:sz w:val="22"/>
        </w:rPr>
        <w:t xml:space="preserve">8:00) de la mañana, por el termino de cinco (5) días hábiles. </w:t>
      </w:r>
    </w:p>
    <w:p w:rsidR="00326910" w:rsidRPr="00B14B4E" w:rsidRDefault="00326910" w:rsidP="00326910">
      <w:pPr>
        <w:spacing w:line="276" w:lineRule="auto"/>
        <w:jc w:val="both"/>
        <w:rPr>
          <w:rFonts w:ascii="Tahoma" w:hAnsi="Tahoma" w:cs="Tahoma"/>
          <w:sz w:val="22"/>
        </w:rPr>
      </w:pPr>
    </w:p>
    <w:p w:rsidR="00326910" w:rsidRPr="00B14B4E" w:rsidRDefault="00326910" w:rsidP="00326910">
      <w:pPr>
        <w:spacing w:line="276" w:lineRule="auto"/>
        <w:jc w:val="both"/>
        <w:rPr>
          <w:rFonts w:ascii="Tahoma" w:hAnsi="Tahoma" w:cs="Tahoma"/>
          <w:sz w:val="22"/>
        </w:rPr>
      </w:pPr>
      <w:r w:rsidRPr="00B14B4E">
        <w:rPr>
          <w:rFonts w:ascii="Tahoma" w:hAnsi="Tahoma" w:cs="Tahoma"/>
          <w:sz w:val="22"/>
        </w:rPr>
        <w:t>Si el emplazado o los emplazados no se presentan dentro de los tres (3) días siguientes al vencimiento del término de fijación del edicto, el proceso continuará con la intervención del Ministerio Público.</w:t>
      </w:r>
    </w:p>
    <w:p w:rsidR="00326910" w:rsidRDefault="00326910" w:rsidP="00326910">
      <w:pPr>
        <w:spacing w:line="276" w:lineRule="auto"/>
        <w:jc w:val="both"/>
        <w:rPr>
          <w:rFonts w:ascii="Tahoma" w:hAnsi="Tahoma" w:cs="Tahoma"/>
          <w:sz w:val="22"/>
        </w:rPr>
      </w:pPr>
    </w:p>
    <w:p w:rsidR="00326910" w:rsidRPr="00B14B4E" w:rsidRDefault="00326910" w:rsidP="00326910">
      <w:pPr>
        <w:spacing w:line="276" w:lineRule="auto"/>
        <w:jc w:val="both"/>
        <w:rPr>
          <w:rFonts w:ascii="Tahoma" w:hAnsi="Tahoma" w:cs="Tahoma"/>
          <w:sz w:val="22"/>
        </w:rPr>
      </w:pPr>
      <w:r w:rsidRPr="00B14B4E">
        <w:rPr>
          <w:rFonts w:ascii="Tahoma" w:hAnsi="Tahoma" w:cs="Tahoma"/>
          <w:sz w:val="22"/>
        </w:rPr>
        <w:t xml:space="preserve">SE FIJA EL </w:t>
      </w:r>
      <w:r>
        <w:rPr>
          <w:rFonts w:ascii="Tahoma" w:hAnsi="Tahoma" w:cs="Tahoma"/>
          <w:sz w:val="22"/>
        </w:rPr>
        <w:t>PRESENTE EDICTO EN LA  SECRETARÍ</w:t>
      </w:r>
      <w:r w:rsidRPr="00B14B4E">
        <w:rPr>
          <w:rFonts w:ascii="Tahoma" w:hAnsi="Tahoma" w:cs="Tahoma"/>
          <w:sz w:val="22"/>
        </w:rPr>
        <w:t xml:space="preserve">A DEL JUZGADO EL </w:t>
      </w:r>
      <w:r>
        <w:rPr>
          <w:rFonts w:ascii="Tahoma" w:hAnsi="Tahoma" w:cs="Tahoma"/>
          <w:sz w:val="22"/>
        </w:rPr>
        <w:t>DIECIOCHO (18)</w:t>
      </w:r>
      <w:r w:rsidRPr="00B14B4E">
        <w:rPr>
          <w:rFonts w:ascii="Tahoma" w:hAnsi="Tahoma" w:cs="Tahoma"/>
          <w:sz w:val="22"/>
        </w:rPr>
        <w:t xml:space="preserve"> </w:t>
      </w:r>
      <w:r>
        <w:rPr>
          <w:rFonts w:ascii="Tahoma" w:hAnsi="Tahoma" w:cs="Tahoma"/>
          <w:sz w:val="22"/>
        </w:rPr>
        <w:t xml:space="preserve">DE JUNIO de 2018, siendo las ocho (8:00) DE LA MAÑANA, </w:t>
      </w:r>
      <w:r w:rsidRPr="00B14B4E">
        <w:rPr>
          <w:rFonts w:ascii="Tahoma" w:hAnsi="Tahoma" w:cs="Tahoma"/>
          <w:sz w:val="22"/>
        </w:rPr>
        <w:t>y SE DESFIJA EL</w:t>
      </w:r>
      <w:r>
        <w:rPr>
          <w:rFonts w:ascii="Tahoma" w:hAnsi="Tahoma" w:cs="Tahoma"/>
          <w:sz w:val="22"/>
        </w:rPr>
        <w:t xml:space="preserve"> VEINTIDOS</w:t>
      </w:r>
      <w:r w:rsidRPr="00B14B4E">
        <w:rPr>
          <w:rFonts w:ascii="Tahoma" w:hAnsi="Tahoma" w:cs="Tahoma"/>
          <w:sz w:val="22"/>
        </w:rPr>
        <w:t xml:space="preserve"> </w:t>
      </w:r>
      <w:r>
        <w:rPr>
          <w:rFonts w:ascii="Tahoma" w:hAnsi="Tahoma" w:cs="Tahoma"/>
          <w:sz w:val="22"/>
        </w:rPr>
        <w:t xml:space="preserve">(22) DE JUNIO DE 2018, </w:t>
      </w:r>
      <w:r w:rsidRPr="00B14B4E">
        <w:rPr>
          <w:rFonts w:ascii="Tahoma" w:hAnsi="Tahoma" w:cs="Tahoma"/>
          <w:sz w:val="22"/>
        </w:rPr>
        <w:t xml:space="preserve">siendo las </w:t>
      </w:r>
      <w:r>
        <w:rPr>
          <w:rFonts w:ascii="Tahoma" w:hAnsi="Tahoma" w:cs="Tahoma"/>
          <w:sz w:val="22"/>
        </w:rPr>
        <w:t xml:space="preserve">cinco </w:t>
      </w:r>
      <w:r w:rsidRPr="00B14B4E">
        <w:rPr>
          <w:rFonts w:ascii="Tahoma" w:hAnsi="Tahoma" w:cs="Tahoma"/>
          <w:sz w:val="22"/>
        </w:rPr>
        <w:t>(</w:t>
      </w:r>
      <w:r>
        <w:rPr>
          <w:rFonts w:ascii="Tahoma" w:hAnsi="Tahoma" w:cs="Tahoma"/>
          <w:sz w:val="22"/>
        </w:rPr>
        <w:t>5</w:t>
      </w:r>
      <w:r w:rsidRPr="00B14B4E">
        <w:rPr>
          <w:rFonts w:ascii="Tahoma" w:hAnsi="Tahoma" w:cs="Tahoma"/>
          <w:sz w:val="22"/>
        </w:rPr>
        <w:t>:00 P.M.) DE LA TARDE.</w:t>
      </w:r>
    </w:p>
    <w:p w:rsidR="00326910" w:rsidRDefault="00326910" w:rsidP="00326910">
      <w:pPr>
        <w:pStyle w:val="Sinespaciado"/>
      </w:pPr>
      <w:r>
        <w:rPr>
          <w:noProof/>
        </w:rPr>
        <w:drawing>
          <wp:anchor distT="0" distB="0" distL="114300" distR="114300" simplePos="0" relativeHeight="251659264" behindDoc="1" locked="0" layoutInCell="1" allowOverlap="1" wp14:anchorId="2E92FE1C" wp14:editId="582B3370">
            <wp:simplePos x="0" y="0"/>
            <wp:positionH relativeFrom="margin">
              <wp:align>center</wp:align>
            </wp:positionH>
            <wp:positionV relativeFrom="paragraph">
              <wp:posOffset>172720</wp:posOffset>
            </wp:positionV>
            <wp:extent cx="1598390" cy="467360"/>
            <wp:effectExtent l="0" t="0" r="1905" b="889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390" cy="467360"/>
                    </a:xfrm>
                    <a:prstGeom prst="rect">
                      <a:avLst/>
                    </a:prstGeom>
                    <a:noFill/>
                  </pic:spPr>
                </pic:pic>
              </a:graphicData>
            </a:graphic>
            <wp14:sizeRelH relativeFrom="page">
              <wp14:pctWidth>0</wp14:pctWidth>
            </wp14:sizeRelH>
            <wp14:sizeRelV relativeFrom="page">
              <wp14:pctHeight>0</wp14:pctHeight>
            </wp14:sizeRelV>
          </wp:anchor>
        </w:drawing>
      </w:r>
    </w:p>
    <w:p w:rsidR="00326910" w:rsidRDefault="00326910" w:rsidP="00326910">
      <w:pPr>
        <w:pStyle w:val="Sinespaciado"/>
        <w:jc w:val="center"/>
        <w:rPr>
          <w:rFonts w:ascii="Tahoma" w:hAnsi="Tahoma" w:cs="Tahoma"/>
          <w:b/>
          <w:sz w:val="22"/>
        </w:rPr>
      </w:pPr>
    </w:p>
    <w:p w:rsidR="00326910" w:rsidRDefault="00326910" w:rsidP="00326910">
      <w:pPr>
        <w:pStyle w:val="Sinespaciado"/>
        <w:jc w:val="center"/>
        <w:rPr>
          <w:rFonts w:ascii="Tahoma" w:hAnsi="Tahoma" w:cs="Tahoma"/>
          <w:b/>
          <w:sz w:val="22"/>
        </w:rPr>
      </w:pPr>
    </w:p>
    <w:p w:rsidR="00326910" w:rsidRDefault="00326910" w:rsidP="00326910">
      <w:pPr>
        <w:pStyle w:val="Sinespaciado"/>
        <w:jc w:val="center"/>
        <w:rPr>
          <w:rFonts w:ascii="Tahoma" w:hAnsi="Tahoma" w:cs="Tahoma"/>
          <w:b/>
          <w:sz w:val="22"/>
        </w:rPr>
      </w:pPr>
      <w:r>
        <w:rPr>
          <w:rFonts w:ascii="Tahoma" w:hAnsi="Tahoma" w:cs="Tahoma"/>
          <w:b/>
          <w:sz w:val="22"/>
        </w:rPr>
        <w:t>JORGE MARÍN ANGUILA</w:t>
      </w:r>
    </w:p>
    <w:p w:rsidR="00EC57B3" w:rsidRDefault="00326910" w:rsidP="00326910">
      <w:pPr>
        <w:pStyle w:val="Sinespaciado"/>
        <w:jc w:val="center"/>
      </w:pPr>
      <w:r w:rsidRPr="006B08CE">
        <w:rPr>
          <w:rFonts w:ascii="Tahoma" w:hAnsi="Tahoma" w:cs="Tahoma"/>
          <w:sz w:val="22"/>
        </w:rPr>
        <w:t>S</w:t>
      </w:r>
      <w:r>
        <w:rPr>
          <w:rFonts w:ascii="Tahoma" w:hAnsi="Tahoma" w:cs="Tahoma"/>
          <w:sz w:val="22"/>
        </w:rPr>
        <w:t>ecretario</w:t>
      </w:r>
    </w:p>
    <w:sectPr w:rsidR="00EC57B3" w:rsidSect="00F90514">
      <w:headerReference w:type="default" r:id="rId7"/>
      <w:footerReference w:type="default" r:id="rId8"/>
      <w:pgSz w:w="12242" w:h="18711"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06B" w:rsidRDefault="0058106B">
      <w:r>
        <w:separator/>
      </w:r>
    </w:p>
  </w:endnote>
  <w:endnote w:type="continuationSeparator" w:id="0">
    <w:p w:rsidR="0058106B" w:rsidRDefault="0058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8CE" w:rsidRDefault="0058106B" w:rsidP="006B08CE">
    <w:pPr>
      <w:pStyle w:val="Piedepgina"/>
      <w:jc w:val="center"/>
      <w:rPr>
        <w:rFonts w:ascii="Berylium" w:hAnsi="Berylium"/>
        <w:bCs/>
        <w:iCs/>
      </w:rPr>
    </w:pPr>
  </w:p>
  <w:p w:rsidR="006B08CE" w:rsidRPr="005A7753" w:rsidRDefault="00326910" w:rsidP="006B08CE">
    <w:pPr>
      <w:pStyle w:val="Piedepgina"/>
      <w:jc w:val="center"/>
      <w:rPr>
        <w:rFonts w:ascii="Berylium" w:hAnsi="Berylium"/>
        <w:bCs/>
        <w:iCs/>
      </w:rPr>
    </w:pPr>
    <w:r w:rsidRPr="005A7753">
      <w:rPr>
        <w:rFonts w:ascii="Berylium" w:hAnsi="Berylium"/>
        <w:bCs/>
        <w:iCs/>
        <w:noProof/>
      </w:rPr>
      <w:drawing>
        <wp:anchor distT="0" distB="0" distL="114300" distR="114300" simplePos="0" relativeHeight="251661312" behindDoc="0" locked="0" layoutInCell="1" allowOverlap="1" wp14:anchorId="2A73CBF8" wp14:editId="3764B9A4">
          <wp:simplePos x="0" y="0"/>
          <wp:positionH relativeFrom="column">
            <wp:posOffset>4975860</wp:posOffset>
          </wp:positionH>
          <wp:positionV relativeFrom="paragraph">
            <wp:posOffset>3175</wp:posOffset>
          </wp:positionV>
          <wp:extent cx="1587500" cy="92011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ylium" w:hAnsi="Berylium"/>
        <w:bCs/>
        <w:iCs/>
      </w:rPr>
      <w:t>Carrera 44 No. 38 – 11 Piso 15 Edificio Banco Popular</w:t>
    </w:r>
  </w:p>
  <w:p w:rsidR="006B08CE" w:rsidRDefault="00326910" w:rsidP="006B08CE">
    <w:pPr>
      <w:jc w:val="center"/>
      <w:rPr>
        <w:rFonts w:ascii="Berylium" w:hAnsi="Berylium"/>
        <w:bCs/>
        <w:iCs/>
        <w:sz w:val="22"/>
        <w:szCs w:val="22"/>
      </w:rPr>
    </w:pPr>
    <w:r w:rsidRPr="005A7753">
      <w:rPr>
        <w:rFonts w:ascii="Berylium" w:hAnsi="Berylium"/>
        <w:bCs/>
        <w:iCs/>
        <w:sz w:val="22"/>
        <w:szCs w:val="22"/>
      </w:rPr>
      <w:t>Telefax</w:t>
    </w:r>
    <w:r>
      <w:rPr>
        <w:rFonts w:ascii="Berylium" w:hAnsi="Berylium"/>
        <w:bCs/>
        <w:iCs/>
        <w:sz w:val="22"/>
        <w:szCs w:val="22"/>
      </w:rPr>
      <w:t>: 3704534</w:t>
    </w:r>
  </w:p>
  <w:p w:rsidR="006B08CE" w:rsidRPr="005A7753" w:rsidRDefault="00326910" w:rsidP="006B08CE">
    <w:pPr>
      <w:jc w:val="center"/>
      <w:rPr>
        <w:rFonts w:ascii="Berylium" w:hAnsi="Berylium"/>
        <w:bCs/>
        <w:iCs/>
        <w:sz w:val="22"/>
        <w:szCs w:val="22"/>
      </w:rPr>
    </w:pPr>
    <w:r>
      <w:rPr>
        <w:rFonts w:ascii="Berylium" w:hAnsi="Berylium"/>
        <w:bCs/>
        <w:iCs/>
        <w:sz w:val="22"/>
        <w:szCs w:val="22"/>
      </w:rPr>
      <w:t>Correo: jpctoespexddba@cendoj.ramajudicial.gov.co</w:t>
    </w:r>
  </w:p>
  <w:p w:rsidR="006B08CE" w:rsidRDefault="00326910" w:rsidP="006B08CE">
    <w:pPr>
      <w:pStyle w:val="Piedepgina"/>
      <w:jc w:val="center"/>
      <w:rPr>
        <w:rFonts w:ascii="Berylium" w:hAnsi="Berylium"/>
        <w:bCs/>
        <w:iCs/>
      </w:rPr>
    </w:pPr>
    <w:r>
      <w:rPr>
        <w:rFonts w:ascii="Berylium" w:hAnsi="Berylium"/>
        <w:bCs/>
        <w:iCs/>
      </w:rPr>
      <w:t>Barranquilla</w:t>
    </w:r>
    <w:r w:rsidRPr="00A377FE">
      <w:rPr>
        <w:rFonts w:ascii="Berylium" w:hAnsi="Berylium"/>
        <w:bCs/>
        <w:iCs/>
      </w:rPr>
      <w:t xml:space="preserve"> </w:t>
    </w:r>
    <w:r>
      <w:rPr>
        <w:rFonts w:ascii="Berylium" w:hAnsi="Berylium"/>
        <w:bCs/>
        <w:iCs/>
      </w:rPr>
      <w:t>–</w:t>
    </w:r>
    <w:r w:rsidRPr="00A377FE">
      <w:rPr>
        <w:rFonts w:ascii="Berylium" w:hAnsi="Berylium"/>
        <w:bCs/>
        <w:iCs/>
      </w:rPr>
      <w:t xml:space="preserve"> </w:t>
    </w:r>
    <w:r>
      <w:rPr>
        <w:rFonts w:ascii="Berylium" w:hAnsi="Berylium"/>
        <w:bCs/>
        <w:iCs/>
      </w:rPr>
      <w:t>Atlántico.  Colombia</w:t>
    </w:r>
  </w:p>
  <w:p w:rsidR="006B08CE" w:rsidRDefault="005810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06B" w:rsidRDefault="0058106B">
      <w:r>
        <w:separator/>
      </w:r>
    </w:p>
  </w:footnote>
  <w:footnote w:type="continuationSeparator" w:id="0">
    <w:p w:rsidR="0058106B" w:rsidRDefault="00581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8CE" w:rsidRDefault="00326910" w:rsidP="006B08CE">
    <w:pPr>
      <w:tabs>
        <w:tab w:val="center" w:pos="4420"/>
        <w:tab w:val="right" w:pos="8840"/>
      </w:tabs>
      <w:rPr>
        <w:bCs/>
        <w:iCs/>
        <w:sz w:val="22"/>
        <w:szCs w:val="22"/>
      </w:rPr>
    </w:pPr>
    <w:r>
      <w:rPr>
        <w:bCs/>
        <w:iCs/>
        <w:sz w:val="22"/>
        <w:szCs w:val="22"/>
      </w:rPr>
      <w:tab/>
    </w:r>
    <w:r>
      <w:rPr>
        <w:noProof/>
      </w:rPr>
      <mc:AlternateContent>
        <mc:Choice Requires="wps">
          <w:drawing>
            <wp:anchor distT="0" distB="0" distL="114300" distR="114300" simplePos="0" relativeHeight="251660288" behindDoc="1" locked="0" layoutInCell="1" allowOverlap="1" wp14:anchorId="15BAF0F4" wp14:editId="3FBA9011">
              <wp:simplePos x="0" y="0"/>
              <wp:positionH relativeFrom="column">
                <wp:posOffset>4892675</wp:posOffset>
              </wp:positionH>
              <wp:positionV relativeFrom="paragraph">
                <wp:posOffset>16510</wp:posOffset>
              </wp:positionV>
              <wp:extent cx="1525905" cy="428625"/>
              <wp:effectExtent l="6350" t="6985" r="10795" b="12065"/>
              <wp:wrapTight wrapText="bothSides">
                <wp:wrapPolygon edited="0">
                  <wp:start x="-135" y="-480"/>
                  <wp:lineTo x="-135" y="21600"/>
                  <wp:lineTo x="21735" y="21600"/>
                  <wp:lineTo x="21735" y="-480"/>
                  <wp:lineTo x="-135" y="-48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428625"/>
                      </a:xfrm>
                      <a:prstGeom prst="rect">
                        <a:avLst/>
                      </a:prstGeom>
                      <a:solidFill>
                        <a:srgbClr val="FFFFFF"/>
                      </a:solidFill>
                      <a:ln w="9525">
                        <a:solidFill>
                          <a:srgbClr val="FFFFFF"/>
                        </a:solidFill>
                        <a:miter lim="800000"/>
                        <a:headEnd/>
                        <a:tailEnd/>
                      </a:ln>
                    </wps:spPr>
                    <wps:txbx>
                      <w:txbxContent>
                        <w:p w:rsidR="006B08CE" w:rsidRDefault="00326910" w:rsidP="006B08CE">
                          <w:r>
                            <w:rPr>
                              <w:rFonts w:ascii="Berylium" w:hAnsi="Berylium"/>
                              <w:bCs/>
                              <w:iCs/>
                              <w:sz w:val="48"/>
                              <w:szCs w:val="48"/>
                            </w:rPr>
                            <w:t>SICGMA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BAF0F4" id="_x0000_t202" coordsize="21600,21600" o:spt="202" path="m,l,21600r21600,l21600,xe">
              <v:stroke joinstyle="miter"/>
              <v:path gradientshapeok="t" o:connecttype="rect"/>
            </v:shapetype>
            <v:shape id="Cuadro de texto 4" o:spid="_x0000_s1026" type="#_x0000_t202" style="position:absolute;margin-left:385.25pt;margin-top:1.3pt;width:120.15pt;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" strokecolor="white">
              <v:textbox>
                <w:txbxContent>
                  <w:p w:rsidR="006B08CE" w:rsidRDefault="00326910" w:rsidP="006B08CE">
                    <w:r>
                      <w:rPr>
                        <w:rFonts w:ascii="Berylium" w:hAnsi="Berylium"/>
                        <w:bCs/>
                        <w:iCs/>
                        <w:sz w:val="48"/>
                        <w:szCs w:val="48"/>
                      </w:rPr>
                      <w:t>SICGMA</w:t>
                    </w:r>
                  </w:p>
                </w:txbxContent>
              </v:textbox>
              <w10:wrap type="tight"/>
            </v:shape>
          </w:pict>
        </mc:Fallback>
      </mc:AlternateContent>
    </w:r>
    <w:r>
      <w:rPr>
        <w:rFonts w:ascii="Berylium" w:hAnsi="Berylium"/>
        <w:bCs/>
        <w:iCs/>
        <w:noProof/>
        <w:sz w:val="22"/>
        <w:szCs w:val="22"/>
      </w:rPr>
      <w:drawing>
        <wp:anchor distT="0" distB="0" distL="114300" distR="114300" simplePos="0" relativeHeight="251659264" behindDoc="1" locked="0" layoutInCell="1" allowOverlap="1" wp14:anchorId="7335A454" wp14:editId="6BEE27A5">
          <wp:simplePos x="0" y="0"/>
          <wp:positionH relativeFrom="column">
            <wp:posOffset>-851535</wp:posOffset>
          </wp:positionH>
          <wp:positionV relativeFrom="paragraph">
            <wp:posOffset>-127000</wp:posOffset>
          </wp:positionV>
          <wp:extent cx="2390775" cy="789305"/>
          <wp:effectExtent l="0" t="0" r="9525" b="0"/>
          <wp:wrapNone/>
          <wp:docPr id="3" name="Imagen 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iCs/>
        <w:sz w:val="22"/>
        <w:szCs w:val="22"/>
      </w:rPr>
      <w:tab/>
    </w:r>
  </w:p>
  <w:p w:rsidR="006B08CE" w:rsidRPr="008B5ADA" w:rsidRDefault="00326910" w:rsidP="006B08CE">
    <w:pPr>
      <w:pStyle w:val="Encabezado"/>
      <w:jc w:val="center"/>
      <w:rPr>
        <w:rFonts w:ascii="Berylium" w:hAnsi="Berylium"/>
        <w:bCs/>
        <w:iCs/>
      </w:rPr>
    </w:pPr>
    <w:r>
      <w:rPr>
        <w:rFonts w:ascii="Berylium" w:hAnsi="Berylium"/>
        <w:bCs/>
        <w:iCs/>
      </w:rPr>
      <w:t xml:space="preserve">                                            C</w:t>
    </w:r>
    <w:r w:rsidRPr="008B5ADA">
      <w:rPr>
        <w:rFonts w:ascii="Berylium" w:hAnsi="Berylium"/>
        <w:bCs/>
        <w:iCs/>
      </w:rPr>
      <w:t xml:space="preserve">onsejo Superior de </w:t>
    </w:r>
    <w:smartTag w:uri="urn:schemas-microsoft-com:office:smarttags" w:element="PersonName">
      <w:smartTagPr>
        <w:attr w:name="ProductID" w:val="la Judicatura"/>
      </w:smartTagPr>
      <w:r w:rsidRPr="008B5ADA">
        <w:rPr>
          <w:rFonts w:ascii="Berylium" w:hAnsi="Berylium"/>
          <w:bCs/>
          <w:iCs/>
        </w:rPr>
        <w:t>la Judicatura</w:t>
      </w:r>
    </w:smartTag>
  </w:p>
  <w:p w:rsidR="006B08CE" w:rsidRPr="00FE6449" w:rsidRDefault="00326910" w:rsidP="006B08CE">
    <w:pPr>
      <w:pStyle w:val="Encabezado"/>
      <w:jc w:val="center"/>
      <w:rPr>
        <w:rFonts w:ascii="Berylium" w:hAnsi="Berylium"/>
        <w:bCs/>
        <w:iCs/>
        <w:sz w:val="48"/>
        <w:szCs w:val="48"/>
      </w:rPr>
    </w:pPr>
    <w:r>
      <w:rPr>
        <w:rFonts w:ascii="Berylium" w:hAnsi="Berylium"/>
        <w:bCs/>
        <w:iCs/>
      </w:rPr>
      <w:t xml:space="preserve">                                           C</w:t>
    </w:r>
    <w:r w:rsidRPr="008B5ADA">
      <w:rPr>
        <w:rFonts w:ascii="Berylium" w:hAnsi="Berylium"/>
        <w:bCs/>
        <w:iCs/>
      </w:rPr>
      <w:t>onsejo Seccional de</w:t>
    </w:r>
    <w:r>
      <w:rPr>
        <w:rFonts w:ascii="Berylium" w:hAnsi="Berylium"/>
        <w:bCs/>
        <w:iCs/>
      </w:rPr>
      <w:t xml:space="preserve"> la Judicatura del Atlántico  </w:t>
    </w:r>
    <w:r>
      <w:rPr>
        <w:rFonts w:ascii="Berylium" w:hAnsi="Berylium"/>
        <w:bCs/>
        <w:iCs/>
        <w:sz w:val="48"/>
        <w:szCs w:val="48"/>
      </w:rPr>
      <w:t xml:space="preserve">  </w:t>
    </w:r>
  </w:p>
  <w:p w:rsidR="006B08CE" w:rsidRDefault="00326910" w:rsidP="006B08CE">
    <w:pPr>
      <w:pStyle w:val="Encabezado"/>
      <w:jc w:val="center"/>
      <w:rPr>
        <w:rFonts w:ascii="Berylium" w:hAnsi="Berylium"/>
        <w:bCs/>
        <w:iCs/>
      </w:rPr>
    </w:pPr>
    <w:r>
      <w:rPr>
        <w:rFonts w:ascii="Berylium" w:hAnsi="Berylium"/>
        <w:bCs/>
        <w:iCs/>
      </w:rPr>
      <w:t xml:space="preserve">                       Juzgado Penal del Circuito Especializado de</w:t>
    </w:r>
  </w:p>
  <w:p w:rsidR="006B08CE" w:rsidRPr="0091713D" w:rsidRDefault="00326910" w:rsidP="006B08CE">
    <w:pPr>
      <w:pStyle w:val="Encabezado"/>
      <w:jc w:val="center"/>
    </w:pPr>
    <w:r>
      <w:rPr>
        <w:rFonts w:ascii="Berylium" w:hAnsi="Berylium"/>
        <w:bCs/>
        <w:iCs/>
      </w:rPr>
      <w:t xml:space="preserve">                       Extinción de Dominio de Barranquilla</w:t>
    </w:r>
  </w:p>
  <w:p w:rsidR="006B08CE" w:rsidRDefault="0058106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10"/>
    <w:rsid w:val="00326910"/>
    <w:rsid w:val="0058106B"/>
    <w:rsid w:val="005F6969"/>
    <w:rsid w:val="00C77F4B"/>
    <w:rsid w:val="00EC57B3"/>
    <w:rsid w:val="00F905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F68BDE6-840B-4D75-8A80-A5C2C434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91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26910"/>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326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326910"/>
    <w:pPr>
      <w:tabs>
        <w:tab w:val="center" w:pos="4252"/>
        <w:tab w:val="right" w:pos="8504"/>
      </w:tabs>
    </w:pPr>
  </w:style>
  <w:style w:type="character" w:customStyle="1" w:styleId="EncabezadoCar">
    <w:name w:val="Encabezado Car"/>
    <w:basedOn w:val="Fuentedeprrafopredeter"/>
    <w:link w:val="Encabezado"/>
    <w:rsid w:val="00326910"/>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326910"/>
    <w:pPr>
      <w:tabs>
        <w:tab w:val="center" w:pos="4252"/>
        <w:tab w:val="right" w:pos="8504"/>
      </w:tabs>
    </w:pPr>
  </w:style>
  <w:style w:type="character" w:customStyle="1" w:styleId="PiedepginaCar">
    <w:name w:val="Pie de página Car"/>
    <w:basedOn w:val="Fuentedeprrafopredeter"/>
    <w:link w:val="Piedepgina"/>
    <w:rsid w:val="003269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Limas Rodriguez</cp:lastModifiedBy>
  <cp:revision>2</cp:revision>
  <dcterms:created xsi:type="dcterms:W3CDTF">2018-06-19T15:09:00Z</dcterms:created>
  <dcterms:modified xsi:type="dcterms:W3CDTF">2018-06-19T15:09:00Z</dcterms:modified>
</cp:coreProperties>
</file>