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  <w:r w:rsidRPr="00841295">
        <w:rPr>
          <w:rFonts w:ascii="Arial" w:eastAsia="Batang" w:hAnsi="Arial" w:cs="Arial"/>
          <w:b/>
          <w:sz w:val="22"/>
          <w:szCs w:val="22"/>
        </w:rPr>
        <w:t>REPÚBLICA DE COLOMBIA</w:t>
      </w:r>
    </w:p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  <w:r w:rsidRPr="00841295">
        <w:rPr>
          <w:rFonts w:ascii="Arial" w:eastAsia="Batang" w:hAnsi="Arial" w:cs="Arial"/>
          <w:b/>
          <w:sz w:val="22"/>
          <w:szCs w:val="22"/>
        </w:rPr>
        <w:t>RAMA JUDICIAL DEL PODER PÚBLICO</w:t>
      </w:r>
    </w:p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  <w:r w:rsidRPr="00841295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2494074</wp:posOffset>
            </wp:positionH>
            <wp:positionV relativeFrom="paragraph">
              <wp:posOffset>52325</wp:posOffset>
            </wp:positionV>
            <wp:extent cx="849086" cy="859713"/>
            <wp:effectExtent l="0" t="0" r="8255" b="0"/>
            <wp:wrapNone/>
            <wp:docPr id="1" name="Imagen 1" descr="Descripción: Descripción: Descripción: Descripción: Descripción: Descripción: Descripción: Descripción: Descripción: Descripción: Descripción: Descripción: Descripción: Descripción: Descripción: Descripción: Descripción: 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Descripción: Descripción: Descripción: Descripción: Descripción: Descripción: Descripción: Descripción: Descripción: Descripción: Descripción: Descripción: Descripción: logo_rama_judic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86" cy="8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695" w:rsidRPr="00841295" w:rsidRDefault="000C0695" w:rsidP="00841295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i/>
          <w:sz w:val="22"/>
          <w:szCs w:val="22"/>
        </w:rPr>
      </w:pPr>
    </w:p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</w:p>
    <w:p w:rsidR="000C06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</w:p>
    <w:p w:rsidR="00841295" w:rsidRPr="00841295" w:rsidRDefault="008412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  <w:bookmarkStart w:id="0" w:name="_GoBack"/>
      <w:bookmarkEnd w:id="0"/>
    </w:p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</w:rPr>
      </w:pPr>
      <w:r w:rsidRPr="00841295">
        <w:rPr>
          <w:rFonts w:ascii="Arial" w:eastAsia="Batang" w:hAnsi="Arial" w:cs="Arial"/>
          <w:b/>
          <w:sz w:val="22"/>
          <w:szCs w:val="22"/>
        </w:rPr>
        <w:t>DISTRITO JUDICIAL DE CALI</w:t>
      </w:r>
    </w:p>
    <w:p w:rsidR="000C0695" w:rsidRPr="00841295" w:rsidRDefault="000C0695" w:rsidP="00841295">
      <w:pPr>
        <w:pStyle w:val="Sinespaciado"/>
        <w:jc w:val="center"/>
        <w:rPr>
          <w:rFonts w:ascii="Arial" w:eastAsia="Batang" w:hAnsi="Arial" w:cs="Arial"/>
          <w:b/>
          <w:sz w:val="22"/>
          <w:szCs w:val="22"/>
          <w:lang w:val="es-ES"/>
        </w:rPr>
      </w:pPr>
      <w:r w:rsidRPr="00841295">
        <w:rPr>
          <w:rFonts w:ascii="Arial" w:eastAsia="Batang" w:hAnsi="Arial" w:cs="Arial"/>
          <w:b/>
          <w:sz w:val="22"/>
          <w:szCs w:val="22"/>
          <w:lang w:val="es-ES"/>
        </w:rPr>
        <w:t>JUZGADO DIECINUEVE CIVIL DEL CIRCUITO DE CALI</w:t>
      </w:r>
    </w:p>
    <w:p w:rsidR="000C0695" w:rsidRPr="00841295" w:rsidRDefault="000C0695" w:rsidP="0084129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</w:p>
    <w:p w:rsidR="0093612C" w:rsidRPr="00841295" w:rsidRDefault="0093612C" w:rsidP="00841295">
      <w:pPr>
        <w:jc w:val="center"/>
        <w:rPr>
          <w:rFonts w:ascii="Arial" w:eastAsia="Batang" w:hAnsi="Arial" w:cs="Arial"/>
          <w:b/>
          <w:sz w:val="22"/>
          <w:szCs w:val="22"/>
          <w:lang w:eastAsia="es-CO"/>
        </w:rPr>
      </w:pPr>
      <w:r w:rsidRPr="00841295">
        <w:rPr>
          <w:rFonts w:ascii="Arial" w:eastAsia="Batang" w:hAnsi="Arial" w:cs="Arial"/>
          <w:b/>
          <w:sz w:val="22"/>
          <w:szCs w:val="22"/>
          <w:lang w:eastAsia="es-CO"/>
        </w:rPr>
        <w:t xml:space="preserve">AUTO </w:t>
      </w:r>
      <w:r w:rsidR="00A47616" w:rsidRPr="00841295">
        <w:rPr>
          <w:rFonts w:ascii="Arial" w:eastAsia="Batang" w:hAnsi="Arial" w:cs="Arial"/>
          <w:b/>
          <w:sz w:val="22"/>
          <w:szCs w:val="22"/>
          <w:lang w:eastAsia="es-CO"/>
        </w:rPr>
        <w:t>S/N</w:t>
      </w:r>
    </w:p>
    <w:p w:rsidR="0093612C" w:rsidRPr="00841295" w:rsidRDefault="0093612C" w:rsidP="00841295">
      <w:pPr>
        <w:pStyle w:val="Ttulo1"/>
        <w:jc w:val="center"/>
        <w:rPr>
          <w:rFonts w:ascii="Arial" w:eastAsia="Batang" w:hAnsi="Arial" w:cs="Arial"/>
          <w:sz w:val="22"/>
          <w:szCs w:val="22"/>
        </w:rPr>
      </w:pPr>
      <w:r w:rsidRPr="00841295">
        <w:rPr>
          <w:rFonts w:ascii="Arial" w:eastAsia="Batang" w:hAnsi="Arial" w:cs="Arial"/>
          <w:sz w:val="22"/>
          <w:szCs w:val="22"/>
        </w:rPr>
        <w:t xml:space="preserve">JUZGADO DIECINUEVE CIVIL DEL CIRCUITO </w:t>
      </w:r>
    </w:p>
    <w:p w:rsidR="00A47616" w:rsidRPr="00841295" w:rsidRDefault="00A25CEF" w:rsidP="00841295">
      <w:pPr>
        <w:jc w:val="center"/>
        <w:rPr>
          <w:rFonts w:ascii="Arial" w:eastAsia="Batang" w:hAnsi="Arial" w:cs="Arial"/>
          <w:sz w:val="22"/>
          <w:szCs w:val="22"/>
        </w:rPr>
      </w:pPr>
      <w:r w:rsidRPr="00841295">
        <w:rPr>
          <w:rFonts w:ascii="Arial" w:hAnsi="Arial" w:cs="Arial"/>
          <w:sz w:val="22"/>
          <w:szCs w:val="22"/>
          <w:lang w:val="es-ES"/>
        </w:rPr>
        <w:t xml:space="preserve">Santiago de Cali, </w:t>
      </w:r>
      <w:r w:rsidR="00A47616" w:rsidRPr="00841295">
        <w:rPr>
          <w:rFonts w:ascii="Arial" w:hAnsi="Arial" w:cs="Arial"/>
          <w:sz w:val="22"/>
          <w:szCs w:val="22"/>
          <w:lang w:val="es-ES"/>
        </w:rPr>
        <w:t>Primero</w:t>
      </w:r>
      <w:r w:rsidRPr="00841295">
        <w:rPr>
          <w:rFonts w:ascii="Arial" w:hAnsi="Arial" w:cs="Arial"/>
          <w:sz w:val="22"/>
          <w:szCs w:val="22"/>
          <w:lang w:val="es-ES"/>
        </w:rPr>
        <w:t xml:space="preserve"> (</w:t>
      </w:r>
      <w:r w:rsidR="00A47616" w:rsidRPr="00841295">
        <w:rPr>
          <w:rFonts w:ascii="Arial" w:hAnsi="Arial" w:cs="Arial"/>
          <w:sz w:val="22"/>
          <w:szCs w:val="22"/>
          <w:lang w:val="es-ES"/>
        </w:rPr>
        <w:t>0</w:t>
      </w:r>
      <w:r w:rsidR="005A3B13" w:rsidRPr="00841295">
        <w:rPr>
          <w:rFonts w:ascii="Arial" w:hAnsi="Arial" w:cs="Arial"/>
          <w:sz w:val="22"/>
          <w:szCs w:val="22"/>
          <w:lang w:val="es-ES"/>
        </w:rPr>
        <w:t>1</w:t>
      </w:r>
      <w:r w:rsidRPr="00841295">
        <w:rPr>
          <w:rFonts w:ascii="Arial" w:hAnsi="Arial" w:cs="Arial"/>
          <w:sz w:val="22"/>
          <w:szCs w:val="22"/>
          <w:lang w:val="es-ES"/>
        </w:rPr>
        <w:t xml:space="preserve">) de </w:t>
      </w:r>
      <w:r w:rsidR="00A47616" w:rsidRPr="00841295">
        <w:rPr>
          <w:rFonts w:ascii="Arial" w:hAnsi="Arial" w:cs="Arial"/>
          <w:sz w:val="22"/>
          <w:szCs w:val="22"/>
          <w:lang w:val="es-ES"/>
        </w:rPr>
        <w:t>Abril</w:t>
      </w:r>
      <w:r w:rsidRPr="00841295">
        <w:rPr>
          <w:rFonts w:ascii="Arial" w:hAnsi="Arial" w:cs="Arial"/>
          <w:sz w:val="22"/>
          <w:szCs w:val="22"/>
          <w:lang w:val="es-ES"/>
        </w:rPr>
        <w:t xml:space="preserve"> de dos mil veinte (2020)</w:t>
      </w:r>
      <w:r w:rsidR="0093612C" w:rsidRPr="00841295">
        <w:rPr>
          <w:rFonts w:ascii="Arial" w:eastAsia="Batang" w:hAnsi="Arial" w:cs="Arial"/>
          <w:sz w:val="22"/>
          <w:szCs w:val="22"/>
        </w:rPr>
        <w:t>.</w:t>
      </w:r>
    </w:p>
    <w:p w:rsidR="00A47616" w:rsidRPr="00841295" w:rsidRDefault="00A47616" w:rsidP="0084129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noProof/>
          <w:sz w:val="22"/>
          <w:szCs w:val="22"/>
          <w:lang w:val="es-CO"/>
        </w:rPr>
      </w:pPr>
      <w:r w:rsidRPr="00841295">
        <w:rPr>
          <w:rFonts w:ascii="Arial" w:eastAsia="Calibri" w:hAnsi="Arial" w:cs="Arial"/>
          <w:b/>
          <w:sz w:val="22"/>
          <w:szCs w:val="22"/>
          <w:lang w:val="es-CO" w:eastAsia="en-US"/>
        </w:rPr>
        <w:t>Radicación:</w:t>
      </w:r>
      <w:r w:rsidRPr="00841295">
        <w:rPr>
          <w:rFonts w:ascii="Arial" w:hAnsi="Arial" w:cs="Arial"/>
          <w:sz w:val="22"/>
          <w:szCs w:val="22"/>
          <w:lang w:val="es-CO"/>
        </w:rPr>
        <w:t>760013103019-</w:t>
      </w:r>
      <w:r w:rsidRPr="00841295">
        <w:rPr>
          <w:rFonts w:ascii="Arial" w:hAnsi="Arial" w:cs="Arial"/>
          <w:noProof/>
          <w:sz w:val="22"/>
          <w:szCs w:val="22"/>
          <w:lang w:val="es-CO"/>
        </w:rPr>
        <w:t>2020-00046-00</w:t>
      </w:r>
    </w:p>
    <w:p w:rsidR="0093612C" w:rsidRDefault="0093612C" w:rsidP="00841295">
      <w:pPr>
        <w:jc w:val="both"/>
        <w:rPr>
          <w:rFonts w:ascii="Arial" w:eastAsia="Batang" w:hAnsi="Arial" w:cs="Arial"/>
          <w:sz w:val="24"/>
          <w:szCs w:val="24"/>
        </w:rPr>
      </w:pPr>
    </w:p>
    <w:p w:rsidR="00A47616" w:rsidRDefault="00A47616" w:rsidP="00841295">
      <w:pPr>
        <w:tabs>
          <w:tab w:val="center" w:pos="4419"/>
          <w:tab w:val="right" w:pos="8838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val="es-CO" w:eastAsia="en-US"/>
        </w:rPr>
      </w:pPr>
    </w:p>
    <w:p w:rsidR="00852FD2" w:rsidRPr="00841295" w:rsidRDefault="00A47616" w:rsidP="00305E9E">
      <w:pPr>
        <w:tabs>
          <w:tab w:val="center" w:pos="4419"/>
          <w:tab w:val="right" w:pos="883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841295">
        <w:rPr>
          <w:rFonts w:ascii="Arial" w:eastAsia="Calibri" w:hAnsi="Arial" w:cs="Arial"/>
          <w:sz w:val="22"/>
          <w:szCs w:val="22"/>
          <w:lang w:val="es-CO" w:eastAsia="en-US"/>
        </w:rPr>
        <w:t xml:space="preserve">Teniendo en cuenta que </w:t>
      </w:r>
      <w:r w:rsidR="00305E9E" w:rsidRPr="00841295">
        <w:rPr>
          <w:rFonts w:ascii="Arial" w:eastAsia="Calibri" w:hAnsi="Arial" w:cs="Arial"/>
          <w:sz w:val="22"/>
          <w:szCs w:val="22"/>
          <w:lang w:val="es-CO" w:eastAsia="en-US"/>
        </w:rPr>
        <w:t xml:space="preserve">en la presente acción de tutela, </w:t>
      </w:r>
      <w:r w:rsidRPr="00841295">
        <w:rPr>
          <w:rFonts w:ascii="Arial" w:eastAsia="Calibri" w:hAnsi="Arial" w:cs="Arial"/>
          <w:sz w:val="22"/>
          <w:szCs w:val="22"/>
          <w:lang w:val="es-CO" w:eastAsia="en-US"/>
        </w:rPr>
        <w:t xml:space="preserve">el accionante señor </w:t>
      </w:r>
      <w:r w:rsidRPr="00841295">
        <w:rPr>
          <w:rFonts w:ascii="Arial" w:hAnsi="Arial" w:cs="Arial"/>
          <w:sz w:val="22"/>
          <w:szCs w:val="22"/>
        </w:rPr>
        <w:t>SEBASTIAN EUCLIDES BERRIO GÓMEZ es habitante de calle y que en la dirección que indica en la acción de tutela no ha sido posible efectuar la notificación efectiva de la sentencia emitida</w:t>
      </w:r>
      <w:r w:rsidR="00F74E12" w:rsidRPr="00841295">
        <w:rPr>
          <w:rFonts w:ascii="Arial" w:hAnsi="Arial" w:cs="Arial"/>
          <w:sz w:val="22"/>
          <w:szCs w:val="22"/>
        </w:rPr>
        <w:t>, se hace necesario ordenar</w:t>
      </w:r>
      <w:r w:rsidR="00275DD9" w:rsidRPr="00841295">
        <w:rPr>
          <w:rFonts w:ascii="Arial" w:hAnsi="Arial" w:cs="Arial"/>
          <w:sz w:val="22"/>
          <w:szCs w:val="22"/>
        </w:rPr>
        <w:t xml:space="preserve">adicionalmente </w:t>
      </w:r>
      <w:r w:rsidR="00852FD2" w:rsidRPr="00841295">
        <w:rPr>
          <w:rFonts w:ascii="Arial" w:hAnsi="Arial" w:cs="Arial"/>
          <w:sz w:val="22"/>
          <w:szCs w:val="22"/>
        </w:rPr>
        <w:t>su notificación en la página web de la rama judicial</w:t>
      </w:r>
      <w:hyperlink r:id="rId7" w:history="1">
        <w:r w:rsidR="00841295" w:rsidRPr="00822B59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305E9E" w:rsidRPr="00841295">
        <w:rPr>
          <w:rFonts w:ascii="Arial" w:hAnsi="Arial" w:cs="Arial"/>
          <w:sz w:val="22"/>
          <w:szCs w:val="22"/>
        </w:rPr>
        <w:t xml:space="preserve">,conforme el </w:t>
      </w:r>
      <w:r w:rsidR="00305E9E" w:rsidRPr="00841295">
        <w:rPr>
          <w:rFonts w:ascii="Arial" w:eastAsia="Calibri" w:hAnsi="Arial" w:cs="Arial"/>
          <w:sz w:val="22"/>
          <w:szCs w:val="22"/>
        </w:rPr>
        <w:t>Art. 16  Decreto 2591/1991 que permite</w:t>
      </w:r>
      <w:r w:rsidR="00305E9E" w:rsidRPr="00841295">
        <w:rPr>
          <w:rFonts w:ascii="Arial" w:hAnsi="Arial" w:cs="Arial"/>
          <w:sz w:val="22"/>
          <w:szCs w:val="22"/>
        </w:rPr>
        <w:t xml:space="preserve"> la utilización del medio de notificación</w:t>
      </w:r>
      <w:r w:rsidR="00305E9E" w:rsidRPr="00841295">
        <w:rPr>
          <w:rFonts w:ascii="Arial" w:eastAsia="Calibri" w:hAnsi="Arial" w:cs="Arial"/>
          <w:sz w:val="22"/>
          <w:szCs w:val="22"/>
        </w:rPr>
        <w:t xml:space="preserve"> más expedito y eficaz,</w:t>
      </w:r>
      <w:r w:rsidR="00305E9E" w:rsidRPr="00841295">
        <w:rPr>
          <w:rFonts w:ascii="Arial" w:eastAsia="Batang" w:hAnsi="Arial" w:cs="Arial"/>
          <w:sz w:val="22"/>
          <w:szCs w:val="22"/>
        </w:rPr>
        <w:t xml:space="preserve"> y</w:t>
      </w:r>
      <w:r w:rsidR="00797E08" w:rsidRPr="00841295">
        <w:rPr>
          <w:rFonts w:ascii="Arial" w:hAnsi="Arial" w:cs="Arial"/>
          <w:sz w:val="22"/>
          <w:szCs w:val="22"/>
        </w:rPr>
        <w:t xml:space="preserve">teniendo en cuenta además el Acuerdo PCSJA20-11517 del 15 de marzo de 2020, que </w:t>
      </w:r>
      <w:r w:rsidR="00841295">
        <w:rPr>
          <w:rFonts w:ascii="Arial" w:hAnsi="Arial" w:cs="Arial"/>
          <w:sz w:val="22"/>
          <w:szCs w:val="22"/>
        </w:rPr>
        <w:t>autoriza</w:t>
      </w:r>
      <w:r w:rsidR="00797E08" w:rsidRPr="00841295">
        <w:rPr>
          <w:rFonts w:ascii="Arial" w:hAnsi="Arial" w:cs="Arial"/>
          <w:sz w:val="22"/>
          <w:szCs w:val="22"/>
        </w:rPr>
        <w:t xml:space="preserve"> el t</w:t>
      </w:r>
      <w:r w:rsidR="00841295">
        <w:rPr>
          <w:rFonts w:ascii="Arial" w:hAnsi="Arial" w:cs="Arial"/>
          <w:sz w:val="22"/>
          <w:szCs w:val="22"/>
        </w:rPr>
        <w:t>elet</w:t>
      </w:r>
      <w:r w:rsidR="00797E08" w:rsidRPr="00841295">
        <w:rPr>
          <w:rFonts w:ascii="Arial" w:hAnsi="Arial" w:cs="Arial"/>
          <w:sz w:val="22"/>
          <w:szCs w:val="22"/>
        </w:rPr>
        <w:t xml:space="preserve">rabajo ante el impacto de la emergencia </w:t>
      </w:r>
      <w:r w:rsidR="00841295">
        <w:rPr>
          <w:rFonts w:ascii="Arial" w:hAnsi="Arial" w:cs="Arial"/>
          <w:sz w:val="22"/>
          <w:szCs w:val="22"/>
        </w:rPr>
        <w:t>ocasionada por el</w:t>
      </w:r>
      <w:r w:rsidR="00797E08" w:rsidRPr="00841295">
        <w:rPr>
          <w:rFonts w:ascii="Arial" w:hAnsi="Arial" w:cs="Arial"/>
          <w:sz w:val="22"/>
          <w:szCs w:val="22"/>
        </w:rPr>
        <w:t xml:space="preserve"> COVID-19</w:t>
      </w:r>
      <w:r w:rsidR="00841295">
        <w:rPr>
          <w:rFonts w:ascii="Arial" w:hAnsi="Arial" w:cs="Arial"/>
          <w:sz w:val="22"/>
          <w:szCs w:val="22"/>
        </w:rPr>
        <w:t xml:space="preserve"> en nuestro país.</w:t>
      </w:r>
    </w:p>
    <w:p w:rsidR="00275DD9" w:rsidRPr="00841295" w:rsidRDefault="0093612C" w:rsidP="00275DD9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841295">
        <w:rPr>
          <w:rFonts w:ascii="Arial" w:eastAsia="Batang" w:hAnsi="Arial" w:cs="Arial"/>
          <w:sz w:val="22"/>
          <w:szCs w:val="22"/>
        </w:rPr>
        <w:tab/>
      </w:r>
      <w:r w:rsidRPr="00841295">
        <w:rPr>
          <w:rFonts w:ascii="Arial" w:eastAsia="Batang" w:hAnsi="Arial" w:cs="Arial"/>
          <w:sz w:val="22"/>
          <w:szCs w:val="22"/>
        </w:rPr>
        <w:tab/>
      </w:r>
    </w:p>
    <w:p w:rsidR="00A25CEF" w:rsidRPr="00841295" w:rsidRDefault="00275DD9" w:rsidP="00275DD9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841295">
        <w:rPr>
          <w:rFonts w:ascii="Arial" w:eastAsia="Batang" w:hAnsi="Arial" w:cs="Arial"/>
          <w:sz w:val="22"/>
          <w:szCs w:val="22"/>
        </w:rPr>
        <w:t>En consecuencia,</w:t>
      </w:r>
      <w:r w:rsidR="00A25CEF" w:rsidRPr="00841295">
        <w:rPr>
          <w:rFonts w:ascii="Arial" w:hAnsi="Arial" w:cs="Arial"/>
          <w:sz w:val="22"/>
          <w:szCs w:val="22"/>
        </w:rPr>
        <w:t>el Juzgado Diecinueve Civil del Circuito de la ciudad de Cali - Valle,</w:t>
      </w:r>
    </w:p>
    <w:p w:rsidR="00A25CEF" w:rsidRPr="00841295" w:rsidRDefault="00A25CEF" w:rsidP="00794EA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25CEF" w:rsidRPr="00841295" w:rsidRDefault="00A25CEF" w:rsidP="00A25CEF">
      <w:pPr>
        <w:jc w:val="both"/>
        <w:rPr>
          <w:rFonts w:ascii="Arial" w:hAnsi="Arial" w:cs="Arial"/>
          <w:b/>
          <w:sz w:val="22"/>
          <w:szCs w:val="22"/>
        </w:rPr>
      </w:pPr>
      <w:r w:rsidRPr="00841295">
        <w:rPr>
          <w:rFonts w:ascii="Arial" w:hAnsi="Arial" w:cs="Arial"/>
          <w:b/>
          <w:sz w:val="22"/>
          <w:szCs w:val="22"/>
        </w:rPr>
        <w:t xml:space="preserve">                                                    RESUELVE</w:t>
      </w:r>
    </w:p>
    <w:p w:rsidR="0093612C" w:rsidRPr="00841295" w:rsidRDefault="0093612C" w:rsidP="00ED22C2">
      <w:pPr>
        <w:spacing w:line="276" w:lineRule="auto"/>
        <w:jc w:val="both"/>
        <w:rPr>
          <w:rFonts w:ascii="Arial" w:eastAsia="Batang" w:hAnsi="Arial" w:cs="Arial"/>
          <w:b/>
          <w:sz w:val="22"/>
          <w:szCs w:val="22"/>
        </w:rPr>
      </w:pPr>
    </w:p>
    <w:p w:rsidR="00A25CEF" w:rsidRPr="00841295" w:rsidRDefault="00794EA4" w:rsidP="00A2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295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1.- </w:t>
      </w:r>
      <w:r w:rsidR="007A53F6" w:rsidRPr="00841295">
        <w:rPr>
          <w:rFonts w:ascii="Arial" w:eastAsia="Calibri" w:hAnsi="Arial" w:cs="Arial"/>
          <w:b/>
          <w:sz w:val="22"/>
          <w:szCs w:val="22"/>
          <w:lang w:val="es-CO" w:eastAsia="en-US"/>
        </w:rPr>
        <w:t>ORDENAR</w:t>
      </w:r>
      <w:r w:rsidR="007A53F6" w:rsidRPr="00841295">
        <w:rPr>
          <w:rFonts w:ascii="Arial" w:hAnsi="Arial" w:cs="Arial"/>
          <w:sz w:val="22"/>
          <w:szCs w:val="22"/>
        </w:rPr>
        <w:t>la</w:t>
      </w:r>
      <w:r w:rsidR="00BF6CE3" w:rsidRPr="00841295">
        <w:rPr>
          <w:rFonts w:ascii="Arial" w:hAnsi="Arial" w:cs="Arial"/>
          <w:sz w:val="22"/>
          <w:szCs w:val="22"/>
        </w:rPr>
        <w:t xml:space="preserve"> notificación </w:t>
      </w:r>
      <w:r w:rsidR="007A53F6" w:rsidRPr="00841295">
        <w:rPr>
          <w:rFonts w:ascii="Arial" w:hAnsi="Arial" w:cs="Arial"/>
          <w:sz w:val="22"/>
          <w:szCs w:val="22"/>
        </w:rPr>
        <w:t xml:space="preserve">de la </w:t>
      </w:r>
      <w:r w:rsidR="00797E08" w:rsidRPr="00841295">
        <w:rPr>
          <w:rFonts w:ascii="Arial" w:hAnsi="Arial" w:cs="Arial"/>
          <w:sz w:val="22"/>
          <w:szCs w:val="22"/>
        </w:rPr>
        <w:t xml:space="preserve">sentencia No. 026-220 del 26 de marzo de 2020 al </w:t>
      </w:r>
      <w:r w:rsidR="00797E08" w:rsidRPr="00841295">
        <w:rPr>
          <w:rFonts w:ascii="Arial" w:eastAsia="Calibri" w:hAnsi="Arial" w:cs="Arial"/>
          <w:sz w:val="22"/>
          <w:szCs w:val="22"/>
          <w:lang w:val="es-CO" w:eastAsia="en-US"/>
        </w:rPr>
        <w:t xml:space="preserve">accionante señor </w:t>
      </w:r>
      <w:r w:rsidR="00797E08" w:rsidRPr="00841295">
        <w:rPr>
          <w:rFonts w:ascii="Arial" w:hAnsi="Arial" w:cs="Arial"/>
          <w:sz w:val="22"/>
          <w:szCs w:val="22"/>
        </w:rPr>
        <w:t>SEBASTIAN EUCLIDES BERRIO GÓMEZ,</w:t>
      </w:r>
      <w:r w:rsidR="007A53F6" w:rsidRPr="00841295">
        <w:rPr>
          <w:rFonts w:ascii="Arial" w:hAnsi="Arial" w:cs="Arial"/>
          <w:sz w:val="22"/>
          <w:szCs w:val="22"/>
        </w:rPr>
        <w:t xml:space="preserve"> a través de</w:t>
      </w:r>
      <w:r w:rsidR="00BF6CE3" w:rsidRPr="00841295">
        <w:rPr>
          <w:rFonts w:ascii="Arial" w:hAnsi="Arial" w:cs="Arial"/>
          <w:sz w:val="22"/>
          <w:szCs w:val="22"/>
        </w:rPr>
        <w:t xml:space="preserve"> la página web de la rama judicial</w:t>
      </w:r>
      <w:hyperlink r:id="rId8" w:history="1">
        <w:r w:rsidR="00841295" w:rsidRPr="00822B59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7A53F6" w:rsidRPr="00841295">
        <w:rPr>
          <w:rFonts w:ascii="Arial" w:hAnsi="Arial" w:cs="Arial"/>
          <w:sz w:val="22"/>
          <w:szCs w:val="22"/>
        </w:rPr>
        <w:t>, para lo cual se deberá adjuntar copia del</w:t>
      </w:r>
      <w:r w:rsidR="00797E08" w:rsidRPr="00841295">
        <w:rPr>
          <w:rFonts w:ascii="Arial" w:hAnsi="Arial" w:cs="Arial"/>
          <w:sz w:val="22"/>
          <w:szCs w:val="22"/>
        </w:rPr>
        <w:t>amencionada sentencia, por las razones expuestas</w:t>
      </w:r>
      <w:r w:rsidR="007A53F6" w:rsidRPr="00841295">
        <w:rPr>
          <w:rFonts w:ascii="Arial" w:hAnsi="Arial" w:cs="Arial"/>
          <w:sz w:val="22"/>
          <w:szCs w:val="22"/>
        </w:rPr>
        <w:t xml:space="preserve">. </w:t>
      </w:r>
    </w:p>
    <w:p w:rsidR="00794EA4" w:rsidRPr="00841295" w:rsidRDefault="00794EA4" w:rsidP="00794E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4EA4" w:rsidRPr="00841295" w:rsidRDefault="00794EA4" w:rsidP="00A25CE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41295">
        <w:rPr>
          <w:rFonts w:ascii="Arial" w:hAnsi="Arial" w:cs="Arial"/>
          <w:b/>
          <w:bCs/>
          <w:sz w:val="22"/>
          <w:szCs w:val="22"/>
        </w:rPr>
        <w:t>2.-</w:t>
      </w:r>
      <w:r w:rsidRPr="00841295">
        <w:rPr>
          <w:rFonts w:ascii="Arial" w:hAnsi="Arial" w:cs="Arial"/>
          <w:sz w:val="22"/>
          <w:szCs w:val="22"/>
        </w:rPr>
        <w:t xml:space="preserve"> Una vez se verifique la anterior notificación, se procederá a dar trámite a la impugnación presentada por la Secretaria Departamental de Salud del Valle del Cauca. Notificar a las partes conforme el </w:t>
      </w:r>
      <w:r w:rsidRPr="00841295">
        <w:rPr>
          <w:rFonts w:ascii="Arial" w:eastAsia="Calibri" w:hAnsi="Arial" w:cs="Arial"/>
          <w:sz w:val="22"/>
          <w:szCs w:val="22"/>
        </w:rPr>
        <w:t>Art. 16 Decreto 2591/1991.</w:t>
      </w:r>
    </w:p>
    <w:p w:rsidR="0093612C" w:rsidRPr="00841295" w:rsidRDefault="0093612C" w:rsidP="00794EA4">
      <w:pPr>
        <w:spacing w:line="276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841295">
        <w:rPr>
          <w:rFonts w:ascii="Arial" w:eastAsia="Batang" w:hAnsi="Arial" w:cs="Arial"/>
          <w:b/>
          <w:sz w:val="22"/>
          <w:szCs w:val="22"/>
        </w:rPr>
        <w:tab/>
      </w:r>
      <w:r w:rsidRPr="00841295">
        <w:rPr>
          <w:rFonts w:ascii="Arial" w:eastAsia="Batang" w:hAnsi="Arial" w:cs="Arial"/>
          <w:b/>
          <w:sz w:val="22"/>
          <w:szCs w:val="22"/>
        </w:rPr>
        <w:tab/>
      </w:r>
    </w:p>
    <w:p w:rsidR="0093612C" w:rsidRPr="00841295" w:rsidRDefault="0093612C" w:rsidP="00794EA4">
      <w:pPr>
        <w:spacing w:line="276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841295">
        <w:rPr>
          <w:rFonts w:ascii="Arial" w:eastAsia="Batang" w:hAnsi="Arial" w:cs="Arial"/>
          <w:b/>
          <w:sz w:val="22"/>
          <w:szCs w:val="22"/>
        </w:rPr>
        <w:tab/>
      </w:r>
      <w:r w:rsidRPr="00841295">
        <w:rPr>
          <w:rFonts w:ascii="Arial" w:eastAsia="Batang" w:hAnsi="Arial" w:cs="Arial"/>
          <w:b/>
          <w:sz w:val="22"/>
          <w:szCs w:val="22"/>
        </w:rPr>
        <w:tab/>
        <w:t>NOTIFÍQUESE</w:t>
      </w:r>
    </w:p>
    <w:p w:rsidR="00252784" w:rsidRPr="0093612C" w:rsidRDefault="00841295" w:rsidP="00841295">
      <w:pPr>
        <w:spacing w:line="276" w:lineRule="auto"/>
        <w:jc w:val="center"/>
      </w:pPr>
      <w:r>
        <w:rPr>
          <w:noProof/>
          <w:lang w:val="es-CO" w:eastAsia="es-CO"/>
        </w:rPr>
        <w:drawing>
          <wp:inline distT="0" distB="0" distL="0" distR="0">
            <wp:extent cx="2966233" cy="2095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867" cy="212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784" w:rsidRPr="0093612C" w:rsidSect="006561AD">
      <w:footerReference w:type="default" r:id="rId10"/>
      <w:pgSz w:w="12242" w:h="18722" w:code="14"/>
      <w:pgMar w:top="1418" w:right="1418" w:bottom="1418" w:left="1418" w:header="709" w:footer="850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2C" w:rsidRDefault="00DE592C">
      <w:r>
        <w:separator/>
      </w:r>
    </w:p>
  </w:endnote>
  <w:endnote w:type="continuationSeparator" w:id="1">
    <w:p w:rsidR="00DE592C" w:rsidRDefault="00DE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rari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AD" w:rsidRDefault="00F70DFD">
    <w:pPr>
      <w:pStyle w:val="Piedepgina"/>
      <w:rPr>
        <w:rFonts w:ascii="Arial" w:hAnsi="Arial" w:cs="Arial"/>
        <w:i/>
        <w:sz w:val="14"/>
        <w:szCs w:val="14"/>
      </w:rPr>
    </w:pPr>
  </w:p>
  <w:p w:rsidR="006561AD" w:rsidRPr="00BF6CE3" w:rsidRDefault="00F70DFD" w:rsidP="00BF6CE3">
    <w:pPr>
      <w:pStyle w:val="Piedepgina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2C" w:rsidRDefault="00DE592C">
      <w:r>
        <w:separator/>
      </w:r>
    </w:p>
  </w:footnote>
  <w:footnote w:type="continuationSeparator" w:id="1">
    <w:p w:rsidR="00DE592C" w:rsidRDefault="00DE5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99"/>
    <w:rsid w:val="000549DC"/>
    <w:rsid w:val="000872D9"/>
    <w:rsid w:val="000928A2"/>
    <w:rsid w:val="000C0695"/>
    <w:rsid w:val="000F766D"/>
    <w:rsid w:val="00127D1F"/>
    <w:rsid w:val="00133649"/>
    <w:rsid w:val="001578C1"/>
    <w:rsid w:val="001A48F8"/>
    <w:rsid w:val="001E03BD"/>
    <w:rsid w:val="00252784"/>
    <w:rsid w:val="00275DD9"/>
    <w:rsid w:val="002C4BF1"/>
    <w:rsid w:val="00305E9E"/>
    <w:rsid w:val="0034695C"/>
    <w:rsid w:val="003738C3"/>
    <w:rsid w:val="003C58B7"/>
    <w:rsid w:val="00400121"/>
    <w:rsid w:val="00472CE3"/>
    <w:rsid w:val="004C56C5"/>
    <w:rsid w:val="00515199"/>
    <w:rsid w:val="005A3B13"/>
    <w:rsid w:val="005B1162"/>
    <w:rsid w:val="005B78C7"/>
    <w:rsid w:val="005D5FE8"/>
    <w:rsid w:val="00622FA8"/>
    <w:rsid w:val="0063052F"/>
    <w:rsid w:val="00671E2B"/>
    <w:rsid w:val="00696568"/>
    <w:rsid w:val="006B272A"/>
    <w:rsid w:val="006D799D"/>
    <w:rsid w:val="00702036"/>
    <w:rsid w:val="00710835"/>
    <w:rsid w:val="007332B5"/>
    <w:rsid w:val="00790B94"/>
    <w:rsid w:val="00794EA4"/>
    <w:rsid w:val="00797E08"/>
    <w:rsid w:val="007A53F6"/>
    <w:rsid w:val="007A690C"/>
    <w:rsid w:val="007D18B9"/>
    <w:rsid w:val="007D3809"/>
    <w:rsid w:val="00812C87"/>
    <w:rsid w:val="00841295"/>
    <w:rsid w:val="00852FD2"/>
    <w:rsid w:val="0085638E"/>
    <w:rsid w:val="00874E54"/>
    <w:rsid w:val="00882B3F"/>
    <w:rsid w:val="008F52D5"/>
    <w:rsid w:val="0093612C"/>
    <w:rsid w:val="009379C2"/>
    <w:rsid w:val="00964C51"/>
    <w:rsid w:val="00967ABA"/>
    <w:rsid w:val="009A082E"/>
    <w:rsid w:val="00A25CEF"/>
    <w:rsid w:val="00A47616"/>
    <w:rsid w:val="00AF3168"/>
    <w:rsid w:val="00B72F65"/>
    <w:rsid w:val="00B84A81"/>
    <w:rsid w:val="00BE6799"/>
    <w:rsid w:val="00BF6CE3"/>
    <w:rsid w:val="00C01533"/>
    <w:rsid w:val="00C15166"/>
    <w:rsid w:val="00C36142"/>
    <w:rsid w:val="00CC666B"/>
    <w:rsid w:val="00CE1E1E"/>
    <w:rsid w:val="00D02504"/>
    <w:rsid w:val="00D40948"/>
    <w:rsid w:val="00DC5CB4"/>
    <w:rsid w:val="00DE1215"/>
    <w:rsid w:val="00DE539E"/>
    <w:rsid w:val="00DE592C"/>
    <w:rsid w:val="00E3583D"/>
    <w:rsid w:val="00E51DC2"/>
    <w:rsid w:val="00ED22C2"/>
    <w:rsid w:val="00F6103C"/>
    <w:rsid w:val="00F70DFD"/>
    <w:rsid w:val="00F74E12"/>
    <w:rsid w:val="00FB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15199"/>
    <w:pPr>
      <w:keepNext/>
      <w:textAlignment w:val="auto"/>
      <w:outlineLvl w:val="0"/>
    </w:pPr>
    <w:rPr>
      <w:rFonts w:ascii="Librarian" w:hAnsi="Librarian"/>
      <w:b/>
      <w:sz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5199"/>
    <w:rPr>
      <w:rFonts w:ascii="Librarian" w:eastAsia="Times New Roman" w:hAnsi="Librarian" w:cs="Times New Roman"/>
      <w:b/>
      <w:sz w:val="28"/>
      <w:szCs w:val="20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1519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5199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965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6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9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95C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BE6799"/>
    <w:rPr>
      <w:i/>
      <w:iCs/>
    </w:rPr>
  </w:style>
  <w:style w:type="character" w:customStyle="1" w:styleId="Cuerpodeltexto">
    <w:name w:val="Cuerpo del texto_"/>
    <w:link w:val="Cuerpodeltexto0"/>
    <w:rsid w:val="00BE679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BE6799"/>
    <w:pPr>
      <w:widowControl w:val="0"/>
      <w:shd w:val="clear" w:color="auto" w:fill="FFFFFF"/>
      <w:overflowPunct/>
      <w:autoSpaceDE/>
      <w:autoSpaceDN/>
      <w:adjustRightInd/>
      <w:spacing w:before="240" w:after="240" w:line="293" w:lineRule="exact"/>
      <w:jc w:val="center"/>
      <w:textAlignment w:val="auto"/>
    </w:pPr>
    <w:rPr>
      <w:rFonts w:ascii="Arial" w:eastAsia="Arial" w:hAnsi="Arial" w:cs="Arial"/>
      <w:sz w:val="23"/>
      <w:szCs w:val="23"/>
      <w:lang w:val="es-CO" w:eastAsia="en-US"/>
    </w:rPr>
  </w:style>
  <w:style w:type="character" w:customStyle="1" w:styleId="apple-converted-space">
    <w:name w:val="apple-converted-space"/>
    <w:rsid w:val="00622FA8"/>
  </w:style>
  <w:style w:type="paragraph" w:styleId="Sinespaciado">
    <w:name w:val="No Spacing"/>
    <w:uiPriority w:val="1"/>
    <w:qFormat/>
    <w:rsid w:val="000C069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1516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5E9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12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majudicial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Maria Ruiz Ruiz</dc:creator>
  <cp:lastModifiedBy>ERIKA MARTINEZ LATORRE</cp:lastModifiedBy>
  <cp:revision>2</cp:revision>
  <cp:lastPrinted>2020-01-21T18:50:00Z</cp:lastPrinted>
  <dcterms:created xsi:type="dcterms:W3CDTF">2020-04-02T21:41:00Z</dcterms:created>
  <dcterms:modified xsi:type="dcterms:W3CDTF">2020-04-02T21:41:00Z</dcterms:modified>
</cp:coreProperties>
</file>