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jc w:val="center"/>
        <w:rPr>
          <w:rFonts w:ascii="Century Gothic" w:hAnsi="Century Gothic"/>
          <w:b/>
          <w:color w:val="000000"/>
          <w:sz w:val="52"/>
          <w:szCs w:val="22"/>
          <w:bdr w:val="none" w:sz="0" w:space="0" w:color="auto" w:frame="1"/>
        </w:rPr>
      </w:pPr>
      <w:r w:rsidRPr="00C23E70">
        <w:rPr>
          <w:rFonts w:ascii="Century Gothic" w:hAnsi="Century Gothic"/>
          <w:b/>
          <w:color w:val="000000"/>
          <w:sz w:val="52"/>
          <w:szCs w:val="22"/>
          <w:bdr w:val="none" w:sz="0" w:space="0" w:color="auto" w:frame="1"/>
        </w:rPr>
        <w:t>AVISO A LA COMUNIDAD JUDICIAL</w:t>
      </w:r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jc w:val="both"/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</w:pPr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jc w:val="both"/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</w:pPr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ind w:hanging="12"/>
        <w:jc w:val="both"/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</w:pPr>
      <w:r w:rsidRPr="00C23E70"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  <w:t xml:space="preserve">A PARTIR DEL 1 DE JULIO DE 2020 la radicación de demandas ordinarias y constitucionales, (únicamente </w:t>
      </w:r>
      <w:r w:rsidRPr="00C23E70">
        <w:rPr>
          <w:rFonts w:ascii="Century Gothic" w:hAnsi="Century Gothic"/>
          <w:color w:val="000000"/>
          <w:sz w:val="36"/>
          <w:szCs w:val="22"/>
          <w:u w:val="single"/>
          <w:bdr w:val="none" w:sz="0" w:space="0" w:color="auto" w:frame="1"/>
        </w:rPr>
        <w:t>Acciones de Grupo</w:t>
      </w:r>
      <w:r w:rsidRPr="00C23E70">
        <w:rPr>
          <w:rFonts w:ascii="Century Gothic" w:hAnsi="Century Gothic"/>
          <w:color w:val="000000"/>
          <w:sz w:val="36"/>
          <w:szCs w:val="22"/>
          <w:bdr w:val="none" w:sz="0" w:space="0" w:color="auto" w:frame="1"/>
        </w:rPr>
        <w:t xml:space="preserve">, </w:t>
      </w:r>
      <w:r w:rsidRPr="00C23E70">
        <w:rPr>
          <w:rFonts w:ascii="Century Gothic" w:hAnsi="Century Gothic"/>
          <w:color w:val="000000"/>
          <w:sz w:val="36"/>
          <w:szCs w:val="22"/>
          <w:u w:val="single"/>
          <w:bdr w:val="none" w:sz="0" w:space="0" w:color="auto" w:frame="1"/>
        </w:rPr>
        <w:t>Acciones de Cumplimiento</w:t>
      </w:r>
      <w:r w:rsidRPr="00C23E70">
        <w:rPr>
          <w:rFonts w:ascii="Century Gothic" w:hAnsi="Century Gothic"/>
          <w:color w:val="000000"/>
          <w:sz w:val="36"/>
          <w:szCs w:val="22"/>
          <w:bdr w:val="none" w:sz="0" w:space="0" w:color="auto" w:frame="1"/>
        </w:rPr>
        <w:t xml:space="preserve"> y </w:t>
      </w:r>
      <w:r w:rsidRPr="00C23E70">
        <w:rPr>
          <w:rFonts w:ascii="Century Gothic" w:hAnsi="Century Gothic"/>
          <w:color w:val="000000"/>
          <w:sz w:val="36"/>
          <w:szCs w:val="22"/>
          <w:u w:val="single"/>
          <w:bdr w:val="none" w:sz="0" w:space="0" w:color="auto" w:frame="1"/>
        </w:rPr>
        <w:t>Acciones Populares</w:t>
      </w:r>
      <w:r w:rsidRPr="00C23E70"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  <w:t>) correspondiente a la jurisdicción de lo contencioso administrativo del Circuito Judicial de Facatativá se realizarán y atenderán únicamente a través de los correos electrónicos institucionales, indicando de manera clara los datos de contacto del sus</w:t>
      </w:r>
      <w:bookmarkStart w:id="0" w:name="_GoBack"/>
      <w:bookmarkEnd w:id="0"/>
      <w:r w:rsidRPr="00C23E70"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  <w:t>criptor y de las partes.</w:t>
      </w:r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jc w:val="both"/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</w:pPr>
    </w:p>
    <w:p w:rsidR="00C23E70" w:rsidRPr="00C23E70" w:rsidRDefault="00C23E70" w:rsidP="00C23E70">
      <w:pPr>
        <w:pStyle w:val="NormalWeb"/>
        <w:shd w:val="clear" w:color="auto" w:fill="FFFFFF"/>
        <w:spacing w:after="0"/>
        <w:jc w:val="both"/>
        <w:rPr>
          <w:rFonts w:ascii="Century Gothic" w:hAnsi="Century Gothic"/>
          <w:color w:val="000000"/>
          <w:sz w:val="36"/>
          <w:szCs w:val="22"/>
        </w:rPr>
      </w:pPr>
      <w:r w:rsidRPr="00C23E70">
        <w:rPr>
          <w:rFonts w:ascii="Century Gothic" w:hAnsi="Century Gothic"/>
          <w:color w:val="000000"/>
          <w:sz w:val="36"/>
          <w:szCs w:val="22"/>
        </w:rPr>
        <w:t>Recepción Demandas Ordinarias:</w:t>
      </w:r>
      <w:r w:rsidRPr="00C23E70">
        <w:rPr>
          <w:rFonts w:ascii="Century Gothic" w:hAnsi="Century Gothic"/>
          <w:b/>
          <w:color w:val="000000"/>
          <w:sz w:val="36"/>
          <w:szCs w:val="22"/>
        </w:rPr>
        <w:t xml:space="preserve"> </w:t>
      </w:r>
      <w:hyperlink r:id="rId5" w:history="1">
        <w:r w:rsidRPr="00C23E70">
          <w:rPr>
            <w:rStyle w:val="Hipervnculo"/>
            <w:rFonts w:ascii="Century Gothic" w:hAnsi="Century Gothic"/>
            <w:b/>
            <w:sz w:val="36"/>
            <w:szCs w:val="22"/>
          </w:rPr>
          <w:t>recepdemandordinafac@cendoj.ramajudicial.gov.co</w:t>
        </w:r>
      </w:hyperlink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entury Gothic" w:hAnsi="Century Gothic"/>
          <w:color w:val="000000"/>
          <w:sz w:val="36"/>
          <w:szCs w:val="22"/>
          <w:shd w:val="clear" w:color="auto" w:fill="FFFFFF"/>
        </w:rPr>
      </w:pPr>
      <w:r w:rsidRPr="00C23E70">
        <w:rPr>
          <w:rFonts w:ascii="Century Gothic" w:hAnsi="Century Gothic"/>
          <w:color w:val="000000"/>
          <w:sz w:val="36"/>
          <w:szCs w:val="22"/>
        </w:rPr>
        <w:t>Recepción Demandas Constitucionales:</w:t>
      </w:r>
      <w:r w:rsidRPr="00C23E70">
        <w:rPr>
          <w:rFonts w:ascii="Century Gothic" w:hAnsi="Century Gothic"/>
          <w:b/>
          <w:color w:val="000000"/>
          <w:sz w:val="36"/>
          <w:szCs w:val="22"/>
        </w:rPr>
        <w:t xml:space="preserve"> </w:t>
      </w:r>
      <w:hyperlink r:id="rId6" w:history="1">
        <w:r w:rsidRPr="00C23E70">
          <w:rPr>
            <w:rStyle w:val="Hipervnculo"/>
            <w:rFonts w:ascii="Century Gothic" w:hAnsi="Century Gothic"/>
            <w:b/>
            <w:sz w:val="36"/>
            <w:szCs w:val="22"/>
            <w:shd w:val="clear" w:color="auto" w:fill="FFFFFF"/>
          </w:rPr>
          <w:t>recepdemanconstfac@cendoj.ramajudicial.gov.co</w:t>
        </w:r>
      </w:hyperlink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jc w:val="both"/>
        <w:rPr>
          <w:rFonts w:ascii="Century Gothic" w:hAnsi="Century Gothic"/>
          <w:color w:val="000000"/>
          <w:sz w:val="40"/>
          <w:szCs w:val="22"/>
        </w:rPr>
      </w:pPr>
    </w:p>
    <w:p w:rsidR="00C23E70" w:rsidRPr="00C23E70" w:rsidRDefault="00C23E70" w:rsidP="00C23E70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</w:pPr>
      <w:r w:rsidRPr="00C23E70"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  <w:t xml:space="preserve">La atención será VIRTUAL únicamente se recibirán en el horario hábil de 08:00 a.m. a 1:00 p.m. y de 2:00 a 05:00 </w:t>
      </w:r>
      <w:proofErr w:type="spellStart"/>
      <w:r w:rsidRPr="00C23E70"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  <w:t>p.m</w:t>
      </w:r>
      <w:proofErr w:type="spellEnd"/>
      <w:r w:rsidRPr="00C23E70">
        <w:rPr>
          <w:rFonts w:ascii="Century Gothic" w:hAnsi="Century Gothic"/>
          <w:color w:val="000000"/>
          <w:sz w:val="40"/>
          <w:szCs w:val="22"/>
          <w:bdr w:val="none" w:sz="0" w:space="0" w:color="auto" w:frame="1"/>
        </w:rPr>
        <w:t xml:space="preserve">; todo envío realizado por fuera de este horario, se entenderá radicado en la primera hora hábil siguiente. </w:t>
      </w:r>
    </w:p>
    <w:p w:rsidR="00C23E70" w:rsidRDefault="00C23E70"/>
    <w:p w:rsidR="00C23E70" w:rsidRDefault="00C23E70"/>
    <w:sectPr w:rsidR="00C23E70" w:rsidSect="00C23E70">
      <w:pgSz w:w="18720" w:h="12240" w:orient="landscape" w:code="14"/>
      <w:pgMar w:top="1701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70"/>
    <w:rsid w:val="007A0909"/>
    <w:rsid w:val="00C23E70"/>
    <w:rsid w:val="00F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AE45"/>
  <w15:chartTrackingRefBased/>
  <w15:docId w15:val="{B22FDB46-EAA8-40D4-8287-0CE05C73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3E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epdemanconstfac@cendoj.ramajudicial.gov.co" TargetMode="External"/><Relationship Id="rId5" Type="http://schemas.openxmlformats.org/officeDocument/2006/relationships/hyperlink" Target="mailto:recepdemandordinafac@cendoj.ramajudicial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42F7-01CB-4D7B-B50D-85BEDBAE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2020-07-01T15:23:00Z</cp:lastPrinted>
  <dcterms:created xsi:type="dcterms:W3CDTF">2020-07-01T15:21:00Z</dcterms:created>
  <dcterms:modified xsi:type="dcterms:W3CDTF">2020-07-01T15:26:00Z</dcterms:modified>
</cp:coreProperties>
</file>