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292F5E" w:rsidRDefault="001F7CD7" w:rsidP="00D1105A">
      <w:pPr>
        <w:spacing w:after="0" w:line="360" w:lineRule="auto"/>
        <w:jc w:val="both"/>
        <w:rPr>
          <w:rFonts w:ascii="Arial" w:hAnsi="Arial" w:cs="Arial"/>
          <w:color w:val="000000" w:themeColor="text1"/>
        </w:rPr>
      </w:pPr>
    </w:p>
    <w:p w14:paraId="4F812FF2" w14:textId="36B1386C" w:rsidR="00D1105A" w:rsidRPr="00292F5E" w:rsidRDefault="00D1105A" w:rsidP="00D1105A">
      <w:pPr>
        <w:spacing w:after="0" w:line="360" w:lineRule="auto"/>
        <w:jc w:val="both"/>
        <w:rPr>
          <w:rFonts w:ascii="Arial" w:hAnsi="Arial" w:cs="Arial"/>
          <w:color w:val="000000" w:themeColor="text1"/>
          <w:sz w:val="24"/>
          <w:szCs w:val="24"/>
        </w:rPr>
      </w:pPr>
      <w:r w:rsidRPr="00292F5E">
        <w:rPr>
          <w:rFonts w:ascii="Arial" w:hAnsi="Arial" w:cs="Arial"/>
          <w:color w:val="000000" w:themeColor="text1"/>
          <w:sz w:val="24"/>
          <w:szCs w:val="24"/>
        </w:rPr>
        <w:t xml:space="preserve">Bogotá D.C., </w:t>
      </w:r>
      <w:r w:rsidR="00804463">
        <w:rPr>
          <w:rFonts w:ascii="Arial" w:hAnsi="Arial" w:cs="Arial"/>
          <w:color w:val="000000" w:themeColor="text1"/>
          <w:sz w:val="24"/>
          <w:szCs w:val="24"/>
        </w:rPr>
        <w:t>seis</w:t>
      </w:r>
      <w:r w:rsidR="00733F6C" w:rsidRPr="00292F5E">
        <w:rPr>
          <w:rFonts w:ascii="Arial" w:hAnsi="Arial" w:cs="Arial"/>
          <w:color w:val="000000" w:themeColor="text1"/>
          <w:sz w:val="24"/>
          <w:szCs w:val="24"/>
        </w:rPr>
        <w:t xml:space="preserve"> </w:t>
      </w:r>
      <w:r w:rsidRPr="00292F5E">
        <w:rPr>
          <w:rFonts w:ascii="Arial" w:hAnsi="Arial" w:cs="Arial"/>
          <w:color w:val="000000" w:themeColor="text1"/>
          <w:sz w:val="24"/>
          <w:szCs w:val="24"/>
        </w:rPr>
        <w:t>(</w:t>
      </w:r>
      <w:r w:rsidR="00804463">
        <w:rPr>
          <w:rFonts w:ascii="Arial" w:hAnsi="Arial" w:cs="Arial"/>
          <w:color w:val="000000" w:themeColor="text1"/>
          <w:sz w:val="24"/>
          <w:szCs w:val="24"/>
        </w:rPr>
        <w:t>06</w:t>
      </w:r>
      <w:r w:rsidRPr="00292F5E">
        <w:rPr>
          <w:rFonts w:ascii="Arial" w:hAnsi="Arial" w:cs="Arial"/>
          <w:color w:val="000000" w:themeColor="text1"/>
          <w:sz w:val="24"/>
          <w:szCs w:val="24"/>
        </w:rPr>
        <w:t xml:space="preserve">) de </w:t>
      </w:r>
      <w:r w:rsidR="00804463">
        <w:rPr>
          <w:rFonts w:ascii="Arial" w:hAnsi="Arial" w:cs="Arial"/>
          <w:color w:val="000000" w:themeColor="text1"/>
          <w:sz w:val="24"/>
          <w:szCs w:val="24"/>
        </w:rPr>
        <w:t>noviembre</w:t>
      </w:r>
      <w:r w:rsidRPr="00292F5E">
        <w:rPr>
          <w:rFonts w:ascii="Arial" w:hAnsi="Arial" w:cs="Arial"/>
          <w:color w:val="000000" w:themeColor="text1"/>
          <w:sz w:val="24"/>
          <w:szCs w:val="24"/>
        </w:rPr>
        <w:t xml:space="preserve"> de dos mil veinte (2020) </w:t>
      </w:r>
    </w:p>
    <w:p w14:paraId="2A192BF6" w14:textId="77777777" w:rsidR="00D1105A" w:rsidRPr="00292F5E" w:rsidRDefault="00D1105A" w:rsidP="000A5F27">
      <w:pPr>
        <w:spacing w:after="0" w:line="360" w:lineRule="auto"/>
        <w:jc w:val="both"/>
        <w:rPr>
          <w:rFonts w:ascii="Arial" w:hAnsi="Arial" w:cs="Arial"/>
          <w:color w:val="000000" w:themeColor="text1"/>
          <w:szCs w:val="24"/>
        </w:rPr>
      </w:pPr>
    </w:p>
    <w:p w14:paraId="22B83610" w14:textId="44ACF767" w:rsidR="00D1105A" w:rsidRPr="00292F5E" w:rsidRDefault="00D1105A" w:rsidP="000A5F27">
      <w:pPr>
        <w:spacing w:after="0"/>
        <w:jc w:val="both"/>
        <w:rPr>
          <w:rFonts w:ascii="Arial" w:hAnsi="Arial" w:cs="Arial"/>
          <w:b/>
          <w:color w:val="000000" w:themeColor="text1"/>
          <w:sz w:val="24"/>
          <w:szCs w:val="24"/>
        </w:rPr>
      </w:pPr>
      <w:r w:rsidRPr="00292F5E">
        <w:rPr>
          <w:rFonts w:ascii="Arial" w:hAnsi="Arial" w:cs="Arial"/>
          <w:b/>
          <w:color w:val="000000" w:themeColor="text1"/>
          <w:sz w:val="24"/>
          <w:szCs w:val="24"/>
        </w:rPr>
        <w:t>Radicación: 11001-03-15-000-2020-0</w:t>
      </w:r>
      <w:r w:rsidR="002809E4">
        <w:rPr>
          <w:rFonts w:ascii="Arial" w:hAnsi="Arial" w:cs="Arial"/>
          <w:b/>
          <w:color w:val="000000" w:themeColor="text1"/>
          <w:sz w:val="24"/>
          <w:szCs w:val="24"/>
        </w:rPr>
        <w:t>4585</w:t>
      </w:r>
      <w:r w:rsidRPr="00292F5E">
        <w:rPr>
          <w:rFonts w:ascii="Arial" w:hAnsi="Arial" w:cs="Arial"/>
          <w:b/>
          <w:color w:val="000000" w:themeColor="text1"/>
          <w:sz w:val="24"/>
          <w:szCs w:val="24"/>
        </w:rPr>
        <w:t>-00</w:t>
      </w:r>
    </w:p>
    <w:p w14:paraId="0FFED869" w14:textId="3A7BD983" w:rsidR="00D1105A" w:rsidRPr="00292F5E" w:rsidRDefault="00D1105A" w:rsidP="000A5F27">
      <w:pPr>
        <w:spacing w:after="0"/>
        <w:jc w:val="both"/>
        <w:rPr>
          <w:rFonts w:ascii="Arial" w:hAnsi="Arial" w:cs="Arial"/>
          <w:color w:val="000000" w:themeColor="text1"/>
          <w:sz w:val="24"/>
          <w:szCs w:val="24"/>
        </w:rPr>
      </w:pPr>
      <w:r w:rsidRPr="00292F5E">
        <w:rPr>
          <w:rFonts w:ascii="Arial" w:hAnsi="Arial" w:cs="Arial"/>
          <w:b/>
          <w:color w:val="000000" w:themeColor="text1"/>
          <w:sz w:val="24"/>
          <w:szCs w:val="24"/>
        </w:rPr>
        <w:t>A</w:t>
      </w:r>
      <w:r w:rsidR="003E32B0">
        <w:rPr>
          <w:rFonts w:ascii="Arial" w:hAnsi="Arial" w:cs="Arial"/>
          <w:b/>
          <w:color w:val="000000" w:themeColor="text1"/>
          <w:sz w:val="24"/>
          <w:szCs w:val="24"/>
        </w:rPr>
        <w:t>ccionante</w:t>
      </w:r>
      <w:r w:rsidRPr="00292F5E">
        <w:rPr>
          <w:rFonts w:ascii="Arial" w:hAnsi="Arial" w:cs="Arial"/>
          <w:b/>
          <w:color w:val="000000" w:themeColor="text1"/>
          <w:sz w:val="24"/>
          <w:szCs w:val="24"/>
        </w:rPr>
        <w:t xml:space="preserve">: </w:t>
      </w:r>
      <w:r w:rsidR="002809E4">
        <w:rPr>
          <w:rFonts w:ascii="Arial" w:hAnsi="Arial" w:cs="Arial"/>
          <w:color w:val="000000" w:themeColor="text1"/>
          <w:sz w:val="24"/>
          <w:szCs w:val="24"/>
        </w:rPr>
        <w:t>Nelly Yolanda Villamizar de Peñaranda</w:t>
      </w:r>
    </w:p>
    <w:p w14:paraId="3EC0EA65" w14:textId="51184407" w:rsidR="00D1105A" w:rsidRPr="00292F5E" w:rsidRDefault="003E32B0" w:rsidP="000A5F27">
      <w:pPr>
        <w:pStyle w:val="Sangradetextonormal"/>
        <w:tabs>
          <w:tab w:val="left" w:pos="3810"/>
        </w:tabs>
        <w:spacing w:after="0" w:line="276" w:lineRule="auto"/>
        <w:ind w:left="0"/>
        <w:jc w:val="both"/>
        <w:rPr>
          <w:rFonts w:ascii="Arial" w:hAnsi="Arial" w:cs="Arial"/>
          <w:bCs/>
          <w:color w:val="000000" w:themeColor="text1"/>
          <w:lang w:val="es-CO"/>
        </w:rPr>
      </w:pPr>
      <w:r>
        <w:rPr>
          <w:rFonts w:ascii="Arial" w:hAnsi="Arial" w:cs="Arial"/>
          <w:b/>
          <w:color w:val="000000" w:themeColor="text1"/>
        </w:rPr>
        <w:t>Accionado</w:t>
      </w:r>
      <w:r w:rsidR="00D1105A" w:rsidRPr="00292F5E">
        <w:rPr>
          <w:rFonts w:ascii="Arial" w:hAnsi="Arial" w:cs="Arial"/>
          <w:b/>
          <w:color w:val="000000" w:themeColor="text1"/>
        </w:rPr>
        <w:t>:</w:t>
      </w:r>
      <w:r w:rsidR="00D1105A" w:rsidRPr="00292F5E">
        <w:rPr>
          <w:rFonts w:ascii="Arial" w:hAnsi="Arial" w:cs="Arial"/>
          <w:b/>
          <w:color w:val="000000" w:themeColor="text1"/>
          <w:lang w:val="es-CO"/>
        </w:rPr>
        <w:t xml:space="preserve"> </w:t>
      </w:r>
      <w:r w:rsidR="002809E4">
        <w:rPr>
          <w:rFonts w:ascii="Arial" w:hAnsi="Arial" w:cs="Arial"/>
          <w:bCs/>
          <w:color w:val="000000" w:themeColor="text1"/>
          <w:lang w:val="es-CO"/>
        </w:rPr>
        <w:t>Consejo Superior de la Judicatura</w:t>
      </w:r>
    </w:p>
    <w:p w14:paraId="5A780538" w14:textId="57C64C0A" w:rsidR="005D5E5A" w:rsidRPr="00827516" w:rsidRDefault="005D5E5A" w:rsidP="005D5E5A">
      <w:pPr>
        <w:pStyle w:val="Sinespaciado"/>
        <w:spacing w:line="276" w:lineRule="auto"/>
        <w:ind w:right="50"/>
        <w:jc w:val="both"/>
        <w:rPr>
          <w:rFonts w:ascii="Arial" w:hAnsi="Arial" w:cs="Arial"/>
          <w:b/>
        </w:rPr>
      </w:pPr>
      <w:r w:rsidRPr="00827516">
        <w:rPr>
          <w:rFonts w:ascii="Arial" w:hAnsi="Arial" w:cs="Arial"/>
          <w:b/>
        </w:rPr>
        <w:t xml:space="preserve">Asunto: </w:t>
      </w:r>
      <w:r w:rsidRPr="00827516">
        <w:rPr>
          <w:rFonts w:ascii="Arial" w:hAnsi="Arial" w:cs="Arial"/>
        </w:rPr>
        <w:t xml:space="preserve">Acción de Tutela – Auto </w:t>
      </w:r>
      <w:r w:rsidR="008E231B">
        <w:rPr>
          <w:rFonts w:ascii="Arial" w:hAnsi="Arial" w:cs="Arial"/>
        </w:rPr>
        <w:t>que admite</w:t>
      </w:r>
      <w:r w:rsidR="00E23CED">
        <w:rPr>
          <w:rFonts w:ascii="Arial" w:hAnsi="Arial" w:cs="Arial"/>
        </w:rPr>
        <w:t xml:space="preserve"> tutela</w:t>
      </w:r>
      <w:r w:rsidR="008E231B">
        <w:rPr>
          <w:rFonts w:ascii="Arial" w:hAnsi="Arial" w:cs="Arial"/>
        </w:rPr>
        <w:t xml:space="preserve"> </w:t>
      </w:r>
      <w:r w:rsidR="00E36422">
        <w:rPr>
          <w:rFonts w:ascii="Arial" w:hAnsi="Arial" w:cs="Arial"/>
        </w:rPr>
        <w:t>y niega me</w:t>
      </w:r>
      <w:r w:rsidR="004D355A">
        <w:rPr>
          <w:rFonts w:ascii="Arial" w:hAnsi="Arial" w:cs="Arial"/>
        </w:rPr>
        <w:t>dida provisional</w:t>
      </w:r>
    </w:p>
    <w:p w14:paraId="496D25D0" w14:textId="77777777" w:rsidR="005D5E5A" w:rsidRPr="000F42F0" w:rsidRDefault="005D5E5A" w:rsidP="005D5E5A">
      <w:pPr>
        <w:pStyle w:val="Sinespaciado"/>
        <w:spacing w:line="360" w:lineRule="auto"/>
        <w:ind w:right="50"/>
        <w:jc w:val="both"/>
        <w:rPr>
          <w:rFonts w:ascii="Arial" w:hAnsi="Arial" w:cs="Arial"/>
          <w:szCs w:val="28"/>
        </w:rPr>
      </w:pPr>
    </w:p>
    <w:p w14:paraId="3CB2787B" w14:textId="7EA350BB" w:rsidR="004E7BD3" w:rsidRPr="004E7BD3" w:rsidRDefault="005D5E5A" w:rsidP="004C553B">
      <w:pPr>
        <w:pStyle w:val="Sinespaciado"/>
        <w:spacing w:line="360" w:lineRule="auto"/>
        <w:ind w:right="50"/>
        <w:jc w:val="both"/>
        <w:rPr>
          <w:rFonts w:ascii="Arial" w:hAnsi="Arial" w:cs="Arial"/>
          <w:lang w:val="es-ES_tradnl"/>
        </w:rPr>
      </w:pPr>
      <w:r w:rsidRPr="004E7BD3">
        <w:rPr>
          <w:rFonts w:ascii="Arial" w:hAnsi="Arial" w:cs="Arial"/>
          <w:bCs/>
        </w:rPr>
        <w:t>El suscrito consejero ponente decide sobre la admisión de la acción de tutela presentada por l</w:t>
      </w:r>
      <w:r w:rsidR="002809E4" w:rsidRPr="004E7BD3">
        <w:rPr>
          <w:rFonts w:ascii="Arial" w:hAnsi="Arial" w:cs="Arial"/>
          <w:bCs/>
        </w:rPr>
        <w:t>a</w:t>
      </w:r>
      <w:r w:rsidRPr="004E7BD3">
        <w:rPr>
          <w:rFonts w:ascii="Arial" w:hAnsi="Arial" w:cs="Arial"/>
          <w:bCs/>
        </w:rPr>
        <w:t xml:space="preserve"> señor</w:t>
      </w:r>
      <w:r w:rsidR="002809E4" w:rsidRPr="004E7BD3">
        <w:rPr>
          <w:rFonts w:ascii="Arial" w:hAnsi="Arial" w:cs="Arial"/>
          <w:bCs/>
        </w:rPr>
        <w:t>a</w:t>
      </w:r>
      <w:r w:rsidRPr="004E7BD3">
        <w:rPr>
          <w:rFonts w:ascii="Arial" w:hAnsi="Arial" w:cs="Arial"/>
          <w:bCs/>
        </w:rPr>
        <w:t xml:space="preserve"> </w:t>
      </w:r>
      <w:r w:rsidR="002809E4" w:rsidRPr="004E7BD3">
        <w:rPr>
          <w:rFonts w:ascii="Arial" w:hAnsi="Arial" w:cs="Arial"/>
          <w:bCs/>
        </w:rPr>
        <w:t>Nelly Yolanda Villamizar de Peñaranda</w:t>
      </w:r>
      <w:r w:rsidRPr="004E7BD3">
        <w:rPr>
          <w:rFonts w:ascii="Arial" w:hAnsi="Arial" w:cs="Arial"/>
          <w:lang w:val="es-ES_tradnl"/>
        </w:rPr>
        <w:t>, en nombre propio</w:t>
      </w:r>
      <w:r w:rsidR="004E7BD3" w:rsidRPr="004E7BD3">
        <w:rPr>
          <w:rFonts w:ascii="Arial" w:hAnsi="Arial" w:cs="Arial"/>
          <w:lang w:val="es-ES_tradnl"/>
        </w:rPr>
        <w:t xml:space="preserve"> y en su calidad de magistrada </w:t>
      </w:r>
      <w:r w:rsidR="00F54AEF">
        <w:rPr>
          <w:rFonts w:ascii="Arial" w:hAnsi="Arial" w:cs="Arial"/>
          <w:lang w:val="es-ES_tradnl"/>
        </w:rPr>
        <w:t>de</w:t>
      </w:r>
      <w:r w:rsidR="004E7BD3" w:rsidRPr="004E7BD3">
        <w:rPr>
          <w:rFonts w:ascii="Arial" w:hAnsi="Arial" w:cs="Arial"/>
          <w:lang w:val="es-ES_tradnl"/>
        </w:rPr>
        <w:t xml:space="preserve"> la Subsección B de la Sección Cuarta del Tribunal Administrativo de Cundinamarca</w:t>
      </w:r>
      <w:r w:rsidR="00F54AEF">
        <w:rPr>
          <w:rStyle w:val="Refdenotaalpie"/>
          <w:rFonts w:ascii="Arial" w:hAnsi="Arial" w:cs="Arial"/>
          <w:lang w:val="es-ES_tradnl"/>
        </w:rPr>
        <w:footnoteReference w:id="1"/>
      </w:r>
      <w:r w:rsidRPr="004E7BD3">
        <w:rPr>
          <w:rFonts w:ascii="Arial" w:hAnsi="Arial" w:cs="Arial"/>
          <w:lang w:val="es-ES_tradnl"/>
        </w:rPr>
        <w:t>, en procura de la protección de sus derechos fundamentales a</w:t>
      </w:r>
      <w:r w:rsidR="004E66E0" w:rsidRPr="004E7BD3">
        <w:rPr>
          <w:rFonts w:ascii="Arial" w:hAnsi="Arial" w:cs="Arial"/>
          <w:lang w:val="es-ES_tradnl"/>
        </w:rPr>
        <w:t xml:space="preserve"> </w:t>
      </w:r>
      <w:r w:rsidRPr="004E7BD3">
        <w:rPr>
          <w:rFonts w:ascii="Arial" w:hAnsi="Arial" w:cs="Arial"/>
          <w:lang w:val="es-ES_tradnl"/>
        </w:rPr>
        <w:t>l</w:t>
      </w:r>
      <w:r w:rsidR="004E66E0" w:rsidRPr="004E7BD3">
        <w:rPr>
          <w:rFonts w:ascii="Arial" w:hAnsi="Arial" w:cs="Arial"/>
          <w:lang w:val="es-ES_tradnl"/>
        </w:rPr>
        <w:t>a</w:t>
      </w:r>
      <w:r w:rsidR="002809E4" w:rsidRPr="004E7BD3">
        <w:rPr>
          <w:rFonts w:ascii="Arial" w:hAnsi="Arial" w:cs="Arial"/>
          <w:lang w:val="es-ES_tradnl"/>
        </w:rPr>
        <w:t xml:space="preserve"> salud, al trabajo y a la</w:t>
      </w:r>
      <w:r w:rsidR="004E66E0" w:rsidRPr="004E7BD3">
        <w:rPr>
          <w:rFonts w:ascii="Arial" w:hAnsi="Arial" w:cs="Arial"/>
          <w:lang w:val="es-ES_tradnl"/>
        </w:rPr>
        <w:t xml:space="preserve"> igualdad</w:t>
      </w:r>
      <w:r w:rsidR="002809E4" w:rsidRPr="004E7BD3">
        <w:rPr>
          <w:rFonts w:ascii="Arial" w:hAnsi="Arial" w:cs="Arial"/>
          <w:lang w:val="es-ES_tradnl"/>
        </w:rPr>
        <w:t>, que estima vulnerados</w:t>
      </w:r>
      <w:r w:rsidRPr="004E7BD3">
        <w:rPr>
          <w:rFonts w:ascii="Arial" w:hAnsi="Arial" w:cs="Arial"/>
          <w:lang w:val="es-ES_tradnl"/>
        </w:rPr>
        <w:t xml:space="preserve"> por </w:t>
      </w:r>
      <w:r w:rsidR="002809E4" w:rsidRPr="004E7BD3">
        <w:rPr>
          <w:rFonts w:ascii="Arial" w:hAnsi="Arial" w:cs="Arial"/>
          <w:lang w:val="es-ES_tradnl"/>
        </w:rPr>
        <w:t>el Consejo Superior de la Judicatura</w:t>
      </w:r>
      <w:r w:rsidR="00526C1A" w:rsidRPr="004E7BD3">
        <w:rPr>
          <w:rFonts w:ascii="Arial" w:hAnsi="Arial" w:cs="Arial"/>
          <w:lang w:val="es-ES_tradnl"/>
        </w:rPr>
        <w:t xml:space="preserve"> </w:t>
      </w:r>
      <w:r w:rsidR="004E7BD3" w:rsidRPr="004E7BD3">
        <w:rPr>
          <w:rFonts w:ascii="Arial" w:hAnsi="Arial" w:cs="Arial"/>
          <w:lang w:val="es-ES_tradnl"/>
        </w:rPr>
        <w:t xml:space="preserve">al no adoptar las medidas </w:t>
      </w:r>
      <w:r w:rsidR="008E231B">
        <w:rPr>
          <w:rFonts w:ascii="Arial" w:hAnsi="Arial" w:cs="Arial"/>
          <w:lang w:val="es-ES_tradnl"/>
        </w:rPr>
        <w:t>necesarias</w:t>
      </w:r>
      <w:r w:rsidR="004E7BD3" w:rsidRPr="004E7BD3">
        <w:rPr>
          <w:rFonts w:ascii="Arial" w:hAnsi="Arial" w:cs="Arial"/>
          <w:lang w:val="es-ES_tradnl"/>
        </w:rPr>
        <w:t xml:space="preserve"> para atender la congestión de su despacho, </w:t>
      </w:r>
      <w:r w:rsidR="00F54AEF">
        <w:rPr>
          <w:rFonts w:ascii="Arial" w:hAnsi="Arial" w:cs="Arial"/>
          <w:lang w:val="es-ES_tradnl"/>
        </w:rPr>
        <w:t xml:space="preserve">pese a las reiteradas peticiones que para ello ha elevado y sin </w:t>
      </w:r>
      <w:r w:rsidR="004E7BD3" w:rsidRPr="004E7BD3">
        <w:rPr>
          <w:rFonts w:ascii="Arial" w:hAnsi="Arial" w:cs="Arial"/>
          <w:lang w:val="es-ES_tradnl"/>
        </w:rPr>
        <w:t>ten</w:t>
      </w:r>
      <w:r w:rsidR="00F54AEF">
        <w:rPr>
          <w:rFonts w:ascii="Arial" w:hAnsi="Arial" w:cs="Arial"/>
          <w:lang w:val="es-ES_tradnl"/>
        </w:rPr>
        <w:t>er</w:t>
      </w:r>
      <w:r w:rsidR="004E7BD3" w:rsidRPr="004E7BD3">
        <w:rPr>
          <w:rFonts w:ascii="Arial" w:hAnsi="Arial" w:cs="Arial"/>
          <w:lang w:val="es-ES_tradnl"/>
        </w:rPr>
        <w:t xml:space="preserve"> en cuenta </w:t>
      </w:r>
      <w:r w:rsidR="004E7BD3" w:rsidRPr="004E7BD3">
        <w:rPr>
          <w:rFonts w:ascii="Arial" w:hAnsi="Arial" w:cs="Arial"/>
          <w:i/>
          <w:iCs/>
          <w:lang w:val="es-ES_tradnl"/>
        </w:rPr>
        <w:t>“</w:t>
      </w:r>
      <w:r w:rsidR="004E7BD3" w:rsidRPr="004E7BD3">
        <w:rPr>
          <w:rFonts w:ascii="Arial" w:hAnsi="Arial" w:cs="Arial"/>
          <w:i/>
          <w:iCs/>
        </w:rPr>
        <w:t>la complejidad de los procesos que tiene a cargo […] y que en [su] caso además se encuentran todas las acciones populares entre ellas las del r</w:t>
      </w:r>
      <w:r w:rsidR="00295B60">
        <w:rPr>
          <w:rFonts w:ascii="Arial" w:hAnsi="Arial" w:cs="Arial"/>
          <w:i/>
          <w:iCs/>
        </w:rPr>
        <w:t>[í]</w:t>
      </w:r>
      <w:r w:rsidR="004E7BD3" w:rsidRPr="004E7BD3">
        <w:rPr>
          <w:rFonts w:ascii="Arial" w:hAnsi="Arial" w:cs="Arial"/>
          <w:i/>
          <w:iCs/>
        </w:rPr>
        <w:t>o</w:t>
      </w:r>
      <w:r w:rsidR="00295B60">
        <w:rPr>
          <w:rFonts w:ascii="Arial" w:hAnsi="Arial" w:cs="Arial"/>
          <w:i/>
          <w:iCs/>
        </w:rPr>
        <w:t xml:space="preserve"> </w:t>
      </w:r>
      <w:r w:rsidR="004E7BD3" w:rsidRPr="004E7BD3">
        <w:rPr>
          <w:rFonts w:ascii="Arial" w:hAnsi="Arial" w:cs="Arial"/>
          <w:i/>
          <w:iCs/>
        </w:rPr>
        <w:t>Bogotá cuyo seguimiento [debe] realizar al haber proferido como juez a quo la sentencia de primera instancia.”</w:t>
      </w:r>
      <w:r w:rsidR="004E7BD3" w:rsidRPr="00295B60">
        <w:rPr>
          <w:rStyle w:val="Refdenotaalpie"/>
          <w:rFonts w:ascii="Arial" w:hAnsi="Arial" w:cs="Arial"/>
        </w:rPr>
        <w:footnoteReference w:id="2"/>
      </w:r>
      <w:r w:rsidR="004E7BD3" w:rsidRPr="00295B60">
        <w:rPr>
          <w:rFonts w:ascii="Arial" w:hAnsi="Arial" w:cs="Arial"/>
        </w:rPr>
        <w:t>.</w:t>
      </w:r>
    </w:p>
    <w:p w14:paraId="56CD16C1" w14:textId="77777777" w:rsidR="005D5E5A" w:rsidRPr="000F42F0" w:rsidRDefault="005D5E5A" w:rsidP="005D5E5A">
      <w:pPr>
        <w:spacing w:after="0" w:line="360" w:lineRule="auto"/>
        <w:ind w:right="50"/>
        <w:jc w:val="both"/>
        <w:rPr>
          <w:rFonts w:ascii="Arial" w:eastAsia="Times New Roman" w:hAnsi="Arial" w:cs="Arial"/>
          <w:sz w:val="24"/>
          <w:szCs w:val="24"/>
          <w:lang w:eastAsia="es-ES"/>
        </w:rPr>
      </w:pPr>
    </w:p>
    <w:p w14:paraId="14EEDCD5" w14:textId="77777777"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 de la Constitución</w:t>
      </w:r>
      <w:r>
        <w:rPr>
          <w:rFonts w:ascii="Arial" w:hAnsi="Arial" w:cs="Arial"/>
          <w:sz w:val="24"/>
          <w:szCs w:val="24"/>
          <w:vertAlign w:val="superscript"/>
        </w:rPr>
        <w:footnoteReference w:id="3"/>
      </w:r>
      <w:r>
        <w:rPr>
          <w:rFonts w:ascii="Arial" w:hAnsi="Arial" w:cs="Arial"/>
          <w:sz w:val="24"/>
          <w:szCs w:val="24"/>
        </w:rPr>
        <w:t>, 37</w:t>
      </w:r>
      <w:r>
        <w:rPr>
          <w:rFonts w:ascii="Arial" w:hAnsi="Arial" w:cs="Arial"/>
          <w:sz w:val="24"/>
          <w:szCs w:val="24"/>
          <w:vertAlign w:val="superscript"/>
        </w:rPr>
        <w:footnoteReference w:id="4"/>
      </w:r>
      <w:r>
        <w:rPr>
          <w:rFonts w:ascii="Arial" w:hAnsi="Arial" w:cs="Arial"/>
          <w:sz w:val="24"/>
          <w:szCs w:val="24"/>
        </w:rPr>
        <w:t xml:space="preserve"> del Decreto Ley 2591 de 1991 y 13</w:t>
      </w:r>
      <w:r>
        <w:rPr>
          <w:rStyle w:val="Refdenotaalpie"/>
          <w:rFonts w:ascii="Arial" w:hAnsi="Arial" w:cs="Arial"/>
          <w:sz w:val="24"/>
          <w:szCs w:val="24"/>
        </w:rPr>
        <w:footnoteReference w:id="5"/>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2A9A8E61" w14:textId="77777777" w:rsidR="005D5E5A" w:rsidRDefault="005D5E5A" w:rsidP="005D5E5A">
      <w:pPr>
        <w:spacing w:after="0" w:line="360" w:lineRule="auto"/>
        <w:ind w:right="50"/>
        <w:contextualSpacing/>
        <w:jc w:val="both"/>
        <w:rPr>
          <w:rFonts w:ascii="Arial" w:eastAsia="Times New Roman" w:hAnsi="Arial" w:cs="Arial"/>
          <w:color w:val="000000"/>
          <w:sz w:val="24"/>
          <w:szCs w:val="24"/>
          <w:lang w:eastAsia="es-ES"/>
        </w:rPr>
      </w:pPr>
    </w:p>
    <w:p w14:paraId="1F0DF36D" w14:textId="33AA5598" w:rsidR="000A07A7" w:rsidRDefault="005D5E5A" w:rsidP="00731A14">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w:t>
      </w:r>
      <w:r w:rsidRPr="000A1ABE">
        <w:rPr>
          <w:rFonts w:ascii="Arial" w:eastAsia="Times New Roman" w:hAnsi="Arial" w:cs="Arial"/>
          <w:color w:val="000000"/>
          <w:sz w:val="24"/>
          <w:szCs w:val="24"/>
          <w:lang w:eastAsia="es-ES"/>
        </w:rPr>
        <w:lastRenderedPageBreak/>
        <w:t>interpuesta por</w:t>
      </w:r>
      <w:r>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Nelly Yolanda Villamizar de Peñaranda</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F54AEF">
        <w:rPr>
          <w:rFonts w:ascii="Arial" w:eastAsia="Times New Roman" w:hAnsi="Arial" w:cs="Arial"/>
          <w:color w:val="000000"/>
          <w:sz w:val="24"/>
          <w:szCs w:val="24"/>
          <w:lang w:eastAsia="es-ES"/>
        </w:rPr>
        <w:t>l</w:t>
      </w:r>
      <w:r>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Consejo Superior de la Judicatura</w:t>
      </w:r>
      <w:r w:rsidR="000A07A7">
        <w:rPr>
          <w:rFonts w:ascii="Arial" w:eastAsia="Times New Roman" w:hAnsi="Arial" w:cs="Arial"/>
          <w:color w:val="000000"/>
          <w:sz w:val="24"/>
          <w:szCs w:val="24"/>
          <w:lang w:eastAsia="es-ES"/>
        </w:rPr>
        <w:t>.</w:t>
      </w:r>
    </w:p>
    <w:p w14:paraId="5178DDD2" w14:textId="24E2A086" w:rsidR="000A07A7" w:rsidRDefault="000A07A7" w:rsidP="00731A14">
      <w:pPr>
        <w:spacing w:after="0" w:line="360" w:lineRule="auto"/>
        <w:ind w:right="51"/>
        <w:contextualSpacing/>
        <w:jc w:val="both"/>
        <w:rPr>
          <w:rFonts w:ascii="Arial" w:eastAsia="Times New Roman" w:hAnsi="Arial" w:cs="Arial"/>
          <w:color w:val="000000"/>
          <w:sz w:val="24"/>
          <w:szCs w:val="24"/>
          <w:lang w:eastAsia="es-ES"/>
        </w:rPr>
      </w:pPr>
    </w:p>
    <w:p w14:paraId="06081E6B" w14:textId="16DE12CC" w:rsidR="00E36422" w:rsidRPr="00E36422" w:rsidRDefault="000A07A7" w:rsidP="00E36422">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Por otra parte, teniendo en cuenta que l</w:t>
      </w:r>
      <w:r w:rsidR="00F54AEF">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accionante solicita que</w:t>
      </w:r>
      <w:r w:rsidR="00F54AEF">
        <w:rPr>
          <w:rFonts w:ascii="Arial" w:eastAsia="Times New Roman" w:hAnsi="Arial" w:cs="Arial"/>
          <w:color w:val="000000"/>
          <w:sz w:val="24"/>
          <w:szCs w:val="24"/>
          <w:lang w:eastAsia="es-ES"/>
        </w:rPr>
        <w:t xml:space="preserve"> se decrete como medida provisional la adición del Acuerdo </w:t>
      </w:r>
      <w:r w:rsidR="00F54AEF" w:rsidRPr="00F54AEF">
        <w:rPr>
          <w:rFonts w:ascii="Arial" w:eastAsia="Times New Roman" w:hAnsi="Arial" w:cs="Arial"/>
          <w:color w:val="000000"/>
          <w:sz w:val="24"/>
          <w:szCs w:val="24"/>
          <w:lang w:eastAsia="es-ES"/>
        </w:rPr>
        <w:t>PCSJA20-11650 de</w:t>
      </w:r>
      <w:r w:rsidR="000D5355">
        <w:rPr>
          <w:rFonts w:ascii="Arial" w:eastAsia="Times New Roman" w:hAnsi="Arial" w:cs="Arial"/>
          <w:color w:val="000000"/>
          <w:sz w:val="24"/>
          <w:szCs w:val="24"/>
          <w:lang w:eastAsia="es-ES"/>
        </w:rPr>
        <w:t>l</w:t>
      </w:r>
      <w:r w:rsidR="00F54AEF" w:rsidRPr="00F54AEF">
        <w:rPr>
          <w:rFonts w:ascii="Arial" w:eastAsia="Times New Roman" w:hAnsi="Arial" w:cs="Arial"/>
          <w:color w:val="000000"/>
          <w:sz w:val="24"/>
          <w:szCs w:val="24"/>
          <w:lang w:eastAsia="es-ES"/>
        </w:rPr>
        <w:t xml:space="preserve"> 28 de octubre</w:t>
      </w:r>
      <w:r w:rsidR="00F54AEF">
        <w:rPr>
          <w:rFonts w:ascii="Arial" w:eastAsia="Times New Roman" w:hAnsi="Arial" w:cs="Arial"/>
          <w:color w:val="000000"/>
          <w:sz w:val="24"/>
          <w:szCs w:val="24"/>
          <w:lang w:eastAsia="es-ES"/>
        </w:rPr>
        <w:t xml:space="preserve"> </w:t>
      </w:r>
      <w:r w:rsidR="00F54AEF" w:rsidRPr="00F54AEF">
        <w:rPr>
          <w:rFonts w:ascii="Arial" w:eastAsia="Times New Roman" w:hAnsi="Arial" w:cs="Arial"/>
          <w:color w:val="000000"/>
          <w:sz w:val="24"/>
          <w:szCs w:val="24"/>
          <w:lang w:eastAsia="es-ES"/>
        </w:rPr>
        <w:t>de 2020</w:t>
      </w:r>
      <w:r w:rsidR="000D5355">
        <w:rPr>
          <w:rStyle w:val="Refdenotaalpie"/>
          <w:rFonts w:ascii="Arial" w:eastAsia="Times New Roman" w:hAnsi="Arial" w:cs="Arial"/>
          <w:color w:val="000000"/>
          <w:sz w:val="24"/>
          <w:szCs w:val="24"/>
          <w:lang w:eastAsia="es-ES"/>
        </w:rPr>
        <w:footnoteReference w:id="6"/>
      </w:r>
      <w:r w:rsidR="000D5355">
        <w:rPr>
          <w:rFonts w:ascii="Arial" w:eastAsia="Times New Roman" w:hAnsi="Arial" w:cs="Arial"/>
          <w:color w:val="000000"/>
          <w:sz w:val="24"/>
          <w:szCs w:val="24"/>
          <w:lang w:eastAsia="es-ES"/>
        </w:rPr>
        <w:t xml:space="preserve">, emitido por la autoridad accionada, </w:t>
      </w:r>
      <w:r w:rsidR="00295B60">
        <w:rPr>
          <w:rFonts w:ascii="Arial" w:eastAsia="Times New Roman" w:hAnsi="Arial" w:cs="Arial"/>
          <w:color w:val="000000"/>
          <w:sz w:val="24"/>
          <w:szCs w:val="24"/>
          <w:lang w:eastAsia="es-ES"/>
        </w:rPr>
        <w:t xml:space="preserve">con el fin de que se creen </w:t>
      </w:r>
      <w:r w:rsidR="000D5355">
        <w:rPr>
          <w:rFonts w:ascii="Arial" w:eastAsia="Times New Roman" w:hAnsi="Arial" w:cs="Arial"/>
          <w:color w:val="000000"/>
          <w:sz w:val="24"/>
          <w:szCs w:val="24"/>
          <w:lang w:eastAsia="es-ES"/>
        </w:rPr>
        <w:t xml:space="preserve">dos </w:t>
      </w:r>
      <w:r w:rsidR="00F54AEF" w:rsidRPr="00F54AEF">
        <w:rPr>
          <w:rFonts w:ascii="Arial" w:eastAsia="Times New Roman" w:hAnsi="Arial" w:cs="Arial"/>
          <w:color w:val="000000"/>
          <w:sz w:val="24"/>
          <w:szCs w:val="24"/>
          <w:lang w:eastAsia="es-ES"/>
        </w:rPr>
        <w:t xml:space="preserve">cargos en </w:t>
      </w:r>
      <w:r w:rsidR="000D5355">
        <w:rPr>
          <w:rFonts w:ascii="Arial" w:eastAsia="Times New Roman" w:hAnsi="Arial" w:cs="Arial"/>
          <w:color w:val="000000"/>
          <w:sz w:val="24"/>
          <w:szCs w:val="24"/>
          <w:lang w:eastAsia="es-ES"/>
        </w:rPr>
        <w:t>su</w:t>
      </w:r>
      <w:r w:rsidR="00F54AEF" w:rsidRPr="00F54AEF">
        <w:rPr>
          <w:rFonts w:ascii="Arial" w:eastAsia="Times New Roman" w:hAnsi="Arial" w:cs="Arial"/>
          <w:color w:val="000000"/>
          <w:sz w:val="24"/>
          <w:szCs w:val="24"/>
          <w:lang w:eastAsia="es-ES"/>
        </w:rPr>
        <w:t xml:space="preserve"> despacho para descongestionar el trámite de la verificación del</w:t>
      </w:r>
      <w:r w:rsidR="000D5355">
        <w:rPr>
          <w:rFonts w:ascii="Arial" w:eastAsia="Times New Roman" w:hAnsi="Arial" w:cs="Arial"/>
          <w:color w:val="000000"/>
          <w:sz w:val="24"/>
          <w:szCs w:val="24"/>
          <w:lang w:eastAsia="es-ES"/>
        </w:rPr>
        <w:t xml:space="preserve"> cumplimiento de la sentencia de “Descontaminación del Río Bogotá”</w:t>
      </w:r>
      <w:r w:rsidR="007B672F">
        <w:rPr>
          <w:rStyle w:val="Refdenotaalpie"/>
          <w:rFonts w:ascii="Arial" w:eastAsia="Times New Roman" w:hAnsi="Arial" w:cs="Arial"/>
          <w:color w:val="000000"/>
          <w:sz w:val="24"/>
          <w:szCs w:val="24"/>
          <w:lang w:eastAsia="es-ES"/>
        </w:rPr>
        <w:footnoteReference w:id="7"/>
      </w:r>
      <w:r>
        <w:rPr>
          <w:rFonts w:ascii="Arial" w:eastAsia="Times New Roman" w:hAnsi="Arial" w:cs="Arial"/>
          <w:color w:val="000000"/>
          <w:sz w:val="24"/>
          <w:szCs w:val="24"/>
          <w:lang w:eastAsia="es-ES"/>
        </w:rPr>
        <w:t>,</w:t>
      </w:r>
      <w:r w:rsidR="00E36422">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este Despacho</w:t>
      </w:r>
      <w:r w:rsidR="00E36422">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 xml:space="preserve"> </w:t>
      </w:r>
      <w:r w:rsidR="00E36422">
        <w:rPr>
          <w:rFonts w:ascii="Arial" w:eastAsia="Times New Roman" w:hAnsi="Arial" w:cs="Arial"/>
          <w:color w:val="000000"/>
          <w:sz w:val="24"/>
          <w:szCs w:val="24"/>
          <w:lang w:eastAsia="es-ES"/>
        </w:rPr>
        <w:t xml:space="preserve">de conformidad con el artículo </w:t>
      </w:r>
      <w:r w:rsidR="004D355A">
        <w:rPr>
          <w:rFonts w:ascii="Arial" w:eastAsia="Times New Roman" w:hAnsi="Arial" w:cs="Arial"/>
          <w:color w:val="000000"/>
          <w:sz w:val="24"/>
          <w:szCs w:val="24"/>
          <w:lang w:eastAsia="es-ES"/>
        </w:rPr>
        <w:t>7</w:t>
      </w:r>
      <w:r w:rsidR="004D355A">
        <w:rPr>
          <w:rStyle w:val="Refdenotaalpie"/>
          <w:rFonts w:ascii="Arial" w:eastAsia="Times New Roman" w:hAnsi="Arial" w:cs="Arial"/>
          <w:color w:val="000000"/>
          <w:sz w:val="24"/>
          <w:szCs w:val="24"/>
          <w:lang w:eastAsia="es-ES"/>
        </w:rPr>
        <w:footnoteReference w:id="8"/>
      </w:r>
      <w:r w:rsidR="00E36422">
        <w:rPr>
          <w:rFonts w:ascii="Arial" w:eastAsia="Times New Roman" w:hAnsi="Arial" w:cs="Arial"/>
          <w:color w:val="000000"/>
          <w:sz w:val="24"/>
          <w:szCs w:val="24"/>
          <w:lang w:eastAsia="es-ES"/>
        </w:rPr>
        <w:t xml:space="preserve"> del Decreto Ley 2591 de 1991, </w:t>
      </w:r>
      <w:r>
        <w:rPr>
          <w:rFonts w:ascii="Arial" w:eastAsia="Times New Roman" w:hAnsi="Arial" w:cs="Arial"/>
          <w:color w:val="000000"/>
          <w:sz w:val="24"/>
          <w:szCs w:val="24"/>
          <w:lang w:eastAsia="es-ES"/>
        </w:rPr>
        <w:t xml:space="preserve">no encuentra </w:t>
      </w:r>
      <w:r w:rsidR="00E36422">
        <w:rPr>
          <w:rFonts w:ascii="Arial" w:eastAsia="Times New Roman" w:hAnsi="Arial" w:cs="Arial"/>
          <w:color w:val="000000"/>
          <w:sz w:val="24"/>
          <w:szCs w:val="24"/>
          <w:lang w:eastAsia="es-ES"/>
        </w:rPr>
        <w:t xml:space="preserve">acreditada la urgencia de tal </w:t>
      </w:r>
      <w:r w:rsidR="00E23CED">
        <w:rPr>
          <w:rFonts w:ascii="Arial" w:eastAsia="Times New Roman" w:hAnsi="Arial" w:cs="Arial"/>
          <w:color w:val="000000"/>
          <w:sz w:val="24"/>
          <w:szCs w:val="24"/>
          <w:lang w:eastAsia="es-ES"/>
        </w:rPr>
        <w:t>pedido</w:t>
      </w:r>
      <w:r w:rsidR="00E36422">
        <w:rPr>
          <w:rFonts w:ascii="Arial" w:eastAsia="Times New Roman" w:hAnsi="Arial" w:cs="Arial"/>
          <w:color w:val="000000"/>
          <w:sz w:val="24"/>
          <w:szCs w:val="24"/>
          <w:lang w:eastAsia="es-ES"/>
        </w:rPr>
        <w:t xml:space="preserve"> ni logra determinar</w:t>
      </w:r>
      <w:r w:rsidR="00295B60">
        <w:rPr>
          <w:rFonts w:ascii="Arial" w:eastAsia="Times New Roman" w:hAnsi="Arial" w:cs="Arial"/>
          <w:color w:val="000000"/>
          <w:sz w:val="24"/>
          <w:szCs w:val="24"/>
          <w:lang w:eastAsia="es-ES"/>
        </w:rPr>
        <w:t>,</w:t>
      </w:r>
      <w:r w:rsidR="00E36422">
        <w:rPr>
          <w:rFonts w:ascii="Arial" w:eastAsia="Times New Roman" w:hAnsi="Arial" w:cs="Arial"/>
          <w:color w:val="000000"/>
          <w:sz w:val="24"/>
          <w:szCs w:val="24"/>
          <w:lang w:eastAsia="es-ES"/>
        </w:rPr>
        <w:t xml:space="preserve"> </w:t>
      </w:r>
      <w:r w:rsidR="00E36422">
        <w:rPr>
          <w:rFonts w:ascii="Arial" w:eastAsia="Times New Roman" w:hAnsi="Arial" w:cs="Arial"/>
          <w:i/>
          <w:iCs/>
          <w:color w:val="000000"/>
          <w:sz w:val="24"/>
          <w:szCs w:val="24"/>
          <w:lang w:eastAsia="es-ES"/>
        </w:rPr>
        <w:t>prima facie</w:t>
      </w:r>
      <w:r w:rsidR="00295B60">
        <w:rPr>
          <w:rFonts w:ascii="Arial" w:eastAsia="Times New Roman" w:hAnsi="Arial" w:cs="Arial"/>
          <w:i/>
          <w:iCs/>
          <w:color w:val="000000"/>
          <w:sz w:val="24"/>
          <w:szCs w:val="24"/>
          <w:lang w:eastAsia="es-ES"/>
        </w:rPr>
        <w:t>,</w:t>
      </w:r>
      <w:r w:rsidR="00E36422">
        <w:rPr>
          <w:rFonts w:ascii="Arial" w:eastAsia="Times New Roman" w:hAnsi="Arial" w:cs="Arial"/>
          <w:i/>
          <w:iCs/>
          <w:color w:val="000000"/>
          <w:sz w:val="24"/>
          <w:szCs w:val="24"/>
          <w:lang w:eastAsia="es-ES"/>
        </w:rPr>
        <w:t xml:space="preserve"> </w:t>
      </w:r>
      <w:r w:rsidR="00E36422">
        <w:rPr>
          <w:rFonts w:ascii="Arial" w:eastAsia="Times New Roman" w:hAnsi="Arial" w:cs="Arial"/>
          <w:color w:val="000000"/>
          <w:sz w:val="24"/>
          <w:szCs w:val="24"/>
          <w:lang w:eastAsia="es-ES"/>
        </w:rPr>
        <w:t>su necesidad</w:t>
      </w:r>
      <w:r w:rsidR="00295B60">
        <w:rPr>
          <w:rFonts w:ascii="Arial" w:eastAsia="Times New Roman" w:hAnsi="Arial" w:cs="Arial"/>
          <w:color w:val="000000"/>
          <w:sz w:val="24"/>
          <w:szCs w:val="24"/>
          <w:lang w:eastAsia="es-ES"/>
        </w:rPr>
        <w:t xml:space="preserve"> </w:t>
      </w:r>
      <w:r w:rsidR="00E36422">
        <w:rPr>
          <w:rFonts w:ascii="Arial" w:eastAsia="Times New Roman" w:hAnsi="Arial" w:cs="Arial"/>
          <w:color w:val="000000"/>
          <w:sz w:val="24"/>
          <w:szCs w:val="24"/>
          <w:lang w:eastAsia="es-ES"/>
        </w:rPr>
        <w:t>para evitar un perjuicio cierto e irremediable frente a</w:t>
      </w:r>
      <w:r w:rsidR="000D5355">
        <w:rPr>
          <w:rFonts w:ascii="Arial" w:eastAsia="Times New Roman" w:hAnsi="Arial" w:cs="Arial"/>
          <w:color w:val="000000"/>
          <w:sz w:val="24"/>
          <w:szCs w:val="24"/>
          <w:lang w:eastAsia="es-ES"/>
        </w:rPr>
        <w:t xml:space="preserve"> </w:t>
      </w:r>
      <w:r w:rsidR="00E36422">
        <w:rPr>
          <w:rFonts w:ascii="Arial" w:eastAsia="Times New Roman" w:hAnsi="Arial" w:cs="Arial"/>
          <w:color w:val="000000"/>
          <w:sz w:val="24"/>
          <w:szCs w:val="24"/>
          <w:lang w:eastAsia="es-ES"/>
        </w:rPr>
        <w:t>l</w:t>
      </w:r>
      <w:r w:rsidR="000D5355">
        <w:rPr>
          <w:rFonts w:ascii="Arial" w:eastAsia="Times New Roman" w:hAnsi="Arial" w:cs="Arial"/>
          <w:color w:val="000000"/>
          <w:sz w:val="24"/>
          <w:szCs w:val="24"/>
          <w:lang w:eastAsia="es-ES"/>
        </w:rPr>
        <w:t>a</w:t>
      </w:r>
      <w:r w:rsidR="00E36422">
        <w:rPr>
          <w:rFonts w:ascii="Arial" w:eastAsia="Times New Roman" w:hAnsi="Arial" w:cs="Arial"/>
          <w:color w:val="000000"/>
          <w:sz w:val="24"/>
          <w:szCs w:val="24"/>
          <w:lang w:eastAsia="es-ES"/>
        </w:rPr>
        <w:t xml:space="preserve"> tutelante.</w:t>
      </w:r>
      <w:r w:rsidR="00295B60">
        <w:rPr>
          <w:rFonts w:ascii="Arial" w:eastAsia="Times New Roman" w:hAnsi="Arial" w:cs="Arial"/>
          <w:color w:val="000000"/>
          <w:sz w:val="24"/>
          <w:szCs w:val="24"/>
          <w:lang w:eastAsia="es-ES"/>
        </w:rPr>
        <w:t xml:space="preserve"> Además, </w:t>
      </w:r>
      <w:r w:rsidR="00E36422">
        <w:rPr>
          <w:rFonts w:ascii="Arial" w:eastAsia="Times New Roman" w:hAnsi="Arial" w:cs="Arial"/>
          <w:color w:val="000000"/>
          <w:sz w:val="24"/>
          <w:szCs w:val="24"/>
          <w:lang w:eastAsia="es-ES"/>
        </w:rPr>
        <w:t>se requiere contar con mayores elementos de juicio</w:t>
      </w:r>
      <w:r w:rsidR="00E36422" w:rsidRPr="00E36422">
        <w:rPr>
          <w:rFonts w:ascii="Arial" w:eastAsia="Times New Roman" w:hAnsi="Arial" w:cs="Arial"/>
          <w:color w:val="000000"/>
          <w:sz w:val="24"/>
          <w:szCs w:val="24"/>
          <w:lang w:eastAsia="es-ES"/>
        </w:rPr>
        <w:t xml:space="preserve"> para</w:t>
      </w:r>
      <w:r w:rsidR="00E36422">
        <w:rPr>
          <w:rFonts w:ascii="Arial" w:eastAsia="Times New Roman" w:hAnsi="Arial" w:cs="Arial"/>
          <w:color w:val="000000"/>
          <w:sz w:val="24"/>
          <w:szCs w:val="24"/>
          <w:lang w:eastAsia="es-ES"/>
        </w:rPr>
        <w:t xml:space="preserve"> </w:t>
      </w:r>
      <w:r w:rsidR="00E36422" w:rsidRPr="00E36422">
        <w:rPr>
          <w:rFonts w:ascii="Arial" w:eastAsia="Times New Roman" w:hAnsi="Arial" w:cs="Arial"/>
          <w:color w:val="000000"/>
          <w:sz w:val="24"/>
          <w:szCs w:val="24"/>
          <w:lang w:eastAsia="es-ES"/>
        </w:rPr>
        <w:t>analizar y decidir sobre la presunta vulneración</w:t>
      </w:r>
      <w:r w:rsidR="00E36422">
        <w:rPr>
          <w:rFonts w:ascii="Arial" w:eastAsia="Times New Roman" w:hAnsi="Arial" w:cs="Arial"/>
          <w:color w:val="000000"/>
          <w:sz w:val="24"/>
          <w:szCs w:val="24"/>
          <w:lang w:eastAsia="es-ES"/>
        </w:rPr>
        <w:t xml:space="preserve"> </w:t>
      </w:r>
      <w:r w:rsidR="00E36422" w:rsidRPr="00E36422">
        <w:rPr>
          <w:rFonts w:ascii="Arial" w:eastAsia="Times New Roman" w:hAnsi="Arial" w:cs="Arial"/>
          <w:color w:val="000000"/>
          <w:sz w:val="24"/>
          <w:szCs w:val="24"/>
          <w:lang w:eastAsia="es-ES"/>
        </w:rPr>
        <w:t>invocada</w:t>
      </w:r>
      <w:r w:rsidR="00E36422">
        <w:rPr>
          <w:rFonts w:ascii="Arial" w:eastAsia="Times New Roman" w:hAnsi="Arial" w:cs="Arial"/>
          <w:color w:val="000000"/>
          <w:sz w:val="24"/>
          <w:szCs w:val="24"/>
          <w:lang w:eastAsia="es-ES"/>
        </w:rPr>
        <w:t>,</w:t>
      </w:r>
      <w:r w:rsidR="00295B60">
        <w:rPr>
          <w:rFonts w:ascii="Arial" w:eastAsia="Times New Roman" w:hAnsi="Arial" w:cs="Arial"/>
          <w:color w:val="000000"/>
          <w:sz w:val="24"/>
          <w:szCs w:val="24"/>
          <w:lang w:eastAsia="es-ES"/>
        </w:rPr>
        <w:t xml:space="preserve"> de manera que, </w:t>
      </w:r>
      <w:r w:rsidR="00E36422" w:rsidRPr="00E36422">
        <w:rPr>
          <w:rFonts w:ascii="Arial" w:eastAsia="Times New Roman" w:hAnsi="Arial" w:cs="Arial"/>
          <w:color w:val="000000"/>
          <w:sz w:val="24"/>
          <w:szCs w:val="24"/>
          <w:lang w:eastAsia="es-ES"/>
        </w:rPr>
        <w:t xml:space="preserve">la medida provisional </w:t>
      </w:r>
      <w:r w:rsidR="00A0735C">
        <w:rPr>
          <w:rFonts w:ascii="Arial" w:eastAsia="Times New Roman" w:hAnsi="Arial" w:cs="Arial"/>
          <w:color w:val="000000"/>
          <w:sz w:val="24"/>
          <w:szCs w:val="24"/>
          <w:lang w:eastAsia="es-ES"/>
        </w:rPr>
        <w:t>peticionada</w:t>
      </w:r>
      <w:r w:rsidR="00295B60">
        <w:rPr>
          <w:rFonts w:ascii="Arial" w:eastAsia="Times New Roman" w:hAnsi="Arial" w:cs="Arial"/>
          <w:color w:val="000000"/>
          <w:sz w:val="24"/>
          <w:szCs w:val="24"/>
          <w:lang w:eastAsia="es-ES"/>
        </w:rPr>
        <w:t>, será negada.</w:t>
      </w:r>
    </w:p>
    <w:p w14:paraId="44296293" w14:textId="77777777" w:rsidR="000A07A7" w:rsidRDefault="000A07A7" w:rsidP="00731A14">
      <w:pPr>
        <w:spacing w:after="0" w:line="360" w:lineRule="auto"/>
        <w:ind w:right="51"/>
        <w:contextualSpacing/>
        <w:jc w:val="both"/>
        <w:rPr>
          <w:rFonts w:ascii="Arial" w:eastAsia="Times New Roman" w:hAnsi="Arial" w:cs="Arial"/>
          <w:color w:val="000000"/>
          <w:sz w:val="24"/>
          <w:szCs w:val="24"/>
          <w:lang w:eastAsia="es-ES"/>
        </w:rPr>
      </w:pPr>
    </w:p>
    <w:p w14:paraId="0654DF28" w14:textId="49C03CC3" w:rsidR="005D5E5A" w:rsidRPr="00A33BCF" w:rsidRDefault="000A07A7" w:rsidP="00731A14">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mérito de lo expuesto, se</w:t>
      </w:r>
    </w:p>
    <w:p w14:paraId="0101B2B0" w14:textId="77777777" w:rsidR="005D5E5A" w:rsidRDefault="005D5E5A" w:rsidP="00731A14">
      <w:pPr>
        <w:pStyle w:val="Sinespaciado"/>
        <w:spacing w:line="360" w:lineRule="auto"/>
        <w:ind w:right="51"/>
        <w:jc w:val="both"/>
        <w:rPr>
          <w:rFonts w:ascii="Arial" w:eastAsia="BatangChe" w:hAnsi="Arial" w:cs="Arial"/>
          <w:b/>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8B35FF" w:rsidRDefault="005D5E5A" w:rsidP="00731A14">
      <w:pPr>
        <w:pStyle w:val="Sinespaciado"/>
        <w:spacing w:line="360" w:lineRule="auto"/>
        <w:ind w:right="51"/>
        <w:jc w:val="both"/>
        <w:rPr>
          <w:rFonts w:ascii="Arial" w:eastAsia="BatangChe" w:hAnsi="Arial" w:cs="Arial"/>
          <w:b/>
        </w:rPr>
      </w:pPr>
    </w:p>
    <w:p w14:paraId="1307A9D2" w14:textId="1E67009A" w:rsidR="005D5E5A" w:rsidRPr="000A1ABE" w:rsidRDefault="005D5E5A" w:rsidP="00731A14">
      <w:pPr>
        <w:spacing w:after="0" w:line="360" w:lineRule="auto"/>
        <w:ind w:right="51"/>
        <w:contextualSpacing/>
        <w:jc w:val="both"/>
        <w:rPr>
          <w:rFonts w:ascii="Arial" w:hAnsi="Arial" w:cs="Arial"/>
          <w:b/>
          <w:sz w:val="24"/>
          <w:szCs w:val="24"/>
        </w:rPr>
      </w:pPr>
      <w:r w:rsidRPr="000A1ABE">
        <w:rPr>
          <w:rFonts w:ascii="Arial" w:hAnsi="Arial" w:cs="Arial"/>
          <w:b/>
          <w:sz w:val="24"/>
          <w:szCs w:val="24"/>
        </w:rPr>
        <w:t xml:space="preserve">PRIMERO: ADMITIR </w:t>
      </w:r>
      <w:r w:rsidRPr="000A1ABE">
        <w:rPr>
          <w:rFonts w:ascii="Arial" w:hAnsi="Arial" w:cs="Arial"/>
          <w:bCs/>
          <w:sz w:val="24"/>
          <w:szCs w:val="24"/>
        </w:rPr>
        <w:t xml:space="preserve">la acción de tutela promovida por </w:t>
      </w:r>
      <w:r w:rsidR="005A68F1">
        <w:rPr>
          <w:rFonts w:ascii="Arial" w:hAnsi="Arial" w:cs="Arial"/>
          <w:bCs/>
          <w:sz w:val="24"/>
          <w:szCs w:val="24"/>
        </w:rPr>
        <w:t>l</w:t>
      </w:r>
      <w:r w:rsidR="000D5355">
        <w:rPr>
          <w:rFonts w:ascii="Arial" w:hAnsi="Arial" w:cs="Arial"/>
          <w:bCs/>
          <w:sz w:val="24"/>
          <w:szCs w:val="24"/>
        </w:rPr>
        <w:t>a</w:t>
      </w:r>
      <w:r w:rsidR="005A68F1">
        <w:rPr>
          <w:rFonts w:ascii="Arial" w:hAnsi="Arial" w:cs="Arial"/>
          <w:bCs/>
          <w:sz w:val="24"/>
          <w:szCs w:val="24"/>
        </w:rPr>
        <w:t xml:space="preserve"> señor</w:t>
      </w:r>
      <w:r w:rsidR="000D5355">
        <w:rPr>
          <w:rFonts w:ascii="Arial" w:hAnsi="Arial" w:cs="Arial"/>
          <w:bCs/>
          <w:sz w:val="24"/>
          <w:szCs w:val="24"/>
        </w:rPr>
        <w:t>a</w:t>
      </w:r>
      <w:r>
        <w:rPr>
          <w:rFonts w:ascii="Arial" w:hAnsi="Arial" w:cs="Arial"/>
          <w:bCs/>
          <w:sz w:val="24"/>
          <w:szCs w:val="24"/>
        </w:rPr>
        <w:t xml:space="preserve"> </w:t>
      </w:r>
      <w:r w:rsidR="000D5355">
        <w:rPr>
          <w:rFonts w:ascii="Arial" w:eastAsia="Times New Roman" w:hAnsi="Arial" w:cs="Arial"/>
          <w:color w:val="000000"/>
          <w:sz w:val="24"/>
          <w:szCs w:val="24"/>
          <w:lang w:eastAsia="es-ES"/>
        </w:rPr>
        <w:t>Nelly Yolanda Villamizar de Peñaranda</w:t>
      </w:r>
      <w:r w:rsidR="00731A14">
        <w:rPr>
          <w:rFonts w:ascii="Arial" w:eastAsia="Times New Roman" w:hAnsi="Arial" w:cs="Arial"/>
          <w:color w:val="000000"/>
          <w:sz w:val="24"/>
          <w:szCs w:val="24"/>
          <w:lang w:eastAsia="es-ES"/>
        </w:rPr>
        <w:t xml:space="preserve"> </w:t>
      </w:r>
      <w:r w:rsidR="00731A14" w:rsidRPr="000A1ABE">
        <w:rPr>
          <w:rFonts w:ascii="Arial" w:eastAsia="Times New Roman" w:hAnsi="Arial" w:cs="Arial"/>
          <w:color w:val="000000"/>
          <w:sz w:val="24"/>
          <w:szCs w:val="24"/>
          <w:lang w:eastAsia="es-ES"/>
        </w:rPr>
        <w:t>en contra de</w:t>
      </w:r>
      <w:r w:rsidR="000D5355">
        <w:rPr>
          <w:rFonts w:ascii="Arial" w:eastAsia="Times New Roman" w:hAnsi="Arial" w:cs="Arial"/>
          <w:color w:val="000000"/>
          <w:sz w:val="24"/>
          <w:szCs w:val="24"/>
          <w:lang w:eastAsia="es-ES"/>
        </w:rPr>
        <w:t>l</w:t>
      </w:r>
      <w:r w:rsidR="00731A14">
        <w:rPr>
          <w:rFonts w:ascii="Arial" w:eastAsia="Times New Roman" w:hAnsi="Arial" w:cs="Arial"/>
          <w:color w:val="000000"/>
          <w:sz w:val="24"/>
          <w:szCs w:val="24"/>
          <w:lang w:eastAsia="es-ES"/>
        </w:rPr>
        <w:t xml:space="preserve"> </w:t>
      </w:r>
      <w:r w:rsidR="000D5355">
        <w:rPr>
          <w:rFonts w:ascii="Arial" w:eastAsia="Times New Roman" w:hAnsi="Arial" w:cs="Arial"/>
          <w:color w:val="000000"/>
          <w:sz w:val="24"/>
          <w:szCs w:val="24"/>
          <w:lang w:eastAsia="es-ES"/>
        </w:rPr>
        <w:t>Consejo Superior de la Judicatura</w:t>
      </w:r>
      <w:r w:rsidRPr="000A1ABE">
        <w:rPr>
          <w:rFonts w:ascii="Arial" w:hAnsi="Arial" w:cs="Arial"/>
          <w:bCs/>
          <w:sz w:val="24"/>
          <w:szCs w:val="24"/>
        </w:rPr>
        <w:t>.</w:t>
      </w:r>
    </w:p>
    <w:p w14:paraId="280A9B1B" w14:textId="77777777" w:rsidR="005D5E5A" w:rsidRPr="000A1ABE" w:rsidRDefault="005D5E5A" w:rsidP="00731A14">
      <w:pPr>
        <w:spacing w:after="0" w:line="360" w:lineRule="auto"/>
        <w:ind w:right="51"/>
        <w:contextualSpacing/>
        <w:jc w:val="both"/>
        <w:rPr>
          <w:rFonts w:ascii="Arial" w:hAnsi="Arial" w:cs="Arial"/>
          <w:b/>
          <w:sz w:val="24"/>
          <w:szCs w:val="24"/>
        </w:rPr>
      </w:pPr>
    </w:p>
    <w:p w14:paraId="6C8E3EE5" w14:textId="73E865C0" w:rsidR="00CF006E" w:rsidRPr="00731A14" w:rsidRDefault="005D5E5A" w:rsidP="00731A14">
      <w:pPr>
        <w:spacing w:after="0" w:line="360" w:lineRule="auto"/>
        <w:ind w:right="51"/>
        <w:contextualSpacing/>
        <w:jc w:val="both"/>
        <w:rPr>
          <w:rFonts w:ascii="Arial" w:hAnsi="Arial" w:cs="Arial"/>
          <w:bCs/>
          <w:sz w:val="24"/>
          <w:szCs w:val="24"/>
        </w:rPr>
      </w:pPr>
      <w:r w:rsidRPr="00731A14">
        <w:rPr>
          <w:rFonts w:ascii="Arial" w:hAnsi="Arial" w:cs="Arial"/>
          <w:b/>
          <w:sz w:val="24"/>
          <w:szCs w:val="24"/>
        </w:rPr>
        <w:t>SEGUNDO: VINCULAR</w:t>
      </w:r>
      <w:r w:rsidRPr="00731A14">
        <w:rPr>
          <w:rFonts w:ascii="Arial" w:hAnsi="Arial" w:cs="Arial"/>
          <w:bCs/>
          <w:sz w:val="24"/>
          <w:szCs w:val="24"/>
        </w:rPr>
        <w:t>, conforme a lo dispuesto en el artículo 13 del Decreto Ley 2591 de 1991, a</w:t>
      </w:r>
      <w:r w:rsidR="000D5355">
        <w:rPr>
          <w:rFonts w:ascii="Arial" w:hAnsi="Arial" w:cs="Arial"/>
          <w:bCs/>
          <w:sz w:val="24"/>
          <w:szCs w:val="24"/>
        </w:rPr>
        <w:t>l Ministerio del Trabajo y a la Defensoría del Pueblo</w:t>
      </w:r>
      <w:r w:rsidRPr="00731A14">
        <w:rPr>
          <w:rFonts w:ascii="Arial" w:hAnsi="Arial" w:cs="Arial"/>
          <w:bCs/>
          <w:sz w:val="24"/>
          <w:szCs w:val="24"/>
        </w:rPr>
        <w:t>.</w:t>
      </w:r>
      <w:r w:rsidR="00731A14" w:rsidRPr="00731A14">
        <w:rPr>
          <w:rFonts w:ascii="Arial" w:hAnsi="Arial" w:cs="Arial"/>
          <w:bCs/>
          <w:sz w:val="24"/>
          <w:szCs w:val="24"/>
        </w:rPr>
        <w:t xml:space="preserve"> </w:t>
      </w:r>
    </w:p>
    <w:p w14:paraId="5B31FFAD" w14:textId="77777777" w:rsidR="005D5E5A" w:rsidRPr="000A1ABE" w:rsidRDefault="005D5E5A" w:rsidP="005D5E5A">
      <w:pPr>
        <w:spacing w:line="360" w:lineRule="auto"/>
        <w:ind w:right="50"/>
        <w:contextualSpacing/>
        <w:jc w:val="both"/>
        <w:rPr>
          <w:rFonts w:ascii="Arial" w:hAnsi="Arial" w:cs="Arial"/>
          <w:b/>
          <w:sz w:val="24"/>
          <w:szCs w:val="24"/>
        </w:rPr>
      </w:pPr>
    </w:p>
    <w:p w14:paraId="40D05C31" w14:textId="00544855" w:rsidR="004D355A" w:rsidRPr="004D355A" w:rsidRDefault="005D5E5A" w:rsidP="005D5E5A">
      <w:pPr>
        <w:spacing w:line="360" w:lineRule="auto"/>
        <w:ind w:right="50"/>
        <w:contextualSpacing/>
        <w:jc w:val="both"/>
        <w:rPr>
          <w:rFonts w:ascii="Arial" w:hAnsi="Arial" w:cs="Arial"/>
          <w:bCs/>
          <w:sz w:val="24"/>
          <w:szCs w:val="24"/>
        </w:rPr>
      </w:pPr>
      <w:r w:rsidRPr="000A1ABE">
        <w:rPr>
          <w:rFonts w:ascii="Arial" w:hAnsi="Arial" w:cs="Arial"/>
          <w:b/>
          <w:sz w:val="24"/>
          <w:szCs w:val="24"/>
        </w:rPr>
        <w:lastRenderedPageBreak/>
        <w:t xml:space="preserve">TERCERO: </w:t>
      </w:r>
      <w:r w:rsidR="004D355A">
        <w:rPr>
          <w:rFonts w:ascii="Arial" w:hAnsi="Arial" w:cs="Arial"/>
          <w:b/>
          <w:sz w:val="24"/>
          <w:szCs w:val="24"/>
        </w:rPr>
        <w:t xml:space="preserve">NEGAR </w:t>
      </w:r>
      <w:r w:rsidR="004D355A">
        <w:rPr>
          <w:rFonts w:ascii="Arial" w:hAnsi="Arial" w:cs="Arial"/>
          <w:bCs/>
          <w:sz w:val="24"/>
          <w:szCs w:val="24"/>
        </w:rPr>
        <w:t>la medida provisional solicitada.</w:t>
      </w:r>
    </w:p>
    <w:p w14:paraId="4AE3DE28" w14:textId="77777777" w:rsidR="004D355A" w:rsidRDefault="004D355A" w:rsidP="005D5E5A">
      <w:pPr>
        <w:spacing w:line="360" w:lineRule="auto"/>
        <w:ind w:right="50"/>
        <w:contextualSpacing/>
        <w:jc w:val="both"/>
        <w:rPr>
          <w:rFonts w:ascii="Arial" w:hAnsi="Arial" w:cs="Arial"/>
          <w:b/>
          <w:sz w:val="24"/>
          <w:szCs w:val="24"/>
        </w:rPr>
      </w:pPr>
    </w:p>
    <w:p w14:paraId="282A6B69" w14:textId="39426D76" w:rsidR="005D5E5A" w:rsidRPr="000A1ABE" w:rsidRDefault="004D355A" w:rsidP="005D5E5A">
      <w:pPr>
        <w:spacing w:line="360" w:lineRule="auto"/>
        <w:ind w:right="50"/>
        <w:contextualSpacing/>
        <w:jc w:val="both"/>
        <w:rPr>
          <w:rFonts w:ascii="Arial" w:hAnsi="Arial" w:cs="Arial"/>
          <w:b/>
          <w:sz w:val="24"/>
          <w:szCs w:val="24"/>
        </w:rPr>
      </w:pPr>
      <w:r w:rsidRPr="000A1ABE">
        <w:rPr>
          <w:rFonts w:ascii="Arial" w:hAnsi="Arial" w:cs="Arial"/>
          <w:b/>
          <w:sz w:val="24"/>
          <w:szCs w:val="24"/>
        </w:rPr>
        <w:t xml:space="preserve">CUARTO: </w:t>
      </w:r>
      <w:r w:rsidR="005D5E5A" w:rsidRPr="00985C18">
        <w:rPr>
          <w:rFonts w:ascii="Arial" w:hAnsi="Arial" w:cs="Arial"/>
          <w:b/>
          <w:sz w:val="24"/>
          <w:szCs w:val="24"/>
        </w:rPr>
        <w:t>NOTIFICAR</w:t>
      </w:r>
      <w:r w:rsidR="005D5E5A" w:rsidRPr="00A96516">
        <w:rPr>
          <w:rFonts w:ascii="Arial" w:hAnsi="Arial" w:cs="Arial"/>
          <w:bCs/>
          <w:sz w:val="24"/>
          <w:szCs w:val="24"/>
        </w:rPr>
        <w:t xml:space="preserve"> a la autoridad tutelada </w:t>
      </w:r>
      <w:r w:rsidR="00A0735C">
        <w:rPr>
          <w:rFonts w:ascii="Arial" w:hAnsi="Arial" w:cs="Arial"/>
          <w:bCs/>
          <w:sz w:val="24"/>
          <w:szCs w:val="24"/>
        </w:rPr>
        <w:t xml:space="preserve">y a los vinculados, </w:t>
      </w:r>
      <w:r w:rsidR="005D5E5A" w:rsidRPr="00A96516">
        <w:rPr>
          <w:rFonts w:ascii="Arial" w:hAnsi="Arial" w:cs="Arial"/>
          <w:bCs/>
          <w:sz w:val="24"/>
          <w:szCs w:val="24"/>
        </w:rPr>
        <w:t>mediante oficio, para que dentro del término de dos (2) días contados a partir de su recibo ejerza</w:t>
      </w:r>
      <w:r w:rsidR="00A0735C">
        <w:rPr>
          <w:rFonts w:ascii="Arial" w:hAnsi="Arial" w:cs="Arial"/>
          <w:bCs/>
          <w:sz w:val="24"/>
          <w:szCs w:val="24"/>
        </w:rPr>
        <w:t>n</w:t>
      </w:r>
      <w:r w:rsidR="005D5E5A" w:rsidRPr="00A96516">
        <w:rPr>
          <w:rFonts w:ascii="Arial" w:hAnsi="Arial" w:cs="Arial"/>
          <w:bCs/>
          <w:sz w:val="24"/>
          <w:szCs w:val="24"/>
        </w:rPr>
        <w:t xml:space="preserve"> su derecho de defensa</w:t>
      </w:r>
      <w:r w:rsidR="00731A14">
        <w:rPr>
          <w:rFonts w:ascii="Arial" w:hAnsi="Arial" w:cs="Arial"/>
          <w:bCs/>
          <w:sz w:val="24"/>
          <w:szCs w:val="24"/>
        </w:rPr>
        <w:t>.</w:t>
      </w:r>
    </w:p>
    <w:p w14:paraId="7E6773A2" w14:textId="77777777" w:rsidR="005D5E5A" w:rsidRPr="000A1ABE" w:rsidRDefault="005D5E5A" w:rsidP="005D5E5A">
      <w:pPr>
        <w:spacing w:line="360" w:lineRule="auto"/>
        <w:ind w:right="50"/>
        <w:contextualSpacing/>
        <w:jc w:val="both"/>
        <w:rPr>
          <w:rFonts w:ascii="Arial" w:hAnsi="Arial" w:cs="Arial"/>
          <w:b/>
          <w:sz w:val="24"/>
          <w:szCs w:val="24"/>
        </w:rPr>
      </w:pPr>
    </w:p>
    <w:p w14:paraId="45239DFC" w14:textId="4EE0D072" w:rsidR="005D5E5A" w:rsidRPr="000A1ABE" w:rsidRDefault="004D355A" w:rsidP="005D5E5A">
      <w:pPr>
        <w:spacing w:line="360" w:lineRule="auto"/>
        <w:ind w:right="50"/>
        <w:contextualSpacing/>
        <w:jc w:val="both"/>
        <w:rPr>
          <w:rFonts w:ascii="Arial" w:hAnsi="Arial" w:cs="Arial"/>
          <w:b/>
          <w:sz w:val="24"/>
          <w:szCs w:val="24"/>
        </w:rPr>
      </w:pPr>
      <w:r w:rsidRPr="000A1ABE">
        <w:rPr>
          <w:rFonts w:ascii="Arial" w:hAnsi="Arial" w:cs="Arial"/>
          <w:b/>
          <w:sz w:val="24"/>
          <w:szCs w:val="24"/>
        </w:rPr>
        <w:t xml:space="preserve">QUINTO: </w:t>
      </w:r>
      <w:r w:rsidR="005D5647">
        <w:rPr>
          <w:rFonts w:ascii="Arial" w:hAnsi="Arial" w:cs="Arial"/>
          <w:b/>
          <w:sz w:val="24"/>
          <w:szCs w:val="24"/>
        </w:rPr>
        <w:t>PUBLICAR</w:t>
      </w:r>
      <w:r w:rsidR="005D5E5A" w:rsidRPr="00A96516">
        <w:rPr>
          <w:rFonts w:ascii="Arial" w:hAnsi="Arial" w:cs="Arial"/>
          <w:bCs/>
          <w:sz w:val="24"/>
          <w:szCs w:val="24"/>
        </w:rPr>
        <w:t xml:space="preserve"> la presente en la página web del Consejo de Estado</w:t>
      </w:r>
      <w:r w:rsidR="005D5E5A">
        <w:rPr>
          <w:rFonts w:ascii="Arial" w:hAnsi="Arial" w:cs="Arial"/>
          <w:bCs/>
          <w:sz w:val="24"/>
          <w:szCs w:val="24"/>
        </w:rPr>
        <w:t xml:space="preserve"> y</w:t>
      </w:r>
      <w:r w:rsidR="005D5E5A" w:rsidRPr="00A96516">
        <w:rPr>
          <w:rFonts w:ascii="Arial" w:hAnsi="Arial" w:cs="Arial"/>
          <w:bCs/>
          <w:sz w:val="24"/>
          <w:szCs w:val="24"/>
        </w:rPr>
        <w:t xml:space="preserve"> de la Rama Judicial</w:t>
      </w:r>
      <w:r w:rsidR="005D5E5A">
        <w:rPr>
          <w:rFonts w:ascii="Arial" w:hAnsi="Arial" w:cs="Arial"/>
          <w:bCs/>
          <w:sz w:val="24"/>
          <w:szCs w:val="24"/>
        </w:rPr>
        <w:t>.</w:t>
      </w:r>
    </w:p>
    <w:p w14:paraId="30E3CE8D" w14:textId="77777777" w:rsidR="005D5E5A" w:rsidRPr="0044485B" w:rsidRDefault="005D5E5A" w:rsidP="005D5E5A">
      <w:pPr>
        <w:spacing w:line="360" w:lineRule="auto"/>
        <w:ind w:right="50"/>
        <w:contextualSpacing/>
        <w:jc w:val="both"/>
        <w:rPr>
          <w:rFonts w:ascii="Arial" w:hAnsi="Arial" w:cs="Arial"/>
          <w:bCs/>
          <w:sz w:val="24"/>
          <w:szCs w:val="24"/>
        </w:rPr>
      </w:pPr>
    </w:p>
    <w:p w14:paraId="26FE6F8C" w14:textId="4B66AD78" w:rsidR="005D5647" w:rsidRDefault="00CF006E" w:rsidP="005D5E5A">
      <w:pPr>
        <w:spacing w:line="360" w:lineRule="auto"/>
        <w:ind w:right="50"/>
        <w:contextualSpacing/>
        <w:jc w:val="both"/>
        <w:rPr>
          <w:rFonts w:ascii="Arial" w:hAnsi="Arial" w:cs="Arial"/>
          <w:b/>
          <w:sz w:val="24"/>
          <w:szCs w:val="24"/>
        </w:rPr>
      </w:pPr>
      <w:r>
        <w:rPr>
          <w:rFonts w:ascii="Arial" w:hAnsi="Arial" w:cs="Arial"/>
          <w:b/>
          <w:sz w:val="24"/>
          <w:szCs w:val="24"/>
        </w:rPr>
        <w:t>SEXTO</w:t>
      </w:r>
      <w:r w:rsidR="005D5E5A">
        <w:rPr>
          <w:rFonts w:ascii="Arial" w:hAnsi="Arial" w:cs="Arial"/>
          <w:b/>
          <w:sz w:val="24"/>
          <w:szCs w:val="24"/>
        </w:rPr>
        <w:t xml:space="preserve">: </w:t>
      </w:r>
      <w:r w:rsidR="00A91488" w:rsidRPr="00985C18">
        <w:rPr>
          <w:rFonts w:ascii="Arial" w:hAnsi="Arial" w:cs="Arial"/>
          <w:b/>
          <w:sz w:val="24"/>
          <w:szCs w:val="24"/>
        </w:rPr>
        <w:t>TENER</w:t>
      </w:r>
      <w:r w:rsidR="00A91488" w:rsidRPr="00A96516">
        <w:rPr>
          <w:rFonts w:ascii="Arial" w:hAnsi="Arial" w:cs="Arial"/>
          <w:bCs/>
          <w:sz w:val="24"/>
          <w:szCs w:val="24"/>
        </w:rPr>
        <w:t xml:space="preserve"> como pruebas los documentos aportados con la solicitud de amparo constitucional.</w:t>
      </w:r>
    </w:p>
    <w:p w14:paraId="423D343A" w14:textId="77777777" w:rsidR="005D5647" w:rsidRDefault="005D5647" w:rsidP="005D5E5A">
      <w:pPr>
        <w:spacing w:line="360" w:lineRule="auto"/>
        <w:ind w:right="50"/>
        <w:contextualSpacing/>
        <w:jc w:val="both"/>
        <w:rPr>
          <w:rFonts w:ascii="Arial" w:hAnsi="Arial" w:cs="Arial"/>
          <w:b/>
          <w:sz w:val="24"/>
          <w:szCs w:val="24"/>
        </w:rPr>
      </w:pPr>
    </w:p>
    <w:p w14:paraId="2E77CA2B" w14:textId="026A851D" w:rsidR="005D5E5A" w:rsidRPr="000A1ABE" w:rsidRDefault="005D5647" w:rsidP="005D5E5A">
      <w:pPr>
        <w:spacing w:line="360" w:lineRule="auto"/>
        <w:ind w:right="50"/>
        <w:contextualSpacing/>
        <w:jc w:val="both"/>
        <w:rPr>
          <w:rFonts w:ascii="Arial" w:hAnsi="Arial" w:cs="Arial"/>
          <w:b/>
          <w:sz w:val="24"/>
          <w:szCs w:val="24"/>
        </w:rPr>
      </w:pPr>
      <w:r>
        <w:rPr>
          <w:rFonts w:ascii="Arial" w:hAnsi="Arial" w:cs="Arial"/>
          <w:b/>
          <w:sz w:val="24"/>
          <w:szCs w:val="24"/>
        </w:rPr>
        <w:t xml:space="preserve">SÉPTIMO: </w:t>
      </w:r>
      <w:r w:rsidR="005D5E5A" w:rsidRPr="00985C18">
        <w:rPr>
          <w:rFonts w:ascii="Arial" w:hAnsi="Arial" w:cs="Arial"/>
          <w:b/>
          <w:sz w:val="24"/>
          <w:szCs w:val="24"/>
        </w:rPr>
        <w:t>SUSPENDER</w:t>
      </w:r>
      <w:r w:rsidR="005D5E5A" w:rsidRPr="00985C18">
        <w:rPr>
          <w:rFonts w:ascii="Arial" w:hAnsi="Arial" w:cs="Arial"/>
          <w:bCs/>
          <w:sz w:val="24"/>
          <w:szCs w:val="24"/>
        </w:rPr>
        <w:t xml:space="preserve"> los términos del presente asunto desde el </w:t>
      </w:r>
      <w:r>
        <w:rPr>
          <w:rFonts w:ascii="Arial" w:hAnsi="Arial" w:cs="Arial"/>
          <w:bCs/>
          <w:sz w:val="24"/>
          <w:szCs w:val="24"/>
        </w:rPr>
        <w:t>3</w:t>
      </w:r>
      <w:r w:rsidR="005D5E5A" w:rsidRPr="00985C18">
        <w:rPr>
          <w:rFonts w:ascii="Arial" w:hAnsi="Arial" w:cs="Arial"/>
          <w:bCs/>
          <w:sz w:val="24"/>
          <w:szCs w:val="24"/>
        </w:rPr>
        <w:t xml:space="preserve"> de </w:t>
      </w:r>
      <w:r w:rsidR="00B8700D">
        <w:rPr>
          <w:rFonts w:ascii="Arial" w:hAnsi="Arial" w:cs="Arial"/>
          <w:bCs/>
          <w:sz w:val="24"/>
          <w:szCs w:val="24"/>
        </w:rPr>
        <w:t>noviembre</w:t>
      </w:r>
      <w:r w:rsidR="005D5E5A" w:rsidRPr="00985C18">
        <w:rPr>
          <w:rFonts w:ascii="Arial" w:hAnsi="Arial" w:cs="Arial"/>
          <w:bCs/>
          <w:sz w:val="24"/>
          <w:szCs w:val="24"/>
        </w:rPr>
        <w:t xml:space="preserve"> de 2020, inclusive, hasta que reingrese el expediente al Despacho.</w:t>
      </w:r>
    </w:p>
    <w:p w14:paraId="70E2747E" w14:textId="49C4375B" w:rsidR="005D5E5A" w:rsidRDefault="005D5E5A" w:rsidP="005D5E5A">
      <w:pPr>
        <w:spacing w:line="360" w:lineRule="auto"/>
        <w:ind w:right="50"/>
        <w:contextualSpacing/>
        <w:jc w:val="both"/>
        <w:rPr>
          <w:rFonts w:ascii="Arial" w:hAnsi="Arial" w:cs="Arial"/>
          <w:b/>
          <w:sz w:val="24"/>
          <w:szCs w:val="24"/>
        </w:rPr>
      </w:pPr>
    </w:p>
    <w:p w14:paraId="078C6B2A" w14:textId="77777777" w:rsidR="00A91488" w:rsidRPr="001C6709" w:rsidRDefault="00A91488" w:rsidP="005D5E5A">
      <w:pPr>
        <w:spacing w:line="360" w:lineRule="auto"/>
        <w:ind w:right="50"/>
        <w:contextualSpacing/>
        <w:jc w:val="both"/>
        <w:rPr>
          <w:rFonts w:ascii="Arial" w:hAnsi="Arial" w:cs="Arial"/>
          <w:b/>
          <w:sz w:val="24"/>
          <w:szCs w:val="24"/>
        </w:rPr>
      </w:pPr>
    </w:p>
    <w:p w14:paraId="3A9BFE42" w14:textId="77777777" w:rsidR="005D5E5A" w:rsidRPr="001C6709"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313E6499" w14:textId="79BDE343" w:rsidR="005D5E5A" w:rsidRDefault="005D5E5A" w:rsidP="00127D03">
      <w:pPr>
        <w:spacing w:after="0" w:line="360" w:lineRule="auto"/>
        <w:ind w:right="50"/>
        <w:jc w:val="center"/>
        <w:rPr>
          <w:rFonts w:ascii="Arial" w:hAnsi="Arial" w:cs="Arial"/>
          <w:b/>
          <w:bCs/>
          <w:sz w:val="24"/>
          <w:szCs w:val="24"/>
        </w:rPr>
      </w:pPr>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9C1B6" w14:textId="77777777" w:rsidR="001754DB" w:rsidRDefault="001754DB" w:rsidP="00D1105A">
      <w:pPr>
        <w:spacing w:after="0" w:line="240" w:lineRule="auto"/>
      </w:pPr>
      <w:r>
        <w:separator/>
      </w:r>
    </w:p>
  </w:endnote>
  <w:endnote w:type="continuationSeparator" w:id="0">
    <w:p w14:paraId="4F8605E0" w14:textId="77777777" w:rsidR="001754DB" w:rsidRDefault="001754DB"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6CFA3" w14:textId="77777777" w:rsidR="001754DB" w:rsidRDefault="001754DB" w:rsidP="00D1105A">
      <w:pPr>
        <w:spacing w:after="0" w:line="240" w:lineRule="auto"/>
      </w:pPr>
      <w:r>
        <w:separator/>
      </w:r>
    </w:p>
  </w:footnote>
  <w:footnote w:type="continuationSeparator" w:id="0">
    <w:p w14:paraId="0242C485" w14:textId="77777777" w:rsidR="001754DB" w:rsidRDefault="001754DB" w:rsidP="00D1105A">
      <w:pPr>
        <w:spacing w:after="0" w:line="240" w:lineRule="auto"/>
      </w:pPr>
      <w:r>
        <w:continuationSeparator/>
      </w:r>
    </w:p>
  </w:footnote>
  <w:footnote w:id="1">
    <w:p w14:paraId="13082F25" w14:textId="55E4BB29" w:rsidR="00F54AEF" w:rsidRPr="00F54AEF" w:rsidRDefault="00F54AEF" w:rsidP="00F54AEF">
      <w:pPr>
        <w:pStyle w:val="Textonotapie"/>
        <w:jc w:val="both"/>
        <w:rPr>
          <w:rFonts w:ascii="Arial" w:hAnsi="Arial" w:cs="Arial"/>
          <w:lang w:val="es-CO"/>
        </w:rPr>
      </w:pPr>
      <w:r w:rsidRPr="00F54AEF">
        <w:rPr>
          <w:rStyle w:val="Refdenotaalpie"/>
          <w:rFonts w:ascii="Arial" w:hAnsi="Arial" w:cs="Arial"/>
        </w:rPr>
        <w:footnoteRef/>
      </w:r>
      <w:r w:rsidRPr="00F54AEF">
        <w:rPr>
          <w:rFonts w:ascii="Arial" w:hAnsi="Arial" w:cs="Arial"/>
        </w:rPr>
        <w:t xml:space="preserve"> </w:t>
      </w:r>
      <w:r w:rsidRPr="00F54AEF">
        <w:rPr>
          <w:rFonts w:ascii="Arial" w:hAnsi="Arial" w:cs="Arial"/>
          <w:lang w:val="es-CO"/>
        </w:rPr>
        <w:t>Despacho 06.</w:t>
      </w:r>
    </w:p>
  </w:footnote>
  <w:footnote w:id="2">
    <w:p w14:paraId="6457B944" w14:textId="0DA0D11B" w:rsidR="004E7BD3" w:rsidRPr="00F54AEF" w:rsidRDefault="004E7BD3" w:rsidP="00F54AEF">
      <w:pPr>
        <w:pStyle w:val="Textonotapie"/>
        <w:jc w:val="both"/>
        <w:rPr>
          <w:rFonts w:ascii="Arial" w:hAnsi="Arial" w:cs="Arial"/>
          <w:lang w:val="es-CO"/>
        </w:rPr>
      </w:pPr>
      <w:r w:rsidRPr="00F54AEF">
        <w:rPr>
          <w:rStyle w:val="Refdenotaalpie"/>
          <w:rFonts w:ascii="Arial" w:hAnsi="Arial" w:cs="Arial"/>
        </w:rPr>
        <w:footnoteRef/>
      </w:r>
      <w:r w:rsidRPr="00F54AEF">
        <w:rPr>
          <w:rFonts w:ascii="Arial" w:hAnsi="Arial" w:cs="Arial"/>
        </w:rPr>
        <w:t xml:space="preserve"> </w:t>
      </w:r>
      <w:r w:rsidRPr="00F54AEF">
        <w:rPr>
          <w:rFonts w:ascii="Arial" w:hAnsi="Arial" w:cs="Arial"/>
          <w:lang w:val="es-CO"/>
        </w:rPr>
        <w:t>Folio 7 del escrito de tutela, subido a SAMAI con el certificado 99825C85634885C5 9C427237C382FA95 448F41C22CA2C7E4 861AB19B57B9CBDA.</w:t>
      </w:r>
    </w:p>
  </w:footnote>
  <w:footnote w:id="3">
    <w:p w14:paraId="7BBF018C" w14:textId="77777777" w:rsidR="004829F4" w:rsidRPr="004E7BD3" w:rsidRDefault="004829F4" w:rsidP="00F54AEF">
      <w:pPr>
        <w:pStyle w:val="Textonotapie"/>
        <w:jc w:val="both"/>
        <w:rPr>
          <w:rFonts w:ascii="Arial" w:hAnsi="Arial" w:cs="Arial"/>
          <w:color w:val="000000"/>
        </w:rPr>
      </w:pPr>
      <w:r w:rsidRPr="00F54AEF">
        <w:rPr>
          <w:rStyle w:val="Refdenotaalpie"/>
          <w:rFonts w:ascii="Arial" w:hAnsi="Arial" w:cs="Arial"/>
          <w:color w:val="000000"/>
        </w:rPr>
        <w:footnoteRef/>
      </w:r>
      <w:r w:rsidRPr="00F54AEF">
        <w:rPr>
          <w:rFonts w:ascii="Arial" w:hAnsi="Arial" w:cs="Arial"/>
          <w:color w:val="000000"/>
        </w:rPr>
        <w:t xml:space="preserve"> </w:t>
      </w:r>
      <w:r w:rsidRPr="00F54AEF">
        <w:rPr>
          <w:rFonts w:ascii="Arial" w:hAnsi="Arial" w:cs="Arial"/>
          <w:color w:val="000000"/>
          <w:lang w:val="es-CO"/>
        </w:rPr>
        <w:t>“A</w:t>
      </w:r>
      <w:r w:rsidRPr="00F54AEF">
        <w:rPr>
          <w:rFonts w:ascii="Arial" w:hAnsi="Arial" w:cs="Arial"/>
          <w:bCs/>
          <w:color w:val="000000"/>
        </w:rPr>
        <w:t>rt</w:t>
      </w:r>
      <w:r w:rsidRPr="00F54AEF">
        <w:rPr>
          <w:rFonts w:ascii="Arial" w:hAnsi="Arial" w:cs="Arial"/>
          <w:bCs/>
          <w:color w:val="000000"/>
          <w:lang w:val="es-CO"/>
        </w:rPr>
        <w:t>í</w:t>
      </w:r>
      <w:r w:rsidRPr="00F54AEF">
        <w:rPr>
          <w:rFonts w:ascii="Arial" w:hAnsi="Arial" w:cs="Arial"/>
          <w:bCs/>
          <w:color w:val="000000"/>
        </w:rPr>
        <w:t>culo 86.</w:t>
      </w:r>
      <w:r w:rsidRPr="00F54AEF">
        <w:rPr>
          <w:rFonts w:ascii="Arial" w:hAnsi="Arial" w:cs="Arial"/>
          <w:b/>
          <w:bCs/>
          <w:color w:val="000000"/>
        </w:rPr>
        <w:t> </w:t>
      </w:r>
      <w:r w:rsidRPr="00F54AEF">
        <w:rPr>
          <w:rFonts w:ascii="Arial" w:hAnsi="Arial" w:cs="Arial"/>
          <w:color w:val="000000"/>
        </w:rPr>
        <w:t>Toda persona tendrá acción de</w:t>
      </w:r>
      <w:r w:rsidRPr="004E7BD3">
        <w:rPr>
          <w:rFonts w:ascii="Arial" w:hAnsi="Arial" w:cs="Arial"/>
          <w:color w:val="000000"/>
        </w:rPr>
        <w:t xml:space="preserv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r w:rsidRPr="004E7BD3">
        <w:rPr>
          <w:rFonts w:ascii="Arial" w:hAnsi="Arial" w:cs="Arial"/>
          <w:color w:val="000000"/>
          <w:lang w:val="es-CO"/>
        </w:rPr>
        <w:t>.</w:t>
      </w:r>
      <w:r w:rsidRPr="004E7BD3">
        <w:rPr>
          <w:rFonts w:ascii="Arial" w:hAnsi="Arial" w:cs="Arial"/>
          <w:color w:val="000000"/>
        </w:rPr>
        <w:t xml:space="preserve"> (…)</w:t>
      </w:r>
      <w:r w:rsidRPr="004E7BD3">
        <w:rPr>
          <w:rFonts w:ascii="Arial" w:hAnsi="Arial" w:cs="Arial"/>
          <w:color w:val="000000"/>
          <w:lang w:val="es-CO"/>
        </w:rPr>
        <w:t>.”.</w:t>
      </w:r>
      <w:r w:rsidRPr="004E7BD3">
        <w:rPr>
          <w:rFonts w:ascii="Arial" w:hAnsi="Arial" w:cs="Arial"/>
          <w:color w:val="000000"/>
        </w:rPr>
        <w:t xml:space="preserve"> </w:t>
      </w:r>
    </w:p>
  </w:footnote>
  <w:footnote w:id="4">
    <w:p w14:paraId="69AB4AA6" w14:textId="77777777" w:rsidR="004829F4" w:rsidRPr="004E7BD3" w:rsidRDefault="004829F4" w:rsidP="004E7BD3">
      <w:pPr>
        <w:pStyle w:val="Textonotapie"/>
        <w:jc w:val="both"/>
        <w:rPr>
          <w:rFonts w:ascii="Arial" w:hAnsi="Arial" w:cs="Arial"/>
          <w:color w:val="000000"/>
        </w:rPr>
      </w:pPr>
      <w:r w:rsidRPr="004E7BD3">
        <w:rPr>
          <w:rStyle w:val="Refdenotaalpie"/>
          <w:rFonts w:ascii="Arial" w:hAnsi="Arial" w:cs="Arial"/>
          <w:color w:val="000000"/>
        </w:rPr>
        <w:footnoteRef/>
      </w:r>
      <w:r w:rsidRPr="004E7BD3">
        <w:rPr>
          <w:rFonts w:ascii="Arial" w:hAnsi="Arial" w:cs="Arial"/>
          <w:color w:val="000000"/>
        </w:rPr>
        <w:t xml:space="preserve"> </w:t>
      </w:r>
      <w:r w:rsidRPr="004E7BD3">
        <w:rPr>
          <w:rFonts w:ascii="Arial" w:hAnsi="Arial" w:cs="Arial"/>
          <w:color w:val="000000"/>
          <w:lang w:val="es-CO"/>
        </w:rPr>
        <w:t>“</w:t>
      </w:r>
      <w:r w:rsidRPr="004E7BD3">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4E7BD3">
        <w:rPr>
          <w:rFonts w:ascii="Arial" w:hAnsi="Arial" w:cs="Arial"/>
          <w:color w:val="000000"/>
          <w:shd w:val="clear" w:color="auto" w:fill="FFFFFF"/>
          <w:lang w:val="es-CO"/>
        </w:rPr>
        <w:t>”</w:t>
      </w:r>
      <w:r w:rsidRPr="004E7BD3">
        <w:rPr>
          <w:rFonts w:ascii="Arial" w:hAnsi="Arial" w:cs="Arial"/>
          <w:color w:val="000000"/>
          <w:shd w:val="clear" w:color="auto" w:fill="FFFFFF"/>
        </w:rPr>
        <w:t>.</w:t>
      </w:r>
    </w:p>
  </w:footnote>
  <w:footnote w:id="5">
    <w:p w14:paraId="6B5BA6A2" w14:textId="77777777" w:rsidR="004829F4" w:rsidRPr="004D355A" w:rsidRDefault="004829F4" w:rsidP="004E7BD3">
      <w:pPr>
        <w:pStyle w:val="Textonotapie"/>
        <w:jc w:val="both"/>
        <w:rPr>
          <w:rFonts w:ascii="Arial" w:hAnsi="Arial" w:cs="Arial"/>
          <w:lang w:val="es-CO"/>
        </w:rPr>
      </w:pPr>
      <w:r w:rsidRPr="004E7BD3">
        <w:rPr>
          <w:rStyle w:val="Refdenotaalpie"/>
          <w:rFonts w:ascii="Arial" w:hAnsi="Arial" w:cs="Arial"/>
        </w:rPr>
        <w:footnoteRef/>
      </w:r>
      <w:r w:rsidRPr="004E7BD3">
        <w:rPr>
          <w:rFonts w:ascii="Arial" w:hAnsi="Arial" w:cs="Arial"/>
        </w:rPr>
        <w:t xml:space="preserve"> </w:t>
      </w:r>
      <w:r w:rsidRPr="004E7BD3">
        <w:rPr>
          <w:rFonts w:ascii="Arial" w:hAnsi="Arial" w:cs="Arial"/>
          <w:lang w:val="es-CO"/>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4D355A">
        <w:rPr>
          <w:rFonts w:ascii="Arial" w:hAnsi="Arial" w:cs="Arial"/>
          <w:lang w:val="es-CO"/>
        </w:rPr>
        <w:t xml:space="preserve"> </w:t>
      </w:r>
    </w:p>
  </w:footnote>
  <w:footnote w:id="6">
    <w:p w14:paraId="00C2AC67" w14:textId="1C09C37C" w:rsidR="000D5355" w:rsidRPr="007B672F" w:rsidRDefault="000D5355" w:rsidP="000D5355">
      <w:pPr>
        <w:spacing w:after="0" w:line="240" w:lineRule="auto"/>
        <w:ind w:right="51"/>
        <w:contextualSpacing/>
        <w:jc w:val="both"/>
        <w:rPr>
          <w:rFonts w:ascii="Arial" w:hAnsi="Arial" w:cs="Arial"/>
          <w:sz w:val="20"/>
          <w:szCs w:val="20"/>
        </w:rPr>
      </w:pPr>
      <w:r w:rsidRPr="007B672F">
        <w:rPr>
          <w:rStyle w:val="Refdenotaalpie"/>
          <w:rFonts w:ascii="Arial" w:hAnsi="Arial" w:cs="Arial"/>
          <w:sz w:val="20"/>
          <w:szCs w:val="20"/>
        </w:rPr>
        <w:footnoteRef/>
      </w:r>
      <w:r w:rsidRPr="007B672F">
        <w:rPr>
          <w:rFonts w:ascii="Arial" w:hAnsi="Arial" w:cs="Arial"/>
          <w:sz w:val="20"/>
          <w:szCs w:val="20"/>
        </w:rPr>
        <w:t xml:space="preserve"> </w:t>
      </w:r>
      <w:r w:rsidR="003376D8">
        <w:rPr>
          <w:rFonts w:ascii="Arial" w:eastAsia="Times New Roman" w:hAnsi="Arial" w:cs="Arial"/>
          <w:color w:val="000000"/>
          <w:sz w:val="20"/>
          <w:szCs w:val="20"/>
          <w:lang w:eastAsia="es-ES"/>
        </w:rPr>
        <w:t>“</w:t>
      </w:r>
      <w:r w:rsidRPr="007B672F">
        <w:rPr>
          <w:rFonts w:ascii="Arial" w:eastAsia="Times New Roman" w:hAnsi="Arial" w:cs="Arial"/>
          <w:color w:val="000000"/>
          <w:sz w:val="20"/>
          <w:szCs w:val="20"/>
          <w:lang w:eastAsia="es-ES"/>
        </w:rPr>
        <w:t>Por medio del cual se crean unos cargos con carácter permanente en tribunales y juzgados a nivel nacional</w:t>
      </w:r>
      <w:r w:rsidR="003376D8">
        <w:rPr>
          <w:rFonts w:ascii="Arial" w:eastAsia="Times New Roman" w:hAnsi="Arial" w:cs="Arial"/>
          <w:color w:val="000000"/>
          <w:sz w:val="20"/>
          <w:szCs w:val="20"/>
          <w:lang w:eastAsia="es-ES"/>
        </w:rPr>
        <w:t>”</w:t>
      </w:r>
      <w:r w:rsidRPr="007B672F">
        <w:rPr>
          <w:rFonts w:ascii="Arial" w:eastAsia="Times New Roman" w:hAnsi="Arial" w:cs="Arial"/>
          <w:color w:val="000000"/>
          <w:sz w:val="20"/>
          <w:szCs w:val="20"/>
          <w:lang w:eastAsia="es-ES"/>
        </w:rPr>
        <w:t>.</w:t>
      </w:r>
    </w:p>
  </w:footnote>
  <w:footnote w:id="7">
    <w:p w14:paraId="60AC0372" w14:textId="7A880E9F" w:rsidR="007B672F" w:rsidRPr="007B672F" w:rsidRDefault="007B672F">
      <w:pPr>
        <w:pStyle w:val="Textonotapie"/>
        <w:rPr>
          <w:rFonts w:ascii="Arial" w:hAnsi="Arial" w:cs="Arial"/>
          <w:lang w:val="es-CO"/>
        </w:rPr>
      </w:pPr>
      <w:r w:rsidRPr="007B672F">
        <w:rPr>
          <w:rStyle w:val="Refdenotaalpie"/>
          <w:rFonts w:ascii="Arial" w:hAnsi="Arial" w:cs="Arial"/>
        </w:rPr>
        <w:footnoteRef/>
      </w:r>
      <w:r w:rsidRPr="007B672F">
        <w:rPr>
          <w:rFonts w:ascii="Arial" w:hAnsi="Arial" w:cs="Arial"/>
        </w:rPr>
        <w:t xml:space="preserve"> </w:t>
      </w:r>
      <w:r w:rsidRPr="007B672F">
        <w:rPr>
          <w:rFonts w:ascii="Arial" w:hAnsi="Arial" w:cs="Arial"/>
        </w:rPr>
        <w:t xml:space="preserve">Acción </w:t>
      </w:r>
      <w:r>
        <w:rPr>
          <w:rFonts w:ascii="Arial" w:hAnsi="Arial" w:cs="Arial"/>
          <w:lang w:val="es-CO"/>
        </w:rPr>
        <w:t>p</w:t>
      </w:r>
      <w:r w:rsidRPr="007B672F">
        <w:rPr>
          <w:rFonts w:ascii="Arial" w:hAnsi="Arial" w:cs="Arial"/>
        </w:rPr>
        <w:t>opular</w:t>
      </w:r>
      <w:r>
        <w:rPr>
          <w:rFonts w:ascii="Arial" w:hAnsi="Arial" w:cs="Arial"/>
          <w:lang w:val="es-CO"/>
        </w:rPr>
        <w:t xml:space="preserve"> radicado</w:t>
      </w:r>
      <w:r w:rsidRPr="007B672F">
        <w:rPr>
          <w:rFonts w:ascii="Arial" w:hAnsi="Arial" w:cs="Arial"/>
        </w:rPr>
        <w:t xml:space="preserve"> </w:t>
      </w:r>
      <w:r>
        <w:rPr>
          <w:rFonts w:ascii="Arial" w:hAnsi="Arial" w:cs="Arial"/>
          <w:lang w:val="es-CO"/>
        </w:rPr>
        <w:t>No.</w:t>
      </w:r>
      <w:r w:rsidRPr="007B672F">
        <w:rPr>
          <w:rFonts w:ascii="Arial" w:hAnsi="Arial" w:cs="Arial"/>
        </w:rPr>
        <w:t xml:space="preserve"> 2001-00479</w:t>
      </w:r>
      <w:r>
        <w:rPr>
          <w:rFonts w:ascii="Arial" w:hAnsi="Arial" w:cs="Arial"/>
          <w:lang w:val="es-CO"/>
        </w:rPr>
        <w:t>.</w:t>
      </w:r>
    </w:p>
  </w:footnote>
  <w:footnote w:id="8">
    <w:p w14:paraId="75EA5773" w14:textId="2CF2470F" w:rsidR="004D355A" w:rsidRPr="004D355A" w:rsidRDefault="004D355A" w:rsidP="000D5355">
      <w:pPr>
        <w:pStyle w:val="NormalWeb"/>
        <w:spacing w:before="0" w:beforeAutospacing="0" w:after="0" w:afterAutospacing="0"/>
        <w:jc w:val="both"/>
        <w:rPr>
          <w:rFonts w:ascii="Arial" w:hAnsi="Arial" w:cs="Arial"/>
          <w:sz w:val="20"/>
          <w:szCs w:val="20"/>
        </w:rPr>
      </w:pPr>
      <w:r w:rsidRPr="007B672F">
        <w:rPr>
          <w:rStyle w:val="Refdenotaalpie"/>
          <w:rFonts w:ascii="Arial" w:hAnsi="Arial" w:cs="Arial"/>
          <w:sz w:val="20"/>
          <w:szCs w:val="20"/>
        </w:rPr>
        <w:footnoteRef/>
      </w:r>
      <w:r w:rsidRPr="007B672F">
        <w:rPr>
          <w:rFonts w:ascii="Arial" w:hAnsi="Arial" w:cs="Arial"/>
          <w:sz w:val="20"/>
          <w:szCs w:val="20"/>
        </w:rPr>
        <w:t xml:space="preserve"> </w:t>
      </w:r>
      <w:bookmarkStart w:id="0" w:name="7"/>
      <w:r w:rsidRPr="007B672F">
        <w:rPr>
          <w:rFonts w:ascii="Arial" w:hAnsi="Arial" w:cs="Arial"/>
          <w:sz w:val="20"/>
          <w:szCs w:val="20"/>
        </w:rPr>
        <w:t>“Artículo 7. Medidas provisionales para proteger un derecho.</w:t>
      </w:r>
      <w:bookmarkEnd w:id="0"/>
      <w:r w:rsidRPr="007B672F">
        <w:rPr>
          <w:rFonts w:ascii="Arial" w:hAnsi="Arial" w:cs="Arial"/>
          <w:sz w:val="20"/>
          <w:szCs w:val="20"/>
        </w:rPr>
        <w:t> Desde la presentación de la solicitud, cuando el juez expresamente</w:t>
      </w:r>
      <w:r w:rsidRPr="004D355A">
        <w:rPr>
          <w:rFonts w:ascii="Arial" w:hAnsi="Arial" w:cs="Arial"/>
          <w:sz w:val="20"/>
          <w:szCs w:val="20"/>
        </w:rPr>
        <w:t xml:space="preserve"> lo considere necesario y urgente para proteger el derecho, suspenderá la aplicación del acto concreto que lo amenace o vulnere.</w:t>
      </w:r>
    </w:p>
    <w:p w14:paraId="3A29BBC8" w14:textId="77777777" w:rsidR="004D355A" w:rsidRPr="004D355A" w:rsidRDefault="004D355A" w:rsidP="004D355A">
      <w:pPr>
        <w:spacing w:after="0" w:line="240" w:lineRule="auto"/>
        <w:jc w:val="both"/>
        <w:rPr>
          <w:rFonts w:ascii="Arial" w:eastAsia="Times New Roman" w:hAnsi="Arial" w:cs="Arial"/>
          <w:sz w:val="20"/>
          <w:szCs w:val="20"/>
          <w:lang w:eastAsia="es-CO"/>
        </w:rPr>
      </w:pPr>
      <w:r w:rsidRPr="004D355A">
        <w:rPr>
          <w:rFonts w:ascii="Arial" w:eastAsia="Times New Roman" w:hAnsi="Arial" w:cs="Arial"/>
          <w:sz w:val="20"/>
          <w:szCs w:val="20"/>
          <w:lang w:eastAsia="es-CO"/>
        </w:rPr>
        <w:t>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w:t>
      </w:r>
    </w:p>
    <w:p w14:paraId="6E15BBCC" w14:textId="77777777" w:rsidR="004D355A" w:rsidRPr="004D355A" w:rsidRDefault="004D355A" w:rsidP="004D355A">
      <w:pPr>
        <w:spacing w:after="0" w:line="240" w:lineRule="auto"/>
        <w:jc w:val="both"/>
        <w:rPr>
          <w:rFonts w:ascii="Arial" w:eastAsia="Times New Roman" w:hAnsi="Arial" w:cs="Arial"/>
          <w:sz w:val="20"/>
          <w:szCs w:val="20"/>
          <w:lang w:eastAsia="es-CO"/>
        </w:rPr>
      </w:pPr>
      <w:r w:rsidRPr="004D355A">
        <w:rPr>
          <w:rFonts w:ascii="Arial" w:eastAsia="Times New Roman" w:hAnsi="Arial" w:cs="Arial"/>
          <w:sz w:val="20"/>
          <w:szCs w:val="20"/>
          <w:lang w:eastAsia="es-CO"/>
        </w:rPr>
        <w:t>La suspensión de la aplicación se notificará inmediatamente a aquél contra quien se hubiere hecho la solicitud por el medio más expedito posible.</w:t>
      </w:r>
    </w:p>
    <w:p w14:paraId="52D280A3" w14:textId="77777777" w:rsidR="004D355A" w:rsidRPr="004D355A" w:rsidRDefault="004D355A" w:rsidP="004D355A">
      <w:pPr>
        <w:spacing w:after="0" w:line="240" w:lineRule="auto"/>
        <w:jc w:val="both"/>
        <w:rPr>
          <w:rFonts w:ascii="Arial" w:eastAsia="Times New Roman" w:hAnsi="Arial" w:cs="Arial"/>
          <w:sz w:val="20"/>
          <w:szCs w:val="20"/>
          <w:lang w:eastAsia="es-CO"/>
        </w:rPr>
      </w:pPr>
      <w:r w:rsidRPr="004D355A">
        <w:rPr>
          <w:rFonts w:ascii="Arial" w:eastAsia="Times New Roman" w:hAnsi="Arial" w:cs="Arial"/>
          <w:sz w:val="20"/>
          <w:szCs w:val="20"/>
          <w:lang w:eastAsia="es-CO"/>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14:paraId="5E5FD756" w14:textId="45CF5810" w:rsidR="004D355A" w:rsidRPr="004D355A" w:rsidRDefault="004D355A" w:rsidP="004D355A">
      <w:pPr>
        <w:spacing w:after="0" w:line="240" w:lineRule="auto"/>
        <w:jc w:val="both"/>
        <w:rPr>
          <w:rFonts w:ascii="Arial" w:eastAsia="Times New Roman" w:hAnsi="Arial" w:cs="Arial"/>
          <w:color w:val="4B4949"/>
          <w:sz w:val="18"/>
          <w:szCs w:val="18"/>
          <w:lang w:eastAsia="es-CO"/>
        </w:rPr>
      </w:pPr>
      <w:r w:rsidRPr="004D355A">
        <w:rPr>
          <w:rFonts w:ascii="Arial" w:eastAsia="Times New Roman" w:hAnsi="Arial" w:cs="Arial"/>
          <w:sz w:val="20"/>
          <w:szCs w:val="20"/>
          <w:lang w:eastAsia="es-CO"/>
        </w:rPr>
        <w:t>El juez podrá, de oficio o a petición de parte, por resolución debidamente fundada, hacer cesar en cualquier momento la autorización de ejecución o las otras medidas cautelares que hubiere dictado</w:t>
      </w:r>
      <w:r>
        <w:rPr>
          <w:rFonts w:ascii="Arial" w:eastAsia="Times New Roman" w:hAnsi="Arial" w:cs="Arial"/>
          <w:sz w:val="20"/>
          <w:szCs w:val="20"/>
          <w:lang w:eastAsia="es-CO"/>
        </w:rPr>
        <w:t>”</w:t>
      </w:r>
      <w:r w:rsidRPr="004D355A">
        <w:rPr>
          <w:rFonts w:ascii="Arial" w:eastAsia="Times New Roman" w:hAnsi="Arial" w:cs="Arial"/>
          <w:sz w:val="20"/>
          <w:szCs w:val="20"/>
          <w:lang w:eastAsia="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6C2BA4" w:rsidRDefault="004829F4" w:rsidP="003D0367">
    <w:pPr>
      <w:pStyle w:val="Encabezado"/>
      <w:jc w:val="center"/>
      <w:rPr>
        <w:i/>
        <w:sz w:val="21"/>
        <w:szCs w:val="21"/>
      </w:rPr>
    </w:pPr>
    <w:r w:rsidRPr="006C2BA4">
      <w:rPr>
        <w:rFonts w:ascii="Arial" w:hAnsi="Arial" w:cs="Arial"/>
        <w:sz w:val="21"/>
        <w:szCs w:val="21"/>
      </w:rPr>
      <w:fldChar w:fldCharType="begin"/>
    </w:r>
    <w:r w:rsidRPr="006C2BA4">
      <w:rPr>
        <w:rFonts w:ascii="Arial" w:hAnsi="Arial" w:cs="Arial"/>
        <w:sz w:val="21"/>
        <w:szCs w:val="21"/>
      </w:rPr>
      <w:instrText>PAGE   \* MERGEFORMAT</w:instrText>
    </w:r>
    <w:r w:rsidRPr="006C2BA4">
      <w:rPr>
        <w:rFonts w:ascii="Arial" w:hAnsi="Arial" w:cs="Arial"/>
        <w:sz w:val="21"/>
        <w:szCs w:val="21"/>
      </w:rPr>
      <w:fldChar w:fldCharType="separate"/>
    </w:r>
    <w:r w:rsidRPr="00185369">
      <w:rPr>
        <w:rFonts w:ascii="Arial" w:hAnsi="Arial" w:cs="Arial"/>
        <w:noProof/>
        <w:sz w:val="21"/>
        <w:szCs w:val="21"/>
        <w:lang w:val="es-ES"/>
      </w:rPr>
      <w:t>11</w:t>
    </w:r>
    <w:r w:rsidRPr="006C2BA4">
      <w:rPr>
        <w:rFonts w:ascii="Arial" w:hAnsi="Arial" w:cs="Arial"/>
        <w:sz w:val="21"/>
        <w:szCs w:val="21"/>
      </w:rPr>
      <w:fldChar w:fldCharType="end"/>
    </w:r>
  </w:p>
  <w:p w14:paraId="6216DAAA" w14:textId="5E0AA4F6" w:rsidR="004829F4" w:rsidRDefault="00143405" w:rsidP="005D5E5A">
    <w:pPr>
      <w:pStyle w:val="Encabe"/>
      <w:tabs>
        <w:tab w:val="left" w:pos="915"/>
        <w:tab w:val="right" w:pos="9406"/>
      </w:tabs>
      <w:spacing w:line="240" w:lineRule="auto"/>
      <w:jc w:val="right"/>
      <w:rPr>
        <w:rFonts w:cs="Arial"/>
        <w:i/>
        <w:sz w:val="21"/>
        <w:szCs w:val="21"/>
      </w:rPr>
    </w:pPr>
    <w:r>
      <w:rPr>
        <w:rFonts w:cs="Arial"/>
        <w:i/>
        <w:sz w:val="21"/>
        <w:szCs w:val="21"/>
      </w:rPr>
      <w:t>Admisión de la a</w:t>
    </w:r>
    <w:r w:rsidR="004829F4" w:rsidRPr="006C2BA4">
      <w:rPr>
        <w:rFonts w:cs="Arial"/>
        <w:i/>
        <w:sz w:val="21"/>
        <w:szCs w:val="21"/>
      </w:rPr>
      <w:t>cción de tutela</w:t>
    </w:r>
  </w:p>
  <w:p w14:paraId="37E267EB" w14:textId="7DAFFD80" w:rsidR="004829F4" w:rsidRPr="006C2BA4" w:rsidRDefault="004829F4" w:rsidP="005D5E5A">
    <w:pPr>
      <w:pStyle w:val="Encabe"/>
      <w:tabs>
        <w:tab w:val="left" w:pos="915"/>
        <w:tab w:val="right" w:pos="9406"/>
      </w:tabs>
      <w:spacing w:line="240" w:lineRule="auto"/>
      <w:jc w:val="right"/>
      <w:rPr>
        <w:rFonts w:cs="Arial"/>
        <w:b/>
        <w:i/>
        <w:sz w:val="21"/>
        <w:szCs w:val="21"/>
      </w:rPr>
    </w:pPr>
    <w:r w:rsidRPr="006C2BA4">
      <w:rPr>
        <w:rFonts w:cs="Arial"/>
        <w:b/>
        <w:i/>
        <w:sz w:val="21"/>
        <w:szCs w:val="21"/>
      </w:rPr>
      <w:t>Radicación: 11001-03-15-000-2020-0</w:t>
    </w:r>
    <w:r w:rsidR="002809E4">
      <w:rPr>
        <w:rFonts w:cs="Arial"/>
        <w:b/>
        <w:i/>
        <w:sz w:val="21"/>
        <w:szCs w:val="21"/>
      </w:rPr>
      <w:t>4585</w:t>
    </w:r>
    <w:r w:rsidRPr="006C2BA4">
      <w:rPr>
        <w:rFonts w:cs="Arial"/>
        <w:b/>
        <w:i/>
        <w:sz w:val="21"/>
        <w:szCs w:val="21"/>
      </w:rPr>
      <w:t>-00</w:t>
    </w:r>
  </w:p>
  <w:p w14:paraId="03B96B35" w14:textId="47E96951" w:rsidR="004829F4" w:rsidRPr="006C2BA4" w:rsidRDefault="004829F4" w:rsidP="003D0367">
    <w:pPr>
      <w:spacing w:after="0" w:line="240" w:lineRule="auto"/>
      <w:jc w:val="right"/>
      <w:rPr>
        <w:rFonts w:ascii="Arial" w:hAnsi="Arial" w:cs="Arial"/>
        <w:i/>
        <w:sz w:val="21"/>
        <w:szCs w:val="21"/>
      </w:rPr>
    </w:pPr>
    <w:r w:rsidRPr="006C2BA4">
      <w:rPr>
        <w:rFonts w:ascii="Arial" w:hAnsi="Arial" w:cs="Arial"/>
        <w:b/>
        <w:i/>
        <w:sz w:val="21"/>
        <w:szCs w:val="21"/>
      </w:rPr>
      <w:t>Ac</w:t>
    </w:r>
    <w:r w:rsidR="002809E4">
      <w:rPr>
        <w:rFonts w:ascii="Arial" w:hAnsi="Arial" w:cs="Arial"/>
        <w:b/>
        <w:i/>
        <w:sz w:val="21"/>
        <w:szCs w:val="21"/>
      </w:rPr>
      <w:t>cionante</w:t>
    </w:r>
    <w:r w:rsidRPr="006C2BA4">
      <w:rPr>
        <w:rFonts w:ascii="Arial" w:hAnsi="Arial" w:cs="Arial"/>
        <w:b/>
        <w:i/>
        <w:sz w:val="21"/>
        <w:szCs w:val="21"/>
      </w:rPr>
      <w:t xml:space="preserve">: </w:t>
    </w:r>
    <w:r w:rsidR="002809E4">
      <w:rPr>
        <w:rFonts w:ascii="Arial" w:hAnsi="Arial" w:cs="Arial"/>
        <w:i/>
        <w:sz w:val="21"/>
        <w:szCs w:val="21"/>
      </w:rPr>
      <w:t>Nelly Yolanda Villamizar de Peñaranda</w:t>
    </w:r>
  </w:p>
  <w:p w14:paraId="7B5272A5" w14:textId="49BD355C" w:rsidR="004829F4" w:rsidRDefault="004829F4" w:rsidP="00586EAD">
    <w:pPr>
      <w:pStyle w:val="Sangradetextonormal"/>
      <w:tabs>
        <w:tab w:val="left" w:pos="3810"/>
      </w:tabs>
      <w:spacing w:after="0"/>
      <w:ind w:left="0"/>
      <w:jc w:val="right"/>
      <w:rPr>
        <w:rFonts w:ascii="Arial" w:hAnsi="Arial" w:cs="Arial"/>
        <w:bCs/>
        <w:i/>
        <w:sz w:val="21"/>
        <w:szCs w:val="21"/>
        <w:lang w:val="es-CO"/>
      </w:rPr>
    </w:pPr>
    <w:r w:rsidRPr="006C2BA4">
      <w:rPr>
        <w:rFonts w:ascii="Arial" w:hAnsi="Arial" w:cs="Arial"/>
        <w:b/>
        <w:i/>
        <w:sz w:val="21"/>
        <w:szCs w:val="21"/>
      </w:rPr>
      <w:t>Accionado:</w:t>
    </w:r>
    <w:r w:rsidRPr="006C2BA4">
      <w:rPr>
        <w:rFonts w:ascii="Arial" w:hAnsi="Arial" w:cs="Arial"/>
        <w:b/>
        <w:i/>
        <w:sz w:val="21"/>
        <w:szCs w:val="21"/>
        <w:lang w:val="es-CO"/>
      </w:rPr>
      <w:t xml:space="preserve"> </w:t>
    </w:r>
    <w:r w:rsidR="002809E4">
      <w:rPr>
        <w:rFonts w:ascii="Arial" w:hAnsi="Arial" w:cs="Arial"/>
        <w:bCs/>
        <w:i/>
        <w:sz w:val="21"/>
        <w:szCs w:val="21"/>
        <w:lang w:val="es-CO"/>
      </w:rPr>
      <w:t>Consejo Superior de la Judicatura</w:t>
    </w:r>
  </w:p>
  <w:p w14:paraId="7AB4EBFA" w14:textId="77777777" w:rsidR="000D5355" w:rsidRPr="006C2BA4" w:rsidRDefault="000D5355" w:rsidP="00586EAD">
    <w:pPr>
      <w:pStyle w:val="Sangradetextonormal"/>
      <w:tabs>
        <w:tab w:val="left" w:pos="3810"/>
      </w:tabs>
      <w:spacing w:after="0"/>
      <w:ind w:left="0"/>
      <w:jc w:val="right"/>
      <w:rPr>
        <w:sz w:val="21"/>
        <w:szCs w:val="21"/>
        <w:lang w:val="es-CO"/>
      </w:rPr>
    </w:pPr>
  </w:p>
  <w:p w14:paraId="18B29B95" w14:textId="77777777" w:rsidR="004829F4" w:rsidRPr="006C2BA4" w:rsidRDefault="004829F4">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3D0367">
    <w:pPr>
      <w:pStyle w:val="Encabezado"/>
      <w:jc w:val="center"/>
    </w:pPr>
    <w:r>
      <w:rPr>
        <w:rFonts w:ascii="Arial" w:hAnsi="Arial"/>
        <w:b/>
        <w:bCs/>
        <w:color w:val="000000"/>
        <w:sz w:val="24"/>
        <w:szCs w:val="24"/>
      </w:rPr>
      <w:t>CONSEJO DE ESTADO</w:t>
    </w:r>
  </w:p>
  <w:p w14:paraId="75B23417"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2245EC84"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 xml:space="preserve">                                                       SUBSECCIÓN C</w:t>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3599"/>
    <w:rsid w:val="00004155"/>
    <w:rsid w:val="00015574"/>
    <w:rsid w:val="00017A25"/>
    <w:rsid w:val="00020DDB"/>
    <w:rsid w:val="000260CD"/>
    <w:rsid w:val="000312DD"/>
    <w:rsid w:val="00031F4A"/>
    <w:rsid w:val="000476CA"/>
    <w:rsid w:val="000534C6"/>
    <w:rsid w:val="0005676F"/>
    <w:rsid w:val="00060D71"/>
    <w:rsid w:val="00072D73"/>
    <w:rsid w:val="000810A0"/>
    <w:rsid w:val="0008324D"/>
    <w:rsid w:val="00084939"/>
    <w:rsid w:val="00094B1E"/>
    <w:rsid w:val="0009586C"/>
    <w:rsid w:val="000A07A7"/>
    <w:rsid w:val="000A099C"/>
    <w:rsid w:val="000A3877"/>
    <w:rsid w:val="000A5F27"/>
    <w:rsid w:val="000B381E"/>
    <w:rsid w:val="000B3D2E"/>
    <w:rsid w:val="000B784F"/>
    <w:rsid w:val="000D0D9C"/>
    <w:rsid w:val="000D2312"/>
    <w:rsid w:val="000D2C81"/>
    <w:rsid w:val="000D5355"/>
    <w:rsid w:val="000E1F11"/>
    <w:rsid w:val="000E25A2"/>
    <w:rsid w:val="000F4E76"/>
    <w:rsid w:val="001035E7"/>
    <w:rsid w:val="001129E2"/>
    <w:rsid w:val="00114465"/>
    <w:rsid w:val="00121CD1"/>
    <w:rsid w:val="001262BE"/>
    <w:rsid w:val="001277BE"/>
    <w:rsid w:val="00127D03"/>
    <w:rsid w:val="00127FBC"/>
    <w:rsid w:val="0013021E"/>
    <w:rsid w:val="0013235F"/>
    <w:rsid w:val="001323CB"/>
    <w:rsid w:val="0013257F"/>
    <w:rsid w:val="00132CD3"/>
    <w:rsid w:val="00143405"/>
    <w:rsid w:val="00145034"/>
    <w:rsid w:val="00146123"/>
    <w:rsid w:val="001519E5"/>
    <w:rsid w:val="00151CA9"/>
    <w:rsid w:val="00156316"/>
    <w:rsid w:val="00173731"/>
    <w:rsid w:val="001754DB"/>
    <w:rsid w:val="00176EC9"/>
    <w:rsid w:val="00180962"/>
    <w:rsid w:val="00185369"/>
    <w:rsid w:val="00186576"/>
    <w:rsid w:val="00187FAA"/>
    <w:rsid w:val="001913E9"/>
    <w:rsid w:val="0019781C"/>
    <w:rsid w:val="001A17D4"/>
    <w:rsid w:val="001B1451"/>
    <w:rsid w:val="001B77E8"/>
    <w:rsid w:val="001C089D"/>
    <w:rsid w:val="001C0B4D"/>
    <w:rsid w:val="001D2814"/>
    <w:rsid w:val="001D695C"/>
    <w:rsid w:val="001E0E44"/>
    <w:rsid w:val="001E2B06"/>
    <w:rsid w:val="001E5D76"/>
    <w:rsid w:val="001F1E1B"/>
    <w:rsid w:val="001F7CD7"/>
    <w:rsid w:val="00206C34"/>
    <w:rsid w:val="0021648E"/>
    <w:rsid w:val="0022002D"/>
    <w:rsid w:val="00232FB1"/>
    <w:rsid w:val="002404CE"/>
    <w:rsid w:val="00247D66"/>
    <w:rsid w:val="00253EA1"/>
    <w:rsid w:val="002809E4"/>
    <w:rsid w:val="002825A0"/>
    <w:rsid w:val="00283E74"/>
    <w:rsid w:val="002900FC"/>
    <w:rsid w:val="00292F5E"/>
    <w:rsid w:val="002936C4"/>
    <w:rsid w:val="00295052"/>
    <w:rsid w:val="00295B60"/>
    <w:rsid w:val="002A0E12"/>
    <w:rsid w:val="002A778F"/>
    <w:rsid w:val="002C192A"/>
    <w:rsid w:val="002E3B3B"/>
    <w:rsid w:val="002F6196"/>
    <w:rsid w:val="00304A2A"/>
    <w:rsid w:val="00312447"/>
    <w:rsid w:val="00327263"/>
    <w:rsid w:val="00332C6D"/>
    <w:rsid w:val="003376D8"/>
    <w:rsid w:val="0034204F"/>
    <w:rsid w:val="003422FE"/>
    <w:rsid w:val="00355B4D"/>
    <w:rsid w:val="00357977"/>
    <w:rsid w:val="00370AAC"/>
    <w:rsid w:val="00374CAB"/>
    <w:rsid w:val="003A1AC9"/>
    <w:rsid w:val="003A5ADF"/>
    <w:rsid w:val="003A6FE8"/>
    <w:rsid w:val="003B11C8"/>
    <w:rsid w:val="003B69B8"/>
    <w:rsid w:val="003C52DA"/>
    <w:rsid w:val="003C7A08"/>
    <w:rsid w:val="003D0367"/>
    <w:rsid w:val="003E32B0"/>
    <w:rsid w:val="003E41FD"/>
    <w:rsid w:val="003E6F59"/>
    <w:rsid w:val="004025A0"/>
    <w:rsid w:val="00411B32"/>
    <w:rsid w:val="004225BB"/>
    <w:rsid w:val="0042440D"/>
    <w:rsid w:val="00440AD2"/>
    <w:rsid w:val="00441A02"/>
    <w:rsid w:val="004445AC"/>
    <w:rsid w:val="00457CF1"/>
    <w:rsid w:val="00457F79"/>
    <w:rsid w:val="0046289B"/>
    <w:rsid w:val="00464DE8"/>
    <w:rsid w:val="00467A21"/>
    <w:rsid w:val="00476ADD"/>
    <w:rsid w:val="0047710D"/>
    <w:rsid w:val="004813A4"/>
    <w:rsid w:val="00482360"/>
    <w:rsid w:val="004829F4"/>
    <w:rsid w:val="0048714B"/>
    <w:rsid w:val="00487CC9"/>
    <w:rsid w:val="0049190D"/>
    <w:rsid w:val="00493209"/>
    <w:rsid w:val="004A3976"/>
    <w:rsid w:val="004B0365"/>
    <w:rsid w:val="004B76AA"/>
    <w:rsid w:val="004C0081"/>
    <w:rsid w:val="004C36B2"/>
    <w:rsid w:val="004C553B"/>
    <w:rsid w:val="004D00F4"/>
    <w:rsid w:val="004D355A"/>
    <w:rsid w:val="004D5FFF"/>
    <w:rsid w:val="004E1E08"/>
    <w:rsid w:val="004E66E0"/>
    <w:rsid w:val="004E6DAB"/>
    <w:rsid w:val="004E7BD3"/>
    <w:rsid w:val="004F3A36"/>
    <w:rsid w:val="004F6323"/>
    <w:rsid w:val="005008B9"/>
    <w:rsid w:val="005024FD"/>
    <w:rsid w:val="00502BAF"/>
    <w:rsid w:val="00521ACA"/>
    <w:rsid w:val="005260A9"/>
    <w:rsid w:val="00526C1A"/>
    <w:rsid w:val="00534080"/>
    <w:rsid w:val="0053609E"/>
    <w:rsid w:val="00551989"/>
    <w:rsid w:val="00554862"/>
    <w:rsid w:val="00556239"/>
    <w:rsid w:val="0055784D"/>
    <w:rsid w:val="005647F8"/>
    <w:rsid w:val="00582E24"/>
    <w:rsid w:val="00585598"/>
    <w:rsid w:val="00586EAD"/>
    <w:rsid w:val="005951D6"/>
    <w:rsid w:val="005A68F1"/>
    <w:rsid w:val="005B7E46"/>
    <w:rsid w:val="005D5647"/>
    <w:rsid w:val="005D5E5A"/>
    <w:rsid w:val="005E0247"/>
    <w:rsid w:val="005E52FA"/>
    <w:rsid w:val="005E5DE6"/>
    <w:rsid w:val="005F007E"/>
    <w:rsid w:val="00602703"/>
    <w:rsid w:val="00606550"/>
    <w:rsid w:val="00612501"/>
    <w:rsid w:val="006139C8"/>
    <w:rsid w:val="00615EA7"/>
    <w:rsid w:val="0063050D"/>
    <w:rsid w:val="0064011E"/>
    <w:rsid w:val="00651E04"/>
    <w:rsid w:val="006532EC"/>
    <w:rsid w:val="00662A1D"/>
    <w:rsid w:val="006836DA"/>
    <w:rsid w:val="006860F2"/>
    <w:rsid w:val="006912F2"/>
    <w:rsid w:val="00697E6F"/>
    <w:rsid w:val="006A47F2"/>
    <w:rsid w:val="006B1B30"/>
    <w:rsid w:val="006C2780"/>
    <w:rsid w:val="006C2BA4"/>
    <w:rsid w:val="006D4C36"/>
    <w:rsid w:val="006D777A"/>
    <w:rsid w:val="006E764A"/>
    <w:rsid w:val="006F426D"/>
    <w:rsid w:val="006F5454"/>
    <w:rsid w:val="006F6A6F"/>
    <w:rsid w:val="007113EF"/>
    <w:rsid w:val="007114A3"/>
    <w:rsid w:val="0072083E"/>
    <w:rsid w:val="00725508"/>
    <w:rsid w:val="00731A14"/>
    <w:rsid w:val="00733F6C"/>
    <w:rsid w:val="007349A6"/>
    <w:rsid w:val="00742425"/>
    <w:rsid w:val="00747F5E"/>
    <w:rsid w:val="007547B7"/>
    <w:rsid w:val="00755174"/>
    <w:rsid w:val="007661C3"/>
    <w:rsid w:val="00770268"/>
    <w:rsid w:val="00770AB2"/>
    <w:rsid w:val="007816D4"/>
    <w:rsid w:val="0078610C"/>
    <w:rsid w:val="00786ACB"/>
    <w:rsid w:val="0079689D"/>
    <w:rsid w:val="007A4EFC"/>
    <w:rsid w:val="007B072C"/>
    <w:rsid w:val="007B672F"/>
    <w:rsid w:val="007C61DE"/>
    <w:rsid w:val="007E1148"/>
    <w:rsid w:val="007E42D6"/>
    <w:rsid w:val="007E780E"/>
    <w:rsid w:val="007F55BE"/>
    <w:rsid w:val="00804463"/>
    <w:rsid w:val="0082479A"/>
    <w:rsid w:val="00832330"/>
    <w:rsid w:val="008338A0"/>
    <w:rsid w:val="00842147"/>
    <w:rsid w:val="00842D00"/>
    <w:rsid w:val="00847C7C"/>
    <w:rsid w:val="008529E6"/>
    <w:rsid w:val="00865936"/>
    <w:rsid w:val="008754A3"/>
    <w:rsid w:val="008762F1"/>
    <w:rsid w:val="00884023"/>
    <w:rsid w:val="0088514C"/>
    <w:rsid w:val="00885567"/>
    <w:rsid w:val="00897DAB"/>
    <w:rsid w:val="008A450B"/>
    <w:rsid w:val="008A6917"/>
    <w:rsid w:val="008C2ECE"/>
    <w:rsid w:val="008C4BA4"/>
    <w:rsid w:val="008D201F"/>
    <w:rsid w:val="008D29F0"/>
    <w:rsid w:val="008D5ADD"/>
    <w:rsid w:val="008E231B"/>
    <w:rsid w:val="008E65B5"/>
    <w:rsid w:val="008E7556"/>
    <w:rsid w:val="008F7676"/>
    <w:rsid w:val="009168C5"/>
    <w:rsid w:val="009207EA"/>
    <w:rsid w:val="00920A43"/>
    <w:rsid w:val="00931412"/>
    <w:rsid w:val="00937B9A"/>
    <w:rsid w:val="009438BF"/>
    <w:rsid w:val="00944E19"/>
    <w:rsid w:val="00946A7A"/>
    <w:rsid w:val="00946C5E"/>
    <w:rsid w:val="00952A00"/>
    <w:rsid w:val="00957860"/>
    <w:rsid w:val="009604E3"/>
    <w:rsid w:val="009644F0"/>
    <w:rsid w:val="00966E21"/>
    <w:rsid w:val="009672C1"/>
    <w:rsid w:val="00974556"/>
    <w:rsid w:val="00985097"/>
    <w:rsid w:val="00991284"/>
    <w:rsid w:val="00992A4E"/>
    <w:rsid w:val="009A0745"/>
    <w:rsid w:val="009A1B4A"/>
    <w:rsid w:val="009B4AD6"/>
    <w:rsid w:val="009C339C"/>
    <w:rsid w:val="009E2F51"/>
    <w:rsid w:val="009E666D"/>
    <w:rsid w:val="00A03150"/>
    <w:rsid w:val="00A05261"/>
    <w:rsid w:val="00A057E6"/>
    <w:rsid w:val="00A06A20"/>
    <w:rsid w:val="00A0735C"/>
    <w:rsid w:val="00A42DCF"/>
    <w:rsid w:val="00A6391C"/>
    <w:rsid w:val="00A65ABE"/>
    <w:rsid w:val="00A879AF"/>
    <w:rsid w:val="00A9080C"/>
    <w:rsid w:val="00A91488"/>
    <w:rsid w:val="00AA01AC"/>
    <w:rsid w:val="00AA6723"/>
    <w:rsid w:val="00AB2854"/>
    <w:rsid w:val="00AC3D39"/>
    <w:rsid w:val="00AC3E01"/>
    <w:rsid w:val="00AC42B9"/>
    <w:rsid w:val="00AC596D"/>
    <w:rsid w:val="00AD1991"/>
    <w:rsid w:val="00AD2CCA"/>
    <w:rsid w:val="00AF0558"/>
    <w:rsid w:val="00AF135F"/>
    <w:rsid w:val="00AF7CD1"/>
    <w:rsid w:val="00B04B36"/>
    <w:rsid w:val="00B119A6"/>
    <w:rsid w:val="00B206F2"/>
    <w:rsid w:val="00B27B33"/>
    <w:rsid w:val="00B32D09"/>
    <w:rsid w:val="00B33A52"/>
    <w:rsid w:val="00B35B08"/>
    <w:rsid w:val="00B56EA7"/>
    <w:rsid w:val="00B636E8"/>
    <w:rsid w:val="00B70E20"/>
    <w:rsid w:val="00B71410"/>
    <w:rsid w:val="00B81890"/>
    <w:rsid w:val="00B81984"/>
    <w:rsid w:val="00B8431B"/>
    <w:rsid w:val="00B848C6"/>
    <w:rsid w:val="00B84FE1"/>
    <w:rsid w:val="00B8700D"/>
    <w:rsid w:val="00B90503"/>
    <w:rsid w:val="00BA36B8"/>
    <w:rsid w:val="00BA3A31"/>
    <w:rsid w:val="00BA554C"/>
    <w:rsid w:val="00BA56D5"/>
    <w:rsid w:val="00BC6BD2"/>
    <w:rsid w:val="00BC746B"/>
    <w:rsid w:val="00BD2ED4"/>
    <w:rsid w:val="00BD6430"/>
    <w:rsid w:val="00BE5090"/>
    <w:rsid w:val="00BF5CC9"/>
    <w:rsid w:val="00BF5CE5"/>
    <w:rsid w:val="00BF716F"/>
    <w:rsid w:val="00C05ECA"/>
    <w:rsid w:val="00C06D49"/>
    <w:rsid w:val="00C075D2"/>
    <w:rsid w:val="00C103C3"/>
    <w:rsid w:val="00C10AB5"/>
    <w:rsid w:val="00C22B04"/>
    <w:rsid w:val="00C248C8"/>
    <w:rsid w:val="00C41A6F"/>
    <w:rsid w:val="00C44EB3"/>
    <w:rsid w:val="00C51DA2"/>
    <w:rsid w:val="00C53C25"/>
    <w:rsid w:val="00C63889"/>
    <w:rsid w:val="00C732E6"/>
    <w:rsid w:val="00C82CBE"/>
    <w:rsid w:val="00C85AA8"/>
    <w:rsid w:val="00C85CA7"/>
    <w:rsid w:val="00C8793D"/>
    <w:rsid w:val="00C90AA4"/>
    <w:rsid w:val="00C97770"/>
    <w:rsid w:val="00CA0EE6"/>
    <w:rsid w:val="00CA33E7"/>
    <w:rsid w:val="00CB16F2"/>
    <w:rsid w:val="00CB47EF"/>
    <w:rsid w:val="00CC0E73"/>
    <w:rsid w:val="00CC170F"/>
    <w:rsid w:val="00CE0DCA"/>
    <w:rsid w:val="00CF006E"/>
    <w:rsid w:val="00D04BB9"/>
    <w:rsid w:val="00D07966"/>
    <w:rsid w:val="00D1105A"/>
    <w:rsid w:val="00D112EF"/>
    <w:rsid w:val="00D137FD"/>
    <w:rsid w:val="00D2040D"/>
    <w:rsid w:val="00D30F6C"/>
    <w:rsid w:val="00D3130F"/>
    <w:rsid w:val="00D334A9"/>
    <w:rsid w:val="00D33BD6"/>
    <w:rsid w:val="00D4096B"/>
    <w:rsid w:val="00D43B92"/>
    <w:rsid w:val="00D51B01"/>
    <w:rsid w:val="00D53FDC"/>
    <w:rsid w:val="00D54CE0"/>
    <w:rsid w:val="00D54D6F"/>
    <w:rsid w:val="00D563D9"/>
    <w:rsid w:val="00D6358C"/>
    <w:rsid w:val="00D67BD7"/>
    <w:rsid w:val="00D7349C"/>
    <w:rsid w:val="00D737ED"/>
    <w:rsid w:val="00D7534C"/>
    <w:rsid w:val="00DA1687"/>
    <w:rsid w:val="00DA5CAA"/>
    <w:rsid w:val="00DB0D2F"/>
    <w:rsid w:val="00DC76A7"/>
    <w:rsid w:val="00DD1006"/>
    <w:rsid w:val="00DD1B20"/>
    <w:rsid w:val="00DE6611"/>
    <w:rsid w:val="00DF048A"/>
    <w:rsid w:val="00DF4CF7"/>
    <w:rsid w:val="00DF77AC"/>
    <w:rsid w:val="00E03282"/>
    <w:rsid w:val="00E04C88"/>
    <w:rsid w:val="00E07B7E"/>
    <w:rsid w:val="00E12252"/>
    <w:rsid w:val="00E152B6"/>
    <w:rsid w:val="00E158B8"/>
    <w:rsid w:val="00E23CED"/>
    <w:rsid w:val="00E27B57"/>
    <w:rsid w:val="00E35922"/>
    <w:rsid w:val="00E36422"/>
    <w:rsid w:val="00E43E1D"/>
    <w:rsid w:val="00E46B11"/>
    <w:rsid w:val="00E50B12"/>
    <w:rsid w:val="00E50C82"/>
    <w:rsid w:val="00E6240A"/>
    <w:rsid w:val="00E66484"/>
    <w:rsid w:val="00E759EC"/>
    <w:rsid w:val="00EA2CEB"/>
    <w:rsid w:val="00EC467C"/>
    <w:rsid w:val="00EC7293"/>
    <w:rsid w:val="00EC7967"/>
    <w:rsid w:val="00ED04A2"/>
    <w:rsid w:val="00ED2622"/>
    <w:rsid w:val="00ED4C8E"/>
    <w:rsid w:val="00ED517E"/>
    <w:rsid w:val="00EE693A"/>
    <w:rsid w:val="00F055F3"/>
    <w:rsid w:val="00F20FBE"/>
    <w:rsid w:val="00F215F1"/>
    <w:rsid w:val="00F260B1"/>
    <w:rsid w:val="00F26D6A"/>
    <w:rsid w:val="00F31F6D"/>
    <w:rsid w:val="00F47372"/>
    <w:rsid w:val="00F52DFF"/>
    <w:rsid w:val="00F54AEF"/>
    <w:rsid w:val="00F552AE"/>
    <w:rsid w:val="00F5569F"/>
    <w:rsid w:val="00F57CFD"/>
    <w:rsid w:val="00F66A7F"/>
    <w:rsid w:val="00F700FA"/>
    <w:rsid w:val="00F83B9C"/>
    <w:rsid w:val="00F91577"/>
    <w:rsid w:val="00F91DD5"/>
    <w:rsid w:val="00F931E9"/>
    <w:rsid w:val="00F9624F"/>
    <w:rsid w:val="00FA562E"/>
    <w:rsid w:val="00FB00D5"/>
    <w:rsid w:val="00FB14AC"/>
    <w:rsid w:val="00FB2DF2"/>
    <w:rsid w:val="00FB6D55"/>
    <w:rsid w:val="00FB7D59"/>
    <w:rsid w:val="00FD1072"/>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A55C2-8656-4CA1-853A-8A23561BB74F}">
  <ds:schemaRefs>
    <ds:schemaRef ds:uri="http://schemas.openxmlformats.org/officeDocument/2006/bibliography"/>
  </ds:schemaRefs>
</ds:datastoreItem>
</file>

<file path=customXml/itemProps2.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8FEC5-5030-4D2D-B689-D3CF68608302}">
  <ds:schemaRefs>
    <ds:schemaRef ds:uri="http://schemas.microsoft.com/sharepoint/v3/contenttype/forms"/>
  </ds:schemaRefs>
</ds:datastoreItem>
</file>

<file path=customXml/itemProps4.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2020-11-07T00:10:00Z</cp:lastPrinted>
  <dcterms:created xsi:type="dcterms:W3CDTF">2020-11-07T00:10:00Z</dcterms:created>
  <dcterms:modified xsi:type="dcterms:W3CDTF">2020-11-07T00:11:00Z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