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3093" w14:textId="77777777" w:rsidR="000C5DB7" w:rsidRPr="0017110A" w:rsidRDefault="000C5DB7" w:rsidP="0017110A">
      <w:pPr>
        <w:pStyle w:val="Sinespaciado"/>
        <w:spacing w:line="276" w:lineRule="auto"/>
        <w:rPr>
          <w:szCs w:val="24"/>
        </w:rPr>
      </w:pPr>
      <w:r w:rsidRPr="0017110A">
        <w:rPr>
          <w:szCs w:val="24"/>
        </w:rPr>
        <w:t>CONSEJERO PONENTE: JAIME ENRIQUE RODRÍGUEZ NAVAS</w:t>
      </w:r>
    </w:p>
    <w:p w14:paraId="722460E6" w14:textId="77777777" w:rsidR="00F91B32" w:rsidRPr="0017110A" w:rsidRDefault="00F91B32" w:rsidP="0017110A">
      <w:pPr>
        <w:spacing w:line="276" w:lineRule="auto"/>
        <w:contextualSpacing/>
        <w:rPr>
          <w:b/>
          <w:bCs/>
          <w:sz w:val="24"/>
          <w:szCs w:val="24"/>
        </w:rPr>
      </w:pPr>
    </w:p>
    <w:p w14:paraId="78A64E2A" w14:textId="7951BFF9" w:rsidR="000C5DB7" w:rsidRPr="0017110A" w:rsidRDefault="000C5DB7" w:rsidP="0017110A">
      <w:pPr>
        <w:spacing w:line="276" w:lineRule="auto"/>
        <w:contextualSpacing/>
        <w:rPr>
          <w:bCs/>
          <w:sz w:val="24"/>
          <w:szCs w:val="24"/>
        </w:rPr>
      </w:pPr>
      <w:r w:rsidRPr="0017110A">
        <w:rPr>
          <w:bCs/>
          <w:sz w:val="24"/>
          <w:szCs w:val="24"/>
        </w:rPr>
        <w:t>Bogotá D.C.,</w:t>
      </w:r>
      <w:r w:rsidR="00C53B7C" w:rsidRPr="0017110A">
        <w:rPr>
          <w:bCs/>
          <w:sz w:val="24"/>
          <w:szCs w:val="24"/>
        </w:rPr>
        <w:t xml:space="preserve"> </w:t>
      </w:r>
      <w:r w:rsidR="0017110A">
        <w:rPr>
          <w:bCs/>
          <w:sz w:val="24"/>
          <w:szCs w:val="24"/>
        </w:rPr>
        <w:t>siete</w:t>
      </w:r>
      <w:r w:rsidR="006A6312" w:rsidRPr="0017110A">
        <w:rPr>
          <w:bCs/>
          <w:sz w:val="24"/>
          <w:szCs w:val="24"/>
        </w:rPr>
        <w:t xml:space="preserve"> </w:t>
      </w:r>
      <w:r w:rsidRPr="0017110A">
        <w:rPr>
          <w:bCs/>
          <w:sz w:val="24"/>
          <w:szCs w:val="24"/>
        </w:rPr>
        <w:t>(</w:t>
      </w:r>
      <w:r w:rsidR="0017110A">
        <w:rPr>
          <w:bCs/>
          <w:sz w:val="24"/>
          <w:szCs w:val="24"/>
        </w:rPr>
        <w:t>7</w:t>
      </w:r>
      <w:r w:rsidRPr="0017110A">
        <w:rPr>
          <w:bCs/>
          <w:sz w:val="24"/>
          <w:szCs w:val="24"/>
        </w:rPr>
        <w:t>) de</w:t>
      </w:r>
      <w:r w:rsidR="00C53B7C" w:rsidRPr="0017110A">
        <w:rPr>
          <w:bCs/>
          <w:sz w:val="24"/>
          <w:szCs w:val="24"/>
        </w:rPr>
        <w:t xml:space="preserve"> </w:t>
      </w:r>
      <w:r w:rsidR="00FD6DC9" w:rsidRPr="0017110A">
        <w:rPr>
          <w:bCs/>
          <w:sz w:val="24"/>
          <w:szCs w:val="24"/>
        </w:rPr>
        <w:t>mayo</w:t>
      </w:r>
      <w:r w:rsidR="00C53B7C" w:rsidRPr="0017110A">
        <w:rPr>
          <w:bCs/>
          <w:sz w:val="24"/>
          <w:szCs w:val="24"/>
        </w:rPr>
        <w:t xml:space="preserve"> </w:t>
      </w:r>
      <w:r w:rsidRPr="0017110A">
        <w:rPr>
          <w:bCs/>
          <w:sz w:val="24"/>
          <w:szCs w:val="24"/>
        </w:rPr>
        <w:t xml:space="preserve">de dos mil </w:t>
      </w:r>
      <w:r w:rsidR="00C87516" w:rsidRPr="0017110A">
        <w:rPr>
          <w:bCs/>
          <w:sz w:val="24"/>
          <w:szCs w:val="24"/>
        </w:rPr>
        <w:t>veint</w:t>
      </w:r>
      <w:r w:rsidR="007F09F8" w:rsidRPr="0017110A">
        <w:rPr>
          <w:bCs/>
          <w:sz w:val="24"/>
          <w:szCs w:val="24"/>
        </w:rPr>
        <w:t>iuno</w:t>
      </w:r>
      <w:r w:rsidRPr="0017110A">
        <w:rPr>
          <w:bCs/>
          <w:sz w:val="24"/>
          <w:szCs w:val="24"/>
        </w:rPr>
        <w:t xml:space="preserve"> (</w:t>
      </w:r>
      <w:r w:rsidR="00C87516" w:rsidRPr="0017110A">
        <w:rPr>
          <w:bCs/>
          <w:sz w:val="24"/>
          <w:szCs w:val="24"/>
        </w:rPr>
        <w:t>202</w:t>
      </w:r>
      <w:r w:rsidR="007F09F8" w:rsidRPr="0017110A">
        <w:rPr>
          <w:bCs/>
          <w:sz w:val="24"/>
          <w:szCs w:val="24"/>
        </w:rPr>
        <w:t>1</w:t>
      </w:r>
      <w:r w:rsidR="001F52D2" w:rsidRPr="0017110A">
        <w:rPr>
          <w:bCs/>
          <w:sz w:val="24"/>
          <w:szCs w:val="24"/>
        </w:rPr>
        <w:t>)</w:t>
      </w:r>
    </w:p>
    <w:p w14:paraId="1F118FC8" w14:textId="77777777" w:rsidR="00F91B32" w:rsidRPr="0017110A" w:rsidRDefault="00F91B32" w:rsidP="0017110A">
      <w:pPr>
        <w:spacing w:line="276" w:lineRule="auto"/>
        <w:contextualSpacing/>
        <w:rPr>
          <w:b/>
          <w:sz w:val="24"/>
          <w:szCs w:val="24"/>
        </w:rPr>
      </w:pPr>
    </w:p>
    <w:p w14:paraId="7FC59C22" w14:textId="77777777" w:rsidR="000C5DB7" w:rsidRPr="0017110A" w:rsidRDefault="000C5DB7" w:rsidP="0017110A">
      <w:pPr>
        <w:spacing w:line="276" w:lineRule="auto"/>
        <w:ind w:left="1620" w:hanging="1625"/>
        <w:contextualSpacing/>
        <w:rPr>
          <w:b/>
          <w:sz w:val="24"/>
          <w:szCs w:val="24"/>
        </w:rPr>
      </w:pPr>
      <w:r w:rsidRPr="0017110A">
        <w:rPr>
          <w:b/>
          <w:sz w:val="24"/>
          <w:szCs w:val="24"/>
        </w:rPr>
        <w:t xml:space="preserve">Referencia: </w:t>
      </w:r>
      <w:r w:rsidRPr="0017110A">
        <w:rPr>
          <w:b/>
          <w:sz w:val="24"/>
          <w:szCs w:val="24"/>
        </w:rPr>
        <w:tab/>
      </w:r>
      <w:r w:rsidRPr="0017110A">
        <w:rPr>
          <w:sz w:val="24"/>
          <w:szCs w:val="24"/>
        </w:rPr>
        <w:t>A</w:t>
      </w:r>
      <w:r w:rsidR="00E45687" w:rsidRPr="0017110A">
        <w:rPr>
          <w:sz w:val="24"/>
          <w:szCs w:val="24"/>
        </w:rPr>
        <w:t xml:space="preserve">cción de </w:t>
      </w:r>
      <w:r w:rsidR="00041C53" w:rsidRPr="0017110A">
        <w:rPr>
          <w:sz w:val="24"/>
          <w:szCs w:val="24"/>
        </w:rPr>
        <w:t>T</w:t>
      </w:r>
      <w:r w:rsidR="00E45687" w:rsidRPr="0017110A">
        <w:rPr>
          <w:sz w:val="24"/>
          <w:szCs w:val="24"/>
        </w:rPr>
        <w:t>utela</w:t>
      </w:r>
    </w:p>
    <w:p w14:paraId="5B03B232" w14:textId="2E0D4012" w:rsidR="000C5DB7" w:rsidRPr="0017110A" w:rsidRDefault="000C5DB7" w:rsidP="0017110A">
      <w:pPr>
        <w:spacing w:line="276" w:lineRule="auto"/>
        <w:ind w:left="1620" w:hanging="1625"/>
        <w:contextualSpacing/>
        <w:rPr>
          <w:sz w:val="24"/>
          <w:szCs w:val="24"/>
        </w:rPr>
      </w:pPr>
      <w:r w:rsidRPr="0017110A">
        <w:rPr>
          <w:b/>
          <w:sz w:val="24"/>
          <w:szCs w:val="24"/>
        </w:rPr>
        <w:t>Radicación:</w:t>
      </w:r>
      <w:r w:rsidRPr="0017110A">
        <w:rPr>
          <w:b/>
          <w:sz w:val="24"/>
          <w:szCs w:val="24"/>
        </w:rPr>
        <w:tab/>
      </w:r>
      <w:r w:rsidR="00FD6DC9" w:rsidRPr="0017110A">
        <w:rPr>
          <w:sz w:val="24"/>
          <w:szCs w:val="24"/>
        </w:rPr>
        <w:t>11001-03-15-000-2021-02138-00</w:t>
      </w:r>
    </w:p>
    <w:p w14:paraId="37D80D18" w14:textId="5BF6EF43" w:rsidR="000C5DB7" w:rsidRPr="0017110A" w:rsidRDefault="000C5DB7" w:rsidP="0017110A">
      <w:pPr>
        <w:spacing w:line="276" w:lineRule="auto"/>
        <w:ind w:left="1620" w:hanging="1625"/>
        <w:contextualSpacing/>
        <w:rPr>
          <w:sz w:val="24"/>
          <w:szCs w:val="24"/>
        </w:rPr>
      </w:pPr>
      <w:r w:rsidRPr="0017110A">
        <w:rPr>
          <w:b/>
          <w:sz w:val="24"/>
          <w:szCs w:val="24"/>
        </w:rPr>
        <w:t>Accionante:</w:t>
      </w:r>
      <w:r w:rsidRPr="0017110A">
        <w:rPr>
          <w:b/>
          <w:sz w:val="24"/>
          <w:szCs w:val="24"/>
        </w:rPr>
        <w:tab/>
      </w:r>
      <w:r w:rsidR="00FD6DC9" w:rsidRPr="0017110A">
        <w:rPr>
          <w:bCs/>
          <w:sz w:val="24"/>
          <w:szCs w:val="24"/>
        </w:rPr>
        <w:t>Claudia Helena Díaz Lozano</w:t>
      </w:r>
    </w:p>
    <w:p w14:paraId="767B1EE4" w14:textId="33D4292D" w:rsidR="000C5DB7" w:rsidRPr="0017110A" w:rsidRDefault="000C5DB7" w:rsidP="0017110A">
      <w:pPr>
        <w:spacing w:line="276" w:lineRule="auto"/>
        <w:ind w:left="1620" w:right="51" w:hanging="1625"/>
        <w:contextualSpacing/>
        <w:rPr>
          <w:bCs/>
          <w:sz w:val="24"/>
          <w:szCs w:val="24"/>
        </w:rPr>
      </w:pPr>
      <w:r w:rsidRPr="0017110A">
        <w:rPr>
          <w:b/>
          <w:sz w:val="24"/>
          <w:szCs w:val="24"/>
        </w:rPr>
        <w:t>Accionado</w:t>
      </w:r>
      <w:r w:rsidR="00FD6DC9" w:rsidRPr="0017110A">
        <w:rPr>
          <w:b/>
          <w:sz w:val="24"/>
          <w:szCs w:val="24"/>
        </w:rPr>
        <w:t>s</w:t>
      </w:r>
      <w:r w:rsidRPr="0017110A">
        <w:rPr>
          <w:b/>
          <w:sz w:val="24"/>
          <w:szCs w:val="24"/>
        </w:rPr>
        <w:t>:</w:t>
      </w:r>
      <w:r w:rsidRPr="0017110A">
        <w:rPr>
          <w:b/>
          <w:sz w:val="24"/>
          <w:szCs w:val="24"/>
        </w:rPr>
        <w:tab/>
      </w:r>
      <w:r w:rsidR="00FD6DC9" w:rsidRPr="0017110A">
        <w:rPr>
          <w:bCs/>
          <w:sz w:val="24"/>
          <w:szCs w:val="24"/>
        </w:rPr>
        <w:t xml:space="preserve">Tribunal Administrativo del </w:t>
      </w:r>
      <w:r w:rsidR="008D2471" w:rsidRPr="0017110A">
        <w:rPr>
          <w:bCs/>
          <w:sz w:val="24"/>
          <w:szCs w:val="24"/>
        </w:rPr>
        <w:t>Tolima</w:t>
      </w:r>
      <w:r w:rsidR="00FD6DC9" w:rsidRPr="0017110A">
        <w:rPr>
          <w:bCs/>
          <w:sz w:val="24"/>
          <w:szCs w:val="24"/>
        </w:rPr>
        <w:t xml:space="preserve">, Juzgado Quinto Administrativo del Circuito Judicial de Ibagué, Superintendencia Nacional de Salud y </w:t>
      </w:r>
      <w:r w:rsidR="007F09F8" w:rsidRPr="0017110A">
        <w:rPr>
          <w:bCs/>
          <w:sz w:val="24"/>
          <w:szCs w:val="24"/>
        </w:rPr>
        <w:t>Consejo Superior de la Judicatura</w:t>
      </w:r>
    </w:p>
    <w:p w14:paraId="6C5D147A" w14:textId="77777777" w:rsidR="000C5DB7" w:rsidRPr="0017110A" w:rsidRDefault="000C5DB7" w:rsidP="0017110A">
      <w:pPr>
        <w:spacing w:line="276" w:lineRule="auto"/>
        <w:ind w:right="51"/>
        <w:contextualSpacing/>
        <w:rPr>
          <w:b/>
          <w:sz w:val="24"/>
          <w:szCs w:val="24"/>
        </w:rPr>
      </w:pPr>
    </w:p>
    <w:p w14:paraId="49E76BB4" w14:textId="23744286" w:rsidR="000C5DB7" w:rsidRPr="0017110A" w:rsidRDefault="00211F0C" w:rsidP="0017110A">
      <w:pPr>
        <w:pBdr>
          <w:bottom w:val="single" w:sz="12" w:space="0" w:color="auto"/>
        </w:pBdr>
        <w:spacing w:line="276" w:lineRule="auto"/>
        <w:ind w:left="2832" w:hanging="2832"/>
        <w:contextualSpacing/>
        <w:rPr>
          <w:b/>
          <w:sz w:val="24"/>
          <w:szCs w:val="24"/>
        </w:rPr>
      </w:pPr>
      <w:r w:rsidRPr="0017110A">
        <w:rPr>
          <w:b/>
          <w:sz w:val="24"/>
          <w:szCs w:val="24"/>
        </w:rPr>
        <w:t xml:space="preserve">AUTO </w:t>
      </w:r>
      <w:r w:rsidR="0017110A" w:rsidRPr="0017110A">
        <w:rPr>
          <w:b/>
          <w:sz w:val="24"/>
          <w:szCs w:val="24"/>
        </w:rPr>
        <w:t>DE TRÁMITE</w:t>
      </w:r>
    </w:p>
    <w:p w14:paraId="304A7308" w14:textId="229144BF" w:rsidR="004849BB" w:rsidRPr="0017110A" w:rsidRDefault="004849BB" w:rsidP="0017110A">
      <w:pPr>
        <w:pStyle w:val="Textoindependiente21"/>
        <w:spacing w:after="0" w:line="276" w:lineRule="auto"/>
        <w:ind w:left="0"/>
        <w:jc w:val="both"/>
        <w:rPr>
          <w:rFonts w:cs="Arial"/>
          <w:sz w:val="24"/>
          <w:szCs w:val="24"/>
        </w:rPr>
      </w:pPr>
    </w:p>
    <w:p w14:paraId="12D83374" w14:textId="4F175551" w:rsidR="0017110A" w:rsidRPr="0017110A" w:rsidRDefault="0017110A" w:rsidP="0017110A">
      <w:pPr>
        <w:spacing w:line="276" w:lineRule="auto"/>
        <w:rPr>
          <w:sz w:val="24"/>
          <w:szCs w:val="24"/>
          <w:lang w:eastAsia="en-US"/>
        </w:rPr>
      </w:pPr>
      <w:r w:rsidRPr="0017110A">
        <w:rPr>
          <w:sz w:val="24"/>
          <w:szCs w:val="24"/>
        </w:rPr>
        <w:t>Este Despacho</w:t>
      </w:r>
      <w:r>
        <w:rPr>
          <w:sz w:val="24"/>
          <w:szCs w:val="24"/>
        </w:rPr>
        <w:t>, dentro del trámite de la referencia,</w:t>
      </w:r>
      <w:r w:rsidRPr="0017110A">
        <w:rPr>
          <w:sz w:val="24"/>
          <w:szCs w:val="24"/>
        </w:rPr>
        <w:t xml:space="preserve"> profirió auto </w:t>
      </w:r>
      <w:r>
        <w:rPr>
          <w:sz w:val="24"/>
          <w:szCs w:val="24"/>
        </w:rPr>
        <w:t>d</w:t>
      </w:r>
      <w:r w:rsidRPr="0017110A">
        <w:rPr>
          <w:sz w:val="24"/>
          <w:szCs w:val="24"/>
        </w:rPr>
        <w:t xml:space="preserve">el </w:t>
      </w:r>
      <w:r>
        <w:rPr>
          <w:sz w:val="24"/>
          <w:szCs w:val="24"/>
        </w:rPr>
        <w:t xml:space="preserve">5 </w:t>
      </w:r>
      <w:r w:rsidRPr="0017110A">
        <w:rPr>
          <w:sz w:val="24"/>
          <w:szCs w:val="24"/>
        </w:rPr>
        <w:t xml:space="preserve">de </w:t>
      </w:r>
      <w:r>
        <w:rPr>
          <w:sz w:val="24"/>
          <w:szCs w:val="24"/>
        </w:rPr>
        <w:t>mayo</w:t>
      </w:r>
      <w:r w:rsidRPr="0017110A">
        <w:rPr>
          <w:sz w:val="24"/>
          <w:szCs w:val="24"/>
        </w:rPr>
        <w:t xml:space="preserve"> de 2021, </w:t>
      </w:r>
      <w:r>
        <w:rPr>
          <w:sz w:val="24"/>
          <w:szCs w:val="24"/>
        </w:rPr>
        <w:t>por medio del cual</w:t>
      </w:r>
      <w:r w:rsidRPr="0017110A">
        <w:rPr>
          <w:sz w:val="24"/>
          <w:szCs w:val="24"/>
        </w:rPr>
        <w:t xml:space="preserve"> admitió la acción de tutela </w:t>
      </w:r>
      <w:r>
        <w:rPr>
          <w:sz w:val="24"/>
          <w:szCs w:val="24"/>
        </w:rPr>
        <w:t>promovida</w:t>
      </w:r>
      <w:r w:rsidRPr="0017110A">
        <w:rPr>
          <w:sz w:val="24"/>
          <w:szCs w:val="24"/>
        </w:rPr>
        <w:t xml:space="preserve"> por Claudia Helena Díaz Lozano. En el numeral primero de la parte resolutiva de la </w:t>
      </w:r>
      <w:r>
        <w:rPr>
          <w:sz w:val="24"/>
          <w:szCs w:val="24"/>
        </w:rPr>
        <w:t>citada</w:t>
      </w:r>
      <w:r w:rsidRPr="0017110A">
        <w:rPr>
          <w:sz w:val="24"/>
          <w:szCs w:val="24"/>
        </w:rPr>
        <w:t xml:space="preserve"> providencia </w:t>
      </w:r>
      <w:r w:rsidR="00AA17B1">
        <w:rPr>
          <w:sz w:val="24"/>
          <w:szCs w:val="24"/>
        </w:rPr>
        <w:t>fue dispuesto lo siguiente</w:t>
      </w:r>
      <w:r w:rsidRPr="0017110A">
        <w:rPr>
          <w:sz w:val="24"/>
          <w:szCs w:val="24"/>
        </w:rPr>
        <w:t>:</w:t>
      </w:r>
    </w:p>
    <w:p w14:paraId="0B3AA636" w14:textId="77777777" w:rsidR="0017110A" w:rsidRPr="0017110A" w:rsidRDefault="0017110A" w:rsidP="0017110A">
      <w:pPr>
        <w:spacing w:line="276" w:lineRule="auto"/>
        <w:rPr>
          <w:sz w:val="24"/>
          <w:szCs w:val="24"/>
        </w:rPr>
      </w:pPr>
    </w:p>
    <w:p w14:paraId="64071A84" w14:textId="26864A1C" w:rsidR="0017110A" w:rsidRPr="0017110A" w:rsidRDefault="0017110A" w:rsidP="0017110A">
      <w:pPr>
        <w:pStyle w:val="Textoindependiente21"/>
        <w:spacing w:after="0" w:line="276" w:lineRule="auto"/>
        <w:ind w:left="708"/>
        <w:jc w:val="both"/>
        <w:rPr>
          <w:rFonts w:cs="Arial"/>
          <w:sz w:val="22"/>
          <w:szCs w:val="22"/>
          <w:lang w:val="es-CO"/>
        </w:rPr>
      </w:pPr>
      <w:r w:rsidRPr="0017110A">
        <w:rPr>
          <w:rFonts w:cs="Arial"/>
          <w:sz w:val="22"/>
          <w:szCs w:val="22"/>
          <w:lang w:val="es-CO"/>
        </w:rPr>
        <w:t>“</w:t>
      </w:r>
      <w:r w:rsidRPr="0017110A">
        <w:rPr>
          <w:b/>
          <w:sz w:val="22"/>
          <w:szCs w:val="22"/>
        </w:rPr>
        <w:t>ADMITIR</w:t>
      </w:r>
      <w:r w:rsidRPr="0017110A">
        <w:rPr>
          <w:sz w:val="22"/>
          <w:szCs w:val="22"/>
        </w:rPr>
        <w:t xml:space="preserve"> la solicitud instaurada, en ejercicio de la acción de tutela, por Claudia Helena Díaz Lozano contra el Tribunal Administrativo del </w:t>
      </w:r>
      <w:r>
        <w:rPr>
          <w:sz w:val="22"/>
          <w:szCs w:val="22"/>
        </w:rPr>
        <w:t>Quindío</w:t>
      </w:r>
      <w:r w:rsidRPr="0017110A">
        <w:rPr>
          <w:sz w:val="22"/>
          <w:szCs w:val="22"/>
        </w:rPr>
        <w:t>, el Juzgado Quinto Administrativo del Circuito Judicial de Ibagué, la Superintendencia Nacional de Salud y el Consejo Superior de la Judicatura”</w:t>
      </w:r>
      <w:r>
        <w:rPr>
          <w:rFonts w:cs="Arial"/>
          <w:bCs/>
          <w:sz w:val="22"/>
          <w:szCs w:val="22"/>
          <w:lang w:val="es-CO"/>
        </w:rPr>
        <w:t xml:space="preserve"> (negrilla dentro del texto).</w:t>
      </w:r>
    </w:p>
    <w:p w14:paraId="7F911CEE" w14:textId="77777777" w:rsidR="0017110A" w:rsidRPr="0017110A" w:rsidRDefault="0017110A" w:rsidP="0017110A">
      <w:pPr>
        <w:spacing w:line="276" w:lineRule="auto"/>
        <w:rPr>
          <w:sz w:val="24"/>
          <w:szCs w:val="24"/>
        </w:rPr>
      </w:pPr>
    </w:p>
    <w:p w14:paraId="7D0FD4A3" w14:textId="4EC995D6" w:rsidR="0017110A" w:rsidRPr="0017110A" w:rsidRDefault="0017110A" w:rsidP="0017110A">
      <w:pPr>
        <w:spacing w:line="276" w:lineRule="auto"/>
        <w:rPr>
          <w:sz w:val="24"/>
          <w:szCs w:val="24"/>
        </w:rPr>
      </w:pPr>
      <w:r>
        <w:rPr>
          <w:sz w:val="24"/>
          <w:szCs w:val="24"/>
        </w:rPr>
        <w:t>A</w:t>
      </w:r>
      <w:r w:rsidRPr="0017110A">
        <w:rPr>
          <w:sz w:val="24"/>
          <w:szCs w:val="24"/>
        </w:rPr>
        <w:t xml:space="preserve">l momento en que se debía surtir el trámite de notificación </w:t>
      </w:r>
      <w:r w:rsidR="00AA17B1">
        <w:rPr>
          <w:sz w:val="24"/>
          <w:szCs w:val="24"/>
        </w:rPr>
        <w:t>del citado</w:t>
      </w:r>
      <w:r>
        <w:rPr>
          <w:sz w:val="24"/>
          <w:szCs w:val="24"/>
        </w:rPr>
        <w:t xml:space="preserve"> proveído </w:t>
      </w:r>
      <w:r w:rsidRPr="0017110A">
        <w:rPr>
          <w:sz w:val="24"/>
          <w:szCs w:val="24"/>
        </w:rPr>
        <w:t xml:space="preserve">el suscrito </w:t>
      </w:r>
      <w:r>
        <w:rPr>
          <w:sz w:val="24"/>
          <w:szCs w:val="24"/>
        </w:rPr>
        <w:t>consejero de Estado</w:t>
      </w:r>
      <w:r w:rsidRPr="0017110A">
        <w:rPr>
          <w:sz w:val="24"/>
          <w:szCs w:val="24"/>
        </w:rPr>
        <w:t xml:space="preserve"> observó que, por error</w:t>
      </w:r>
      <w:r>
        <w:rPr>
          <w:sz w:val="24"/>
          <w:szCs w:val="24"/>
        </w:rPr>
        <w:t xml:space="preserve"> de digitación</w:t>
      </w:r>
      <w:r w:rsidRPr="0017110A">
        <w:rPr>
          <w:sz w:val="24"/>
          <w:szCs w:val="24"/>
        </w:rPr>
        <w:t xml:space="preserve">, se indicó que </w:t>
      </w:r>
      <w:r>
        <w:rPr>
          <w:sz w:val="24"/>
          <w:szCs w:val="24"/>
        </w:rPr>
        <w:t xml:space="preserve">una de </w:t>
      </w:r>
      <w:r w:rsidRPr="0017110A">
        <w:rPr>
          <w:sz w:val="24"/>
          <w:szCs w:val="24"/>
        </w:rPr>
        <w:t>la</w:t>
      </w:r>
      <w:r>
        <w:rPr>
          <w:sz w:val="24"/>
          <w:szCs w:val="24"/>
        </w:rPr>
        <w:t>s</w:t>
      </w:r>
      <w:r w:rsidRPr="0017110A">
        <w:rPr>
          <w:sz w:val="24"/>
          <w:szCs w:val="24"/>
        </w:rPr>
        <w:t xml:space="preserve"> autoridad</w:t>
      </w:r>
      <w:r>
        <w:rPr>
          <w:sz w:val="24"/>
          <w:szCs w:val="24"/>
        </w:rPr>
        <w:t>es</w:t>
      </w:r>
      <w:r w:rsidRPr="0017110A">
        <w:rPr>
          <w:sz w:val="24"/>
          <w:szCs w:val="24"/>
        </w:rPr>
        <w:t xml:space="preserve"> accionada</w:t>
      </w:r>
      <w:r>
        <w:rPr>
          <w:sz w:val="24"/>
          <w:szCs w:val="24"/>
        </w:rPr>
        <w:t>s</w:t>
      </w:r>
      <w:r w:rsidRPr="0017110A">
        <w:rPr>
          <w:sz w:val="24"/>
          <w:szCs w:val="24"/>
        </w:rPr>
        <w:t xml:space="preserve"> era </w:t>
      </w:r>
      <w:r>
        <w:rPr>
          <w:sz w:val="24"/>
          <w:szCs w:val="24"/>
        </w:rPr>
        <w:t>el Tribunal Administrativo del Quindío</w:t>
      </w:r>
      <w:r w:rsidRPr="0017110A">
        <w:rPr>
          <w:sz w:val="24"/>
          <w:szCs w:val="24"/>
        </w:rPr>
        <w:t xml:space="preserve"> cuando</w:t>
      </w:r>
      <w:r>
        <w:rPr>
          <w:sz w:val="24"/>
          <w:szCs w:val="24"/>
        </w:rPr>
        <w:t>,</w:t>
      </w:r>
      <w:r w:rsidRPr="0017110A">
        <w:rPr>
          <w:sz w:val="24"/>
          <w:szCs w:val="24"/>
        </w:rPr>
        <w:t xml:space="preserve"> en realidad</w:t>
      </w:r>
      <w:r>
        <w:rPr>
          <w:sz w:val="24"/>
          <w:szCs w:val="24"/>
        </w:rPr>
        <w:t>,</w:t>
      </w:r>
      <w:r w:rsidRPr="0017110A">
        <w:rPr>
          <w:sz w:val="24"/>
          <w:szCs w:val="24"/>
        </w:rPr>
        <w:t xml:space="preserve"> es</w:t>
      </w:r>
      <w:r w:rsidR="00AA17B1">
        <w:rPr>
          <w:sz w:val="24"/>
          <w:szCs w:val="24"/>
        </w:rPr>
        <w:t xml:space="preserve"> el</w:t>
      </w:r>
      <w:r w:rsidRPr="0017110A">
        <w:rPr>
          <w:sz w:val="24"/>
          <w:szCs w:val="24"/>
        </w:rPr>
        <w:t xml:space="preserve"> Tribunal Administrativo </w:t>
      </w:r>
      <w:r>
        <w:rPr>
          <w:sz w:val="24"/>
          <w:szCs w:val="24"/>
        </w:rPr>
        <w:t>del Tolima</w:t>
      </w:r>
      <w:r w:rsidRPr="0017110A">
        <w:rPr>
          <w:sz w:val="24"/>
          <w:szCs w:val="24"/>
        </w:rPr>
        <w:t>.</w:t>
      </w:r>
    </w:p>
    <w:p w14:paraId="635D6CEB" w14:textId="77777777" w:rsidR="0017110A" w:rsidRPr="0017110A" w:rsidRDefault="0017110A" w:rsidP="0017110A">
      <w:pPr>
        <w:tabs>
          <w:tab w:val="left" w:pos="6336"/>
          <w:tab w:val="left" w:pos="6480"/>
          <w:tab w:val="left" w:pos="7200"/>
          <w:tab w:val="left" w:pos="8505"/>
          <w:tab w:val="left" w:pos="8640"/>
        </w:tabs>
        <w:spacing w:line="276" w:lineRule="auto"/>
        <w:ind w:right="83"/>
        <w:rPr>
          <w:bCs/>
          <w:color w:val="000000"/>
          <w:sz w:val="24"/>
          <w:szCs w:val="24"/>
        </w:rPr>
      </w:pPr>
    </w:p>
    <w:p w14:paraId="12286F61" w14:textId="6172B468" w:rsidR="0017110A" w:rsidRPr="0017110A" w:rsidRDefault="0017110A" w:rsidP="0017110A">
      <w:pPr>
        <w:spacing w:line="276" w:lineRule="auto"/>
        <w:rPr>
          <w:sz w:val="24"/>
          <w:szCs w:val="24"/>
        </w:rPr>
      </w:pPr>
      <w:r>
        <w:rPr>
          <w:sz w:val="24"/>
          <w:szCs w:val="24"/>
        </w:rPr>
        <w:t>Cuando se presentan ese tipo de yerros</w:t>
      </w:r>
      <w:r w:rsidRPr="0017110A">
        <w:rPr>
          <w:sz w:val="24"/>
          <w:szCs w:val="24"/>
        </w:rPr>
        <w:t xml:space="preserve"> el Código General del Proceso prevé la posibilidad de corregirlos</w:t>
      </w:r>
      <w:r>
        <w:rPr>
          <w:sz w:val="24"/>
          <w:szCs w:val="24"/>
        </w:rPr>
        <w:t xml:space="preserve"> si estos</w:t>
      </w:r>
      <w:r w:rsidRPr="0017110A">
        <w:rPr>
          <w:sz w:val="24"/>
          <w:szCs w:val="24"/>
        </w:rPr>
        <w:t xml:space="preserve"> </w:t>
      </w:r>
      <w:r>
        <w:rPr>
          <w:sz w:val="24"/>
          <w:szCs w:val="24"/>
        </w:rPr>
        <w:t>son</w:t>
      </w:r>
      <w:r w:rsidRPr="0017110A">
        <w:rPr>
          <w:sz w:val="24"/>
          <w:szCs w:val="24"/>
        </w:rPr>
        <w:t xml:space="preserve"> de carácter aritmético o se originen por “omisión o cambio de palabras o alteración de estas, siempre que estén contenidas en la parte resolutiva o influyan en ella”</w:t>
      </w:r>
      <w:r w:rsidRPr="0017110A">
        <w:rPr>
          <w:rStyle w:val="Refdenotaalpie"/>
          <w:sz w:val="24"/>
          <w:szCs w:val="24"/>
        </w:rPr>
        <w:footnoteReference w:id="1"/>
      </w:r>
      <w:r w:rsidRPr="0017110A">
        <w:rPr>
          <w:sz w:val="24"/>
          <w:szCs w:val="24"/>
        </w:rPr>
        <w:t>.</w:t>
      </w:r>
    </w:p>
    <w:p w14:paraId="3445A751" w14:textId="77777777" w:rsidR="0017110A" w:rsidRPr="0017110A" w:rsidRDefault="0017110A" w:rsidP="0017110A">
      <w:pPr>
        <w:spacing w:line="276" w:lineRule="auto"/>
        <w:rPr>
          <w:sz w:val="24"/>
          <w:szCs w:val="24"/>
        </w:rPr>
      </w:pPr>
    </w:p>
    <w:p w14:paraId="6F30A869" w14:textId="0C8BD543" w:rsidR="0017110A" w:rsidRPr="0017110A" w:rsidRDefault="0017110A" w:rsidP="0017110A">
      <w:pPr>
        <w:spacing w:line="276" w:lineRule="auto"/>
        <w:rPr>
          <w:sz w:val="24"/>
          <w:szCs w:val="24"/>
        </w:rPr>
      </w:pPr>
      <w:r w:rsidRPr="0017110A">
        <w:rPr>
          <w:sz w:val="24"/>
          <w:szCs w:val="24"/>
        </w:rPr>
        <w:t xml:space="preserve">En </w:t>
      </w:r>
      <w:r w:rsidR="00AA17B1">
        <w:rPr>
          <w:sz w:val="24"/>
          <w:szCs w:val="24"/>
        </w:rPr>
        <w:t>observancia de</w:t>
      </w:r>
      <w:r w:rsidRPr="0017110A">
        <w:rPr>
          <w:sz w:val="24"/>
          <w:szCs w:val="24"/>
        </w:rPr>
        <w:t xml:space="preserve"> lo anterior, se corregir</w:t>
      </w:r>
      <w:r w:rsidR="00AA17B1">
        <w:rPr>
          <w:sz w:val="24"/>
          <w:szCs w:val="24"/>
        </w:rPr>
        <w:t>á</w:t>
      </w:r>
      <w:r w:rsidRPr="0017110A">
        <w:rPr>
          <w:sz w:val="24"/>
          <w:szCs w:val="24"/>
        </w:rPr>
        <w:t xml:space="preserve"> el error contenido en el numeral primero de</w:t>
      </w:r>
      <w:r w:rsidR="00AA17B1">
        <w:rPr>
          <w:sz w:val="24"/>
          <w:szCs w:val="24"/>
        </w:rPr>
        <w:t xml:space="preserve"> </w:t>
      </w:r>
      <w:r w:rsidRPr="0017110A">
        <w:rPr>
          <w:sz w:val="24"/>
          <w:szCs w:val="24"/>
        </w:rPr>
        <w:t>l</w:t>
      </w:r>
      <w:r w:rsidR="00AA17B1">
        <w:rPr>
          <w:sz w:val="24"/>
          <w:szCs w:val="24"/>
        </w:rPr>
        <w:t>a parte resolutiva del</w:t>
      </w:r>
      <w:r w:rsidRPr="0017110A">
        <w:rPr>
          <w:sz w:val="24"/>
          <w:szCs w:val="24"/>
        </w:rPr>
        <w:t xml:space="preserve"> auto del </w:t>
      </w:r>
      <w:r>
        <w:rPr>
          <w:sz w:val="24"/>
          <w:szCs w:val="24"/>
        </w:rPr>
        <w:t>5</w:t>
      </w:r>
      <w:r w:rsidRPr="0017110A">
        <w:rPr>
          <w:sz w:val="24"/>
          <w:szCs w:val="24"/>
        </w:rPr>
        <w:t xml:space="preserve"> de </w:t>
      </w:r>
      <w:r>
        <w:rPr>
          <w:sz w:val="24"/>
          <w:szCs w:val="24"/>
        </w:rPr>
        <w:t>mayo</w:t>
      </w:r>
      <w:r w:rsidRPr="0017110A">
        <w:rPr>
          <w:sz w:val="24"/>
          <w:szCs w:val="24"/>
        </w:rPr>
        <w:t xml:space="preserve"> de 2021 en el sentido de </w:t>
      </w:r>
      <w:r>
        <w:rPr>
          <w:sz w:val="24"/>
          <w:szCs w:val="24"/>
        </w:rPr>
        <w:t xml:space="preserve">indicar </w:t>
      </w:r>
      <w:r w:rsidRPr="0017110A">
        <w:rPr>
          <w:sz w:val="24"/>
          <w:szCs w:val="24"/>
        </w:rPr>
        <w:t xml:space="preserve">que </w:t>
      </w:r>
      <w:r>
        <w:rPr>
          <w:sz w:val="24"/>
          <w:szCs w:val="24"/>
        </w:rPr>
        <w:t xml:space="preserve">una de las autoridades accionadas es </w:t>
      </w:r>
      <w:r w:rsidRPr="0017110A">
        <w:rPr>
          <w:sz w:val="24"/>
          <w:szCs w:val="24"/>
        </w:rPr>
        <w:t>el Tribunal Administrativo d</w:t>
      </w:r>
      <w:r>
        <w:rPr>
          <w:sz w:val="24"/>
          <w:szCs w:val="24"/>
        </w:rPr>
        <w:t>el Tolima</w:t>
      </w:r>
      <w:r w:rsidRPr="0017110A">
        <w:rPr>
          <w:sz w:val="24"/>
          <w:szCs w:val="24"/>
        </w:rPr>
        <w:t>.</w:t>
      </w:r>
    </w:p>
    <w:p w14:paraId="324E46E2" w14:textId="77777777" w:rsidR="0017110A" w:rsidRPr="0017110A" w:rsidRDefault="0017110A" w:rsidP="00AA17B1">
      <w:pPr>
        <w:spacing w:line="276" w:lineRule="auto"/>
        <w:rPr>
          <w:sz w:val="24"/>
          <w:szCs w:val="24"/>
        </w:rPr>
      </w:pPr>
    </w:p>
    <w:p w14:paraId="00020AE5" w14:textId="77777777" w:rsidR="0017110A" w:rsidRPr="0017110A" w:rsidRDefault="0017110A" w:rsidP="0017110A">
      <w:pPr>
        <w:spacing w:line="276" w:lineRule="auto"/>
        <w:jc w:val="center"/>
        <w:rPr>
          <w:sz w:val="24"/>
          <w:szCs w:val="24"/>
        </w:rPr>
      </w:pPr>
      <w:r w:rsidRPr="0017110A">
        <w:rPr>
          <w:sz w:val="24"/>
          <w:szCs w:val="24"/>
        </w:rPr>
        <w:t xml:space="preserve">Por lo expuesto, este Despacho, en uso de sus facultades constitucionales y legales, </w:t>
      </w:r>
    </w:p>
    <w:p w14:paraId="1566A489" w14:textId="77777777" w:rsidR="0017110A" w:rsidRDefault="0017110A" w:rsidP="0017110A">
      <w:pPr>
        <w:spacing w:line="276" w:lineRule="auto"/>
        <w:jc w:val="center"/>
        <w:rPr>
          <w:rStyle w:val="eop"/>
          <w:b/>
          <w:sz w:val="24"/>
          <w:szCs w:val="24"/>
          <w:shd w:val="clear" w:color="auto" w:fill="FFFFFF"/>
        </w:rPr>
      </w:pPr>
    </w:p>
    <w:p w14:paraId="5630AE93" w14:textId="77777777" w:rsidR="0017110A" w:rsidRDefault="0017110A" w:rsidP="0017110A">
      <w:pPr>
        <w:spacing w:line="276" w:lineRule="auto"/>
        <w:jc w:val="center"/>
        <w:rPr>
          <w:rStyle w:val="eop"/>
          <w:b/>
          <w:sz w:val="24"/>
          <w:szCs w:val="24"/>
          <w:shd w:val="clear" w:color="auto" w:fill="FFFFFF"/>
        </w:rPr>
      </w:pPr>
    </w:p>
    <w:p w14:paraId="1282B8F4" w14:textId="24A61E70" w:rsidR="0017110A" w:rsidRPr="0017110A" w:rsidRDefault="0017110A" w:rsidP="0017110A">
      <w:pPr>
        <w:spacing w:line="276" w:lineRule="auto"/>
        <w:jc w:val="center"/>
        <w:rPr>
          <w:rStyle w:val="eop"/>
          <w:b/>
          <w:sz w:val="24"/>
          <w:szCs w:val="24"/>
          <w:shd w:val="clear" w:color="auto" w:fill="FFFFFF"/>
        </w:rPr>
      </w:pPr>
      <w:r w:rsidRPr="0017110A">
        <w:rPr>
          <w:rStyle w:val="eop"/>
          <w:b/>
          <w:sz w:val="24"/>
          <w:szCs w:val="24"/>
          <w:shd w:val="clear" w:color="auto" w:fill="FFFFFF"/>
        </w:rPr>
        <w:lastRenderedPageBreak/>
        <w:t>RESUELVE</w:t>
      </w:r>
    </w:p>
    <w:p w14:paraId="3BFE31D9" w14:textId="77777777" w:rsidR="0017110A" w:rsidRPr="0017110A" w:rsidRDefault="0017110A" w:rsidP="0017110A">
      <w:pPr>
        <w:spacing w:line="276" w:lineRule="auto"/>
        <w:rPr>
          <w:sz w:val="24"/>
          <w:szCs w:val="24"/>
        </w:rPr>
      </w:pPr>
    </w:p>
    <w:p w14:paraId="7746906D" w14:textId="1D880C54" w:rsidR="00AA17B1" w:rsidRDefault="0017110A" w:rsidP="0017110A">
      <w:pPr>
        <w:pStyle w:val="Prrafodelista"/>
        <w:numPr>
          <w:ilvl w:val="0"/>
          <w:numId w:val="11"/>
        </w:numPr>
        <w:spacing w:line="276" w:lineRule="auto"/>
        <w:ind w:left="0" w:firstLine="0"/>
        <w:rPr>
          <w:sz w:val="24"/>
          <w:szCs w:val="24"/>
        </w:rPr>
      </w:pPr>
      <w:r w:rsidRPr="0017110A">
        <w:rPr>
          <w:b/>
          <w:sz w:val="24"/>
          <w:szCs w:val="24"/>
        </w:rPr>
        <w:t>CORREGIR</w:t>
      </w:r>
      <w:r w:rsidRPr="0017110A">
        <w:rPr>
          <w:sz w:val="24"/>
          <w:szCs w:val="24"/>
        </w:rPr>
        <w:t xml:space="preserve"> el </w:t>
      </w:r>
      <w:r w:rsidR="00AA17B1">
        <w:rPr>
          <w:sz w:val="24"/>
          <w:szCs w:val="24"/>
        </w:rPr>
        <w:t xml:space="preserve">numeral primero de la parte resolutiva del </w:t>
      </w:r>
      <w:r w:rsidRPr="0017110A">
        <w:rPr>
          <w:sz w:val="24"/>
          <w:szCs w:val="24"/>
        </w:rPr>
        <w:t xml:space="preserve">auto </w:t>
      </w:r>
      <w:r w:rsidR="00AA17B1">
        <w:rPr>
          <w:sz w:val="24"/>
          <w:szCs w:val="24"/>
        </w:rPr>
        <w:t>del 5</w:t>
      </w:r>
      <w:r w:rsidRPr="0017110A">
        <w:rPr>
          <w:sz w:val="24"/>
          <w:szCs w:val="24"/>
        </w:rPr>
        <w:t xml:space="preserve"> de </w:t>
      </w:r>
      <w:r w:rsidR="00AA17B1">
        <w:rPr>
          <w:sz w:val="24"/>
          <w:szCs w:val="24"/>
        </w:rPr>
        <w:t>mayo</w:t>
      </w:r>
      <w:r w:rsidRPr="0017110A">
        <w:rPr>
          <w:sz w:val="24"/>
          <w:szCs w:val="24"/>
        </w:rPr>
        <w:t xml:space="preserve"> de 2021</w:t>
      </w:r>
      <w:r w:rsidR="00AA17B1">
        <w:rPr>
          <w:sz w:val="24"/>
          <w:szCs w:val="24"/>
        </w:rPr>
        <w:t>, proferido</w:t>
      </w:r>
      <w:r w:rsidRPr="0017110A">
        <w:rPr>
          <w:sz w:val="24"/>
          <w:szCs w:val="24"/>
        </w:rPr>
        <w:t xml:space="preserve"> dentro del trámite </w:t>
      </w:r>
      <w:r w:rsidR="00AA17B1">
        <w:rPr>
          <w:sz w:val="24"/>
          <w:szCs w:val="24"/>
        </w:rPr>
        <w:t xml:space="preserve">del presente proceso </w:t>
      </w:r>
      <w:r w:rsidRPr="0017110A">
        <w:rPr>
          <w:sz w:val="24"/>
          <w:szCs w:val="24"/>
        </w:rPr>
        <w:t xml:space="preserve">constitucional, el </w:t>
      </w:r>
      <w:r w:rsidR="00AA17B1">
        <w:rPr>
          <w:sz w:val="24"/>
          <w:szCs w:val="24"/>
        </w:rPr>
        <w:t>cual quedar</w:t>
      </w:r>
      <w:r w:rsidR="00AA17B1" w:rsidRPr="00AA17B1">
        <w:rPr>
          <w:sz w:val="24"/>
          <w:szCs w:val="24"/>
        </w:rPr>
        <w:t>á</w:t>
      </w:r>
      <w:r w:rsidR="00AA17B1">
        <w:rPr>
          <w:sz w:val="24"/>
          <w:szCs w:val="24"/>
        </w:rPr>
        <w:t xml:space="preserve"> así</w:t>
      </w:r>
      <w:r w:rsidRPr="0017110A">
        <w:rPr>
          <w:sz w:val="24"/>
          <w:szCs w:val="24"/>
        </w:rPr>
        <w:t>:</w:t>
      </w:r>
    </w:p>
    <w:p w14:paraId="074DA47F" w14:textId="209CB432" w:rsidR="00AA17B1" w:rsidRDefault="00AA17B1" w:rsidP="00AA17B1">
      <w:pPr>
        <w:spacing w:line="276" w:lineRule="auto"/>
        <w:rPr>
          <w:sz w:val="24"/>
          <w:szCs w:val="24"/>
        </w:rPr>
      </w:pPr>
    </w:p>
    <w:p w14:paraId="36B9B350" w14:textId="3FB653F1" w:rsidR="00AA17B1" w:rsidRDefault="00AA17B1" w:rsidP="00AA17B1">
      <w:pPr>
        <w:spacing w:line="276" w:lineRule="auto"/>
        <w:ind w:left="706"/>
        <w:rPr>
          <w:sz w:val="24"/>
          <w:szCs w:val="24"/>
        </w:rPr>
      </w:pPr>
      <w:r w:rsidRPr="00AA17B1">
        <w:rPr>
          <w:sz w:val="22"/>
          <w:szCs w:val="22"/>
        </w:rPr>
        <w:t>“</w:t>
      </w:r>
      <w:r w:rsidRPr="00AA17B1">
        <w:rPr>
          <w:b/>
          <w:bCs/>
          <w:sz w:val="22"/>
          <w:szCs w:val="22"/>
        </w:rPr>
        <w:t>ADMITIR</w:t>
      </w:r>
      <w:r w:rsidRPr="00AA17B1">
        <w:rPr>
          <w:sz w:val="22"/>
          <w:szCs w:val="22"/>
        </w:rPr>
        <w:t xml:space="preserve"> la solicitud instaurada, en ejercicio de la acción de tutela, por Claudia Helena Díaz Lozano contra el Tribunal Administrativo del Tolima, el Juzgado Quinto Administrativo del Circuito Judicial de Ibagué, la Superintendencia Nacional de Salud y el Consejo Superior de la Judicatura”.</w:t>
      </w:r>
    </w:p>
    <w:p w14:paraId="3F4CEB58" w14:textId="77777777" w:rsidR="00AA17B1" w:rsidRPr="00AA17B1" w:rsidRDefault="00AA17B1" w:rsidP="00AA17B1">
      <w:pPr>
        <w:spacing w:line="276" w:lineRule="auto"/>
        <w:rPr>
          <w:sz w:val="24"/>
          <w:szCs w:val="24"/>
        </w:rPr>
      </w:pPr>
    </w:p>
    <w:p w14:paraId="6F93D3F7" w14:textId="318CD40A" w:rsidR="0017110A" w:rsidRPr="00AA17B1" w:rsidRDefault="0017110A" w:rsidP="0017110A">
      <w:pPr>
        <w:pStyle w:val="Prrafodelista"/>
        <w:numPr>
          <w:ilvl w:val="0"/>
          <w:numId w:val="11"/>
        </w:numPr>
        <w:spacing w:line="276" w:lineRule="auto"/>
        <w:ind w:left="0" w:firstLine="0"/>
        <w:rPr>
          <w:rStyle w:val="normaltextrun"/>
          <w:sz w:val="24"/>
          <w:szCs w:val="24"/>
        </w:rPr>
      </w:pPr>
      <w:r w:rsidRPr="00AA17B1">
        <w:rPr>
          <w:rStyle w:val="normaltextrun"/>
          <w:b/>
          <w:bCs/>
          <w:sz w:val="24"/>
          <w:szCs w:val="24"/>
          <w:shd w:val="clear" w:color="auto" w:fill="FFFFFF"/>
          <w:lang w:val="es-ES"/>
        </w:rPr>
        <w:t xml:space="preserve">NOTIFICAR </w:t>
      </w:r>
      <w:r w:rsidR="00AA17B1">
        <w:rPr>
          <w:rStyle w:val="normaltextrun"/>
          <w:bCs/>
          <w:sz w:val="24"/>
          <w:szCs w:val="24"/>
          <w:shd w:val="clear" w:color="auto" w:fill="FFFFFF"/>
          <w:lang w:val="es-ES"/>
        </w:rPr>
        <w:t>la presente</w:t>
      </w:r>
      <w:r w:rsidRPr="00AA17B1">
        <w:rPr>
          <w:rStyle w:val="normaltextrun"/>
          <w:bCs/>
          <w:sz w:val="24"/>
          <w:szCs w:val="24"/>
          <w:shd w:val="clear" w:color="auto" w:fill="FFFFFF"/>
          <w:lang w:val="es-ES"/>
        </w:rPr>
        <w:t xml:space="preserve"> decisión a los sujetos procesales.</w:t>
      </w:r>
    </w:p>
    <w:p w14:paraId="1537A192" w14:textId="77777777" w:rsidR="0017110A" w:rsidRPr="00AA17B1" w:rsidRDefault="0017110A" w:rsidP="0017110A">
      <w:pPr>
        <w:spacing w:line="276" w:lineRule="auto"/>
        <w:rPr>
          <w:rStyle w:val="normaltextrun"/>
          <w:sz w:val="24"/>
          <w:szCs w:val="24"/>
          <w:shd w:val="clear" w:color="auto" w:fill="FFFFFF"/>
        </w:rPr>
      </w:pPr>
    </w:p>
    <w:p w14:paraId="72B140EF" w14:textId="4AC55CB8" w:rsidR="0017110A" w:rsidRPr="00AA17B1" w:rsidRDefault="00AA17B1" w:rsidP="00AA17B1">
      <w:pPr>
        <w:spacing w:line="276" w:lineRule="auto"/>
        <w:jc w:val="center"/>
        <w:rPr>
          <w:b/>
          <w:sz w:val="24"/>
          <w:szCs w:val="24"/>
          <w:shd w:val="clear" w:color="auto" w:fill="FFFFFF"/>
          <w:lang w:val="es-ES"/>
        </w:rPr>
      </w:pPr>
      <w:r w:rsidRPr="0017110A">
        <w:rPr>
          <w:rStyle w:val="normaltextrun"/>
          <w:b/>
          <w:sz w:val="24"/>
          <w:szCs w:val="24"/>
          <w:shd w:val="clear" w:color="auto" w:fill="FFFFFF"/>
          <w:lang w:val="es-ES"/>
        </w:rPr>
        <w:t>NOTIFÍQUESE Y CÚMPLASE</w:t>
      </w:r>
    </w:p>
    <w:p w14:paraId="1514F4B5" w14:textId="77777777" w:rsidR="0017110A" w:rsidRPr="0017110A" w:rsidRDefault="0017110A" w:rsidP="00AA17B1">
      <w:pPr>
        <w:spacing w:line="276" w:lineRule="auto"/>
        <w:jc w:val="center"/>
        <w:rPr>
          <w:b/>
          <w:sz w:val="24"/>
          <w:szCs w:val="24"/>
        </w:rPr>
      </w:pPr>
    </w:p>
    <w:p w14:paraId="5FFC7C2C" w14:textId="77777777" w:rsidR="0017110A" w:rsidRPr="0017110A" w:rsidRDefault="0017110A" w:rsidP="00AA17B1">
      <w:pPr>
        <w:spacing w:line="276" w:lineRule="auto"/>
        <w:jc w:val="center"/>
        <w:rPr>
          <w:b/>
          <w:sz w:val="24"/>
          <w:szCs w:val="24"/>
        </w:rPr>
      </w:pPr>
    </w:p>
    <w:p w14:paraId="74349B91" w14:textId="1082DAB6" w:rsidR="0017110A" w:rsidRDefault="0017110A" w:rsidP="00AA17B1">
      <w:pPr>
        <w:spacing w:line="276" w:lineRule="auto"/>
        <w:jc w:val="center"/>
        <w:rPr>
          <w:b/>
          <w:sz w:val="24"/>
          <w:szCs w:val="24"/>
        </w:rPr>
      </w:pPr>
    </w:p>
    <w:p w14:paraId="070D1FC2" w14:textId="77777777" w:rsidR="00AA17B1" w:rsidRPr="0017110A" w:rsidRDefault="00AA17B1" w:rsidP="00AA17B1">
      <w:pPr>
        <w:spacing w:line="276" w:lineRule="auto"/>
        <w:jc w:val="center"/>
        <w:rPr>
          <w:b/>
          <w:sz w:val="24"/>
          <w:szCs w:val="24"/>
        </w:rPr>
      </w:pPr>
    </w:p>
    <w:p w14:paraId="214105FC" w14:textId="77777777" w:rsidR="0017110A" w:rsidRPr="0017110A" w:rsidRDefault="0017110A" w:rsidP="00AA17B1">
      <w:pPr>
        <w:spacing w:line="276" w:lineRule="auto"/>
        <w:jc w:val="center"/>
        <w:rPr>
          <w:rFonts w:eastAsia="Verdana"/>
          <w:b/>
          <w:sz w:val="24"/>
          <w:szCs w:val="24"/>
        </w:rPr>
      </w:pPr>
      <w:r w:rsidRPr="0017110A">
        <w:rPr>
          <w:rFonts w:eastAsia="Verdana"/>
          <w:b/>
          <w:sz w:val="24"/>
          <w:szCs w:val="24"/>
        </w:rPr>
        <w:t>JAIME ENRIQUE RODRÍGUEZ NAVAS</w:t>
      </w:r>
    </w:p>
    <w:p w14:paraId="3A0728A8" w14:textId="5D8F35F2" w:rsidR="0017110A" w:rsidRPr="0017110A" w:rsidRDefault="0017110A" w:rsidP="00AA17B1">
      <w:pPr>
        <w:spacing w:line="276" w:lineRule="auto"/>
        <w:jc w:val="center"/>
        <w:rPr>
          <w:rFonts w:ascii="Times New Roman" w:hAnsi="Times New Roman" w:cs="Times New Roman"/>
          <w:sz w:val="24"/>
          <w:szCs w:val="24"/>
          <w:lang w:val="en-US"/>
        </w:rPr>
      </w:pPr>
      <w:r w:rsidRPr="0017110A">
        <w:rPr>
          <w:rFonts w:eastAsia="Verdana"/>
          <w:b/>
          <w:sz w:val="24"/>
          <w:szCs w:val="24"/>
        </w:rPr>
        <w:t>Magistrado</w:t>
      </w:r>
    </w:p>
    <w:sectPr w:rsidR="0017110A" w:rsidRPr="0017110A" w:rsidSect="006A6312">
      <w:headerReference w:type="default" r:id="rId11"/>
      <w:footerReference w:type="default" r:id="rId12"/>
      <w:headerReference w:type="first" r:id="rId13"/>
      <w:footerReference w:type="first" r:id="rId14"/>
      <w:pgSz w:w="12242" w:h="18722" w:code="119"/>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DBCE" w14:textId="77777777" w:rsidR="000817A6" w:rsidRDefault="000817A6" w:rsidP="00117091">
      <w:r>
        <w:separator/>
      </w:r>
    </w:p>
  </w:endnote>
  <w:endnote w:type="continuationSeparator" w:id="0">
    <w:p w14:paraId="1A03CBDA" w14:textId="77777777" w:rsidR="000817A6" w:rsidRDefault="000817A6"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BEF73AC" w14:textId="77777777" w:rsidTr="00B82AE5">
      <w:trPr>
        <w:jc w:val="right"/>
      </w:trPr>
      <w:tc>
        <w:tcPr>
          <w:tcW w:w="4795" w:type="dxa"/>
          <w:vAlign w:val="center"/>
        </w:tcPr>
        <w:p w14:paraId="2D85C4D5"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7FDCDF4A"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76F17C3"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2</w:t>
          </w:r>
          <w:r w:rsidRPr="00B6429B">
            <w:fldChar w:fldCharType="end"/>
          </w:r>
        </w:p>
      </w:tc>
    </w:tr>
  </w:tbl>
  <w:p w14:paraId="0C35738A"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3929B168" w14:textId="77777777" w:rsidTr="00B82AE5">
      <w:trPr>
        <w:jc w:val="right"/>
      </w:trPr>
      <w:tc>
        <w:tcPr>
          <w:tcW w:w="4795" w:type="dxa"/>
          <w:vAlign w:val="center"/>
        </w:tcPr>
        <w:p w14:paraId="2593D061"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32ADF075"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5EE7C76"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1</w:t>
          </w:r>
          <w:r w:rsidRPr="00B6429B">
            <w:fldChar w:fldCharType="end"/>
          </w:r>
        </w:p>
      </w:tc>
    </w:tr>
  </w:tbl>
  <w:p w14:paraId="0F87A3E6"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4AF" w14:textId="77777777" w:rsidR="000817A6" w:rsidRDefault="000817A6" w:rsidP="00117091">
      <w:r>
        <w:separator/>
      </w:r>
    </w:p>
  </w:footnote>
  <w:footnote w:type="continuationSeparator" w:id="0">
    <w:p w14:paraId="636B6AC4" w14:textId="77777777" w:rsidR="000817A6" w:rsidRDefault="000817A6" w:rsidP="00117091">
      <w:r>
        <w:continuationSeparator/>
      </w:r>
    </w:p>
  </w:footnote>
  <w:footnote w:id="1">
    <w:p w14:paraId="53C4C917" w14:textId="77777777" w:rsidR="0017110A" w:rsidRPr="0017110A" w:rsidRDefault="0017110A" w:rsidP="0017110A">
      <w:pPr>
        <w:pStyle w:val="NormalWeb"/>
        <w:spacing w:before="0" w:beforeAutospacing="0" w:after="0" w:afterAutospacing="0"/>
        <w:jc w:val="both"/>
        <w:rPr>
          <w:rFonts w:ascii="Arial" w:hAnsi="Arial" w:cs="Arial"/>
          <w:sz w:val="18"/>
          <w:szCs w:val="18"/>
        </w:rPr>
      </w:pPr>
      <w:r w:rsidRPr="0017110A">
        <w:rPr>
          <w:rStyle w:val="Refdenotaalpie"/>
          <w:rFonts w:ascii="Arial" w:hAnsi="Arial" w:cs="Arial"/>
          <w:sz w:val="18"/>
          <w:szCs w:val="18"/>
        </w:rPr>
        <w:footnoteRef/>
      </w:r>
      <w:r w:rsidRPr="0017110A">
        <w:rPr>
          <w:rFonts w:ascii="Arial" w:hAnsi="Arial" w:cs="Arial"/>
          <w:sz w:val="18"/>
          <w:szCs w:val="18"/>
        </w:rPr>
        <w:t xml:space="preserve"> “</w:t>
      </w:r>
      <w:r w:rsidRPr="0017110A">
        <w:rPr>
          <w:rFonts w:ascii="Arial" w:hAnsi="Arial" w:cs="Arial"/>
          <w:bCs/>
          <w:sz w:val="18"/>
          <w:szCs w:val="18"/>
          <w:u w:val="single"/>
        </w:rPr>
        <w:t>Artículo</w:t>
      </w:r>
      <w:r w:rsidRPr="0017110A">
        <w:rPr>
          <w:rFonts w:ascii="Arial" w:hAnsi="Arial" w:cs="Arial"/>
          <w:sz w:val="18"/>
          <w:szCs w:val="18"/>
        </w:rPr>
        <w:t> </w:t>
      </w:r>
      <w:r w:rsidRPr="0017110A">
        <w:rPr>
          <w:rFonts w:ascii="Arial" w:hAnsi="Arial" w:cs="Arial"/>
          <w:bCs/>
          <w:sz w:val="18"/>
          <w:szCs w:val="18"/>
          <w:u w:val="single"/>
        </w:rPr>
        <w:t>286</w:t>
      </w:r>
      <w:r w:rsidRPr="0017110A">
        <w:rPr>
          <w:rFonts w:ascii="Arial" w:hAnsi="Arial" w:cs="Arial"/>
          <w:bCs/>
          <w:sz w:val="18"/>
          <w:szCs w:val="18"/>
        </w:rPr>
        <w:t>. </w:t>
      </w:r>
      <w:r w:rsidRPr="0017110A">
        <w:rPr>
          <w:rFonts w:ascii="Arial" w:hAnsi="Arial" w:cs="Arial"/>
          <w:bCs/>
          <w:i/>
          <w:iCs/>
          <w:sz w:val="18"/>
          <w:szCs w:val="18"/>
        </w:rPr>
        <w:t>Corrección de errores aritméticos y otros. </w:t>
      </w:r>
      <w:r w:rsidRPr="0017110A">
        <w:rPr>
          <w:rFonts w:ascii="Arial" w:hAnsi="Arial" w:cs="Arial"/>
          <w:sz w:val="18"/>
          <w:szCs w:val="18"/>
        </w:rPr>
        <w:t>Toda providencia en que se haya incurrido en error puramente aritmético puede ser corregida por el juez que la dictó en cualquier tiempo, de oficio o a solicitud de parte, mediante auto.</w:t>
      </w:r>
    </w:p>
    <w:p w14:paraId="3F635458" w14:textId="4AB5289B" w:rsidR="0017110A" w:rsidRPr="0017110A" w:rsidRDefault="0017110A" w:rsidP="0017110A">
      <w:pPr>
        <w:pStyle w:val="NormalWeb"/>
        <w:shd w:val="clear" w:color="auto" w:fill="FFFFFF"/>
        <w:spacing w:before="0" w:beforeAutospacing="0" w:after="0" w:afterAutospacing="0"/>
        <w:jc w:val="both"/>
        <w:rPr>
          <w:rFonts w:ascii="Arial" w:hAnsi="Arial" w:cs="Arial"/>
          <w:sz w:val="18"/>
          <w:szCs w:val="18"/>
        </w:rPr>
      </w:pPr>
      <w:r w:rsidRPr="0017110A">
        <w:rPr>
          <w:rFonts w:ascii="Arial" w:hAnsi="Arial" w:cs="Arial"/>
          <w:sz w:val="18"/>
          <w:szCs w:val="18"/>
        </w:rPr>
        <w:t xml:space="preserve">   “Si la corrección se hiciere luego de terminado el proceso, el auto se notificará por aviso.</w:t>
      </w:r>
    </w:p>
    <w:p w14:paraId="60A77767" w14:textId="2F7C5E2E" w:rsidR="0017110A" w:rsidRPr="0017110A" w:rsidRDefault="0017110A" w:rsidP="0017110A">
      <w:pPr>
        <w:pStyle w:val="NormalWeb"/>
        <w:shd w:val="clear" w:color="auto" w:fill="FFFFFF"/>
        <w:spacing w:before="0" w:beforeAutospacing="0" w:after="0" w:afterAutospacing="0"/>
        <w:jc w:val="both"/>
        <w:rPr>
          <w:rFonts w:ascii="Arial" w:hAnsi="Arial" w:cs="Arial"/>
          <w:sz w:val="18"/>
          <w:szCs w:val="18"/>
        </w:rPr>
      </w:pPr>
      <w:r w:rsidRPr="0017110A">
        <w:rPr>
          <w:rFonts w:ascii="Arial" w:hAnsi="Arial" w:cs="Arial"/>
          <w:sz w:val="18"/>
          <w:szCs w:val="18"/>
        </w:rPr>
        <w:t xml:space="preserve">   “Lo dispuesto en los incisos anteriores se aplica a los casos de error por omisión o cambio de palabras o alteración de estas, siempre que estén contenidas en la parte resolutiva o influyan en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0B4" w14:textId="77777777" w:rsidR="00117091" w:rsidRPr="00A15ACE" w:rsidRDefault="00973BB6" w:rsidP="006462FB">
    <w:pPr>
      <w:pStyle w:val="Encabezado"/>
      <w:tabs>
        <w:tab w:val="clear" w:pos="4252"/>
        <w:tab w:val="clear" w:pos="8504"/>
      </w:tabs>
    </w:pPr>
    <w:r>
      <w:rPr>
        <w:noProof/>
        <w:lang w:eastAsia="es-CO"/>
      </w:rPr>
      <w:drawing>
        <wp:anchor distT="0" distB="0" distL="114300" distR="114300" simplePos="0" relativeHeight="251657728" behindDoc="0" locked="0" layoutInCell="1" allowOverlap="1" wp14:anchorId="59DDBFCB" wp14:editId="2B13A5E4">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0E3D6" w14:textId="77777777" w:rsidR="00117091" w:rsidRPr="00A15ACE" w:rsidRDefault="00117091" w:rsidP="006462FB">
    <w:pPr>
      <w:pStyle w:val="Encabezado"/>
      <w:tabs>
        <w:tab w:val="clear" w:pos="4252"/>
        <w:tab w:val="clear" w:pos="8504"/>
      </w:tabs>
    </w:pPr>
  </w:p>
  <w:p w14:paraId="5651564B" w14:textId="77777777" w:rsidR="00117091" w:rsidRPr="00A15ACE" w:rsidRDefault="00973BB6" w:rsidP="006462FB">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BCFD8D2" wp14:editId="5FBDC495">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FCA54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09685504" w14:textId="7E7AD862" w:rsidR="00117091" w:rsidRPr="00F532EA" w:rsidRDefault="00041C53" w:rsidP="006462FB">
    <w:pPr>
      <w:pStyle w:val="Encabezado"/>
      <w:tabs>
        <w:tab w:val="clear" w:pos="4252"/>
        <w:tab w:val="clear" w:pos="8504"/>
      </w:tabs>
      <w:jc w:val="right"/>
      <w:rPr>
        <w:color w:val="767171"/>
        <w:sz w:val="20"/>
        <w:szCs w:val="20"/>
      </w:rPr>
    </w:pPr>
    <w:r>
      <w:rPr>
        <w:color w:val="767171"/>
        <w:sz w:val="20"/>
        <w:szCs w:val="20"/>
      </w:rPr>
      <w:t>Radicado: 11001-03-15-000-202</w:t>
    </w:r>
    <w:r w:rsidR="006462FB">
      <w:rPr>
        <w:color w:val="767171"/>
        <w:sz w:val="20"/>
        <w:szCs w:val="20"/>
      </w:rPr>
      <w:t>1</w:t>
    </w:r>
    <w:r>
      <w:rPr>
        <w:color w:val="767171"/>
        <w:sz w:val="20"/>
        <w:szCs w:val="20"/>
      </w:rPr>
      <w:t>-0</w:t>
    </w:r>
    <w:r w:rsidR="00E40406">
      <w:rPr>
        <w:color w:val="767171"/>
        <w:sz w:val="20"/>
        <w:szCs w:val="20"/>
      </w:rPr>
      <w:t>2138</w:t>
    </w:r>
    <w:r>
      <w:rPr>
        <w:color w:val="767171"/>
        <w:sz w:val="20"/>
        <w:szCs w:val="20"/>
      </w:rPr>
      <w:t>-00</w:t>
    </w:r>
  </w:p>
  <w:p w14:paraId="02921ECC" w14:textId="25D7FF8E" w:rsidR="00117091" w:rsidRPr="00F532EA" w:rsidRDefault="0054069D" w:rsidP="006462FB">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sidR="006462FB">
      <w:rPr>
        <w:color w:val="767171"/>
        <w:sz w:val="20"/>
        <w:szCs w:val="20"/>
      </w:rPr>
      <w:t>Accionante</w:t>
    </w:r>
    <w:r w:rsidR="00293EAE">
      <w:rPr>
        <w:color w:val="767171"/>
        <w:sz w:val="20"/>
        <w:szCs w:val="20"/>
      </w:rPr>
      <w:t>:</w:t>
    </w:r>
    <w:r w:rsidR="00041C53">
      <w:rPr>
        <w:color w:val="767171"/>
        <w:sz w:val="20"/>
        <w:szCs w:val="20"/>
      </w:rPr>
      <w:t xml:space="preserve"> </w:t>
    </w:r>
    <w:r w:rsidR="00E40406">
      <w:rPr>
        <w:color w:val="767171"/>
        <w:sz w:val="20"/>
        <w:szCs w:val="20"/>
      </w:rPr>
      <w:t>Claudia Helena Díaz Lozano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038" w14:textId="77777777" w:rsidR="00F1441F" w:rsidRPr="00A15ACE" w:rsidRDefault="00973BB6" w:rsidP="00F1441F">
    <w:pPr>
      <w:pStyle w:val="Encabezado"/>
    </w:pPr>
    <w:r>
      <w:rPr>
        <w:noProof/>
        <w:lang w:eastAsia="es-CO"/>
      </w:rPr>
      <w:drawing>
        <wp:anchor distT="0" distB="0" distL="114300" distR="114300" simplePos="0" relativeHeight="251658752" behindDoc="0" locked="0" layoutInCell="1" allowOverlap="1" wp14:anchorId="0E2B6F3C" wp14:editId="335701E0">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2945" w14:textId="77777777" w:rsidR="00F1441F" w:rsidRPr="00A15ACE" w:rsidRDefault="00F1441F" w:rsidP="00F1441F">
    <w:pPr>
      <w:pStyle w:val="Encabezado"/>
      <w:rPr>
        <w:color w:val="767171"/>
      </w:rPr>
    </w:pPr>
  </w:p>
  <w:p w14:paraId="28C92F9C" w14:textId="77777777" w:rsidR="0074235D" w:rsidRPr="007F276C" w:rsidRDefault="0074235D" w:rsidP="002A4ED9">
    <w:pPr>
      <w:pStyle w:val="Sinespaciado"/>
    </w:pPr>
    <w:r w:rsidRPr="007F276C">
      <w:t>CONSEJO DE ESTADO</w:t>
    </w:r>
  </w:p>
  <w:p w14:paraId="49342ABE" w14:textId="77777777" w:rsidR="0074235D" w:rsidRPr="007F276C" w:rsidRDefault="0074235D" w:rsidP="002A4ED9">
    <w:pPr>
      <w:pStyle w:val="Sinespaciado"/>
    </w:pPr>
    <w:r w:rsidRPr="007F276C">
      <w:t>SALA DE LO CONTENCIOSO ADMINISTRATIVO</w:t>
    </w:r>
  </w:p>
  <w:p w14:paraId="7158A844" w14:textId="77777777" w:rsidR="0074235D" w:rsidRPr="007F276C" w:rsidRDefault="0074235D" w:rsidP="002A4ED9">
    <w:pPr>
      <w:pStyle w:val="Sinespaciado"/>
    </w:pPr>
    <w:r w:rsidRPr="007F276C">
      <w:t>SECCIÓN TERCERA – SUBSECCIÓN C</w:t>
    </w:r>
  </w:p>
  <w:p w14:paraId="713C3275"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2031C"/>
    <w:multiLevelType w:val="hybridMultilevel"/>
    <w:tmpl w:val="4BD0EB88"/>
    <w:lvl w:ilvl="0" w:tplc="7AA47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81351A"/>
    <w:multiLevelType w:val="hybridMultilevel"/>
    <w:tmpl w:val="C32CE69A"/>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94A3EB8"/>
    <w:multiLevelType w:val="hybridMultilevel"/>
    <w:tmpl w:val="88664F26"/>
    <w:lvl w:ilvl="0" w:tplc="C81674E2">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6"/>
  </w:num>
  <w:num w:numId="6">
    <w:abstractNumId w:val="10"/>
  </w:num>
  <w:num w:numId="7">
    <w:abstractNumId w:val="8"/>
  </w:num>
  <w:num w:numId="8">
    <w:abstractNumId w:val="5"/>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6A0D"/>
    <w:rsid w:val="00020F1A"/>
    <w:rsid w:val="00040C04"/>
    <w:rsid w:val="00041C53"/>
    <w:rsid w:val="000523B9"/>
    <w:rsid w:val="00056018"/>
    <w:rsid w:val="0007063E"/>
    <w:rsid w:val="000728E0"/>
    <w:rsid w:val="00073869"/>
    <w:rsid w:val="000817A6"/>
    <w:rsid w:val="00083B8F"/>
    <w:rsid w:val="00094E7B"/>
    <w:rsid w:val="00095FD2"/>
    <w:rsid w:val="000C07CD"/>
    <w:rsid w:val="000C2B43"/>
    <w:rsid w:val="000C3226"/>
    <w:rsid w:val="000C5DB7"/>
    <w:rsid w:val="000C7B4F"/>
    <w:rsid w:val="00117091"/>
    <w:rsid w:val="001314F6"/>
    <w:rsid w:val="00133F91"/>
    <w:rsid w:val="00136349"/>
    <w:rsid w:val="0014485E"/>
    <w:rsid w:val="00155E78"/>
    <w:rsid w:val="00166AF6"/>
    <w:rsid w:val="0017110A"/>
    <w:rsid w:val="001C3C1F"/>
    <w:rsid w:val="001D4E62"/>
    <w:rsid w:val="001E07B8"/>
    <w:rsid w:val="001E087B"/>
    <w:rsid w:val="001F3B52"/>
    <w:rsid w:val="001F52D2"/>
    <w:rsid w:val="00201EC3"/>
    <w:rsid w:val="00211F0C"/>
    <w:rsid w:val="002230E3"/>
    <w:rsid w:val="002248FD"/>
    <w:rsid w:val="00246239"/>
    <w:rsid w:val="00272A62"/>
    <w:rsid w:val="00281874"/>
    <w:rsid w:val="0028665C"/>
    <w:rsid w:val="00293EAE"/>
    <w:rsid w:val="002A4ED9"/>
    <w:rsid w:val="002C12BC"/>
    <w:rsid w:val="002D480B"/>
    <w:rsid w:val="002E1978"/>
    <w:rsid w:val="0031514A"/>
    <w:rsid w:val="00360658"/>
    <w:rsid w:val="00361478"/>
    <w:rsid w:val="0036159F"/>
    <w:rsid w:val="00374674"/>
    <w:rsid w:val="00383425"/>
    <w:rsid w:val="00384507"/>
    <w:rsid w:val="00387BBC"/>
    <w:rsid w:val="00394A69"/>
    <w:rsid w:val="0039526F"/>
    <w:rsid w:val="003A12C4"/>
    <w:rsid w:val="003A34D0"/>
    <w:rsid w:val="003A54CF"/>
    <w:rsid w:val="003B4515"/>
    <w:rsid w:val="003B65CE"/>
    <w:rsid w:val="003D1B94"/>
    <w:rsid w:val="003E0BD3"/>
    <w:rsid w:val="003F2BA3"/>
    <w:rsid w:val="003F7FF5"/>
    <w:rsid w:val="00402998"/>
    <w:rsid w:val="00411A7A"/>
    <w:rsid w:val="00414600"/>
    <w:rsid w:val="00414B67"/>
    <w:rsid w:val="004211FA"/>
    <w:rsid w:val="00424723"/>
    <w:rsid w:val="00430389"/>
    <w:rsid w:val="00430D89"/>
    <w:rsid w:val="00457483"/>
    <w:rsid w:val="004849BB"/>
    <w:rsid w:val="004857F6"/>
    <w:rsid w:val="004861DF"/>
    <w:rsid w:val="00491910"/>
    <w:rsid w:val="00494241"/>
    <w:rsid w:val="00497735"/>
    <w:rsid w:val="004A1D38"/>
    <w:rsid w:val="004A59E5"/>
    <w:rsid w:val="004A6EC1"/>
    <w:rsid w:val="004D5983"/>
    <w:rsid w:val="004D63F2"/>
    <w:rsid w:val="004E3D73"/>
    <w:rsid w:val="00522073"/>
    <w:rsid w:val="00530CAD"/>
    <w:rsid w:val="00537386"/>
    <w:rsid w:val="0054069D"/>
    <w:rsid w:val="00541BA0"/>
    <w:rsid w:val="00566726"/>
    <w:rsid w:val="00585CA2"/>
    <w:rsid w:val="005D1791"/>
    <w:rsid w:val="005F3CB1"/>
    <w:rsid w:val="00621F3E"/>
    <w:rsid w:val="006371BF"/>
    <w:rsid w:val="006462FB"/>
    <w:rsid w:val="00651F05"/>
    <w:rsid w:val="006615F2"/>
    <w:rsid w:val="00663267"/>
    <w:rsid w:val="00664A8F"/>
    <w:rsid w:val="00685672"/>
    <w:rsid w:val="006976AD"/>
    <w:rsid w:val="006A6312"/>
    <w:rsid w:val="006A6B54"/>
    <w:rsid w:val="006C3BA5"/>
    <w:rsid w:val="006D4799"/>
    <w:rsid w:val="006E2D82"/>
    <w:rsid w:val="006E6B45"/>
    <w:rsid w:val="006F6047"/>
    <w:rsid w:val="006F7F36"/>
    <w:rsid w:val="0070023E"/>
    <w:rsid w:val="0072475A"/>
    <w:rsid w:val="00734AE7"/>
    <w:rsid w:val="0074235D"/>
    <w:rsid w:val="00745D63"/>
    <w:rsid w:val="00760DAF"/>
    <w:rsid w:val="00765C09"/>
    <w:rsid w:val="00772DBD"/>
    <w:rsid w:val="00773A85"/>
    <w:rsid w:val="007751B7"/>
    <w:rsid w:val="007A4375"/>
    <w:rsid w:val="007B7E8B"/>
    <w:rsid w:val="007D4A96"/>
    <w:rsid w:val="007F09F8"/>
    <w:rsid w:val="007F276C"/>
    <w:rsid w:val="007F3540"/>
    <w:rsid w:val="00817A38"/>
    <w:rsid w:val="00822EDC"/>
    <w:rsid w:val="00823E1F"/>
    <w:rsid w:val="00835345"/>
    <w:rsid w:val="00840EF9"/>
    <w:rsid w:val="008412FB"/>
    <w:rsid w:val="0085611F"/>
    <w:rsid w:val="00871943"/>
    <w:rsid w:val="008879C5"/>
    <w:rsid w:val="008C0DBE"/>
    <w:rsid w:val="008C4606"/>
    <w:rsid w:val="008C64B2"/>
    <w:rsid w:val="008D2471"/>
    <w:rsid w:val="008D34AC"/>
    <w:rsid w:val="008D5505"/>
    <w:rsid w:val="008D7532"/>
    <w:rsid w:val="00900BD2"/>
    <w:rsid w:val="00911C03"/>
    <w:rsid w:val="00911C2B"/>
    <w:rsid w:val="009210E8"/>
    <w:rsid w:val="009214E2"/>
    <w:rsid w:val="00932ED9"/>
    <w:rsid w:val="00940813"/>
    <w:rsid w:val="00973BB6"/>
    <w:rsid w:val="0097486A"/>
    <w:rsid w:val="00986FEF"/>
    <w:rsid w:val="00996286"/>
    <w:rsid w:val="009A4799"/>
    <w:rsid w:val="009A5798"/>
    <w:rsid w:val="009F5813"/>
    <w:rsid w:val="00A0511A"/>
    <w:rsid w:val="00A11440"/>
    <w:rsid w:val="00A15ACE"/>
    <w:rsid w:val="00A25C52"/>
    <w:rsid w:val="00A26DEE"/>
    <w:rsid w:val="00A467BD"/>
    <w:rsid w:val="00A7173B"/>
    <w:rsid w:val="00A73868"/>
    <w:rsid w:val="00A8702B"/>
    <w:rsid w:val="00AA17B1"/>
    <w:rsid w:val="00AB33F4"/>
    <w:rsid w:val="00AB4AB0"/>
    <w:rsid w:val="00AB57F7"/>
    <w:rsid w:val="00AE30B0"/>
    <w:rsid w:val="00AE3BBE"/>
    <w:rsid w:val="00AE5822"/>
    <w:rsid w:val="00AE5A9B"/>
    <w:rsid w:val="00AF634C"/>
    <w:rsid w:val="00B00068"/>
    <w:rsid w:val="00B00445"/>
    <w:rsid w:val="00B14389"/>
    <w:rsid w:val="00B251D5"/>
    <w:rsid w:val="00B46A0E"/>
    <w:rsid w:val="00B82AE5"/>
    <w:rsid w:val="00B9314A"/>
    <w:rsid w:val="00B97E8B"/>
    <w:rsid w:val="00BB0DD6"/>
    <w:rsid w:val="00BB79AE"/>
    <w:rsid w:val="00BC74FE"/>
    <w:rsid w:val="00BD67B1"/>
    <w:rsid w:val="00BF2ACB"/>
    <w:rsid w:val="00C018AC"/>
    <w:rsid w:val="00C43CA0"/>
    <w:rsid w:val="00C53B7C"/>
    <w:rsid w:val="00C54A33"/>
    <w:rsid w:val="00C72633"/>
    <w:rsid w:val="00C7549A"/>
    <w:rsid w:val="00C87516"/>
    <w:rsid w:val="00C95B5A"/>
    <w:rsid w:val="00CB3811"/>
    <w:rsid w:val="00CC3C21"/>
    <w:rsid w:val="00D03C11"/>
    <w:rsid w:val="00D0678C"/>
    <w:rsid w:val="00D163C7"/>
    <w:rsid w:val="00D2756B"/>
    <w:rsid w:val="00D31837"/>
    <w:rsid w:val="00D53A8F"/>
    <w:rsid w:val="00D6559A"/>
    <w:rsid w:val="00D729A8"/>
    <w:rsid w:val="00D77846"/>
    <w:rsid w:val="00DB4688"/>
    <w:rsid w:val="00DB6EC4"/>
    <w:rsid w:val="00DB7A08"/>
    <w:rsid w:val="00DE7123"/>
    <w:rsid w:val="00E40406"/>
    <w:rsid w:val="00E4328A"/>
    <w:rsid w:val="00E45687"/>
    <w:rsid w:val="00E5454A"/>
    <w:rsid w:val="00E560B5"/>
    <w:rsid w:val="00E70863"/>
    <w:rsid w:val="00E800E8"/>
    <w:rsid w:val="00E85ADA"/>
    <w:rsid w:val="00E87355"/>
    <w:rsid w:val="00EA58FA"/>
    <w:rsid w:val="00EB27E9"/>
    <w:rsid w:val="00EB557D"/>
    <w:rsid w:val="00EB57EA"/>
    <w:rsid w:val="00EC38ED"/>
    <w:rsid w:val="00ED72BB"/>
    <w:rsid w:val="00F01167"/>
    <w:rsid w:val="00F0772F"/>
    <w:rsid w:val="00F1441F"/>
    <w:rsid w:val="00F159E2"/>
    <w:rsid w:val="00F16FD3"/>
    <w:rsid w:val="00F329CA"/>
    <w:rsid w:val="00F41540"/>
    <w:rsid w:val="00F532EA"/>
    <w:rsid w:val="00F62082"/>
    <w:rsid w:val="00F713AF"/>
    <w:rsid w:val="00F91B32"/>
    <w:rsid w:val="00FA5BD0"/>
    <w:rsid w:val="00FD00DE"/>
    <w:rsid w:val="00FD1494"/>
    <w:rsid w:val="00FD3474"/>
    <w:rsid w:val="00FD5981"/>
    <w:rsid w:val="00FD6DC9"/>
    <w:rsid w:val="00FE09DF"/>
    <w:rsid w:val="00FE3D08"/>
    <w:rsid w:val="00FF0BD7"/>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F4CD"/>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AE5A9B"/>
    <w:pPr>
      <w:ind w:left="720"/>
      <w:contextualSpacing/>
    </w:pPr>
  </w:style>
  <w:style w:type="paragraph" w:styleId="NormalWeb">
    <w:name w:val="Normal (Web)"/>
    <w:basedOn w:val="Normal"/>
    <w:uiPriority w:val="99"/>
    <w:semiHidden/>
    <w:unhideWhenUsed/>
    <w:rsid w:val="0017110A"/>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op">
    <w:name w:val="eop"/>
    <w:rsid w:val="0017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5734">
      <w:bodyDiv w:val="1"/>
      <w:marLeft w:val="0"/>
      <w:marRight w:val="0"/>
      <w:marTop w:val="0"/>
      <w:marBottom w:val="0"/>
      <w:divBdr>
        <w:top w:val="none" w:sz="0" w:space="0" w:color="auto"/>
        <w:left w:val="none" w:sz="0" w:space="0" w:color="auto"/>
        <w:bottom w:val="none" w:sz="0" w:space="0" w:color="auto"/>
        <w:right w:val="none" w:sz="0" w:space="0" w:color="auto"/>
      </w:divBdr>
    </w:div>
    <w:div w:id="389497402">
      <w:bodyDiv w:val="1"/>
      <w:marLeft w:val="0"/>
      <w:marRight w:val="0"/>
      <w:marTop w:val="0"/>
      <w:marBottom w:val="0"/>
      <w:divBdr>
        <w:top w:val="none" w:sz="0" w:space="0" w:color="auto"/>
        <w:left w:val="none" w:sz="0" w:space="0" w:color="auto"/>
        <w:bottom w:val="none" w:sz="0" w:space="0" w:color="auto"/>
        <w:right w:val="none" w:sz="0" w:space="0" w:color="auto"/>
      </w:divBdr>
    </w:div>
    <w:div w:id="435057018">
      <w:bodyDiv w:val="1"/>
      <w:marLeft w:val="0"/>
      <w:marRight w:val="0"/>
      <w:marTop w:val="0"/>
      <w:marBottom w:val="0"/>
      <w:divBdr>
        <w:top w:val="none" w:sz="0" w:space="0" w:color="auto"/>
        <w:left w:val="none" w:sz="0" w:space="0" w:color="auto"/>
        <w:bottom w:val="none" w:sz="0" w:space="0" w:color="auto"/>
        <w:right w:val="none" w:sz="0" w:space="0" w:color="auto"/>
      </w:divBdr>
    </w:div>
    <w:div w:id="624386520">
      <w:bodyDiv w:val="1"/>
      <w:marLeft w:val="0"/>
      <w:marRight w:val="0"/>
      <w:marTop w:val="0"/>
      <w:marBottom w:val="0"/>
      <w:divBdr>
        <w:top w:val="none" w:sz="0" w:space="0" w:color="auto"/>
        <w:left w:val="none" w:sz="0" w:space="0" w:color="auto"/>
        <w:bottom w:val="none" w:sz="0" w:space="0" w:color="auto"/>
        <w:right w:val="none" w:sz="0" w:space="0" w:color="auto"/>
      </w:divBdr>
    </w:div>
    <w:div w:id="917055047">
      <w:bodyDiv w:val="1"/>
      <w:marLeft w:val="0"/>
      <w:marRight w:val="0"/>
      <w:marTop w:val="0"/>
      <w:marBottom w:val="0"/>
      <w:divBdr>
        <w:top w:val="none" w:sz="0" w:space="0" w:color="auto"/>
        <w:left w:val="none" w:sz="0" w:space="0" w:color="auto"/>
        <w:bottom w:val="none" w:sz="0" w:space="0" w:color="auto"/>
        <w:right w:val="none" w:sz="0" w:space="0" w:color="auto"/>
      </w:divBdr>
    </w:div>
    <w:div w:id="991250036">
      <w:bodyDiv w:val="1"/>
      <w:marLeft w:val="0"/>
      <w:marRight w:val="0"/>
      <w:marTop w:val="0"/>
      <w:marBottom w:val="0"/>
      <w:divBdr>
        <w:top w:val="none" w:sz="0" w:space="0" w:color="auto"/>
        <w:left w:val="none" w:sz="0" w:space="0" w:color="auto"/>
        <w:bottom w:val="none" w:sz="0" w:space="0" w:color="auto"/>
        <w:right w:val="none" w:sz="0" w:space="0" w:color="auto"/>
      </w:divBdr>
    </w:div>
    <w:div w:id="1472098096">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550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B337E-85CC-4CC4-9E08-ED7F98F464C2}">
  <ds:schemaRefs>
    <ds:schemaRef ds:uri="http://schemas.openxmlformats.org/officeDocument/2006/bibliography"/>
  </ds:schemaRefs>
</ds:datastoreItem>
</file>

<file path=customXml/itemProps2.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2021-05-07T13:45:00Z</dcterms:created>
  <dcterms:modified xsi:type="dcterms:W3CDTF">2021-05-07T13:45:00Z</dcterms:modified>
</cp:coreProperties>
</file>