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FB6D" w14:textId="11F21C22" w:rsidR="00AD797B" w:rsidRPr="00A4311C" w:rsidRDefault="00AD797B" w:rsidP="00A4311C">
      <w:pPr>
        <w:pStyle w:val="Sinespaciado"/>
        <w:spacing w:line="276" w:lineRule="auto"/>
        <w:rPr>
          <w:szCs w:val="24"/>
        </w:rPr>
      </w:pPr>
      <w:r w:rsidRPr="00A4311C">
        <w:rPr>
          <w:szCs w:val="24"/>
        </w:rPr>
        <w:t>CONSEJERO PONENTE: JAIME ENRIQUE RODRÍGUEZ NAVAS</w:t>
      </w:r>
    </w:p>
    <w:p w14:paraId="08B540C5" w14:textId="77777777" w:rsidR="00AD797B" w:rsidRPr="00A4311C" w:rsidRDefault="00AD797B" w:rsidP="00A4311C">
      <w:pPr>
        <w:spacing w:line="276" w:lineRule="auto"/>
        <w:contextualSpacing/>
        <w:rPr>
          <w:b/>
          <w:bCs/>
          <w:sz w:val="24"/>
          <w:szCs w:val="24"/>
        </w:rPr>
      </w:pPr>
    </w:p>
    <w:p w14:paraId="2C828A94" w14:textId="43BF45E4" w:rsidR="00AD797B" w:rsidRPr="00A4311C" w:rsidRDefault="00AD797B" w:rsidP="00A4311C">
      <w:pPr>
        <w:spacing w:line="276" w:lineRule="auto"/>
        <w:contextualSpacing/>
        <w:rPr>
          <w:bCs/>
          <w:sz w:val="24"/>
          <w:szCs w:val="24"/>
        </w:rPr>
      </w:pPr>
      <w:r w:rsidRPr="00A4311C">
        <w:rPr>
          <w:bCs/>
          <w:sz w:val="24"/>
          <w:szCs w:val="24"/>
        </w:rPr>
        <w:t xml:space="preserve">Bogotá D.C., </w:t>
      </w:r>
      <w:r w:rsidR="008D2E85" w:rsidRPr="00A4311C">
        <w:rPr>
          <w:bCs/>
          <w:sz w:val="24"/>
          <w:szCs w:val="24"/>
        </w:rPr>
        <w:t>doce</w:t>
      </w:r>
      <w:r w:rsidRPr="00A4311C">
        <w:rPr>
          <w:bCs/>
          <w:sz w:val="24"/>
          <w:szCs w:val="24"/>
        </w:rPr>
        <w:t xml:space="preserve"> (</w:t>
      </w:r>
      <w:r w:rsidR="00DB76CC" w:rsidRPr="00A4311C">
        <w:rPr>
          <w:bCs/>
          <w:sz w:val="24"/>
          <w:szCs w:val="24"/>
        </w:rPr>
        <w:t>1</w:t>
      </w:r>
      <w:r w:rsidR="008D2E85" w:rsidRPr="00A4311C">
        <w:rPr>
          <w:bCs/>
          <w:sz w:val="24"/>
          <w:szCs w:val="24"/>
        </w:rPr>
        <w:t>2</w:t>
      </w:r>
      <w:r w:rsidRPr="00A4311C">
        <w:rPr>
          <w:bCs/>
          <w:sz w:val="24"/>
          <w:szCs w:val="24"/>
        </w:rPr>
        <w:t xml:space="preserve">) de </w:t>
      </w:r>
      <w:r w:rsidR="00DB76CC" w:rsidRPr="00A4311C">
        <w:rPr>
          <w:bCs/>
          <w:sz w:val="24"/>
          <w:szCs w:val="24"/>
        </w:rPr>
        <w:t>mayo</w:t>
      </w:r>
      <w:r w:rsidRPr="00A4311C">
        <w:rPr>
          <w:bCs/>
          <w:sz w:val="24"/>
          <w:szCs w:val="24"/>
        </w:rPr>
        <w:t xml:space="preserve"> de dos mil veintiuno (2021)</w:t>
      </w:r>
    </w:p>
    <w:p w14:paraId="270B0E68" w14:textId="77777777" w:rsidR="00AD797B" w:rsidRPr="00A4311C" w:rsidRDefault="00AD797B" w:rsidP="00A4311C">
      <w:pPr>
        <w:spacing w:line="276" w:lineRule="auto"/>
        <w:contextualSpacing/>
        <w:rPr>
          <w:b/>
          <w:sz w:val="24"/>
          <w:szCs w:val="24"/>
        </w:rPr>
      </w:pPr>
    </w:p>
    <w:p w14:paraId="6E347FEC" w14:textId="77777777" w:rsidR="00AD797B" w:rsidRPr="00A4311C" w:rsidRDefault="00AD797B" w:rsidP="00A4311C">
      <w:pPr>
        <w:spacing w:line="276" w:lineRule="auto"/>
        <w:ind w:left="1620" w:hanging="1620"/>
        <w:contextualSpacing/>
        <w:rPr>
          <w:b/>
          <w:sz w:val="24"/>
          <w:szCs w:val="24"/>
        </w:rPr>
      </w:pPr>
      <w:r w:rsidRPr="00A4311C">
        <w:rPr>
          <w:b/>
          <w:sz w:val="24"/>
          <w:szCs w:val="24"/>
        </w:rPr>
        <w:t xml:space="preserve">Referencia: </w:t>
      </w:r>
      <w:r w:rsidRPr="00A4311C">
        <w:rPr>
          <w:b/>
          <w:sz w:val="24"/>
          <w:szCs w:val="24"/>
        </w:rPr>
        <w:tab/>
      </w:r>
      <w:r w:rsidRPr="00A4311C">
        <w:rPr>
          <w:sz w:val="24"/>
          <w:szCs w:val="24"/>
        </w:rPr>
        <w:t>Acción de Tutela</w:t>
      </w:r>
    </w:p>
    <w:p w14:paraId="6F1C8043" w14:textId="064D1B98" w:rsidR="00AD797B" w:rsidRPr="00A4311C" w:rsidRDefault="00AD797B" w:rsidP="00A4311C">
      <w:pPr>
        <w:spacing w:line="276" w:lineRule="auto"/>
        <w:ind w:left="1620" w:hanging="1620"/>
        <w:contextualSpacing/>
        <w:rPr>
          <w:sz w:val="24"/>
          <w:szCs w:val="24"/>
        </w:rPr>
      </w:pPr>
      <w:r w:rsidRPr="00A4311C">
        <w:rPr>
          <w:b/>
          <w:sz w:val="24"/>
          <w:szCs w:val="24"/>
        </w:rPr>
        <w:t>Radicación:</w:t>
      </w:r>
      <w:r w:rsidRPr="00A4311C">
        <w:rPr>
          <w:b/>
          <w:sz w:val="24"/>
          <w:szCs w:val="24"/>
        </w:rPr>
        <w:tab/>
      </w:r>
      <w:r w:rsidR="008D2E85" w:rsidRPr="00A4311C">
        <w:rPr>
          <w:sz w:val="24"/>
          <w:szCs w:val="24"/>
        </w:rPr>
        <w:t>11001-03-15-000-2021-02339-00</w:t>
      </w:r>
    </w:p>
    <w:p w14:paraId="33716A2D" w14:textId="7E8E4EE1" w:rsidR="00AD797B" w:rsidRPr="00A4311C" w:rsidRDefault="00AD797B" w:rsidP="00A4311C">
      <w:pPr>
        <w:spacing w:line="276" w:lineRule="auto"/>
        <w:ind w:left="1620" w:hanging="1620"/>
        <w:contextualSpacing/>
        <w:rPr>
          <w:sz w:val="24"/>
          <w:szCs w:val="24"/>
        </w:rPr>
      </w:pPr>
      <w:r w:rsidRPr="00A4311C">
        <w:rPr>
          <w:b/>
          <w:sz w:val="24"/>
          <w:szCs w:val="24"/>
        </w:rPr>
        <w:t>Accionante:</w:t>
      </w:r>
      <w:r w:rsidRPr="00A4311C">
        <w:rPr>
          <w:b/>
          <w:sz w:val="24"/>
          <w:szCs w:val="24"/>
        </w:rPr>
        <w:tab/>
      </w:r>
      <w:r w:rsidR="008D2E85" w:rsidRPr="00A4311C">
        <w:rPr>
          <w:bCs/>
          <w:sz w:val="24"/>
          <w:szCs w:val="24"/>
        </w:rPr>
        <w:t>Luis Eduardo Azcárate Alarcón</w:t>
      </w:r>
    </w:p>
    <w:p w14:paraId="2103001D" w14:textId="4E9B04D3" w:rsidR="00AD797B" w:rsidRPr="00A4311C" w:rsidRDefault="00AD797B" w:rsidP="00A4311C">
      <w:pPr>
        <w:spacing w:line="276" w:lineRule="auto"/>
        <w:ind w:left="1620" w:hanging="1620"/>
        <w:contextualSpacing/>
        <w:rPr>
          <w:bCs/>
          <w:sz w:val="24"/>
          <w:szCs w:val="24"/>
        </w:rPr>
      </w:pPr>
      <w:r w:rsidRPr="00A4311C">
        <w:rPr>
          <w:b/>
          <w:sz w:val="24"/>
          <w:szCs w:val="24"/>
        </w:rPr>
        <w:t>Accionado</w:t>
      </w:r>
      <w:r w:rsidR="00B32683" w:rsidRPr="00A4311C">
        <w:rPr>
          <w:b/>
          <w:sz w:val="24"/>
          <w:szCs w:val="24"/>
        </w:rPr>
        <w:t>s</w:t>
      </w:r>
      <w:r w:rsidRPr="00A4311C">
        <w:rPr>
          <w:b/>
          <w:sz w:val="24"/>
          <w:szCs w:val="24"/>
        </w:rPr>
        <w:t>:</w:t>
      </w:r>
      <w:r w:rsidRPr="00A4311C">
        <w:rPr>
          <w:b/>
          <w:sz w:val="24"/>
          <w:szCs w:val="24"/>
        </w:rPr>
        <w:tab/>
      </w:r>
      <w:r w:rsidRPr="00A4311C">
        <w:rPr>
          <w:bCs/>
          <w:sz w:val="24"/>
          <w:szCs w:val="24"/>
        </w:rPr>
        <w:t xml:space="preserve">Tribunal Administrativo </w:t>
      </w:r>
      <w:r w:rsidR="00B32683" w:rsidRPr="00A4311C">
        <w:rPr>
          <w:bCs/>
          <w:sz w:val="24"/>
          <w:szCs w:val="24"/>
        </w:rPr>
        <w:t>del Valle del Cauca</w:t>
      </w:r>
      <w:r w:rsidR="008D2E85" w:rsidRPr="00A4311C">
        <w:rPr>
          <w:bCs/>
          <w:sz w:val="24"/>
          <w:szCs w:val="24"/>
        </w:rPr>
        <w:t xml:space="preserve"> y </w:t>
      </w:r>
      <w:r w:rsidR="00355644" w:rsidRPr="00A4311C">
        <w:rPr>
          <w:bCs/>
          <w:sz w:val="24"/>
          <w:szCs w:val="24"/>
        </w:rPr>
        <w:t>M</w:t>
      </w:r>
      <w:r w:rsidR="008D2E85" w:rsidRPr="00A4311C">
        <w:rPr>
          <w:bCs/>
          <w:sz w:val="24"/>
          <w:szCs w:val="24"/>
        </w:rPr>
        <w:t>unicipio de Cali</w:t>
      </w:r>
    </w:p>
    <w:p w14:paraId="0B28221E" w14:textId="2CBF7E66" w:rsidR="00AD797B" w:rsidRPr="00A4311C" w:rsidRDefault="00AD797B" w:rsidP="00A4311C">
      <w:pPr>
        <w:spacing w:line="276" w:lineRule="auto"/>
        <w:contextualSpacing/>
        <w:rPr>
          <w:b/>
          <w:sz w:val="24"/>
          <w:szCs w:val="24"/>
        </w:rPr>
      </w:pPr>
    </w:p>
    <w:p w14:paraId="1DB19A9D" w14:textId="44C7BC17" w:rsidR="00AD797B" w:rsidRPr="00A4311C" w:rsidRDefault="00DB76CC" w:rsidP="00A4311C">
      <w:pPr>
        <w:pBdr>
          <w:bottom w:val="single" w:sz="12" w:space="0" w:color="auto"/>
        </w:pBdr>
        <w:spacing w:line="276" w:lineRule="auto"/>
        <w:contextualSpacing/>
        <w:rPr>
          <w:b/>
          <w:sz w:val="24"/>
          <w:szCs w:val="24"/>
        </w:rPr>
      </w:pPr>
      <w:r w:rsidRPr="00A4311C">
        <w:rPr>
          <w:b/>
          <w:sz w:val="24"/>
          <w:szCs w:val="24"/>
        </w:rPr>
        <w:t>AUTO DE TRÁMITE</w:t>
      </w:r>
    </w:p>
    <w:p w14:paraId="418537FA" w14:textId="77777777" w:rsidR="00AD797B" w:rsidRPr="00A4311C" w:rsidRDefault="00AD797B" w:rsidP="00A4311C">
      <w:pPr>
        <w:spacing w:line="276" w:lineRule="auto"/>
        <w:contextualSpacing/>
        <w:rPr>
          <w:b/>
          <w:sz w:val="24"/>
          <w:szCs w:val="24"/>
        </w:rPr>
      </w:pPr>
    </w:p>
    <w:p w14:paraId="2EC13B7A" w14:textId="09FAC722" w:rsidR="00AD797B" w:rsidRPr="00A4311C" w:rsidRDefault="00DB76CC" w:rsidP="00A4311C">
      <w:pPr>
        <w:spacing w:line="276" w:lineRule="auto"/>
        <w:contextualSpacing/>
        <w:rPr>
          <w:sz w:val="24"/>
          <w:szCs w:val="24"/>
        </w:rPr>
      </w:pPr>
      <w:r w:rsidRPr="00A4311C">
        <w:rPr>
          <w:sz w:val="24"/>
          <w:szCs w:val="24"/>
        </w:rPr>
        <w:t xml:space="preserve">El Despacho decide </w:t>
      </w:r>
      <w:r w:rsidR="008D2E85" w:rsidRPr="00A4311C">
        <w:rPr>
          <w:sz w:val="24"/>
          <w:szCs w:val="24"/>
        </w:rPr>
        <w:t>si avoca conocimiento de la acción de tutela de la referencia y, en caso tal, sobre su correspondiente admisión.</w:t>
      </w:r>
    </w:p>
    <w:p w14:paraId="46138000" w14:textId="77777777" w:rsidR="00AD797B" w:rsidRPr="00A4311C" w:rsidRDefault="00AD797B" w:rsidP="00A4311C">
      <w:pPr>
        <w:spacing w:line="276" w:lineRule="auto"/>
        <w:contextualSpacing/>
        <w:rPr>
          <w:sz w:val="24"/>
          <w:szCs w:val="24"/>
        </w:rPr>
      </w:pPr>
    </w:p>
    <w:p w14:paraId="7522612E" w14:textId="77777777" w:rsidR="00AD797B" w:rsidRPr="00A4311C" w:rsidRDefault="00AD797B" w:rsidP="00A4311C">
      <w:pPr>
        <w:pStyle w:val="Ttulo1"/>
        <w:spacing w:before="0" w:after="0"/>
        <w:ind w:left="540" w:hanging="540"/>
        <w:rPr>
          <w:rFonts w:cs="Arial"/>
          <w:szCs w:val="24"/>
        </w:rPr>
      </w:pPr>
      <w:r w:rsidRPr="00A4311C">
        <w:rPr>
          <w:rFonts w:cs="Arial"/>
          <w:szCs w:val="24"/>
        </w:rPr>
        <w:t>ANTECEDENTES</w:t>
      </w:r>
    </w:p>
    <w:p w14:paraId="42F7121B" w14:textId="77777777" w:rsidR="00AD797B" w:rsidRPr="00A4311C" w:rsidRDefault="00AD797B" w:rsidP="00A4311C">
      <w:pPr>
        <w:spacing w:line="276" w:lineRule="auto"/>
        <w:rPr>
          <w:sz w:val="24"/>
          <w:szCs w:val="24"/>
        </w:rPr>
      </w:pPr>
    </w:p>
    <w:p w14:paraId="1B7E5AF8" w14:textId="77777777" w:rsidR="00AD797B" w:rsidRPr="00A4311C" w:rsidRDefault="00AD797B" w:rsidP="00A4311C">
      <w:pPr>
        <w:pStyle w:val="Ttulo2"/>
        <w:spacing w:before="0" w:after="0" w:line="276" w:lineRule="auto"/>
        <w:ind w:left="0" w:firstLine="0"/>
        <w:rPr>
          <w:rFonts w:cs="Arial"/>
          <w:szCs w:val="24"/>
          <w:lang w:eastAsia="es-ES"/>
        </w:rPr>
      </w:pPr>
      <w:r w:rsidRPr="00A4311C">
        <w:rPr>
          <w:rFonts w:cs="Arial"/>
          <w:szCs w:val="24"/>
          <w:lang w:eastAsia="es-ES"/>
        </w:rPr>
        <w:t>Solicitud de tutela y pretensiones</w:t>
      </w:r>
    </w:p>
    <w:p w14:paraId="5974A8AB" w14:textId="77777777" w:rsidR="00AD797B" w:rsidRPr="00A4311C" w:rsidRDefault="00AD797B" w:rsidP="00A4311C">
      <w:pPr>
        <w:overflowPunct w:val="0"/>
        <w:autoSpaceDE w:val="0"/>
        <w:autoSpaceDN w:val="0"/>
        <w:adjustRightInd w:val="0"/>
        <w:spacing w:line="276" w:lineRule="auto"/>
        <w:contextualSpacing/>
        <w:textAlignment w:val="baseline"/>
        <w:rPr>
          <w:sz w:val="24"/>
          <w:szCs w:val="24"/>
        </w:rPr>
      </w:pPr>
    </w:p>
    <w:p w14:paraId="66499F73" w14:textId="2FF63BEE" w:rsidR="00AD797B" w:rsidRPr="00A4311C" w:rsidRDefault="008D2E85" w:rsidP="00A4311C">
      <w:pPr>
        <w:spacing w:line="276" w:lineRule="auto"/>
        <w:rPr>
          <w:spacing w:val="-2"/>
          <w:sz w:val="24"/>
          <w:szCs w:val="24"/>
        </w:rPr>
      </w:pPr>
      <w:r w:rsidRPr="00A4311C">
        <w:rPr>
          <w:sz w:val="24"/>
          <w:szCs w:val="24"/>
        </w:rPr>
        <w:t>Luis Eduardo Azcárate Alarcón</w:t>
      </w:r>
      <w:r w:rsidR="00AD797B" w:rsidRPr="00A4311C">
        <w:rPr>
          <w:sz w:val="24"/>
          <w:szCs w:val="24"/>
        </w:rPr>
        <w:t>, en nombre propio, solicit</w:t>
      </w:r>
      <w:r w:rsidR="002A077F" w:rsidRPr="00A4311C">
        <w:rPr>
          <w:sz w:val="24"/>
          <w:szCs w:val="24"/>
        </w:rPr>
        <w:t>ó</w:t>
      </w:r>
      <w:r w:rsidR="00AD797B" w:rsidRPr="00A4311C">
        <w:rPr>
          <w:sz w:val="24"/>
          <w:szCs w:val="24"/>
          <w:vertAlign w:val="superscript"/>
        </w:rPr>
        <w:footnoteReference w:id="1"/>
      </w:r>
      <w:r w:rsidR="00AD797B" w:rsidRPr="00A4311C">
        <w:rPr>
          <w:sz w:val="24"/>
          <w:szCs w:val="24"/>
        </w:rPr>
        <w:t xml:space="preserve"> el amparo de sus derechos </w:t>
      </w:r>
      <w:r w:rsidRPr="00A4311C">
        <w:rPr>
          <w:sz w:val="24"/>
          <w:szCs w:val="24"/>
        </w:rPr>
        <w:t>a la vida digna, a la salud y al mínimo vital</w:t>
      </w:r>
      <w:r w:rsidR="00AD797B" w:rsidRPr="00A4311C">
        <w:rPr>
          <w:sz w:val="24"/>
          <w:szCs w:val="24"/>
        </w:rPr>
        <w:t>. Tales garantías las consider</w:t>
      </w:r>
      <w:r w:rsidR="00BF1B83" w:rsidRPr="00A4311C">
        <w:rPr>
          <w:sz w:val="24"/>
          <w:szCs w:val="24"/>
        </w:rPr>
        <w:t>ó</w:t>
      </w:r>
      <w:r w:rsidR="001928F5" w:rsidRPr="00A4311C">
        <w:rPr>
          <w:sz w:val="24"/>
          <w:szCs w:val="24"/>
        </w:rPr>
        <w:t xml:space="preserve"> </w:t>
      </w:r>
      <w:r w:rsidR="00AD797B" w:rsidRPr="00A4311C">
        <w:rPr>
          <w:sz w:val="24"/>
          <w:szCs w:val="24"/>
        </w:rPr>
        <w:t>vulneradas</w:t>
      </w:r>
      <w:r w:rsidRPr="00A4311C">
        <w:rPr>
          <w:sz w:val="24"/>
          <w:szCs w:val="24"/>
        </w:rPr>
        <w:t xml:space="preserve"> por el municipio de Cali</w:t>
      </w:r>
      <w:r w:rsidR="00B47E9D" w:rsidRPr="00A4311C">
        <w:rPr>
          <w:sz w:val="24"/>
          <w:szCs w:val="24"/>
        </w:rPr>
        <w:t xml:space="preserve">. En su memorial, </w:t>
      </w:r>
      <w:r w:rsidRPr="00A4311C">
        <w:rPr>
          <w:sz w:val="24"/>
          <w:szCs w:val="24"/>
        </w:rPr>
        <w:t>el</w:t>
      </w:r>
      <w:r w:rsidR="00B47E9D" w:rsidRPr="00A4311C">
        <w:rPr>
          <w:sz w:val="24"/>
          <w:szCs w:val="24"/>
        </w:rPr>
        <w:t xml:space="preserve"> señor </w:t>
      </w:r>
      <w:r w:rsidRPr="00A4311C">
        <w:rPr>
          <w:sz w:val="24"/>
          <w:szCs w:val="24"/>
        </w:rPr>
        <w:t>Azcárate</w:t>
      </w:r>
      <w:r w:rsidR="00B47E9D" w:rsidRPr="00A4311C">
        <w:rPr>
          <w:sz w:val="24"/>
          <w:szCs w:val="24"/>
        </w:rPr>
        <w:t xml:space="preserve"> </w:t>
      </w:r>
      <w:r w:rsidRPr="00A4311C">
        <w:rPr>
          <w:sz w:val="24"/>
          <w:szCs w:val="24"/>
        </w:rPr>
        <w:t>narró que en el Tribunal Administrativo del Valle del Cauca cursa</w:t>
      </w:r>
      <w:r w:rsidR="00C52747" w:rsidRPr="00A4311C">
        <w:rPr>
          <w:sz w:val="24"/>
          <w:szCs w:val="24"/>
        </w:rPr>
        <w:t>,</w:t>
      </w:r>
      <w:r w:rsidRPr="00A4311C">
        <w:rPr>
          <w:sz w:val="24"/>
          <w:szCs w:val="24"/>
        </w:rPr>
        <w:t xml:space="preserve"> </w:t>
      </w:r>
      <w:r w:rsidR="00C52747" w:rsidRPr="00A4311C">
        <w:rPr>
          <w:sz w:val="24"/>
          <w:szCs w:val="24"/>
        </w:rPr>
        <w:t xml:space="preserve">en segunda instancia, </w:t>
      </w:r>
      <w:r w:rsidRPr="00A4311C">
        <w:rPr>
          <w:sz w:val="24"/>
          <w:szCs w:val="24"/>
        </w:rPr>
        <w:t xml:space="preserve">el </w:t>
      </w:r>
      <w:r w:rsidR="00C52747" w:rsidRPr="00A4311C">
        <w:rPr>
          <w:sz w:val="24"/>
          <w:szCs w:val="24"/>
        </w:rPr>
        <w:t>proceso</w:t>
      </w:r>
      <w:r w:rsidR="006363DB" w:rsidRPr="00A4311C">
        <w:rPr>
          <w:rStyle w:val="Refdenotaalpie"/>
          <w:sz w:val="24"/>
          <w:szCs w:val="24"/>
        </w:rPr>
        <w:footnoteReference w:id="2"/>
      </w:r>
      <w:r w:rsidRPr="00A4311C">
        <w:rPr>
          <w:sz w:val="24"/>
          <w:szCs w:val="24"/>
        </w:rPr>
        <w:t xml:space="preserve"> de nulidad y restablecimiento del derecho</w:t>
      </w:r>
      <w:r w:rsidR="00C52747" w:rsidRPr="00A4311C">
        <w:rPr>
          <w:sz w:val="24"/>
          <w:szCs w:val="24"/>
        </w:rPr>
        <w:t xml:space="preserve"> a través d</w:t>
      </w:r>
      <w:r w:rsidRPr="00A4311C">
        <w:rPr>
          <w:sz w:val="24"/>
          <w:szCs w:val="24"/>
        </w:rPr>
        <w:t xml:space="preserve">el cual </w:t>
      </w:r>
      <w:r w:rsidR="00355644" w:rsidRPr="00A4311C">
        <w:rPr>
          <w:sz w:val="24"/>
          <w:szCs w:val="24"/>
        </w:rPr>
        <w:t>busca</w:t>
      </w:r>
      <w:r w:rsidR="00C52747" w:rsidRPr="00A4311C">
        <w:rPr>
          <w:sz w:val="24"/>
          <w:szCs w:val="24"/>
        </w:rPr>
        <w:t xml:space="preserve"> ser reconocido como sucesor pensional de su padre, Alfonso Azcárate Castrillón. </w:t>
      </w:r>
      <w:r w:rsidR="00355644" w:rsidRPr="00A4311C">
        <w:rPr>
          <w:sz w:val="24"/>
          <w:szCs w:val="24"/>
        </w:rPr>
        <w:t>Luego</w:t>
      </w:r>
      <w:r w:rsidR="00C52747" w:rsidRPr="00A4311C">
        <w:rPr>
          <w:sz w:val="24"/>
          <w:szCs w:val="24"/>
        </w:rPr>
        <w:t>, expresó que, mientras se surte el trámite procesal en cita, el pago de la pensión objeto de litigio está suspendida. Por tal motivo</w:t>
      </w:r>
      <w:r w:rsidR="00355644" w:rsidRPr="00A4311C">
        <w:rPr>
          <w:sz w:val="24"/>
          <w:szCs w:val="24"/>
        </w:rPr>
        <w:t>, arguyó que</w:t>
      </w:r>
      <w:r w:rsidR="00C52747" w:rsidRPr="00A4311C">
        <w:rPr>
          <w:sz w:val="24"/>
          <w:szCs w:val="24"/>
        </w:rPr>
        <w:t xml:space="preserve"> no percibe ingreso</w:t>
      </w:r>
      <w:r w:rsidR="00355644" w:rsidRPr="00A4311C">
        <w:rPr>
          <w:sz w:val="24"/>
          <w:szCs w:val="24"/>
        </w:rPr>
        <w:t>s</w:t>
      </w:r>
      <w:r w:rsidR="00C52747" w:rsidRPr="00A4311C">
        <w:rPr>
          <w:sz w:val="24"/>
          <w:szCs w:val="24"/>
        </w:rPr>
        <w:t xml:space="preserve"> y no consigue trabajo </w:t>
      </w:r>
      <w:r w:rsidR="000105CD" w:rsidRPr="00A4311C">
        <w:rPr>
          <w:sz w:val="24"/>
          <w:szCs w:val="24"/>
        </w:rPr>
        <w:t>dada</w:t>
      </w:r>
      <w:r w:rsidR="00C52747" w:rsidRPr="00A4311C">
        <w:rPr>
          <w:sz w:val="24"/>
          <w:szCs w:val="24"/>
        </w:rPr>
        <w:t xml:space="preserve"> su edad e invalidez.</w:t>
      </w:r>
      <w:r w:rsidR="006363DB" w:rsidRPr="00A4311C">
        <w:rPr>
          <w:sz w:val="24"/>
          <w:szCs w:val="24"/>
        </w:rPr>
        <w:t xml:space="preserve"> Debido a ello, </w:t>
      </w:r>
      <w:r w:rsidR="00355644" w:rsidRPr="00A4311C">
        <w:rPr>
          <w:sz w:val="24"/>
          <w:szCs w:val="24"/>
        </w:rPr>
        <w:t xml:space="preserve">adujo que </w:t>
      </w:r>
      <w:r w:rsidR="006363DB" w:rsidRPr="00A4311C">
        <w:rPr>
          <w:sz w:val="24"/>
          <w:szCs w:val="24"/>
        </w:rPr>
        <w:t xml:space="preserve">no cuenta con recursos para </w:t>
      </w:r>
      <w:r w:rsidR="00355644" w:rsidRPr="00A4311C">
        <w:rPr>
          <w:sz w:val="24"/>
          <w:szCs w:val="24"/>
        </w:rPr>
        <w:t>subsistir</w:t>
      </w:r>
      <w:r w:rsidR="006363DB" w:rsidRPr="00A4311C">
        <w:rPr>
          <w:sz w:val="24"/>
          <w:szCs w:val="24"/>
        </w:rPr>
        <w:t>.</w:t>
      </w:r>
    </w:p>
    <w:p w14:paraId="3AED4E34" w14:textId="77777777" w:rsidR="00AD797B" w:rsidRPr="00A4311C" w:rsidRDefault="00AD797B" w:rsidP="00A4311C">
      <w:pPr>
        <w:spacing w:line="276" w:lineRule="auto"/>
        <w:rPr>
          <w:sz w:val="24"/>
          <w:szCs w:val="24"/>
        </w:rPr>
      </w:pPr>
    </w:p>
    <w:p w14:paraId="6B779A62" w14:textId="630C8D42" w:rsidR="00AD797B" w:rsidRPr="00A4311C" w:rsidRDefault="00C52747" w:rsidP="00A4311C">
      <w:pPr>
        <w:spacing w:line="276" w:lineRule="auto"/>
        <w:rPr>
          <w:sz w:val="24"/>
          <w:szCs w:val="24"/>
        </w:rPr>
      </w:pPr>
      <w:r w:rsidRPr="00A4311C">
        <w:rPr>
          <w:sz w:val="24"/>
          <w:szCs w:val="24"/>
        </w:rPr>
        <w:t>El actor</w:t>
      </w:r>
      <w:r w:rsidR="00AD797B" w:rsidRPr="00A4311C">
        <w:rPr>
          <w:sz w:val="24"/>
          <w:szCs w:val="24"/>
        </w:rPr>
        <w:t xml:space="preserve"> pretendi</w:t>
      </w:r>
      <w:r w:rsidR="00E32E56" w:rsidRPr="00A4311C">
        <w:rPr>
          <w:sz w:val="24"/>
          <w:szCs w:val="24"/>
        </w:rPr>
        <w:t>ó</w:t>
      </w:r>
      <w:r w:rsidR="00AD797B" w:rsidRPr="00A4311C">
        <w:rPr>
          <w:sz w:val="24"/>
          <w:szCs w:val="24"/>
        </w:rPr>
        <w:t xml:space="preserve"> que </w:t>
      </w:r>
      <w:r w:rsidR="00AD2300" w:rsidRPr="00A4311C">
        <w:rPr>
          <w:sz w:val="24"/>
          <w:szCs w:val="24"/>
        </w:rPr>
        <w:t>el juez de tutela</w:t>
      </w:r>
      <w:r w:rsidR="00AD797B" w:rsidRPr="00A4311C">
        <w:rPr>
          <w:sz w:val="24"/>
          <w:szCs w:val="24"/>
        </w:rPr>
        <w:t xml:space="preserve"> </w:t>
      </w:r>
      <w:r w:rsidR="00E32E56" w:rsidRPr="00A4311C">
        <w:rPr>
          <w:sz w:val="24"/>
          <w:szCs w:val="24"/>
        </w:rPr>
        <w:t>ordene que la</w:t>
      </w:r>
      <w:r w:rsidR="00AD2300" w:rsidRPr="00A4311C">
        <w:rPr>
          <w:sz w:val="24"/>
          <w:szCs w:val="24"/>
        </w:rPr>
        <w:t xml:space="preserve"> entidad territorial accionada le pague el cincuenta por ciento </w:t>
      </w:r>
      <w:r w:rsidR="0060241E" w:rsidRPr="00A4311C">
        <w:rPr>
          <w:sz w:val="24"/>
          <w:szCs w:val="24"/>
        </w:rPr>
        <w:t xml:space="preserve">(50%) </w:t>
      </w:r>
      <w:r w:rsidR="00AD2300" w:rsidRPr="00A4311C">
        <w:rPr>
          <w:sz w:val="24"/>
          <w:szCs w:val="24"/>
        </w:rPr>
        <w:t xml:space="preserve">de la correspondiente mesada pensional mientras el </w:t>
      </w:r>
      <w:r w:rsidR="00AC79EA" w:rsidRPr="00A4311C">
        <w:rPr>
          <w:sz w:val="24"/>
          <w:szCs w:val="24"/>
        </w:rPr>
        <w:t>referido</w:t>
      </w:r>
      <w:r w:rsidR="00AD2300" w:rsidRPr="00A4311C">
        <w:rPr>
          <w:sz w:val="24"/>
          <w:szCs w:val="24"/>
        </w:rPr>
        <w:t xml:space="preserve"> tribunal resuelve en segunda instancia el referido proceso</w:t>
      </w:r>
      <w:r w:rsidR="00AD797B" w:rsidRPr="00A4311C">
        <w:rPr>
          <w:sz w:val="24"/>
          <w:szCs w:val="24"/>
        </w:rPr>
        <w:t>.</w:t>
      </w:r>
    </w:p>
    <w:p w14:paraId="666AA1E0" w14:textId="77777777" w:rsidR="00AD797B" w:rsidRPr="00A4311C" w:rsidRDefault="00AD797B" w:rsidP="00A4311C">
      <w:pPr>
        <w:spacing w:line="276" w:lineRule="auto"/>
        <w:contextualSpacing/>
        <w:rPr>
          <w:rFonts w:eastAsia="Verdana"/>
          <w:sz w:val="24"/>
          <w:szCs w:val="24"/>
        </w:rPr>
      </w:pPr>
    </w:p>
    <w:p w14:paraId="62FE8B39" w14:textId="77777777" w:rsidR="00AD797B" w:rsidRPr="00A4311C" w:rsidRDefault="00AD797B" w:rsidP="00A4311C">
      <w:pPr>
        <w:numPr>
          <w:ilvl w:val="0"/>
          <w:numId w:val="2"/>
        </w:numPr>
        <w:overflowPunct w:val="0"/>
        <w:autoSpaceDE w:val="0"/>
        <w:autoSpaceDN w:val="0"/>
        <w:adjustRightInd w:val="0"/>
        <w:spacing w:line="276" w:lineRule="auto"/>
        <w:ind w:left="0" w:firstLine="0"/>
        <w:contextualSpacing/>
        <w:rPr>
          <w:rFonts w:eastAsia="Times New Roman"/>
          <w:b/>
          <w:sz w:val="24"/>
          <w:szCs w:val="24"/>
          <w:lang w:eastAsia="es-ES"/>
        </w:rPr>
      </w:pPr>
      <w:r w:rsidRPr="00A4311C">
        <w:rPr>
          <w:b/>
          <w:sz w:val="24"/>
          <w:szCs w:val="24"/>
        </w:rPr>
        <w:t>Trámite de tutela e intervenciones</w:t>
      </w:r>
    </w:p>
    <w:p w14:paraId="5A2FFBD2" w14:textId="77777777" w:rsidR="00AD797B" w:rsidRPr="00A4311C" w:rsidRDefault="00AD797B" w:rsidP="00A4311C">
      <w:pPr>
        <w:overflowPunct w:val="0"/>
        <w:autoSpaceDE w:val="0"/>
        <w:autoSpaceDN w:val="0"/>
        <w:adjustRightInd w:val="0"/>
        <w:spacing w:line="276" w:lineRule="auto"/>
        <w:contextualSpacing/>
        <w:rPr>
          <w:rFonts w:eastAsia="Times New Roman"/>
          <w:b/>
          <w:sz w:val="24"/>
          <w:szCs w:val="24"/>
          <w:lang w:eastAsia="es-ES"/>
        </w:rPr>
      </w:pPr>
    </w:p>
    <w:p w14:paraId="7DDC99A0" w14:textId="5017EEF2" w:rsidR="00AD797B" w:rsidRPr="00A4311C" w:rsidRDefault="005D1FCA" w:rsidP="00A4311C">
      <w:pPr>
        <w:numPr>
          <w:ilvl w:val="1"/>
          <w:numId w:val="2"/>
        </w:numPr>
        <w:overflowPunct w:val="0"/>
        <w:autoSpaceDE w:val="0"/>
        <w:autoSpaceDN w:val="0"/>
        <w:adjustRightInd w:val="0"/>
        <w:spacing w:line="276" w:lineRule="auto"/>
        <w:ind w:left="0" w:firstLine="0"/>
        <w:contextualSpacing/>
        <w:rPr>
          <w:rFonts w:eastAsia="Verdana"/>
          <w:sz w:val="24"/>
          <w:szCs w:val="24"/>
        </w:rPr>
      </w:pPr>
      <w:r w:rsidRPr="00A4311C">
        <w:rPr>
          <w:rFonts w:eastAsia="Verdana"/>
          <w:sz w:val="24"/>
          <w:szCs w:val="24"/>
        </w:rPr>
        <w:t xml:space="preserve">En un primer momento, el presente proceso constitucional fue repartido al Juzgado Séptimo de Pequeñas Causas y Competencia Múltiple de Cali. </w:t>
      </w:r>
      <w:r w:rsidR="00AD797B" w:rsidRPr="00A4311C">
        <w:rPr>
          <w:rFonts w:eastAsia="Verdana"/>
          <w:sz w:val="24"/>
          <w:szCs w:val="24"/>
        </w:rPr>
        <w:t>E</w:t>
      </w:r>
      <w:r w:rsidRPr="00A4311C">
        <w:rPr>
          <w:rFonts w:eastAsia="Verdana"/>
          <w:sz w:val="24"/>
          <w:szCs w:val="24"/>
        </w:rPr>
        <w:t>se</w:t>
      </w:r>
      <w:r w:rsidR="00AD797B" w:rsidRPr="00A4311C">
        <w:rPr>
          <w:rFonts w:eastAsia="Verdana"/>
          <w:sz w:val="24"/>
          <w:szCs w:val="24"/>
        </w:rPr>
        <w:t xml:space="preserve"> despacho admitió la solicitud de amparo por medio del auto</w:t>
      </w:r>
      <w:r w:rsidR="00AD797B" w:rsidRPr="00A4311C">
        <w:rPr>
          <w:rStyle w:val="Refdenotaalpie"/>
          <w:rFonts w:eastAsia="Verdana"/>
          <w:sz w:val="24"/>
          <w:szCs w:val="24"/>
        </w:rPr>
        <w:footnoteReference w:id="3"/>
      </w:r>
      <w:r w:rsidR="00AD797B" w:rsidRPr="00A4311C">
        <w:rPr>
          <w:rFonts w:eastAsia="Verdana"/>
          <w:sz w:val="24"/>
          <w:szCs w:val="24"/>
        </w:rPr>
        <w:t xml:space="preserve"> proferido el </w:t>
      </w:r>
      <w:r w:rsidR="00F265F1" w:rsidRPr="00A4311C">
        <w:rPr>
          <w:rFonts w:eastAsia="Verdana"/>
          <w:sz w:val="24"/>
          <w:szCs w:val="24"/>
        </w:rPr>
        <w:t>1</w:t>
      </w:r>
      <w:r w:rsidRPr="00A4311C">
        <w:rPr>
          <w:rFonts w:eastAsia="Verdana"/>
          <w:sz w:val="24"/>
          <w:szCs w:val="24"/>
        </w:rPr>
        <w:t>6</w:t>
      </w:r>
      <w:r w:rsidR="00F265F1" w:rsidRPr="00A4311C">
        <w:rPr>
          <w:rFonts w:eastAsia="Verdana"/>
          <w:sz w:val="24"/>
          <w:szCs w:val="24"/>
        </w:rPr>
        <w:t xml:space="preserve"> </w:t>
      </w:r>
      <w:r w:rsidR="00AD797B" w:rsidRPr="00A4311C">
        <w:rPr>
          <w:rFonts w:eastAsia="Verdana"/>
          <w:sz w:val="24"/>
          <w:szCs w:val="24"/>
        </w:rPr>
        <w:t xml:space="preserve">de abril de 2021. </w:t>
      </w:r>
      <w:r w:rsidRPr="00A4311C">
        <w:rPr>
          <w:rFonts w:eastAsia="Verdana"/>
          <w:sz w:val="24"/>
          <w:szCs w:val="24"/>
        </w:rPr>
        <w:t>Allí</w:t>
      </w:r>
      <w:r w:rsidR="00AD797B" w:rsidRPr="00A4311C">
        <w:rPr>
          <w:rFonts w:eastAsia="Verdana"/>
          <w:sz w:val="24"/>
          <w:szCs w:val="24"/>
        </w:rPr>
        <w:t xml:space="preserve">, vinculó a </w:t>
      </w:r>
      <w:r w:rsidRPr="00A4311C">
        <w:rPr>
          <w:rFonts w:eastAsia="Verdana"/>
          <w:sz w:val="24"/>
          <w:szCs w:val="24"/>
        </w:rPr>
        <w:t>esta</w:t>
      </w:r>
      <w:r w:rsidR="00AD797B" w:rsidRPr="00A4311C">
        <w:rPr>
          <w:rFonts w:eastAsia="Verdana"/>
          <w:sz w:val="24"/>
          <w:szCs w:val="24"/>
        </w:rPr>
        <w:t xml:space="preserve"> acción </w:t>
      </w:r>
      <w:r w:rsidRPr="00A4311C">
        <w:rPr>
          <w:rFonts w:eastAsia="Verdana"/>
          <w:sz w:val="24"/>
          <w:szCs w:val="24"/>
        </w:rPr>
        <w:t>al Tribunal Administrativo del Valle del Cauca</w:t>
      </w:r>
      <w:r w:rsidR="00AD797B" w:rsidRPr="00A4311C">
        <w:rPr>
          <w:rFonts w:eastAsia="Verdana"/>
          <w:sz w:val="24"/>
          <w:szCs w:val="24"/>
        </w:rPr>
        <w:t>.</w:t>
      </w:r>
    </w:p>
    <w:p w14:paraId="4136AD01" w14:textId="77777777" w:rsidR="00EA3CF1" w:rsidRPr="00A4311C" w:rsidRDefault="00EA3CF1" w:rsidP="00A4311C">
      <w:pPr>
        <w:overflowPunct w:val="0"/>
        <w:autoSpaceDE w:val="0"/>
        <w:autoSpaceDN w:val="0"/>
        <w:adjustRightInd w:val="0"/>
        <w:spacing w:line="276" w:lineRule="auto"/>
        <w:contextualSpacing/>
        <w:rPr>
          <w:rFonts w:eastAsia="Verdana"/>
          <w:sz w:val="24"/>
          <w:szCs w:val="24"/>
        </w:rPr>
      </w:pPr>
    </w:p>
    <w:p w14:paraId="65A0422F" w14:textId="6B93F2FB" w:rsidR="00EA3CF1" w:rsidRPr="00A4311C" w:rsidRDefault="00EA3CF1" w:rsidP="00A4311C">
      <w:pPr>
        <w:numPr>
          <w:ilvl w:val="1"/>
          <w:numId w:val="2"/>
        </w:numPr>
        <w:overflowPunct w:val="0"/>
        <w:autoSpaceDE w:val="0"/>
        <w:autoSpaceDN w:val="0"/>
        <w:adjustRightInd w:val="0"/>
        <w:spacing w:line="276" w:lineRule="auto"/>
        <w:ind w:left="0" w:firstLine="0"/>
        <w:contextualSpacing/>
        <w:rPr>
          <w:rFonts w:eastAsia="Verdana"/>
          <w:sz w:val="24"/>
          <w:szCs w:val="24"/>
        </w:rPr>
      </w:pPr>
      <w:r w:rsidRPr="00A4311C">
        <w:rPr>
          <w:rFonts w:eastAsia="Verdana"/>
          <w:sz w:val="24"/>
          <w:szCs w:val="24"/>
        </w:rPr>
        <w:t>Recaudado el informe rendido por el municipio de Cali</w:t>
      </w:r>
      <w:r w:rsidRPr="00A4311C">
        <w:rPr>
          <w:rStyle w:val="Refdenotaalpie"/>
          <w:rFonts w:eastAsia="Verdana"/>
          <w:sz w:val="24"/>
          <w:szCs w:val="24"/>
        </w:rPr>
        <w:footnoteReference w:id="4"/>
      </w:r>
      <w:r w:rsidRPr="00A4311C">
        <w:rPr>
          <w:rFonts w:eastAsia="Verdana"/>
          <w:sz w:val="24"/>
          <w:szCs w:val="24"/>
        </w:rPr>
        <w:t xml:space="preserve"> y verificado que el Tribunal Administrativo del Valle del Cauca guardó silencio a pesar de haber sido </w:t>
      </w:r>
      <w:r w:rsidRPr="00A4311C">
        <w:rPr>
          <w:rFonts w:eastAsia="Verdana"/>
          <w:sz w:val="24"/>
          <w:szCs w:val="24"/>
        </w:rPr>
        <w:lastRenderedPageBreak/>
        <w:t>notificado en debida forma</w:t>
      </w:r>
      <w:r w:rsidRPr="00A4311C">
        <w:rPr>
          <w:rStyle w:val="Refdenotaalpie"/>
          <w:rFonts w:eastAsia="Verdana"/>
          <w:sz w:val="24"/>
          <w:szCs w:val="24"/>
        </w:rPr>
        <w:footnoteReference w:id="5"/>
      </w:r>
      <w:r w:rsidRPr="00A4311C">
        <w:rPr>
          <w:rFonts w:eastAsia="Verdana"/>
          <w:sz w:val="24"/>
          <w:szCs w:val="24"/>
        </w:rPr>
        <w:t>, el juzgado identificado arriba profirió fallo de tutela de primera instancia el 28 de abril de 2021.</w:t>
      </w:r>
      <w:r w:rsidR="00A14685" w:rsidRPr="00A4311C">
        <w:rPr>
          <w:rFonts w:eastAsia="Verdana"/>
          <w:sz w:val="24"/>
          <w:szCs w:val="24"/>
        </w:rPr>
        <w:t xml:space="preserve"> Por medio de este, la referida autoridad judicial concedió el amparo solicitado</w:t>
      </w:r>
      <w:r w:rsidR="005923DF" w:rsidRPr="00A4311C">
        <w:rPr>
          <w:rFonts w:eastAsia="Verdana"/>
          <w:sz w:val="24"/>
          <w:szCs w:val="24"/>
        </w:rPr>
        <w:t>. En consecuencia,</w:t>
      </w:r>
      <w:r w:rsidR="00A14685" w:rsidRPr="00A4311C">
        <w:rPr>
          <w:rFonts w:eastAsia="Verdana"/>
          <w:sz w:val="24"/>
          <w:szCs w:val="24"/>
        </w:rPr>
        <w:t xml:space="preserve"> ordenó al municipio de Cali que pague, a órdenes del señor Alarcón, el monto correspondiente </w:t>
      </w:r>
      <w:r w:rsidR="005923DF" w:rsidRPr="00A4311C">
        <w:rPr>
          <w:rFonts w:eastAsia="Verdana"/>
          <w:sz w:val="24"/>
          <w:szCs w:val="24"/>
        </w:rPr>
        <w:t>a</w:t>
      </w:r>
      <w:r w:rsidR="00A14685" w:rsidRPr="00A4311C">
        <w:rPr>
          <w:rFonts w:eastAsia="Verdana"/>
          <w:sz w:val="24"/>
          <w:szCs w:val="24"/>
        </w:rPr>
        <w:t>l cincuenta por ciento (50%) de la mesada pensional que se encuentra en disputa en el citado tribunal.</w:t>
      </w:r>
    </w:p>
    <w:p w14:paraId="1487D655" w14:textId="77777777" w:rsidR="00A14685" w:rsidRPr="00A4311C" w:rsidRDefault="00A14685" w:rsidP="00A4311C">
      <w:pPr>
        <w:spacing w:line="276" w:lineRule="auto"/>
        <w:rPr>
          <w:rFonts w:eastAsia="Verdana"/>
          <w:sz w:val="24"/>
          <w:szCs w:val="24"/>
        </w:rPr>
      </w:pPr>
    </w:p>
    <w:p w14:paraId="6AA69AA7" w14:textId="4141332F" w:rsidR="00A14685" w:rsidRPr="00A4311C" w:rsidRDefault="000647CF" w:rsidP="00A4311C">
      <w:pPr>
        <w:numPr>
          <w:ilvl w:val="1"/>
          <w:numId w:val="2"/>
        </w:numPr>
        <w:overflowPunct w:val="0"/>
        <w:autoSpaceDE w:val="0"/>
        <w:autoSpaceDN w:val="0"/>
        <w:adjustRightInd w:val="0"/>
        <w:spacing w:line="276" w:lineRule="auto"/>
        <w:ind w:left="0" w:firstLine="0"/>
        <w:contextualSpacing/>
        <w:rPr>
          <w:rFonts w:eastAsia="Verdana"/>
          <w:sz w:val="24"/>
          <w:szCs w:val="24"/>
        </w:rPr>
      </w:pPr>
      <w:r w:rsidRPr="00A4311C">
        <w:rPr>
          <w:rFonts w:eastAsia="Verdana"/>
          <w:sz w:val="24"/>
          <w:szCs w:val="24"/>
        </w:rPr>
        <w:t>El referido juzgado, mediante auto</w:t>
      </w:r>
      <w:r w:rsidR="00B9611F" w:rsidRPr="00A4311C">
        <w:rPr>
          <w:rStyle w:val="Refdenotaalpie"/>
          <w:rFonts w:eastAsia="Verdana"/>
          <w:sz w:val="24"/>
          <w:szCs w:val="24"/>
        </w:rPr>
        <w:footnoteReference w:id="6"/>
      </w:r>
      <w:r w:rsidRPr="00A4311C">
        <w:rPr>
          <w:rFonts w:eastAsia="Verdana"/>
          <w:sz w:val="24"/>
          <w:szCs w:val="24"/>
        </w:rPr>
        <w:t xml:space="preserve"> dictado el 3 de mayo de 2021, concedió la impugnación</w:t>
      </w:r>
      <w:r w:rsidR="00B9611F" w:rsidRPr="00A4311C">
        <w:rPr>
          <w:rStyle w:val="Refdenotaalpie"/>
          <w:rFonts w:eastAsia="Verdana"/>
          <w:sz w:val="24"/>
          <w:szCs w:val="24"/>
        </w:rPr>
        <w:footnoteReference w:id="7"/>
      </w:r>
      <w:r w:rsidRPr="00A4311C">
        <w:rPr>
          <w:rFonts w:eastAsia="Verdana"/>
          <w:sz w:val="24"/>
          <w:szCs w:val="24"/>
        </w:rPr>
        <w:t xml:space="preserve"> interpuesta por la </w:t>
      </w:r>
      <w:r w:rsidR="00B9611F" w:rsidRPr="00A4311C">
        <w:rPr>
          <w:rFonts w:eastAsia="Verdana"/>
          <w:sz w:val="24"/>
          <w:szCs w:val="24"/>
        </w:rPr>
        <w:t xml:space="preserve">entidad territorial </w:t>
      </w:r>
      <w:r w:rsidRPr="00A4311C">
        <w:rPr>
          <w:rFonts w:eastAsia="Verdana"/>
          <w:sz w:val="24"/>
          <w:szCs w:val="24"/>
        </w:rPr>
        <w:t>accionada.</w:t>
      </w:r>
    </w:p>
    <w:p w14:paraId="447A17D6" w14:textId="77777777" w:rsidR="00B9611F" w:rsidRPr="00A4311C" w:rsidRDefault="00B9611F" w:rsidP="00A4311C">
      <w:pPr>
        <w:spacing w:line="276" w:lineRule="auto"/>
        <w:rPr>
          <w:rFonts w:eastAsia="Verdana"/>
          <w:sz w:val="24"/>
          <w:szCs w:val="24"/>
        </w:rPr>
      </w:pPr>
    </w:p>
    <w:p w14:paraId="5F01006C" w14:textId="31E42A75" w:rsidR="00B9611F" w:rsidRPr="00A4311C" w:rsidRDefault="00B9611F" w:rsidP="00A4311C">
      <w:pPr>
        <w:numPr>
          <w:ilvl w:val="1"/>
          <w:numId w:val="2"/>
        </w:numPr>
        <w:overflowPunct w:val="0"/>
        <w:autoSpaceDE w:val="0"/>
        <w:autoSpaceDN w:val="0"/>
        <w:adjustRightInd w:val="0"/>
        <w:spacing w:line="276" w:lineRule="auto"/>
        <w:ind w:left="0" w:firstLine="0"/>
        <w:contextualSpacing/>
        <w:rPr>
          <w:rFonts w:eastAsia="Verdana"/>
          <w:sz w:val="24"/>
          <w:szCs w:val="24"/>
        </w:rPr>
      </w:pPr>
      <w:r w:rsidRPr="00A4311C">
        <w:rPr>
          <w:rFonts w:eastAsia="Verdana"/>
          <w:sz w:val="24"/>
          <w:szCs w:val="24"/>
        </w:rPr>
        <w:t>Por reparto, el trámite de la segunda instancia del presente proceso le correspondió al Juzgado Noveno Civil del Circuito Judicial de Cali.</w:t>
      </w:r>
      <w:r w:rsidR="00291B9C" w:rsidRPr="00A4311C">
        <w:rPr>
          <w:rFonts w:eastAsia="Verdana"/>
          <w:sz w:val="24"/>
          <w:szCs w:val="24"/>
        </w:rPr>
        <w:t xml:space="preserve"> No obstante, ese despacho, por medio del auto</w:t>
      </w:r>
      <w:r w:rsidR="00291B9C" w:rsidRPr="00A4311C">
        <w:rPr>
          <w:rStyle w:val="Refdenotaalpie"/>
          <w:rFonts w:eastAsia="Verdana"/>
          <w:sz w:val="24"/>
          <w:szCs w:val="24"/>
        </w:rPr>
        <w:footnoteReference w:id="8"/>
      </w:r>
      <w:r w:rsidR="00291B9C" w:rsidRPr="00A4311C">
        <w:rPr>
          <w:rFonts w:eastAsia="Verdana"/>
          <w:sz w:val="24"/>
          <w:szCs w:val="24"/>
        </w:rPr>
        <w:t xml:space="preserve"> del 6 de mayo de 2021,</w:t>
      </w:r>
      <w:r w:rsidR="00355644" w:rsidRPr="00A4311C">
        <w:rPr>
          <w:rFonts w:eastAsia="Verdana"/>
          <w:sz w:val="24"/>
          <w:szCs w:val="24"/>
        </w:rPr>
        <w:t xml:space="preserve"> declaró la nulidad de todo lo actuado a partir del proveído admisorio reseñado arriba, inclusive. Así mismo, ordenó remitir el expediente </w:t>
      </w:r>
      <w:r w:rsidR="00A159B2" w:rsidRPr="00A4311C">
        <w:rPr>
          <w:rFonts w:eastAsia="Verdana"/>
          <w:sz w:val="24"/>
          <w:szCs w:val="24"/>
        </w:rPr>
        <w:t>respectivo</w:t>
      </w:r>
      <w:r w:rsidR="00355644" w:rsidRPr="00A4311C">
        <w:rPr>
          <w:rFonts w:eastAsia="Verdana"/>
          <w:sz w:val="24"/>
          <w:szCs w:val="24"/>
        </w:rPr>
        <w:t xml:space="preserve"> a esta Corporación. En su providencia, el citado juzgado consideró que, por estar relacionado el presente trámite con </w:t>
      </w:r>
      <w:r w:rsidR="00A159B2" w:rsidRPr="00A4311C">
        <w:rPr>
          <w:rFonts w:eastAsia="Verdana"/>
          <w:sz w:val="24"/>
          <w:szCs w:val="24"/>
        </w:rPr>
        <w:t>circunstancias en las que está involucrado</w:t>
      </w:r>
      <w:r w:rsidR="00355644" w:rsidRPr="00A4311C">
        <w:rPr>
          <w:rFonts w:eastAsia="Verdana"/>
          <w:sz w:val="24"/>
          <w:szCs w:val="24"/>
        </w:rPr>
        <w:t xml:space="preserve"> </w:t>
      </w:r>
      <w:r w:rsidR="00A159B2" w:rsidRPr="00A4311C">
        <w:rPr>
          <w:rFonts w:eastAsia="Verdana"/>
          <w:sz w:val="24"/>
          <w:szCs w:val="24"/>
        </w:rPr>
        <w:t>e</w:t>
      </w:r>
      <w:r w:rsidR="00355644" w:rsidRPr="00A4311C">
        <w:rPr>
          <w:rFonts w:eastAsia="Verdana"/>
          <w:sz w:val="24"/>
          <w:szCs w:val="24"/>
        </w:rPr>
        <w:t xml:space="preserve">l Tribunal Administrativo del Valle del Cauca, debe ser el superior funcional de este el que conozca de la acción de tutela bajo </w:t>
      </w:r>
      <w:r w:rsidR="00FC731A" w:rsidRPr="00A4311C">
        <w:rPr>
          <w:rFonts w:eastAsia="Verdana"/>
          <w:sz w:val="24"/>
          <w:szCs w:val="24"/>
        </w:rPr>
        <w:t>estudio</w:t>
      </w:r>
      <w:r w:rsidR="00355644" w:rsidRPr="00A4311C">
        <w:rPr>
          <w:rFonts w:eastAsia="Verdana"/>
          <w:sz w:val="24"/>
          <w:szCs w:val="24"/>
        </w:rPr>
        <w:t>.</w:t>
      </w:r>
    </w:p>
    <w:p w14:paraId="12FE9660" w14:textId="77777777" w:rsidR="00AD797B" w:rsidRPr="00A4311C" w:rsidRDefault="00AD797B" w:rsidP="00A4311C">
      <w:pPr>
        <w:overflowPunct w:val="0"/>
        <w:autoSpaceDE w:val="0"/>
        <w:autoSpaceDN w:val="0"/>
        <w:adjustRightInd w:val="0"/>
        <w:spacing w:line="276" w:lineRule="auto"/>
        <w:contextualSpacing/>
        <w:rPr>
          <w:rFonts w:eastAsia="Verdana"/>
          <w:sz w:val="24"/>
          <w:szCs w:val="24"/>
        </w:rPr>
      </w:pPr>
    </w:p>
    <w:p w14:paraId="3F8DBE58" w14:textId="77777777" w:rsidR="00AD797B" w:rsidRPr="00A4311C" w:rsidRDefault="00AD797B" w:rsidP="00A4311C">
      <w:pPr>
        <w:pStyle w:val="Ttulo1"/>
        <w:spacing w:before="0" w:after="0"/>
        <w:ind w:left="540" w:hanging="540"/>
        <w:rPr>
          <w:rFonts w:cs="Arial"/>
          <w:kern w:val="0"/>
          <w:szCs w:val="24"/>
        </w:rPr>
      </w:pPr>
      <w:r w:rsidRPr="00A4311C">
        <w:rPr>
          <w:rFonts w:cs="Arial"/>
          <w:kern w:val="0"/>
          <w:szCs w:val="24"/>
        </w:rPr>
        <w:t>CONSIDERACIONES</w:t>
      </w:r>
    </w:p>
    <w:p w14:paraId="3BCC18F3" w14:textId="77777777" w:rsidR="00AD797B" w:rsidRPr="00A4311C" w:rsidRDefault="00AD797B" w:rsidP="00A4311C">
      <w:pPr>
        <w:spacing w:line="276" w:lineRule="auto"/>
        <w:rPr>
          <w:sz w:val="24"/>
          <w:szCs w:val="24"/>
        </w:rPr>
      </w:pPr>
    </w:p>
    <w:p w14:paraId="1FE5FA18" w14:textId="461B495F" w:rsidR="00AD797B" w:rsidRPr="00A4311C" w:rsidRDefault="00D77B62" w:rsidP="00A4311C">
      <w:pPr>
        <w:numPr>
          <w:ilvl w:val="0"/>
          <w:numId w:val="1"/>
        </w:numPr>
        <w:spacing w:line="276" w:lineRule="auto"/>
        <w:ind w:left="0" w:firstLine="0"/>
        <w:contextualSpacing/>
        <w:rPr>
          <w:b/>
          <w:sz w:val="24"/>
          <w:szCs w:val="24"/>
        </w:rPr>
      </w:pPr>
      <w:r w:rsidRPr="00A4311C">
        <w:rPr>
          <w:b/>
          <w:sz w:val="24"/>
          <w:szCs w:val="24"/>
        </w:rPr>
        <w:t>Análisis de la situación procesal evidenciada en el acápite anterior</w:t>
      </w:r>
    </w:p>
    <w:p w14:paraId="54B84010" w14:textId="77777777" w:rsidR="00AD797B" w:rsidRPr="00A4311C" w:rsidRDefault="00AD797B" w:rsidP="00A4311C">
      <w:pPr>
        <w:overflowPunct w:val="0"/>
        <w:autoSpaceDE w:val="0"/>
        <w:autoSpaceDN w:val="0"/>
        <w:adjustRightInd w:val="0"/>
        <w:spacing w:line="276" w:lineRule="auto"/>
        <w:contextualSpacing/>
        <w:rPr>
          <w:rFonts w:eastAsia="Times New Roman"/>
          <w:sz w:val="24"/>
          <w:szCs w:val="24"/>
          <w:lang w:eastAsia="es-ES"/>
        </w:rPr>
      </w:pPr>
    </w:p>
    <w:p w14:paraId="7AF8E948" w14:textId="789DBDFF" w:rsidR="00FD7956" w:rsidRPr="00FD7956" w:rsidRDefault="00FD7956" w:rsidP="00A4311C">
      <w:pPr>
        <w:spacing w:line="276" w:lineRule="auto"/>
        <w:rPr>
          <w:rFonts w:eastAsia="Arial Unicode MS"/>
          <w:sz w:val="24"/>
          <w:szCs w:val="24"/>
        </w:rPr>
      </w:pPr>
      <w:r w:rsidRPr="00FD7956">
        <w:rPr>
          <w:rFonts w:eastAsia="Arial Unicode MS"/>
          <w:sz w:val="24"/>
          <w:szCs w:val="24"/>
        </w:rPr>
        <w:t>De conformidad con los artículos 86 Superior y 32 y 37 del Decreto 2591 de 1991 y de acuerdo con la jurisprudencia constitucional, existen tres factores de asignación de competencia en materia de tutela: (i) el territorial</w:t>
      </w:r>
      <w:bookmarkStart w:id="0" w:name="_ftnref5"/>
      <w:r w:rsidRPr="00FD7956">
        <w:rPr>
          <w:sz w:val="24"/>
          <w:szCs w:val="24"/>
          <w:vertAlign w:val="superscript"/>
        </w:rPr>
        <w:footnoteReference w:id="9"/>
      </w:r>
      <w:bookmarkEnd w:id="0"/>
      <w:r w:rsidRPr="00FD7956">
        <w:rPr>
          <w:rFonts w:eastAsia="Arial Unicode MS"/>
          <w:sz w:val="24"/>
          <w:szCs w:val="24"/>
        </w:rPr>
        <w:t>, (</w:t>
      </w:r>
      <w:proofErr w:type="spellStart"/>
      <w:r w:rsidRPr="00FD7956">
        <w:rPr>
          <w:rFonts w:eastAsia="Arial Unicode MS"/>
          <w:sz w:val="24"/>
          <w:szCs w:val="24"/>
        </w:rPr>
        <w:t>ii</w:t>
      </w:r>
      <w:proofErr w:type="spellEnd"/>
      <w:r w:rsidRPr="00FD7956">
        <w:rPr>
          <w:rFonts w:eastAsia="Arial Unicode MS"/>
          <w:sz w:val="24"/>
          <w:szCs w:val="24"/>
        </w:rPr>
        <w:t xml:space="preserve">) el </w:t>
      </w:r>
      <w:r w:rsidRPr="00FD7956">
        <w:rPr>
          <w:rFonts w:eastAsia="Arial Unicode MS"/>
          <w:iCs/>
          <w:sz w:val="24"/>
          <w:szCs w:val="24"/>
        </w:rPr>
        <w:t>subjetivo</w:t>
      </w:r>
      <w:r w:rsidRPr="00FD7956">
        <w:rPr>
          <w:rFonts w:eastAsia="Arial Unicode MS"/>
          <w:iCs/>
          <w:sz w:val="24"/>
          <w:szCs w:val="24"/>
          <w:vertAlign w:val="superscript"/>
        </w:rPr>
        <w:footnoteReference w:id="10"/>
      </w:r>
      <w:r w:rsidRPr="00FD7956">
        <w:rPr>
          <w:rFonts w:eastAsia="Arial Unicode MS"/>
          <w:sz w:val="24"/>
          <w:szCs w:val="24"/>
        </w:rPr>
        <w:t xml:space="preserve"> y</w:t>
      </w:r>
      <w:r w:rsidRPr="00FD7956">
        <w:rPr>
          <w:rFonts w:eastAsia="Arial Unicode MS"/>
          <w:i/>
          <w:iCs/>
          <w:sz w:val="24"/>
          <w:szCs w:val="24"/>
        </w:rPr>
        <w:t xml:space="preserve"> </w:t>
      </w:r>
      <w:r w:rsidRPr="00FD7956">
        <w:rPr>
          <w:rFonts w:eastAsia="Arial Unicode MS"/>
          <w:sz w:val="24"/>
          <w:szCs w:val="24"/>
        </w:rPr>
        <w:t>(</w:t>
      </w:r>
      <w:proofErr w:type="spellStart"/>
      <w:r w:rsidRPr="00FD7956">
        <w:rPr>
          <w:rFonts w:eastAsia="Arial Unicode MS"/>
          <w:sz w:val="24"/>
          <w:szCs w:val="24"/>
        </w:rPr>
        <w:t>iii</w:t>
      </w:r>
      <w:proofErr w:type="spellEnd"/>
      <w:r w:rsidRPr="00FD7956">
        <w:rPr>
          <w:rFonts w:eastAsia="Arial Unicode MS"/>
          <w:sz w:val="24"/>
          <w:szCs w:val="24"/>
        </w:rPr>
        <w:t>)</w:t>
      </w:r>
      <w:r w:rsidRPr="00FD7956">
        <w:rPr>
          <w:rFonts w:eastAsia="Arial Unicode MS"/>
          <w:iCs/>
          <w:sz w:val="24"/>
          <w:szCs w:val="24"/>
        </w:rPr>
        <w:t xml:space="preserve"> </w:t>
      </w:r>
      <w:r w:rsidRPr="00FD7956">
        <w:rPr>
          <w:rFonts w:eastAsia="Arial Unicode MS"/>
          <w:sz w:val="24"/>
          <w:szCs w:val="24"/>
        </w:rPr>
        <w:t xml:space="preserve">el </w:t>
      </w:r>
      <w:r w:rsidRPr="00FD7956">
        <w:rPr>
          <w:rFonts w:eastAsia="Arial Unicode MS"/>
          <w:iCs/>
          <w:sz w:val="24"/>
          <w:szCs w:val="24"/>
        </w:rPr>
        <w:t>funcional</w:t>
      </w:r>
      <w:r w:rsidRPr="00FD7956">
        <w:rPr>
          <w:iCs/>
          <w:sz w:val="24"/>
          <w:szCs w:val="24"/>
          <w:vertAlign w:val="superscript"/>
        </w:rPr>
        <w:footnoteReference w:id="11"/>
      </w:r>
      <w:r w:rsidRPr="00FD7956">
        <w:rPr>
          <w:rFonts w:eastAsia="Arial Unicode MS"/>
          <w:sz w:val="24"/>
          <w:szCs w:val="24"/>
        </w:rPr>
        <w:t>. Por fuera de estos, ninguna autoridad judicial puede reclamar o rechazar competencia de un asunto ni, en el caso de las oficinas de reparto</w:t>
      </w:r>
      <w:r w:rsidR="00FC731A" w:rsidRPr="00A4311C">
        <w:rPr>
          <w:rFonts w:eastAsia="Arial Unicode MS"/>
          <w:sz w:val="24"/>
          <w:szCs w:val="24"/>
        </w:rPr>
        <w:t>, asignarla arbitrariamente</w:t>
      </w:r>
      <w:r w:rsidRPr="00FD7956">
        <w:rPr>
          <w:rFonts w:eastAsia="Arial Unicode MS"/>
          <w:sz w:val="24"/>
          <w:szCs w:val="24"/>
        </w:rPr>
        <w:t>.</w:t>
      </w:r>
    </w:p>
    <w:p w14:paraId="3A1A689E" w14:textId="77777777" w:rsidR="00FD7956" w:rsidRPr="00FD7956" w:rsidRDefault="00FD7956" w:rsidP="00A4311C">
      <w:pPr>
        <w:spacing w:line="276" w:lineRule="auto"/>
        <w:rPr>
          <w:rFonts w:eastAsia="Arial Unicode MS"/>
          <w:sz w:val="24"/>
          <w:szCs w:val="24"/>
        </w:rPr>
      </w:pPr>
    </w:p>
    <w:p w14:paraId="3E797788" w14:textId="28D1665B" w:rsidR="00FC731A" w:rsidRPr="00A4311C" w:rsidRDefault="00FD7956" w:rsidP="00A4311C">
      <w:pPr>
        <w:spacing w:line="276" w:lineRule="auto"/>
        <w:rPr>
          <w:rFonts w:eastAsia="Arial Unicode MS"/>
          <w:sz w:val="24"/>
          <w:szCs w:val="24"/>
        </w:rPr>
      </w:pPr>
      <w:r w:rsidRPr="00FD7956">
        <w:rPr>
          <w:rFonts w:eastAsia="Arial Unicode MS"/>
          <w:sz w:val="24"/>
          <w:szCs w:val="24"/>
        </w:rPr>
        <w:t>La regulación administrativa derivada se ha encargado de establecer las reglas de reparto que desarrollan los tres factores en mención. Estos</w:t>
      </w:r>
    </w:p>
    <w:p w14:paraId="65F399C6" w14:textId="77777777" w:rsidR="00FC731A" w:rsidRPr="00A4311C" w:rsidRDefault="00FC731A" w:rsidP="00A4311C">
      <w:pPr>
        <w:spacing w:line="276" w:lineRule="auto"/>
        <w:rPr>
          <w:rFonts w:eastAsia="Arial Unicode MS"/>
          <w:sz w:val="24"/>
          <w:szCs w:val="24"/>
        </w:rPr>
      </w:pPr>
    </w:p>
    <w:p w14:paraId="222C39CF" w14:textId="04507971" w:rsidR="00FD7956" w:rsidRPr="00FD7956" w:rsidRDefault="00FD7956" w:rsidP="00A4311C">
      <w:pPr>
        <w:spacing w:line="276" w:lineRule="auto"/>
        <w:ind w:left="708"/>
        <w:rPr>
          <w:rFonts w:eastAsia="Arial Unicode MS"/>
          <w:sz w:val="24"/>
          <w:szCs w:val="24"/>
        </w:rPr>
      </w:pPr>
      <w:r w:rsidRPr="00FD7956">
        <w:rPr>
          <w:rFonts w:eastAsia="Arial Unicode MS"/>
          <w:sz w:val="22"/>
          <w:szCs w:val="22"/>
        </w:rPr>
        <w:t>“se encaminan de forma exclusiva a la estructuración de pautas que deben ser utilizadas por las oficinas de apoyo judicial, cuando distribuyen las acciones de tutela entre los distintos despachos judiciales a los que les asiste competencia. Las reglas de reparto organizan la distribución de los asuntos entre varios jueces competentes por razón del principio de desconcentración, mas no determinan concretamente el juez o jueces”</w:t>
      </w:r>
      <w:r w:rsidRPr="00FD7956">
        <w:rPr>
          <w:rFonts w:eastAsia="Arial Unicode MS"/>
          <w:sz w:val="22"/>
          <w:szCs w:val="22"/>
          <w:vertAlign w:val="superscript"/>
        </w:rPr>
        <w:footnoteReference w:id="12"/>
      </w:r>
      <w:r w:rsidRPr="00FD7956">
        <w:rPr>
          <w:rFonts w:eastAsia="Arial Unicode MS"/>
          <w:sz w:val="22"/>
          <w:szCs w:val="22"/>
        </w:rPr>
        <w:t>.</w:t>
      </w:r>
    </w:p>
    <w:p w14:paraId="15B28DD2" w14:textId="63D38609" w:rsidR="00FD7956" w:rsidRPr="00FD7956" w:rsidRDefault="00FD7956" w:rsidP="00A4311C">
      <w:pPr>
        <w:spacing w:line="276" w:lineRule="auto"/>
        <w:rPr>
          <w:rFonts w:eastAsia="Arial Unicode MS"/>
          <w:sz w:val="24"/>
          <w:szCs w:val="24"/>
        </w:rPr>
      </w:pPr>
      <w:r w:rsidRPr="00A4311C">
        <w:rPr>
          <w:rFonts w:eastAsia="Arial Unicode MS"/>
          <w:sz w:val="24"/>
          <w:szCs w:val="24"/>
        </w:rPr>
        <w:t>De acuerdo con lo expuesto, lo dilucidado por el Juzgado Noveno Civil del Circuito de Cali es adecuado. En efecto, a ese despacho no le correspondía confirmar ni dar orden de tutela alguna en el escenario de un proceso constitucional en el que estuviera involucrado un tribunal administrativo. Realmente, ello es del resorte único de la autoridad judicial que obre como superior jerárquico de este</w:t>
      </w:r>
      <w:r w:rsidR="00DE4D63" w:rsidRPr="00A4311C">
        <w:rPr>
          <w:rFonts w:eastAsia="Arial Unicode MS"/>
          <w:sz w:val="24"/>
          <w:szCs w:val="24"/>
        </w:rPr>
        <w:t xml:space="preserve">, en </w:t>
      </w:r>
      <w:r w:rsidR="00A87B85" w:rsidRPr="00A4311C">
        <w:rPr>
          <w:rFonts w:eastAsia="Arial Unicode MS"/>
          <w:sz w:val="24"/>
          <w:szCs w:val="24"/>
        </w:rPr>
        <w:t>el</w:t>
      </w:r>
      <w:r w:rsidR="00DE4D63" w:rsidRPr="00A4311C">
        <w:rPr>
          <w:rFonts w:eastAsia="Arial Unicode MS"/>
          <w:sz w:val="24"/>
          <w:szCs w:val="24"/>
        </w:rPr>
        <w:t xml:space="preserve"> caso</w:t>
      </w:r>
      <w:r w:rsidR="00A87B85" w:rsidRPr="00A4311C">
        <w:rPr>
          <w:rFonts w:eastAsia="Arial Unicode MS"/>
          <w:sz w:val="24"/>
          <w:szCs w:val="24"/>
        </w:rPr>
        <w:t xml:space="preserve"> concreto</w:t>
      </w:r>
      <w:r w:rsidR="00DE4D63" w:rsidRPr="00A4311C">
        <w:rPr>
          <w:rFonts w:eastAsia="Arial Unicode MS"/>
          <w:sz w:val="24"/>
          <w:szCs w:val="24"/>
        </w:rPr>
        <w:t>, el Consejo de Estado</w:t>
      </w:r>
      <w:r w:rsidRPr="00A4311C">
        <w:rPr>
          <w:rFonts w:eastAsia="Arial Unicode MS"/>
          <w:sz w:val="24"/>
          <w:szCs w:val="24"/>
        </w:rPr>
        <w:t xml:space="preserve">. </w:t>
      </w:r>
      <w:r w:rsidR="00DE4D63" w:rsidRPr="00A4311C">
        <w:rPr>
          <w:rFonts w:eastAsia="Arial Unicode MS"/>
          <w:sz w:val="24"/>
          <w:szCs w:val="24"/>
        </w:rPr>
        <w:t>Por tanto, en la parte resolutiva de esta decisión judicial se avocará conocimiento de la presente acción de tutela.</w:t>
      </w:r>
    </w:p>
    <w:p w14:paraId="449D7160" w14:textId="77777777" w:rsidR="00CF5764" w:rsidRPr="00A4311C" w:rsidRDefault="00CF5764" w:rsidP="00A4311C">
      <w:pPr>
        <w:spacing w:line="276" w:lineRule="auto"/>
        <w:rPr>
          <w:sz w:val="24"/>
          <w:szCs w:val="24"/>
        </w:rPr>
      </w:pPr>
    </w:p>
    <w:p w14:paraId="6713413F" w14:textId="371AF710" w:rsidR="00CF5764" w:rsidRPr="00A4311C" w:rsidRDefault="00CF5764" w:rsidP="00A4311C">
      <w:pPr>
        <w:numPr>
          <w:ilvl w:val="0"/>
          <w:numId w:val="1"/>
        </w:numPr>
        <w:spacing w:line="276" w:lineRule="auto"/>
        <w:ind w:left="0" w:firstLine="0"/>
        <w:contextualSpacing/>
        <w:rPr>
          <w:b/>
          <w:sz w:val="24"/>
          <w:szCs w:val="24"/>
        </w:rPr>
      </w:pPr>
      <w:r w:rsidRPr="00A4311C">
        <w:rPr>
          <w:b/>
          <w:sz w:val="24"/>
          <w:szCs w:val="24"/>
        </w:rPr>
        <w:t>Admisión de la solicitud de amparo</w:t>
      </w:r>
    </w:p>
    <w:p w14:paraId="68BAF1C4" w14:textId="77777777" w:rsidR="00CF5764" w:rsidRPr="00A4311C" w:rsidRDefault="00CF5764" w:rsidP="00A4311C">
      <w:pPr>
        <w:overflowPunct w:val="0"/>
        <w:autoSpaceDE w:val="0"/>
        <w:autoSpaceDN w:val="0"/>
        <w:adjustRightInd w:val="0"/>
        <w:spacing w:line="276" w:lineRule="auto"/>
        <w:contextualSpacing/>
        <w:rPr>
          <w:rFonts w:eastAsia="Times New Roman"/>
          <w:sz w:val="24"/>
          <w:szCs w:val="24"/>
          <w:lang w:eastAsia="es-ES"/>
        </w:rPr>
      </w:pPr>
    </w:p>
    <w:p w14:paraId="4431B9A1" w14:textId="482718AD" w:rsidR="00FD7956" w:rsidRPr="00A4311C" w:rsidRDefault="00CF5764" w:rsidP="00A4311C">
      <w:pPr>
        <w:spacing w:line="276" w:lineRule="auto"/>
        <w:rPr>
          <w:sz w:val="24"/>
          <w:szCs w:val="24"/>
        </w:rPr>
      </w:pPr>
      <w:r w:rsidRPr="00A4311C">
        <w:rPr>
          <w:sz w:val="24"/>
          <w:szCs w:val="24"/>
        </w:rPr>
        <w:t>Debido a que el auto admisorio descrito arriba fue anulado y que se avocará conocimiento del presente trámite, debe estudiarse sobre la admisibilidad de la petición de protección tutelar de la referencia. Al respecto, el Despacho encuentra reunidos los requisitos previstos en el artículo 14 del Decreto 2591 de 1991. Además, de acuerdo con lo estudiado en el apartado anterior, es preciso reiterar que esta Alta Corte es competente para conocer la presente acción. Lo anterior, de conformidad con lo establecido en el artículo 86 de la Constitución Política, el Decreto 2591 de 1991, el Decreto 1069 de 2015, modificado por el Decreto 333 de 2021, y en el Acuerdo n.° 080 del 12 de marzo de 2019, expedido por la Sala Plena del Consejo de Estado.</w:t>
      </w:r>
    </w:p>
    <w:p w14:paraId="1EEA9039" w14:textId="27AB9959" w:rsidR="003A317D" w:rsidRPr="00A4311C" w:rsidRDefault="003A317D" w:rsidP="00A4311C">
      <w:pPr>
        <w:spacing w:line="276" w:lineRule="auto"/>
        <w:rPr>
          <w:sz w:val="24"/>
          <w:szCs w:val="24"/>
        </w:rPr>
      </w:pPr>
    </w:p>
    <w:p w14:paraId="7D26BF79" w14:textId="03C21BA6" w:rsidR="003A317D" w:rsidRPr="00A4311C" w:rsidRDefault="004C3E03" w:rsidP="00A4311C">
      <w:pPr>
        <w:spacing w:line="276" w:lineRule="auto"/>
        <w:rPr>
          <w:sz w:val="24"/>
          <w:szCs w:val="24"/>
        </w:rPr>
      </w:pPr>
      <w:r w:rsidRPr="00A4311C">
        <w:rPr>
          <w:sz w:val="24"/>
          <w:szCs w:val="24"/>
        </w:rPr>
        <w:t>Analizado, por otra parte, el escrito de tutela y la situación procesal presentada con anterioridad, en la parte resolutiva del presente auto se dispondrá lo siguiente con el fin de darle la mayor celeridad posible al proceso, toda vez que una persona afectada de invalidez está reclamando la intervención urgente de este juez de tutela:</w:t>
      </w:r>
    </w:p>
    <w:p w14:paraId="48AB591D" w14:textId="70869502" w:rsidR="004C3E03" w:rsidRPr="00A4311C" w:rsidRDefault="004C3E03" w:rsidP="00A4311C">
      <w:pPr>
        <w:spacing w:line="276" w:lineRule="auto"/>
        <w:rPr>
          <w:sz w:val="24"/>
          <w:szCs w:val="24"/>
        </w:rPr>
      </w:pPr>
    </w:p>
    <w:p w14:paraId="760F6802" w14:textId="34EB8EC3" w:rsidR="004C3E03" w:rsidRPr="00A4311C" w:rsidRDefault="004C3E03" w:rsidP="00A4311C">
      <w:pPr>
        <w:pStyle w:val="Prrafodelista"/>
        <w:numPr>
          <w:ilvl w:val="0"/>
          <w:numId w:val="7"/>
        </w:numPr>
        <w:spacing w:line="276" w:lineRule="auto"/>
        <w:ind w:left="360"/>
        <w:jc w:val="both"/>
        <w:rPr>
          <w:rFonts w:ascii="Arial" w:hAnsi="Arial" w:cs="Arial"/>
        </w:rPr>
      </w:pPr>
      <w:r w:rsidRPr="00A4311C">
        <w:rPr>
          <w:rFonts w:ascii="Arial" w:hAnsi="Arial" w:cs="Arial"/>
        </w:rPr>
        <w:t xml:space="preserve">Se </w:t>
      </w:r>
      <w:r w:rsidRPr="00A4311C">
        <w:rPr>
          <w:rFonts w:ascii="Arial" w:hAnsi="Arial" w:cs="Arial"/>
          <w:i/>
          <w:iCs/>
        </w:rPr>
        <w:t>vinculará</w:t>
      </w:r>
      <w:r w:rsidRPr="00A4311C">
        <w:rPr>
          <w:rFonts w:ascii="Arial" w:hAnsi="Arial" w:cs="Arial"/>
        </w:rPr>
        <w:t xml:space="preserve"> a este trámite al Juzgado Segundo Administrativo del Circuito Judicial de Cali a fin de que, en lo que estime pertinente, se pronuncie sobre los fundamentos de hecho y de derecho consignados en el libelo introductorio del presente proceso.</w:t>
      </w:r>
    </w:p>
    <w:p w14:paraId="4BD0986B" w14:textId="77777777" w:rsidR="00AC79EA" w:rsidRPr="00A4311C" w:rsidRDefault="00AC79EA" w:rsidP="00A4311C">
      <w:pPr>
        <w:spacing w:line="276" w:lineRule="auto"/>
        <w:rPr>
          <w:sz w:val="24"/>
          <w:szCs w:val="24"/>
        </w:rPr>
      </w:pPr>
    </w:p>
    <w:p w14:paraId="539FCB2A" w14:textId="27018934" w:rsidR="004C3E03" w:rsidRPr="00A4311C" w:rsidRDefault="004C3E03" w:rsidP="00A4311C">
      <w:pPr>
        <w:pStyle w:val="Prrafodelista"/>
        <w:numPr>
          <w:ilvl w:val="0"/>
          <w:numId w:val="7"/>
        </w:numPr>
        <w:spacing w:line="276" w:lineRule="auto"/>
        <w:ind w:left="360"/>
        <w:jc w:val="both"/>
        <w:rPr>
          <w:rFonts w:ascii="Arial" w:hAnsi="Arial" w:cs="Arial"/>
        </w:rPr>
      </w:pPr>
      <w:r w:rsidRPr="00A4311C">
        <w:rPr>
          <w:rFonts w:ascii="Arial" w:hAnsi="Arial" w:cs="Arial"/>
        </w:rPr>
        <w:t xml:space="preserve">Se </w:t>
      </w:r>
      <w:r w:rsidR="00A4311C" w:rsidRPr="00A4311C">
        <w:rPr>
          <w:rFonts w:ascii="Arial" w:hAnsi="Arial" w:cs="Arial"/>
          <w:i/>
          <w:iCs/>
        </w:rPr>
        <w:t xml:space="preserve">ordenará </w:t>
      </w:r>
      <w:r w:rsidRPr="00A4311C">
        <w:rPr>
          <w:rFonts w:ascii="Arial" w:hAnsi="Arial" w:cs="Arial"/>
        </w:rPr>
        <w:t>al Tribunal Administrativo del Valle del Cauca</w:t>
      </w:r>
      <w:r w:rsidR="00A4311C">
        <w:rPr>
          <w:rFonts w:ascii="Arial" w:hAnsi="Arial" w:cs="Arial"/>
        </w:rPr>
        <w:t xml:space="preserve"> </w:t>
      </w:r>
      <w:r w:rsidRPr="00A4311C">
        <w:rPr>
          <w:rFonts w:ascii="Arial" w:hAnsi="Arial" w:cs="Arial"/>
        </w:rPr>
        <w:t>que</w:t>
      </w:r>
      <w:r w:rsidR="00695712">
        <w:rPr>
          <w:rFonts w:ascii="Arial" w:hAnsi="Arial" w:cs="Arial"/>
        </w:rPr>
        <w:t xml:space="preserve"> </w:t>
      </w:r>
      <w:r w:rsidRPr="00A4311C">
        <w:rPr>
          <w:rFonts w:ascii="Arial" w:hAnsi="Arial" w:cs="Arial"/>
        </w:rPr>
        <w:t>rinda informe sobre los fundamentos de hecho y de derecho expuestos en el memorial de amparo.</w:t>
      </w:r>
    </w:p>
    <w:p w14:paraId="0AD2215F" w14:textId="77777777" w:rsidR="00AC79EA" w:rsidRPr="00A4311C" w:rsidRDefault="00AC79EA" w:rsidP="00A4311C">
      <w:pPr>
        <w:spacing w:line="276" w:lineRule="auto"/>
        <w:rPr>
          <w:sz w:val="24"/>
          <w:szCs w:val="24"/>
        </w:rPr>
      </w:pPr>
    </w:p>
    <w:p w14:paraId="680A5FA4" w14:textId="25A15459" w:rsidR="004C3E03" w:rsidRPr="00A4311C" w:rsidRDefault="004C3E03" w:rsidP="00A4311C">
      <w:pPr>
        <w:pStyle w:val="Prrafodelista"/>
        <w:numPr>
          <w:ilvl w:val="0"/>
          <w:numId w:val="7"/>
        </w:numPr>
        <w:spacing w:line="276" w:lineRule="auto"/>
        <w:ind w:left="360"/>
        <w:jc w:val="both"/>
        <w:rPr>
          <w:rFonts w:ascii="Arial" w:hAnsi="Arial" w:cs="Arial"/>
        </w:rPr>
      </w:pPr>
      <w:r w:rsidRPr="00A4311C">
        <w:rPr>
          <w:rFonts w:ascii="Arial" w:hAnsi="Arial" w:cs="Arial"/>
        </w:rPr>
        <w:t xml:space="preserve">Se </w:t>
      </w:r>
      <w:r w:rsidRPr="00A4311C">
        <w:rPr>
          <w:rFonts w:ascii="Arial" w:hAnsi="Arial" w:cs="Arial"/>
          <w:i/>
          <w:iCs/>
        </w:rPr>
        <w:t>conservará</w:t>
      </w:r>
      <w:r w:rsidRPr="00A4311C">
        <w:rPr>
          <w:rFonts w:ascii="Arial" w:hAnsi="Arial" w:cs="Arial"/>
        </w:rPr>
        <w:t xml:space="preserve"> el valor probatorio de las piezas procesales que componen el plenario, lo que incluye el informe que ya rindió el municipio de Cali</w:t>
      </w:r>
      <w:r w:rsidR="00A24798">
        <w:rPr>
          <w:rFonts w:ascii="Arial" w:hAnsi="Arial" w:cs="Arial"/>
        </w:rPr>
        <w:t xml:space="preserve"> </w:t>
      </w:r>
      <w:r w:rsidR="00A24798" w:rsidRPr="00A24798">
        <w:rPr>
          <w:rFonts w:ascii="Arial" w:hAnsi="Arial" w:cs="Arial"/>
        </w:rPr>
        <w:t>y los documentos aportados con el escrito de tutela</w:t>
      </w:r>
      <w:r w:rsidR="00A24798">
        <w:rPr>
          <w:rFonts w:ascii="Arial" w:hAnsi="Arial" w:cs="Arial"/>
        </w:rPr>
        <w:t>.</w:t>
      </w:r>
    </w:p>
    <w:p w14:paraId="20F5E1B1" w14:textId="77777777" w:rsidR="00AC79EA" w:rsidRPr="00A4311C" w:rsidRDefault="00AC79EA" w:rsidP="00A4311C">
      <w:pPr>
        <w:spacing w:line="276" w:lineRule="auto"/>
        <w:rPr>
          <w:sz w:val="24"/>
          <w:szCs w:val="24"/>
        </w:rPr>
      </w:pPr>
    </w:p>
    <w:p w14:paraId="63106C06" w14:textId="6EFDD553" w:rsidR="004C3E03" w:rsidRPr="00A4311C" w:rsidRDefault="004C3E03" w:rsidP="00A4311C">
      <w:pPr>
        <w:pStyle w:val="Prrafodelista"/>
        <w:numPr>
          <w:ilvl w:val="0"/>
          <w:numId w:val="7"/>
        </w:numPr>
        <w:spacing w:line="276" w:lineRule="auto"/>
        <w:ind w:left="360"/>
        <w:jc w:val="both"/>
        <w:rPr>
          <w:rFonts w:ascii="Arial" w:hAnsi="Arial" w:cs="Arial"/>
        </w:rPr>
      </w:pPr>
      <w:r w:rsidRPr="00A4311C">
        <w:rPr>
          <w:rFonts w:ascii="Arial" w:hAnsi="Arial" w:cs="Arial"/>
        </w:rPr>
        <w:t xml:space="preserve">Se </w:t>
      </w:r>
      <w:r w:rsidRPr="00A4311C">
        <w:rPr>
          <w:rFonts w:ascii="Arial" w:hAnsi="Arial" w:cs="Arial"/>
          <w:i/>
          <w:iCs/>
        </w:rPr>
        <w:t>ordenará</w:t>
      </w:r>
      <w:r w:rsidRPr="00A4311C">
        <w:rPr>
          <w:rFonts w:ascii="Arial" w:hAnsi="Arial" w:cs="Arial"/>
        </w:rPr>
        <w:t xml:space="preserve"> que </w:t>
      </w:r>
      <w:r w:rsidR="00A24798">
        <w:rPr>
          <w:rFonts w:ascii="Arial" w:hAnsi="Arial" w:cs="Arial"/>
        </w:rPr>
        <w:t>este</w:t>
      </w:r>
      <w:r w:rsidRPr="00A4311C">
        <w:rPr>
          <w:rFonts w:ascii="Arial" w:hAnsi="Arial" w:cs="Arial"/>
        </w:rPr>
        <w:t xml:space="preserve"> </w:t>
      </w:r>
      <w:r w:rsidR="00A24798">
        <w:rPr>
          <w:rFonts w:ascii="Arial" w:hAnsi="Arial" w:cs="Arial"/>
        </w:rPr>
        <w:t>auto</w:t>
      </w:r>
      <w:r w:rsidRPr="00A4311C">
        <w:rPr>
          <w:rFonts w:ascii="Arial" w:hAnsi="Arial" w:cs="Arial"/>
        </w:rPr>
        <w:t xml:space="preserve"> se notifique a las partes y los vinculados y se </w:t>
      </w:r>
      <w:r w:rsidR="00AC79EA" w:rsidRPr="00A4311C">
        <w:rPr>
          <w:rFonts w:ascii="Arial" w:hAnsi="Arial" w:cs="Arial"/>
        </w:rPr>
        <w:t>publique a través de un aviso en las páginas web de esta Corporación y la Rama Judicial.</w:t>
      </w:r>
    </w:p>
    <w:p w14:paraId="106C683C" w14:textId="77777777" w:rsidR="00AC79EA" w:rsidRPr="00A4311C" w:rsidRDefault="00AC79EA" w:rsidP="00A4311C">
      <w:pPr>
        <w:spacing w:line="276" w:lineRule="auto"/>
        <w:rPr>
          <w:sz w:val="24"/>
          <w:szCs w:val="24"/>
        </w:rPr>
      </w:pPr>
    </w:p>
    <w:p w14:paraId="334795C3" w14:textId="4981B793" w:rsidR="00CF5764" w:rsidRPr="00A4311C" w:rsidRDefault="00AC79EA" w:rsidP="00A4311C">
      <w:pPr>
        <w:pStyle w:val="Prrafodelista"/>
        <w:numPr>
          <w:ilvl w:val="0"/>
          <w:numId w:val="7"/>
        </w:numPr>
        <w:spacing w:line="276" w:lineRule="auto"/>
        <w:ind w:left="360"/>
        <w:jc w:val="both"/>
        <w:rPr>
          <w:rFonts w:ascii="Arial" w:hAnsi="Arial" w:cs="Arial"/>
        </w:rPr>
      </w:pPr>
      <w:r w:rsidRPr="00A4311C">
        <w:rPr>
          <w:rFonts w:ascii="Arial" w:hAnsi="Arial" w:cs="Arial"/>
        </w:rPr>
        <w:t xml:space="preserve">Se </w:t>
      </w:r>
      <w:r w:rsidRPr="00A4311C">
        <w:rPr>
          <w:rFonts w:ascii="Arial" w:hAnsi="Arial" w:cs="Arial"/>
          <w:i/>
          <w:iCs/>
        </w:rPr>
        <w:t>suspenderán</w:t>
      </w:r>
      <w:r w:rsidRPr="00A4311C">
        <w:rPr>
          <w:rFonts w:ascii="Arial" w:hAnsi="Arial" w:cs="Arial"/>
        </w:rPr>
        <w:t xml:space="preserve"> los términos de la acción hasta que se cumplan las órdenes dictadas a través de esta providencia y el expediente contentivo del presente proceso regrese al Despacho.</w:t>
      </w:r>
    </w:p>
    <w:p w14:paraId="7A996544" w14:textId="77777777" w:rsidR="00695712" w:rsidRDefault="00695712" w:rsidP="00A4311C">
      <w:pPr>
        <w:spacing w:line="276" w:lineRule="auto"/>
        <w:rPr>
          <w:sz w:val="24"/>
          <w:szCs w:val="24"/>
        </w:rPr>
      </w:pPr>
    </w:p>
    <w:p w14:paraId="39E8B8EA" w14:textId="00F964B7" w:rsidR="00DB76CC" w:rsidRPr="00A4311C" w:rsidRDefault="00DB76CC" w:rsidP="00A4311C">
      <w:pPr>
        <w:spacing w:line="276" w:lineRule="auto"/>
        <w:rPr>
          <w:sz w:val="24"/>
          <w:szCs w:val="24"/>
        </w:rPr>
      </w:pPr>
      <w:r w:rsidRPr="00A4311C">
        <w:rPr>
          <w:sz w:val="24"/>
          <w:szCs w:val="24"/>
        </w:rPr>
        <w:t xml:space="preserve">Por lo expuesto, este Despacho, en uso de sus facultades constitucionales y legales, </w:t>
      </w:r>
    </w:p>
    <w:p w14:paraId="300AA8ED" w14:textId="77777777" w:rsidR="00DB76CC" w:rsidRPr="00A4311C" w:rsidRDefault="00DB76CC" w:rsidP="00A4311C">
      <w:pPr>
        <w:spacing w:line="276" w:lineRule="auto"/>
        <w:jc w:val="center"/>
        <w:rPr>
          <w:rStyle w:val="eop"/>
          <w:b/>
          <w:sz w:val="24"/>
          <w:szCs w:val="24"/>
          <w:shd w:val="clear" w:color="auto" w:fill="FFFFFF"/>
        </w:rPr>
      </w:pPr>
    </w:p>
    <w:p w14:paraId="5B21E23A" w14:textId="67B9DE01" w:rsidR="00DB76CC" w:rsidRPr="00A4311C" w:rsidRDefault="00DB76CC" w:rsidP="00A4311C">
      <w:pPr>
        <w:spacing w:line="276" w:lineRule="auto"/>
        <w:jc w:val="center"/>
        <w:rPr>
          <w:b/>
          <w:bCs/>
          <w:sz w:val="24"/>
          <w:szCs w:val="24"/>
        </w:rPr>
      </w:pPr>
      <w:r w:rsidRPr="00A4311C">
        <w:rPr>
          <w:b/>
          <w:bCs/>
          <w:sz w:val="24"/>
          <w:szCs w:val="24"/>
        </w:rPr>
        <w:t>RESUELVE</w:t>
      </w:r>
    </w:p>
    <w:p w14:paraId="7D831538" w14:textId="77777777" w:rsidR="00A4311C" w:rsidRPr="00A4311C" w:rsidRDefault="00A4311C" w:rsidP="00A4311C">
      <w:pPr>
        <w:overflowPunct w:val="0"/>
        <w:autoSpaceDE w:val="0"/>
        <w:autoSpaceDN w:val="0"/>
        <w:adjustRightInd w:val="0"/>
        <w:spacing w:line="276" w:lineRule="auto"/>
        <w:rPr>
          <w:rFonts w:eastAsia="Times New Roman"/>
          <w:sz w:val="24"/>
          <w:szCs w:val="24"/>
          <w:highlight w:val="yellow"/>
          <w:lang w:val="es-ES_tradnl" w:eastAsia="es-ES"/>
        </w:rPr>
      </w:pPr>
    </w:p>
    <w:p w14:paraId="28D20ED7" w14:textId="0391918E" w:rsidR="00A4311C" w:rsidRPr="00A4311C" w:rsidRDefault="00A4311C" w:rsidP="00A4311C">
      <w:pPr>
        <w:numPr>
          <w:ilvl w:val="0"/>
          <w:numId w:val="8"/>
        </w:numPr>
        <w:spacing w:line="276" w:lineRule="auto"/>
        <w:ind w:left="0" w:firstLine="0"/>
        <w:contextualSpacing/>
        <w:rPr>
          <w:sz w:val="24"/>
          <w:szCs w:val="24"/>
        </w:rPr>
      </w:pPr>
      <w:r w:rsidRPr="00A4311C">
        <w:rPr>
          <w:b/>
          <w:sz w:val="24"/>
          <w:szCs w:val="24"/>
        </w:rPr>
        <w:t>ADMITIR</w:t>
      </w:r>
      <w:r w:rsidRPr="00A4311C">
        <w:rPr>
          <w:sz w:val="24"/>
          <w:szCs w:val="24"/>
        </w:rPr>
        <w:t xml:space="preserve"> la solicitud instaurada, en ejercicio de la acción de tutela, por </w:t>
      </w:r>
      <w:r>
        <w:rPr>
          <w:sz w:val="24"/>
          <w:szCs w:val="24"/>
        </w:rPr>
        <w:t>Luis Eduardo Azcárate Alarcón</w:t>
      </w:r>
      <w:r w:rsidRPr="00A4311C">
        <w:rPr>
          <w:sz w:val="24"/>
          <w:szCs w:val="24"/>
        </w:rPr>
        <w:t xml:space="preserve"> contra </w:t>
      </w:r>
      <w:r>
        <w:rPr>
          <w:sz w:val="24"/>
          <w:szCs w:val="24"/>
        </w:rPr>
        <w:t xml:space="preserve">el Tribunal Administrativo del Valle del Cauca </w:t>
      </w:r>
      <w:r w:rsidRPr="00A4311C">
        <w:rPr>
          <w:sz w:val="24"/>
          <w:szCs w:val="24"/>
        </w:rPr>
        <w:t>y el municipio de Cali</w:t>
      </w:r>
      <w:r>
        <w:rPr>
          <w:sz w:val="24"/>
          <w:szCs w:val="24"/>
        </w:rPr>
        <w:t>.</w:t>
      </w:r>
    </w:p>
    <w:p w14:paraId="1D900D92" w14:textId="77777777" w:rsidR="00A4311C" w:rsidRPr="00A4311C" w:rsidRDefault="00A4311C" w:rsidP="00A4311C">
      <w:pPr>
        <w:spacing w:line="276" w:lineRule="auto"/>
        <w:contextualSpacing/>
        <w:rPr>
          <w:sz w:val="24"/>
          <w:szCs w:val="24"/>
        </w:rPr>
      </w:pPr>
    </w:p>
    <w:p w14:paraId="44BACBF4" w14:textId="341058E8" w:rsidR="00A4311C" w:rsidRPr="00A4311C" w:rsidRDefault="00A4311C" w:rsidP="00A4311C">
      <w:pPr>
        <w:numPr>
          <w:ilvl w:val="0"/>
          <w:numId w:val="8"/>
        </w:numPr>
        <w:spacing w:line="276" w:lineRule="auto"/>
        <w:ind w:left="0" w:firstLine="0"/>
        <w:contextualSpacing/>
        <w:rPr>
          <w:sz w:val="24"/>
          <w:szCs w:val="24"/>
        </w:rPr>
      </w:pPr>
      <w:r w:rsidRPr="00A4311C">
        <w:rPr>
          <w:b/>
          <w:bCs/>
          <w:sz w:val="24"/>
          <w:szCs w:val="24"/>
        </w:rPr>
        <w:t xml:space="preserve">VINCULAR </w:t>
      </w:r>
      <w:r w:rsidRPr="00A4311C">
        <w:rPr>
          <w:sz w:val="24"/>
          <w:szCs w:val="24"/>
        </w:rPr>
        <w:t xml:space="preserve">a la presente acción, en calidad de tercero interesado, </w:t>
      </w:r>
      <w:r w:rsidR="00DB7CAF">
        <w:rPr>
          <w:sz w:val="24"/>
          <w:szCs w:val="24"/>
        </w:rPr>
        <w:t xml:space="preserve">al Juzgado Segundo Administrativo del Circuito Judicial de Cali </w:t>
      </w:r>
      <w:r w:rsidRPr="00A4311C">
        <w:rPr>
          <w:sz w:val="24"/>
          <w:szCs w:val="24"/>
        </w:rPr>
        <w:t>con el fin de que se pronuncie sobre los fundamentos de hecho y de derecho que dieron lugar a la presentación de la tutela de la referencia.</w:t>
      </w:r>
    </w:p>
    <w:p w14:paraId="4D2F2762" w14:textId="77777777" w:rsidR="00A4311C" w:rsidRPr="00A4311C" w:rsidRDefault="00A4311C" w:rsidP="00A4311C">
      <w:pPr>
        <w:spacing w:line="276" w:lineRule="auto"/>
        <w:rPr>
          <w:sz w:val="24"/>
          <w:szCs w:val="24"/>
        </w:rPr>
      </w:pPr>
    </w:p>
    <w:p w14:paraId="2506A8FB" w14:textId="7E519EC1" w:rsidR="00A4311C" w:rsidRPr="00A4311C" w:rsidRDefault="00A4311C" w:rsidP="00A4311C">
      <w:pPr>
        <w:numPr>
          <w:ilvl w:val="0"/>
          <w:numId w:val="8"/>
        </w:numPr>
        <w:spacing w:line="276" w:lineRule="auto"/>
        <w:ind w:left="0" w:firstLine="0"/>
        <w:contextualSpacing/>
        <w:rPr>
          <w:sz w:val="24"/>
          <w:szCs w:val="24"/>
        </w:rPr>
      </w:pPr>
      <w:r w:rsidRPr="00A4311C">
        <w:rPr>
          <w:b/>
          <w:sz w:val="24"/>
          <w:szCs w:val="24"/>
        </w:rPr>
        <w:t>ORDENAR</w:t>
      </w:r>
      <w:r w:rsidRPr="00A4311C">
        <w:rPr>
          <w:sz w:val="24"/>
          <w:szCs w:val="24"/>
        </w:rPr>
        <w:t xml:space="preserve"> que, por conducto de la Secretaría General de esta Corporación, se notifique el presente proveído a </w:t>
      </w:r>
      <w:r w:rsidRPr="00A4311C">
        <w:rPr>
          <w:i/>
          <w:iCs/>
          <w:sz w:val="24"/>
          <w:szCs w:val="24"/>
        </w:rPr>
        <w:t xml:space="preserve">las partes </w:t>
      </w:r>
      <w:r w:rsidR="00661550" w:rsidRPr="00661550">
        <w:rPr>
          <w:i/>
          <w:iCs/>
          <w:sz w:val="24"/>
          <w:szCs w:val="24"/>
        </w:rPr>
        <w:t>y los vinculados</w:t>
      </w:r>
      <w:r w:rsidR="00661550">
        <w:rPr>
          <w:sz w:val="24"/>
          <w:szCs w:val="24"/>
        </w:rPr>
        <w:t xml:space="preserve"> </w:t>
      </w:r>
      <w:r w:rsidR="00661550" w:rsidRPr="00661550">
        <w:rPr>
          <w:sz w:val="24"/>
          <w:szCs w:val="24"/>
        </w:rPr>
        <w:t xml:space="preserve">de la forma </w:t>
      </w:r>
      <w:r w:rsidRPr="00A4311C">
        <w:rPr>
          <w:sz w:val="24"/>
          <w:szCs w:val="24"/>
        </w:rPr>
        <w:t>más expedita posible. Además, esta providencia deberá ser publicada en las páginas web del Consejo de Estado y la Rama Judicial.</w:t>
      </w:r>
    </w:p>
    <w:p w14:paraId="0B8D5883" w14:textId="77777777" w:rsidR="00A4311C" w:rsidRPr="00A4311C" w:rsidRDefault="00A4311C" w:rsidP="00A4311C">
      <w:pPr>
        <w:spacing w:line="276" w:lineRule="auto"/>
        <w:rPr>
          <w:sz w:val="24"/>
          <w:szCs w:val="24"/>
        </w:rPr>
      </w:pPr>
    </w:p>
    <w:p w14:paraId="48895D53" w14:textId="0EE0FE99" w:rsidR="00A4311C" w:rsidRPr="00A4311C" w:rsidRDefault="00A4311C" w:rsidP="00A4311C">
      <w:pPr>
        <w:spacing w:line="276" w:lineRule="auto"/>
        <w:contextualSpacing/>
        <w:rPr>
          <w:sz w:val="24"/>
          <w:szCs w:val="24"/>
        </w:rPr>
      </w:pPr>
      <w:r w:rsidRPr="00A4311C">
        <w:rPr>
          <w:sz w:val="24"/>
          <w:szCs w:val="24"/>
        </w:rPr>
        <w:t xml:space="preserve">La Secretaría General </w:t>
      </w:r>
      <w:r w:rsidRPr="00A4311C">
        <w:rPr>
          <w:b/>
          <w:sz w:val="24"/>
          <w:szCs w:val="24"/>
        </w:rPr>
        <w:t>solamente devolverá</w:t>
      </w:r>
      <w:r w:rsidRPr="00A4311C">
        <w:rPr>
          <w:sz w:val="24"/>
          <w:szCs w:val="24"/>
        </w:rPr>
        <w:t xml:space="preserve"> el expediente al Despacho, una vez se haya notificado </w:t>
      </w:r>
      <w:r w:rsidR="00270595" w:rsidRPr="00270595">
        <w:rPr>
          <w:sz w:val="24"/>
          <w:szCs w:val="24"/>
        </w:rPr>
        <w:t xml:space="preserve">efectivamente </w:t>
      </w:r>
      <w:r w:rsidRPr="00A4311C">
        <w:rPr>
          <w:sz w:val="24"/>
          <w:szCs w:val="24"/>
        </w:rPr>
        <w:t>a los sujetos procesales.</w:t>
      </w:r>
    </w:p>
    <w:p w14:paraId="58CE1AC8" w14:textId="77777777" w:rsidR="00A4311C" w:rsidRPr="00A4311C" w:rsidRDefault="00A4311C" w:rsidP="00A4311C">
      <w:pPr>
        <w:spacing w:line="276" w:lineRule="auto"/>
        <w:rPr>
          <w:b/>
          <w:color w:val="000000"/>
          <w:sz w:val="24"/>
          <w:szCs w:val="24"/>
        </w:rPr>
      </w:pPr>
    </w:p>
    <w:p w14:paraId="75E65E7E" w14:textId="3C0CA57A" w:rsidR="00A4311C" w:rsidRPr="00A4311C" w:rsidRDefault="00661550" w:rsidP="00A4311C">
      <w:pPr>
        <w:numPr>
          <w:ilvl w:val="0"/>
          <w:numId w:val="8"/>
        </w:numPr>
        <w:spacing w:line="276" w:lineRule="auto"/>
        <w:ind w:left="0" w:firstLine="0"/>
        <w:contextualSpacing/>
        <w:rPr>
          <w:sz w:val="24"/>
          <w:szCs w:val="24"/>
        </w:rPr>
      </w:pPr>
      <w:r>
        <w:rPr>
          <w:b/>
          <w:color w:val="000000"/>
          <w:sz w:val="24"/>
          <w:szCs w:val="24"/>
        </w:rPr>
        <w:t>ORDENAR</w:t>
      </w:r>
      <w:r w:rsidR="00A4311C" w:rsidRPr="00A4311C">
        <w:rPr>
          <w:b/>
          <w:color w:val="000000"/>
          <w:sz w:val="24"/>
          <w:szCs w:val="24"/>
        </w:rPr>
        <w:t xml:space="preserve"> </w:t>
      </w:r>
      <w:r>
        <w:rPr>
          <w:bCs/>
          <w:color w:val="000000"/>
          <w:sz w:val="24"/>
          <w:szCs w:val="24"/>
        </w:rPr>
        <w:t>al Tribunal Administrativo del Valle del Cauca que presente</w:t>
      </w:r>
      <w:r w:rsidR="00A4311C" w:rsidRPr="00A4311C">
        <w:rPr>
          <w:bCs/>
          <w:color w:val="000000"/>
          <w:sz w:val="24"/>
          <w:szCs w:val="24"/>
        </w:rPr>
        <w:t xml:space="preserve"> informe sobre los hechos en los que se sustenta la presente acción en el término de tres (3) días, contados a partir del recibo de la notificación. Éste se considerará rendido bajo juramento</w:t>
      </w:r>
      <w:r w:rsidR="00A4311C" w:rsidRPr="00A4311C">
        <w:rPr>
          <w:color w:val="000000"/>
          <w:sz w:val="24"/>
          <w:szCs w:val="24"/>
        </w:rPr>
        <w:t xml:space="preserve"> (</w:t>
      </w:r>
      <w:r w:rsidR="00A4311C" w:rsidRPr="00A4311C">
        <w:rPr>
          <w:sz w:val="24"/>
          <w:szCs w:val="24"/>
        </w:rPr>
        <w:t>artículos 19 y 20 del Decreto 2591 de 1991).</w:t>
      </w:r>
    </w:p>
    <w:p w14:paraId="21C400EF" w14:textId="77777777" w:rsidR="00A4311C" w:rsidRPr="00A4311C" w:rsidRDefault="00A4311C" w:rsidP="00A4311C">
      <w:pPr>
        <w:spacing w:line="276" w:lineRule="auto"/>
        <w:contextualSpacing/>
        <w:rPr>
          <w:sz w:val="24"/>
          <w:szCs w:val="24"/>
        </w:rPr>
      </w:pPr>
    </w:p>
    <w:p w14:paraId="77649FB8" w14:textId="199DE684" w:rsidR="00A4311C" w:rsidRPr="00A4311C" w:rsidRDefault="00A24798" w:rsidP="00A4311C">
      <w:pPr>
        <w:numPr>
          <w:ilvl w:val="0"/>
          <w:numId w:val="8"/>
        </w:numPr>
        <w:spacing w:line="276" w:lineRule="auto"/>
        <w:ind w:left="0" w:firstLine="0"/>
        <w:contextualSpacing/>
        <w:rPr>
          <w:sz w:val="24"/>
          <w:szCs w:val="24"/>
        </w:rPr>
      </w:pPr>
      <w:r>
        <w:rPr>
          <w:b/>
          <w:color w:val="000000"/>
          <w:sz w:val="24"/>
          <w:szCs w:val="24"/>
        </w:rPr>
        <w:t xml:space="preserve">CONSERVAR </w:t>
      </w:r>
      <w:r>
        <w:rPr>
          <w:bCs/>
          <w:color w:val="000000"/>
          <w:sz w:val="24"/>
          <w:szCs w:val="24"/>
        </w:rPr>
        <w:t>el valor probatorio de todas y cada una de las piezas procesales que conforman el plenario, lo que incluye el informe ya rendido por el municipio de Cali</w:t>
      </w:r>
      <w:r w:rsidR="00A4311C" w:rsidRPr="00A4311C">
        <w:rPr>
          <w:b/>
          <w:color w:val="000000"/>
          <w:sz w:val="24"/>
          <w:szCs w:val="24"/>
        </w:rPr>
        <w:t xml:space="preserve"> </w:t>
      </w:r>
      <w:r>
        <w:rPr>
          <w:color w:val="000000"/>
          <w:sz w:val="24"/>
          <w:szCs w:val="24"/>
        </w:rPr>
        <w:t>y</w:t>
      </w:r>
      <w:r w:rsidR="00A4311C" w:rsidRPr="00A4311C">
        <w:rPr>
          <w:color w:val="000000"/>
          <w:sz w:val="24"/>
          <w:szCs w:val="24"/>
        </w:rPr>
        <w:t xml:space="preserve"> los documentos aportados con el escrito de tutela.</w:t>
      </w:r>
    </w:p>
    <w:p w14:paraId="1111A352" w14:textId="77777777" w:rsidR="00A4311C" w:rsidRPr="00A4311C" w:rsidRDefault="00A4311C" w:rsidP="00A4311C">
      <w:pPr>
        <w:spacing w:line="276" w:lineRule="auto"/>
        <w:rPr>
          <w:b/>
          <w:sz w:val="24"/>
          <w:szCs w:val="24"/>
        </w:rPr>
      </w:pPr>
    </w:p>
    <w:p w14:paraId="6CB3359C" w14:textId="77777777" w:rsidR="00A4311C" w:rsidRPr="00A4311C" w:rsidRDefault="00A4311C" w:rsidP="00A4311C">
      <w:pPr>
        <w:numPr>
          <w:ilvl w:val="0"/>
          <w:numId w:val="8"/>
        </w:numPr>
        <w:spacing w:line="276" w:lineRule="auto"/>
        <w:ind w:left="0" w:firstLine="0"/>
        <w:contextualSpacing/>
        <w:rPr>
          <w:sz w:val="24"/>
          <w:szCs w:val="24"/>
        </w:rPr>
      </w:pPr>
      <w:r w:rsidRPr="00A4311C">
        <w:rPr>
          <w:b/>
          <w:sz w:val="24"/>
          <w:szCs w:val="24"/>
        </w:rPr>
        <w:t>SUSPENDER</w:t>
      </w:r>
      <w:r w:rsidRPr="00A4311C">
        <w:rPr>
          <w:sz w:val="24"/>
          <w:szCs w:val="24"/>
        </w:rPr>
        <w:t xml:space="preserve"> </w:t>
      </w:r>
      <w:r w:rsidRPr="00A4311C">
        <w:rPr>
          <w:sz w:val="24"/>
          <w:szCs w:val="24"/>
          <w:lang w:val="es-ES"/>
        </w:rPr>
        <w:t>los términos de la presente acción constitucional hasta tanto se dé cumplimiento a las órdenes impartidas en esta providencia y el expediente regrese al Despacho desde la Secretaría General.</w:t>
      </w:r>
    </w:p>
    <w:p w14:paraId="321CA40C" w14:textId="77777777" w:rsidR="00A4311C" w:rsidRPr="00A4311C" w:rsidRDefault="00A4311C" w:rsidP="00A4311C">
      <w:pPr>
        <w:overflowPunct w:val="0"/>
        <w:autoSpaceDE w:val="0"/>
        <w:autoSpaceDN w:val="0"/>
        <w:adjustRightInd w:val="0"/>
        <w:spacing w:line="276" w:lineRule="auto"/>
        <w:rPr>
          <w:rFonts w:eastAsia="Times New Roman"/>
          <w:sz w:val="24"/>
          <w:szCs w:val="24"/>
          <w:lang w:eastAsia="es-ES"/>
        </w:rPr>
      </w:pPr>
    </w:p>
    <w:p w14:paraId="0EE8E4C5" w14:textId="77777777" w:rsidR="00DB76CC" w:rsidRPr="00A4311C" w:rsidRDefault="00DB76CC" w:rsidP="00A4311C">
      <w:pPr>
        <w:spacing w:line="276" w:lineRule="auto"/>
        <w:jc w:val="center"/>
        <w:rPr>
          <w:b/>
          <w:bCs/>
          <w:sz w:val="24"/>
          <w:szCs w:val="24"/>
        </w:rPr>
      </w:pPr>
      <w:r w:rsidRPr="00A4311C">
        <w:rPr>
          <w:b/>
          <w:bCs/>
          <w:sz w:val="24"/>
          <w:szCs w:val="24"/>
        </w:rPr>
        <w:t>COMUNÍQUESE Y CÚMPLASE</w:t>
      </w:r>
    </w:p>
    <w:p w14:paraId="179D0B3F" w14:textId="77777777" w:rsidR="00DB76CC" w:rsidRPr="00A4311C" w:rsidRDefault="00DB76CC" w:rsidP="00A4311C">
      <w:pPr>
        <w:spacing w:line="276" w:lineRule="auto"/>
        <w:jc w:val="center"/>
        <w:rPr>
          <w:b/>
          <w:bCs/>
          <w:sz w:val="24"/>
          <w:szCs w:val="24"/>
        </w:rPr>
      </w:pPr>
    </w:p>
    <w:p w14:paraId="7EC533C5" w14:textId="77777777" w:rsidR="00DB76CC" w:rsidRPr="00A4311C" w:rsidRDefault="00DB76CC" w:rsidP="00A4311C">
      <w:pPr>
        <w:spacing w:line="276" w:lineRule="auto"/>
        <w:jc w:val="center"/>
        <w:rPr>
          <w:b/>
          <w:bCs/>
          <w:sz w:val="24"/>
          <w:szCs w:val="24"/>
        </w:rPr>
      </w:pPr>
    </w:p>
    <w:p w14:paraId="6E5FFC22" w14:textId="77777777" w:rsidR="00DB76CC" w:rsidRPr="00A4311C" w:rsidRDefault="00DB76CC" w:rsidP="00A4311C">
      <w:pPr>
        <w:spacing w:line="276" w:lineRule="auto"/>
        <w:jc w:val="center"/>
        <w:rPr>
          <w:b/>
          <w:bCs/>
          <w:sz w:val="24"/>
          <w:szCs w:val="24"/>
        </w:rPr>
      </w:pPr>
    </w:p>
    <w:p w14:paraId="73589005" w14:textId="77777777" w:rsidR="00DB76CC" w:rsidRPr="00A4311C" w:rsidRDefault="00DB76CC" w:rsidP="00A4311C">
      <w:pPr>
        <w:spacing w:line="276" w:lineRule="auto"/>
        <w:jc w:val="center"/>
        <w:rPr>
          <w:b/>
          <w:bCs/>
          <w:sz w:val="24"/>
          <w:szCs w:val="24"/>
        </w:rPr>
      </w:pPr>
    </w:p>
    <w:p w14:paraId="279A10C5" w14:textId="77777777" w:rsidR="00DB76CC" w:rsidRPr="00A4311C" w:rsidRDefault="00DB76CC" w:rsidP="00A4311C">
      <w:pPr>
        <w:spacing w:line="276" w:lineRule="auto"/>
        <w:jc w:val="center"/>
        <w:rPr>
          <w:b/>
          <w:bCs/>
          <w:sz w:val="24"/>
          <w:szCs w:val="24"/>
        </w:rPr>
      </w:pPr>
      <w:r w:rsidRPr="00A4311C">
        <w:rPr>
          <w:b/>
          <w:bCs/>
          <w:sz w:val="24"/>
          <w:szCs w:val="24"/>
        </w:rPr>
        <w:t>JAIME ENRIQUE RODRÍGUEZ NAVAS</w:t>
      </w:r>
    </w:p>
    <w:p w14:paraId="2DB60828" w14:textId="61EEFB57" w:rsidR="00C73E4C" w:rsidRPr="00A4311C" w:rsidRDefault="00DB76CC" w:rsidP="00A4311C">
      <w:pPr>
        <w:spacing w:line="276" w:lineRule="auto"/>
        <w:jc w:val="center"/>
        <w:rPr>
          <w:b/>
          <w:bCs/>
          <w:sz w:val="24"/>
          <w:szCs w:val="24"/>
          <w:lang w:val="es-ES"/>
        </w:rPr>
      </w:pPr>
      <w:r w:rsidRPr="00A4311C">
        <w:rPr>
          <w:b/>
          <w:bCs/>
          <w:sz w:val="24"/>
          <w:szCs w:val="24"/>
        </w:rPr>
        <w:t>Magistrado</w:t>
      </w:r>
    </w:p>
    <w:sectPr w:rsidR="00C73E4C" w:rsidRPr="00A4311C" w:rsidSect="00B6429B">
      <w:headerReference w:type="default" r:id="rId8"/>
      <w:footerReference w:type="default" r:id="rId9"/>
      <w:headerReference w:type="first" r:id="rId10"/>
      <w:footerReference w:type="first" r:id="rId11"/>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3AD7" w14:textId="77777777" w:rsidR="00690093" w:rsidRDefault="00690093" w:rsidP="00AD797B">
      <w:r>
        <w:separator/>
      </w:r>
    </w:p>
  </w:endnote>
  <w:endnote w:type="continuationSeparator" w:id="0">
    <w:p w14:paraId="46DCF6F3" w14:textId="77777777" w:rsidR="00690093" w:rsidRDefault="00690093" w:rsidP="00AD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230314" w14:paraId="43DCAF8E" w14:textId="77777777" w:rsidTr="00B6429B">
      <w:trPr>
        <w:jc w:val="right"/>
      </w:trPr>
      <w:tc>
        <w:tcPr>
          <w:tcW w:w="4795" w:type="dxa"/>
          <w:vAlign w:val="center"/>
        </w:tcPr>
        <w:p w14:paraId="4BA85BA9" w14:textId="77777777" w:rsidR="00230314" w:rsidRDefault="00D6034F" w:rsidP="00B6429B">
          <w:pPr>
            <w:pStyle w:val="Encabezado"/>
            <w:jc w:val="center"/>
            <w:rPr>
              <w:color w:val="767171"/>
              <w:sz w:val="20"/>
              <w:szCs w:val="20"/>
            </w:rPr>
          </w:pPr>
          <w:r w:rsidRPr="00A21194">
            <w:rPr>
              <w:color w:val="767171"/>
              <w:sz w:val="20"/>
              <w:szCs w:val="20"/>
            </w:rPr>
            <w:t>Calle 12 No. 7-65 – Tel: (57-1) 350-6700 – Bogotá D.C. – Colombia</w:t>
          </w:r>
        </w:p>
        <w:p w14:paraId="14D14FB8" w14:textId="77777777" w:rsidR="00230314" w:rsidRPr="00A21194" w:rsidRDefault="00D6034F"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3CEBF9D8" w14:textId="77777777" w:rsidR="00230314" w:rsidRPr="00B6429B" w:rsidRDefault="00D6034F" w:rsidP="00B6429B">
          <w:pPr>
            <w:pStyle w:val="Piedepgina"/>
            <w:jc w:val="center"/>
          </w:pPr>
          <w:r w:rsidRPr="00B6429B">
            <w:fldChar w:fldCharType="begin"/>
          </w:r>
          <w:r w:rsidRPr="00B6429B">
            <w:instrText>PAGE   \* MERGEFORMAT</w:instrText>
          </w:r>
          <w:r w:rsidRPr="00B6429B">
            <w:fldChar w:fldCharType="separate"/>
          </w:r>
          <w:r w:rsidRPr="003601AE">
            <w:rPr>
              <w:noProof/>
              <w:lang w:val="es-ES"/>
            </w:rPr>
            <w:t>12</w:t>
          </w:r>
          <w:r w:rsidRPr="00B6429B">
            <w:fldChar w:fldCharType="end"/>
          </w:r>
        </w:p>
      </w:tc>
    </w:tr>
  </w:tbl>
  <w:p w14:paraId="0447BD7F" w14:textId="77777777" w:rsidR="00230314" w:rsidRPr="008C0DBE" w:rsidRDefault="00690093"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230314" w14:paraId="427F4CF8" w14:textId="77777777" w:rsidTr="00B6429B">
      <w:trPr>
        <w:jc w:val="right"/>
      </w:trPr>
      <w:tc>
        <w:tcPr>
          <w:tcW w:w="4795" w:type="dxa"/>
          <w:vAlign w:val="center"/>
        </w:tcPr>
        <w:p w14:paraId="6AFB0E67" w14:textId="77777777" w:rsidR="00230314" w:rsidRDefault="00D6034F" w:rsidP="00B6429B">
          <w:pPr>
            <w:pStyle w:val="Encabezado"/>
            <w:jc w:val="center"/>
            <w:rPr>
              <w:color w:val="767171"/>
              <w:sz w:val="20"/>
              <w:szCs w:val="20"/>
            </w:rPr>
          </w:pPr>
          <w:r w:rsidRPr="00A21194">
            <w:rPr>
              <w:color w:val="767171"/>
              <w:sz w:val="20"/>
              <w:szCs w:val="20"/>
            </w:rPr>
            <w:t>Calle 12 No. 7-65 – Tel: (57-1) 350-6700 – Bogotá D.C. – Colombia</w:t>
          </w:r>
        </w:p>
        <w:p w14:paraId="3C647450" w14:textId="77777777" w:rsidR="00230314" w:rsidRPr="00A21194" w:rsidRDefault="00D6034F"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74CEF44E" w14:textId="77777777" w:rsidR="00230314" w:rsidRPr="00B6429B" w:rsidRDefault="00D6034F">
          <w:pPr>
            <w:pStyle w:val="Piedepgina"/>
            <w:jc w:val="center"/>
          </w:pPr>
          <w:r w:rsidRPr="00B6429B">
            <w:fldChar w:fldCharType="begin"/>
          </w:r>
          <w:r w:rsidRPr="00B6429B">
            <w:instrText>PAGE   \* MERGEFORMAT</w:instrText>
          </w:r>
          <w:r w:rsidRPr="00B6429B">
            <w:fldChar w:fldCharType="separate"/>
          </w:r>
          <w:r w:rsidRPr="00320B64">
            <w:rPr>
              <w:noProof/>
              <w:lang w:val="es-ES"/>
            </w:rPr>
            <w:t>1</w:t>
          </w:r>
          <w:r w:rsidRPr="00B6429B">
            <w:fldChar w:fldCharType="end"/>
          </w:r>
        </w:p>
      </w:tc>
    </w:tr>
  </w:tbl>
  <w:p w14:paraId="28B8B105" w14:textId="77777777" w:rsidR="00230314" w:rsidRDefault="006900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5206" w14:textId="77777777" w:rsidR="00690093" w:rsidRDefault="00690093" w:rsidP="00AD797B">
      <w:r>
        <w:separator/>
      </w:r>
    </w:p>
  </w:footnote>
  <w:footnote w:type="continuationSeparator" w:id="0">
    <w:p w14:paraId="4442D7C4" w14:textId="77777777" w:rsidR="00690093" w:rsidRDefault="00690093" w:rsidP="00AD797B">
      <w:r>
        <w:continuationSeparator/>
      </w:r>
    </w:p>
  </w:footnote>
  <w:footnote w:id="1">
    <w:p w14:paraId="706D0635" w14:textId="059D8B1D" w:rsidR="00AD797B" w:rsidRPr="004053F0" w:rsidRDefault="00AD797B" w:rsidP="00AD797B">
      <w:pPr>
        <w:pStyle w:val="Textonotapie"/>
        <w:rPr>
          <w:szCs w:val="16"/>
        </w:rPr>
      </w:pPr>
      <w:r w:rsidRPr="004053F0">
        <w:rPr>
          <w:rStyle w:val="Refdenotaalpie"/>
          <w:szCs w:val="16"/>
        </w:rPr>
        <w:footnoteRef/>
      </w:r>
      <w:r w:rsidRPr="004053F0">
        <w:rPr>
          <w:szCs w:val="16"/>
        </w:rPr>
        <w:t xml:space="preserve"> Ver, archivo con certificado </w:t>
      </w:r>
      <w:r w:rsidR="008D2E85" w:rsidRPr="008D2E85">
        <w:rPr>
          <w:szCs w:val="16"/>
        </w:rPr>
        <w:t>49641A8AEDFFE281 7183DD0A62CB936E 883DDFC0A5295D29 787FDD11F8E2FD66</w:t>
      </w:r>
      <w:r w:rsidRPr="004053F0">
        <w:rPr>
          <w:szCs w:val="16"/>
        </w:rPr>
        <w:t>.</w:t>
      </w:r>
    </w:p>
  </w:footnote>
  <w:footnote w:id="2">
    <w:p w14:paraId="1A76BA7F" w14:textId="55738C4D" w:rsidR="006363DB" w:rsidRPr="006363DB" w:rsidRDefault="006363DB">
      <w:pPr>
        <w:pStyle w:val="Textonotapie"/>
      </w:pPr>
      <w:r>
        <w:rPr>
          <w:rStyle w:val="Refdenotaalpie"/>
        </w:rPr>
        <w:footnoteRef/>
      </w:r>
      <w:r>
        <w:t xml:space="preserve"> Identificado con el n.° único de radicación 76001-33-33-002-2017-00332-01.</w:t>
      </w:r>
    </w:p>
  </w:footnote>
  <w:footnote w:id="3">
    <w:p w14:paraId="08185FA0" w14:textId="75020791" w:rsidR="00AD797B" w:rsidRPr="004053F0" w:rsidRDefault="00AD797B" w:rsidP="00AD797B">
      <w:pPr>
        <w:pStyle w:val="Textonotapie"/>
        <w:rPr>
          <w:szCs w:val="16"/>
        </w:rPr>
      </w:pPr>
      <w:r w:rsidRPr="004053F0">
        <w:rPr>
          <w:rStyle w:val="Refdenotaalpie"/>
          <w:szCs w:val="16"/>
        </w:rPr>
        <w:footnoteRef/>
      </w:r>
      <w:r w:rsidRPr="004053F0">
        <w:rPr>
          <w:szCs w:val="16"/>
        </w:rPr>
        <w:t xml:space="preserve"> Ver, archivo con certificado </w:t>
      </w:r>
      <w:r w:rsidR="005D1FCA" w:rsidRPr="005D1FCA">
        <w:rPr>
          <w:szCs w:val="16"/>
        </w:rPr>
        <w:t>F1C75B607B9892E5 37D5FB3DF43A0EC5 09E93CF320774375 B6415C448339FBAD</w:t>
      </w:r>
      <w:r w:rsidRPr="004053F0">
        <w:rPr>
          <w:szCs w:val="16"/>
        </w:rPr>
        <w:t>.</w:t>
      </w:r>
    </w:p>
  </w:footnote>
  <w:footnote w:id="4">
    <w:p w14:paraId="44709BEA" w14:textId="0C66EE5D" w:rsidR="00EA3CF1" w:rsidRPr="00EA3CF1" w:rsidRDefault="00EA3CF1">
      <w:pPr>
        <w:pStyle w:val="Textonotapie"/>
      </w:pPr>
      <w:r>
        <w:rPr>
          <w:rStyle w:val="Refdenotaalpie"/>
        </w:rPr>
        <w:footnoteRef/>
      </w:r>
      <w:r>
        <w:t xml:space="preserve"> </w:t>
      </w:r>
      <w:r w:rsidRPr="00EA3CF1">
        <w:t>Ver, archivo con certificado</w:t>
      </w:r>
      <w:r>
        <w:t xml:space="preserve"> </w:t>
      </w:r>
      <w:r w:rsidRPr="00EA3CF1">
        <w:t>348561E231141231 4739DBD582A7E6F1 AA59C9F4AFA86551 0A954708CAC6461F</w:t>
      </w:r>
      <w:r>
        <w:t>.</w:t>
      </w:r>
    </w:p>
  </w:footnote>
  <w:footnote w:id="5">
    <w:p w14:paraId="2389539B" w14:textId="4A993996" w:rsidR="00EA3CF1" w:rsidRPr="00EA3CF1" w:rsidRDefault="00EA3CF1">
      <w:pPr>
        <w:pStyle w:val="Textonotapie"/>
      </w:pPr>
      <w:r>
        <w:rPr>
          <w:rStyle w:val="Refdenotaalpie"/>
        </w:rPr>
        <w:footnoteRef/>
      </w:r>
      <w:r>
        <w:t xml:space="preserve"> </w:t>
      </w:r>
      <w:r w:rsidRPr="00EA3CF1">
        <w:t>Ver, a</w:t>
      </w:r>
      <w:r>
        <w:t xml:space="preserve">rchivo con certificado </w:t>
      </w:r>
      <w:r w:rsidRPr="00EA3CF1">
        <w:t>C42DF2869677E63A 9D0A759BFA76E709 9114E2358BFD271F 85FDE8A8F057680C</w:t>
      </w:r>
      <w:r>
        <w:t>.</w:t>
      </w:r>
    </w:p>
  </w:footnote>
  <w:footnote w:id="6">
    <w:p w14:paraId="1CD4280B" w14:textId="7FBA07B0" w:rsidR="00B9611F" w:rsidRPr="00B9611F" w:rsidRDefault="00B9611F">
      <w:pPr>
        <w:pStyle w:val="Textonotapie"/>
      </w:pPr>
      <w:r>
        <w:rPr>
          <w:rStyle w:val="Refdenotaalpie"/>
        </w:rPr>
        <w:footnoteRef/>
      </w:r>
      <w:r>
        <w:t xml:space="preserve"> Ver, archivo con certificado </w:t>
      </w:r>
      <w:r w:rsidRPr="00B9611F">
        <w:t>C4D9F838F8F110FF D8B3EB2E4C50BB3C AF477D76F10875FF 36E4DD7AA4726F88</w:t>
      </w:r>
      <w:r>
        <w:t>.</w:t>
      </w:r>
    </w:p>
  </w:footnote>
  <w:footnote w:id="7">
    <w:p w14:paraId="7D557BB8" w14:textId="77777777" w:rsidR="00B9611F" w:rsidRPr="000647CF" w:rsidRDefault="00B9611F" w:rsidP="00B9611F">
      <w:pPr>
        <w:pStyle w:val="Textonotapie"/>
      </w:pPr>
      <w:r>
        <w:rPr>
          <w:rStyle w:val="Refdenotaalpie"/>
        </w:rPr>
        <w:footnoteRef/>
      </w:r>
      <w:r>
        <w:t xml:space="preserve"> </w:t>
      </w:r>
      <w:r w:rsidRPr="000647CF">
        <w:t>Ver, a</w:t>
      </w:r>
      <w:r>
        <w:t xml:space="preserve">rchivo con certificado </w:t>
      </w:r>
      <w:r w:rsidRPr="000647CF">
        <w:t>817605E0FBCDA00D 01FFCD721DE67D3E 491D6AB3B37976BF 337128A9494A2F50</w:t>
      </w:r>
      <w:r>
        <w:t>.</w:t>
      </w:r>
    </w:p>
  </w:footnote>
  <w:footnote w:id="8">
    <w:p w14:paraId="15CBE8DB" w14:textId="002475FF" w:rsidR="00291B9C" w:rsidRPr="00291B9C" w:rsidRDefault="00291B9C">
      <w:pPr>
        <w:pStyle w:val="Textonotapie"/>
      </w:pPr>
      <w:r>
        <w:rPr>
          <w:rStyle w:val="Refdenotaalpie"/>
        </w:rPr>
        <w:footnoteRef/>
      </w:r>
      <w:r>
        <w:t xml:space="preserve"> </w:t>
      </w:r>
      <w:r w:rsidRPr="00291B9C">
        <w:t>Ver, archivo con certificado 518CCCB6E2F7FFF7 5C3AE16C228993F2 FB2A3A5606C391A9 0B1067B120376CF2</w:t>
      </w:r>
      <w:r>
        <w:t>.</w:t>
      </w:r>
    </w:p>
  </w:footnote>
  <w:footnote w:id="9">
    <w:p w14:paraId="7DF78009" w14:textId="77777777" w:rsidR="00FD7956" w:rsidRDefault="00FD7956" w:rsidP="00FD7956">
      <w:pPr>
        <w:pStyle w:val="Textonotapie"/>
        <w:rPr>
          <w:szCs w:val="16"/>
          <w:lang w:val="es-ES"/>
        </w:rPr>
      </w:pPr>
      <w:r>
        <w:rPr>
          <w:rStyle w:val="Refdenotaalpie"/>
          <w:szCs w:val="16"/>
        </w:rPr>
        <w:footnoteRef/>
      </w:r>
      <w:r>
        <w:rPr>
          <w:szCs w:val="16"/>
        </w:rPr>
        <w:t xml:space="preserve"> En virtud del cual son competentes, </w:t>
      </w:r>
      <w:r>
        <w:rPr>
          <w:i/>
          <w:iCs/>
          <w:szCs w:val="16"/>
        </w:rPr>
        <w:t>a prevención</w:t>
      </w:r>
      <w:r>
        <w:rPr>
          <w:szCs w:val="16"/>
        </w:rPr>
        <w:t>,</w:t>
      </w:r>
      <w:r>
        <w:rPr>
          <w:b/>
          <w:bCs/>
          <w:i/>
          <w:iCs/>
          <w:szCs w:val="16"/>
        </w:rPr>
        <w:t> </w:t>
      </w:r>
      <w:r>
        <w:rPr>
          <w:szCs w:val="16"/>
        </w:rPr>
        <w:t xml:space="preserve">los jueces con jurisdicción en el lugar donde </w:t>
      </w:r>
      <w:r>
        <w:rPr>
          <w:bCs/>
          <w:iCs/>
          <w:szCs w:val="16"/>
        </w:rPr>
        <w:t>(a)</w:t>
      </w:r>
      <w:r>
        <w:rPr>
          <w:szCs w:val="16"/>
        </w:rPr>
        <w:t xml:space="preserve"> ocurre la vulneración o la amenaza que motiva la presentación de la solicitud, o </w:t>
      </w:r>
      <w:r>
        <w:rPr>
          <w:bCs/>
          <w:iCs/>
          <w:szCs w:val="16"/>
        </w:rPr>
        <w:t>(b)</w:t>
      </w:r>
      <w:r>
        <w:rPr>
          <w:szCs w:val="16"/>
        </w:rPr>
        <w:t xml:space="preserve"> donde se produzcan sus efectos (</w:t>
      </w:r>
      <w:proofErr w:type="spellStart"/>
      <w:r>
        <w:rPr>
          <w:szCs w:val="16"/>
          <w:lang w:val="es-ES"/>
        </w:rPr>
        <w:t>Ibid</w:t>
      </w:r>
      <w:proofErr w:type="spellEnd"/>
      <w:r>
        <w:rPr>
          <w:szCs w:val="16"/>
          <w:lang w:val="es-ES"/>
        </w:rPr>
        <w:t>).</w:t>
      </w:r>
    </w:p>
  </w:footnote>
  <w:footnote w:id="10">
    <w:p w14:paraId="1AF7D5CE" w14:textId="7E93ED70" w:rsidR="00FD7956" w:rsidRDefault="00FD7956" w:rsidP="00FD7956">
      <w:pPr>
        <w:pStyle w:val="Textonotapie"/>
      </w:pPr>
      <w:r>
        <w:rPr>
          <w:rStyle w:val="Refdenotaalpie"/>
        </w:rPr>
        <w:footnoteRef/>
      </w:r>
      <w:r>
        <w:t xml:space="preserve"> Que corresponde al caso de las acciones de tutela </w:t>
      </w:r>
      <w:r w:rsidR="00DE4D63">
        <w:t>instauradas</w:t>
      </w:r>
      <w:r>
        <w:t xml:space="preserve"> en contra de (a) los medios de comunicación, cuyo conocimiento fue asignado a los jueces del circuito, y (b) las autoridades de la Jurisdicción Especial para la Paz</w:t>
      </w:r>
      <w:r w:rsidR="00DE4D63">
        <w:t xml:space="preserve"> (JEP)</w:t>
      </w:r>
      <w:r>
        <w:t>, cuya resolución corresponde al Tribunal para la Paz.</w:t>
      </w:r>
    </w:p>
  </w:footnote>
  <w:footnote w:id="11">
    <w:p w14:paraId="30D1EF1E" w14:textId="64D15D7A" w:rsidR="00FD7956" w:rsidRDefault="00FD7956" w:rsidP="00FD7956">
      <w:pPr>
        <w:pStyle w:val="Textonotapie"/>
        <w:rPr>
          <w:szCs w:val="16"/>
          <w:lang w:val="es-ES"/>
        </w:rPr>
      </w:pPr>
      <w:r>
        <w:rPr>
          <w:rStyle w:val="Refdenotaalpie"/>
          <w:szCs w:val="16"/>
        </w:rPr>
        <w:footnoteRef/>
      </w:r>
      <w:r>
        <w:rPr>
          <w:szCs w:val="16"/>
        </w:rPr>
        <w:t xml:space="preserve"> Que debe ser verificado por las autoridades judiciales al momento de asumir el conocimiento de la impugnación de una acción de tutela, que implica que únicamente pueden conocer de ella las autoridades judiciales que tengan la condición de “superior jerárquico correspondiente</w:t>
      </w:r>
      <w:r w:rsidR="00DE4D63">
        <w:rPr>
          <w:szCs w:val="16"/>
        </w:rPr>
        <w:t xml:space="preserve">”. Ver, </w:t>
      </w:r>
      <w:r>
        <w:rPr>
          <w:szCs w:val="16"/>
          <w:lang w:val="es-ES"/>
        </w:rPr>
        <w:t>Corte Constitucional, Autos A-486 y A-496 de 2017.</w:t>
      </w:r>
    </w:p>
  </w:footnote>
  <w:footnote w:id="12">
    <w:p w14:paraId="00CF1CFB" w14:textId="77777777" w:rsidR="00FD7956" w:rsidRDefault="00FD7956" w:rsidP="00FD7956">
      <w:pPr>
        <w:pStyle w:val="Textonotapie"/>
        <w:rPr>
          <w:szCs w:val="16"/>
          <w:lang w:val="es-ES_tradnl"/>
        </w:rPr>
      </w:pPr>
      <w:r>
        <w:rPr>
          <w:rStyle w:val="Refdenotaalpie"/>
          <w:szCs w:val="16"/>
        </w:rPr>
        <w:footnoteRef/>
      </w:r>
      <w:r>
        <w:rPr>
          <w:szCs w:val="16"/>
        </w:rPr>
        <w:t xml:space="preserve"> Corte Constitucional. Auto A-124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2250" w14:textId="77777777" w:rsidR="00230314" w:rsidRPr="00A15ACE" w:rsidRDefault="00D6034F" w:rsidP="00F103BB">
    <w:pPr>
      <w:pStyle w:val="Encabezado"/>
      <w:tabs>
        <w:tab w:val="clear" w:pos="4252"/>
        <w:tab w:val="clear" w:pos="8504"/>
      </w:tabs>
    </w:pPr>
    <w:r>
      <w:rPr>
        <w:noProof/>
        <w:lang w:eastAsia="es-CO"/>
      </w:rPr>
      <w:drawing>
        <wp:anchor distT="0" distB="0" distL="114300" distR="114300" simplePos="0" relativeHeight="251660288" behindDoc="0" locked="0" layoutInCell="1" allowOverlap="1" wp14:anchorId="51E4E199" wp14:editId="54AF817F">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D3912" w14:textId="77777777" w:rsidR="00230314" w:rsidRPr="00A15ACE" w:rsidRDefault="00690093" w:rsidP="00F103BB">
    <w:pPr>
      <w:pStyle w:val="Encabezado"/>
      <w:tabs>
        <w:tab w:val="clear" w:pos="4252"/>
        <w:tab w:val="clear" w:pos="8504"/>
      </w:tabs>
    </w:pPr>
  </w:p>
  <w:p w14:paraId="2EF3317F" w14:textId="77777777" w:rsidR="00230314" w:rsidRPr="00A15ACE" w:rsidRDefault="00D6034F" w:rsidP="00F103BB">
    <w:pPr>
      <w:pStyle w:val="Encabezado"/>
      <w:tabs>
        <w:tab w:val="clear" w:pos="4252"/>
        <w:tab w:val="clear" w:pos="8504"/>
      </w:tabs>
    </w:pPr>
    <w:r w:rsidRPr="0070023E">
      <w:rPr>
        <w:noProof/>
        <w:sz w:val="20"/>
        <w:szCs w:val="20"/>
        <w:lang w:eastAsia="es-CO"/>
      </w:rPr>
      <mc:AlternateContent>
        <mc:Choice Requires="wps">
          <w:drawing>
            <wp:anchor distT="0" distB="0" distL="114300" distR="114300" simplePos="0" relativeHeight="251659264" behindDoc="0" locked="0" layoutInCell="1" allowOverlap="1" wp14:anchorId="6C07D9F3" wp14:editId="04411FF0">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B05D89"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2BE9354" w14:textId="0A37747D" w:rsidR="00230314" w:rsidRPr="00F532EA" w:rsidRDefault="00D6034F" w:rsidP="00F103BB">
    <w:pPr>
      <w:pStyle w:val="Encabezado"/>
      <w:tabs>
        <w:tab w:val="clear" w:pos="4252"/>
        <w:tab w:val="clear" w:pos="8504"/>
      </w:tabs>
      <w:jc w:val="right"/>
      <w:rPr>
        <w:color w:val="767171"/>
        <w:sz w:val="20"/>
        <w:szCs w:val="20"/>
      </w:rPr>
    </w:pPr>
    <w:r w:rsidRPr="00F532EA">
      <w:rPr>
        <w:color w:val="767171"/>
        <w:sz w:val="20"/>
        <w:szCs w:val="20"/>
      </w:rPr>
      <w:t xml:space="preserve">Radicado: </w:t>
    </w:r>
    <w:r w:rsidRPr="00D51BDE">
      <w:rPr>
        <w:color w:val="767171"/>
        <w:sz w:val="20"/>
        <w:szCs w:val="20"/>
      </w:rPr>
      <w:t>11001-03-15-000-2021-0</w:t>
    </w:r>
    <w:r w:rsidR="00A14685">
      <w:rPr>
        <w:color w:val="767171"/>
        <w:sz w:val="20"/>
        <w:szCs w:val="20"/>
      </w:rPr>
      <w:t>2339</w:t>
    </w:r>
    <w:r w:rsidRPr="00D51BDE">
      <w:rPr>
        <w:color w:val="767171"/>
        <w:sz w:val="20"/>
        <w:szCs w:val="20"/>
      </w:rPr>
      <w:t>-00</w:t>
    </w:r>
  </w:p>
  <w:p w14:paraId="2426CE37" w14:textId="1B605A26" w:rsidR="00230314" w:rsidRPr="00F532EA" w:rsidRDefault="00D6034F" w:rsidP="00F103BB">
    <w:pPr>
      <w:pStyle w:val="Encabezado"/>
      <w:tabs>
        <w:tab w:val="clear" w:pos="4252"/>
        <w:tab w:val="clear" w:pos="8504"/>
      </w:tabs>
      <w:jc w:val="right"/>
      <w:rPr>
        <w:color w:val="767171"/>
        <w:sz w:val="20"/>
        <w:szCs w:val="20"/>
      </w:rPr>
    </w:pPr>
    <w:r>
      <w:rPr>
        <w:color w:val="767171"/>
        <w:sz w:val="20"/>
        <w:szCs w:val="20"/>
      </w:rPr>
      <w:t>Accion</w:t>
    </w:r>
    <w:r w:rsidRPr="00F532EA">
      <w:rPr>
        <w:color w:val="767171"/>
        <w:sz w:val="20"/>
        <w:szCs w:val="20"/>
      </w:rPr>
      <w:t>ante</w:t>
    </w:r>
    <w:r>
      <w:rPr>
        <w:color w:val="767171"/>
        <w:sz w:val="20"/>
        <w:szCs w:val="20"/>
      </w:rPr>
      <w:t xml:space="preserve">: </w:t>
    </w:r>
    <w:r w:rsidR="00A14685">
      <w:rPr>
        <w:color w:val="767171"/>
        <w:sz w:val="20"/>
        <w:szCs w:val="20"/>
      </w:rPr>
      <w:t>Luis Eduardo Azcárate Alarcón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BC39" w14:textId="77777777" w:rsidR="00230314" w:rsidRPr="00A15ACE" w:rsidRDefault="00D6034F" w:rsidP="0005341C">
    <w:pPr>
      <w:pStyle w:val="Encabezado"/>
      <w:tabs>
        <w:tab w:val="clear" w:pos="4252"/>
        <w:tab w:val="clear" w:pos="8504"/>
      </w:tabs>
    </w:pPr>
    <w:r>
      <w:rPr>
        <w:noProof/>
        <w:lang w:eastAsia="es-CO"/>
      </w:rPr>
      <w:drawing>
        <wp:anchor distT="0" distB="0" distL="114300" distR="114300" simplePos="0" relativeHeight="251661312" behindDoc="0" locked="0" layoutInCell="1" allowOverlap="1" wp14:anchorId="5172F9F3" wp14:editId="42EBCF38">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1D243" w14:textId="77777777" w:rsidR="00230314" w:rsidRPr="00A15ACE" w:rsidRDefault="00690093" w:rsidP="0005341C">
    <w:pPr>
      <w:pStyle w:val="Encabezado"/>
      <w:tabs>
        <w:tab w:val="clear" w:pos="4252"/>
        <w:tab w:val="clear" w:pos="8504"/>
      </w:tabs>
      <w:rPr>
        <w:color w:val="767171"/>
      </w:rPr>
    </w:pPr>
  </w:p>
  <w:p w14:paraId="169C426A" w14:textId="77777777" w:rsidR="00230314" w:rsidRPr="007F276C" w:rsidRDefault="00D6034F" w:rsidP="0005341C">
    <w:pPr>
      <w:pStyle w:val="Sinespaciado"/>
    </w:pPr>
    <w:r w:rsidRPr="007F276C">
      <w:t>CONSEJO DE ESTADO</w:t>
    </w:r>
  </w:p>
  <w:p w14:paraId="03AC8978" w14:textId="77777777" w:rsidR="00230314" w:rsidRPr="007F276C" w:rsidRDefault="00D6034F" w:rsidP="0005341C">
    <w:pPr>
      <w:pStyle w:val="Sinespaciado"/>
    </w:pPr>
    <w:r w:rsidRPr="007F276C">
      <w:t>SALA DE LO CONTENCIOSO ADMINISTRATIVO</w:t>
    </w:r>
  </w:p>
  <w:p w14:paraId="0D227379" w14:textId="77777777" w:rsidR="00230314" w:rsidRPr="007F276C" w:rsidRDefault="00D6034F" w:rsidP="0005341C">
    <w:pPr>
      <w:pStyle w:val="Sinespaciado"/>
    </w:pPr>
    <w:r w:rsidRPr="007F276C">
      <w:t>SECCIÓN TERCERA – SUBSECCIÓN C</w:t>
    </w:r>
  </w:p>
  <w:p w14:paraId="7DB4A93E" w14:textId="77777777" w:rsidR="00230314" w:rsidRDefault="00690093" w:rsidP="0005341C">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multilevel"/>
    <w:tmpl w:val="0F963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C20A76"/>
    <w:multiLevelType w:val="multilevel"/>
    <w:tmpl w:val="D72EBA8C"/>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8B4FE0"/>
    <w:multiLevelType w:val="hybridMultilevel"/>
    <w:tmpl w:val="3B20A930"/>
    <w:lvl w:ilvl="0" w:tplc="6BE6CF0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74F73"/>
    <w:multiLevelType w:val="hybridMultilevel"/>
    <w:tmpl w:val="2724DEBC"/>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28531FF"/>
    <w:multiLevelType w:val="hybridMultilevel"/>
    <w:tmpl w:val="9E4C613A"/>
    <w:lvl w:ilvl="0" w:tplc="4D680300">
      <w:start w:val="1"/>
      <w:numFmt w:val="ordinalText"/>
      <w:lvlText w:val="%1."/>
      <w:lvlJc w:val="left"/>
      <w:pPr>
        <w:ind w:left="720" w:hanging="360"/>
      </w:pPr>
      <w:rPr>
        <w:rFonts w:ascii="Arial" w:hAnsi="Arial" w:hint="default"/>
        <w:b/>
        <w:i w:val="0"/>
        <w:cap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F57DC"/>
    <w:multiLevelType w:val="hybridMultilevel"/>
    <w:tmpl w:val="B0509AC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7B"/>
    <w:rsid w:val="00003F61"/>
    <w:rsid w:val="000105CD"/>
    <w:rsid w:val="000311E2"/>
    <w:rsid w:val="000314AC"/>
    <w:rsid w:val="00045130"/>
    <w:rsid w:val="000647CF"/>
    <w:rsid w:val="00077BF8"/>
    <w:rsid w:val="00095748"/>
    <w:rsid w:val="000A016E"/>
    <w:rsid w:val="00100344"/>
    <w:rsid w:val="00110977"/>
    <w:rsid w:val="001928F5"/>
    <w:rsid w:val="001D2A82"/>
    <w:rsid w:val="001D73D7"/>
    <w:rsid w:val="001F0560"/>
    <w:rsid w:val="001F1E21"/>
    <w:rsid w:val="002358E0"/>
    <w:rsid w:val="00265961"/>
    <w:rsid w:val="00270595"/>
    <w:rsid w:val="00275DD6"/>
    <w:rsid w:val="00291B9C"/>
    <w:rsid w:val="002A077F"/>
    <w:rsid w:val="002A3276"/>
    <w:rsid w:val="002A7CFD"/>
    <w:rsid w:val="002B7DEC"/>
    <w:rsid w:val="002F39F7"/>
    <w:rsid w:val="0033677A"/>
    <w:rsid w:val="00355644"/>
    <w:rsid w:val="00372012"/>
    <w:rsid w:val="00386743"/>
    <w:rsid w:val="0039769A"/>
    <w:rsid w:val="00397813"/>
    <w:rsid w:val="003A317D"/>
    <w:rsid w:val="003A3561"/>
    <w:rsid w:val="003D1057"/>
    <w:rsid w:val="003E64A2"/>
    <w:rsid w:val="004025A8"/>
    <w:rsid w:val="00410BF2"/>
    <w:rsid w:val="00455D23"/>
    <w:rsid w:val="00476C51"/>
    <w:rsid w:val="004A289A"/>
    <w:rsid w:val="004A6D93"/>
    <w:rsid w:val="004C3E03"/>
    <w:rsid w:val="004D0965"/>
    <w:rsid w:val="004D2E41"/>
    <w:rsid w:val="004D494C"/>
    <w:rsid w:val="004F07A7"/>
    <w:rsid w:val="004F10A3"/>
    <w:rsid w:val="0051022A"/>
    <w:rsid w:val="00552E02"/>
    <w:rsid w:val="005923DF"/>
    <w:rsid w:val="005A6DCA"/>
    <w:rsid w:val="005D1FCA"/>
    <w:rsid w:val="005F1A0D"/>
    <w:rsid w:val="005F6224"/>
    <w:rsid w:val="0060241E"/>
    <w:rsid w:val="00614648"/>
    <w:rsid w:val="0061704F"/>
    <w:rsid w:val="006363DB"/>
    <w:rsid w:val="00661550"/>
    <w:rsid w:val="00687FA5"/>
    <w:rsid w:val="00690093"/>
    <w:rsid w:val="00695712"/>
    <w:rsid w:val="00696653"/>
    <w:rsid w:val="006A41F8"/>
    <w:rsid w:val="006B7A54"/>
    <w:rsid w:val="006C006A"/>
    <w:rsid w:val="00725523"/>
    <w:rsid w:val="007510DE"/>
    <w:rsid w:val="007C4A94"/>
    <w:rsid w:val="007E599B"/>
    <w:rsid w:val="00813842"/>
    <w:rsid w:val="00830639"/>
    <w:rsid w:val="00890363"/>
    <w:rsid w:val="008B661A"/>
    <w:rsid w:val="008D2E85"/>
    <w:rsid w:val="008E2125"/>
    <w:rsid w:val="008F651A"/>
    <w:rsid w:val="00910117"/>
    <w:rsid w:val="00923779"/>
    <w:rsid w:val="00936AA2"/>
    <w:rsid w:val="009705A1"/>
    <w:rsid w:val="009B4D0C"/>
    <w:rsid w:val="00A14685"/>
    <w:rsid w:val="00A159B2"/>
    <w:rsid w:val="00A24798"/>
    <w:rsid w:val="00A3676A"/>
    <w:rsid w:val="00A4311C"/>
    <w:rsid w:val="00A5456C"/>
    <w:rsid w:val="00A72813"/>
    <w:rsid w:val="00A87B85"/>
    <w:rsid w:val="00AC79EA"/>
    <w:rsid w:val="00AD2300"/>
    <w:rsid w:val="00AD797B"/>
    <w:rsid w:val="00AE0E6E"/>
    <w:rsid w:val="00AE29AD"/>
    <w:rsid w:val="00B32683"/>
    <w:rsid w:val="00B40C4D"/>
    <w:rsid w:val="00B42B97"/>
    <w:rsid w:val="00B47E9D"/>
    <w:rsid w:val="00B5241B"/>
    <w:rsid w:val="00B60E2D"/>
    <w:rsid w:val="00B9120B"/>
    <w:rsid w:val="00B9611F"/>
    <w:rsid w:val="00BB00CB"/>
    <w:rsid w:val="00BF1B83"/>
    <w:rsid w:val="00C0104C"/>
    <w:rsid w:val="00C074B4"/>
    <w:rsid w:val="00C52747"/>
    <w:rsid w:val="00C57C29"/>
    <w:rsid w:val="00C63216"/>
    <w:rsid w:val="00C77AA8"/>
    <w:rsid w:val="00C843F0"/>
    <w:rsid w:val="00C86034"/>
    <w:rsid w:val="00CD5025"/>
    <w:rsid w:val="00CF5764"/>
    <w:rsid w:val="00D03285"/>
    <w:rsid w:val="00D26FE9"/>
    <w:rsid w:val="00D6034F"/>
    <w:rsid w:val="00D761A5"/>
    <w:rsid w:val="00D77B62"/>
    <w:rsid w:val="00DB76CC"/>
    <w:rsid w:val="00DB7CAF"/>
    <w:rsid w:val="00DE4D63"/>
    <w:rsid w:val="00DE6422"/>
    <w:rsid w:val="00DF7299"/>
    <w:rsid w:val="00E01094"/>
    <w:rsid w:val="00E16203"/>
    <w:rsid w:val="00E270FF"/>
    <w:rsid w:val="00E32E56"/>
    <w:rsid w:val="00E74363"/>
    <w:rsid w:val="00E812A1"/>
    <w:rsid w:val="00E83C95"/>
    <w:rsid w:val="00EA3CF1"/>
    <w:rsid w:val="00EB15B4"/>
    <w:rsid w:val="00EF07FF"/>
    <w:rsid w:val="00F265F1"/>
    <w:rsid w:val="00F47F12"/>
    <w:rsid w:val="00F50278"/>
    <w:rsid w:val="00F622E8"/>
    <w:rsid w:val="00F64AC2"/>
    <w:rsid w:val="00F66B69"/>
    <w:rsid w:val="00F97CD0"/>
    <w:rsid w:val="00FC731A"/>
    <w:rsid w:val="00FD79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972D"/>
  <w15:chartTrackingRefBased/>
  <w15:docId w15:val="{5D2AF896-AD3D-4AF1-AF23-E00B9F13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7B"/>
    <w:pPr>
      <w:spacing w:after="0" w:line="240" w:lineRule="auto"/>
      <w:jc w:val="both"/>
    </w:pPr>
    <w:rPr>
      <w:rFonts w:ascii="Arial" w:eastAsia="Calibri" w:hAnsi="Arial" w:cs="Arial"/>
      <w:sz w:val="16"/>
      <w:szCs w:val="16"/>
      <w:lang w:eastAsia="es-ES_tradnl"/>
    </w:rPr>
  </w:style>
  <w:style w:type="paragraph" w:styleId="Ttulo1">
    <w:name w:val="heading 1"/>
    <w:basedOn w:val="Normal"/>
    <w:next w:val="Normal"/>
    <w:link w:val="Ttulo1Car"/>
    <w:uiPriority w:val="9"/>
    <w:qFormat/>
    <w:rsid w:val="00AD797B"/>
    <w:pPr>
      <w:keepNext/>
      <w:numPr>
        <w:numId w:val="3"/>
      </w:numPr>
      <w:spacing w:before="480" w:after="480" w:line="276" w:lineRule="auto"/>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AD797B"/>
    <w:pPr>
      <w:keepNext/>
      <w:numPr>
        <w:numId w:val="4"/>
      </w:numPr>
      <w:spacing w:before="360" w:after="180"/>
      <w:ind w:left="360"/>
      <w:jc w:val="left"/>
      <w:outlineLvl w:val="1"/>
    </w:pPr>
    <w:rPr>
      <w:rFonts w:eastAsia="Times New Roman" w:cs="Times New Roman"/>
      <w:b/>
      <w:bCs/>
      <w:i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797B"/>
    <w:rPr>
      <w:rFonts w:ascii="Arial" w:eastAsia="Times New Roman" w:hAnsi="Arial" w:cs="Times New Roman"/>
      <w:b/>
      <w:bCs/>
      <w:caps/>
      <w:kern w:val="32"/>
      <w:sz w:val="24"/>
      <w:szCs w:val="32"/>
      <w:lang w:eastAsia="es-ES_tradnl"/>
    </w:rPr>
  </w:style>
  <w:style w:type="character" w:customStyle="1" w:styleId="Ttulo2Car">
    <w:name w:val="Título 2 Car"/>
    <w:basedOn w:val="Fuentedeprrafopredeter"/>
    <w:link w:val="Ttulo2"/>
    <w:uiPriority w:val="9"/>
    <w:rsid w:val="00AD797B"/>
    <w:rPr>
      <w:rFonts w:ascii="Arial" w:eastAsia="Times New Roman" w:hAnsi="Arial" w:cs="Times New Roman"/>
      <w:b/>
      <w:bCs/>
      <w:iCs/>
      <w:sz w:val="24"/>
      <w:szCs w:val="28"/>
      <w:lang w:eastAsia="es-ES_tradnl"/>
    </w:rPr>
  </w:style>
  <w:style w:type="paragraph" w:styleId="Encabezado">
    <w:name w:val="header"/>
    <w:basedOn w:val="Normal"/>
    <w:link w:val="EncabezadoCar"/>
    <w:uiPriority w:val="99"/>
    <w:unhideWhenUsed/>
    <w:rsid w:val="00AD797B"/>
    <w:pPr>
      <w:tabs>
        <w:tab w:val="center" w:pos="4252"/>
        <w:tab w:val="right" w:pos="8504"/>
      </w:tabs>
    </w:pPr>
  </w:style>
  <w:style w:type="character" w:customStyle="1" w:styleId="EncabezadoCar">
    <w:name w:val="Encabezado Car"/>
    <w:basedOn w:val="Fuentedeprrafopredeter"/>
    <w:link w:val="Encabezado"/>
    <w:uiPriority w:val="99"/>
    <w:rsid w:val="00AD797B"/>
    <w:rPr>
      <w:rFonts w:ascii="Arial" w:eastAsia="Calibri" w:hAnsi="Arial" w:cs="Arial"/>
      <w:sz w:val="16"/>
      <w:szCs w:val="16"/>
      <w:lang w:eastAsia="es-ES_tradnl"/>
    </w:rPr>
  </w:style>
  <w:style w:type="paragraph" w:styleId="Piedepgina">
    <w:name w:val="footer"/>
    <w:basedOn w:val="Normal"/>
    <w:link w:val="PiedepginaCar"/>
    <w:uiPriority w:val="99"/>
    <w:unhideWhenUsed/>
    <w:rsid w:val="00AD797B"/>
    <w:pPr>
      <w:tabs>
        <w:tab w:val="center" w:pos="4252"/>
        <w:tab w:val="right" w:pos="8504"/>
      </w:tabs>
    </w:pPr>
  </w:style>
  <w:style w:type="character" w:customStyle="1" w:styleId="PiedepginaCar">
    <w:name w:val="Pie de página Car"/>
    <w:basedOn w:val="Fuentedeprrafopredeter"/>
    <w:link w:val="Piedepgina"/>
    <w:uiPriority w:val="99"/>
    <w:rsid w:val="00AD797B"/>
    <w:rPr>
      <w:rFonts w:ascii="Arial" w:eastAsia="Calibri" w:hAnsi="Arial" w:cs="Arial"/>
      <w:sz w:val="16"/>
      <w:szCs w:val="16"/>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AD797B"/>
    <w:rPr>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AD797B"/>
    <w:rPr>
      <w:rFonts w:ascii="Arial" w:eastAsia="Calibri" w:hAnsi="Arial" w:cs="Arial"/>
      <w:sz w:val="16"/>
      <w:szCs w:val="20"/>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AD79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D797B"/>
    <w:rPr>
      <w:rFonts w:asciiTheme="minorHAnsi" w:eastAsiaTheme="minorHAnsi" w:hAnsiTheme="minorHAnsi" w:cstheme="minorBidi"/>
      <w:sz w:val="22"/>
      <w:szCs w:val="22"/>
      <w:vertAlign w:val="superscript"/>
      <w:lang w:eastAsia="en-US"/>
    </w:rPr>
  </w:style>
  <w:style w:type="paragraph" w:styleId="Sinespaciado">
    <w:name w:val="No Spacing"/>
    <w:aliases w:val="Encabezado1"/>
    <w:link w:val="SinespaciadoCar"/>
    <w:autoRedefine/>
    <w:uiPriority w:val="1"/>
    <w:qFormat/>
    <w:rsid w:val="00AD797B"/>
    <w:pPr>
      <w:spacing w:after="0" w:line="240" w:lineRule="auto"/>
      <w:jc w:val="center"/>
    </w:pPr>
    <w:rPr>
      <w:rFonts w:ascii="Arial" w:eastAsia="Calibri" w:hAnsi="Arial" w:cs="Arial"/>
      <w:b/>
      <w:caps/>
      <w:color w:val="000000"/>
      <w:sz w:val="24"/>
      <w:szCs w:val="16"/>
      <w:lang w:eastAsia="es-ES_tradnl"/>
    </w:rPr>
  </w:style>
  <w:style w:type="character" w:customStyle="1" w:styleId="SinespaciadoCar">
    <w:name w:val="Sin espaciado Car"/>
    <w:aliases w:val="Encabezado1 Car"/>
    <w:link w:val="Sinespaciado"/>
    <w:uiPriority w:val="1"/>
    <w:rsid w:val="00AD797B"/>
    <w:rPr>
      <w:rFonts w:ascii="Arial" w:eastAsia="Calibri" w:hAnsi="Arial" w:cs="Arial"/>
      <w:b/>
      <w:caps/>
      <w:color w:val="000000"/>
      <w:sz w:val="24"/>
      <w:szCs w:val="16"/>
      <w:lang w:eastAsia="es-ES_tradnl"/>
    </w:rPr>
  </w:style>
  <w:style w:type="character" w:styleId="Refdecomentario">
    <w:name w:val="annotation reference"/>
    <w:uiPriority w:val="99"/>
    <w:semiHidden/>
    <w:unhideWhenUsed/>
    <w:rsid w:val="00AD797B"/>
    <w:rPr>
      <w:sz w:val="16"/>
      <w:szCs w:val="16"/>
    </w:rPr>
  </w:style>
  <w:style w:type="paragraph" w:styleId="Textocomentario">
    <w:name w:val="annotation text"/>
    <w:basedOn w:val="Normal"/>
    <w:link w:val="TextocomentarioCar"/>
    <w:uiPriority w:val="99"/>
    <w:semiHidden/>
    <w:unhideWhenUsed/>
    <w:rsid w:val="00AD797B"/>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AD797B"/>
    <w:rPr>
      <w:rFonts w:ascii="Calibri" w:eastAsia="Calibri" w:hAnsi="Calibri" w:cs="Times New Roman"/>
      <w:sz w:val="20"/>
      <w:szCs w:val="20"/>
      <w:lang w:val="es-ES"/>
    </w:rPr>
  </w:style>
  <w:style w:type="paragraph" w:styleId="Prrafodelista">
    <w:name w:val="List Paragraph"/>
    <w:basedOn w:val="Normal"/>
    <w:link w:val="PrrafodelistaCar"/>
    <w:uiPriority w:val="34"/>
    <w:qFormat/>
    <w:rsid w:val="00AD797B"/>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AD797B"/>
    <w:rPr>
      <w:rFonts w:ascii="Times New Roman" w:hAnsi="Times New Roman" w:cs="Times New Roman"/>
      <w:sz w:val="24"/>
      <w:szCs w:val="24"/>
      <w:lang w:val="es-ES_tradnl" w:eastAsia="es-ES_tradnl"/>
    </w:rPr>
  </w:style>
  <w:style w:type="paragraph" w:styleId="Textoindependiente2">
    <w:name w:val="Body Text 2"/>
    <w:basedOn w:val="Normal"/>
    <w:link w:val="Textoindependiente2Car"/>
    <w:uiPriority w:val="99"/>
    <w:unhideWhenUsed/>
    <w:rsid w:val="00C074B4"/>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rsid w:val="00C074B4"/>
    <w:rPr>
      <w:rFonts w:ascii="Times New Roman" w:eastAsia="Times New Roman" w:hAnsi="Times New Roman" w:cs="Times New Roman"/>
      <w:sz w:val="24"/>
      <w:szCs w:val="24"/>
      <w:lang w:eastAsia="es-CO"/>
    </w:rPr>
  </w:style>
  <w:style w:type="paragraph" w:customStyle="1" w:styleId="normaljustificado">
    <w:name w:val="normaljustificado"/>
    <w:basedOn w:val="Normal"/>
    <w:rsid w:val="004A289A"/>
    <w:pPr>
      <w:spacing w:before="100" w:beforeAutospacing="1" w:after="100" w:afterAutospacing="1"/>
      <w:jc w:val="left"/>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A289A"/>
    <w:rPr>
      <w:color w:val="0000FF"/>
      <w:u w:val="single"/>
    </w:rPr>
  </w:style>
  <w:style w:type="character" w:customStyle="1" w:styleId="eop">
    <w:name w:val="eop"/>
    <w:rsid w:val="00DB76CC"/>
  </w:style>
  <w:style w:type="table" w:styleId="Tablaconcuadrcula">
    <w:name w:val="Table Grid"/>
    <w:basedOn w:val="Tablanormal"/>
    <w:uiPriority w:val="39"/>
    <w:rsid w:val="00D7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461">
      <w:bodyDiv w:val="1"/>
      <w:marLeft w:val="0"/>
      <w:marRight w:val="0"/>
      <w:marTop w:val="0"/>
      <w:marBottom w:val="0"/>
      <w:divBdr>
        <w:top w:val="none" w:sz="0" w:space="0" w:color="auto"/>
        <w:left w:val="none" w:sz="0" w:space="0" w:color="auto"/>
        <w:bottom w:val="none" w:sz="0" w:space="0" w:color="auto"/>
        <w:right w:val="none" w:sz="0" w:space="0" w:color="auto"/>
      </w:divBdr>
    </w:div>
    <w:div w:id="666977451">
      <w:bodyDiv w:val="1"/>
      <w:marLeft w:val="0"/>
      <w:marRight w:val="0"/>
      <w:marTop w:val="0"/>
      <w:marBottom w:val="0"/>
      <w:divBdr>
        <w:top w:val="none" w:sz="0" w:space="0" w:color="auto"/>
        <w:left w:val="none" w:sz="0" w:space="0" w:color="auto"/>
        <w:bottom w:val="none" w:sz="0" w:space="0" w:color="auto"/>
        <w:right w:val="none" w:sz="0" w:space="0" w:color="auto"/>
      </w:divBdr>
    </w:div>
    <w:div w:id="912354461">
      <w:bodyDiv w:val="1"/>
      <w:marLeft w:val="0"/>
      <w:marRight w:val="0"/>
      <w:marTop w:val="0"/>
      <w:marBottom w:val="0"/>
      <w:divBdr>
        <w:top w:val="none" w:sz="0" w:space="0" w:color="auto"/>
        <w:left w:val="none" w:sz="0" w:space="0" w:color="auto"/>
        <w:bottom w:val="none" w:sz="0" w:space="0" w:color="auto"/>
        <w:right w:val="none" w:sz="0" w:space="0" w:color="auto"/>
      </w:divBdr>
    </w:div>
    <w:div w:id="923029165">
      <w:bodyDiv w:val="1"/>
      <w:marLeft w:val="0"/>
      <w:marRight w:val="0"/>
      <w:marTop w:val="0"/>
      <w:marBottom w:val="0"/>
      <w:divBdr>
        <w:top w:val="none" w:sz="0" w:space="0" w:color="auto"/>
        <w:left w:val="none" w:sz="0" w:space="0" w:color="auto"/>
        <w:bottom w:val="none" w:sz="0" w:space="0" w:color="auto"/>
        <w:right w:val="none" w:sz="0" w:space="0" w:color="auto"/>
      </w:divBdr>
    </w:div>
    <w:div w:id="1046684392">
      <w:bodyDiv w:val="1"/>
      <w:marLeft w:val="0"/>
      <w:marRight w:val="0"/>
      <w:marTop w:val="0"/>
      <w:marBottom w:val="0"/>
      <w:divBdr>
        <w:top w:val="none" w:sz="0" w:space="0" w:color="auto"/>
        <w:left w:val="none" w:sz="0" w:space="0" w:color="auto"/>
        <w:bottom w:val="none" w:sz="0" w:space="0" w:color="auto"/>
        <w:right w:val="none" w:sz="0" w:space="0" w:color="auto"/>
      </w:divBdr>
    </w:div>
    <w:div w:id="12516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1723-68AB-421A-A8BC-869FE8FF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Jaimes Valencia</dc:creator>
  <cp:keywords/>
  <dc:description/>
  <cp:lastModifiedBy>jaime rodríguez</cp:lastModifiedBy>
  <cp:revision>2</cp:revision>
  <dcterms:created xsi:type="dcterms:W3CDTF">2021-05-12T13:11:00Z</dcterms:created>
  <dcterms:modified xsi:type="dcterms:W3CDTF">2021-05-12T13:11:00Z</dcterms:modified>
</cp:coreProperties>
</file>