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0F04" w14:textId="77777777" w:rsidR="004D6E95" w:rsidRPr="0028514A" w:rsidRDefault="004D6E95" w:rsidP="004D6E95">
      <w:pPr>
        <w:pStyle w:val="Ttulo1"/>
        <w:spacing w:line="276" w:lineRule="auto"/>
        <w:rPr>
          <w:rFonts w:ascii="Arial" w:hAnsi="Arial" w:cs="Arial"/>
          <w:sz w:val="24"/>
          <w:szCs w:val="24"/>
          <w:lang w:eastAsia="es-ES"/>
        </w:rPr>
      </w:pPr>
      <w:r w:rsidRPr="0028514A">
        <w:rPr>
          <w:rFonts w:ascii="Arial" w:hAnsi="Arial" w:cs="Arial"/>
          <w:noProof/>
          <w:sz w:val="24"/>
          <w:szCs w:val="24"/>
          <w:lang w:val="es-ES" w:eastAsia="es-ES"/>
        </w:rPr>
        <w:drawing>
          <wp:anchor distT="0" distB="0" distL="114300" distR="114300" simplePos="0" relativeHeight="251659264" behindDoc="0" locked="0" layoutInCell="1" allowOverlap="1" wp14:anchorId="5044AAEC" wp14:editId="755E1239">
            <wp:simplePos x="0" y="0"/>
            <wp:positionH relativeFrom="column">
              <wp:posOffset>-51319</wp:posOffset>
            </wp:positionH>
            <wp:positionV relativeFrom="paragraph">
              <wp:posOffset>-245248</wp:posOffset>
            </wp:positionV>
            <wp:extent cx="1197246" cy="1115706"/>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4176" cy="1122164"/>
                    </a:xfrm>
                    <a:prstGeom prst="rect">
                      <a:avLst/>
                    </a:prstGeom>
                  </pic:spPr>
                </pic:pic>
              </a:graphicData>
            </a:graphic>
            <wp14:sizeRelH relativeFrom="margin">
              <wp14:pctWidth>0</wp14:pctWidth>
            </wp14:sizeRelH>
            <wp14:sizeRelV relativeFrom="margin">
              <wp14:pctHeight>0</wp14:pctHeight>
            </wp14:sizeRelV>
          </wp:anchor>
        </w:drawing>
      </w:r>
    </w:p>
    <w:p w14:paraId="6ABBECBC" w14:textId="77777777" w:rsidR="004D6E95" w:rsidRPr="0028514A" w:rsidRDefault="004D6E95" w:rsidP="004D6E95">
      <w:pPr>
        <w:spacing w:line="276" w:lineRule="auto"/>
        <w:jc w:val="center"/>
        <w:rPr>
          <w:rFonts w:ascii="Arial" w:hAnsi="Arial" w:cs="Arial"/>
          <w:b/>
          <w:sz w:val="24"/>
          <w:szCs w:val="24"/>
          <w:lang w:eastAsia="es-ES"/>
        </w:rPr>
      </w:pPr>
    </w:p>
    <w:p w14:paraId="4675D1DF" w14:textId="77777777" w:rsidR="004D6E95" w:rsidRPr="0028514A" w:rsidRDefault="004D6E95" w:rsidP="004D6E95">
      <w:pPr>
        <w:spacing w:line="276" w:lineRule="auto"/>
        <w:jc w:val="center"/>
        <w:rPr>
          <w:rFonts w:ascii="Arial" w:hAnsi="Arial" w:cs="Arial"/>
          <w:b/>
          <w:sz w:val="24"/>
          <w:szCs w:val="24"/>
          <w:lang w:eastAsia="es-ES"/>
        </w:rPr>
      </w:pPr>
      <w:r w:rsidRPr="0028514A">
        <w:rPr>
          <w:rFonts w:ascii="Arial" w:hAnsi="Arial" w:cs="Arial"/>
          <w:b/>
          <w:sz w:val="24"/>
          <w:szCs w:val="24"/>
          <w:lang w:eastAsia="es-ES"/>
        </w:rPr>
        <w:t>CONSEJO DE ESTADO</w:t>
      </w:r>
    </w:p>
    <w:p w14:paraId="31012F3B" w14:textId="77777777" w:rsidR="004D6E95" w:rsidRPr="0028514A" w:rsidRDefault="004D6E95" w:rsidP="004D6E95">
      <w:pPr>
        <w:spacing w:line="276" w:lineRule="auto"/>
        <w:jc w:val="center"/>
        <w:rPr>
          <w:rFonts w:ascii="Arial" w:hAnsi="Arial" w:cs="Arial"/>
          <w:b/>
          <w:sz w:val="24"/>
          <w:szCs w:val="24"/>
          <w:lang w:eastAsia="es-ES"/>
        </w:rPr>
      </w:pPr>
      <w:r w:rsidRPr="0028514A">
        <w:rPr>
          <w:rFonts w:ascii="Arial" w:hAnsi="Arial" w:cs="Arial"/>
          <w:b/>
          <w:sz w:val="24"/>
          <w:szCs w:val="24"/>
          <w:lang w:eastAsia="es-ES"/>
        </w:rPr>
        <w:t>SALA DE LO CONTENCIOSO ADMINISTRATIVO</w:t>
      </w:r>
    </w:p>
    <w:p w14:paraId="157DAE65" w14:textId="77777777" w:rsidR="004D6E95" w:rsidRPr="0028514A" w:rsidRDefault="004D6E95" w:rsidP="004D6E95">
      <w:pPr>
        <w:spacing w:line="276" w:lineRule="auto"/>
        <w:jc w:val="center"/>
        <w:rPr>
          <w:rFonts w:ascii="Arial" w:hAnsi="Arial" w:cs="Arial"/>
          <w:b/>
          <w:sz w:val="24"/>
          <w:szCs w:val="24"/>
          <w:lang w:eastAsia="es-ES"/>
        </w:rPr>
      </w:pPr>
      <w:r w:rsidRPr="0028514A">
        <w:rPr>
          <w:rFonts w:ascii="Arial" w:hAnsi="Arial" w:cs="Arial"/>
          <w:b/>
          <w:sz w:val="24"/>
          <w:szCs w:val="24"/>
          <w:lang w:eastAsia="es-ES"/>
        </w:rPr>
        <w:t>SECCIÓN TERCERA</w:t>
      </w:r>
    </w:p>
    <w:p w14:paraId="119828DE" w14:textId="77777777" w:rsidR="004D6E95" w:rsidRPr="0028514A" w:rsidRDefault="004D6E95" w:rsidP="004D6E95">
      <w:pPr>
        <w:spacing w:line="276" w:lineRule="auto"/>
        <w:jc w:val="center"/>
        <w:rPr>
          <w:rFonts w:ascii="Arial" w:hAnsi="Arial" w:cs="Arial"/>
          <w:b/>
          <w:sz w:val="24"/>
          <w:szCs w:val="24"/>
          <w:lang w:eastAsia="es-ES"/>
        </w:rPr>
      </w:pPr>
      <w:r w:rsidRPr="0028514A">
        <w:rPr>
          <w:rFonts w:ascii="Arial" w:hAnsi="Arial" w:cs="Arial"/>
          <w:b/>
          <w:sz w:val="24"/>
          <w:szCs w:val="24"/>
          <w:lang w:eastAsia="es-ES"/>
        </w:rPr>
        <w:t>SUBSECCIÓN B</w:t>
      </w:r>
    </w:p>
    <w:p w14:paraId="15648DC4" w14:textId="77777777" w:rsidR="004D6E95" w:rsidRPr="0028514A" w:rsidRDefault="004D6E95" w:rsidP="004D6E95">
      <w:pPr>
        <w:spacing w:line="276" w:lineRule="auto"/>
        <w:jc w:val="center"/>
        <w:rPr>
          <w:rFonts w:ascii="Arial" w:hAnsi="Arial" w:cs="Arial"/>
          <w:b/>
          <w:sz w:val="24"/>
          <w:szCs w:val="24"/>
          <w:lang w:eastAsia="es-ES"/>
        </w:rPr>
      </w:pPr>
    </w:p>
    <w:p w14:paraId="4D9F45C2" w14:textId="77777777" w:rsidR="004D6E95" w:rsidRPr="0028514A" w:rsidRDefault="004D6E95" w:rsidP="004D6E95">
      <w:pPr>
        <w:spacing w:line="276" w:lineRule="auto"/>
        <w:jc w:val="center"/>
        <w:rPr>
          <w:rFonts w:ascii="Arial" w:hAnsi="Arial" w:cs="Arial"/>
          <w:b/>
          <w:sz w:val="24"/>
          <w:szCs w:val="24"/>
          <w:lang w:eastAsia="es-ES"/>
        </w:rPr>
      </w:pPr>
      <w:r w:rsidRPr="0028514A">
        <w:rPr>
          <w:rFonts w:ascii="Arial" w:hAnsi="Arial" w:cs="Arial"/>
          <w:b/>
          <w:sz w:val="24"/>
          <w:szCs w:val="24"/>
          <w:lang w:eastAsia="es-ES"/>
        </w:rPr>
        <w:t>Magistrado ponente: MARTÍN BERMÚDEZ MUÑOZ</w:t>
      </w:r>
    </w:p>
    <w:p w14:paraId="72440E19" w14:textId="77777777" w:rsidR="004D6E95" w:rsidRPr="0028514A" w:rsidRDefault="004D6E95" w:rsidP="004D6E95">
      <w:pPr>
        <w:tabs>
          <w:tab w:val="left" w:pos="0"/>
        </w:tabs>
        <w:spacing w:line="276" w:lineRule="auto"/>
        <w:rPr>
          <w:rFonts w:ascii="Arial" w:hAnsi="Arial" w:cs="Arial"/>
          <w:b/>
          <w:bCs/>
          <w:sz w:val="24"/>
          <w:szCs w:val="24"/>
        </w:rPr>
      </w:pPr>
      <w:r w:rsidRPr="0028514A">
        <w:rPr>
          <w:rFonts w:ascii="Arial" w:hAnsi="Arial" w:cs="Arial"/>
          <w:b/>
          <w:bCs/>
          <w:sz w:val="24"/>
          <w:szCs w:val="24"/>
        </w:rPr>
        <w:tab/>
      </w:r>
    </w:p>
    <w:p w14:paraId="37DDC121" w14:textId="77777777" w:rsidR="004D6E95" w:rsidRPr="0028514A" w:rsidRDefault="004D6E95" w:rsidP="004D6E95">
      <w:pPr>
        <w:spacing w:line="276" w:lineRule="auto"/>
        <w:jc w:val="center"/>
        <w:rPr>
          <w:rFonts w:ascii="Arial" w:hAnsi="Arial" w:cs="Arial"/>
          <w:sz w:val="24"/>
          <w:szCs w:val="24"/>
        </w:rPr>
      </w:pPr>
      <w:r w:rsidRPr="0028514A">
        <w:rPr>
          <w:rFonts w:ascii="Arial" w:hAnsi="Arial" w:cs="Arial"/>
          <w:sz w:val="24"/>
          <w:szCs w:val="24"/>
        </w:rPr>
        <w:t>Bogotá D.C., veintiocho (28) de mayo de dos mil veintiuno (2021)</w:t>
      </w:r>
    </w:p>
    <w:p w14:paraId="5146E621" w14:textId="77777777" w:rsidR="004D6E95" w:rsidRPr="0028514A" w:rsidRDefault="004D6E95" w:rsidP="004D6E95">
      <w:pPr>
        <w:spacing w:line="276" w:lineRule="auto"/>
        <w:ind w:left="1985" w:hanging="1985"/>
        <w:jc w:val="both"/>
        <w:rPr>
          <w:rFonts w:ascii="Arial" w:hAnsi="Arial" w:cs="Arial"/>
          <w:b/>
          <w:bCs/>
          <w:color w:val="000000" w:themeColor="text1"/>
          <w:sz w:val="24"/>
          <w:szCs w:val="24"/>
        </w:rPr>
      </w:pPr>
    </w:p>
    <w:p w14:paraId="27F76358" w14:textId="77777777" w:rsidR="004D6E95" w:rsidRPr="0028514A" w:rsidRDefault="004D6E95" w:rsidP="004D6E95">
      <w:pPr>
        <w:spacing w:line="276" w:lineRule="auto"/>
        <w:ind w:left="1985" w:hanging="1985"/>
        <w:jc w:val="both"/>
        <w:rPr>
          <w:rFonts w:ascii="Arial" w:hAnsi="Arial" w:cs="Arial"/>
          <w:color w:val="000000" w:themeColor="text1"/>
          <w:sz w:val="24"/>
          <w:szCs w:val="24"/>
        </w:rPr>
      </w:pPr>
      <w:r w:rsidRPr="0028514A">
        <w:rPr>
          <w:rFonts w:ascii="Arial" w:hAnsi="Arial" w:cs="Arial"/>
          <w:b/>
          <w:bCs/>
          <w:color w:val="000000" w:themeColor="text1"/>
          <w:sz w:val="24"/>
          <w:szCs w:val="24"/>
        </w:rPr>
        <w:t xml:space="preserve">Referencia: </w:t>
      </w:r>
      <w:r w:rsidRPr="0028514A">
        <w:rPr>
          <w:rFonts w:ascii="Arial" w:hAnsi="Arial" w:cs="Arial"/>
          <w:b/>
          <w:bCs/>
          <w:color w:val="000000" w:themeColor="text1"/>
          <w:sz w:val="24"/>
          <w:szCs w:val="24"/>
        </w:rPr>
        <w:tab/>
      </w:r>
      <w:r w:rsidRPr="0028514A">
        <w:rPr>
          <w:rFonts w:ascii="Arial" w:hAnsi="Arial" w:cs="Arial"/>
          <w:b/>
          <w:bCs/>
          <w:color w:val="000000" w:themeColor="text1"/>
          <w:sz w:val="24"/>
          <w:szCs w:val="24"/>
        </w:rPr>
        <w:tab/>
      </w:r>
      <w:r w:rsidRPr="0028514A">
        <w:rPr>
          <w:rFonts w:ascii="Arial" w:hAnsi="Arial" w:cs="Arial"/>
          <w:color w:val="000000" w:themeColor="text1"/>
          <w:sz w:val="24"/>
          <w:szCs w:val="24"/>
        </w:rPr>
        <w:t>Acción de tutela</w:t>
      </w:r>
    </w:p>
    <w:p w14:paraId="58AAFB43" w14:textId="77777777" w:rsidR="004D6E95" w:rsidRPr="0028514A" w:rsidRDefault="004D6E95" w:rsidP="004D6E95">
      <w:pPr>
        <w:spacing w:line="276" w:lineRule="auto"/>
        <w:jc w:val="both"/>
        <w:rPr>
          <w:rFonts w:ascii="Arial" w:hAnsi="Arial" w:cs="Arial"/>
          <w:color w:val="000000" w:themeColor="text1"/>
          <w:sz w:val="24"/>
          <w:szCs w:val="24"/>
        </w:rPr>
      </w:pPr>
      <w:r w:rsidRPr="0028514A">
        <w:rPr>
          <w:rFonts w:ascii="Arial" w:hAnsi="Arial" w:cs="Arial"/>
          <w:b/>
          <w:bCs/>
          <w:color w:val="000000" w:themeColor="text1"/>
          <w:sz w:val="24"/>
          <w:szCs w:val="24"/>
        </w:rPr>
        <w:t>Radicación:</w:t>
      </w:r>
      <w:r w:rsidRPr="0028514A">
        <w:rPr>
          <w:rFonts w:ascii="Arial" w:hAnsi="Arial" w:cs="Arial"/>
          <w:b/>
          <w:bCs/>
          <w:color w:val="000000" w:themeColor="text1"/>
          <w:sz w:val="24"/>
          <w:szCs w:val="24"/>
        </w:rPr>
        <w:tab/>
      </w:r>
      <w:r w:rsidRPr="0028514A">
        <w:rPr>
          <w:rFonts w:ascii="Arial" w:hAnsi="Arial" w:cs="Arial"/>
          <w:b/>
          <w:bCs/>
          <w:color w:val="000000" w:themeColor="text1"/>
          <w:sz w:val="24"/>
          <w:szCs w:val="24"/>
        </w:rPr>
        <w:tab/>
      </w:r>
      <w:r w:rsidRPr="0028514A">
        <w:rPr>
          <w:rFonts w:ascii="Arial" w:hAnsi="Arial" w:cs="Arial"/>
          <w:bCs/>
          <w:color w:val="000000" w:themeColor="text1"/>
          <w:sz w:val="24"/>
          <w:szCs w:val="24"/>
        </w:rPr>
        <w:t>11001-03-15-000-2020-04921-01</w:t>
      </w:r>
    </w:p>
    <w:p w14:paraId="32762071" w14:textId="77777777" w:rsidR="004D6E95" w:rsidRPr="0028514A" w:rsidRDefault="004D6E95" w:rsidP="004D6E95">
      <w:pPr>
        <w:spacing w:line="276" w:lineRule="auto"/>
        <w:ind w:left="1980" w:hanging="1980"/>
        <w:jc w:val="both"/>
        <w:rPr>
          <w:rFonts w:ascii="Arial" w:hAnsi="Arial" w:cs="Arial"/>
          <w:color w:val="000000" w:themeColor="text1"/>
          <w:sz w:val="24"/>
          <w:szCs w:val="24"/>
        </w:rPr>
      </w:pPr>
      <w:r w:rsidRPr="0028514A">
        <w:rPr>
          <w:rFonts w:ascii="Arial" w:hAnsi="Arial" w:cs="Arial"/>
          <w:b/>
          <w:bCs/>
          <w:color w:val="000000" w:themeColor="text1"/>
          <w:sz w:val="24"/>
          <w:szCs w:val="24"/>
        </w:rPr>
        <w:t xml:space="preserve">Demandante: </w:t>
      </w:r>
      <w:r w:rsidRPr="0028514A">
        <w:rPr>
          <w:rFonts w:ascii="Arial" w:hAnsi="Arial" w:cs="Arial"/>
          <w:sz w:val="24"/>
          <w:szCs w:val="24"/>
        </w:rPr>
        <w:tab/>
      </w:r>
      <w:r w:rsidRPr="0028514A">
        <w:rPr>
          <w:rFonts w:ascii="Arial" w:hAnsi="Arial" w:cs="Arial"/>
          <w:sz w:val="24"/>
          <w:szCs w:val="24"/>
        </w:rPr>
        <w:tab/>
      </w:r>
      <w:r w:rsidRPr="0028514A">
        <w:rPr>
          <w:rFonts w:ascii="Arial" w:hAnsi="Arial" w:cs="Arial"/>
          <w:color w:val="000000" w:themeColor="text1"/>
          <w:sz w:val="24"/>
          <w:szCs w:val="24"/>
        </w:rPr>
        <w:t xml:space="preserve">Oscar Mauricio Gil Gómez </w:t>
      </w:r>
    </w:p>
    <w:p w14:paraId="78C7667D" w14:textId="77777777" w:rsidR="004D6E95" w:rsidRPr="0028514A" w:rsidRDefault="004D6E95" w:rsidP="004D6E95">
      <w:pPr>
        <w:spacing w:line="276" w:lineRule="auto"/>
        <w:ind w:left="2120" w:right="51" w:hanging="2120"/>
        <w:jc w:val="both"/>
        <w:rPr>
          <w:rFonts w:ascii="Arial" w:hAnsi="Arial" w:cs="Arial"/>
          <w:sz w:val="24"/>
          <w:szCs w:val="24"/>
          <w:lang w:val="es-ES"/>
        </w:rPr>
      </w:pPr>
      <w:r w:rsidRPr="0028514A">
        <w:rPr>
          <w:rFonts w:ascii="Arial" w:hAnsi="Arial" w:cs="Arial"/>
          <w:b/>
          <w:bCs/>
          <w:color w:val="000000" w:themeColor="text1"/>
          <w:sz w:val="24"/>
          <w:szCs w:val="24"/>
        </w:rPr>
        <w:t>Demandado</w:t>
      </w:r>
      <w:r w:rsidRPr="0028514A">
        <w:rPr>
          <w:rFonts w:ascii="Arial" w:hAnsi="Arial" w:cs="Arial"/>
          <w:color w:val="000000" w:themeColor="text1"/>
          <w:sz w:val="24"/>
          <w:szCs w:val="24"/>
        </w:rPr>
        <w:t xml:space="preserve">: </w:t>
      </w:r>
      <w:r w:rsidRPr="0028514A">
        <w:rPr>
          <w:rFonts w:ascii="Arial" w:hAnsi="Arial" w:cs="Arial"/>
          <w:sz w:val="24"/>
          <w:szCs w:val="24"/>
        </w:rPr>
        <w:tab/>
      </w:r>
      <w:r w:rsidRPr="0028514A">
        <w:rPr>
          <w:rFonts w:ascii="Arial" w:hAnsi="Arial" w:cs="Arial"/>
          <w:sz w:val="24"/>
          <w:szCs w:val="24"/>
          <w:lang w:val="es-ES"/>
        </w:rPr>
        <w:t>Consejo Superior de la Judicatura</w:t>
      </w:r>
    </w:p>
    <w:p w14:paraId="14B3C8A4" w14:textId="77777777" w:rsidR="004D6E95" w:rsidRPr="0028514A" w:rsidRDefault="004D6E95" w:rsidP="004D6E95">
      <w:pPr>
        <w:spacing w:line="276" w:lineRule="auto"/>
        <w:ind w:left="2120" w:right="51" w:hanging="2120"/>
        <w:jc w:val="both"/>
        <w:rPr>
          <w:rFonts w:ascii="Arial" w:hAnsi="Arial" w:cs="Arial"/>
          <w:sz w:val="24"/>
          <w:szCs w:val="24"/>
          <w:lang w:val="es-ES"/>
        </w:rPr>
      </w:pPr>
    </w:p>
    <w:p w14:paraId="5024FF8A" w14:textId="77777777" w:rsidR="004D6E95" w:rsidRPr="0028514A" w:rsidRDefault="004D6E95" w:rsidP="004D6E95">
      <w:pPr>
        <w:pBdr>
          <w:bottom w:val="single" w:sz="12" w:space="0" w:color="auto"/>
        </w:pBdr>
        <w:spacing w:line="276" w:lineRule="auto"/>
        <w:ind w:left="2127" w:hanging="2127"/>
        <w:jc w:val="both"/>
        <w:rPr>
          <w:rFonts w:ascii="Arial" w:hAnsi="Arial" w:cs="Arial"/>
          <w:b/>
          <w:sz w:val="24"/>
          <w:szCs w:val="24"/>
        </w:rPr>
      </w:pPr>
      <w:r w:rsidRPr="0028514A">
        <w:rPr>
          <w:rFonts w:ascii="Arial" w:hAnsi="Arial" w:cs="Arial"/>
          <w:b/>
          <w:bCs/>
          <w:sz w:val="24"/>
          <w:szCs w:val="24"/>
        </w:rPr>
        <w:t>Temas:</w:t>
      </w:r>
      <w:r w:rsidRPr="0028514A">
        <w:rPr>
          <w:rFonts w:ascii="Arial" w:hAnsi="Arial" w:cs="Arial"/>
          <w:sz w:val="24"/>
          <w:szCs w:val="24"/>
        </w:rPr>
        <w:t xml:space="preserve"> </w:t>
      </w:r>
      <w:r w:rsidRPr="0028514A">
        <w:rPr>
          <w:rFonts w:ascii="Arial" w:hAnsi="Arial" w:cs="Arial"/>
          <w:sz w:val="24"/>
          <w:szCs w:val="24"/>
        </w:rPr>
        <w:tab/>
      </w:r>
      <w:r w:rsidRPr="0028514A">
        <w:rPr>
          <w:rFonts w:ascii="Arial" w:hAnsi="Arial" w:cs="Arial"/>
          <w:i/>
          <w:iCs/>
          <w:sz w:val="24"/>
          <w:szCs w:val="24"/>
        </w:rPr>
        <w:t>Tutela contra providencia judicial / Se revoca la decisión que declaró improcedente la tutela y, en su lugar, se niega el amparo.</w:t>
      </w:r>
    </w:p>
    <w:p w14:paraId="366C214F" w14:textId="77777777" w:rsidR="004D6E95" w:rsidRPr="0028514A" w:rsidRDefault="004D6E95" w:rsidP="004D6E95">
      <w:pPr>
        <w:pBdr>
          <w:bottom w:val="single" w:sz="12" w:space="0" w:color="auto"/>
        </w:pBdr>
        <w:spacing w:line="276" w:lineRule="auto"/>
        <w:ind w:left="2832" w:hanging="2832"/>
        <w:rPr>
          <w:rFonts w:ascii="Arial" w:hAnsi="Arial" w:cs="Arial"/>
          <w:b/>
          <w:sz w:val="24"/>
          <w:szCs w:val="24"/>
        </w:rPr>
      </w:pPr>
    </w:p>
    <w:p w14:paraId="6D4694CF" w14:textId="77777777" w:rsidR="004D6E95" w:rsidRPr="0028514A" w:rsidRDefault="004D6E95" w:rsidP="004D6E95">
      <w:pPr>
        <w:pBdr>
          <w:bottom w:val="single" w:sz="12" w:space="0" w:color="auto"/>
        </w:pBdr>
        <w:spacing w:line="276" w:lineRule="auto"/>
        <w:ind w:left="2832" w:hanging="2832"/>
        <w:rPr>
          <w:rFonts w:ascii="Arial" w:hAnsi="Arial" w:cs="Arial"/>
          <w:b/>
          <w:sz w:val="24"/>
          <w:szCs w:val="24"/>
        </w:rPr>
      </w:pPr>
      <w:r w:rsidRPr="0028514A">
        <w:rPr>
          <w:rFonts w:ascii="Arial" w:hAnsi="Arial" w:cs="Arial"/>
          <w:b/>
          <w:sz w:val="24"/>
          <w:szCs w:val="24"/>
        </w:rPr>
        <w:t xml:space="preserve">SENTENCIA DE PRIMERA INSTANCIA </w:t>
      </w:r>
    </w:p>
    <w:p w14:paraId="47C7C37B" w14:textId="77777777" w:rsidR="004D6E95" w:rsidRPr="0028514A" w:rsidRDefault="004D6E95" w:rsidP="004D6E95">
      <w:pPr>
        <w:widowControl w:val="0"/>
        <w:spacing w:line="276" w:lineRule="auto"/>
        <w:ind w:right="51"/>
        <w:contextualSpacing/>
        <w:jc w:val="both"/>
        <w:rPr>
          <w:rFonts w:ascii="Arial" w:hAnsi="Arial" w:cs="Arial"/>
          <w:sz w:val="24"/>
          <w:szCs w:val="24"/>
        </w:rPr>
      </w:pPr>
    </w:p>
    <w:p w14:paraId="55A3304E" w14:textId="77777777" w:rsidR="004D6E95" w:rsidRPr="0028514A" w:rsidRDefault="004D6E95" w:rsidP="004D6E95">
      <w:pPr>
        <w:widowControl w:val="0"/>
        <w:spacing w:line="276" w:lineRule="auto"/>
        <w:ind w:right="-232"/>
        <w:contextualSpacing/>
        <w:jc w:val="both"/>
        <w:rPr>
          <w:rFonts w:ascii="Arial" w:hAnsi="Arial" w:cs="Arial"/>
          <w:color w:val="000000" w:themeColor="text1"/>
          <w:sz w:val="24"/>
          <w:szCs w:val="24"/>
        </w:rPr>
      </w:pPr>
      <w:r w:rsidRPr="0028514A">
        <w:rPr>
          <w:rFonts w:ascii="Arial" w:hAnsi="Arial" w:cs="Arial"/>
          <w:sz w:val="24"/>
          <w:szCs w:val="24"/>
        </w:rPr>
        <w:t xml:space="preserve">Procede la Sala a decidir el recurso de impugnación interpuesto contra la decisión proferida el 19 </w:t>
      </w:r>
      <w:r w:rsidRPr="0028514A">
        <w:rPr>
          <w:rFonts w:ascii="Arial" w:hAnsi="Arial" w:cs="Arial"/>
          <w:color w:val="000000" w:themeColor="text1"/>
          <w:sz w:val="24"/>
          <w:szCs w:val="24"/>
        </w:rPr>
        <w:t>de marzo de 2021 por la Subsección C de la Sección Tercera del Consejo de Estado.</w:t>
      </w:r>
    </w:p>
    <w:p w14:paraId="70810C61" w14:textId="77777777" w:rsidR="004D6E95" w:rsidRPr="0028514A" w:rsidRDefault="004D6E95" w:rsidP="004D6E95">
      <w:pPr>
        <w:tabs>
          <w:tab w:val="left" w:pos="284"/>
        </w:tabs>
        <w:spacing w:line="276" w:lineRule="auto"/>
        <w:jc w:val="both"/>
        <w:rPr>
          <w:rFonts w:ascii="Arial" w:hAnsi="Arial" w:cs="Arial"/>
          <w:sz w:val="24"/>
          <w:szCs w:val="24"/>
        </w:rPr>
      </w:pPr>
    </w:p>
    <w:p w14:paraId="21C4E298" w14:textId="31550F48" w:rsidR="004D6E95" w:rsidRPr="0028514A" w:rsidRDefault="004D6E95" w:rsidP="004D6E95">
      <w:pPr>
        <w:pStyle w:val="Textonotapie"/>
        <w:spacing w:line="276" w:lineRule="auto"/>
        <w:ind w:right="-232"/>
        <w:jc w:val="both"/>
        <w:rPr>
          <w:rFonts w:ascii="Arial" w:hAnsi="Arial" w:cs="Arial"/>
          <w:color w:val="000000" w:themeColor="text1"/>
          <w:sz w:val="24"/>
          <w:szCs w:val="24"/>
          <w:lang w:val="es-ES"/>
        </w:rPr>
      </w:pPr>
      <w:r w:rsidRPr="0028514A">
        <w:rPr>
          <w:rFonts w:ascii="Arial" w:hAnsi="Arial" w:cs="Arial"/>
          <w:color w:val="000000" w:themeColor="text1"/>
          <w:sz w:val="24"/>
          <w:szCs w:val="24"/>
          <w:lang w:val="es-ES"/>
        </w:rPr>
        <w:t>La Subsección B de la Sección Tercera del Consejo de Estado es la competente para conocer de la presente acción de tutela, de conformidad con lo dispuesto en el artículo 86 de la Constitución Política, en los Decretos 2591 de 1991, 1069 de 2015, 1983 de 2017, 333 de 2021 y en el Acuerdo 80 de 2019 de esta Corporación.</w:t>
      </w:r>
    </w:p>
    <w:p w14:paraId="1935B6B7" w14:textId="77777777" w:rsidR="004D6E95" w:rsidRPr="0028514A" w:rsidRDefault="004D6E95" w:rsidP="004D6E95">
      <w:pPr>
        <w:tabs>
          <w:tab w:val="left" w:pos="284"/>
        </w:tabs>
        <w:spacing w:line="276" w:lineRule="auto"/>
        <w:jc w:val="both"/>
        <w:rPr>
          <w:rFonts w:ascii="Arial" w:hAnsi="Arial" w:cs="Arial"/>
          <w:sz w:val="24"/>
          <w:szCs w:val="24"/>
        </w:rPr>
      </w:pPr>
    </w:p>
    <w:p w14:paraId="3CAF479F" w14:textId="77777777" w:rsidR="004D6E95" w:rsidRPr="0028514A" w:rsidRDefault="004D6E95" w:rsidP="004D6E95">
      <w:pPr>
        <w:spacing w:line="276" w:lineRule="auto"/>
        <w:jc w:val="center"/>
        <w:rPr>
          <w:rFonts w:ascii="Arial" w:eastAsia="?????? Pro W3" w:hAnsi="Arial" w:cs="Arial"/>
          <w:b/>
          <w:sz w:val="24"/>
          <w:szCs w:val="24"/>
        </w:rPr>
      </w:pPr>
      <w:r w:rsidRPr="0028514A">
        <w:rPr>
          <w:rFonts w:ascii="Arial" w:eastAsia="?????? Pro W3" w:hAnsi="Arial" w:cs="Arial"/>
          <w:b/>
          <w:sz w:val="24"/>
          <w:szCs w:val="24"/>
        </w:rPr>
        <w:t>I. ANTECEDENTES</w:t>
      </w:r>
    </w:p>
    <w:p w14:paraId="2B5B80FF" w14:textId="77777777" w:rsidR="004D6E95" w:rsidRPr="0028514A" w:rsidRDefault="004D6E95" w:rsidP="004D6E95">
      <w:pPr>
        <w:spacing w:line="276" w:lineRule="auto"/>
        <w:jc w:val="both"/>
        <w:rPr>
          <w:rFonts w:ascii="Arial" w:hAnsi="Arial" w:cs="Arial"/>
          <w:b/>
          <w:spacing w:val="-3"/>
          <w:sz w:val="24"/>
          <w:szCs w:val="24"/>
        </w:rPr>
      </w:pPr>
    </w:p>
    <w:p w14:paraId="70706F21" w14:textId="77777777" w:rsidR="004D6E95" w:rsidRPr="0028514A" w:rsidRDefault="004D6E95" w:rsidP="004D6E95">
      <w:pPr>
        <w:spacing w:line="276" w:lineRule="auto"/>
        <w:jc w:val="both"/>
        <w:rPr>
          <w:rFonts w:ascii="Arial" w:hAnsi="Arial" w:cs="Arial"/>
          <w:b/>
          <w:spacing w:val="-3"/>
          <w:sz w:val="24"/>
          <w:szCs w:val="24"/>
        </w:rPr>
      </w:pPr>
      <w:r w:rsidRPr="0028514A">
        <w:rPr>
          <w:rFonts w:ascii="Arial" w:hAnsi="Arial" w:cs="Arial"/>
          <w:b/>
          <w:spacing w:val="-3"/>
          <w:sz w:val="24"/>
          <w:szCs w:val="24"/>
        </w:rPr>
        <w:t>A. Solicitud de amparo</w:t>
      </w:r>
    </w:p>
    <w:p w14:paraId="2464438B" w14:textId="77777777" w:rsidR="004D6E95" w:rsidRPr="0028514A" w:rsidRDefault="004D6E95" w:rsidP="004D6E95">
      <w:pPr>
        <w:spacing w:line="276" w:lineRule="auto"/>
        <w:jc w:val="both"/>
        <w:rPr>
          <w:rFonts w:ascii="Arial" w:hAnsi="Arial" w:cs="Arial"/>
          <w:b/>
          <w:spacing w:val="-3"/>
          <w:sz w:val="24"/>
          <w:szCs w:val="24"/>
        </w:rPr>
      </w:pPr>
    </w:p>
    <w:p w14:paraId="357FFD65" w14:textId="2C9AD489" w:rsidR="004D6E95" w:rsidRPr="0028514A" w:rsidRDefault="004D6E95" w:rsidP="004D6E95">
      <w:pPr>
        <w:suppressAutoHyphens/>
        <w:spacing w:line="276" w:lineRule="auto"/>
        <w:ind w:right="-234"/>
        <w:contextualSpacing/>
        <w:jc w:val="both"/>
        <w:rPr>
          <w:rFonts w:ascii="Arial" w:eastAsia="Times New Roman" w:hAnsi="Arial" w:cs="Arial"/>
          <w:color w:val="000000" w:themeColor="text1"/>
          <w:sz w:val="24"/>
          <w:szCs w:val="24"/>
          <w:lang w:eastAsia="es-ES"/>
        </w:rPr>
      </w:pPr>
      <w:r w:rsidRPr="0028514A">
        <w:rPr>
          <w:rFonts w:ascii="Arial" w:hAnsi="Arial" w:cs="Arial"/>
          <w:color w:val="000000" w:themeColor="text1"/>
          <w:sz w:val="24"/>
          <w:szCs w:val="24"/>
        </w:rPr>
        <w:t xml:space="preserve">1.- El 26 de noviembre de 2020 </w:t>
      </w:r>
      <w:r w:rsidRPr="0028514A">
        <w:rPr>
          <w:rFonts w:ascii="Arial" w:hAnsi="Arial" w:cs="Arial"/>
          <w:color w:val="000000" w:themeColor="text1"/>
          <w:sz w:val="24"/>
          <w:szCs w:val="24"/>
          <w:lang w:val="es-ES"/>
        </w:rPr>
        <w:t xml:space="preserve">el señor Oscar Mauricio Gil Gómez </w:t>
      </w:r>
      <w:r w:rsidRPr="0028514A">
        <w:rPr>
          <w:rFonts w:ascii="Arial" w:hAnsi="Arial" w:cs="Arial"/>
          <w:color w:val="000000" w:themeColor="text1"/>
          <w:sz w:val="24"/>
          <w:szCs w:val="24"/>
        </w:rPr>
        <w:t xml:space="preserve">solicitó la protección de los derechos fundamentales al </w:t>
      </w:r>
      <w:r w:rsidRPr="0028514A">
        <w:rPr>
          <w:rFonts w:ascii="Arial" w:hAnsi="Arial" w:cs="Arial"/>
          <w:sz w:val="24"/>
          <w:szCs w:val="24"/>
        </w:rPr>
        <w:t>acceso a la administración de justicia, debido proceso, igualdad, trabajo y buen nombre</w:t>
      </w:r>
      <w:r w:rsidRPr="0028514A">
        <w:rPr>
          <w:rFonts w:ascii="Arial" w:eastAsia="Verdana" w:hAnsi="Arial" w:cs="Arial"/>
          <w:color w:val="000000" w:themeColor="text1"/>
          <w:sz w:val="24"/>
          <w:szCs w:val="24"/>
        </w:rPr>
        <w:t xml:space="preserve">, </w:t>
      </w:r>
      <w:r w:rsidRPr="0028514A">
        <w:rPr>
          <w:rFonts w:ascii="Arial" w:hAnsi="Arial" w:cs="Arial"/>
          <w:color w:val="000000" w:themeColor="text1"/>
          <w:sz w:val="24"/>
          <w:szCs w:val="24"/>
        </w:rPr>
        <w:t xml:space="preserve">que consideró vulnerados con la sentencia proferida el 8 de julio de 2020 por el </w:t>
      </w:r>
      <w:r w:rsidRPr="0028514A">
        <w:rPr>
          <w:rFonts w:ascii="Arial" w:hAnsi="Arial" w:cs="Arial"/>
          <w:sz w:val="24"/>
          <w:szCs w:val="24"/>
        </w:rPr>
        <w:t>Consejo Superior de la Judicatura-Sala Jurisdiccional Disciplinaria</w:t>
      </w:r>
      <w:r w:rsidRPr="0028514A">
        <w:rPr>
          <w:rFonts w:ascii="Arial" w:hAnsi="Arial" w:cs="Arial"/>
          <w:color w:val="000000" w:themeColor="text1"/>
          <w:sz w:val="24"/>
          <w:szCs w:val="24"/>
        </w:rPr>
        <w:t xml:space="preserve">, </w:t>
      </w:r>
      <w:r w:rsidRPr="0028514A">
        <w:rPr>
          <w:rFonts w:ascii="Arial" w:hAnsi="Arial" w:cs="Arial"/>
          <w:sz w:val="24"/>
          <w:szCs w:val="24"/>
        </w:rPr>
        <w:t>que confirmó el fallo que impuso al accionante</w:t>
      </w:r>
      <w:r w:rsidR="00052D55" w:rsidRPr="0028514A">
        <w:rPr>
          <w:rFonts w:ascii="Arial" w:hAnsi="Arial" w:cs="Arial"/>
          <w:sz w:val="24"/>
          <w:szCs w:val="24"/>
        </w:rPr>
        <w:t xml:space="preserve"> la sanción de</w:t>
      </w:r>
      <w:r w:rsidRPr="0028514A">
        <w:rPr>
          <w:rFonts w:ascii="Arial" w:hAnsi="Arial" w:cs="Arial"/>
          <w:sz w:val="24"/>
          <w:szCs w:val="24"/>
        </w:rPr>
        <w:t xml:space="preserve"> suspensión del ejercicio de la abogacía por cuatro (4) meses y la imposición de una multa de dos (2) SMLMV.</w:t>
      </w:r>
    </w:p>
    <w:p w14:paraId="0A28D3A0" w14:textId="77777777" w:rsidR="004D6E95" w:rsidRPr="0028514A" w:rsidRDefault="004D6E95" w:rsidP="004D6E95">
      <w:pPr>
        <w:suppressAutoHyphens/>
        <w:spacing w:line="276" w:lineRule="auto"/>
        <w:ind w:right="-234"/>
        <w:contextualSpacing/>
        <w:jc w:val="both"/>
        <w:rPr>
          <w:rFonts w:ascii="Arial" w:eastAsia="Times New Roman" w:hAnsi="Arial" w:cs="Arial"/>
          <w:color w:val="000000" w:themeColor="text1"/>
          <w:sz w:val="24"/>
          <w:szCs w:val="24"/>
          <w:lang w:eastAsia="es-ES"/>
        </w:rPr>
      </w:pPr>
    </w:p>
    <w:p w14:paraId="5B4B62FC" w14:textId="77777777" w:rsidR="004D6E95" w:rsidRPr="0028514A" w:rsidRDefault="004D6E95" w:rsidP="004D6E95">
      <w:pPr>
        <w:suppressAutoHyphens/>
        <w:spacing w:line="276" w:lineRule="auto"/>
        <w:ind w:right="-234"/>
        <w:contextualSpacing/>
        <w:jc w:val="both"/>
        <w:rPr>
          <w:rFonts w:ascii="Arial" w:eastAsia="Times New Roman" w:hAnsi="Arial" w:cs="Arial"/>
          <w:color w:val="000000" w:themeColor="text1"/>
          <w:sz w:val="24"/>
          <w:szCs w:val="24"/>
          <w:lang w:eastAsia="es-ES"/>
        </w:rPr>
      </w:pPr>
      <w:r w:rsidRPr="0028514A">
        <w:rPr>
          <w:rFonts w:ascii="Arial" w:eastAsia="Times New Roman" w:hAnsi="Arial" w:cs="Arial"/>
          <w:color w:val="000000" w:themeColor="text1"/>
          <w:sz w:val="24"/>
          <w:szCs w:val="24"/>
          <w:lang w:eastAsia="es-ES"/>
        </w:rPr>
        <w:t xml:space="preserve">2.- </w:t>
      </w:r>
      <w:r w:rsidRPr="0028514A">
        <w:rPr>
          <w:rFonts w:ascii="Arial" w:hAnsi="Arial" w:cs="Arial"/>
          <w:color w:val="000000" w:themeColor="text1"/>
          <w:sz w:val="24"/>
          <w:szCs w:val="24"/>
          <w:bdr w:val="none" w:sz="0" w:space="0" w:color="auto" w:frame="1"/>
          <w:shd w:val="clear" w:color="auto" w:fill="FFFFFF"/>
        </w:rPr>
        <w:t>Como amparo constitucional, el accionante presentó las siguientes peticiones</w:t>
      </w:r>
      <w:r w:rsidRPr="0028514A">
        <w:rPr>
          <w:rFonts w:ascii="Arial" w:eastAsia="Times New Roman" w:hAnsi="Arial" w:cs="Arial"/>
          <w:color w:val="000000" w:themeColor="text1"/>
          <w:sz w:val="24"/>
          <w:szCs w:val="24"/>
          <w:bdr w:val="none" w:sz="0" w:space="0" w:color="auto" w:frame="1"/>
          <w:shd w:val="clear" w:color="auto" w:fill="FFFFFF"/>
          <w:lang w:eastAsia="es-ES"/>
        </w:rPr>
        <w:t>:</w:t>
      </w:r>
    </w:p>
    <w:p w14:paraId="762150C9" w14:textId="77777777" w:rsidR="004D6E95" w:rsidRPr="0028514A" w:rsidRDefault="004D6E95" w:rsidP="004D6E95">
      <w:pPr>
        <w:spacing w:line="276" w:lineRule="auto"/>
        <w:ind w:left="1440" w:right="-234"/>
        <w:contextualSpacing/>
        <w:jc w:val="both"/>
        <w:rPr>
          <w:rFonts w:ascii="Arial" w:eastAsia="?????? Pro W3" w:hAnsi="Arial" w:cs="Arial"/>
          <w:b/>
          <w:i/>
          <w:color w:val="000000" w:themeColor="text1"/>
          <w:sz w:val="24"/>
          <w:szCs w:val="24"/>
        </w:rPr>
      </w:pPr>
    </w:p>
    <w:p w14:paraId="772516CB" w14:textId="77777777" w:rsidR="004D6E95" w:rsidRPr="0028514A" w:rsidRDefault="004D6E95" w:rsidP="004D6E95">
      <w:pPr>
        <w:ind w:left="567" w:right="567"/>
        <w:contextualSpacing/>
        <w:jc w:val="both"/>
        <w:rPr>
          <w:rFonts w:ascii="Arial" w:hAnsi="Arial" w:cs="Arial"/>
          <w:i/>
          <w:iCs/>
        </w:rPr>
      </w:pPr>
      <w:r w:rsidRPr="0028514A">
        <w:rPr>
          <w:rFonts w:ascii="Arial" w:hAnsi="Arial" w:cs="Arial"/>
          <w:i/>
          <w:color w:val="000000" w:themeColor="text1"/>
          <w:spacing w:val="-3"/>
        </w:rPr>
        <w:t>&lt;&lt;</w:t>
      </w:r>
      <w:r w:rsidRPr="0028514A">
        <w:rPr>
          <w:rFonts w:ascii="Arial" w:hAnsi="Arial" w:cs="Arial"/>
          <w:i/>
          <w:color w:val="000000" w:themeColor="text1"/>
        </w:rPr>
        <w:t xml:space="preserve"> </w:t>
      </w:r>
      <w:r w:rsidRPr="0028514A">
        <w:rPr>
          <w:rFonts w:ascii="Arial" w:hAnsi="Arial" w:cs="Arial"/>
          <w:i/>
          <w:iCs/>
        </w:rPr>
        <w:t xml:space="preserve">Como pretensión principal solicitó muy respetuosamente al H. Magistrado se sirva tutelar los derechos fundamentales que fueron violados </w:t>
      </w:r>
      <w:proofErr w:type="gramStart"/>
      <w:r w:rsidRPr="0028514A">
        <w:rPr>
          <w:rFonts w:ascii="Arial" w:hAnsi="Arial" w:cs="Arial"/>
          <w:i/>
          <w:iCs/>
        </w:rPr>
        <w:t>y</w:t>
      </w:r>
      <w:proofErr w:type="gramEnd"/>
      <w:r w:rsidRPr="0028514A">
        <w:rPr>
          <w:rFonts w:ascii="Arial" w:hAnsi="Arial" w:cs="Arial"/>
          <w:i/>
          <w:iCs/>
        </w:rPr>
        <w:t xml:space="preserve"> en </w:t>
      </w:r>
      <w:r w:rsidRPr="0028514A">
        <w:rPr>
          <w:rFonts w:ascii="Arial" w:hAnsi="Arial" w:cs="Arial"/>
          <w:i/>
          <w:iCs/>
        </w:rPr>
        <w:lastRenderedPageBreak/>
        <w:t>consecuencia, se ordene la revocatoria de la sentencia condenatoria para que en su lugar se absuelva de todos los cargos y acusaciones en la sentencia.</w:t>
      </w:r>
    </w:p>
    <w:p w14:paraId="64E8599D" w14:textId="77777777" w:rsidR="004D6E95" w:rsidRPr="0028514A" w:rsidRDefault="004D6E95" w:rsidP="004D6E95">
      <w:pPr>
        <w:ind w:left="567" w:right="567"/>
        <w:contextualSpacing/>
        <w:jc w:val="both"/>
        <w:rPr>
          <w:rFonts w:ascii="Arial" w:hAnsi="Arial" w:cs="Arial"/>
          <w:i/>
          <w:iCs/>
        </w:rPr>
      </w:pPr>
    </w:p>
    <w:p w14:paraId="40C2BD38" w14:textId="77777777" w:rsidR="004D6E95" w:rsidRPr="0028514A" w:rsidRDefault="004D6E95" w:rsidP="004D6E95">
      <w:pPr>
        <w:ind w:left="567" w:right="567"/>
        <w:contextualSpacing/>
        <w:jc w:val="both"/>
        <w:rPr>
          <w:rFonts w:ascii="Arial" w:hAnsi="Arial" w:cs="Arial"/>
          <w:i/>
          <w:iCs/>
        </w:rPr>
      </w:pPr>
      <w:r w:rsidRPr="0028514A">
        <w:rPr>
          <w:rFonts w:ascii="Arial" w:hAnsi="Arial" w:cs="Arial"/>
          <w:i/>
          <w:iCs/>
        </w:rPr>
        <w:t>Como pretensión subsidiaria y por ocurrir después en el tiempo, solicito muy respetuosamente, se declare la prescripción de la acción disciplinaria y se ordene el archivo del proceso.</w:t>
      </w:r>
    </w:p>
    <w:p w14:paraId="09E1D760" w14:textId="77777777" w:rsidR="004D6E95" w:rsidRPr="0028514A" w:rsidRDefault="004D6E95" w:rsidP="004D6E95">
      <w:pPr>
        <w:ind w:left="567" w:right="567"/>
        <w:contextualSpacing/>
        <w:jc w:val="both"/>
        <w:rPr>
          <w:rFonts w:ascii="Arial" w:hAnsi="Arial" w:cs="Arial"/>
          <w:i/>
          <w:iCs/>
        </w:rPr>
      </w:pPr>
    </w:p>
    <w:p w14:paraId="38104309" w14:textId="77777777" w:rsidR="004D6E95" w:rsidRPr="0028514A" w:rsidRDefault="004D6E95" w:rsidP="004D6E95">
      <w:pPr>
        <w:ind w:left="567" w:right="567"/>
        <w:contextualSpacing/>
        <w:jc w:val="both"/>
        <w:rPr>
          <w:rFonts w:ascii="Arial" w:hAnsi="Arial" w:cs="Arial"/>
          <w:i/>
          <w:iCs/>
        </w:rPr>
      </w:pPr>
      <w:r w:rsidRPr="0028514A">
        <w:rPr>
          <w:rFonts w:ascii="Arial" w:hAnsi="Arial" w:cs="Arial"/>
          <w:i/>
          <w:iCs/>
        </w:rPr>
        <w:t xml:space="preserve">Así mismo, se decrete la nulidad del proceso de acuerdo con lo señalado en el numeral 9 de la motivación de la tutela </w:t>
      </w:r>
      <w:r w:rsidRPr="0028514A">
        <w:rPr>
          <w:rFonts w:ascii="Arial" w:hAnsi="Arial" w:cs="Arial"/>
          <w:i/>
          <w:color w:val="000000" w:themeColor="text1"/>
          <w:spacing w:val="-3"/>
        </w:rPr>
        <w:t>&gt;&gt;.</w:t>
      </w:r>
    </w:p>
    <w:p w14:paraId="62E87CD8" w14:textId="77777777" w:rsidR="004D6E95" w:rsidRPr="0028514A" w:rsidRDefault="004D6E95" w:rsidP="004D6E95">
      <w:pPr>
        <w:spacing w:line="276" w:lineRule="auto"/>
        <w:ind w:right="-234"/>
        <w:rPr>
          <w:rFonts w:ascii="Arial" w:hAnsi="Arial" w:cs="Arial"/>
          <w:color w:val="000000" w:themeColor="text1"/>
          <w:sz w:val="24"/>
          <w:szCs w:val="24"/>
        </w:rPr>
      </w:pPr>
    </w:p>
    <w:p w14:paraId="0C0A5CBD" w14:textId="77777777" w:rsidR="004D6E95" w:rsidRPr="0028514A" w:rsidRDefault="004D6E95" w:rsidP="004D6E95">
      <w:pPr>
        <w:suppressAutoHyphens/>
        <w:spacing w:line="276" w:lineRule="auto"/>
        <w:ind w:right="-234"/>
        <w:contextualSpacing/>
        <w:jc w:val="both"/>
        <w:rPr>
          <w:rFonts w:ascii="Arial" w:eastAsia="Times New Roman" w:hAnsi="Arial" w:cs="Arial"/>
          <w:b/>
          <w:color w:val="000000" w:themeColor="text1"/>
          <w:sz w:val="24"/>
          <w:szCs w:val="24"/>
          <w:lang w:eastAsia="es-ES"/>
        </w:rPr>
      </w:pPr>
      <w:r w:rsidRPr="0028514A">
        <w:rPr>
          <w:rFonts w:ascii="Arial" w:eastAsia="Times New Roman" w:hAnsi="Arial" w:cs="Arial"/>
          <w:b/>
          <w:bCs/>
          <w:color w:val="000000" w:themeColor="text1"/>
          <w:sz w:val="24"/>
          <w:szCs w:val="24"/>
          <w:lang w:eastAsia="es-ES"/>
        </w:rPr>
        <w:t xml:space="preserve">B. Hechos </w:t>
      </w:r>
    </w:p>
    <w:p w14:paraId="04947237" w14:textId="77777777" w:rsidR="004D6E95" w:rsidRPr="0028514A" w:rsidRDefault="004D6E95" w:rsidP="004D6E95">
      <w:pPr>
        <w:widowControl w:val="0"/>
        <w:autoSpaceDE w:val="0"/>
        <w:autoSpaceDN w:val="0"/>
        <w:adjustRightInd w:val="0"/>
        <w:spacing w:line="276" w:lineRule="auto"/>
        <w:ind w:right="51"/>
        <w:jc w:val="both"/>
        <w:rPr>
          <w:rFonts w:ascii="Arial" w:eastAsia="Times New Roman" w:hAnsi="Arial" w:cs="Arial"/>
          <w:color w:val="000000" w:themeColor="text1"/>
          <w:sz w:val="24"/>
          <w:szCs w:val="24"/>
          <w:bdr w:val="none" w:sz="0" w:space="0" w:color="auto" w:frame="1"/>
          <w:shd w:val="clear" w:color="auto" w:fill="FFFFFF"/>
          <w:lang w:eastAsia="es-ES"/>
        </w:rPr>
      </w:pPr>
    </w:p>
    <w:p w14:paraId="4DEE5A42" w14:textId="77777777" w:rsidR="004D6E95" w:rsidRPr="0028514A" w:rsidRDefault="004D6E95" w:rsidP="004D6E95">
      <w:pPr>
        <w:widowControl w:val="0"/>
        <w:autoSpaceDE w:val="0"/>
        <w:autoSpaceDN w:val="0"/>
        <w:adjustRightInd w:val="0"/>
        <w:spacing w:line="276" w:lineRule="auto"/>
        <w:ind w:right="51"/>
        <w:jc w:val="both"/>
        <w:rPr>
          <w:rFonts w:ascii="Arial" w:eastAsia="Times New Roman" w:hAnsi="Arial" w:cs="Arial"/>
          <w:color w:val="000000" w:themeColor="text1"/>
          <w:sz w:val="24"/>
          <w:szCs w:val="24"/>
          <w:bdr w:val="none" w:sz="0" w:space="0" w:color="auto" w:frame="1"/>
          <w:shd w:val="clear" w:color="auto" w:fill="FFFFFF"/>
          <w:lang w:eastAsia="es-ES"/>
        </w:rPr>
      </w:pPr>
      <w:r w:rsidRPr="0028514A">
        <w:rPr>
          <w:rFonts w:ascii="Arial" w:eastAsia="Times New Roman" w:hAnsi="Arial" w:cs="Arial"/>
          <w:color w:val="000000" w:themeColor="text1"/>
          <w:sz w:val="24"/>
          <w:szCs w:val="24"/>
          <w:bdr w:val="none" w:sz="0" w:space="0" w:color="auto" w:frame="1"/>
          <w:shd w:val="clear" w:color="auto" w:fill="FFFFFF"/>
          <w:lang w:eastAsia="es-ES"/>
        </w:rPr>
        <w:t>3. Las pretensiones se basaron en las siguientes afirmaciones:</w:t>
      </w:r>
    </w:p>
    <w:p w14:paraId="4C096B3F" w14:textId="77777777" w:rsidR="004D6E95" w:rsidRPr="0028514A" w:rsidRDefault="004D6E95" w:rsidP="004D6E95">
      <w:pPr>
        <w:widowControl w:val="0"/>
        <w:autoSpaceDE w:val="0"/>
        <w:autoSpaceDN w:val="0"/>
        <w:adjustRightInd w:val="0"/>
        <w:spacing w:line="276" w:lineRule="auto"/>
        <w:ind w:right="51"/>
        <w:jc w:val="both"/>
        <w:rPr>
          <w:rFonts w:ascii="Arial" w:eastAsia="Times New Roman" w:hAnsi="Arial" w:cs="Arial"/>
          <w:color w:val="000000" w:themeColor="text1"/>
          <w:sz w:val="24"/>
          <w:szCs w:val="24"/>
          <w:bdr w:val="none" w:sz="0" w:space="0" w:color="auto" w:frame="1"/>
          <w:shd w:val="clear" w:color="auto" w:fill="FFFFFF"/>
          <w:lang w:eastAsia="es-ES"/>
        </w:rPr>
      </w:pPr>
    </w:p>
    <w:p w14:paraId="20641E7D" w14:textId="4AD85E1E" w:rsidR="004D6E95" w:rsidRPr="0028514A" w:rsidRDefault="004D6E95" w:rsidP="004D6E95">
      <w:pPr>
        <w:spacing w:line="276" w:lineRule="auto"/>
        <w:jc w:val="both"/>
        <w:rPr>
          <w:rFonts w:ascii="Arial" w:hAnsi="Arial" w:cs="Arial"/>
          <w:sz w:val="24"/>
          <w:szCs w:val="24"/>
        </w:rPr>
      </w:pPr>
      <w:r w:rsidRPr="0028514A">
        <w:rPr>
          <w:rFonts w:ascii="Arial" w:hAnsi="Arial" w:cs="Arial"/>
          <w:color w:val="000000" w:themeColor="text1"/>
          <w:sz w:val="24"/>
          <w:szCs w:val="24"/>
        </w:rPr>
        <w:t xml:space="preserve">3.1.- </w:t>
      </w:r>
      <w:r w:rsidRPr="0028514A">
        <w:rPr>
          <w:rFonts w:ascii="Arial" w:hAnsi="Arial" w:cs="Arial"/>
          <w:sz w:val="24"/>
          <w:szCs w:val="24"/>
        </w:rPr>
        <w:t xml:space="preserve">El 15 de julio de </w:t>
      </w:r>
      <w:r w:rsidR="00347014" w:rsidRPr="0028514A">
        <w:rPr>
          <w:rFonts w:ascii="Arial" w:hAnsi="Arial" w:cs="Arial"/>
          <w:sz w:val="24"/>
          <w:szCs w:val="24"/>
        </w:rPr>
        <w:t xml:space="preserve">2015 </w:t>
      </w:r>
      <w:r w:rsidRPr="0028514A">
        <w:rPr>
          <w:rFonts w:ascii="Arial" w:hAnsi="Arial" w:cs="Arial"/>
          <w:sz w:val="24"/>
          <w:szCs w:val="24"/>
        </w:rPr>
        <w:t>suscribió un &lt;&lt;</w:t>
      </w:r>
      <w:r w:rsidRPr="0028514A">
        <w:rPr>
          <w:rFonts w:ascii="Arial" w:hAnsi="Arial" w:cs="Arial"/>
          <w:i/>
          <w:iCs/>
          <w:sz w:val="24"/>
          <w:szCs w:val="24"/>
        </w:rPr>
        <w:t>contrato de transacción&gt;&gt;</w:t>
      </w:r>
      <w:r w:rsidRPr="0028514A">
        <w:rPr>
          <w:rFonts w:ascii="Arial" w:hAnsi="Arial" w:cs="Arial"/>
          <w:sz w:val="24"/>
          <w:szCs w:val="24"/>
        </w:rPr>
        <w:t xml:space="preserve"> con el señor Francisco Fajardo Guerra por el monto de $60´000.000, con el objeto de solucionar las discrepancias sobre dineros adeudados por las asesorías jurídicas que le prestó en el año 2014. </w:t>
      </w:r>
    </w:p>
    <w:p w14:paraId="3BF269A4" w14:textId="77777777" w:rsidR="004D6E95" w:rsidRPr="0028514A" w:rsidRDefault="004D6E95" w:rsidP="004D6E95">
      <w:pPr>
        <w:spacing w:line="276" w:lineRule="auto"/>
        <w:jc w:val="both"/>
        <w:rPr>
          <w:rFonts w:ascii="Arial" w:hAnsi="Arial" w:cs="Arial"/>
          <w:sz w:val="24"/>
          <w:szCs w:val="24"/>
        </w:rPr>
      </w:pPr>
    </w:p>
    <w:p w14:paraId="5DCB9650" w14:textId="218DC35F"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3.2.- En el 2016, el accionante presentó una demanda ejecutiva contra el señor Fajardo Guerra </w:t>
      </w:r>
      <w:r w:rsidR="00052D55" w:rsidRPr="0028514A">
        <w:rPr>
          <w:rFonts w:ascii="Arial" w:hAnsi="Arial" w:cs="Arial"/>
          <w:sz w:val="24"/>
          <w:szCs w:val="24"/>
        </w:rPr>
        <w:t>por el</w:t>
      </w:r>
      <w:r w:rsidRPr="0028514A">
        <w:rPr>
          <w:rFonts w:ascii="Arial" w:hAnsi="Arial" w:cs="Arial"/>
          <w:sz w:val="24"/>
          <w:szCs w:val="24"/>
        </w:rPr>
        <w:t xml:space="preserve"> incumplimiento del contrato de transacción suscrito en el 2015. Dentro del proceso ejecutivo se surtieron las notificaciones correspondientes y, sin embargo, no hubo contestación alguna por parte del ejecutado. En consecuencia, se dictó sentencia mediante la cual se ordenó el remate en subasta pública del inmueble &lt;&lt;</w:t>
      </w:r>
      <w:r w:rsidRPr="0028514A">
        <w:rPr>
          <w:rFonts w:ascii="Arial" w:hAnsi="Arial" w:cs="Arial"/>
          <w:i/>
          <w:iCs/>
          <w:sz w:val="24"/>
          <w:szCs w:val="24"/>
        </w:rPr>
        <w:t>La</w:t>
      </w:r>
      <w:r w:rsidRPr="0028514A">
        <w:rPr>
          <w:rFonts w:ascii="Arial" w:hAnsi="Arial" w:cs="Arial"/>
          <w:sz w:val="24"/>
          <w:szCs w:val="24"/>
        </w:rPr>
        <w:t xml:space="preserve"> </w:t>
      </w:r>
      <w:r w:rsidRPr="0028514A">
        <w:rPr>
          <w:rFonts w:ascii="Arial" w:hAnsi="Arial" w:cs="Arial"/>
          <w:i/>
          <w:iCs/>
          <w:sz w:val="24"/>
          <w:szCs w:val="24"/>
        </w:rPr>
        <w:t>Milagrosa</w:t>
      </w:r>
      <w:r w:rsidRPr="0028514A">
        <w:rPr>
          <w:rFonts w:ascii="Arial" w:hAnsi="Arial" w:cs="Arial"/>
          <w:sz w:val="24"/>
          <w:szCs w:val="24"/>
        </w:rPr>
        <w:t>&gt;&gt;.</w:t>
      </w:r>
    </w:p>
    <w:p w14:paraId="66525DD1" w14:textId="77777777" w:rsidR="004D6E95" w:rsidRPr="0028514A" w:rsidRDefault="004D6E95" w:rsidP="004D6E95">
      <w:pPr>
        <w:spacing w:line="276" w:lineRule="auto"/>
        <w:jc w:val="both"/>
        <w:rPr>
          <w:rFonts w:ascii="Arial" w:hAnsi="Arial" w:cs="Arial"/>
          <w:sz w:val="24"/>
          <w:szCs w:val="24"/>
        </w:rPr>
      </w:pPr>
    </w:p>
    <w:p w14:paraId="00E60434" w14:textId="568CE628"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3.3.- El 29 de noviembre de 2016 el señor Francisco Fajardo Guerra formuló queja disciplinaria contra el accionante porque consideró que realizó actos fraudulentos para que se firmara la transacción por una suma &lt;&lt;</w:t>
      </w:r>
      <w:r w:rsidRPr="0028514A">
        <w:rPr>
          <w:rFonts w:ascii="Arial" w:hAnsi="Arial" w:cs="Arial"/>
          <w:i/>
          <w:iCs/>
          <w:sz w:val="24"/>
          <w:szCs w:val="24"/>
        </w:rPr>
        <w:t>desproporcionada</w:t>
      </w:r>
      <w:r w:rsidRPr="0028514A">
        <w:rPr>
          <w:rFonts w:ascii="Arial" w:hAnsi="Arial" w:cs="Arial"/>
          <w:sz w:val="24"/>
          <w:szCs w:val="24"/>
        </w:rPr>
        <w:t xml:space="preserve">&gt;&gt; </w:t>
      </w:r>
      <w:r w:rsidR="00347014" w:rsidRPr="0028514A">
        <w:rPr>
          <w:rFonts w:ascii="Arial" w:hAnsi="Arial" w:cs="Arial"/>
          <w:sz w:val="24"/>
          <w:szCs w:val="24"/>
        </w:rPr>
        <w:t xml:space="preserve">con </w:t>
      </w:r>
      <w:r w:rsidRPr="0028514A">
        <w:rPr>
          <w:rFonts w:ascii="Arial" w:hAnsi="Arial" w:cs="Arial"/>
          <w:sz w:val="24"/>
          <w:szCs w:val="24"/>
        </w:rPr>
        <w:t>las asesorías jurídicas que le brindó. Adicionalmente, señaló que el accionante solo le indicó que firmara un documento que ni siquiera pudo leer por problemas de visión por su avanzada edad.</w:t>
      </w:r>
    </w:p>
    <w:p w14:paraId="133BFA3D" w14:textId="77777777" w:rsidR="004D6E95" w:rsidRPr="0028514A" w:rsidRDefault="004D6E95" w:rsidP="004D6E95">
      <w:pPr>
        <w:spacing w:line="276" w:lineRule="auto"/>
        <w:jc w:val="both"/>
        <w:rPr>
          <w:rFonts w:ascii="Arial" w:hAnsi="Arial" w:cs="Arial"/>
          <w:sz w:val="24"/>
          <w:szCs w:val="24"/>
        </w:rPr>
      </w:pPr>
    </w:p>
    <w:p w14:paraId="7EFBA43D" w14:textId="5374A509"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3.4.- El 31 de mayo de 2019 la </w:t>
      </w:r>
      <w:r w:rsidRPr="0028514A">
        <w:rPr>
          <w:rFonts w:ascii="Arial" w:hAnsi="Arial" w:cs="Arial"/>
          <w:b/>
          <w:sz w:val="24"/>
          <w:szCs w:val="24"/>
        </w:rPr>
        <w:t>Sala Jurisdiccional Disciplinaria del Consejo Seccional de la Judicatura de Bogotá</w:t>
      </w:r>
      <w:r w:rsidRPr="0028514A">
        <w:rPr>
          <w:rFonts w:ascii="Arial" w:hAnsi="Arial" w:cs="Arial"/>
          <w:sz w:val="24"/>
          <w:szCs w:val="24"/>
        </w:rPr>
        <w:t xml:space="preserve"> sancionó al accionante con una suspensión de cuatro (4) meses en el ejercicio de la profesión y una multa de diez (10) SMLMV, tras hallarlo responsable disciplinariamente por incurrir en la falta prevista en el numeral 1° de artículo 35 de la Ley 1123 de 2007</w:t>
      </w:r>
      <w:r w:rsidRPr="0028514A">
        <w:rPr>
          <w:rStyle w:val="Refdenotaalpie"/>
          <w:rFonts w:ascii="Arial" w:hAnsi="Arial" w:cs="Arial"/>
          <w:sz w:val="24"/>
          <w:szCs w:val="24"/>
        </w:rPr>
        <w:footnoteReference w:id="1"/>
      </w:r>
      <w:r w:rsidRPr="0028514A">
        <w:rPr>
          <w:rFonts w:ascii="Arial" w:hAnsi="Arial" w:cs="Arial"/>
          <w:sz w:val="24"/>
          <w:szCs w:val="24"/>
        </w:rPr>
        <w:t>, al quebrantar el deber profesional de que trata el numeral 8 del artículo 28 de la Ley 1123 de 2007</w:t>
      </w:r>
      <w:r w:rsidRPr="0028514A">
        <w:rPr>
          <w:rStyle w:val="Refdenotaalpie"/>
          <w:rFonts w:ascii="Arial" w:hAnsi="Arial" w:cs="Arial"/>
          <w:sz w:val="24"/>
          <w:szCs w:val="24"/>
        </w:rPr>
        <w:footnoteReference w:id="2"/>
      </w:r>
      <w:r w:rsidR="00347014" w:rsidRPr="0028514A">
        <w:rPr>
          <w:rFonts w:ascii="Arial" w:hAnsi="Arial" w:cs="Arial"/>
          <w:sz w:val="24"/>
          <w:szCs w:val="24"/>
        </w:rPr>
        <w:t>. Estableció que</w:t>
      </w:r>
      <w:r w:rsidRPr="0028514A">
        <w:rPr>
          <w:rFonts w:ascii="Arial" w:hAnsi="Arial" w:cs="Arial"/>
          <w:sz w:val="24"/>
          <w:szCs w:val="24"/>
        </w:rPr>
        <w:t xml:space="preserve"> el accionante acordó una remuneración desproporcionada a </w:t>
      </w:r>
      <w:r w:rsidRPr="0028514A">
        <w:rPr>
          <w:rFonts w:ascii="Arial" w:hAnsi="Arial" w:cs="Arial"/>
          <w:sz w:val="24"/>
          <w:szCs w:val="24"/>
        </w:rPr>
        <w:lastRenderedPageBreak/>
        <w:t>su trabajo, en el entendido de que no se demostraron las actuaciones y asesorías por las cuales debía percibir honorarios por valor de $60´000.000.</w:t>
      </w:r>
    </w:p>
    <w:p w14:paraId="16D8B8B4" w14:textId="77777777" w:rsidR="004D6E95" w:rsidRPr="0028514A" w:rsidRDefault="004D6E95" w:rsidP="004D6E95">
      <w:pPr>
        <w:spacing w:line="276" w:lineRule="auto"/>
        <w:jc w:val="both"/>
        <w:rPr>
          <w:rFonts w:ascii="Arial" w:hAnsi="Arial" w:cs="Arial"/>
          <w:sz w:val="24"/>
          <w:szCs w:val="24"/>
        </w:rPr>
      </w:pPr>
    </w:p>
    <w:p w14:paraId="133288EA" w14:textId="2B4C9353"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3.5.- El accionante apeló la decisión, </w:t>
      </w:r>
      <w:r w:rsidR="007834AC" w:rsidRPr="0028514A">
        <w:rPr>
          <w:rFonts w:ascii="Arial" w:hAnsi="Arial" w:cs="Arial"/>
          <w:sz w:val="24"/>
          <w:szCs w:val="24"/>
        </w:rPr>
        <w:t xml:space="preserve">y </w:t>
      </w:r>
      <w:r w:rsidRPr="0028514A">
        <w:rPr>
          <w:rFonts w:ascii="Arial" w:hAnsi="Arial" w:cs="Arial"/>
          <w:sz w:val="24"/>
          <w:szCs w:val="24"/>
        </w:rPr>
        <w:t>como argumentos en esa instancia sostuvo que (i) &lt;&lt;la queja había sido presentada por trasgredir el artículo 33 numeral 9 mas no por cobro desproporcionado de honorarios</w:t>
      </w:r>
      <w:r w:rsidR="007834AC" w:rsidRPr="0028514A">
        <w:rPr>
          <w:rFonts w:ascii="Arial" w:hAnsi="Arial" w:cs="Arial"/>
          <w:sz w:val="24"/>
          <w:szCs w:val="24"/>
        </w:rPr>
        <w:t>;</w:t>
      </w:r>
      <w:r w:rsidRPr="0028514A">
        <w:rPr>
          <w:rFonts w:ascii="Arial" w:hAnsi="Arial" w:cs="Arial"/>
          <w:sz w:val="24"/>
          <w:szCs w:val="24"/>
        </w:rPr>
        <w:t xml:space="preserve"> por ello, </w:t>
      </w:r>
      <w:r w:rsidR="007834AC" w:rsidRPr="0028514A">
        <w:rPr>
          <w:rFonts w:ascii="Arial" w:hAnsi="Arial" w:cs="Arial"/>
          <w:sz w:val="24"/>
          <w:szCs w:val="24"/>
        </w:rPr>
        <w:t>la</w:t>
      </w:r>
      <w:r w:rsidRPr="0028514A">
        <w:rPr>
          <w:rFonts w:ascii="Arial" w:hAnsi="Arial" w:cs="Arial"/>
          <w:sz w:val="24"/>
          <w:szCs w:val="24"/>
        </w:rPr>
        <w:t xml:space="preserve"> Seccional </w:t>
      </w:r>
      <w:r w:rsidR="007834AC" w:rsidRPr="0028514A">
        <w:rPr>
          <w:rFonts w:ascii="Arial" w:hAnsi="Arial" w:cs="Arial"/>
          <w:sz w:val="24"/>
          <w:szCs w:val="24"/>
        </w:rPr>
        <w:t xml:space="preserve">no ha debido compulsar copias </w:t>
      </w:r>
      <w:r w:rsidRPr="0028514A">
        <w:rPr>
          <w:rFonts w:ascii="Arial" w:hAnsi="Arial" w:cs="Arial"/>
          <w:sz w:val="24"/>
          <w:szCs w:val="24"/>
        </w:rPr>
        <w:t xml:space="preserve">para investigarlo por los mismos hechos </w:t>
      </w:r>
      <w:r w:rsidR="007834AC" w:rsidRPr="0028514A">
        <w:rPr>
          <w:rFonts w:ascii="Arial" w:hAnsi="Arial" w:cs="Arial"/>
          <w:sz w:val="24"/>
          <w:szCs w:val="24"/>
        </w:rPr>
        <w:t xml:space="preserve">que se investigan </w:t>
      </w:r>
      <w:r w:rsidRPr="0028514A">
        <w:rPr>
          <w:rFonts w:ascii="Arial" w:hAnsi="Arial" w:cs="Arial"/>
          <w:sz w:val="24"/>
          <w:szCs w:val="24"/>
        </w:rPr>
        <w:t xml:space="preserve">en el presente plenario, pues no podía subsanar sus errores violando el debido proceso y el </w:t>
      </w:r>
      <w:r w:rsidRPr="0028514A">
        <w:rPr>
          <w:rFonts w:ascii="Arial" w:hAnsi="Arial" w:cs="Arial"/>
          <w:i/>
          <w:sz w:val="24"/>
          <w:szCs w:val="24"/>
        </w:rPr>
        <w:t>non bis ídem.&gt;&gt;; (</w:t>
      </w:r>
      <w:proofErr w:type="spellStart"/>
      <w:r w:rsidRPr="0028514A">
        <w:rPr>
          <w:rFonts w:ascii="Arial" w:hAnsi="Arial" w:cs="Arial"/>
          <w:i/>
          <w:sz w:val="24"/>
          <w:szCs w:val="24"/>
        </w:rPr>
        <w:t>ii</w:t>
      </w:r>
      <w:proofErr w:type="spellEnd"/>
      <w:r w:rsidRPr="0028514A">
        <w:rPr>
          <w:rFonts w:ascii="Arial" w:hAnsi="Arial" w:cs="Arial"/>
          <w:i/>
          <w:sz w:val="24"/>
          <w:szCs w:val="24"/>
        </w:rPr>
        <w:t>) &lt;&lt;</w:t>
      </w:r>
      <w:r w:rsidRPr="0028514A">
        <w:rPr>
          <w:rFonts w:ascii="Arial" w:hAnsi="Arial" w:cs="Arial"/>
          <w:sz w:val="24"/>
          <w:szCs w:val="24"/>
        </w:rPr>
        <w:t xml:space="preserve">hubo incongruencia entre la investigación y la calificación, </w:t>
      </w:r>
      <w:r w:rsidR="007834AC" w:rsidRPr="0028514A">
        <w:rPr>
          <w:rFonts w:ascii="Arial" w:hAnsi="Arial" w:cs="Arial"/>
          <w:sz w:val="24"/>
          <w:szCs w:val="24"/>
        </w:rPr>
        <w:t xml:space="preserve">y </w:t>
      </w:r>
      <w:r w:rsidRPr="0028514A">
        <w:rPr>
          <w:rFonts w:ascii="Arial" w:hAnsi="Arial" w:cs="Arial"/>
          <w:sz w:val="24"/>
          <w:szCs w:val="24"/>
        </w:rPr>
        <w:t>la sanción fue desproporcionada e incomprensible, pues en la parte motiva se dijo que la multa era de dos (2) SMMLV y al final lo sanciona</w:t>
      </w:r>
      <w:r w:rsidR="007834AC" w:rsidRPr="0028514A">
        <w:rPr>
          <w:rFonts w:ascii="Arial" w:hAnsi="Arial" w:cs="Arial"/>
          <w:sz w:val="24"/>
          <w:szCs w:val="24"/>
        </w:rPr>
        <w:t>ro</w:t>
      </w:r>
      <w:r w:rsidRPr="0028514A">
        <w:rPr>
          <w:rFonts w:ascii="Arial" w:hAnsi="Arial" w:cs="Arial"/>
          <w:sz w:val="24"/>
          <w:szCs w:val="24"/>
        </w:rPr>
        <w:t>n con diez (10) SMMLV.&gt;&gt;</w:t>
      </w:r>
      <w:r w:rsidR="007834AC" w:rsidRPr="0028514A">
        <w:rPr>
          <w:rFonts w:ascii="Arial" w:hAnsi="Arial" w:cs="Arial"/>
          <w:sz w:val="24"/>
          <w:szCs w:val="24"/>
        </w:rPr>
        <w:t>;</w:t>
      </w:r>
      <w:r w:rsidRPr="0028514A">
        <w:rPr>
          <w:rFonts w:ascii="Arial" w:hAnsi="Arial" w:cs="Arial"/>
          <w:sz w:val="24"/>
          <w:szCs w:val="24"/>
        </w:rPr>
        <w:t xml:space="preserve"> (</w:t>
      </w:r>
      <w:proofErr w:type="spellStart"/>
      <w:r w:rsidRPr="0028514A">
        <w:rPr>
          <w:rFonts w:ascii="Arial" w:hAnsi="Arial" w:cs="Arial"/>
          <w:sz w:val="24"/>
          <w:szCs w:val="24"/>
        </w:rPr>
        <w:t>iii</w:t>
      </w:r>
      <w:proofErr w:type="spellEnd"/>
      <w:r w:rsidRPr="0028514A">
        <w:rPr>
          <w:rFonts w:ascii="Arial" w:hAnsi="Arial" w:cs="Arial"/>
          <w:sz w:val="24"/>
          <w:szCs w:val="24"/>
        </w:rPr>
        <w:t>) solicitó no someter a reparto las copias del proceso para que se investigue la posible falta disciplinaria por los hechos denunciados en la queja</w:t>
      </w:r>
      <w:r w:rsidR="007834AC" w:rsidRPr="0028514A">
        <w:rPr>
          <w:rFonts w:ascii="Arial" w:hAnsi="Arial" w:cs="Arial"/>
          <w:sz w:val="24"/>
          <w:szCs w:val="24"/>
        </w:rPr>
        <w:t xml:space="preserve"> e</w:t>
      </w:r>
      <w:r w:rsidRPr="0028514A">
        <w:rPr>
          <w:rFonts w:ascii="Arial" w:hAnsi="Arial" w:cs="Arial"/>
          <w:sz w:val="24"/>
          <w:szCs w:val="24"/>
        </w:rPr>
        <w:t xml:space="preserve"> investigar la procedencia y autoría del documento presentado con la firma del quejoso que este desconoce y negó haber firmado y radicado&gt;&gt;.</w:t>
      </w:r>
    </w:p>
    <w:p w14:paraId="14BB4357" w14:textId="77777777" w:rsidR="004D6E95" w:rsidRPr="0028514A" w:rsidRDefault="004D6E95" w:rsidP="004D6E95">
      <w:pPr>
        <w:spacing w:line="276" w:lineRule="auto"/>
        <w:jc w:val="both"/>
        <w:rPr>
          <w:rFonts w:ascii="Arial" w:hAnsi="Arial" w:cs="Arial"/>
          <w:sz w:val="24"/>
          <w:szCs w:val="24"/>
        </w:rPr>
      </w:pPr>
    </w:p>
    <w:p w14:paraId="6F131B46" w14:textId="720A11A3" w:rsidR="004D6E95" w:rsidRPr="0028514A" w:rsidRDefault="004D6E95" w:rsidP="004D6E95">
      <w:pPr>
        <w:shd w:val="clear" w:color="auto" w:fill="FFFFFF"/>
        <w:spacing w:line="276" w:lineRule="auto"/>
        <w:ind w:right="-234"/>
        <w:contextualSpacing/>
        <w:jc w:val="both"/>
        <w:rPr>
          <w:rFonts w:ascii="Arial" w:hAnsi="Arial" w:cs="Arial"/>
          <w:sz w:val="24"/>
          <w:szCs w:val="24"/>
        </w:rPr>
      </w:pPr>
      <w:r w:rsidRPr="0028514A">
        <w:rPr>
          <w:rFonts w:ascii="Arial" w:hAnsi="Arial" w:cs="Arial"/>
          <w:sz w:val="24"/>
          <w:szCs w:val="24"/>
        </w:rPr>
        <w:t xml:space="preserve">3.6.- Mediante sentencia del 8 de julio de 2020 </w:t>
      </w:r>
      <w:r w:rsidRPr="0028514A">
        <w:rPr>
          <w:rFonts w:ascii="Arial" w:hAnsi="Arial" w:cs="Arial"/>
          <w:b/>
          <w:sz w:val="24"/>
          <w:szCs w:val="24"/>
        </w:rPr>
        <w:t>la Sala Jurisdiccional Disciplinaria del Consejo Superior de la Judicatura</w:t>
      </w:r>
      <w:r w:rsidRPr="0028514A">
        <w:rPr>
          <w:rFonts w:ascii="Arial" w:hAnsi="Arial" w:cs="Arial"/>
          <w:sz w:val="24"/>
          <w:szCs w:val="24"/>
        </w:rPr>
        <w:t xml:space="preserve"> modificó la sanción, en el sentido de </w:t>
      </w:r>
      <w:r w:rsidR="007834AC" w:rsidRPr="0028514A">
        <w:rPr>
          <w:rFonts w:ascii="Arial" w:hAnsi="Arial" w:cs="Arial"/>
          <w:sz w:val="24"/>
          <w:szCs w:val="24"/>
        </w:rPr>
        <w:t>establecer</w:t>
      </w:r>
      <w:r w:rsidRPr="0028514A">
        <w:rPr>
          <w:rFonts w:ascii="Arial" w:hAnsi="Arial" w:cs="Arial"/>
          <w:sz w:val="24"/>
          <w:szCs w:val="24"/>
        </w:rPr>
        <w:t xml:space="preserve"> la multa </w:t>
      </w:r>
      <w:r w:rsidR="007834AC" w:rsidRPr="0028514A">
        <w:rPr>
          <w:rFonts w:ascii="Arial" w:hAnsi="Arial" w:cs="Arial"/>
          <w:sz w:val="24"/>
          <w:szCs w:val="24"/>
        </w:rPr>
        <w:t>en dos</w:t>
      </w:r>
      <w:r w:rsidRPr="0028514A">
        <w:rPr>
          <w:rFonts w:ascii="Arial" w:hAnsi="Arial" w:cs="Arial"/>
          <w:sz w:val="24"/>
          <w:szCs w:val="24"/>
        </w:rPr>
        <w:t xml:space="preserve"> </w:t>
      </w:r>
      <w:r w:rsidR="007834AC" w:rsidRPr="0028514A">
        <w:rPr>
          <w:rFonts w:ascii="Arial" w:hAnsi="Arial" w:cs="Arial"/>
          <w:sz w:val="24"/>
          <w:szCs w:val="24"/>
        </w:rPr>
        <w:t>(</w:t>
      </w:r>
      <w:r w:rsidRPr="0028514A">
        <w:rPr>
          <w:rFonts w:ascii="Arial" w:hAnsi="Arial" w:cs="Arial"/>
          <w:sz w:val="24"/>
          <w:szCs w:val="24"/>
        </w:rPr>
        <w:t>2</w:t>
      </w:r>
      <w:r w:rsidR="007834AC" w:rsidRPr="0028514A">
        <w:rPr>
          <w:rFonts w:ascii="Arial" w:hAnsi="Arial" w:cs="Arial"/>
          <w:sz w:val="24"/>
          <w:szCs w:val="24"/>
        </w:rPr>
        <w:t>)</w:t>
      </w:r>
      <w:r w:rsidRPr="0028514A">
        <w:rPr>
          <w:rFonts w:ascii="Arial" w:hAnsi="Arial" w:cs="Arial"/>
          <w:sz w:val="24"/>
          <w:szCs w:val="24"/>
        </w:rPr>
        <w:t xml:space="preserve"> SMMLV. Consideró que el accionante actuó dolosamente por acordar una remuneración desproporcionada a su trabajo, con &lt;&lt;</w:t>
      </w:r>
      <w:r w:rsidRPr="0028514A">
        <w:rPr>
          <w:rFonts w:ascii="Arial" w:hAnsi="Arial" w:cs="Arial"/>
          <w:i/>
          <w:iCs/>
          <w:sz w:val="24"/>
          <w:szCs w:val="24"/>
        </w:rPr>
        <w:t>el aprovechamiento de la necesidad, ignorancia o inexperiencia del quejoso</w:t>
      </w:r>
      <w:r w:rsidRPr="0028514A">
        <w:rPr>
          <w:rFonts w:ascii="Arial" w:hAnsi="Arial" w:cs="Arial"/>
          <w:sz w:val="24"/>
          <w:szCs w:val="24"/>
        </w:rPr>
        <w:t xml:space="preserve">&gt;&gt;, pues transó honorarios por la suma de $60.000.000, cuando ya se había pactado por sus labores el equivalente al 20% del valor comercial del predio recuperado a nombre del quejoso, esto es, una suma inferior a los $60´000.000. </w:t>
      </w:r>
    </w:p>
    <w:p w14:paraId="4B0A2EE3" w14:textId="77777777" w:rsidR="004D6E95" w:rsidRPr="0028514A" w:rsidRDefault="004D6E95" w:rsidP="004D6E95">
      <w:pPr>
        <w:shd w:val="clear" w:color="auto" w:fill="FFFFFF" w:themeFill="background1"/>
        <w:spacing w:line="276" w:lineRule="auto"/>
        <w:ind w:right="-234"/>
        <w:contextualSpacing/>
        <w:jc w:val="both"/>
        <w:rPr>
          <w:rFonts w:ascii="Arial" w:hAnsi="Arial" w:cs="Arial"/>
          <w:sz w:val="24"/>
          <w:szCs w:val="24"/>
        </w:rPr>
      </w:pPr>
    </w:p>
    <w:p w14:paraId="60B58804" w14:textId="77777777" w:rsidR="004D6E95" w:rsidRPr="0028514A" w:rsidRDefault="004D6E95" w:rsidP="004D6E95">
      <w:pPr>
        <w:shd w:val="clear" w:color="auto" w:fill="FFFFFF"/>
        <w:spacing w:line="276" w:lineRule="auto"/>
        <w:ind w:right="-234"/>
        <w:contextualSpacing/>
        <w:jc w:val="both"/>
        <w:rPr>
          <w:rFonts w:ascii="Arial" w:eastAsia="Times New Roman" w:hAnsi="Arial" w:cs="Arial"/>
          <w:b/>
          <w:color w:val="000000" w:themeColor="text1"/>
          <w:sz w:val="24"/>
          <w:szCs w:val="24"/>
        </w:rPr>
      </w:pPr>
      <w:r w:rsidRPr="0028514A">
        <w:rPr>
          <w:rFonts w:ascii="Arial" w:eastAsia="Times New Roman" w:hAnsi="Arial" w:cs="Arial"/>
          <w:b/>
          <w:color w:val="000000" w:themeColor="text1"/>
          <w:sz w:val="24"/>
          <w:szCs w:val="24"/>
        </w:rPr>
        <w:t xml:space="preserve">C. Fundamentos de vulneración </w:t>
      </w:r>
    </w:p>
    <w:p w14:paraId="2F2FDB38" w14:textId="77777777" w:rsidR="004D6E95" w:rsidRPr="0028514A" w:rsidRDefault="004D6E95" w:rsidP="004D6E95">
      <w:pPr>
        <w:spacing w:line="276" w:lineRule="auto"/>
        <w:jc w:val="both"/>
        <w:rPr>
          <w:rFonts w:ascii="Arial" w:hAnsi="Arial" w:cs="Arial"/>
          <w:b/>
          <w:sz w:val="24"/>
          <w:szCs w:val="24"/>
        </w:rPr>
      </w:pPr>
    </w:p>
    <w:p w14:paraId="59F9BE0C" w14:textId="77777777"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4.- El accionante indicó que la autoridad accionada incurrió en los siguientes defectos:</w:t>
      </w:r>
    </w:p>
    <w:p w14:paraId="5CFCAFDE" w14:textId="77777777" w:rsidR="004D6E95" w:rsidRPr="0028514A" w:rsidRDefault="004D6E95" w:rsidP="004D6E95">
      <w:pPr>
        <w:spacing w:line="276" w:lineRule="auto"/>
        <w:jc w:val="both"/>
        <w:rPr>
          <w:rFonts w:ascii="Arial" w:hAnsi="Arial" w:cs="Arial"/>
          <w:sz w:val="24"/>
          <w:szCs w:val="24"/>
        </w:rPr>
      </w:pPr>
    </w:p>
    <w:p w14:paraId="64F3CBDC" w14:textId="4B18626D"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4.1.- </w:t>
      </w:r>
      <w:r w:rsidRPr="0028514A">
        <w:rPr>
          <w:rFonts w:ascii="Arial" w:hAnsi="Arial" w:cs="Arial"/>
          <w:b/>
          <w:bCs/>
          <w:sz w:val="24"/>
          <w:szCs w:val="24"/>
        </w:rPr>
        <w:t>Fáctico</w:t>
      </w:r>
      <w:r w:rsidRPr="0028514A">
        <w:rPr>
          <w:rFonts w:ascii="Arial" w:hAnsi="Arial" w:cs="Arial"/>
          <w:sz w:val="24"/>
          <w:szCs w:val="24"/>
        </w:rPr>
        <w:t>, porque consideró que la sentencia acusada declaró probados supuestos de hecho sin que existieran pruebas de ellos, pues se dijo que &lt;&lt;</w:t>
      </w:r>
      <w:r w:rsidRPr="0028514A">
        <w:rPr>
          <w:rFonts w:ascii="Arial" w:hAnsi="Arial" w:cs="Arial"/>
          <w:i/>
          <w:iCs/>
          <w:sz w:val="24"/>
          <w:szCs w:val="24"/>
        </w:rPr>
        <w:t>me aproveché de su limitación visual para engañarlo</w:t>
      </w:r>
      <w:r w:rsidRPr="0028514A">
        <w:rPr>
          <w:rFonts w:ascii="Arial" w:hAnsi="Arial" w:cs="Arial"/>
          <w:sz w:val="24"/>
          <w:szCs w:val="24"/>
        </w:rPr>
        <w:t>&gt;&gt;, cuando es claro que esa limitación es inexistente</w:t>
      </w:r>
      <w:r w:rsidR="00460691" w:rsidRPr="0028514A">
        <w:rPr>
          <w:rFonts w:ascii="Arial" w:hAnsi="Arial" w:cs="Arial"/>
          <w:sz w:val="24"/>
          <w:szCs w:val="24"/>
        </w:rPr>
        <w:t>,</w:t>
      </w:r>
      <w:r w:rsidRPr="0028514A">
        <w:rPr>
          <w:rFonts w:ascii="Arial" w:hAnsi="Arial" w:cs="Arial"/>
          <w:sz w:val="24"/>
          <w:szCs w:val="24"/>
        </w:rPr>
        <w:t xml:space="preserve"> ya que existe prueba proveniente de la </w:t>
      </w:r>
      <w:r w:rsidR="00460691" w:rsidRPr="0028514A">
        <w:rPr>
          <w:rFonts w:ascii="Arial" w:hAnsi="Arial" w:cs="Arial"/>
          <w:sz w:val="24"/>
          <w:szCs w:val="24"/>
        </w:rPr>
        <w:t>S</w:t>
      </w:r>
      <w:r w:rsidRPr="0028514A">
        <w:rPr>
          <w:rFonts w:ascii="Arial" w:hAnsi="Arial" w:cs="Arial"/>
          <w:sz w:val="24"/>
          <w:szCs w:val="24"/>
        </w:rPr>
        <w:t xml:space="preserve">ecretaría de </w:t>
      </w:r>
      <w:r w:rsidR="00460691" w:rsidRPr="0028514A">
        <w:rPr>
          <w:rFonts w:ascii="Arial" w:hAnsi="Arial" w:cs="Arial"/>
          <w:sz w:val="24"/>
          <w:szCs w:val="24"/>
        </w:rPr>
        <w:t>M</w:t>
      </w:r>
      <w:r w:rsidRPr="0028514A">
        <w:rPr>
          <w:rFonts w:ascii="Arial" w:hAnsi="Arial" w:cs="Arial"/>
          <w:sz w:val="24"/>
          <w:szCs w:val="24"/>
        </w:rPr>
        <w:t>ovilidad en la que se certifica que el &lt;&lt;</w:t>
      </w:r>
      <w:r w:rsidRPr="0028514A">
        <w:rPr>
          <w:rFonts w:ascii="Arial" w:hAnsi="Arial" w:cs="Arial"/>
          <w:i/>
          <w:iCs/>
          <w:sz w:val="24"/>
          <w:szCs w:val="24"/>
        </w:rPr>
        <w:t>quejoso tiene licencia de conducción expedida previo examen médico el día 2 de agosto de 2015 (tres meses después de firmar la transacción)</w:t>
      </w:r>
      <w:r w:rsidRPr="0028514A">
        <w:rPr>
          <w:rFonts w:ascii="Arial" w:hAnsi="Arial" w:cs="Arial"/>
          <w:sz w:val="24"/>
          <w:szCs w:val="24"/>
        </w:rPr>
        <w:t xml:space="preserve">&gt;&gt;. Adicionalmente, hubo una indebida valoración del porcentaje que se pactó, pues no existió certeza de cuál era el valor comercial verdadero del predio </w:t>
      </w:r>
      <w:r w:rsidR="00460691" w:rsidRPr="0028514A">
        <w:rPr>
          <w:rFonts w:ascii="Arial" w:hAnsi="Arial" w:cs="Arial"/>
          <w:sz w:val="24"/>
          <w:szCs w:val="24"/>
        </w:rPr>
        <w:t>&lt;</w:t>
      </w:r>
      <w:r w:rsidRPr="0028514A">
        <w:rPr>
          <w:rFonts w:ascii="Arial" w:hAnsi="Arial" w:cs="Arial"/>
          <w:sz w:val="24"/>
          <w:szCs w:val="24"/>
        </w:rPr>
        <w:t>&lt;</w:t>
      </w:r>
      <w:r w:rsidRPr="0028514A">
        <w:rPr>
          <w:rFonts w:ascii="Arial" w:hAnsi="Arial" w:cs="Arial"/>
          <w:i/>
          <w:iCs/>
          <w:sz w:val="24"/>
          <w:szCs w:val="24"/>
        </w:rPr>
        <w:t>La</w:t>
      </w:r>
      <w:r w:rsidRPr="0028514A">
        <w:rPr>
          <w:rFonts w:ascii="Arial" w:hAnsi="Arial" w:cs="Arial"/>
          <w:sz w:val="24"/>
          <w:szCs w:val="24"/>
        </w:rPr>
        <w:t xml:space="preserve"> </w:t>
      </w:r>
      <w:r w:rsidRPr="0028514A">
        <w:rPr>
          <w:rFonts w:ascii="Arial" w:hAnsi="Arial" w:cs="Arial"/>
          <w:i/>
          <w:iCs/>
          <w:sz w:val="24"/>
          <w:szCs w:val="24"/>
        </w:rPr>
        <w:t>Milagrosa</w:t>
      </w:r>
      <w:r w:rsidRPr="0028514A">
        <w:rPr>
          <w:rFonts w:ascii="Arial" w:hAnsi="Arial" w:cs="Arial"/>
          <w:sz w:val="24"/>
          <w:szCs w:val="24"/>
        </w:rPr>
        <w:t>&gt;&gt;</w:t>
      </w:r>
      <w:r w:rsidR="00460691" w:rsidRPr="0028514A">
        <w:rPr>
          <w:rFonts w:ascii="Arial" w:hAnsi="Arial" w:cs="Arial"/>
          <w:sz w:val="24"/>
          <w:szCs w:val="24"/>
        </w:rPr>
        <w:t>.</w:t>
      </w:r>
    </w:p>
    <w:p w14:paraId="77E0AC8E" w14:textId="77777777" w:rsidR="004D6E95" w:rsidRPr="0028514A" w:rsidRDefault="004D6E95" w:rsidP="004D6E95">
      <w:pPr>
        <w:spacing w:line="276" w:lineRule="auto"/>
        <w:jc w:val="both"/>
        <w:rPr>
          <w:rFonts w:ascii="Arial" w:hAnsi="Arial" w:cs="Arial"/>
          <w:sz w:val="24"/>
          <w:szCs w:val="24"/>
        </w:rPr>
      </w:pPr>
    </w:p>
    <w:p w14:paraId="0148CA89" w14:textId="439A9BAD"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4.2.- </w:t>
      </w:r>
      <w:r w:rsidRPr="0028514A">
        <w:rPr>
          <w:rFonts w:ascii="Arial" w:hAnsi="Arial" w:cs="Arial"/>
          <w:b/>
          <w:bCs/>
          <w:sz w:val="24"/>
          <w:szCs w:val="24"/>
        </w:rPr>
        <w:t>Defecto sustantivo</w:t>
      </w:r>
      <w:r w:rsidRPr="0028514A">
        <w:rPr>
          <w:rFonts w:ascii="Arial" w:hAnsi="Arial" w:cs="Arial"/>
          <w:sz w:val="24"/>
          <w:szCs w:val="24"/>
        </w:rPr>
        <w:t xml:space="preserve">, porque la autoridad accionada no era competente para resolver el asunto planteado por el quejoso, pues su competencia </w:t>
      </w:r>
      <w:r w:rsidR="00460691" w:rsidRPr="0028514A">
        <w:rPr>
          <w:rFonts w:ascii="Arial" w:hAnsi="Arial" w:cs="Arial"/>
          <w:sz w:val="24"/>
          <w:szCs w:val="24"/>
        </w:rPr>
        <w:t xml:space="preserve">se limitaba a </w:t>
      </w:r>
      <w:r w:rsidRPr="0028514A">
        <w:rPr>
          <w:rFonts w:ascii="Arial" w:hAnsi="Arial" w:cs="Arial"/>
          <w:sz w:val="24"/>
          <w:szCs w:val="24"/>
        </w:rPr>
        <w:t xml:space="preserve">examinar la conducta de los abogados en ejercicio de su profesión y no, como lo </w:t>
      </w:r>
      <w:r w:rsidRPr="0028514A">
        <w:rPr>
          <w:rFonts w:ascii="Arial" w:hAnsi="Arial" w:cs="Arial"/>
          <w:sz w:val="24"/>
          <w:szCs w:val="24"/>
        </w:rPr>
        <w:lastRenderedPageBreak/>
        <w:t>hizo en la sentencia acusada, investigar el cobro de honorarios por una actuación que ya &lt;&lt;</w:t>
      </w:r>
      <w:r w:rsidRPr="0028514A">
        <w:rPr>
          <w:rFonts w:ascii="Arial" w:hAnsi="Arial" w:cs="Arial"/>
          <w:i/>
          <w:iCs/>
          <w:sz w:val="24"/>
          <w:szCs w:val="24"/>
        </w:rPr>
        <w:t>había sido recibida sin tacha, reclamo o descontento</w:t>
      </w:r>
      <w:r w:rsidRPr="0028514A">
        <w:rPr>
          <w:rFonts w:ascii="Arial" w:hAnsi="Arial" w:cs="Arial"/>
          <w:sz w:val="24"/>
          <w:szCs w:val="24"/>
        </w:rPr>
        <w:t xml:space="preserve">&gt;&gt;. </w:t>
      </w:r>
    </w:p>
    <w:p w14:paraId="608EA27D" w14:textId="77777777" w:rsidR="004D6E95" w:rsidRPr="0028514A" w:rsidRDefault="004D6E95" w:rsidP="004D6E95">
      <w:pPr>
        <w:spacing w:line="276" w:lineRule="auto"/>
        <w:jc w:val="both"/>
        <w:rPr>
          <w:rFonts w:ascii="Arial" w:hAnsi="Arial" w:cs="Arial"/>
          <w:sz w:val="24"/>
          <w:szCs w:val="24"/>
        </w:rPr>
      </w:pPr>
    </w:p>
    <w:p w14:paraId="5AFC8281" w14:textId="77777777"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4.3.- </w:t>
      </w:r>
      <w:r w:rsidRPr="0028514A">
        <w:rPr>
          <w:rFonts w:ascii="Arial" w:hAnsi="Arial" w:cs="Arial"/>
          <w:b/>
          <w:bCs/>
          <w:sz w:val="24"/>
          <w:szCs w:val="24"/>
        </w:rPr>
        <w:t xml:space="preserve">Procedimental, </w:t>
      </w:r>
      <w:r w:rsidRPr="0028514A">
        <w:rPr>
          <w:rFonts w:ascii="Arial" w:hAnsi="Arial" w:cs="Arial"/>
          <w:sz w:val="24"/>
          <w:szCs w:val="24"/>
        </w:rPr>
        <w:t>en tanto no hubo una notificación en debida forma porque con la providencia acusada no se enviaron los salvamentos de voto que se presentaron.</w:t>
      </w:r>
    </w:p>
    <w:p w14:paraId="24278627" w14:textId="77777777" w:rsidR="004D6E95" w:rsidRPr="0028514A" w:rsidRDefault="004D6E95" w:rsidP="004D6E95">
      <w:pPr>
        <w:spacing w:line="276" w:lineRule="auto"/>
        <w:jc w:val="both"/>
        <w:rPr>
          <w:rFonts w:ascii="Arial" w:hAnsi="Arial" w:cs="Arial"/>
          <w:sz w:val="24"/>
          <w:szCs w:val="24"/>
        </w:rPr>
      </w:pPr>
    </w:p>
    <w:p w14:paraId="1B52403D" w14:textId="73895677"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4.</w:t>
      </w:r>
      <w:r w:rsidR="00A139DF" w:rsidRPr="0028514A">
        <w:rPr>
          <w:rFonts w:ascii="Arial" w:hAnsi="Arial" w:cs="Arial"/>
          <w:sz w:val="24"/>
          <w:szCs w:val="24"/>
        </w:rPr>
        <w:t>4</w:t>
      </w:r>
      <w:r w:rsidRPr="0028514A">
        <w:rPr>
          <w:rFonts w:ascii="Arial" w:hAnsi="Arial" w:cs="Arial"/>
          <w:sz w:val="24"/>
          <w:szCs w:val="24"/>
        </w:rPr>
        <w:t xml:space="preserve">.- </w:t>
      </w:r>
      <w:r w:rsidRPr="0028514A">
        <w:rPr>
          <w:rFonts w:ascii="Arial" w:hAnsi="Arial" w:cs="Arial"/>
          <w:b/>
          <w:bCs/>
          <w:sz w:val="24"/>
          <w:szCs w:val="24"/>
        </w:rPr>
        <w:t>Defecto por violación directa de la Constitución,</w:t>
      </w:r>
      <w:r w:rsidRPr="0028514A">
        <w:rPr>
          <w:rFonts w:ascii="Arial" w:hAnsi="Arial" w:cs="Arial"/>
          <w:sz w:val="24"/>
          <w:szCs w:val="24"/>
        </w:rPr>
        <w:t xml:space="preserve"> dado que se vulneró su debido proceso por lo siguiente: i) la autoridad accionada juzgó al actor por una conducta punible que no planteó el quejoso, pues la queja se fundamentó en &lt;&lt;un hecho fraudulento que configuraba delito&gt;&gt;, pero nada se dijo sobre la ausencia de la firma de contrato de prestación de servicios que se calificó como una falta disciplinaria, cuando esa conducta ni siquiera estaba estipulada en la Ley 1123 de 2007; </w:t>
      </w:r>
      <w:proofErr w:type="spellStart"/>
      <w:r w:rsidRPr="0028514A">
        <w:rPr>
          <w:rFonts w:ascii="Arial" w:hAnsi="Arial" w:cs="Arial"/>
          <w:sz w:val="24"/>
          <w:szCs w:val="24"/>
        </w:rPr>
        <w:t>ii</w:t>
      </w:r>
      <w:proofErr w:type="spellEnd"/>
      <w:r w:rsidRPr="0028514A">
        <w:rPr>
          <w:rFonts w:ascii="Arial" w:hAnsi="Arial" w:cs="Arial"/>
          <w:sz w:val="24"/>
          <w:szCs w:val="24"/>
        </w:rPr>
        <w:t xml:space="preserve">) el juez de primera instancia compulsó copias para que fuera investigado dos veces por los mismos hechos, lo que vulnera la prohibición del </w:t>
      </w:r>
      <w:r w:rsidRPr="0028514A">
        <w:rPr>
          <w:rFonts w:ascii="Arial" w:hAnsi="Arial" w:cs="Arial"/>
          <w:i/>
          <w:iCs/>
          <w:sz w:val="24"/>
          <w:szCs w:val="24"/>
        </w:rPr>
        <w:t xml:space="preserve">non bis in </w:t>
      </w:r>
      <w:proofErr w:type="spellStart"/>
      <w:r w:rsidRPr="0028514A">
        <w:rPr>
          <w:rFonts w:ascii="Arial" w:hAnsi="Arial" w:cs="Arial"/>
          <w:i/>
          <w:iCs/>
          <w:sz w:val="24"/>
          <w:szCs w:val="24"/>
        </w:rPr>
        <w:t>idem</w:t>
      </w:r>
      <w:proofErr w:type="spellEnd"/>
      <w:r w:rsidRPr="0028514A">
        <w:rPr>
          <w:rFonts w:ascii="Arial" w:hAnsi="Arial" w:cs="Arial"/>
          <w:sz w:val="24"/>
          <w:szCs w:val="24"/>
        </w:rPr>
        <w:t xml:space="preserve">; </w:t>
      </w:r>
      <w:proofErr w:type="spellStart"/>
      <w:r w:rsidRPr="0028514A">
        <w:rPr>
          <w:rFonts w:ascii="Arial" w:hAnsi="Arial" w:cs="Arial"/>
          <w:sz w:val="24"/>
          <w:szCs w:val="24"/>
        </w:rPr>
        <w:t>iii</w:t>
      </w:r>
      <w:proofErr w:type="spellEnd"/>
      <w:r w:rsidRPr="0028514A">
        <w:rPr>
          <w:rFonts w:ascii="Arial" w:hAnsi="Arial" w:cs="Arial"/>
          <w:sz w:val="24"/>
          <w:szCs w:val="24"/>
        </w:rPr>
        <w:t xml:space="preserve">) el proceso es nulo, pues se permitió la intervención del quejoso en el trámite pese a que no estaba previsto como participante en la Ley 1123 de 2007, y </w:t>
      </w:r>
      <w:proofErr w:type="spellStart"/>
      <w:r w:rsidRPr="0028514A">
        <w:rPr>
          <w:rFonts w:ascii="Arial" w:hAnsi="Arial" w:cs="Arial"/>
          <w:sz w:val="24"/>
          <w:szCs w:val="24"/>
        </w:rPr>
        <w:t>iv</w:t>
      </w:r>
      <w:proofErr w:type="spellEnd"/>
      <w:r w:rsidRPr="0028514A">
        <w:rPr>
          <w:rFonts w:ascii="Arial" w:hAnsi="Arial" w:cs="Arial"/>
          <w:sz w:val="24"/>
          <w:szCs w:val="24"/>
        </w:rPr>
        <w:t xml:space="preserve">) la acción disciplinaria prescribió antes de que cobrara ejecutoria la sentencia de segunda instancia. </w:t>
      </w:r>
    </w:p>
    <w:p w14:paraId="3D77353C" w14:textId="77777777" w:rsidR="004D6E95" w:rsidRPr="0028514A" w:rsidRDefault="004D6E95" w:rsidP="004D6E95">
      <w:pPr>
        <w:spacing w:line="276" w:lineRule="auto"/>
        <w:jc w:val="both"/>
        <w:rPr>
          <w:rFonts w:ascii="Arial" w:hAnsi="Arial" w:cs="Arial"/>
          <w:sz w:val="24"/>
          <w:szCs w:val="24"/>
        </w:rPr>
      </w:pPr>
    </w:p>
    <w:p w14:paraId="214206CE" w14:textId="77777777" w:rsidR="004D6E95" w:rsidRPr="0028514A" w:rsidRDefault="004D6E95" w:rsidP="004D6E95">
      <w:pPr>
        <w:spacing w:line="276" w:lineRule="auto"/>
        <w:jc w:val="both"/>
        <w:rPr>
          <w:rFonts w:ascii="Arial" w:hAnsi="Arial" w:cs="Arial"/>
          <w:b/>
          <w:bCs/>
          <w:sz w:val="24"/>
          <w:szCs w:val="24"/>
        </w:rPr>
      </w:pPr>
      <w:r w:rsidRPr="0028514A">
        <w:rPr>
          <w:rFonts w:ascii="Arial" w:hAnsi="Arial" w:cs="Arial"/>
          <w:b/>
          <w:bCs/>
          <w:sz w:val="24"/>
          <w:szCs w:val="24"/>
        </w:rPr>
        <w:t>D. Providencia impugnada</w:t>
      </w:r>
    </w:p>
    <w:p w14:paraId="7D0BD5AA" w14:textId="77777777" w:rsidR="004D6E95" w:rsidRPr="0028514A" w:rsidRDefault="004D6E95" w:rsidP="004D6E95">
      <w:pPr>
        <w:spacing w:line="276" w:lineRule="auto"/>
        <w:jc w:val="both"/>
        <w:rPr>
          <w:rFonts w:ascii="Arial" w:hAnsi="Arial" w:cs="Arial"/>
          <w:sz w:val="24"/>
          <w:szCs w:val="24"/>
        </w:rPr>
      </w:pPr>
    </w:p>
    <w:p w14:paraId="4A10C9E0" w14:textId="77777777" w:rsidR="004D6E95" w:rsidRPr="0028514A" w:rsidRDefault="004D6E95" w:rsidP="004D6E95">
      <w:pPr>
        <w:pStyle w:val="xmsonormal"/>
        <w:widowControl w:val="0"/>
        <w:shd w:val="clear" w:color="auto" w:fill="FFFFFF"/>
        <w:spacing w:before="0" w:beforeAutospacing="0" w:after="0" w:afterAutospacing="0" w:line="276" w:lineRule="auto"/>
        <w:jc w:val="both"/>
        <w:rPr>
          <w:rFonts w:ascii="Arial" w:hAnsi="Arial" w:cs="Arial"/>
        </w:rPr>
      </w:pPr>
      <w:r w:rsidRPr="0028514A">
        <w:rPr>
          <w:rFonts w:ascii="Arial" w:hAnsi="Arial" w:cs="Arial"/>
        </w:rPr>
        <w:t>5.- La Subsección C de la Sección Tercera de esta Corporación declaró improcedente la tutela porque no se cumplió con el requisito de relevancia constitucional. Consideró que la tutela tiene un carácter excepcional y no constituye una etapa para refutar la valoración probatoria del juez de conocimiento ni para que la parte desfavorecida por una decisión proponga &lt;&lt;</w:t>
      </w:r>
      <w:r w:rsidRPr="0028514A">
        <w:rPr>
          <w:rFonts w:ascii="Arial" w:hAnsi="Arial" w:cs="Arial"/>
          <w:i/>
          <w:iCs/>
        </w:rPr>
        <w:t>una mejor solución&gt;&gt;</w:t>
      </w:r>
      <w:r w:rsidRPr="0028514A">
        <w:rPr>
          <w:rFonts w:ascii="Arial" w:hAnsi="Arial" w:cs="Arial"/>
        </w:rPr>
        <w:t xml:space="preserve"> al caso. </w:t>
      </w:r>
    </w:p>
    <w:p w14:paraId="011D7E9B" w14:textId="77777777" w:rsidR="004D6E95" w:rsidRPr="0028514A" w:rsidRDefault="004D6E95" w:rsidP="004D6E95">
      <w:pPr>
        <w:spacing w:line="276" w:lineRule="auto"/>
        <w:jc w:val="both"/>
        <w:rPr>
          <w:rFonts w:ascii="Arial" w:hAnsi="Arial" w:cs="Arial"/>
          <w:sz w:val="24"/>
          <w:szCs w:val="24"/>
        </w:rPr>
      </w:pPr>
    </w:p>
    <w:p w14:paraId="638EA6D2" w14:textId="77777777" w:rsidR="004D6E95" w:rsidRPr="0028514A" w:rsidRDefault="004D6E95" w:rsidP="004D6E95">
      <w:pPr>
        <w:spacing w:line="276" w:lineRule="auto"/>
        <w:jc w:val="both"/>
        <w:rPr>
          <w:rFonts w:ascii="Arial" w:hAnsi="Arial" w:cs="Arial"/>
          <w:b/>
          <w:bCs/>
          <w:sz w:val="24"/>
          <w:szCs w:val="24"/>
        </w:rPr>
      </w:pPr>
      <w:r w:rsidRPr="0028514A">
        <w:rPr>
          <w:rFonts w:ascii="Arial" w:hAnsi="Arial" w:cs="Arial"/>
          <w:b/>
          <w:bCs/>
          <w:sz w:val="24"/>
          <w:szCs w:val="24"/>
        </w:rPr>
        <w:t>E. Impugnación</w:t>
      </w:r>
    </w:p>
    <w:p w14:paraId="72A2AE10" w14:textId="77777777" w:rsidR="004D6E95" w:rsidRPr="0028514A" w:rsidRDefault="004D6E95" w:rsidP="004D6E95">
      <w:pPr>
        <w:spacing w:line="276" w:lineRule="auto"/>
        <w:jc w:val="both"/>
        <w:rPr>
          <w:rFonts w:ascii="Arial" w:hAnsi="Arial" w:cs="Arial"/>
          <w:sz w:val="24"/>
          <w:szCs w:val="24"/>
        </w:rPr>
      </w:pPr>
    </w:p>
    <w:p w14:paraId="65FC9711" w14:textId="7CBA2DF1" w:rsidR="004D6E95" w:rsidRPr="0028514A" w:rsidRDefault="004D6E95" w:rsidP="004D6E95">
      <w:pPr>
        <w:spacing w:line="276" w:lineRule="auto"/>
        <w:jc w:val="both"/>
        <w:rPr>
          <w:rFonts w:ascii="Arial" w:hAnsi="Arial" w:cs="Arial"/>
          <w:sz w:val="24"/>
          <w:szCs w:val="24"/>
        </w:rPr>
      </w:pPr>
      <w:r w:rsidRPr="0028514A">
        <w:rPr>
          <w:rFonts w:ascii="Arial" w:hAnsi="Arial" w:cs="Arial"/>
          <w:sz w:val="24"/>
          <w:szCs w:val="24"/>
        </w:rPr>
        <w:t xml:space="preserve">6.- El accionante, en el escrito de impugnación, señaló que la motivación de sentencia impugnada fue insuficiente y que no se dio respuesta a los cargos expuestos en el escrito de tutela. Adicionalmente, cuestionó </w:t>
      </w:r>
      <w:r w:rsidR="00A139DF" w:rsidRPr="0028514A">
        <w:rPr>
          <w:rFonts w:ascii="Arial" w:hAnsi="Arial" w:cs="Arial"/>
          <w:sz w:val="24"/>
          <w:szCs w:val="24"/>
        </w:rPr>
        <w:t>que se le hubiera realizado</w:t>
      </w:r>
      <w:r w:rsidRPr="0028514A">
        <w:rPr>
          <w:rFonts w:ascii="Arial" w:hAnsi="Arial" w:cs="Arial"/>
          <w:sz w:val="24"/>
          <w:szCs w:val="24"/>
        </w:rPr>
        <w:t xml:space="preserve"> una notificación de la sentencia de primera instancia omitiendo incluir el salvamento de voto </w:t>
      </w:r>
      <w:r w:rsidR="00A139DF" w:rsidRPr="0028514A">
        <w:rPr>
          <w:rFonts w:ascii="Arial" w:hAnsi="Arial" w:cs="Arial"/>
          <w:sz w:val="24"/>
          <w:szCs w:val="24"/>
        </w:rPr>
        <w:t>hecho por</w:t>
      </w:r>
      <w:r w:rsidRPr="0028514A">
        <w:rPr>
          <w:rFonts w:ascii="Arial" w:hAnsi="Arial" w:cs="Arial"/>
          <w:sz w:val="24"/>
          <w:szCs w:val="24"/>
        </w:rPr>
        <w:t xml:space="preserve"> uno de los magistrados de la Subsección C de la Sección Tercera de esta Corporación. </w:t>
      </w:r>
    </w:p>
    <w:p w14:paraId="263C5FBD" w14:textId="77777777" w:rsidR="004D6E95" w:rsidRPr="0028514A" w:rsidRDefault="004D6E95" w:rsidP="004D6E95">
      <w:pPr>
        <w:spacing w:line="276" w:lineRule="auto"/>
        <w:rPr>
          <w:rFonts w:ascii="Arial" w:hAnsi="Arial" w:cs="Arial"/>
          <w:sz w:val="24"/>
          <w:szCs w:val="24"/>
        </w:rPr>
      </w:pPr>
    </w:p>
    <w:p w14:paraId="75319319" w14:textId="77777777" w:rsidR="004D6E95" w:rsidRPr="0028514A" w:rsidRDefault="004D6E95" w:rsidP="004D6E95">
      <w:pPr>
        <w:tabs>
          <w:tab w:val="left" w:pos="2661"/>
          <w:tab w:val="center" w:pos="4420"/>
        </w:tabs>
        <w:spacing w:line="276" w:lineRule="auto"/>
        <w:contextualSpacing/>
        <w:rPr>
          <w:rFonts w:ascii="Arial" w:eastAsia="?????? Pro W3" w:hAnsi="Arial" w:cs="Arial"/>
          <w:b/>
          <w:sz w:val="24"/>
          <w:szCs w:val="24"/>
        </w:rPr>
      </w:pPr>
      <w:r w:rsidRPr="0028514A">
        <w:rPr>
          <w:rFonts w:ascii="Arial" w:eastAsia="?????? Pro W3" w:hAnsi="Arial" w:cs="Arial"/>
          <w:b/>
          <w:sz w:val="24"/>
          <w:szCs w:val="24"/>
        </w:rPr>
        <w:tab/>
      </w:r>
      <w:r w:rsidRPr="0028514A">
        <w:rPr>
          <w:rFonts w:ascii="Arial" w:eastAsia="?????? Pro W3" w:hAnsi="Arial" w:cs="Arial"/>
          <w:b/>
          <w:sz w:val="24"/>
          <w:szCs w:val="24"/>
        </w:rPr>
        <w:tab/>
        <w:t>II. CONSIDERACIONES</w:t>
      </w:r>
    </w:p>
    <w:p w14:paraId="09E52431" w14:textId="77777777" w:rsidR="004D6E95" w:rsidRPr="0028514A" w:rsidRDefault="004D6E95" w:rsidP="004D6E95">
      <w:pPr>
        <w:numPr>
          <w:ilvl w:val="12"/>
          <w:numId w:val="0"/>
        </w:numPr>
        <w:tabs>
          <w:tab w:val="left" w:pos="6660"/>
        </w:tabs>
        <w:spacing w:line="276" w:lineRule="auto"/>
        <w:jc w:val="both"/>
        <w:rPr>
          <w:rFonts w:ascii="Arial" w:eastAsia="Dotum" w:hAnsi="Arial" w:cs="Arial"/>
          <w:sz w:val="24"/>
          <w:szCs w:val="24"/>
        </w:rPr>
      </w:pPr>
    </w:p>
    <w:p w14:paraId="36AA13E3" w14:textId="77777777" w:rsidR="004D6E95" w:rsidRPr="0028514A" w:rsidRDefault="004D6E95" w:rsidP="004D6E95">
      <w:pPr>
        <w:spacing w:line="276" w:lineRule="auto"/>
        <w:contextualSpacing/>
        <w:jc w:val="both"/>
        <w:rPr>
          <w:rFonts w:ascii="Arial" w:hAnsi="Arial" w:cs="Arial"/>
          <w:sz w:val="24"/>
          <w:szCs w:val="24"/>
        </w:rPr>
      </w:pPr>
      <w:r w:rsidRPr="0028514A">
        <w:rPr>
          <w:rFonts w:ascii="Arial" w:eastAsia="Times New Roman" w:hAnsi="Arial" w:cs="Arial"/>
          <w:sz w:val="24"/>
          <w:szCs w:val="24"/>
          <w:lang w:eastAsia="es-CO"/>
        </w:rPr>
        <w:t xml:space="preserve">7.- </w:t>
      </w:r>
      <w:r w:rsidRPr="0028514A">
        <w:rPr>
          <w:rFonts w:ascii="Arial" w:hAnsi="Arial" w:cs="Arial"/>
          <w:sz w:val="24"/>
          <w:szCs w:val="24"/>
        </w:rPr>
        <w:t xml:space="preserve">La Sala revocará la decisión del </w:t>
      </w:r>
      <w:r w:rsidRPr="0028514A">
        <w:rPr>
          <w:rFonts w:ascii="Arial" w:hAnsi="Arial" w:cs="Arial"/>
          <w:i/>
          <w:iCs/>
          <w:sz w:val="24"/>
          <w:szCs w:val="24"/>
        </w:rPr>
        <w:t>a quo</w:t>
      </w:r>
      <w:r w:rsidRPr="0028514A">
        <w:rPr>
          <w:rFonts w:ascii="Arial" w:hAnsi="Arial" w:cs="Arial"/>
          <w:sz w:val="24"/>
          <w:szCs w:val="24"/>
        </w:rPr>
        <w:t xml:space="preserve"> y, en consecuencia, se negará el amparo porque no se encuentran configurados los defectos alegados por el accionante.</w:t>
      </w:r>
    </w:p>
    <w:p w14:paraId="35C9CC20" w14:textId="77777777" w:rsidR="004D6E95" w:rsidRPr="0028514A" w:rsidRDefault="004D6E95" w:rsidP="004D6E95">
      <w:pPr>
        <w:spacing w:line="276" w:lineRule="auto"/>
        <w:contextualSpacing/>
        <w:jc w:val="both"/>
        <w:rPr>
          <w:rFonts w:ascii="Arial" w:hAnsi="Arial" w:cs="Arial"/>
          <w:bCs/>
          <w:sz w:val="24"/>
          <w:szCs w:val="24"/>
        </w:rPr>
      </w:pPr>
    </w:p>
    <w:p w14:paraId="19A8A73E" w14:textId="73C752A5" w:rsidR="004D6E95" w:rsidRPr="0028514A" w:rsidRDefault="004D6E95"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color w:val="000000" w:themeColor="text1"/>
          <w:sz w:val="24"/>
          <w:szCs w:val="24"/>
        </w:rPr>
        <w:t xml:space="preserve">8.- </w:t>
      </w:r>
      <w:r w:rsidRPr="0028514A">
        <w:rPr>
          <w:rFonts w:ascii="Arial" w:hAnsi="Arial" w:cs="Arial"/>
          <w:sz w:val="24"/>
          <w:szCs w:val="24"/>
        </w:rPr>
        <w:t xml:space="preserve">La Sala no comparte la decisión de improcedencia que tomó el </w:t>
      </w:r>
      <w:r w:rsidRPr="0028514A">
        <w:rPr>
          <w:rFonts w:ascii="Arial" w:hAnsi="Arial" w:cs="Arial"/>
          <w:i/>
          <w:iCs/>
          <w:sz w:val="24"/>
          <w:szCs w:val="24"/>
        </w:rPr>
        <w:t xml:space="preserve">a quo, </w:t>
      </w:r>
      <w:r w:rsidRPr="0028514A">
        <w:rPr>
          <w:rFonts w:ascii="Arial" w:hAnsi="Arial" w:cs="Arial"/>
          <w:sz w:val="24"/>
          <w:szCs w:val="24"/>
        </w:rPr>
        <w:t xml:space="preserve">pues el asunto sí tiene relevancia constitucional, dado que el accionante en su escrito de </w:t>
      </w:r>
      <w:r w:rsidRPr="0028514A">
        <w:rPr>
          <w:rFonts w:ascii="Arial" w:hAnsi="Arial" w:cs="Arial"/>
          <w:sz w:val="24"/>
          <w:szCs w:val="24"/>
        </w:rPr>
        <w:lastRenderedPageBreak/>
        <w:t xml:space="preserve">tutela solicitó el amparo de los derechos fundamentales </w:t>
      </w:r>
      <w:r w:rsidRPr="0028514A">
        <w:rPr>
          <w:rFonts w:ascii="Arial" w:hAnsi="Arial" w:cs="Arial"/>
          <w:color w:val="000000" w:themeColor="text1"/>
          <w:sz w:val="24"/>
          <w:szCs w:val="24"/>
        </w:rPr>
        <w:t xml:space="preserve">al </w:t>
      </w:r>
      <w:r w:rsidRPr="0028514A">
        <w:rPr>
          <w:rFonts w:ascii="Arial" w:hAnsi="Arial" w:cs="Arial"/>
          <w:sz w:val="24"/>
          <w:szCs w:val="24"/>
        </w:rPr>
        <w:t xml:space="preserve">acceso a la administración de justicia, debido proceso, igualdad, trabajo y buen nombre, que consideró vulnerados por </w:t>
      </w:r>
      <w:r w:rsidRPr="0028514A">
        <w:rPr>
          <w:rFonts w:ascii="Arial" w:hAnsi="Arial" w:cs="Arial"/>
          <w:color w:val="000000" w:themeColor="text1"/>
          <w:sz w:val="24"/>
          <w:szCs w:val="24"/>
        </w:rPr>
        <w:t xml:space="preserve">el </w:t>
      </w:r>
      <w:r w:rsidRPr="0028514A">
        <w:rPr>
          <w:rFonts w:ascii="Arial" w:hAnsi="Arial" w:cs="Arial"/>
          <w:sz w:val="24"/>
          <w:szCs w:val="24"/>
        </w:rPr>
        <w:t>Consejo Superior de la Judicatura-Sala Jurisdiccional Disciplinaria</w:t>
      </w:r>
      <w:r w:rsidR="00A139DF" w:rsidRPr="0028514A">
        <w:rPr>
          <w:rFonts w:ascii="Arial" w:hAnsi="Arial" w:cs="Arial"/>
          <w:sz w:val="24"/>
          <w:szCs w:val="24"/>
        </w:rPr>
        <w:t>. En su concepto,</w:t>
      </w:r>
      <w:r w:rsidRPr="0028514A">
        <w:rPr>
          <w:rFonts w:ascii="Arial" w:hAnsi="Arial" w:cs="Arial"/>
          <w:sz w:val="24"/>
          <w:szCs w:val="24"/>
        </w:rPr>
        <w:t xml:space="preserve"> </w:t>
      </w:r>
      <w:r w:rsidR="00A139DF" w:rsidRPr="0028514A">
        <w:rPr>
          <w:rFonts w:ascii="Arial" w:hAnsi="Arial" w:cs="Arial"/>
          <w:sz w:val="24"/>
          <w:szCs w:val="24"/>
        </w:rPr>
        <w:t>en</w:t>
      </w:r>
      <w:r w:rsidRPr="0028514A">
        <w:rPr>
          <w:rFonts w:ascii="Arial" w:hAnsi="Arial" w:cs="Arial"/>
          <w:sz w:val="24"/>
          <w:szCs w:val="24"/>
        </w:rPr>
        <w:t xml:space="preserve"> la decisión proferida el 8 de julio de 2020 se incurrió en los defectos fáctico, sustantivo, procedimental y violación directa de la Constitución. El primero, porque omitió valorar unas pruebas. El segundo, porque aplicó de manera equ</w:t>
      </w:r>
      <w:r w:rsidR="00A139DF" w:rsidRPr="0028514A">
        <w:rPr>
          <w:rFonts w:ascii="Arial" w:hAnsi="Arial" w:cs="Arial"/>
          <w:sz w:val="24"/>
          <w:szCs w:val="24"/>
        </w:rPr>
        <w:t>í</w:t>
      </w:r>
      <w:r w:rsidRPr="0028514A">
        <w:rPr>
          <w:rFonts w:ascii="Arial" w:hAnsi="Arial" w:cs="Arial"/>
          <w:sz w:val="24"/>
          <w:szCs w:val="24"/>
        </w:rPr>
        <w:t>voca las normas disciplinarias en razón a la competencia. El tercero, por compulsar copias para que se investigara por los mismos hechos que fue sancionado, y el último, por indebida notificación.</w:t>
      </w:r>
    </w:p>
    <w:p w14:paraId="7624B12A"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78AD8892" w14:textId="3FFFCA66" w:rsidR="004D6E95" w:rsidRPr="0028514A" w:rsidRDefault="004D6E95" w:rsidP="004D6E95">
      <w:pPr>
        <w:tabs>
          <w:tab w:val="left" w:pos="360"/>
          <w:tab w:val="left" w:pos="2410"/>
        </w:tabs>
        <w:spacing w:line="276" w:lineRule="auto"/>
        <w:jc w:val="both"/>
        <w:rPr>
          <w:rFonts w:ascii="Arial" w:hAnsi="Arial" w:cs="Arial"/>
          <w:color w:val="000000" w:themeColor="text1"/>
          <w:sz w:val="24"/>
          <w:szCs w:val="24"/>
          <w:bdr w:val="none" w:sz="0" w:space="0" w:color="auto" w:frame="1"/>
          <w:shd w:val="clear" w:color="auto" w:fill="FFFFFF"/>
        </w:rPr>
      </w:pPr>
      <w:r w:rsidRPr="0028514A">
        <w:rPr>
          <w:rFonts w:ascii="Arial" w:hAnsi="Arial" w:cs="Arial"/>
          <w:sz w:val="24"/>
          <w:szCs w:val="24"/>
        </w:rPr>
        <w:t xml:space="preserve">9.- </w:t>
      </w:r>
      <w:r w:rsidR="00A139DF" w:rsidRPr="0028514A">
        <w:rPr>
          <w:rFonts w:ascii="Arial" w:hAnsi="Arial" w:cs="Arial"/>
          <w:color w:val="000000" w:themeColor="text1"/>
          <w:sz w:val="24"/>
          <w:szCs w:val="24"/>
        </w:rPr>
        <w:t>También se cumplen</w:t>
      </w:r>
      <w:r w:rsidRPr="0028514A">
        <w:rPr>
          <w:rFonts w:ascii="Arial" w:hAnsi="Arial" w:cs="Arial"/>
          <w:color w:val="000000" w:themeColor="text1"/>
          <w:sz w:val="24"/>
          <w:szCs w:val="24"/>
        </w:rPr>
        <w:t xml:space="preserve"> los demás requisitos generales que habilitan la procedencia de la acción de tutela contra providencias judiciales, así:</w:t>
      </w:r>
      <w:r w:rsidRPr="0028514A">
        <w:rPr>
          <w:rFonts w:ascii="Arial" w:eastAsia="Dotum" w:hAnsi="Arial" w:cs="Arial"/>
          <w:color w:val="000000" w:themeColor="text1"/>
          <w:sz w:val="24"/>
          <w:szCs w:val="24"/>
          <w:lang w:eastAsia="es-CO"/>
        </w:rPr>
        <w:t xml:space="preserve"> </w:t>
      </w:r>
      <w:r w:rsidRPr="0028514A">
        <w:rPr>
          <w:rFonts w:ascii="Arial" w:hAnsi="Arial" w:cs="Arial"/>
          <w:color w:val="000000" w:themeColor="text1"/>
          <w:sz w:val="24"/>
          <w:szCs w:val="24"/>
        </w:rPr>
        <w:t xml:space="preserve">i) el accionante indicó de manera clara los hechos y las razones en que se fundamenta la acción; </w:t>
      </w:r>
      <w:proofErr w:type="spellStart"/>
      <w:r w:rsidRPr="0028514A">
        <w:rPr>
          <w:rFonts w:ascii="Arial" w:hAnsi="Arial" w:cs="Arial"/>
          <w:color w:val="000000" w:themeColor="text1"/>
          <w:sz w:val="24"/>
          <w:szCs w:val="24"/>
        </w:rPr>
        <w:t>ii</w:t>
      </w:r>
      <w:proofErr w:type="spellEnd"/>
      <w:r w:rsidRPr="0028514A">
        <w:rPr>
          <w:rFonts w:ascii="Arial" w:hAnsi="Arial" w:cs="Arial"/>
          <w:color w:val="000000" w:themeColor="text1"/>
          <w:sz w:val="24"/>
          <w:szCs w:val="24"/>
        </w:rPr>
        <w:t xml:space="preserve">) se encuentra cumplido el requisito de subsidiariedad porque el accionante utilizó todos los mecanismos judiciales a su alcance para la protección de sus derechos fundamentales y contra la providencia atacada no procede ningún recurso; </w:t>
      </w:r>
      <w:proofErr w:type="spellStart"/>
      <w:r w:rsidRPr="0028514A">
        <w:rPr>
          <w:rFonts w:ascii="Arial" w:hAnsi="Arial" w:cs="Arial"/>
          <w:color w:val="000000" w:themeColor="text1"/>
          <w:sz w:val="24"/>
          <w:szCs w:val="24"/>
        </w:rPr>
        <w:t>iii</w:t>
      </w:r>
      <w:proofErr w:type="spellEnd"/>
      <w:r w:rsidRPr="0028514A">
        <w:rPr>
          <w:rFonts w:ascii="Arial" w:hAnsi="Arial" w:cs="Arial"/>
          <w:color w:val="000000" w:themeColor="text1"/>
          <w:sz w:val="24"/>
          <w:szCs w:val="24"/>
        </w:rPr>
        <w:t>) la acción se interpuso en un término prudencial (inmediatez), puesto que la sentencia acusada fue proferida</w:t>
      </w:r>
      <w:r w:rsidRPr="0028514A">
        <w:rPr>
          <w:rFonts w:ascii="Arial" w:hAnsi="Arial"/>
          <w:sz w:val="24"/>
        </w:rPr>
        <w:t xml:space="preserve"> el 8 de julio de 2020 </w:t>
      </w:r>
      <w:r w:rsidRPr="0028514A">
        <w:rPr>
          <w:rFonts w:ascii="Arial" w:hAnsi="Arial" w:cs="Arial"/>
          <w:color w:val="000000" w:themeColor="text1"/>
          <w:sz w:val="24"/>
          <w:szCs w:val="24"/>
        </w:rPr>
        <w:t xml:space="preserve">y la acción de tutela se presentó el 26 de noviembre de </w:t>
      </w:r>
      <w:r w:rsidR="00A139DF" w:rsidRPr="0028514A">
        <w:rPr>
          <w:rFonts w:ascii="Arial" w:hAnsi="Arial" w:cs="Arial"/>
          <w:color w:val="000000" w:themeColor="text1"/>
          <w:sz w:val="24"/>
          <w:szCs w:val="24"/>
        </w:rPr>
        <w:t>2020</w:t>
      </w:r>
      <w:r w:rsidRPr="0028514A">
        <w:rPr>
          <w:rFonts w:ascii="Arial" w:hAnsi="Arial" w:cs="Arial"/>
          <w:color w:val="000000" w:themeColor="text1"/>
          <w:sz w:val="24"/>
          <w:szCs w:val="24"/>
        </w:rPr>
        <w:t>, es decir, dentro del término de los 6 meses precisado tanto por esta Corporación</w:t>
      </w:r>
      <w:r w:rsidRPr="0028514A">
        <w:rPr>
          <w:rFonts w:ascii="Arial" w:hAnsi="Arial" w:cs="Arial"/>
          <w:sz w:val="24"/>
          <w:szCs w:val="24"/>
          <w:bdr w:val="none" w:sz="0" w:space="0" w:color="auto" w:frame="1"/>
          <w:shd w:val="clear" w:color="auto" w:fill="FFFFFF"/>
          <w:vertAlign w:val="superscript"/>
        </w:rPr>
        <w:footnoteReference w:id="3"/>
      </w:r>
      <w:r w:rsidRPr="0028514A">
        <w:rPr>
          <w:rFonts w:ascii="Arial" w:hAnsi="Arial" w:cs="Arial"/>
          <w:color w:val="000000" w:themeColor="text1"/>
          <w:sz w:val="24"/>
          <w:szCs w:val="24"/>
        </w:rPr>
        <w:t xml:space="preserve"> como por la Corte Constitucional</w:t>
      </w:r>
      <w:r w:rsidRPr="0028514A">
        <w:rPr>
          <w:rFonts w:ascii="Arial" w:hAnsi="Arial" w:cs="Arial"/>
          <w:sz w:val="24"/>
          <w:szCs w:val="24"/>
          <w:bdr w:val="none" w:sz="0" w:space="0" w:color="auto" w:frame="1"/>
          <w:shd w:val="clear" w:color="auto" w:fill="FFFFFF"/>
          <w:vertAlign w:val="superscript"/>
        </w:rPr>
        <w:footnoteReference w:id="4"/>
      </w:r>
      <w:r w:rsidRPr="0028514A">
        <w:rPr>
          <w:rFonts w:ascii="Arial" w:hAnsi="Arial" w:cs="Arial"/>
          <w:color w:val="000000" w:themeColor="text1"/>
          <w:sz w:val="24"/>
          <w:szCs w:val="24"/>
        </w:rPr>
        <w:t>,</w:t>
      </w:r>
      <w:r w:rsidRPr="0028514A">
        <w:rPr>
          <w:rFonts w:ascii="Arial" w:hAnsi="Arial" w:cs="Arial"/>
          <w:color w:val="000000" w:themeColor="text1"/>
          <w:sz w:val="24"/>
          <w:szCs w:val="24"/>
          <w:bdr w:val="none" w:sz="0" w:space="0" w:color="auto" w:frame="1"/>
          <w:shd w:val="clear" w:color="auto" w:fill="FFFFFF"/>
        </w:rPr>
        <w:t xml:space="preserve"> </w:t>
      </w:r>
      <w:r w:rsidRPr="0028514A">
        <w:rPr>
          <w:rFonts w:ascii="Arial" w:hAnsi="Arial" w:cs="Arial"/>
          <w:color w:val="000000" w:themeColor="text1"/>
          <w:sz w:val="24"/>
          <w:szCs w:val="24"/>
        </w:rPr>
        <w:t>y v) no se trata de una decisión proferida en sede de tutela.</w:t>
      </w:r>
    </w:p>
    <w:p w14:paraId="345D5408"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7B6D8EA5"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 La Sala procede a estudiar de fondo los cargos elevados por el accionante contra la sentencia del 8 de julio de 2020 proferida por el Consejo Superior de la Judicatura – Sala Jurisdiccional Disciplinaria:</w:t>
      </w:r>
    </w:p>
    <w:p w14:paraId="350644AE"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4C85A10D"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10.1.- Respecto al defecto fáctico se observa que el accionante señaló que la sentencia acusada no tuvo en cuenta dos pruebas, la primera, referente a la licencia de conducción del quejoso, que a su juicio evidenciaba la inexistencia de una discapacidad visual y la segunda, consistente en la falta de certeza sobre el valor comercial del predio &lt;&lt;</w:t>
      </w:r>
      <w:r w:rsidRPr="0028514A">
        <w:rPr>
          <w:rFonts w:ascii="Arial" w:hAnsi="Arial" w:cs="Arial"/>
          <w:i/>
          <w:iCs/>
          <w:sz w:val="24"/>
          <w:szCs w:val="24"/>
        </w:rPr>
        <w:t xml:space="preserve">La Milagrosa&gt;&gt;, </w:t>
      </w:r>
      <w:r w:rsidRPr="0028514A">
        <w:rPr>
          <w:rFonts w:ascii="Arial" w:hAnsi="Arial" w:cs="Arial"/>
          <w:sz w:val="24"/>
          <w:szCs w:val="24"/>
        </w:rPr>
        <w:t xml:space="preserve">pues con esa inconsistencia no se podía afirmar que el 20% del valor del inmueble era superior o inferior al que se pactó en la transacción. </w:t>
      </w:r>
    </w:p>
    <w:p w14:paraId="3D804165"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7C599914" w14:textId="375F8279" w:rsidR="004D6E95" w:rsidRPr="0028514A" w:rsidRDefault="004D6E95"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10.2.- En la sentencia acusada se observa que la autoridad accionada sí analizó esas dos pruebas que el accionante echa de menos, pues indicó que pese a la existencia de material probatorio que soportaba la inexistencia de una discapacidad visual del quejoso, lo cierto era que ello no era razón suficiente para pasar por alto el actuar omisivo del accionante frente a la falta de un contrato de prestación de servicios que estipulara de manera clara los honorarios pactados por sus servicios. En efecto</w:t>
      </w:r>
      <w:r w:rsidR="00A139DF" w:rsidRPr="0028514A">
        <w:rPr>
          <w:rFonts w:ascii="Arial" w:hAnsi="Arial" w:cs="Arial"/>
          <w:sz w:val="24"/>
          <w:szCs w:val="24"/>
        </w:rPr>
        <w:t>,</w:t>
      </w:r>
      <w:r w:rsidRPr="0028514A">
        <w:rPr>
          <w:rFonts w:ascii="Arial" w:hAnsi="Arial" w:cs="Arial"/>
          <w:sz w:val="24"/>
          <w:szCs w:val="24"/>
        </w:rPr>
        <w:t xml:space="preserve"> señaló lo siguiente:  </w:t>
      </w:r>
    </w:p>
    <w:p w14:paraId="145288DB"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3D590550" w14:textId="77777777" w:rsidR="004D6E95" w:rsidRPr="0028514A" w:rsidRDefault="004D6E95" w:rsidP="004D6E95">
      <w:pPr>
        <w:numPr>
          <w:ilvl w:val="12"/>
          <w:numId w:val="0"/>
        </w:numPr>
        <w:tabs>
          <w:tab w:val="left" w:pos="6660"/>
        </w:tabs>
        <w:spacing w:line="276" w:lineRule="auto"/>
        <w:ind w:left="708" w:right="618"/>
        <w:jc w:val="both"/>
        <w:rPr>
          <w:rFonts w:ascii="Arial" w:hAnsi="Arial" w:cs="Arial"/>
          <w:sz w:val="24"/>
          <w:szCs w:val="24"/>
        </w:rPr>
      </w:pPr>
      <w:r w:rsidRPr="0028514A">
        <w:rPr>
          <w:rFonts w:ascii="Arial" w:hAnsi="Arial" w:cs="Arial"/>
          <w:sz w:val="24"/>
          <w:szCs w:val="24"/>
        </w:rPr>
        <w:lastRenderedPageBreak/>
        <w:t xml:space="preserve">&lt;&lt; </w:t>
      </w:r>
      <w:r w:rsidRPr="0028514A">
        <w:rPr>
          <w:rFonts w:ascii="Arial" w:hAnsi="Arial" w:cs="Arial"/>
          <w:i/>
          <w:iCs/>
          <w:sz w:val="24"/>
          <w:szCs w:val="24"/>
        </w:rPr>
        <w:t>a pesar de existir en el plenario documentos tendientes a demostrar que el quejoso estaba en uso de sus facultades físicas de visión y mentales, ello se tornaba irrelevante, por cuanto, los documentos respecto a los cuales se puso en duda su firma con el pleno convencimiento de su contenido, fueron los Contratos de Transacción elaborados el 29 de mayo y 15 de julio de 2015, último objeto de ejecución por parte del togado, siendo un hecho cierto que quien elaboró tales contratos fue el encartado, con el único fin de garantizar el cobro de sus honorarios por la gestión adelantada ante los hermanos del quejoso y frente al predio denominado La Milagrosa, ello, a falta del contrato de prestación de servicios profesionales que demarcara, delimitara y definiera los términos del mandado, especialmente en su objeto, es decir la gestión a adelantar así como la contraprestación por tales servicios, conforme lo regula la Ley 1123 de 2007, siendo ésta la razón por la cual trasgredió su deber de honradez como abogado, pues si bien es cierto, existieron dos contratos de transacción firmados entre el quejoso y el disciplinable, señalando haber sido elaborados de manera amigable y libre de apremio, la falta atribuida no fue en sí por la creación de los mismos sino por haber pretendido con estos enmendar la ausencia de un contrato de prestación de servicios en el cual se plasmara con claridad y de manera consensuada con su cliente, el objeto de su gestión y la contraprestación a percibir por la misma, creando con ello toda una situación problemática a tal punto de hacer creer al quejoso que se le estaban cobrando honorarios por el adelantamiento de la sucesión llevada por otro abogado y por otro lado el hijo del quejoso tenía la plena convicción de que el trabajo realizado por el disciplinable lo era por la amistad, justamente ante la carencia del contrato, máxime cuando el encartado sustentó su cobro en todos los tramites adelantados en favor del quejoso y su hijo&gt;</w:t>
      </w:r>
      <w:r w:rsidRPr="0028514A">
        <w:rPr>
          <w:rFonts w:ascii="Arial" w:hAnsi="Arial" w:cs="Arial"/>
          <w:sz w:val="24"/>
          <w:szCs w:val="24"/>
        </w:rPr>
        <w:t>&gt;.</w:t>
      </w:r>
    </w:p>
    <w:p w14:paraId="1B2D9A0B"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3F7B5284" w14:textId="1F2E08FB" w:rsidR="004D6E95" w:rsidRPr="0028514A" w:rsidRDefault="00A139DF"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 xml:space="preserve">.3.- Ahora bien, respecto a la disparidad sobre el valor comercial, la autoridad accionada valoró las pruebas pertinentes y concluyó lo siguiente: </w:t>
      </w:r>
    </w:p>
    <w:p w14:paraId="79196678"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5E7D0599" w14:textId="48D3679F" w:rsidR="004D6E95" w:rsidRPr="0028514A" w:rsidRDefault="004D6E95" w:rsidP="004D6E95">
      <w:pPr>
        <w:numPr>
          <w:ilvl w:val="12"/>
          <w:numId w:val="0"/>
        </w:numPr>
        <w:tabs>
          <w:tab w:val="left" w:pos="6660"/>
        </w:tabs>
        <w:spacing w:line="276" w:lineRule="auto"/>
        <w:ind w:left="708" w:right="618"/>
        <w:jc w:val="both"/>
        <w:rPr>
          <w:rFonts w:ascii="Arial" w:hAnsi="Arial" w:cs="Arial"/>
          <w:sz w:val="24"/>
          <w:szCs w:val="24"/>
        </w:rPr>
      </w:pPr>
      <w:r w:rsidRPr="0028514A">
        <w:rPr>
          <w:rFonts w:ascii="Arial" w:hAnsi="Arial" w:cs="Arial"/>
          <w:sz w:val="24"/>
          <w:szCs w:val="24"/>
        </w:rPr>
        <w:t>&lt;&lt;</w:t>
      </w:r>
      <w:r w:rsidRPr="0028514A">
        <w:rPr>
          <w:rFonts w:ascii="Arial" w:hAnsi="Arial" w:cs="Arial"/>
          <w:i/>
          <w:iCs/>
          <w:sz w:val="24"/>
          <w:szCs w:val="24"/>
        </w:rPr>
        <w:t>La gestión desarrollada por el encartado no fue litigiosa, al contrario, la misma se pudo solucionar de manera voluntaria entre las partes, y de cara a la cuantía del asunto asesorado, quedo limitada al 12,5% del valor que en realidad le correspondía al quejoso sobre el bien inmueble denominado La Milagrosa, lo cual solo podrá ser establecido mediante avalúo comercial y como anteriormente se dijo, para el año 2014, de acuerdo a la misma versión libre del disciplinado y al testimonio del señor Alejandro Fajardo, su valor podía calcularse entre $250 a $200, correspondiendo así los $60'000.000 al 30% de dicho valor, porcentaje superior al 20% pactado como honorarios</w:t>
      </w:r>
      <w:r w:rsidRPr="0028514A">
        <w:rPr>
          <w:rFonts w:ascii="Arial" w:hAnsi="Arial" w:cs="Arial"/>
          <w:sz w:val="24"/>
          <w:szCs w:val="24"/>
        </w:rPr>
        <w:t>&gt;&gt;.</w:t>
      </w:r>
    </w:p>
    <w:p w14:paraId="7D4CB018"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020C900B" w14:textId="4E81DFFF" w:rsidR="004D6E95" w:rsidRPr="0028514A" w:rsidRDefault="00A139DF"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lastRenderedPageBreak/>
        <w:t>10</w:t>
      </w:r>
      <w:r w:rsidR="004D6E95" w:rsidRPr="0028514A">
        <w:rPr>
          <w:rFonts w:ascii="Arial" w:hAnsi="Arial" w:cs="Arial"/>
          <w:sz w:val="24"/>
          <w:szCs w:val="24"/>
        </w:rPr>
        <w:t xml:space="preserve">.4.- Por otra parte, el accionante alega como defecto sustantivo la falta de competencia que tenía la autoridad accionada para estudiar el cobro de sus honorarios </w:t>
      </w:r>
      <w:r w:rsidRPr="0028514A">
        <w:rPr>
          <w:rFonts w:ascii="Arial" w:hAnsi="Arial" w:cs="Arial"/>
          <w:sz w:val="24"/>
          <w:szCs w:val="24"/>
        </w:rPr>
        <w:t>porque,</w:t>
      </w:r>
      <w:r w:rsidR="004D6E95" w:rsidRPr="0028514A">
        <w:rPr>
          <w:rFonts w:ascii="Arial" w:hAnsi="Arial" w:cs="Arial"/>
          <w:sz w:val="24"/>
          <w:szCs w:val="24"/>
        </w:rPr>
        <w:t xml:space="preserve"> a su juicio, no se estaba analizando una conducta en el ejercicio de su profesión, pues ya se habían ejecutado las asesorías jurídicas y solo quedaba el reconocimiento y pago de su labor como abogado. </w:t>
      </w:r>
    </w:p>
    <w:p w14:paraId="36FEAB45"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62FD5587" w14:textId="2E3A2C0D" w:rsidR="004D6E95" w:rsidRPr="0028514A" w:rsidRDefault="00A139DF"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 xml:space="preserve">.5.- Al respecto, esta Sala advierte que los argumentos esbozados por el actor no corresponden a un defecto sustantivo sino a un defecto orgánico </w:t>
      </w:r>
      <w:r w:rsidRPr="0028514A">
        <w:rPr>
          <w:rFonts w:ascii="Arial" w:hAnsi="Arial" w:cs="Arial"/>
          <w:sz w:val="24"/>
          <w:szCs w:val="24"/>
        </w:rPr>
        <w:t xml:space="preserve">y, </w:t>
      </w:r>
      <w:r w:rsidR="004D6E95" w:rsidRPr="0028514A">
        <w:rPr>
          <w:rFonts w:ascii="Arial" w:hAnsi="Arial" w:cs="Arial"/>
          <w:sz w:val="24"/>
          <w:szCs w:val="24"/>
        </w:rPr>
        <w:t>por lo tanto, se analizar</w:t>
      </w:r>
      <w:r w:rsidRPr="0028514A">
        <w:rPr>
          <w:rFonts w:ascii="Arial" w:hAnsi="Arial" w:cs="Arial"/>
          <w:sz w:val="24"/>
          <w:szCs w:val="24"/>
        </w:rPr>
        <w:t>á</w:t>
      </w:r>
      <w:r w:rsidR="004D6E95" w:rsidRPr="0028514A">
        <w:rPr>
          <w:rFonts w:ascii="Arial" w:hAnsi="Arial" w:cs="Arial"/>
          <w:sz w:val="24"/>
          <w:szCs w:val="24"/>
        </w:rPr>
        <w:t xml:space="preserve">n de conformidad al </w:t>
      </w:r>
      <w:r w:rsidR="00831A81" w:rsidRPr="0028514A">
        <w:rPr>
          <w:rFonts w:ascii="Arial" w:hAnsi="Arial" w:cs="Arial"/>
          <w:sz w:val="24"/>
          <w:szCs w:val="24"/>
        </w:rPr>
        <w:t>último</w:t>
      </w:r>
      <w:r w:rsidR="004D6E95" w:rsidRPr="0028514A">
        <w:rPr>
          <w:rFonts w:ascii="Arial" w:hAnsi="Arial" w:cs="Arial"/>
          <w:sz w:val="24"/>
          <w:szCs w:val="24"/>
        </w:rPr>
        <w:t xml:space="preserve"> de los defectos nombrados.</w:t>
      </w:r>
    </w:p>
    <w:p w14:paraId="2BC6F642"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0AE21021" w14:textId="500C594A" w:rsidR="004D6E95" w:rsidRPr="0028514A" w:rsidRDefault="00A139DF"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 xml:space="preserve">.6.- </w:t>
      </w:r>
      <w:r w:rsidRPr="0028514A">
        <w:rPr>
          <w:rFonts w:ascii="Arial" w:hAnsi="Arial" w:cs="Arial"/>
          <w:sz w:val="24"/>
          <w:szCs w:val="24"/>
        </w:rPr>
        <w:t xml:space="preserve">La Sala considera que en la sentencia </w:t>
      </w:r>
      <w:r w:rsidR="004D6E95" w:rsidRPr="0028514A">
        <w:rPr>
          <w:rFonts w:ascii="Arial" w:hAnsi="Arial" w:cs="Arial"/>
          <w:sz w:val="24"/>
          <w:szCs w:val="24"/>
        </w:rPr>
        <w:t>no se incurrió en un defecto orgánico, toda vez que la Sala Jurisdiccional Disciplinaria del Consejo Superior de la Judicatura s</w:t>
      </w:r>
      <w:r w:rsidRPr="0028514A">
        <w:rPr>
          <w:rFonts w:ascii="Arial" w:hAnsi="Arial" w:cs="Arial"/>
          <w:sz w:val="24"/>
          <w:szCs w:val="24"/>
        </w:rPr>
        <w:t>í</w:t>
      </w:r>
      <w:r w:rsidR="004D6E95" w:rsidRPr="0028514A">
        <w:rPr>
          <w:rFonts w:ascii="Arial" w:hAnsi="Arial" w:cs="Arial"/>
          <w:sz w:val="24"/>
          <w:szCs w:val="24"/>
        </w:rPr>
        <w:t xml:space="preserve"> era competente para conocer del caso del accionante, pues, de conformidad con el numeral 3 del artículo 256 constitucional, le corresponde &lt;&lt;</w:t>
      </w:r>
      <w:r w:rsidR="004D6E95" w:rsidRPr="0028514A">
        <w:rPr>
          <w:rFonts w:ascii="Arial" w:hAnsi="Arial" w:cs="Arial"/>
          <w:i/>
          <w:iCs/>
          <w:sz w:val="24"/>
          <w:szCs w:val="24"/>
        </w:rPr>
        <w:t>examinar la conducta y sancionar las faltas de los funcionarios de la rama judicial, así, como las de los abogados en el ejercicio de la profesión, en la instancia que señale la Ley</w:t>
      </w:r>
      <w:r w:rsidR="004D6E95" w:rsidRPr="0028514A">
        <w:rPr>
          <w:rFonts w:ascii="Arial" w:hAnsi="Arial" w:cs="Arial"/>
          <w:sz w:val="24"/>
          <w:szCs w:val="24"/>
        </w:rPr>
        <w:t>&gt;&gt;, así como, revisar el actuar ético de los profesionales del derecho conforme lo estipula el artículo 28 del Código Deontológico del Abogado.</w:t>
      </w:r>
    </w:p>
    <w:p w14:paraId="1D9186C6"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72EC2A06" w14:textId="073378C0" w:rsidR="004D6E95" w:rsidRPr="0028514A" w:rsidRDefault="00A139DF" w:rsidP="004D6E95">
      <w:pPr>
        <w:numPr>
          <w:ilvl w:val="12"/>
          <w:numId w:val="0"/>
        </w:numPr>
        <w:tabs>
          <w:tab w:val="left" w:pos="6660"/>
        </w:tabs>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.7.- Ahora bien, en lo atinente al defecto procedimental</w:t>
      </w:r>
      <w:r w:rsidRPr="0028514A">
        <w:rPr>
          <w:rFonts w:ascii="Arial" w:hAnsi="Arial" w:cs="Arial"/>
          <w:sz w:val="24"/>
          <w:szCs w:val="24"/>
        </w:rPr>
        <w:t>,</w:t>
      </w:r>
      <w:r w:rsidR="004D6E95" w:rsidRPr="0028514A">
        <w:rPr>
          <w:rFonts w:ascii="Arial" w:hAnsi="Arial" w:cs="Arial"/>
          <w:sz w:val="24"/>
          <w:szCs w:val="24"/>
        </w:rPr>
        <w:t xml:space="preserve"> el accionante asegura que se incurrió en este porque la sentencia acusada no se notificó en debida forma ya que dentro de sus anexos no se allegó </w:t>
      </w:r>
      <w:r w:rsidRPr="0028514A">
        <w:rPr>
          <w:rFonts w:ascii="Arial" w:hAnsi="Arial" w:cs="Arial"/>
          <w:sz w:val="24"/>
          <w:szCs w:val="24"/>
        </w:rPr>
        <w:t>el</w:t>
      </w:r>
      <w:r w:rsidR="004D6E95" w:rsidRPr="0028514A">
        <w:rPr>
          <w:rFonts w:ascii="Arial" w:hAnsi="Arial" w:cs="Arial"/>
          <w:sz w:val="24"/>
          <w:szCs w:val="24"/>
        </w:rPr>
        <w:t xml:space="preserve"> salvamento de voto que se presentaron. </w:t>
      </w:r>
    </w:p>
    <w:p w14:paraId="69152F0C" w14:textId="77777777" w:rsidR="004D6E95" w:rsidRPr="0028514A" w:rsidRDefault="004D6E95" w:rsidP="004D6E95">
      <w:pPr>
        <w:numPr>
          <w:ilvl w:val="12"/>
          <w:numId w:val="0"/>
        </w:numPr>
        <w:tabs>
          <w:tab w:val="left" w:pos="6660"/>
        </w:tabs>
        <w:spacing w:line="276" w:lineRule="auto"/>
        <w:jc w:val="both"/>
        <w:rPr>
          <w:rFonts w:ascii="Arial" w:hAnsi="Arial" w:cs="Arial"/>
          <w:sz w:val="24"/>
          <w:szCs w:val="24"/>
        </w:rPr>
      </w:pPr>
    </w:p>
    <w:p w14:paraId="6CBADDC3" w14:textId="3C3F7E15" w:rsidR="004D6E95" w:rsidRPr="0028514A" w:rsidRDefault="00A139DF" w:rsidP="004D6E95">
      <w:pPr>
        <w:numPr>
          <w:ilvl w:val="12"/>
          <w:numId w:val="0"/>
        </w:numPr>
        <w:tabs>
          <w:tab w:val="left" w:pos="6660"/>
        </w:tabs>
        <w:spacing w:line="276" w:lineRule="auto"/>
        <w:jc w:val="both"/>
        <w:rPr>
          <w:rFonts w:ascii="Arial" w:hAnsi="Arial" w:cs="Arial"/>
          <w:color w:val="2D2D2D"/>
          <w:sz w:val="24"/>
          <w:szCs w:val="24"/>
          <w:shd w:val="clear" w:color="auto" w:fill="FFFFFF"/>
        </w:rPr>
      </w:pPr>
      <w:r w:rsidRPr="0028514A">
        <w:rPr>
          <w:rFonts w:ascii="Arial" w:hAnsi="Arial" w:cs="Arial"/>
          <w:sz w:val="24"/>
          <w:szCs w:val="24"/>
        </w:rPr>
        <w:t>10</w:t>
      </w:r>
      <w:r w:rsidR="004D6E95" w:rsidRPr="0028514A">
        <w:rPr>
          <w:rFonts w:ascii="Arial" w:hAnsi="Arial" w:cs="Arial"/>
          <w:sz w:val="24"/>
          <w:szCs w:val="24"/>
        </w:rPr>
        <w:t xml:space="preserve">.8.- </w:t>
      </w:r>
      <w:r w:rsidR="006F5382" w:rsidRPr="0028514A">
        <w:rPr>
          <w:rFonts w:ascii="Arial" w:hAnsi="Arial" w:cs="Arial"/>
          <w:sz w:val="24"/>
          <w:szCs w:val="24"/>
        </w:rPr>
        <w:t>Se</w:t>
      </w:r>
      <w:r w:rsidR="004D6E95" w:rsidRPr="0028514A">
        <w:rPr>
          <w:rFonts w:ascii="Arial" w:hAnsi="Arial" w:cs="Arial"/>
          <w:sz w:val="24"/>
          <w:szCs w:val="24"/>
        </w:rPr>
        <w:t xml:space="preserve"> advierte que el</w:t>
      </w:r>
      <w:r w:rsidR="004D6E95" w:rsidRPr="0028514A">
        <w:rPr>
          <w:rFonts w:ascii="Arial" w:hAnsi="Arial" w:cs="Arial"/>
          <w:color w:val="2D2D2D"/>
          <w:sz w:val="24"/>
          <w:szCs w:val="24"/>
          <w:shd w:val="clear" w:color="auto" w:fill="FFFFFF"/>
        </w:rPr>
        <w:t xml:space="preserve"> salvamento de voto es una providencia que no es de obligatoria notificación, pues se trata de un documento mediante el cual los jueces consignan sus posiciones jurídicas respecto de lo establecido en la providencia que se trate</w:t>
      </w:r>
      <w:r w:rsidR="006F5382" w:rsidRPr="0028514A">
        <w:rPr>
          <w:rFonts w:ascii="Arial" w:hAnsi="Arial" w:cs="Arial"/>
          <w:color w:val="2D2D2D"/>
          <w:sz w:val="24"/>
          <w:szCs w:val="24"/>
          <w:shd w:val="clear" w:color="auto" w:fill="FFFFFF"/>
        </w:rPr>
        <w:t>.</w:t>
      </w:r>
      <w:r w:rsidR="004D6E95" w:rsidRPr="0028514A">
        <w:rPr>
          <w:rFonts w:ascii="Arial" w:hAnsi="Arial" w:cs="Arial"/>
          <w:color w:val="2D2D2D"/>
          <w:sz w:val="24"/>
          <w:szCs w:val="24"/>
          <w:shd w:val="clear" w:color="auto" w:fill="FFFFFF"/>
        </w:rPr>
        <w:t xml:space="preserve"> </w:t>
      </w:r>
      <w:r w:rsidR="006F5382" w:rsidRPr="0028514A">
        <w:rPr>
          <w:rFonts w:ascii="Arial" w:hAnsi="Arial" w:cs="Arial"/>
          <w:color w:val="2D2D2D"/>
          <w:sz w:val="24"/>
          <w:szCs w:val="24"/>
          <w:shd w:val="clear" w:color="auto" w:fill="FFFFFF"/>
        </w:rPr>
        <w:t>E</w:t>
      </w:r>
      <w:r w:rsidR="004D6E95" w:rsidRPr="0028514A">
        <w:rPr>
          <w:rFonts w:ascii="Arial" w:hAnsi="Arial" w:cs="Arial"/>
          <w:color w:val="2D2D2D"/>
          <w:sz w:val="24"/>
          <w:szCs w:val="24"/>
          <w:shd w:val="clear" w:color="auto" w:fill="FFFFFF"/>
        </w:rPr>
        <w:t xml:space="preserve">n consecuencia, la falta de notificación no acarrea un defecto procedimental, como </w:t>
      </w:r>
      <w:r w:rsidR="006F5382" w:rsidRPr="0028514A">
        <w:rPr>
          <w:rFonts w:ascii="Arial" w:hAnsi="Arial" w:cs="Arial"/>
          <w:color w:val="2D2D2D"/>
          <w:sz w:val="24"/>
          <w:szCs w:val="24"/>
          <w:shd w:val="clear" w:color="auto" w:fill="FFFFFF"/>
        </w:rPr>
        <w:t>alega</w:t>
      </w:r>
      <w:r w:rsidR="004D6E95" w:rsidRPr="0028514A">
        <w:rPr>
          <w:rFonts w:ascii="Arial" w:hAnsi="Arial" w:cs="Arial"/>
          <w:color w:val="2D2D2D"/>
          <w:sz w:val="24"/>
          <w:szCs w:val="24"/>
          <w:shd w:val="clear" w:color="auto" w:fill="FFFFFF"/>
        </w:rPr>
        <w:t xml:space="preserve"> el accionante</w:t>
      </w:r>
      <w:r w:rsidR="004D6E95" w:rsidRPr="0028514A">
        <w:rPr>
          <w:rStyle w:val="Refdenotaalpie"/>
          <w:rFonts w:ascii="Arial" w:hAnsi="Arial" w:cs="Arial"/>
          <w:color w:val="2D2D2D"/>
          <w:sz w:val="24"/>
          <w:szCs w:val="24"/>
          <w:shd w:val="clear" w:color="auto" w:fill="FFFFFF"/>
        </w:rPr>
        <w:footnoteReference w:id="5"/>
      </w:r>
      <w:r w:rsidR="004D6E95" w:rsidRPr="0028514A">
        <w:rPr>
          <w:rFonts w:ascii="Arial" w:hAnsi="Arial" w:cs="Arial"/>
          <w:color w:val="2D2D2D"/>
          <w:sz w:val="24"/>
          <w:szCs w:val="24"/>
          <w:shd w:val="clear" w:color="auto" w:fill="FFFFFF"/>
        </w:rPr>
        <w:t>.</w:t>
      </w:r>
    </w:p>
    <w:p w14:paraId="57DA6C16" w14:textId="77777777" w:rsidR="004D6E95" w:rsidRPr="0028514A" w:rsidRDefault="004D6E95" w:rsidP="004D6E95">
      <w:pPr>
        <w:numPr>
          <w:ilvl w:val="12"/>
          <w:numId w:val="0"/>
        </w:numPr>
        <w:tabs>
          <w:tab w:val="left" w:pos="6660"/>
        </w:tabs>
        <w:spacing w:line="276" w:lineRule="auto"/>
        <w:jc w:val="both"/>
        <w:rPr>
          <w:rFonts w:ascii="Arial" w:hAnsi="Arial" w:cs="Arial"/>
          <w:color w:val="2D2D2D"/>
          <w:sz w:val="24"/>
          <w:szCs w:val="24"/>
          <w:shd w:val="clear" w:color="auto" w:fill="FFFFFF"/>
        </w:rPr>
      </w:pPr>
    </w:p>
    <w:p w14:paraId="717177B5" w14:textId="1EECAED0" w:rsidR="004D6E95" w:rsidRPr="0028514A" w:rsidRDefault="006F5382" w:rsidP="004D6E95">
      <w:pPr>
        <w:spacing w:line="276" w:lineRule="auto"/>
        <w:jc w:val="both"/>
        <w:rPr>
          <w:rFonts w:ascii="Arial" w:hAnsi="Arial" w:cs="Arial"/>
          <w:sz w:val="24"/>
          <w:szCs w:val="24"/>
        </w:rPr>
      </w:pPr>
      <w:r w:rsidRPr="0028514A">
        <w:rPr>
          <w:rFonts w:ascii="Arial" w:hAnsi="Arial" w:cs="Arial"/>
          <w:color w:val="2D2D2D"/>
          <w:sz w:val="24"/>
          <w:szCs w:val="24"/>
          <w:shd w:val="clear" w:color="auto" w:fill="FFFFFF"/>
        </w:rPr>
        <w:t>10</w:t>
      </w:r>
      <w:r w:rsidR="004D6E95" w:rsidRPr="0028514A">
        <w:rPr>
          <w:rFonts w:ascii="Arial" w:hAnsi="Arial" w:cs="Arial"/>
          <w:color w:val="2D2D2D"/>
          <w:sz w:val="24"/>
          <w:szCs w:val="24"/>
          <w:shd w:val="clear" w:color="auto" w:fill="FFFFFF"/>
        </w:rPr>
        <w:t xml:space="preserve">.9.- Finalmente, el </w:t>
      </w:r>
      <w:r w:rsidRPr="0028514A">
        <w:rPr>
          <w:rFonts w:ascii="Arial" w:hAnsi="Arial" w:cs="Arial"/>
          <w:color w:val="2D2D2D"/>
          <w:sz w:val="24"/>
          <w:szCs w:val="24"/>
          <w:shd w:val="clear" w:color="auto" w:fill="FFFFFF"/>
        </w:rPr>
        <w:t>señor Gil Gómez</w:t>
      </w:r>
      <w:r w:rsidR="004D6E95" w:rsidRPr="0028514A">
        <w:rPr>
          <w:rFonts w:ascii="Arial" w:hAnsi="Arial" w:cs="Arial"/>
          <w:color w:val="2D2D2D"/>
          <w:sz w:val="24"/>
          <w:szCs w:val="24"/>
          <w:shd w:val="clear" w:color="auto" w:fill="FFFFFF"/>
        </w:rPr>
        <w:t xml:space="preserve"> manifestó que se le vulneró su derecho fundamental al debido proceso porque</w:t>
      </w:r>
      <w:r w:rsidR="004D6E95" w:rsidRPr="0028514A">
        <w:rPr>
          <w:rFonts w:ascii="Arial" w:hAnsi="Arial" w:cs="Arial"/>
          <w:sz w:val="24"/>
          <w:szCs w:val="24"/>
        </w:rPr>
        <w:t xml:space="preserve">: i) la autoridad accionada juzgó al actor por una conducta punible que no </w:t>
      </w:r>
      <w:r w:rsidRPr="0028514A">
        <w:rPr>
          <w:rFonts w:ascii="Arial" w:hAnsi="Arial" w:cs="Arial"/>
          <w:sz w:val="24"/>
          <w:szCs w:val="24"/>
        </w:rPr>
        <w:t>fue planteada</w:t>
      </w:r>
      <w:r w:rsidR="004D6E95" w:rsidRPr="0028514A">
        <w:rPr>
          <w:rFonts w:ascii="Arial" w:hAnsi="Arial" w:cs="Arial"/>
          <w:sz w:val="24"/>
          <w:szCs w:val="24"/>
        </w:rPr>
        <w:t xml:space="preserve"> por el quejoso; </w:t>
      </w:r>
      <w:proofErr w:type="spellStart"/>
      <w:r w:rsidR="004D6E95" w:rsidRPr="0028514A">
        <w:rPr>
          <w:rFonts w:ascii="Arial" w:hAnsi="Arial" w:cs="Arial"/>
          <w:sz w:val="24"/>
          <w:szCs w:val="24"/>
        </w:rPr>
        <w:t>ii</w:t>
      </w:r>
      <w:proofErr w:type="spellEnd"/>
      <w:r w:rsidR="004D6E95" w:rsidRPr="0028514A">
        <w:rPr>
          <w:rFonts w:ascii="Arial" w:hAnsi="Arial" w:cs="Arial"/>
          <w:sz w:val="24"/>
          <w:szCs w:val="24"/>
        </w:rPr>
        <w:t xml:space="preserve">) el juez de primera instancia le compulsó copias para que fuera investigado dos veces por los mismos hechos; </w:t>
      </w:r>
      <w:proofErr w:type="spellStart"/>
      <w:r w:rsidR="004D6E95" w:rsidRPr="0028514A">
        <w:rPr>
          <w:rFonts w:ascii="Arial" w:hAnsi="Arial" w:cs="Arial"/>
          <w:sz w:val="24"/>
          <w:szCs w:val="24"/>
        </w:rPr>
        <w:t>iii</w:t>
      </w:r>
      <w:proofErr w:type="spellEnd"/>
      <w:r w:rsidR="004D6E95" w:rsidRPr="0028514A">
        <w:rPr>
          <w:rFonts w:ascii="Arial" w:hAnsi="Arial" w:cs="Arial"/>
          <w:sz w:val="24"/>
          <w:szCs w:val="24"/>
        </w:rPr>
        <w:t>) el proceso es nulo, pues se permitió la intervención del quejoso en el trámite pese a que no estaba previsto como participante en la Ley 1123 de 2007</w:t>
      </w:r>
      <w:r w:rsidRPr="0028514A">
        <w:rPr>
          <w:rFonts w:ascii="Arial" w:hAnsi="Arial" w:cs="Arial"/>
          <w:sz w:val="24"/>
          <w:szCs w:val="24"/>
        </w:rPr>
        <w:t>,</w:t>
      </w:r>
      <w:r w:rsidR="004D6E95" w:rsidRPr="0028514A">
        <w:rPr>
          <w:rFonts w:ascii="Arial" w:hAnsi="Arial" w:cs="Arial"/>
          <w:sz w:val="24"/>
          <w:szCs w:val="24"/>
        </w:rPr>
        <w:t xml:space="preserve"> y  </w:t>
      </w:r>
      <w:proofErr w:type="spellStart"/>
      <w:r w:rsidR="004D6E95" w:rsidRPr="0028514A">
        <w:rPr>
          <w:rFonts w:ascii="Arial" w:hAnsi="Arial" w:cs="Arial"/>
          <w:sz w:val="24"/>
          <w:szCs w:val="24"/>
        </w:rPr>
        <w:t>iv</w:t>
      </w:r>
      <w:proofErr w:type="spellEnd"/>
      <w:r w:rsidR="004D6E95" w:rsidRPr="0028514A">
        <w:rPr>
          <w:rFonts w:ascii="Arial" w:hAnsi="Arial" w:cs="Arial"/>
          <w:sz w:val="24"/>
          <w:szCs w:val="24"/>
        </w:rPr>
        <w:t xml:space="preserve">) la acción disciplinaria prescribió antes de que cobrara ejecutoria la sentencia de segunda instancia. </w:t>
      </w:r>
    </w:p>
    <w:p w14:paraId="290A544A" w14:textId="77777777" w:rsidR="004D6E95" w:rsidRPr="0028514A" w:rsidRDefault="004D6E95" w:rsidP="004D6E95">
      <w:pPr>
        <w:spacing w:line="276" w:lineRule="auto"/>
        <w:jc w:val="both"/>
        <w:rPr>
          <w:rFonts w:ascii="Arial" w:hAnsi="Arial" w:cs="Arial"/>
          <w:sz w:val="24"/>
          <w:szCs w:val="24"/>
        </w:rPr>
      </w:pPr>
    </w:p>
    <w:p w14:paraId="0C506657" w14:textId="713B1C32" w:rsidR="004D6E95" w:rsidRPr="0028514A" w:rsidRDefault="006F5382" w:rsidP="004D6E95">
      <w:pPr>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 xml:space="preserve">.10.- Frente al primero, se advierte que el juez disciplinario puede investigar la conducta que se denuncia y </w:t>
      </w:r>
      <w:r w:rsidRPr="0028514A">
        <w:rPr>
          <w:rFonts w:ascii="Arial" w:hAnsi="Arial" w:cs="Arial"/>
          <w:sz w:val="24"/>
          <w:szCs w:val="24"/>
        </w:rPr>
        <w:t xml:space="preserve">las que de ella </w:t>
      </w:r>
      <w:r w:rsidR="004D6E95" w:rsidRPr="0028514A">
        <w:rPr>
          <w:rFonts w:ascii="Arial" w:hAnsi="Arial" w:cs="Arial"/>
          <w:sz w:val="24"/>
          <w:szCs w:val="24"/>
        </w:rPr>
        <w:t>se desprendan</w:t>
      </w:r>
      <w:r w:rsidRPr="0028514A">
        <w:rPr>
          <w:rFonts w:ascii="Arial" w:hAnsi="Arial" w:cs="Arial"/>
          <w:sz w:val="24"/>
          <w:szCs w:val="24"/>
        </w:rPr>
        <w:t>, garantizando el derecho de defensa a la parte investigada. E</w:t>
      </w:r>
      <w:r w:rsidR="004D6E95" w:rsidRPr="0028514A">
        <w:rPr>
          <w:rFonts w:ascii="Arial" w:hAnsi="Arial" w:cs="Arial"/>
          <w:sz w:val="24"/>
          <w:szCs w:val="24"/>
        </w:rPr>
        <w:t xml:space="preserve">n este caso, desde el inicio de la investigación </w:t>
      </w:r>
      <w:r w:rsidRPr="0028514A">
        <w:rPr>
          <w:rFonts w:ascii="Arial" w:hAnsi="Arial" w:cs="Arial"/>
          <w:sz w:val="24"/>
          <w:szCs w:val="24"/>
        </w:rPr>
        <w:t xml:space="preserve">la autoridad disciplinaria </w:t>
      </w:r>
      <w:r w:rsidR="004D6E95" w:rsidRPr="0028514A">
        <w:rPr>
          <w:rFonts w:ascii="Arial" w:hAnsi="Arial" w:cs="Arial"/>
          <w:sz w:val="24"/>
          <w:szCs w:val="24"/>
        </w:rPr>
        <w:t xml:space="preserve">dio a conocer al disciplinado las conductas </w:t>
      </w:r>
      <w:r w:rsidR="004D6E95" w:rsidRPr="0028514A">
        <w:rPr>
          <w:rFonts w:ascii="Arial" w:hAnsi="Arial" w:cs="Arial"/>
          <w:sz w:val="24"/>
          <w:szCs w:val="24"/>
        </w:rPr>
        <w:lastRenderedPageBreak/>
        <w:t xml:space="preserve">que le eran reprochables y respecto de estas el accionante ejerció su derecho de defensa. </w:t>
      </w:r>
    </w:p>
    <w:p w14:paraId="0372C7B7" w14:textId="77777777" w:rsidR="004D6E95" w:rsidRPr="0028514A" w:rsidRDefault="004D6E95" w:rsidP="004D6E95">
      <w:pPr>
        <w:spacing w:line="276" w:lineRule="auto"/>
        <w:jc w:val="both"/>
        <w:rPr>
          <w:rFonts w:ascii="Arial" w:hAnsi="Arial" w:cs="Arial"/>
          <w:sz w:val="24"/>
          <w:szCs w:val="24"/>
        </w:rPr>
      </w:pPr>
    </w:p>
    <w:p w14:paraId="65645C1E" w14:textId="4DCDFF26" w:rsidR="004D6E95" w:rsidRPr="0028514A" w:rsidRDefault="006F5382" w:rsidP="004D6E95">
      <w:pPr>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.11.- En cuanto al segundo, se observa que si bien el juez de primera instancia compulsó copias de la actuación ante la Presidencia de la Sala Disciplinaria del Consejo Seccional de la Judicatura, reparto, para que &lt;&lt;</w:t>
      </w:r>
      <w:r w:rsidR="004D6E95" w:rsidRPr="0028514A">
        <w:rPr>
          <w:rFonts w:ascii="Arial" w:hAnsi="Arial" w:cs="Arial"/>
          <w:i/>
          <w:iCs/>
          <w:sz w:val="24"/>
          <w:szCs w:val="24"/>
        </w:rPr>
        <w:t>se evalúe si el abogado ÓSCAR MAURICIO GIL pudo incurrir en alguna falta disciplinaria por actos fraudulentos, teniendo en cuenta los supuestos engaños que denunció el señor quejoso, y que no fueron objeto de análisis dentro de esta investigación</w:t>
      </w:r>
      <w:r w:rsidR="004D6E95" w:rsidRPr="0028514A">
        <w:rPr>
          <w:rFonts w:ascii="Arial" w:hAnsi="Arial" w:cs="Arial"/>
          <w:sz w:val="24"/>
          <w:szCs w:val="24"/>
        </w:rPr>
        <w:t xml:space="preserve">&gt;&gt;lo cierto es que la sola remisión de la providencia no vulnera el principio de </w:t>
      </w:r>
      <w:r w:rsidR="004D6E95" w:rsidRPr="0028514A">
        <w:rPr>
          <w:rFonts w:ascii="Arial" w:hAnsi="Arial" w:cs="Arial"/>
          <w:i/>
          <w:sz w:val="24"/>
          <w:szCs w:val="24"/>
        </w:rPr>
        <w:t xml:space="preserve">non bis in </w:t>
      </w:r>
      <w:proofErr w:type="spellStart"/>
      <w:r w:rsidR="004D6E95" w:rsidRPr="0028514A">
        <w:rPr>
          <w:rFonts w:ascii="Arial" w:hAnsi="Arial" w:cs="Arial"/>
          <w:i/>
          <w:sz w:val="24"/>
          <w:szCs w:val="24"/>
        </w:rPr>
        <w:t>idem</w:t>
      </w:r>
      <w:proofErr w:type="spellEnd"/>
      <w:r w:rsidR="004D6E95" w:rsidRPr="0028514A">
        <w:rPr>
          <w:rFonts w:ascii="Arial" w:hAnsi="Arial" w:cs="Arial"/>
          <w:sz w:val="24"/>
          <w:szCs w:val="24"/>
        </w:rPr>
        <w:t xml:space="preserve"> porque (i) será el juez competente quien determinará si hay lugar o no abrir la investigación, (</w:t>
      </w:r>
      <w:proofErr w:type="spellStart"/>
      <w:r w:rsidR="004D6E95" w:rsidRPr="0028514A">
        <w:rPr>
          <w:rFonts w:ascii="Arial" w:hAnsi="Arial" w:cs="Arial"/>
          <w:sz w:val="24"/>
          <w:szCs w:val="24"/>
        </w:rPr>
        <w:t>ii</w:t>
      </w:r>
      <w:proofErr w:type="spellEnd"/>
      <w:r w:rsidR="004D6E95" w:rsidRPr="0028514A">
        <w:rPr>
          <w:rFonts w:ascii="Arial" w:hAnsi="Arial" w:cs="Arial"/>
          <w:sz w:val="24"/>
          <w:szCs w:val="24"/>
        </w:rPr>
        <w:t>) y dicha remisión no vulnera el derecho de defensa del accionante, dado que en ese proceso podrá ejercer su derecho de defensa, y (</w:t>
      </w:r>
      <w:proofErr w:type="spellStart"/>
      <w:r w:rsidR="004D6E95" w:rsidRPr="0028514A">
        <w:rPr>
          <w:rFonts w:ascii="Arial" w:hAnsi="Arial" w:cs="Arial"/>
          <w:sz w:val="24"/>
          <w:szCs w:val="24"/>
        </w:rPr>
        <w:t>iii</w:t>
      </w:r>
      <w:proofErr w:type="spellEnd"/>
      <w:r w:rsidR="004D6E95" w:rsidRPr="0028514A">
        <w:rPr>
          <w:rFonts w:ascii="Arial" w:hAnsi="Arial" w:cs="Arial"/>
          <w:sz w:val="24"/>
          <w:szCs w:val="24"/>
        </w:rPr>
        <w:t xml:space="preserve">) en la determinación quedó consignado que la investigación sería por los hechos que no fueron objeto de análisis dentro de </w:t>
      </w:r>
      <w:r w:rsidR="00C9246B" w:rsidRPr="0028514A">
        <w:rPr>
          <w:rFonts w:ascii="Arial" w:hAnsi="Arial" w:cs="Arial"/>
          <w:sz w:val="24"/>
          <w:szCs w:val="24"/>
        </w:rPr>
        <w:t xml:space="preserve">la </w:t>
      </w:r>
      <w:r w:rsidR="004D6E95" w:rsidRPr="0028514A">
        <w:rPr>
          <w:rFonts w:ascii="Arial" w:hAnsi="Arial" w:cs="Arial"/>
          <w:sz w:val="24"/>
          <w:szCs w:val="24"/>
        </w:rPr>
        <w:t>investigación</w:t>
      </w:r>
      <w:r w:rsidR="00C9246B" w:rsidRPr="0028514A">
        <w:rPr>
          <w:rFonts w:ascii="Arial" w:hAnsi="Arial" w:cs="Arial"/>
          <w:sz w:val="24"/>
          <w:szCs w:val="24"/>
        </w:rPr>
        <w:t xml:space="preserve"> objeto de análisis</w:t>
      </w:r>
      <w:r w:rsidR="004D6E95" w:rsidRPr="0028514A">
        <w:rPr>
          <w:rFonts w:ascii="Arial" w:hAnsi="Arial" w:cs="Arial"/>
          <w:sz w:val="24"/>
          <w:szCs w:val="24"/>
        </w:rPr>
        <w:t xml:space="preserve">. </w:t>
      </w:r>
    </w:p>
    <w:p w14:paraId="562EE448" w14:textId="77777777" w:rsidR="004D6E95" w:rsidRPr="0028514A" w:rsidRDefault="004D6E95" w:rsidP="004D6E95">
      <w:pPr>
        <w:spacing w:line="276" w:lineRule="auto"/>
        <w:jc w:val="both"/>
        <w:rPr>
          <w:rFonts w:ascii="Arial" w:hAnsi="Arial" w:cs="Arial"/>
          <w:sz w:val="24"/>
          <w:szCs w:val="24"/>
        </w:rPr>
      </w:pPr>
    </w:p>
    <w:p w14:paraId="5FF881E2" w14:textId="050351E5" w:rsidR="004D6E95" w:rsidRPr="0028514A" w:rsidRDefault="006F5382" w:rsidP="004D6E95">
      <w:pPr>
        <w:spacing w:line="276" w:lineRule="auto"/>
        <w:jc w:val="both"/>
        <w:rPr>
          <w:rFonts w:ascii="Arial" w:hAnsi="Arial" w:cs="Arial"/>
          <w:sz w:val="24"/>
          <w:szCs w:val="24"/>
        </w:rPr>
      </w:pPr>
      <w:r w:rsidRPr="0028514A">
        <w:rPr>
          <w:rFonts w:ascii="Arial" w:hAnsi="Arial" w:cs="Arial"/>
          <w:sz w:val="24"/>
          <w:szCs w:val="24"/>
        </w:rPr>
        <w:t>10</w:t>
      </w:r>
      <w:r w:rsidR="004D6E95" w:rsidRPr="0028514A">
        <w:rPr>
          <w:rFonts w:ascii="Arial" w:hAnsi="Arial" w:cs="Arial"/>
          <w:sz w:val="24"/>
          <w:szCs w:val="24"/>
        </w:rPr>
        <w:t xml:space="preserve">.12.- </w:t>
      </w:r>
      <w:r w:rsidRPr="0028514A">
        <w:rPr>
          <w:rFonts w:ascii="Arial" w:hAnsi="Arial" w:cs="Arial"/>
          <w:sz w:val="24"/>
          <w:szCs w:val="24"/>
        </w:rPr>
        <w:t>Respecto</w:t>
      </w:r>
      <w:r w:rsidR="004D6E95" w:rsidRPr="0028514A">
        <w:rPr>
          <w:rFonts w:ascii="Arial" w:hAnsi="Arial" w:cs="Arial"/>
          <w:sz w:val="24"/>
          <w:szCs w:val="24"/>
        </w:rPr>
        <w:t xml:space="preserve"> del tercer argumento, se destaca que la Ley 1123 de 2007 establece en su artículo 66 que el quejoso tiene la calidad de interviniente y </w:t>
      </w:r>
      <w:r w:rsidRPr="0028514A">
        <w:rPr>
          <w:rFonts w:ascii="Arial" w:hAnsi="Arial" w:cs="Arial"/>
          <w:sz w:val="24"/>
          <w:szCs w:val="24"/>
        </w:rPr>
        <w:t xml:space="preserve">está </w:t>
      </w:r>
      <w:r w:rsidR="004D6E95" w:rsidRPr="0028514A">
        <w:rPr>
          <w:rFonts w:ascii="Arial" w:hAnsi="Arial" w:cs="Arial"/>
          <w:sz w:val="24"/>
          <w:szCs w:val="24"/>
        </w:rPr>
        <w:t xml:space="preserve">facultado para la formulación y ampliación de la queja, aporte de pruebas e impugnación de las decisiones que pongan fin a la actuación. Por lo tanto, </w:t>
      </w:r>
      <w:r w:rsidRPr="0028514A">
        <w:rPr>
          <w:rFonts w:ascii="Arial" w:hAnsi="Arial" w:cs="Arial"/>
          <w:sz w:val="24"/>
          <w:szCs w:val="24"/>
        </w:rPr>
        <w:t xml:space="preserve">por disposición legal </w:t>
      </w:r>
      <w:r w:rsidR="004D6E95" w:rsidRPr="0028514A">
        <w:rPr>
          <w:rFonts w:ascii="Arial" w:hAnsi="Arial" w:cs="Arial"/>
          <w:sz w:val="24"/>
          <w:szCs w:val="24"/>
        </w:rPr>
        <w:t>el accionante sí podía participar en el proceso.</w:t>
      </w:r>
    </w:p>
    <w:p w14:paraId="5B9BB23C" w14:textId="77777777" w:rsidR="004D6E95" w:rsidRPr="0028514A" w:rsidRDefault="004D6E95" w:rsidP="004D6E95">
      <w:pPr>
        <w:spacing w:line="276" w:lineRule="auto"/>
        <w:jc w:val="both"/>
        <w:rPr>
          <w:rFonts w:ascii="Arial" w:hAnsi="Arial" w:cs="Arial"/>
          <w:sz w:val="24"/>
          <w:szCs w:val="24"/>
        </w:rPr>
      </w:pPr>
    </w:p>
    <w:p w14:paraId="60F8ED11" w14:textId="287096B5" w:rsidR="007F757E" w:rsidRPr="0028514A" w:rsidRDefault="006F5382" w:rsidP="006F5382">
      <w:pPr>
        <w:pStyle w:val="NormalWeb"/>
        <w:shd w:val="clear" w:color="auto" w:fill="FFFFFF"/>
        <w:spacing w:before="0" w:beforeAutospacing="0"/>
        <w:jc w:val="both"/>
        <w:rPr>
          <w:rFonts w:ascii="Helvetica" w:eastAsiaTheme="minorHAnsi" w:hAnsi="Helvetica"/>
          <w:color w:val="333333"/>
          <w:sz w:val="25"/>
          <w:szCs w:val="25"/>
          <w:lang w:eastAsia="es-ES"/>
        </w:rPr>
      </w:pPr>
      <w:r w:rsidRPr="0028514A">
        <w:rPr>
          <w:rFonts w:ascii="Arial" w:hAnsi="Arial" w:cs="Arial"/>
        </w:rPr>
        <w:t>10</w:t>
      </w:r>
      <w:r w:rsidR="004D6E95" w:rsidRPr="0028514A">
        <w:rPr>
          <w:rFonts w:ascii="Arial" w:hAnsi="Arial" w:cs="Arial"/>
        </w:rPr>
        <w:t>.13.- Por último, se advierte que tampoco le asiste razón al accionante al decir que la acción disciplinaria prescribió antes de que cobrara ejecutoria la sentencia de segunda instancia</w:t>
      </w:r>
      <w:r w:rsidRPr="0028514A">
        <w:rPr>
          <w:rFonts w:ascii="Arial" w:hAnsi="Arial" w:cs="Arial"/>
        </w:rPr>
        <w:t xml:space="preserve">, puesto </w:t>
      </w:r>
      <w:r w:rsidR="004D6E95" w:rsidRPr="0028514A">
        <w:rPr>
          <w:rFonts w:ascii="Arial" w:hAnsi="Arial" w:cs="Arial"/>
        </w:rPr>
        <w:t>que el artículo 24 de la ley 1123 de 2007 establece que &lt;&lt;</w:t>
      </w:r>
      <w:r w:rsidR="004D6E95" w:rsidRPr="0028514A">
        <w:rPr>
          <w:rFonts w:ascii="Helvetica" w:hAnsi="Helvetica"/>
          <w:color w:val="333333"/>
          <w:sz w:val="25"/>
          <w:szCs w:val="25"/>
        </w:rPr>
        <w:t xml:space="preserve"> </w:t>
      </w:r>
      <w:r w:rsidR="00A72793" w:rsidRPr="0028514A">
        <w:rPr>
          <w:rFonts w:ascii="Helvetica" w:eastAsiaTheme="minorHAnsi" w:hAnsi="Helvetica"/>
          <w:i/>
          <w:iCs/>
          <w:color w:val="333333"/>
          <w:sz w:val="25"/>
          <w:szCs w:val="25"/>
          <w:lang w:eastAsia="es-ES"/>
        </w:rPr>
        <w:t>l</w:t>
      </w:r>
      <w:r w:rsidR="004D6E95" w:rsidRPr="0028514A">
        <w:rPr>
          <w:rFonts w:ascii="Helvetica" w:eastAsiaTheme="minorHAnsi" w:hAnsi="Helvetica"/>
          <w:i/>
          <w:iCs/>
          <w:color w:val="333333"/>
          <w:sz w:val="25"/>
          <w:szCs w:val="25"/>
          <w:lang w:eastAsia="es-ES"/>
        </w:rPr>
        <w:t>a acción disciplinaria prescribe en cinco años, contados para las faltas instantáneas desde el día de su consumación y para las de carácter permanente o continuado desde la realización del último acto ejecutivo de la misma. Cuando fueren varias las conductas juzgadas en un solo proceso, la prescripción de las acciones se cumple independientemente para cada una de ellas</w:t>
      </w:r>
      <w:r w:rsidR="004D6E95" w:rsidRPr="0028514A">
        <w:rPr>
          <w:rFonts w:ascii="Helvetica" w:eastAsiaTheme="minorHAnsi" w:hAnsi="Helvetica"/>
          <w:color w:val="333333"/>
          <w:sz w:val="25"/>
          <w:szCs w:val="25"/>
          <w:lang w:eastAsia="es-ES"/>
        </w:rPr>
        <w:t>&gt;&gt;</w:t>
      </w:r>
      <w:r w:rsidRPr="0028514A">
        <w:rPr>
          <w:rFonts w:ascii="Helvetica" w:eastAsiaTheme="minorHAnsi" w:hAnsi="Helvetica"/>
          <w:color w:val="333333"/>
          <w:sz w:val="25"/>
          <w:szCs w:val="25"/>
          <w:lang w:eastAsia="es-ES"/>
        </w:rPr>
        <w:t xml:space="preserve">. </w:t>
      </w:r>
    </w:p>
    <w:p w14:paraId="624D2658" w14:textId="5E9E79E9" w:rsidR="004D6E95" w:rsidRPr="0028514A" w:rsidRDefault="007F757E" w:rsidP="006F5382">
      <w:pPr>
        <w:pStyle w:val="NormalWeb"/>
        <w:shd w:val="clear" w:color="auto" w:fill="FFFFFF"/>
        <w:spacing w:before="0" w:beforeAutospacing="0"/>
        <w:jc w:val="both"/>
        <w:rPr>
          <w:rFonts w:ascii="Arial" w:hAnsi="Arial" w:cs="Arial"/>
          <w:color w:val="333333"/>
          <w:shd w:val="clear" w:color="auto" w:fill="FFFFFF"/>
        </w:rPr>
      </w:pPr>
      <w:r w:rsidRPr="0028514A">
        <w:rPr>
          <w:rFonts w:ascii="Helvetica" w:eastAsiaTheme="minorHAnsi" w:hAnsi="Helvetica"/>
          <w:color w:val="333333"/>
          <w:sz w:val="25"/>
          <w:szCs w:val="25"/>
          <w:lang w:eastAsia="es-ES"/>
        </w:rPr>
        <w:t xml:space="preserve">10.13.1.- </w:t>
      </w:r>
      <w:r w:rsidR="006F5382" w:rsidRPr="0028514A">
        <w:rPr>
          <w:rFonts w:ascii="Helvetica" w:eastAsiaTheme="minorHAnsi" w:hAnsi="Helvetica"/>
          <w:color w:val="333333"/>
          <w:sz w:val="25"/>
          <w:szCs w:val="25"/>
          <w:lang w:eastAsia="es-ES"/>
        </w:rPr>
        <w:t>En este</w:t>
      </w:r>
      <w:r w:rsidR="004D6E95" w:rsidRPr="0028514A">
        <w:rPr>
          <w:rFonts w:ascii="Helvetica" w:eastAsiaTheme="minorHAnsi" w:hAnsi="Helvetica"/>
          <w:color w:val="333333"/>
          <w:sz w:val="25"/>
          <w:szCs w:val="25"/>
          <w:lang w:eastAsia="es-ES"/>
        </w:rPr>
        <w:t xml:space="preserve"> caso los hechos datan del 25 de julio de 2016 y la sanción se impuso el 8 de julio de 2020, </w:t>
      </w:r>
      <w:r w:rsidR="006F5382" w:rsidRPr="0028514A">
        <w:rPr>
          <w:rFonts w:ascii="Helvetica" w:eastAsiaTheme="minorHAnsi" w:hAnsi="Helvetica"/>
          <w:color w:val="333333"/>
          <w:sz w:val="25"/>
          <w:szCs w:val="25"/>
          <w:lang w:eastAsia="es-ES"/>
        </w:rPr>
        <w:t xml:space="preserve">es decir, </w:t>
      </w:r>
      <w:r w:rsidR="004D6E95" w:rsidRPr="0028514A">
        <w:rPr>
          <w:rFonts w:ascii="Helvetica" w:eastAsiaTheme="minorHAnsi" w:hAnsi="Helvetica"/>
          <w:color w:val="333333"/>
          <w:sz w:val="25"/>
          <w:szCs w:val="25"/>
          <w:lang w:eastAsia="es-ES"/>
        </w:rPr>
        <w:t>dentro del término</w:t>
      </w:r>
      <w:r w:rsidR="006F5382" w:rsidRPr="0028514A">
        <w:rPr>
          <w:rFonts w:ascii="Helvetica" w:eastAsiaTheme="minorHAnsi" w:hAnsi="Helvetica"/>
          <w:color w:val="333333"/>
          <w:sz w:val="25"/>
          <w:szCs w:val="25"/>
          <w:lang w:eastAsia="es-ES"/>
        </w:rPr>
        <w:t xml:space="preserve"> de cinco años</w:t>
      </w:r>
      <w:r w:rsidR="004D6E95" w:rsidRPr="0028514A">
        <w:rPr>
          <w:rFonts w:ascii="Arial" w:eastAsia="Calibri" w:hAnsi="Arial" w:cs="Arial"/>
          <w:lang w:val="es-ES_tradnl" w:eastAsia="en-US"/>
        </w:rPr>
        <w:t xml:space="preserve">. Valga aclarar que </w:t>
      </w:r>
      <w:r w:rsidR="004D6E95" w:rsidRPr="0028514A">
        <w:rPr>
          <w:rFonts w:ascii="Arial" w:hAnsi="Arial" w:cs="Arial"/>
          <w:color w:val="333333"/>
          <w:shd w:val="clear" w:color="auto" w:fill="FFFFFF"/>
        </w:rPr>
        <w:t xml:space="preserve">la notificación </w:t>
      </w:r>
      <w:r w:rsidR="006F5382" w:rsidRPr="0028514A">
        <w:rPr>
          <w:rFonts w:ascii="Arial" w:hAnsi="Arial" w:cs="Arial"/>
          <w:color w:val="333333"/>
          <w:shd w:val="clear" w:color="auto" w:fill="FFFFFF"/>
        </w:rPr>
        <w:t>de</w:t>
      </w:r>
      <w:r w:rsidRPr="0028514A">
        <w:rPr>
          <w:rFonts w:ascii="Arial" w:hAnsi="Arial" w:cs="Arial"/>
          <w:color w:val="333333"/>
          <w:shd w:val="clear" w:color="auto" w:fill="FFFFFF"/>
        </w:rPr>
        <w:t xml:space="preserve"> </w:t>
      </w:r>
      <w:r w:rsidR="006F5382" w:rsidRPr="0028514A">
        <w:rPr>
          <w:rFonts w:ascii="Arial" w:hAnsi="Arial" w:cs="Arial"/>
          <w:color w:val="333333"/>
          <w:shd w:val="clear" w:color="auto" w:fill="FFFFFF"/>
        </w:rPr>
        <w:t xml:space="preserve">la sentencia se surtió mediante su envío </w:t>
      </w:r>
      <w:r w:rsidR="004D6E95" w:rsidRPr="0028514A">
        <w:rPr>
          <w:rFonts w:ascii="Arial" w:hAnsi="Arial" w:cs="Arial"/>
          <w:color w:val="333333"/>
          <w:shd w:val="clear" w:color="auto" w:fill="FFFFFF"/>
        </w:rPr>
        <w:t>al correo electrónico el 14 de julio de 2020</w:t>
      </w:r>
      <w:r w:rsidRPr="0028514A">
        <w:rPr>
          <w:rFonts w:ascii="Arial" w:hAnsi="Arial" w:cs="Arial"/>
          <w:color w:val="333333"/>
          <w:shd w:val="clear" w:color="auto" w:fill="FFFFFF"/>
        </w:rPr>
        <w:t>,</w:t>
      </w:r>
      <w:r w:rsidR="004D6E95" w:rsidRPr="0028514A">
        <w:rPr>
          <w:rFonts w:ascii="Arial" w:hAnsi="Arial" w:cs="Arial"/>
          <w:color w:val="333333"/>
          <w:shd w:val="clear" w:color="auto" w:fill="FFFFFF"/>
        </w:rPr>
        <w:t xml:space="preserve"> aun cuando </w:t>
      </w:r>
      <w:r w:rsidRPr="0028514A">
        <w:rPr>
          <w:rFonts w:ascii="Arial" w:hAnsi="Arial" w:cs="Arial"/>
          <w:color w:val="333333"/>
          <w:shd w:val="clear" w:color="auto" w:fill="FFFFFF"/>
        </w:rPr>
        <w:t xml:space="preserve">con ella no </w:t>
      </w:r>
      <w:r w:rsidR="004D6E95" w:rsidRPr="0028514A">
        <w:rPr>
          <w:rFonts w:ascii="Arial" w:hAnsi="Arial" w:cs="Arial"/>
          <w:color w:val="333333"/>
          <w:shd w:val="clear" w:color="auto" w:fill="FFFFFF"/>
        </w:rPr>
        <w:t xml:space="preserve">se hubiera enviado </w:t>
      </w:r>
      <w:proofErr w:type="gramStart"/>
      <w:r w:rsidR="00C9246B" w:rsidRPr="0028514A">
        <w:rPr>
          <w:rFonts w:ascii="Arial" w:hAnsi="Arial" w:cs="Arial"/>
          <w:color w:val="333333"/>
          <w:shd w:val="clear" w:color="auto" w:fill="FFFFFF"/>
        </w:rPr>
        <w:t xml:space="preserve">el </w:t>
      </w:r>
      <w:r w:rsidR="004D6E95" w:rsidRPr="0028514A">
        <w:rPr>
          <w:rFonts w:ascii="Arial" w:hAnsi="Arial" w:cs="Arial"/>
          <w:color w:val="333333"/>
          <w:shd w:val="clear" w:color="auto" w:fill="FFFFFF"/>
        </w:rPr>
        <w:t xml:space="preserve"> salvamento</w:t>
      </w:r>
      <w:proofErr w:type="gramEnd"/>
      <w:r w:rsidR="004D6E95" w:rsidRPr="0028514A">
        <w:rPr>
          <w:rFonts w:ascii="Arial" w:hAnsi="Arial" w:cs="Arial"/>
          <w:color w:val="333333"/>
          <w:shd w:val="clear" w:color="auto" w:fill="FFFFFF"/>
        </w:rPr>
        <w:t xml:space="preserve"> de voto.</w:t>
      </w:r>
    </w:p>
    <w:p w14:paraId="44C4EB97" w14:textId="00B7D3CA" w:rsidR="004D6E95" w:rsidRPr="0028514A" w:rsidRDefault="007F757E" w:rsidP="004D6E95">
      <w:pPr>
        <w:spacing w:line="276" w:lineRule="auto"/>
        <w:jc w:val="both"/>
        <w:rPr>
          <w:rFonts w:ascii="Arial" w:hAnsi="Arial" w:cs="Arial"/>
          <w:sz w:val="24"/>
          <w:szCs w:val="24"/>
        </w:rPr>
      </w:pPr>
      <w:r w:rsidRPr="0028514A">
        <w:rPr>
          <w:rFonts w:ascii="Arial" w:hAnsi="Arial" w:cs="Arial"/>
          <w:color w:val="333333"/>
          <w:sz w:val="24"/>
          <w:szCs w:val="24"/>
          <w:shd w:val="clear" w:color="auto" w:fill="FFFFFF"/>
        </w:rPr>
        <w:t>11</w:t>
      </w:r>
      <w:r w:rsidR="004D6E95" w:rsidRPr="0028514A">
        <w:rPr>
          <w:rFonts w:ascii="Arial" w:hAnsi="Arial" w:cs="Arial"/>
          <w:color w:val="333333"/>
          <w:sz w:val="24"/>
          <w:szCs w:val="24"/>
          <w:shd w:val="clear" w:color="auto" w:fill="FFFFFF"/>
        </w:rPr>
        <w:t xml:space="preserve">.- Así las cosas, para esta Sala es claro que la autoridad accionada no incurrió en los defectos alegados por el accionante, </w:t>
      </w:r>
      <w:proofErr w:type="gramStart"/>
      <w:r w:rsidRPr="0028514A">
        <w:rPr>
          <w:rFonts w:ascii="Arial" w:hAnsi="Arial" w:cs="Arial"/>
          <w:color w:val="333333"/>
          <w:sz w:val="24"/>
          <w:szCs w:val="24"/>
          <w:shd w:val="clear" w:color="auto" w:fill="FFFFFF"/>
        </w:rPr>
        <w:t>y</w:t>
      </w:r>
      <w:proofErr w:type="gramEnd"/>
      <w:r w:rsidRPr="0028514A">
        <w:rPr>
          <w:rFonts w:ascii="Arial" w:hAnsi="Arial" w:cs="Arial"/>
          <w:color w:val="333333"/>
          <w:sz w:val="24"/>
          <w:szCs w:val="24"/>
          <w:shd w:val="clear" w:color="auto" w:fill="FFFFFF"/>
        </w:rPr>
        <w:t xml:space="preserve"> </w:t>
      </w:r>
      <w:r w:rsidR="004D6E95" w:rsidRPr="0028514A">
        <w:rPr>
          <w:rFonts w:ascii="Arial" w:hAnsi="Arial" w:cs="Arial"/>
          <w:color w:val="333333"/>
          <w:sz w:val="24"/>
          <w:szCs w:val="24"/>
          <w:shd w:val="clear" w:color="auto" w:fill="FFFFFF"/>
        </w:rPr>
        <w:t xml:space="preserve">por </w:t>
      </w:r>
      <w:r w:rsidRPr="0028514A">
        <w:rPr>
          <w:rFonts w:ascii="Arial" w:hAnsi="Arial" w:cs="Arial"/>
          <w:color w:val="333333"/>
          <w:sz w:val="24"/>
          <w:szCs w:val="24"/>
          <w:shd w:val="clear" w:color="auto" w:fill="FFFFFF"/>
        </w:rPr>
        <w:t xml:space="preserve">lo </w:t>
      </w:r>
      <w:r w:rsidR="004D6E95" w:rsidRPr="0028514A">
        <w:rPr>
          <w:rFonts w:ascii="Arial" w:hAnsi="Arial" w:cs="Arial"/>
          <w:color w:val="333333"/>
          <w:sz w:val="24"/>
          <w:szCs w:val="24"/>
          <w:shd w:val="clear" w:color="auto" w:fill="FFFFFF"/>
        </w:rPr>
        <w:t>tanto, se niega el amparo.</w:t>
      </w:r>
    </w:p>
    <w:p w14:paraId="518ECFBA" w14:textId="77777777" w:rsidR="004D6E95" w:rsidRPr="0028514A" w:rsidRDefault="004D6E95" w:rsidP="004D6E95">
      <w:pPr>
        <w:numPr>
          <w:ilvl w:val="12"/>
          <w:numId w:val="0"/>
        </w:numPr>
        <w:tabs>
          <w:tab w:val="left" w:pos="6660"/>
        </w:tabs>
        <w:spacing w:line="276" w:lineRule="auto"/>
        <w:jc w:val="both"/>
        <w:rPr>
          <w:rFonts w:ascii="Arial" w:hAnsi="Arial" w:cs="Arial"/>
          <w:bCs/>
          <w:color w:val="000000" w:themeColor="text1"/>
          <w:sz w:val="24"/>
          <w:szCs w:val="24"/>
        </w:rPr>
      </w:pPr>
    </w:p>
    <w:p w14:paraId="6EC40489" w14:textId="77777777" w:rsidR="004D6E95" w:rsidRPr="0028514A" w:rsidRDefault="004D6E95" w:rsidP="004D6E95">
      <w:pPr>
        <w:shd w:val="clear" w:color="auto" w:fill="FFFFFF"/>
        <w:spacing w:line="276" w:lineRule="auto"/>
        <w:contextualSpacing/>
        <w:jc w:val="both"/>
        <w:rPr>
          <w:rFonts w:ascii="Arial" w:eastAsia="Arial" w:hAnsi="Arial" w:cs="Arial"/>
          <w:color w:val="000000" w:themeColor="text1"/>
          <w:sz w:val="24"/>
          <w:szCs w:val="24"/>
        </w:rPr>
      </w:pPr>
      <w:r w:rsidRPr="0028514A">
        <w:rPr>
          <w:rFonts w:ascii="Arial" w:eastAsia="Arial" w:hAnsi="Arial" w:cs="Arial"/>
          <w:color w:val="000000" w:themeColor="text1"/>
          <w:sz w:val="24"/>
          <w:szCs w:val="24"/>
        </w:rPr>
        <w:t>En mérito de lo expuesto, la Subsección B, Sección Tercera de la Sala de lo Contencioso Administrativo del Consejo de Estado, administrando justicia en nombre de la República y por autoridad de la ley,</w:t>
      </w:r>
    </w:p>
    <w:p w14:paraId="70EEE02C" w14:textId="77777777" w:rsidR="004D6E95" w:rsidRPr="0028514A" w:rsidRDefault="004D6E95" w:rsidP="004D6E95">
      <w:pPr>
        <w:spacing w:line="276" w:lineRule="auto"/>
        <w:jc w:val="center"/>
        <w:rPr>
          <w:rFonts w:ascii="Arial" w:eastAsia="Arial" w:hAnsi="Arial" w:cs="Arial"/>
          <w:b/>
          <w:bCs/>
          <w:color w:val="000000" w:themeColor="text1"/>
          <w:sz w:val="24"/>
          <w:szCs w:val="24"/>
        </w:rPr>
      </w:pPr>
    </w:p>
    <w:p w14:paraId="171AE11D" w14:textId="77777777" w:rsidR="004D6E95" w:rsidRPr="0028514A" w:rsidRDefault="004D6E95" w:rsidP="004D6E95">
      <w:pPr>
        <w:spacing w:line="276" w:lineRule="auto"/>
        <w:jc w:val="center"/>
        <w:rPr>
          <w:rFonts w:ascii="Arial" w:eastAsia="Arial" w:hAnsi="Arial" w:cs="Arial"/>
          <w:b/>
          <w:bCs/>
          <w:color w:val="000000" w:themeColor="text1"/>
          <w:sz w:val="24"/>
          <w:szCs w:val="24"/>
        </w:rPr>
      </w:pPr>
      <w:r w:rsidRPr="0028514A">
        <w:rPr>
          <w:rFonts w:ascii="Arial" w:eastAsia="Arial" w:hAnsi="Arial" w:cs="Arial"/>
          <w:b/>
          <w:bCs/>
          <w:color w:val="000000" w:themeColor="text1"/>
          <w:sz w:val="24"/>
          <w:szCs w:val="24"/>
        </w:rPr>
        <w:t>RESUELVE</w:t>
      </w:r>
    </w:p>
    <w:p w14:paraId="7D3AC303" w14:textId="77777777" w:rsidR="004D6E95" w:rsidRPr="0028514A" w:rsidRDefault="004D6E95" w:rsidP="004D6E95">
      <w:pPr>
        <w:spacing w:line="276" w:lineRule="auto"/>
        <w:jc w:val="center"/>
        <w:rPr>
          <w:rFonts w:ascii="Arial" w:eastAsia="Arial" w:hAnsi="Arial" w:cs="Arial"/>
          <w:color w:val="000000" w:themeColor="text1"/>
          <w:sz w:val="24"/>
          <w:szCs w:val="24"/>
        </w:rPr>
      </w:pPr>
    </w:p>
    <w:p w14:paraId="5258541B" w14:textId="424DB0E3" w:rsidR="004D6E95" w:rsidRPr="0028514A" w:rsidRDefault="004D6E95" w:rsidP="004D6E95">
      <w:pPr>
        <w:widowControl w:val="0"/>
        <w:spacing w:line="276" w:lineRule="auto"/>
        <w:ind w:right="51"/>
        <w:contextualSpacing/>
        <w:jc w:val="both"/>
        <w:rPr>
          <w:rFonts w:ascii="Arial" w:eastAsia="Times New Roman" w:hAnsi="Arial" w:cs="Arial"/>
          <w:color w:val="000000" w:themeColor="text1"/>
          <w:sz w:val="24"/>
          <w:szCs w:val="24"/>
          <w:lang w:eastAsia="es-ES"/>
        </w:rPr>
      </w:pPr>
      <w:r w:rsidRPr="0028514A">
        <w:rPr>
          <w:rFonts w:ascii="Arial" w:eastAsia="Arial" w:hAnsi="Arial" w:cs="Arial"/>
          <w:b/>
          <w:bCs/>
          <w:color w:val="000000" w:themeColor="text1"/>
          <w:sz w:val="24"/>
          <w:szCs w:val="24"/>
        </w:rPr>
        <w:t>PRIMERO:</w:t>
      </w:r>
      <w:r w:rsidRPr="0028514A">
        <w:rPr>
          <w:rFonts w:ascii="Arial" w:eastAsia="Times New Roman" w:hAnsi="Arial" w:cs="Arial"/>
          <w:b/>
          <w:bCs/>
          <w:color w:val="000000" w:themeColor="text1"/>
          <w:sz w:val="24"/>
          <w:szCs w:val="24"/>
          <w:lang w:eastAsia="es-ES"/>
        </w:rPr>
        <w:t xml:space="preserve"> REV</w:t>
      </w:r>
      <w:r w:rsidR="00A72793" w:rsidRPr="0028514A">
        <w:rPr>
          <w:rFonts w:ascii="Arial" w:eastAsia="Times New Roman" w:hAnsi="Arial" w:cs="Arial"/>
          <w:b/>
          <w:bCs/>
          <w:color w:val="000000" w:themeColor="text1"/>
          <w:sz w:val="24"/>
          <w:szCs w:val="24"/>
          <w:lang w:eastAsia="es-ES"/>
        </w:rPr>
        <w:t>Ó</w:t>
      </w:r>
      <w:r w:rsidRPr="0028514A">
        <w:rPr>
          <w:rFonts w:ascii="Arial" w:eastAsia="Times New Roman" w:hAnsi="Arial" w:cs="Arial"/>
          <w:b/>
          <w:bCs/>
          <w:color w:val="000000" w:themeColor="text1"/>
          <w:sz w:val="24"/>
          <w:szCs w:val="24"/>
          <w:lang w:eastAsia="es-ES"/>
        </w:rPr>
        <w:t xml:space="preserve">CASE </w:t>
      </w:r>
      <w:r w:rsidRPr="0028514A">
        <w:rPr>
          <w:rFonts w:ascii="Arial" w:eastAsia="Times New Roman" w:hAnsi="Arial" w:cs="Arial"/>
          <w:color w:val="000000" w:themeColor="text1"/>
          <w:sz w:val="24"/>
          <w:szCs w:val="24"/>
          <w:lang w:eastAsia="es-ES"/>
        </w:rPr>
        <w:t xml:space="preserve">la sentencia </w:t>
      </w:r>
      <w:r w:rsidRPr="0028514A">
        <w:rPr>
          <w:rFonts w:ascii="Arial" w:hAnsi="Arial" w:cs="Arial"/>
          <w:sz w:val="24"/>
          <w:szCs w:val="24"/>
        </w:rPr>
        <w:t xml:space="preserve">proferida el 19 </w:t>
      </w:r>
      <w:r w:rsidRPr="0028514A">
        <w:rPr>
          <w:rFonts w:ascii="Arial" w:hAnsi="Arial" w:cs="Arial"/>
          <w:color w:val="000000" w:themeColor="text1"/>
          <w:sz w:val="24"/>
          <w:szCs w:val="24"/>
        </w:rPr>
        <w:t xml:space="preserve">de marzo de 2021 por la </w:t>
      </w:r>
      <w:r w:rsidRPr="0028514A">
        <w:rPr>
          <w:rFonts w:ascii="Arial" w:hAnsi="Arial" w:cs="Arial"/>
          <w:color w:val="000000" w:themeColor="text1"/>
          <w:sz w:val="24"/>
          <w:szCs w:val="24"/>
        </w:rPr>
        <w:lastRenderedPageBreak/>
        <w:t xml:space="preserve">Subsección C de la Sección Tercera del Consejo de Estado y, en consecuencia, </w:t>
      </w:r>
      <w:r w:rsidRPr="0028514A">
        <w:rPr>
          <w:rFonts w:ascii="Arial" w:hAnsi="Arial" w:cs="Arial"/>
          <w:b/>
          <w:bCs/>
          <w:color w:val="000000" w:themeColor="text1"/>
          <w:sz w:val="24"/>
          <w:szCs w:val="24"/>
        </w:rPr>
        <w:t>NI</w:t>
      </w:r>
      <w:r w:rsidR="00A72793" w:rsidRPr="0028514A">
        <w:rPr>
          <w:rFonts w:ascii="Arial" w:hAnsi="Arial" w:cs="Arial"/>
          <w:b/>
          <w:bCs/>
          <w:color w:val="000000" w:themeColor="text1"/>
          <w:sz w:val="24"/>
          <w:szCs w:val="24"/>
        </w:rPr>
        <w:t>É</w:t>
      </w:r>
      <w:r w:rsidRPr="0028514A">
        <w:rPr>
          <w:rFonts w:ascii="Arial" w:hAnsi="Arial" w:cs="Arial"/>
          <w:b/>
          <w:bCs/>
          <w:color w:val="000000" w:themeColor="text1"/>
          <w:sz w:val="24"/>
          <w:szCs w:val="24"/>
        </w:rPr>
        <w:t xml:space="preserve">GASE </w:t>
      </w:r>
      <w:r w:rsidRPr="0028514A">
        <w:rPr>
          <w:rFonts w:ascii="Arial" w:hAnsi="Arial" w:cs="Arial"/>
          <w:color w:val="000000" w:themeColor="text1"/>
          <w:sz w:val="24"/>
          <w:szCs w:val="24"/>
        </w:rPr>
        <w:t>la solicitud de amparo interpuesta por el señor Oscar Mauricio Gil Gómez.</w:t>
      </w:r>
    </w:p>
    <w:p w14:paraId="219F8021" w14:textId="77777777" w:rsidR="004D6E95" w:rsidRPr="0028514A" w:rsidRDefault="004D6E95" w:rsidP="004D6E95">
      <w:pPr>
        <w:widowControl w:val="0"/>
        <w:spacing w:line="276" w:lineRule="auto"/>
        <w:ind w:right="51"/>
        <w:contextualSpacing/>
        <w:jc w:val="both"/>
        <w:rPr>
          <w:rFonts w:ascii="Arial" w:eastAsia="Times New Roman" w:hAnsi="Arial" w:cs="Arial"/>
          <w:b/>
          <w:bCs/>
          <w:color w:val="000000" w:themeColor="text1"/>
          <w:sz w:val="24"/>
          <w:szCs w:val="24"/>
          <w:lang w:eastAsia="es-ES"/>
        </w:rPr>
      </w:pPr>
    </w:p>
    <w:p w14:paraId="7F03302D" w14:textId="77777777" w:rsidR="004D6E95" w:rsidRPr="0028514A" w:rsidRDefault="004D6E95" w:rsidP="004D6E95">
      <w:pPr>
        <w:widowControl w:val="0"/>
        <w:spacing w:line="276" w:lineRule="auto"/>
        <w:ind w:right="51"/>
        <w:contextualSpacing/>
        <w:jc w:val="both"/>
        <w:rPr>
          <w:rFonts w:ascii="Arial" w:eastAsia="Times New Roman" w:hAnsi="Arial" w:cs="Arial"/>
          <w:color w:val="000000" w:themeColor="text1"/>
          <w:sz w:val="24"/>
          <w:szCs w:val="24"/>
          <w:lang w:eastAsia="es-ES"/>
        </w:rPr>
      </w:pPr>
      <w:r w:rsidRPr="0028514A">
        <w:rPr>
          <w:rFonts w:ascii="Arial" w:eastAsia="Times New Roman" w:hAnsi="Arial" w:cs="Arial"/>
          <w:b/>
          <w:bCs/>
          <w:color w:val="000000" w:themeColor="text1"/>
          <w:sz w:val="24"/>
          <w:szCs w:val="24"/>
          <w:lang w:eastAsia="es-ES"/>
        </w:rPr>
        <w:t>SEGUNDO:</w:t>
      </w:r>
      <w:r w:rsidRPr="0028514A">
        <w:rPr>
          <w:rFonts w:ascii="Arial" w:eastAsia="Times New Roman" w:hAnsi="Arial" w:cs="Arial"/>
          <w:b/>
          <w:bCs/>
          <w:color w:val="000000" w:themeColor="text1"/>
          <w:sz w:val="24"/>
          <w:szCs w:val="24"/>
        </w:rPr>
        <w:t xml:space="preserve"> NOTIFÍQUESE </w:t>
      </w:r>
      <w:r w:rsidRPr="0028514A">
        <w:rPr>
          <w:rFonts w:ascii="Arial" w:eastAsia="Times New Roman" w:hAnsi="Arial" w:cs="Arial"/>
          <w:color w:val="000000" w:themeColor="text1"/>
          <w:sz w:val="24"/>
          <w:szCs w:val="24"/>
        </w:rPr>
        <w:t>la presente providencia a las partes a la dirección de correo electrónico señalada por ellos dentro del proceso, enviándoles copia de la decisión que se adopta</w:t>
      </w:r>
      <w:r w:rsidRPr="0028514A">
        <w:rPr>
          <w:rFonts w:ascii="Arial" w:hAnsi="Arial" w:cs="Arial"/>
          <w:sz w:val="24"/>
          <w:szCs w:val="24"/>
        </w:rPr>
        <w:t>.</w:t>
      </w:r>
    </w:p>
    <w:p w14:paraId="385C2569" w14:textId="77777777" w:rsidR="004D6E95" w:rsidRPr="0028514A" w:rsidRDefault="004D6E95" w:rsidP="004D6E95">
      <w:pPr>
        <w:widowControl w:val="0"/>
        <w:spacing w:line="276" w:lineRule="auto"/>
        <w:ind w:right="51"/>
        <w:contextualSpacing/>
        <w:jc w:val="both"/>
        <w:rPr>
          <w:rFonts w:ascii="Arial" w:eastAsia="Times New Roman" w:hAnsi="Arial" w:cs="Arial"/>
          <w:bCs/>
          <w:color w:val="000000" w:themeColor="text1"/>
          <w:sz w:val="24"/>
          <w:szCs w:val="24"/>
          <w:lang w:eastAsia="es-ES"/>
        </w:rPr>
      </w:pPr>
    </w:p>
    <w:p w14:paraId="4213F8BF" w14:textId="77777777" w:rsidR="004D6E95" w:rsidRPr="0028514A" w:rsidRDefault="004D6E95" w:rsidP="004D6E95">
      <w:pPr>
        <w:widowControl w:val="0"/>
        <w:spacing w:line="276" w:lineRule="auto"/>
        <w:ind w:right="51"/>
        <w:contextualSpacing/>
        <w:jc w:val="both"/>
        <w:rPr>
          <w:rFonts w:ascii="Arial" w:eastAsia="Times New Roman" w:hAnsi="Arial" w:cs="Arial"/>
          <w:color w:val="000000" w:themeColor="text1"/>
          <w:sz w:val="24"/>
          <w:szCs w:val="24"/>
        </w:rPr>
      </w:pPr>
      <w:r w:rsidRPr="0028514A">
        <w:rPr>
          <w:rFonts w:ascii="Arial" w:eastAsia="Times New Roman" w:hAnsi="Arial" w:cs="Arial"/>
          <w:b/>
          <w:color w:val="000000" w:themeColor="text1"/>
          <w:sz w:val="24"/>
          <w:szCs w:val="24"/>
          <w:bdr w:val="none" w:sz="0" w:space="0" w:color="auto" w:frame="1"/>
          <w:shd w:val="clear" w:color="auto" w:fill="FFFFFF"/>
          <w:lang w:eastAsia="es-ES"/>
        </w:rPr>
        <w:t>TERCERO:</w:t>
      </w:r>
      <w:r w:rsidRPr="0028514A">
        <w:rPr>
          <w:rFonts w:ascii="Arial" w:eastAsia="Dotum" w:hAnsi="Arial" w:cs="Arial"/>
          <w:color w:val="000000" w:themeColor="text1"/>
          <w:sz w:val="24"/>
          <w:szCs w:val="24"/>
          <w:bdr w:val="none" w:sz="0" w:space="0" w:color="auto" w:frame="1"/>
          <w:shd w:val="clear" w:color="auto" w:fill="FFFFFF"/>
        </w:rPr>
        <w:t xml:space="preserve"> </w:t>
      </w:r>
      <w:r w:rsidRPr="0028514A">
        <w:rPr>
          <w:rFonts w:ascii="Arial" w:eastAsia="Dotum" w:hAnsi="Arial" w:cs="Arial"/>
          <w:b/>
          <w:bCs/>
          <w:color w:val="000000" w:themeColor="text1"/>
          <w:sz w:val="24"/>
          <w:szCs w:val="24"/>
          <w:bdr w:val="none" w:sz="0" w:space="0" w:color="auto" w:frame="1"/>
          <w:shd w:val="clear" w:color="auto" w:fill="FFFFFF"/>
        </w:rPr>
        <w:t xml:space="preserve">ENVÍESE </w:t>
      </w:r>
      <w:r w:rsidRPr="0028514A">
        <w:rPr>
          <w:rFonts w:ascii="Arial" w:eastAsia="Dotum" w:hAnsi="Arial" w:cs="Arial"/>
          <w:color w:val="000000" w:themeColor="text1"/>
          <w:sz w:val="24"/>
          <w:szCs w:val="24"/>
          <w:bdr w:val="none" w:sz="0" w:space="0" w:color="auto" w:frame="1"/>
          <w:shd w:val="clear" w:color="auto" w:fill="FFFFFF"/>
        </w:rPr>
        <w:t>el expediente a la</w:t>
      </w:r>
      <w:r w:rsidRPr="0028514A">
        <w:rPr>
          <w:rFonts w:ascii="Arial" w:eastAsia="Dotum" w:hAnsi="Arial" w:cs="Arial"/>
          <w:b/>
          <w:bCs/>
          <w:color w:val="000000" w:themeColor="text1"/>
          <w:sz w:val="24"/>
          <w:szCs w:val="24"/>
          <w:bdr w:val="none" w:sz="0" w:space="0" w:color="auto" w:frame="1"/>
          <w:shd w:val="clear" w:color="auto" w:fill="FFFFFF"/>
        </w:rPr>
        <w:t xml:space="preserve"> </w:t>
      </w:r>
      <w:r w:rsidRPr="0028514A">
        <w:rPr>
          <w:rFonts w:ascii="Arial" w:eastAsia="Dotum" w:hAnsi="Arial" w:cs="Arial"/>
          <w:color w:val="000000" w:themeColor="text1"/>
          <w:sz w:val="24"/>
          <w:szCs w:val="24"/>
          <w:bdr w:val="none" w:sz="0" w:space="0" w:color="auto" w:frame="1"/>
          <w:shd w:val="clear" w:color="auto" w:fill="FFFFFF"/>
        </w:rPr>
        <w:t>Corte constitucional para su eventual revisión.</w:t>
      </w:r>
    </w:p>
    <w:p w14:paraId="133A9BCB" w14:textId="77777777" w:rsidR="004D6E95" w:rsidRPr="0028514A" w:rsidRDefault="004D6E95" w:rsidP="004D6E95">
      <w:pPr>
        <w:spacing w:line="276" w:lineRule="auto"/>
        <w:jc w:val="both"/>
        <w:rPr>
          <w:rFonts w:ascii="Arial" w:eastAsia="Times New Roman" w:hAnsi="Arial" w:cs="Arial"/>
          <w:color w:val="000000" w:themeColor="text1"/>
          <w:sz w:val="24"/>
          <w:szCs w:val="24"/>
        </w:rPr>
      </w:pPr>
    </w:p>
    <w:p w14:paraId="4A777D82" w14:textId="77777777" w:rsidR="004D6E95" w:rsidRPr="0028514A" w:rsidRDefault="004D6E95" w:rsidP="004D6E95">
      <w:pPr>
        <w:spacing w:line="276" w:lineRule="auto"/>
        <w:jc w:val="both"/>
        <w:textAlignment w:val="baseline"/>
        <w:rPr>
          <w:rFonts w:ascii="Arial" w:eastAsia="Dotum" w:hAnsi="Arial" w:cs="Arial"/>
          <w:color w:val="000000" w:themeColor="text1"/>
          <w:sz w:val="24"/>
          <w:szCs w:val="24"/>
          <w:bdr w:val="none" w:sz="0" w:space="0" w:color="auto" w:frame="1"/>
          <w:shd w:val="clear" w:color="auto" w:fill="FFFFFF"/>
        </w:rPr>
      </w:pPr>
      <w:r w:rsidRPr="0028514A">
        <w:rPr>
          <w:rFonts w:ascii="Arial" w:eastAsia="Times New Roman" w:hAnsi="Arial" w:cs="Arial"/>
          <w:b/>
          <w:bCs/>
          <w:color w:val="000000" w:themeColor="text1"/>
          <w:sz w:val="24"/>
          <w:szCs w:val="24"/>
        </w:rPr>
        <w:t>CUARTO</w:t>
      </w:r>
      <w:r w:rsidRPr="0028514A">
        <w:rPr>
          <w:rFonts w:ascii="Arial" w:eastAsia="Times New Roman" w:hAnsi="Arial" w:cs="Arial"/>
          <w:b/>
          <w:color w:val="000000" w:themeColor="text1"/>
          <w:sz w:val="24"/>
          <w:szCs w:val="24"/>
        </w:rPr>
        <w:t>: PUBLÍQUESE</w:t>
      </w:r>
      <w:r w:rsidRPr="0028514A">
        <w:rPr>
          <w:rFonts w:ascii="Arial" w:eastAsia="Times New Roman" w:hAnsi="Arial" w:cs="Arial"/>
          <w:color w:val="000000" w:themeColor="text1"/>
          <w:sz w:val="24"/>
          <w:szCs w:val="24"/>
        </w:rPr>
        <w:t xml:space="preserve"> la presente providencia en la página Web de la Corporación</w:t>
      </w:r>
    </w:p>
    <w:p w14:paraId="6516B7FF" w14:textId="77777777" w:rsidR="004D6E95" w:rsidRPr="0028514A" w:rsidRDefault="004D6E95" w:rsidP="004D6E95">
      <w:pPr>
        <w:spacing w:line="276" w:lineRule="auto"/>
        <w:ind w:right="-234"/>
        <w:contextualSpacing/>
        <w:jc w:val="both"/>
        <w:rPr>
          <w:rFonts w:ascii="Arial" w:eastAsia="Verdana" w:hAnsi="Arial" w:cs="Arial"/>
          <w:color w:val="000000" w:themeColor="text1"/>
          <w:sz w:val="24"/>
          <w:szCs w:val="24"/>
        </w:rPr>
      </w:pPr>
    </w:p>
    <w:p w14:paraId="339D8E53" w14:textId="77777777" w:rsidR="004D6E95" w:rsidRPr="0028514A" w:rsidRDefault="004D6E95" w:rsidP="004D6E95">
      <w:pPr>
        <w:spacing w:line="276" w:lineRule="auto"/>
        <w:ind w:right="-234"/>
        <w:jc w:val="center"/>
        <w:rPr>
          <w:rFonts w:ascii="Arial" w:hAnsi="Arial" w:cs="Arial"/>
          <w:b/>
          <w:bCs/>
          <w:color w:val="000000" w:themeColor="text1"/>
          <w:sz w:val="24"/>
          <w:szCs w:val="24"/>
        </w:rPr>
      </w:pPr>
      <w:r w:rsidRPr="0028514A">
        <w:rPr>
          <w:rFonts w:ascii="Arial" w:hAnsi="Arial" w:cs="Arial"/>
          <w:b/>
          <w:bCs/>
          <w:color w:val="000000" w:themeColor="text1"/>
          <w:sz w:val="24"/>
          <w:szCs w:val="24"/>
        </w:rPr>
        <w:t>CÓPIESE, NOTIFÍQUESE Y CÚMPLASE</w:t>
      </w:r>
    </w:p>
    <w:p w14:paraId="3E69D414" w14:textId="77777777" w:rsidR="004D6E95" w:rsidRPr="0028514A" w:rsidRDefault="004D6E95" w:rsidP="004D6E95">
      <w:pPr>
        <w:spacing w:line="276" w:lineRule="auto"/>
        <w:ind w:right="-233"/>
        <w:jc w:val="both"/>
        <w:rPr>
          <w:rFonts w:ascii="Arial" w:eastAsia="Arial" w:hAnsi="Arial" w:cs="Arial"/>
          <w:color w:val="000000" w:themeColor="text1"/>
          <w:sz w:val="24"/>
          <w:szCs w:val="24"/>
        </w:rPr>
      </w:pPr>
    </w:p>
    <w:p w14:paraId="7CF9D981" w14:textId="77777777" w:rsidR="004D6E95" w:rsidRPr="0028514A" w:rsidRDefault="004D6E95" w:rsidP="004D6E95">
      <w:pPr>
        <w:spacing w:line="276" w:lineRule="auto"/>
        <w:ind w:right="-233"/>
        <w:jc w:val="both"/>
        <w:rPr>
          <w:rFonts w:ascii="Arial" w:eastAsia="Arial" w:hAnsi="Arial" w:cs="Arial"/>
          <w:color w:val="000000" w:themeColor="text1"/>
          <w:sz w:val="24"/>
          <w:szCs w:val="24"/>
        </w:rPr>
      </w:pPr>
      <w:r w:rsidRPr="0028514A">
        <w:rPr>
          <w:rFonts w:ascii="Arial" w:eastAsia="Arial" w:hAnsi="Arial" w:cs="Arial"/>
          <w:color w:val="000000" w:themeColor="text1"/>
          <w:sz w:val="24"/>
          <w:szCs w:val="24"/>
        </w:rPr>
        <w:t>Esta sentencia se estudió y aprobó en sesión celebrada en la fecha</w:t>
      </w:r>
    </w:p>
    <w:p w14:paraId="181A2CB1" w14:textId="77777777" w:rsidR="004D6E95" w:rsidRPr="0028514A" w:rsidRDefault="004D6E95" w:rsidP="004D6E95">
      <w:pPr>
        <w:spacing w:line="276" w:lineRule="auto"/>
        <w:ind w:right="-233"/>
        <w:rPr>
          <w:rFonts w:ascii="Arial" w:eastAsia="Arial" w:hAnsi="Arial" w:cs="Arial"/>
          <w:b/>
          <w:bCs/>
          <w:color w:val="000000" w:themeColor="text1"/>
          <w:sz w:val="24"/>
          <w:szCs w:val="24"/>
        </w:rPr>
      </w:pPr>
    </w:p>
    <w:p w14:paraId="3F313B79" w14:textId="77777777" w:rsidR="004D6E95" w:rsidRPr="0028514A" w:rsidRDefault="004D6E95" w:rsidP="004D6E95">
      <w:pPr>
        <w:spacing w:line="276" w:lineRule="auto"/>
        <w:ind w:right="-233"/>
        <w:rPr>
          <w:rFonts w:ascii="Arial" w:eastAsia="Arial" w:hAnsi="Arial" w:cs="Arial"/>
          <w:b/>
          <w:bCs/>
          <w:color w:val="000000" w:themeColor="text1"/>
          <w:sz w:val="24"/>
          <w:szCs w:val="24"/>
        </w:rPr>
      </w:pPr>
    </w:p>
    <w:p w14:paraId="5EC35B22" w14:textId="77777777" w:rsidR="004D6E95" w:rsidRPr="0028514A" w:rsidRDefault="004D6E95" w:rsidP="004D6E95">
      <w:pPr>
        <w:spacing w:line="276" w:lineRule="auto"/>
        <w:ind w:right="-233"/>
        <w:rPr>
          <w:rFonts w:ascii="Arial" w:eastAsia="Arial" w:hAnsi="Arial" w:cs="Arial"/>
          <w:b/>
          <w:bCs/>
          <w:color w:val="000000" w:themeColor="text1"/>
          <w:sz w:val="24"/>
          <w:szCs w:val="24"/>
        </w:rPr>
      </w:pPr>
    </w:p>
    <w:p w14:paraId="078C20D0" w14:textId="77777777" w:rsidR="004D6E95" w:rsidRPr="0028514A" w:rsidRDefault="004D6E95" w:rsidP="004D6E95">
      <w:pPr>
        <w:spacing w:line="276" w:lineRule="auto"/>
        <w:ind w:right="-233"/>
        <w:contextualSpacing/>
        <w:rPr>
          <w:rFonts w:ascii="Arial" w:hAnsi="Arial" w:cs="Arial"/>
          <w:sz w:val="24"/>
          <w:szCs w:val="24"/>
        </w:rPr>
      </w:pPr>
      <w:r w:rsidRPr="0028514A">
        <w:rPr>
          <w:rFonts w:ascii="Arial" w:eastAsia="Arial" w:hAnsi="Arial" w:cs="Arial"/>
          <w:bCs/>
          <w:color w:val="000000" w:themeColor="text1"/>
          <w:sz w:val="24"/>
          <w:szCs w:val="24"/>
        </w:rPr>
        <w:t xml:space="preserve">       Con firma electrónica                                           Con firma electrónica</w:t>
      </w:r>
    </w:p>
    <w:p w14:paraId="25D38FE6" w14:textId="77777777" w:rsidR="004D6E95" w:rsidRPr="0028514A" w:rsidRDefault="004D6E95" w:rsidP="004D6E95">
      <w:pPr>
        <w:spacing w:line="276" w:lineRule="auto"/>
        <w:ind w:right="51"/>
        <w:contextualSpacing/>
        <w:rPr>
          <w:rFonts w:ascii="Arial" w:eastAsia="Arial" w:hAnsi="Arial" w:cs="Arial"/>
          <w:b/>
          <w:bCs/>
          <w:color w:val="000000" w:themeColor="text1"/>
          <w:sz w:val="24"/>
          <w:szCs w:val="24"/>
        </w:rPr>
      </w:pPr>
      <w:r w:rsidRPr="0028514A">
        <w:rPr>
          <w:rFonts w:ascii="Arial" w:eastAsia="Arial" w:hAnsi="Arial" w:cs="Arial"/>
          <w:b/>
          <w:bCs/>
          <w:color w:val="000000" w:themeColor="text1"/>
          <w:sz w:val="24"/>
          <w:szCs w:val="24"/>
        </w:rPr>
        <w:t xml:space="preserve">ALBERTO MONTAÑA PLATA </w:t>
      </w:r>
      <w:r w:rsidRPr="0028514A">
        <w:rPr>
          <w:rFonts w:ascii="Arial" w:eastAsia="Arial" w:hAnsi="Arial" w:cs="Arial"/>
          <w:b/>
          <w:bCs/>
          <w:color w:val="000000" w:themeColor="text1"/>
          <w:sz w:val="24"/>
          <w:szCs w:val="24"/>
        </w:rPr>
        <w:tab/>
      </w:r>
      <w:r w:rsidRPr="0028514A">
        <w:rPr>
          <w:rFonts w:ascii="Arial" w:eastAsia="Arial" w:hAnsi="Arial" w:cs="Arial"/>
          <w:b/>
          <w:bCs/>
          <w:color w:val="000000" w:themeColor="text1"/>
          <w:sz w:val="24"/>
          <w:szCs w:val="24"/>
        </w:rPr>
        <w:tab/>
      </w:r>
      <w:r w:rsidRPr="0028514A">
        <w:rPr>
          <w:rFonts w:ascii="Arial" w:eastAsia="Arial" w:hAnsi="Arial" w:cs="Arial"/>
          <w:b/>
          <w:bCs/>
          <w:color w:val="000000" w:themeColor="text1"/>
          <w:sz w:val="24"/>
          <w:szCs w:val="24"/>
        </w:rPr>
        <w:tab/>
        <w:t xml:space="preserve"> MARTÍN BERMÚDEZ MUÑOZ                          </w:t>
      </w:r>
    </w:p>
    <w:p w14:paraId="40443735" w14:textId="77777777" w:rsidR="004D6E95" w:rsidRPr="0028514A" w:rsidRDefault="004D6E95" w:rsidP="004D6E95">
      <w:pPr>
        <w:spacing w:line="276" w:lineRule="auto"/>
        <w:ind w:right="51" w:firstLine="708"/>
        <w:contextualSpacing/>
        <w:rPr>
          <w:rFonts w:ascii="Arial" w:eastAsia="Arial" w:hAnsi="Arial" w:cs="Arial"/>
          <w:b/>
          <w:bCs/>
          <w:color w:val="000000" w:themeColor="text1"/>
          <w:sz w:val="24"/>
          <w:szCs w:val="24"/>
        </w:rPr>
      </w:pPr>
      <w:r w:rsidRPr="0028514A">
        <w:rPr>
          <w:rFonts w:ascii="Arial" w:eastAsia="Arial" w:hAnsi="Arial" w:cs="Arial"/>
          <w:b/>
          <w:bCs/>
          <w:color w:val="000000" w:themeColor="text1"/>
          <w:sz w:val="24"/>
          <w:szCs w:val="24"/>
        </w:rPr>
        <w:t xml:space="preserve">    Presidente</w:t>
      </w:r>
      <w:r w:rsidRPr="0028514A">
        <w:rPr>
          <w:rFonts w:ascii="Arial" w:eastAsia="Arial" w:hAnsi="Arial" w:cs="Arial"/>
          <w:b/>
          <w:bCs/>
          <w:color w:val="000000" w:themeColor="text1"/>
          <w:sz w:val="24"/>
          <w:szCs w:val="24"/>
        </w:rPr>
        <w:tab/>
      </w:r>
      <w:r w:rsidRPr="0028514A">
        <w:rPr>
          <w:rFonts w:ascii="Arial" w:eastAsia="Arial" w:hAnsi="Arial" w:cs="Arial"/>
          <w:b/>
          <w:bCs/>
          <w:color w:val="000000" w:themeColor="text1"/>
          <w:sz w:val="24"/>
          <w:szCs w:val="24"/>
        </w:rPr>
        <w:tab/>
      </w:r>
      <w:r w:rsidRPr="0028514A">
        <w:rPr>
          <w:rFonts w:ascii="Arial" w:eastAsia="Arial" w:hAnsi="Arial" w:cs="Arial"/>
          <w:b/>
          <w:bCs/>
          <w:color w:val="000000" w:themeColor="text1"/>
          <w:sz w:val="24"/>
          <w:szCs w:val="24"/>
        </w:rPr>
        <w:tab/>
      </w:r>
      <w:r w:rsidRPr="0028514A">
        <w:rPr>
          <w:rFonts w:ascii="Arial" w:eastAsia="Arial" w:hAnsi="Arial" w:cs="Arial"/>
          <w:b/>
          <w:bCs/>
          <w:color w:val="000000" w:themeColor="text1"/>
          <w:sz w:val="24"/>
          <w:szCs w:val="24"/>
        </w:rPr>
        <w:tab/>
      </w:r>
      <w:r w:rsidRPr="0028514A">
        <w:rPr>
          <w:rFonts w:ascii="Arial" w:eastAsia="Arial" w:hAnsi="Arial" w:cs="Arial"/>
          <w:b/>
          <w:bCs/>
          <w:color w:val="000000" w:themeColor="text1"/>
          <w:sz w:val="24"/>
          <w:szCs w:val="24"/>
        </w:rPr>
        <w:tab/>
        <w:t xml:space="preserve">      Magistrado</w:t>
      </w:r>
    </w:p>
    <w:p w14:paraId="1406BF21" w14:textId="77777777" w:rsidR="004D6E95" w:rsidRPr="0028514A" w:rsidRDefault="004D6E95" w:rsidP="004D6E95">
      <w:pPr>
        <w:spacing w:line="276" w:lineRule="auto"/>
        <w:ind w:right="-233"/>
        <w:jc w:val="center"/>
        <w:rPr>
          <w:rFonts w:ascii="Arial" w:eastAsia="Arial" w:hAnsi="Arial" w:cs="Arial"/>
          <w:color w:val="000000" w:themeColor="text1"/>
          <w:sz w:val="24"/>
          <w:szCs w:val="24"/>
        </w:rPr>
      </w:pPr>
    </w:p>
    <w:p w14:paraId="61DF046B" w14:textId="77777777" w:rsidR="004D6E95" w:rsidRPr="0028514A" w:rsidRDefault="004D6E95" w:rsidP="004D6E95">
      <w:pPr>
        <w:spacing w:line="276" w:lineRule="auto"/>
        <w:ind w:right="-232"/>
        <w:contextualSpacing/>
        <w:jc w:val="center"/>
        <w:rPr>
          <w:rFonts w:ascii="Arial" w:eastAsia="Arial" w:hAnsi="Arial" w:cs="Arial"/>
          <w:bCs/>
          <w:color w:val="000000" w:themeColor="text1"/>
          <w:sz w:val="24"/>
          <w:szCs w:val="24"/>
        </w:rPr>
      </w:pPr>
    </w:p>
    <w:p w14:paraId="43B955E3" w14:textId="77777777" w:rsidR="004D6E95" w:rsidRPr="0028514A" w:rsidRDefault="004D6E95" w:rsidP="004D6E95">
      <w:pPr>
        <w:spacing w:line="276" w:lineRule="auto"/>
        <w:ind w:left="708" w:right="-232" w:hanging="708"/>
        <w:contextualSpacing/>
        <w:jc w:val="center"/>
        <w:rPr>
          <w:rFonts w:ascii="Arial" w:hAnsi="Arial" w:cs="Arial"/>
          <w:sz w:val="24"/>
          <w:szCs w:val="24"/>
        </w:rPr>
      </w:pPr>
      <w:r w:rsidRPr="0028514A">
        <w:rPr>
          <w:rFonts w:ascii="Arial" w:eastAsia="Arial" w:hAnsi="Arial" w:cs="Arial"/>
          <w:bCs/>
          <w:color w:val="000000" w:themeColor="text1"/>
          <w:sz w:val="24"/>
          <w:szCs w:val="24"/>
        </w:rPr>
        <w:t>Con firma electrónica</w:t>
      </w:r>
    </w:p>
    <w:p w14:paraId="3820B736" w14:textId="77777777" w:rsidR="004D6E95" w:rsidRPr="0028514A" w:rsidRDefault="004D6E95" w:rsidP="004D6E95">
      <w:pPr>
        <w:spacing w:line="276" w:lineRule="auto"/>
        <w:ind w:right="-232"/>
        <w:contextualSpacing/>
        <w:jc w:val="center"/>
        <w:rPr>
          <w:rFonts w:ascii="Arial" w:eastAsia="Arial" w:hAnsi="Arial" w:cs="Arial"/>
          <w:b/>
          <w:bCs/>
          <w:color w:val="000000" w:themeColor="text1"/>
          <w:sz w:val="24"/>
          <w:szCs w:val="24"/>
        </w:rPr>
      </w:pPr>
      <w:r w:rsidRPr="0028514A">
        <w:rPr>
          <w:rFonts w:ascii="Arial" w:eastAsia="Arial" w:hAnsi="Arial" w:cs="Arial"/>
          <w:b/>
          <w:bCs/>
          <w:color w:val="000000" w:themeColor="text1"/>
          <w:sz w:val="24"/>
          <w:szCs w:val="24"/>
        </w:rPr>
        <w:t>RAMIRO PAZOS GUERRERO</w:t>
      </w:r>
    </w:p>
    <w:p w14:paraId="5A2172F9" w14:textId="1AA54DF9" w:rsidR="004D6E95" w:rsidRDefault="004D6E95" w:rsidP="004D6E95">
      <w:pPr>
        <w:spacing w:line="276" w:lineRule="auto"/>
        <w:ind w:right="-232"/>
        <w:contextualSpacing/>
        <w:jc w:val="center"/>
        <w:rPr>
          <w:rFonts w:ascii="Arial" w:eastAsia="Arial" w:hAnsi="Arial" w:cs="Arial"/>
          <w:b/>
          <w:bCs/>
          <w:color w:val="000000" w:themeColor="text1"/>
          <w:sz w:val="24"/>
          <w:szCs w:val="24"/>
        </w:rPr>
      </w:pPr>
      <w:r w:rsidRPr="0028514A">
        <w:rPr>
          <w:rFonts w:ascii="Arial" w:eastAsia="Arial" w:hAnsi="Arial" w:cs="Arial"/>
          <w:b/>
          <w:bCs/>
          <w:color w:val="000000" w:themeColor="text1"/>
          <w:sz w:val="24"/>
          <w:szCs w:val="24"/>
        </w:rPr>
        <w:t>Magistrado</w:t>
      </w:r>
    </w:p>
    <w:p w14:paraId="52AD0463" w14:textId="221F324E" w:rsidR="000C1BE1" w:rsidRPr="00725E8A" w:rsidRDefault="000C1BE1" w:rsidP="004D6E95">
      <w:pPr>
        <w:spacing w:line="276" w:lineRule="auto"/>
        <w:ind w:right="-232"/>
        <w:contextualSpacing/>
        <w:jc w:val="center"/>
        <w:rPr>
          <w:rFonts w:ascii="Arial" w:hAnsi="Arial" w:cs="Arial"/>
          <w:sz w:val="24"/>
          <w:szCs w:val="24"/>
        </w:rPr>
      </w:pPr>
      <w:r>
        <w:rPr>
          <w:rFonts w:ascii="Arial" w:eastAsia="Arial" w:hAnsi="Arial" w:cs="Arial"/>
          <w:b/>
          <w:bCs/>
          <w:color w:val="000000" w:themeColor="text1"/>
          <w:sz w:val="24"/>
          <w:szCs w:val="24"/>
        </w:rPr>
        <w:t>(</w:t>
      </w:r>
      <w:r w:rsidR="002A04BD">
        <w:rPr>
          <w:rFonts w:ascii="Arial" w:eastAsia="Arial" w:hAnsi="Arial" w:cs="Arial"/>
          <w:b/>
          <w:bCs/>
          <w:color w:val="000000" w:themeColor="text1"/>
          <w:sz w:val="24"/>
          <w:szCs w:val="24"/>
        </w:rPr>
        <w:t>salvamento de voto)</w:t>
      </w:r>
    </w:p>
    <w:p w14:paraId="721D835E" w14:textId="1BA0431A" w:rsidR="00A360D0" w:rsidRPr="004D6E95" w:rsidRDefault="00A360D0" w:rsidP="004D6E95"/>
    <w:sectPr w:rsidR="00A360D0" w:rsidRPr="004D6E95" w:rsidSect="00A360D0">
      <w:headerReference w:type="default" r:id="rId8"/>
      <w:footerReference w:type="default" r:id="rId9"/>
      <w:headerReference w:type="first" r:id="rId10"/>
      <w:pgSz w:w="12242" w:h="18722"/>
      <w:pgMar w:top="1701" w:right="1701" w:bottom="1701" w:left="1701" w:header="454" w:footer="6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0CBA" w14:textId="77777777" w:rsidR="002C43A7" w:rsidRDefault="002C43A7" w:rsidP="00850373">
      <w:r>
        <w:separator/>
      </w:r>
    </w:p>
  </w:endnote>
  <w:endnote w:type="continuationSeparator" w:id="0">
    <w:p w14:paraId="5B877B7D" w14:textId="77777777" w:rsidR="002C43A7" w:rsidRDefault="002C43A7" w:rsidP="0085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 Pro W3">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315703"/>
      <w:docPartObj>
        <w:docPartGallery w:val="Page Numbers (Bottom of Page)"/>
        <w:docPartUnique/>
      </w:docPartObj>
    </w:sdtPr>
    <w:sdtEndPr>
      <w:rPr>
        <w:rFonts w:ascii="Arial" w:hAnsi="Arial" w:cs="Arial"/>
        <w:sz w:val="24"/>
        <w:szCs w:val="24"/>
      </w:rPr>
    </w:sdtEndPr>
    <w:sdtContent>
      <w:p w14:paraId="15FF6B09" w14:textId="77777777" w:rsidR="002C43A7" w:rsidRDefault="002C43A7">
        <w:pPr>
          <w:pStyle w:val="Piedepgina"/>
          <w:jc w:val="center"/>
        </w:pPr>
      </w:p>
      <w:p w14:paraId="02B9E90D" w14:textId="77777777" w:rsidR="002C43A7" w:rsidRPr="005306D7" w:rsidRDefault="002C43A7" w:rsidP="00A360D0">
        <w:pPr>
          <w:pStyle w:val="Piedepgina"/>
          <w:jc w:val="center"/>
          <w:rPr>
            <w:rFonts w:ascii="Arial" w:hAnsi="Arial" w:cs="Arial"/>
            <w:sz w:val="24"/>
            <w:szCs w:val="24"/>
          </w:rPr>
        </w:pPr>
        <w:r w:rsidRPr="005306D7">
          <w:rPr>
            <w:rFonts w:ascii="Arial" w:hAnsi="Arial" w:cs="Arial"/>
            <w:sz w:val="24"/>
            <w:szCs w:val="24"/>
          </w:rPr>
          <w:fldChar w:fldCharType="begin"/>
        </w:r>
        <w:r w:rsidRPr="005306D7">
          <w:rPr>
            <w:rFonts w:ascii="Arial" w:hAnsi="Arial" w:cs="Arial"/>
            <w:sz w:val="24"/>
            <w:szCs w:val="24"/>
          </w:rPr>
          <w:instrText xml:space="preserve"> PAGE   \* MERGEFORMAT </w:instrText>
        </w:r>
        <w:r w:rsidRPr="005306D7">
          <w:rPr>
            <w:rFonts w:ascii="Arial" w:hAnsi="Arial" w:cs="Arial"/>
            <w:sz w:val="24"/>
            <w:szCs w:val="24"/>
          </w:rPr>
          <w:fldChar w:fldCharType="separate"/>
        </w:r>
        <w:r w:rsidR="00AF25F8">
          <w:rPr>
            <w:rFonts w:ascii="Arial" w:hAnsi="Arial" w:cs="Arial"/>
            <w:noProof/>
            <w:sz w:val="24"/>
            <w:szCs w:val="24"/>
          </w:rPr>
          <w:t>9</w:t>
        </w:r>
        <w:r w:rsidRPr="005306D7">
          <w:rPr>
            <w:rFonts w:ascii="Arial" w:hAnsi="Arial" w:cs="Arial"/>
            <w:noProof/>
            <w:sz w:val="24"/>
            <w:szCs w:val="24"/>
          </w:rPr>
          <w:fldChar w:fldCharType="end"/>
        </w:r>
      </w:p>
    </w:sdtContent>
  </w:sdt>
  <w:p w14:paraId="312E54B7" w14:textId="77777777" w:rsidR="002C43A7" w:rsidRPr="00F145EA" w:rsidRDefault="002C43A7" w:rsidP="00A360D0">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EA6A2" w14:textId="77777777" w:rsidR="002C43A7" w:rsidRDefault="002C43A7" w:rsidP="00850373">
      <w:r>
        <w:separator/>
      </w:r>
    </w:p>
  </w:footnote>
  <w:footnote w:type="continuationSeparator" w:id="0">
    <w:p w14:paraId="23B8E55E" w14:textId="77777777" w:rsidR="002C43A7" w:rsidRDefault="002C43A7" w:rsidP="00850373">
      <w:r>
        <w:continuationSeparator/>
      </w:r>
    </w:p>
  </w:footnote>
  <w:footnote w:id="1">
    <w:p w14:paraId="34EE0387" w14:textId="77777777" w:rsidR="004D6E95" w:rsidRDefault="004D6E95" w:rsidP="004D6E95">
      <w:pPr>
        <w:pStyle w:val="Textonotapie"/>
        <w:jc w:val="both"/>
      </w:pPr>
      <w:r>
        <w:rPr>
          <w:rStyle w:val="Refdenotaalpie"/>
        </w:rPr>
        <w:footnoteRef/>
      </w:r>
      <w:r>
        <w:t xml:space="preserve"> </w:t>
      </w:r>
      <w:r w:rsidRPr="00826C2C">
        <w:rPr>
          <w:rFonts w:ascii="Arial" w:hAnsi="Arial" w:cs="Arial"/>
          <w:i/>
          <w:iCs/>
          <w:color w:val="333333"/>
          <w:sz w:val="20"/>
          <w:szCs w:val="20"/>
          <w:shd w:val="clear" w:color="auto" w:fill="FFFFFF"/>
        </w:rPr>
        <w:t>&lt;&lt;1°Acordar, exigir u obtener del cliente o de tercero remuneración o beneficio desproporcionado a su trabajo, con aprovechamiento de la necesidad, la ignorancia o la inexperiencia de aquellos&gt;&gt;.</w:t>
      </w:r>
    </w:p>
  </w:footnote>
  <w:footnote w:id="2">
    <w:p w14:paraId="2BE1C95E" w14:textId="77777777" w:rsidR="00347014" w:rsidRDefault="004D6E95" w:rsidP="004D6E95">
      <w:pPr>
        <w:pStyle w:val="NormalWeb"/>
        <w:shd w:val="clear" w:color="auto" w:fill="FFFFFF"/>
        <w:spacing w:before="0" w:beforeAutospacing="0"/>
        <w:jc w:val="both"/>
        <w:rPr>
          <w:rFonts w:ascii="Arial" w:hAnsi="Arial" w:cs="Arial"/>
          <w:color w:val="333333"/>
          <w:sz w:val="25"/>
          <w:szCs w:val="25"/>
        </w:rPr>
      </w:pPr>
      <w:r>
        <w:rPr>
          <w:rStyle w:val="Refdenotaalpie"/>
        </w:rPr>
        <w:footnoteRef/>
      </w:r>
      <w:r>
        <w:t xml:space="preserve"> &lt;&lt;</w:t>
      </w:r>
      <w:r w:rsidRPr="00211B41">
        <w:rPr>
          <w:rFonts w:ascii="Arial" w:hAnsi="Arial" w:cs="Arial"/>
          <w:color w:val="333333"/>
          <w:sz w:val="20"/>
          <w:szCs w:val="20"/>
        </w:rPr>
        <w:t>8</w:t>
      </w:r>
      <w:r w:rsidRPr="00211B41">
        <w:rPr>
          <w:rFonts w:ascii="Arial" w:hAnsi="Arial" w:cs="Arial"/>
          <w:i/>
          <w:iCs/>
          <w:color w:val="333333"/>
          <w:sz w:val="20"/>
          <w:szCs w:val="20"/>
        </w:rPr>
        <w:t xml:space="preserve">. Obrar con lealtad y honradez en sus relaciones profesionales. En desarrollo de este deber, entre otros aspectos, el abogado deberá fijar sus honorarios con criterio equitativo, justificado y proporcional frente al servicio prestado o </w:t>
      </w:r>
      <w:proofErr w:type="gramStart"/>
      <w:r w:rsidRPr="00211B41">
        <w:rPr>
          <w:rFonts w:ascii="Arial" w:hAnsi="Arial" w:cs="Arial"/>
          <w:i/>
          <w:iCs/>
          <w:color w:val="333333"/>
          <w:sz w:val="20"/>
          <w:szCs w:val="20"/>
        </w:rPr>
        <w:t>de acuerdo a</w:t>
      </w:r>
      <w:proofErr w:type="gramEnd"/>
      <w:r w:rsidRPr="00211B41">
        <w:rPr>
          <w:rFonts w:ascii="Arial" w:hAnsi="Arial" w:cs="Arial"/>
          <w:i/>
          <w:iCs/>
          <w:color w:val="333333"/>
          <w:sz w:val="20"/>
          <w:szCs w:val="20"/>
        </w:rPr>
        <w:t xml:space="preserve"> las normas que se dicten para el efecto, y suscribirá recibos cada vez que perciba dineros, cualquiera sea su concepto.</w:t>
      </w:r>
    </w:p>
    <w:p w14:paraId="613CE60D" w14:textId="0DA5C777" w:rsidR="004D6E95" w:rsidRPr="00347014" w:rsidRDefault="004D6E95" w:rsidP="004D6E95">
      <w:pPr>
        <w:pStyle w:val="NormalWeb"/>
        <w:shd w:val="clear" w:color="auto" w:fill="FFFFFF"/>
        <w:spacing w:before="0" w:beforeAutospacing="0"/>
        <w:jc w:val="both"/>
        <w:rPr>
          <w:rFonts w:ascii="Arial" w:hAnsi="Arial" w:cs="Arial"/>
          <w:color w:val="333333"/>
          <w:sz w:val="25"/>
          <w:szCs w:val="25"/>
        </w:rPr>
      </w:pPr>
      <w:r w:rsidRPr="00211B41">
        <w:rPr>
          <w:rFonts w:ascii="Arial" w:hAnsi="Arial" w:cs="Arial"/>
          <w:i/>
          <w:iCs/>
          <w:color w:val="333333"/>
          <w:sz w:val="20"/>
          <w:szCs w:val="20"/>
        </w:rPr>
        <w:t>Asimismo, deberá acordar con claridad los términos del mandato en lo concerniente al objeto, los costos, la contraprestación y forma de pago</w:t>
      </w:r>
      <w:r>
        <w:rPr>
          <w:rFonts w:ascii="Arial" w:hAnsi="Arial" w:cs="Arial"/>
          <w:i/>
          <w:iCs/>
          <w:color w:val="333333"/>
          <w:sz w:val="20"/>
          <w:szCs w:val="20"/>
        </w:rPr>
        <w:t>&gt;&gt;.</w:t>
      </w:r>
    </w:p>
    <w:p w14:paraId="785266FF" w14:textId="77777777" w:rsidR="004D6E95" w:rsidRDefault="004D6E95" w:rsidP="004D6E95">
      <w:pPr>
        <w:pStyle w:val="Textonotapie"/>
      </w:pPr>
    </w:p>
  </w:footnote>
  <w:footnote w:id="3">
    <w:p w14:paraId="0C464285" w14:textId="77777777" w:rsidR="004D6E95" w:rsidRPr="009850A7" w:rsidRDefault="004D6E95" w:rsidP="004D6E95">
      <w:pPr>
        <w:pStyle w:val="Textonotapie"/>
        <w:jc w:val="both"/>
        <w:rPr>
          <w:rFonts w:ascii="Arial" w:hAnsi="Arial" w:cs="Arial"/>
          <w:sz w:val="20"/>
          <w:szCs w:val="20"/>
          <w:lang w:val="es-ES_tradnl"/>
        </w:rPr>
      </w:pPr>
      <w:r w:rsidRPr="009850A7">
        <w:rPr>
          <w:rFonts w:ascii="Arial" w:hAnsi="Arial" w:cs="Arial"/>
          <w:color w:val="000000"/>
          <w:sz w:val="20"/>
          <w:szCs w:val="20"/>
          <w:bdr w:val="none" w:sz="0" w:space="0" w:color="auto" w:frame="1"/>
          <w:shd w:val="clear" w:color="auto" w:fill="FFFFFF"/>
          <w:vertAlign w:val="superscript"/>
          <w:lang w:val="es-ES_tradnl"/>
        </w:rPr>
        <w:footnoteRef/>
      </w:r>
      <w:r w:rsidRPr="009850A7">
        <w:rPr>
          <w:rFonts w:ascii="Arial" w:hAnsi="Arial" w:cs="Arial"/>
          <w:color w:val="000000"/>
          <w:sz w:val="20"/>
          <w:szCs w:val="20"/>
          <w:bdr w:val="none" w:sz="0" w:space="0" w:color="auto" w:frame="1"/>
          <w:shd w:val="clear" w:color="auto" w:fill="FFFFFF"/>
          <w:lang w:val="es-ES_tradnl"/>
        </w:rPr>
        <w:t xml:space="preserve"> Consejo de Estado, Sala Plena de lo Contencioso Administrativo, radicado 11001-03-15-000-2012-02201-01(IJ), C.P. Jorge Octavio Ramírez </w:t>
      </w:r>
      <w:proofErr w:type="spellStart"/>
      <w:r w:rsidRPr="009850A7">
        <w:rPr>
          <w:rFonts w:ascii="Arial" w:hAnsi="Arial" w:cs="Arial"/>
          <w:color w:val="000000"/>
          <w:sz w:val="20"/>
          <w:szCs w:val="20"/>
          <w:bdr w:val="none" w:sz="0" w:space="0" w:color="auto" w:frame="1"/>
          <w:shd w:val="clear" w:color="auto" w:fill="FFFFFF"/>
          <w:lang w:val="es-ES_tradnl"/>
        </w:rPr>
        <w:t>Ramírez</w:t>
      </w:r>
      <w:proofErr w:type="spellEnd"/>
      <w:r w:rsidRPr="009850A7">
        <w:rPr>
          <w:rFonts w:ascii="Arial" w:hAnsi="Arial" w:cs="Arial"/>
          <w:color w:val="000000"/>
          <w:sz w:val="20"/>
          <w:szCs w:val="20"/>
          <w:bdr w:val="none" w:sz="0" w:space="0" w:color="auto" w:frame="1"/>
          <w:shd w:val="clear" w:color="auto" w:fill="FFFFFF"/>
          <w:lang w:val="es-ES_tradnl"/>
        </w:rPr>
        <w:t>.</w:t>
      </w:r>
    </w:p>
  </w:footnote>
  <w:footnote w:id="4">
    <w:p w14:paraId="7E72A1C8" w14:textId="77777777" w:rsidR="004D6E95" w:rsidRPr="009850A7" w:rsidRDefault="004D6E95" w:rsidP="004D6E95">
      <w:pPr>
        <w:pStyle w:val="Textonotapie"/>
        <w:jc w:val="both"/>
        <w:rPr>
          <w:rFonts w:ascii="Arial" w:hAnsi="Arial" w:cs="Arial"/>
          <w:sz w:val="20"/>
          <w:szCs w:val="20"/>
          <w:lang w:val="es-ES_tradnl"/>
        </w:rPr>
      </w:pPr>
      <w:r w:rsidRPr="009850A7">
        <w:rPr>
          <w:rFonts w:ascii="Arial" w:hAnsi="Arial" w:cs="Arial"/>
          <w:color w:val="000000"/>
          <w:sz w:val="20"/>
          <w:szCs w:val="20"/>
          <w:bdr w:val="none" w:sz="0" w:space="0" w:color="auto" w:frame="1"/>
          <w:shd w:val="clear" w:color="auto" w:fill="FFFFFF"/>
          <w:vertAlign w:val="superscript"/>
          <w:lang w:val="es-ES_tradnl"/>
        </w:rPr>
        <w:footnoteRef/>
      </w:r>
      <w:r w:rsidRPr="009850A7">
        <w:rPr>
          <w:rFonts w:ascii="Arial" w:hAnsi="Arial" w:cs="Arial"/>
          <w:color w:val="000000"/>
          <w:sz w:val="20"/>
          <w:szCs w:val="20"/>
          <w:bdr w:val="none" w:sz="0" w:space="0" w:color="auto" w:frame="1"/>
          <w:shd w:val="clear" w:color="auto" w:fill="FFFFFF"/>
          <w:lang w:val="es-ES_tradnl"/>
        </w:rPr>
        <w:t xml:space="preserve"> Corte Constitucional, Sentencia T-031 de 2016, M.P. Luis Guillermo Guerrero Pérez.</w:t>
      </w:r>
    </w:p>
  </w:footnote>
  <w:footnote w:id="5">
    <w:p w14:paraId="0EB58213" w14:textId="77777777" w:rsidR="004D6E95" w:rsidRDefault="004D6E95" w:rsidP="004D6E95">
      <w:pPr>
        <w:pStyle w:val="Textonotapie"/>
      </w:pPr>
      <w:r>
        <w:rPr>
          <w:rStyle w:val="Refdenotaalpie"/>
        </w:rPr>
        <w:footnoteRef/>
      </w:r>
      <w:r>
        <w:t xml:space="preserve"> </w:t>
      </w:r>
      <w:r w:rsidRPr="009A2DF1">
        <w:rPr>
          <w:rFonts w:ascii="Arial" w:hAnsi="Arial" w:cs="Arial"/>
          <w:sz w:val="20"/>
          <w:szCs w:val="20"/>
        </w:rPr>
        <w:t>Corte Constitucional Auto 293 de 2016.</w:t>
      </w:r>
      <w:r w:rsidRPr="009A2DF1">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D235" w14:textId="77777777" w:rsidR="002C43A7" w:rsidRPr="00DA42A5" w:rsidRDefault="002C43A7" w:rsidP="00A360D0">
    <w:pPr>
      <w:pStyle w:val="Encabezado"/>
      <w:rPr>
        <w:rFonts w:ascii="Arial" w:hAnsi="Arial" w:cs="Arial"/>
      </w:rPr>
    </w:pPr>
    <w:r w:rsidRPr="00DA42A5">
      <w:rPr>
        <w:rFonts w:ascii="Arial" w:hAnsi="Arial" w:cs="Arial"/>
        <w:noProof/>
        <w:lang w:val="es-ES" w:eastAsia="es-ES"/>
      </w:rPr>
      <w:drawing>
        <wp:anchor distT="0" distB="0" distL="114300" distR="114300" simplePos="0" relativeHeight="251660288" behindDoc="0" locked="0" layoutInCell="1" allowOverlap="1" wp14:anchorId="2AAE1DC7" wp14:editId="74B92565">
          <wp:simplePos x="0" y="0"/>
          <wp:positionH relativeFrom="column">
            <wp:posOffset>-16647</wp:posOffset>
          </wp:positionH>
          <wp:positionV relativeFrom="paragraph">
            <wp:posOffset>87216</wp:posOffset>
          </wp:positionV>
          <wp:extent cx="1008746" cy="93966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CE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394" cy="940265"/>
                  </a:xfrm>
                  <a:prstGeom prst="rect">
                    <a:avLst/>
                  </a:prstGeom>
                </pic:spPr>
              </pic:pic>
            </a:graphicData>
          </a:graphic>
          <wp14:sizeRelH relativeFrom="margin">
            <wp14:pctWidth>0</wp14:pctWidth>
          </wp14:sizeRelH>
          <wp14:sizeRelV relativeFrom="margin">
            <wp14:pctHeight>0</wp14:pctHeight>
          </wp14:sizeRelV>
        </wp:anchor>
      </w:drawing>
    </w:r>
  </w:p>
  <w:p w14:paraId="2D684041" w14:textId="77777777" w:rsidR="002C43A7" w:rsidRPr="00DA42A5" w:rsidRDefault="002C43A7" w:rsidP="00A360D0">
    <w:pPr>
      <w:pStyle w:val="Encabezado"/>
      <w:rPr>
        <w:rFonts w:ascii="Arial" w:hAnsi="Arial" w:cs="Arial"/>
      </w:rPr>
    </w:pPr>
  </w:p>
  <w:p w14:paraId="1375C0FA" w14:textId="77777777" w:rsidR="002C43A7" w:rsidRPr="00DA42A5" w:rsidRDefault="002C43A7" w:rsidP="00A360D0">
    <w:pPr>
      <w:pStyle w:val="Encabezado"/>
      <w:rPr>
        <w:rFonts w:ascii="Arial" w:hAnsi="Arial" w:cs="Arial"/>
      </w:rPr>
    </w:pPr>
  </w:p>
  <w:p w14:paraId="2778F59D" w14:textId="77777777" w:rsidR="002C43A7" w:rsidRPr="00DA42A5" w:rsidRDefault="002C43A7" w:rsidP="00A360D0">
    <w:pPr>
      <w:pStyle w:val="Encabezado"/>
      <w:rPr>
        <w:rFonts w:ascii="Arial" w:hAnsi="Arial" w:cs="Arial"/>
      </w:rPr>
    </w:pPr>
  </w:p>
  <w:p w14:paraId="667343C0" w14:textId="77777777" w:rsidR="002C43A7" w:rsidRPr="00F4188B" w:rsidRDefault="002C43A7" w:rsidP="00A360D0">
    <w:pPr>
      <w:pStyle w:val="Encabezado"/>
      <w:rPr>
        <w:rFonts w:ascii="Arial" w:hAnsi="Arial" w:cs="Arial"/>
        <w:sz w:val="20"/>
        <w:szCs w:val="20"/>
      </w:rPr>
    </w:pPr>
    <w:r w:rsidRPr="00F4188B">
      <w:rPr>
        <w:rFonts w:ascii="Arial" w:hAnsi="Arial" w:cs="Arial"/>
        <w:noProof/>
        <w:sz w:val="24"/>
        <w:szCs w:val="24"/>
        <w:lang w:val="es-ES" w:eastAsia="es-ES"/>
      </w:rPr>
      <mc:AlternateContent>
        <mc:Choice Requires="wps">
          <w:drawing>
            <wp:anchor distT="0" distB="0" distL="114300" distR="114300" simplePos="0" relativeHeight="251659264" behindDoc="0" locked="0" layoutInCell="1" allowOverlap="1" wp14:anchorId="7DDC862E" wp14:editId="10148188">
              <wp:simplePos x="0" y="0"/>
              <wp:positionH relativeFrom="column">
                <wp:posOffset>1379855</wp:posOffset>
              </wp:positionH>
              <wp:positionV relativeFrom="paragraph">
                <wp:posOffset>60325</wp:posOffset>
              </wp:positionV>
              <wp:extent cx="5288915" cy="21590"/>
              <wp:effectExtent l="19050" t="19050" r="6985" b="355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475C13" id="_x0000_t32" coordsize="21600,21600" o:spt="32" o:oned="t" path="m,l21600,21600e" filled="f">
              <v:path arrowok="t" fillok="f" o:connecttype="none"/>
              <o:lock v:ext="edit" shapetype="t"/>
            </v:shapetype>
            <v:shape id="AutoShape 1" o:spid="_x0000_s1026" type="#_x0000_t32" style="position:absolute;margin-left:108.65pt;margin-top:4.75pt;width:416.4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" strokeweight="2.25pt"/>
          </w:pict>
        </mc:Fallback>
      </mc:AlternateContent>
    </w:r>
  </w:p>
  <w:p w14:paraId="6EFB1409" w14:textId="575A85C4" w:rsidR="002C43A7" w:rsidRPr="00842648" w:rsidRDefault="002C43A7" w:rsidP="00A360D0">
    <w:pPr>
      <w:pStyle w:val="Encabezado"/>
      <w:jc w:val="right"/>
      <w:rPr>
        <w:rFonts w:ascii="Arial" w:hAnsi="Arial" w:cs="Arial"/>
        <w:color w:val="767171"/>
        <w:sz w:val="18"/>
        <w:szCs w:val="18"/>
      </w:rPr>
    </w:pPr>
    <w:r w:rsidRPr="00842648">
      <w:rPr>
        <w:rFonts w:ascii="Arial" w:hAnsi="Arial" w:cs="Arial"/>
        <w:color w:val="767171"/>
        <w:sz w:val="18"/>
        <w:szCs w:val="18"/>
      </w:rPr>
      <w:t xml:space="preserve">Radicado: </w:t>
    </w:r>
    <w:r>
      <w:rPr>
        <w:rFonts w:ascii="Arial" w:hAnsi="Arial" w:cs="Arial"/>
        <w:color w:val="767171"/>
        <w:sz w:val="18"/>
        <w:szCs w:val="18"/>
      </w:rPr>
      <w:t>11</w:t>
    </w:r>
    <w:r w:rsidRPr="00842648">
      <w:rPr>
        <w:rFonts w:ascii="Arial" w:hAnsi="Arial" w:cs="Arial"/>
        <w:color w:val="767171"/>
        <w:sz w:val="18"/>
        <w:szCs w:val="18"/>
      </w:rPr>
      <w:t>00</w:t>
    </w:r>
    <w:r>
      <w:rPr>
        <w:rFonts w:ascii="Arial" w:hAnsi="Arial" w:cs="Arial"/>
        <w:color w:val="767171"/>
        <w:sz w:val="18"/>
        <w:szCs w:val="18"/>
      </w:rPr>
      <w:t>1-0</w:t>
    </w:r>
    <w:r w:rsidRPr="00842648">
      <w:rPr>
        <w:rFonts w:ascii="Arial" w:hAnsi="Arial" w:cs="Arial"/>
        <w:color w:val="767171"/>
        <w:sz w:val="18"/>
        <w:szCs w:val="18"/>
      </w:rPr>
      <w:t>3-15-000-20</w:t>
    </w:r>
    <w:r>
      <w:rPr>
        <w:rFonts w:ascii="Arial" w:hAnsi="Arial" w:cs="Arial"/>
        <w:color w:val="767171"/>
        <w:sz w:val="18"/>
        <w:szCs w:val="18"/>
      </w:rPr>
      <w:t>20</w:t>
    </w:r>
    <w:r w:rsidRPr="00842648">
      <w:rPr>
        <w:rFonts w:ascii="Arial" w:hAnsi="Arial" w:cs="Arial"/>
        <w:color w:val="767171"/>
        <w:sz w:val="18"/>
        <w:szCs w:val="18"/>
      </w:rPr>
      <w:t>-</w:t>
    </w:r>
    <w:r>
      <w:rPr>
        <w:rFonts w:ascii="Arial" w:hAnsi="Arial" w:cs="Arial"/>
        <w:color w:val="767171"/>
        <w:sz w:val="18"/>
        <w:szCs w:val="18"/>
      </w:rPr>
      <w:t>04921-01</w:t>
    </w:r>
  </w:p>
  <w:p w14:paraId="313C7DB4" w14:textId="6EDA9C31" w:rsidR="002C43A7" w:rsidRDefault="002C43A7" w:rsidP="00A360D0">
    <w:pPr>
      <w:pStyle w:val="Encabezado"/>
      <w:jc w:val="right"/>
      <w:rPr>
        <w:rFonts w:ascii="Arial" w:hAnsi="Arial" w:cs="Arial"/>
        <w:color w:val="767171"/>
        <w:sz w:val="18"/>
        <w:szCs w:val="18"/>
      </w:rPr>
    </w:pPr>
    <w:r w:rsidRPr="00842648">
      <w:rPr>
        <w:rFonts w:ascii="Arial" w:hAnsi="Arial" w:cs="Arial"/>
        <w:color w:val="767171"/>
        <w:sz w:val="18"/>
        <w:szCs w:val="18"/>
      </w:rPr>
      <w:t xml:space="preserve"> </w:t>
    </w:r>
    <w:r>
      <w:rPr>
        <w:rFonts w:ascii="Arial" w:hAnsi="Arial" w:cs="Arial"/>
        <w:color w:val="767171"/>
        <w:sz w:val="18"/>
        <w:szCs w:val="18"/>
      </w:rPr>
      <w:t>Accion</w:t>
    </w:r>
    <w:r w:rsidRPr="00842648">
      <w:rPr>
        <w:rFonts w:ascii="Arial" w:hAnsi="Arial" w:cs="Arial"/>
        <w:color w:val="767171"/>
        <w:sz w:val="18"/>
        <w:szCs w:val="18"/>
      </w:rPr>
      <w:t xml:space="preserve">ante: </w:t>
    </w:r>
    <w:r>
      <w:rPr>
        <w:rFonts w:ascii="Arial" w:hAnsi="Arial" w:cs="Arial"/>
        <w:color w:val="767171"/>
        <w:sz w:val="18"/>
        <w:szCs w:val="18"/>
      </w:rPr>
      <w:t>Oscar Mauricio Gil Gómez</w:t>
    </w:r>
  </w:p>
  <w:p w14:paraId="78AF3389" w14:textId="77777777" w:rsidR="002C43A7" w:rsidRPr="00842648" w:rsidRDefault="002C43A7" w:rsidP="00A360D0">
    <w:pPr>
      <w:pStyle w:val="Encabezado"/>
      <w:jc w:val="right"/>
      <w:rPr>
        <w:rFonts w:ascii="Arial" w:hAnsi="Arial" w:cs="Arial"/>
        <w:color w:val="767171"/>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DE08" w14:textId="77777777" w:rsidR="002C43A7" w:rsidRDefault="002C43A7">
    <w:pPr>
      <w:pStyle w:val="Encabezado"/>
    </w:pPr>
  </w:p>
  <w:p w14:paraId="7C2BCDA4" w14:textId="77777777" w:rsidR="002C43A7" w:rsidRDefault="002C43A7">
    <w:pPr>
      <w:pStyle w:val="Encabezado"/>
    </w:pPr>
  </w:p>
  <w:p w14:paraId="377D0CC8" w14:textId="77777777" w:rsidR="002C43A7" w:rsidRDefault="002C43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A06"/>
    <w:rsid w:val="00003A2F"/>
    <w:rsid w:val="0000434C"/>
    <w:rsid w:val="000044D1"/>
    <w:rsid w:val="00007217"/>
    <w:rsid w:val="00016853"/>
    <w:rsid w:val="0002031F"/>
    <w:rsid w:val="00023B17"/>
    <w:rsid w:val="00034040"/>
    <w:rsid w:val="000354B1"/>
    <w:rsid w:val="000364CA"/>
    <w:rsid w:val="00037C62"/>
    <w:rsid w:val="0004581F"/>
    <w:rsid w:val="00050501"/>
    <w:rsid w:val="00051086"/>
    <w:rsid w:val="000510A3"/>
    <w:rsid w:val="00052D55"/>
    <w:rsid w:val="00060750"/>
    <w:rsid w:val="000610D5"/>
    <w:rsid w:val="000741BC"/>
    <w:rsid w:val="0008079E"/>
    <w:rsid w:val="0008770D"/>
    <w:rsid w:val="000914C4"/>
    <w:rsid w:val="00091504"/>
    <w:rsid w:val="00093FA5"/>
    <w:rsid w:val="000A3361"/>
    <w:rsid w:val="000A492B"/>
    <w:rsid w:val="000B457F"/>
    <w:rsid w:val="000B57E8"/>
    <w:rsid w:val="000B71EA"/>
    <w:rsid w:val="000C1BE1"/>
    <w:rsid w:val="000C33A0"/>
    <w:rsid w:val="000C4876"/>
    <w:rsid w:val="000C4DCA"/>
    <w:rsid w:val="000C4EF8"/>
    <w:rsid w:val="000D1B4C"/>
    <w:rsid w:val="000D3585"/>
    <w:rsid w:val="000D5227"/>
    <w:rsid w:val="000E1EE0"/>
    <w:rsid w:val="000E1FB4"/>
    <w:rsid w:val="000E6350"/>
    <w:rsid w:val="000F0862"/>
    <w:rsid w:val="000F4BD9"/>
    <w:rsid w:val="000F6C52"/>
    <w:rsid w:val="000F7767"/>
    <w:rsid w:val="001013F6"/>
    <w:rsid w:val="001141CD"/>
    <w:rsid w:val="00121238"/>
    <w:rsid w:val="00122066"/>
    <w:rsid w:val="00124CE5"/>
    <w:rsid w:val="00126032"/>
    <w:rsid w:val="001437F7"/>
    <w:rsid w:val="001440AC"/>
    <w:rsid w:val="00150CA7"/>
    <w:rsid w:val="0015286E"/>
    <w:rsid w:val="00152A9E"/>
    <w:rsid w:val="00156FE2"/>
    <w:rsid w:val="001629DB"/>
    <w:rsid w:val="00164F65"/>
    <w:rsid w:val="00181B76"/>
    <w:rsid w:val="0018223E"/>
    <w:rsid w:val="001900BF"/>
    <w:rsid w:val="00192574"/>
    <w:rsid w:val="00194895"/>
    <w:rsid w:val="0019542A"/>
    <w:rsid w:val="001A092E"/>
    <w:rsid w:val="001A1607"/>
    <w:rsid w:val="001A3F03"/>
    <w:rsid w:val="001A47B8"/>
    <w:rsid w:val="001A5334"/>
    <w:rsid w:val="001A5EE3"/>
    <w:rsid w:val="001A7635"/>
    <w:rsid w:val="001B060C"/>
    <w:rsid w:val="001C0C36"/>
    <w:rsid w:val="001C67AA"/>
    <w:rsid w:val="001D076A"/>
    <w:rsid w:val="001D2F54"/>
    <w:rsid w:val="001D4DFA"/>
    <w:rsid w:val="001E10CD"/>
    <w:rsid w:val="001E64E1"/>
    <w:rsid w:val="001F0D25"/>
    <w:rsid w:val="001F17FF"/>
    <w:rsid w:val="001F24F4"/>
    <w:rsid w:val="001F5000"/>
    <w:rsid w:val="001F7DB5"/>
    <w:rsid w:val="002041BD"/>
    <w:rsid w:val="002073E2"/>
    <w:rsid w:val="0021023F"/>
    <w:rsid w:val="00211B41"/>
    <w:rsid w:val="00214DC7"/>
    <w:rsid w:val="0022267C"/>
    <w:rsid w:val="00222B99"/>
    <w:rsid w:val="00226346"/>
    <w:rsid w:val="00233701"/>
    <w:rsid w:val="0023406B"/>
    <w:rsid w:val="002400DB"/>
    <w:rsid w:val="00243EEB"/>
    <w:rsid w:val="0024614F"/>
    <w:rsid w:val="0026226C"/>
    <w:rsid w:val="00266A96"/>
    <w:rsid w:val="00272D42"/>
    <w:rsid w:val="00273C9D"/>
    <w:rsid w:val="0028357C"/>
    <w:rsid w:val="0028514A"/>
    <w:rsid w:val="00296FC6"/>
    <w:rsid w:val="002970ED"/>
    <w:rsid w:val="002A04BD"/>
    <w:rsid w:val="002A0F50"/>
    <w:rsid w:val="002A34C5"/>
    <w:rsid w:val="002A4DD8"/>
    <w:rsid w:val="002B0EB4"/>
    <w:rsid w:val="002B392B"/>
    <w:rsid w:val="002B69B1"/>
    <w:rsid w:val="002C20F8"/>
    <w:rsid w:val="002C25F2"/>
    <w:rsid w:val="002C43A7"/>
    <w:rsid w:val="002C556F"/>
    <w:rsid w:val="002C70B9"/>
    <w:rsid w:val="002C72E6"/>
    <w:rsid w:val="002C7CFC"/>
    <w:rsid w:val="002D3AD3"/>
    <w:rsid w:val="002D5FDD"/>
    <w:rsid w:val="002E3F5E"/>
    <w:rsid w:val="002E55C7"/>
    <w:rsid w:val="002E7851"/>
    <w:rsid w:val="00300306"/>
    <w:rsid w:val="003024E2"/>
    <w:rsid w:val="003037DF"/>
    <w:rsid w:val="00304D3C"/>
    <w:rsid w:val="00307594"/>
    <w:rsid w:val="00314951"/>
    <w:rsid w:val="003162C2"/>
    <w:rsid w:val="00316DED"/>
    <w:rsid w:val="003174E7"/>
    <w:rsid w:val="00325049"/>
    <w:rsid w:val="00327C24"/>
    <w:rsid w:val="00333B65"/>
    <w:rsid w:val="00337649"/>
    <w:rsid w:val="003455F5"/>
    <w:rsid w:val="00347014"/>
    <w:rsid w:val="00363E22"/>
    <w:rsid w:val="0036520E"/>
    <w:rsid w:val="00374AB7"/>
    <w:rsid w:val="00375701"/>
    <w:rsid w:val="00382F14"/>
    <w:rsid w:val="0038378D"/>
    <w:rsid w:val="00392833"/>
    <w:rsid w:val="00397929"/>
    <w:rsid w:val="003A1486"/>
    <w:rsid w:val="003A426D"/>
    <w:rsid w:val="003C1B54"/>
    <w:rsid w:val="003C5CD6"/>
    <w:rsid w:val="003C699F"/>
    <w:rsid w:val="003C7A39"/>
    <w:rsid w:val="003D10B5"/>
    <w:rsid w:val="003E1C0E"/>
    <w:rsid w:val="003E35BD"/>
    <w:rsid w:val="003E430E"/>
    <w:rsid w:val="003F58C2"/>
    <w:rsid w:val="003F6A50"/>
    <w:rsid w:val="003F7056"/>
    <w:rsid w:val="004025B3"/>
    <w:rsid w:val="0041237F"/>
    <w:rsid w:val="0041660A"/>
    <w:rsid w:val="004203F0"/>
    <w:rsid w:val="00422C3C"/>
    <w:rsid w:val="00425A88"/>
    <w:rsid w:val="00425C08"/>
    <w:rsid w:val="004260C9"/>
    <w:rsid w:val="004348BC"/>
    <w:rsid w:val="00441A06"/>
    <w:rsid w:val="00443130"/>
    <w:rsid w:val="00446603"/>
    <w:rsid w:val="004503F3"/>
    <w:rsid w:val="00454876"/>
    <w:rsid w:val="004554DE"/>
    <w:rsid w:val="004565EC"/>
    <w:rsid w:val="00460691"/>
    <w:rsid w:val="00461160"/>
    <w:rsid w:val="0046567A"/>
    <w:rsid w:val="004679F2"/>
    <w:rsid w:val="004735BA"/>
    <w:rsid w:val="0047486F"/>
    <w:rsid w:val="00475F09"/>
    <w:rsid w:val="0047601A"/>
    <w:rsid w:val="004919EC"/>
    <w:rsid w:val="00492EC3"/>
    <w:rsid w:val="00494054"/>
    <w:rsid w:val="004C07D5"/>
    <w:rsid w:val="004C3428"/>
    <w:rsid w:val="004C3D3D"/>
    <w:rsid w:val="004D4C44"/>
    <w:rsid w:val="004D6E95"/>
    <w:rsid w:val="004E3903"/>
    <w:rsid w:val="004E4741"/>
    <w:rsid w:val="0050093B"/>
    <w:rsid w:val="00501774"/>
    <w:rsid w:val="00505D11"/>
    <w:rsid w:val="005143C2"/>
    <w:rsid w:val="00514CEA"/>
    <w:rsid w:val="00525B7E"/>
    <w:rsid w:val="005269CF"/>
    <w:rsid w:val="00535623"/>
    <w:rsid w:val="00537E83"/>
    <w:rsid w:val="00537E9C"/>
    <w:rsid w:val="00537FC5"/>
    <w:rsid w:val="0054042D"/>
    <w:rsid w:val="00551320"/>
    <w:rsid w:val="00552EE1"/>
    <w:rsid w:val="00553703"/>
    <w:rsid w:val="00570185"/>
    <w:rsid w:val="00573A10"/>
    <w:rsid w:val="0057583A"/>
    <w:rsid w:val="00576C0C"/>
    <w:rsid w:val="0058249C"/>
    <w:rsid w:val="0058661B"/>
    <w:rsid w:val="00591F48"/>
    <w:rsid w:val="00594E89"/>
    <w:rsid w:val="00596E8C"/>
    <w:rsid w:val="005A29EA"/>
    <w:rsid w:val="005A5A9D"/>
    <w:rsid w:val="005C403D"/>
    <w:rsid w:val="005D1105"/>
    <w:rsid w:val="005D1441"/>
    <w:rsid w:val="005D1B3C"/>
    <w:rsid w:val="005D3D0C"/>
    <w:rsid w:val="005D7742"/>
    <w:rsid w:val="005E06A7"/>
    <w:rsid w:val="005E7993"/>
    <w:rsid w:val="006166E5"/>
    <w:rsid w:val="00620445"/>
    <w:rsid w:val="0062229D"/>
    <w:rsid w:val="006273DB"/>
    <w:rsid w:val="00631063"/>
    <w:rsid w:val="00651CC7"/>
    <w:rsid w:val="00655FF9"/>
    <w:rsid w:val="00665348"/>
    <w:rsid w:val="00670098"/>
    <w:rsid w:val="006A09ED"/>
    <w:rsid w:val="006B3B6D"/>
    <w:rsid w:val="006B7198"/>
    <w:rsid w:val="006C0021"/>
    <w:rsid w:val="006C411F"/>
    <w:rsid w:val="006D1F29"/>
    <w:rsid w:val="006D620A"/>
    <w:rsid w:val="006E182E"/>
    <w:rsid w:val="006E232F"/>
    <w:rsid w:val="006E5638"/>
    <w:rsid w:val="006F5382"/>
    <w:rsid w:val="006F7B1F"/>
    <w:rsid w:val="00703EA2"/>
    <w:rsid w:val="00704DF7"/>
    <w:rsid w:val="0071091F"/>
    <w:rsid w:val="007120DD"/>
    <w:rsid w:val="0071372C"/>
    <w:rsid w:val="00713E04"/>
    <w:rsid w:val="00714FAE"/>
    <w:rsid w:val="00715291"/>
    <w:rsid w:val="00724BFA"/>
    <w:rsid w:val="00725E8A"/>
    <w:rsid w:val="00731149"/>
    <w:rsid w:val="00732114"/>
    <w:rsid w:val="00741D60"/>
    <w:rsid w:val="00743D81"/>
    <w:rsid w:val="007466E8"/>
    <w:rsid w:val="0075748C"/>
    <w:rsid w:val="007616A8"/>
    <w:rsid w:val="00765C91"/>
    <w:rsid w:val="00772C28"/>
    <w:rsid w:val="00781253"/>
    <w:rsid w:val="007834AC"/>
    <w:rsid w:val="0078352D"/>
    <w:rsid w:val="00791396"/>
    <w:rsid w:val="0079767E"/>
    <w:rsid w:val="00797B86"/>
    <w:rsid w:val="007A25AF"/>
    <w:rsid w:val="007A34AE"/>
    <w:rsid w:val="007A6AC9"/>
    <w:rsid w:val="007A6FA5"/>
    <w:rsid w:val="007A7384"/>
    <w:rsid w:val="007B0FB2"/>
    <w:rsid w:val="007C1D70"/>
    <w:rsid w:val="007D624E"/>
    <w:rsid w:val="007E17B0"/>
    <w:rsid w:val="007E6420"/>
    <w:rsid w:val="007F217B"/>
    <w:rsid w:val="007F2D35"/>
    <w:rsid w:val="007F5621"/>
    <w:rsid w:val="007F6962"/>
    <w:rsid w:val="007F757E"/>
    <w:rsid w:val="007F75C4"/>
    <w:rsid w:val="0080120F"/>
    <w:rsid w:val="00803944"/>
    <w:rsid w:val="00816B94"/>
    <w:rsid w:val="008223D5"/>
    <w:rsid w:val="008239ED"/>
    <w:rsid w:val="00826C2C"/>
    <w:rsid w:val="0083033E"/>
    <w:rsid w:val="00831A81"/>
    <w:rsid w:val="00844152"/>
    <w:rsid w:val="008444F4"/>
    <w:rsid w:val="00844B5C"/>
    <w:rsid w:val="0084698D"/>
    <w:rsid w:val="00850373"/>
    <w:rsid w:val="00850DF2"/>
    <w:rsid w:val="00853D90"/>
    <w:rsid w:val="008550F1"/>
    <w:rsid w:val="00863930"/>
    <w:rsid w:val="00864726"/>
    <w:rsid w:val="00865C90"/>
    <w:rsid w:val="0087293E"/>
    <w:rsid w:val="00874165"/>
    <w:rsid w:val="00881CB9"/>
    <w:rsid w:val="00886D87"/>
    <w:rsid w:val="00892554"/>
    <w:rsid w:val="008A6FF1"/>
    <w:rsid w:val="008C0EFF"/>
    <w:rsid w:val="008C1ACB"/>
    <w:rsid w:val="008C337C"/>
    <w:rsid w:val="008C4531"/>
    <w:rsid w:val="008C5129"/>
    <w:rsid w:val="008C705F"/>
    <w:rsid w:val="008D1132"/>
    <w:rsid w:val="008D3B86"/>
    <w:rsid w:val="008D5390"/>
    <w:rsid w:val="008E7319"/>
    <w:rsid w:val="008F00D7"/>
    <w:rsid w:val="008F151A"/>
    <w:rsid w:val="008F1FC0"/>
    <w:rsid w:val="008F6C71"/>
    <w:rsid w:val="008F763D"/>
    <w:rsid w:val="00904805"/>
    <w:rsid w:val="00912CBB"/>
    <w:rsid w:val="0092143A"/>
    <w:rsid w:val="00923396"/>
    <w:rsid w:val="00935F67"/>
    <w:rsid w:val="009378D8"/>
    <w:rsid w:val="00942D1A"/>
    <w:rsid w:val="00947987"/>
    <w:rsid w:val="00953A15"/>
    <w:rsid w:val="00956030"/>
    <w:rsid w:val="00956C53"/>
    <w:rsid w:val="00963C9F"/>
    <w:rsid w:val="00984E4D"/>
    <w:rsid w:val="00987897"/>
    <w:rsid w:val="00990D6D"/>
    <w:rsid w:val="009A2DF1"/>
    <w:rsid w:val="009A714F"/>
    <w:rsid w:val="009B1AE6"/>
    <w:rsid w:val="009B1FF7"/>
    <w:rsid w:val="009B27D4"/>
    <w:rsid w:val="009C2AF0"/>
    <w:rsid w:val="009C76C0"/>
    <w:rsid w:val="009D3507"/>
    <w:rsid w:val="009D6A08"/>
    <w:rsid w:val="009D72C5"/>
    <w:rsid w:val="009E0B22"/>
    <w:rsid w:val="009E497E"/>
    <w:rsid w:val="009F2B80"/>
    <w:rsid w:val="00A0005B"/>
    <w:rsid w:val="00A03803"/>
    <w:rsid w:val="00A139DF"/>
    <w:rsid w:val="00A1437F"/>
    <w:rsid w:val="00A16616"/>
    <w:rsid w:val="00A22C58"/>
    <w:rsid w:val="00A24886"/>
    <w:rsid w:val="00A25636"/>
    <w:rsid w:val="00A25920"/>
    <w:rsid w:val="00A260D1"/>
    <w:rsid w:val="00A307D8"/>
    <w:rsid w:val="00A360D0"/>
    <w:rsid w:val="00A40C00"/>
    <w:rsid w:val="00A44BDF"/>
    <w:rsid w:val="00A47179"/>
    <w:rsid w:val="00A57A35"/>
    <w:rsid w:val="00A6209A"/>
    <w:rsid w:val="00A662E8"/>
    <w:rsid w:val="00A663D1"/>
    <w:rsid w:val="00A7138C"/>
    <w:rsid w:val="00A71ABF"/>
    <w:rsid w:val="00A72793"/>
    <w:rsid w:val="00A732EF"/>
    <w:rsid w:val="00A7351F"/>
    <w:rsid w:val="00A77BD1"/>
    <w:rsid w:val="00A82437"/>
    <w:rsid w:val="00A8296E"/>
    <w:rsid w:val="00A859BA"/>
    <w:rsid w:val="00A85F55"/>
    <w:rsid w:val="00AA026F"/>
    <w:rsid w:val="00AB1070"/>
    <w:rsid w:val="00AB51D7"/>
    <w:rsid w:val="00AC06FD"/>
    <w:rsid w:val="00AC21ED"/>
    <w:rsid w:val="00AC26DA"/>
    <w:rsid w:val="00AD08A7"/>
    <w:rsid w:val="00AD1F17"/>
    <w:rsid w:val="00AD3A26"/>
    <w:rsid w:val="00AD77E2"/>
    <w:rsid w:val="00AE08E5"/>
    <w:rsid w:val="00AF25F8"/>
    <w:rsid w:val="00AF4FF6"/>
    <w:rsid w:val="00B042F0"/>
    <w:rsid w:val="00B052E3"/>
    <w:rsid w:val="00B21DD4"/>
    <w:rsid w:val="00B619FD"/>
    <w:rsid w:val="00B64656"/>
    <w:rsid w:val="00B6602B"/>
    <w:rsid w:val="00B666CE"/>
    <w:rsid w:val="00B66862"/>
    <w:rsid w:val="00B66D57"/>
    <w:rsid w:val="00B67CA6"/>
    <w:rsid w:val="00B71FD5"/>
    <w:rsid w:val="00B72DD6"/>
    <w:rsid w:val="00B751E6"/>
    <w:rsid w:val="00B815F6"/>
    <w:rsid w:val="00B83C9F"/>
    <w:rsid w:val="00B861AA"/>
    <w:rsid w:val="00BA41FD"/>
    <w:rsid w:val="00BB736C"/>
    <w:rsid w:val="00BC1582"/>
    <w:rsid w:val="00BC3436"/>
    <w:rsid w:val="00BC3A91"/>
    <w:rsid w:val="00BE3083"/>
    <w:rsid w:val="00BF230D"/>
    <w:rsid w:val="00C0367C"/>
    <w:rsid w:val="00C06196"/>
    <w:rsid w:val="00C27C5A"/>
    <w:rsid w:val="00C35619"/>
    <w:rsid w:val="00C45235"/>
    <w:rsid w:val="00C46FE4"/>
    <w:rsid w:val="00C556FD"/>
    <w:rsid w:val="00C63B4F"/>
    <w:rsid w:val="00C67A3F"/>
    <w:rsid w:val="00C741CD"/>
    <w:rsid w:val="00C8586C"/>
    <w:rsid w:val="00C85A27"/>
    <w:rsid w:val="00C9246B"/>
    <w:rsid w:val="00C955EF"/>
    <w:rsid w:val="00C96CA3"/>
    <w:rsid w:val="00CA475F"/>
    <w:rsid w:val="00CB34BB"/>
    <w:rsid w:val="00CB44A4"/>
    <w:rsid w:val="00CB5ED0"/>
    <w:rsid w:val="00CB6214"/>
    <w:rsid w:val="00CC0DDD"/>
    <w:rsid w:val="00CC4AB7"/>
    <w:rsid w:val="00CC7BE4"/>
    <w:rsid w:val="00CD4CB7"/>
    <w:rsid w:val="00CD6B6E"/>
    <w:rsid w:val="00CD729E"/>
    <w:rsid w:val="00CE2D99"/>
    <w:rsid w:val="00CE789D"/>
    <w:rsid w:val="00CF1B84"/>
    <w:rsid w:val="00CF34ED"/>
    <w:rsid w:val="00CF55FA"/>
    <w:rsid w:val="00CF6D7C"/>
    <w:rsid w:val="00D128D0"/>
    <w:rsid w:val="00D16C1B"/>
    <w:rsid w:val="00D33437"/>
    <w:rsid w:val="00D33D57"/>
    <w:rsid w:val="00D373EB"/>
    <w:rsid w:val="00D405DB"/>
    <w:rsid w:val="00D405E5"/>
    <w:rsid w:val="00D5072E"/>
    <w:rsid w:val="00D517E5"/>
    <w:rsid w:val="00D51C49"/>
    <w:rsid w:val="00D52F23"/>
    <w:rsid w:val="00D633C7"/>
    <w:rsid w:val="00D7061C"/>
    <w:rsid w:val="00D90025"/>
    <w:rsid w:val="00D921D6"/>
    <w:rsid w:val="00D947C4"/>
    <w:rsid w:val="00DA36D9"/>
    <w:rsid w:val="00DA6593"/>
    <w:rsid w:val="00DB5129"/>
    <w:rsid w:val="00DB6408"/>
    <w:rsid w:val="00DD0D3C"/>
    <w:rsid w:val="00DD2001"/>
    <w:rsid w:val="00DD5705"/>
    <w:rsid w:val="00DE01F1"/>
    <w:rsid w:val="00DE649E"/>
    <w:rsid w:val="00DF6133"/>
    <w:rsid w:val="00DF6ABC"/>
    <w:rsid w:val="00E025BC"/>
    <w:rsid w:val="00E05AFD"/>
    <w:rsid w:val="00E335BB"/>
    <w:rsid w:val="00E409F1"/>
    <w:rsid w:val="00E432A8"/>
    <w:rsid w:val="00E4776E"/>
    <w:rsid w:val="00E5543F"/>
    <w:rsid w:val="00E5653B"/>
    <w:rsid w:val="00E60D78"/>
    <w:rsid w:val="00E61FCF"/>
    <w:rsid w:val="00E65C52"/>
    <w:rsid w:val="00E671C8"/>
    <w:rsid w:val="00E76E62"/>
    <w:rsid w:val="00E826D0"/>
    <w:rsid w:val="00E83069"/>
    <w:rsid w:val="00E84043"/>
    <w:rsid w:val="00E92832"/>
    <w:rsid w:val="00EA079E"/>
    <w:rsid w:val="00EA349C"/>
    <w:rsid w:val="00EA3D54"/>
    <w:rsid w:val="00EA4470"/>
    <w:rsid w:val="00EA4913"/>
    <w:rsid w:val="00EB53B1"/>
    <w:rsid w:val="00EB7168"/>
    <w:rsid w:val="00EC3952"/>
    <w:rsid w:val="00EC5A07"/>
    <w:rsid w:val="00ED1F0D"/>
    <w:rsid w:val="00ED446B"/>
    <w:rsid w:val="00ED68CB"/>
    <w:rsid w:val="00ED7FFE"/>
    <w:rsid w:val="00EE198B"/>
    <w:rsid w:val="00EE46EC"/>
    <w:rsid w:val="00EE6992"/>
    <w:rsid w:val="00EF2A8D"/>
    <w:rsid w:val="00EF3107"/>
    <w:rsid w:val="00F0653A"/>
    <w:rsid w:val="00F16733"/>
    <w:rsid w:val="00F16DAD"/>
    <w:rsid w:val="00F26A0E"/>
    <w:rsid w:val="00F31140"/>
    <w:rsid w:val="00F3158F"/>
    <w:rsid w:val="00F332A8"/>
    <w:rsid w:val="00F34920"/>
    <w:rsid w:val="00F34C58"/>
    <w:rsid w:val="00F357ED"/>
    <w:rsid w:val="00F36745"/>
    <w:rsid w:val="00F472B8"/>
    <w:rsid w:val="00F5360A"/>
    <w:rsid w:val="00F60EBC"/>
    <w:rsid w:val="00F620E9"/>
    <w:rsid w:val="00F62FF8"/>
    <w:rsid w:val="00F648BC"/>
    <w:rsid w:val="00F6619E"/>
    <w:rsid w:val="00F70C72"/>
    <w:rsid w:val="00F85AB9"/>
    <w:rsid w:val="00FA2606"/>
    <w:rsid w:val="00FA4E5D"/>
    <w:rsid w:val="00FA61B1"/>
    <w:rsid w:val="00FB73D6"/>
    <w:rsid w:val="00FC0C3F"/>
    <w:rsid w:val="00FC38E8"/>
    <w:rsid w:val="00FC4023"/>
    <w:rsid w:val="00FC77EE"/>
    <w:rsid w:val="00FD0A8F"/>
    <w:rsid w:val="00FD62CF"/>
    <w:rsid w:val="00FE2112"/>
    <w:rsid w:val="00FE2679"/>
    <w:rsid w:val="00FF1B3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3AE91A"/>
  <w15:docId w15:val="{8B414840-7586-4FAF-9833-43FB7FE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73"/>
    <w:pPr>
      <w:spacing w:after="0" w:line="240" w:lineRule="auto"/>
    </w:pPr>
    <w:rPr>
      <w:rFonts w:ascii="Calibri" w:eastAsia="Calibri" w:hAnsi="Calibri" w:cs="Times New Roman"/>
      <w:lang w:val="es-ES_tradnl"/>
    </w:rPr>
  </w:style>
  <w:style w:type="paragraph" w:styleId="Ttulo1">
    <w:name w:val="heading 1"/>
    <w:basedOn w:val="Normal"/>
    <w:next w:val="Normal"/>
    <w:link w:val="Ttulo1Car"/>
    <w:uiPriority w:val="9"/>
    <w:qFormat/>
    <w:rsid w:val="008503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0373"/>
    <w:rPr>
      <w:rFonts w:asciiTheme="majorHAnsi" w:eastAsiaTheme="majorEastAsia" w:hAnsiTheme="majorHAnsi" w:cstheme="majorBidi"/>
      <w:color w:val="2F5496" w:themeColor="accent1" w:themeShade="BF"/>
      <w:sz w:val="32"/>
      <w:szCs w:val="32"/>
      <w:lang w:val="es-ES_tradnl"/>
    </w:rPr>
  </w:style>
  <w:style w:type="paragraph" w:styleId="Encabezado">
    <w:name w:val="header"/>
    <w:basedOn w:val="Normal"/>
    <w:link w:val="EncabezadoCar"/>
    <w:uiPriority w:val="99"/>
    <w:unhideWhenUsed/>
    <w:rsid w:val="00850373"/>
    <w:pPr>
      <w:tabs>
        <w:tab w:val="center" w:pos="4252"/>
        <w:tab w:val="right" w:pos="8504"/>
      </w:tabs>
    </w:pPr>
  </w:style>
  <w:style w:type="character" w:customStyle="1" w:styleId="EncabezadoCar">
    <w:name w:val="Encabezado Car"/>
    <w:basedOn w:val="Fuentedeprrafopredeter"/>
    <w:link w:val="Encabezado"/>
    <w:uiPriority w:val="99"/>
    <w:rsid w:val="00850373"/>
    <w:rPr>
      <w:rFonts w:ascii="Calibri" w:eastAsia="Calibri" w:hAnsi="Calibri" w:cs="Times New Roman"/>
      <w:lang w:val="es-ES_tradnl"/>
    </w:rPr>
  </w:style>
  <w:style w:type="paragraph" w:styleId="Piedepgina">
    <w:name w:val="footer"/>
    <w:basedOn w:val="Normal"/>
    <w:link w:val="PiedepginaCar"/>
    <w:uiPriority w:val="99"/>
    <w:unhideWhenUsed/>
    <w:rsid w:val="00850373"/>
    <w:pPr>
      <w:tabs>
        <w:tab w:val="center" w:pos="4252"/>
        <w:tab w:val="right" w:pos="8504"/>
      </w:tabs>
    </w:pPr>
  </w:style>
  <w:style w:type="character" w:customStyle="1" w:styleId="PiedepginaCar">
    <w:name w:val="Pie de página Car"/>
    <w:basedOn w:val="Fuentedeprrafopredeter"/>
    <w:link w:val="Piedepgina"/>
    <w:uiPriority w:val="99"/>
    <w:rsid w:val="00850373"/>
    <w:rPr>
      <w:rFonts w:ascii="Calibri" w:eastAsia="Calibri" w:hAnsi="Calibri" w:cs="Times New Roman"/>
      <w:lang w:val="es-ES_tradnl"/>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uiPriority w:val="99"/>
    <w:qFormat/>
    <w:locked/>
    <w:rsid w:val="00850373"/>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850373"/>
    <w:rPr>
      <w:rFonts w:asciiTheme="minorHAnsi" w:eastAsiaTheme="minorHAnsi" w:hAnsiTheme="minorHAnsi" w:cstheme="minorBidi"/>
      <w:lang w:val="es-CO"/>
    </w:rPr>
  </w:style>
  <w:style w:type="character" w:customStyle="1" w:styleId="TextonotapieCar">
    <w:name w:val="Texto nota pie Car"/>
    <w:basedOn w:val="Fuentedeprrafopredeter"/>
    <w:uiPriority w:val="99"/>
    <w:semiHidden/>
    <w:rsid w:val="00850373"/>
    <w:rPr>
      <w:rFonts w:ascii="Calibri" w:eastAsia="Calibri" w:hAnsi="Calibri" w:cs="Times New Roman"/>
      <w:sz w:val="20"/>
      <w:szCs w:val="20"/>
      <w:lang w:val="es-ES_tradnl"/>
    </w:rPr>
  </w:style>
  <w:style w:type="paragraph" w:styleId="Prrafodelista">
    <w:name w:val="List Paragraph"/>
    <w:aliases w:val="Párrafo,Numbered Paragraph,Bullets,titulo 3,BOLADEF,BOLA,Párrafo de lista21,Guión,Titulo 8,HOJA,Chulito,Párrafo de lista3,MIBEX B,TITULO1REQ,Párrafo de lista31,ViÃ±eta 2,Párrafo de lista5,TITULO 1"/>
    <w:basedOn w:val="Normal"/>
    <w:link w:val="PrrafodelistaCar"/>
    <w:uiPriority w:val="34"/>
    <w:qFormat/>
    <w:rsid w:val="00850373"/>
    <w:pPr>
      <w:ind w:left="708"/>
    </w:pPr>
    <w:rPr>
      <w:rFonts w:ascii="Times New Roman" w:eastAsia="Times New Roman" w:hAnsi="Times New Roman"/>
      <w:sz w:val="24"/>
      <w:szCs w:val="24"/>
      <w:lang w:val="es-ES" w:eastAsia="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Piedepagina"/>
    <w:uiPriority w:val="99"/>
    <w:unhideWhenUsed/>
    <w:qFormat/>
    <w:rsid w:val="00850373"/>
    <w:rPr>
      <w:vertAlign w:val="superscript"/>
    </w:rPr>
  </w:style>
  <w:style w:type="paragraph" w:customStyle="1" w:styleId="Piedepagina">
    <w:name w:val="Pie de pagina"/>
    <w:basedOn w:val="Normal"/>
    <w:link w:val="Refdenotaalpie"/>
    <w:uiPriority w:val="99"/>
    <w:rsid w:val="00850373"/>
    <w:pPr>
      <w:spacing w:after="160" w:line="240" w:lineRule="exact"/>
    </w:pPr>
    <w:rPr>
      <w:rFonts w:asciiTheme="minorHAnsi" w:eastAsiaTheme="minorHAnsi" w:hAnsiTheme="minorHAnsi" w:cstheme="minorBidi"/>
      <w:vertAlign w:val="superscript"/>
      <w:lang w:val="es-CO"/>
    </w:rPr>
  </w:style>
  <w:style w:type="character" w:customStyle="1" w:styleId="PrrafodelistaCar">
    <w:name w:val="Párrafo de lista Car"/>
    <w:aliases w:val="Párrafo Car,Numbered Paragraph Car,Bullets Car,titulo 3 Car,BOLADEF Car,BOLA Car,Párrafo de lista21 Car,Guión Car,Titulo 8 Car,HOJA Car,Chulito Car,Párrafo de lista3 Car,MIBEX B Car,TITULO1REQ Car,Párrafo de lista31 Car,TITULO 1 Car"/>
    <w:link w:val="Prrafodelista"/>
    <w:uiPriority w:val="34"/>
    <w:qFormat/>
    <w:locked/>
    <w:rsid w:val="00850373"/>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unhideWhenUsed/>
    <w:qFormat/>
    <w:rsid w:val="00850373"/>
    <w:pPr>
      <w:spacing w:after="120" w:line="259" w:lineRule="auto"/>
    </w:pPr>
  </w:style>
  <w:style w:type="character" w:customStyle="1" w:styleId="TextoindependienteCar">
    <w:name w:val="Texto independiente Car"/>
    <w:basedOn w:val="Fuentedeprrafopredeter"/>
    <w:link w:val="Textoindependiente"/>
    <w:uiPriority w:val="1"/>
    <w:rsid w:val="00850373"/>
    <w:rPr>
      <w:rFonts w:ascii="Calibri" w:eastAsia="Calibri" w:hAnsi="Calibri" w:cs="Times New Roman"/>
      <w:lang w:val="es-ES_tradnl"/>
    </w:rPr>
  </w:style>
  <w:style w:type="paragraph" w:styleId="NormalWeb">
    <w:name w:val="Normal (Web)"/>
    <w:basedOn w:val="Normal"/>
    <w:uiPriority w:val="99"/>
    <w:unhideWhenUsed/>
    <w:rsid w:val="00844B5C"/>
    <w:pPr>
      <w:spacing w:before="100" w:beforeAutospacing="1" w:after="100" w:afterAutospacing="1"/>
    </w:pPr>
    <w:rPr>
      <w:rFonts w:ascii="Times New Roman" w:eastAsia="Times New Roman" w:hAnsi="Times New Roman"/>
      <w:sz w:val="24"/>
      <w:szCs w:val="24"/>
      <w:lang w:val="es-CO" w:eastAsia="es-CO"/>
    </w:rPr>
  </w:style>
  <w:style w:type="paragraph" w:customStyle="1" w:styleId="xmsonormal">
    <w:name w:val="x_msonormal"/>
    <w:basedOn w:val="Normal"/>
    <w:rsid w:val="00ED1F0D"/>
    <w:pPr>
      <w:spacing w:before="100" w:beforeAutospacing="1" w:after="100" w:afterAutospacing="1"/>
    </w:pPr>
    <w:rPr>
      <w:rFonts w:ascii="Times New Roman" w:eastAsia="Times New Roman" w:hAnsi="Times New Roman"/>
      <w:sz w:val="24"/>
      <w:szCs w:val="24"/>
      <w:lang w:val="es-CO" w:eastAsia="es-CO"/>
    </w:rPr>
  </w:style>
  <w:style w:type="character" w:styleId="Hipervnculo">
    <w:name w:val="Hyperlink"/>
    <w:basedOn w:val="Fuentedeprrafopredeter"/>
    <w:uiPriority w:val="99"/>
    <w:semiHidden/>
    <w:unhideWhenUsed/>
    <w:rsid w:val="00CF55FA"/>
    <w:rPr>
      <w:color w:val="0000FF"/>
      <w:u w:val="single"/>
    </w:rPr>
  </w:style>
  <w:style w:type="character" w:styleId="Refdecomentario">
    <w:name w:val="annotation reference"/>
    <w:basedOn w:val="Fuentedeprrafopredeter"/>
    <w:uiPriority w:val="99"/>
    <w:semiHidden/>
    <w:unhideWhenUsed/>
    <w:rsid w:val="00052D55"/>
    <w:rPr>
      <w:sz w:val="16"/>
      <w:szCs w:val="16"/>
    </w:rPr>
  </w:style>
  <w:style w:type="paragraph" w:styleId="Textocomentario">
    <w:name w:val="annotation text"/>
    <w:basedOn w:val="Normal"/>
    <w:link w:val="TextocomentarioCar"/>
    <w:uiPriority w:val="99"/>
    <w:semiHidden/>
    <w:unhideWhenUsed/>
    <w:rsid w:val="00052D55"/>
    <w:rPr>
      <w:sz w:val="20"/>
      <w:szCs w:val="20"/>
    </w:rPr>
  </w:style>
  <w:style w:type="character" w:customStyle="1" w:styleId="TextocomentarioCar">
    <w:name w:val="Texto comentario Car"/>
    <w:basedOn w:val="Fuentedeprrafopredeter"/>
    <w:link w:val="Textocomentario"/>
    <w:uiPriority w:val="99"/>
    <w:semiHidden/>
    <w:rsid w:val="00052D55"/>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52D55"/>
    <w:rPr>
      <w:b/>
      <w:bCs/>
    </w:rPr>
  </w:style>
  <w:style w:type="character" w:customStyle="1" w:styleId="AsuntodelcomentarioCar">
    <w:name w:val="Asunto del comentario Car"/>
    <w:basedOn w:val="TextocomentarioCar"/>
    <w:link w:val="Asuntodelcomentario"/>
    <w:uiPriority w:val="99"/>
    <w:semiHidden/>
    <w:rsid w:val="00052D55"/>
    <w:rPr>
      <w:rFonts w:ascii="Calibri" w:eastAsia="Calibri" w:hAnsi="Calibri" w:cs="Times New Roman"/>
      <w:b/>
      <w:bCs/>
      <w:sz w:val="20"/>
      <w:szCs w:val="20"/>
      <w:lang w:val="es-ES_tradnl"/>
    </w:rPr>
  </w:style>
  <w:style w:type="paragraph" w:styleId="Revisin">
    <w:name w:val="Revision"/>
    <w:hidden/>
    <w:uiPriority w:val="99"/>
    <w:semiHidden/>
    <w:rsid w:val="00A139DF"/>
    <w:pPr>
      <w:spacing w:after="0" w:line="240" w:lineRule="auto"/>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4880">
      <w:bodyDiv w:val="1"/>
      <w:marLeft w:val="0"/>
      <w:marRight w:val="0"/>
      <w:marTop w:val="0"/>
      <w:marBottom w:val="0"/>
      <w:divBdr>
        <w:top w:val="none" w:sz="0" w:space="0" w:color="auto"/>
        <w:left w:val="none" w:sz="0" w:space="0" w:color="auto"/>
        <w:bottom w:val="none" w:sz="0" w:space="0" w:color="auto"/>
        <w:right w:val="none" w:sz="0" w:space="0" w:color="auto"/>
      </w:divBdr>
    </w:div>
    <w:div w:id="6786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51AD-71BB-684F-A9FA-C271D434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3293</Words>
  <Characters>18116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kerly stephanie contreras prado</dc:creator>
  <cp:keywords/>
  <dc:description/>
  <cp:lastModifiedBy>kerly stephanie contreras prado</cp:lastModifiedBy>
  <cp:revision>4</cp:revision>
  <dcterms:created xsi:type="dcterms:W3CDTF">2021-06-10T23:00:00Z</dcterms:created>
  <dcterms:modified xsi:type="dcterms:W3CDTF">2021-06-15T20:56:00Z</dcterms:modified>
</cp:coreProperties>
</file>