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FD6C" w14:textId="77777777" w:rsidR="00AA33C8" w:rsidRPr="00ED3201" w:rsidRDefault="00AA33C8" w:rsidP="00AA33C8">
      <w:pPr>
        <w:jc w:val="center"/>
        <w:rPr>
          <w:rFonts w:cs="Arial"/>
          <w:b/>
          <w:sz w:val="24"/>
          <w:szCs w:val="24"/>
        </w:rPr>
      </w:pPr>
      <w:r w:rsidRPr="00ED3201">
        <w:rPr>
          <w:rFonts w:cs="Arial"/>
          <w:b/>
          <w:sz w:val="24"/>
          <w:szCs w:val="24"/>
        </w:rPr>
        <w:t>Consejero Ponente: NICOLÁS YEPES CORRALES</w:t>
      </w:r>
    </w:p>
    <w:p w14:paraId="5311E8A2" w14:textId="77777777" w:rsidR="00AA33C8" w:rsidRPr="00ED3201" w:rsidRDefault="00AA33C8" w:rsidP="00AA33C8">
      <w:pPr>
        <w:spacing w:line="360" w:lineRule="auto"/>
        <w:rPr>
          <w:rFonts w:cs="Arial"/>
          <w:sz w:val="24"/>
          <w:szCs w:val="24"/>
        </w:rPr>
      </w:pPr>
    </w:p>
    <w:p w14:paraId="711664DE" w14:textId="510A90F2" w:rsidR="00AA33C8" w:rsidRPr="00ED3201" w:rsidRDefault="00ED3201" w:rsidP="00AA33C8">
      <w:pPr>
        <w:spacing w:line="360" w:lineRule="auto"/>
        <w:rPr>
          <w:rFonts w:cs="Arial"/>
          <w:sz w:val="24"/>
          <w:szCs w:val="24"/>
        </w:rPr>
      </w:pPr>
      <w:r w:rsidRPr="00ED3201">
        <w:rPr>
          <w:rFonts w:cs="Arial"/>
          <w:sz w:val="24"/>
          <w:szCs w:val="24"/>
        </w:rPr>
        <w:t>Bogotá D.C</w:t>
      </w:r>
      <w:r w:rsidR="001E6BFE">
        <w:rPr>
          <w:rFonts w:cs="Arial"/>
          <w:sz w:val="24"/>
          <w:szCs w:val="24"/>
        </w:rPr>
        <w:t>.</w:t>
      </w:r>
      <w:r w:rsidRPr="00ED3201">
        <w:rPr>
          <w:rFonts w:cs="Arial"/>
          <w:sz w:val="24"/>
          <w:szCs w:val="24"/>
        </w:rPr>
        <w:t xml:space="preserve">, </w:t>
      </w:r>
      <w:r w:rsidR="001E6BFE">
        <w:rPr>
          <w:rFonts w:cs="Arial"/>
          <w:sz w:val="24"/>
          <w:szCs w:val="24"/>
        </w:rPr>
        <w:t>ocho</w:t>
      </w:r>
      <w:r w:rsidRPr="00ED3201">
        <w:rPr>
          <w:rFonts w:cs="Arial"/>
          <w:sz w:val="24"/>
          <w:szCs w:val="24"/>
        </w:rPr>
        <w:t xml:space="preserve"> (</w:t>
      </w:r>
      <w:r w:rsidR="001E6BFE">
        <w:rPr>
          <w:rFonts w:cs="Arial"/>
          <w:sz w:val="24"/>
          <w:szCs w:val="24"/>
        </w:rPr>
        <w:t>08</w:t>
      </w:r>
      <w:r w:rsidR="00AA33C8" w:rsidRPr="00ED3201">
        <w:rPr>
          <w:rFonts w:cs="Arial"/>
          <w:sz w:val="24"/>
          <w:szCs w:val="24"/>
        </w:rPr>
        <w:t xml:space="preserve">) de </w:t>
      </w:r>
      <w:r w:rsidR="001E6BFE">
        <w:rPr>
          <w:rFonts w:cs="Arial"/>
          <w:sz w:val="24"/>
          <w:szCs w:val="24"/>
        </w:rPr>
        <w:t>octub</w:t>
      </w:r>
      <w:r w:rsidR="00AA33C8" w:rsidRPr="00ED3201">
        <w:rPr>
          <w:rFonts w:cs="Arial"/>
          <w:sz w:val="24"/>
          <w:szCs w:val="24"/>
        </w:rPr>
        <w:t>re de dos mil veintiuno (2021)</w:t>
      </w:r>
    </w:p>
    <w:p w14:paraId="03288693" w14:textId="77777777" w:rsidR="00AA33C8" w:rsidRPr="00ED3201" w:rsidRDefault="00AA33C8" w:rsidP="00AA33C8">
      <w:pPr>
        <w:rPr>
          <w:rFonts w:cs="Arial"/>
          <w:sz w:val="24"/>
          <w:szCs w:val="24"/>
        </w:rPr>
      </w:pPr>
    </w:p>
    <w:p w14:paraId="44BF547F" w14:textId="77777777" w:rsidR="00ED3201" w:rsidRPr="00ED3201" w:rsidRDefault="00ED3201">
      <w:pPr>
        <w:rPr>
          <w:rFonts w:cs="Arial"/>
          <w:sz w:val="24"/>
          <w:szCs w:val="24"/>
        </w:rPr>
      </w:pPr>
      <w:r w:rsidRPr="00ED3201">
        <w:rPr>
          <w:rFonts w:cs="Arial"/>
          <w:b/>
          <w:sz w:val="24"/>
          <w:szCs w:val="24"/>
        </w:rPr>
        <w:t>Radicación:</w:t>
      </w:r>
      <w:r w:rsidRPr="00ED3201">
        <w:rPr>
          <w:rFonts w:cs="Arial"/>
          <w:sz w:val="24"/>
          <w:szCs w:val="24"/>
        </w:rPr>
        <w:t xml:space="preserve"> 11001-03-15-000-2021-05705-00 </w:t>
      </w:r>
    </w:p>
    <w:p w14:paraId="7B197496" w14:textId="77777777" w:rsidR="00ED3201" w:rsidRPr="00ED3201" w:rsidRDefault="00ED3201">
      <w:pPr>
        <w:rPr>
          <w:rFonts w:cs="Arial"/>
          <w:sz w:val="24"/>
          <w:szCs w:val="24"/>
        </w:rPr>
      </w:pPr>
      <w:r w:rsidRPr="00ED3201">
        <w:rPr>
          <w:rFonts w:cs="Arial"/>
          <w:b/>
          <w:sz w:val="24"/>
          <w:szCs w:val="24"/>
        </w:rPr>
        <w:t>Accionantes:</w:t>
      </w:r>
      <w:r w:rsidRPr="00ED3201">
        <w:rPr>
          <w:rFonts w:cs="Arial"/>
          <w:sz w:val="24"/>
          <w:szCs w:val="24"/>
        </w:rPr>
        <w:t xml:space="preserve"> Jorge Eduardo González Palomo y otros </w:t>
      </w:r>
    </w:p>
    <w:p w14:paraId="1A9A9747" w14:textId="77777777" w:rsidR="00ED3201" w:rsidRPr="00ED3201" w:rsidRDefault="00ED3201">
      <w:pPr>
        <w:rPr>
          <w:rFonts w:cs="Arial"/>
          <w:sz w:val="24"/>
          <w:szCs w:val="24"/>
        </w:rPr>
      </w:pPr>
      <w:r w:rsidRPr="00ED3201">
        <w:rPr>
          <w:rFonts w:cs="Arial"/>
          <w:b/>
          <w:sz w:val="24"/>
          <w:szCs w:val="24"/>
        </w:rPr>
        <w:t>Accionados:</w:t>
      </w:r>
      <w:r w:rsidRPr="00ED3201">
        <w:rPr>
          <w:rFonts w:cs="Arial"/>
          <w:sz w:val="24"/>
          <w:szCs w:val="24"/>
        </w:rPr>
        <w:t xml:space="preserve"> Juzgado Segundo Administrativo de Florencia y Tribunal Administrativo del Caquetá </w:t>
      </w:r>
    </w:p>
    <w:p w14:paraId="37AA5124" w14:textId="77777777" w:rsidR="00ED3201" w:rsidRPr="00ED3201" w:rsidRDefault="00ED3201" w:rsidP="00ED3201">
      <w:pPr>
        <w:pStyle w:val="Sinespaciado1"/>
        <w:spacing w:line="276" w:lineRule="auto"/>
        <w:jc w:val="both"/>
        <w:rPr>
          <w:rFonts w:ascii="Arial" w:hAnsi="Arial" w:cs="Arial"/>
        </w:rPr>
      </w:pPr>
      <w:r w:rsidRPr="00ED3201">
        <w:rPr>
          <w:rFonts w:ascii="Arial" w:hAnsi="Arial" w:cs="Arial"/>
          <w:b/>
        </w:rPr>
        <w:t>Asunto:</w:t>
      </w:r>
      <w:r w:rsidRPr="00ED3201">
        <w:rPr>
          <w:rFonts w:ascii="Arial" w:hAnsi="Arial" w:cs="Arial"/>
        </w:rPr>
        <w:t xml:space="preserve"> Acción de tutela – Primera instancia</w:t>
      </w:r>
    </w:p>
    <w:p w14:paraId="1BF79D75" w14:textId="77777777" w:rsidR="00ED3201" w:rsidRPr="00ED3201" w:rsidRDefault="00ED3201" w:rsidP="00ED3201">
      <w:pPr>
        <w:pStyle w:val="Sinespaciado"/>
        <w:spacing w:line="360" w:lineRule="auto"/>
        <w:ind w:right="50"/>
        <w:rPr>
          <w:rFonts w:ascii="Arial" w:hAnsi="Arial" w:cs="Arial"/>
          <w:b/>
          <w:sz w:val="24"/>
          <w:szCs w:val="24"/>
        </w:rPr>
      </w:pPr>
    </w:p>
    <w:p w14:paraId="05606102" w14:textId="0A9C6589" w:rsidR="00ED3201" w:rsidRPr="00182DBA" w:rsidRDefault="00ED3201" w:rsidP="00ED3201">
      <w:pPr>
        <w:pStyle w:val="Sinespaciado"/>
        <w:ind w:right="50"/>
        <w:jc w:val="both"/>
        <w:rPr>
          <w:rFonts w:ascii="Arial" w:hAnsi="Arial" w:cs="Arial"/>
          <w:color w:val="000000"/>
        </w:rPr>
      </w:pPr>
      <w:r w:rsidRPr="00182DBA">
        <w:rPr>
          <w:rFonts w:ascii="Arial" w:hAnsi="Arial" w:cs="Arial"/>
          <w:b/>
        </w:rPr>
        <w:t xml:space="preserve">Tema: </w:t>
      </w:r>
      <w:r w:rsidRPr="00182DBA">
        <w:rPr>
          <w:rFonts w:ascii="Arial" w:hAnsi="Arial" w:cs="Arial"/>
        </w:rPr>
        <w:t xml:space="preserve">Acción de tutela en contra de providencia judicial. </w:t>
      </w:r>
      <w:r w:rsidRPr="00182DBA">
        <w:rPr>
          <w:rFonts w:ascii="Arial" w:hAnsi="Arial" w:cs="Arial"/>
          <w:b/>
        </w:rPr>
        <w:t xml:space="preserve">Subtema: </w:t>
      </w:r>
      <w:r w:rsidRPr="00182DBA">
        <w:rPr>
          <w:rFonts w:ascii="Arial" w:hAnsi="Arial" w:cs="Arial"/>
        </w:rPr>
        <w:t>Requisitos generales de procedibilidad de la acción de tutela – relevancia constitucional</w:t>
      </w:r>
      <w:r w:rsidR="00182DBA" w:rsidRPr="00182DBA">
        <w:rPr>
          <w:rFonts w:ascii="Arial" w:hAnsi="Arial" w:cs="Arial"/>
        </w:rPr>
        <w:t xml:space="preserve"> – </w:t>
      </w:r>
      <w:r w:rsidR="00182DBA" w:rsidRPr="00182DBA">
        <w:rPr>
          <w:rFonts w:ascii="Arial" w:eastAsia="Dotum" w:hAnsi="Arial" w:cs="Arial"/>
          <w:color w:val="000000"/>
        </w:rPr>
        <w:t>exposición suficiente de los hechos y argumentos que generan la vulneración</w:t>
      </w:r>
      <w:r w:rsidRPr="00182DBA">
        <w:rPr>
          <w:rFonts w:ascii="Arial" w:hAnsi="Arial" w:cs="Arial"/>
        </w:rPr>
        <w:t>.</w:t>
      </w:r>
      <w:r w:rsidRPr="00182DBA">
        <w:rPr>
          <w:rFonts w:ascii="Arial" w:hAnsi="Arial" w:cs="Arial"/>
          <w:bCs/>
        </w:rPr>
        <w:t xml:space="preserve"> </w:t>
      </w:r>
      <w:r w:rsidRPr="00182DBA">
        <w:rPr>
          <w:rFonts w:ascii="Arial" w:hAnsi="Arial" w:cs="Arial"/>
          <w:b/>
        </w:rPr>
        <w:t>Decisión:</w:t>
      </w:r>
      <w:r w:rsidRPr="00182DBA">
        <w:rPr>
          <w:rFonts w:ascii="Arial" w:hAnsi="Arial" w:cs="Arial"/>
          <w:b/>
          <w:bCs/>
          <w:color w:val="000000"/>
        </w:rPr>
        <w:t xml:space="preserve"> </w:t>
      </w:r>
      <w:r w:rsidRPr="00182DBA">
        <w:rPr>
          <w:rFonts w:ascii="Arial" w:hAnsi="Arial" w:cs="Arial"/>
          <w:color w:val="000000"/>
        </w:rPr>
        <w:t>Se declara improcedente la solicitud de amparo.</w:t>
      </w:r>
    </w:p>
    <w:p w14:paraId="5D76327C" w14:textId="77777777" w:rsidR="001A40E4" w:rsidRPr="00ED3201" w:rsidRDefault="001A40E4" w:rsidP="00ED3201">
      <w:pPr>
        <w:spacing w:line="360" w:lineRule="auto"/>
        <w:rPr>
          <w:rFonts w:cs="Arial"/>
          <w:sz w:val="24"/>
          <w:szCs w:val="24"/>
        </w:rPr>
      </w:pPr>
    </w:p>
    <w:p w14:paraId="1A7BB80F" w14:textId="77777777" w:rsidR="00ED3201" w:rsidRPr="004D1B87" w:rsidRDefault="00ED3201" w:rsidP="00934BF5">
      <w:pPr>
        <w:spacing w:line="360" w:lineRule="auto"/>
        <w:rPr>
          <w:rFonts w:cs="Arial"/>
          <w:sz w:val="24"/>
          <w:szCs w:val="24"/>
        </w:rPr>
      </w:pPr>
      <w:r w:rsidRPr="004D1B87">
        <w:rPr>
          <w:rFonts w:cs="Arial"/>
          <w:sz w:val="24"/>
          <w:szCs w:val="24"/>
        </w:rPr>
        <w:t xml:space="preserve">La Sala decide la acción de tutela ejercida por los señores </w:t>
      </w:r>
      <w:r w:rsidRPr="004D1B87">
        <w:rPr>
          <w:sz w:val="24"/>
          <w:szCs w:val="24"/>
        </w:rPr>
        <w:t xml:space="preserve">Jorge Eduardo González Palomo, Jesús Fabio González Palomo, María Nohelia Palomo de González, William Gilberto González Palomo, Efrén Darío González Palomo y Martha Patricia González Palomo en contra del </w:t>
      </w:r>
      <w:r w:rsidR="00934BF5" w:rsidRPr="004D1B87">
        <w:rPr>
          <w:rFonts w:cs="Arial"/>
          <w:sz w:val="24"/>
          <w:szCs w:val="24"/>
        </w:rPr>
        <w:t xml:space="preserve">Juzgado Segundo Administrativo de Florencia y del Tribunal Administrativo del Caquetá. </w:t>
      </w:r>
    </w:p>
    <w:p w14:paraId="1750D857" w14:textId="77777777" w:rsidR="005F3DF7" w:rsidRPr="004D1B87" w:rsidRDefault="005F3DF7" w:rsidP="00934BF5">
      <w:pPr>
        <w:spacing w:line="360" w:lineRule="auto"/>
        <w:rPr>
          <w:rFonts w:cs="Arial"/>
          <w:sz w:val="24"/>
          <w:szCs w:val="24"/>
        </w:rPr>
      </w:pPr>
    </w:p>
    <w:p w14:paraId="138840A0" w14:textId="77777777" w:rsidR="005F3DF7" w:rsidRPr="004D1B87" w:rsidRDefault="005F3DF7" w:rsidP="005F3DF7">
      <w:pPr>
        <w:pStyle w:val="Sinespaciado"/>
        <w:spacing w:line="360" w:lineRule="auto"/>
        <w:jc w:val="center"/>
        <w:rPr>
          <w:rFonts w:ascii="Arial" w:hAnsi="Arial" w:cs="Arial"/>
          <w:b/>
          <w:sz w:val="24"/>
          <w:szCs w:val="24"/>
        </w:rPr>
      </w:pPr>
      <w:r w:rsidRPr="004D1B87">
        <w:rPr>
          <w:rFonts w:ascii="Arial" w:hAnsi="Arial" w:cs="Arial"/>
          <w:b/>
          <w:sz w:val="24"/>
          <w:szCs w:val="24"/>
        </w:rPr>
        <w:t>I.- ANTECEDENTES</w:t>
      </w:r>
    </w:p>
    <w:p w14:paraId="6D23E462" w14:textId="77777777" w:rsidR="005F3DF7" w:rsidRPr="004D1B87" w:rsidRDefault="005F3DF7" w:rsidP="005F3DF7">
      <w:pPr>
        <w:pStyle w:val="Sinespaciado"/>
        <w:spacing w:line="360" w:lineRule="auto"/>
        <w:jc w:val="both"/>
        <w:rPr>
          <w:rFonts w:ascii="Arial" w:hAnsi="Arial" w:cs="Arial"/>
          <w:b/>
          <w:sz w:val="24"/>
          <w:szCs w:val="24"/>
        </w:rPr>
      </w:pPr>
    </w:p>
    <w:p w14:paraId="14FD6E87" w14:textId="77777777" w:rsidR="005F3DF7" w:rsidRDefault="005F3DF7" w:rsidP="005F3DF7">
      <w:pPr>
        <w:pStyle w:val="Sinespaciado"/>
        <w:spacing w:line="360" w:lineRule="auto"/>
        <w:jc w:val="both"/>
        <w:rPr>
          <w:rFonts w:ascii="Arial" w:hAnsi="Arial" w:cs="Arial"/>
          <w:b/>
          <w:sz w:val="24"/>
          <w:szCs w:val="24"/>
        </w:rPr>
      </w:pPr>
      <w:r w:rsidRPr="004D1B87">
        <w:rPr>
          <w:rFonts w:ascii="Arial" w:hAnsi="Arial" w:cs="Arial"/>
          <w:b/>
          <w:sz w:val="24"/>
          <w:szCs w:val="24"/>
        </w:rPr>
        <w:t xml:space="preserve">1.- La solicitud de amparo </w:t>
      </w:r>
    </w:p>
    <w:p w14:paraId="5985EC4F" w14:textId="77777777" w:rsidR="006A692E" w:rsidRDefault="006A692E" w:rsidP="005F3DF7">
      <w:pPr>
        <w:pStyle w:val="Sinespaciado"/>
        <w:spacing w:line="360" w:lineRule="auto"/>
        <w:jc w:val="both"/>
        <w:rPr>
          <w:rFonts w:ascii="Arial" w:hAnsi="Arial" w:cs="Arial"/>
          <w:b/>
          <w:sz w:val="24"/>
          <w:szCs w:val="24"/>
        </w:rPr>
      </w:pPr>
    </w:p>
    <w:p w14:paraId="5E812EED" w14:textId="1D677267" w:rsidR="003D4C03" w:rsidRDefault="006A692E" w:rsidP="005F3DF7">
      <w:pPr>
        <w:pStyle w:val="Sinespaciado"/>
        <w:spacing w:line="360" w:lineRule="auto"/>
        <w:jc w:val="both"/>
        <w:rPr>
          <w:rFonts w:ascii="Arial" w:hAnsi="Arial" w:cs="Arial"/>
          <w:sz w:val="24"/>
          <w:szCs w:val="24"/>
        </w:rPr>
      </w:pPr>
      <w:r>
        <w:rPr>
          <w:rFonts w:ascii="Arial" w:hAnsi="Arial" w:cs="Arial"/>
          <w:sz w:val="24"/>
          <w:szCs w:val="24"/>
        </w:rPr>
        <w:t>El 25 de agosto de 2021</w:t>
      </w:r>
      <w:r>
        <w:rPr>
          <w:rStyle w:val="Refdenotaalpie"/>
          <w:rFonts w:ascii="Arial" w:hAnsi="Arial" w:cs="Arial"/>
          <w:sz w:val="24"/>
          <w:szCs w:val="24"/>
        </w:rPr>
        <w:footnoteReference w:id="1"/>
      </w:r>
      <w:r>
        <w:rPr>
          <w:rFonts w:ascii="Arial" w:hAnsi="Arial" w:cs="Arial"/>
          <w:sz w:val="24"/>
          <w:szCs w:val="24"/>
        </w:rPr>
        <w:t xml:space="preserve"> el señor </w:t>
      </w:r>
      <w:r w:rsidRPr="00ED3201">
        <w:rPr>
          <w:rFonts w:ascii="Arial" w:hAnsi="Arial" w:cs="Arial"/>
          <w:sz w:val="24"/>
          <w:szCs w:val="24"/>
        </w:rPr>
        <w:t>Jorge Eduardo González Palomo</w:t>
      </w:r>
      <w:r>
        <w:rPr>
          <w:rFonts w:ascii="Arial" w:hAnsi="Arial" w:cs="Arial"/>
          <w:sz w:val="24"/>
          <w:szCs w:val="24"/>
        </w:rPr>
        <w:t xml:space="preserve"> y su grupo familiar, a través de apoderado judicial</w:t>
      </w:r>
      <w:r w:rsidR="00C16D79">
        <w:rPr>
          <w:rStyle w:val="Refdenotaalpie"/>
          <w:rFonts w:ascii="Arial" w:hAnsi="Arial" w:cs="Arial"/>
          <w:sz w:val="24"/>
          <w:szCs w:val="24"/>
        </w:rPr>
        <w:footnoteReference w:id="2"/>
      </w:r>
      <w:r>
        <w:rPr>
          <w:rFonts w:ascii="Arial" w:hAnsi="Arial" w:cs="Arial"/>
          <w:sz w:val="24"/>
          <w:szCs w:val="24"/>
        </w:rPr>
        <w:t>, interpusieron acción de tutela</w:t>
      </w:r>
      <w:r w:rsidR="00C16D79">
        <w:rPr>
          <w:rStyle w:val="Refdenotaalpie"/>
          <w:rFonts w:ascii="Arial" w:hAnsi="Arial" w:cs="Arial"/>
          <w:sz w:val="24"/>
          <w:szCs w:val="24"/>
        </w:rPr>
        <w:footnoteReference w:id="3"/>
      </w:r>
      <w:r>
        <w:rPr>
          <w:rFonts w:ascii="Arial" w:hAnsi="Arial" w:cs="Arial"/>
          <w:sz w:val="24"/>
          <w:szCs w:val="24"/>
        </w:rPr>
        <w:t xml:space="preserve"> en procura de la protección de sus derechos fundamentales </w:t>
      </w:r>
      <w:r w:rsidR="003D4C03">
        <w:rPr>
          <w:rFonts w:ascii="Arial" w:hAnsi="Arial" w:cs="Arial"/>
          <w:sz w:val="24"/>
          <w:szCs w:val="24"/>
        </w:rPr>
        <w:t xml:space="preserve">al debido proceso, a la igualdad y a la reparación integral. </w:t>
      </w:r>
    </w:p>
    <w:p w14:paraId="2208146C" w14:textId="77777777" w:rsidR="00C6078B" w:rsidRDefault="00C6078B" w:rsidP="005F3DF7">
      <w:pPr>
        <w:pStyle w:val="Sinespaciado"/>
        <w:spacing w:line="360" w:lineRule="auto"/>
        <w:jc w:val="both"/>
        <w:rPr>
          <w:rFonts w:ascii="Arial" w:hAnsi="Arial" w:cs="Arial"/>
          <w:sz w:val="24"/>
          <w:szCs w:val="24"/>
        </w:rPr>
      </w:pPr>
    </w:p>
    <w:p w14:paraId="1CF22F4A" w14:textId="0E8981CB" w:rsidR="003D4C03" w:rsidRPr="006A692E" w:rsidRDefault="003D4C03" w:rsidP="005F3DF7">
      <w:pPr>
        <w:pStyle w:val="Sinespaciado"/>
        <w:spacing w:line="360" w:lineRule="auto"/>
        <w:jc w:val="both"/>
        <w:rPr>
          <w:rFonts w:ascii="Arial" w:hAnsi="Arial" w:cs="Arial"/>
          <w:sz w:val="24"/>
          <w:szCs w:val="24"/>
        </w:rPr>
      </w:pPr>
      <w:r>
        <w:rPr>
          <w:rFonts w:ascii="Arial" w:hAnsi="Arial" w:cs="Arial"/>
          <w:sz w:val="24"/>
          <w:szCs w:val="24"/>
        </w:rPr>
        <w:t xml:space="preserve">Los peticionarios estiman vulneradas sus garantías con las sentencias del 28 de </w:t>
      </w:r>
      <w:r w:rsidRPr="003D4C03">
        <w:rPr>
          <w:rFonts w:ascii="Arial" w:hAnsi="Arial" w:cs="Arial"/>
          <w:sz w:val="24"/>
          <w:szCs w:val="24"/>
        </w:rPr>
        <w:t>septiembre de 2018 y del 23 de febrero de 2021, emitidas, en su orden, por el Juzgado Segundo Administrativo de Florencia y el Tribunal Administrativo del Caquetá</w:t>
      </w:r>
      <w:r w:rsidR="008743F9">
        <w:rPr>
          <w:rFonts w:ascii="Arial" w:hAnsi="Arial" w:cs="Arial"/>
          <w:sz w:val="24"/>
          <w:szCs w:val="24"/>
        </w:rPr>
        <w:t xml:space="preserve">, que negaron las pretensiones de la demanda de reparación directa promovida por ellos en </w:t>
      </w:r>
      <w:r w:rsidR="008743F9" w:rsidRPr="00010EDF">
        <w:rPr>
          <w:rFonts w:ascii="Arial" w:hAnsi="Arial" w:cs="Arial"/>
          <w:sz w:val="24"/>
          <w:szCs w:val="24"/>
        </w:rPr>
        <w:lastRenderedPageBreak/>
        <w:t xml:space="preserve">contra de la Nación – Ministerio de Defensa Nacional – Ejército </w:t>
      </w:r>
      <w:r w:rsidR="00010EDF" w:rsidRPr="00010EDF">
        <w:rPr>
          <w:rFonts w:ascii="Arial" w:hAnsi="Arial" w:cs="Arial"/>
          <w:sz w:val="24"/>
          <w:szCs w:val="24"/>
        </w:rPr>
        <w:t>Nacional, bajo el radicado No. 18001-33-33-002-2013-00489-00/01</w:t>
      </w:r>
      <w:r w:rsidR="00C6078B">
        <w:t>.</w:t>
      </w:r>
    </w:p>
    <w:p w14:paraId="120CF7A9" w14:textId="77777777" w:rsidR="005F3DF7" w:rsidRPr="004D1B87" w:rsidRDefault="005F3DF7" w:rsidP="005F3DF7">
      <w:pPr>
        <w:pStyle w:val="Sinespaciado"/>
        <w:spacing w:line="360" w:lineRule="auto"/>
        <w:jc w:val="both"/>
        <w:rPr>
          <w:rFonts w:ascii="Arial" w:hAnsi="Arial" w:cs="Arial"/>
          <w:sz w:val="24"/>
          <w:szCs w:val="24"/>
        </w:rPr>
      </w:pPr>
    </w:p>
    <w:p w14:paraId="1685D6B4" w14:textId="77777777" w:rsidR="005F3DF7" w:rsidRPr="004D1B87" w:rsidRDefault="005F3DF7" w:rsidP="00934BF5">
      <w:pPr>
        <w:spacing w:line="360" w:lineRule="auto"/>
        <w:rPr>
          <w:rFonts w:cs="Arial"/>
          <w:b/>
          <w:sz w:val="24"/>
          <w:szCs w:val="24"/>
        </w:rPr>
      </w:pPr>
      <w:r w:rsidRPr="004D1B87">
        <w:rPr>
          <w:rFonts w:cs="Arial"/>
          <w:b/>
          <w:sz w:val="24"/>
          <w:szCs w:val="24"/>
        </w:rPr>
        <w:t>1.1.- Hechos</w:t>
      </w:r>
    </w:p>
    <w:p w14:paraId="278A75BC" w14:textId="77777777" w:rsidR="005F3DF7" w:rsidRDefault="005F3DF7" w:rsidP="00934BF5">
      <w:pPr>
        <w:spacing w:line="360" w:lineRule="auto"/>
        <w:rPr>
          <w:rFonts w:cs="Arial"/>
          <w:b/>
          <w:sz w:val="24"/>
          <w:szCs w:val="24"/>
        </w:rPr>
      </w:pPr>
    </w:p>
    <w:p w14:paraId="05D36592" w14:textId="05D699EB" w:rsidR="00B16ABF" w:rsidRDefault="00B16ABF" w:rsidP="00934BF5">
      <w:pPr>
        <w:spacing w:line="360" w:lineRule="auto"/>
        <w:rPr>
          <w:rFonts w:cs="Arial"/>
          <w:sz w:val="24"/>
          <w:szCs w:val="24"/>
        </w:rPr>
      </w:pPr>
      <w:r>
        <w:rPr>
          <w:rFonts w:cs="Arial"/>
          <w:sz w:val="24"/>
          <w:szCs w:val="24"/>
        </w:rPr>
        <w:t>1.1.1.- El 17 de septiembre de 2011 el señor Daniel Alfredo González Palomo s</w:t>
      </w:r>
      <w:r w:rsidR="00CB0D46">
        <w:rPr>
          <w:rFonts w:cs="Arial"/>
          <w:sz w:val="24"/>
          <w:szCs w:val="24"/>
        </w:rPr>
        <w:t>e dirigía</w:t>
      </w:r>
      <w:r w:rsidR="00C6078B">
        <w:rPr>
          <w:rFonts w:cs="Arial"/>
          <w:sz w:val="24"/>
          <w:szCs w:val="24"/>
        </w:rPr>
        <w:t>,</w:t>
      </w:r>
      <w:r w:rsidR="006425CE">
        <w:rPr>
          <w:rFonts w:cs="Arial"/>
          <w:sz w:val="24"/>
          <w:szCs w:val="24"/>
        </w:rPr>
        <w:t xml:space="preserve"> en su vehículo particular</w:t>
      </w:r>
      <w:r w:rsidR="00C6078B">
        <w:rPr>
          <w:rFonts w:cs="Arial"/>
          <w:sz w:val="24"/>
          <w:szCs w:val="24"/>
        </w:rPr>
        <w:t>,</w:t>
      </w:r>
      <w:r w:rsidR="00CB0D46">
        <w:rPr>
          <w:rFonts w:cs="Arial"/>
          <w:sz w:val="24"/>
          <w:szCs w:val="24"/>
        </w:rPr>
        <w:t xml:space="preserve"> hacia la finca de su propiedad ubicada en la vereda el Desquite, en el municipio de Puerto Rico, Caquetá. </w:t>
      </w:r>
    </w:p>
    <w:p w14:paraId="19EC5554" w14:textId="77777777" w:rsidR="00CB0D46" w:rsidRDefault="00CB0D46" w:rsidP="00934BF5">
      <w:pPr>
        <w:spacing w:line="360" w:lineRule="auto"/>
        <w:rPr>
          <w:rFonts w:cs="Arial"/>
          <w:sz w:val="24"/>
          <w:szCs w:val="24"/>
        </w:rPr>
      </w:pPr>
    </w:p>
    <w:p w14:paraId="1A922F57" w14:textId="23100964" w:rsidR="00CB0D46" w:rsidRDefault="00CB0D46" w:rsidP="00934BF5">
      <w:pPr>
        <w:spacing w:line="360" w:lineRule="auto"/>
        <w:rPr>
          <w:rFonts w:cs="Arial"/>
          <w:sz w:val="24"/>
          <w:szCs w:val="24"/>
        </w:rPr>
      </w:pPr>
      <w:r>
        <w:rPr>
          <w:rFonts w:cs="Arial"/>
          <w:sz w:val="24"/>
          <w:szCs w:val="24"/>
        </w:rPr>
        <w:t xml:space="preserve">1.1.2.- Durante el trayecto entre el casco urbano del municipio de Puerto Rico y la vereda mencionada, a la altura del sector de </w:t>
      </w:r>
      <w:proofErr w:type="spellStart"/>
      <w:r>
        <w:rPr>
          <w:rFonts w:cs="Arial"/>
          <w:sz w:val="24"/>
          <w:szCs w:val="24"/>
        </w:rPr>
        <w:t>Riecito</w:t>
      </w:r>
      <w:proofErr w:type="spellEnd"/>
      <w:r>
        <w:rPr>
          <w:rFonts w:cs="Arial"/>
          <w:sz w:val="24"/>
          <w:szCs w:val="24"/>
        </w:rPr>
        <w:t xml:space="preserve">, González Palomo se encontró con una caravana de </w:t>
      </w:r>
      <w:r w:rsidRPr="00D30101">
        <w:rPr>
          <w:rFonts w:cs="Arial"/>
          <w:sz w:val="24"/>
          <w:szCs w:val="24"/>
        </w:rPr>
        <w:t>carrotanques</w:t>
      </w:r>
      <w:r>
        <w:rPr>
          <w:rFonts w:cs="Arial"/>
          <w:sz w:val="24"/>
          <w:szCs w:val="24"/>
        </w:rPr>
        <w:t xml:space="preserve"> </w:t>
      </w:r>
      <w:r w:rsidR="001E6BFE">
        <w:rPr>
          <w:rFonts w:cs="Arial"/>
          <w:sz w:val="24"/>
          <w:szCs w:val="24"/>
        </w:rPr>
        <w:t xml:space="preserve">de </w:t>
      </w:r>
      <w:r>
        <w:rPr>
          <w:rFonts w:cs="Arial"/>
          <w:sz w:val="24"/>
          <w:szCs w:val="24"/>
        </w:rPr>
        <w:t xml:space="preserve">propiedad de la petrolera china </w:t>
      </w:r>
      <w:proofErr w:type="spellStart"/>
      <w:r>
        <w:rPr>
          <w:rFonts w:cs="Arial"/>
          <w:sz w:val="24"/>
          <w:szCs w:val="24"/>
        </w:rPr>
        <w:t>Emerald</w:t>
      </w:r>
      <w:proofErr w:type="spellEnd"/>
      <w:r>
        <w:rPr>
          <w:rFonts w:cs="Arial"/>
          <w:sz w:val="24"/>
          <w:szCs w:val="24"/>
        </w:rPr>
        <w:t xml:space="preserve"> </w:t>
      </w:r>
      <w:proofErr w:type="spellStart"/>
      <w:r>
        <w:rPr>
          <w:rFonts w:cs="Arial"/>
          <w:sz w:val="24"/>
          <w:szCs w:val="24"/>
        </w:rPr>
        <w:t>Energy</w:t>
      </w:r>
      <w:proofErr w:type="spellEnd"/>
      <w:r>
        <w:rPr>
          <w:rFonts w:cs="Arial"/>
          <w:sz w:val="24"/>
          <w:szCs w:val="24"/>
        </w:rPr>
        <w:t xml:space="preserve">, que transportaban crudo desde el municipio de San Vicente del Caguán hacia el interior del país, los cuales fueron atacados con armas de fuego por integrantes de las Fuerzas Armadas Revolucionarias de Colombia – FARC. </w:t>
      </w:r>
    </w:p>
    <w:p w14:paraId="752EDC71" w14:textId="77777777" w:rsidR="00CB0D46" w:rsidRDefault="00CB0D46" w:rsidP="00934BF5">
      <w:pPr>
        <w:spacing w:line="360" w:lineRule="auto"/>
        <w:rPr>
          <w:rFonts w:cs="Arial"/>
          <w:sz w:val="24"/>
          <w:szCs w:val="24"/>
        </w:rPr>
      </w:pPr>
    </w:p>
    <w:p w14:paraId="21CBD1F7" w14:textId="6A1C42A0" w:rsidR="00CB0D46" w:rsidRDefault="00CB0D46" w:rsidP="00934BF5">
      <w:pPr>
        <w:spacing w:line="360" w:lineRule="auto"/>
        <w:rPr>
          <w:rFonts w:cs="Arial"/>
          <w:sz w:val="24"/>
          <w:szCs w:val="24"/>
        </w:rPr>
      </w:pPr>
      <w:r>
        <w:rPr>
          <w:rFonts w:cs="Arial"/>
          <w:sz w:val="24"/>
          <w:szCs w:val="24"/>
        </w:rPr>
        <w:t>1.1.3.- Debido a que el ataque ocurrió a 1 kilómetro de donde se encontraba ubicado un retén del Ejército Nacional, los militares reaccionaron, generándose un cruce de disparos con los subversivos, en medio del cual</w:t>
      </w:r>
      <w:r w:rsidR="00830C33">
        <w:rPr>
          <w:rFonts w:cs="Arial"/>
          <w:sz w:val="24"/>
          <w:szCs w:val="24"/>
        </w:rPr>
        <w:t>, se afirma por la actora,</w:t>
      </w:r>
      <w:r>
        <w:rPr>
          <w:rFonts w:cs="Arial"/>
          <w:sz w:val="24"/>
          <w:szCs w:val="24"/>
        </w:rPr>
        <w:t xml:space="preserve"> </w:t>
      </w:r>
      <w:r w:rsidR="00762825">
        <w:rPr>
          <w:rFonts w:cs="Arial"/>
          <w:sz w:val="24"/>
          <w:szCs w:val="24"/>
        </w:rPr>
        <w:t>falleció Daniel Alfredo González Palomo</w:t>
      </w:r>
      <w:r w:rsidR="009908D0">
        <w:rPr>
          <w:rFonts w:cs="Arial"/>
          <w:sz w:val="24"/>
          <w:szCs w:val="24"/>
        </w:rPr>
        <w:t xml:space="preserve">. </w:t>
      </w:r>
    </w:p>
    <w:p w14:paraId="2342AE66" w14:textId="77777777" w:rsidR="009908D0" w:rsidRDefault="009908D0" w:rsidP="00934BF5">
      <w:pPr>
        <w:spacing w:line="360" w:lineRule="auto"/>
        <w:rPr>
          <w:rFonts w:cs="Arial"/>
          <w:sz w:val="24"/>
          <w:szCs w:val="24"/>
        </w:rPr>
      </w:pPr>
    </w:p>
    <w:p w14:paraId="50294556" w14:textId="7921195A" w:rsidR="009908D0" w:rsidRPr="00AE7AAA" w:rsidRDefault="009908D0" w:rsidP="00934BF5">
      <w:pPr>
        <w:spacing w:line="360" w:lineRule="auto"/>
        <w:rPr>
          <w:rFonts w:cs="Arial"/>
          <w:sz w:val="24"/>
          <w:szCs w:val="24"/>
        </w:rPr>
      </w:pPr>
      <w:r>
        <w:rPr>
          <w:rFonts w:cs="Arial"/>
          <w:sz w:val="24"/>
          <w:szCs w:val="24"/>
        </w:rPr>
        <w:t xml:space="preserve">1.1.4.- A raíz de lo anterior, el grupo familiar del causante radicó demanda de reparación directa en contra de la Nación – Ministerio de Defensa Nacional – Ejército </w:t>
      </w:r>
      <w:r w:rsidR="006468F8">
        <w:rPr>
          <w:rFonts w:cs="Arial"/>
          <w:sz w:val="24"/>
          <w:szCs w:val="24"/>
        </w:rPr>
        <w:t xml:space="preserve">Nacional por los perjuicios causados por la muerte de su </w:t>
      </w:r>
      <w:r w:rsidR="00AE7AAA">
        <w:rPr>
          <w:rFonts w:cs="Arial"/>
          <w:sz w:val="24"/>
          <w:szCs w:val="24"/>
        </w:rPr>
        <w:t>pariente</w:t>
      </w:r>
      <w:r w:rsidR="006468F8">
        <w:rPr>
          <w:rFonts w:cs="Arial"/>
          <w:sz w:val="24"/>
          <w:szCs w:val="24"/>
        </w:rPr>
        <w:t xml:space="preserve">, al considerar que el fallecimiento se produjo </w:t>
      </w:r>
      <w:r w:rsidR="00E816DC">
        <w:rPr>
          <w:rFonts w:cs="Arial"/>
          <w:sz w:val="24"/>
          <w:szCs w:val="24"/>
        </w:rPr>
        <w:t>como consecuencia del enfrentamiento entre las FARC y el Ejército Nacional</w:t>
      </w:r>
      <w:r w:rsidR="002F6A02">
        <w:rPr>
          <w:rFonts w:cs="Arial"/>
          <w:sz w:val="24"/>
          <w:szCs w:val="24"/>
        </w:rPr>
        <w:t xml:space="preserve">. </w:t>
      </w:r>
      <w:r w:rsidR="00EA35E6">
        <w:rPr>
          <w:rFonts w:cs="Arial"/>
          <w:i/>
          <w:sz w:val="24"/>
          <w:szCs w:val="24"/>
        </w:rPr>
        <w:t xml:space="preserve"> </w:t>
      </w:r>
    </w:p>
    <w:p w14:paraId="5A55DC9E" w14:textId="77777777" w:rsidR="00BE466A" w:rsidRDefault="00BE466A" w:rsidP="00934BF5">
      <w:pPr>
        <w:spacing w:line="360" w:lineRule="auto"/>
        <w:rPr>
          <w:rFonts w:cs="Arial"/>
          <w:i/>
          <w:sz w:val="24"/>
          <w:szCs w:val="24"/>
        </w:rPr>
      </w:pPr>
    </w:p>
    <w:p w14:paraId="11E0DCE5" w14:textId="2D9C736A" w:rsidR="002D5B0A" w:rsidRDefault="00BE466A" w:rsidP="00934BF5">
      <w:pPr>
        <w:spacing w:line="360" w:lineRule="auto"/>
        <w:rPr>
          <w:rFonts w:cs="Arial"/>
          <w:sz w:val="24"/>
          <w:szCs w:val="24"/>
        </w:rPr>
      </w:pPr>
      <w:r>
        <w:rPr>
          <w:rFonts w:cs="Arial"/>
          <w:sz w:val="24"/>
          <w:szCs w:val="24"/>
        </w:rPr>
        <w:t xml:space="preserve">1.1.5.- En primera instancia, el asunto correspondió al </w:t>
      </w:r>
      <w:r w:rsidRPr="00EA2DBA">
        <w:rPr>
          <w:rFonts w:cs="Arial"/>
          <w:sz w:val="24"/>
          <w:szCs w:val="24"/>
        </w:rPr>
        <w:t>Juzgado Segundo Administrativo de Florencia que</w:t>
      </w:r>
      <w:r w:rsidR="001E6BFE">
        <w:rPr>
          <w:rFonts w:cs="Arial"/>
          <w:sz w:val="24"/>
          <w:szCs w:val="24"/>
        </w:rPr>
        <w:t>,</w:t>
      </w:r>
      <w:r w:rsidRPr="00EA2DBA">
        <w:rPr>
          <w:rFonts w:cs="Arial"/>
          <w:sz w:val="24"/>
          <w:szCs w:val="24"/>
        </w:rPr>
        <w:t xml:space="preserve"> en sentencia del 28 de septiembre de 2018</w:t>
      </w:r>
      <w:r w:rsidR="002F6A02" w:rsidRPr="00EA2DBA">
        <w:rPr>
          <w:rStyle w:val="Refdenotaalpie"/>
          <w:rFonts w:cs="Arial"/>
          <w:sz w:val="24"/>
          <w:szCs w:val="24"/>
        </w:rPr>
        <w:footnoteReference w:id="4"/>
      </w:r>
      <w:r w:rsidRPr="00EA2DBA">
        <w:rPr>
          <w:rFonts w:cs="Arial"/>
          <w:sz w:val="24"/>
          <w:szCs w:val="24"/>
        </w:rPr>
        <w:t>, resolvió</w:t>
      </w:r>
      <w:r>
        <w:rPr>
          <w:rFonts w:cs="Arial"/>
          <w:sz w:val="24"/>
          <w:szCs w:val="24"/>
        </w:rPr>
        <w:t xml:space="preserve"> negar l</w:t>
      </w:r>
      <w:r w:rsidR="0042708D">
        <w:rPr>
          <w:rFonts w:cs="Arial"/>
          <w:sz w:val="24"/>
          <w:szCs w:val="24"/>
        </w:rPr>
        <w:t xml:space="preserve">as pretensiones de la </w:t>
      </w:r>
      <w:r w:rsidR="0042708D" w:rsidRPr="00F44FAA">
        <w:rPr>
          <w:rFonts w:cs="Arial"/>
          <w:sz w:val="24"/>
          <w:szCs w:val="24"/>
        </w:rPr>
        <w:t>demanda. Al efecto</w:t>
      </w:r>
      <w:r w:rsidR="00057A0B" w:rsidRPr="00F44FAA">
        <w:rPr>
          <w:rFonts w:cs="Arial"/>
          <w:sz w:val="24"/>
          <w:szCs w:val="24"/>
        </w:rPr>
        <w:t>,</w:t>
      </w:r>
      <w:r w:rsidR="00057A0B">
        <w:rPr>
          <w:rFonts w:cs="Arial"/>
          <w:sz w:val="24"/>
          <w:szCs w:val="24"/>
        </w:rPr>
        <w:t xml:space="preserve"> indicó que se había acreditado tanto con pruebas documentales como testimoniales, que el ata</w:t>
      </w:r>
      <w:r w:rsidR="00E94038">
        <w:rPr>
          <w:rFonts w:cs="Arial"/>
          <w:sz w:val="24"/>
          <w:szCs w:val="24"/>
        </w:rPr>
        <w:t>que en el que ocurrió el deceso</w:t>
      </w:r>
      <w:r w:rsidR="00057A0B">
        <w:rPr>
          <w:rFonts w:cs="Arial"/>
          <w:sz w:val="24"/>
          <w:szCs w:val="24"/>
        </w:rPr>
        <w:t xml:space="preserve"> estaba dirigido </w:t>
      </w:r>
      <w:r w:rsidR="00C6078B">
        <w:rPr>
          <w:rFonts w:cs="Arial"/>
          <w:sz w:val="24"/>
          <w:szCs w:val="24"/>
        </w:rPr>
        <w:t>hacia</w:t>
      </w:r>
      <w:r w:rsidR="00057A0B">
        <w:rPr>
          <w:rFonts w:cs="Arial"/>
          <w:sz w:val="24"/>
          <w:szCs w:val="24"/>
        </w:rPr>
        <w:t xml:space="preserve"> la caravana de vehícul</w:t>
      </w:r>
      <w:r w:rsidR="00C6078B">
        <w:rPr>
          <w:rFonts w:cs="Arial"/>
          <w:sz w:val="24"/>
          <w:szCs w:val="24"/>
        </w:rPr>
        <w:t xml:space="preserve">os de la Empresa </w:t>
      </w:r>
      <w:proofErr w:type="spellStart"/>
      <w:r w:rsidR="00C6078B">
        <w:rPr>
          <w:rFonts w:cs="Arial"/>
          <w:sz w:val="24"/>
          <w:szCs w:val="24"/>
        </w:rPr>
        <w:t>Emerald</w:t>
      </w:r>
      <w:proofErr w:type="spellEnd"/>
      <w:r w:rsidR="00C6078B">
        <w:rPr>
          <w:rFonts w:cs="Arial"/>
          <w:sz w:val="24"/>
          <w:szCs w:val="24"/>
        </w:rPr>
        <w:t xml:space="preserve"> </w:t>
      </w:r>
      <w:proofErr w:type="spellStart"/>
      <w:r w:rsidR="00C6078B">
        <w:rPr>
          <w:rFonts w:cs="Arial"/>
          <w:sz w:val="24"/>
          <w:szCs w:val="24"/>
        </w:rPr>
        <w:t>Energy</w:t>
      </w:r>
      <w:proofErr w:type="spellEnd"/>
      <w:r w:rsidR="00C6078B">
        <w:rPr>
          <w:rFonts w:cs="Arial"/>
          <w:sz w:val="24"/>
          <w:szCs w:val="24"/>
        </w:rPr>
        <w:t xml:space="preserve"> </w:t>
      </w:r>
      <w:r w:rsidR="00057A0B">
        <w:rPr>
          <w:rFonts w:cs="Arial"/>
          <w:sz w:val="24"/>
          <w:szCs w:val="24"/>
        </w:rPr>
        <w:t xml:space="preserve">y no </w:t>
      </w:r>
      <w:r w:rsidR="00E94038">
        <w:rPr>
          <w:rFonts w:cs="Arial"/>
          <w:sz w:val="24"/>
          <w:szCs w:val="24"/>
        </w:rPr>
        <w:t xml:space="preserve">en </w:t>
      </w:r>
      <w:r w:rsidR="00057A0B">
        <w:rPr>
          <w:rFonts w:cs="Arial"/>
          <w:sz w:val="24"/>
          <w:szCs w:val="24"/>
        </w:rPr>
        <w:t xml:space="preserve">contra </w:t>
      </w:r>
      <w:r w:rsidR="00E94038">
        <w:rPr>
          <w:rFonts w:cs="Arial"/>
          <w:sz w:val="24"/>
          <w:szCs w:val="24"/>
        </w:rPr>
        <w:t>d</w:t>
      </w:r>
      <w:r w:rsidR="00057A0B">
        <w:rPr>
          <w:rFonts w:cs="Arial"/>
          <w:sz w:val="24"/>
          <w:szCs w:val="24"/>
        </w:rPr>
        <w:t xml:space="preserve">el Ejército Nacional; así como que </w:t>
      </w:r>
      <w:r w:rsidR="001E6BFE">
        <w:rPr>
          <w:rFonts w:cs="Arial"/>
          <w:sz w:val="24"/>
          <w:szCs w:val="24"/>
        </w:rPr>
        <w:t xml:space="preserve">en el </w:t>
      </w:r>
      <w:r w:rsidR="00057A0B">
        <w:rPr>
          <w:rFonts w:cs="Arial"/>
          <w:sz w:val="24"/>
          <w:szCs w:val="24"/>
        </w:rPr>
        <w:t>momento y lugar de</w:t>
      </w:r>
      <w:r w:rsidR="0004650B">
        <w:rPr>
          <w:rFonts w:cs="Arial"/>
          <w:sz w:val="24"/>
          <w:szCs w:val="24"/>
        </w:rPr>
        <w:t xml:space="preserve"> </w:t>
      </w:r>
      <w:r w:rsidR="00057A0B">
        <w:rPr>
          <w:rFonts w:cs="Arial"/>
          <w:sz w:val="24"/>
          <w:szCs w:val="24"/>
        </w:rPr>
        <w:t>l</w:t>
      </w:r>
      <w:r w:rsidR="0004650B">
        <w:rPr>
          <w:rFonts w:cs="Arial"/>
          <w:sz w:val="24"/>
          <w:szCs w:val="24"/>
        </w:rPr>
        <w:t>a</w:t>
      </w:r>
      <w:r w:rsidR="00057A0B">
        <w:rPr>
          <w:rFonts w:cs="Arial"/>
          <w:sz w:val="24"/>
          <w:szCs w:val="24"/>
        </w:rPr>
        <w:t xml:space="preserve"> </w:t>
      </w:r>
      <w:r w:rsidR="0004650B">
        <w:rPr>
          <w:rFonts w:cs="Arial"/>
          <w:sz w:val="24"/>
          <w:szCs w:val="24"/>
        </w:rPr>
        <w:t xml:space="preserve">embestida </w:t>
      </w:r>
      <w:r w:rsidR="00057A0B">
        <w:rPr>
          <w:rFonts w:cs="Arial"/>
          <w:sz w:val="24"/>
          <w:szCs w:val="24"/>
        </w:rPr>
        <w:t xml:space="preserve">no había presencia de militares sino que estos se encontraban cerca, </w:t>
      </w:r>
      <w:r w:rsidR="001E6BFE">
        <w:rPr>
          <w:rFonts w:cs="Arial"/>
          <w:sz w:val="24"/>
          <w:szCs w:val="24"/>
        </w:rPr>
        <w:t>lo que</w:t>
      </w:r>
      <w:r w:rsidR="00057A0B">
        <w:rPr>
          <w:rFonts w:cs="Arial"/>
          <w:sz w:val="24"/>
          <w:szCs w:val="24"/>
        </w:rPr>
        <w:t xml:space="preserve"> les permitió reaccionar </w:t>
      </w:r>
      <w:r w:rsidR="00057A0B">
        <w:rPr>
          <w:rFonts w:cs="Arial"/>
          <w:sz w:val="24"/>
          <w:szCs w:val="24"/>
        </w:rPr>
        <w:lastRenderedPageBreak/>
        <w:t xml:space="preserve">para evitar una tragedia mayor, </w:t>
      </w:r>
      <w:r w:rsidR="001E6BFE">
        <w:rPr>
          <w:rFonts w:cs="Arial"/>
          <w:sz w:val="24"/>
          <w:szCs w:val="24"/>
        </w:rPr>
        <w:t xml:space="preserve">y que, </w:t>
      </w:r>
      <w:r w:rsidR="00E77F17">
        <w:rPr>
          <w:rFonts w:cs="Arial"/>
          <w:sz w:val="24"/>
          <w:szCs w:val="24"/>
        </w:rPr>
        <w:t xml:space="preserve">no </w:t>
      </w:r>
      <w:r w:rsidR="00057A0B">
        <w:rPr>
          <w:rFonts w:cs="Arial"/>
          <w:sz w:val="24"/>
          <w:szCs w:val="24"/>
        </w:rPr>
        <w:t xml:space="preserve">fue precisamente en el cruce de disparos que se ocasionó la muerte cuyos perjuicios se reclamaban. </w:t>
      </w:r>
    </w:p>
    <w:p w14:paraId="5CC24C63" w14:textId="77777777" w:rsidR="00830C33" w:rsidRDefault="00830C33" w:rsidP="00934BF5">
      <w:pPr>
        <w:spacing w:line="360" w:lineRule="auto"/>
        <w:rPr>
          <w:rFonts w:cs="Arial"/>
          <w:sz w:val="24"/>
          <w:szCs w:val="24"/>
        </w:rPr>
      </w:pPr>
    </w:p>
    <w:p w14:paraId="2AFD7437" w14:textId="3CD494C5" w:rsidR="00BE466A" w:rsidRDefault="004A2C82" w:rsidP="00934BF5">
      <w:pPr>
        <w:spacing w:line="360" w:lineRule="auto"/>
        <w:rPr>
          <w:rFonts w:cs="Arial"/>
          <w:sz w:val="24"/>
          <w:szCs w:val="24"/>
        </w:rPr>
      </w:pPr>
      <w:r>
        <w:rPr>
          <w:rFonts w:cs="Arial"/>
          <w:sz w:val="24"/>
          <w:szCs w:val="24"/>
        </w:rPr>
        <w:t>Agregó que si en gracia de discusión se aceptara que el señor González Palomo pereci</w:t>
      </w:r>
      <w:r w:rsidR="00B324FC">
        <w:rPr>
          <w:rFonts w:cs="Arial"/>
          <w:sz w:val="24"/>
          <w:szCs w:val="24"/>
        </w:rPr>
        <w:t xml:space="preserve">ó en medio del fuego cruzado, lo cierto es que de las pruebas arrimadas al proceso se demostró que los militares utilizaron las armas como último recurso con el propósito de repeler el ataque del grupo </w:t>
      </w:r>
      <w:r w:rsidR="00B324FC" w:rsidRPr="0004650B">
        <w:rPr>
          <w:rFonts w:cs="Arial"/>
          <w:sz w:val="24"/>
          <w:szCs w:val="24"/>
        </w:rPr>
        <w:t>subversivo, pues tanto los</w:t>
      </w:r>
      <w:r w:rsidR="00B324FC">
        <w:rPr>
          <w:rFonts w:cs="Arial"/>
          <w:sz w:val="24"/>
          <w:szCs w:val="24"/>
        </w:rPr>
        <w:t xml:space="preserve"> declarantes co</w:t>
      </w:r>
      <w:r w:rsidR="00E94038">
        <w:rPr>
          <w:rFonts w:cs="Arial"/>
          <w:sz w:val="24"/>
          <w:szCs w:val="24"/>
        </w:rPr>
        <w:t>mo los documentos aportados fueron</w:t>
      </w:r>
      <w:r w:rsidR="00B324FC">
        <w:rPr>
          <w:rFonts w:cs="Arial"/>
          <w:sz w:val="24"/>
          <w:szCs w:val="24"/>
        </w:rPr>
        <w:t xml:space="preserve"> coincidentes en afirmar que en razón a</w:t>
      </w:r>
      <w:r w:rsidR="002D5B0A">
        <w:rPr>
          <w:rFonts w:cs="Arial"/>
          <w:sz w:val="24"/>
          <w:szCs w:val="24"/>
        </w:rPr>
        <w:t xml:space="preserve"> la embestida en contra de </w:t>
      </w:r>
      <w:r w:rsidR="00B324FC">
        <w:rPr>
          <w:rFonts w:cs="Arial"/>
          <w:sz w:val="24"/>
          <w:szCs w:val="24"/>
        </w:rPr>
        <w:t>la caravana, debieron reacciona</w:t>
      </w:r>
      <w:r w:rsidR="00E94038">
        <w:rPr>
          <w:rFonts w:cs="Arial"/>
          <w:sz w:val="24"/>
          <w:szCs w:val="24"/>
        </w:rPr>
        <w:t>r</w:t>
      </w:r>
      <w:r w:rsidR="00B324FC">
        <w:rPr>
          <w:rFonts w:cs="Arial"/>
          <w:sz w:val="24"/>
          <w:szCs w:val="24"/>
        </w:rPr>
        <w:t xml:space="preserve">, cumpliendo así el requisito de proporcionalidad entre la </w:t>
      </w:r>
      <w:r w:rsidR="00610FD7">
        <w:rPr>
          <w:rFonts w:cs="Arial"/>
          <w:sz w:val="24"/>
          <w:szCs w:val="24"/>
        </w:rPr>
        <w:t>afrenta</w:t>
      </w:r>
      <w:r w:rsidR="00B324FC">
        <w:rPr>
          <w:rFonts w:cs="Arial"/>
          <w:sz w:val="24"/>
          <w:szCs w:val="24"/>
        </w:rPr>
        <w:t xml:space="preserve"> padecida </w:t>
      </w:r>
      <w:r w:rsidR="00385704">
        <w:rPr>
          <w:rFonts w:cs="Arial"/>
          <w:sz w:val="24"/>
          <w:szCs w:val="24"/>
        </w:rPr>
        <w:t>y la respuesta ante esta.</w:t>
      </w:r>
    </w:p>
    <w:p w14:paraId="58601B26" w14:textId="77777777" w:rsidR="00385704" w:rsidRDefault="00385704" w:rsidP="00934BF5">
      <w:pPr>
        <w:spacing w:line="360" w:lineRule="auto"/>
        <w:rPr>
          <w:rFonts w:cs="Arial"/>
          <w:sz w:val="24"/>
          <w:szCs w:val="24"/>
        </w:rPr>
      </w:pPr>
    </w:p>
    <w:p w14:paraId="0045525E" w14:textId="4B4A6E46" w:rsidR="005A2C11" w:rsidRDefault="00385704" w:rsidP="00934BF5">
      <w:pPr>
        <w:spacing w:line="360" w:lineRule="auto"/>
        <w:rPr>
          <w:rFonts w:cs="Arial"/>
          <w:sz w:val="24"/>
          <w:szCs w:val="24"/>
        </w:rPr>
      </w:pPr>
      <w:r>
        <w:rPr>
          <w:rFonts w:cs="Arial"/>
          <w:sz w:val="24"/>
          <w:szCs w:val="24"/>
        </w:rPr>
        <w:t xml:space="preserve">Así mismo, resaltó que el ataque perpetrado por el grupo insurgente </w:t>
      </w:r>
      <w:r w:rsidR="00DC1C17">
        <w:rPr>
          <w:rFonts w:cs="Arial"/>
          <w:sz w:val="24"/>
          <w:szCs w:val="24"/>
        </w:rPr>
        <w:t xml:space="preserve">tenía como objetivo a </w:t>
      </w:r>
      <w:r>
        <w:rPr>
          <w:rFonts w:cs="Arial"/>
          <w:sz w:val="24"/>
          <w:szCs w:val="24"/>
        </w:rPr>
        <w:t xml:space="preserve">la empresa de petróleos, </w:t>
      </w:r>
      <w:r w:rsidR="00610FD7">
        <w:rPr>
          <w:rFonts w:cs="Arial"/>
          <w:sz w:val="24"/>
          <w:szCs w:val="24"/>
        </w:rPr>
        <w:t xml:space="preserve">en tanto </w:t>
      </w:r>
      <w:r>
        <w:rPr>
          <w:rFonts w:cs="Arial"/>
          <w:sz w:val="24"/>
          <w:szCs w:val="24"/>
        </w:rPr>
        <w:t xml:space="preserve">los testimonios apuntaban a que la razón de aquel obedecía a la negativa de la </w:t>
      </w:r>
      <w:proofErr w:type="spellStart"/>
      <w:r>
        <w:rPr>
          <w:rFonts w:cs="Arial"/>
          <w:sz w:val="24"/>
          <w:szCs w:val="24"/>
        </w:rPr>
        <w:t>Emerald</w:t>
      </w:r>
      <w:proofErr w:type="spellEnd"/>
      <w:r>
        <w:rPr>
          <w:rFonts w:cs="Arial"/>
          <w:sz w:val="24"/>
          <w:szCs w:val="24"/>
        </w:rPr>
        <w:t xml:space="preserve"> </w:t>
      </w:r>
      <w:proofErr w:type="spellStart"/>
      <w:r>
        <w:rPr>
          <w:rFonts w:cs="Arial"/>
          <w:sz w:val="24"/>
          <w:szCs w:val="24"/>
        </w:rPr>
        <w:t>Energy</w:t>
      </w:r>
      <w:proofErr w:type="spellEnd"/>
      <w:r>
        <w:rPr>
          <w:rFonts w:cs="Arial"/>
          <w:sz w:val="24"/>
          <w:szCs w:val="24"/>
        </w:rPr>
        <w:t xml:space="preserve"> </w:t>
      </w:r>
      <w:r w:rsidR="007D21CF">
        <w:rPr>
          <w:rFonts w:cs="Arial"/>
          <w:sz w:val="24"/>
          <w:szCs w:val="24"/>
        </w:rPr>
        <w:t>a</w:t>
      </w:r>
      <w:r>
        <w:rPr>
          <w:rFonts w:cs="Arial"/>
          <w:sz w:val="24"/>
          <w:szCs w:val="24"/>
        </w:rPr>
        <w:t xml:space="preserve"> pagar extorsiones</w:t>
      </w:r>
      <w:r w:rsidR="00DC1C17">
        <w:rPr>
          <w:rFonts w:cs="Arial"/>
          <w:sz w:val="24"/>
          <w:szCs w:val="24"/>
        </w:rPr>
        <w:t>.</w:t>
      </w:r>
      <w:r w:rsidR="00847337">
        <w:rPr>
          <w:rFonts w:cs="Arial"/>
          <w:sz w:val="24"/>
          <w:szCs w:val="24"/>
        </w:rPr>
        <w:t xml:space="preserve"> </w:t>
      </w:r>
    </w:p>
    <w:p w14:paraId="7CC1D46B" w14:textId="77777777" w:rsidR="005A2C11" w:rsidRDefault="005A2C11" w:rsidP="00934BF5">
      <w:pPr>
        <w:spacing w:line="360" w:lineRule="auto"/>
        <w:rPr>
          <w:rFonts w:cs="Arial"/>
          <w:sz w:val="24"/>
          <w:szCs w:val="24"/>
        </w:rPr>
      </w:pPr>
    </w:p>
    <w:p w14:paraId="79FE7158" w14:textId="39FABBAD" w:rsidR="00385704" w:rsidRDefault="005C07F2" w:rsidP="00934BF5">
      <w:pPr>
        <w:spacing w:line="360" w:lineRule="auto"/>
        <w:rPr>
          <w:rFonts w:cs="Arial"/>
          <w:sz w:val="24"/>
          <w:szCs w:val="24"/>
        </w:rPr>
      </w:pPr>
      <w:r>
        <w:rPr>
          <w:rFonts w:cs="Arial"/>
          <w:sz w:val="24"/>
          <w:szCs w:val="24"/>
        </w:rPr>
        <w:t xml:space="preserve">Con lo anterior, indicó que no se estaba ante un riesgo excepcional, puesto que no se acreditó que </w:t>
      </w:r>
      <w:r w:rsidR="005A2C11">
        <w:rPr>
          <w:rFonts w:cs="Arial"/>
          <w:sz w:val="24"/>
          <w:szCs w:val="24"/>
        </w:rPr>
        <w:t>el daño fuera producto de</w:t>
      </w:r>
      <w:r>
        <w:rPr>
          <w:rFonts w:cs="Arial"/>
          <w:sz w:val="24"/>
          <w:szCs w:val="24"/>
        </w:rPr>
        <w:t>l ejercicio de una actividad legítima</w:t>
      </w:r>
      <w:r w:rsidR="00DC1C17">
        <w:rPr>
          <w:rFonts w:cs="Arial"/>
          <w:sz w:val="24"/>
          <w:szCs w:val="24"/>
        </w:rPr>
        <w:t xml:space="preserve"> por parte del Estado</w:t>
      </w:r>
      <w:r>
        <w:rPr>
          <w:rFonts w:cs="Arial"/>
          <w:sz w:val="24"/>
          <w:szCs w:val="24"/>
        </w:rPr>
        <w:t xml:space="preserve">, en cambio, se demostró que el fallecido se encontró con la caravana justo en el instante </w:t>
      </w:r>
      <w:r w:rsidR="00610FD7">
        <w:rPr>
          <w:rFonts w:cs="Arial"/>
          <w:sz w:val="24"/>
          <w:szCs w:val="24"/>
        </w:rPr>
        <w:t xml:space="preserve">en </w:t>
      </w:r>
      <w:r>
        <w:rPr>
          <w:rFonts w:cs="Arial"/>
          <w:sz w:val="24"/>
          <w:szCs w:val="24"/>
        </w:rPr>
        <w:t>que fu</w:t>
      </w:r>
      <w:r w:rsidR="000B3C24">
        <w:rPr>
          <w:rFonts w:cs="Arial"/>
          <w:sz w:val="24"/>
          <w:szCs w:val="24"/>
        </w:rPr>
        <w:t>e atacad</w:t>
      </w:r>
      <w:r w:rsidR="00610FD7">
        <w:rPr>
          <w:rFonts w:cs="Arial"/>
          <w:sz w:val="24"/>
          <w:szCs w:val="24"/>
        </w:rPr>
        <w:t>a</w:t>
      </w:r>
      <w:r w:rsidR="000B3C24">
        <w:rPr>
          <w:rFonts w:cs="Arial"/>
          <w:sz w:val="24"/>
          <w:szCs w:val="24"/>
        </w:rPr>
        <w:t xml:space="preserve"> por la guerrilla, en un lugar en el que no había presencia militar. </w:t>
      </w:r>
    </w:p>
    <w:p w14:paraId="314F366E" w14:textId="77777777" w:rsidR="00B324FC" w:rsidRDefault="00B324FC" w:rsidP="00934BF5">
      <w:pPr>
        <w:spacing w:line="360" w:lineRule="auto"/>
        <w:rPr>
          <w:rFonts w:cs="Arial"/>
          <w:sz w:val="24"/>
          <w:szCs w:val="24"/>
        </w:rPr>
      </w:pPr>
    </w:p>
    <w:p w14:paraId="46E7DE5F" w14:textId="0F199EC1" w:rsidR="00F44FAA" w:rsidRDefault="000B3C24" w:rsidP="00934BF5">
      <w:pPr>
        <w:spacing w:line="360" w:lineRule="auto"/>
        <w:rPr>
          <w:rFonts w:cs="Arial"/>
          <w:sz w:val="24"/>
          <w:szCs w:val="24"/>
        </w:rPr>
      </w:pPr>
      <w:r>
        <w:rPr>
          <w:rFonts w:cs="Arial"/>
          <w:sz w:val="24"/>
          <w:szCs w:val="24"/>
        </w:rPr>
        <w:t>Finalmente, aseve</w:t>
      </w:r>
      <w:r w:rsidR="00830251">
        <w:rPr>
          <w:rFonts w:cs="Arial"/>
          <w:sz w:val="24"/>
          <w:szCs w:val="24"/>
        </w:rPr>
        <w:t>ró que tampoco se estaba ante un</w:t>
      </w:r>
      <w:r>
        <w:rPr>
          <w:rFonts w:cs="Arial"/>
          <w:sz w:val="24"/>
          <w:szCs w:val="24"/>
        </w:rPr>
        <w:t xml:space="preserve"> daño especial, </w:t>
      </w:r>
      <w:r w:rsidR="00610FD7">
        <w:rPr>
          <w:rFonts w:cs="Arial"/>
          <w:sz w:val="24"/>
          <w:szCs w:val="24"/>
        </w:rPr>
        <w:t xml:space="preserve">ya que </w:t>
      </w:r>
      <w:r w:rsidR="00DC1C17">
        <w:rPr>
          <w:rFonts w:cs="Arial"/>
          <w:sz w:val="24"/>
          <w:szCs w:val="24"/>
        </w:rPr>
        <w:t>este</w:t>
      </w:r>
      <w:r>
        <w:rPr>
          <w:rFonts w:cs="Arial"/>
          <w:sz w:val="24"/>
          <w:szCs w:val="24"/>
        </w:rPr>
        <w:t xml:space="preserve"> no le resultaba imput</w:t>
      </w:r>
      <w:r w:rsidR="00DC1C17">
        <w:rPr>
          <w:rFonts w:cs="Arial"/>
          <w:sz w:val="24"/>
          <w:szCs w:val="24"/>
        </w:rPr>
        <w:t xml:space="preserve">able a la demandada </w:t>
      </w:r>
      <w:r w:rsidR="00610FD7">
        <w:rPr>
          <w:rFonts w:cs="Arial"/>
          <w:sz w:val="24"/>
          <w:szCs w:val="24"/>
        </w:rPr>
        <w:t xml:space="preserve">en tanto </w:t>
      </w:r>
      <w:r w:rsidR="00DC1C17">
        <w:rPr>
          <w:rFonts w:cs="Arial"/>
          <w:sz w:val="24"/>
          <w:szCs w:val="24"/>
        </w:rPr>
        <w:t>hubo un</w:t>
      </w:r>
      <w:r>
        <w:rPr>
          <w:rFonts w:cs="Arial"/>
          <w:sz w:val="24"/>
          <w:szCs w:val="24"/>
        </w:rPr>
        <w:t xml:space="preserve"> rompimiento del nexo, </w:t>
      </w:r>
      <w:r w:rsidR="00DC1C17">
        <w:rPr>
          <w:rFonts w:cs="Arial"/>
          <w:sz w:val="24"/>
          <w:szCs w:val="24"/>
        </w:rPr>
        <w:t xml:space="preserve">por cuanto el daño </w:t>
      </w:r>
      <w:r>
        <w:rPr>
          <w:rFonts w:cs="Arial"/>
          <w:sz w:val="24"/>
          <w:szCs w:val="24"/>
        </w:rPr>
        <w:t>fue causado exclusiva y determinantemente por un tercero, causal de exoneración prop</w:t>
      </w:r>
      <w:r w:rsidR="003C12DB">
        <w:rPr>
          <w:rFonts w:cs="Arial"/>
          <w:sz w:val="24"/>
          <w:szCs w:val="24"/>
        </w:rPr>
        <w:t xml:space="preserve">uesta tanto por </w:t>
      </w:r>
      <w:proofErr w:type="spellStart"/>
      <w:r w:rsidR="003C12DB">
        <w:rPr>
          <w:rFonts w:cs="Arial"/>
          <w:sz w:val="24"/>
          <w:szCs w:val="24"/>
        </w:rPr>
        <w:t>Emerald</w:t>
      </w:r>
      <w:proofErr w:type="spellEnd"/>
      <w:r w:rsidR="003C12DB">
        <w:rPr>
          <w:rFonts w:cs="Arial"/>
          <w:sz w:val="24"/>
          <w:szCs w:val="24"/>
        </w:rPr>
        <w:t xml:space="preserve"> </w:t>
      </w:r>
      <w:proofErr w:type="spellStart"/>
      <w:r w:rsidR="003C12DB">
        <w:rPr>
          <w:rFonts w:cs="Arial"/>
          <w:sz w:val="24"/>
          <w:szCs w:val="24"/>
        </w:rPr>
        <w:t>Energy</w:t>
      </w:r>
      <w:proofErr w:type="spellEnd"/>
      <w:r w:rsidR="003C12DB">
        <w:rPr>
          <w:rFonts w:cs="Arial"/>
          <w:sz w:val="24"/>
          <w:szCs w:val="24"/>
        </w:rPr>
        <w:t xml:space="preserve"> como por</w:t>
      </w:r>
      <w:r>
        <w:rPr>
          <w:rFonts w:cs="Arial"/>
          <w:sz w:val="24"/>
          <w:szCs w:val="24"/>
        </w:rPr>
        <w:t xml:space="preserve"> la Nación. </w:t>
      </w:r>
      <w:r w:rsidR="0068316B">
        <w:rPr>
          <w:rFonts w:cs="Arial"/>
          <w:sz w:val="24"/>
          <w:szCs w:val="24"/>
        </w:rPr>
        <w:t xml:space="preserve">Al efecto, manifestó que la muerte del señor González Palomo fue producto de la actividad desplegada por miembros de la insurgencia y su participación fue tan idónea que se </w:t>
      </w:r>
      <w:r w:rsidR="00C6533D">
        <w:rPr>
          <w:rFonts w:cs="Arial"/>
          <w:sz w:val="24"/>
          <w:szCs w:val="24"/>
        </w:rPr>
        <w:t>constituyó</w:t>
      </w:r>
      <w:r w:rsidR="0068316B">
        <w:rPr>
          <w:rFonts w:cs="Arial"/>
          <w:sz w:val="24"/>
          <w:szCs w:val="24"/>
        </w:rPr>
        <w:t xml:space="preserve"> en la única fuente del</w:t>
      </w:r>
      <w:r w:rsidR="00C6533D">
        <w:rPr>
          <w:rFonts w:cs="Arial"/>
          <w:sz w:val="24"/>
          <w:szCs w:val="24"/>
        </w:rPr>
        <w:t xml:space="preserve"> menoscabo del derecho padecido; situación ante la cual no era posible efectuar un juicio de </w:t>
      </w:r>
      <w:r w:rsidR="00830251">
        <w:rPr>
          <w:rFonts w:cs="Arial"/>
          <w:sz w:val="24"/>
          <w:szCs w:val="24"/>
        </w:rPr>
        <w:t>imputación al Estado</w:t>
      </w:r>
    </w:p>
    <w:p w14:paraId="484AB622" w14:textId="77777777" w:rsidR="00F44FAA" w:rsidRDefault="00F44FAA" w:rsidP="00934BF5">
      <w:pPr>
        <w:spacing w:line="360" w:lineRule="auto"/>
        <w:rPr>
          <w:rFonts w:cs="Arial"/>
          <w:sz w:val="24"/>
          <w:szCs w:val="24"/>
        </w:rPr>
      </w:pPr>
    </w:p>
    <w:p w14:paraId="753A0519" w14:textId="28B96A39" w:rsidR="0042708D" w:rsidRPr="00F44FAA" w:rsidRDefault="00F44FAA" w:rsidP="005B51E0">
      <w:pPr>
        <w:spacing w:line="276" w:lineRule="auto"/>
        <w:ind w:left="567" w:right="567"/>
        <w:rPr>
          <w:rFonts w:cs="Arial"/>
          <w:i/>
          <w:sz w:val="22"/>
          <w:szCs w:val="22"/>
        </w:rPr>
      </w:pPr>
      <w:r w:rsidRPr="00F44FAA">
        <w:rPr>
          <w:rFonts w:cs="Arial"/>
          <w:i/>
          <w:sz w:val="22"/>
          <w:szCs w:val="22"/>
        </w:rPr>
        <w:t xml:space="preserve">“máxime cuando no tenía la posibilidad de prever y resistir el mismo, atendiendo a que el transporte de petróleo por una empresa privada no es una actividad que se encuentre en la órbita de sus competencias, y para el </w:t>
      </w:r>
      <w:r w:rsidRPr="00EA2DBA">
        <w:rPr>
          <w:rFonts w:cs="Arial"/>
          <w:i/>
          <w:sz w:val="22"/>
          <w:szCs w:val="22"/>
        </w:rPr>
        <w:t>caso específico, no se solicitó la prestación del servicio de seguridad, haciendo el hecho imprevisible e irresistible”</w:t>
      </w:r>
      <w:r w:rsidRPr="00610FD7">
        <w:rPr>
          <w:rStyle w:val="Refdenotaalpie"/>
          <w:rFonts w:cs="Arial"/>
          <w:iCs/>
          <w:sz w:val="22"/>
          <w:szCs w:val="22"/>
        </w:rPr>
        <w:footnoteReference w:id="5"/>
      </w:r>
      <w:r w:rsidR="00610FD7" w:rsidRPr="00610FD7">
        <w:rPr>
          <w:rFonts w:cs="Arial"/>
          <w:iCs/>
          <w:sz w:val="22"/>
          <w:szCs w:val="22"/>
        </w:rPr>
        <w:t>.</w:t>
      </w:r>
    </w:p>
    <w:p w14:paraId="073938AF" w14:textId="2D0C632D" w:rsidR="00F44FAA" w:rsidRDefault="00F44FAA" w:rsidP="00BB5406">
      <w:pPr>
        <w:spacing w:line="360" w:lineRule="auto"/>
        <w:rPr>
          <w:rFonts w:cs="Arial"/>
          <w:sz w:val="24"/>
          <w:szCs w:val="24"/>
        </w:rPr>
      </w:pPr>
    </w:p>
    <w:p w14:paraId="3940364A" w14:textId="64EC1865" w:rsidR="006B5BBA" w:rsidRDefault="00830251" w:rsidP="00934BF5">
      <w:pPr>
        <w:spacing w:line="360" w:lineRule="auto"/>
        <w:rPr>
          <w:rFonts w:cs="Arial"/>
          <w:sz w:val="24"/>
          <w:szCs w:val="24"/>
        </w:rPr>
      </w:pPr>
      <w:r>
        <w:rPr>
          <w:rFonts w:cs="Arial"/>
          <w:sz w:val="24"/>
          <w:szCs w:val="24"/>
        </w:rPr>
        <w:lastRenderedPageBreak/>
        <w:t xml:space="preserve">Con lo anterior, concluyó que no era dable condenar al Estado por el fallecimiento del señor </w:t>
      </w:r>
      <w:r w:rsidRPr="00ED3201">
        <w:rPr>
          <w:rFonts w:cs="Arial"/>
          <w:sz w:val="24"/>
          <w:szCs w:val="24"/>
        </w:rPr>
        <w:t>González Palomo</w:t>
      </w:r>
      <w:r>
        <w:rPr>
          <w:rFonts w:cs="Arial"/>
          <w:sz w:val="24"/>
          <w:szCs w:val="24"/>
        </w:rPr>
        <w:t xml:space="preserve">. </w:t>
      </w:r>
    </w:p>
    <w:p w14:paraId="5070C311" w14:textId="77777777" w:rsidR="00830C33" w:rsidRDefault="00830C33" w:rsidP="00934BF5">
      <w:pPr>
        <w:spacing w:line="360" w:lineRule="auto"/>
        <w:rPr>
          <w:rFonts w:cs="Arial"/>
          <w:sz w:val="24"/>
          <w:szCs w:val="24"/>
        </w:rPr>
      </w:pPr>
    </w:p>
    <w:p w14:paraId="611635EE" w14:textId="3C2EB5B9" w:rsidR="004D2A0C" w:rsidRDefault="0042708D" w:rsidP="00934BF5">
      <w:pPr>
        <w:spacing w:line="360" w:lineRule="auto"/>
        <w:rPr>
          <w:rFonts w:cs="Arial"/>
          <w:sz w:val="24"/>
          <w:szCs w:val="24"/>
        </w:rPr>
      </w:pPr>
      <w:r>
        <w:rPr>
          <w:rFonts w:cs="Arial"/>
          <w:sz w:val="24"/>
          <w:szCs w:val="24"/>
        </w:rPr>
        <w:t>1.1.6.- La decisión fue impugnada</w:t>
      </w:r>
      <w:r w:rsidR="00022ADE">
        <w:rPr>
          <w:rStyle w:val="Refdenotaalpie"/>
          <w:rFonts w:cs="Arial"/>
          <w:sz w:val="24"/>
          <w:szCs w:val="24"/>
        </w:rPr>
        <w:footnoteReference w:id="6"/>
      </w:r>
      <w:r>
        <w:rPr>
          <w:rFonts w:cs="Arial"/>
          <w:sz w:val="24"/>
          <w:szCs w:val="24"/>
        </w:rPr>
        <w:t xml:space="preserve">. La alzada le </w:t>
      </w:r>
      <w:r w:rsidRPr="00022ADE">
        <w:rPr>
          <w:rFonts w:cs="Arial"/>
          <w:sz w:val="24"/>
          <w:szCs w:val="24"/>
        </w:rPr>
        <w:t>correspondió al Tribunal Administrativo del Caquetá que</w:t>
      </w:r>
      <w:r w:rsidR="00C86B00">
        <w:rPr>
          <w:rFonts w:cs="Arial"/>
          <w:sz w:val="24"/>
          <w:szCs w:val="24"/>
        </w:rPr>
        <w:t>,</w:t>
      </w:r>
      <w:r w:rsidRPr="00022ADE">
        <w:rPr>
          <w:rFonts w:cs="Arial"/>
          <w:sz w:val="24"/>
          <w:szCs w:val="24"/>
        </w:rPr>
        <w:t xml:space="preserve"> mediante providencia del 23 de febrero de 2021</w:t>
      </w:r>
      <w:r w:rsidR="00EA2DBA" w:rsidRPr="00022ADE">
        <w:rPr>
          <w:rStyle w:val="Refdenotaalpie"/>
          <w:rFonts w:cs="Arial"/>
          <w:sz w:val="24"/>
          <w:szCs w:val="24"/>
        </w:rPr>
        <w:footnoteReference w:id="7"/>
      </w:r>
      <w:r w:rsidR="0075391C" w:rsidRPr="00022ADE">
        <w:rPr>
          <w:rFonts w:cs="Arial"/>
          <w:sz w:val="24"/>
          <w:szCs w:val="24"/>
        </w:rPr>
        <w:t xml:space="preserve">, confirmó el proveído </w:t>
      </w:r>
      <w:r w:rsidR="00676C89">
        <w:rPr>
          <w:rFonts w:cs="Arial"/>
          <w:sz w:val="24"/>
          <w:szCs w:val="24"/>
        </w:rPr>
        <w:t>apelado</w:t>
      </w:r>
      <w:r w:rsidR="0075391C" w:rsidRPr="00022ADE">
        <w:rPr>
          <w:rFonts w:cs="Arial"/>
          <w:sz w:val="24"/>
          <w:szCs w:val="24"/>
        </w:rPr>
        <w:t xml:space="preserve">. </w:t>
      </w:r>
      <w:r w:rsidR="004D2A0C">
        <w:rPr>
          <w:rFonts w:cs="Arial"/>
          <w:sz w:val="24"/>
          <w:szCs w:val="24"/>
        </w:rPr>
        <w:t>Inicialmente resaltó que tanto en el escrito de demanda como en el de apelación se invocaron los títulos de imputación de falla en el servicio</w:t>
      </w:r>
      <w:r w:rsidR="00C14BF2">
        <w:rPr>
          <w:rFonts w:cs="Arial"/>
          <w:sz w:val="24"/>
          <w:szCs w:val="24"/>
        </w:rPr>
        <w:t>, daño especial y riesgo especial</w:t>
      </w:r>
      <w:r w:rsidR="004D2A0C">
        <w:rPr>
          <w:rFonts w:cs="Arial"/>
          <w:sz w:val="24"/>
          <w:szCs w:val="24"/>
        </w:rPr>
        <w:t>. Luego, r</w:t>
      </w:r>
      <w:r w:rsidR="001B7C36" w:rsidRPr="00022ADE">
        <w:rPr>
          <w:rFonts w:cs="Arial"/>
          <w:sz w:val="24"/>
          <w:szCs w:val="24"/>
        </w:rPr>
        <w:t>eiter</w:t>
      </w:r>
      <w:r w:rsidR="000F4ABC" w:rsidRPr="00022ADE">
        <w:rPr>
          <w:rFonts w:cs="Arial"/>
          <w:sz w:val="24"/>
          <w:szCs w:val="24"/>
        </w:rPr>
        <w:t xml:space="preserve">ó que, </w:t>
      </w:r>
      <w:r w:rsidR="000F4ABC" w:rsidRPr="00CD3AAD">
        <w:rPr>
          <w:rFonts w:cs="Arial"/>
          <w:sz w:val="24"/>
          <w:szCs w:val="24"/>
        </w:rPr>
        <w:t xml:space="preserve">como lo estimó el </w:t>
      </w:r>
      <w:r w:rsidR="000F4ABC" w:rsidRPr="00CD3AAD">
        <w:rPr>
          <w:rFonts w:cs="Arial"/>
          <w:i/>
          <w:sz w:val="24"/>
          <w:szCs w:val="24"/>
        </w:rPr>
        <w:t xml:space="preserve">a quo, </w:t>
      </w:r>
      <w:r w:rsidR="000F4ABC" w:rsidRPr="00CD3AAD">
        <w:rPr>
          <w:rFonts w:cs="Arial"/>
          <w:sz w:val="24"/>
          <w:szCs w:val="24"/>
        </w:rPr>
        <w:t xml:space="preserve">no se habían presentado los elementos para configurar </w:t>
      </w:r>
      <w:r w:rsidR="00C86B00" w:rsidRPr="00CD3AAD">
        <w:rPr>
          <w:rFonts w:cs="Arial"/>
          <w:sz w:val="24"/>
          <w:szCs w:val="24"/>
        </w:rPr>
        <w:t xml:space="preserve">ninguno de </w:t>
      </w:r>
      <w:r w:rsidR="000F4ABC" w:rsidRPr="00CD3AAD">
        <w:rPr>
          <w:rFonts w:cs="Arial"/>
          <w:sz w:val="24"/>
          <w:szCs w:val="24"/>
        </w:rPr>
        <w:t>los títulos de imputación estudiados</w:t>
      </w:r>
      <w:r w:rsidR="00FF6B09" w:rsidRPr="00CD3AAD">
        <w:rPr>
          <w:rFonts w:cs="Arial"/>
          <w:sz w:val="24"/>
          <w:szCs w:val="24"/>
        </w:rPr>
        <w:t>.</w:t>
      </w:r>
      <w:r w:rsidR="00FF6B09">
        <w:rPr>
          <w:rFonts w:cs="Arial"/>
          <w:sz w:val="24"/>
          <w:szCs w:val="24"/>
        </w:rPr>
        <w:t xml:space="preserve"> </w:t>
      </w:r>
    </w:p>
    <w:p w14:paraId="5C9B6D38" w14:textId="77777777" w:rsidR="004D2A0C" w:rsidRDefault="004D2A0C" w:rsidP="00934BF5">
      <w:pPr>
        <w:spacing w:line="360" w:lineRule="auto"/>
        <w:rPr>
          <w:rFonts w:cs="Arial"/>
          <w:sz w:val="24"/>
          <w:szCs w:val="24"/>
        </w:rPr>
      </w:pPr>
    </w:p>
    <w:p w14:paraId="6F6F8EDE" w14:textId="16BA8C42" w:rsidR="0042708D" w:rsidRDefault="00C14BF2" w:rsidP="00934BF5">
      <w:pPr>
        <w:spacing w:line="360" w:lineRule="auto"/>
        <w:rPr>
          <w:rFonts w:cs="Arial"/>
          <w:sz w:val="24"/>
          <w:szCs w:val="24"/>
        </w:rPr>
      </w:pPr>
      <w:r w:rsidRPr="00CD3AAD">
        <w:rPr>
          <w:rFonts w:cs="Arial"/>
          <w:sz w:val="24"/>
          <w:szCs w:val="24"/>
        </w:rPr>
        <w:t xml:space="preserve">Frente al </w:t>
      </w:r>
      <w:r w:rsidR="00681D90" w:rsidRPr="00CD3AAD">
        <w:rPr>
          <w:rFonts w:cs="Arial"/>
          <w:sz w:val="24"/>
          <w:szCs w:val="24"/>
        </w:rPr>
        <w:t>análisis</w:t>
      </w:r>
      <w:r w:rsidRPr="00CD3AAD">
        <w:rPr>
          <w:rFonts w:cs="Arial"/>
          <w:sz w:val="24"/>
          <w:szCs w:val="24"/>
        </w:rPr>
        <w:t xml:space="preserve"> de la falla del servicio</w:t>
      </w:r>
      <w:r w:rsidR="00FF6B09" w:rsidRPr="00CD3AAD">
        <w:rPr>
          <w:rFonts w:cs="Arial"/>
          <w:sz w:val="24"/>
          <w:szCs w:val="24"/>
        </w:rPr>
        <w:t>, adujo que,</w:t>
      </w:r>
      <w:r w:rsidR="00FF6B09">
        <w:rPr>
          <w:rFonts w:cs="Arial"/>
          <w:sz w:val="24"/>
          <w:szCs w:val="24"/>
        </w:rPr>
        <w:t xml:space="preserve"> a pesar de que el orden público en el departamento de Caquetá se encontraba alterado, aquello no significa</w:t>
      </w:r>
      <w:r w:rsidR="00C86B00">
        <w:rPr>
          <w:rFonts w:cs="Arial"/>
          <w:sz w:val="24"/>
          <w:szCs w:val="24"/>
        </w:rPr>
        <w:t>ba</w:t>
      </w:r>
      <w:r w:rsidR="00FF6B09">
        <w:rPr>
          <w:rFonts w:cs="Arial"/>
          <w:sz w:val="24"/>
          <w:szCs w:val="24"/>
        </w:rPr>
        <w:t xml:space="preserve"> que el Ejército Nacional tuviera conocimiento cierto de </w:t>
      </w:r>
      <w:r w:rsidR="00283791">
        <w:rPr>
          <w:rFonts w:cs="Arial"/>
          <w:sz w:val="24"/>
          <w:szCs w:val="24"/>
        </w:rPr>
        <w:t xml:space="preserve">que el 17 de septiembre de 2011, en el tramo de la vía en el sector el Desquite de Puerto Rico, se iba a cometer un acto terrorista en contra de la caravana de camiones cisterna que transportaba crudo de propiedad </w:t>
      </w:r>
      <w:r w:rsidR="00FC3AB2">
        <w:rPr>
          <w:rFonts w:cs="Arial"/>
          <w:sz w:val="24"/>
          <w:szCs w:val="24"/>
        </w:rPr>
        <w:t xml:space="preserve">de la empresa </w:t>
      </w:r>
      <w:proofErr w:type="spellStart"/>
      <w:r w:rsidR="00FC3AB2">
        <w:rPr>
          <w:rFonts w:cs="Arial"/>
          <w:sz w:val="24"/>
          <w:szCs w:val="24"/>
        </w:rPr>
        <w:t>Emerald</w:t>
      </w:r>
      <w:proofErr w:type="spellEnd"/>
      <w:r w:rsidR="00FC3AB2">
        <w:rPr>
          <w:rFonts w:cs="Arial"/>
          <w:sz w:val="24"/>
          <w:szCs w:val="24"/>
        </w:rPr>
        <w:t xml:space="preserve"> </w:t>
      </w:r>
      <w:proofErr w:type="spellStart"/>
      <w:r w:rsidR="00FC3AB2">
        <w:rPr>
          <w:rFonts w:cs="Arial"/>
          <w:sz w:val="24"/>
          <w:szCs w:val="24"/>
        </w:rPr>
        <w:t>Energy</w:t>
      </w:r>
      <w:proofErr w:type="spellEnd"/>
      <w:r w:rsidR="00FC3AB2">
        <w:rPr>
          <w:rFonts w:cs="Arial"/>
          <w:sz w:val="24"/>
          <w:szCs w:val="24"/>
        </w:rPr>
        <w:t>, de manera que surgiera para dicha entidad el deber de prevenir la comisión del acto. Por lo dicho, no era posible exigir del Ejército que hubiera adoptado un esquema especial de seguridad aún más riguroso en ese tramo de la vía, para contrarrestar los ataques terroristas</w:t>
      </w:r>
      <w:r>
        <w:rPr>
          <w:rFonts w:cs="Arial"/>
          <w:sz w:val="24"/>
          <w:szCs w:val="24"/>
        </w:rPr>
        <w:t xml:space="preserve">, razón por la que no había lugar a endilgar responsabilidad al Estado bajo este título de imputación. </w:t>
      </w:r>
    </w:p>
    <w:p w14:paraId="4E0FC4E6" w14:textId="77777777" w:rsidR="00B23EB5" w:rsidRDefault="00B23EB5" w:rsidP="00934BF5">
      <w:pPr>
        <w:spacing w:line="360" w:lineRule="auto"/>
        <w:rPr>
          <w:rFonts w:cs="Arial"/>
          <w:sz w:val="24"/>
          <w:szCs w:val="24"/>
        </w:rPr>
      </w:pPr>
    </w:p>
    <w:p w14:paraId="2DF987C0" w14:textId="66FE419D" w:rsidR="00B23EB5" w:rsidRDefault="00CA713F" w:rsidP="00934BF5">
      <w:pPr>
        <w:spacing w:line="360" w:lineRule="auto"/>
        <w:rPr>
          <w:rFonts w:cs="Arial"/>
          <w:sz w:val="24"/>
          <w:szCs w:val="24"/>
        </w:rPr>
      </w:pPr>
      <w:r>
        <w:rPr>
          <w:rFonts w:cs="Arial"/>
          <w:sz w:val="24"/>
          <w:szCs w:val="24"/>
        </w:rPr>
        <w:t>Por otra parte, en cuanto al riesgo excepcional, destacó</w:t>
      </w:r>
      <w:r w:rsidR="00B23EB5">
        <w:rPr>
          <w:rFonts w:cs="Arial"/>
          <w:sz w:val="24"/>
          <w:szCs w:val="24"/>
        </w:rPr>
        <w:t xml:space="preserve"> que no resultaba reprochable al Ejército </w:t>
      </w:r>
      <w:r w:rsidR="00780261">
        <w:rPr>
          <w:rFonts w:cs="Arial"/>
          <w:sz w:val="24"/>
          <w:szCs w:val="24"/>
        </w:rPr>
        <w:t>la omisión en la adopción de</w:t>
      </w:r>
      <w:r w:rsidR="00B23EB5">
        <w:rPr>
          <w:rFonts w:cs="Arial"/>
          <w:sz w:val="24"/>
          <w:szCs w:val="24"/>
        </w:rPr>
        <w:t xml:space="preserve"> medidas de prevención y seguridad para evitar una </w:t>
      </w:r>
      <w:r w:rsidR="00B23EB5" w:rsidRPr="00EB63B4">
        <w:rPr>
          <w:rFonts w:cs="Arial"/>
          <w:sz w:val="24"/>
          <w:szCs w:val="24"/>
        </w:rPr>
        <w:t>situación de</w:t>
      </w:r>
      <w:r w:rsidR="00B23EB5">
        <w:rPr>
          <w:rFonts w:cs="Arial"/>
          <w:sz w:val="24"/>
          <w:szCs w:val="24"/>
        </w:rPr>
        <w:t xml:space="preserve"> riesgo, pues </w:t>
      </w:r>
      <w:r w:rsidR="005D28DE">
        <w:rPr>
          <w:rFonts w:cs="Arial"/>
          <w:sz w:val="24"/>
          <w:szCs w:val="24"/>
        </w:rPr>
        <w:t xml:space="preserve">aquel </w:t>
      </w:r>
      <w:r w:rsidR="00B23EB5">
        <w:rPr>
          <w:rFonts w:cs="Arial"/>
          <w:sz w:val="24"/>
          <w:szCs w:val="24"/>
        </w:rPr>
        <w:t xml:space="preserve">no fue el creador de </w:t>
      </w:r>
      <w:r w:rsidR="005D28DE">
        <w:rPr>
          <w:rFonts w:cs="Arial"/>
          <w:sz w:val="24"/>
          <w:szCs w:val="24"/>
        </w:rPr>
        <w:t xml:space="preserve">esta, </w:t>
      </w:r>
      <w:r w:rsidR="00C4641C">
        <w:rPr>
          <w:rFonts w:cs="Arial"/>
          <w:sz w:val="24"/>
          <w:szCs w:val="24"/>
        </w:rPr>
        <w:t xml:space="preserve">en </w:t>
      </w:r>
      <w:r w:rsidR="00C4641C" w:rsidRPr="0004650B">
        <w:rPr>
          <w:rFonts w:cs="Arial"/>
          <w:sz w:val="24"/>
          <w:szCs w:val="24"/>
        </w:rPr>
        <w:t xml:space="preserve">tanto </w:t>
      </w:r>
      <w:r w:rsidR="00780261" w:rsidRPr="0004650B">
        <w:rPr>
          <w:rFonts w:cs="Arial"/>
          <w:sz w:val="24"/>
          <w:szCs w:val="24"/>
        </w:rPr>
        <w:t>los ataque</w:t>
      </w:r>
      <w:r w:rsidR="00591370" w:rsidRPr="0004650B">
        <w:rPr>
          <w:rFonts w:cs="Arial"/>
          <w:sz w:val="24"/>
          <w:szCs w:val="24"/>
        </w:rPr>
        <w:t>s</w:t>
      </w:r>
      <w:r w:rsidR="00780261" w:rsidRPr="0004650B">
        <w:rPr>
          <w:rFonts w:cs="Arial"/>
          <w:sz w:val="24"/>
          <w:szCs w:val="24"/>
        </w:rPr>
        <w:t xml:space="preserve"> se</w:t>
      </w:r>
      <w:r w:rsidR="00780261">
        <w:rPr>
          <w:rFonts w:cs="Arial"/>
          <w:sz w:val="24"/>
          <w:szCs w:val="24"/>
        </w:rPr>
        <w:t xml:space="preserve"> dirigieron en contra de la empresa privada y</w:t>
      </w:r>
      <w:r w:rsidR="005D28DE">
        <w:rPr>
          <w:rFonts w:cs="Arial"/>
          <w:sz w:val="24"/>
          <w:szCs w:val="24"/>
        </w:rPr>
        <w:t>,</w:t>
      </w:r>
      <w:r w:rsidR="00780261">
        <w:rPr>
          <w:rFonts w:cs="Arial"/>
          <w:sz w:val="24"/>
          <w:szCs w:val="24"/>
        </w:rPr>
        <w:t xml:space="preserve"> </w:t>
      </w:r>
      <w:r w:rsidR="00780261" w:rsidRPr="00821264">
        <w:rPr>
          <w:rFonts w:cs="Arial"/>
          <w:sz w:val="24"/>
          <w:szCs w:val="24"/>
        </w:rPr>
        <w:t>además, no se acreditó que la petrolera</w:t>
      </w:r>
      <w:r w:rsidR="00780261">
        <w:rPr>
          <w:rFonts w:cs="Arial"/>
          <w:sz w:val="24"/>
          <w:szCs w:val="24"/>
        </w:rPr>
        <w:t xml:space="preserve"> hubiere solicitado</w:t>
      </w:r>
      <w:r w:rsidR="00B23EB5">
        <w:rPr>
          <w:rFonts w:cs="Arial"/>
          <w:sz w:val="24"/>
          <w:szCs w:val="24"/>
        </w:rPr>
        <w:t xml:space="preserve"> el acompañamiento </w:t>
      </w:r>
      <w:r w:rsidR="00FA3093">
        <w:rPr>
          <w:rFonts w:cs="Arial"/>
          <w:sz w:val="24"/>
          <w:szCs w:val="24"/>
        </w:rPr>
        <w:t>de las caravanas por parte de la entidad castrense</w:t>
      </w:r>
      <w:r w:rsidR="00C4641C">
        <w:rPr>
          <w:rFonts w:cs="Arial"/>
          <w:sz w:val="24"/>
          <w:szCs w:val="24"/>
        </w:rPr>
        <w:t xml:space="preserve">. Con esto, tuvo que </w:t>
      </w:r>
      <w:r w:rsidR="00B23EB5">
        <w:rPr>
          <w:rFonts w:cs="Arial"/>
          <w:sz w:val="24"/>
          <w:szCs w:val="24"/>
        </w:rPr>
        <w:t>el factor determinante fue el hecho de que esos camiones transportaban cr</w:t>
      </w:r>
      <w:r w:rsidR="00C05903">
        <w:rPr>
          <w:rFonts w:cs="Arial"/>
          <w:sz w:val="24"/>
          <w:szCs w:val="24"/>
        </w:rPr>
        <w:t>u</w:t>
      </w:r>
      <w:r w:rsidR="003673BD">
        <w:rPr>
          <w:rFonts w:cs="Arial"/>
          <w:sz w:val="24"/>
          <w:szCs w:val="24"/>
        </w:rPr>
        <w:t xml:space="preserve">do de la empresa </w:t>
      </w:r>
      <w:proofErr w:type="spellStart"/>
      <w:r w:rsidR="003673BD">
        <w:rPr>
          <w:rFonts w:cs="Arial"/>
          <w:sz w:val="24"/>
          <w:szCs w:val="24"/>
        </w:rPr>
        <w:t>Emeral</w:t>
      </w:r>
      <w:proofErr w:type="spellEnd"/>
      <w:r w:rsidR="003673BD">
        <w:rPr>
          <w:rFonts w:cs="Arial"/>
          <w:sz w:val="24"/>
          <w:szCs w:val="24"/>
        </w:rPr>
        <w:t xml:space="preserve"> </w:t>
      </w:r>
      <w:proofErr w:type="spellStart"/>
      <w:r w:rsidR="003673BD">
        <w:rPr>
          <w:rFonts w:cs="Arial"/>
          <w:sz w:val="24"/>
          <w:szCs w:val="24"/>
        </w:rPr>
        <w:t>Energy</w:t>
      </w:r>
      <w:proofErr w:type="spellEnd"/>
      <w:r w:rsidR="003673BD">
        <w:rPr>
          <w:rFonts w:cs="Arial"/>
          <w:sz w:val="24"/>
          <w:szCs w:val="24"/>
        </w:rPr>
        <w:t xml:space="preserve"> y no la presencia del Ejército en esa zona. </w:t>
      </w:r>
    </w:p>
    <w:p w14:paraId="6AD181D9" w14:textId="77777777" w:rsidR="00C05903" w:rsidRDefault="00C05903" w:rsidP="00934BF5">
      <w:pPr>
        <w:spacing w:line="360" w:lineRule="auto"/>
        <w:rPr>
          <w:rFonts w:cs="Arial"/>
          <w:sz w:val="24"/>
          <w:szCs w:val="24"/>
        </w:rPr>
      </w:pPr>
    </w:p>
    <w:p w14:paraId="01ACD783" w14:textId="3F325AD2" w:rsidR="00C05903" w:rsidRPr="000F4ABC" w:rsidRDefault="00C05903" w:rsidP="00934BF5">
      <w:pPr>
        <w:spacing w:line="360" w:lineRule="auto"/>
        <w:rPr>
          <w:rFonts w:cs="Arial"/>
          <w:sz w:val="24"/>
          <w:szCs w:val="24"/>
        </w:rPr>
      </w:pPr>
      <w:r>
        <w:rPr>
          <w:rFonts w:cs="Arial"/>
          <w:sz w:val="24"/>
          <w:szCs w:val="24"/>
        </w:rPr>
        <w:t>Finalmente, aseguró que tampoco se estaba ante un daño especial</w:t>
      </w:r>
      <w:r w:rsidR="004D69EF">
        <w:rPr>
          <w:rFonts w:cs="Arial"/>
          <w:sz w:val="24"/>
          <w:szCs w:val="24"/>
        </w:rPr>
        <w:t>,</w:t>
      </w:r>
      <w:r>
        <w:rPr>
          <w:rFonts w:cs="Arial"/>
          <w:sz w:val="24"/>
          <w:szCs w:val="24"/>
        </w:rPr>
        <w:t xml:space="preserve"> pues se descartó que la muerte de Daniel Gonz</w:t>
      </w:r>
      <w:r w:rsidR="00627AE5">
        <w:rPr>
          <w:rFonts w:cs="Arial"/>
          <w:sz w:val="24"/>
          <w:szCs w:val="24"/>
        </w:rPr>
        <w:t>ález Palomo haya sido consecue</w:t>
      </w:r>
      <w:r w:rsidR="003673BD">
        <w:rPr>
          <w:rFonts w:cs="Arial"/>
          <w:sz w:val="24"/>
          <w:szCs w:val="24"/>
        </w:rPr>
        <w:t>ncia de un actuar leg</w:t>
      </w:r>
      <w:r w:rsidR="005D28DE">
        <w:rPr>
          <w:rFonts w:cs="Arial"/>
          <w:sz w:val="24"/>
          <w:szCs w:val="24"/>
        </w:rPr>
        <w:t>í</w:t>
      </w:r>
      <w:r w:rsidR="003673BD">
        <w:rPr>
          <w:rFonts w:cs="Arial"/>
          <w:sz w:val="24"/>
          <w:szCs w:val="24"/>
        </w:rPr>
        <w:t>timo del E</w:t>
      </w:r>
      <w:r w:rsidR="004D69EF">
        <w:rPr>
          <w:rFonts w:cs="Arial"/>
          <w:sz w:val="24"/>
          <w:szCs w:val="24"/>
        </w:rPr>
        <w:t>stado en cabeza del Ejército N</w:t>
      </w:r>
      <w:r w:rsidR="00627AE5">
        <w:rPr>
          <w:rFonts w:cs="Arial"/>
          <w:sz w:val="24"/>
          <w:szCs w:val="24"/>
        </w:rPr>
        <w:t>acional,</w:t>
      </w:r>
      <w:r w:rsidR="004D69EF">
        <w:rPr>
          <w:rFonts w:cs="Arial"/>
          <w:sz w:val="24"/>
          <w:szCs w:val="24"/>
        </w:rPr>
        <w:t xml:space="preserve"> en cambio, se debió a que </w:t>
      </w:r>
      <w:r w:rsidR="005D28DE">
        <w:rPr>
          <w:rFonts w:cs="Arial"/>
          <w:sz w:val="24"/>
          <w:szCs w:val="24"/>
        </w:rPr>
        <w:t xml:space="preserve">este último </w:t>
      </w:r>
      <w:r w:rsidR="004D69EF">
        <w:rPr>
          <w:rFonts w:cs="Arial"/>
          <w:sz w:val="24"/>
          <w:szCs w:val="24"/>
        </w:rPr>
        <w:t>repelió</w:t>
      </w:r>
      <w:r w:rsidR="00627AE5">
        <w:rPr>
          <w:rFonts w:cs="Arial"/>
          <w:sz w:val="24"/>
          <w:szCs w:val="24"/>
        </w:rPr>
        <w:t xml:space="preserve"> </w:t>
      </w:r>
      <w:r w:rsidR="00627AE5">
        <w:rPr>
          <w:rFonts w:cs="Arial"/>
          <w:sz w:val="24"/>
          <w:szCs w:val="24"/>
        </w:rPr>
        <w:lastRenderedPageBreak/>
        <w:t xml:space="preserve">un ataque </w:t>
      </w:r>
      <w:r w:rsidR="000D25FE">
        <w:rPr>
          <w:rFonts w:cs="Arial"/>
          <w:sz w:val="24"/>
          <w:szCs w:val="24"/>
        </w:rPr>
        <w:t>que no se dirigió en su contra</w:t>
      </w:r>
      <w:r w:rsidR="00627AE5">
        <w:rPr>
          <w:rFonts w:cs="Arial"/>
          <w:sz w:val="24"/>
          <w:szCs w:val="24"/>
        </w:rPr>
        <w:t xml:space="preserve">, sino </w:t>
      </w:r>
      <w:r w:rsidR="000D25FE">
        <w:rPr>
          <w:rFonts w:cs="Arial"/>
          <w:sz w:val="24"/>
          <w:szCs w:val="24"/>
        </w:rPr>
        <w:t>de</w:t>
      </w:r>
      <w:r w:rsidR="00627AE5">
        <w:rPr>
          <w:rFonts w:cs="Arial"/>
          <w:sz w:val="24"/>
          <w:szCs w:val="24"/>
        </w:rPr>
        <w:t xml:space="preserve"> una caravana de carrotanques, </w:t>
      </w:r>
      <w:r w:rsidR="00591370">
        <w:rPr>
          <w:rFonts w:cs="Arial"/>
          <w:sz w:val="24"/>
          <w:szCs w:val="24"/>
        </w:rPr>
        <w:t>esto,</w:t>
      </w:r>
      <w:r w:rsidR="00627AE5">
        <w:rPr>
          <w:rFonts w:cs="Arial"/>
          <w:sz w:val="24"/>
          <w:szCs w:val="24"/>
        </w:rPr>
        <w:t xml:space="preserve"> en cumplimiento de los deber</w:t>
      </w:r>
      <w:r w:rsidR="00591370">
        <w:rPr>
          <w:rFonts w:cs="Arial"/>
          <w:sz w:val="24"/>
          <w:szCs w:val="24"/>
        </w:rPr>
        <w:t xml:space="preserve">es jurídicos </w:t>
      </w:r>
      <w:r w:rsidR="000D25FE">
        <w:rPr>
          <w:rFonts w:cs="Arial"/>
          <w:sz w:val="24"/>
          <w:szCs w:val="24"/>
        </w:rPr>
        <w:t xml:space="preserve">que tiene </w:t>
      </w:r>
      <w:r w:rsidR="00591370">
        <w:rPr>
          <w:rFonts w:cs="Arial"/>
          <w:sz w:val="24"/>
          <w:szCs w:val="24"/>
        </w:rPr>
        <w:t>asignados. A</w:t>
      </w:r>
      <w:r w:rsidR="007858BD">
        <w:rPr>
          <w:rFonts w:cs="Arial"/>
          <w:sz w:val="24"/>
          <w:szCs w:val="24"/>
        </w:rPr>
        <w:t>demás, puso</w:t>
      </w:r>
      <w:r w:rsidR="006D43E7">
        <w:rPr>
          <w:rFonts w:cs="Arial"/>
          <w:sz w:val="24"/>
          <w:szCs w:val="24"/>
        </w:rPr>
        <w:t xml:space="preserve"> de presente que las pruebas daban</w:t>
      </w:r>
      <w:r w:rsidR="007858BD">
        <w:rPr>
          <w:rFonts w:cs="Arial"/>
          <w:sz w:val="24"/>
          <w:szCs w:val="24"/>
        </w:rPr>
        <w:t xml:space="preserve"> cuenta de que el enfrentamiento ya conocido ocurrió en unas coordenadas distintas a </w:t>
      </w:r>
      <w:r w:rsidR="009B634F">
        <w:rPr>
          <w:rFonts w:cs="Arial"/>
          <w:sz w:val="24"/>
          <w:szCs w:val="24"/>
        </w:rPr>
        <w:t xml:space="preserve">las que ubican el sitio en el que </w:t>
      </w:r>
      <w:r w:rsidR="007858BD">
        <w:rPr>
          <w:rFonts w:cs="Arial"/>
          <w:sz w:val="24"/>
          <w:szCs w:val="24"/>
        </w:rPr>
        <w:t>fue hallado el vehículo que contenía el cuerpo sin vida.</w:t>
      </w:r>
      <w:r w:rsidR="00591370">
        <w:rPr>
          <w:rFonts w:cs="Arial"/>
          <w:sz w:val="24"/>
          <w:szCs w:val="24"/>
        </w:rPr>
        <w:t xml:space="preserve"> </w:t>
      </w:r>
    </w:p>
    <w:p w14:paraId="25C8E09F" w14:textId="77777777" w:rsidR="00B16ABF" w:rsidRPr="004D1B87" w:rsidRDefault="00B16ABF" w:rsidP="00934BF5">
      <w:pPr>
        <w:spacing w:line="360" w:lineRule="auto"/>
        <w:rPr>
          <w:rFonts w:cs="Arial"/>
          <w:b/>
          <w:sz w:val="24"/>
          <w:szCs w:val="24"/>
        </w:rPr>
      </w:pPr>
    </w:p>
    <w:p w14:paraId="265E04E9" w14:textId="77777777" w:rsidR="005F3DF7" w:rsidRPr="004D1B87" w:rsidRDefault="005F3DF7" w:rsidP="005F3DF7">
      <w:pPr>
        <w:pStyle w:val="Sinespaciado"/>
        <w:spacing w:line="360" w:lineRule="auto"/>
        <w:jc w:val="both"/>
        <w:rPr>
          <w:rFonts w:ascii="Arial" w:hAnsi="Arial" w:cs="Arial"/>
          <w:b/>
          <w:sz w:val="24"/>
          <w:szCs w:val="24"/>
        </w:rPr>
      </w:pPr>
      <w:r w:rsidRPr="0058249E">
        <w:rPr>
          <w:rFonts w:ascii="Arial" w:hAnsi="Arial" w:cs="Arial"/>
          <w:b/>
          <w:sz w:val="24"/>
          <w:szCs w:val="24"/>
        </w:rPr>
        <w:t>1.2.- Fundamentos de la acción de tutela</w:t>
      </w:r>
    </w:p>
    <w:p w14:paraId="7FEF2D9E" w14:textId="77777777" w:rsidR="005F3DF7" w:rsidRDefault="005F3DF7" w:rsidP="00934BF5">
      <w:pPr>
        <w:spacing w:line="360" w:lineRule="auto"/>
        <w:rPr>
          <w:rFonts w:cs="Arial"/>
          <w:sz w:val="24"/>
          <w:szCs w:val="24"/>
        </w:rPr>
      </w:pPr>
    </w:p>
    <w:p w14:paraId="15B5F179" w14:textId="21E21D7B" w:rsidR="00095EA3" w:rsidRDefault="004E64A8" w:rsidP="00934BF5">
      <w:pPr>
        <w:spacing w:line="360" w:lineRule="auto"/>
        <w:rPr>
          <w:rFonts w:cs="Arial"/>
          <w:sz w:val="24"/>
          <w:szCs w:val="24"/>
        </w:rPr>
      </w:pPr>
      <w:r>
        <w:rPr>
          <w:rFonts w:cs="Arial"/>
          <w:sz w:val="24"/>
          <w:szCs w:val="24"/>
        </w:rPr>
        <w:t xml:space="preserve">1.2.1.- </w:t>
      </w:r>
      <w:r w:rsidR="00095EA3">
        <w:rPr>
          <w:rFonts w:cs="Arial"/>
          <w:sz w:val="24"/>
          <w:szCs w:val="24"/>
        </w:rPr>
        <w:t xml:space="preserve">Los tutelantes adujeron que las autoridades judiciales accionadas incurrieron en un </w:t>
      </w:r>
      <w:r w:rsidR="00095EA3">
        <w:rPr>
          <w:rFonts w:cs="Arial"/>
          <w:i/>
          <w:sz w:val="24"/>
          <w:szCs w:val="24"/>
        </w:rPr>
        <w:t xml:space="preserve">defecto fáctico </w:t>
      </w:r>
      <w:r w:rsidR="00095EA3">
        <w:rPr>
          <w:rFonts w:cs="Arial"/>
          <w:sz w:val="24"/>
          <w:szCs w:val="24"/>
        </w:rPr>
        <w:t>por ausencia de valoración probatoria, por cuanto</w:t>
      </w:r>
      <w:r w:rsidR="00E50935">
        <w:rPr>
          <w:rFonts w:cs="Arial"/>
          <w:sz w:val="24"/>
          <w:szCs w:val="24"/>
        </w:rPr>
        <w:t>,</w:t>
      </w:r>
      <w:r w:rsidR="00095EA3">
        <w:rPr>
          <w:rFonts w:cs="Arial"/>
          <w:sz w:val="24"/>
          <w:szCs w:val="24"/>
        </w:rPr>
        <w:t xml:space="preserve"> a pesar de que se allegaron pruebas que acreditaban el acaecim</w:t>
      </w:r>
      <w:r w:rsidR="006D43E7">
        <w:rPr>
          <w:rFonts w:cs="Arial"/>
          <w:sz w:val="24"/>
          <w:szCs w:val="24"/>
        </w:rPr>
        <w:t>iento de los combates entre la Fuerza P</w:t>
      </w:r>
      <w:r w:rsidR="00095EA3">
        <w:rPr>
          <w:rFonts w:cs="Arial"/>
          <w:sz w:val="24"/>
          <w:szCs w:val="24"/>
        </w:rPr>
        <w:t>ública y el grupo ar</w:t>
      </w:r>
      <w:r w:rsidR="00E50935">
        <w:rPr>
          <w:rFonts w:cs="Arial"/>
          <w:sz w:val="24"/>
          <w:szCs w:val="24"/>
        </w:rPr>
        <w:t>mado ilegal, estas no fueron tenida</w:t>
      </w:r>
      <w:r w:rsidR="006D43E7">
        <w:rPr>
          <w:rFonts w:cs="Arial"/>
          <w:sz w:val="24"/>
          <w:szCs w:val="24"/>
        </w:rPr>
        <w:t>s en cuenta</w:t>
      </w:r>
      <w:r w:rsidR="00E50935">
        <w:rPr>
          <w:rFonts w:cs="Arial"/>
          <w:sz w:val="24"/>
          <w:szCs w:val="24"/>
        </w:rPr>
        <w:t xml:space="preserve"> al momento de emitir los fallos</w:t>
      </w:r>
      <w:r w:rsidR="006D43E7">
        <w:rPr>
          <w:rFonts w:cs="Arial"/>
          <w:sz w:val="24"/>
          <w:szCs w:val="24"/>
        </w:rPr>
        <w:t>.</w:t>
      </w:r>
      <w:r>
        <w:rPr>
          <w:rFonts w:cs="Arial"/>
          <w:sz w:val="24"/>
          <w:szCs w:val="24"/>
        </w:rPr>
        <w:t xml:space="preserve"> Entre los documentos </w:t>
      </w:r>
      <w:r w:rsidR="00E50935">
        <w:rPr>
          <w:rFonts w:cs="Arial"/>
          <w:sz w:val="24"/>
          <w:szCs w:val="24"/>
        </w:rPr>
        <w:t>presuntamente desconocidos, se encuentran los que siguen</w:t>
      </w:r>
      <w:r>
        <w:rPr>
          <w:rFonts w:cs="Arial"/>
          <w:sz w:val="24"/>
          <w:szCs w:val="24"/>
        </w:rPr>
        <w:t xml:space="preserve">: </w:t>
      </w:r>
    </w:p>
    <w:p w14:paraId="7FFD7829" w14:textId="77777777" w:rsidR="004E64A8" w:rsidRDefault="004E64A8" w:rsidP="00934BF5">
      <w:pPr>
        <w:spacing w:line="360" w:lineRule="auto"/>
        <w:rPr>
          <w:rFonts w:cs="Arial"/>
          <w:sz w:val="24"/>
          <w:szCs w:val="24"/>
        </w:rPr>
      </w:pPr>
    </w:p>
    <w:p w14:paraId="39F7A87E" w14:textId="6089373F" w:rsidR="004E64A8" w:rsidRPr="00195032" w:rsidRDefault="00195032" w:rsidP="004E64A8">
      <w:pPr>
        <w:pStyle w:val="Prrafodelista"/>
        <w:numPr>
          <w:ilvl w:val="0"/>
          <w:numId w:val="1"/>
        </w:numPr>
        <w:spacing w:line="360" w:lineRule="auto"/>
        <w:rPr>
          <w:rFonts w:cs="Arial"/>
          <w:sz w:val="24"/>
          <w:szCs w:val="24"/>
        </w:rPr>
      </w:pPr>
      <w:r>
        <w:rPr>
          <w:rFonts w:cs="Arial"/>
          <w:sz w:val="24"/>
          <w:szCs w:val="24"/>
        </w:rPr>
        <w:t>Los i</w:t>
      </w:r>
      <w:r w:rsidR="004E64A8">
        <w:rPr>
          <w:rFonts w:cs="Arial"/>
          <w:sz w:val="24"/>
          <w:szCs w:val="24"/>
        </w:rPr>
        <w:t>nforme</w:t>
      </w:r>
      <w:r>
        <w:rPr>
          <w:rFonts w:cs="Arial"/>
          <w:sz w:val="24"/>
          <w:szCs w:val="24"/>
        </w:rPr>
        <w:t>s</w:t>
      </w:r>
      <w:r w:rsidR="004E64A8">
        <w:rPr>
          <w:rFonts w:cs="Arial"/>
          <w:sz w:val="24"/>
          <w:szCs w:val="24"/>
        </w:rPr>
        <w:t xml:space="preserve"> ejecutivo</w:t>
      </w:r>
      <w:r w:rsidR="002A5E2C">
        <w:rPr>
          <w:rFonts w:cs="Arial"/>
          <w:sz w:val="24"/>
          <w:szCs w:val="24"/>
        </w:rPr>
        <w:t>s</w:t>
      </w:r>
      <w:r w:rsidR="004E64A8">
        <w:rPr>
          <w:rFonts w:cs="Arial"/>
          <w:sz w:val="24"/>
          <w:szCs w:val="24"/>
        </w:rPr>
        <w:t xml:space="preserve"> FPJ-3 del 17 de septiembre de 2011, emitido</w:t>
      </w:r>
      <w:r w:rsidR="002A5E2C">
        <w:rPr>
          <w:rFonts w:cs="Arial"/>
          <w:sz w:val="24"/>
          <w:szCs w:val="24"/>
        </w:rPr>
        <w:t>s</w:t>
      </w:r>
      <w:r w:rsidR="004E64A8">
        <w:rPr>
          <w:rFonts w:cs="Arial"/>
          <w:sz w:val="24"/>
          <w:szCs w:val="24"/>
        </w:rPr>
        <w:t xml:space="preserve"> por el señor José Mauricio Upegui Puerta, servidor de la Polic</w:t>
      </w:r>
      <w:r>
        <w:rPr>
          <w:rFonts w:cs="Arial"/>
          <w:sz w:val="24"/>
          <w:szCs w:val="24"/>
        </w:rPr>
        <w:t xml:space="preserve">ía Judicial; y el rendido por el comandante de la Compañía Alarcón ST. Diego Fernando Silva Castro al comandante del </w:t>
      </w:r>
      <w:proofErr w:type="spellStart"/>
      <w:r>
        <w:rPr>
          <w:rFonts w:cs="Arial"/>
          <w:sz w:val="24"/>
          <w:szCs w:val="24"/>
        </w:rPr>
        <w:t>Bacof</w:t>
      </w:r>
      <w:proofErr w:type="spellEnd"/>
      <w:r>
        <w:rPr>
          <w:rFonts w:cs="Arial"/>
          <w:sz w:val="24"/>
          <w:szCs w:val="24"/>
        </w:rPr>
        <w:t xml:space="preserve"> 12 “Diosa del </w:t>
      </w:r>
      <w:proofErr w:type="spellStart"/>
      <w:r>
        <w:rPr>
          <w:rFonts w:cs="Arial"/>
          <w:sz w:val="24"/>
          <w:szCs w:val="24"/>
        </w:rPr>
        <w:t>Chairá</w:t>
      </w:r>
      <w:proofErr w:type="spellEnd"/>
      <w:r>
        <w:rPr>
          <w:rFonts w:cs="Arial"/>
          <w:sz w:val="24"/>
          <w:szCs w:val="24"/>
        </w:rPr>
        <w:t>” de la misma fecha; en los</w:t>
      </w:r>
      <w:r w:rsidR="004E64A8">
        <w:rPr>
          <w:rFonts w:cs="Arial"/>
          <w:sz w:val="24"/>
          <w:szCs w:val="24"/>
        </w:rPr>
        <w:t xml:space="preserve"> que se indicó que los soldados estaban cuidando la carretera para custodiar el paso de la caravana de</w:t>
      </w:r>
      <w:r w:rsidR="00A00C96">
        <w:rPr>
          <w:rFonts w:cs="Arial"/>
          <w:sz w:val="24"/>
          <w:szCs w:val="24"/>
        </w:rPr>
        <w:t xml:space="preserve"> carrotanques de la empresa </w:t>
      </w:r>
      <w:r>
        <w:rPr>
          <w:rFonts w:cs="Arial"/>
          <w:sz w:val="24"/>
          <w:szCs w:val="24"/>
        </w:rPr>
        <w:t xml:space="preserve">cuando fueron atacados por los miembros de las FARC, </w:t>
      </w:r>
      <w:r w:rsidR="00A00C96">
        <w:rPr>
          <w:rFonts w:cs="Arial"/>
          <w:sz w:val="24"/>
          <w:szCs w:val="24"/>
        </w:rPr>
        <w:t>por lo que</w:t>
      </w:r>
      <w:r>
        <w:rPr>
          <w:rFonts w:cs="Arial"/>
          <w:sz w:val="24"/>
          <w:szCs w:val="24"/>
        </w:rPr>
        <w:t xml:space="preserve"> </w:t>
      </w:r>
      <w:r w:rsidR="00A00C96">
        <w:rPr>
          <w:rFonts w:cs="Arial"/>
          <w:i/>
          <w:sz w:val="24"/>
          <w:szCs w:val="24"/>
        </w:rPr>
        <w:t xml:space="preserve">“rápidamente ellos </w:t>
      </w:r>
      <w:proofErr w:type="spellStart"/>
      <w:r w:rsidR="00A00C96">
        <w:rPr>
          <w:rFonts w:cs="Arial"/>
          <w:i/>
          <w:sz w:val="24"/>
          <w:szCs w:val="24"/>
        </w:rPr>
        <w:t>repel</w:t>
      </w:r>
      <w:proofErr w:type="spellEnd"/>
      <w:r w:rsidR="00A00C96">
        <w:rPr>
          <w:rFonts w:cs="Arial"/>
          <w:i/>
          <w:sz w:val="24"/>
          <w:szCs w:val="24"/>
        </w:rPr>
        <w:t>[</w:t>
      </w:r>
      <w:proofErr w:type="spellStart"/>
      <w:r w:rsidR="00A00C96">
        <w:rPr>
          <w:rFonts w:cs="Arial"/>
          <w:i/>
          <w:sz w:val="24"/>
          <w:szCs w:val="24"/>
        </w:rPr>
        <w:t>ieron</w:t>
      </w:r>
      <w:proofErr w:type="spellEnd"/>
      <w:r w:rsidR="00A00C96">
        <w:rPr>
          <w:rFonts w:cs="Arial"/>
          <w:i/>
          <w:sz w:val="24"/>
          <w:szCs w:val="24"/>
        </w:rPr>
        <w:t>] el ataque y toma[ron] nuevamente la</w:t>
      </w:r>
      <w:r w:rsidRPr="00195032">
        <w:rPr>
          <w:rFonts w:cs="Arial"/>
          <w:i/>
          <w:sz w:val="24"/>
          <w:szCs w:val="24"/>
        </w:rPr>
        <w:t xml:space="preserve"> seguridad en la vía”</w:t>
      </w:r>
      <w:r w:rsidRPr="002A5E2C">
        <w:rPr>
          <w:rStyle w:val="Refdenotaalpie"/>
          <w:rFonts w:cs="Arial"/>
          <w:iCs/>
          <w:sz w:val="24"/>
          <w:szCs w:val="24"/>
        </w:rPr>
        <w:footnoteReference w:id="8"/>
      </w:r>
      <w:r w:rsidRPr="002A5E2C">
        <w:rPr>
          <w:rFonts w:cs="Arial"/>
          <w:iCs/>
          <w:sz w:val="24"/>
          <w:szCs w:val="24"/>
        </w:rPr>
        <w:t>.</w:t>
      </w:r>
    </w:p>
    <w:p w14:paraId="6D07BD51" w14:textId="3A7C7E16" w:rsidR="00195032" w:rsidRDefault="00195032" w:rsidP="004E64A8">
      <w:pPr>
        <w:pStyle w:val="Prrafodelista"/>
        <w:numPr>
          <w:ilvl w:val="0"/>
          <w:numId w:val="1"/>
        </w:numPr>
        <w:spacing w:line="360" w:lineRule="auto"/>
        <w:rPr>
          <w:rFonts w:cs="Arial"/>
          <w:sz w:val="24"/>
          <w:szCs w:val="24"/>
        </w:rPr>
      </w:pPr>
      <w:r>
        <w:rPr>
          <w:rFonts w:cs="Arial"/>
          <w:sz w:val="24"/>
          <w:szCs w:val="24"/>
        </w:rPr>
        <w:t>La entrevista FPJ-14 realizada por César Augusto Ávila Ospina, miembro del Ej</w:t>
      </w:r>
      <w:r w:rsidR="00BA14A5">
        <w:rPr>
          <w:rFonts w:cs="Arial"/>
          <w:sz w:val="24"/>
          <w:szCs w:val="24"/>
        </w:rPr>
        <w:t xml:space="preserve">ército Nacional, en la que luego de relatar lo sucedido el día de los hechos aseguró que fue en el momento en el que llegaron los soldados </w:t>
      </w:r>
      <w:r w:rsidR="006C267B">
        <w:rPr>
          <w:rFonts w:cs="Arial"/>
          <w:sz w:val="24"/>
          <w:szCs w:val="24"/>
        </w:rPr>
        <w:t xml:space="preserve">a la carretera, que </w:t>
      </w:r>
      <w:r w:rsidR="00BA14A5">
        <w:rPr>
          <w:rFonts w:cs="Arial"/>
          <w:sz w:val="24"/>
          <w:szCs w:val="24"/>
        </w:rPr>
        <w:t>empezaron los disparos</w:t>
      </w:r>
      <w:r w:rsidR="006C267B">
        <w:rPr>
          <w:rFonts w:cs="Arial"/>
          <w:sz w:val="24"/>
          <w:szCs w:val="24"/>
        </w:rPr>
        <w:t xml:space="preserve">, lo cual derivó en la muerte del civil. </w:t>
      </w:r>
    </w:p>
    <w:p w14:paraId="5CF6BA92" w14:textId="75B7D382" w:rsidR="006C267B" w:rsidRPr="004E64A8" w:rsidRDefault="006C267B" w:rsidP="004E64A8">
      <w:pPr>
        <w:pStyle w:val="Prrafodelista"/>
        <w:numPr>
          <w:ilvl w:val="0"/>
          <w:numId w:val="1"/>
        </w:numPr>
        <w:spacing w:line="360" w:lineRule="auto"/>
        <w:rPr>
          <w:rFonts w:cs="Arial"/>
          <w:sz w:val="24"/>
          <w:szCs w:val="24"/>
        </w:rPr>
      </w:pPr>
      <w:r>
        <w:rPr>
          <w:rFonts w:cs="Arial"/>
          <w:sz w:val="24"/>
          <w:szCs w:val="24"/>
        </w:rPr>
        <w:t>La remisión por competencia, firmada por el Fiscal 16 seccional</w:t>
      </w:r>
      <w:r w:rsidR="009845DD">
        <w:rPr>
          <w:rFonts w:cs="Arial"/>
          <w:sz w:val="24"/>
          <w:szCs w:val="24"/>
        </w:rPr>
        <w:t>,</w:t>
      </w:r>
      <w:r>
        <w:rPr>
          <w:rFonts w:cs="Arial"/>
          <w:sz w:val="24"/>
          <w:szCs w:val="24"/>
        </w:rPr>
        <w:t xml:space="preserve"> Julián Alberto Calderón Montes, en la que se afirmó que el atentado iba dirigido en contra de los medios de transporte de infraestructura petrolera y de la Fuerza Pública que custodiaba la caravana. </w:t>
      </w:r>
    </w:p>
    <w:p w14:paraId="00604D7B" w14:textId="77777777" w:rsidR="00095EA3" w:rsidRDefault="00095EA3" w:rsidP="00934BF5">
      <w:pPr>
        <w:spacing w:line="360" w:lineRule="auto"/>
        <w:rPr>
          <w:rFonts w:cs="Arial"/>
          <w:sz w:val="24"/>
          <w:szCs w:val="24"/>
        </w:rPr>
      </w:pPr>
    </w:p>
    <w:p w14:paraId="31EE07CF" w14:textId="13AE688B" w:rsidR="005F3825" w:rsidRPr="00E201D1" w:rsidRDefault="00E909C7" w:rsidP="00934BF5">
      <w:pPr>
        <w:spacing w:line="360" w:lineRule="auto"/>
        <w:rPr>
          <w:rFonts w:cs="Arial"/>
          <w:sz w:val="24"/>
          <w:szCs w:val="24"/>
        </w:rPr>
      </w:pPr>
      <w:r>
        <w:rPr>
          <w:rFonts w:cs="Arial"/>
          <w:sz w:val="24"/>
          <w:szCs w:val="24"/>
        </w:rPr>
        <w:t>Con estos elementos probatorios</w:t>
      </w:r>
      <w:r w:rsidR="006425CE">
        <w:rPr>
          <w:rFonts w:cs="Arial"/>
          <w:sz w:val="24"/>
          <w:szCs w:val="24"/>
        </w:rPr>
        <w:t>, a su juicio</w:t>
      </w:r>
      <w:r w:rsidR="00E201D1">
        <w:rPr>
          <w:rFonts w:cs="Arial"/>
          <w:sz w:val="24"/>
          <w:szCs w:val="24"/>
        </w:rPr>
        <w:t xml:space="preserve">, se demostraba que el Ejército Nacional se encontraba en labores de custodia de la caravana petrolera cuando fueron hostigados </w:t>
      </w:r>
      <w:r w:rsidR="00E201D1">
        <w:rPr>
          <w:rFonts w:cs="Arial"/>
          <w:sz w:val="24"/>
          <w:szCs w:val="24"/>
        </w:rPr>
        <w:lastRenderedPageBreak/>
        <w:t xml:space="preserve">por miembros de las FARC, enfrentamiento en el que resultó </w:t>
      </w:r>
      <w:r>
        <w:rPr>
          <w:rFonts w:cs="Arial"/>
          <w:sz w:val="24"/>
          <w:szCs w:val="24"/>
        </w:rPr>
        <w:t>el fallecimiento ya relatado</w:t>
      </w:r>
      <w:r w:rsidR="00E201D1">
        <w:rPr>
          <w:rFonts w:cs="Arial"/>
          <w:sz w:val="24"/>
          <w:szCs w:val="24"/>
        </w:rPr>
        <w:t xml:space="preserve">, configurándose así un </w:t>
      </w:r>
      <w:r w:rsidR="00E201D1" w:rsidRPr="00E201D1">
        <w:rPr>
          <w:rFonts w:cs="Arial"/>
          <w:i/>
          <w:sz w:val="24"/>
          <w:szCs w:val="24"/>
        </w:rPr>
        <w:t>“típico caso de responsabilidad del Estado con fundamento en el título jurídico del daño especial, pues la muerte (…) se produjo durante un enfrentamiento armado entre la Fuerza Pública y grupos al margen de la ley (…).”</w:t>
      </w:r>
      <w:r w:rsidR="00E201D1" w:rsidRPr="002A5E2C">
        <w:rPr>
          <w:rStyle w:val="Refdenotaalpie"/>
          <w:rFonts w:cs="Arial"/>
          <w:iCs/>
          <w:sz w:val="24"/>
          <w:szCs w:val="24"/>
        </w:rPr>
        <w:footnoteReference w:id="9"/>
      </w:r>
      <w:r w:rsidR="00E201D1" w:rsidRPr="002A5E2C">
        <w:rPr>
          <w:rFonts w:cs="Arial"/>
          <w:iCs/>
          <w:sz w:val="24"/>
          <w:szCs w:val="24"/>
        </w:rPr>
        <w:t>.</w:t>
      </w:r>
      <w:r w:rsidR="00E201D1">
        <w:rPr>
          <w:rFonts w:cs="Arial"/>
          <w:i/>
          <w:sz w:val="24"/>
          <w:szCs w:val="24"/>
        </w:rPr>
        <w:t xml:space="preserve"> </w:t>
      </w:r>
      <w:r w:rsidR="00E201D1">
        <w:rPr>
          <w:rFonts w:cs="Arial"/>
          <w:sz w:val="24"/>
          <w:szCs w:val="24"/>
        </w:rPr>
        <w:t>Agrega</w:t>
      </w:r>
      <w:r w:rsidR="00320536">
        <w:rPr>
          <w:rFonts w:cs="Arial"/>
          <w:sz w:val="24"/>
          <w:szCs w:val="24"/>
        </w:rPr>
        <w:t>n</w:t>
      </w:r>
      <w:r w:rsidR="00E201D1">
        <w:rPr>
          <w:rFonts w:cs="Arial"/>
          <w:sz w:val="24"/>
          <w:szCs w:val="24"/>
        </w:rPr>
        <w:t xml:space="preserve"> que con los referidos documentos se probaba que la intención de los autores del acto terrorista era atacar el Ejército Nacional y a la institucionalidad que representa, esto es, al Estado</w:t>
      </w:r>
      <w:r w:rsidR="00211749">
        <w:rPr>
          <w:rFonts w:cs="Arial"/>
          <w:sz w:val="24"/>
          <w:szCs w:val="24"/>
        </w:rPr>
        <w:t>, y al resultar afectado el señor Daniel Alfredo Gonz</w:t>
      </w:r>
      <w:r w:rsidR="00320536">
        <w:rPr>
          <w:rFonts w:cs="Arial"/>
          <w:sz w:val="24"/>
          <w:szCs w:val="24"/>
        </w:rPr>
        <w:t>ález por ello, se rompió</w:t>
      </w:r>
      <w:r w:rsidR="00211749">
        <w:rPr>
          <w:rFonts w:cs="Arial"/>
          <w:sz w:val="24"/>
          <w:szCs w:val="24"/>
        </w:rPr>
        <w:t xml:space="preserve"> con el principio de igualdad frente a las cargas públicas, </w:t>
      </w:r>
      <w:r>
        <w:rPr>
          <w:rFonts w:cs="Arial"/>
          <w:sz w:val="24"/>
          <w:szCs w:val="24"/>
        </w:rPr>
        <w:t>por lo que procedía la indemnización de</w:t>
      </w:r>
      <w:r w:rsidR="00211749">
        <w:rPr>
          <w:rFonts w:cs="Arial"/>
          <w:sz w:val="24"/>
          <w:szCs w:val="24"/>
        </w:rPr>
        <w:t xml:space="preserve"> la lesión patrimonial c</w:t>
      </w:r>
      <w:r w:rsidR="00320536">
        <w:rPr>
          <w:rFonts w:cs="Arial"/>
          <w:sz w:val="24"/>
          <w:szCs w:val="24"/>
        </w:rPr>
        <w:t xml:space="preserve">ausada. </w:t>
      </w:r>
    </w:p>
    <w:p w14:paraId="6D4555A9" w14:textId="77777777" w:rsidR="00211749" w:rsidRDefault="00211749" w:rsidP="005F3DF7">
      <w:pPr>
        <w:pStyle w:val="Sinespaciado"/>
        <w:spacing w:line="360" w:lineRule="auto"/>
        <w:jc w:val="both"/>
        <w:rPr>
          <w:rFonts w:ascii="Arial" w:hAnsi="Arial" w:cs="Arial"/>
          <w:b/>
          <w:sz w:val="24"/>
          <w:szCs w:val="24"/>
          <w:lang w:val="es-ES"/>
        </w:rPr>
      </w:pPr>
    </w:p>
    <w:p w14:paraId="17F413FF" w14:textId="54E3DFBC" w:rsidR="0010628F" w:rsidRPr="0010628F" w:rsidRDefault="0010628F" w:rsidP="005F3DF7">
      <w:pPr>
        <w:pStyle w:val="Sinespaciado"/>
        <w:spacing w:line="360" w:lineRule="auto"/>
        <w:jc w:val="both"/>
        <w:rPr>
          <w:rFonts w:ascii="Arial" w:hAnsi="Arial" w:cs="Arial"/>
          <w:sz w:val="24"/>
          <w:szCs w:val="24"/>
          <w:lang w:val="es-ES"/>
        </w:rPr>
      </w:pPr>
      <w:r>
        <w:rPr>
          <w:rFonts w:ascii="Arial" w:hAnsi="Arial" w:cs="Arial"/>
          <w:sz w:val="24"/>
          <w:szCs w:val="24"/>
          <w:lang w:val="es-ES"/>
        </w:rPr>
        <w:t xml:space="preserve">1.2.2.- </w:t>
      </w:r>
      <w:r w:rsidR="006F74E6">
        <w:rPr>
          <w:rFonts w:ascii="Arial" w:hAnsi="Arial" w:cs="Arial"/>
          <w:sz w:val="24"/>
          <w:szCs w:val="24"/>
          <w:lang w:val="es-ES"/>
        </w:rPr>
        <w:t>Ponen de presente que los hijos menores del señor González Palomo, representados por su madre, impetraron acción de reparación directa en contra de la Nación – Ministerio de Defensa Nacional – Policía Nacional – Ejército Nacional</w:t>
      </w:r>
      <w:r w:rsidR="00A51782">
        <w:rPr>
          <w:rFonts w:ascii="Arial" w:hAnsi="Arial" w:cs="Arial"/>
          <w:sz w:val="24"/>
          <w:szCs w:val="24"/>
          <w:lang w:val="es-ES"/>
        </w:rPr>
        <w:t xml:space="preserve"> bajo el radicado No. 18001-33-33-001-2013-0694-00</w:t>
      </w:r>
      <w:r w:rsidR="006F74E6">
        <w:rPr>
          <w:rFonts w:ascii="Arial" w:hAnsi="Arial" w:cs="Arial"/>
          <w:sz w:val="24"/>
          <w:szCs w:val="24"/>
          <w:lang w:val="es-ES"/>
        </w:rPr>
        <w:t xml:space="preserve">, en la que se invocaron las mismas situaciones fácticas y jurídicas </w:t>
      </w:r>
      <w:r w:rsidR="00A51782">
        <w:rPr>
          <w:rFonts w:ascii="Arial" w:hAnsi="Arial" w:cs="Arial"/>
          <w:sz w:val="24"/>
          <w:szCs w:val="24"/>
          <w:lang w:val="es-ES"/>
        </w:rPr>
        <w:t>que en el proceso censurado en esta oportunidad; sin embargo, a</w:t>
      </w:r>
      <w:r w:rsidR="00BA13C1">
        <w:rPr>
          <w:rFonts w:ascii="Arial" w:hAnsi="Arial" w:cs="Arial"/>
          <w:sz w:val="24"/>
          <w:szCs w:val="24"/>
          <w:lang w:val="es-ES"/>
        </w:rPr>
        <w:t>quella</w:t>
      </w:r>
      <w:r w:rsidR="006F74E6">
        <w:rPr>
          <w:rFonts w:ascii="Arial" w:hAnsi="Arial" w:cs="Arial"/>
          <w:sz w:val="24"/>
          <w:szCs w:val="24"/>
          <w:lang w:val="es-ES"/>
        </w:rPr>
        <w:t xml:space="preserve"> fue resuelta </w:t>
      </w:r>
      <w:r w:rsidR="00A51782">
        <w:rPr>
          <w:rFonts w:ascii="Arial" w:hAnsi="Arial" w:cs="Arial"/>
          <w:sz w:val="24"/>
          <w:szCs w:val="24"/>
          <w:lang w:val="es-ES"/>
        </w:rPr>
        <w:t xml:space="preserve">favorablemente por el </w:t>
      </w:r>
      <w:r w:rsidR="006F74E6">
        <w:rPr>
          <w:rFonts w:ascii="Arial" w:hAnsi="Arial" w:cs="Arial"/>
          <w:sz w:val="24"/>
          <w:szCs w:val="24"/>
          <w:lang w:val="es-ES"/>
        </w:rPr>
        <w:t xml:space="preserve">Juzgado Primero Administrativo de Florencia, </w:t>
      </w:r>
      <w:r w:rsidR="003A1662">
        <w:rPr>
          <w:rFonts w:ascii="Arial" w:hAnsi="Arial" w:cs="Arial"/>
          <w:sz w:val="24"/>
          <w:szCs w:val="24"/>
          <w:lang w:val="es-ES"/>
        </w:rPr>
        <w:t>puesto que</w:t>
      </w:r>
      <w:r w:rsidR="00227212">
        <w:rPr>
          <w:rFonts w:ascii="Arial" w:hAnsi="Arial" w:cs="Arial"/>
          <w:sz w:val="24"/>
          <w:szCs w:val="24"/>
          <w:lang w:val="es-ES"/>
        </w:rPr>
        <w:t xml:space="preserve"> en</w:t>
      </w:r>
      <w:r w:rsidR="00A51782">
        <w:rPr>
          <w:rFonts w:ascii="Arial" w:hAnsi="Arial" w:cs="Arial"/>
          <w:sz w:val="24"/>
          <w:szCs w:val="24"/>
          <w:lang w:val="es-ES"/>
        </w:rPr>
        <w:t xml:space="preserve"> providencia del </w:t>
      </w:r>
      <w:r w:rsidR="00227212">
        <w:rPr>
          <w:rFonts w:ascii="Arial" w:hAnsi="Arial" w:cs="Arial"/>
          <w:sz w:val="24"/>
          <w:szCs w:val="24"/>
          <w:lang w:val="es-ES"/>
        </w:rPr>
        <w:t>4 de octubre de 2017</w:t>
      </w:r>
      <w:r w:rsidR="00227212">
        <w:rPr>
          <w:rStyle w:val="Refdenotaalpie"/>
          <w:rFonts w:ascii="Arial" w:hAnsi="Arial" w:cs="Arial"/>
          <w:sz w:val="24"/>
          <w:szCs w:val="24"/>
          <w:lang w:val="es-ES"/>
        </w:rPr>
        <w:footnoteReference w:id="10"/>
      </w:r>
      <w:r w:rsidR="00227212">
        <w:rPr>
          <w:rFonts w:ascii="Arial" w:hAnsi="Arial" w:cs="Arial"/>
          <w:sz w:val="24"/>
          <w:szCs w:val="24"/>
          <w:lang w:val="es-ES"/>
        </w:rPr>
        <w:t xml:space="preserve"> </w:t>
      </w:r>
      <w:r w:rsidR="006F74E6">
        <w:rPr>
          <w:rFonts w:ascii="Arial" w:hAnsi="Arial" w:cs="Arial"/>
          <w:sz w:val="24"/>
          <w:szCs w:val="24"/>
          <w:lang w:val="es-ES"/>
        </w:rPr>
        <w:t xml:space="preserve">declaró responsable administrativa y patrimonialmente a las demandadas por el fallecimiento </w:t>
      </w:r>
      <w:r w:rsidR="00BA13C1">
        <w:rPr>
          <w:rFonts w:ascii="Arial" w:hAnsi="Arial" w:cs="Arial"/>
          <w:sz w:val="24"/>
          <w:szCs w:val="24"/>
          <w:lang w:val="es-ES"/>
        </w:rPr>
        <w:t xml:space="preserve">de su familiar. Resaltan que no es concebible </w:t>
      </w:r>
      <w:proofErr w:type="gramStart"/>
      <w:r w:rsidR="00BA13C1">
        <w:rPr>
          <w:rFonts w:ascii="Arial" w:hAnsi="Arial" w:cs="Arial"/>
          <w:sz w:val="24"/>
          <w:szCs w:val="24"/>
          <w:lang w:val="es-ES"/>
        </w:rPr>
        <w:t>que</w:t>
      </w:r>
      <w:proofErr w:type="gramEnd"/>
      <w:r w:rsidR="00BA13C1">
        <w:rPr>
          <w:rFonts w:ascii="Arial" w:hAnsi="Arial" w:cs="Arial"/>
          <w:sz w:val="24"/>
          <w:szCs w:val="24"/>
          <w:lang w:val="es-ES"/>
        </w:rPr>
        <w:t xml:space="preserve"> frente a los mismos hechos y pruebas, la jurisdicción tenga diferentes interpretaciones jurídicas, desconociendo su propio precedente horizontal, </w:t>
      </w:r>
      <w:r w:rsidR="00227212">
        <w:rPr>
          <w:rFonts w:ascii="Arial" w:hAnsi="Arial" w:cs="Arial"/>
          <w:sz w:val="24"/>
          <w:szCs w:val="24"/>
          <w:lang w:val="es-ES"/>
        </w:rPr>
        <w:t>y causando así la transgresión d</w:t>
      </w:r>
      <w:r w:rsidR="00BA13C1">
        <w:rPr>
          <w:rFonts w:ascii="Arial" w:hAnsi="Arial" w:cs="Arial"/>
          <w:sz w:val="24"/>
          <w:szCs w:val="24"/>
          <w:lang w:val="es-ES"/>
        </w:rPr>
        <w:t xml:space="preserve">el derecho a la igualdad. </w:t>
      </w:r>
      <w:r w:rsidR="00030C34">
        <w:rPr>
          <w:rFonts w:ascii="Arial" w:hAnsi="Arial" w:cs="Arial"/>
          <w:sz w:val="24"/>
          <w:szCs w:val="24"/>
          <w:lang w:val="es-ES"/>
        </w:rPr>
        <w:t xml:space="preserve">Finalmente, </w:t>
      </w:r>
      <w:r w:rsidR="00030C34">
        <w:rPr>
          <w:rFonts w:ascii="Arial" w:hAnsi="Arial" w:cs="Arial"/>
          <w:sz w:val="24"/>
          <w:szCs w:val="24"/>
        </w:rPr>
        <w:t>citó apartes de la sentencia T-446 de 2013 de la Corte Constitucional, relacionada con fallos disímiles frente a los mismos hechos.</w:t>
      </w:r>
    </w:p>
    <w:p w14:paraId="09AFDFA7" w14:textId="77777777" w:rsidR="0010628F" w:rsidRDefault="0010628F" w:rsidP="005F3DF7">
      <w:pPr>
        <w:pStyle w:val="Sinespaciado"/>
        <w:spacing w:line="360" w:lineRule="auto"/>
        <w:jc w:val="both"/>
        <w:rPr>
          <w:rFonts w:ascii="Arial" w:hAnsi="Arial" w:cs="Arial"/>
          <w:b/>
          <w:sz w:val="24"/>
          <w:szCs w:val="24"/>
          <w:lang w:val="es-ES"/>
        </w:rPr>
      </w:pPr>
    </w:p>
    <w:p w14:paraId="3B23BE1E" w14:textId="77777777" w:rsidR="005F3DF7" w:rsidRPr="004D1B87" w:rsidRDefault="005F3DF7" w:rsidP="005F3DF7">
      <w:pPr>
        <w:pStyle w:val="Sinespaciado"/>
        <w:spacing w:line="360" w:lineRule="auto"/>
        <w:jc w:val="both"/>
        <w:rPr>
          <w:rFonts w:ascii="Arial" w:hAnsi="Arial" w:cs="Arial"/>
          <w:b/>
          <w:sz w:val="24"/>
          <w:szCs w:val="24"/>
        </w:rPr>
      </w:pPr>
      <w:r w:rsidRPr="004D1B87">
        <w:rPr>
          <w:rFonts w:ascii="Arial" w:hAnsi="Arial" w:cs="Arial"/>
          <w:b/>
          <w:sz w:val="24"/>
          <w:szCs w:val="24"/>
          <w:lang w:val="es-ES"/>
        </w:rPr>
        <w:t>1.3</w:t>
      </w:r>
      <w:r w:rsidRPr="004D1B87">
        <w:rPr>
          <w:rFonts w:ascii="Arial" w:hAnsi="Arial" w:cs="Arial"/>
          <w:b/>
          <w:sz w:val="24"/>
          <w:szCs w:val="24"/>
        </w:rPr>
        <w:t>.- Pretensiones de la acción de tutela</w:t>
      </w:r>
    </w:p>
    <w:p w14:paraId="6541646E" w14:textId="77777777" w:rsidR="005F3DF7" w:rsidRDefault="005F3DF7" w:rsidP="005F3DF7">
      <w:pPr>
        <w:pStyle w:val="Sinespaciado"/>
        <w:spacing w:line="360" w:lineRule="auto"/>
        <w:jc w:val="both"/>
        <w:rPr>
          <w:rFonts w:ascii="Arial" w:hAnsi="Arial" w:cs="Arial"/>
          <w:b/>
          <w:sz w:val="24"/>
          <w:szCs w:val="24"/>
        </w:rPr>
      </w:pPr>
    </w:p>
    <w:p w14:paraId="18B6C082" w14:textId="5D845D6B" w:rsidR="0075391C" w:rsidRPr="00F42BD3" w:rsidRDefault="0075391C" w:rsidP="005F3DF7">
      <w:pPr>
        <w:pStyle w:val="Sinespaciado"/>
        <w:spacing w:line="360" w:lineRule="auto"/>
        <w:jc w:val="both"/>
        <w:rPr>
          <w:rFonts w:ascii="Arial" w:hAnsi="Arial" w:cs="Arial"/>
          <w:sz w:val="24"/>
          <w:szCs w:val="24"/>
        </w:rPr>
      </w:pPr>
      <w:r>
        <w:rPr>
          <w:rFonts w:ascii="Arial" w:hAnsi="Arial" w:cs="Arial"/>
          <w:sz w:val="24"/>
          <w:szCs w:val="24"/>
        </w:rPr>
        <w:t>La parte tutelante solicitó declarar que las autoridades judiciales accionadas vulneraron sus derechos fundamentales; conceder el amparo de las prerrogativas constitucionales invocadas; dejar sin efecto la providencia dictada el 23 de febrero de 2021 por el Tribunal Administrativo de Caquetá y que</w:t>
      </w:r>
      <w:r w:rsidR="002A5E2C">
        <w:rPr>
          <w:rFonts w:ascii="Arial" w:hAnsi="Arial" w:cs="Arial"/>
          <w:sz w:val="24"/>
          <w:szCs w:val="24"/>
        </w:rPr>
        <w:t>,</w:t>
      </w:r>
      <w:r>
        <w:rPr>
          <w:rFonts w:ascii="Arial" w:hAnsi="Arial" w:cs="Arial"/>
          <w:sz w:val="24"/>
          <w:szCs w:val="24"/>
        </w:rPr>
        <w:t xml:space="preserve"> en consecuencia, se le orden</w:t>
      </w:r>
      <w:r w:rsidR="002A5E2C">
        <w:rPr>
          <w:rFonts w:ascii="Arial" w:hAnsi="Arial" w:cs="Arial"/>
          <w:sz w:val="24"/>
          <w:szCs w:val="24"/>
        </w:rPr>
        <w:t>ara</w:t>
      </w:r>
      <w:r>
        <w:rPr>
          <w:rFonts w:ascii="Arial" w:hAnsi="Arial" w:cs="Arial"/>
          <w:sz w:val="24"/>
          <w:szCs w:val="24"/>
        </w:rPr>
        <w:t xml:space="preserve"> a este último </w:t>
      </w:r>
      <w:r w:rsidRPr="0075391C">
        <w:rPr>
          <w:rFonts w:ascii="Arial" w:hAnsi="Arial" w:cs="Arial"/>
          <w:i/>
          <w:sz w:val="24"/>
          <w:szCs w:val="24"/>
        </w:rPr>
        <w:t>“emitir una decisión de remplazo, en el sentido de acceder a las súplicas de la demanda”</w:t>
      </w:r>
      <w:r w:rsidRPr="00095EA3">
        <w:rPr>
          <w:rStyle w:val="Refdenotaalpie"/>
          <w:rFonts w:ascii="Arial" w:hAnsi="Arial" w:cs="Arial"/>
          <w:sz w:val="24"/>
          <w:szCs w:val="24"/>
        </w:rPr>
        <w:footnoteReference w:id="11"/>
      </w:r>
      <w:r w:rsidR="00F42BD3">
        <w:rPr>
          <w:rFonts w:ascii="Arial" w:hAnsi="Arial" w:cs="Arial"/>
          <w:i/>
          <w:sz w:val="24"/>
          <w:szCs w:val="24"/>
        </w:rPr>
        <w:t>.</w:t>
      </w:r>
      <w:r w:rsidR="00F42BD3">
        <w:rPr>
          <w:rFonts w:ascii="Arial" w:hAnsi="Arial" w:cs="Arial"/>
          <w:sz w:val="24"/>
          <w:szCs w:val="24"/>
        </w:rPr>
        <w:t xml:space="preserve"> </w:t>
      </w:r>
    </w:p>
    <w:p w14:paraId="4004EAEA" w14:textId="77777777" w:rsidR="005F3825" w:rsidRDefault="005F3825" w:rsidP="005F3DF7">
      <w:pPr>
        <w:pStyle w:val="Sinespaciado"/>
        <w:spacing w:line="360" w:lineRule="auto"/>
        <w:jc w:val="both"/>
        <w:rPr>
          <w:rFonts w:ascii="Arial" w:hAnsi="Arial" w:cs="Arial"/>
          <w:b/>
          <w:sz w:val="24"/>
          <w:szCs w:val="24"/>
        </w:rPr>
      </w:pPr>
    </w:p>
    <w:p w14:paraId="4EE68CB4" w14:textId="0BBE73C5" w:rsidR="005F3DF7" w:rsidRPr="00022ADE" w:rsidRDefault="005F3DF7" w:rsidP="005F3DF7">
      <w:pPr>
        <w:pStyle w:val="Sinespaciado"/>
        <w:spacing w:line="360" w:lineRule="auto"/>
        <w:jc w:val="both"/>
        <w:rPr>
          <w:rFonts w:ascii="Arial" w:hAnsi="Arial" w:cs="Arial"/>
          <w:b/>
          <w:sz w:val="24"/>
          <w:szCs w:val="24"/>
        </w:rPr>
      </w:pPr>
      <w:r w:rsidRPr="00022ADE">
        <w:rPr>
          <w:rFonts w:ascii="Arial" w:hAnsi="Arial" w:cs="Arial"/>
          <w:b/>
          <w:sz w:val="24"/>
          <w:szCs w:val="24"/>
        </w:rPr>
        <w:lastRenderedPageBreak/>
        <w:t xml:space="preserve">2.- Trámite de la acción de tutela </w:t>
      </w:r>
    </w:p>
    <w:p w14:paraId="7DB0A20A" w14:textId="77777777" w:rsidR="005F3DF7" w:rsidRPr="00022ADE" w:rsidRDefault="005F3DF7" w:rsidP="00934BF5">
      <w:pPr>
        <w:spacing w:line="360" w:lineRule="auto"/>
        <w:rPr>
          <w:rFonts w:cs="Arial"/>
          <w:sz w:val="24"/>
          <w:szCs w:val="24"/>
        </w:rPr>
      </w:pPr>
    </w:p>
    <w:p w14:paraId="0E82CEF4" w14:textId="3A00C530" w:rsidR="00F70648" w:rsidRPr="00022ADE" w:rsidRDefault="002F6A02" w:rsidP="00934BF5">
      <w:pPr>
        <w:spacing w:line="360" w:lineRule="auto"/>
        <w:rPr>
          <w:rFonts w:cs="Arial"/>
          <w:sz w:val="24"/>
          <w:szCs w:val="24"/>
        </w:rPr>
      </w:pPr>
      <w:r w:rsidRPr="00022ADE">
        <w:rPr>
          <w:rFonts w:cs="Arial"/>
          <w:sz w:val="24"/>
          <w:szCs w:val="24"/>
        </w:rPr>
        <w:t xml:space="preserve">2.1.- </w:t>
      </w:r>
      <w:r w:rsidR="00F70648" w:rsidRPr="00022ADE">
        <w:rPr>
          <w:rFonts w:cs="Arial"/>
          <w:sz w:val="24"/>
          <w:szCs w:val="24"/>
        </w:rPr>
        <w:t>Por auto del 31 de agosto el Ponente admitió la acción de tutela</w:t>
      </w:r>
      <w:r w:rsidR="00F70648" w:rsidRPr="00022ADE">
        <w:rPr>
          <w:rStyle w:val="Refdenotaalpie"/>
          <w:rFonts w:cs="Arial"/>
          <w:sz w:val="24"/>
          <w:szCs w:val="24"/>
        </w:rPr>
        <w:footnoteReference w:id="12"/>
      </w:r>
      <w:r w:rsidR="0097442A" w:rsidRPr="00022ADE">
        <w:rPr>
          <w:rFonts w:cs="Arial"/>
          <w:sz w:val="24"/>
          <w:szCs w:val="24"/>
        </w:rPr>
        <w:t xml:space="preserve"> y ordenó su notificación a las partes y a los terceros con interés</w:t>
      </w:r>
      <w:r w:rsidR="0097442A" w:rsidRPr="00022ADE">
        <w:rPr>
          <w:rStyle w:val="Refdenotaalpie"/>
          <w:rFonts w:cs="Arial"/>
          <w:sz w:val="24"/>
          <w:szCs w:val="24"/>
        </w:rPr>
        <w:footnoteReference w:id="13"/>
      </w:r>
      <w:r w:rsidR="0097442A" w:rsidRPr="00022ADE">
        <w:rPr>
          <w:rFonts w:cs="Arial"/>
          <w:sz w:val="24"/>
          <w:szCs w:val="24"/>
        </w:rPr>
        <w:t xml:space="preserve">. </w:t>
      </w:r>
    </w:p>
    <w:p w14:paraId="3C837AF6" w14:textId="77777777" w:rsidR="002F6A02" w:rsidRPr="00022ADE" w:rsidRDefault="002F6A02" w:rsidP="00934BF5">
      <w:pPr>
        <w:spacing w:line="360" w:lineRule="auto"/>
        <w:rPr>
          <w:rFonts w:cs="Arial"/>
          <w:sz w:val="24"/>
          <w:szCs w:val="24"/>
        </w:rPr>
      </w:pPr>
    </w:p>
    <w:p w14:paraId="1B110038" w14:textId="288E95F4" w:rsidR="002F6A02" w:rsidRPr="005F0D30" w:rsidRDefault="002F6A02" w:rsidP="00934BF5">
      <w:pPr>
        <w:spacing w:line="360" w:lineRule="auto"/>
        <w:rPr>
          <w:rFonts w:cs="Arial"/>
          <w:sz w:val="24"/>
          <w:szCs w:val="24"/>
        </w:rPr>
      </w:pPr>
      <w:r w:rsidRPr="005F0D30">
        <w:rPr>
          <w:rFonts w:cs="Arial"/>
          <w:sz w:val="24"/>
          <w:szCs w:val="24"/>
        </w:rPr>
        <w:t xml:space="preserve">2.2.- A pesar de ser debidamente notificados, las autoridades judiciales accionadas y los vinculados guardaron silencio. </w:t>
      </w:r>
    </w:p>
    <w:p w14:paraId="0A88E498" w14:textId="77777777" w:rsidR="005F3DF7" w:rsidRPr="005F0D30" w:rsidRDefault="005F3DF7" w:rsidP="00934BF5">
      <w:pPr>
        <w:spacing w:line="360" w:lineRule="auto"/>
        <w:rPr>
          <w:rFonts w:cs="Arial"/>
          <w:b/>
          <w:sz w:val="24"/>
          <w:szCs w:val="24"/>
        </w:rPr>
      </w:pPr>
    </w:p>
    <w:p w14:paraId="40B65BE2" w14:textId="77777777" w:rsidR="005F3DF7" w:rsidRPr="005F0D30" w:rsidRDefault="005F3DF7" w:rsidP="005F3DF7">
      <w:pPr>
        <w:pStyle w:val="Sinespaciado1"/>
        <w:spacing w:line="360" w:lineRule="auto"/>
        <w:jc w:val="center"/>
        <w:rPr>
          <w:rFonts w:ascii="Arial" w:hAnsi="Arial" w:cs="Arial"/>
          <w:b/>
        </w:rPr>
      </w:pPr>
      <w:r w:rsidRPr="005F0D30">
        <w:rPr>
          <w:rFonts w:ascii="Arial" w:hAnsi="Arial" w:cs="Arial"/>
          <w:b/>
        </w:rPr>
        <w:t>II.- CONSIDERACIONES</w:t>
      </w:r>
    </w:p>
    <w:p w14:paraId="2EEFBD93" w14:textId="77777777" w:rsidR="005F3DF7" w:rsidRDefault="005F3DF7" w:rsidP="005F3DF7">
      <w:pPr>
        <w:pStyle w:val="Sinespaciado1"/>
        <w:spacing w:line="360" w:lineRule="auto"/>
        <w:jc w:val="both"/>
        <w:rPr>
          <w:rFonts w:ascii="Arial" w:hAnsi="Arial" w:cs="Arial"/>
        </w:rPr>
      </w:pPr>
    </w:p>
    <w:p w14:paraId="443C964B" w14:textId="5BC27D53" w:rsidR="00D246D5" w:rsidRDefault="00D246D5" w:rsidP="005F3DF7">
      <w:pPr>
        <w:pStyle w:val="Sinespaciado1"/>
        <w:spacing w:line="360" w:lineRule="auto"/>
        <w:jc w:val="both"/>
        <w:rPr>
          <w:rFonts w:ascii="Arial" w:hAnsi="Arial" w:cs="Arial"/>
          <w:b/>
        </w:rPr>
      </w:pPr>
      <w:r>
        <w:rPr>
          <w:rFonts w:ascii="Arial" w:hAnsi="Arial" w:cs="Arial"/>
          <w:b/>
        </w:rPr>
        <w:t xml:space="preserve">I. – Cuestión previa </w:t>
      </w:r>
    </w:p>
    <w:p w14:paraId="22A980E4" w14:textId="77777777" w:rsidR="00D246D5" w:rsidRDefault="00D246D5" w:rsidP="005F3DF7">
      <w:pPr>
        <w:pStyle w:val="Sinespaciado1"/>
        <w:spacing w:line="360" w:lineRule="auto"/>
        <w:jc w:val="both"/>
        <w:rPr>
          <w:rFonts w:ascii="Arial" w:hAnsi="Arial" w:cs="Arial"/>
          <w:b/>
        </w:rPr>
      </w:pPr>
    </w:p>
    <w:p w14:paraId="4F4EB277" w14:textId="454A96A0" w:rsidR="00D246D5" w:rsidRDefault="00073EDC" w:rsidP="005F3DF7">
      <w:pPr>
        <w:pStyle w:val="Sinespaciado1"/>
        <w:spacing w:line="360" w:lineRule="auto"/>
        <w:jc w:val="both"/>
        <w:rPr>
          <w:rFonts w:ascii="Arial" w:hAnsi="Arial" w:cs="Arial"/>
        </w:rPr>
      </w:pPr>
      <w:r w:rsidRPr="00CB3CE1">
        <w:rPr>
          <w:rFonts w:ascii="Arial" w:hAnsi="Arial" w:cs="Arial"/>
        </w:rPr>
        <w:t>Los peticionarios reprochan</w:t>
      </w:r>
      <w:r w:rsidR="00D246D5" w:rsidRPr="00CB3CE1">
        <w:rPr>
          <w:rFonts w:ascii="Arial" w:hAnsi="Arial" w:cs="Arial"/>
        </w:rPr>
        <w:t xml:space="preserve"> las sentencias </w:t>
      </w:r>
      <w:r w:rsidRPr="00CB3CE1">
        <w:rPr>
          <w:rFonts w:ascii="Arial" w:hAnsi="Arial" w:cs="Arial"/>
        </w:rPr>
        <w:t xml:space="preserve">del </w:t>
      </w:r>
      <w:r w:rsidR="00D246D5" w:rsidRPr="00CB3CE1">
        <w:rPr>
          <w:rFonts w:ascii="Arial" w:hAnsi="Arial" w:cs="Arial"/>
        </w:rPr>
        <w:t>28 de septiembre de 2018 y del 23 de febrero de 2021, emitidas, en su orden, por el Juzgado Segundo Administrativo de Florencia y el Tribunal Administrativo del Caquetá, por presuntamente incurrir en un defecto fáctic</w:t>
      </w:r>
      <w:r w:rsidR="00CB3CE1" w:rsidRPr="00CB3CE1">
        <w:rPr>
          <w:rFonts w:ascii="Arial" w:hAnsi="Arial" w:cs="Arial"/>
        </w:rPr>
        <w:t>o y por proferir decisiones contrarias</w:t>
      </w:r>
      <w:r w:rsidR="00423A44" w:rsidRPr="00CB3CE1">
        <w:rPr>
          <w:rFonts w:ascii="Arial" w:hAnsi="Arial" w:cs="Arial"/>
        </w:rPr>
        <w:t xml:space="preserve"> a la </w:t>
      </w:r>
      <w:r w:rsidR="00CB3CE1" w:rsidRPr="00CB3CE1">
        <w:rPr>
          <w:rFonts w:ascii="Arial" w:hAnsi="Arial" w:cs="Arial"/>
        </w:rPr>
        <w:t xml:space="preserve">favorable </w:t>
      </w:r>
      <w:r w:rsidR="00423A44" w:rsidRPr="00CB3CE1">
        <w:rPr>
          <w:rFonts w:ascii="Arial" w:hAnsi="Arial" w:cs="Arial"/>
        </w:rPr>
        <w:t>del Juzgado Primero Administrativo de Florencia, a pesar de que se invocaron las mismas situaciones fácticas y jur</w:t>
      </w:r>
      <w:r w:rsidR="00F707FB" w:rsidRPr="00CB3CE1">
        <w:rPr>
          <w:rFonts w:ascii="Arial" w:hAnsi="Arial" w:cs="Arial"/>
        </w:rPr>
        <w:t>ídicas</w:t>
      </w:r>
      <w:r w:rsidR="00D246D5" w:rsidRPr="00CB3CE1">
        <w:rPr>
          <w:rFonts w:ascii="Arial" w:hAnsi="Arial" w:cs="Arial"/>
        </w:rPr>
        <w:t>.</w:t>
      </w:r>
    </w:p>
    <w:p w14:paraId="62DC5574" w14:textId="77777777" w:rsidR="00D246D5" w:rsidRDefault="00D246D5" w:rsidP="005F3DF7">
      <w:pPr>
        <w:pStyle w:val="Sinespaciado1"/>
        <w:spacing w:line="360" w:lineRule="auto"/>
        <w:jc w:val="both"/>
        <w:rPr>
          <w:rFonts w:ascii="Arial" w:hAnsi="Arial" w:cs="Arial"/>
        </w:rPr>
      </w:pPr>
    </w:p>
    <w:p w14:paraId="20D5BA04" w14:textId="1375D5F8" w:rsidR="00D246D5" w:rsidRPr="00D246D5" w:rsidRDefault="002A5E2C" w:rsidP="005F3DF7">
      <w:pPr>
        <w:pStyle w:val="Sinespaciado1"/>
        <w:spacing w:line="360" w:lineRule="auto"/>
        <w:jc w:val="both"/>
        <w:rPr>
          <w:rFonts w:ascii="Arial" w:hAnsi="Arial" w:cs="Arial"/>
        </w:rPr>
      </w:pPr>
      <w:r>
        <w:rPr>
          <w:rFonts w:ascii="Arial" w:hAnsi="Arial" w:cs="Arial"/>
        </w:rPr>
        <w:t xml:space="preserve">Pues bien, </w:t>
      </w:r>
      <w:r w:rsidR="00D246D5">
        <w:rPr>
          <w:rFonts w:ascii="Arial" w:hAnsi="Arial" w:cs="Arial"/>
        </w:rPr>
        <w:t xml:space="preserve">la Sala enfocará su estudio en la providencia de segunda instancia, por ser aquella que </w:t>
      </w:r>
      <w:r w:rsidR="00D246D5">
        <w:rPr>
          <w:rFonts w:ascii="Arial" w:hAnsi="Arial" w:cs="Arial"/>
          <w:lang w:val="es-ES_tradnl"/>
        </w:rPr>
        <w:t>condensó las razones para negar las pretensiones de la demanda, de modo que es esta decisión la que realmente estaría afectando los derechos fundamentales invocados por los actores.</w:t>
      </w:r>
      <w:r w:rsidR="00D246D5">
        <w:rPr>
          <w:rFonts w:ascii="Arial" w:hAnsi="Arial" w:cs="Arial"/>
        </w:rPr>
        <w:t xml:space="preserve"> </w:t>
      </w:r>
    </w:p>
    <w:p w14:paraId="424DF854" w14:textId="77777777" w:rsidR="00D246D5" w:rsidRPr="005F0D30" w:rsidRDefault="00D246D5" w:rsidP="005F3DF7">
      <w:pPr>
        <w:pStyle w:val="Sinespaciado1"/>
        <w:spacing w:line="360" w:lineRule="auto"/>
        <w:jc w:val="both"/>
        <w:rPr>
          <w:rFonts w:ascii="Arial" w:hAnsi="Arial" w:cs="Arial"/>
          <w:b/>
        </w:rPr>
      </w:pPr>
    </w:p>
    <w:p w14:paraId="3E488D64" w14:textId="77777777" w:rsidR="005F3DF7" w:rsidRPr="005F0D30" w:rsidRDefault="005F3DF7" w:rsidP="00934BF5">
      <w:pPr>
        <w:spacing w:line="360" w:lineRule="auto"/>
        <w:rPr>
          <w:rFonts w:cs="Arial"/>
          <w:b/>
          <w:sz w:val="24"/>
          <w:szCs w:val="24"/>
        </w:rPr>
      </w:pPr>
      <w:r w:rsidRPr="005F0D30">
        <w:rPr>
          <w:rFonts w:cs="Arial"/>
          <w:b/>
          <w:sz w:val="24"/>
          <w:szCs w:val="24"/>
        </w:rPr>
        <w:t>1.- Competencia</w:t>
      </w:r>
    </w:p>
    <w:p w14:paraId="0064F8C5" w14:textId="77777777" w:rsidR="005F3DF7" w:rsidRPr="005F0D30" w:rsidRDefault="005F3DF7" w:rsidP="00934BF5">
      <w:pPr>
        <w:spacing w:line="360" w:lineRule="auto"/>
        <w:rPr>
          <w:rFonts w:cs="Arial"/>
          <w:b/>
          <w:sz w:val="24"/>
          <w:szCs w:val="24"/>
        </w:rPr>
      </w:pPr>
    </w:p>
    <w:p w14:paraId="62EB2EFC" w14:textId="2001D0C4" w:rsidR="00F707FB" w:rsidRDefault="005F0D30" w:rsidP="00F707FB">
      <w:pPr>
        <w:pStyle w:val="Sinespaciado1"/>
        <w:spacing w:line="360" w:lineRule="auto"/>
        <w:jc w:val="both"/>
        <w:rPr>
          <w:rFonts w:ascii="Arial" w:hAnsi="Arial" w:cs="Arial"/>
        </w:rPr>
      </w:pPr>
      <w:r w:rsidRPr="005F0D30">
        <w:rPr>
          <w:rFonts w:ascii="Arial" w:hAnsi="Arial" w:cs="Arial"/>
        </w:rPr>
        <w:t xml:space="preserve">Esta Sala es competente para conocer de la acción de tutela presentada por Jorge Eduardo González Palomo y otros en contra del Tribunal Administrativo del Caquetá, de conformidad con lo establecido en los artículos 86 de la Constitución, 37 del Decreto 2591 de 1991 y 13 del Acuerdo No. 080 de 2019 de la Sala Plena del Consejo de Estado. </w:t>
      </w:r>
    </w:p>
    <w:p w14:paraId="00B2A96D" w14:textId="77777777" w:rsidR="00F707FB" w:rsidRDefault="00F707FB" w:rsidP="00F707FB">
      <w:pPr>
        <w:pStyle w:val="Sinespaciado1"/>
        <w:spacing w:line="360" w:lineRule="auto"/>
        <w:jc w:val="both"/>
        <w:rPr>
          <w:rFonts w:ascii="Arial" w:hAnsi="Arial" w:cs="Arial"/>
        </w:rPr>
      </w:pPr>
    </w:p>
    <w:p w14:paraId="611A733E" w14:textId="77777777" w:rsidR="00F707FB" w:rsidRDefault="00F707FB" w:rsidP="00F707FB">
      <w:pPr>
        <w:pStyle w:val="Sinespaciado1"/>
        <w:spacing w:line="360" w:lineRule="auto"/>
        <w:jc w:val="both"/>
        <w:rPr>
          <w:rFonts w:ascii="Arial" w:hAnsi="Arial" w:cs="Arial"/>
        </w:rPr>
      </w:pPr>
    </w:p>
    <w:p w14:paraId="4EC3F7A7" w14:textId="77777777" w:rsidR="00F707FB" w:rsidRPr="00F707FB" w:rsidRDefault="00F707FB" w:rsidP="00F707FB">
      <w:pPr>
        <w:pStyle w:val="Sinespaciado1"/>
        <w:spacing w:line="360" w:lineRule="auto"/>
        <w:jc w:val="both"/>
        <w:rPr>
          <w:rFonts w:ascii="Arial" w:hAnsi="Arial" w:cs="Arial"/>
        </w:rPr>
      </w:pPr>
    </w:p>
    <w:p w14:paraId="3CA83CF6" w14:textId="77777777" w:rsidR="005F3DF7" w:rsidRPr="005F0D30" w:rsidRDefault="005F3DF7" w:rsidP="005F3DF7">
      <w:pPr>
        <w:pStyle w:val="Sinespaciado1"/>
        <w:spacing w:line="360" w:lineRule="auto"/>
        <w:jc w:val="both"/>
        <w:rPr>
          <w:rFonts w:ascii="Arial" w:hAnsi="Arial" w:cs="Arial"/>
          <w:b/>
        </w:rPr>
      </w:pPr>
      <w:r w:rsidRPr="005F0D30">
        <w:rPr>
          <w:rFonts w:ascii="Arial" w:hAnsi="Arial" w:cs="Arial"/>
          <w:b/>
        </w:rPr>
        <w:lastRenderedPageBreak/>
        <w:t xml:space="preserve">2.- Problema jurídico </w:t>
      </w:r>
    </w:p>
    <w:p w14:paraId="1D378755" w14:textId="77777777" w:rsidR="005F3DF7" w:rsidRPr="005F0D30" w:rsidRDefault="005F3DF7" w:rsidP="00934BF5">
      <w:pPr>
        <w:spacing w:line="360" w:lineRule="auto"/>
        <w:rPr>
          <w:rFonts w:cs="Arial"/>
          <w:b/>
          <w:sz w:val="24"/>
          <w:szCs w:val="24"/>
        </w:rPr>
      </w:pPr>
    </w:p>
    <w:p w14:paraId="284C4940" w14:textId="0BD06B4B" w:rsidR="005F0D30" w:rsidRPr="005F0D30" w:rsidRDefault="005F0D30" w:rsidP="005F0D30">
      <w:pPr>
        <w:spacing w:line="360" w:lineRule="auto"/>
        <w:ind w:right="49"/>
        <w:rPr>
          <w:rFonts w:eastAsia="Arial" w:cs="Arial"/>
          <w:sz w:val="24"/>
          <w:szCs w:val="24"/>
        </w:rPr>
      </w:pPr>
      <w:r w:rsidRPr="005F0D30">
        <w:rPr>
          <w:rFonts w:eastAsia="Arial" w:cs="Arial"/>
          <w:sz w:val="24"/>
          <w:szCs w:val="24"/>
        </w:rPr>
        <w:t>La Sala verificará si la solicitud de amparo cumple con los requisitos generales de procedibilidad en contra de providencias judiciales</w:t>
      </w:r>
      <w:r w:rsidR="003C4A53">
        <w:rPr>
          <w:rFonts w:eastAsia="Arial" w:cs="Arial"/>
          <w:sz w:val="24"/>
          <w:szCs w:val="24"/>
        </w:rPr>
        <w:t xml:space="preserve"> </w:t>
      </w:r>
      <w:r w:rsidRPr="005F0D30">
        <w:rPr>
          <w:rFonts w:eastAsia="Arial" w:cs="Arial"/>
          <w:sz w:val="24"/>
          <w:szCs w:val="24"/>
        </w:rPr>
        <w:t>y, en caso afirmativo, abordará el estudio de los defectos alegados.</w:t>
      </w:r>
    </w:p>
    <w:p w14:paraId="11A2E11D" w14:textId="77777777" w:rsidR="005F0D30" w:rsidRPr="005F0D30" w:rsidRDefault="005F0D30" w:rsidP="00934BF5">
      <w:pPr>
        <w:spacing w:line="360" w:lineRule="auto"/>
        <w:rPr>
          <w:rFonts w:cs="Arial"/>
          <w:b/>
          <w:sz w:val="24"/>
          <w:szCs w:val="24"/>
        </w:rPr>
      </w:pPr>
    </w:p>
    <w:p w14:paraId="764F8132" w14:textId="77777777" w:rsidR="005F3DF7" w:rsidRPr="005F0D30" w:rsidRDefault="005F3DF7" w:rsidP="00934BF5">
      <w:pPr>
        <w:spacing w:line="360" w:lineRule="auto"/>
        <w:rPr>
          <w:rFonts w:cs="Arial"/>
          <w:b/>
          <w:sz w:val="24"/>
          <w:szCs w:val="24"/>
        </w:rPr>
      </w:pPr>
      <w:r w:rsidRPr="005F0D30">
        <w:rPr>
          <w:rFonts w:cs="Arial"/>
          <w:b/>
          <w:sz w:val="24"/>
          <w:szCs w:val="24"/>
        </w:rPr>
        <w:t>3.- La acción de tutela en contra de providencias judiciales</w:t>
      </w:r>
    </w:p>
    <w:p w14:paraId="631C59A4" w14:textId="77777777" w:rsidR="005F3DF7" w:rsidRPr="005F0D30" w:rsidRDefault="005F3DF7" w:rsidP="00934BF5">
      <w:pPr>
        <w:spacing w:line="360" w:lineRule="auto"/>
        <w:rPr>
          <w:rFonts w:cs="Arial"/>
          <w:b/>
          <w:sz w:val="24"/>
          <w:szCs w:val="24"/>
        </w:rPr>
      </w:pPr>
    </w:p>
    <w:p w14:paraId="727DAD73" w14:textId="77777777" w:rsidR="005F0D30" w:rsidRPr="0025540A" w:rsidRDefault="005F0D30" w:rsidP="005F0D30">
      <w:pPr>
        <w:spacing w:line="360" w:lineRule="auto"/>
        <w:ind w:right="49"/>
        <w:rPr>
          <w:rFonts w:cs="Arial"/>
          <w:sz w:val="24"/>
          <w:szCs w:val="24"/>
        </w:rPr>
      </w:pPr>
      <w:r w:rsidRPr="005F0D30">
        <w:rPr>
          <w:rFonts w:cs="Arial"/>
          <w:sz w:val="24"/>
          <w:szCs w:val="24"/>
        </w:rPr>
        <w:t>La Corte Constitucional en sentencia C-590 de 2005 reconoció que la acción de tutela en contra de providencias judiciales está sujeta al cumplimiento de rigurosos requisitos de procedibilidad</w:t>
      </w:r>
      <w:r w:rsidRPr="005F0D30">
        <w:rPr>
          <w:rStyle w:val="Refdenotaalpie"/>
          <w:rFonts w:cs="Arial"/>
          <w:sz w:val="24"/>
          <w:szCs w:val="24"/>
        </w:rPr>
        <w:footnoteReference w:id="14"/>
      </w:r>
      <w:r w:rsidRPr="005F0D30">
        <w:rPr>
          <w:rFonts w:cs="Arial"/>
          <w:sz w:val="24"/>
          <w:szCs w:val="24"/>
        </w:rPr>
        <w:t xml:space="preserve"> y de procedencia</w:t>
      </w:r>
      <w:r w:rsidRPr="005F0D30">
        <w:rPr>
          <w:rStyle w:val="Refdenotaalpie"/>
          <w:rFonts w:cs="Arial"/>
          <w:sz w:val="24"/>
          <w:szCs w:val="24"/>
        </w:rPr>
        <w:footnoteReference w:id="15"/>
      </w:r>
      <w:r w:rsidRPr="005F0D30">
        <w:rPr>
          <w:rFonts w:cs="Arial"/>
          <w:sz w:val="24"/>
          <w:szCs w:val="24"/>
        </w:rPr>
        <w:t>, con el fin de determinar si se vulneraron o no los derechos de orden superior.</w:t>
      </w:r>
    </w:p>
    <w:p w14:paraId="50F8C3D5" w14:textId="77777777" w:rsidR="005F0D30" w:rsidRPr="004D1B87" w:rsidRDefault="005F0D30" w:rsidP="00934BF5">
      <w:pPr>
        <w:spacing w:line="360" w:lineRule="auto"/>
        <w:rPr>
          <w:rFonts w:cs="Arial"/>
          <w:b/>
          <w:sz w:val="24"/>
          <w:szCs w:val="24"/>
        </w:rPr>
      </w:pPr>
    </w:p>
    <w:p w14:paraId="51A7D9CB" w14:textId="66835ADD" w:rsidR="005F3DF7" w:rsidRPr="004D1B87" w:rsidRDefault="005F3DF7" w:rsidP="005F3DF7">
      <w:pPr>
        <w:pStyle w:val="Textosinformato"/>
        <w:spacing w:line="360" w:lineRule="auto"/>
        <w:jc w:val="both"/>
        <w:rPr>
          <w:rFonts w:ascii="Arial" w:eastAsia="Verdana" w:hAnsi="Arial" w:cs="Arial"/>
          <w:b/>
          <w:sz w:val="24"/>
          <w:szCs w:val="24"/>
        </w:rPr>
      </w:pPr>
      <w:r w:rsidRPr="004D1B87">
        <w:rPr>
          <w:rFonts w:ascii="Arial" w:hAnsi="Arial" w:cs="Arial"/>
          <w:b/>
          <w:sz w:val="24"/>
          <w:szCs w:val="24"/>
        </w:rPr>
        <w:t xml:space="preserve">4.- </w:t>
      </w:r>
      <w:r w:rsidR="005F0D30">
        <w:rPr>
          <w:rFonts w:ascii="Arial" w:hAnsi="Arial" w:cs="Arial"/>
          <w:b/>
          <w:color w:val="000000"/>
          <w:sz w:val="24"/>
          <w:szCs w:val="24"/>
        </w:rPr>
        <w:t xml:space="preserve">El </w:t>
      </w:r>
      <w:r w:rsidRPr="004D1B87">
        <w:rPr>
          <w:rFonts w:ascii="Arial" w:hAnsi="Arial" w:cs="Arial"/>
          <w:b/>
          <w:color w:val="000000"/>
          <w:sz w:val="24"/>
          <w:szCs w:val="24"/>
        </w:rPr>
        <w:t xml:space="preserve">requisito general de relevancia constitucional </w:t>
      </w:r>
    </w:p>
    <w:p w14:paraId="2F5B2C32" w14:textId="77777777" w:rsidR="005F3DF7" w:rsidRDefault="005F3DF7" w:rsidP="00934BF5">
      <w:pPr>
        <w:spacing w:line="360" w:lineRule="auto"/>
        <w:rPr>
          <w:rFonts w:cs="Arial"/>
          <w:b/>
          <w:sz w:val="24"/>
          <w:szCs w:val="24"/>
        </w:rPr>
      </w:pPr>
    </w:p>
    <w:p w14:paraId="6F724262" w14:textId="36021101" w:rsidR="005F0D30" w:rsidRPr="005B51E0" w:rsidRDefault="005F0D30" w:rsidP="005F0D30">
      <w:pPr>
        <w:spacing w:line="360" w:lineRule="auto"/>
        <w:ind w:right="49"/>
        <w:rPr>
          <w:rFonts w:cs="Arial"/>
          <w:i/>
          <w:iCs/>
          <w:sz w:val="24"/>
          <w:szCs w:val="24"/>
        </w:rPr>
      </w:pPr>
      <w:r w:rsidRPr="0025540A">
        <w:rPr>
          <w:rFonts w:cs="Arial"/>
          <w:sz w:val="24"/>
          <w:szCs w:val="24"/>
        </w:rPr>
        <w:t>4.1.-</w:t>
      </w:r>
      <w:r w:rsidRPr="0025540A">
        <w:rPr>
          <w:rFonts w:cs="Arial"/>
          <w:b/>
          <w:sz w:val="24"/>
          <w:szCs w:val="24"/>
        </w:rPr>
        <w:t xml:space="preserve"> </w:t>
      </w:r>
      <w:r w:rsidRPr="0025540A">
        <w:rPr>
          <w:rFonts w:cs="Arial"/>
          <w:sz w:val="24"/>
          <w:szCs w:val="24"/>
        </w:rPr>
        <w:t xml:space="preserve">Sobre este requisito, la Corte Constitucional ha señalado que el juez de tutela </w:t>
      </w:r>
      <w:r w:rsidRPr="005B51E0">
        <w:rPr>
          <w:rFonts w:cs="Arial"/>
          <w:i/>
          <w:iCs/>
          <w:sz w:val="24"/>
          <w:szCs w:val="24"/>
        </w:rPr>
        <w:t>“</w:t>
      </w:r>
      <w:r w:rsidRPr="0025540A">
        <w:rPr>
          <w:rFonts w:cs="Arial"/>
          <w:i/>
          <w:color w:val="000000"/>
          <w:sz w:val="24"/>
          <w:szCs w:val="24"/>
          <w:shd w:val="clear" w:color="auto" w:fill="FFFFFF"/>
        </w:rPr>
        <w:t>no puede entrar a estudiar cuestiones que no tienen una clara y marcada importancia constitucional so pena de involucrarse en asuntos que corresponde definir a otras jurisdicciones”</w:t>
      </w:r>
      <w:r w:rsidRPr="0025540A">
        <w:rPr>
          <w:rFonts w:cs="Arial"/>
          <w:iCs/>
          <w:color w:val="000000"/>
          <w:sz w:val="24"/>
          <w:szCs w:val="24"/>
          <w:shd w:val="clear" w:color="auto" w:fill="FFFFFF"/>
          <w:vertAlign w:val="superscript"/>
        </w:rPr>
        <w:footnoteReference w:id="16"/>
      </w:r>
      <w:r w:rsidRPr="0025540A">
        <w:rPr>
          <w:rFonts w:eastAsia="Verdana" w:cs="Arial"/>
          <w:iCs/>
          <w:sz w:val="24"/>
          <w:szCs w:val="24"/>
        </w:rPr>
        <w:t>.</w:t>
      </w:r>
    </w:p>
    <w:p w14:paraId="0D699281" w14:textId="77777777" w:rsidR="005F0D30" w:rsidRPr="0025540A" w:rsidRDefault="005F0D30" w:rsidP="005F0D30">
      <w:pPr>
        <w:spacing w:line="360" w:lineRule="auto"/>
        <w:ind w:right="49"/>
        <w:rPr>
          <w:rFonts w:eastAsia="Verdana" w:cs="Arial"/>
          <w:sz w:val="24"/>
          <w:szCs w:val="24"/>
        </w:rPr>
      </w:pPr>
    </w:p>
    <w:p w14:paraId="5841CD6A" w14:textId="6669FCEB" w:rsidR="005F0D30" w:rsidRPr="00884403" w:rsidRDefault="005F0D30" w:rsidP="00884403">
      <w:pPr>
        <w:spacing w:line="360" w:lineRule="auto"/>
        <w:ind w:right="49"/>
        <w:rPr>
          <w:rFonts w:cs="Arial"/>
          <w:sz w:val="24"/>
          <w:szCs w:val="24"/>
        </w:rPr>
      </w:pPr>
      <w:r w:rsidRPr="0025540A">
        <w:rPr>
          <w:rFonts w:eastAsia="Verdana" w:cs="Arial"/>
          <w:sz w:val="24"/>
          <w:szCs w:val="24"/>
        </w:rPr>
        <w:t>En ese sentido, para determinar si una solicitud de amparo tiene o no relevancia constitucional, la Sala Plena del Consejo de Estado ha considerado necesario examinar dos elementos, a saber</w:t>
      </w:r>
      <w:r w:rsidRPr="0025540A">
        <w:rPr>
          <w:rFonts w:eastAsia="Verdana" w:cs="Arial"/>
          <w:sz w:val="24"/>
          <w:szCs w:val="24"/>
          <w:vertAlign w:val="superscript"/>
        </w:rPr>
        <w:footnoteReference w:id="17"/>
      </w:r>
      <w:r w:rsidRPr="0025540A">
        <w:rPr>
          <w:rFonts w:eastAsia="Verdana" w:cs="Arial"/>
          <w:sz w:val="24"/>
          <w:szCs w:val="24"/>
        </w:rPr>
        <w:t xml:space="preserve">: </w:t>
      </w:r>
      <w:r w:rsidRPr="0025540A">
        <w:rPr>
          <w:rFonts w:cs="Arial"/>
          <w:sz w:val="24"/>
          <w:szCs w:val="24"/>
        </w:rPr>
        <w:t>(i) que el actor cumpla su carga argumentativa, en donde justifique suficientemente la relevancia constitucional por vulneración de derechos fundamentales, ya que no basta que se aduzca la</w:t>
      </w:r>
      <w:r w:rsidR="002A5E2C">
        <w:rPr>
          <w:rFonts w:cs="Arial"/>
          <w:sz w:val="24"/>
          <w:szCs w:val="24"/>
        </w:rPr>
        <w:t xml:space="preserve"> transgresión</w:t>
      </w:r>
      <w:r w:rsidRPr="0025540A">
        <w:rPr>
          <w:rFonts w:cs="Arial"/>
          <w:sz w:val="24"/>
          <w:szCs w:val="24"/>
        </w:rPr>
        <w:t xml:space="preserve"> de aquellos; y (ii) que la acción de tutela no se erija en una instancia adicional al proceso ordinario en el cual fue proferida la providencia acusada, puesto que este mecanismo especial está constituido para proteger derechos fundamentales y no para discutir la discrepancia que el actor tenga frente a la decisión judicial.</w:t>
      </w:r>
    </w:p>
    <w:p w14:paraId="2EEC8D67" w14:textId="77777777" w:rsidR="005F0D30" w:rsidRPr="009A274A" w:rsidRDefault="005F0D30" w:rsidP="005F0D30">
      <w:pPr>
        <w:spacing w:line="360" w:lineRule="auto"/>
        <w:rPr>
          <w:rFonts w:cs="Arial"/>
          <w:b/>
          <w:sz w:val="24"/>
          <w:szCs w:val="24"/>
        </w:rPr>
      </w:pPr>
      <w:r w:rsidRPr="009A274A">
        <w:rPr>
          <w:rFonts w:cs="Arial"/>
          <w:b/>
          <w:sz w:val="24"/>
          <w:szCs w:val="24"/>
        </w:rPr>
        <w:lastRenderedPageBreak/>
        <w:t>5.- El requisito de relevancia constitucional en el caso concreto</w:t>
      </w:r>
    </w:p>
    <w:p w14:paraId="24AA28D1" w14:textId="77777777" w:rsidR="005F0D30" w:rsidRDefault="005F0D30" w:rsidP="00934BF5">
      <w:pPr>
        <w:spacing w:line="360" w:lineRule="auto"/>
        <w:rPr>
          <w:rFonts w:cs="Arial"/>
          <w:b/>
          <w:sz w:val="24"/>
          <w:szCs w:val="24"/>
        </w:rPr>
      </w:pPr>
    </w:p>
    <w:p w14:paraId="393A25DE" w14:textId="23F73D16" w:rsidR="002A1385" w:rsidRDefault="002A1385" w:rsidP="002A1385">
      <w:pPr>
        <w:spacing w:line="360" w:lineRule="auto"/>
        <w:rPr>
          <w:rFonts w:cs="Arial"/>
          <w:sz w:val="24"/>
          <w:szCs w:val="24"/>
        </w:rPr>
      </w:pPr>
      <w:r>
        <w:rPr>
          <w:rFonts w:cs="Arial"/>
          <w:sz w:val="24"/>
          <w:szCs w:val="24"/>
        </w:rPr>
        <w:t>5.1.- En el presente asunto, los accionantes soportaron el mecanismo tutelar en un defecto fáctico por ausencia de valoración probatoria de los informes ejecutivo</w:t>
      </w:r>
      <w:r w:rsidR="0052672E">
        <w:rPr>
          <w:rFonts w:cs="Arial"/>
          <w:sz w:val="24"/>
          <w:szCs w:val="24"/>
        </w:rPr>
        <w:t>s</w:t>
      </w:r>
      <w:r>
        <w:rPr>
          <w:rFonts w:cs="Arial"/>
          <w:sz w:val="24"/>
          <w:szCs w:val="24"/>
        </w:rPr>
        <w:t xml:space="preserve"> FPJ-3 del 17 de septiembre de 2011, emitido por el señor José Mauricio Upegui Puerta; </w:t>
      </w:r>
      <w:r w:rsidR="0010562C">
        <w:rPr>
          <w:rFonts w:cs="Arial"/>
          <w:sz w:val="24"/>
          <w:szCs w:val="24"/>
        </w:rPr>
        <w:t xml:space="preserve">y </w:t>
      </w:r>
      <w:r>
        <w:rPr>
          <w:rFonts w:cs="Arial"/>
          <w:sz w:val="24"/>
          <w:szCs w:val="24"/>
        </w:rPr>
        <w:t xml:space="preserve">el rendido por el comandante de la Compañía Alarcón ST. Diego Fernando Silva Castro al comandante del </w:t>
      </w:r>
      <w:proofErr w:type="spellStart"/>
      <w:r>
        <w:rPr>
          <w:rFonts w:cs="Arial"/>
          <w:sz w:val="24"/>
          <w:szCs w:val="24"/>
        </w:rPr>
        <w:t>Bacof</w:t>
      </w:r>
      <w:proofErr w:type="spellEnd"/>
      <w:r>
        <w:rPr>
          <w:rFonts w:cs="Arial"/>
          <w:sz w:val="24"/>
          <w:szCs w:val="24"/>
        </w:rPr>
        <w:t xml:space="preserve"> 12 “Diosa del </w:t>
      </w:r>
      <w:proofErr w:type="spellStart"/>
      <w:r>
        <w:rPr>
          <w:rFonts w:cs="Arial"/>
          <w:sz w:val="24"/>
          <w:szCs w:val="24"/>
        </w:rPr>
        <w:t>Chairá</w:t>
      </w:r>
      <w:proofErr w:type="spellEnd"/>
      <w:r>
        <w:rPr>
          <w:rFonts w:cs="Arial"/>
          <w:sz w:val="24"/>
          <w:szCs w:val="24"/>
        </w:rPr>
        <w:t xml:space="preserve">” de la misma fecha; la entrevista FPJ-14, realizada por César Augusto Ávila Ospina; y el escrito firmado por el Fiscal </w:t>
      </w:r>
      <w:r w:rsidRPr="002A1385">
        <w:rPr>
          <w:rFonts w:cs="Arial"/>
          <w:sz w:val="24"/>
          <w:szCs w:val="24"/>
        </w:rPr>
        <w:t>16 seccional</w:t>
      </w:r>
      <w:r w:rsidR="002F438F">
        <w:rPr>
          <w:rFonts w:cs="Arial"/>
          <w:sz w:val="24"/>
          <w:szCs w:val="24"/>
        </w:rPr>
        <w:t xml:space="preserve"> Julián Alberto Calderón Montes;</w:t>
      </w:r>
      <w:r w:rsidRPr="002A1385">
        <w:rPr>
          <w:rFonts w:cs="Arial"/>
          <w:sz w:val="24"/>
          <w:szCs w:val="24"/>
        </w:rPr>
        <w:t xml:space="preserve"> </w:t>
      </w:r>
      <w:r w:rsidR="002F438F">
        <w:rPr>
          <w:rFonts w:cs="Arial"/>
          <w:sz w:val="24"/>
          <w:szCs w:val="24"/>
        </w:rPr>
        <w:t xml:space="preserve">documentos de los que se desprendía </w:t>
      </w:r>
      <w:r w:rsidR="00ED1234">
        <w:rPr>
          <w:rFonts w:cs="Arial"/>
          <w:sz w:val="24"/>
          <w:szCs w:val="24"/>
        </w:rPr>
        <w:t xml:space="preserve">que se estaba ante un daño especial, pues se rompió el equilibrio de las cargas públicas </w:t>
      </w:r>
      <w:r w:rsidR="002F438F">
        <w:rPr>
          <w:rFonts w:cs="Arial"/>
          <w:sz w:val="24"/>
          <w:szCs w:val="24"/>
        </w:rPr>
        <w:t>en tanto</w:t>
      </w:r>
      <w:r w:rsidR="00ED1234">
        <w:rPr>
          <w:rFonts w:cs="Arial"/>
          <w:sz w:val="24"/>
          <w:szCs w:val="24"/>
        </w:rPr>
        <w:t xml:space="preserve"> la </w:t>
      </w:r>
      <w:r w:rsidR="00ED1234" w:rsidRPr="002F438F">
        <w:rPr>
          <w:rFonts w:cs="Arial"/>
          <w:sz w:val="24"/>
          <w:szCs w:val="24"/>
        </w:rPr>
        <w:t>muerte</w:t>
      </w:r>
      <w:r w:rsidR="002F438F" w:rsidRPr="002F438F">
        <w:rPr>
          <w:rFonts w:cs="Arial"/>
          <w:sz w:val="24"/>
          <w:szCs w:val="24"/>
        </w:rPr>
        <w:t xml:space="preserve"> del señor Daniel Alfredo González Palomo</w:t>
      </w:r>
      <w:r w:rsidR="00ED1234" w:rsidRPr="002F438F">
        <w:rPr>
          <w:rFonts w:cs="Arial"/>
          <w:sz w:val="24"/>
          <w:szCs w:val="24"/>
        </w:rPr>
        <w:t xml:space="preserve"> fue producto de un enfrentamiento armado entre la Fuerza Pública y grupos al margen de la ley</w:t>
      </w:r>
      <w:r w:rsidR="00DE2A73" w:rsidRPr="002F438F">
        <w:rPr>
          <w:rFonts w:cs="Arial"/>
          <w:sz w:val="24"/>
          <w:szCs w:val="24"/>
        </w:rPr>
        <w:t>.</w:t>
      </w:r>
      <w:r w:rsidR="00DE2A73">
        <w:rPr>
          <w:rFonts w:cs="Arial"/>
          <w:sz w:val="24"/>
          <w:szCs w:val="24"/>
        </w:rPr>
        <w:t xml:space="preserve"> </w:t>
      </w:r>
    </w:p>
    <w:p w14:paraId="3E38EC57" w14:textId="77777777" w:rsidR="00DE2A73" w:rsidRDefault="00DE2A73" w:rsidP="002A1385">
      <w:pPr>
        <w:spacing w:line="360" w:lineRule="auto"/>
        <w:rPr>
          <w:rFonts w:cs="Arial"/>
          <w:sz w:val="24"/>
          <w:szCs w:val="24"/>
        </w:rPr>
      </w:pPr>
    </w:p>
    <w:p w14:paraId="3D2E39D3" w14:textId="34943AB6" w:rsidR="00522D2C" w:rsidRDefault="00653FDC" w:rsidP="002A1385">
      <w:pPr>
        <w:spacing w:line="360" w:lineRule="auto"/>
        <w:rPr>
          <w:rFonts w:cs="Arial"/>
          <w:sz w:val="24"/>
          <w:szCs w:val="24"/>
        </w:rPr>
      </w:pPr>
      <w:r>
        <w:rPr>
          <w:rFonts w:cs="Arial"/>
          <w:sz w:val="24"/>
          <w:szCs w:val="24"/>
        </w:rPr>
        <w:t>5.1.1.</w:t>
      </w:r>
      <w:r w:rsidR="00DE2A73">
        <w:rPr>
          <w:rFonts w:cs="Arial"/>
          <w:sz w:val="24"/>
          <w:szCs w:val="24"/>
        </w:rPr>
        <w:t xml:space="preserve">- Bajo el estudio del cargo, la Sala no puede pasar por alto que el Tribunal Administrativo del Caquetá </w:t>
      </w:r>
      <w:r w:rsidR="008E7C57">
        <w:rPr>
          <w:rFonts w:cs="Arial"/>
          <w:sz w:val="24"/>
          <w:szCs w:val="24"/>
        </w:rPr>
        <w:t>explicó con extensión y claridad las razones por las que, con base en jurisprudencia de esta Corporaci</w:t>
      </w:r>
      <w:r w:rsidR="003578A8">
        <w:rPr>
          <w:rFonts w:cs="Arial"/>
          <w:sz w:val="24"/>
          <w:szCs w:val="24"/>
        </w:rPr>
        <w:t>ón</w:t>
      </w:r>
      <w:r w:rsidR="008E7C57">
        <w:rPr>
          <w:rFonts w:cs="Arial"/>
          <w:sz w:val="24"/>
          <w:szCs w:val="24"/>
        </w:rPr>
        <w:t xml:space="preserve"> </w:t>
      </w:r>
      <w:r w:rsidR="003578A8">
        <w:rPr>
          <w:rFonts w:cs="Arial"/>
          <w:sz w:val="24"/>
          <w:szCs w:val="24"/>
        </w:rPr>
        <w:t xml:space="preserve">y </w:t>
      </w:r>
      <w:r w:rsidR="0052672E">
        <w:rPr>
          <w:rFonts w:cs="Arial"/>
          <w:sz w:val="24"/>
          <w:szCs w:val="24"/>
        </w:rPr>
        <w:t xml:space="preserve">en </w:t>
      </w:r>
      <w:r w:rsidR="003578A8">
        <w:rPr>
          <w:rFonts w:cs="Arial"/>
          <w:sz w:val="24"/>
          <w:szCs w:val="24"/>
        </w:rPr>
        <w:t xml:space="preserve">los hechos probados al interior del proceso, </w:t>
      </w:r>
      <w:r w:rsidR="00381987">
        <w:rPr>
          <w:rFonts w:cs="Arial"/>
          <w:sz w:val="24"/>
          <w:szCs w:val="24"/>
        </w:rPr>
        <w:t>determinó</w:t>
      </w:r>
      <w:r w:rsidR="00320C58">
        <w:rPr>
          <w:rFonts w:cs="Arial"/>
          <w:sz w:val="24"/>
          <w:szCs w:val="24"/>
        </w:rPr>
        <w:t xml:space="preserve"> que no se configuraba </w:t>
      </w:r>
      <w:r w:rsidR="003578A8">
        <w:rPr>
          <w:rFonts w:cs="Arial"/>
          <w:sz w:val="24"/>
          <w:szCs w:val="24"/>
        </w:rPr>
        <w:t xml:space="preserve">la responsabilidad </w:t>
      </w:r>
      <w:r w:rsidR="00320C58">
        <w:rPr>
          <w:rFonts w:cs="Arial"/>
          <w:sz w:val="24"/>
          <w:szCs w:val="24"/>
        </w:rPr>
        <w:t xml:space="preserve">administrativa y patrimonial </w:t>
      </w:r>
      <w:r w:rsidR="003578A8">
        <w:rPr>
          <w:rFonts w:cs="Arial"/>
          <w:sz w:val="24"/>
          <w:szCs w:val="24"/>
        </w:rPr>
        <w:t xml:space="preserve">del Estado. Al efecto, la autoridad judicial accionada </w:t>
      </w:r>
      <w:r w:rsidR="00CD3AAD">
        <w:rPr>
          <w:rFonts w:cs="Arial"/>
          <w:sz w:val="24"/>
          <w:szCs w:val="24"/>
        </w:rPr>
        <w:t>examinó</w:t>
      </w:r>
      <w:r w:rsidR="00522D2C">
        <w:rPr>
          <w:rFonts w:cs="Arial"/>
          <w:sz w:val="24"/>
          <w:szCs w:val="24"/>
        </w:rPr>
        <w:t xml:space="preserve"> los títulos de imputación de falla del servicio, rie</w:t>
      </w:r>
      <w:r w:rsidR="00AA1435">
        <w:rPr>
          <w:rFonts w:cs="Arial"/>
          <w:sz w:val="24"/>
          <w:szCs w:val="24"/>
        </w:rPr>
        <w:t>sgo excepcional y daño especial, debido a que en el libelo introductorio</w:t>
      </w:r>
      <w:r w:rsidR="00041A77">
        <w:rPr>
          <w:rFonts w:cs="Arial"/>
          <w:sz w:val="24"/>
          <w:szCs w:val="24"/>
        </w:rPr>
        <w:t xml:space="preserve"> estos fueron invocados </w:t>
      </w:r>
      <w:r>
        <w:rPr>
          <w:rFonts w:cs="Arial"/>
          <w:sz w:val="24"/>
          <w:szCs w:val="24"/>
        </w:rPr>
        <w:t>de forma indistinta.</w:t>
      </w:r>
    </w:p>
    <w:p w14:paraId="0286950C" w14:textId="77777777" w:rsidR="00AA1435" w:rsidRDefault="00AA1435" w:rsidP="002A1385">
      <w:pPr>
        <w:spacing w:line="360" w:lineRule="auto"/>
        <w:rPr>
          <w:rFonts w:cs="Arial"/>
          <w:sz w:val="24"/>
          <w:szCs w:val="24"/>
        </w:rPr>
      </w:pPr>
    </w:p>
    <w:p w14:paraId="3D0E2DA7" w14:textId="018AC23F" w:rsidR="00DE2A73" w:rsidRPr="002A1385" w:rsidRDefault="00AA1435" w:rsidP="002A1385">
      <w:pPr>
        <w:spacing w:line="360" w:lineRule="auto"/>
        <w:rPr>
          <w:rFonts w:cs="Arial"/>
          <w:sz w:val="24"/>
          <w:szCs w:val="24"/>
        </w:rPr>
      </w:pPr>
      <w:r>
        <w:rPr>
          <w:rFonts w:cs="Arial"/>
          <w:sz w:val="24"/>
          <w:szCs w:val="24"/>
        </w:rPr>
        <w:t>En concreto, al es</w:t>
      </w:r>
      <w:r w:rsidR="00CD3AAD">
        <w:rPr>
          <w:rFonts w:cs="Arial"/>
          <w:sz w:val="24"/>
          <w:szCs w:val="24"/>
        </w:rPr>
        <w:t xml:space="preserve">crutar </w:t>
      </w:r>
      <w:r>
        <w:rPr>
          <w:rFonts w:cs="Arial"/>
          <w:sz w:val="24"/>
          <w:szCs w:val="24"/>
        </w:rPr>
        <w:t xml:space="preserve">la teoría </w:t>
      </w:r>
      <w:r w:rsidR="00041A77">
        <w:rPr>
          <w:rFonts w:cs="Arial"/>
          <w:sz w:val="24"/>
          <w:szCs w:val="24"/>
        </w:rPr>
        <w:t xml:space="preserve">del riesgo excepcional, citó </w:t>
      </w:r>
      <w:r w:rsidR="003578A8">
        <w:rPr>
          <w:rFonts w:cs="Arial"/>
          <w:sz w:val="24"/>
          <w:szCs w:val="24"/>
        </w:rPr>
        <w:t>los documentos alegados como desconocidos</w:t>
      </w:r>
      <w:r w:rsidR="00260CD4">
        <w:rPr>
          <w:rFonts w:cs="Arial"/>
          <w:sz w:val="24"/>
          <w:szCs w:val="24"/>
        </w:rPr>
        <w:t xml:space="preserve"> e</w:t>
      </w:r>
      <w:r w:rsidR="00202AF5">
        <w:rPr>
          <w:rFonts w:cs="Arial"/>
          <w:sz w:val="24"/>
          <w:szCs w:val="24"/>
        </w:rPr>
        <w:t>,</w:t>
      </w:r>
      <w:r w:rsidR="00260CD4">
        <w:rPr>
          <w:rFonts w:cs="Arial"/>
          <w:sz w:val="24"/>
          <w:szCs w:val="24"/>
        </w:rPr>
        <w:t xml:space="preserve"> incluso,</w:t>
      </w:r>
      <w:r w:rsidR="003578A8">
        <w:rPr>
          <w:rFonts w:cs="Arial"/>
          <w:sz w:val="24"/>
          <w:szCs w:val="24"/>
        </w:rPr>
        <w:t xml:space="preserve"> con los </w:t>
      </w:r>
      <w:r w:rsidR="00522D2C">
        <w:rPr>
          <w:rFonts w:cs="Arial"/>
          <w:sz w:val="24"/>
          <w:szCs w:val="24"/>
        </w:rPr>
        <w:t>mismos apartes que fueron subrayados por el accionante en el escrito tuitivo</w:t>
      </w:r>
      <w:r w:rsidR="00366F4C">
        <w:rPr>
          <w:rStyle w:val="Refdenotaalpie"/>
          <w:rFonts w:cs="Arial"/>
          <w:sz w:val="24"/>
          <w:szCs w:val="24"/>
        </w:rPr>
        <w:footnoteReference w:id="18"/>
      </w:r>
      <w:r w:rsidR="00522D2C">
        <w:rPr>
          <w:rFonts w:cs="Arial"/>
          <w:sz w:val="24"/>
          <w:szCs w:val="24"/>
        </w:rPr>
        <w:t xml:space="preserve">, para arribar a la conclusión de que </w:t>
      </w:r>
      <w:r w:rsidR="00B13FB3">
        <w:rPr>
          <w:rFonts w:cs="Arial"/>
          <w:sz w:val="24"/>
          <w:szCs w:val="24"/>
        </w:rPr>
        <w:t xml:space="preserve">no había lugar </w:t>
      </w:r>
      <w:r w:rsidR="00381987">
        <w:rPr>
          <w:rFonts w:cs="Arial"/>
          <w:sz w:val="24"/>
          <w:szCs w:val="24"/>
        </w:rPr>
        <w:t>a atribuir responsabilidad al E</w:t>
      </w:r>
      <w:r w:rsidR="00B13FB3">
        <w:rPr>
          <w:rFonts w:cs="Arial"/>
          <w:sz w:val="24"/>
          <w:szCs w:val="24"/>
        </w:rPr>
        <w:t xml:space="preserve">stado por el deceso de Daniel Alfredo González Palomo, </w:t>
      </w:r>
      <w:r w:rsidR="0052672E">
        <w:rPr>
          <w:rFonts w:cs="Arial"/>
          <w:sz w:val="24"/>
          <w:szCs w:val="24"/>
        </w:rPr>
        <w:t>en los términos que se citan:</w:t>
      </w:r>
    </w:p>
    <w:p w14:paraId="6ACF11C8" w14:textId="77777777" w:rsidR="002A1385" w:rsidRDefault="002A1385" w:rsidP="00934BF5">
      <w:pPr>
        <w:spacing w:line="360" w:lineRule="auto"/>
        <w:rPr>
          <w:rFonts w:cs="Arial"/>
          <w:b/>
          <w:sz w:val="24"/>
          <w:szCs w:val="24"/>
        </w:rPr>
      </w:pPr>
    </w:p>
    <w:p w14:paraId="6A3C262E" w14:textId="68F6DA1F" w:rsidR="00B13FB3" w:rsidRPr="00634A37" w:rsidRDefault="00B13FB3" w:rsidP="00634A37">
      <w:pPr>
        <w:spacing w:line="276" w:lineRule="auto"/>
        <w:ind w:left="567" w:right="567"/>
        <w:rPr>
          <w:rFonts w:cs="Arial"/>
          <w:b/>
          <w:i/>
          <w:sz w:val="22"/>
          <w:szCs w:val="22"/>
        </w:rPr>
      </w:pPr>
      <w:r w:rsidRPr="00634A37">
        <w:rPr>
          <w:rFonts w:cs="Arial"/>
          <w:i/>
          <w:sz w:val="22"/>
          <w:szCs w:val="22"/>
        </w:rPr>
        <w:t>“</w:t>
      </w:r>
      <w:r w:rsidR="00CC0D92">
        <w:rPr>
          <w:rFonts w:cs="Arial"/>
          <w:i/>
          <w:sz w:val="22"/>
          <w:szCs w:val="22"/>
        </w:rPr>
        <w:t xml:space="preserve">(…) </w:t>
      </w:r>
      <w:r w:rsidRPr="00634A37">
        <w:rPr>
          <w:i/>
          <w:sz w:val="22"/>
          <w:szCs w:val="22"/>
        </w:rPr>
        <w:t>quedó claro</w:t>
      </w:r>
      <w:r w:rsidR="00EC7194">
        <w:rPr>
          <w:i/>
          <w:sz w:val="22"/>
          <w:szCs w:val="22"/>
        </w:rPr>
        <w:t xml:space="preserve"> [que]</w:t>
      </w:r>
      <w:r w:rsidRPr="00634A37">
        <w:rPr>
          <w:i/>
          <w:sz w:val="22"/>
          <w:szCs w:val="22"/>
        </w:rPr>
        <w:t xml:space="preserve"> el atentado no se dirigió contra personas o instituciones representativas del estado, en ese orden, puede asegurarse que la administración no desplegó ningún </w:t>
      </w:r>
      <w:r w:rsidRPr="005171E2">
        <w:rPr>
          <w:i/>
          <w:sz w:val="22"/>
          <w:szCs w:val="22"/>
        </w:rPr>
        <w:t xml:space="preserve">comportamiento generador </w:t>
      </w:r>
      <w:r w:rsidR="00EC7194" w:rsidRPr="005171E2">
        <w:rPr>
          <w:i/>
          <w:sz w:val="22"/>
          <w:szCs w:val="22"/>
        </w:rPr>
        <w:t xml:space="preserve">[de] </w:t>
      </w:r>
      <w:r w:rsidRPr="005171E2">
        <w:rPr>
          <w:i/>
          <w:sz w:val="22"/>
          <w:szCs w:val="22"/>
        </w:rPr>
        <w:t>un riesgo</w:t>
      </w:r>
      <w:r w:rsidRPr="00634A37">
        <w:rPr>
          <w:i/>
          <w:sz w:val="22"/>
          <w:szCs w:val="22"/>
        </w:rPr>
        <w:t xml:space="preserve"> de naturaleza anormal o excesiva, para las personas y sus bienes, se trató entonces de un acto violento – </w:t>
      </w:r>
      <w:r w:rsidRPr="00D30101">
        <w:rPr>
          <w:i/>
          <w:sz w:val="22"/>
          <w:szCs w:val="22"/>
        </w:rPr>
        <w:t xml:space="preserve">ataque a los </w:t>
      </w:r>
      <w:r w:rsidR="00D30101" w:rsidRPr="00D30101">
        <w:rPr>
          <w:i/>
          <w:sz w:val="22"/>
          <w:szCs w:val="22"/>
        </w:rPr>
        <w:t>[</w:t>
      </w:r>
      <w:proofErr w:type="spellStart"/>
      <w:r w:rsidRPr="00D30101">
        <w:rPr>
          <w:i/>
          <w:sz w:val="22"/>
          <w:szCs w:val="22"/>
        </w:rPr>
        <w:t>carrotanques</w:t>
      </w:r>
      <w:proofErr w:type="spellEnd"/>
      <w:r w:rsidR="00D30101" w:rsidRPr="00D30101">
        <w:rPr>
          <w:i/>
          <w:sz w:val="22"/>
          <w:szCs w:val="22"/>
        </w:rPr>
        <w:t>]</w:t>
      </w:r>
      <w:r w:rsidRPr="00D30101">
        <w:rPr>
          <w:i/>
          <w:sz w:val="22"/>
          <w:szCs w:val="22"/>
        </w:rPr>
        <w:t>- que</w:t>
      </w:r>
      <w:r w:rsidRPr="005171E2">
        <w:rPr>
          <w:i/>
          <w:sz w:val="22"/>
          <w:szCs w:val="22"/>
        </w:rPr>
        <w:t xml:space="preserve"> se </w:t>
      </w:r>
      <w:proofErr w:type="spellStart"/>
      <w:r w:rsidRPr="005171E2">
        <w:rPr>
          <w:i/>
          <w:sz w:val="22"/>
          <w:szCs w:val="22"/>
        </w:rPr>
        <w:t>perpet</w:t>
      </w:r>
      <w:proofErr w:type="spellEnd"/>
      <w:r w:rsidR="00EC7194" w:rsidRPr="005171E2">
        <w:rPr>
          <w:i/>
          <w:sz w:val="22"/>
          <w:szCs w:val="22"/>
        </w:rPr>
        <w:t>[</w:t>
      </w:r>
      <w:proofErr w:type="spellStart"/>
      <w:r w:rsidR="00EC7194" w:rsidRPr="005171E2">
        <w:rPr>
          <w:i/>
          <w:sz w:val="22"/>
          <w:szCs w:val="22"/>
        </w:rPr>
        <w:t>uó</w:t>
      </w:r>
      <w:proofErr w:type="spellEnd"/>
      <w:r w:rsidR="00EC7194" w:rsidRPr="005171E2">
        <w:rPr>
          <w:i/>
          <w:sz w:val="22"/>
          <w:szCs w:val="22"/>
        </w:rPr>
        <w:t>]</w:t>
      </w:r>
      <w:r w:rsidRPr="005171E2">
        <w:rPr>
          <w:i/>
          <w:sz w:val="22"/>
          <w:szCs w:val="22"/>
        </w:rPr>
        <w:t xml:space="preserve"> al parecer</w:t>
      </w:r>
      <w:r w:rsidRPr="00634A37">
        <w:rPr>
          <w:i/>
          <w:sz w:val="22"/>
          <w:szCs w:val="22"/>
        </w:rPr>
        <w:t xml:space="preserve"> por el no pago de extorsiones por parte de la Empresa </w:t>
      </w:r>
      <w:proofErr w:type="spellStart"/>
      <w:r w:rsidRPr="00634A37">
        <w:rPr>
          <w:i/>
          <w:sz w:val="22"/>
          <w:szCs w:val="22"/>
        </w:rPr>
        <w:t>Emeradl</w:t>
      </w:r>
      <w:proofErr w:type="spellEnd"/>
      <w:r w:rsidRPr="00634A37">
        <w:rPr>
          <w:i/>
          <w:sz w:val="22"/>
          <w:szCs w:val="22"/>
        </w:rPr>
        <w:t xml:space="preserve"> </w:t>
      </w:r>
      <w:proofErr w:type="spellStart"/>
      <w:r w:rsidRPr="00634A37">
        <w:rPr>
          <w:i/>
          <w:sz w:val="22"/>
          <w:szCs w:val="22"/>
        </w:rPr>
        <w:t>Energy</w:t>
      </w:r>
      <w:proofErr w:type="spellEnd"/>
      <w:r w:rsidRPr="00634A37">
        <w:rPr>
          <w:i/>
          <w:sz w:val="22"/>
          <w:szCs w:val="22"/>
        </w:rPr>
        <w:t xml:space="preserve"> al grupo alzado en armas, pues recuérdese además que según lo informó la prensa de entonces, varias personas que trabajaban en favor de la empresa privada habían sido secuestradas, permaneciendo en cautiverio ante el no pago del rescate, siendo desafortunado el hecho </w:t>
      </w:r>
      <w:r w:rsidR="00304454">
        <w:rPr>
          <w:i/>
          <w:sz w:val="22"/>
          <w:szCs w:val="22"/>
        </w:rPr>
        <w:t xml:space="preserve">[de] </w:t>
      </w:r>
      <w:r w:rsidRPr="00634A37">
        <w:rPr>
          <w:i/>
          <w:sz w:val="22"/>
          <w:szCs w:val="22"/>
        </w:rPr>
        <w:t xml:space="preserve">que el señor Daniel Alfredo González Palomo, transitara por el lugar exacto en que se </w:t>
      </w:r>
      <w:r w:rsidRPr="00634A37">
        <w:rPr>
          <w:i/>
          <w:sz w:val="22"/>
          <w:szCs w:val="22"/>
        </w:rPr>
        <w:lastRenderedPageBreak/>
        <w:t>ejecutaría el ataque terrorista, concluyéndose entonces que no se puede imputar un daño respecto de un riesgo que el Estado no ha creado ni del que tampoco tuvo la oportunidad de evitar</w:t>
      </w:r>
      <w:r w:rsidRPr="00634A37">
        <w:rPr>
          <w:rFonts w:cs="Arial"/>
          <w:i/>
          <w:sz w:val="22"/>
          <w:szCs w:val="22"/>
        </w:rPr>
        <w:t>”</w:t>
      </w:r>
      <w:r w:rsidR="00634A37" w:rsidRPr="00DB71E7">
        <w:rPr>
          <w:rStyle w:val="Refdenotaalpie"/>
          <w:rFonts w:cs="Arial"/>
          <w:sz w:val="22"/>
          <w:szCs w:val="22"/>
        </w:rPr>
        <w:footnoteReference w:id="19"/>
      </w:r>
      <w:r w:rsidR="00634A37" w:rsidRPr="00DB71E7">
        <w:rPr>
          <w:rFonts w:cs="Arial"/>
          <w:sz w:val="22"/>
          <w:szCs w:val="22"/>
        </w:rPr>
        <w:t>.</w:t>
      </w:r>
    </w:p>
    <w:p w14:paraId="14AA744B" w14:textId="77777777" w:rsidR="00B13FB3" w:rsidRPr="00BA4F94" w:rsidRDefault="00B13FB3" w:rsidP="00BA4F94">
      <w:pPr>
        <w:spacing w:line="360" w:lineRule="auto"/>
        <w:rPr>
          <w:rFonts w:cs="Arial"/>
          <w:b/>
          <w:sz w:val="24"/>
          <w:szCs w:val="24"/>
        </w:rPr>
      </w:pPr>
    </w:p>
    <w:p w14:paraId="729851AA" w14:textId="1FF7C84D" w:rsidR="00BA4F94" w:rsidRPr="00D33767" w:rsidRDefault="004E41F9" w:rsidP="00BA4F94">
      <w:pPr>
        <w:pStyle w:val="Sinespaciado1"/>
        <w:spacing w:line="360" w:lineRule="auto"/>
        <w:jc w:val="both"/>
        <w:rPr>
          <w:rFonts w:ascii="Arial" w:hAnsi="Arial" w:cs="Arial"/>
        </w:rPr>
      </w:pPr>
      <w:r>
        <w:rPr>
          <w:rFonts w:ascii="Arial" w:hAnsi="Arial" w:cs="Arial"/>
        </w:rPr>
        <w:t>5.1</w:t>
      </w:r>
      <w:r w:rsidR="006331A5" w:rsidRPr="00D33767">
        <w:rPr>
          <w:rFonts w:ascii="Arial" w:hAnsi="Arial" w:cs="Arial"/>
        </w:rPr>
        <w:t>.</w:t>
      </w:r>
      <w:r>
        <w:rPr>
          <w:rFonts w:ascii="Arial" w:hAnsi="Arial" w:cs="Arial"/>
        </w:rPr>
        <w:t>2.</w:t>
      </w:r>
      <w:r w:rsidR="006331A5" w:rsidRPr="00D33767">
        <w:rPr>
          <w:rFonts w:ascii="Arial" w:hAnsi="Arial" w:cs="Arial"/>
        </w:rPr>
        <w:t xml:space="preserve">- Ahora, frente al daño especial, resaltó </w:t>
      </w:r>
      <w:r w:rsidR="00805541">
        <w:rPr>
          <w:rFonts w:ascii="Arial" w:hAnsi="Arial" w:cs="Arial"/>
        </w:rPr>
        <w:t xml:space="preserve">que no se observó </w:t>
      </w:r>
      <w:r w:rsidR="006331A5" w:rsidRPr="00D33767">
        <w:rPr>
          <w:rFonts w:ascii="Arial" w:hAnsi="Arial" w:cs="Arial"/>
        </w:rPr>
        <w:t xml:space="preserve">que la muerte del señor González </w:t>
      </w:r>
      <w:r w:rsidR="00805541">
        <w:rPr>
          <w:rFonts w:ascii="Arial" w:hAnsi="Arial" w:cs="Arial"/>
        </w:rPr>
        <w:t>Palomo</w:t>
      </w:r>
      <w:r w:rsidR="008E1134">
        <w:rPr>
          <w:rFonts w:ascii="Arial" w:hAnsi="Arial" w:cs="Arial"/>
        </w:rPr>
        <w:t xml:space="preserve"> </w:t>
      </w:r>
      <w:r>
        <w:rPr>
          <w:rFonts w:ascii="Arial" w:hAnsi="Arial" w:cs="Arial"/>
        </w:rPr>
        <w:t>fuera producto</w:t>
      </w:r>
      <w:r w:rsidR="008E1134">
        <w:rPr>
          <w:rFonts w:ascii="Arial" w:hAnsi="Arial" w:cs="Arial"/>
        </w:rPr>
        <w:t xml:space="preserve"> de un actuar legítimo del Estado en cabeza del Ej</w:t>
      </w:r>
      <w:r w:rsidR="00805541">
        <w:rPr>
          <w:rFonts w:ascii="Arial" w:hAnsi="Arial" w:cs="Arial"/>
        </w:rPr>
        <w:t>ército Nacional</w:t>
      </w:r>
      <w:r w:rsidR="008E1134">
        <w:rPr>
          <w:rFonts w:ascii="Arial" w:hAnsi="Arial" w:cs="Arial"/>
        </w:rPr>
        <w:t xml:space="preserve"> al repeler el ataque, pues este se dirigi</w:t>
      </w:r>
      <w:r w:rsidR="00805541">
        <w:rPr>
          <w:rFonts w:ascii="Arial" w:hAnsi="Arial" w:cs="Arial"/>
        </w:rPr>
        <w:t>ó en contra de</w:t>
      </w:r>
      <w:r w:rsidR="008E1134">
        <w:rPr>
          <w:rFonts w:ascii="Arial" w:hAnsi="Arial" w:cs="Arial"/>
        </w:rPr>
        <w:t xml:space="preserve"> la caravana de carrotanques</w:t>
      </w:r>
      <w:r>
        <w:rPr>
          <w:rFonts w:ascii="Arial" w:hAnsi="Arial" w:cs="Arial"/>
        </w:rPr>
        <w:t>. A partir de esto, señaló que</w:t>
      </w:r>
      <w:r w:rsidR="008E1134">
        <w:rPr>
          <w:rFonts w:ascii="Arial" w:hAnsi="Arial" w:cs="Arial"/>
        </w:rPr>
        <w:t xml:space="preserve"> </w:t>
      </w:r>
    </w:p>
    <w:p w14:paraId="5881EA8E" w14:textId="77777777" w:rsidR="00BA4F94" w:rsidRPr="00805541" w:rsidRDefault="00BA4F94" w:rsidP="00BA4F94">
      <w:pPr>
        <w:pStyle w:val="Sinespaciado1"/>
        <w:spacing w:line="360" w:lineRule="auto"/>
        <w:jc w:val="both"/>
        <w:rPr>
          <w:rFonts w:ascii="Arial" w:hAnsi="Arial" w:cs="Arial"/>
        </w:rPr>
      </w:pPr>
    </w:p>
    <w:p w14:paraId="6EE793A0" w14:textId="72D210D9" w:rsidR="00805541" w:rsidRPr="00805541" w:rsidRDefault="00805541" w:rsidP="00805541">
      <w:pPr>
        <w:pStyle w:val="Sinespaciado1"/>
        <w:spacing w:line="276" w:lineRule="auto"/>
        <w:ind w:left="567" w:right="567"/>
        <w:jc w:val="both"/>
        <w:rPr>
          <w:rFonts w:ascii="Arial" w:hAnsi="Arial" w:cs="Arial"/>
          <w:i/>
          <w:sz w:val="22"/>
          <w:szCs w:val="22"/>
        </w:rPr>
      </w:pPr>
      <w:r w:rsidRPr="00805541">
        <w:rPr>
          <w:rFonts w:ascii="Arial" w:hAnsi="Arial" w:cs="Arial"/>
          <w:i/>
          <w:sz w:val="22"/>
          <w:szCs w:val="22"/>
        </w:rPr>
        <w:t>“</w:t>
      </w:r>
      <w:r w:rsidR="005171E2">
        <w:rPr>
          <w:rFonts w:ascii="Arial" w:hAnsi="Arial" w:cs="Arial"/>
          <w:i/>
          <w:sz w:val="22"/>
          <w:szCs w:val="22"/>
        </w:rPr>
        <w:t xml:space="preserve">(…) </w:t>
      </w:r>
      <w:r w:rsidRPr="00805541">
        <w:rPr>
          <w:rFonts w:ascii="Arial" w:hAnsi="Arial" w:cs="Arial"/>
          <w:i/>
          <w:sz w:val="22"/>
          <w:szCs w:val="22"/>
        </w:rPr>
        <w:t xml:space="preserve">el estado colombiano actuó en cumplimiento de los deberes jurídicos asignados frente a la presión de los grupos insurgentes, por manera que resultaría impropio atribuir daños producidos por organizaciones del narcotráfico, por el solo hecho de haber ejercicio debidamente sus competencias legales en beneficio de la comunidad y del interés general, aunado a ello, pruebas dan cuenta de que el enfrentamiento que hubo entre la Fuerza Pública y los insurgentes de la guerrilla de las FARC ocurrió en unas coordenadas diferentes a las coordenadas donde fue hallado el vehículo que </w:t>
      </w:r>
      <w:r w:rsidRPr="005171E2">
        <w:rPr>
          <w:rFonts w:ascii="Arial" w:hAnsi="Arial" w:cs="Arial"/>
          <w:i/>
          <w:sz w:val="22"/>
          <w:szCs w:val="22"/>
        </w:rPr>
        <w:t xml:space="preserve">contenía </w:t>
      </w:r>
      <w:r w:rsidR="00304454" w:rsidRPr="005171E2">
        <w:rPr>
          <w:rFonts w:ascii="Arial" w:hAnsi="Arial" w:cs="Arial"/>
          <w:i/>
          <w:sz w:val="22"/>
          <w:szCs w:val="22"/>
        </w:rPr>
        <w:t>e[l]</w:t>
      </w:r>
      <w:r w:rsidRPr="005171E2">
        <w:rPr>
          <w:rFonts w:ascii="Arial" w:hAnsi="Arial" w:cs="Arial"/>
          <w:i/>
          <w:sz w:val="22"/>
          <w:szCs w:val="22"/>
        </w:rPr>
        <w:t xml:space="preserve"> cuerpo</w:t>
      </w:r>
      <w:r w:rsidRPr="00805541">
        <w:rPr>
          <w:rFonts w:ascii="Arial" w:hAnsi="Arial" w:cs="Arial"/>
          <w:i/>
          <w:sz w:val="22"/>
          <w:szCs w:val="22"/>
        </w:rPr>
        <w:t xml:space="preserve"> sin vida del señor González Palomo, motivos suficientes para afirmar que no se configurara una ruptura del principio de igualdad frente a las cargas públicas y para descartar la responsabilidad del Estado bajo el título de imputación del daño especial”</w:t>
      </w:r>
      <w:r w:rsidRPr="00304454">
        <w:rPr>
          <w:rStyle w:val="Refdenotaalpie"/>
          <w:rFonts w:ascii="Arial" w:hAnsi="Arial" w:cs="Arial"/>
          <w:iCs/>
          <w:sz w:val="22"/>
          <w:szCs w:val="22"/>
        </w:rPr>
        <w:footnoteReference w:id="20"/>
      </w:r>
      <w:r w:rsidR="00304454" w:rsidRPr="00304454">
        <w:rPr>
          <w:rFonts w:ascii="Arial" w:hAnsi="Arial" w:cs="Arial"/>
          <w:iCs/>
          <w:sz w:val="22"/>
          <w:szCs w:val="22"/>
        </w:rPr>
        <w:t>.</w:t>
      </w:r>
    </w:p>
    <w:p w14:paraId="41E5ED94" w14:textId="77777777" w:rsidR="00182E40" w:rsidRDefault="00182E40" w:rsidP="00BA4F94">
      <w:pPr>
        <w:pStyle w:val="Sinespaciado1"/>
        <w:spacing w:line="360" w:lineRule="auto"/>
        <w:jc w:val="both"/>
        <w:rPr>
          <w:rFonts w:ascii="Arial" w:hAnsi="Arial" w:cs="Arial"/>
          <w:highlight w:val="yellow"/>
        </w:rPr>
      </w:pPr>
    </w:p>
    <w:p w14:paraId="7A7EAAF1" w14:textId="45C0E124" w:rsidR="00182E40" w:rsidRPr="0078363F" w:rsidRDefault="004E41F9" w:rsidP="00182E40">
      <w:pPr>
        <w:pStyle w:val="Sinespaciado1"/>
        <w:spacing w:line="360" w:lineRule="auto"/>
        <w:ind w:right="-92"/>
        <w:jc w:val="both"/>
        <w:rPr>
          <w:rFonts w:ascii="Arial" w:hAnsi="Arial" w:cs="Arial"/>
          <w:color w:val="000000"/>
        </w:rPr>
      </w:pPr>
      <w:r>
        <w:rPr>
          <w:rFonts w:ascii="Arial" w:hAnsi="Arial" w:cs="Arial"/>
        </w:rPr>
        <w:t>5.1</w:t>
      </w:r>
      <w:r w:rsidR="00182E40" w:rsidRPr="0078363F">
        <w:rPr>
          <w:rFonts w:ascii="Arial" w:hAnsi="Arial" w:cs="Arial"/>
        </w:rPr>
        <w:t>.</w:t>
      </w:r>
      <w:r>
        <w:rPr>
          <w:rFonts w:ascii="Arial" w:hAnsi="Arial" w:cs="Arial"/>
        </w:rPr>
        <w:t>3.</w:t>
      </w:r>
      <w:r w:rsidR="00182E40" w:rsidRPr="0078363F">
        <w:rPr>
          <w:rFonts w:ascii="Arial" w:hAnsi="Arial" w:cs="Arial"/>
        </w:rPr>
        <w:t>-  En consecuencia, se advierte que el Tribunal Administrativo del Caquetá</w:t>
      </w:r>
      <w:r w:rsidR="00182E40" w:rsidRPr="0078363F">
        <w:rPr>
          <w:rFonts w:ascii="Arial" w:hAnsi="Arial" w:cs="Arial"/>
          <w:color w:val="000000"/>
        </w:rPr>
        <w:t xml:space="preserve"> realizó un estudio detallado y objetivo de la </w:t>
      </w:r>
      <w:r w:rsidR="00182E40" w:rsidRPr="0078363F">
        <w:rPr>
          <w:rFonts w:ascii="Arial" w:hAnsi="Arial" w:cs="Arial"/>
          <w:i/>
          <w:iCs/>
          <w:color w:val="000000"/>
        </w:rPr>
        <w:t>litis</w:t>
      </w:r>
      <w:r w:rsidR="00182E40" w:rsidRPr="0078363F">
        <w:rPr>
          <w:rFonts w:ascii="Arial" w:hAnsi="Arial" w:cs="Arial"/>
          <w:color w:val="000000"/>
        </w:rPr>
        <w:t xml:space="preserve"> y arribó a las conclusiones que ya se conocen, las que intentan desconocerse en esta vía, a través de argumentos de simple inconformidad, para reabrir un debate que ya fue resuelto por el juez natural en el proceso de reparación directa</w:t>
      </w:r>
      <w:r w:rsidR="0032244D">
        <w:rPr>
          <w:rFonts w:ascii="Arial" w:hAnsi="Arial" w:cs="Arial"/>
          <w:color w:val="000000"/>
        </w:rPr>
        <w:t xml:space="preserve">, como si este mecanismo fuera una instancia adicional al ordinario. </w:t>
      </w:r>
    </w:p>
    <w:p w14:paraId="45175A6F" w14:textId="2CD82135" w:rsidR="00805541" w:rsidRPr="0078363F" w:rsidRDefault="00805541" w:rsidP="00BA4F94">
      <w:pPr>
        <w:pStyle w:val="Sinespaciado1"/>
        <w:spacing w:line="360" w:lineRule="auto"/>
        <w:jc w:val="both"/>
        <w:rPr>
          <w:rFonts w:ascii="Arial" w:hAnsi="Arial" w:cs="Arial"/>
        </w:rPr>
      </w:pPr>
    </w:p>
    <w:p w14:paraId="3C10C666" w14:textId="18BF307E" w:rsidR="00182E40" w:rsidRPr="00F57123" w:rsidRDefault="0032244D" w:rsidP="00182E40">
      <w:pPr>
        <w:pStyle w:val="Sinespaciado1"/>
        <w:spacing w:line="360" w:lineRule="auto"/>
        <w:ind w:right="-92"/>
        <w:jc w:val="both"/>
        <w:rPr>
          <w:rFonts w:ascii="Arial" w:hAnsi="Arial" w:cs="Arial"/>
          <w:color w:val="000000"/>
        </w:rPr>
      </w:pPr>
      <w:r>
        <w:rPr>
          <w:rFonts w:ascii="Arial" w:hAnsi="Arial" w:cs="Arial"/>
        </w:rPr>
        <w:t>5.1</w:t>
      </w:r>
      <w:r w:rsidRPr="0078363F">
        <w:rPr>
          <w:rFonts w:ascii="Arial" w:hAnsi="Arial" w:cs="Arial"/>
        </w:rPr>
        <w:t>.</w:t>
      </w:r>
      <w:r>
        <w:rPr>
          <w:rFonts w:ascii="Arial" w:hAnsi="Arial" w:cs="Arial"/>
        </w:rPr>
        <w:t>4.</w:t>
      </w:r>
      <w:r w:rsidRPr="0078363F">
        <w:rPr>
          <w:rFonts w:ascii="Arial" w:hAnsi="Arial" w:cs="Arial"/>
        </w:rPr>
        <w:t xml:space="preserve">- </w:t>
      </w:r>
      <w:r w:rsidR="00182E40" w:rsidRPr="0078363F">
        <w:rPr>
          <w:rFonts w:ascii="Arial" w:eastAsia="Verdana" w:hAnsi="Arial" w:cs="Arial"/>
        </w:rPr>
        <w:t>Debe recordarse que la procedencia de la acción de tutela en contra de providencias judiciales es de carácter excepcional y no pretende desconocer la vigencia de la autonomía e independencia judicial, ni los principios de cosa juzgada y seguridad jurídica. Ello, en razón a que es concebida como un </w:t>
      </w:r>
      <w:r w:rsidR="00182E40" w:rsidRPr="0078363F">
        <w:rPr>
          <w:rFonts w:ascii="Arial" w:eastAsia="Verdana" w:hAnsi="Arial" w:cs="Arial"/>
          <w:i/>
          <w:iCs/>
        </w:rPr>
        <w:t>“j</w:t>
      </w:r>
      <w:r w:rsidR="00182E40" w:rsidRPr="0078363F">
        <w:rPr>
          <w:rFonts w:ascii="Arial" w:eastAsia="Verdana" w:hAnsi="Arial" w:cs="Arial"/>
          <w:i/>
        </w:rPr>
        <w:t>uicio de validez”</w:t>
      </w:r>
      <w:r w:rsidR="00182E40" w:rsidRPr="0078363F">
        <w:rPr>
          <w:rFonts w:ascii="Arial" w:eastAsia="Verdana" w:hAnsi="Arial" w:cs="Arial"/>
        </w:rPr>
        <w:t> y no como un </w:t>
      </w:r>
      <w:r w:rsidR="00182E40" w:rsidRPr="0078363F">
        <w:rPr>
          <w:rFonts w:ascii="Arial" w:eastAsia="Verdana" w:hAnsi="Arial" w:cs="Arial"/>
          <w:i/>
        </w:rPr>
        <w:t>“juicio de corrección” </w:t>
      </w:r>
      <w:r w:rsidR="00182E40" w:rsidRPr="0078363F">
        <w:rPr>
          <w:rFonts w:ascii="Arial" w:eastAsia="Verdana" w:hAnsi="Arial" w:cs="Arial"/>
        </w:rPr>
        <w:t>de la decisión cuestionad</w:t>
      </w:r>
      <w:bookmarkStart w:id="0" w:name="_ftnref30"/>
      <w:r w:rsidR="00182E40" w:rsidRPr="0078363F">
        <w:rPr>
          <w:rFonts w:ascii="Arial" w:eastAsia="Verdana" w:hAnsi="Arial" w:cs="Arial"/>
        </w:rPr>
        <w:t>a</w:t>
      </w:r>
      <w:r w:rsidR="00182E40" w:rsidRPr="0078363F">
        <w:rPr>
          <w:rFonts w:ascii="Arial" w:eastAsia="Verdana" w:hAnsi="Arial" w:cs="Arial"/>
          <w:vertAlign w:val="superscript"/>
        </w:rPr>
        <w:footnoteReference w:id="21"/>
      </w:r>
      <w:bookmarkEnd w:id="0"/>
      <w:r w:rsidR="00182E40" w:rsidRPr="0078363F">
        <w:rPr>
          <w:rFonts w:ascii="Arial" w:eastAsia="Verdana" w:hAnsi="Arial" w:cs="Arial"/>
        </w:rPr>
        <w:t>, lo que se opone a que se use indebidamente como una nueva instancia para la discusión de los asuntos de interpretación del derecho, que dieron origen a la controversia</w:t>
      </w:r>
      <w:r w:rsidR="00182E40" w:rsidRPr="0078363F">
        <w:rPr>
          <w:rFonts w:ascii="Arial" w:eastAsia="Verdana" w:hAnsi="Arial" w:cs="Arial"/>
          <w:vertAlign w:val="superscript"/>
        </w:rPr>
        <w:footnoteReference w:id="22"/>
      </w:r>
      <w:r w:rsidR="00182E40" w:rsidRPr="0078363F">
        <w:rPr>
          <w:rFonts w:ascii="Arial" w:eastAsia="Verdana" w:hAnsi="Arial" w:cs="Arial"/>
        </w:rPr>
        <w:t>.</w:t>
      </w:r>
      <w:r w:rsidR="00182E40" w:rsidRPr="000B6F93">
        <w:rPr>
          <w:rFonts w:ascii="Arial" w:eastAsia="Verdana" w:hAnsi="Arial" w:cs="Arial"/>
        </w:rPr>
        <w:t xml:space="preserve"> </w:t>
      </w:r>
    </w:p>
    <w:p w14:paraId="6A981982" w14:textId="77777777" w:rsidR="00182E40" w:rsidRDefault="00182E40" w:rsidP="00182E40">
      <w:pPr>
        <w:pStyle w:val="Sinespaciado1"/>
        <w:spacing w:line="360" w:lineRule="auto"/>
        <w:ind w:right="-92"/>
        <w:jc w:val="both"/>
        <w:rPr>
          <w:rFonts w:ascii="Arial" w:hAnsi="Arial" w:cs="Arial"/>
          <w:color w:val="000000"/>
        </w:rPr>
      </w:pPr>
    </w:p>
    <w:p w14:paraId="075AA8F7" w14:textId="0DFA4EBB" w:rsidR="00182E40" w:rsidRPr="00A46C24" w:rsidRDefault="004E41F9" w:rsidP="00BA4F94">
      <w:pPr>
        <w:pStyle w:val="Sinespaciado1"/>
        <w:spacing w:line="360" w:lineRule="auto"/>
        <w:jc w:val="both"/>
        <w:rPr>
          <w:rFonts w:ascii="Arial" w:hAnsi="Arial" w:cs="Arial"/>
        </w:rPr>
      </w:pPr>
      <w:r>
        <w:rPr>
          <w:rFonts w:ascii="Arial" w:hAnsi="Arial" w:cs="Arial"/>
        </w:rPr>
        <w:lastRenderedPageBreak/>
        <w:t>5.1.</w:t>
      </w:r>
      <w:r w:rsidR="0032244D">
        <w:rPr>
          <w:rFonts w:ascii="Arial" w:hAnsi="Arial" w:cs="Arial"/>
        </w:rPr>
        <w:t>5</w:t>
      </w:r>
      <w:r w:rsidR="0078363F" w:rsidRPr="0078363F">
        <w:rPr>
          <w:rFonts w:ascii="Arial" w:hAnsi="Arial" w:cs="Arial"/>
        </w:rPr>
        <w:t xml:space="preserve">.- </w:t>
      </w:r>
      <w:r w:rsidR="0078363F" w:rsidRPr="0078363F">
        <w:rPr>
          <w:rFonts w:ascii="Arial" w:hAnsi="Arial" w:cs="Arial"/>
          <w:color w:val="000000"/>
          <w:lang w:eastAsia="es-CO"/>
        </w:rPr>
        <w:t xml:space="preserve">Con fundamento en las consideraciones anotadas, la Sala declarará la </w:t>
      </w:r>
      <w:r w:rsidR="0078363F" w:rsidRPr="00A46C24">
        <w:rPr>
          <w:rFonts w:ascii="Arial" w:hAnsi="Arial" w:cs="Arial"/>
          <w:color w:val="000000"/>
          <w:lang w:eastAsia="es-CO"/>
        </w:rPr>
        <w:t>improcedencia de la acción tuitiva</w:t>
      </w:r>
      <w:r w:rsidR="003C4A53" w:rsidRPr="00A46C24">
        <w:rPr>
          <w:rFonts w:ascii="Arial" w:hAnsi="Arial" w:cs="Arial"/>
          <w:color w:val="000000"/>
          <w:lang w:eastAsia="es-CO"/>
        </w:rPr>
        <w:t xml:space="preserve"> por el cargo analizado. </w:t>
      </w:r>
    </w:p>
    <w:p w14:paraId="00F2ADA3" w14:textId="77777777" w:rsidR="0078363F" w:rsidRPr="00A46C24" w:rsidRDefault="0078363F" w:rsidP="00BA4F94">
      <w:pPr>
        <w:pStyle w:val="Sinespaciado1"/>
        <w:spacing w:line="360" w:lineRule="auto"/>
        <w:jc w:val="both"/>
        <w:rPr>
          <w:rFonts w:ascii="Arial" w:hAnsi="Arial" w:cs="Arial"/>
          <w:highlight w:val="yellow"/>
        </w:rPr>
      </w:pPr>
    </w:p>
    <w:p w14:paraId="38069C79" w14:textId="1438FE8C" w:rsidR="00A46C24" w:rsidRPr="00A46C24" w:rsidRDefault="003C4A53" w:rsidP="00BA4F94">
      <w:pPr>
        <w:pStyle w:val="Sinespaciado1"/>
        <w:spacing w:line="360" w:lineRule="auto"/>
        <w:jc w:val="both"/>
        <w:rPr>
          <w:rFonts w:ascii="Arial" w:hAnsi="Arial" w:cs="Arial"/>
          <w:b/>
          <w:bCs/>
        </w:rPr>
      </w:pPr>
      <w:r w:rsidRPr="00A46C24">
        <w:rPr>
          <w:rFonts w:ascii="Arial" w:hAnsi="Arial" w:cs="Arial"/>
          <w:b/>
          <w:bCs/>
        </w:rPr>
        <w:t xml:space="preserve">6.- </w:t>
      </w:r>
      <w:r w:rsidR="00A46C24" w:rsidRPr="00A46C24">
        <w:rPr>
          <w:rFonts w:ascii="Arial" w:hAnsi="Arial" w:cs="Arial"/>
          <w:b/>
          <w:bCs/>
        </w:rPr>
        <w:t xml:space="preserve">Del requisito de </w:t>
      </w:r>
      <w:r w:rsidR="00A46C24" w:rsidRPr="00A46C24">
        <w:rPr>
          <w:rFonts w:ascii="Arial" w:eastAsia="Dotum" w:hAnsi="Arial" w:cs="Arial"/>
          <w:b/>
          <w:bCs/>
          <w:color w:val="000000"/>
        </w:rPr>
        <w:t>exposición suficiente de los hechos y argumentos que generan la vulneración</w:t>
      </w:r>
    </w:p>
    <w:p w14:paraId="50CEB17F" w14:textId="77777777" w:rsidR="00A46C24" w:rsidRPr="00A46C24" w:rsidRDefault="00A46C24" w:rsidP="00BA4F94">
      <w:pPr>
        <w:pStyle w:val="Sinespaciado1"/>
        <w:spacing w:line="360" w:lineRule="auto"/>
        <w:jc w:val="both"/>
        <w:rPr>
          <w:rFonts w:ascii="Arial" w:hAnsi="Arial" w:cs="Arial"/>
        </w:rPr>
      </w:pPr>
    </w:p>
    <w:p w14:paraId="3BA5D458" w14:textId="6A50C44E" w:rsidR="003C4A53" w:rsidRPr="00A46C24" w:rsidRDefault="002944BC" w:rsidP="00BA4F94">
      <w:pPr>
        <w:pStyle w:val="Sinespaciado1"/>
        <w:spacing w:line="360" w:lineRule="auto"/>
        <w:jc w:val="both"/>
        <w:rPr>
          <w:rFonts w:ascii="Arial" w:hAnsi="Arial" w:cs="Arial"/>
        </w:rPr>
      </w:pPr>
      <w:r>
        <w:rPr>
          <w:rFonts w:ascii="Arial" w:hAnsi="Arial" w:cs="Arial"/>
          <w:color w:val="000000"/>
        </w:rPr>
        <w:t xml:space="preserve">6.1.- </w:t>
      </w:r>
      <w:r w:rsidR="00A46C24" w:rsidRPr="00A46C24">
        <w:rPr>
          <w:rFonts w:ascii="Arial" w:hAnsi="Arial" w:cs="Arial"/>
          <w:color w:val="000000"/>
        </w:rPr>
        <w:t>En relación con este aspecto, el Máximo Tribunal Constitucional ha considerado que</w:t>
      </w:r>
      <w:r w:rsidR="00A46C24" w:rsidRPr="00A46C24">
        <w:rPr>
          <w:rFonts w:ascii="Arial" w:eastAsia="Arial" w:hAnsi="Arial" w:cs="Arial"/>
          <w:color w:val="000000"/>
        </w:rPr>
        <w:t xml:space="preserve"> </w:t>
      </w:r>
      <w:r w:rsidR="00A46C24" w:rsidRPr="005B51E0">
        <w:rPr>
          <w:rFonts w:ascii="Arial" w:eastAsia="Arial" w:hAnsi="Arial" w:cs="Arial"/>
          <w:i/>
          <w:iCs/>
          <w:color w:val="000000"/>
        </w:rPr>
        <w:t>“</w:t>
      </w:r>
      <w:r w:rsidR="00A46C24" w:rsidRPr="00A46C24">
        <w:rPr>
          <w:rFonts w:ascii="Arial" w:eastAsia="Arial" w:hAnsi="Arial" w:cs="Arial"/>
          <w:i/>
          <w:color w:val="000000"/>
        </w:rPr>
        <w:t>no se trata de rodear a la acción de tutela de exigencias formales contrarias a su naturaleza, sino de exigir que el actor tenga claridad y sea diligente en cuanto a la explicación del origen de la afectación de sus derechos y que dé cuenta de ello al momento de pretender su protección constitucional</w:t>
      </w:r>
      <w:r w:rsidR="00A46C24" w:rsidRPr="005B51E0">
        <w:rPr>
          <w:rFonts w:ascii="Arial" w:eastAsia="Arial" w:hAnsi="Arial" w:cs="Arial"/>
          <w:i/>
          <w:iCs/>
          <w:color w:val="000000"/>
        </w:rPr>
        <w:t>”</w:t>
      </w:r>
      <w:r w:rsidR="00A46C24" w:rsidRPr="00A46C24">
        <w:rPr>
          <w:rStyle w:val="Refdenotaalpie"/>
          <w:rFonts w:ascii="Arial" w:hAnsi="Arial" w:cs="Arial"/>
          <w:color w:val="000000"/>
        </w:rPr>
        <w:footnoteReference w:id="23"/>
      </w:r>
      <w:r>
        <w:rPr>
          <w:rFonts w:ascii="Arial" w:hAnsi="Arial" w:cs="Arial"/>
          <w:color w:val="000000"/>
        </w:rPr>
        <w:t>.</w:t>
      </w:r>
    </w:p>
    <w:p w14:paraId="3EC89A38" w14:textId="77777777" w:rsidR="003C4A53" w:rsidRDefault="003C4A53" w:rsidP="00BA4F94">
      <w:pPr>
        <w:pStyle w:val="Sinespaciado1"/>
        <w:spacing w:line="360" w:lineRule="auto"/>
        <w:jc w:val="both"/>
        <w:rPr>
          <w:rFonts w:ascii="Arial" w:hAnsi="Arial" w:cs="Arial"/>
        </w:rPr>
      </w:pPr>
    </w:p>
    <w:p w14:paraId="7245ACFA" w14:textId="11E85773" w:rsidR="00262198" w:rsidRDefault="002944BC" w:rsidP="00BA4F94">
      <w:pPr>
        <w:pStyle w:val="Sinespaciado1"/>
        <w:spacing w:line="360" w:lineRule="auto"/>
        <w:jc w:val="both"/>
        <w:rPr>
          <w:rFonts w:ascii="Arial" w:hAnsi="Arial" w:cs="Arial"/>
          <w:lang w:val="es-ES"/>
        </w:rPr>
      </w:pPr>
      <w:r>
        <w:rPr>
          <w:rFonts w:ascii="Arial" w:hAnsi="Arial" w:cs="Arial"/>
        </w:rPr>
        <w:t xml:space="preserve">6.2.- </w:t>
      </w:r>
      <w:r w:rsidR="00961F3B" w:rsidRPr="00EC05D5">
        <w:rPr>
          <w:rFonts w:ascii="Arial" w:hAnsi="Arial" w:cs="Arial"/>
        </w:rPr>
        <w:t xml:space="preserve">Finalmente, frente </w:t>
      </w:r>
      <w:r w:rsidR="00EC05D5">
        <w:rPr>
          <w:rFonts w:ascii="Arial" w:hAnsi="Arial" w:cs="Arial"/>
        </w:rPr>
        <w:t xml:space="preserve">a la censura relacionada con que el fallos dictados al interior de los procesos de reparación directa de radicados Nos. </w:t>
      </w:r>
      <w:r w:rsidR="00EC05D5" w:rsidRPr="00010EDF">
        <w:rPr>
          <w:rFonts w:ascii="Arial" w:hAnsi="Arial" w:cs="Arial"/>
        </w:rPr>
        <w:t>18001-33-33-002-2013-00489-00/01</w:t>
      </w:r>
      <w:r w:rsidR="00EC05D5">
        <w:rPr>
          <w:rFonts w:ascii="Arial" w:hAnsi="Arial" w:cs="Arial"/>
        </w:rPr>
        <w:t xml:space="preserve"> y </w:t>
      </w:r>
      <w:r w:rsidR="00EC05D5" w:rsidRPr="00EC05D5">
        <w:rPr>
          <w:rFonts w:ascii="Arial" w:hAnsi="Arial" w:cs="Arial"/>
          <w:lang w:val="es-ES"/>
        </w:rPr>
        <w:t>18001-33-33-001-2013-0694-00</w:t>
      </w:r>
      <w:r w:rsidR="00262198">
        <w:rPr>
          <w:rFonts w:ascii="Arial" w:hAnsi="Arial" w:cs="Arial"/>
          <w:lang w:val="es-ES"/>
        </w:rPr>
        <w:t xml:space="preserve"> resultan contradictorios a pesar de que las demandas que dieron inicio a aquellos se fundamentaron en los mismos hechos y pruebas</w:t>
      </w:r>
      <w:r w:rsidR="003675AC" w:rsidRPr="00EC05D5">
        <w:rPr>
          <w:rFonts w:ascii="Arial" w:hAnsi="Arial" w:cs="Arial"/>
          <w:lang w:val="es-ES"/>
        </w:rPr>
        <w:t xml:space="preserve">, </w:t>
      </w:r>
      <w:r w:rsidR="003808AC" w:rsidRPr="00EC05D5">
        <w:rPr>
          <w:rFonts w:ascii="Arial" w:hAnsi="Arial" w:cs="Arial"/>
          <w:lang w:val="es-ES"/>
        </w:rPr>
        <w:t xml:space="preserve">se </w:t>
      </w:r>
      <w:r w:rsidR="00262198">
        <w:rPr>
          <w:rFonts w:ascii="Arial" w:hAnsi="Arial" w:cs="Arial"/>
          <w:lang w:val="es-ES"/>
        </w:rPr>
        <w:t>repara en</w:t>
      </w:r>
      <w:r w:rsidR="003808AC" w:rsidRPr="00EC05D5">
        <w:rPr>
          <w:rFonts w:ascii="Arial" w:hAnsi="Arial" w:cs="Arial"/>
          <w:lang w:val="es-ES"/>
        </w:rPr>
        <w:t xml:space="preserve"> que </w:t>
      </w:r>
      <w:r w:rsidR="00C27ADA" w:rsidRPr="00EC05D5">
        <w:rPr>
          <w:rFonts w:ascii="Arial" w:hAnsi="Arial" w:cs="Arial"/>
          <w:lang w:val="es-ES"/>
        </w:rPr>
        <w:t>el estudio de la situación fáctica, jurídica y probatoria</w:t>
      </w:r>
      <w:r w:rsidR="00262198">
        <w:rPr>
          <w:rFonts w:ascii="Arial" w:hAnsi="Arial" w:cs="Arial"/>
          <w:lang w:val="es-ES"/>
        </w:rPr>
        <w:t xml:space="preserve"> que se presenta ante el juez</w:t>
      </w:r>
      <w:r w:rsidR="00C27ADA" w:rsidRPr="00EC05D5">
        <w:rPr>
          <w:rFonts w:ascii="Arial" w:hAnsi="Arial" w:cs="Arial"/>
          <w:lang w:val="es-ES"/>
        </w:rPr>
        <w:t xml:space="preserve"> es un </w:t>
      </w:r>
      <w:r w:rsidR="00331A49" w:rsidRPr="00EC05D5">
        <w:rPr>
          <w:rFonts w:ascii="Arial" w:hAnsi="Arial" w:cs="Arial"/>
          <w:lang w:val="es-ES"/>
        </w:rPr>
        <w:t xml:space="preserve">ámbito amparado por la autonomía e independencia judicial, principios </w:t>
      </w:r>
      <w:r w:rsidR="00A96038" w:rsidRPr="00EC05D5">
        <w:rPr>
          <w:rFonts w:ascii="Arial" w:hAnsi="Arial" w:cs="Arial"/>
          <w:lang w:val="es-ES"/>
        </w:rPr>
        <w:t xml:space="preserve">a través de </w:t>
      </w:r>
      <w:r w:rsidR="001E3743" w:rsidRPr="00EC05D5">
        <w:rPr>
          <w:rFonts w:ascii="Arial" w:hAnsi="Arial" w:cs="Arial"/>
          <w:lang w:val="es-ES"/>
        </w:rPr>
        <w:t>los que es posible que una demanda con supuestos asimilables, tenga un r</w:t>
      </w:r>
      <w:r w:rsidR="00970AFE" w:rsidRPr="00EC05D5">
        <w:rPr>
          <w:rFonts w:ascii="Arial" w:hAnsi="Arial" w:cs="Arial"/>
          <w:lang w:val="es-ES"/>
        </w:rPr>
        <w:t>esultado diferente, siempre que estas interpretaciones diversas sean razonables y fundamentadas</w:t>
      </w:r>
      <w:r w:rsidR="00970AFE" w:rsidRPr="00EC05D5">
        <w:rPr>
          <w:rStyle w:val="Refdenotaalpie"/>
          <w:rFonts w:ascii="Arial" w:hAnsi="Arial" w:cs="Arial"/>
          <w:lang w:val="es-ES"/>
        </w:rPr>
        <w:footnoteReference w:id="24"/>
      </w:r>
      <w:r w:rsidR="00970AFE" w:rsidRPr="00EC05D5">
        <w:rPr>
          <w:rFonts w:ascii="Arial" w:hAnsi="Arial" w:cs="Arial"/>
          <w:lang w:val="es-ES"/>
        </w:rPr>
        <w:t>.</w:t>
      </w:r>
      <w:r w:rsidR="003675AC" w:rsidRPr="00EC05D5">
        <w:rPr>
          <w:rFonts w:ascii="Arial" w:hAnsi="Arial" w:cs="Arial"/>
          <w:lang w:val="es-ES"/>
        </w:rPr>
        <w:t xml:space="preserve"> </w:t>
      </w:r>
    </w:p>
    <w:p w14:paraId="75754DAB" w14:textId="77777777" w:rsidR="00262198" w:rsidRDefault="00262198" w:rsidP="00BA4F94">
      <w:pPr>
        <w:pStyle w:val="Sinespaciado1"/>
        <w:spacing w:line="360" w:lineRule="auto"/>
        <w:jc w:val="both"/>
        <w:rPr>
          <w:rFonts w:ascii="Arial" w:hAnsi="Arial" w:cs="Arial"/>
          <w:lang w:val="es-ES"/>
        </w:rPr>
      </w:pPr>
    </w:p>
    <w:p w14:paraId="325F7878" w14:textId="0F79734A" w:rsidR="003675AC" w:rsidRPr="00262198" w:rsidRDefault="002944BC" w:rsidP="00BA4F94">
      <w:pPr>
        <w:pStyle w:val="Sinespaciado1"/>
        <w:spacing w:line="360" w:lineRule="auto"/>
        <w:jc w:val="both"/>
        <w:rPr>
          <w:rFonts w:ascii="Arial" w:hAnsi="Arial" w:cs="Arial"/>
        </w:rPr>
      </w:pPr>
      <w:r>
        <w:rPr>
          <w:rFonts w:ascii="Arial" w:hAnsi="Arial" w:cs="Arial"/>
          <w:lang w:val="es-ES"/>
        </w:rPr>
        <w:t xml:space="preserve">6.3.- </w:t>
      </w:r>
      <w:r w:rsidR="003675AC" w:rsidRPr="00EC05D5">
        <w:rPr>
          <w:rFonts w:ascii="Arial" w:hAnsi="Arial" w:cs="Arial"/>
          <w:lang w:val="es-ES"/>
        </w:rPr>
        <w:t>En el caso concreto</w:t>
      </w:r>
      <w:r>
        <w:rPr>
          <w:rFonts w:ascii="Arial" w:hAnsi="Arial" w:cs="Arial"/>
          <w:lang w:val="es-ES"/>
        </w:rPr>
        <w:t xml:space="preserve">, como </w:t>
      </w:r>
      <w:r w:rsidRPr="00742166">
        <w:rPr>
          <w:rFonts w:ascii="Arial" w:hAnsi="Arial" w:cs="Arial"/>
          <w:lang w:val="es-ES"/>
        </w:rPr>
        <w:t>se vio,</w:t>
      </w:r>
      <w:r w:rsidR="005F5720" w:rsidRPr="00742166">
        <w:rPr>
          <w:rFonts w:ascii="Arial" w:hAnsi="Arial" w:cs="Arial"/>
          <w:lang w:val="es-ES"/>
        </w:rPr>
        <w:t xml:space="preserve"> </w:t>
      </w:r>
      <w:r w:rsidR="00262198" w:rsidRPr="00742166">
        <w:rPr>
          <w:rFonts w:ascii="Arial" w:hAnsi="Arial" w:cs="Arial"/>
          <w:lang w:val="es-ES"/>
        </w:rPr>
        <w:t xml:space="preserve">no se </w:t>
      </w:r>
      <w:r w:rsidR="005F5720" w:rsidRPr="00742166">
        <w:rPr>
          <w:rFonts w:ascii="Arial" w:hAnsi="Arial" w:cs="Arial"/>
          <w:lang w:val="es-ES"/>
        </w:rPr>
        <w:t>expusieron las razones por las</w:t>
      </w:r>
      <w:r w:rsidR="005F5720">
        <w:rPr>
          <w:rFonts w:ascii="Arial" w:hAnsi="Arial" w:cs="Arial"/>
          <w:lang w:val="es-ES"/>
        </w:rPr>
        <w:t xml:space="preserve"> que </w:t>
      </w:r>
      <w:r w:rsidR="003675AC" w:rsidRPr="00EC05D5">
        <w:rPr>
          <w:rFonts w:ascii="Arial" w:hAnsi="Arial" w:cs="Arial"/>
          <w:lang w:val="es-ES"/>
        </w:rPr>
        <w:t xml:space="preserve">la autoridad accionada haya interpretado de forma caprichosa los elementos probatorios arrimados al asunto, en cambio, </w:t>
      </w:r>
      <w:r w:rsidR="005F5720">
        <w:rPr>
          <w:rFonts w:ascii="Arial" w:hAnsi="Arial" w:cs="Arial"/>
          <w:lang w:val="es-ES"/>
        </w:rPr>
        <w:t xml:space="preserve">esta sí </w:t>
      </w:r>
      <w:r w:rsidR="003675AC" w:rsidRPr="00EC05D5">
        <w:rPr>
          <w:rFonts w:ascii="Arial" w:hAnsi="Arial" w:cs="Arial"/>
          <w:lang w:val="es-ES"/>
        </w:rPr>
        <w:t xml:space="preserve">tuvo en cuenta </w:t>
      </w:r>
      <w:r w:rsidR="00B17B31" w:rsidRPr="00EC05D5">
        <w:rPr>
          <w:rFonts w:ascii="Arial" w:hAnsi="Arial" w:cs="Arial"/>
          <w:lang w:val="es-ES"/>
        </w:rPr>
        <w:t>los documentos que se alegaron como desconocidos</w:t>
      </w:r>
      <w:r w:rsidR="00262198">
        <w:rPr>
          <w:rFonts w:ascii="Arial" w:hAnsi="Arial" w:cs="Arial"/>
          <w:lang w:val="es-ES"/>
        </w:rPr>
        <w:t xml:space="preserve"> y los hechos narrados por la parte demandada y los vinculados</w:t>
      </w:r>
      <w:r w:rsidR="00B17B31" w:rsidRPr="00EC05D5">
        <w:rPr>
          <w:rFonts w:ascii="Arial" w:hAnsi="Arial" w:cs="Arial"/>
          <w:lang w:val="es-ES"/>
        </w:rPr>
        <w:t xml:space="preserve"> para arribar a la conclusión de que no era posible</w:t>
      </w:r>
      <w:r w:rsidR="00EC05D5" w:rsidRPr="00EC05D5">
        <w:rPr>
          <w:rFonts w:ascii="Arial" w:hAnsi="Arial" w:cs="Arial"/>
          <w:lang w:val="es-ES"/>
        </w:rPr>
        <w:t xml:space="preserve"> endilgar</w:t>
      </w:r>
      <w:r w:rsidR="00B17B31" w:rsidRPr="00EC05D5">
        <w:rPr>
          <w:rFonts w:ascii="Arial" w:hAnsi="Arial" w:cs="Arial"/>
          <w:lang w:val="es-ES"/>
        </w:rPr>
        <w:t xml:space="preserve"> la responsabilidad del Estado por la muerte de </w:t>
      </w:r>
      <w:r w:rsidR="00EC05D5" w:rsidRPr="00EC05D5">
        <w:rPr>
          <w:rFonts w:ascii="Arial" w:hAnsi="Arial" w:cs="Arial"/>
        </w:rPr>
        <w:t>Daniel Alfredo González Palomo</w:t>
      </w:r>
      <w:r w:rsidR="005F5720">
        <w:rPr>
          <w:rFonts w:ascii="Arial" w:hAnsi="Arial" w:cs="Arial"/>
        </w:rPr>
        <w:t>.</w:t>
      </w:r>
      <w:r w:rsidR="00EC05D5" w:rsidRPr="00EC05D5">
        <w:rPr>
          <w:rFonts w:ascii="Arial" w:hAnsi="Arial" w:cs="Arial"/>
        </w:rPr>
        <w:t xml:space="preserve"> </w:t>
      </w:r>
    </w:p>
    <w:p w14:paraId="19DDC89A" w14:textId="77777777" w:rsidR="003675AC" w:rsidRDefault="003675AC" w:rsidP="00BA4F94">
      <w:pPr>
        <w:pStyle w:val="Sinespaciado1"/>
        <w:spacing w:line="360" w:lineRule="auto"/>
        <w:jc w:val="both"/>
        <w:rPr>
          <w:rFonts w:ascii="Arial" w:hAnsi="Arial" w:cs="Arial"/>
          <w:highlight w:val="yellow"/>
          <w:lang w:val="es-ES"/>
        </w:rPr>
      </w:pPr>
    </w:p>
    <w:p w14:paraId="2EF42390" w14:textId="70B7D7C2" w:rsidR="00262198" w:rsidRPr="00373B75" w:rsidRDefault="002944BC" w:rsidP="00BA4F94">
      <w:pPr>
        <w:pStyle w:val="Sinespaciado1"/>
        <w:spacing w:line="360" w:lineRule="auto"/>
        <w:jc w:val="both"/>
        <w:rPr>
          <w:rFonts w:ascii="Arial" w:hAnsi="Arial" w:cs="Arial"/>
          <w:lang w:val="es-ES"/>
        </w:rPr>
      </w:pPr>
      <w:r>
        <w:rPr>
          <w:rFonts w:ascii="Arial" w:hAnsi="Arial" w:cs="Arial"/>
          <w:lang w:val="es-ES"/>
        </w:rPr>
        <w:t>6.4.-</w:t>
      </w:r>
      <w:r w:rsidR="000331DC">
        <w:rPr>
          <w:rFonts w:ascii="Arial" w:hAnsi="Arial" w:cs="Arial"/>
          <w:lang w:val="es-ES"/>
        </w:rPr>
        <w:t xml:space="preserve"> </w:t>
      </w:r>
      <w:r w:rsidR="00B17B31" w:rsidRPr="00373B75">
        <w:rPr>
          <w:rFonts w:ascii="Arial" w:hAnsi="Arial" w:cs="Arial"/>
          <w:lang w:val="es-ES"/>
        </w:rPr>
        <w:t>Adi</w:t>
      </w:r>
      <w:r w:rsidR="00414EE6" w:rsidRPr="00373B75">
        <w:rPr>
          <w:rFonts w:ascii="Arial" w:hAnsi="Arial" w:cs="Arial"/>
          <w:lang w:val="es-ES"/>
        </w:rPr>
        <w:t>cionalmente, no es de recibo el argumento tendiente a afirmar que</w:t>
      </w:r>
      <w:r w:rsidR="00B17B31" w:rsidRPr="00373B75">
        <w:rPr>
          <w:rFonts w:ascii="Arial" w:hAnsi="Arial" w:cs="Arial"/>
          <w:lang w:val="es-ES"/>
        </w:rPr>
        <w:t xml:space="preserve"> </w:t>
      </w:r>
      <w:r w:rsidR="00414EE6" w:rsidRPr="00373B75">
        <w:rPr>
          <w:rFonts w:ascii="Arial" w:hAnsi="Arial" w:cs="Arial"/>
          <w:lang w:val="es-ES"/>
        </w:rPr>
        <w:t xml:space="preserve">la providencia dictada por el Juzgado Primero Administrativo de Florencia sea un </w:t>
      </w:r>
      <w:r w:rsidR="00B7629C" w:rsidRPr="00373B75">
        <w:rPr>
          <w:rFonts w:ascii="Arial" w:hAnsi="Arial" w:cs="Arial"/>
          <w:i/>
          <w:lang w:val="es-ES"/>
        </w:rPr>
        <w:t xml:space="preserve">“precedente </w:t>
      </w:r>
      <w:r w:rsidR="00B7629C" w:rsidRPr="00373B75">
        <w:rPr>
          <w:rFonts w:ascii="Arial" w:hAnsi="Arial" w:cs="Arial"/>
          <w:i/>
          <w:color w:val="000000" w:themeColor="text1"/>
          <w:lang w:val="es-ES"/>
        </w:rPr>
        <w:t>horizontal”</w:t>
      </w:r>
      <w:r w:rsidR="00D42B75" w:rsidRPr="00373B75">
        <w:rPr>
          <w:rFonts w:ascii="Arial" w:hAnsi="Arial" w:cs="Arial"/>
          <w:color w:val="000000" w:themeColor="text1"/>
          <w:lang w:val="es-ES"/>
        </w:rPr>
        <w:t xml:space="preserve">. Al respecto, la Corte Constitucional ha definido al precedente como </w:t>
      </w:r>
      <w:r w:rsidR="00D42B75" w:rsidRPr="005B51E0">
        <w:rPr>
          <w:rFonts w:ascii="Arial" w:hAnsi="Arial" w:cs="Arial"/>
          <w:i/>
          <w:iCs/>
          <w:color w:val="000000" w:themeColor="text1"/>
          <w:lang w:val="es-ES"/>
        </w:rPr>
        <w:t>“</w:t>
      </w:r>
      <w:r w:rsidR="00D42B75" w:rsidRPr="00373B75">
        <w:rPr>
          <w:rFonts w:ascii="Arial" w:hAnsi="Arial" w:cs="Arial"/>
          <w:i/>
          <w:iCs/>
          <w:color w:val="000000" w:themeColor="text1"/>
          <w:bdr w:val="none" w:sz="0" w:space="0" w:color="auto" w:frame="1"/>
          <w:shd w:val="clear" w:color="auto" w:fill="FFFFFF"/>
        </w:rPr>
        <w:t xml:space="preserve">aquel antecedente del conjunto de sentencias previas al caso que se habrá de resolver </w:t>
      </w:r>
      <w:proofErr w:type="gramStart"/>
      <w:r w:rsidR="00D42B75" w:rsidRPr="00373B75">
        <w:rPr>
          <w:rFonts w:ascii="Arial" w:hAnsi="Arial" w:cs="Arial"/>
          <w:i/>
          <w:iCs/>
          <w:color w:val="000000" w:themeColor="text1"/>
          <w:bdr w:val="none" w:sz="0" w:space="0" w:color="auto" w:frame="1"/>
          <w:shd w:val="clear" w:color="auto" w:fill="FFFFFF"/>
        </w:rPr>
        <w:t>que</w:t>
      </w:r>
      <w:proofErr w:type="gramEnd"/>
      <w:r w:rsidR="00D42B75" w:rsidRPr="00373B75">
        <w:rPr>
          <w:rFonts w:ascii="Arial" w:hAnsi="Arial" w:cs="Arial"/>
          <w:i/>
          <w:iCs/>
          <w:color w:val="000000" w:themeColor="text1"/>
          <w:bdr w:val="none" w:sz="0" w:space="0" w:color="auto" w:frame="1"/>
          <w:shd w:val="clear" w:color="auto" w:fill="FFFFFF"/>
        </w:rPr>
        <w:t xml:space="preserve"> por su pertinencia para la resolución de un problema jurídico constitucional, debe considerar </w:t>
      </w:r>
      <w:r w:rsidR="00D42B75" w:rsidRPr="00373B75">
        <w:rPr>
          <w:rFonts w:ascii="Arial" w:hAnsi="Arial" w:cs="Arial"/>
          <w:i/>
          <w:iCs/>
          <w:color w:val="000000" w:themeColor="text1"/>
          <w:bdr w:val="none" w:sz="0" w:space="0" w:color="auto" w:frame="1"/>
          <w:shd w:val="clear" w:color="auto" w:fill="FFFFFF"/>
        </w:rPr>
        <w:lastRenderedPageBreak/>
        <w:t>necesariamente un juez o una autoridad determinada, al momento de dictar sentencia</w:t>
      </w:r>
      <w:r w:rsidR="00D42B75" w:rsidRPr="005B51E0">
        <w:rPr>
          <w:rFonts w:ascii="Arial" w:hAnsi="Arial" w:cs="Arial"/>
          <w:i/>
          <w:iCs/>
          <w:color w:val="000000" w:themeColor="text1"/>
          <w:lang w:val="es-ES"/>
        </w:rPr>
        <w:t>”</w:t>
      </w:r>
      <w:r w:rsidR="00B46998" w:rsidRPr="00373B75">
        <w:rPr>
          <w:rStyle w:val="Refdenotaalpie"/>
          <w:rFonts w:ascii="Arial" w:hAnsi="Arial" w:cs="Arial"/>
          <w:color w:val="000000" w:themeColor="text1"/>
          <w:lang w:val="es-ES"/>
        </w:rPr>
        <w:footnoteReference w:id="25"/>
      </w:r>
      <w:r w:rsidR="00373B75">
        <w:rPr>
          <w:rFonts w:ascii="Arial" w:hAnsi="Arial" w:cs="Arial"/>
          <w:color w:val="000000" w:themeColor="text1"/>
          <w:lang w:val="es-ES"/>
        </w:rPr>
        <w:t xml:space="preserve">. </w:t>
      </w:r>
      <w:r w:rsidR="00373B75" w:rsidRPr="00742166">
        <w:rPr>
          <w:rFonts w:ascii="Arial" w:hAnsi="Arial" w:cs="Arial"/>
          <w:color w:val="000000" w:themeColor="text1"/>
          <w:lang w:val="es-ES"/>
        </w:rPr>
        <w:t>Entonces, no es posible para esta</w:t>
      </w:r>
      <w:r w:rsidR="00373B75">
        <w:rPr>
          <w:rFonts w:ascii="Arial" w:hAnsi="Arial" w:cs="Arial"/>
          <w:color w:val="000000" w:themeColor="text1"/>
          <w:lang w:val="es-ES"/>
        </w:rPr>
        <w:t xml:space="preserve"> Sala analizar </w:t>
      </w:r>
      <w:r w:rsidR="00CC5BF8">
        <w:rPr>
          <w:rFonts w:ascii="Arial" w:hAnsi="Arial" w:cs="Arial"/>
          <w:color w:val="000000" w:themeColor="text1"/>
          <w:lang w:val="es-ES"/>
        </w:rPr>
        <w:t xml:space="preserve">un presunto desconocimiento del precedente horizontal, </w:t>
      </w:r>
      <w:r w:rsidR="00870406">
        <w:rPr>
          <w:rFonts w:ascii="Arial" w:hAnsi="Arial" w:cs="Arial"/>
          <w:color w:val="000000" w:themeColor="text1"/>
          <w:lang w:val="es-ES"/>
        </w:rPr>
        <w:t>en tanto aquel está conformado únicamente por una sentencia, a saber</w:t>
      </w:r>
      <w:r>
        <w:rPr>
          <w:rFonts w:ascii="Arial" w:hAnsi="Arial" w:cs="Arial"/>
          <w:color w:val="000000" w:themeColor="text1"/>
          <w:lang w:val="es-ES"/>
        </w:rPr>
        <w:t>,</w:t>
      </w:r>
      <w:r w:rsidR="00870406">
        <w:rPr>
          <w:rFonts w:ascii="Arial" w:hAnsi="Arial" w:cs="Arial"/>
          <w:color w:val="000000" w:themeColor="text1"/>
          <w:lang w:val="es-ES"/>
        </w:rPr>
        <w:t xml:space="preserve"> la dictada al interior del proceso de reparación directa de radicado No. </w:t>
      </w:r>
      <w:r w:rsidR="00870406" w:rsidRPr="00EC05D5">
        <w:rPr>
          <w:rFonts w:ascii="Arial" w:hAnsi="Arial" w:cs="Arial"/>
          <w:lang w:val="es-ES"/>
        </w:rPr>
        <w:t>2013-0694-00</w:t>
      </w:r>
      <w:r w:rsidR="00870406">
        <w:rPr>
          <w:rFonts w:ascii="Arial" w:hAnsi="Arial" w:cs="Arial"/>
          <w:lang w:val="es-ES"/>
        </w:rPr>
        <w:t>, razón por la que no se puede hablar propiamente de un precedente</w:t>
      </w:r>
      <w:r w:rsidR="00BE5B1F">
        <w:rPr>
          <w:rFonts w:ascii="Arial" w:hAnsi="Arial" w:cs="Arial"/>
          <w:lang w:val="es-ES"/>
        </w:rPr>
        <w:t xml:space="preserve"> y tampoco se </w:t>
      </w:r>
      <w:r w:rsidR="00BE5B1F" w:rsidRPr="00742166">
        <w:rPr>
          <w:rFonts w:ascii="Arial" w:hAnsi="Arial" w:cs="Arial"/>
          <w:lang w:val="es-ES"/>
        </w:rPr>
        <w:t>lucieron sustentos para llegar</w:t>
      </w:r>
      <w:r w:rsidR="00BE5B1F">
        <w:rPr>
          <w:rFonts w:ascii="Arial" w:hAnsi="Arial" w:cs="Arial"/>
          <w:lang w:val="es-ES"/>
        </w:rPr>
        <w:t xml:space="preserve"> a una apreciación distinta. </w:t>
      </w:r>
    </w:p>
    <w:p w14:paraId="6C5056B0" w14:textId="77777777" w:rsidR="00B17B31" w:rsidRDefault="00B17B31" w:rsidP="00BA4F94">
      <w:pPr>
        <w:pStyle w:val="Sinespaciado1"/>
        <w:spacing w:line="360" w:lineRule="auto"/>
        <w:jc w:val="both"/>
        <w:rPr>
          <w:rFonts w:ascii="Arial" w:hAnsi="Arial" w:cs="Arial"/>
          <w:highlight w:val="yellow"/>
          <w:lang w:val="es-ES"/>
        </w:rPr>
      </w:pPr>
    </w:p>
    <w:p w14:paraId="611A98E5" w14:textId="2F01DAE9" w:rsidR="00B17B31" w:rsidRPr="000331DC" w:rsidRDefault="002944BC" w:rsidP="00BA4F94">
      <w:pPr>
        <w:pStyle w:val="Sinespaciado1"/>
        <w:spacing w:line="360" w:lineRule="auto"/>
        <w:jc w:val="both"/>
        <w:rPr>
          <w:rFonts w:ascii="Arial" w:hAnsi="Arial" w:cs="Arial"/>
          <w:lang w:val="es-ES"/>
        </w:rPr>
      </w:pPr>
      <w:r>
        <w:rPr>
          <w:rFonts w:ascii="Arial" w:hAnsi="Arial" w:cs="Arial"/>
          <w:lang w:val="es-ES"/>
        </w:rPr>
        <w:t xml:space="preserve">6.5.- Con base en lo antecedente, </w:t>
      </w:r>
      <w:r w:rsidR="00870406" w:rsidRPr="000331DC">
        <w:rPr>
          <w:rFonts w:ascii="Arial" w:hAnsi="Arial" w:cs="Arial"/>
          <w:lang w:val="es-ES"/>
        </w:rPr>
        <w:t xml:space="preserve">se observa que tal cargo no </w:t>
      </w:r>
      <w:r w:rsidR="000331DC" w:rsidRPr="000331DC">
        <w:rPr>
          <w:rFonts w:ascii="Arial" w:hAnsi="Arial" w:cs="Arial"/>
          <w:lang w:val="es-ES"/>
        </w:rPr>
        <w:t>satisface el requisito de identificación suficiente de los argumentos,</w:t>
      </w:r>
      <w:r w:rsidR="00870406" w:rsidRPr="000331DC">
        <w:rPr>
          <w:rFonts w:ascii="Arial" w:hAnsi="Arial" w:cs="Arial"/>
          <w:lang w:val="es-ES"/>
        </w:rPr>
        <w:t xml:space="preserve"> </w:t>
      </w:r>
      <w:r w:rsidR="000331DC" w:rsidRPr="000331DC">
        <w:rPr>
          <w:rFonts w:ascii="Arial" w:hAnsi="Arial" w:cs="Arial"/>
          <w:lang w:val="es-ES"/>
        </w:rPr>
        <w:t>por lo tanto,</w:t>
      </w:r>
      <w:r w:rsidR="001167D5">
        <w:rPr>
          <w:rFonts w:ascii="Arial" w:hAnsi="Arial" w:cs="Arial"/>
          <w:lang w:val="es-ES"/>
        </w:rPr>
        <w:t xml:space="preserve"> se</w:t>
      </w:r>
      <w:r w:rsidR="000331DC" w:rsidRPr="000331DC">
        <w:rPr>
          <w:rFonts w:ascii="Arial" w:hAnsi="Arial" w:cs="Arial"/>
          <w:lang w:val="es-ES"/>
        </w:rPr>
        <w:t xml:space="preserve"> declarará improcedente la acción de tutela en cuanto a este. </w:t>
      </w:r>
    </w:p>
    <w:p w14:paraId="7DC2F4BF" w14:textId="77777777" w:rsidR="00E65AEF" w:rsidRPr="00BA4F94" w:rsidRDefault="00E65AEF" w:rsidP="00BA4F94">
      <w:pPr>
        <w:spacing w:line="360" w:lineRule="auto"/>
        <w:rPr>
          <w:rFonts w:cs="Arial"/>
          <w:b/>
          <w:sz w:val="24"/>
          <w:szCs w:val="24"/>
        </w:rPr>
      </w:pPr>
    </w:p>
    <w:p w14:paraId="5334DA50" w14:textId="77777777" w:rsidR="00E65AEF" w:rsidRPr="00233FE5" w:rsidRDefault="00E65AEF" w:rsidP="00E65AEF">
      <w:pPr>
        <w:pStyle w:val="Sinespaciado1"/>
        <w:spacing w:line="360" w:lineRule="auto"/>
        <w:jc w:val="both"/>
        <w:rPr>
          <w:rFonts w:ascii="Arial" w:hAnsi="Arial" w:cs="Arial"/>
          <w:color w:val="000000"/>
          <w:lang w:eastAsia="es-CO"/>
        </w:rPr>
      </w:pPr>
      <w:r w:rsidRPr="00233FE5">
        <w:rPr>
          <w:rFonts w:ascii="Arial" w:hAnsi="Arial" w:cs="Arial"/>
          <w:color w:val="000000"/>
          <w:lang w:eastAsia="es-CO"/>
        </w:rPr>
        <w:t>En mérito de lo expuesto, la Subsección C de la Sección Tercera de la Sala de lo Contencioso Administrativo del Consejo de Estado, administrando justicia en nombre de la República y por autoridad de la ley,</w:t>
      </w:r>
    </w:p>
    <w:p w14:paraId="2DA80B27" w14:textId="77777777" w:rsidR="00E65AEF" w:rsidRPr="00233FE5" w:rsidRDefault="00E65AEF" w:rsidP="00E65AEF">
      <w:pPr>
        <w:pStyle w:val="Sinespaciado"/>
        <w:spacing w:line="360" w:lineRule="auto"/>
        <w:jc w:val="center"/>
        <w:rPr>
          <w:rFonts w:ascii="Arial" w:eastAsia="Times New Roman" w:hAnsi="Arial" w:cs="Arial"/>
          <w:b/>
          <w:sz w:val="24"/>
          <w:szCs w:val="24"/>
          <w:lang w:eastAsia="es-CO"/>
        </w:rPr>
      </w:pPr>
    </w:p>
    <w:p w14:paraId="22C093B6" w14:textId="77777777" w:rsidR="00E65AEF" w:rsidRPr="00233FE5" w:rsidRDefault="00E65AEF" w:rsidP="00E65AEF">
      <w:pPr>
        <w:pStyle w:val="Sinespaciado"/>
        <w:spacing w:line="360" w:lineRule="auto"/>
        <w:jc w:val="center"/>
        <w:rPr>
          <w:rFonts w:ascii="Arial" w:eastAsia="Times New Roman" w:hAnsi="Arial" w:cs="Arial"/>
          <w:b/>
          <w:sz w:val="24"/>
          <w:szCs w:val="24"/>
          <w:lang w:eastAsia="es-CO"/>
        </w:rPr>
      </w:pPr>
      <w:r w:rsidRPr="00233FE5">
        <w:rPr>
          <w:rFonts w:ascii="Arial" w:eastAsia="Times New Roman" w:hAnsi="Arial" w:cs="Arial"/>
          <w:b/>
          <w:sz w:val="24"/>
          <w:szCs w:val="24"/>
          <w:lang w:eastAsia="es-CO"/>
        </w:rPr>
        <w:t>III.- RESUELVE</w:t>
      </w:r>
    </w:p>
    <w:p w14:paraId="50EF7DF7" w14:textId="77777777" w:rsidR="00E65AEF" w:rsidRPr="00233FE5" w:rsidRDefault="00E65AEF" w:rsidP="00E65AEF">
      <w:pPr>
        <w:pStyle w:val="Sinespaciado"/>
        <w:spacing w:line="360" w:lineRule="auto"/>
        <w:jc w:val="both"/>
        <w:rPr>
          <w:rFonts w:ascii="Arial" w:hAnsi="Arial" w:cs="Arial"/>
          <w:b/>
          <w:sz w:val="24"/>
          <w:szCs w:val="24"/>
          <w:lang w:eastAsia="es-CO"/>
        </w:rPr>
      </w:pPr>
    </w:p>
    <w:p w14:paraId="0EC04633" w14:textId="77777777" w:rsidR="00E65AEF" w:rsidRPr="00233FE5" w:rsidRDefault="00E65AEF" w:rsidP="00E65AEF">
      <w:pPr>
        <w:pStyle w:val="Sinespaciado"/>
        <w:spacing w:line="360" w:lineRule="auto"/>
        <w:jc w:val="both"/>
        <w:rPr>
          <w:rFonts w:ascii="Arial" w:hAnsi="Arial" w:cs="Arial"/>
          <w:sz w:val="24"/>
          <w:szCs w:val="24"/>
          <w:lang w:eastAsia="es-CO"/>
        </w:rPr>
      </w:pPr>
      <w:r w:rsidRPr="00233FE5">
        <w:rPr>
          <w:rFonts w:ascii="Arial" w:hAnsi="Arial" w:cs="Arial"/>
          <w:b/>
          <w:sz w:val="24"/>
          <w:szCs w:val="24"/>
          <w:lang w:eastAsia="es-CO"/>
        </w:rPr>
        <w:t xml:space="preserve">PRIMERO: </w:t>
      </w:r>
      <w:r w:rsidRPr="00233FE5">
        <w:rPr>
          <w:rFonts w:ascii="Arial" w:hAnsi="Arial" w:cs="Arial"/>
          <w:b/>
          <w:bCs/>
          <w:sz w:val="24"/>
          <w:szCs w:val="24"/>
        </w:rPr>
        <w:t xml:space="preserve">DECLARAR IMPROCEDENTE </w:t>
      </w:r>
      <w:r w:rsidRPr="00233FE5">
        <w:rPr>
          <w:rFonts w:ascii="Arial" w:hAnsi="Arial" w:cs="Arial"/>
          <w:sz w:val="24"/>
          <w:szCs w:val="24"/>
        </w:rPr>
        <w:t>la acción de tutela promovida, con base en las razones expuestas en la parte motiva de esta providencia.</w:t>
      </w:r>
    </w:p>
    <w:p w14:paraId="0151C15D" w14:textId="77777777" w:rsidR="00E65AEF" w:rsidRPr="00233FE5" w:rsidRDefault="00E65AEF" w:rsidP="00E65AEF">
      <w:pPr>
        <w:pStyle w:val="Sinespaciado"/>
        <w:spacing w:line="360" w:lineRule="auto"/>
        <w:jc w:val="both"/>
        <w:rPr>
          <w:rFonts w:ascii="Arial" w:hAnsi="Arial" w:cs="Arial"/>
          <w:b/>
          <w:sz w:val="24"/>
          <w:szCs w:val="24"/>
          <w:lang w:eastAsia="es-CO"/>
        </w:rPr>
      </w:pPr>
    </w:p>
    <w:p w14:paraId="3873AE0E" w14:textId="77777777" w:rsidR="00E65AEF" w:rsidRPr="00233FE5" w:rsidRDefault="00E65AEF" w:rsidP="00E65AEF">
      <w:pPr>
        <w:pStyle w:val="Sinespaciado1"/>
        <w:spacing w:line="360" w:lineRule="auto"/>
        <w:jc w:val="both"/>
        <w:rPr>
          <w:rFonts w:ascii="Arial" w:hAnsi="Arial" w:cs="Arial"/>
        </w:rPr>
      </w:pPr>
      <w:r w:rsidRPr="00233FE5">
        <w:rPr>
          <w:rFonts w:ascii="Arial" w:hAnsi="Arial" w:cs="Arial"/>
          <w:b/>
          <w:lang w:eastAsia="es-CO"/>
        </w:rPr>
        <w:t>SEGUNDO: NOTIFICAR</w:t>
      </w:r>
      <w:r w:rsidRPr="00233FE5">
        <w:rPr>
          <w:rFonts w:ascii="Arial" w:hAnsi="Arial" w:cs="Arial"/>
          <w:lang w:eastAsia="es-CO"/>
        </w:rPr>
        <w:t xml:space="preserve"> la presente decisión a las partes intervinientes e interesados por el medio más expedito.</w:t>
      </w:r>
    </w:p>
    <w:p w14:paraId="48E91B70" w14:textId="77777777" w:rsidR="00E65AEF" w:rsidRPr="00233FE5" w:rsidRDefault="00E65AEF" w:rsidP="00E65AEF">
      <w:pPr>
        <w:pStyle w:val="Sinespaciado"/>
        <w:spacing w:line="360" w:lineRule="auto"/>
        <w:jc w:val="both"/>
        <w:rPr>
          <w:rFonts w:ascii="Arial" w:hAnsi="Arial" w:cs="Arial"/>
          <w:b/>
          <w:sz w:val="24"/>
          <w:szCs w:val="24"/>
          <w:lang w:eastAsia="es-CO"/>
        </w:rPr>
      </w:pPr>
    </w:p>
    <w:p w14:paraId="31CE8083" w14:textId="77777777" w:rsidR="00E65AEF" w:rsidRPr="00233FE5" w:rsidRDefault="00E65AEF" w:rsidP="00E65AEF">
      <w:pPr>
        <w:pStyle w:val="Sinespaciado"/>
        <w:spacing w:line="360" w:lineRule="auto"/>
        <w:jc w:val="both"/>
        <w:rPr>
          <w:rFonts w:ascii="Arial" w:hAnsi="Arial" w:cs="Arial"/>
          <w:b/>
          <w:sz w:val="24"/>
          <w:szCs w:val="24"/>
          <w:lang w:eastAsia="es-CO"/>
        </w:rPr>
      </w:pPr>
      <w:r w:rsidRPr="00233FE5">
        <w:rPr>
          <w:rFonts w:ascii="Arial" w:hAnsi="Arial" w:cs="Arial"/>
          <w:b/>
          <w:sz w:val="24"/>
          <w:szCs w:val="24"/>
          <w:lang w:eastAsia="es-CO"/>
        </w:rPr>
        <w:t xml:space="preserve">TERCERO: ENVIAR </w:t>
      </w:r>
      <w:r w:rsidRPr="00233FE5">
        <w:rPr>
          <w:rFonts w:ascii="Arial" w:hAnsi="Arial" w:cs="Arial"/>
          <w:bCs/>
          <w:sz w:val="24"/>
          <w:szCs w:val="24"/>
          <w:lang w:eastAsia="es-CO"/>
        </w:rPr>
        <w:t>la presente providencia a la Corte Constitucional para su eventual revisión, en caso de no ser impugnada.</w:t>
      </w:r>
      <w:r w:rsidRPr="00233FE5">
        <w:rPr>
          <w:rFonts w:ascii="Arial" w:hAnsi="Arial" w:cs="Arial"/>
          <w:b/>
          <w:sz w:val="24"/>
          <w:szCs w:val="24"/>
          <w:lang w:eastAsia="es-CO"/>
        </w:rPr>
        <w:t xml:space="preserve">  </w:t>
      </w:r>
    </w:p>
    <w:p w14:paraId="5A24FFD9" w14:textId="77777777" w:rsidR="00E65AEF" w:rsidRPr="00233FE5" w:rsidRDefault="00E65AEF" w:rsidP="00E65AEF">
      <w:pPr>
        <w:pStyle w:val="Sinespaciado1"/>
        <w:spacing w:line="360" w:lineRule="auto"/>
        <w:jc w:val="both"/>
        <w:rPr>
          <w:rFonts w:ascii="Arial" w:hAnsi="Arial" w:cs="Arial"/>
        </w:rPr>
      </w:pPr>
    </w:p>
    <w:p w14:paraId="58781500" w14:textId="77777777" w:rsidR="00E65AEF" w:rsidRPr="00233FE5" w:rsidRDefault="00E65AEF" w:rsidP="00E65AEF">
      <w:pPr>
        <w:pStyle w:val="Sinespaciado1"/>
        <w:jc w:val="center"/>
        <w:rPr>
          <w:rFonts w:ascii="Arial" w:hAnsi="Arial" w:cs="Arial"/>
          <w:b/>
        </w:rPr>
      </w:pPr>
      <w:r w:rsidRPr="00233FE5">
        <w:rPr>
          <w:rFonts w:ascii="Arial" w:hAnsi="Arial" w:cs="Arial"/>
          <w:b/>
        </w:rPr>
        <w:t>CÓPIESE, NOTIFÍQUESE Y CÚMPLASE</w:t>
      </w:r>
    </w:p>
    <w:p w14:paraId="11CA93CB" w14:textId="77777777" w:rsidR="00E65AEF" w:rsidRDefault="00E65AEF" w:rsidP="00E65AEF">
      <w:pPr>
        <w:pStyle w:val="Sinespaciado1"/>
        <w:jc w:val="center"/>
        <w:rPr>
          <w:rFonts w:ascii="Arial" w:hAnsi="Arial" w:cs="Arial"/>
          <w:b/>
        </w:rPr>
      </w:pPr>
    </w:p>
    <w:p w14:paraId="15807847" w14:textId="77777777" w:rsidR="00E65AEF" w:rsidRPr="00233FE5" w:rsidRDefault="00E65AEF" w:rsidP="008B7DE3">
      <w:pPr>
        <w:pStyle w:val="Sinespaciado1"/>
        <w:rPr>
          <w:rFonts w:ascii="Arial" w:hAnsi="Arial" w:cs="Arial"/>
          <w:b/>
        </w:rPr>
      </w:pPr>
    </w:p>
    <w:p w14:paraId="7C92ED51" w14:textId="77777777" w:rsidR="00E65AEF" w:rsidRPr="00D665BE" w:rsidRDefault="00E65AEF" w:rsidP="00E65AEF">
      <w:pPr>
        <w:pStyle w:val="Sinespaciado1"/>
        <w:jc w:val="center"/>
        <w:rPr>
          <w:rFonts w:ascii="Arial" w:hAnsi="Arial" w:cs="Arial"/>
          <w:b/>
        </w:rPr>
      </w:pPr>
      <w:r w:rsidRPr="00D665BE">
        <w:rPr>
          <w:rFonts w:ascii="Arial" w:hAnsi="Arial" w:cs="Arial"/>
          <w:b/>
        </w:rPr>
        <w:t>JAIME ENRIQUE RODRÍGUEZ NAVAS</w:t>
      </w:r>
    </w:p>
    <w:p w14:paraId="2BA73F1A" w14:textId="77777777" w:rsidR="00E65AEF" w:rsidRPr="00D665BE" w:rsidRDefault="00E65AEF" w:rsidP="00E65AEF">
      <w:pPr>
        <w:pStyle w:val="Sinespaciado1"/>
        <w:jc w:val="center"/>
        <w:rPr>
          <w:rFonts w:ascii="Arial" w:hAnsi="Arial" w:cs="Arial"/>
          <w:b/>
        </w:rPr>
      </w:pPr>
      <w:r w:rsidRPr="00D665BE">
        <w:rPr>
          <w:rFonts w:ascii="Arial" w:hAnsi="Arial" w:cs="Arial"/>
          <w:b/>
        </w:rPr>
        <w:t>Presidente de la Sala</w:t>
      </w:r>
    </w:p>
    <w:p w14:paraId="068BF788" w14:textId="77777777" w:rsidR="00BF33CA" w:rsidRDefault="00BF33CA" w:rsidP="008B7DE3">
      <w:pPr>
        <w:pStyle w:val="Sinespaciado1"/>
        <w:rPr>
          <w:rFonts w:ascii="Arial" w:hAnsi="Arial" w:cs="Arial"/>
          <w:b/>
        </w:rPr>
      </w:pPr>
    </w:p>
    <w:p w14:paraId="42A3DE0B" w14:textId="77777777" w:rsidR="00BF33CA" w:rsidRDefault="00BF33CA" w:rsidP="00E65AEF">
      <w:pPr>
        <w:pStyle w:val="Sinespaciado1"/>
        <w:jc w:val="cente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DE5B86" w14:paraId="2855BFB7" w14:textId="77777777" w:rsidTr="00DE5B86">
        <w:tc>
          <w:tcPr>
            <w:tcW w:w="4698" w:type="dxa"/>
          </w:tcPr>
          <w:p w14:paraId="4AB87DC6" w14:textId="77777777" w:rsidR="00DE5B86" w:rsidRPr="006F3499" w:rsidRDefault="00DE5B86" w:rsidP="00DE5B86">
            <w:pPr>
              <w:pStyle w:val="Sinespaciado1"/>
              <w:jc w:val="center"/>
              <w:rPr>
                <w:rFonts w:ascii="Arial" w:hAnsi="Arial" w:cs="Arial"/>
                <w:b/>
              </w:rPr>
            </w:pPr>
            <w:r w:rsidRPr="006F3499">
              <w:rPr>
                <w:rFonts w:ascii="Arial" w:hAnsi="Arial" w:cs="Arial"/>
                <w:b/>
              </w:rPr>
              <w:t>GUILLERMO SÁNCHEZ LUQUE</w:t>
            </w:r>
          </w:p>
          <w:p w14:paraId="46CFEF65" w14:textId="77777777" w:rsidR="00DE5B86" w:rsidRDefault="00DE5B86" w:rsidP="00DE5B86">
            <w:pPr>
              <w:pStyle w:val="Sinespaciado1"/>
              <w:jc w:val="center"/>
              <w:rPr>
                <w:rFonts w:ascii="Arial" w:hAnsi="Arial" w:cs="Arial"/>
                <w:b/>
              </w:rPr>
            </w:pPr>
            <w:r w:rsidRPr="006F3499">
              <w:rPr>
                <w:rFonts w:ascii="Arial" w:hAnsi="Arial" w:cs="Arial"/>
                <w:b/>
              </w:rPr>
              <w:t>Consejero de Estado</w:t>
            </w:r>
          </w:p>
          <w:p w14:paraId="7B74B686" w14:textId="478B3B33" w:rsidR="008B7DE3" w:rsidRPr="008B7DE3" w:rsidRDefault="008B7DE3" w:rsidP="008B7DE3">
            <w:pPr>
              <w:ind w:left="360"/>
              <w:jc w:val="center"/>
              <w:rPr>
                <w:rFonts w:cs="Arial"/>
                <w:b/>
                <w:bCs/>
              </w:rPr>
            </w:pPr>
            <w:r w:rsidRPr="008B7DE3">
              <w:rPr>
                <w:rFonts w:cs="Arial"/>
                <w:b/>
                <w:bCs/>
              </w:rPr>
              <w:t>Aclaración de Voto</w:t>
            </w:r>
          </w:p>
          <w:p w14:paraId="321FDE84" w14:textId="2BA531D0" w:rsidR="008B7DE3" w:rsidRPr="008B7DE3" w:rsidRDefault="008B7DE3" w:rsidP="008B7DE3">
            <w:pPr>
              <w:ind w:left="360"/>
              <w:jc w:val="center"/>
              <w:rPr>
                <w:rFonts w:cs="Arial"/>
              </w:rPr>
            </w:pPr>
            <w:r w:rsidRPr="008B7DE3">
              <w:rPr>
                <w:rFonts w:eastAsia="BatangChe" w:cs="Arial"/>
                <w:b/>
                <w:bCs/>
              </w:rPr>
              <w:t>Cfr. Rad.</w:t>
            </w:r>
            <w:r w:rsidRPr="008B7DE3">
              <w:t xml:space="preserve"> </w:t>
            </w:r>
            <w:r w:rsidRPr="008B7DE3">
              <w:rPr>
                <w:rFonts w:eastAsia="BatangChe" w:cs="Arial"/>
                <w:b/>
                <w:bCs/>
              </w:rPr>
              <w:t>11001-03-15-000-2019-01299-00</w:t>
            </w:r>
          </w:p>
          <w:p w14:paraId="018CFAC9" w14:textId="7269257C" w:rsidR="008B7DE3" w:rsidRDefault="008B7DE3" w:rsidP="00DE5B86">
            <w:pPr>
              <w:pStyle w:val="Sinespaciado1"/>
              <w:jc w:val="center"/>
              <w:rPr>
                <w:rFonts w:ascii="Arial" w:hAnsi="Arial" w:cs="Arial"/>
                <w:b/>
              </w:rPr>
            </w:pPr>
          </w:p>
        </w:tc>
        <w:tc>
          <w:tcPr>
            <w:tcW w:w="4698" w:type="dxa"/>
          </w:tcPr>
          <w:p w14:paraId="732D54F3" w14:textId="77777777" w:rsidR="00DE5B86" w:rsidRPr="00D665BE" w:rsidRDefault="00DE5B86" w:rsidP="00DE5B86">
            <w:pPr>
              <w:pStyle w:val="Sinespaciado1"/>
              <w:jc w:val="center"/>
              <w:rPr>
                <w:rFonts w:ascii="Arial" w:hAnsi="Arial" w:cs="Arial"/>
                <w:b/>
              </w:rPr>
            </w:pPr>
            <w:r w:rsidRPr="00D665BE">
              <w:rPr>
                <w:rFonts w:ascii="Arial" w:hAnsi="Arial" w:cs="Arial"/>
                <w:b/>
              </w:rPr>
              <w:t>NICOLÁS YEPES CORRALES</w:t>
            </w:r>
          </w:p>
          <w:p w14:paraId="187DACAA" w14:textId="20BB3DD2" w:rsidR="00DE5B86" w:rsidRDefault="00DE5B86" w:rsidP="00DE5B86">
            <w:pPr>
              <w:pStyle w:val="Sinespaciado1"/>
              <w:jc w:val="center"/>
              <w:rPr>
                <w:rFonts w:ascii="Arial" w:hAnsi="Arial" w:cs="Arial"/>
                <w:b/>
              </w:rPr>
            </w:pPr>
            <w:r w:rsidRPr="00D665BE">
              <w:rPr>
                <w:rFonts w:ascii="Arial" w:hAnsi="Arial" w:cs="Arial"/>
                <w:b/>
              </w:rPr>
              <w:t>Consejero Ponente</w:t>
            </w:r>
          </w:p>
        </w:tc>
      </w:tr>
    </w:tbl>
    <w:p w14:paraId="03CFBA90" w14:textId="77777777" w:rsidR="00E65AEF" w:rsidRPr="004D1B87" w:rsidRDefault="00E65AEF" w:rsidP="00934BF5">
      <w:pPr>
        <w:spacing w:line="360" w:lineRule="auto"/>
        <w:rPr>
          <w:rFonts w:cs="Arial"/>
          <w:b/>
          <w:sz w:val="24"/>
          <w:szCs w:val="24"/>
        </w:rPr>
      </w:pPr>
    </w:p>
    <w:sectPr w:rsidR="00E65AEF" w:rsidRPr="004D1B87" w:rsidSect="00810B28">
      <w:headerReference w:type="default" r:id="rId11"/>
      <w:headerReference w:type="first" r:id="rId12"/>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2F65" w14:textId="77777777" w:rsidR="00B81851" w:rsidRDefault="00B81851" w:rsidP="00AA33C8">
      <w:r>
        <w:separator/>
      </w:r>
    </w:p>
  </w:endnote>
  <w:endnote w:type="continuationSeparator" w:id="0">
    <w:p w14:paraId="7F4AA1F7" w14:textId="77777777" w:rsidR="00B81851" w:rsidRDefault="00B81851" w:rsidP="00AA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B445" w14:textId="77777777" w:rsidR="00B81851" w:rsidRDefault="00B81851" w:rsidP="00AA33C8">
      <w:r>
        <w:separator/>
      </w:r>
    </w:p>
  </w:footnote>
  <w:footnote w:type="continuationSeparator" w:id="0">
    <w:p w14:paraId="0D43E5CC" w14:textId="77777777" w:rsidR="00B81851" w:rsidRDefault="00B81851" w:rsidP="00AA33C8">
      <w:r>
        <w:continuationSeparator/>
      </w:r>
    </w:p>
  </w:footnote>
  <w:footnote w:id="1">
    <w:p w14:paraId="7AF0229A" w14:textId="77777777" w:rsidR="006A692E" w:rsidRPr="00CC22F1" w:rsidRDefault="006A692E" w:rsidP="00CC22F1">
      <w:pPr>
        <w:pStyle w:val="Textonotapie"/>
        <w:rPr>
          <w:sz w:val="18"/>
          <w:szCs w:val="18"/>
        </w:rPr>
      </w:pPr>
      <w:r w:rsidRPr="00CC22F1">
        <w:rPr>
          <w:rStyle w:val="Refdenotaalpie"/>
          <w:sz w:val="18"/>
          <w:szCs w:val="18"/>
        </w:rPr>
        <w:footnoteRef/>
      </w:r>
      <w:r w:rsidRPr="00CC22F1">
        <w:rPr>
          <w:sz w:val="18"/>
          <w:szCs w:val="18"/>
        </w:rPr>
        <w:t xml:space="preserve"> Según el documento con certificado 4DF5CDD95CD82BA7 E62C8D5CD64C330B 3E5CD68ECB3DE483 CF4959974D445517, en el expediente de tutela digital. </w:t>
      </w:r>
    </w:p>
  </w:footnote>
  <w:footnote w:id="2">
    <w:p w14:paraId="696C5AAA" w14:textId="77777777" w:rsidR="00C16D79" w:rsidRPr="00CC22F1" w:rsidRDefault="00C16D79" w:rsidP="00CC22F1">
      <w:pPr>
        <w:pStyle w:val="Textonotapie"/>
        <w:rPr>
          <w:sz w:val="18"/>
          <w:szCs w:val="18"/>
        </w:rPr>
      </w:pPr>
      <w:r w:rsidRPr="00CC22F1">
        <w:rPr>
          <w:rStyle w:val="Refdenotaalpie"/>
          <w:sz w:val="18"/>
          <w:szCs w:val="18"/>
        </w:rPr>
        <w:footnoteRef/>
      </w:r>
      <w:r w:rsidRPr="00CC22F1">
        <w:rPr>
          <w:sz w:val="18"/>
          <w:szCs w:val="18"/>
        </w:rPr>
        <w:t xml:space="preserve"> Los poderes obran en el documento con certificado 687A153FB67D7333 A1CF504EA418C384 38AB5F4D0D8A13C8 441D165821FABBAF, en el expediente de tutela digital. </w:t>
      </w:r>
    </w:p>
  </w:footnote>
  <w:footnote w:id="3">
    <w:p w14:paraId="7CDF1B2C" w14:textId="77777777" w:rsidR="00C16D79" w:rsidRPr="00CC22F1" w:rsidRDefault="00C16D79" w:rsidP="00CC22F1">
      <w:pPr>
        <w:pStyle w:val="Textonotapie"/>
        <w:rPr>
          <w:sz w:val="18"/>
          <w:szCs w:val="18"/>
        </w:rPr>
      </w:pPr>
      <w:r w:rsidRPr="00CC22F1">
        <w:rPr>
          <w:rStyle w:val="Refdenotaalpie"/>
          <w:sz w:val="18"/>
          <w:szCs w:val="18"/>
        </w:rPr>
        <w:footnoteRef/>
      </w:r>
      <w:r w:rsidRPr="00CC22F1">
        <w:rPr>
          <w:sz w:val="18"/>
          <w:szCs w:val="18"/>
        </w:rPr>
        <w:t xml:space="preserve"> El escrito de tutela obra en el documento con certificado 6007D49DFD455362 FD74FECF6FAF3343 ACBCE189C2341EBC A102579FA74F2D6D, en el expediente de tutela digital. </w:t>
      </w:r>
    </w:p>
  </w:footnote>
  <w:footnote w:id="4">
    <w:p w14:paraId="34B3DEF1" w14:textId="675175E4" w:rsidR="002F6A02" w:rsidRPr="00CC22F1" w:rsidRDefault="002F6A02" w:rsidP="00CC22F1">
      <w:pPr>
        <w:pStyle w:val="Textonotapie"/>
        <w:rPr>
          <w:sz w:val="18"/>
          <w:szCs w:val="18"/>
        </w:rPr>
      </w:pPr>
      <w:r w:rsidRPr="00CC22F1">
        <w:rPr>
          <w:rStyle w:val="Refdenotaalpie"/>
          <w:sz w:val="18"/>
          <w:szCs w:val="18"/>
        </w:rPr>
        <w:footnoteRef/>
      </w:r>
      <w:r w:rsidRPr="00CC22F1">
        <w:rPr>
          <w:sz w:val="18"/>
          <w:szCs w:val="18"/>
        </w:rPr>
        <w:t xml:space="preserve"> Folios 3-29 del archivo “04CUADERNO PRINCIPAL </w:t>
      </w:r>
      <w:proofErr w:type="spellStart"/>
      <w:r w:rsidRPr="00CC22F1">
        <w:rPr>
          <w:sz w:val="18"/>
          <w:szCs w:val="18"/>
        </w:rPr>
        <w:t>N</w:t>
      </w:r>
      <w:r w:rsidRPr="00CC22F1">
        <w:rPr>
          <w:sz w:val="18"/>
          <w:szCs w:val="18"/>
          <w:vertAlign w:val="superscript"/>
        </w:rPr>
        <w:t>a</w:t>
      </w:r>
      <w:proofErr w:type="spellEnd"/>
      <w:r w:rsidRPr="00CC22F1">
        <w:rPr>
          <w:sz w:val="18"/>
          <w:szCs w:val="18"/>
        </w:rPr>
        <w:t xml:space="preserve"> 4”, que obra en el documento con certificado B41F47C13EFA889F 3C78F9D0AFA28FD3 AD4BB265EB783140 F94A02544B8334C1, en el expediente de tutela digital. </w:t>
      </w:r>
    </w:p>
  </w:footnote>
  <w:footnote w:id="5">
    <w:p w14:paraId="16226B03" w14:textId="20DD6588" w:rsidR="00F44FAA" w:rsidRPr="00CC22F1" w:rsidRDefault="00F44FAA" w:rsidP="00CC22F1">
      <w:pPr>
        <w:pStyle w:val="Textonotapie"/>
        <w:rPr>
          <w:sz w:val="18"/>
          <w:szCs w:val="18"/>
        </w:rPr>
      </w:pPr>
      <w:r w:rsidRPr="00CC22F1">
        <w:rPr>
          <w:rStyle w:val="Refdenotaalpie"/>
          <w:sz w:val="18"/>
          <w:szCs w:val="18"/>
        </w:rPr>
        <w:footnoteRef/>
      </w:r>
      <w:r w:rsidRPr="00CC22F1">
        <w:rPr>
          <w:sz w:val="18"/>
          <w:szCs w:val="18"/>
        </w:rPr>
        <w:t xml:space="preserve"> </w:t>
      </w:r>
      <w:r w:rsidR="00EA2DBA" w:rsidRPr="00CC22F1">
        <w:rPr>
          <w:sz w:val="18"/>
          <w:szCs w:val="18"/>
        </w:rPr>
        <w:t>Fol</w:t>
      </w:r>
      <w:r w:rsidR="00022ADE" w:rsidRPr="00CC22F1">
        <w:rPr>
          <w:sz w:val="18"/>
          <w:szCs w:val="18"/>
        </w:rPr>
        <w:t>io</w:t>
      </w:r>
      <w:r w:rsidR="00EA2DBA" w:rsidRPr="00CC22F1">
        <w:rPr>
          <w:sz w:val="18"/>
          <w:szCs w:val="18"/>
        </w:rPr>
        <w:t xml:space="preserve"> 28 del archivo “04CUADERNO PRINCIPAL </w:t>
      </w:r>
      <w:proofErr w:type="spellStart"/>
      <w:r w:rsidR="00EA2DBA" w:rsidRPr="00CC22F1">
        <w:rPr>
          <w:sz w:val="18"/>
          <w:szCs w:val="18"/>
        </w:rPr>
        <w:t>N</w:t>
      </w:r>
      <w:r w:rsidR="00EA2DBA" w:rsidRPr="00CC22F1">
        <w:rPr>
          <w:sz w:val="18"/>
          <w:szCs w:val="18"/>
          <w:vertAlign w:val="superscript"/>
        </w:rPr>
        <w:t>a</w:t>
      </w:r>
      <w:proofErr w:type="spellEnd"/>
      <w:r w:rsidR="00EA2DBA" w:rsidRPr="00CC22F1">
        <w:rPr>
          <w:sz w:val="18"/>
          <w:szCs w:val="18"/>
        </w:rPr>
        <w:t xml:space="preserve"> 4”, que obra en el documento con certificado B41F47C13EFA889F 3C78F9D0AFA28FD3 AD4BB265EB783140 F94A02544B8334C1, en el expediente de tutela digital.</w:t>
      </w:r>
    </w:p>
  </w:footnote>
  <w:footnote w:id="6">
    <w:p w14:paraId="082957B8" w14:textId="429897EE" w:rsidR="00022ADE" w:rsidRPr="00CC22F1" w:rsidRDefault="00022ADE" w:rsidP="00CC22F1">
      <w:pPr>
        <w:pStyle w:val="Textonotapie"/>
        <w:rPr>
          <w:sz w:val="18"/>
          <w:szCs w:val="18"/>
        </w:rPr>
      </w:pPr>
      <w:r w:rsidRPr="00CC22F1">
        <w:rPr>
          <w:rStyle w:val="Refdenotaalpie"/>
          <w:sz w:val="18"/>
          <w:szCs w:val="18"/>
        </w:rPr>
        <w:footnoteRef/>
      </w:r>
      <w:r w:rsidRPr="00CC22F1">
        <w:rPr>
          <w:sz w:val="18"/>
          <w:szCs w:val="18"/>
        </w:rPr>
        <w:t xml:space="preserve"> Folios 34-45 del archivo “04CUADERNO PRINCIPAL </w:t>
      </w:r>
      <w:proofErr w:type="spellStart"/>
      <w:r w:rsidRPr="00CC22F1">
        <w:rPr>
          <w:sz w:val="18"/>
          <w:szCs w:val="18"/>
        </w:rPr>
        <w:t>N</w:t>
      </w:r>
      <w:r w:rsidRPr="00CC22F1">
        <w:rPr>
          <w:sz w:val="18"/>
          <w:szCs w:val="18"/>
          <w:vertAlign w:val="superscript"/>
        </w:rPr>
        <w:t>a</w:t>
      </w:r>
      <w:proofErr w:type="spellEnd"/>
      <w:r w:rsidRPr="00CC22F1">
        <w:rPr>
          <w:sz w:val="18"/>
          <w:szCs w:val="18"/>
        </w:rPr>
        <w:t xml:space="preserve"> 4”, que obra en el documento con certificado B41F47C13EFA889F 3C78F9D0AFA28FD3 AD4BB265EB783140 F94A02544B8334C1, en el expediente de tutela digital.</w:t>
      </w:r>
    </w:p>
  </w:footnote>
  <w:footnote w:id="7">
    <w:p w14:paraId="089B5E4B" w14:textId="79E7E201" w:rsidR="00EA2DBA" w:rsidRPr="00CC22F1" w:rsidRDefault="00EA2DBA" w:rsidP="00CC22F1">
      <w:pPr>
        <w:pStyle w:val="Textonotapie"/>
        <w:rPr>
          <w:sz w:val="18"/>
          <w:szCs w:val="18"/>
        </w:rPr>
      </w:pPr>
      <w:r w:rsidRPr="00CC22F1">
        <w:rPr>
          <w:rStyle w:val="Refdenotaalpie"/>
          <w:sz w:val="18"/>
          <w:szCs w:val="18"/>
        </w:rPr>
        <w:footnoteRef/>
      </w:r>
      <w:r w:rsidRPr="00CC22F1">
        <w:rPr>
          <w:sz w:val="18"/>
          <w:szCs w:val="18"/>
        </w:rPr>
        <w:t xml:space="preserve"> Archivo “05Sentencia Segunda Instancia”, que obra en el documento con certificado B41F47C13EFA889F 3C78F9D0AFA28FD3 AD4BB265EB783140 F94A02544B8334C1, en el expediente de tutela digital.</w:t>
      </w:r>
    </w:p>
  </w:footnote>
  <w:footnote w:id="8">
    <w:p w14:paraId="417007AA" w14:textId="77777777" w:rsidR="00195032" w:rsidRPr="00CC22F1" w:rsidRDefault="00195032" w:rsidP="00CC22F1">
      <w:pPr>
        <w:pStyle w:val="Textonotapie"/>
        <w:rPr>
          <w:sz w:val="18"/>
          <w:szCs w:val="18"/>
        </w:rPr>
      </w:pPr>
      <w:r w:rsidRPr="00CC22F1">
        <w:rPr>
          <w:rStyle w:val="Refdenotaalpie"/>
          <w:sz w:val="18"/>
          <w:szCs w:val="18"/>
        </w:rPr>
        <w:footnoteRef/>
      </w:r>
      <w:r w:rsidRPr="00CC22F1">
        <w:rPr>
          <w:sz w:val="18"/>
          <w:szCs w:val="18"/>
        </w:rPr>
        <w:t xml:space="preserve"> Folios 9-10 del documento con certificado 6007D49DFD455362 FD74FECF6FAF3343 ACBCE189C2341EBC A102579FA74F2D6D, en el expediente de tutela digital.</w:t>
      </w:r>
    </w:p>
  </w:footnote>
  <w:footnote w:id="9">
    <w:p w14:paraId="01E2D9BB" w14:textId="77777777" w:rsidR="00E201D1" w:rsidRPr="00CC22F1" w:rsidRDefault="00E201D1" w:rsidP="00CC22F1">
      <w:pPr>
        <w:pStyle w:val="Textonotapie"/>
        <w:rPr>
          <w:sz w:val="18"/>
          <w:szCs w:val="18"/>
        </w:rPr>
      </w:pPr>
      <w:r w:rsidRPr="00CC22F1">
        <w:rPr>
          <w:rStyle w:val="Refdenotaalpie"/>
          <w:sz w:val="18"/>
          <w:szCs w:val="18"/>
        </w:rPr>
        <w:footnoteRef/>
      </w:r>
      <w:r w:rsidRPr="00CC22F1">
        <w:rPr>
          <w:sz w:val="18"/>
          <w:szCs w:val="18"/>
        </w:rPr>
        <w:t xml:space="preserve"> Folios 11-12 del documento con certificado 6007D49DFD455362 FD74FECF6FAF3343 ACBCE189C2341EBC A102579FA74F2D6D, en el expediente de tutela digital.</w:t>
      </w:r>
    </w:p>
  </w:footnote>
  <w:footnote w:id="10">
    <w:p w14:paraId="266DA4E4" w14:textId="37729453" w:rsidR="00227212" w:rsidRPr="00CC22F1" w:rsidRDefault="00227212" w:rsidP="00CC22F1">
      <w:pPr>
        <w:pStyle w:val="Textonotapie"/>
        <w:rPr>
          <w:sz w:val="18"/>
          <w:szCs w:val="18"/>
        </w:rPr>
      </w:pPr>
      <w:r w:rsidRPr="00CC22F1">
        <w:rPr>
          <w:rStyle w:val="Refdenotaalpie"/>
          <w:sz w:val="18"/>
          <w:szCs w:val="18"/>
        </w:rPr>
        <w:footnoteRef/>
      </w:r>
      <w:r w:rsidRPr="00CC22F1">
        <w:rPr>
          <w:sz w:val="18"/>
          <w:szCs w:val="18"/>
        </w:rPr>
        <w:t xml:space="preserve"> Folios 54-70 del documento con certificado 9438F45BF906CC3F FA396683BB0036A8 5FDF3B4DF99BF710 761AA2396A189596, en el expediente de tutela digital. </w:t>
      </w:r>
    </w:p>
  </w:footnote>
  <w:footnote w:id="11">
    <w:p w14:paraId="76C78DA8" w14:textId="77777777" w:rsidR="0075391C" w:rsidRPr="00CC22F1" w:rsidRDefault="0075391C" w:rsidP="00CC22F1">
      <w:pPr>
        <w:pStyle w:val="Textonotapie"/>
        <w:rPr>
          <w:sz w:val="18"/>
          <w:szCs w:val="18"/>
        </w:rPr>
      </w:pPr>
      <w:r w:rsidRPr="00CC22F1">
        <w:rPr>
          <w:rStyle w:val="Refdenotaalpie"/>
          <w:sz w:val="18"/>
          <w:szCs w:val="18"/>
        </w:rPr>
        <w:footnoteRef/>
      </w:r>
      <w:r w:rsidRPr="00CC22F1">
        <w:rPr>
          <w:sz w:val="18"/>
          <w:szCs w:val="18"/>
        </w:rPr>
        <w:t xml:space="preserve"> Folio 19 del documento con certificado 6007D49DFD455362 FD74FECF6FAF3343 ACBCE189C2341EBC A102579FA74F2D6D, en el expediente de tutela digital.</w:t>
      </w:r>
    </w:p>
  </w:footnote>
  <w:footnote w:id="12">
    <w:p w14:paraId="72FA3B7D" w14:textId="0106F193" w:rsidR="00F70648" w:rsidRPr="00CC22F1" w:rsidRDefault="00F70648" w:rsidP="00CC22F1">
      <w:pPr>
        <w:pStyle w:val="Textonotapie"/>
        <w:rPr>
          <w:sz w:val="18"/>
          <w:szCs w:val="18"/>
        </w:rPr>
      </w:pPr>
      <w:r w:rsidRPr="00CC22F1">
        <w:rPr>
          <w:rStyle w:val="Refdenotaalpie"/>
          <w:sz w:val="18"/>
          <w:szCs w:val="18"/>
        </w:rPr>
        <w:footnoteRef/>
      </w:r>
      <w:r w:rsidRPr="00CC22F1">
        <w:rPr>
          <w:sz w:val="18"/>
          <w:szCs w:val="18"/>
        </w:rPr>
        <w:t xml:space="preserve"> Obra en el documento con certificado C36359E4DEEE8018 70F5F13E3B286B44 538C0EF1443FD38D AB474E311CD948F8, en el expediente de tutela digital. </w:t>
      </w:r>
    </w:p>
  </w:footnote>
  <w:footnote w:id="13">
    <w:p w14:paraId="4A7CE7FC" w14:textId="5F72825B" w:rsidR="0097442A" w:rsidRPr="00CC22F1" w:rsidRDefault="0097442A" w:rsidP="00CC22F1">
      <w:pPr>
        <w:pStyle w:val="Textonotapie"/>
        <w:rPr>
          <w:sz w:val="18"/>
          <w:szCs w:val="18"/>
        </w:rPr>
      </w:pPr>
      <w:r w:rsidRPr="00CC22F1">
        <w:rPr>
          <w:rStyle w:val="Refdenotaalpie"/>
          <w:sz w:val="18"/>
          <w:szCs w:val="18"/>
        </w:rPr>
        <w:footnoteRef/>
      </w:r>
      <w:r w:rsidRPr="00CC22F1">
        <w:rPr>
          <w:sz w:val="18"/>
          <w:szCs w:val="18"/>
        </w:rPr>
        <w:t xml:space="preserve"> Los soportes de la notificación obran en los documentos con certificados 05667B9E7DF860E1 1EC5CF22E2B82BBC BCA6C2F8312F5B54 EE10A84B2A4A69C8 y 7F1291DB86728C84 86C7FCA7D0B69C8B 3FB7C2F776ECF62C CF9DCBC2B312A49B, en el expediente de tutela </w:t>
      </w:r>
      <w:r w:rsidR="005F0D30" w:rsidRPr="00CC22F1">
        <w:rPr>
          <w:sz w:val="18"/>
          <w:szCs w:val="18"/>
        </w:rPr>
        <w:t>digital</w:t>
      </w:r>
      <w:r w:rsidRPr="00CC22F1">
        <w:rPr>
          <w:sz w:val="18"/>
          <w:szCs w:val="18"/>
        </w:rPr>
        <w:t xml:space="preserve">. </w:t>
      </w:r>
    </w:p>
  </w:footnote>
  <w:footnote w:id="14">
    <w:p w14:paraId="5A740445" w14:textId="52FD7078" w:rsidR="005F0D30" w:rsidRPr="00CC22F1" w:rsidRDefault="005F0D30" w:rsidP="00CC22F1">
      <w:pPr>
        <w:contextualSpacing/>
        <w:rPr>
          <w:rFonts w:cs="Arial"/>
          <w:color w:val="000000" w:themeColor="text1"/>
          <w:sz w:val="18"/>
          <w:szCs w:val="18"/>
        </w:rPr>
      </w:pPr>
      <w:r w:rsidRPr="00CC22F1">
        <w:rPr>
          <w:rStyle w:val="Refdenotaalpie"/>
          <w:rFonts w:cs="Arial"/>
          <w:color w:val="000000" w:themeColor="text1"/>
          <w:sz w:val="18"/>
          <w:szCs w:val="18"/>
        </w:rPr>
        <w:footnoteRef/>
      </w:r>
      <w:r w:rsidRPr="00CC22F1">
        <w:rPr>
          <w:rFonts w:cs="Arial"/>
          <w:color w:val="000000" w:themeColor="text1"/>
          <w:sz w:val="18"/>
          <w:szCs w:val="18"/>
        </w:rPr>
        <w:t xml:space="preserve"> De acuerdo con la sentencia C-590 de 2005, la tutela </w:t>
      </w:r>
      <w:r w:rsidR="00130DA5">
        <w:rPr>
          <w:rFonts w:cs="Arial"/>
          <w:color w:val="000000" w:themeColor="text1"/>
          <w:sz w:val="18"/>
          <w:szCs w:val="18"/>
        </w:rPr>
        <w:t xml:space="preserve">en </w:t>
      </w:r>
      <w:r w:rsidRPr="00CC22F1">
        <w:rPr>
          <w:rFonts w:cs="Arial"/>
          <w:color w:val="000000" w:themeColor="text1"/>
          <w:sz w:val="18"/>
          <w:szCs w:val="18"/>
        </w:rPr>
        <w:t xml:space="preserve">contra </w:t>
      </w:r>
      <w:r w:rsidR="00130DA5">
        <w:rPr>
          <w:rFonts w:cs="Arial"/>
          <w:color w:val="000000" w:themeColor="text1"/>
          <w:sz w:val="18"/>
          <w:szCs w:val="18"/>
        </w:rPr>
        <w:t xml:space="preserve">de una </w:t>
      </w:r>
      <w:r w:rsidRPr="00CC22F1">
        <w:rPr>
          <w:rFonts w:cs="Arial"/>
          <w:color w:val="000000" w:themeColor="text1"/>
          <w:sz w:val="18"/>
          <w:szCs w:val="18"/>
        </w:rPr>
        <w:t xml:space="preserve">providencia judicial está sujeta al cumplimiento de los siguientes requisitos generales de procedibilidad: que </w:t>
      </w:r>
      <w:r w:rsidRPr="00CC22F1">
        <w:rPr>
          <w:rFonts w:eastAsia="SimSun" w:cs="Arial"/>
          <w:color w:val="000000" w:themeColor="text1"/>
          <w:sz w:val="18"/>
          <w:szCs w:val="18"/>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CC22F1">
        <w:rPr>
          <w:rFonts w:eastAsia="MS Mincho" w:cs="Arial"/>
          <w:color w:val="000000" w:themeColor="text1"/>
          <w:sz w:val="18"/>
          <w:szCs w:val="18"/>
          <w:lang w:eastAsia="es-CO"/>
        </w:rPr>
        <w:t xml:space="preserve">; </w:t>
      </w:r>
      <w:r w:rsidRPr="00CC22F1">
        <w:rPr>
          <w:rFonts w:eastAsia="SimSun" w:cs="Arial"/>
          <w:color w:val="000000" w:themeColor="text1"/>
          <w:sz w:val="18"/>
          <w:szCs w:val="18"/>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15">
    <w:p w14:paraId="2FD4AFB2" w14:textId="77777777" w:rsidR="005F0D30" w:rsidRPr="00CC22F1" w:rsidRDefault="005F0D30" w:rsidP="00CC22F1">
      <w:pPr>
        <w:contextualSpacing/>
        <w:rPr>
          <w:rFonts w:eastAsia="Verdana" w:cs="Arial"/>
          <w:color w:val="000000" w:themeColor="text1"/>
          <w:sz w:val="18"/>
          <w:szCs w:val="18"/>
        </w:rPr>
      </w:pPr>
      <w:r w:rsidRPr="00CC22F1">
        <w:rPr>
          <w:rStyle w:val="Refdenotaalpie"/>
          <w:rFonts w:cs="Arial"/>
          <w:color w:val="000000" w:themeColor="text1"/>
          <w:sz w:val="18"/>
          <w:szCs w:val="18"/>
        </w:rPr>
        <w:footnoteRef/>
      </w:r>
      <w:r w:rsidRPr="00CC22F1">
        <w:rPr>
          <w:rFonts w:cs="Arial"/>
          <w:color w:val="000000" w:themeColor="text1"/>
          <w:sz w:val="18"/>
          <w:szCs w:val="18"/>
        </w:rPr>
        <w:t xml:space="preserve"> Los requisitos específicos, también conocidos como defectos, son: d</w:t>
      </w:r>
      <w:r w:rsidRPr="00CC22F1">
        <w:rPr>
          <w:rFonts w:eastAsia="Verdana" w:cs="Arial"/>
          <w:color w:val="000000" w:themeColor="text1"/>
          <w:sz w:val="18"/>
          <w:szCs w:val="18"/>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16">
    <w:p w14:paraId="1F4F519F" w14:textId="77777777" w:rsidR="005F0D30" w:rsidRPr="00CC22F1" w:rsidRDefault="005F0D30" w:rsidP="00CC22F1">
      <w:pPr>
        <w:pStyle w:val="Textonotapie"/>
        <w:contextualSpacing/>
        <w:rPr>
          <w:rFonts w:cs="Arial"/>
          <w:color w:val="000000" w:themeColor="text1"/>
          <w:sz w:val="18"/>
          <w:szCs w:val="18"/>
        </w:rPr>
      </w:pPr>
      <w:r w:rsidRPr="00CC22F1">
        <w:rPr>
          <w:rStyle w:val="Refdenotaalpie"/>
          <w:rFonts w:cs="Arial"/>
          <w:color w:val="000000" w:themeColor="text1"/>
          <w:sz w:val="18"/>
          <w:szCs w:val="18"/>
        </w:rPr>
        <w:footnoteRef/>
      </w:r>
      <w:r w:rsidRPr="00CC22F1">
        <w:rPr>
          <w:rFonts w:cs="Arial"/>
          <w:color w:val="000000" w:themeColor="text1"/>
          <w:sz w:val="18"/>
          <w:szCs w:val="18"/>
        </w:rPr>
        <w:t xml:space="preserve"> Corte Constitucional. Sentencia C-590 de 08 de junio de 2005.</w:t>
      </w:r>
    </w:p>
  </w:footnote>
  <w:footnote w:id="17">
    <w:p w14:paraId="40FB0D90" w14:textId="77777777" w:rsidR="005F0D30" w:rsidRPr="00CC22F1" w:rsidRDefault="005F0D30" w:rsidP="00CC22F1">
      <w:pPr>
        <w:contextualSpacing/>
        <w:rPr>
          <w:rFonts w:eastAsia="Verdana" w:cs="Arial"/>
          <w:color w:val="000000" w:themeColor="text1"/>
          <w:sz w:val="18"/>
          <w:szCs w:val="18"/>
        </w:rPr>
      </w:pPr>
      <w:r w:rsidRPr="00CC22F1">
        <w:rPr>
          <w:rFonts w:cs="Arial"/>
          <w:color w:val="000000" w:themeColor="text1"/>
          <w:sz w:val="18"/>
          <w:szCs w:val="18"/>
          <w:vertAlign w:val="superscript"/>
        </w:rPr>
        <w:footnoteRef/>
      </w:r>
      <w:r w:rsidRPr="00CC22F1">
        <w:rPr>
          <w:rFonts w:eastAsia="Verdana" w:cs="Arial"/>
          <w:color w:val="000000" w:themeColor="text1"/>
          <w:sz w:val="18"/>
          <w:szCs w:val="18"/>
        </w:rPr>
        <w:t xml:space="preserve"> Sentencia del 5 de agosto de 2014 proferida por la Sala Plena del Consejo de Estado. Radicado número: 11001 03 15 000 2012 02201 01.</w:t>
      </w:r>
    </w:p>
  </w:footnote>
  <w:footnote w:id="18">
    <w:p w14:paraId="57ACEA68" w14:textId="1E082476" w:rsidR="00366F4C" w:rsidRPr="00CC22F1" w:rsidRDefault="00366F4C" w:rsidP="00CC22F1">
      <w:pPr>
        <w:pStyle w:val="Textonotapie"/>
        <w:rPr>
          <w:sz w:val="18"/>
          <w:szCs w:val="18"/>
        </w:rPr>
      </w:pPr>
      <w:r w:rsidRPr="00CC22F1">
        <w:rPr>
          <w:rStyle w:val="Refdenotaalpie"/>
          <w:sz w:val="18"/>
          <w:szCs w:val="18"/>
        </w:rPr>
        <w:footnoteRef/>
      </w:r>
      <w:r w:rsidRPr="00CC22F1">
        <w:rPr>
          <w:sz w:val="18"/>
          <w:szCs w:val="18"/>
        </w:rPr>
        <w:t xml:space="preserve"> Folios 18-20 </w:t>
      </w:r>
      <w:r w:rsidR="00381987" w:rsidRPr="00CC22F1">
        <w:rPr>
          <w:sz w:val="18"/>
          <w:szCs w:val="18"/>
        </w:rPr>
        <w:t>del archivo “05Sentencia Segunda Instancia”, que obra en el documento con certificado B41F47C13EFA889F 3C78F9D0AFA28FD3 AD4BB265EB783140 F94A02544B8334C1, en el expediente de tutela digital.</w:t>
      </w:r>
    </w:p>
  </w:footnote>
  <w:footnote w:id="19">
    <w:p w14:paraId="30791E06" w14:textId="423C41B7" w:rsidR="00634A37" w:rsidRPr="00CC22F1" w:rsidRDefault="00634A37" w:rsidP="00CC22F1">
      <w:pPr>
        <w:pStyle w:val="Textonotapie"/>
        <w:rPr>
          <w:sz w:val="18"/>
          <w:szCs w:val="18"/>
        </w:rPr>
      </w:pPr>
      <w:r w:rsidRPr="00CC22F1">
        <w:rPr>
          <w:rStyle w:val="Refdenotaalpie"/>
          <w:sz w:val="18"/>
          <w:szCs w:val="18"/>
        </w:rPr>
        <w:footnoteRef/>
      </w:r>
      <w:r w:rsidRPr="00CC22F1">
        <w:rPr>
          <w:sz w:val="18"/>
          <w:szCs w:val="18"/>
        </w:rPr>
        <w:t xml:space="preserve"> Folios 20-21 del archivo “05Sentencia Segunda Instancia”, que obra en el documento con certificado B41F47C13EFA889F 3C78F9D0AFA28FD3 AD4BB265EB783140 F94A02544B8334C1, en el expediente de tutela digital.</w:t>
      </w:r>
    </w:p>
  </w:footnote>
  <w:footnote w:id="20">
    <w:p w14:paraId="1FDFAB43" w14:textId="01805187" w:rsidR="00805541" w:rsidRPr="00CC22F1" w:rsidRDefault="00805541" w:rsidP="00CC22F1">
      <w:pPr>
        <w:pStyle w:val="Textonotapie"/>
        <w:rPr>
          <w:sz w:val="18"/>
          <w:szCs w:val="18"/>
        </w:rPr>
      </w:pPr>
      <w:r w:rsidRPr="00CC22F1">
        <w:rPr>
          <w:rStyle w:val="Refdenotaalpie"/>
          <w:sz w:val="18"/>
          <w:szCs w:val="18"/>
        </w:rPr>
        <w:footnoteRef/>
      </w:r>
      <w:r w:rsidRPr="00CC22F1">
        <w:rPr>
          <w:sz w:val="18"/>
          <w:szCs w:val="18"/>
        </w:rPr>
        <w:t xml:space="preserve"> Folio 21 del archivo “05Sentencia Segunda Instancia”, que obra en el documento con certificado B41F47C13EFA889F 3C78F9D0AFA28FD3 AD4BB265EB783140 F94A02544B8334C1, en el expediente de tutela digital</w:t>
      </w:r>
      <w:r w:rsidR="0045146D" w:rsidRPr="00CC22F1">
        <w:rPr>
          <w:sz w:val="18"/>
          <w:szCs w:val="18"/>
        </w:rPr>
        <w:t xml:space="preserve">. </w:t>
      </w:r>
    </w:p>
  </w:footnote>
  <w:footnote w:id="21">
    <w:p w14:paraId="681783FD" w14:textId="77777777" w:rsidR="00182E40" w:rsidRPr="00CC22F1" w:rsidRDefault="00182E40" w:rsidP="00CC22F1">
      <w:pPr>
        <w:pStyle w:val="Textonotapie"/>
        <w:rPr>
          <w:rFonts w:cs="Arial"/>
          <w:sz w:val="18"/>
          <w:szCs w:val="18"/>
        </w:rPr>
      </w:pPr>
      <w:r w:rsidRPr="00CC22F1">
        <w:rPr>
          <w:rStyle w:val="Refdenotaalpie"/>
          <w:rFonts w:cs="Arial"/>
          <w:sz w:val="18"/>
          <w:szCs w:val="18"/>
        </w:rPr>
        <w:footnoteRef/>
      </w:r>
      <w:r w:rsidRPr="00CC22F1">
        <w:rPr>
          <w:rFonts w:cs="Arial"/>
          <w:sz w:val="18"/>
          <w:szCs w:val="18"/>
        </w:rPr>
        <w:t xml:space="preserve"> Corte Constitucional, sentencia T-310 de 2009.</w:t>
      </w:r>
    </w:p>
  </w:footnote>
  <w:footnote w:id="22">
    <w:p w14:paraId="692F7319" w14:textId="77777777" w:rsidR="00182E40" w:rsidRPr="00CC22F1" w:rsidRDefault="00182E40" w:rsidP="00CC22F1">
      <w:pPr>
        <w:pStyle w:val="Textonotapie"/>
        <w:rPr>
          <w:rFonts w:cs="Arial"/>
          <w:sz w:val="18"/>
          <w:szCs w:val="18"/>
        </w:rPr>
      </w:pPr>
      <w:r w:rsidRPr="00CC22F1">
        <w:rPr>
          <w:rStyle w:val="Refdenotaalpie"/>
          <w:rFonts w:cs="Arial"/>
          <w:sz w:val="18"/>
          <w:szCs w:val="18"/>
        </w:rPr>
        <w:footnoteRef/>
      </w:r>
      <w:r w:rsidRPr="00CC22F1">
        <w:rPr>
          <w:rFonts w:cs="Arial"/>
          <w:sz w:val="18"/>
          <w:szCs w:val="18"/>
        </w:rPr>
        <w:t xml:space="preserve"> Corte Constitucional, sentencia T-384 de 2018.</w:t>
      </w:r>
    </w:p>
  </w:footnote>
  <w:footnote w:id="23">
    <w:p w14:paraId="26F8A400" w14:textId="6024A652" w:rsidR="00A46C24" w:rsidRPr="007850E3" w:rsidRDefault="00A46C24" w:rsidP="00A46C24">
      <w:pPr>
        <w:rPr>
          <w:rFonts w:cs="Arial"/>
          <w:color w:val="000000"/>
          <w:sz w:val="18"/>
          <w:szCs w:val="18"/>
        </w:rPr>
      </w:pPr>
      <w:r w:rsidRPr="007850E3">
        <w:rPr>
          <w:rStyle w:val="Refdenotaalpie"/>
          <w:rFonts w:cs="Arial"/>
          <w:color w:val="000000"/>
          <w:sz w:val="18"/>
          <w:szCs w:val="18"/>
        </w:rPr>
        <w:footnoteRef/>
      </w:r>
      <w:r w:rsidRPr="007850E3">
        <w:rPr>
          <w:rFonts w:cs="Arial"/>
          <w:color w:val="000000"/>
          <w:sz w:val="18"/>
          <w:szCs w:val="18"/>
        </w:rPr>
        <w:t xml:space="preserve"> </w:t>
      </w:r>
      <w:r w:rsidR="00130DA5" w:rsidRPr="00CC22F1">
        <w:rPr>
          <w:sz w:val="18"/>
          <w:szCs w:val="18"/>
        </w:rPr>
        <w:t xml:space="preserve">Corte Constitucional, sentencia </w:t>
      </w:r>
      <w:r w:rsidRPr="007850E3">
        <w:rPr>
          <w:rFonts w:eastAsia="Arial" w:cs="Arial"/>
          <w:color w:val="000000"/>
          <w:sz w:val="18"/>
          <w:szCs w:val="18"/>
        </w:rPr>
        <w:t>T-265 de 2014</w:t>
      </w:r>
      <w:r w:rsidRPr="007850E3">
        <w:rPr>
          <w:rFonts w:eastAsia="Arial" w:cs="Arial"/>
          <w:i/>
          <w:color w:val="000000"/>
          <w:sz w:val="18"/>
          <w:szCs w:val="18"/>
        </w:rPr>
        <w:t xml:space="preserve">. </w:t>
      </w:r>
    </w:p>
  </w:footnote>
  <w:footnote w:id="24">
    <w:p w14:paraId="401904F6" w14:textId="39E5F471" w:rsidR="00970AFE" w:rsidRPr="00CC22F1" w:rsidRDefault="00970AFE" w:rsidP="00CC22F1">
      <w:pPr>
        <w:pStyle w:val="Textonotapie"/>
        <w:rPr>
          <w:sz w:val="18"/>
          <w:szCs w:val="18"/>
        </w:rPr>
      </w:pPr>
      <w:r w:rsidRPr="00CC22F1">
        <w:rPr>
          <w:rStyle w:val="Refdenotaalpie"/>
          <w:sz w:val="18"/>
          <w:szCs w:val="18"/>
        </w:rPr>
        <w:footnoteRef/>
      </w:r>
      <w:r w:rsidRPr="00CC22F1">
        <w:rPr>
          <w:sz w:val="18"/>
          <w:szCs w:val="18"/>
        </w:rPr>
        <w:t xml:space="preserve"> </w:t>
      </w:r>
      <w:r w:rsidR="00464BEC" w:rsidRPr="00CC22F1">
        <w:rPr>
          <w:sz w:val="18"/>
          <w:szCs w:val="18"/>
        </w:rPr>
        <w:t>Corte Constitucional, sentencia T-310 de 2009.</w:t>
      </w:r>
    </w:p>
  </w:footnote>
  <w:footnote w:id="25">
    <w:p w14:paraId="19EFFC43" w14:textId="1875E97E" w:rsidR="00B46998" w:rsidRPr="00CC22F1" w:rsidRDefault="00B46998" w:rsidP="00CC22F1">
      <w:pPr>
        <w:pStyle w:val="Textonotapie"/>
        <w:rPr>
          <w:sz w:val="18"/>
          <w:szCs w:val="18"/>
        </w:rPr>
      </w:pPr>
      <w:r w:rsidRPr="00CC22F1">
        <w:rPr>
          <w:rStyle w:val="Refdenotaalpie"/>
          <w:sz w:val="18"/>
          <w:szCs w:val="18"/>
        </w:rPr>
        <w:footnoteRef/>
      </w:r>
      <w:r w:rsidRPr="00CC22F1">
        <w:rPr>
          <w:sz w:val="18"/>
          <w:szCs w:val="18"/>
        </w:rPr>
        <w:t xml:space="preserve"> Corte Constitucional, </w:t>
      </w:r>
      <w:r w:rsidR="00130DA5">
        <w:rPr>
          <w:sz w:val="18"/>
          <w:szCs w:val="18"/>
        </w:rPr>
        <w:t>s</w:t>
      </w:r>
      <w:r w:rsidRPr="00CC22F1">
        <w:rPr>
          <w:sz w:val="18"/>
          <w:szCs w:val="18"/>
        </w:rPr>
        <w:t>entencia T-112 de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802189"/>
      <w:docPartObj>
        <w:docPartGallery w:val="Page Numbers (Top of Page)"/>
        <w:docPartUnique/>
      </w:docPartObj>
    </w:sdtPr>
    <w:sdtEndPr/>
    <w:sdtContent>
      <w:p w14:paraId="3D6A2150" w14:textId="77777777" w:rsidR="005F3DF7" w:rsidRDefault="005F3DF7">
        <w:pPr>
          <w:pStyle w:val="Encabezado"/>
          <w:jc w:val="center"/>
        </w:pPr>
        <w:r>
          <w:fldChar w:fldCharType="begin"/>
        </w:r>
        <w:r>
          <w:instrText>PAGE   \* MERGEFORMAT</w:instrText>
        </w:r>
        <w:r>
          <w:fldChar w:fldCharType="separate"/>
        </w:r>
        <w:r w:rsidR="00CC22F1" w:rsidRPr="00CC22F1">
          <w:rPr>
            <w:noProof/>
            <w:lang w:val="es-ES"/>
          </w:rPr>
          <w:t>11</w:t>
        </w:r>
        <w:r>
          <w:fldChar w:fldCharType="end"/>
        </w:r>
      </w:p>
    </w:sdtContent>
  </w:sdt>
  <w:p w14:paraId="2B8CDEEB" w14:textId="77777777" w:rsidR="005F3DF7" w:rsidRPr="005F3DF7" w:rsidRDefault="005F3DF7" w:rsidP="005F3DF7">
    <w:pPr>
      <w:jc w:val="right"/>
      <w:rPr>
        <w:rFonts w:cs="Arial"/>
        <w:i/>
        <w:sz w:val="18"/>
        <w:szCs w:val="18"/>
      </w:rPr>
    </w:pPr>
    <w:r w:rsidRPr="005F3DF7">
      <w:rPr>
        <w:rFonts w:cs="Arial"/>
        <w:i/>
        <w:sz w:val="18"/>
        <w:szCs w:val="18"/>
      </w:rPr>
      <w:t>Sentencia de primera instancia</w:t>
    </w:r>
  </w:p>
  <w:p w14:paraId="5650A394" w14:textId="77777777" w:rsidR="005F3DF7" w:rsidRPr="005F3DF7" w:rsidRDefault="005F3DF7" w:rsidP="005F3DF7">
    <w:pPr>
      <w:jc w:val="right"/>
      <w:rPr>
        <w:rFonts w:cs="Arial"/>
        <w:i/>
        <w:sz w:val="18"/>
        <w:szCs w:val="18"/>
      </w:rPr>
    </w:pPr>
    <w:r w:rsidRPr="005F3DF7">
      <w:rPr>
        <w:rFonts w:cs="Arial"/>
        <w:i/>
        <w:sz w:val="18"/>
        <w:szCs w:val="18"/>
      </w:rPr>
      <w:t xml:space="preserve">Radicación: 11001-03-15-000-2021-05705-00 </w:t>
    </w:r>
  </w:p>
  <w:p w14:paraId="6EA0462B" w14:textId="77777777" w:rsidR="005F3DF7" w:rsidRPr="005F3DF7" w:rsidRDefault="005F3DF7" w:rsidP="005F3DF7">
    <w:pPr>
      <w:jc w:val="right"/>
      <w:rPr>
        <w:rFonts w:cs="Arial"/>
        <w:i/>
        <w:sz w:val="18"/>
        <w:szCs w:val="18"/>
      </w:rPr>
    </w:pPr>
    <w:r w:rsidRPr="005F3DF7">
      <w:rPr>
        <w:rFonts w:cs="Arial"/>
        <w:i/>
        <w:sz w:val="18"/>
        <w:szCs w:val="18"/>
      </w:rPr>
      <w:t xml:space="preserve">Accionantes: Jorge Eduardo González Palomo y otros </w:t>
    </w:r>
  </w:p>
  <w:p w14:paraId="15B0E4EC" w14:textId="77777777" w:rsidR="005F3DF7" w:rsidRPr="005F3DF7" w:rsidRDefault="005F3DF7" w:rsidP="005F3DF7">
    <w:pPr>
      <w:jc w:val="right"/>
      <w:rPr>
        <w:rFonts w:cs="Arial"/>
        <w:i/>
        <w:sz w:val="18"/>
        <w:szCs w:val="18"/>
      </w:rPr>
    </w:pPr>
    <w:r w:rsidRPr="005F3DF7">
      <w:rPr>
        <w:rFonts w:cs="Arial"/>
        <w:i/>
        <w:sz w:val="18"/>
        <w:szCs w:val="18"/>
      </w:rPr>
      <w:t xml:space="preserve">Accionados: Juzgado Segundo Administrativo de Florencia y Tribunal Administrativo del Caquetá </w:t>
    </w:r>
  </w:p>
  <w:p w14:paraId="3E4AEA9B" w14:textId="77777777" w:rsidR="005F3DF7" w:rsidRDefault="005F3D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2A67" w14:textId="77777777" w:rsidR="00AA33C8" w:rsidRPr="004C1969" w:rsidRDefault="00AA33C8" w:rsidP="00AA33C8">
    <w:pPr>
      <w:pStyle w:val="Encabezado"/>
      <w:rPr>
        <w:sz w:val="24"/>
        <w:szCs w:val="24"/>
      </w:rPr>
    </w:pPr>
    <w:r w:rsidRPr="004C1969">
      <w:rPr>
        <w:noProof/>
        <w:sz w:val="24"/>
        <w:szCs w:val="24"/>
        <w:lang w:eastAsia="es-CO"/>
      </w:rPr>
      <w:drawing>
        <wp:anchor distT="0" distB="0" distL="114300" distR="114300" simplePos="0" relativeHeight="251659264" behindDoc="1" locked="0" layoutInCell="1" allowOverlap="1" wp14:anchorId="5DEF354D" wp14:editId="3CDCBA9E">
          <wp:simplePos x="0" y="0"/>
          <wp:positionH relativeFrom="margin">
            <wp:align>left</wp:align>
          </wp:positionH>
          <wp:positionV relativeFrom="paragraph">
            <wp:posOffset>-123190</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E7440" w14:textId="77777777" w:rsidR="00AA33C8" w:rsidRPr="004C1969" w:rsidRDefault="00AA33C8" w:rsidP="00AA33C8">
    <w:pPr>
      <w:jc w:val="center"/>
      <w:rPr>
        <w:rFonts w:cs="Arial"/>
        <w:b/>
        <w:bCs/>
        <w:sz w:val="24"/>
        <w:szCs w:val="24"/>
        <w:lang w:eastAsia="es-ES"/>
      </w:rPr>
    </w:pPr>
    <w:r w:rsidRPr="004C1969">
      <w:rPr>
        <w:rFonts w:cs="Arial"/>
        <w:b/>
        <w:bCs/>
        <w:sz w:val="24"/>
        <w:szCs w:val="24"/>
        <w:lang w:eastAsia="es-ES"/>
      </w:rPr>
      <w:t>CONSEJO DE ESTADO</w:t>
    </w:r>
  </w:p>
  <w:p w14:paraId="4CAEBC5A" w14:textId="77777777" w:rsidR="00AA33C8" w:rsidRPr="004C1969" w:rsidRDefault="00AA33C8" w:rsidP="00AA33C8">
    <w:pPr>
      <w:jc w:val="center"/>
      <w:rPr>
        <w:rFonts w:cs="Arial"/>
        <w:b/>
        <w:bCs/>
        <w:color w:val="000000"/>
        <w:sz w:val="24"/>
        <w:szCs w:val="24"/>
        <w:lang w:eastAsia="es-ES"/>
      </w:rPr>
    </w:pPr>
    <w:r w:rsidRPr="004C1969">
      <w:rPr>
        <w:rFonts w:cs="Arial"/>
        <w:b/>
        <w:bCs/>
        <w:color w:val="000000"/>
        <w:sz w:val="24"/>
        <w:szCs w:val="24"/>
        <w:lang w:eastAsia="es-ES"/>
      </w:rPr>
      <w:t>SALA DE LO CONTENCIOSO ADMINISTRATIVO</w:t>
    </w:r>
  </w:p>
  <w:p w14:paraId="667CA155" w14:textId="77777777" w:rsidR="00AA33C8" w:rsidRPr="004C1969" w:rsidRDefault="00AA33C8" w:rsidP="00AA33C8">
    <w:pPr>
      <w:jc w:val="center"/>
      <w:rPr>
        <w:rFonts w:cs="Arial"/>
        <w:b/>
        <w:bCs/>
        <w:color w:val="000000"/>
        <w:sz w:val="24"/>
        <w:szCs w:val="24"/>
        <w:lang w:eastAsia="es-ES"/>
      </w:rPr>
    </w:pPr>
    <w:r w:rsidRPr="004C1969">
      <w:rPr>
        <w:rFonts w:cs="Arial"/>
        <w:b/>
        <w:bCs/>
        <w:color w:val="000000"/>
        <w:sz w:val="24"/>
        <w:szCs w:val="24"/>
        <w:lang w:eastAsia="es-ES"/>
      </w:rPr>
      <w:t>SECCIÓN TERCERA</w:t>
    </w:r>
  </w:p>
  <w:p w14:paraId="56463582" w14:textId="77777777" w:rsidR="00AA33C8" w:rsidRPr="0074175B" w:rsidRDefault="00AA33C8" w:rsidP="00AA33C8">
    <w:pPr>
      <w:jc w:val="center"/>
      <w:rPr>
        <w:rFonts w:cs="Arial"/>
        <w:b/>
        <w:bCs/>
        <w:color w:val="000000"/>
        <w:sz w:val="24"/>
        <w:szCs w:val="24"/>
        <w:lang w:eastAsia="es-ES"/>
      </w:rPr>
    </w:pPr>
    <w:r w:rsidRPr="0074175B">
      <w:rPr>
        <w:rFonts w:cs="Arial"/>
        <w:b/>
        <w:bCs/>
        <w:color w:val="000000"/>
        <w:sz w:val="24"/>
        <w:szCs w:val="24"/>
        <w:lang w:eastAsia="es-ES"/>
      </w:rPr>
      <w:t>SUBSECCIÓN C</w:t>
    </w:r>
  </w:p>
  <w:p w14:paraId="5E7FB130" w14:textId="77777777" w:rsidR="00AA33C8" w:rsidRDefault="00AA33C8" w:rsidP="00AA33C8">
    <w:pPr>
      <w:pStyle w:val="Encabezado"/>
    </w:pPr>
  </w:p>
  <w:p w14:paraId="63BD6D08" w14:textId="77777777" w:rsidR="00AA33C8" w:rsidRDefault="00AA33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97F"/>
    <w:multiLevelType w:val="hybridMultilevel"/>
    <w:tmpl w:val="78724F34"/>
    <w:lvl w:ilvl="0" w:tplc="373081D0">
      <w:start w:val="1"/>
      <w:numFmt w:val="decimal"/>
      <w:lvlText w:val="%1."/>
      <w:lvlJc w:val="left"/>
      <w:pPr>
        <w:ind w:left="360" w:hanging="360"/>
      </w:pPr>
      <w:rPr>
        <w:rFonts w:eastAsia="Calibri"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53FC1F47"/>
    <w:multiLevelType w:val="hybridMultilevel"/>
    <w:tmpl w:val="5CD2483A"/>
    <w:lvl w:ilvl="0" w:tplc="1B4A6B8C">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3C8"/>
    <w:rsid w:val="00010EDF"/>
    <w:rsid w:val="00013A56"/>
    <w:rsid w:val="00020E1B"/>
    <w:rsid w:val="00022ADE"/>
    <w:rsid w:val="00030C34"/>
    <w:rsid w:val="00031EA5"/>
    <w:rsid w:val="000331DC"/>
    <w:rsid w:val="00041A77"/>
    <w:rsid w:val="0004650B"/>
    <w:rsid w:val="00052CBE"/>
    <w:rsid w:val="00057A0B"/>
    <w:rsid w:val="00073EDC"/>
    <w:rsid w:val="00092139"/>
    <w:rsid w:val="0009394A"/>
    <w:rsid w:val="00095EA3"/>
    <w:rsid w:val="000A3F2A"/>
    <w:rsid w:val="000B3C24"/>
    <w:rsid w:val="000C094D"/>
    <w:rsid w:val="000C7D4B"/>
    <w:rsid w:val="000D25FE"/>
    <w:rsid w:val="000F4ABC"/>
    <w:rsid w:val="0010562C"/>
    <w:rsid w:val="0010628F"/>
    <w:rsid w:val="001167D5"/>
    <w:rsid w:val="00124D26"/>
    <w:rsid w:val="00130DA5"/>
    <w:rsid w:val="00182DBA"/>
    <w:rsid w:val="00182E40"/>
    <w:rsid w:val="001869D1"/>
    <w:rsid w:val="00195032"/>
    <w:rsid w:val="001A40E4"/>
    <w:rsid w:val="001A770D"/>
    <w:rsid w:val="001B7C36"/>
    <w:rsid w:val="001C2FDF"/>
    <w:rsid w:val="001E3743"/>
    <w:rsid w:val="001E572E"/>
    <w:rsid w:val="001E6BFE"/>
    <w:rsid w:val="00202AF5"/>
    <w:rsid w:val="00206BC0"/>
    <w:rsid w:val="00211749"/>
    <w:rsid w:val="00227212"/>
    <w:rsid w:val="00227F3A"/>
    <w:rsid w:val="00253505"/>
    <w:rsid w:val="00260CD4"/>
    <w:rsid w:val="00262198"/>
    <w:rsid w:val="00283791"/>
    <w:rsid w:val="002863BD"/>
    <w:rsid w:val="002944BC"/>
    <w:rsid w:val="002A1385"/>
    <w:rsid w:val="002A5E2C"/>
    <w:rsid w:val="002D34AF"/>
    <w:rsid w:val="002D5B0A"/>
    <w:rsid w:val="002F438F"/>
    <w:rsid w:val="002F6A02"/>
    <w:rsid w:val="00304454"/>
    <w:rsid w:val="00320536"/>
    <w:rsid w:val="00320C58"/>
    <w:rsid w:val="0032244D"/>
    <w:rsid w:val="00331A49"/>
    <w:rsid w:val="00356EDD"/>
    <w:rsid w:val="003578A8"/>
    <w:rsid w:val="00360C5E"/>
    <w:rsid w:val="00366F4C"/>
    <w:rsid w:val="003673BD"/>
    <w:rsid w:val="003675AC"/>
    <w:rsid w:val="00373B75"/>
    <w:rsid w:val="003808AC"/>
    <w:rsid w:val="00381987"/>
    <w:rsid w:val="00385704"/>
    <w:rsid w:val="003A1662"/>
    <w:rsid w:val="003C12DB"/>
    <w:rsid w:val="003C4A53"/>
    <w:rsid w:val="003D4C03"/>
    <w:rsid w:val="00414EE6"/>
    <w:rsid w:val="00423A44"/>
    <w:rsid w:val="0042708D"/>
    <w:rsid w:val="0045146D"/>
    <w:rsid w:val="004625CA"/>
    <w:rsid w:val="00464BEC"/>
    <w:rsid w:val="00482A24"/>
    <w:rsid w:val="004A2C82"/>
    <w:rsid w:val="004D0B56"/>
    <w:rsid w:val="004D1B87"/>
    <w:rsid w:val="004D2A0C"/>
    <w:rsid w:val="004D69EF"/>
    <w:rsid w:val="004E41F9"/>
    <w:rsid w:val="004E6057"/>
    <w:rsid w:val="004E64A8"/>
    <w:rsid w:val="005171E2"/>
    <w:rsid w:val="00522D2C"/>
    <w:rsid w:val="0052672E"/>
    <w:rsid w:val="0054666B"/>
    <w:rsid w:val="0056337D"/>
    <w:rsid w:val="0058249E"/>
    <w:rsid w:val="00591370"/>
    <w:rsid w:val="005A2C11"/>
    <w:rsid w:val="005B51E0"/>
    <w:rsid w:val="005C07F2"/>
    <w:rsid w:val="005D16F0"/>
    <w:rsid w:val="005D28DE"/>
    <w:rsid w:val="005F0D30"/>
    <w:rsid w:val="005F3825"/>
    <w:rsid w:val="005F3DF7"/>
    <w:rsid w:val="005F413E"/>
    <w:rsid w:val="005F5720"/>
    <w:rsid w:val="00610FD7"/>
    <w:rsid w:val="00627AE5"/>
    <w:rsid w:val="00630A66"/>
    <w:rsid w:val="006331A5"/>
    <w:rsid w:val="00634A37"/>
    <w:rsid w:val="006408BE"/>
    <w:rsid w:val="006425CE"/>
    <w:rsid w:val="006468F8"/>
    <w:rsid w:val="006539B1"/>
    <w:rsid w:val="00653FDC"/>
    <w:rsid w:val="00676C89"/>
    <w:rsid w:val="0068087E"/>
    <w:rsid w:val="00681D90"/>
    <w:rsid w:val="0068316B"/>
    <w:rsid w:val="006A1354"/>
    <w:rsid w:val="006A692E"/>
    <w:rsid w:val="006B5BBA"/>
    <w:rsid w:val="006C267B"/>
    <w:rsid w:val="006D1AB5"/>
    <w:rsid w:val="006D43E7"/>
    <w:rsid w:val="006E4C97"/>
    <w:rsid w:val="006F74E6"/>
    <w:rsid w:val="007072B2"/>
    <w:rsid w:val="007364F0"/>
    <w:rsid w:val="007402EC"/>
    <w:rsid w:val="00742166"/>
    <w:rsid w:val="0075391C"/>
    <w:rsid w:val="00762825"/>
    <w:rsid w:val="00780261"/>
    <w:rsid w:val="0078363F"/>
    <w:rsid w:val="007858BD"/>
    <w:rsid w:val="007D21CF"/>
    <w:rsid w:val="007E6992"/>
    <w:rsid w:val="00805541"/>
    <w:rsid w:val="00810B28"/>
    <w:rsid w:val="00817E64"/>
    <w:rsid w:val="00821264"/>
    <w:rsid w:val="0082625F"/>
    <w:rsid w:val="00830251"/>
    <w:rsid w:val="00830C33"/>
    <w:rsid w:val="00847337"/>
    <w:rsid w:val="00861F91"/>
    <w:rsid w:val="00870406"/>
    <w:rsid w:val="008717D5"/>
    <w:rsid w:val="00872E90"/>
    <w:rsid w:val="00872FD3"/>
    <w:rsid w:val="008743F9"/>
    <w:rsid w:val="00884403"/>
    <w:rsid w:val="00886CD1"/>
    <w:rsid w:val="00891952"/>
    <w:rsid w:val="008B0FBF"/>
    <w:rsid w:val="008B1832"/>
    <w:rsid w:val="008B7DE3"/>
    <w:rsid w:val="008E1134"/>
    <w:rsid w:val="008E7C57"/>
    <w:rsid w:val="00906804"/>
    <w:rsid w:val="00907D49"/>
    <w:rsid w:val="00934BF5"/>
    <w:rsid w:val="00947BBA"/>
    <w:rsid w:val="00961F3B"/>
    <w:rsid w:val="00970AFE"/>
    <w:rsid w:val="0097442A"/>
    <w:rsid w:val="009845DD"/>
    <w:rsid w:val="009908D0"/>
    <w:rsid w:val="009B634F"/>
    <w:rsid w:val="009C7BD3"/>
    <w:rsid w:val="009D0A8F"/>
    <w:rsid w:val="00A00C96"/>
    <w:rsid w:val="00A3426B"/>
    <w:rsid w:val="00A46C24"/>
    <w:rsid w:val="00A51782"/>
    <w:rsid w:val="00A92880"/>
    <w:rsid w:val="00A96038"/>
    <w:rsid w:val="00AA1435"/>
    <w:rsid w:val="00AA33C8"/>
    <w:rsid w:val="00AA5E5E"/>
    <w:rsid w:val="00AC2571"/>
    <w:rsid w:val="00AC4BC3"/>
    <w:rsid w:val="00AD2ECB"/>
    <w:rsid w:val="00AE7AAA"/>
    <w:rsid w:val="00B13FB3"/>
    <w:rsid w:val="00B16ABF"/>
    <w:rsid w:val="00B17B31"/>
    <w:rsid w:val="00B23EB5"/>
    <w:rsid w:val="00B25B93"/>
    <w:rsid w:val="00B324FC"/>
    <w:rsid w:val="00B46998"/>
    <w:rsid w:val="00B5727D"/>
    <w:rsid w:val="00B7629C"/>
    <w:rsid w:val="00B81851"/>
    <w:rsid w:val="00B83688"/>
    <w:rsid w:val="00BA13C1"/>
    <w:rsid w:val="00BA14A5"/>
    <w:rsid w:val="00BA4F94"/>
    <w:rsid w:val="00BA7B9B"/>
    <w:rsid w:val="00BB5406"/>
    <w:rsid w:val="00BE466A"/>
    <w:rsid w:val="00BE5B1F"/>
    <w:rsid w:val="00BE67B5"/>
    <w:rsid w:val="00BF33CA"/>
    <w:rsid w:val="00BF3DDA"/>
    <w:rsid w:val="00C00AB6"/>
    <w:rsid w:val="00C05903"/>
    <w:rsid w:val="00C14BF2"/>
    <w:rsid w:val="00C16D79"/>
    <w:rsid w:val="00C27ADA"/>
    <w:rsid w:val="00C31AA8"/>
    <w:rsid w:val="00C3248B"/>
    <w:rsid w:val="00C4641C"/>
    <w:rsid w:val="00C6078B"/>
    <w:rsid w:val="00C63FD1"/>
    <w:rsid w:val="00C6533D"/>
    <w:rsid w:val="00C82CD4"/>
    <w:rsid w:val="00C86B00"/>
    <w:rsid w:val="00C87C6A"/>
    <w:rsid w:val="00CA713F"/>
    <w:rsid w:val="00CB0D46"/>
    <w:rsid w:val="00CB23DD"/>
    <w:rsid w:val="00CB3CE1"/>
    <w:rsid w:val="00CC0D92"/>
    <w:rsid w:val="00CC22F1"/>
    <w:rsid w:val="00CC5BF8"/>
    <w:rsid w:val="00CD3AAD"/>
    <w:rsid w:val="00CE7C86"/>
    <w:rsid w:val="00CF263E"/>
    <w:rsid w:val="00D21166"/>
    <w:rsid w:val="00D246D5"/>
    <w:rsid w:val="00D30101"/>
    <w:rsid w:val="00D33767"/>
    <w:rsid w:val="00D42B75"/>
    <w:rsid w:val="00DA0EBE"/>
    <w:rsid w:val="00DB71E7"/>
    <w:rsid w:val="00DC1C17"/>
    <w:rsid w:val="00DC2536"/>
    <w:rsid w:val="00DE2A73"/>
    <w:rsid w:val="00DE5B86"/>
    <w:rsid w:val="00E201D1"/>
    <w:rsid w:val="00E50935"/>
    <w:rsid w:val="00E65AEF"/>
    <w:rsid w:val="00E70CB9"/>
    <w:rsid w:val="00E77F17"/>
    <w:rsid w:val="00E816DC"/>
    <w:rsid w:val="00E81AEF"/>
    <w:rsid w:val="00E909C7"/>
    <w:rsid w:val="00E94038"/>
    <w:rsid w:val="00EA2DBA"/>
    <w:rsid w:val="00EA35E6"/>
    <w:rsid w:val="00EB2669"/>
    <w:rsid w:val="00EB63B4"/>
    <w:rsid w:val="00EC05D5"/>
    <w:rsid w:val="00EC7194"/>
    <w:rsid w:val="00ED1234"/>
    <w:rsid w:val="00ED3201"/>
    <w:rsid w:val="00EE16D3"/>
    <w:rsid w:val="00EE439C"/>
    <w:rsid w:val="00F1474B"/>
    <w:rsid w:val="00F42BD3"/>
    <w:rsid w:val="00F44FAA"/>
    <w:rsid w:val="00F70648"/>
    <w:rsid w:val="00F707FB"/>
    <w:rsid w:val="00F70C44"/>
    <w:rsid w:val="00FA3093"/>
    <w:rsid w:val="00FC3AB2"/>
    <w:rsid w:val="00FC7771"/>
    <w:rsid w:val="00FE7DCA"/>
    <w:rsid w:val="00FF18F4"/>
    <w:rsid w:val="00FF27AE"/>
    <w:rsid w:val="00FF6B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B79E"/>
  <w15:chartTrackingRefBased/>
  <w15:docId w15:val="{810138CA-20AA-4D18-A254-84403924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33C8"/>
    <w:pPr>
      <w:tabs>
        <w:tab w:val="center" w:pos="4419"/>
        <w:tab w:val="right" w:pos="8838"/>
      </w:tabs>
    </w:pPr>
  </w:style>
  <w:style w:type="character" w:customStyle="1" w:styleId="EncabezadoCar">
    <w:name w:val="Encabezado Car"/>
    <w:basedOn w:val="Fuentedeprrafopredeter"/>
    <w:link w:val="Encabezado"/>
    <w:uiPriority w:val="99"/>
    <w:rsid w:val="00AA33C8"/>
  </w:style>
  <w:style w:type="paragraph" w:styleId="Piedepgina">
    <w:name w:val="footer"/>
    <w:basedOn w:val="Normal"/>
    <w:link w:val="PiedepginaCar"/>
    <w:uiPriority w:val="99"/>
    <w:unhideWhenUsed/>
    <w:rsid w:val="00AA33C8"/>
    <w:pPr>
      <w:tabs>
        <w:tab w:val="center" w:pos="4419"/>
        <w:tab w:val="right" w:pos="8838"/>
      </w:tabs>
    </w:pPr>
  </w:style>
  <w:style w:type="character" w:customStyle="1" w:styleId="PiedepginaCar">
    <w:name w:val="Pie de página Car"/>
    <w:basedOn w:val="Fuentedeprrafopredeter"/>
    <w:link w:val="Piedepgina"/>
    <w:uiPriority w:val="99"/>
    <w:rsid w:val="00AA33C8"/>
  </w:style>
  <w:style w:type="paragraph" w:styleId="Sinespaciado">
    <w:name w:val="No Spacing"/>
    <w:aliases w:val="C. Extensa,CITA 1"/>
    <w:link w:val="SinespaciadoCar"/>
    <w:uiPriority w:val="1"/>
    <w:qFormat/>
    <w:rsid w:val="00ED3201"/>
    <w:pPr>
      <w:jc w:val="left"/>
    </w:pPr>
    <w:rPr>
      <w:rFonts w:ascii="Calibri" w:eastAsia="SimSun" w:hAnsi="Calibri" w:cs="Times New Roman"/>
      <w:sz w:val="22"/>
      <w:szCs w:val="22"/>
    </w:rPr>
  </w:style>
  <w:style w:type="character" w:customStyle="1" w:styleId="SinespaciadoCar">
    <w:name w:val="Sin espaciado Car"/>
    <w:aliases w:val="C. Extensa Car,CITA 1 Car"/>
    <w:link w:val="Sinespaciado"/>
    <w:uiPriority w:val="1"/>
    <w:locked/>
    <w:rsid w:val="00ED3201"/>
    <w:rPr>
      <w:rFonts w:ascii="Calibri" w:eastAsia="SimSun" w:hAnsi="Calibri" w:cs="Times New Roman"/>
      <w:sz w:val="22"/>
      <w:szCs w:val="22"/>
    </w:rPr>
  </w:style>
  <w:style w:type="paragraph" w:customStyle="1" w:styleId="Sinespaciado1">
    <w:name w:val="Sin espaciado1"/>
    <w:link w:val="NoSpacingChar"/>
    <w:qFormat/>
    <w:rsid w:val="00ED3201"/>
    <w:pPr>
      <w:jc w:val="left"/>
    </w:pPr>
    <w:rPr>
      <w:rFonts w:ascii="Times New Roman" w:eastAsia="Times New Roman" w:hAnsi="Times New Roman" w:cs="Times New Roman"/>
      <w:sz w:val="24"/>
      <w:szCs w:val="24"/>
      <w:lang w:eastAsia="es-ES"/>
    </w:rPr>
  </w:style>
  <w:style w:type="character" w:customStyle="1" w:styleId="NoSpacingChar">
    <w:name w:val="No Spacing Char"/>
    <w:link w:val="Sinespaciado1"/>
    <w:locked/>
    <w:rsid w:val="00ED3201"/>
    <w:rPr>
      <w:rFonts w:ascii="Times New Roman" w:eastAsia="Times New Roman" w:hAnsi="Times New Roman" w:cs="Times New Roman"/>
      <w:sz w:val="24"/>
      <w:szCs w:val="24"/>
      <w:lang w:eastAsia="es-ES"/>
    </w:rPr>
  </w:style>
  <w:style w:type="paragraph" w:styleId="Textosinformato">
    <w:name w:val="Plain Text"/>
    <w:basedOn w:val="Normal"/>
    <w:link w:val="TextosinformatoCar"/>
    <w:qFormat/>
    <w:rsid w:val="005F3DF7"/>
    <w:pPr>
      <w:jc w:val="left"/>
    </w:pPr>
    <w:rPr>
      <w:rFonts w:ascii="Courier New" w:eastAsia="Times New Roman" w:hAnsi="Courier New" w:cs="Times New Roman"/>
      <w:lang w:val="es-ES" w:eastAsia="es-ES"/>
    </w:rPr>
  </w:style>
  <w:style w:type="character" w:customStyle="1" w:styleId="TextosinformatoCar">
    <w:name w:val="Texto sin formato Car"/>
    <w:basedOn w:val="Fuentedeprrafopredeter"/>
    <w:link w:val="Textosinformato"/>
    <w:qFormat/>
    <w:rsid w:val="005F3DF7"/>
    <w:rPr>
      <w:rFonts w:ascii="Courier New" w:eastAsia="Times New Roman" w:hAnsi="Courier New" w:cs="Times New Roman"/>
      <w:lang w:val="es-ES"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unhideWhenUsed/>
    <w:qFormat/>
    <w:rsid w:val="006A692E"/>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6A692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basedOn w:val="Fuentedeprrafopredeter"/>
    <w:link w:val="4GChar"/>
    <w:uiPriority w:val="99"/>
    <w:unhideWhenUsed/>
    <w:qFormat/>
    <w:rsid w:val="006A692E"/>
    <w:rPr>
      <w:vertAlign w:val="superscript"/>
    </w:rPr>
  </w:style>
  <w:style w:type="paragraph" w:styleId="Prrafodelista">
    <w:name w:val="List Paragraph"/>
    <w:basedOn w:val="Normal"/>
    <w:uiPriority w:val="34"/>
    <w:qFormat/>
    <w:rsid w:val="004E64A8"/>
    <w:pPr>
      <w:ind w:left="720"/>
      <w:contextualSpacing/>
    </w:pPr>
  </w:style>
  <w:style w:type="character" w:styleId="Refdecomentario">
    <w:name w:val="annotation reference"/>
    <w:basedOn w:val="Fuentedeprrafopredeter"/>
    <w:uiPriority w:val="99"/>
    <w:semiHidden/>
    <w:unhideWhenUsed/>
    <w:rsid w:val="000F4ABC"/>
    <w:rPr>
      <w:sz w:val="16"/>
      <w:szCs w:val="16"/>
    </w:rPr>
  </w:style>
  <w:style w:type="paragraph" w:styleId="Textocomentario">
    <w:name w:val="annotation text"/>
    <w:basedOn w:val="Normal"/>
    <w:link w:val="TextocomentarioCar"/>
    <w:uiPriority w:val="99"/>
    <w:semiHidden/>
    <w:unhideWhenUsed/>
    <w:rsid w:val="000F4ABC"/>
  </w:style>
  <w:style w:type="character" w:customStyle="1" w:styleId="TextocomentarioCar">
    <w:name w:val="Texto comentario Car"/>
    <w:basedOn w:val="Fuentedeprrafopredeter"/>
    <w:link w:val="Textocomentario"/>
    <w:uiPriority w:val="99"/>
    <w:semiHidden/>
    <w:rsid w:val="000F4ABC"/>
  </w:style>
  <w:style w:type="paragraph" w:styleId="Asuntodelcomentario">
    <w:name w:val="annotation subject"/>
    <w:basedOn w:val="Textocomentario"/>
    <w:next w:val="Textocomentario"/>
    <w:link w:val="AsuntodelcomentarioCar"/>
    <w:uiPriority w:val="99"/>
    <w:semiHidden/>
    <w:unhideWhenUsed/>
    <w:rsid w:val="000F4ABC"/>
    <w:rPr>
      <w:b/>
      <w:bCs/>
    </w:rPr>
  </w:style>
  <w:style w:type="character" w:customStyle="1" w:styleId="AsuntodelcomentarioCar">
    <w:name w:val="Asunto del comentario Car"/>
    <w:basedOn w:val="TextocomentarioCar"/>
    <w:link w:val="Asuntodelcomentario"/>
    <w:uiPriority w:val="99"/>
    <w:semiHidden/>
    <w:rsid w:val="000F4ABC"/>
    <w:rPr>
      <w:b/>
      <w:bCs/>
    </w:rPr>
  </w:style>
  <w:style w:type="paragraph" w:styleId="Textodeglobo">
    <w:name w:val="Balloon Text"/>
    <w:basedOn w:val="Normal"/>
    <w:link w:val="TextodegloboCar"/>
    <w:uiPriority w:val="99"/>
    <w:semiHidden/>
    <w:unhideWhenUsed/>
    <w:rsid w:val="000F4A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4ABC"/>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F0D30"/>
    <w:rPr>
      <w:vertAlign w:val="superscript"/>
    </w:rPr>
  </w:style>
  <w:style w:type="table" w:styleId="Tablaconcuadrcula">
    <w:name w:val="Table Grid"/>
    <w:basedOn w:val="Tablanormal"/>
    <w:uiPriority w:val="39"/>
    <w:rsid w:val="00DE5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
    <w:qFormat/>
    <w:locked/>
    <w:rsid w:val="00182E40"/>
    <w:rPr>
      <w:rFonts w:ascii="Times New Roman" w:eastAsia="Times New Roman" w:hAnsi="Times New Roman"/>
      <w:lang w:val="zh-CN"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4AFF1-B9A9-4E14-A510-A184FB26A5E7}">
  <ds:schemaRefs>
    <ds:schemaRef ds:uri="http://schemas.microsoft.com/sharepoint/v3/contenttype/forms"/>
  </ds:schemaRefs>
</ds:datastoreItem>
</file>

<file path=customXml/itemProps2.xml><?xml version="1.0" encoding="utf-8"?>
<ds:datastoreItem xmlns:ds="http://schemas.openxmlformats.org/officeDocument/2006/customXml" ds:itemID="{21168A0C-B535-44D3-9D07-44BED8B0F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289A5-182F-413B-BF30-C3B5A5EA2CE1}">
  <ds:schemaRefs>
    <ds:schemaRef ds:uri="http://schemas.openxmlformats.org/officeDocument/2006/bibliography"/>
  </ds:schemaRefs>
</ds:datastoreItem>
</file>

<file path=customXml/itemProps4.xml><?xml version="1.0" encoding="utf-8"?>
<ds:datastoreItem xmlns:ds="http://schemas.openxmlformats.org/officeDocument/2006/customXml" ds:itemID="{564988C3-746B-466C-8601-7F594C18D9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3788</Words>
  <Characters>20838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2</cp:revision>
  <dcterms:created xsi:type="dcterms:W3CDTF">2021-10-11T14:49:00Z</dcterms:created>
  <dcterms:modified xsi:type="dcterms:W3CDTF">2021-10-11T14:49:00Z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