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FEF2" w14:textId="77777777" w:rsidR="006B0AC2" w:rsidRPr="006B0AC2" w:rsidRDefault="006B0AC2" w:rsidP="00B209C4">
      <w:pPr>
        <w:tabs>
          <w:tab w:val="left" w:pos="8505"/>
        </w:tabs>
        <w:jc w:val="center"/>
        <w:rPr>
          <w:b/>
          <w:sz w:val="24"/>
          <w:szCs w:val="24"/>
        </w:rPr>
      </w:pPr>
      <w:r w:rsidRPr="006B0AC2">
        <w:rPr>
          <w:b/>
          <w:sz w:val="24"/>
          <w:szCs w:val="24"/>
        </w:rPr>
        <w:t>Consejero Ponente: NICOLÁS YEPES CORRALES</w:t>
      </w:r>
    </w:p>
    <w:p w14:paraId="2A676AA6" w14:textId="77777777" w:rsidR="006B0AC2" w:rsidRPr="006B0AC2" w:rsidRDefault="006B0AC2" w:rsidP="00E86DEF">
      <w:pPr>
        <w:spacing w:line="360" w:lineRule="auto"/>
        <w:rPr>
          <w:sz w:val="24"/>
          <w:szCs w:val="24"/>
        </w:rPr>
      </w:pPr>
    </w:p>
    <w:p w14:paraId="5C7328F6" w14:textId="14241B97" w:rsidR="001A40E4" w:rsidRPr="006B0AC2" w:rsidRDefault="006B0AC2" w:rsidP="00E86DEF">
      <w:pPr>
        <w:tabs>
          <w:tab w:val="left" w:pos="2070"/>
        </w:tabs>
        <w:spacing w:line="360" w:lineRule="auto"/>
        <w:rPr>
          <w:sz w:val="24"/>
          <w:szCs w:val="24"/>
        </w:rPr>
      </w:pPr>
      <w:r w:rsidRPr="006B0AC2">
        <w:rPr>
          <w:sz w:val="24"/>
          <w:szCs w:val="24"/>
        </w:rPr>
        <w:t xml:space="preserve">Bogotá D.C., </w:t>
      </w:r>
      <w:r w:rsidR="00BC1304">
        <w:rPr>
          <w:sz w:val="24"/>
          <w:szCs w:val="24"/>
        </w:rPr>
        <w:t>diecisiete</w:t>
      </w:r>
      <w:r w:rsidRPr="006B0AC2">
        <w:rPr>
          <w:sz w:val="24"/>
          <w:szCs w:val="24"/>
        </w:rPr>
        <w:t xml:space="preserve"> (</w:t>
      </w:r>
      <w:r w:rsidR="00BC1304">
        <w:rPr>
          <w:sz w:val="24"/>
          <w:szCs w:val="24"/>
        </w:rPr>
        <w:t>17</w:t>
      </w:r>
      <w:r w:rsidRPr="006B0AC2">
        <w:rPr>
          <w:sz w:val="24"/>
          <w:szCs w:val="24"/>
        </w:rPr>
        <w:t xml:space="preserve">) de </w:t>
      </w:r>
      <w:r w:rsidR="00BC1304">
        <w:rPr>
          <w:sz w:val="24"/>
          <w:szCs w:val="24"/>
        </w:rPr>
        <w:t>septiembre</w:t>
      </w:r>
      <w:r w:rsidR="0086725C">
        <w:rPr>
          <w:sz w:val="24"/>
          <w:szCs w:val="24"/>
        </w:rPr>
        <w:t xml:space="preserve"> </w:t>
      </w:r>
      <w:r w:rsidRPr="006B0AC2">
        <w:rPr>
          <w:sz w:val="24"/>
          <w:szCs w:val="24"/>
        </w:rPr>
        <w:t>de dos mil veintiuno (</w:t>
      </w:r>
      <w:r w:rsidR="004551B5">
        <w:rPr>
          <w:sz w:val="24"/>
          <w:szCs w:val="24"/>
        </w:rPr>
        <w:t>20</w:t>
      </w:r>
      <w:r w:rsidRPr="006B0AC2">
        <w:rPr>
          <w:sz w:val="24"/>
          <w:szCs w:val="24"/>
        </w:rPr>
        <w:t>21)</w:t>
      </w:r>
    </w:p>
    <w:p w14:paraId="48F74A38" w14:textId="77777777" w:rsidR="006B0AC2" w:rsidRPr="006B0AC2" w:rsidRDefault="006B0AC2" w:rsidP="00E86DEF">
      <w:pPr>
        <w:tabs>
          <w:tab w:val="left" w:pos="2070"/>
        </w:tabs>
        <w:spacing w:line="360" w:lineRule="auto"/>
        <w:rPr>
          <w:sz w:val="24"/>
          <w:szCs w:val="24"/>
        </w:rPr>
      </w:pPr>
    </w:p>
    <w:p w14:paraId="51E732EA" w14:textId="4C97561E" w:rsidR="006B0AC2" w:rsidRPr="006B0AC2" w:rsidRDefault="006B0AC2" w:rsidP="00E86DEF">
      <w:pPr>
        <w:tabs>
          <w:tab w:val="left" w:pos="2070"/>
        </w:tabs>
        <w:spacing w:line="276" w:lineRule="auto"/>
        <w:rPr>
          <w:sz w:val="24"/>
          <w:szCs w:val="24"/>
        </w:rPr>
      </w:pPr>
      <w:r w:rsidRPr="006B0AC2">
        <w:rPr>
          <w:b/>
          <w:sz w:val="24"/>
          <w:szCs w:val="24"/>
        </w:rPr>
        <w:t>Radicación</w:t>
      </w:r>
      <w:r w:rsidRPr="0086725C">
        <w:rPr>
          <w:sz w:val="24"/>
          <w:szCs w:val="24"/>
        </w:rPr>
        <w:t>:</w:t>
      </w:r>
      <w:r w:rsidRPr="006B0AC2">
        <w:rPr>
          <w:sz w:val="24"/>
          <w:szCs w:val="24"/>
        </w:rPr>
        <w:t xml:space="preserve"> </w:t>
      </w:r>
      <w:r w:rsidR="0086725C" w:rsidRPr="0086725C">
        <w:rPr>
          <w:sz w:val="24"/>
          <w:szCs w:val="24"/>
        </w:rPr>
        <w:t>11001-03-15-000-2021-04693</w:t>
      </w:r>
      <w:r w:rsidRPr="006B0AC2">
        <w:rPr>
          <w:sz w:val="24"/>
          <w:szCs w:val="24"/>
        </w:rPr>
        <w:t xml:space="preserve">-00 </w:t>
      </w:r>
    </w:p>
    <w:p w14:paraId="2D991C6B" w14:textId="539ADA96" w:rsidR="006B0AC2" w:rsidRPr="006B0AC2" w:rsidRDefault="006B0AC2" w:rsidP="00E86DEF">
      <w:pPr>
        <w:tabs>
          <w:tab w:val="left" w:pos="2070"/>
        </w:tabs>
        <w:spacing w:line="276" w:lineRule="auto"/>
        <w:rPr>
          <w:sz w:val="24"/>
          <w:szCs w:val="24"/>
        </w:rPr>
      </w:pPr>
      <w:r w:rsidRPr="006B0AC2">
        <w:rPr>
          <w:b/>
          <w:sz w:val="24"/>
          <w:szCs w:val="24"/>
        </w:rPr>
        <w:t>Accionante</w:t>
      </w:r>
      <w:r w:rsidRPr="0086725C">
        <w:rPr>
          <w:sz w:val="24"/>
          <w:szCs w:val="24"/>
        </w:rPr>
        <w:t>:</w:t>
      </w:r>
      <w:r w:rsidRPr="006B0AC2">
        <w:rPr>
          <w:sz w:val="24"/>
          <w:szCs w:val="24"/>
        </w:rPr>
        <w:t xml:space="preserve"> </w:t>
      </w:r>
      <w:r w:rsidR="0086725C" w:rsidRPr="0086725C">
        <w:rPr>
          <w:sz w:val="24"/>
          <w:szCs w:val="24"/>
        </w:rPr>
        <w:t xml:space="preserve">Alberto </w:t>
      </w:r>
      <w:proofErr w:type="spellStart"/>
      <w:r w:rsidR="0086725C" w:rsidRPr="0086725C">
        <w:rPr>
          <w:sz w:val="24"/>
          <w:szCs w:val="24"/>
        </w:rPr>
        <w:t>Ravachi</w:t>
      </w:r>
      <w:proofErr w:type="spellEnd"/>
      <w:r w:rsidR="0086725C" w:rsidRPr="0086725C">
        <w:rPr>
          <w:sz w:val="24"/>
          <w:szCs w:val="24"/>
        </w:rPr>
        <w:t xml:space="preserve"> Dávila</w:t>
      </w:r>
    </w:p>
    <w:p w14:paraId="65E3ED71" w14:textId="79D4F406" w:rsidR="006B0AC2" w:rsidRPr="006B0AC2" w:rsidRDefault="006B0AC2" w:rsidP="00E86DEF">
      <w:pPr>
        <w:tabs>
          <w:tab w:val="left" w:pos="2070"/>
        </w:tabs>
        <w:spacing w:line="276" w:lineRule="auto"/>
        <w:rPr>
          <w:sz w:val="24"/>
          <w:szCs w:val="24"/>
        </w:rPr>
      </w:pPr>
      <w:r w:rsidRPr="006B0AC2">
        <w:rPr>
          <w:b/>
          <w:sz w:val="24"/>
          <w:szCs w:val="24"/>
        </w:rPr>
        <w:t>Accionado</w:t>
      </w:r>
      <w:r w:rsidRPr="0086725C">
        <w:rPr>
          <w:sz w:val="24"/>
          <w:szCs w:val="24"/>
        </w:rPr>
        <w:t>:</w:t>
      </w:r>
      <w:r w:rsidRPr="006B0AC2">
        <w:rPr>
          <w:sz w:val="24"/>
          <w:szCs w:val="24"/>
        </w:rPr>
        <w:t xml:space="preserve"> </w:t>
      </w:r>
      <w:r w:rsidR="0086725C" w:rsidRPr="0086725C">
        <w:rPr>
          <w:sz w:val="24"/>
          <w:szCs w:val="24"/>
        </w:rPr>
        <w:t>Tribunal Administrativo del Atlántico</w:t>
      </w:r>
    </w:p>
    <w:p w14:paraId="7418E735" w14:textId="5D258696" w:rsidR="006B0AC2" w:rsidRDefault="006B0AC2" w:rsidP="00E86DEF">
      <w:pPr>
        <w:tabs>
          <w:tab w:val="left" w:pos="2070"/>
        </w:tabs>
        <w:spacing w:line="276" w:lineRule="auto"/>
        <w:rPr>
          <w:sz w:val="24"/>
          <w:szCs w:val="24"/>
        </w:rPr>
      </w:pPr>
      <w:r w:rsidRPr="006B0AC2">
        <w:rPr>
          <w:b/>
          <w:sz w:val="24"/>
          <w:szCs w:val="24"/>
        </w:rPr>
        <w:t>Asunto:</w:t>
      </w:r>
      <w:r w:rsidRPr="006B0AC2">
        <w:rPr>
          <w:sz w:val="24"/>
          <w:szCs w:val="24"/>
        </w:rPr>
        <w:t xml:space="preserve"> Acción de tutela –</w:t>
      </w:r>
      <w:r w:rsidR="00E86DEF">
        <w:rPr>
          <w:sz w:val="24"/>
          <w:szCs w:val="24"/>
        </w:rPr>
        <w:t xml:space="preserve"> Sentencia de primera i</w:t>
      </w:r>
      <w:r w:rsidR="0031180F">
        <w:rPr>
          <w:sz w:val="24"/>
          <w:szCs w:val="24"/>
        </w:rPr>
        <w:t xml:space="preserve">nstancia </w:t>
      </w:r>
    </w:p>
    <w:p w14:paraId="2B2EBA0F" w14:textId="77777777" w:rsidR="00E86DEF" w:rsidRDefault="00E86DEF" w:rsidP="00E86DEF">
      <w:pPr>
        <w:tabs>
          <w:tab w:val="left" w:pos="2070"/>
        </w:tabs>
        <w:spacing w:line="360" w:lineRule="auto"/>
        <w:rPr>
          <w:sz w:val="24"/>
          <w:szCs w:val="24"/>
        </w:rPr>
      </w:pPr>
    </w:p>
    <w:p w14:paraId="59353419" w14:textId="225A8628" w:rsidR="00E86DEF" w:rsidRPr="00F77F71" w:rsidRDefault="004551B5" w:rsidP="004551B5">
      <w:pPr>
        <w:ind w:right="49"/>
        <w:rPr>
          <w:rFonts w:cs="Arial"/>
        </w:rPr>
      </w:pPr>
      <w:r w:rsidRPr="00F77F71">
        <w:rPr>
          <w:rFonts w:cs="Arial"/>
          <w:b/>
          <w:bCs/>
          <w:color w:val="000000"/>
        </w:rPr>
        <w:t xml:space="preserve">Tema: </w:t>
      </w:r>
      <w:r w:rsidRPr="00F77F71">
        <w:rPr>
          <w:rFonts w:cs="Arial"/>
          <w:bCs/>
          <w:color w:val="000000"/>
        </w:rPr>
        <w:t xml:space="preserve">Acción de tutela en contra de providencia judicial. </w:t>
      </w:r>
      <w:r w:rsidRPr="00F77F71">
        <w:rPr>
          <w:rFonts w:cs="Arial"/>
          <w:b/>
          <w:bCs/>
          <w:color w:val="000000"/>
        </w:rPr>
        <w:t xml:space="preserve">Subtema: </w:t>
      </w:r>
      <w:r w:rsidRPr="00F77F71">
        <w:rPr>
          <w:rFonts w:cs="Arial"/>
          <w:bCs/>
          <w:color w:val="000000"/>
        </w:rPr>
        <w:t xml:space="preserve">Requisitos generales o de habilitación de la acción de tutela en contra de providencias judiciales </w:t>
      </w:r>
      <w:r w:rsidRPr="00F77F71">
        <w:rPr>
          <w:rFonts w:eastAsia="Times New Roman" w:cs="Arial"/>
          <w:lang w:eastAsia="es-ES"/>
        </w:rPr>
        <w:t xml:space="preserve">— legitimación en la causa por activa. </w:t>
      </w:r>
      <w:r w:rsidRPr="00F77F71">
        <w:rPr>
          <w:rFonts w:cs="Arial"/>
          <w:b/>
          <w:bCs/>
          <w:color w:val="000000"/>
        </w:rPr>
        <w:t xml:space="preserve">Decisión: </w:t>
      </w:r>
      <w:r w:rsidRPr="00F77F71">
        <w:rPr>
          <w:rFonts w:cs="Arial"/>
          <w:color w:val="000000"/>
        </w:rPr>
        <w:t>Se declara improcedente la</w:t>
      </w:r>
      <w:r w:rsidRPr="00F77F71">
        <w:rPr>
          <w:rFonts w:cs="Arial"/>
          <w:b/>
          <w:bCs/>
          <w:color w:val="000000"/>
        </w:rPr>
        <w:t xml:space="preserve"> </w:t>
      </w:r>
      <w:r w:rsidRPr="00F77F71">
        <w:rPr>
          <w:rFonts w:cs="Arial"/>
        </w:rPr>
        <w:t>solicitud de amparo por no haberse logrado acreditar la legitimación en la causa por activa.</w:t>
      </w:r>
    </w:p>
    <w:p w14:paraId="3AA4A405" w14:textId="77777777" w:rsidR="00E86DEF" w:rsidRDefault="00E86DEF" w:rsidP="00E86DEF">
      <w:pPr>
        <w:tabs>
          <w:tab w:val="left" w:pos="2070"/>
        </w:tabs>
        <w:spacing w:line="360" w:lineRule="auto"/>
        <w:rPr>
          <w:sz w:val="24"/>
          <w:szCs w:val="24"/>
        </w:rPr>
      </w:pPr>
    </w:p>
    <w:p w14:paraId="085D8AF0" w14:textId="07B0B66E" w:rsidR="00E86DEF" w:rsidRDefault="00E86DEF" w:rsidP="00E86DEF">
      <w:pPr>
        <w:tabs>
          <w:tab w:val="left" w:pos="2070"/>
        </w:tabs>
        <w:spacing w:line="360" w:lineRule="auto"/>
        <w:rPr>
          <w:sz w:val="24"/>
          <w:szCs w:val="24"/>
        </w:rPr>
      </w:pPr>
      <w:r>
        <w:rPr>
          <w:sz w:val="24"/>
          <w:szCs w:val="24"/>
        </w:rPr>
        <w:t xml:space="preserve">La Sala decide la </w:t>
      </w:r>
      <w:r w:rsidR="00C6319A">
        <w:rPr>
          <w:sz w:val="24"/>
          <w:szCs w:val="24"/>
        </w:rPr>
        <w:t>acción de tutela presentada por</w:t>
      </w:r>
      <w:r w:rsidR="00C6319A" w:rsidRPr="00C6319A">
        <w:rPr>
          <w:sz w:val="24"/>
          <w:szCs w:val="24"/>
        </w:rPr>
        <w:t xml:space="preserve"> Alberto </w:t>
      </w:r>
      <w:proofErr w:type="spellStart"/>
      <w:r w:rsidR="00C6319A" w:rsidRPr="00C6319A">
        <w:rPr>
          <w:sz w:val="24"/>
          <w:szCs w:val="24"/>
        </w:rPr>
        <w:t>Ravachi</w:t>
      </w:r>
      <w:proofErr w:type="spellEnd"/>
      <w:r w:rsidR="00C6319A" w:rsidRPr="00C6319A">
        <w:rPr>
          <w:sz w:val="24"/>
          <w:szCs w:val="24"/>
        </w:rPr>
        <w:t xml:space="preserve"> Dávila, en contra del Tribunal Administrativo del Atlántico</w:t>
      </w:r>
      <w:r>
        <w:rPr>
          <w:sz w:val="24"/>
          <w:szCs w:val="24"/>
        </w:rPr>
        <w:t xml:space="preserve">. </w:t>
      </w:r>
    </w:p>
    <w:p w14:paraId="573DA5F7" w14:textId="77777777" w:rsidR="00F77F71" w:rsidRDefault="00F77F71" w:rsidP="00985D3D">
      <w:pPr>
        <w:tabs>
          <w:tab w:val="left" w:pos="2070"/>
        </w:tabs>
        <w:spacing w:line="360" w:lineRule="auto"/>
        <w:jc w:val="center"/>
        <w:rPr>
          <w:b/>
          <w:sz w:val="24"/>
          <w:szCs w:val="24"/>
        </w:rPr>
      </w:pPr>
    </w:p>
    <w:p w14:paraId="2C8BFB1D" w14:textId="574A44C9" w:rsidR="00985D3D" w:rsidRDefault="00985D3D" w:rsidP="00985D3D">
      <w:pPr>
        <w:tabs>
          <w:tab w:val="left" w:pos="2070"/>
        </w:tabs>
        <w:spacing w:line="360" w:lineRule="auto"/>
        <w:jc w:val="center"/>
        <w:rPr>
          <w:b/>
          <w:sz w:val="24"/>
          <w:szCs w:val="24"/>
        </w:rPr>
      </w:pPr>
      <w:r>
        <w:rPr>
          <w:b/>
          <w:sz w:val="24"/>
          <w:szCs w:val="24"/>
        </w:rPr>
        <w:t>I. ANTECEDENTES</w:t>
      </w:r>
    </w:p>
    <w:p w14:paraId="1FDD4385" w14:textId="77777777" w:rsidR="00985D3D" w:rsidRDefault="00985D3D" w:rsidP="00985D3D">
      <w:pPr>
        <w:tabs>
          <w:tab w:val="left" w:pos="2070"/>
        </w:tabs>
        <w:spacing w:line="360" w:lineRule="auto"/>
        <w:rPr>
          <w:b/>
          <w:sz w:val="24"/>
          <w:szCs w:val="24"/>
        </w:rPr>
      </w:pPr>
    </w:p>
    <w:p w14:paraId="0674121F" w14:textId="55587426" w:rsidR="00985D3D" w:rsidRDefault="00985D3D" w:rsidP="00985D3D">
      <w:pPr>
        <w:tabs>
          <w:tab w:val="left" w:pos="2070"/>
        </w:tabs>
        <w:spacing w:line="360" w:lineRule="auto"/>
        <w:rPr>
          <w:b/>
          <w:sz w:val="24"/>
          <w:szCs w:val="24"/>
        </w:rPr>
      </w:pPr>
      <w:r>
        <w:rPr>
          <w:b/>
          <w:sz w:val="24"/>
          <w:szCs w:val="24"/>
        </w:rPr>
        <w:t xml:space="preserve">1.- La solicitud de tutela </w:t>
      </w:r>
    </w:p>
    <w:p w14:paraId="7EE29419" w14:textId="77777777" w:rsidR="00985D3D" w:rsidRDefault="00985D3D" w:rsidP="00985D3D">
      <w:pPr>
        <w:tabs>
          <w:tab w:val="left" w:pos="2070"/>
        </w:tabs>
        <w:spacing w:line="360" w:lineRule="auto"/>
        <w:rPr>
          <w:b/>
          <w:sz w:val="24"/>
          <w:szCs w:val="24"/>
        </w:rPr>
      </w:pPr>
    </w:p>
    <w:p w14:paraId="7C9B7342" w14:textId="3EFDF069" w:rsidR="00844CB3" w:rsidRDefault="00985D3D" w:rsidP="00985D3D">
      <w:pPr>
        <w:tabs>
          <w:tab w:val="left" w:pos="2070"/>
        </w:tabs>
        <w:spacing w:line="360" w:lineRule="auto"/>
        <w:rPr>
          <w:sz w:val="24"/>
          <w:szCs w:val="24"/>
        </w:rPr>
      </w:pPr>
      <w:r>
        <w:rPr>
          <w:sz w:val="24"/>
          <w:szCs w:val="24"/>
        </w:rPr>
        <w:t xml:space="preserve">El </w:t>
      </w:r>
      <w:r w:rsidR="00CD3D94">
        <w:rPr>
          <w:sz w:val="24"/>
          <w:szCs w:val="24"/>
        </w:rPr>
        <w:t>19 de julio</w:t>
      </w:r>
      <w:r>
        <w:rPr>
          <w:sz w:val="24"/>
          <w:szCs w:val="24"/>
        </w:rPr>
        <w:t xml:space="preserve"> 2021</w:t>
      </w:r>
      <w:r>
        <w:rPr>
          <w:rStyle w:val="Refdenotaalpie"/>
          <w:sz w:val="24"/>
          <w:szCs w:val="24"/>
        </w:rPr>
        <w:footnoteReference w:id="1"/>
      </w:r>
      <w:r>
        <w:rPr>
          <w:sz w:val="24"/>
          <w:szCs w:val="24"/>
        </w:rPr>
        <w:t xml:space="preserve">, </w:t>
      </w:r>
      <w:r w:rsidR="00C92E10">
        <w:rPr>
          <w:sz w:val="24"/>
          <w:szCs w:val="24"/>
        </w:rPr>
        <w:t xml:space="preserve">Nicolás de la Cruz </w:t>
      </w:r>
      <w:proofErr w:type="spellStart"/>
      <w:r w:rsidR="00C92E10">
        <w:rPr>
          <w:sz w:val="24"/>
          <w:szCs w:val="24"/>
        </w:rPr>
        <w:t>Picalú</w:t>
      </w:r>
      <w:r w:rsidR="00815F78">
        <w:rPr>
          <w:sz w:val="24"/>
          <w:szCs w:val="24"/>
        </w:rPr>
        <w:t>a</w:t>
      </w:r>
      <w:proofErr w:type="spellEnd"/>
      <w:r w:rsidR="004551B5">
        <w:rPr>
          <w:sz w:val="24"/>
          <w:szCs w:val="24"/>
        </w:rPr>
        <w:t xml:space="preserve">, quien dijo actuar </w:t>
      </w:r>
      <w:r w:rsidR="004551B5" w:rsidRPr="00E1450D">
        <w:rPr>
          <w:iCs/>
          <w:sz w:val="24"/>
          <w:szCs w:val="24"/>
        </w:rPr>
        <w:t>“</w:t>
      </w:r>
      <w:r w:rsidR="00815F78">
        <w:rPr>
          <w:i/>
          <w:sz w:val="24"/>
          <w:szCs w:val="24"/>
        </w:rPr>
        <w:t>en nombre y representación del s</w:t>
      </w:r>
      <w:r w:rsidR="004551B5" w:rsidRPr="004551B5">
        <w:rPr>
          <w:i/>
          <w:sz w:val="24"/>
          <w:szCs w:val="24"/>
        </w:rPr>
        <w:t xml:space="preserve">eñor </w:t>
      </w:r>
      <w:r w:rsidR="00815F78">
        <w:rPr>
          <w:b/>
          <w:i/>
          <w:sz w:val="24"/>
          <w:szCs w:val="24"/>
        </w:rPr>
        <w:t>ALBERTO RAVACHI DÁVILA</w:t>
      </w:r>
      <w:r w:rsidR="004551B5" w:rsidRPr="00E1450D">
        <w:rPr>
          <w:iCs/>
          <w:sz w:val="24"/>
          <w:szCs w:val="24"/>
        </w:rPr>
        <w:t>”,</w:t>
      </w:r>
      <w:r w:rsidR="00602200">
        <w:rPr>
          <w:iCs/>
          <w:sz w:val="24"/>
          <w:szCs w:val="24"/>
        </w:rPr>
        <w:t xml:space="preserve"> </w:t>
      </w:r>
      <w:r w:rsidR="00602200">
        <w:rPr>
          <w:sz w:val="24"/>
          <w:szCs w:val="24"/>
        </w:rPr>
        <w:t>presentó acción de tutela</w:t>
      </w:r>
      <w:r w:rsidR="00602200">
        <w:rPr>
          <w:rStyle w:val="Refdenotaalpie"/>
          <w:sz w:val="24"/>
          <w:szCs w:val="24"/>
        </w:rPr>
        <w:footnoteReference w:id="2"/>
      </w:r>
      <w:r w:rsidR="00602200">
        <w:rPr>
          <w:sz w:val="24"/>
          <w:szCs w:val="24"/>
        </w:rPr>
        <w:t xml:space="preserve"> </w:t>
      </w:r>
      <w:r w:rsidR="00602200">
        <w:rPr>
          <w:iCs/>
          <w:sz w:val="24"/>
          <w:szCs w:val="24"/>
        </w:rPr>
        <w:t xml:space="preserve">en procura de la protección de </w:t>
      </w:r>
      <w:r w:rsidR="00C92E10">
        <w:rPr>
          <w:sz w:val="24"/>
          <w:szCs w:val="24"/>
        </w:rPr>
        <w:t>los</w:t>
      </w:r>
      <w:r w:rsidR="00602200" w:rsidRPr="00602200">
        <w:rPr>
          <w:sz w:val="24"/>
          <w:szCs w:val="24"/>
        </w:rPr>
        <w:t xml:space="preserve"> derechos fundamentales a la igualdad, al debido proceso, al trabajo y de acceso a la administración de justicia</w:t>
      </w:r>
      <w:r w:rsidR="00844CB3">
        <w:rPr>
          <w:rStyle w:val="Refdenotaalpie"/>
          <w:sz w:val="24"/>
          <w:szCs w:val="24"/>
        </w:rPr>
        <w:footnoteReference w:id="3"/>
      </w:r>
      <w:r w:rsidR="00844CB3">
        <w:rPr>
          <w:sz w:val="24"/>
          <w:szCs w:val="24"/>
        </w:rPr>
        <w:t xml:space="preserve">, que consideró vulnerados </w:t>
      </w:r>
      <w:r w:rsidR="008256F0">
        <w:rPr>
          <w:sz w:val="24"/>
          <w:szCs w:val="24"/>
        </w:rPr>
        <w:t>con</w:t>
      </w:r>
      <w:r w:rsidR="00844CB3">
        <w:rPr>
          <w:sz w:val="24"/>
          <w:szCs w:val="24"/>
        </w:rPr>
        <w:t xml:space="preserve"> </w:t>
      </w:r>
      <w:r w:rsidR="00844CB3" w:rsidRPr="00844CB3">
        <w:rPr>
          <w:sz w:val="24"/>
          <w:szCs w:val="24"/>
        </w:rPr>
        <w:t>la providencia dictada el 29 de enero de 2021 por el Tribunal Administrativo del Atlántico, mediante</w:t>
      </w:r>
      <w:r w:rsidR="00BC1304">
        <w:rPr>
          <w:sz w:val="24"/>
          <w:szCs w:val="24"/>
        </w:rPr>
        <w:t xml:space="preserve"> la</w:t>
      </w:r>
      <w:r w:rsidR="00844CB3" w:rsidRPr="00844CB3">
        <w:rPr>
          <w:sz w:val="24"/>
          <w:szCs w:val="24"/>
        </w:rPr>
        <w:t xml:space="preserve"> cual se confirmó la </w:t>
      </w:r>
      <w:r w:rsidR="008256F0">
        <w:rPr>
          <w:sz w:val="24"/>
          <w:szCs w:val="24"/>
        </w:rPr>
        <w:t>proferida</w:t>
      </w:r>
      <w:r w:rsidR="00844CB3" w:rsidRPr="00844CB3">
        <w:rPr>
          <w:sz w:val="24"/>
          <w:szCs w:val="24"/>
        </w:rPr>
        <w:t xml:space="preserve"> el 12 de noviembre de 2019 por el Juzgado 4º Administrativo de Barranquilla que denegó las súplicas de la demanda</w:t>
      </w:r>
      <w:r w:rsidR="008256F0" w:rsidRPr="008256F0">
        <w:rPr>
          <w:sz w:val="24"/>
          <w:szCs w:val="24"/>
        </w:rPr>
        <w:t xml:space="preserve"> </w:t>
      </w:r>
      <w:r w:rsidR="008256F0" w:rsidRPr="00844CB3">
        <w:rPr>
          <w:sz w:val="24"/>
          <w:szCs w:val="24"/>
        </w:rPr>
        <w:t>dentro de</w:t>
      </w:r>
      <w:r w:rsidR="008256F0">
        <w:rPr>
          <w:sz w:val="24"/>
          <w:szCs w:val="24"/>
        </w:rPr>
        <w:t>l medio de control</w:t>
      </w:r>
      <w:r w:rsidR="008256F0" w:rsidRPr="00844CB3">
        <w:rPr>
          <w:sz w:val="24"/>
          <w:szCs w:val="24"/>
        </w:rPr>
        <w:t xml:space="preserve"> de nulidad y restablecimiento del derecho No. 08001333300420180039900/01</w:t>
      </w:r>
      <w:r w:rsidR="008256F0">
        <w:rPr>
          <w:rStyle w:val="Refdenotaalpie"/>
          <w:sz w:val="24"/>
          <w:szCs w:val="24"/>
        </w:rPr>
        <w:footnoteReference w:id="4"/>
      </w:r>
      <w:r w:rsidR="008256F0">
        <w:rPr>
          <w:sz w:val="24"/>
          <w:szCs w:val="24"/>
        </w:rPr>
        <w:t>.</w:t>
      </w:r>
    </w:p>
    <w:p w14:paraId="6834A37A" w14:textId="7314D17D" w:rsidR="00C92E10" w:rsidRDefault="00C92E10" w:rsidP="00985D3D">
      <w:pPr>
        <w:tabs>
          <w:tab w:val="left" w:pos="2070"/>
        </w:tabs>
        <w:spacing w:line="360" w:lineRule="auto"/>
        <w:rPr>
          <w:sz w:val="24"/>
          <w:szCs w:val="24"/>
        </w:rPr>
      </w:pPr>
    </w:p>
    <w:p w14:paraId="00B5A3AC" w14:textId="5354A951" w:rsidR="00F77F71" w:rsidRDefault="00F77F71" w:rsidP="00985D3D">
      <w:pPr>
        <w:tabs>
          <w:tab w:val="left" w:pos="2070"/>
        </w:tabs>
        <w:spacing w:line="360" w:lineRule="auto"/>
        <w:rPr>
          <w:sz w:val="24"/>
          <w:szCs w:val="24"/>
        </w:rPr>
      </w:pPr>
    </w:p>
    <w:p w14:paraId="71F06C3B" w14:textId="2F74F6A4" w:rsidR="00F77F71" w:rsidRDefault="00F77F71" w:rsidP="00985D3D">
      <w:pPr>
        <w:tabs>
          <w:tab w:val="left" w:pos="2070"/>
        </w:tabs>
        <w:spacing w:line="360" w:lineRule="auto"/>
        <w:rPr>
          <w:sz w:val="24"/>
          <w:szCs w:val="24"/>
        </w:rPr>
      </w:pPr>
    </w:p>
    <w:p w14:paraId="3526B7F0" w14:textId="77777777" w:rsidR="00F77F71" w:rsidRDefault="00F77F71" w:rsidP="00985D3D">
      <w:pPr>
        <w:tabs>
          <w:tab w:val="left" w:pos="2070"/>
        </w:tabs>
        <w:spacing w:line="360" w:lineRule="auto"/>
        <w:rPr>
          <w:sz w:val="24"/>
          <w:szCs w:val="24"/>
        </w:rPr>
      </w:pPr>
    </w:p>
    <w:p w14:paraId="1AD7EF40" w14:textId="547D2110" w:rsidR="006E7A27" w:rsidRDefault="006E7A27" w:rsidP="00985D3D">
      <w:pPr>
        <w:tabs>
          <w:tab w:val="left" w:pos="2070"/>
        </w:tabs>
        <w:spacing w:line="360" w:lineRule="auto"/>
        <w:rPr>
          <w:b/>
          <w:sz w:val="24"/>
          <w:szCs w:val="24"/>
        </w:rPr>
      </w:pPr>
      <w:r>
        <w:rPr>
          <w:b/>
          <w:sz w:val="24"/>
          <w:szCs w:val="24"/>
        </w:rPr>
        <w:lastRenderedPageBreak/>
        <w:t xml:space="preserve">2.- Hechos </w:t>
      </w:r>
    </w:p>
    <w:p w14:paraId="690A8AD6" w14:textId="77777777" w:rsidR="006E7A27" w:rsidRDefault="006E7A27" w:rsidP="00985D3D">
      <w:pPr>
        <w:tabs>
          <w:tab w:val="left" w:pos="2070"/>
        </w:tabs>
        <w:spacing w:line="360" w:lineRule="auto"/>
        <w:rPr>
          <w:b/>
          <w:sz w:val="24"/>
          <w:szCs w:val="24"/>
        </w:rPr>
      </w:pPr>
    </w:p>
    <w:p w14:paraId="4C08CD69" w14:textId="70BC641F" w:rsidR="006E7A27" w:rsidRDefault="006E7A27" w:rsidP="00576456">
      <w:pPr>
        <w:tabs>
          <w:tab w:val="left" w:pos="2070"/>
        </w:tabs>
        <w:spacing w:line="360" w:lineRule="auto"/>
        <w:rPr>
          <w:sz w:val="24"/>
          <w:szCs w:val="24"/>
        </w:rPr>
      </w:pPr>
      <w:r>
        <w:rPr>
          <w:sz w:val="24"/>
          <w:szCs w:val="24"/>
        </w:rPr>
        <w:t xml:space="preserve">2.1.- </w:t>
      </w:r>
      <w:r w:rsidR="000D6865">
        <w:rPr>
          <w:sz w:val="24"/>
          <w:szCs w:val="24"/>
        </w:rPr>
        <w:t xml:space="preserve">Se afirma </w:t>
      </w:r>
      <w:r w:rsidR="00624DFA">
        <w:rPr>
          <w:sz w:val="24"/>
          <w:szCs w:val="24"/>
        </w:rPr>
        <w:t xml:space="preserve">que el Instituto </w:t>
      </w:r>
      <w:r w:rsidR="00576456">
        <w:rPr>
          <w:sz w:val="24"/>
          <w:szCs w:val="24"/>
        </w:rPr>
        <w:t>Geográfico</w:t>
      </w:r>
      <w:r w:rsidR="00624DFA">
        <w:rPr>
          <w:sz w:val="24"/>
          <w:szCs w:val="24"/>
        </w:rPr>
        <w:t xml:space="preserve"> Agustín Codazzi </w:t>
      </w:r>
      <w:r w:rsidR="00576456" w:rsidRPr="006B0AC2">
        <w:rPr>
          <w:sz w:val="24"/>
          <w:szCs w:val="24"/>
        </w:rPr>
        <w:t>–</w:t>
      </w:r>
      <w:r w:rsidR="00576456">
        <w:rPr>
          <w:sz w:val="24"/>
          <w:szCs w:val="24"/>
        </w:rPr>
        <w:t>IGAC</w:t>
      </w:r>
      <w:r w:rsidR="00576456" w:rsidRPr="006B0AC2">
        <w:rPr>
          <w:sz w:val="24"/>
          <w:szCs w:val="24"/>
        </w:rPr>
        <w:t>–</w:t>
      </w:r>
      <w:r w:rsidR="00576456">
        <w:rPr>
          <w:sz w:val="24"/>
          <w:szCs w:val="24"/>
        </w:rPr>
        <w:t xml:space="preserve"> y el </w:t>
      </w:r>
      <w:r w:rsidR="00576456" w:rsidRPr="00576456">
        <w:rPr>
          <w:sz w:val="24"/>
          <w:szCs w:val="24"/>
        </w:rPr>
        <w:t>Distrito Especial, Industrial y Portuario de Barranquilla</w:t>
      </w:r>
      <w:r w:rsidR="00576456">
        <w:rPr>
          <w:sz w:val="24"/>
          <w:szCs w:val="24"/>
        </w:rPr>
        <w:t xml:space="preserve"> </w:t>
      </w:r>
      <w:r w:rsidR="00576456" w:rsidRPr="006B0AC2">
        <w:rPr>
          <w:sz w:val="24"/>
          <w:szCs w:val="24"/>
        </w:rPr>
        <w:t>–</w:t>
      </w:r>
      <w:r w:rsidR="00576456">
        <w:rPr>
          <w:sz w:val="24"/>
          <w:szCs w:val="24"/>
        </w:rPr>
        <w:t>D.E.I.P.</w:t>
      </w:r>
      <w:r w:rsidR="00576456" w:rsidRPr="006B0AC2">
        <w:rPr>
          <w:sz w:val="24"/>
          <w:szCs w:val="24"/>
        </w:rPr>
        <w:t>–</w:t>
      </w:r>
      <w:r w:rsidR="00576456">
        <w:rPr>
          <w:sz w:val="24"/>
          <w:szCs w:val="24"/>
        </w:rPr>
        <w:t xml:space="preserve"> suscribieron el </w:t>
      </w:r>
      <w:r w:rsidR="00AE4282">
        <w:rPr>
          <w:sz w:val="24"/>
          <w:szCs w:val="24"/>
        </w:rPr>
        <w:t xml:space="preserve">Convenio </w:t>
      </w:r>
      <w:r w:rsidR="00C92E10">
        <w:rPr>
          <w:sz w:val="24"/>
          <w:szCs w:val="24"/>
        </w:rPr>
        <w:t xml:space="preserve">Administrativo </w:t>
      </w:r>
      <w:r w:rsidR="00576456">
        <w:rPr>
          <w:sz w:val="24"/>
          <w:szCs w:val="24"/>
        </w:rPr>
        <w:t>No. 4692 de 2016</w:t>
      </w:r>
      <w:r w:rsidR="00AE4282">
        <w:rPr>
          <w:sz w:val="24"/>
          <w:szCs w:val="24"/>
        </w:rPr>
        <w:t xml:space="preserve">, mediante el cual el primero </w:t>
      </w:r>
      <w:r w:rsidR="0066333D">
        <w:rPr>
          <w:sz w:val="24"/>
          <w:szCs w:val="24"/>
        </w:rPr>
        <w:t xml:space="preserve">delegó en el segundo </w:t>
      </w:r>
      <w:r w:rsidR="00AE4282">
        <w:rPr>
          <w:sz w:val="24"/>
          <w:szCs w:val="24"/>
        </w:rPr>
        <w:t xml:space="preserve">la competencia </w:t>
      </w:r>
      <w:r w:rsidR="0066333D">
        <w:rPr>
          <w:sz w:val="24"/>
          <w:szCs w:val="24"/>
        </w:rPr>
        <w:t>relativa al</w:t>
      </w:r>
      <w:r w:rsidR="00AE4282">
        <w:rPr>
          <w:sz w:val="24"/>
          <w:szCs w:val="24"/>
        </w:rPr>
        <w:t xml:space="preserve"> avalúo catastral de los predios ubicados en la referida circunscripción territorial.</w:t>
      </w:r>
    </w:p>
    <w:p w14:paraId="4A84D0DC" w14:textId="77777777" w:rsidR="006E7A27" w:rsidRPr="00BD7DE9" w:rsidRDefault="006E7A27" w:rsidP="00985D3D">
      <w:pPr>
        <w:tabs>
          <w:tab w:val="left" w:pos="2070"/>
        </w:tabs>
        <w:spacing w:line="360" w:lineRule="auto"/>
        <w:rPr>
          <w:sz w:val="24"/>
          <w:szCs w:val="24"/>
        </w:rPr>
      </w:pPr>
    </w:p>
    <w:p w14:paraId="08BA7B5C" w14:textId="154C13E2" w:rsidR="006E7A27" w:rsidRPr="00D93EEF" w:rsidRDefault="006E7A27" w:rsidP="00D93EEF">
      <w:pPr>
        <w:tabs>
          <w:tab w:val="left" w:pos="2070"/>
        </w:tabs>
        <w:spacing w:line="360" w:lineRule="auto"/>
      </w:pPr>
      <w:r w:rsidRPr="00BD7DE9">
        <w:rPr>
          <w:sz w:val="24"/>
          <w:szCs w:val="24"/>
        </w:rPr>
        <w:t xml:space="preserve">2.2.- </w:t>
      </w:r>
      <w:r w:rsidR="00D93EEF">
        <w:rPr>
          <w:sz w:val="24"/>
          <w:szCs w:val="24"/>
        </w:rPr>
        <w:t xml:space="preserve">Con base en ello, el D.E.I.P. expidió las Resoluciones </w:t>
      </w:r>
      <w:r w:rsidR="00965094">
        <w:rPr>
          <w:sz w:val="24"/>
          <w:szCs w:val="24"/>
        </w:rPr>
        <w:t>08-001-1915-</w:t>
      </w:r>
      <w:r w:rsidR="00D93EEF" w:rsidRPr="00D93EEF">
        <w:rPr>
          <w:sz w:val="24"/>
          <w:szCs w:val="24"/>
        </w:rPr>
        <w:t>2016 de</w:t>
      </w:r>
      <w:r w:rsidR="00965094">
        <w:rPr>
          <w:sz w:val="24"/>
          <w:szCs w:val="24"/>
        </w:rPr>
        <w:t>l</w:t>
      </w:r>
      <w:r w:rsidR="00D93EEF" w:rsidRPr="00D93EEF">
        <w:rPr>
          <w:sz w:val="24"/>
          <w:szCs w:val="24"/>
        </w:rPr>
        <w:t xml:space="preserve"> 22 de diciembre de 2016 y GG</w:t>
      </w:r>
      <w:r w:rsidR="00D93EEF">
        <w:rPr>
          <w:sz w:val="24"/>
          <w:szCs w:val="24"/>
        </w:rPr>
        <w:t>C-020 del 16 de febrero de 2017</w:t>
      </w:r>
      <w:r w:rsidR="008256F0">
        <w:rPr>
          <w:sz w:val="24"/>
          <w:szCs w:val="24"/>
        </w:rPr>
        <w:t xml:space="preserve">, las que, </w:t>
      </w:r>
      <w:r w:rsidR="000D6865">
        <w:rPr>
          <w:sz w:val="24"/>
          <w:szCs w:val="24"/>
        </w:rPr>
        <w:t>se dice</w:t>
      </w:r>
      <w:r w:rsidR="00965094">
        <w:rPr>
          <w:sz w:val="24"/>
          <w:szCs w:val="24"/>
        </w:rPr>
        <w:t>,</w:t>
      </w:r>
      <w:r w:rsidR="00D93EEF">
        <w:rPr>
          <w:sz w:val="24"/>
          <w:szCs w:val="24"/>
        </w:rPr>
        <w:t xml:space="preserve"> fueron </w:t>
      </w:r>
      <w:r w:rsidR="00A777AB">
        <w:rPr>
          <w:sz w:val="24"/>
          <w:szCs w:val="24"/>
        </w:rPr>
        <w:t>irregulares</w:t>
      </w:r>
      <w:r w:rsidR="000D6865">
        <w:rPr>
          <w:sz w:val="24"/>
          <w:szCs w:val="24"/>
        </w:rPr>
        <w:t>,</w:t>
      </w:r>
      <w:r w:rsidR="00A777AB">
        <w:rPr>
          <w:sz w:val="24"/>
          <w:szCs w:val="24"/>
        </w:rPr>
        <w:t xml:space="preserve"> pues la entidad emisora carecía de competencia</w:t>
      </w:r>
      <w:r w:rsidR="00E87AE1">
        <w:rPr>
          <w:sz w:val="24"/>
          <w:szCs w:val="24"/>
        </w:rPr>
        <w:t xml:space="preserve"> para ello</w:t>
      </w:r>
      <w:r w:rsidR="00684854">
        <w:rPr>
          <w:sz w:val="24"/>
          <w:szCs w:val="24"/>
        </w:rPr>
        <w:t xml:space="preserve">, y estaban viciadas por </w:t>
      </w:r>
      <w:r w:rsidR="00965094">
        <w:rPr>
          <w:sz w:val="24"/>
          <w:szCs w:val="24"/>
        </w:rPr>
        <w:t xml:space="preserve">contener una </w:t>
      </w:r>
      <w:r w:rsidR="00684854">
        <w:rPr>
          <w:sz w:val="24"/>
          <w:szCs w:val="24"/>
        </w:rPr>
        <w:t xml:space="preserve">falsa motivación y </w:t>
      </w:r>
      <w:r w:rsidR="00965094">
        <w:rPr>
          <w:sz w:val="24"/>
          <w:szCs w:val="24"/>
        </w:rPr>
        <w:t xml:space="preserve">existir una </w:t>
      </w:r>
      <w:r w:rsidR="00684854">
        <w:rPr>
          <w:sz w:val="24"/>
          <w:szCs w:val="24"/>
        </w:rPr>
        <w:t>desviación de atribuciones;</w:t>
      </w:r>
      <w:r w:rsidR="00A777AB">
        <w:rPr>
          <w:sz w:val="24"/>
          <w:szCs w:val="24"/>
        </w:rPr>
        <w:t xml:space="preserve"> además, </w:t>
      </w:r>
      <w:r w:rsidR="00E87AE1">
        <w:rPr>
          <w:sz w:val="24"/>
          <w:szCs w:val="24"/>
        </w:rPr>
        <w:t>fueron dictadas</w:t>
      </w:r>
      <w:r w:rsidR="00A777AB">
        <w:rPr>
          <w:sz w:val="24"/>
          <w:szCs w:val="24"/>
        </w:rPr>
        <w:t xml:space="preserve"> </w:t>
      </w:r>
      <w:r w:rsidR="00E87AE1">
        <w:rPr>
          <w:sz w:val="24"/>
          <w:szCs w:val="24"/>
        </w:rPr>
        <w:t xml:space="preserve">en detrimento de los </w:t>
      </w:r>
      <w:r w:rsidR="00A777AB">
        <w:rPr>
          <w:sz w:val="24"/>
          <w:szCs w:val="24"/>
        </w:rPr>
        <w:t>derechos de defensa y audiencia</w:t>
      </w:r>
      <w:r w:rsidR="00684854">
        <w:rPr>
          <w:sz w:val="24"/>
          <w:szCs w:val="24"/>
        </w:rPr>
        <w:t>.</w:t>
      </w:r>
      <w:r w:rsidR="00A777AB">
        <w:rPr>
          <w:sz w:val="24"/>
          <w:szCs w:val="24"/>
        </w:rPr>
        <w:t xml:space="preserve"> </w:t>
      </w:r>
      <w:r w:rsidR="00634CF7">
        <w:rPr>
          <w:rStyle w:val="Ninguno"/>
          <w:rFonts w:cs="Arial"/>
          <w:sz w:val="24"/>
          <w:szCs w:val="24"/>
        </w:rPr>
        <w:t xml:space="preserve">Puntualmente, la resolución del 16 de febrero de 2017 </w:t>
      </w:r>
      <w:r w:rsidR="00E87AE1">
        <w:rPr>
          <w:rStyle w:val="Ninguno"/>
          <w:rFonts w:cs="Arial"/>
          <w:sz w:val="24"/>
          <w:szCs w:val="24"/>
        </w:rPr>
        <w:t xml:space="preserve">aludida </w:t>
      </w:r>
      <w:r w:rsidR="00634CF7">
        <w:rPr>
          <w:rStyle w:val="Ninguno"/>
          <w:rFonts w:cs="Arial"/>
          <w:sz w:val="24"/>
          <w:szCs w:val="24"/>
        </w:rPr>
        <w:t xml:space="preserve">incrementó el avalúo </w:t>
      </w:r>
      <w:r w:rsidR="00A95027">
        <w:rPr>
          <w:rStyle w:val="Ninguno"/>
          <w:rFonts w:cs="Arial"/>
          <w:sz w:val="24"/>
          <w:szCs w:val="24"/>
        </w:rPr>
        <w:t>de un</w:t>
      </w:r>
      <w:r w:rsidR="00634CF7">
        <w:rPr>
          <w:rStyle w:val="Ninguno"/>
          <w:rFonts w:cs="Arial"/>
          <w:sz w:val="24"/>
          <w:szCs w:val="24"/>
        </w:rPr>
        <w:t xml:space="preserve"> predio de propiedad de la sociedad representada por </w:t>
      </w:r>
      <w:proofErr w:type="spellStart"/>
      <w:r w:rsidR="00634CF7">
        <w:rPr>
          <w:rStyle w:val="Ninguno"/>
          <w:rFonts w:cs="Arial"/>
          <w:sz w:val="24"/>
          <w:szCs w:val="24"/>
        </w:rPr>
        <w:t>Ravachi</w:t>
      </w:r>
      <w:proofErr w:type="spellEnd"/>
      <w:r w:rsidR="00634CF7">
        <w:rPr>
          <w:rStyle w:val="Ninguno"/>
          <w:rFonts w:cs="Arial"/>
          <w:sz w:val="24"/>
          <w:szCs w:val="24"/>
        </w:rPr>
        <w:t xml:space="preserve"> Dávila.</w:t>
      </w:r>
    </w:p>
    <w:p w14:paraId="7EBD9FAD" w14:textId="77777777" w:rsidR="008439AD" w:rsidRDefault="008439AD" w:rsidP="00985D3D">
      <w:pPr>
        <w:tabs>
          <w:tab w:val="left" w:pos="2070"/>
        </w:tabs>
        <w:spacing w:line="360" w:lineRule="auto"/>
        <w:rPr>
          <w:rStyle w:val="Ninguno"/>
          <w:rFonts w:cs="Arial"/>
          <w:sz w:val="24"/>
          <w:szCs w:val="24"/>
        </w:rPr>
      </w:pPr>
    </w:p>
    <w:p w14:paraId="638B7E89" w14:textId="36632CCC" w:rsidR="008439AD" w:rsidRPr="00367325" w:rsidRDefault="008439AD" w:rsidP="00985D3D">
      <w:pPr>
        <w:tabs>
          <w:tab w:val="left" w:pos="2070"/>
        </w:tabs>
        <w:spacing w:line="360" w:lineRule="auto"/>
        <w:rPr>
          <w:sz w:val="24"/>
          <w:szCs w:val="24"/>
        </w:rPr>
      </w:pPr>
      <w:r>
        <w:rPr>
          <w:rStyle w:val="Ninguno"/>
          <w:rFonts w:cs="Arial"/>
          <w:sz w:val="24"/>
          <w:szCs w:val="24"/>
        </w:rPr>
        <w:t xml:space="preserve">2.3.- </w:t>
      </w:r>
      <w:r w:rsidR="00634CF7">
        <w:rPr>
          <w:rStyle w:val="Ninguno"/>
          <w:rFonts w:cs="Arial"/>
          <w:sz w:val="24"/>
          <w:szCs w:val="24"/>
        </w:rPr>
        <w:t>Aunque el afect</w:t>
      </w:r>
      <w:r w:rsidR="00483EA5">
        <w:rPr>
          <w:rStyle w:val="Ninguno"/>
          <w:rFonts w:cs="Arial"/>
          <w:sz w:val="24"/>
          <w:szCs w:val="24"/>
        </w:rPr>
        <w:t>ad</w:t>
      </w:r>
      <w:r w:rsidR="00634CF7">
        <w:rPr>
          <w:rStyle w:val="Ninguno"/>
          <w:rFonts w:cs="Arial"/>
          <w:sz w:val="24"/>
          <w:szCs w:val="24"/>
        </w:rPr>
        <w:t>o</w:t>
      </w:r>
      <w:r w:rsidR="000D6865">
        <w:rPr>
          <w:rStyle w:val="Ninguno"/>
          <w:rFonts w:cs="Arial"/>
          <w:sz w:val="24"/>
          <w:szCs w:val="24"/>
        </w:rPr>
        <w:t>, antes nombrado,</w:t>
      </w:r>
      <w:r w:rsidR="00634CF7">
        <w:rPr>
          <w:rStyle w:val="Ninguno"/>
          <w:rFonts w:cs="Arial"/>
          <w:sz w:val="24"/>
          <w:szCs w:val="24"/>
        </w:rPr>
        <w:t xml:space="preserve"> formuló recursos de reposición y apelación</w:t>
      </w:r>
      <w:r w:rsidR="00483EA5">
        <w:rPr>
          <w:rStyle w:val="Ninguno"/>
          <w:rFonts w:cs="Arial"/>
          <w:sz w:val="24"/>
          <w:szCs w:val="24"/>
        </w:rPr>
        <w:t>, fue obligado a pagar la suma de $31.694.649 m/</w:t>
      </w:r>
      <w:proofErr w:type="spellStart"/>
      <w:r w:rsidR="00483EA5">
        <w:rPr>
          <w:rStyle w:val="Ninguno"/>
          <w:rFonts w:cs="Arial"/>
          <w:sz w:val="24"/>
          <w:szCs w:val="24"/>
        </w:rPr>
        <w:t>cte</w:t>
      </w:r>
      <w:proofErr w:type="spellEnd"/>
      <w:r w:rsidR="00A9416F">
        <w:rPr>
          <w:rStyle w:val="Ninguno"/>
          <w:rFonts w:cs="Arial"/>
          <w:sz w:val="24"/>
          <w:szCs w:val="24"/>
        </w:rPr>
        <w:t xml:space="preserve"> por concepto de impuesto predial. Aclaró</w:t>
      </w:r>
      <w:r w:rsidR="00D16C4A">
        <w:rPr>
          <w:rStyle w:val="Ninguno"/>
          <w:rFonts w:cs="Arial"/>
          <w:sz w:val="24"/>
          <w:szCs w:val="24"/>
        </w:rPr>
        <w:t>, el ya mencionado</w:t>
      </w:r>
      <w:r w:rsidR="00A9416F">
        <w:rPr>
          <w:rStyle w:val="Ninguno"/>
          <w:rFonts w:cs="Arial"/>
          <w:sz w:val="24"/>
          <w:szCs w:val="24"/>
        </w:rPr>
        <w:t xml:space="preserve"> que, a </w:t>
      </w:r>
      <w:r w:rsidR="0051438E">
        <w:rPr>
          <w:rStyle w:val="Ninguno"/>
          <w:rFonts w:cs="Arial"/>
          <w:sz w:val="24"/>
          <w:szCs w:val="24"/>
        </w:rPr>
        <w:t>pesar</w:t>
      </w:r>
      <w:r w:rsidR="005C7402">
        <w:rPr>
          <w:rStyle w:val="Ninguno"/>
          <w:rFonts w:cs="Arial"/>
          <w:sz w:val="24"/>
          <w:szCs w:val="24"/>
        </w:rPr>
        <w:t xml:space="preserve"> de estar suspendidos los efectos</w:t>
      </w:r>
      <w:r w:rsidR="00A9416F">
        <w:rPr>
          <w:rStyle w:val="Ninguno"/>
          <w:rFonts w:cs="Arial"/>
          <w:sz w:val="24"/>
          <w:szCs w:val="24"/>
        </w:rPr>
        <w:t xml:space="preserve"> de la resolución </w:t>
      </w:r>
      <w:r w:rsidR="00A95027">
        <w:rPr>
          <w:rStyle w:val="Ninguno"/>
          <w:rFonts w:cs="Arial"/>
          <w:sz w:val="24"/>
          <w:szCs w:val="24"/>
        </w:rPr>
        <w:t>con ocasión de</w:t>
      </w:r>
      <w:r w:rsidR="00A9416F">
        <w:rPr>
          <w:rStyle w:val="Ninguno"/>
          <w:rFonts w:cs="Arial"/>
          <w:sz w:val="24"/>
          <w:szCs w:val="24"/>
        </w:rPr>
        <w:t xml:space="preserve"> los recursos</w:t>
      </w:r>
      <w:r w:rsidR="00A95027">
        <w:rPr>
          <w:rStyle w:val="Ninguno"/>
          <w:rFonts w:cs="Arial"/>
          <w:sz w:val="24"/>
          <w:szCs w:val="24"/>
        </w:rPr>
        <w:t xml:space="preserve"> elevados</w:t>
      </w:r>
      <w:r w:rsidR="00A9416F">
        <w:rPr>
          <w:rStyle w:val="Ninguno"/>
          <w:rFonts w:cs="Arial"/>
          <w:sz w:val="24"/>
          <w:szCs w:val="24"/>
        </w:rPr>
        <w:t xml:space="preserve">, </w:t>
      </w:r>
      <w:r w:rsidR="00A95027">
        <w:rPr>
          <w:rStyle w:val="Ninguno"/>
          <w:rFonts w:cs="Arial"/>
          <w:sz w:val="24"/>
          <w:szCs w:val="24"/>
        </w:rPr>
        <w:t>sus cuentas bancarias fueron embargadas</w:t>
      </w:r>
      <w:r w:rsidR="0051438E">
        <w:rPr>
          <w:rStyle w:val="Ninguno"/>
          <w:rFonts w:cs="Arial"/>
          <w:sz w:val="24"/>
          <w:szCs w:val="24"/>
        </w:rPr>
        <w:t>.</w:t>
      </w:r>
    </w:p>
    <w:p w14:paraId="5B0B27A7" w14:textId="77777777" w:rsidR="006E7A27" w:rsidRDefault="006E7A27" w:rsidP="00985D3D">
      <w:pPr>
        <w:tabs>
          <w:tab w:val="left" w:pos="2070"/>
        </w:tabs>
        <w:spacing w:line="360" w:lineRule="auto"/>
        <w:rPr>
          <w:sz w:val="24"/>
          <w:szCs w:val="24"/>
        </w:rPr>
      </w:pPr>
    </w:p>
    <w:p w14:paraId="730F16B5" w14:textId="23D5DA25" w:rsidR="00971C3D" w:rsidRDefault="00FA148B" w:rsidP="00985D3D">
      <w:pPr>
        <w:tabs>
          <w:tab w:val="left" w:pos="2070"/>
        </w:tabs>
        <w:spacing w:line="360" w:lineRule="auto"/>
        <w:rPr>
          <w:sz w:val="24"/>
          <w:szCs w:val="24"/>
        </w:rPr>
      </w:pPr>
      <w:r w:rsidRPr="00190178">
        <w:rPr>
          <w:sz w:val="24"/>
          <w:szCs w:val="24"/>
        </w:rPr>
        <w:t xml:space="preserve">2.4.- Como consecuencia de lo anterior, </w:t>
      </w:r>
      <w:proofErr w:type="spellStart"/>
      <w:r w:rsidR="000D6865">
        <w:rPr>
          <w:rStyle w:val="Ninguno"/>
          <w:rFonts w:cs="Arial"/>
          <w:sz w:val="24"/>
          <w:szCs w:val="24"/>
        </w:rPr>
        <w:t>Ravachi</w:t>
      </w:r>
      <w:proofErr w:type="spellEnd"/>
      <w:r w:rsidR="000D6865">
        <w:rPr>
          <w:rStyle w:val="Ninguno"/>
          <w:rFonts w:cs="Arial"/>
          <w:sz w:val="24"/>
          <w:szCs w:val="24"/>
        </w:rPr>
        <w:t xml:space="preserve"> Dávila</w:t>
      </w:r>
      <w:r w:rsidR="0051438E">
        <w:rPr>
          <w:sz w:val="24"/>
          <w:szCs w:val="24"/>
        </w:rPr>
        <w:t xml:space="preserve">, en nombre propio </w:t>
      </w:r>
      <w:r w:rsidR="009572CB" w:rsidRPr="009572CB">
        <w:rPr>
          <w:sz w:val="24"/>
          <w:szCs w:val="24"/>
        </w:rPr>
        <w:t xml:space="preserve">y como representante legal de la sociedad </w:t>
      </w:r>
      <w:proofErr w:type="spellStart"/>
      <w:r w:rsidR="009572CB" w:rsidRPr="009572CB">
        <w:rPr>
          <w:sz w:val="24"/>
          <w:szCs w:val="24"/>
        </w:rPr>
        <w:t>Ravachi</w:t>
      </w:r>
      <w:proofErr w:type="spellEnd"/>
      <w:r w:rsidR="009572CB" w:rsidRPr="009572CB">
        <w:rPr>
          <w:sz w:val="24"/>
          <w:szCs w:val="24"/>
        </w:rPr>
        <w:t xml:space="preserve"> </w:t>
      </w:r>
      <w:proofErr w:type="spellStart"/>
      <w:r w:rsidR="009572CB" w:rsidRPr="009572CB">
        <w:rPr>
          <w:sz w:val="24"/>
          <w:szCs w:val="24"/>
        </w:rPr>
        <w:t>Slebi</w:t>
      </w:r>
      <w:proofErr w:type="spellEnd"/>
      <w:r w:rsidR="009572CB" w:rsidRPr="009572CB">
        <w:rPr>
          <w:sz w:val="24"/>
          <w:szCs w:val="24"/>
        </w:rPr>
        <w:t xml:space="preserve"> y Compañía, hoy Mirto Capital S.A.S., </w:t>
      </w:r>
      <w:r w:rsidR="009572CB">
        <w:rPr>
          <w:sz w:val="24"/>
          <w:szCs w:val="24"/>
        </w:rPr>
        <w:t xml:space="preserve">formuló demanda de nulidad y restablecimiento del derecho </w:t>
      </w:r>
      <w:r w:rsidR="009572CB" w:rsidRPr="009572CB">
        <w:rPr>
          <w:sz w:val="24"/>
          <w:szCs w:val="24"/>
        </w:rPr>
        <w:t>en contra del Distrito Especial, Industrial y Portuario de Barranquilla</w:t>
      </w:r>
      <w:r w:rsidR="009572CB">
        <w:rPr>
          <w:sz w:val="24"/>
          <w:szCs w:val="24"/>
        </w:rPr>
        <w:t xml:space="preserve">, </w:t>
      </w:r>
      <w:r w:rsidR="00D54FCD">
        <w:rPr>
          <w:sz w:val="24"/>
          <w:szCs w:val="24"/>
        </w:rPr>
        <w:t>ante el Tribunal Admini</w:t>
      </w:r>
      <w:r w:rsidR="005C7402">
        <w:rPr>
          <w:sz w:val="24"/>
          <w:szCs w:val="24"/>
        </w:rPr>
        <w:t>strativo del Atlántico, el que,</w:t>
      </w:r>
      <w:r w:rsidR="00D54FCD">
        <w:rPr>
          <w:sz w:val="24"/>
          <w:szCs w:val="24"/>
        </w:rPr>
        <w:t xml:space="preserve"> mediante auto del 30 de abril de 2018, declaró la falta de competencia y ordenó la remisión del trámite a los juzgados administrativos de Barranquilla.</w:t>
      </w:r>
    </w:p>
    <w:p w14:paraId="64711EBA" w14:textId="77777777" w:rsidR="00971C3D" w:rsidRDefault="00971C3D" w:rsidP="00985D3D">
      <w:pPr>
        <w:tabs>
          <w:tab w:val="left" w:pos="2070"/>
        </w:tabs>
        <w:spacing w:line="360" w:lineRule="auto"/>
        <w:rPr>
          <w:sz w:val="24"/>
          <w:szCs w:val="24"/>
        </w:rPr>
      </w:pPr>
    </w:p>
    <w:p w14:paraId="5F6A3D2D" w14:textId="5E1E7FF7" w:rsidR="006E7A27" w:rsidRPr="00190178" w:rsidRDefault="00FC3FCF" w:rsidP="00985D3D">
      <w:pPr>
        <w:tabs>
          <w:tab w:val="left" w:pos="2070"/>
        </w:tabs>
        <w:spacing w:line="360" w:lineRule="auto"/>
        <w:rPr>
          <w:sz w:val="24"/>
          <w:szCs w:val="24"/>
        </w:rPr>
      </w:pPr>
      <w:r>
        <w:rPr>
          <w:sz w:val="24"/>
          <w:szCs w:val="24"/>
        </w:rPr>
        <w:t xml:space="preserve">2.5.- Surtido el reparto, el conocimiento de la demanda le correspondió al Juzgado 4º Administrativo de Barranquilla, y </w:t>
      </w:r>
      <w:r w:rsidR="009572CB">
        <w:rPr>
          <w:sz w:val="24"/>
          <w:szCs w:val="24"/>
        </w:rPr>
        <w:t xml:space="preserve">se registró bajo el radicado No. </w:t>
      </w:r>
      <w:r w:rsidR="009572CB" w:rsidRPr="00844CB3">
        <w:rPr>
          <w:sz w:val="24"/>
          <w:szCs w:val="24"/>
        </w:rPr>
        <w:t>08001333300420180039900</w:t>
      </w:r>
      <w:r w:rsidR="008256F0">
        <w:rPr>
          <w:sz w:val="24"/>
          <w:szCs w:val="24"/>
        </w:rPr>
        <w:t>.</w:t>
      </w:r>
    </w:p>
    <w:p w14:paraId="31B3235C" w14:textId="77777777" w:rsidR="00BA44CF" w:rsidRPr="00190178" w:rsidRDefault="00BA44CF" w:rsidP="00985D3D">
      <w:pPr>
        <w:tabs>
          <w:tab w:val="left" w:pos="2070"/>
        </w:tabs>
        <w:spacing w:line="360" w:lineRule="auto"/>
        <w:rPr>
          <w:sz w:val="24"/>
          <w:szCs w:val="24"/>
        </w:rPr>
      </w:pPr>
    </w:p>
    <w:p w14:paraId="4060558A" w14:textId="534C8C2E" w:rsidR="00BA44CF" w:rsidRPr="00190178" w:rsidRDefault="00FC3FCF" w:rsidP="00985D3D">
      <w:pPr>
        <w:tabs>
          <w:tab w:val="left" w:pos="2070"/>
        </w:tabs>
        <w:spacing w:line="360" w:lineRule="auto"/>
        <w:rPr>
          <w:sz w:val="24"/>
          <w:szCs w:val="24"/>
        </w:rPr>
      </w:pPr>
      <w:r>
        <w:rPr>
          <w:sz w:val="24"/>
          <w:szCs w:val="24"/>
        </w:rPr>
        <w:t>2.6</w:t>
      </w:r>
      <w:r w:rsidR="00BA44CF" w:rsidRPr="00190178">
        <w:rPr>
          <w:sz w:val="24"/>
          <w:szCs w:val="24"/>
        </w:rPr>
        <w:t xml:space="preserve">.- </w:t>
      </w:r>
      <w:r w:rsidR="00345610">
        <w:rPr>
          <w:sz w:val="24"/>
          <w:szCs w:val="24"/>
        </w:rPr>
        <w:t xml:space="preserve">El </w:t>
      </w:r>
      <w:r w:rsidR="00345610" w:rsidRPr="00345610">
        <w:rPr>
          <w:i/>
          <w:sz w:val="24"/>
          <w:szCs w:val="24"/>
        </w:rPr>
        <w:t>a quo</w:t>
      </w:r>
      <w:r w:rsidR="00345610">
        <w:rPr>
          <w:sz w:val="24"/>
          <w:szCs w:val="24"/>
        </w:rPr>
        <w:t xml:space="preserve"> ordinario, el 12 de noviembre de 2019, dictó sentencia mediante la </w:t>
      </w:r>
      <w:r w:rsidR="006A2EDF">
        <w:rPr>
          <w:sz w:val="24"/>
          <w:szCs w:val="24"/>
        </w:rPr>
        <w:t xml:space="preserve">que </w:t>
      </w:r>
      <w:r w:rsidR="0066333D">
        <w:rPr>
          <w:sz w:val="24"/>
          <w:szCs w:val="24"/>
        </w:rPr>
        <w:t>desestimó</w:t>
      </w:r>
      <w:r w:rsidR="00345610">
        <w:rPr>
          <w:sz w:val="24"/>
          <w:szCs w:val="24"/>
        </w:rPr>
        <w:t xml:space="preserve"> las pretensiones de la demanda, porque </w:t>
      </w:r>
      <w:r w:rsidR="008E23AD">
        <w:rPr>
          <w:sz w:val="24"/>
          <w:szCs w:val="24"/>
        </w:rPr>
        <w:t xml:space="preserve">la competencia del IGAC fue debidamente delegada al D.E.I.P de </w:t>
      </w:r>
      <w:r w:rsidR="0066333D">
        <w:rPr>
          <w:sz w:val="24"/>
          <w:szCs w:val="24"/>
        </w:rPr>
        <w:t>Barranquilla</w:t>
      </w:r>
      <w:r w:rsidR="008E23AD">
        <w:rPr>
          <w:sz w:val="24"/>
          <w:szCs w:val="24"/>
        </w:rPr>
        <w:t>, lo que hac</w:t>
      </w:r>
      <w:r w:rsidR="006A2EDF">
        <w:rPr>
          <w:sz w:val="24"/>
          <w:szCs w:val="24"/>
        </w:rPr>
        <w:t xml:space="preserve">ía a </w:t>
      </w:r>
      <w:r w:rsidR="008E23AD">
        <w:rPr>
          <w:sz w:val="24"/>
          <w:szCs w:val="24"/>
        </w:rPr>
        <w:t>los actos acusados</w:t>
      </w:r>
      <w:r w:rsidR="006A2EDF">
        <w:rPr>
          <w:sz w:val="24"/>
          <w:szCs w:val="24"/>
        </w:rPr>
        <w:t xml:space="preserve"> </w:t>
      </w:r>
      <w:r w:rsidR="008E23AD">
        <w:rPr>
          <w:sz w:val="24"/>
          <w:szCs w:val="24"/>
        </w:rPr>
        <w:t>legales.</w:t>
      </w:r>
      <w:r w:rsidR="009171F9" w:rsidRPr="00190178">
        <w:rPr>
          <w:sz w:val="24"/>
          <w:szCs w:val="24"/>
        </w:rPr>
        <w:t xml:space="preserve"> </w:t>
      </w:r>
      <w:r w:rsidR="00AD25BF">
        <w:rPr>
          <w:sz w:val="24"/>
          <w:szCs w:val="24"/>
        </w:rPr>
        <w:t xml:space="preserve">En adición a ello, señaló que el demandante sí pudo controvertir la Resolución </w:t>
      </w:r>
      <w:r w:rsidR="00AD25BF">
        <w:rPr>
          <w:sz w:val="24"/>
          <w:szCs w:val="24"/>
        </w:rPr>
        <w:lastRenderedPageBreak/>
        <w:t>GGC 0020 del 2017</w:t>
      </w:r>
      <w:r w:rsidR="001D6F52">
        <w:rPr>
          <w:sz w:val="24"/>
          <w:szCs w:val="24"/>
        </w:rPr>
        <w:t xml:space="preserve">, al punto que interpuso recursos </w:t>
      </w:r>
      <w:r w:rsidR="00E55DE7">
        <w:rPr>
          <w:sz w:val="24"/>
          <w:szCs w:val="24"/>
        </w:rPr>
        <w:t>en su contra</w:t>
      </w:r>
      <w:r w:rsidR="001D6F52">
        <w:rPr>
          <w:sz w:val="24"/>
          <w:szCs w:val="24"/>
        </w:rPr>
        <w:t>, sin que se hubiese acreditado el proceso de cobro coactivo y las medidas cautelares aducidas por él.</w:t>
      </w:r>
    </w:p>
    <w:p w14:paraId="39F8AC43" w14:textId="77777777" w:rsidR="00722554" w:rsidRPr="00190178" w:rsidRDefault="00722554" w:rsidP="00985D3D">
      <w:pPr>
        <w:tabs>
          <w:tab w:val="left" w:pos="2070"/>
        </w:tabs>
        <w:spacing w:line="360" w:lineRule="auto"/>
        <w:rPr>
          <w:sz w:val="24"/>
          <w:szCs w:val="24"/>
        </w:rPr>
      </w:pPr>
    </w:p>
    <w:p w14:paraId="13F5637B" w14:textId="0147F989" w:rsidR="00722554" w:rsidRPr="00190178" w:rsidRDefault="00722554" w:rsidP="00985D3D">
      <w:pPr>
        <w:tabs>
          <w:tab w:val="left" w:pos="2070"/>
        </w:tabs>
        <w:spacing w:line="360" w:lineRule="auto"/>
        <w:rPr>
          <w:sz w:val="24"/>
          <w:szCs w:val="24"/>
        </w:rPr>
      </w:pPr>
      <w:r w:rsidRPr="00190178">
        <w:rPr>
          <w:sz w:val="24"/>
          <w:szCs w:val="24"/>
        </w:rPr>
        <w:t>2.</w:t>
      </w:r>
      <w:r w:rsidR="00C27C1C">
        <w:rPr>
          <w:sz w:val="24"/>
          <w:szCs w:val="24"/>
        </w:rPr>
        <w:t>7</w:t>
      </w:r>
      <w:r w:rsidRPr="00190178">
        <w:rPr>
          <w:sz w:val="24"/>
          <w:szCs w:val="24"/>
        </w:rPr>
        <w:t xml:space="preserve">.- </w:t>
      </w:r>
      <w:r w:rsidR="001D6F52">
        <w:rPr>
          <w:sz w:val="24"/>
          <w:szCs w:val="24"/>
        </w:rPr>
        <w:t xml:space="preserve">Inconforme, el extremo activo de la litis </w:t>
      </w:r>
      <w:r w:rsidR="00501941">
        <w:rPr>
          <w:sz w:val="24"/>
          <w:szCs w:val="24"/>
        </w:rPr>
        <w:t>apeló</w:t>
      </w:r>
      <w:r w:rsidR="001A493B">
        <w:rPr>
          <w:sz w:val="24"/>
          <w:szCs w:val="24"/>
        </w:rPr>
        <w:t xml:space="preserve">, </w:t>
      </w:r>
      <w:r w:rsidR="00501941">
        <w:rPr>
          <w:sz w:val="24"/>
          <w:szCs w:val="24"/>
        </w:rPr>
        <w:t xml:space="preserve">e </w:t>
      </w:r>
      <w:r w:rsidR="001A493B">
        <w:rPr>
          <w:sz w:val="24"/>
          <w:szCs w:val="24"/>
        </w:rPr>
        <w:t xml:space="preserve">insistió en que los actos demandados eran nulos y que sus cuentas </w:t>
      </w:r>
      <w:r w:rsidR="00D571A6">
        <w:rPr>
          <w:sz w:val="24"/>
          <w:szCs w:val="24"/>
        </w:rPr>
        <w:t>bancarias</w:t>
      </w:r>
      <w:r w:rsidR="001A493B">
        <w:rPr>
          <w:sz w:val="24"/>
          <w:szCs w:val="24"/>
        </w:rPr>
        <w:t xml:space="preserve"> </w:t>
      </w:r>
      <w:r w:rsidR="008256F0">
        <w:rPr>
          <w:sz w:val="24"/>
          <w:szCs w:val="24"/>
        </w:rPr>
        <w:t>sí fueron embargadas</w:t>
      </w:r>
      <w:r w:rsidR="00D571A6">
        <w:rPr>
          <w:sz w:val="24"/>
          <w:szCs w:val="24"/>
        </w:rPr>
        <w:t xml:space="preserve">, </w:t>
      </w:r>
      <w:r w:rsidR="00574EA1">
        <w:rPr>
          <w:sz w:val="24"/>
          <w:szCs w:val="24"/>
        </w:rPr>
        <w:t>lo que implica</w:t>
      </w:r>
      <w:r w:rsidR="00501941">
        <w:rPr>
          <w:sz w:val="24"/>
          <w:szCs w:val="24"/>
        </w:rPr>
        <w:t>ba</w:t>
      </w:r>
      <w:r w:rsidR="00971C3D">
        <w:rPr>
          <w:sz w:val="24"/>
          <w:szCs w:val="24"/>
        </w:rPr>
        <w:t xml:space="preserve"> que </w:t>
      </w:r>
      <w:r w:rsidR="00E55DE7">
        <w:rPr>
          <w:sz w:val="24"/>
          <w:szCs w:val="24"/>
        </w:rPr>
        <w:t xml:space="preserve">la resolución del 16 de febrero de 2017 </w:t>
      </w:r>
      <w:r w:rsidR="00971C3D">
        <w:rPr>
          <w:sz w:val="24"/>
          <w:szCs w:val="24"/>
        </w:rPr>
        <w:t xml:space="preserve">produjo efectos </w:t>
      </w:r>
      <w:r w:rsidR="00D571A6">
        <w:rPr>
          <w:sz w:val="24"/>
          <w:szCs w:val="24"/>
        </w:rPr>
        <w:t xml:space="preserve">a pesar de </w:t>
      </w:r>
      <w:r w:rsidR="00E55DE7">
        <w:rPr>
          <w:sz w:val="24"/>
          <w:szCs w:val="24"/>
        </w:rPr>
        <w:t>encontrarse suspendida,</w:t>
      </w:r>
      <w:r w:rsidR="00D571A6">
        <w:rPr>
          <w:sz w:val="24"/>
          <w:szCs w:val="24"/>
        </w:rPr>
        <w:t xml:space="preserve"> </w:t>
      </w:r>
      <w:r w:rsidR="00574EA1">
        <w:rPr>
          <w:sz w:val="24"/>
          <w:szCs w:val="24"/>
        </w:rPr>
        <w:t xml:space="preserve">pues estaban en </w:t>
      </w:r>
      <w:r w:rsidR="0005410D">
        <w:rPr>
          <w:sz w:val="24"/>
          <w:szCs w:val="24"/>
        </w:rPr>
        <w:t>trámite</w:t>
      </w:r>
      <w:r w:rsidR="00574EA1">
        <w:rPr>
          <w:sz w:val="24"/>
          <w:szCs w:val="24"/>
        </w:rPr>
        <w:t xml:space="preserve"> lo</w:t>
      </w:r>
      <w:r w:rsidR="00C27C1C">
        <w:rPr>
          <w:sz w:val="24"/>
          <w:szCs w:val="24"/>
        </w:rPr>
        <w:t>s recursos propuestos en su contra</w:t>
      </w:r>
      <w:r w:rsidR="00D571A6">
        <w:rPr>
          <w:sz w:val="24"/>
          <w:szCs w:val="24"/>
        </w:rPr>
        <w:t>.</w:t>
      </w:r>
    </w:p>
    <w:p w14:paraId="363090C4" w14:textId="77777777" w:rsidR="00722554" w:rsidRPr="00190178" w:rsidRDefault="00722554" w:rsidP="00985D3D">
      <w:pPr>
        <w:tabs>
          <w:tab w:val="left" w:pos="2070"/>
        </w:tabs>
        <w:spacing w:line="360" w:lineRule="auto"/>
        <w:rPr>
          <w:sz w:val="24"/>
          <w:szCs w:val="24"/>
        </w:rPr>
      </w:pPr>
    </w:p>
    <w:p w14:paraId="05C0434D" w14:textId="4DEDCD1D" w:rsidR="00B178C4" w:rsidRDefault="00C27C1C" w:rsidP="00985D3D">
      <w:pPr>
        <w:tabs>
          <w:tab w:val="left" w:pos="2070"/>
        </w:tabs>
        <w:spacing w:line="360" w:lineRule="auto"/>
        <w:rPr>
          <w:sz w:val="24"/>
          <w:szCs w:val="24"/>
        </w:rPr>
      </w:pPr>
      <w:r>
        <w:rPr>
          <w:sz w:val="24"/>
          <w:szCs w:val="24"/>
        </w:rPr>
        <w:t>2.8</w:t>
      </w:r>
      <w:r w:rsidR="00722554" w:rsidRPr="00190178">
        <w:rPr>
          <w:sz w:val="24"/>
          <w:szCs w:val="24"/>
        </w:rPr>
        <w:t xml:space="preserve">.- </w:t>
      </w:r>
      <w:r>
        <w:rPr>
          <w:sz w:val="24"/>
          <w:szCs w:val="24"/>
        </w:rPr>
        <w:t xml:space="preserve">Al </w:t>
      </w:r>
      <w:r w:rsidR="00BA154B">
        <w:rPr>
          <w:sz w:val="24"/>
          <w:szCs w:val="24"/>
        </w:rPr>
        <w:t>pronunciarse</w:t>
      </w:r>
      <w:r>
        <w:rPr>
          <w:sz w:val="24"/>
          <w:szCs w:val="24"/>
        </w:rPr>
        <w:t xml:space="preserve"> sobre la apelación, el Tribunal accionado, </w:t>
      </w:r>
      <w:r w:rsidR="00B209C4">
        <w:rPr>
          <w:sz w:val="24"/>
          <w:szCs w:val="24"/>
        </w:rPr>
        <w:t>en</w:t>
      </w:r>
      <w:r>
        <w:rPr>
          <w:sz w:val="24"/>
          <w:szCs w:val="24"/>
        </w:rPr>
        <w:t xml:space="preserve"> </w:t>
      </w:r>
      <w:r w:rsidR="00BA154B">
        <w:rPr>
          <w:sz w:val="24"/>
          <w:szCs w:val="24"/>
        </w:rPr>
        <w:t>providencia</w:t>
      </w:r>
      <w:r>
        <w:rPr>
          <w:sz w:val="24"/>
          <w:szCs w:val="24"/>
        </w:rPr>
        <w:t xml:space="preserve"> del </w:t>
      </w:r>
      <w:r w:rsidR="00BA154B">
        <w:rPr>
          <w:sz w:val="24"/>
          <w:szCs w:val="24"/>
        </w:rPr>
        <w:t>29 de enero de 2021, confirmó la decisión recurrida, en tanto</w:t>
      </w:r>
      <w:r w:rsidR="00E00C77">
        <w:rPr>
          <w:sz w:val="24"/>
          <w:szCs w:val="24"/>
        </w:rPr>
        <w:t xml:space="preserve"> </w:t>
      </w:r>
      <w:r w:rsidR="00C05AAA">
        <w:rPr>
          <w:sz w:val="24"/>
          <w:szCs w:val="24"/>
        </w:rPr>
        <w:t>los documentos con los que el demandante pretendía demostrar</w:t>
      </w:r>
      <w:r w:rsidR="00800789">
        <w:rPr>
          <w:sz w:val="24"/>
          <w:szCs w:val="24"/>
        </w:rPr>
        <w:t xml:space="preserve"> la materialización del embargo, no fueron allegados oportunamente, lo que imp</w:t>
      </w:r>
      <w:r w:rsidR="008256F0">
        <w:rPr>
          <w:sz w:val="24"/>
          <w:szCs w:val="24"/>
        </w:rPr>
        <w:t>edía</w:t>
      </w:r>
      <w:r w:rsidR="00800789">
        <w:rPr>
          <w:sz w:val="24"/>
          <w:szCs w:val="24"/>
        </w:rPr>
        <w:t xml:space="preserve"> que pu</w:t>
      </w:r>
      <w:r w:rsidR="008256F0">
        <w:rPr>
          <w:sz w:val="24"/>
          <w:szCs w:val="24"/>
        </w:rPr>
        <w:t xml:space="preserve">dieran ser </w:t>
      </w:r>
      <w:r w:rsidR="00800789">
        <w:rPr>
          <w:sz w:val="24"/>
          <w:szCs w:val="24"/>
        </w:rPr>
        <w:t xml:space="preserve">apreciados </w:t>
      </w:r>
      <w:r w:rsidR="00574EA1">
        <w:rPr>
          <w:sz w:val="24"/>
          <w:szCs w:val="24"/>
        </w:rPr>
        <w:t>en la segunda instancia</w:t>
      </w:r>
      <w:r w:rsidR="00B178C4">
        <w:rPr>
          <w:sz w:val="24"/>
          <w:szCs w:val="24"/>
        </w:rPr>
        <w:t>.</w:t>
      </w:r>
    </w:p>
    <w:p w14:paraId="04EB6D0A" w14:textId="77777777" w:rsidR="00B178C4" w:rsidRDefault="00B178C4" w:rsidP="00985D3D">
      <w:pPr>
        <w:tabs>
          <w:tab w:val="left" w:pos="2070"/>
        </w:tabs>
        <w:spacing w:line="360" w:lineRule="auto"/>
        <w:rPr>
          <w:sz w:val="24"/>
          <w:szCs w:val="24"/>
        </w:rPr>
      </w:pPr>
    </w:p>
    <w:p w14:paraId="65C8DF45" w14:textId="3112039F" w:rsidR="00F14F66" w:rsidRDefault="00B178C4" w:rsidP="00985D3D">
      <w:pPr>
        <w:tabs>
          <w:tab w:val="left" w:pos="2070"/>
        </w:tabs>
        <w:spacing w:line="360" w:lineRule="auto"/>
        <w:rPr>
          <w:sz w:val="24"/>
          <w:szCs w:val="24"/>
        </w:rPr>
      </w:pPr>
      <w:r>
        <w:rPr>
          <w:sz w:val="24"/>
          <w:szCs w:val="24"/>
        </w:rPr>
        <w:t>2.8.1.-</w:t>
      </w:r>
      <w:r w:rsidR="00467092">
        <w:rPr>
          <w:sz w:val="24"/>
          <w:szCs w:val="24"/>
        </w:rPr>
        <w:t xml:space="preserve"> </w:t>
      </w:r>
      <w:r>
        <w:rPr>
          <w:sz w:val="24"/>
          <w:szCs w:val="24"/>
        </w:rPr>
        <w:t xml:space="preserve">Aunado </w:t>
      </w:r>
      <w:r w:rsidR="00467092">
        <w:rPr>
          <w:sz w:val="24"/>
          <w:szCs w:val="24"/>
        </w:rPr>
        <w:t>a</w:t>
      </w:r>
      <w:r w:rsidR="00D272CE">
        <w:rPr>
          <w:sz w:val="24"/>
          <w:szCs w:val="24"/>
        </w:rPr>
        <w:t xml:space="preserve"> lo anterior, indicó que</w:t>
      </w:r>
      <w:r w:rsidR="00467092">
        <w:rPr>
          <w:sz w:val="24"/>
          <w:szCs w:val="24"/>
        </w:rPr>
        <w:t xml:space="preserve"> el demandante no formuló ninguna pretensión anulativa en contra de la Resolución de </w:t>
      </w:r>
      <w:r w:rsidR="00FC3E9F">
        <w:rPr>
          <w:sz w:val="24"/>
          <w:szCs w:val="24"/>
        </w:rPr>
        <w:t xml:space="preserve">Embargo </w:t>
      </w:r>
      <w:r w:rsidR="00467092">
        <w:rPr>
          <w:sz w:val="24"/>
          <w:szCs w:val="24"/>
        </w:rPr>
        <w:t xml:space="preserve">2017000000347 del 27 de junio de 2017, que era la </w:t>
      </w:r>
      <w:r w:rsidR="00FC3E9F">
        <w:rPr>
          <w:sz w:val="24"/>
          <w:szCs w:val="24"/>
        </w:rPr>
        <w:t xml:space="preserve">que </w:t>
      </w:r>
      <w:r w:rsidR="00467092">
        <w:rPr>
          <w:sz w:val="24"/>
          <w:szCs w:val="24"/>
        </w:rPr>
        <w:t>contenía la medida ejecutiva objeto de ataque en el recurso de apelación</w:t>
      </w:r>
      <w:r w:rsidR="00E77875">
        <w:rPr>
          <w:sz w:val="24"/>
          <w:szCs w:val="24"/>
        </w:rPr>
        <w:t xml:space="preserve">; pero que, si en gracia de discusión se aceptara </w:t>
      </w:r>
      <w:r w:rsidR="00FC3E9F">
        <w:rPr>
          <w:sz w:val="24"/>
          <w:szCs w:val="24"/>
        </w:rPr>
        <w:t>el debate</w:t>
      </w:r>
      <w:r w:rsidR="00E77875">
        <w:rPr>
          <w:sz w:val="24"/>
          <w:szCs w:val="24"/>
        </w:rPr>
        <w:t xml:space="preserve"> </w:t>
      </w:r>
      <w:r w:rsidR="00FC3E9F">
        <w:rPr>
          <w:sz w:val="24"/>
          <w:szCs w:val="24"/>
        </w:rPr>
        <w:t xml:space="preserve">sobre </w:t>
      </w:r>
      <w:r w:rsidR="00E77875">
        <w:rPr>
          <w:sz w:val="24"/>
          <w:szCs w:val="24"/>
        </w:rPr>
        <w:t xml:space="preserve">la legalidad de </w:t>
      </w:r>
      <w:r w:rsidR="00FC3E9F">
        <w:rPr>
          <w:sz w:val="24"/>
          <w:szCs w:val="24"/>
        </w:rPr>
        <w:t>dicha</w:t>
      </w:r>
      <w:r w:rsidR="00E77875">
        <w:rPr>
          <w:sz w:val="24"/>
          <w:szCs w:val="24"/>
        </w:rPr>
        <w:t xml:space="preserve"> medida ejecutiva</w:t>
      </w:r>
      <w:r w:rsidR="00B306F8">
        <w:rPr>
          <w:sz w:val="24"/>
          <w:szCs w:val="24"/>
        </w:rPr>
        <w:t>, lo cierto e</w:t>
      </w:r>
      <w:r w:rsidR="00814A80">
        <w:rPr>
          <w:sz w:val="24"/>
          <w:szCs w:val="24"/>
        </w:rPr>
        <w:t>ra</w:t>
      </w:r>
      <w:r w:rsidR="00B306F8">
        <w:rPr>
          <w:sz w:val="24"/>
          <w:szCs w:val="24"/>
        </w:rPr>
        <w:t xml:space="preserve"> que la suma pagada por el demandante no fue calculada con el valor actualizado </w:t>
      </w:r>
      <w:r w:rsidR="00B90D77">
        <w:rPr>
          <w:sz w:val="24"/>
          <w:szCs w:val="24"/>
        </w:rPr>
        <w:t xml:space="preserve">del predio, sino con el avalúo catastral sobre el que no existía </w:t>
      </w:r>
      <w:r w:rsidR="00FC3E9F">
        <w:rPr>
          <w:sz w:val="24"/>
          <w:szCs w:val="24"/>
        </w:rPr>
        <w:t>discrepancia</w:t>
      </w:r>
      <w:r w:rsidR="00B90D77">
        <w:rPr>
          <w:sz w:val="24"/>
          <w:szCs w:val="24"/>
        </w:rPr>
        <w:t xml:space="preserve"> alguna.</w:t>
      </w:r>
      <w:r w:rsidR="00C3569D">
        <w:rPr>
          <w:sz w:val="24"/>
          <w:szCs w:val="24"/>
        </w:rPr>
        <w:t xml:space="preserve"> Además, la medida cautelar podía decretarse antes de iniciarse el proceso de cobro coactivo, como lo estipula el artículo 837 del Estatuto Tributario.</w:t>
      </w:r>
    </w:p>
    <w:p w14:paraId="00BC276B" w14:textId="77777777" w:rsidR="00F14F66" w:rsidRDefault="00F14F66" w:rsidP="00985D3D">
      <w:pPr>
        <w:tabs>
          <w:tab w:val="left" w:pos="2070"/>
        </w:tabs>
        <w:spacing w:line="360" w:lineRule="auto"/>
        <w:rPr>
          <w:sz w:val="24"/>
          <w:szCs w:val="24"/>
        </w:rPr>
      </w:pPr>
    </w:p>
    <w:p w14:paraId="3D705B97" w14:textId="4D116D5E" w:rsidR="005033D9" w:rsidRDefault="00CE6F23" w:rsidP="00985D3D">
      <w:pPr>
        <w:tabs>
          <w:tab w:val="left" w:pos="2070"/>
        </w:tabs>
        <w:spacing w:line="360" w:lineRule="auto"/>
        <w:rPr>
          <w:b/>
          <w:sz w:val="24"/>
          <w:szCs w:val="24"/>
        </w:rPr>
      </w:pPr>
      <w:r>
        <w:rPr>
          <w:b/>
          <w:sz w:val="24"/>
          <w:szCs w:val="24"/>
        </w:rPr>
        <w:t xml:space="preserve">3.- </w:t>
      </w:r>
      <w:r w:rsidR="005033D9">
        <w:rPr>
          <w:b/>
          <w:sz w:val="24"/>
          <w:szCs w:val="24"/>
        </w:rPr>
        <w:t xml:space="preserve">Fundamento de la solicitud de amparo </w:t>
      </w:r>
    </w:p>
    <w:p w14:paraId="17124B74" w14:textId="77777777" w:rsidR="005033D9" w:rsidRDefault="005033D9" w:rsidP="00985D3D">
      <w:pPr>
        <w:tabs>
          <w:tab w:val="left" w:pos="2070"/>
        </w:tabs>
        <w:spacing w:line="360" w:lineRule="auto"/>
        <w:rPr>
          <w:b/>
          <w:sz w:val="24"/>
          <w:szCs w:val="24"/>
        </w:rPr>
      </w:pPr>
    </w:p>
    <w:p w14:paraId="33E55A16" w14:textId="13C55167" w:rsidR="005033D9" w:rsidRDefault="00814A80" w:rsidP="005033D9">
      <w:pPr>
        <w:tabs>
          <w:tab w:val="left" w:pos="2070"/>
        </w:tabs>
        <w:spacing w:line="360" w:lineRule="auto"/>
        <w:rPr>
          <w:sz w:val="24"/>
          <w:szCs w:val="24"/>
        </w:rPr>
      </w:pPr>
      <w:r>
        <w:rPr>
          <w:sz w:val="24"/>
          <w:szCs w:val="24"/>
        </w:rPr>
        <w:t>Se</w:t>
      </w:r>
      <w:r w:rsidR="005033D9">
        <w:rPr>
          <w:sz w:val="24"/>
          <w:szCs w:val="24"/>
        </w:rPr>
        <w:t xml:space="preserve"> </w:t>
      </w:r>
      <w:r w:rsidR="00CE2470">
        <w:rPr>
          <w:sz w:val="24"/>
          <w:szCs w:val="24"/>
        </w:rPr>
        <w:t xml:space="preserve">considera </w:t>
      </w:r>
      <w:r w:rsidR="00CA3D0A">
        <w:rPr>
          <w:sz w:val="24"/>
          <w:szCs w:val="24"/>
        </w:rPr>
        <w:t xml:space="preserve">que el Tribunal Administrativo del Atlántico vulneró </w:t>
      </w:r>
      <w:r w:rsidR="00CE2470">
        <w:rPr>
          <w:sz w:val="24"/>
          <w:szCs w:val="24"/>
        </w:rPr>
        <w:t xml:space="preserve">los derechos fundamentales invocados </w:t>
      </w:r>
      <w:r w:rsidR="00E34287">
        <w:rPr>
          <w:sz w:val="24"/>
          <w:szCs w:val="24"/>
        </w:rPr>
        <w:t>con</w:t>
      </w:r>
      <w:r w:rsidR="00CA3D0A">
        <w:rPr>
          <w:sz w:val="24"/>
          <w:szCs w:val="24"/>
        </w:rPr>
        <w:t xml:space="preserve"> </w:t>
      </w:r>
      <w:r w:rsidR="00CE2470">
        <w:rPr>
          <w:sz w:val="24"/>
          <w:szCs w:val="24"/>
        </w:rPr>
        <w:t xml:space="preserve">la providencia </w:t>
      </w:r>
      <w:r w:rsidR="00E34287">
        <w:rPr>
          <w:sz w:val="24"/>
          <w:szCs w:val="24"/>
        </w:rPr>
        <w:t xml:space="preserve">dictada </w:t>
      </w:r>
      <w:r w:rsidR="00CE2470">
        <w:rPr>
          <w:sz w:val="24"/>
          <w:szCs w:val="24"/>
        </w:rPr>
        <w:t xml:space="preserve">el 29 de enero de </w:t>
      </w:r>
      <w:r w:rsidR="005705C3">
        <w:rPr>
          <w:sz w:val="24"/>
          <w:szCs w:val="24"/>
        </w:rPr>
        <w:t>2021</w:t>
      </w:r>
      <w:r w:rsidR="005033D9">
        <w:rPr>
          <w:sz w:val="24"/>
          <w:szCs w:val="24"/>
        </w:rPr>
        <w:t xml:space="preserve">, en tanto incurrió </w:t>
      </w:r>
      <w:r w:rsidR="00E34287">
        <w:rPr>
          <w:sz w:val="24"/>
          <w:szCs w:val="24"/>
        </w:rPr>
        <w:t xml:space="preserve">con esta </w:t>
      </w:r>
      <w:r w:rsidR="005033D9">
        <w:rPr>
          <w:sz w:val="24"/>
          <w:szCs w:val="24"/>
        </w:rPr>
        <w:t>en:</w:t>
      </w:r>
    </w:p>
    <w:p w14:paraId="089AD223" w14:textId="77777777" w:rsidR="005033D9" w:rsidRDefault="005033D9" w:rsidP="005033D9">
      <w:pPr>
        <w:tabs>
          <w:tab w:val="left" w:pos="2070"/>
        </w:tabs>
        <w:spacing w:line="360" w:lineRule="auto"/>
        <w:rPr>
          <w:sz w:val="24"/>
          <w:szCs w:val="24"/>
        </w:rPr>
      </w:pPr>
    </w:p>
    <w:p w14:paraId="4F9B2EB6" w14:textId="249F99CD" w:rsidR="00CA3D0A" w:rsidRDefault="00CA3D0A" w:rsidP="005033D9">
      <w:pPr>
        <w:tabs>
          <w:tab w:val="left" w:pos="2070"/>
        </w:tabs>
        <w:spacing w:line="360" w:lineRule="auto"/>
        <w:rPr>
          <w:sz w:val="24"/>
          <w:szCs w:val="24"/>
        </w:rPr>
      </w:pPr>
      <w:r>
        <w:rPr>
          <w:sz w:val="24"/>
          <w:szCs w:val="24"/>
        </w:rPr>
        <w:t>3.1</w:t>
      </w:r>
      <w:r w:rsidR="005033D9">
        <w:rPr>
          <w:sz w:val="24"/>
          <w:szCs w:val="24"/>
        </w:rPr>
        <w:t xml:space="preserve">.- Un </w:t>
      </w:r>
      <w:r w:rsidR="005705C3" w:rsidRPr="00E34287">
        <w:rPr>
          <w:i/>
          <w:sz w:val="24"/>
          <w:szCs w:val="24"/>
        </w:rPr>
        <w:t>defecto fáctico</w:t>
      </w:r>
      <w:r>
        <w:rPr>
          <w:sz w:val="24"/>
          <w:szCs w:val="24"/>
        </w:rPr>
        <w:t xml:space="preserve">, en la medida en que </w:t>
      </w:r>
      <w:r w:rsidR="00C86EB2">
        <w:rPr>
          <w:sz w:val="24"/>
          <w:szCs w:val="24"/>
        </w:rPr>
        <w:t>pasó por alto que</w:t>
      </w:r>
      <w:r w:rsidR="00AD2259">
        <w:rPr>
          <w:sz w:val="24"/>
          <w:szCs w:val="24"/>
        </w:rPr>
        <w:t xml:space="preserve"> </w:t>
      </w:r>
      <w:r w:rsidR="00C86EB2">
        <w:rPr>
          <w:sz w:val="24"/>
          <w:szCs w:val="24"/>
        </w:rPr>
        <w:t xml:space="preserve">se demostró </w:t>
      </w:r>
      <w:r w:rsidR="00AD2259">
        <w:rPr>
          <w:sz w:val="24"/>
          <w:szCs w:val="24"/>
        </w:rPr>
        <w:t>el decreto y práctica de un embargo</w:t>
      </w:r>
      <w:r w:rsidR="00173024">
        <w:rPr>
          <w:sz w:val="24"/>
          <w:szCs w:val="24"/>
        </w:rPr>
        <w:t xml:space="preserve"> sobre las cuentas bancarias de </w:t>
      </w:r>
      <w:proofErr w:type="spellStart"/>
      <w:r w:rsidR="00173024">
        <w:rPr>
          <w:sz w:val="24"/>
          <w:szCs w:val="24"/>
        </w:rPr>
        <w:t>Ravachi</w:t>
      </w:r>
      <w:proofErr w:type="spellEnd"/>
      <w:r w:rsidR="00173024">
        <w:rPr>
          <w:sz w:val="24"/>
          <w:szCs w:val="24"/>
        </w:rPr>
        <w:t xml:space="preserve"> Dávila</w:t>
      </w:r>
      <w:r w:rsidR="006C223A">
        <w:rPr>
          <w:sz w:val="24"/>
          <w:szCs w:val="24"/>
        </w:rPr>
        <w:t>, sin existir un proceso de cobro coactivo previo</w:t>
      </w:r>
      <w:r w:rsidR="00C86EB2">
        <w:rPr>
          <w:sz w:val="24"/>
          <w:szCs w:val="24"/>
        </w:rPr>
        <w:t>.</w:t>
      </w:r>
      <w:r w:rsidR="006C223A">
        <w:rPr>
          <w:sz w:val="24"/>
          <w:szCs w:val="24"/>
        </w:rPr>
        <w:t xml:space="preserve"> </w:t>
      </w:r>
      <w:r w:rsidR="007664B2">
        <w:rPr>
          <w:sz w:val="24"/>
          <w:szCs w:val="24"/>
        </w:rPr>
        <w:t>Igualmente, omitió</w:t>
      </w:r>
      <w:r w:rsidR="00AA5F66">
        <w:rPr>
          <w:sz w:val="24"/>
          <w:szCs w:val="24"/>
        </w:rPr>
        <w:t xml:space="preserve"> </w:t>
      </w:r>
      <w:r w:rsidR="007664B2">
        <w:rPr>
          <w:sz w:val="24"/>
          <w:szCs w:val="24"/>
        </w:rPr>
        <w:t>el testimonio de William Montoya Restrepo, quien dio fe de la materialización del aludido embargo.</w:t>
      </w:r>
    </w:p>
    <w:p w14:paraId="7A5C339F" w14:textId="77777777" w:rsidR="007664B2" w:rsidRDefault="007664B2" w:rsidP="005033D9">
      <w:pPr>
        <w:tabs>
          <w:tab w:val="left" w:pos="2070"/>
        </w:tabs>
        <w:spacing w:line="360" w:lineRule="auto"/>
        <w:rPr>
          <w:sz w:val="24"/>
          <w:szCs w:val="24"/>
        </w:rPr>
      </w:pPr>
    </w:p>
    <w:p w14:paraId="1AC0317E" w14:textId="23BD26EC" w:rsidR="005033D9" w:rsidRPr="004D3AD0" w:rsidRDefault="007664B2" w:rsidP="005033D9">
      <w:pPr>
        <w:tabs>
          <w:tab w:val="left" w:pos="2070"/>
        </w:tabs>
        <w:spacing w:line="360" w:lineRule="auto"/>
        <w:rPr>
          <w:iCs/>
          <w:sz w:val="24"/>
          <w:szCs w:val="24"/>
        </w:rPr>
      </w:pPr>
      <w:r>
        <w:rPr>
          <w:sz w:val="24"/>
          <w:szCs w:val="24"/>
        </w:rPr>
        <w:t>3</w:t>
      </w:r>
      <w:r w:rsidR="005033D9">
        <w:rPr>
          <w:sz w:val="24"/>
          <w:szCs w:val="24"/>
        </w:rPr>
        <w:t>.2.</w:t>
      </w:r>
      <w:r w:rsidR="005033D9" w:rsidRPr="000611D7">
        <w:rPr>
          <w:sz w:val="24"/>
          <w:szCs w:val="24"/>
        </w:rPr>
        <w:t xml:space="preserve">- </w:t>
      </w:r>
      <w:r w:rsidR="00D34B8E">
        <w:rPr>
          <w:sz w:val="24"/>
          <w:szCs w:val="24"/>
        </w:rPr>
        <w:t xml:space="preserve">Un </w:t>
      </w:r>
      <w:r w:rsidR="00D34B8E" w:rsidRPr="00E34287">
        <w:rPr>
          <w:i/>
          <w:sz w:val="24"/>
          <w:szCs w:val="24"/>
        </w:rPr>
        <w:t>d</w:t>
      </w:r>
      <w:r w:rsidR="005033D9" w:rsidRPr="00E34287">
        <w:rPr>
          <w:i/>
          <w:sz w:val="24"/>
          <w:szCs w:val="24"/>
        </w:rPr>
        <w:t xml:space="preserve">efecto </w:t>
      </w:r>
      <w:r w:rsidR="00AB7646" w:rsidRPr="00E34287">
        <w:rPr>
          <w:i/>
          <w:sz w:val="24"/>
          <w:szCs w:val="24"/>
        </w:rPr>
        <w:t>sustantivo</w:t>
      </w:r>
      <w:r w:rsidR="00AB7646">
        <w:rPr>
          <w:sz w:val="24"/>
          <w:szCs w:val="24"/>
        </w:rPr>
        <w:t xml:space="preserve"> frente a la </w:t>
      </w:r>
      <w:r w:rsidR="00173024">
        <w:rPr>
          <w:sz w:val="24"/>
          <w:szCs w:val="24"/>
        </w:rPr>
        <w:t>aplicación</w:t>
      </w:r>
      <w:r w:rsidR="008D3A42">
        <w:rPr>
          <w:sz w:val="24"/>
          <w:szCs w:val="24"/>
        </w:rPr>
        <w:t xml:space="preserve"> </w:t>
      </w:r>
      <w:r w:rsidR="00E34287">
        <w:rPr>
          <w:sz w:val="24"/>
          <w:szCs w:val="24"/>
        </w:rPr>
        <w:t xml:space="preserve">de </w:t>
      </w:r>
      <w:r w:rsidR="00AB7646">
        <w:rPr>
          <w:sz w:val="24"/>
          <w:szCs w:val="24"/>
        </w:rPr>
        <w:t>los artículos 823 y 828 del Estatuto Tributario</w:t>
      </w:r>
      <w:r w:rsidR="008D3A42">
        <w:rPr>
          <w:sz w:val="24"/>
          <w:szCs w:val="24"/>
        </w:rPr>
        <w:t>,</w:t>
      </w:r>
      <w:r w:rsidR="005033D9" w:rsidRPr="000611D7">
        <w:rPr>
          <w:sz w:val="24"/>
          <w:szCs w:val="24"/>
        </w:rPr>
        <w:t xml:space="preserve"> </w:t>
      </w:r>
      <w:r w:rsidR="008D3A42">
        <w:rPr>
          <w:sz w:val="24"/>
          <w:szCs w:val="24"/>
        </w:rPr>
        <w:t xml:space="preserve">en la medida en que </w:t>
      </w:r>
      <w:r w:rsidR="000A65E4">
        <w:rPr>
          <w:sz w:val="24"/>
          <w:szCs w:val="24"/>
        </w:rPr>
        <w:t xml:space="preserve">estos prescriben que el inicio de un cobro coactivo es </w:t>
      </w:r>
      <w:r w:rsidR="000A65E4">
        <w:rPr>
          <w:sz w:val="24"/>
          <w:szCs w:val="24"/>
        </w:rPr>
        <w:lastRenderedPageBreak/>
        <w:t>menester para decretar una medida cautelar</w:t>
      </w:r>
      <w:r w:rsidR="00BF48E7">
        <w:rPr>
          <w:sz w:val="24"/>
          <w:szCs w:val="24"/>
        </w:rPr>
        <w:t>.</w:t>
      </w:r>
      <w:r w:rsidR="00195B48">
        <w:rPr>
          <w:sz w:val="24"/>
          <w:szCs w:val="24"/>
        </w:rPr>
        <w:t xml:space="preserve"> </w:t>
      </w:r>
      <w:r w:rsidR="00BF48E7">
        <w:rPr>
          <w:sz w:val="24"/>
          <w:szCs w:val="24"/>
        </w:rPr>
        <w:t>Además</w:t>
      </w:r>
      <w:r w:rsidR="00195B48">
        <w:rPr>
          <w:sz w:val="24"/>
          <w:szCs w:val="24"/>
        </w:rPr>
        <w:t>, el embargo previo al mandamiento ejecuti</w:t>
      </w:r>
      <w:r w:rsidR="00BF48E7">
        <w:rPr>
          <w:sz w:val="24"/>
          <w:szCs w:val="24"/>
        </w:rPr>
        <w:t>vo, previsto en</w:t>
      </w:r>
      <w:r w:rsidR="00195B48">
        <w:rPr>
          <w:sz w:val="24"/>
          <w:szCs w:val="24"/>
        </w:rPr>
        <w:t xml:space="preserve"> </w:t>
      </w:r>
      <w:r w:rsidR="00BF48E7">
        <w:rPr>
          <w:sz w:val="24"/>
          <w:szCs w:val="24"/>
        </w:rPr>
        <w:t>el</w:t>
      </w:r>
      <w:r w:rsidR="00195B48">
        <w:rPr>
          <w:sz w:val="24"/>
          <w:szCs w:val="24"/>
        </w:rPr>
        <w:t xml:space="preserve"> artículo 837 </w:t>
      </w:r>
      <w:proofErr w:type="spellStart"/>
      <w:r w:rsidR="00195B48" w:rsidRPr="00833486">
        <w:rPr>
          <w:i/>
          <w:sz w:val="24"/>
          <w:szCs w:val="24"/>
        </w:rPr>
        <w:t>ejusdem</w:t>
      </w:r>
      <w:proofErr w:type="spellEnd"/>
      <w:r w:rsidR="00195B48">
        <w:rPr>
          <w:sz w:val="24"/>
          <w:szCs w:val="24"/>
        </w:rPr>
        <w:t xml:space="preserve">, no </w:t>
      </w:r>
      <w:r w:rsidR="0061549A">
        <w:rPr>
          <w:sz w:val="24"/>
          <w:szCs w:val="24"/>
        </w:rPr>
        <w:t xml:space="preserve">justifica </w:t>
      </w:r>
      <w:r w:rsidR="00405BAE">
        <w:rPr>
          <w:sz w:val="24"/>
          <w:szCs w:val="24"/>
        </w:rPr>
        <w:t xml:space="preserve">la práctica de </w:t>
      </w:r>
      <w:r w:rsidR="000F10EC">
        <w:rPr>
          <w:sz w:val="24"/>
          <w:szCs w:val="24"/>
        </w:rPr>
        <w:t>la cautela sin</w:t>
      </w:r>
      <w:r w:rsidR="00405BAE">
        <w:rPr>
          <w:sz w:val="24"/>
          <w:szCs w:val="24"/>
        </w:rPr>
        <w:t xml:space="preserve"> mediar un proceso de</w:t>
      </w:r>
      <w:r w:rsidR="0061549A">
        <w:rPr>
          <w:sz w:val="24"/>
          <w:szCs w:val="24"/>
        </w:rPr>
        <w:t xml:space="preserve"> cobro </w:t>
      </w:r>
      <w:r w:rsidR="00405BAE">
        <w:rPr>
          <w:sz w:val="24"/>
          <w:szCs w:val="24"/>
        </w:rPr>
        <w:t>previo</w:t>
      </w:r>
      <w:r w:rsidR="0061549A">
        <w:rPr>
          <w:sz w:val="24"/>
          <w:szCs w:val="24"/>
        </w:rPr>
        <w:t>.</w:t>
      </w:r>
    </w:p>
    <w:p w14:paraId="5A376B20" w14:textId="77777777" w:rsidR="005033D9" w:rsidRDefault="005033D9" w:rsidP="005033D9">
      <w:pPr>
        <w:tabs>
          <w:tab w:val="left" w:pos="2070"/>
        </w:tabs>
        <w:spacing w:line="360" w:lineRule="auto"/>
        <w:rPr>
          <w:i/>
          <w:sz w:val="24"/>
          <w:szCs w:val="24"/>
        </w:rPr>
      </w:pPr>
    </w:p>
    <w:p w14:paraId="1B15A399" w14:textId="4B7F6E27" w:rsidR="005033D9" w:rsidRDefault="0061549A" w:rsidP="005033D9">
      <w:pPr>
        <w:tabs>
          <w:tab w:val="left" w:pos="2070"/>
        </w:tabs>
        <w:spacing w:line="360" w:lineRule="auto"/>
        <w:rPr>
          <w:i/>
          <w:sz w:val="24"/>
          <w:szCs w:val="24"/>
        </w:rPr>
      </w:pPr>
      <w:r>
        <w:rPr>
          <w:sz w:val="24"/>
          <w:szCs w:val="24"/>
        </w:rPr>
        <w:t>3</w:t>
      </w:r>
      <w:r w:rsidR="005033D9">
        <w:rPr>
          <w:sz w:val="24"/>
          <w:szCs w:val="24"/>
        </w:rPr>
        <w:t>.3.</w:t>
      </w:r>
      <w:r w:rsidR="005033D9" w:rsidRPr="000611D7">
        <w:rPr>
          <w:sz w:val="24"/>
          <w:szCs w:val="24"/>
        </w:rPr>
        <w:t xml:space="preserve">- </w:t>
      </w:r>
      <w:r>
        <w:rPr>
          <w:sz w:val="24"/>
          <w:szCs w:val="24"/>
        </w:rPr>
        <w:t xml:space="preserve">Un </w:t>
      </w:r>
      <w:r w:rsidRPr="00833486">
        <w:rPr>
          <w:i/>
          <w:sz w:val="24"/>
          <w:szCs w:val="24"/>
        </w:rPr>
        <w:t>defecto por violación directa de la Constitución</w:t>
      </w:r>
      <w:r w:rsidR="005033D9" w:rsidRPr="000611D7">
        <w:rPr>
          <w:sz w:val="24"/>
          <w:szCs w:val="24"/>
        </w:rPr>
        <w:t>,</w:t>
      </w:r>
      <w:r>
        <w:rPr>
          <w:sz w:val="24"/>
          <w:szCs w:val="24"/>
        </w:rPr>
        <w:t xml:space="preserve"> pues se trasgredieron los artículos 2, 13, 29, 53 y 229 de la </w:t>
      </w:r>
      <w:r w:rsidR="00405BAE">
        <w:rPr>
          <w:sz w:val="24"/>
          <w:szCs w:val="24"/>
        </w:rPr>
        <w:t xml:space="preserve">norma </w:t>
      </w:r>
      <w:proofErr w:type="spellStart"/>
      <w:r w:rsidR="00405BAE" w:rsidRPr="00405BAE">
        <w:rPr>
          <w:i/>
          <w:sz w:val="24"/>
          <w:szCs w:val="24"/>
        </w:rPr>
        <w:t>iusfundamental</w:t>
      </w:r>
      <w:proofErr w:type="spellEnd"/>
      <w:r>
        <w:rPr>
          <w:sz w:val="24"/>
          <w:szCs w:val="24"/>
        </w:rPr>
        <w:t>.</w:t>
      </w:r>
    </w:p>
    <w:p w14:paraId="2831F535" w14:textId="77777777" w:rsidR="005033D9" w:rsidRDefault="005033D9" w:rsidP="005033D9">
      <w:pPr>
        <w:tabs>
          <w:tab w:val="left" w:pos="2070"/>
        </w:tabs>
        <w:spacing w:line="360" w:lineRule="auto"/>
        <w:rPr>
          <w:i/>
          <w:sz w:val="24"/>
          <w:szCs w:val="24"/>
        </w:rPr>
      </w:pPr>
    </w:p>
    <w:p w14:paraId="0D20466B" w14:textId="41E6465E" w:rsidR="005033D9" w:rsidRPr="005033D9" w:rsidRDefault="005033D9" w:rsidP="005033D9">
      <w:pPr>
        <w:tabs>
          <w:tab w:val="left" w:pos="2070"/>
        </w:tabs>
        <w:spacing w:line="360" w:lineRule="auto"/>
        <w:rPr>
          <w:b/>
          <w:sz w:val="24"/>
          <w:szCs w:val="24"/>
        </w:rPr>
      </w:pPr>
      <w:r>
        <w:rPr>
          <w:b/>
          <w:sz w:val="24"/>
          <w:szCs w:val="24"/>
        </w:rPr>
        <w:t xml:space="preserve">4.- Pretensiones </w:t>
      </w:r>
    </w:p>
    <w:p w14:paraId="3A266794" w14:textId="68EFDB8E" w:rsidR="005033D9" w:rsidRDefault="005033D9" w:rsidP="005033D9">
      <w:pPr>
        <w:tabs>
          <w:tab w:val="left" w:pos="2070"/>
        </w:tabs>
        <w:spacing w:line="360" w:lineRule="auto"/>
        <w:rPr>
          <w:sz w:val="24"/>
          <w:szCs w:val="24"/>
        </w:rPr>
      </w:pPr>
    </w:p>
    <w:p w14:paraId="54C6BFD2" w14:textId="7AF345FA" w:rsidR="00CF2720" w:rsidRDefault="00CF2720" w:rsidP="005033D9">
      <w:pPr>
        <w:tabs>
          <w:tab w:val="left" w:pos="2070"/>
        </w:tabs>
        <w:spacing w:line="360" w:lineRule="auto"/>
        <w:rPr>
          <w:sz w:val="24"/>
          <w:szCs w:val="24"/>
        </w:rPr>
      </w:pPr>
      <w:r>
        <w:rPr>
          <w:sz w:val="24"/>
          <w:szCs w:val="24"/>
        </w:rPr>
        <w:t>Se elevaron las siguientes:</w:t>
      </w:r>
    </w:p>
    <w:p w14:paraId="61D071C4" w14:textId="1DBBA901" w:rsidR="00CF2720" w:rsidRDefault="00CF2720" w:rsidP="005033D9">
      <w:pPr>
        <w:tabs>
          <w:tab w:val="left" w:pos="2070"/>
        </w:tabs>
        <w:spacing w:line="360" w:lineRule="auto"/>
        <w:rPr>
          <w:sz w:val="24"/>
          <w:szCs w:val="24"/>
        </w:rPr>
      </w:pPr>
    </w:p>
    <w:p w14:paraId="434F4D00" w14:textId="29FB1047" w:rsidR="00CF2720" w:rsidRPr="007337C4" w:rsidRDefault="00CF2720" w:rsidP="007337C4">
      <w:pPr>
        <w:tabs>
          <w:tab w:val="left" w:pos="2070"/>
        </w:tabs>
        <w:ind w:left="567" w:right="567"/>
        <w:rPr>
          <w:i/>
          <w:sz w:val="22"/>
          <w:szCs w:val="24"/>
        </w:rPr>
      </w:pPr>
      <w:r>
        <w:rPr>
          <w:sz w:val="24"/>
          <w:szCs w:val="24"/>
        </w:rPr>
        <w:t>“</w:t>
      </w:r>
      <w:r w:rsidRPr="007337C4">
        <w:rPr>
          <w:i/>
          <w:sz w:val="22"/>
          <w:szCs w:val="24"/>
        </w:rPr>
        <w:t xml:space="preserve">(…) solicito se </w:t>
      </w:r>
      <w:r w:rsidR="001E6210">
        <w:rPr>
          <w:i/>
          <w:sz w:val="22"/>
          <w:szCs w:val="24"/>
        </w:rPr>
        <w:t>(…)</w:t>
      </w:r>
      <w:r w:rsidRPr="007337C4">
        <w:rPr>
          <w:i/>
          <w:sz w:val="22"/>
          <w:szCs w:val="24"/>
        </w:rPr>
        <w:t xml:space="preserve"> protejan </w:t>
      </w:r>
      <w:r w:rsidR="001E6210">
        <w:rPr>
          <w:i/>
          <w:sz w:val="22"/>
          <w:szCs w:val="24"/>
        </w:rPr>
        <w:t>[los]</w:t>
      </w:r>
      <w:r w:rsidRPr="007337C4">
        <w:rPr>
          <w:i/>
          <w:sz w:val="22"/>
          <w:szCs w:val="24"/>
        </w:rPr>
        <w:t xml:space="preserve"> derechos fundamentales a la igualdad, al debid</w:t>
      </w:r>
      <w:r w:rsidR="007337C4">
        <w:rPr>
          <w:i/>
          <w:sz w:val="22"/>
          <w:szCs w:val="24"/>
        </w:rPr>
        <w:t>o proceso, a la protección del [t]</w:t>
      </w:r>
      <w:proofErr w:type="spellStart"/>
      <w:r w:rsidRPr="007337C4">
        <w:rPr>
          <w:i/>
          <w:sz w:val="22"/>
          <w:szCs w:val="24"/>
        </w:rPr>
        <w:t>rabajo</w:t>
      </w:r>
      <w:proofErr w:type="spellEnd"/>
      <w:r w:rsidRPr="007337C4">
        <w:rPr>
          <w:i/>
          <w:sz w:val="22"/>
          <w:szCs w:val="24"/>
        </w:rPr>
        <w:t xml:space="preserve">, </w:t>
      </w:r>
      <w:r w:rsidR="007337C4">
        <w:rPr>
          <w:i/>
          <w:sz w:val="22"/>
          <w:szCs w:val="24"/>
        </w:rPr>
        <w:t>[de] [a]</w:t>
      </w:r>
      <w:proofErr w:type="spellStart"/>
      <w:r w:rsidRPr="007337C4">
        <w:rPr>
          <w:i/>
          <w:sz w:val="22"/>
          <w:szCs w:val="24"/>
        </w:rPr>
        <w:t>cceso</w:t>
      </w:r>
      <w:proofErr w:type="spellEnd"/>
      <w:r w:rsidRPr="007337C4">
        <w:rPr>
          <w:i/>
          <w:sz w:val="22"/>
          <w:szCs w:val="24"/>
        </w:rPr>
        <w:t xml:space="preserve"> efectivo</w:t>
      </w:r>
      <w:r w:rsidR="007337C4">
        <w:rPr>
          <w:i/>
          <w:sz w:val="22"/>
          <w:szCs w:val="24"/>
        </w:rPr>
        <w:t xml:space="preserve"> a la [a]</w:t>
      </w:r>
      <w:proofErr w:type="spellStart"/>
      <w:r w:rsidR="007337C4">
        <w:rPr>
          <w:i/>
          <w:sz w:val="22"/>
          <w:szCs w:val="24"/>
        </w:rPr>
        <w:t>dministración</w:t>
      </w:r>
      <w:proofErr w:type="spellEnd"/>
      <w:r w:rsidR="007337C4">
        <w:rPr>
          <w:i/>
          <w:sz w:val="22"/>
          <w:szCs w:val="24"/>
        </w:rPr>
        <w:t xml:space="preserve"> de [j]</w:t>
      </w:r>
      <w:proofErr w:type="spellStart"/>
      <w:r w:rsidRPr="007337C4">
        <w:rPr>
          <w:i/>
          <w:sz w:val="22"/>
          <w:szCs w:val="24"/>
        </w:rPr>
        <w:t>usticia</w:t>
      </w:r>
      <w:proofErr w:type="spellEnd"/>
      <w:r w:rsidRPr="007337C4">
        <w:rPr>
          <w:i/>
          <w:sz w:val="22"/>
          <w:szCs w:val="24"/>
        </w:rPr>
        <w:t xml:space="preserve">; y en consecuencia, se ordene a los accionados: (…) </w:t>
      </w:r>
    </w:p>
    <w:p w14:paraId="04075CB4" w14:textId="717EE1C5" w:rsidR="00CF2720" w:rsidRPr="007337C4" w:rsidRDefault="00CF2720" w:rsidP="007337C4">
      <w:pPr>
        <w:tabs>
          <w:tab w:val="left" w:pos="2070"/>
        </w:tabs>
        <w:ind w:left="567" w:right="567"/>
        <w:rPr>
          <w:i/>
          <w:sz w:val="22"/>
          <w:szCs w:val="24"/>
        </w:rPr>
      </w:pPr>
    </w:p>
    <w:p w14:paraId="2BA83B34" w14:textId="59EA296F" w:rsidR="00CF2720" w:rsidRDefault="00CF2720" w:rsidP="007337C4">
      <w:pPr>
        <w:tabs>
          <w:tab w:val="left" w:pos="2070"/>
        </w:tabs>
        <w:ind w:left="567" w:right="567"/>
        <w:rPr>
          <w:sz w:val="24"/>
          <w:szCs w:val="24"/>
        </w:rPr>
      </w:pPr>
      <w:r w:rsidRPr="007337C4">
        <w:rPr>
          <w:i/>
          <w:sz w:val="22"/>
          <w:szCs w:val="24"/>
        </w:rPr>
        <w:t xml:space="preserve">1. Se anule la sentencia de </w:t>
      </w:r>
      <w:r w:rsidR="00DE5E1A">
        <w:rPr>
          <w:i/>
          <w:sz w:val="22"/>
          <w:szCs w:val="24"/>
        </w:rPr>
        <w:t>[s]</w:t>
      </w:r>
      <w:proofErr w:type="spellStart"/>
      <w:r w:rsidRPr="007337C4">
        <w:rPr>
          <w:i/>
          <w:sz w:val="22"/>
          <w:szCs w:val="24"/>
        </w:rPr>
        <w:t>egunda</w:t>
      </w:r>
      <w:proofErr w:type="spellEnd"/>
      <w:r w:rsidRPr="007337C4">
        <w:rPr>
          <w:i/>
          <w:sz w:val="22"/>
          <w:szCs w:val="24"/>
        </w:rPr>
        <w:t xml:space="preserve"> </w:t>
      </w:r>
      <w:r w:rsidR="00DE5E1A">
        <w:rPr>
          <w:i/>
          <w:sz w:val="22"/>
          <w:szCs w:val="24"/>
        </w:rPr>
        <w:t>[i]</w:t>
      </w:r>
      <w:proofErr w:type="spellStart"/>
      <w:r w:rsidR="00DE5E1A">
        <w:rPr>
          <w:i/>
          <w:sz w:val="22"/>
          <w:szCs w:val="24"/>
        </w:rPr>
        <w:t>nstancia</w:t>
      </w:r>
      <w:proofErr w:type="spellEnd"/>
      <w:r w:rsidR="00DE5E1A">
        <w:rPr>
          <w:i/>
          <w:sz w:val="22"/>
          <w:szCs w:val="24"/>
        </w:rPr>
        <w:t xml:space="preserve"> que </w:t>
      </w:r>
      <w:proofErr w:type="spellStart"/>
      <w:r w:rsidR="00DE5E1A">
        <w:rPr>
          <w:i/>
          <w:sz w:val="22"/>
          <w:szCs w:val="24"/>
        </w:rPr>
        <w:t>desat</w:t>
      </w:r>
      <w:proofErr w:type="spellEnd"/>
      <w:r w:rsidR="00DE5E1A">
        <w:rPr>
          <w:i/>
          <w:sz w:val="22"/>
          <w:szCs w:val="24"/>
        </w:rPr>
        <w:t>[</w:t>
      </w:r>
      <w:proofErr w:type="spellStart"/>
      <w:r w:rsidR="00DE5E1A">
        <w:rPr>
          <w:i/>
          <w:sz w:val="22"/>
          <w:szCs w:val="24"/>
        </w:rPr>
        <w:t>ó</w:t>
      </w:r>
      <w:proofErr w:type="spellEnd"/>
      <w:r w:rsidR="00DE5E1A">
        <w:rPr>
          <w:i/>
          <w:sz w:val="22"/>
          <w:szCs w:val="24"/>
        </w:rPr>
        <w:t>]</w:t>
      </w:r>
      <w:r w:rsidRPr="007337C4">
        <w:rPr>
          <w:i/>
          <w:sz w:val="22"/>
          <w:szCs w:val="24"/>
        </w:rPr>
        <w:t xml:space="preserve"> el recu</w:t>
      </w:r>
      <w:r w:rsidR="00DE5E1A">
        <w:rPr>
          <w:i/>
          <w:sz w:val="22"/>
          <w:szCs w:val="24"/>
        </w:rPr>
        <w:t xml:space="preserve">rso de APELACIÓN proferida </w:t>
      </w:r>
      <w:r w:rsidR="00EA001F">
        <w:rPr>
          <w:i/>
          <w:sz w:val="22"/>
          <w:szCs w:val="24"/>
        </w:rPr>
        <w:t xml:space="preserve">[por] </w:t>
      </w:r>
      <w:r w:rsidR="00DE5E1A">
        <w:rPr>
          <w:i/>
          <w:sz w:val="22"/>
          <w:szCs w:val="24"/>
        </w:rPr>
        <w:t xml:space="preserve">los </w:t>
      </w:r>
      <w:r w:rsidR="00EA001F">
        <w:rPr>
          <w:i/>
          <w:sz w:val="22"/>
          <w:szCs w:val="24"/>
        </w:rPr>
        <w:t>[</w:t>
      </w:r>
      <w:r w:rsidR="00DE5E1A">
        <w:rPr>
          <w:i/>
          <w:sz w:val="22"/>
          <w:szCs w:val="24"/>
        </w:rPr>
        <w:t>m]</w:t>
      </w:r>
      <w:proofErr w:type="spellStart"/>
      <w:r w:rsidRPr="007337C4">
        <w:rPr>
          <w:i/>
          <w:sz w:val="22"/>
          <w:szCs w:val="24"/>
        </w:rPr>
        <w:t>agistrados</w:t>
      </w:r>
      <w:proofErr w:type="spellEnd"/>
      <w:r w:rsidRPr="007337C4">
        <w:rPr>
          <w:i/>
          <w:sz w:val="22"/>
          <w:szCs w:val="24"/>
        </w:rPr>
        <w:t xml:space="preserve"> del Tribunal Administrativo del Atlántico Sección C (…) En su defecto se ordene que se profiera sentencia a</w:t>
      </w:r>
      <w:r w:rsidR="00DE5E1A">
        <w:rPr>
          <w:i/>
          <w:sz w:val="22"/>
          <w:szCs w:val="24"/>
        </w:rPr>
        <w:t>justada a la ley como manda el [a]</w:t>
      </w:r>
      <w:proofErr w:type="spellStart"/>
      <w:r w:rsidR="00DE5E1A">
        <w:rPr>
          <w:i/>
          <w:sz w:val="22"/>
          <w:szCs w:val="24"/>
        </w:rPr>
        <w:t>rtículo</w:t>
      </w:r>
      <w:proofErr w:type="spellEnd"/>
      <w:r w:rsidR="00DE5E1A">
        <w:rPr>
          <w:i/>
          <w:sz w:val="22"/>
          <w:szCs w:val="24"/>
        </w:rPr>
        <w:t xml:space="preserve"> 230 [c]</w:t>
      </w:r>
      <w:proofErr w:type="spellStart"/>
      <w:r w:rsidR="00DE5E1A">
        <w:rPr>
          <w:i/>
          <w:sz w:val="22"/>
          <w:szCs w:val="24"/>
        </w:rPr>
        <w:t>onstitucional</w:t>
      </w:r>
      <w:proofErr w:type="spellEnd"/>
      <w:r w:rsidR="00DE5E1A">
        <w:rPr>
          <w:i/>
          <w:sz w:val="22"/>
          <w:szCs w:val="24"/>
        </w:rPr>
        <w:t xml:space="preserve"> por los [m]</w:t>
      </w:r>
      <w:proofErr w:type="spellStart"/>
      <w:r w:rsidRPr="007337C4">
        <w:rPr>
          <w:i/>
          <w:sz w:val="22"/>
          <w:szCs w:val="24"/>
        </w:rPr>
        <w:t>agistrados</w:t>
      </w:r>
      <w:proofErr w:type="spellEnd"/>
      <w:r w:rsidRPr="007337C4">
        <w:rPr>
          <w:i/>
          <w:sz w:val="22"/>
          <w:szCs w:val="24"/>
        </w:rPr>
        <w:t xml:space="preserve"> </w:t>
      </w:r>
      <w:r w:rsidR="00B13D9A">
        <w:rPr>
          <w:i/>
          <w:sz w:val="22"/>
          <w:szCs w:val="24"/>
        </w:rPr>
        <w:t>[sic]</w:t>
      </w:r>
      <w:r w:rsidRPr="007337C4">
        <w:rPr>
          <w:i/>
          <w:sz w:val="22"/>
          <w:szCs w:val="24"/>
        </w:rPr>
        <w:t xml:space="preserve"> en la que prosperen los cargos formulados contra la sentencia de primera instancia y se acojan las pretensiones de la demanda (…)</w:t>
      </w:r>
      <w:r w:rsidR="007337C4">
        <w:rPr>
          <w:sz w:val="24"/>
          <w:szCs w:val="24"/>
        </w:rPr>
        <w:t>”</w:t>
      </w:r>
      <w:r w:rsidR="00B13D9A">
        <w:rPr>
          <w:rStyle w:val="Refdenotaalpie"/>
          <w:sz w:val="24"/>
          <w:szCs w:val="24"/>
        </w:rPr>
        <w:footnoteReference w:id="5"/>
      </w:r>
      <w:r w:rsidR="00B13D9A">
        <w:rPr>
          <w:sz w:val="24"/>
          <w:szCs w:val="24"/>
        </w:rPr>
        <w:t>.</w:t>
      </w:r>
    </w:p>
    <w:p w14:paraId="15ABB403" w14:textId="77777777" w:rsidR="00CF2720" w:rsidRDefault="00CF2720" w:rsidP="005033D9">
      <w:pPr>
        <w:tabs>
          <w:tab w:val="left" w:pos="2070"/>
        </w:tabs>
        <w:spacing w:line="360" w:lineRule="auto"/>
        <w:rPr>
          <w:sz w:val="24"/>
          <w:szCs w:val="24"/>
        </w:rPr>
      </w:pPr>
    </w:p>
    <w:p w14:paraId="6BAA3029" w14:textId="6C09D391" w:rsidR="00CE6F23" w:rsidRDefault="005033D9" w:rsidP="00985D3D">
      <w:pPr>
        <w:tabs>
          <w:tab w:val="left" w:pos="2070"/>
        </w:tabs>
        <w:spacing w:line="360" w:lineRule="auto"/>
        <w:rPr>
          <w:b/>
          <w:sz w:val="24"/>
          <w:szCs w:val="24"/>
        </w:rPr>
      </w:pPr>
      <w:r>
        <w:rPr>
          <w:b/>
          <w:sz w:val="24"/>
          <w:szCs w:val="24"/>
        </w:rPr>
        <w:t xml:space="preserve">5.- </w:t>
      </w:r>
      <w:r w:rsidR="00CE6F23">
        <w:rPr>
          <w:b/>
          <w:sz w:val="24"/>
          <w:szCs w:val="24"/>
        </w:rPr>
        <w:t>Trámite de la acción de tutela y fundamento de la oposición</w:t>
      </w:r>
    </w:p>
    <w:p w14:paraId="782B7E5B" w14:textId="77777777" w:rsidR="00CE6F23" w:rsidRPr="00CF26ED" w:rsidRDefault="00CE6F23" w:rsidP="00985D3D">
      <w:pPr>
        <w:tabs>
          <w:tab w:val="left" w:pos="2070"/>
        </w:tabs>
        <w:spacing w:line="360" w:lineRule="auto"/>
        <w:rPr>
          <w:sz w:val="24"/>
          <w:szCs w:val="24"/>
        </w:rPr>
      </w:pPr>
    </w:p>
    <w:p w14:paraId="512D64E4" w14:textId="1FAC34C2" w:rsidR="00CE6F23" w:rsidRPr="00CE6F23" w:rsidRDefault="00E6133F" w:rsidP="00985D3D">
      <w:pPr>
        <w:tabs>
          <w:tab w:val="left" w:pos="2070"/>
        </w:tabs>
        <w:spacing w:line="360" w:lineRule="auto"/>
        <w:rPr>
          <w:sz w:val="24"/>
          <w:szCs w:val="24"/>
        </w:rPr>
      </w:pPr>
      <w:r>
        <w:rPr>
          <w:sz w:val="24"/>
          <w:szCs w:val="24"/>
        </w:rPr>
        <w:t xml:space="preserve">5.1.- </w:t>
      </w:r>
      <w:r w:rsidR="00CE6F23">
        <w:rPr>
          <w:sz w:val="24"/>
          <w:szCs w:val="24"/>
        </w:rPr>
        <w:t xml:space="preserve">Mediante proveído del </w:t>
      </w:r>
      <w:r w:rsidR="00CF26ED">
        <w:rPr>
          <w:sz w:val="24"/>
          <w:szCs w:val="24"/>
        </w:rPr>
        <w:t>26</w:t>
      </w:r>
      <w:r w:rsidR="00CE6F23">
        <w:rPr>
          <w:sz w:val="24"/>
          <w:szCs w:val="24"/>
        </w:rPr>
        <w:t xml:space="preserve"> de </w:t>
      </w:r>
      <w:r w:rsidR="00CF26ED">
        <w:rPr>
          <w:sz w:val="24"/>
          <w:szCs w:val="24"/>
        </w:rPr>
        <w:t>julio</w:t>
      </w:r>
      <w:r w:rsidR="00CE6F23">
        <w:rPr>
          <w:sz w:val="24"/>
          <w:szCs w:val="24"/>
        </w:rPr>
        <w:t xml:space="preserve"> de 2021</w:t>
      </w:r>
      <w:r w:rsidR="00CE6F23">
        <w:rPr>
          <w:rStyle w:val="Refdenotaalpie"/>
          <w:sz w:val="24"/>
          <w:szCs w:val="24"/>
        </w:rPr>
        <w:footnoteReference w:id="6"/>
      </w:r>
      <w:r w:rsidR="00CE6F23">
        <w:rPr>
          <w:sz w:val="24"/>
          <w:szCs w:val="24"/>
        </w:rPr>
        <w:t xml:space="preserve"> esta Subsecc</w:t>
      </w:r>
      <w:r>
        <w:rPr>
          <w:sz w:val="24"/>
          <w:szCs w:val="24"/>
        </w:rPr>
        <w:t xml:space="preserve">ión admitió la acción de tutela; vinculó </w:t>
      </w:r>
      <w:r w:rsidRPr="00E6133F">
        <w:rPr>
          <w:sz w:val="24"/>
          <w:szCs w:val="24"/>
        </w:rPr>
        <w:t xml:space="preserve">al Juzgado 4º Administrativo de Barranquilla, a la empresa Mirto Capital S.A.S. y al </w:t>
      </w:r>
      <w:r>
        <w:rPr>
          <w:sz w:val="24"/>
          <w:szCs w:val="24"/>
        </w:rPr>
        <w:t xml:space="preserve">D.E.I.P. de Barranquilla; </w:t>
      </w:r>
      <w:r w:rsidR="00CE6F23">
        <w:rPr>
          <w:sz w:val="24"/>
          <w:szCs w:val="24"/>
        </w:rPr>
        <w:t xml:space="preserve">y ordenó su notificación a las partes y a los </w:t>
      </w:r>
      <w:r w:rsidR="00A40872">
        <w:rPr>
          <w:sz w:val="24"/>
          <w:szCs w:val="24"/>
        </w:rPr>
        <w:t>vinculados</w:t>
      </w:r>
      <w:r w:rsidR="00CE6F23">
        <w:rPr>
          <w:sz w:val="24"/>
          <w:szCs w:val="24"/>
        </w:rPr>
        <w:t xml:space="preserve">. </w:t>
      </w:r>
    </w:p>
    <w:p w14:paraId="55846C86" w14:textId="77777777" w:rsidR="00CE6F23" w:rsidRPr="00CF26ED" w:rsidRDefault="00CE6F23" w:rsidP="00985D3D">
      <w:pPr>
        <w:tabs>
          <w:tab w:val="left" w:pos="2070"/>
        </w:tabs>
        <w:spacing w:line="360" w:lineRule="auto"/>
        <w:rPr>
          <w:sz w:val="24"/>
          <w:szCs w:val="24"/>
        </w:rPr>
      </w:pPr>
    </w:p>
    <w:p w14:paraId="5C310E67" w14:textId="36801135" w:rsidR="00CE6F23" w:rsidRPr="00B375CA" w:rsidRDefault="005033D9" w:rsidP="00985D3D">
      <w:pPr>
        <w:tabs>
          <w:tab w:val="left" w:pos="2070"/>
        </w:tabs>
        <w:spacing w:line="360" w:lineRule="auto"/>
        <w:rPr>
          <w:sz w:val="24"/>
          <w:szCs w:val="24"/>
        </w:rPr>
      </w:pPr>
      <w:r>
        <w:rPr>
          <w:sz w:val="24"/>
          <w:szCs w:val="24"/>
        </w:rPr>
        <w:t>5</w:t>
      </w:r>
      <w:r w:rsidR="004C6449" w:rsidRPr="00B375CA">
        <w:rPr>
          <w:sz w:val="24"/>
          <w:szCs w:val="24"/>
        </w:rPr>
        <w:t>.</w:t>
      </w:r>
      <w:r w:rsidR="00A40872">
        <w:rPr>
          <w:sz w:val="24"/>
          <w:szCs w:val="24"/>
        </w:rPr>
        <w:t>2</w:t>
      </w:r>
      <w:r w:rsidR="004C6449" w:rsidRPr="00B375CA">
        <w:rPr>
          <w:sz w:val="24"/>
          <w:szCs w:val="24"/>
        </w:rPr>
        <w:t xml:space="preserve">.- </w:t>
      </w:r>
      <w:r w:rsidR="00A40872">
        <w:rPr>
          <w:sz w:val="24"/>
          <w:szCs w:val="24"/>
        </w:rPr>
        <w:t>El Tribunal Administrativo del Atlántico</w:t>
      </w:r>
      <w:r w:rsidR="00642136">
        <w:rPr>
          <w:sz w:val="24"/>
          <w:szCs w:val="24"/>
        </w:rPr>
        <w:t xml:space="preserve"> </w:t>
      </w:r>
      <w:r w:rsidR="00BC6361">
        <w:rPr>
          <w:sz w:val="24"/>
          <w:szCs w:val="24"/>
        </w:rPr>
        <w:t>acotó</w:t>
      </w:r>
      <w:r w:rsidR="00642136">
        <w:rPr>
          <w:sz w:val="24"/>
          <w:szCs w:val="24"/>
        </w:rPr>
        <w:t>, entre otras,</w:t>
      </w:r>
      <w:r w:rsidR="00BC6361">
        <w:rPr>
          <w:sz w:val="24"/>
          <w:szCs w:val="24"/>
        </w:rPr>
        <w:t xml:space="preserve"> que la tutela no es una instancia adicional al trámite ordinario.</w:t>
      </w:r>
    </w:p>
    <w:p w14:paraId="4BAAFFC4" w14:textId="77777777" w:rsidR="00722554" w:rsidRPr="00B375CA" w:rsidRDefault="00722554" w:rsidP="00985D3D">
      <w:pPr>
        <w:tabs>
          <w:tab w:val="left" w:pos="2070"/>
        </w:tabs>
        <w:spacing w:line="360" w:lineRule="auto"/>
        <w:rPr>
          <w:sz w:val="24"/>
          <w:szCs w:val="24"/>
        </w:rPr>
      </w:pPr>
    </w:p>
    <w:p w14:paraId="32782FC6" w14:textId="25A0C327" w:rsidR="00326F04" w:rsidRDefault="005033D9" w:rsidP="00985D3D">
      <w:pPr>
        <w:tabs>
          <w:tab w:val="left" w:pos="2070"/>
        </w:tabs>
        <w:spacing w:line="360" w:lineRule="auto"/>
        <w:rPr>
          <w:sz w:val="24"/>
          <w:szCs w:val="24"/>
        </w:rPr>
      </w:pPr>
      <w:r>
        <w:rPr>
          <w:sz w:val="24"/>
          <w:szCs w:val="24"/>
        </w:rPr>
        <w:t>5</w:t>
      </w:r>
      <w:r w:rsidR="00BC6361">
        <w:rPr>
          <w:sz w:val="24"/>
          <w:szCs w:val="24"/>
        </w:rPr>
        <w:t>.3</w:t>
      </w:r>
      <w:r w:rsidR="00B375CA" w:rsidRPr="003E3F7C">
        <w:rPr>
          <w:sz w:val="24"/>
          <w:szCs w:val="24"/>
        </w:rPr>
        <w:t xml:space="preserve">.- </w:t>
      </w:r>
      <w:r w:rsidR="00BC6361">
        <w:rPr>
          <w:sz w:val="24"/>
          <w:szCs w:val="24"/>
        </w:rPr>
        <w:t xml:space="preserve">El Juzgado 4º Administrativo de Barranquilla, por su parte, </w:t>
      </w:r>
      <w:r w:rsidR="00FD6DB9">
        <w:rPr>
          <w:sz w:val="24"/>
          <w:szCs w:val="24"/>
        </w:rPr>
        <w:t>hizo un recuento de los hitos procesales que estimó relevantes.</w:t>
      </w:r>
      <w:r w:rsidR="00BC6361">
        <w:rPr>
          <w:sz w:val="24"/>
          <w:szCs w:val="24"/>
        </w:rPr>
        <w:t xml:space="preserve"> </w:t>
      </w:r>
    </w:p>
    <w:p w14:paraId="236B869D" w14:textId="4952A147" w:rsidR="00FD6DB9" w:rsidRDefault="00FD6DB9" w:rsidP="00985D3D">
      <w:pPr>
        <w:tabs>
          <w:tab w:val="left" w:pos="2070"/>
        </w:tabs>
        <w:spacing w:line="360" w:lineRule="auto"/>
        <w:rPr>
          <w:sz w:val="24"/>
          <w:szCs w:val="24"/>
        </w:rPr>
      </w:pPr>
    </w:p>
    <w:p w14:paraId="020200C8" w14:textId="6A20E86E" w:rsidR="00FD6DB9" w:rsidRPr="003E3F7C" w:rsidRDefault="00FD6DB9" w:rsidP="00985D3D">
      <w:pPr>
        <w:tabs>
          <w:tab w:val="left" w:pos="2070"/>
        </w:tabs>
        <w:spacing w:line="360" w:lineRule="auto"/>
        <w:rPr>
          <w:i/>
          <w:sz w:val="24"/>
          <w:szCs w:val="24"/>
        </w:rPr>
      </w:pPr>
      <w:r>
        <w:rPr>
          <w:sz w:val="24"/>
          <w:szCs w:val="24"/>
        </w:rPr>
        <w:t xml:space="preserve">5.4.- El señor Nicolás de la Cruz </w:t>
      </w:r>
      <w:proofErr w:type="spellStart"/>
      <w:r>
        <w:rPr>
          <w:sz w:val="24"/>
          <w:szCs w:val="24"/>
        </w:rPr>
        <w:t>P</w:t>
      </w:r>
      <w:r w:rsidR="00ED2995">
        <w:rPr>
          <w:sz w:val="24"/>
          <w:szCs w:val="24"/>
        </w:rPr>
        <w:t>icalú</w:t>
      </w:r>
      <w:r>
        <w:rPr>
          <w:sz w:val="24"/>
          <w:szCs w:val="24"/>
        </w:rPr>
        <w:t>a</w:t>
      </w:r>
      <w:proofErr w:type="spellEnd"/>
      <w:r>
        <w:rPr>
          <w:sz w:val="24"/>
          <w:szCs w:val="24"/>
        </w:rPr>
        <w:t xml:space="preserve"> allegó escrito adicional</w:t>
      </w:r>
      <w:r w:rsidR="00E93B8B">
        <w:rPr>
          <w:sz w:val="24"/>
          <w:szCs w:val="24"/>
        </w:rPr>
        <w:t xml:space="preserve">, en el cual reiteró los hechos, </w:t>
      </w:r>
      <w:r w:rsidR="00ED2995">
        <w:rPr>
          <w:sz w:val="24"/>
          <w:szCs w:val="24"/>
        </w:rPr>
        <w:t>fundamentos</w:t>
      </w:r>
      <w:r w:rsidR="00E93B8B">
        <w:rPr>
          <w:sz w:val="24"/>
          <w:szCs w:val="24"/>
        </w:rPr>
        <w:t xml:space="preserve"> y pretensiones </w:t>
      </w:r>
      <w:r w:rsidR="00ED2995">
        <w:rPr>
          <w:sz w:val="24"/>
          <w:szCs w:val="24"/>
        </w:rPr>
        <w:t>aducidos en el de amparo.</w:t>
      </w:r>
    </w:p>
    <w:p w14:paraId="01B63FBC" w14:textId="77777777" w:rsidR="00326F04" w:rsidRPr="003E3F7C" w:rsidRDefault="00326F04" w:rsidP="00326F04">
      <w:pPr>
        <w:spacing w:line="360" w:lineRule="auto"/>
        <w:ind w:right="-93"/>
        <w:jc w:val="center"/>
        <w:rPr>
          <w:rFonts w:cs="Arial"/>
          <w:b/>
          <w:sz w:val="24"/>
          <w:szCs w:val="24"/>
        </w:rPr>
      </w:pPr>
      <w:r w:rsidRPr="003E3F7C">
        <w:rPr>
          <w:rFonts w:cs="Arial"/>
          <w:b/>
          <w:sz w:val="24"/>
          <w:szCs w:val="24"/>
        </w:rPr>
        <w:lastRenderedPageBreak/>
        <w:t>II. CONSIDERACIONES</w:t>
      </w:r>
    </w:p>
    <w:p w14:paraId="47B7B476" w14:textId="77777777" w:rsidR="00326F04" w:rsidRPr="003E3F7C" w:rsidRDefault="00326F04" w:rsidP="00326F04">
      <w:pPr>
        <w:spacing w:line="360" w:lineRule="auto"/>
        <w:ind w:right="49"/>
        <w:rPr>
          <w:rFonts w:cs="Arial"/>
          <w:b/>
          <w:sz w:val="24"/>
          <w:szCs w:val="24"/>
        </w:rPr>
      </w:pPr>
    </w:p>
    <w:p w14:paraId="6D92F04D" w14:textId="77777777" w:rsidR="00326F04" w:rsidRPr="003E3F7C" w:rsidRDefault="00326F04" w:rsidP="00326F04">
      <w:pPr>
        <w:spacing w:line="360" w:lineRule="auto"/>
        <w:ind w:right="49"/>
        <w:rPr>
          <w:rFonts w:cs="Arial"/>
          <w:b/>
          <w:sz w:val="24"/>
          <w:szCs w:val="24"/>
        </w:rPr>
      </w:pPr>
      <w:r w:rsidRPr="003E3F7C">
        <w:rPr>
          <w:rFonts w:cs="Arial"/>
          <w:b/>
          <w:sz w:val="24"/>
          <w:szCs w:val="24"/>
        </w:rPr>
        <w:t xml:space="preserve">1.- Competencia </w:t>
      </w:r>
    </w:p>
    <w:p w14:paraId="1EC0DC99" w14:textId="2BA35B1D" w:rsidR="00B375CA" w:rsidRPr="003E3F7C" w:rsidRDefault="00B375CA" w:rsidP="00985D3D">
      <w:pPr>
        <w:tabs>
          <w:tab w:val="left" w:pos="2070"/>
        </w:tabs>
        <w:spacing w:line="360" w:lineRule="auto"/>
        <w:rPr>
          <w:i/>
          <w:sz w:val="24"/>
          <w:szCs w:val="24"/>
        </w:rPr>
      </w:pPr>
    </w:p>
    <w:p w14:paraId="06851D90" w14:textId="7F150221" w:rsidR="003E3F7C" w:rsidRPr="003E3F7C" w:rsidRDefault="003E3F7C" w:rsidP="003E3F7C">
      <w:pPr>
        <w:spacing w:line="360" w:lineRule="auto"/>
        <w:rPr>
          <w:sz w:val="24"/>
          <w:szCs w:val="24"/>
        </w:rPr>
      </w:pPr>
      <w:r w:rsidRPr="003E3F7C">
        <w:rPr>
          <w:sz w:val="24"/>
          <w:szCs w:val="24"/>
        </w:rPr>
        <w:t xml:space="preserve">Esta Sala es competente para conocer </w:t>
      </w:r>
      <w:r w:rsidR="003A6A16">
        <w:rPr>
          <w:sz w:val="24"/>
          <w:szCs w:val="24"/>
        </w:rPr>
        <w:t xml:space="preserve">de </w:t>
      </w:r>
      <w:r w:rsidRPr="003E3F7C">
        <w:rPr>
          <w:sz w:val="24"/>
          <w:szCs w:val="24"/>
        </w:rPr>
        <w:t>la acción de tutela</w:t>
      </w:r>
      <w:r w:rsidR="004D3AD0">
        <w:rPr>
          <w:sz w:val="24"/>
          <w:szCs w:val="24"/>
        </w:rPr>
        <w:t>,</w:t>
      </w:r>
      <w:r w:rsidRPr="003E3F7C">
        <w:rPr>
          <w:sz w:val="24"/>
          <w:szCs w:val="24"/>
        </w:rPr>
        <w:t xml:space="preserve"> de conformidad con lo establecido en los </w:t>
      </w:r>
      <w:r w:rsidRPr="003E3F7C">
        <w:rPr>
          <w:rFonts w:eastAsia="Arial"/>
          <w:sz w:val="24"/>
          <w:szCs w:val="24"/>
        </w:rPr>
        <w:t>artículos 86 de la Constitución, 37 del Decreto 2591 de 1991 y 13 del Acuerdo 080 de 2019 de la Sala Plena del Consejo de Estado.</w:t>
      </w:r>
    </w:p>
    <w:p w14:paraId="7FAB4841" w14:textId="1ABF33EA" w:rsidR="00BB3844" w:rsidRDefault="00BB3844" w:rsidP="00326F04">
      <w:pPr>
        <w:tabs>
          <w:tab w:val="left" w:pos="2070"/>
        </w:tabs>
        <w:spacing w:line="360" w:lineRule="auto"/>
        <w:rPr>
          <w:sz w:val="24"/>
          <w:szCs w:val="24"/>
        </w:rPr>
      </w:pPr>
    </w:p>
    <w:p w14:paraId="50B99EFC" w14:textId="77777777" w:rsidR="003E3F7C" w:rsidRPr="003E3F7C" w:rsidRDefault="003E3F7C" w:rsidP="003E3F7C">
      <w:pPr>
        <w:widowControl w:val="0"/>
        <w:spacing w:line="360" w:lineRule="auto"/>
        <w:ind w:right="49"/>
        <w:rPr>
          <w:b/>
          <w:sz w:val="24"/>
          <w:szCs w:val="24"/>
        </w:rPr>
      </w:pPr>
      <w:r w:rsidRPr="003E3F7C">
        <w:rPr>
          <w:rFonts w:eastAsia="Dotum"/>
          <w:b/>
          <w:sz w:val="24"/>
          <w:szCs w:val="24"/>
        </w:rPr>
        <w:t xml:space="preserve">2.- De la legitimación en la causa </w:t>
      </w:r>
    </w:p>
    <w:p w14:paraId="7C151A50" w14:textId="77777777" w:rsidR="003E3F7C" w:rsidRPr="003E3F7C" w:rsidRDefault="003E3F7C" w:rsidP="003E3F7C">
      <w:pPr>
        <w:spacing w:line="360" w:lineRule="auto"/>
        <w:ind w:right="49"/>
        <w:rPr>
          <w:rFonts w:eastAsia="Times New Roman"/>
          <w:bCs/>
          <w:sz w:val="24"/>
          <w:szCs w:val="24"/>
          <w:lang w:eastAsia="es-ES"/>
        </w:rPr>
      </w:pPr>
    </w:p>
    <w:p w14:paraId="509F5710"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 xml:space="preserve">La legitimación en la causa consiste, de una parte, en ser el titular del derecho o del interés que se invoca como fundamento de las pretensiones que se aducen, y, de otra, en ser el sujeto frente a quien deben reclamarse y controvertirse estas. Así estarían definidas la legitimación en la causa por activa y por pasiva, respectivamente. </w:t>
      </w:r>
    </w:p>
    <w:p w14:paraId="0BDBDF27" w14:textId="77777777" w:rsidR="003E3F7C" w:rsidRPr="003E3F7C" w:rsidRDefault="003E3F7C" w:rsidP="003E3F7C">
      <w:pPr>
        <w:spacing w:line="360" w:lineRule="auto"/>
        <w:ind w:right="49"/>
        <w:rPr>
          <w:rFonts w:eastAsia="Times New Roman"/>
          <w:bCs/>
          <w:sz w:val="24"/>
          <w:szCs w:val="24"/>
          <w:lang w:val="es-ES" w:eastAsia="es-ES"/>
        </w:rPr>
      </w:pPr>
    </w:p>
    <w:p w14:paraId="0D0C8295" w14:textId="77777777" w:rsidR="003E3F7C" w:rsidRPr="003E3F7C" w:rsidRDefault="003E3F7C" w:rsidP="003E3F7C">
      <w:pPr>
        <w:spacing w:line="360" w:lineRule="auto"/>
        <w:ind w:right="49"/>
        <w:rPr>
          <w:rFonts w:eastAsia="Times New Roman"/>
          <w:bCs/>
          <w:sz w:val="24"/>
          <w:szCs w:val="24"/>
          <w:lang w:val="es-ES" w:eastAsia="es-ES"/>
        </w:rPr>
      </w:pPr>
      <w:r w:rsidRPr="003E3F7C">
        <w:rPr>
          <w:rFonts w:eastAsia="Times New Roman"/>
          <w:bCs/>
          <w:sz w:val="24"/>
          <w:szCs w:val="24"/>
          <w:lang w:val="es-ES" w:eastAsia="es-ES"/>
        </w:rPr>
        <w:t>De esta manera, si los demandantes carecen de legitimación en la causa, no será posible que se les satisfaga las pretensiones que aducen, toda vez que no ostentan la titularidad de la relación jurídica, del derecho o del interés sustancial que les sirve de soporte a sus pedimentos. Ahora, si son los demandados los que no están legitimados, no podrán ser constreñidos a realizar en favor de alguien alguna prestación, puesto que lo pretendido ha debido suplicársele a otros sujetos</w:t>
      </w:r>
      <w:r w:rsidRPr="003E3F7C">
        <w:rPr>
          <w:rFonts w:eastAsia="Times New Roman"/>
          <w:bCs/>
          <w:sz w:val="24"/>
          <w:szCs w:val="24"/>
          <w:vertAlign w:val="superscript"/>
          <w:lang w:val="es-ES" w:eastAsia="es-ES"/>
        </w:rPr>
        <w:footnoteReference w:id="7"/>
      </w:r>
      <w:r w:rsidRPr="003E3F7C">
        <w:rPr>
          <w:rFonts w:eastAsia="Times New Roman"/>
          <w:bCs/>
          <w:sz w:val="24"/>
          <w:szCs w:val="24"/>
          <w:lang w:val="es-ES" w:eastAsia="es-ES"/>
        </w:rPr>
        <w:t xml:space="preserve">. </w:t>
      </w:r>
    </w:p>
    <w:p w14:paraId="7B931BD1" w14:textId="77777777" w:rsidR="003E3F7C" w:rsidRPr="003E3F7C" w:rsidRDefault="003E3F7C" w:rsidP="003E3F7C">
      <w:pPr>
        <w:shd w:val="clear" w:color="auto" w:fill="FFFFFF"/>
        <w:spacing w:line="360" w:lineRule="auto"/>
        <w:ind w:right="49"/>
        <w:textAlignment w:val="baseline"/>
        <w:rPr>
          <w:color w:val="000000"/>
          <w:sz w:val="24"/>
          <w:szCs w:val="24"/>
          <w:shd w:val="clear" w:color="auto" w:fill="FFFFFF"/>
        </w:rPr>
      </w:pPr>
    </w:p>
    <w:p w14:paraId="559F2D7E" w14:textId="77777777" w:rsidR="003E3F7C" w:rsidRPr="003E3F7C" w:rsidRDefault="003E3F7C" w:rsidP="003E3F7C">
      <w:pPr>
        <w:spacing w:line="360" w:lineRule="auto"/>
        <w:ind w:right="49"/>
        <w:contextualSpacing/>
        <w:rPr>
          <w:rFonts w:eastAsia="Verdana"/>
          <w:sz w:val="24"/>
          <w:szCs w:val="24"/>
        </w:rPr>
      </w:pPr>
      <w:r w:rsidRPr="003E3F7C">
        <w:rPr>
          <w:rFonts w:eastAsia="Verdana"/>
          <w:sz w:val="24"/>
          <w:szCs w:val="24"/>
        </w:rPr>
        <w:t>Respecto de la acción de tutela en contra de providencias, son titulares del derecho y, por ende, se encuentran legitimados en la causa por activa para promoverla, quienes fueron parte</w:t>
      </w:r>
      <w:r w:rsidRPr="003E3F7C">
        <w:rPr>
          <w:rStyle w:val="Refdenotaalpie"/>
          <w:rFonts w:eastAsia="Verdana"/>
          <w:sz w:val="24"/>
          <w:szCs w:val="24"/>
        </w:rPr>
        <w:footnoteReference w:id="8"/>
      </w:r>
      <w:r w:rsidRPr="003E3F7C">
        <w:rPr>
          <w:rFonts w:eastAsia="Verdana"/>
          <w:sz w:val="24"/>
          <w:szCs w:val="24"/>
        </w:rPr>
        <w:t xml:space="preserve"> en los procesos judiciales. Sin embargo, para que los profesionales del derecho que actuaron en tales asuntos puedan invocar la causa tuitiva, requieren de un poder especial</w:t>
      </w:r>
      <w:r w:rsidRPr="003E3F7C">
        <w:rPr>
          <w:rStyle w:val="Refdenotaalpie"/>
          <w:rFonts w:eastAsia="Verdana"/>
          <w:sz w:val="24"/>
          <w:szCs w:val="24"/>
        </w:rPr>
        <w:footnoteReference w:id="9"/>
      </w:r>
      <w:r w:rsidRPr="003E3F7C">
        <w:rPr>
          <w:rFonts w:eastAsia="Verdana"/>
          <w:sz w:val="24"/>
          <w:szCs w:val="24"/>
        </w:rPr>
        <w:t>.</w:t>
      </w:r>
    </w:p>
    <w:p w14:paraId="4A0C30D1" w14:textId="77777777" w:rsidR="003E3F7C" w:rsidRDefault="003E3F7C" w:rsidP="00326F04">
      <w:pPr>
        <w:tabs>
          <w:tab w:val="left" w:pos="2070"/>
        </w:tabs>
        <w:spacing w:line="360" w:lineRule="auto"/>
        <w:rPr>
          <w:sz w:val="24"/>
          <w:szCs w:val="24"/>
        </w:rPr>
      </w:pPr>
    </w:p>
    <w:p w14:paraId="391DD8A1" w14:textId="6838075E" w:rsidR="003E3F7C" w:rsidRDefault="003E3F7C" w:rsidP="00326F04">
      <w:pPr>
        <w:tabs>
          <w:tab w:val="left" w:pos="2070"/>
        </w:tabs>
        <w:spacing w:line="360" w:lineRule="auto"/>
        <w:rPr>
          <w:b/>
          <w:sz w:val="24"/>
          <w:szCs w:val="24"/>
        </w:rPr>
      </w:pPr>
      <w:r>
        <w:rPr>
          <w:b/>
          <w:sz w:val="24"/>
          <w:szCs w:val="24"/>
        </w:rPr>
        <w:lastRenderedPageBreak/>
        <w:t xml:space="preserve">3.- Caso concreto </w:t>
      </w:r>
    </w:p>
    <w:p w14:paraId="2F8B2C51" w14:textId="77777777" w:rsidR="005033D9" w:rsidRDefault="005033D9" w:rsidP="00326F04">
      <w:pPr>
        <w:tabs>
          <w:tab w:val="left" w:pos="2070"/>
        </w:tabs>
        <w:spacing w:line="360" w:lineRule="auto"/>
        <w:rPr>
          <w:sz w:val="24"/>
          <w:szCs w:val="24"/>
        </w:rPr>
      </w:pPr>
    </w:p>
    <w:p w14:paraId="715A8F9D" w14:textId="2C70BC76" w:rsidR="006C684F" w:rsidRDefault="00EC2195" w:rsidP="00326F04">
      <w:pPr>
        <w:tabs>
          <w:tab w:val="left" w:pos="2070"/>
        </w:tabs>
        <w:spacing w:line="360" w:lineRule="auto"/>
        <w:rPr>
          <w:sz w:val="24"/>
          <w:szCs w:val="24"/>
        </w:rPr>
      </w:pPr>
      <w:r>
        <w:rPr>
          <w:sz w:val="24"/>
          <w:szCs w:val="24"/>
        </w:rPr>
        <w:t xml:space="preserve">En el presente asunto, se tiene que el señor </w:t>
      </w:r>
      <w:r w:rsidR="009D5912">
        <w:rPr>
          <w:sz w:val="24"/>
          <w:szCs w:val="24"/>
        </w:rPr>
        <w:t xml:space="preserve">Alberto </w:t>
      </w:r>
      <w:proofErr w:type="spellStart"/>
      <w:r w:rsidR="009D5912">
        <w:rPr>
          <w:sz w:val="24"/>
          <w:szCs w:val="24"/>
        </w:rPr>
        <w:t>Ravachi</w:t>
      </w:r>
      <w:proofErr w:type="spellEnd"/>
      <w:r w:rsidR="009D5912">
        <w:rPr>
          <w:sz w:val="24"/>
          <w:szCs w:val="24"/>
        </w:rPr>
        <w:t xml:space="preserve"> Dávila</w:t>
      </w:r>
      <w:r w:rsidR="00853523">
        <w:rPr>
          <w:sz w:val="24"/>
          <w:szCs w:val="24"/>
        </w:rPr>
        <w:t xml:space="preserve"> y la sociedad Mirto Capital S.A.S.</w:t>
      </w:r>
      <w:r>
        <w:rPr>
          <w:sz w:val="24"/>
          <w:szCs w:val="24"/>
        </w:rPr>
        <w:t>, en su calidad de demandante</w:t>
      </w:r>
      <w:r w:rsidR="00853523">
        <w:rPr>
          <w:sz w:val="24"/>
          <w:szCs w:val="24"/>
        </w:rPr>
        <w:t>s</w:t>
      </w:r>
      <w:r>
        <w:rPr>
          <w:sz w:val="24"/>
          <w:szCs w:val="24"/>
        </w:rPr>
        <w:t xml:space="preserve"> dentro del medio de control de </w:t>
      </w:r>
      <w:r w:rsidR="00853523" w:rsidRPr="00844CB3">
        <w:rPr>
          <w:sz w:val="24"/>
          <w:szCs w:val="24"/>
        </w:rPr>
        <w:t>nulidad y restablecimiento del derecho No. 08001333300420180039900/01</w:t>
      </w:r>
      <w:r>
        <w:rPr>
          <w:sz w:val="24"/>
          <w:szCs w:val="24"/>
        </w:rPr>
        <w:t xml:space="preserve">, </w:t>
      </w:r>
      <w:r w:rsidR="00853523">
        <w:rPr>
          <w:sz w:val="24"/>
          <w:szCs w:val="24"/>
        </w:rPr>
        <w:t xml:space="preserve">son los </w:t>
      </w:r>
      <w:r>
        <w:rPr>
          <w:sz w:val="24"/>
          <w:szCs w:val="24"/>
        </w:rPr>
        <w:t>legítimo</w:t>
      </w:r>
      <w:r w:rsidR="00853523">
        <w:rPr>
          <w:sz w:val="24"/>
          <w:szCs w:val="24"/>
        </w:rPr>
        <w:t>s</w:t>
      </w:r>
      <w:r>
        <w:rPr>
          <w:sz w:val="24"/>
          <w:szCs w:val="24"/>
        </w:rPr>
        <w:t xml:space="preserve"> titular</w:t>
      </w:r>
      <w:r w:rsidR="00853523">
        <w:rPr>
          <w:sz w:val="24"/>
          <w:szCs w:val="24"/>
        </w:rPr>
        <w:t>es</w:t>
      </w:r>
      <w:r>
        <w:rPr>
          <w:sz w:val="24"/>
          <w:szCs w:val="24"/>
        </w:rPr>
        <w:t xml:space="preserve"> de los derechos fundamentales que se aducen vulnerados en </w:t>
      </w:r>
      <w:r w:rsidR="00584607">
        <w:rPr>
          <w:sz w:val="24"/>
          <w:szCs w:val="24"/>
        </w:rPr>
        <w:t>esta</w:t>
      </w:r>
      <w:r>
        <w:rPr>
          <w:sz w:val="24"/>
          <w:szCs w:val="24"/>
        </w:rPr>
        <w:t xml:space="preserve"> acción tuitiva. </w:t>
      </w:r>
    </w:p>
    <w:p w14:paraId="3E7DB0A0" w14:textId="78152A71" w:rsidR="0007131C" w:rsidRDefault="004D3AD0" w:rsidP="00326F04">
      <w:pPr>
        <w:tabs>
          <w:tab w:val="left" w:pos="2070"/>
        </w:tabs>
        <w:spacing w:line="360" w:lineRule="auto"/>
        <w:rPr>
          <w:sz w:val="24"/>
          <w:szCs w:val="24"/>
        </w:rPr>
      </w:pPr>
      <w:r>
        <w:rPr>
          <w:sz w:val="24"/>
          <w:szCs w:val="24"/>
        </w:rPr>
        <w:t xml:space="preserve">No obstante, </w:t>
      </w:r>
      <w:r w:rsidR="00EC2195">
        <w:rPr>
          <w:sz w:val="24"/>
          <w:szCs w:val="24"/>
        </w:rPr>
        <w:t>r</w:t>
      </w:r>
      <w:r w:rsidR="003E3F7C" w:rsidRPr="00EC2195">
        <w:rPr>
          <w:sz w:val="24"/>
          <w:szCs w:val="24"/>
        </w:rPr>
        <w:t>evisado el expediente</w:t>
      </w:r>
      <w:r>
        <w:rPr>
          <w:sz w:val="24"/>
          <w:szCs w:val="24"/>
        </w:rPr>
        <w:t>,</w:t>
      </w:r>
      <w:r w:rsidR="003E3F7C" w:rsidRPr="00EC2195">
        <w:rPr>
          <w:sz w:val="24"/>
          <w:szCs w:val="24"/>
        </w:rPr>
        <w:t xml:space="preserve"> se observa que no obra mandato otorgado por </w:t>
      </w:r>
      <w:r w:rsidR="00C11842">
        <w:rPr>
          <w:sz w:val="24"/>
          <w:szCs w:val="24"/>
        </w:rPr>
        <w:t xml:space="preserve">los prenombrados en </w:t>
      </w:r>
      <w:r w:rsidR="00DD6C33">
        <w:rPr>
          <w:sz w:val="24"/>
          <w:szCs w:val="24"/>
        </w:rPr>
        <w:t>favor de</w:t>
      </w:r>
      <w:r w:rsidR="00C11842">
        <w:rPr>
          <w:sz w:val="24"/>
          <w:szCs w:val="24"/>
        </w:rPr>
        <w:t xml:space="preserve">l abogado Nicolás de la Cruz </w:t>
      </w:r>
      <w:proofErr w:type="spellStart"/>
      <w:r w:rsidR="00C11842">
        <w:rPr>
          <w:sz w:val="24"/>
          <w:szCs w:val="24"/>
        </w:rPr>
        <w:t>Picalúa</w:t>
      </w:r>
      <w:proofErr w:type="spellEnd"/>
      <w:r w:rsidR="00C11842">
        <w:rPr>
          <w:sz w:val="24"/>
          <w:szCs w:val="24"/>
        </w:rPr>
        <w:t xml:space="preserve"> </w:t>
      </w:r>
      <w:r w:rsidR="001D58CD">
        <w:rPr>
          <w:sz w:val="24"/>
          <w:szCs w:val="24"/>
        </w:rPr>
        <w:t>para interponer</w:t>
      </w:r>
      <w:r w:rsidR="00AD448F">
        <w:rPr>
          <w:sz w:val="24"/>
          <w:szCs w:val="24"/>
        </w:rPr>
        <w:t>,</w:t>
      </w:r>
      <w:r w:rsidR="001D58CD">
        <w:rPr>
          <w:sz w:val="24"/>
          <w:szCs w:val="24"/>
        </w:rPr>
        <w:t xml:space="preserve"> </w:t>
      </w:r>
      <w:r w:rsidR="00C11842">
        <w:rPr>
          <w:sz w:val="24"/>
          <w:szCs w:val="24"/>
        </w:rPr>
        <w:t>específicamente</w:t>
      </w:r>
      <w:r w:rsidR="00AD448F">
        <w:rPr>
          <w:sz w:val="24"/>
          <w:szCs w:val="24"/>
        </w:rPr>
        <w:t>,</w:t>
      </w:r>
      <w:r w:rsidR="00C11842">
        <w:rPr>
          <w:sz w:val="24"/>
          <w:szCs w:val="24"/>
        </w:rPr>
        <w:t xml:space="preserve"> </w:t>
      </w:r>
      <w:r w:rsidR="001D58CD">
        <w:rPr>
          <w:sz w:val="24"/>
          <w:szCs w:val="24"/>
        </w:rPr>
        <w:t>la acción constitucional</w:t>
      </w:r>
      <w:r w:rsidR="00AD448F">
        <w:rPr>
          <w:sz w:val="24"/>
          <w:szCs w:val="24"/>
        </w:rPr>
        <w:t xml:space="preserve"> objeto de estudio</w:t>
      </w:r>
      <w:r w:rsidR="003E3F7C" w:rsidRPr="00EC2195">
        <w:rPr>
          <w:sz w:val="24"/>
          <w:szCs w:val="24"/>
        </w:rPr>
        <w:t>. De esta manera, se impone la improcedencia del amparo</w:t>
      </w:r>
      <w:r>
        <w:rPr>
          <w:sz w:val="24"/>
          <w:szCs w:val="24"/>
        </w:rPr>
        <w:t>,</w:t>
      </w:r>
      <w:r w:rsidR="003E3F7C" w:rsidRPr="00EC2195">
        <w:rPr>
          <w:sz w:val="24"/>
          <w:szCs w:val="24"/>
        </w:rPr>
        <w:t xml:space="preserve"> por falta de legit</w:t>
      </w:r>
      <w:r w:rsidR="0007131C">
        <w:rPr>
          <w:sz w:val="24"/>
          <w:szCs w:val="24"/>
        </w:rPr>
        <w:t>imación en la causa por activa.</w:t>
      </w:r>
    </w:p>
    <w:p w14:paraId="5F0A1D05" w14:textId="77777777" w:rsidR="009D3EE8" w:rsidRDefault="009D3EE8" w:rsidP="00326F04">
      <w:pPr>
        <w:tabs>
          <w:tab w:val="left" w:pos="2070"/>
        </w:tabs>
        <w:spacing w:line="360" w:lineRule="auto"/>
        <w:rPr>
          <w:sz w:val="24"/>
          <w:szCs w:val="24"/>
        </w:rPr>
      </w:pPr>
    </w:p>
    <w:p w14:paraId="0A1564A7" w14:textId="22083F48" w:rsidR="00BD034F" w:rsidRDefault="0007131C" w:rsidP="009D3EE8">
      <w:pPr>
        <w:tabs>
          <w:tab w:val="left" w:pos="2070"/>
        </w:tabs>
        <w:spacing w:line="360" w:lineRule="auto"/>
        <w:rPr>
          <w:sz w:val="24"/>
          <w:szCs w:val="24"/>
        </w:rPr>
      </w:pPr>
      <w:r>
        <w:rPr>
          <w:sz w:val="24"/>
          <w:szCs w:val="24"/>
        </w:rPr>
        <w:t>Ahora</w:t>
      </w:r>
      <w:r w:rsidR="001E6210">
        <w:rPr>
          <w:sz w:val="24"/>
          <w:szCs w:val="24"/>
        </w:rPr>
        <w:t xml:space="preserve">, </w:t>
      </w:r>
      <w:r>
        <w:rPr>
          <w:sz w:val="24"/>
          <w:szCs w:val="24"/>
        </w:rPr>
        <w:t>si bien es cierto que</w:t>
      </w:r>
      <w:r w:rsidR="00D32F4C">
        <w:rPr>
          <w:sz w:val="24"/>
          <w:szCs w:val="24"/>
        </w:rPr>
        <w:t>,</w:t>
      </w:r>
      <w:r>
        <w:rPr>
          <w:sz w:val="24"/>
          <w:szCs w:val="24"/>
        </w:rPr>
        <w:t xml:space="preserve"> </w:t>
      </w:r>
      <w:r w:rsidR="00D32F4C">
        <w:rPr>
          <w:sz w:val="24"/>
          <w:szCs w:val="24"/>
        </w:rPr>
        <w:t>dentro de las pruebas allegadas</w:t>
      </w:r>
      <w:r w:rsidR="00AD448F">
        <w:rPr>
          <w:sz w:val="24"/>
          <w:szCs w:val="24"/>
        </w:rPr>
        <w:t>,</w:t>
      </w:r>
      <w:r w:rsidR="007A089C">
        <w:rPr>
          <w:sz w:val="24"/>
          <w:szCs w:val="24"/>
        </w:rPr>
        <w:t xml:space="preserve"> </w:t>
      </w:r>
      <w:r w:rsidR="00D32F4C">
        <w:rPr>
          <w:sz w:val="24"/>
          <w:szCs w:val="24"/>
        </w:rPr>
        <w:t>se avizora un poder especial</w:t>
      </w:r>
      <w:r w:rsidR="00AD448F">
        <w:rPr>
          <w:rStyle w:val="Refdenotaalpie"/>
          <w:sz w:val="24"/>
          <w:szCs w:val="24"/>
        </w:rPr>
        <w:footnoteReference w:id="10"/>
      </w:r>
      <w:r w:rsidR="00D32F4C">
        <w:rPr>
          <w:sz w:val="24"/>
          <w:szCs w:val="24"/>
        </w:rPr>
        <w:t xml:space="preserve"> otorgado por Alberto </w:t>
      </w:r>
      <w:proofErr w:type="spellStart"/>
      <w:r w:rsidR="00D32F4C">
        <w:rPr>
          <w:sz w:val="24"/>
          <w:szCs w:val="24"/>
        </w:rPr>
        <w:t>Ravachi</w:t>
      </w:r>
      <w:proofErr w:type="spellEnd"/>
      <w:r w:rsidR="00D32F4C">
        <w:rPr>
          <w:sz w:val="24"/>
          <w:szCs w:val="24"/>
        </w:rPr>
        <w:t xml:space="preserve"> Dávila al </w:t>
      </w:r>
      <w:r w:rsidR="00C07827">
        <w:rPr>
          <w:sz w:val="24"/>
          <w:szCs w:val="24"/>
        </w:rPr>
        <w:t xml:space="preserve">mencionado </w:t>
      </w:r>
      <w:r w:rsidR="00D32F4C">
        <w:rPr>
          <w:sz w:val="24"/>
          <w:szCs w:val="24"/>
        </w:rPr>
        <w:t>profesional del derecho</w:t>
      </w:r>
      <w:r w:rsidR="00C07827">
        <w:rPr>
          <w:sz w:val="24"/>
          <w:szCs w:val="24"/>
        </w:rPr>
        <w:t>,</w:t>
      </w:r>
      <w:r w:rsidR="00D32F4C">
        <w:rPr>
          <w:sz w:val="24"/>
          <w:szCs w:val="24"/>
        </w:rPr>
        <w:t xml:space="preserve"> este </w:t>
      </w:r>
      <w:r w:rsidR="000F59DC">
        <w:rPr>
          <w:sz w:val="24"/>
          <w:szCs w:val="24"/>
        </w:rPr>
        <w:t>lo faculta para actuar,</w:t>
      </w:r>
      <w:r w:rsidR="00D32F4C">
        <w:rPr>
          <w:sz w:val="24"/>
          <w:szCs w:val="24"/>
        </w:rPr>
        <w:t xml:space="preserve"> específicamente</w:t>
      </w:r>
      <w:r w:rsidR="000F59DC">
        <w:rPr>
          <w:sz w:val="24"/>
          <w:szCs w:val="24"/>
        </w:rPr>
        <w:t>,</w:t>
      </w:r>
      <w:r w:rsidR="00D32F4C">
        <w:rPr>
          <w:sz w:val="24"/>
          <w:szCs w:val="24"/>
        </w:rPr>
        <w:t xml:space="preserve"> </w:t>
      </w:r>
      <w:r w:rsidR="000F59DC">
        <w:rPr>
          <w:sz w:val="24"/>
          <w:szCs w:val="24"/>
        </w:rPr>
        <w:t xml:space="preserve">en el medio de control de </w:t>
      </w:r>
      <w:r w:rsidR="00D32F4C">
        <w:rPr>
          <w:sz w:val="24"/>
          <w:szCs w:val="24"/>
        </w:rPr>
        <w:t>nulidad y restablecimiento</w:t>
      </w:r>
      <w:r w:rsidR="001E6210">
        <w:rPr>
          <w:sz w:val="24"/>
          <w:szCs w:val="24"/>
        </w:rPr>
        <w:t xml:space="preserve">, no así </w:t>
      </w:r>
      <w:r w:rsidR="00C07827">
        <w:rPr>
          <w:sz w:val="24"/>
          <w:szCs w:val="24"/>
        </w:rPr>
        <w:t>en</w:t>
      </w:r>
      <w:r w:rsidR="00DD176A">
        <w:rPr>
          <w:sz w:val="24"/>
          <w:szCs w:val="24"/>
        </w:rPr>
        <w:t xml:space="preserve"> esta </w:t>
      </w:r>
      <w:r w:rsidR="001E6210">
        <w:rPr>
          <w:sz w:val="24"/>
          <w:szCs w:val="24"/>
        </w:rPr>
        <w:t>causa</w:t>
      </w:r>
      <w:r w:rsidR="00BD034F">
        <w:rPr>
          <w:sz w:val="24"/>
          <w:szCs w:val="24"/>
        </w:rPr>
        <w:t>.</w:t>
      </w:r>
    </w:p>
    <w:p w14:paraId="3170674D" w14:textId="77777777" w:rsidR="009D3EE8" w:rsidRDefault="009D3EE8" w:rsidP="009D3EE8">
      <w:pPr>
        <w:tabs>
          <w:tab w:val="left" w:pos="2070"/>
        </w:tabs>
        <w:spacing w:line="360" w:lineRule="auto"/>
        <w:rPr>
          <w:sz w:val="24"/>
          <w:szCs w:val="24"/>
        </w:rPr>
      </w:pPr>
    </w:p>
    <w:p w14:paraId="2A9E0F95" w14:textId="06C8ABAA" w:rsidR="0007131C" w:rsidRPr="00BD034F" w:rsidRDefault="00BD034F" w:rsidP="00326F04">
      <w:pPr>
        <w:tabs>
          <w:tab w:val="left" w:pos="2070"/>
        </w:tabs>
        <w:spacing w:line="360" w:lineRule="auto"/>
        <w:rPr>
          <w:sz w:val="24"/>
          <w:szCs w:val="24"/>
        </w:rPr>
      </w:pPr>
      <w:r>
        <w:rPr>
          <w:sz w:val="24"/>
          <w:szCs w:val="24"/>
        </w:rPr>
        <w:t>La deficiencia advertida</w:t>
      </w:r>
      <w:r w:rsidR="009966DB">
        <w:rPr>
          <w:sz w:val="24"/>
          <w:szCs w:val="24"/>
        </w:rPr>
        <w:t xml:space="preserve"> </w:t>
      </w:r>
      <w:r>
        <w:rPr>
          <w:sz w:val="24"/>
          <w:szCs w:val="24"/>
        </w:rPr>
        <w:t xml:space="preserve">no </w:t>
      </w:r>
      <w:r w:rsidR="009966DB">
        <w:rPr>
          <w:sz w:val="24"/>
          <w:szCs w:val="24"/>
        </w:rPr>
        <w:t xml:space="preserve">se subsana con </w:t>
      </w:r>
      <w:r w:rsidR="00F77CA0">
        <w:rPr>
          <w:sz w:val="24"/>
          <w:szCs w:val="24"/>
        </w:rPr>
        <w:t>la</w:t>
      </w:r>
      <w:r w:rsidR="00C07827">
        <w:rPr>
          <w:sz w:val="24"/>
          <w:szCs w:val="24"/>
        </w:rPr>
        <w:t>s</w:t>
      </w:r>
      <w:r w:rsidR="00F77CA0">
        <w:rPr>
          <w:sz w:val="24"/>
          <w:szCs w:val="24"/>
        </w:rPr>
        <w:t xml:space="preserve"> </w:t>
      </w:r>
      <w:r>
        <w:rPr>
          <w:sz w:val="24"/>
          <w:szCs w:val="24"/>
        </w:rPr>
        <w:t>facultad</w:t>
      </w:r>
      <w:r w:rsidR="00C07827">
        <w:rPr>
          <w:sz w:val="24"/>
          <w:szCs w:val="24"/>
        </w:rPr>
        <w:t>es</w:t>
      </w:r>
      <w:r w:rsidR="00F77CA0">
        <w:rPr>
          <w:sz w:val="24"/>
          <w:szCs w:val="24"/>
        </w:rPr>
        <w:t xml:space="preserve"> contenida</w:t>
      </w:r>
      <w:r w:rsidR="00C07827">
        <w:rPr>
          <w:sz w:val="24"/>
          <w:szCs w:val="24"/>
        </w:rPr>
        <w:t>s</w:t>
      </w:r>
      <w:r w:rsidR="00F77CA0">
        <w:rPr>
          <w:sz w:val="24"/>
          <w:szCs w:val="24"/>
        </w:rPr>
        <w:t xml:space="preserve"> en </w:t>
      </w:r>
      <w:r w:rsidR="006B3EE1">
        <w:rPr>
          <w:sz w:val="24"/>
          <w:szCs w:val="24"/>
        </w:rPr>
        <w:t xml:space="preserve">el aludido </w:t>
      </w:r>
      <w:r w:rsidR="000219C4">
        <w:rPr>
          <w:sz w:val="24"/>
          <w:szCs w:val="24"/>
        </w:rPr>
        <w:t>mandato</w:t>
      </w:r>
      <w:r>
        <w:rPr>
          <w:sz w:val="24"/>
          <w:szCs w:val="24"/>
        </w:rPr>
        <w:t>,</w:t>
      </w:r>
      <w:r w:rsidR="006B3EE1">
        <w:rPr>
          <w:sz w:val="24"/>
          <w:szCs w:val="24"/>
        </w:rPr>
        <w:t xml:space="preserve"> según la</w:t>
      </w:r>
      <w:r w:rsidR="00C07827">
        <w:rPr>
          <w:sz w:val="24"/>
          <w:szCs w:val="24"/>
        </w:rPr>
        <w:t>s</w:t>
      </w:r>
      <w:r w:rsidR="006B3EE1">
        <w:rPr>
          <w:sz w:val="24"/>
          <w:szCs w:val="24"/>
        </w:rPr>
        <w:t xml:space="preserve"> cual</w:t>
      </w:r>
      <w:r w:rsidR="00C07827">
        <w:rPr>
          <w:sz w:val="24"/>
          <w:szCs w:val="24"/>
        </w:rPr>
        <w:t xml:space="preserve">es el </w:t>
      </w:r>
      <w:r w:rsidR="000219C4">
        <w:rPr>
          <w:sz w:val="24"/>
          <w:szCs w:val="24"/>
        </w:rPr>
        <w:t>mandatario</w:t>
      </w:r>
      <w:r w:rsidR="001257E1">
        <w:rPr>
          <w:sz w:val="24"/>
          <w:szCs w:val="24"/>
        </w:rPr>
        <w:t xml:space="preserve"> queda </w:t>
      </w:r>
      <w:r w:rsidR="000F7AB7">
        <w:rPr>
          <w:sz w:val="24"/>
          <w:szCs w:val="24"/>
        </w:rPr>
        <w:t>autorizado</w:t>
      </w:r>
      <w:r w:rsidR="001257E1">
        <w:rPr>
          <w:sz w:val="24"/>
          <w:szCs w:val="24"/>
        </w:rPr>
        <w:t xml:space="preserve"> para</w:t>
      </w:r>
      <w:r w:rsidR="00F77CA0">
        <w:rPr>
          <w:sz w:val="24"/>
          <w:szCs w:val="24"/>
        </w:rPr>
        <w:t xml:space="preserve"> “</w:t>
      </w:r>
      <w:r w:rsidR="00C07827">
        <w:rPr>
          <w:i/>
          <w:sz w:val="24"/>
          <w:szCs w:val="24"/>
        </w:rPr>
        <w:t>(…)</w:t>
      </w:r>
      <w:r w:rsidR="001257E1">
        <w:rPr>
          <w:i/>
          <w:sz w:val="24"/>
          <w:szCs w:val="24"/>
        </w:rPr>
        <w:t xml:space="preserve"> </w:t>
      </w:r>
      <w:r w:rsidR="007A089C" w:rsidRPr="00763B87">
        <w:rPr>
          <w:i/>
          <w:sz w:val="24"/>
          <w:szCs w:val="24"/>
        </w:rPr>
        <w:t>interponer acciones de tutela</w:t>
      </w:r>
      <w:r w:rsidR="007A089C" w:rsidRPr="007A089C">
        <w:rPr>
          <w:i/>
          <w:sz w:val="24"/>
          <w:szCs w:val="24"/>
        </w:rPr>
        <w:t xml:space="preserve"> (…)</w:t>
      </w:r>
      <w:r>
        <w:rPr>
          <w:sz w:val="24"/>
          <w:szCs w:val="24"/>
        </w:rPr>
        <w:t>”, puesto que</w:t>
      </w:r>
      <w:r w:rsidR="00DB5480">
        <w:rPr>
          <w:sz w:val="24"/>
          <w:szCs w:val="24"/>
        </w:rPr>
        <w:t xml:space="preserve">, a voces </w:t>
      </w:r>
      <w:r w:rsidR="000219C4">
        <w:rPr>
          <w:sz w:val="24"/>
          <w:szCs w:val="24"/>
        </w:rPr>
        <w:t>de los artículo</w:t>
      </w:r>
      <w:r w:rsidR="00ED32B6">
        <w:rPr>
          <w:sz w:val="24"/>
          <w:szCs w:val="24"/>
        </w:rPr>
        <w:t>s</w:t>
      </w:r>
      <w:r w:rsidR="000219C4">
        <w:rPr>
          <w:sz w:val="24"/>
          <w:szCs w:val="24"/>
        </w:rPr>
        <w:t xml:space="preserve"> </w:t>
      </w:r>
      <w:r w:rsidR="00DB5480">
        <w:rPr>
          <w:sz w:val="24"/>
          <w:szCs w:val="24"/>
        </w:rPr>
        <w:t>2156</w:t>
      </w:r>
      <w:r w:rsidR="00494882">
        <w:rPr>
          <w:rStyle w:val="Refdenotaalpie"/>
          <w:sz w:val="24"/>
          <w:szCs w:val="24"/>
        </w:rPr>
        <w:footnoteReference w:id="11"/>
      </w:r>
      <w:r w:rsidR="00DB5480">
        <w:rPr>
          <w:sz w:val="24"/>
          <w:szCs w:val="24"/>
        </w:rPr>
        <w:t xml:space="preserve"> del Código Civil</w:t>
      </w:r>
      <w:r w:rsidR="00763B87">
        <w:rPr>
          <w:sz w:val="24"/>
          <w:szCs w:val="24"/>
        </w:rPr>
        <w:t xml:space="preserve"> y 74</w:t>
      </w:r>
      <w:r w:rsidR="00763B87">
        <w:rPr>
          <w:rStyle w:val="Refdenotaalpie"/>
          <w:sz w:val="24"/>
          <w:szCs w:val="24"/>
        </w:rPr>
        <w:footnoteReference w:id="12"/>
      </w:r>
      <w:r w:rsidR="00763B87">
        <w:rPr>
          <w:sz w:val="24"/>
          <w:szCs w:val="24"/>
        </w:rPr>
        <w:t xml:space="preserve"> del CGP</w:t>
      </w:r>
      <w:r w:rsidR="00DB5480">
        <w:rPr>
          <w:sz w:val="24"/>
          <w:szCs w:val="24"/>
        </w:rPr>
        <w:t xml:space="preserve">, </w:t>
      </w:r>
      <w:r>
        <w:rPr>
          <w:sz w:val="24"/>
          <w:szCs w:val="24"/>
        </w:rPr>
        <w:t xml:space="preserve">en los poderes especiales </w:t>
      </w:r>
      <w:r w:rsidR="00DB5480">
        <w:rPr>
          <w:sz w:val="24"/>
          <w:szCs w:val="24"/>
        </w:rPr>
        <w:t>debe</w:t>
      </w:r>
      <w:r>
        <w:rPr>
          <w:sz w:val="24"/>
          <w:szCs w:val="24"/>
        </w:rPr>
        <w:t xml:space="preserve"> individualizarse </w:t>
      </w:r>
      <w:r w:rsidR="00DB5480">
        <w:rPr>
          <w:sz w:val="24"/>
          <w:szCs w:val="24"/>
        </w:rPr>
        <w:t xml:space="preserve">el proceso para el cual </w:t>
      </w:r>
      <w:r w:rsidR="00EF4065">
        <w:rPr>
          <w:sz w:val="24"/>
          <w:szCs w:val="24"/>
        </w:rPr>
        <w:t xml:space="preserve">este </w:t>
      </w:r>
      <w:r w:rsidR="00DB5480">
        <w:rPr>
          <w:sz w:val="24"/>
          <w:szCs w:val="24"/>
        </w:rPr>
        <w:t xml:space="preserve">es conferido sin </w:t>
      </w:r>
      <w:r w:rsidR="0088327A">
        <w:rPr>
          <w:sz w:val="24"/>
          <w:szCs w:val="24"/>
        </w:rPr>
        <w:t>que resulten vá</w:t>
      </w:r>
      <w:r w:rsidR="00DB5480">
        <w:rPr>
          <w:sz w:val="24"/>
          <w:szCs w:val="24"/>
        </w:rPr>
        <w:t>lidas alusiones genéricas</w:t>
      </w:r>
      <w:r w:rsidR="001257E1">
        <w:rPr>
          <w:sz w:val="24"/>
          <w:szCs w:val="24"/>
        </w:rPr>
        <w:t>, como la anterior</w:t>
      </w:r>
      <w:r w:rsidR="00DB5480">
        <w:rPr>
          <w:sz w:val="24"/>
          <w:szCs w:val="24"/>
        </w:rPr>
        <w:t>.</w:t>
      </w:r>
    </w:p>
    <w:p w14:paraId="6F2D2157" w14:textId="77777777" w:rsidR="003E3F7C" w:rsidRPr="00EC2195" w:rsidRDefault="003E3F7C" w:rsidP="00326F04">
      <w:pPr>
        <w:tabs>
          <w:tab w:val="left" w:pos="2070"/>
        </w:tabs>
        <w:spacing w:line="360" w:lineRule="auto"/>
        <w:rPr>
          <w:sz w:val="24"/>
          <w:szCs w:val="24"/>
        </w:rPr>
      </w:pPr>
    </w:p>
    <w:p w14:paraId="0CFEDFDE" w14:textId="77777777" w:rsidR="00063571" w:rsidRPr="00EC2195" w:rsidRDefault="00063571" w:rsidP="00063571">
      <w:pPr>
        <w:tabs>
          <w:tab w:val="left" w:pos="709"/>
          <w:tab w:val="left" w:pos="1701"/>
        </w:tabs>
        <w:spacing w:line="360" w:lineRule="auto"/>
        <w:rPr>
          <w:sz w:val="24"/>
          <w:szCs w:val="24"/>
        </w:rPr>
      </w:pPr>
      <w:r w:rsidRPr="00EC2195">
        <w:rPr>
          <w:sz w:val="24"/>
          <w:szCs w:val="24"/>
        </w:rPr>
        <w:t>En mérito de lo expuesto, la Subsección C de la Sección Tercera de la Sala de lo Contencioso Administrativo del Consejo de Estado, administrando justicia en nombre de la República y por autoridad de la ley,</w:t>
      </w:r>
    </w:p>
    <w:p w14:paraId="28DEFC66" w14:textId="77777777" w:rsidR="00063571" w:rsidRPr="00EC2195" w:rsidRDefault="00063571" w:rsidP="00326F04">
      <w:pPr>
        <w:tabs>
          <w:tab w:val="left" w:pos="2070"/>
        </w:tabs>
        <w:spacing w:line="360" w:lineRule="auto"/>
        <w:rPr>
          <w:sz w:val="24"/>
          <w:szCs w:val="24"/>
        </w:rPr>
      </w:pPr>
    </w:p>
    <w:p w14:paraId="1A178119" w14:textId="12C0630B" w:rsidR="00063571" w:rsidRPr="00EC2195" w:rsidRDefault="00063571" w:rsidP="00063571">
      <w:pPr>
        <w:tabs>
          <w:tab w:val="left" w:pos="2070"/>
        </w:tabs>
        <w:spacing w:line="360" w:lineRule="auto"/>
        <w:jc w:val="center"/>
        <w:rPr>
          <w:b/>
          <w:sz w:val="24"/>
          <w:szCs w:val="24"/>
        </w:rPr>
      </w:pPr>
      <w:r w:rsidRPr="00EC2195">
        <w:rPr>
          <w:b/>
          <w:sz w:val="24"/>
          <w:szCs w:val="24"/>
        </w:rPr>
        <w:t>III. RESUELVE</w:t>
      </w:r>
    </w:p>
    <w:p w14:paraId="79A450FE" w14:textId="77777777" w:rsidR="00063571" w:rsidRPr="00EC2195" w:rsidRDefault="00063571" w:rsidP="00063571">
      <w:pPr>
        <w:tabs>
          <w:tab w:val="left" w:pos="2070"/>
        </w:tabs>
        <w:spacing w:line="360" w:lineRule="auto"/>
        <w:rPr>
          <w:b/>
          <w:sz w:val="24"/>
          <w:szCs w:val="24"/>
        </w:rPr>
      </w:pPr>
    </w:p>
    <w:p w14:paraId="2FC422BA" w14:textId="41AF3811" w:rsidR="00063571" w:rsidRPr="00EC2195" w:rsidRDefault="00063571" w:rsidP="00063571">
      <w:pPr>
        <w:tabs>
          <w:tab w:val="left" w:pos="2070"/>
        </w:tabs>
        <w:spacing w:line="360" w:lineRule="auto"/>
        <w:rPr>
          <w:sz w:val="24"/>
          <w:szCs w:val="24"/>
        </w:rPr>
      </w:pPr>
      <w:r w:rsidRPr="00EC2195">
        <w:rPr>
          <w:b/>
          <w:sz w:val="24"/>
          <w:szCs w:val="24"/>
        </w:rPr>
        <w:t xml:space="preserve">PRIMERO: DECLARAR IMPROCEDENTE </w:t>
      </w:r>
      <w:r w:rsidRPr="00EC2195">
        <w:rPr>
          <w:sz w:val="24"/>
          <w:szCs w:val="24"/>
        </w:rPr>
        <w:t xml:space="preserve">la </w:t>
      </w:r>
      <w:r w:rsidR="00EF4065">
        <w:rPr>
          <w:sz w:val="24"/>
          <w:szCs w:val="24"/>
        </w:rPr>
        <w:t>solicitud de amparo</w:t>
      </w:r>
      <w:r w:rsidRPr="00EC2195">
        <w:rPr>
          <w:sz w:val="24"/>
          <w:szCs w:val="24"/>
        </w:rPr>
        <w:t xml:space="preserve"> </w:t>
      </w:r>
      <w:r w:rsidR="005108A6">
        <w:rPr>
          <w:sz w:val="24"/>
          <w:szCs w:val="24"/>
        </w:rPr>
        <w:t xml:space="preserve">por falta de legitimación en la causa por activa. </w:t>
      </w:r>
    </w:p>
    <w:p w14:paraId="02ED0550" w14:textId="77777777" w:rsidR="00063571" w:rsidRPr="00EC2195" w:rsidRDefault="00063571" w:rsidP="00063571">
      <w:pPr>
        <w:tabs>
          <w:tab w:val="left" w:pos="2070"/>
        </w:tabs>
        <w:spacing w:line="360" w:lineRule="auto"/>
        <w:rPr>
          <w:sz w:val="24"/>
          <w:szCs w:val="24"/>
        </w:rPr>
      </w:pPr>
    </w:p>
    <w:p w14:paraId="1F9EECD9" w14:textId="0385BB10" w:rsidR="00063571" w:rsidRPr="00EC2195" w:rsidRDefault="00063571" w:rsidP="00063571">
      <w:pPr>
        <w:tabs>
          <w:tab w:val="left" w:pos="2070"/>
        </w:tabs>
        <w:spacing w:line="360" w:lineRule="auto"/>
        <w:rPr>
          <w:sz w:val="24"/>
          <w:szCs w:val="24"/>
        </w:rPr>
      </w:pPr>
      <w:r w:rsidRPr="00EC2195">
        <w:rPr>
          <w:b/>
          <w:sz w:val="24"/>
          <w:szCs w:val="24"/>
        </w:rPr>
        <w:lastRenderedPageBreak/>
        <w:t xml:space="preserve">SEGUNDO: NOTIFICAR </w:t>
      </w:r>
      <w:r w:rsidRPr="00EC2195">
        <w:rPr>
          <w:sz w:val="24"/>
          <w:szCs w:val="24"/>
        </w:rPr>
        <w:t>la presente decisión a</w:t>
      </w:r>
      <w:r w:rsidR="00536213" w:rsidRPr="00EC2195">
        <w:rPr>
          <w:sz w:val="24"/>
          <w:szCs w:val="24"/>
        </w:rPr>
        <w:t xml:space="preserve"> los interesados por el medio má</w:t>
      </w:r>
      <w:r w:rsidRPr="00EC2195">
        <w:rPr>
          <w:sz w:val="24"/>
          <w:szCs w:val="24"/>
        </w:rPr>
        <w:t xml:space="preserve">s expedito. </w:t>
      </w:r>
    </w:p>
    <w:p w14:paraId="7F865C2B" w14:textId="77777777" w:rsidR="00063571" w:rsidRPr="0053104D" w:rsidRDefault="00063571" w:rsidP="00063571">
      <w:pPr>
        <w:tabs>
          <w:tab w:val="left" w:pos="2070"/>
        </w:tabs>
        <w:spacing w:line="360" w:lineRule="auto"/>
        <w:rPr>
          <w:sz w:val="22"/>
          <w:szCs w:val="22"/>
        </w:rPr>
      </w:pPr>
    </w:p>
    <w:p w14:paraId="35425EDD" w14:textId="77777777" w:rsidR="00063571" w:rsidRPr="00EC2195" w:rsidRDefault="00063571" w:rsidP="00063571">
      <w:pPr>
        <w:tabs>
          <w:tab w:val="left" w:pos="709"/>
          <w:tab w:val="left" w:pos="1701"/>
        </w:tabs>
        <w:spacing w:line="360" w:lineRule="auto"/>
        <w:rPr>
          <w:sz w:val="24"/>
          <w:szCs w:val="24"/>
        </w:rPr>
      </w:pPr>
      <w:r w:rsidRPr="00EC2195">
        <w:rPr>
          <w:b/>
          <w:sz w:val="24"/>
          <w:szCs w:val="24"/>
        </w:rPr>
        <w:t xml:space="preserve">TERCERO: ENVIAR </w:t>
      </w:r>
      <w:r w:rsidRPr="00EC2195">
        <w:rPr>
          <w:sz w:val="24"/>
          <w:szCs w:val="24"/>
        </w:rPr>
        <w:t xml:space="preserve">a la Corte Constitucional para su eventual revisión en caso de no presentarse impugnación en contra de esta decisión. </w:t>
      </w:r>
    </w:p>
    <w:p w14:paraId="4E3E0E04" w14:textId="77777777" w:rsidR="00063571" w:rsidRPr="00EC2195" w:rsidRDefault="00063571" w:rsidP="00063571">
      <w:pPr>
        <w:spacing w:line="360" w:lineRule="auto"/>
        <w:jc w:val="center"/>
        <w:rPr>
          <w:b/>
          <w:color w:val="000000" w:themeColor="text1"/>
          <w:sz w:val="24"/>
          <w:szCs w:val="24"/>
        </w:rPr>
      </w:pPr>
    </w:p>
    <w:p w14:paraId="3DAC7F1A" w14:textId="77777777" w:rsidR="00063571" w:rsidRPr="00EC2195" w:rsidRDefault="00063571" w:rsidP="004D3AD0">
      <w:pPr>
        <w:jc w:val="center"/>
        <w:rPr>
          <w:b/>
          <w:color w:val="000000" w:themeColor="text1"/>
          <w:sz w:val="24"/>
          <w:szCs w:val="24"/>
        </w:rPr>
      </w:pPr>
      <w:r w:rsidRPr="00EC2195">
        <w:rPr>
          <w:b/>
          <w:color w:val="000000" w:themeColor="text1"/>
          <w:sz w:val="24"/>
          <w:szCs w:val="24"/>
        </w:rPr>
        <w:t>CÓPIESE, NOTIFÍQUESE Y CÚMPLASE</w:t>
      </w:r>
    </w:p>
    <w:p w14:paraId="4792F570" w14:textId="296B3B2B" w:rsidR="004D3AD0" w:rsidRDefault="004D3AD0" w:rsidP="004D3AD0">
      <w:pPr>
        <w:tabs>
          <w:tab w:val="left" w:pos="2070"/>
        </w:tabs>
        <w:jc w:val="center"/>
        <w:rPr>
          <w:b/>
          <w:sz w:val="24"/>
          <w:szCs w:val="24"/>
        </w:rPr>
      </w:pPr>
    </w:p>
    <w:p w14:paraId="11C9B751" w14:textId="77777777" w:rsidR="00F77F71" w:rsidRPr="00EC2195" w:rsidRDefault="00F77F71" w:rsidP="004D3AD0">
      <w:pPr>
        <w:tabs>
          <w:tab w:val="left" w:pos="2070"/>
        </w:tabs>
        <w:jc w:val="center"/>
        <w:rPr>
          <w:b/>
          <w:sz w:val="24"/>
          <w:szCs w:val="24"/>
        </w:rPr>
      </w:pPr>
    </w:p>
    <w:p w14:paraId="5FBDC2EE" w14:textId="77777777" w:rsidR="00063571" w:rsidRPr="00EC2195" w:rsidRDefault="00063571" w:rsidP="004D3AD0">
      <w:pPr>
        <w:tabs>
          <w:tab w:val="left" w:pos="709"/>
          <w:tab w:val="left" w:pos="1701"/>
          <w:tab w:val="left" w:pos="3600"/>
        </w:tabs>
        <w:ind w:right="49"/>
        <w:jc w:val="center"/>
        <w:rPr>
          <w:rFonts w:eastAsia="Arial"/>
          <w:b/>
          <w:color w:val="000000" w:themeColor="text1"/>
          <w:sz w:val="24"/>
          <w:szCs w:val="24"/>
        </w:rPr>
      </w:pPr>
      <w:r w:rsidRPr="00EC2195">
        <w:rPr>
          <w:rFonts w:eastAsia="Arial"/>
          <w:b/>
          <w:color w:val="000000" w:themeColor="text1"/>
          <w:sz w:val="24"/>
          <w:szCs w:val="24"/>
        </w:rPr>
        <w:t>JAIME ENRIQUE RODRÍGUEZ NAVAS</w:t>
      </w:r>
    </w:p>
    <w:p w14:paraId="35F14ED2" w14:textId="444566B0" w:rsidR="00063571" w:rsidRDefault="00063571" w:rsidP="004D3AD0">
      <w:pPr>
        <w:tabs>
          <w:tab w:val="left" w:pos="709"/>
          <w:tab w:val="left" w:pos="1701"/>
          <w:tab w:val="left" w:pos="3600"/>
        </w:tabs>
        <w:ind w:right="49"/>
        <w:jc w:val="center"/>
        <w:rPr>
          <w:rFonts w:eastAsia="Arial"/>
          <w:b/>
          <w:color w:val="000000" w:themeColor="text1"/>
          <w:sz w:val="24"/>
          <w:szCs w:val="24"/>
        </w:rPr>
      </w:pPr>
      <w:r w:rsidRPr="00EC2195">
        <w:rPr>
          <w:rFonts w:eastAsia="Arial"/>
          <w:b/>
          <w:color w:val="000000" w:themeColor="text1"/>
          <w:sz w:val="24"/>
          <w:szCs w:val="24"/>
        </w:rPr>
        <w:t>Presidente de la Sala</w:t>
      </w:r>
    </w:p>
    <w:p w14:paraId="58901411" w14:textId="028A57FA" w:rsidR="004D3AD0" w:rsidRDefault="004D3AD0" w:rsidP="004D3AD0">
      <w:pPr>
        <w:tabs>
          <w:tab w:val="left" w:pos="709"/>
          <w:tab w:val="left" w:pos="1701"/>
          <w:tab w:val="left" w:pos="3600"/>
        </w:tabs>
        <w:ind w:right="49"/>
        <w:jc w:val="center"/>
        <w:rPr>
          <w:rFonts w:eastAsia="Arial"/>
          <w:b/>
          <w:color w:val="000000" w:themeColor="text1"/>
          <w:sz w:val="24"/>
          <w:szCs w:val="24"/>
        </w:rPr>
      </w:pPr>
    </w:p>
    <w:p w14:paraId="105DB21E" w14:textId="77777777" w:rsidR="00F77F71" w:rsidRPr="00EC2195" w:rsidRDefault="00F77F71" w:rsidP="004D3AD0">
      <w:pPr>
        <w:tabs>
          <w:tab w:val="left" w:pos="709"/>
          <w:tab w:val="left" w:pos="1701"/>
          <w:tab w:val="left" w:pos="3600"/>
        </w:tabs>
        <w:ind w:right="49"/>
        <w:jc w:val="center"/>
        <w:rPr>
          <w:rFonts w:eastAsia="Arial"/>
          <w:b/>
          <w:color w:val="000000" w:themeColor="text1"/>
          <w:sz w:val="24"/>
          <w:szCs w:val="24"/>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063571" w:rsidRPr="00EC2195" w14:paraId="00FA6CDE" w14:textId="77777777" w:rsidTr="00EC2195">
        <w:tc>
          <w:tcPr>
            <w:tcW w:w="5091" w:type="dxa"/>
            <w:tcBorders>
              <w:top w:val="nil"/>
              <w:left w:val="nil"/>
              <w:bottom w:val="nil"/>
              <w:right w:val="nil"/>
            </w:tcBorders>
            <w:hideMark/>
          </w:tcPr>
          <w:p w14:paraId="114E7A7B" w14:textId="77777777" w:rsidR="00063571" w:rsidRPr="00501CE1" w:rsidRDefault="00063571" w:rsidP="004D3AD0">
            <w:pPr>
              <w:tabs>
                <w:tab w:val="left" w:pos="709"/>
                <w:tab w:val="left" w:pos="1701"/>
                <w:tab w:val="left" w:pos="3600"/>
              </w:tabs>
              <w:ind w:right="49"/>
              <w:jc w:val="center"/>
              <w:rPr>
                <w:rFonts w:eastAsia="Arial"/>
                <w:b/>
                <w:color w:val="000000" w:themeColor="text1"/>
                <w:sz w:val="24"/>
                <w:szCs w:val="24"/>
              </w:rPr>
            </w:pPr>
            <w:r w:rsidRPr="00501CE1">
              <w:rPr>
                <w:rFonts w:eastAsia="Arial"/>
                <w:b/>
                <w:color w:val="000000" w:themeColor="text1"/>
                <w:sz w:val="24"/>
                <w:szCs w:val="24"/>
              </w:rPr>
              <w:t>GUILLERMO SÁNCHEZ LUQUE</w:t>
            </w:r>
          </w:p>
          <w:p w14:paraId="61C322F6" w14:textId="2DC3E013" w:rsidR="00063571" w:rsidRPr="00501CE1" w:rsidRDefault="00063571" w:rsidP="004D3AD0">
            <w:pPr>
              <w:tabs>
                <w:tab w:val="left" w:pos="709"/>
                <w:tab w:val="left" w:pos="1701"/>
                <w:tab w:val="left" w:pos="3600"/>
              </w:tabs>
              <w:ind w:right="49"/>
              <w:jc w:val="center"/>
              <w:rPr>
                <w:rFonts w:eastAsia="Arial"/>
                <w:b/>
                <w:color w:val="000000" w:themeColor="text1"/>
                <w:sz w:val="24"/>
                <w:szCs w:val="24"/>
              </w:rPr>
            </w:pPr>
            <w:r w:rsidRPr="00501CE1">
              <w:rPr>
                <w:rFonts w:eastAsia="Arial"/>
                <w:b/>
                <w:color w:val="000000" w:themeColor="text1"/>
                <w:sz w:val="24"/>
                <w:szCs w:val="24"/>
              </w:rPr>
              <w:t>Consejero de Estado</w:t>
            </w:r>
          </w:p>
          <w:p w14:paraId="656F8E3D" w14:textId="77777777" w:rsidR="00501CE1" w:rsidRPr="00501CE1" w:rsidRDefault="00501CE1" w:rsidP="00501CE1">
            <w:pPr>
              <w:ind w:left="360"/>
              <w:jc w:val="center"/>
              <w:rPr>
                <w:rFonts w:cs="Arial"/>
                <w:b/>
                <w:bCs/>
                <w:sz w:val="22"/>
                <w:szCs w:val="22"/>
              </w:rPr>
            </w:pPr>
            <w:r w:rsidRPr="00501CE1">
              <w:rPr>
                <w:rFonts w:cs="Arial"/>
                <w:b/>
                <w:bCs/>
                <w:sz w:val="22"/>
                <w:szCs w:val="22"/>
              </w:rPr>
              <w:t>Aclaración de Voto</w:t>
            </w:r>
          </w:p>
          <w:p w14:paraId="6F8AD3A8" w14:textId="03B097C0" w:rsidR="00501CE1" w:rsidRPr="00501CE1" w:rsidRDefault="00501CE1" w:rsidP="00501CE1">
            <w:pPr>
              <w:ind w:left="360"/>
              <w:jc w:val="center"/>
              <w:rPr>
                <w:rFonts w:cs="Arial"/>
                <w:sz w:val="22"/>
                <w:szCs w:val="22"/>
              </w:rPr>
            </w:pPr>
            <w:r w:rsidRPr="00501CE1">
              <w:rPr>
                <w:rFonts w:eastAsia="BatangChe" w:cs="Arial"/>
                <w:b/>
                <w:bCs/>
                <w:sz w:val="22"/>
                <w:szCs w:val="22"/>
              </w:rPr>
              <w:t>Cfr. Rad.</w:t>
            </w:r>
            <w:r w:rsidRPr="00501CE1">
              <w:rPr>
                <w:sz w:val="22"/>
                <w:szCs w:val="22"/>
              </w:rPr>
              <w:t xml:space="preserve"> </w:t>
            </w:r>
            <w:r w:rsidRPr="00501CE1">
              <w:rPr>
                <w:rFonts w:eastAsia="BatangChe" w:cs="Arial"/>
                <w:b/>
                <w:bCs/>
                <w:sz w:val="22"/>
                <w:szCs w:val="22"/>
              </w:rPr>
              <w:t>11001-03-15-000-2019-00022-00</w:t>
            </w:r>
          </w:p>
          <w:p w14:paraId="3BE6D92E" w14:textId="77777777" w:rsidR="00501CE1" w:rsidRPr="00501CE1" w:rsidRDefault="00501CE1" w:rsidP="00501CE1">
            <w:pPr>
              <w:jc w:val="center"/>
              <w:rPr>
                <w:rFonts w:cs="Arial"/>
                <w:sz w:val="22"/>
                <w:szCs w:val="22"/>
              </w:rPr>
            </w:pPr>
          </w:p>
          <w:p w14:paraId="4E781357" w14:textId="77777777" w:rsidR="00501CE1" w:rsidRPr="00501CE1" w:rsidRDefault="00501CE1" w:rsidP="00501CE1">
            <w:pPr>
              <w:tabs>
                <w:tab w:val="left" w:pos="709"/>
                <w:tab w:val="left" w:pos="1701"/>
                <w:tab w:val="left" w:pos="3600"/>
              </w:tabs>
              <w:ind w:right="49"/>
              <w:jc w:val="center"/>
              <w:rPr>
                <w:rFonts w:eastAsia="Arial"/>
                <w:b/>
                <w:color w:val="000000" w:themeColor="text1"/>
                <w:sz w:val="22"/>
                <w:szCs w:val="22"/>
              </w:rPr>
            </w:pPr>
          </w:p>
          <w:p w14:paraId="0ABD75D0" w14:textId="4CE5743A" w:rsidR="0053104D" w:rsidRPr="00501CE1" w:rsidRDefault="0053104D" w:rsidP="006C684F">
            <w:pPr>
              <w:ind w:left="360"/>
              <w:jc w:val="center"/>
              <w:rPr>
                <w:rFonts w:eastAsia="Arial"/>
                <w:b/>
                <w:color w:val="000000" w:themeColor="text1"/>
                <w:sz w:val="22"/>
                <w:szCs w:val="22"/>
              </w:rPr>
            </w:pPr>
          </w:p>
        </w:tc>
        <w:tc>
          <w:tcPr>
            <w:tcW w:w="5544" w:type="dxa"/>
            <w:tcBorders>
              <w:top w:val="nil"/>
              <w:left w:val="nil"/>
              <w:bottom w:val="nil"/>
              <w:right w:val="nil"/>
            </w:tcBorders>
            <w:hideMark/>
          </w:tcPr>
          <w:p w14:paraId="32F481C9" w14:textId="77777777" w:rsidR="00063571" w:rsidRPr="00501CE1" w:rsidRDefault="00063571" w:rsidP="004D3AD0">
            <w:pPr>
              <w:tabs>
                <w:tab w:val="left" w:pos="709"/>
                <w:tab w:val="left" w:pos="1701"/>
              </w:tabs>
              <w:ind w:right="49"/>
              <w:jc w:val="center"/>
              <w:rPr>
                <w:rFonts w:eastAsia="Arial"/>
                <w:b/>
                <w:color w:val="000000" w:themeColor="text1"/>
                <w:sz w:val="24"/>
                <w:szCs w:val="24"/>
              </w:rPr>
            </w:pPr>
            <w:r w:rsidRPr="00501CE1">
              <w:rPr>
                <w:rFonts w:eastAsia="Arial"/>
                <w:b/>
                <w:color w:val="000000" w:themeColor="text1"/>
                <w:sz w:val="24"/>
                <w:szCs w:val="24"/>
              </w:rPr>
              <w:t>NICOLÁS YEPES CORRALES</w:t>
            </w:r>
          </w:p>
          <w:p w14:paraId="14FB1FAA" w14:textId="5D33DF3A" w:rsidR="00063571" w:rsidRPr="00501CE1" w:rsidRDefault="00063571" w:rsidP="004D3AD0">
            <w:pPr>
              <w:tabs>
                <w:tab w:val="left" w:pos="709"/>
                <w:tab w:val="left" w:pos="1701"/>
              </w:tabs>
              <w:ind w:right="49"/>
              <w:jc w:val="center"/>
              <w:rPr>
                <w:sz w:val="22"/>
                <w:szCs w:val="22"/>
              </w:rPr>
            </w:pPr>
            <w:r w:rsidRPr="00501CE1">
              <w:rPr>
                <w:rFonts w:eastAsia="Arial"/>
                <w:b/>
                <w:color w:val="000000" w:themeColor="text1"/>
                <w:sz w:val="24"/>
                <w:szCs w:val="24"/>
              </w:rPr>
              <w:t>Consejero Ponente</w:t>
            </w:r>
          </w:p>
        </w:tc>
      </w:tr>
    </w:tbl>
    <w:p w14:paraId="11F9D319" w14:textId="5B34BD49" w:rsidR="00063571" w:rsidRPr="00063571" w:rsidRDefault="00063571" w:rsidP="00063571">
      <w:pPr>
        <w:tabs>
          <w:tab w:val="left" w:pos="2431"/>
        </w:tabs>
        <w:jc w:val="center"/>
        <w:rPr>
          <w:sz w:val="24"/>
          <w:szCs w:val="24"/>
        </w:rPr>
      </w:pPr>
    </w:p>
    <w:sectPr w:rsidR="00063571" w:rsidRPr="00063571"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9C46" w14:textId="77777777" w:rsidR="007D6E61" w:rsidRDefault="007D6E61" w:rsidP="006B0AC2">
      <w:r>
        <w:separator/>
      </w:r>
    </w:p>
  </w:endnote>
  <w:endnote w:type="continuationSeparator" w:id="0">
    <w:p w14:paraId="1691A55C" w14:textId="77777777" w:rsidR="007D6E61" w:rsidRDefault="007D6E61" w:rsidP="006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6153" w14:textId="77777777" w:rsidR="007D6E61" w:rsidRDefault="007D6E61" w:rsidP="006B0AC2">
      <w:r>
        <w:separator/>
      </w:r>
    </w:p>
  </w:footnote>
  <w:footnote w:type="continuationSeparator" w:id="0">
    <w:p w14:paraId="3A11B005" w14:textId="77777777" w:rsidR="007D6E61" w:rsidRDefault="007D6E61" w:rsidP="006B0AC2">
      <w:r>
        <w:continuationSeparator/>
      </w:r>
    </w:p>
  </w:footnote>
  <w:footnote w:id="1">
    <w:p w14:paraId="569E472C" w14:textId="3FE89619" w:rsidR="007337C4" w:rsidRPr="006D36B5" w:rsidRDefault="007337C4">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Obra correo electrónico en el documento subido en SAMAI con certificado 65F476C3DA62E91C 2FB9CCDD9576F719 7E8097E0725D3477 0BD376B3E6305329. </w:t>
      </w:r>
    </w:p>
  </w:footnote>
  <w:footnote w:id="2">
    <w:p w14:paraId="465FC208" w14:textId="77777777" w:rsidR="007337C4" w:rsidRPr="006D36B5" w:rsidRDefault="007337C4" w:rsidP="00602200">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Obra escrito de tutela en el documento subido en SAMAI con certificado 365AD8859325AC56 312BDACCFA072424 008F873D14DF4A84 B5487921BFCE1965.</w:t>
      </w:r>
    </w:p>
  </w:footnote>
  <w:footnote w:id="3">
    <w:p w14:paraId="06D2C5F4" w14:textId="7FA74476" w:rsidR="007337C4" w:rsidRPr="006D36B5" w:rsidRDefault="007337C4">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A folio 10 del escrito de tutela en el documento subido en SAMAI con certificado 365AD8859325AC56 312BDACCFA072424 008F873D14DF4A84 B5487921BFCE1965.</w:t>
      </w:r>
    </w:p>
  </w:footnote>
  <w:footnote w:id="4">
    <w:p w14:paraId="69A6FFDB" w14:textId="77777777" w:rsidR="008256F0" w:rsidRPr="006D36B5" w:rsidRDefault="008256F0" w:rsidP="008256F0">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Promovido por Alberto </w:t>
      </w:r>
      <w:proofErr w:type="spellStart"/>
      <w:r w:rsidRPr="006D36B5">
        <w:rPr>
          <w:rFonts w:cs="Arial"/>
          <w:color w:val="000000" w:themeColor="text1"/>
          <w:sz w:val="18"/>
          <w:szCs w:val="18"/>
        </w:rPr>
        <w:t>Ravachi</w:t>
      </w:r>
      <w:proofErr w:type="spellEnd"/>
      <w:r w:rsidRPr="006D36B5">
        <w:rPr>
          <w:rFonts w:cs="Arial"/>
          <w:color w:val="000000" w:themeColor="text1"/>
          <w:sz w:val="18"/>
          <w:szCs w:val="18"/>
        </w:rPr>
        <w:t xml:space="preserve"> Dávila, en su nombre y como representante legal de la sociedad </w:t>
      </w:r>
      <w:proofErr w:type="spellStart"/>
      <w:r w:rsidRPr="006D36B5">
        <w:rPr>
          <w:rFonts w:cs="Arial"/>
          <w:color w:val="000000" w:themeColor="text1"/>
          <w:sz w:val="18"/>
          <w:szCs w:val="18"/>
        </w:rPr>
        <w:t>Ravachi</w:t>
      </w:r>
      <w:proofErr w:type="spellEnd"/>
      <w:r w:rsidRPr="006D36B5">
        <w:rPr>
          <w:rFonts w:cs="Arial"/>
          <w:color w:val="000000" w:themeColor="text1"/>
          <w:sz w:val="18"/>
          <w:szCs w:val="18"/>
        </w:rPr>
        <w:t xml:space="preserve"> </w:t>
      </w:r>
      <w:proofErr w:type="spellStart"/>
      <w:r w:rsidRPr="006D36B5">
        <w:rPr>
          <w:rFonts w:cs="Arial"/>
          <w:color w:val="000000" w:themeColor="text1"/>
          <w:sz w:val="18"/>
          <w:szCs w:val="18"/>
        </w:rPr>
        <w:t>Slebi</w:t>
      </w:r>
      <w:proofErr w:type="spellEnd"/>
      <w:r w:rsidRPr="006D36B5">
        <w:rPr>
          <w:rFonts w:cs="Arial"/>
          <w:color w:val="000000" w:themeColor="text1"/>
          <w:sz w:val="18"/>
          <w:szCs w:val="18"/>
        </w:rPr>
        <w:t xml:space="preserve"> y Compañía, hoy Mirto Capital S.A.S., en contra del Distrito Especial, Industrial y Portuario de Barranquilla.</w:t>
      </w:r>
    </w:p>
  </w:footnote>
  <w:footnote w:id="5">
    <w:p w14:paraId="4597CEA5" w14:textId="1806C91D" w:rsidR="00B13D9A" w:rsidRPr="006D36B5" w:rsidRDefault="00B13D9A">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A folio 10 del escrito de tutela en el documento subido en SAMAI con certificado 365AD8859325AC56 312BDACCFA072424 008F873D14DF4A84 B5487921BFCE1965.</w:t>
      </w:r>
    </w:p>
  </w:footnote>
  <w:footnote w:id="6">
    <w:p w14:paraId="4B1C89E0" w14:textId="4DF76BE0" w:rsidR="007337C4" w:rsidRPr="006D36B5" w:rsidRDefault="007337C4">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w:t>
      </w:r>
      <w:r w:rsidR="00CF26ED" w:rsidRPr="006D36B5">
        <w:rPr>
          <w:rFonts w:cs="Arial"/>
          <w:color w:val="000000" w:themeColor="text1"/>
          <w:sz w:val="18"/>
          <w:szCs w:val="18"/>
        </w:rPr>
        <w:t>Obra</w:t>
      </w:r>
      <w:r w:rsidRPr="006D36B5">
        <w:rPr>
          <w:rFonts w:cs="Arial"/>
          <w:color w:val="000000" w:themeColor="text1"/>
          <w:sz w:val="18"/>
          <w:szCs w:val="18"/>
        </w:rPr>
        <w:t xml:space="preserve"> auto </w:t>
      </w:r>
      <w:r w:rsidR="00CF26ED" w:rsidRPr="006D36B5">
        <w:rPr>
          <w:rFonts w:cs="Arial"/>
          <w:color w:val="000000" w:themeColor="text1"/>
          <w:sz w:val="18"/>
          <w:szCs w:val="18"/>
        </w:rPr>
        <w:t xml:space="preserve">admisorio </w:t>
      </w:r>
      <w:r w:rsidRPr="006D36B5">
        <w:rPr>
          <w:rFonts w:cs="Arial"/>
          <w:color w:val="000000" w:themeColor="text1"/>
          <w:sz w:val="18"/>
          <w:szCs w:val="18"/>
        </w:rPr>
        <w:t xml:space="preserve">en el documento </w:t>
      </w:r>
      <w:r w:rsidR="00CF26ED" w:rsidRPr="006D36B5">
        <w:rPr>
          <w:rFonts w:cs="Arial"/>
          <w:color w:val="000000" w:themeColor="text1"/>
          <w:sz w:val="18"/>
          <w:szCs w:val="18"/>
        </w:rPr>
        <w:t xml:space="preserve">subido en SAMAI con </w:t>
      </w:r>
      <w:r w:rsidRPr="006D36B5">
        <w:rPr>
          <w:rFonts w:cs="Arial"/>
          <w:color w:val="000000" w:themeColor="text1"/>
          <w:sz w:val="18"/>
          <w:szCs w:val="18"/>
        </w:rPr>
        <w:t xml:space="preserve">certificado </w:t>
      </w:r>
      <w:r w:rsidR="00CF26ED" w:rsidRPr="006D36B5">
        <w:rPr>
          <w:rFonts w:cs="Arial"/>
          <w:color w:val="000000" w:themeColor="text1"/>
          <w:sz w:val="18"/>
          <w:szCs w:val="18"/>
        </w:rPr>
        <w:t>A3D5C016172F3E14 120DA5B055FBF206 F40A039EAD112364 E0A7B84976EE0CCF</w:t>
      </w:r>
      <w:r w:rsidRPr="006D36B5">
        <w:rPr>
          <w:rFonts w:cs="Arial"/>
          <w:color w:val="000000" w:themeColor="text1"/>
          <w:sz w:val="18"/>
          <w:szCs w:val="18"/>
        </w:rPr>
        <w:t xml:space="preserve">. </w:t>
      </w:r>
    </w:p>
  </w:footnote>
  <w:footnote w:id="7">
    <w:p w14:paraId="56A10B52" w14:textId="77777777" w:rsidR="007337C4" w:rsidRPr="006D36B5" w:rsidRDefault="007337C4" w:rsidP="003E3F7C">
      <w:pPr>
        <w:pStyle w:val="Textonotapie"/>
        <w:ind w:right="49"/>
        <w:rPr>
          <w:rFonts w:eastAsia="Calibri"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Consejo de Estado, Sala Plena de lo Contencioso Administrativo, Sección Tercera, Subsección C, sentencia del 8 de mayo de 2013, expediente: 24510, C.P. Jaime Orlando Santofimio Gamboa. </w:t>
      </w:r>
    </w:p>
  </w:footnote>
  <w:footnote w:id="8">
    <w:p w14:paraId="1FDD719A" w14:textId="534D933F" w:rsidR="007337C4" w:rsidRPr="006D36B5" w:rsidRDefault="007337C4" w:rsidP="00494882">
      <w:pPr>
        <w:pStyle w:val="Textonotapie"/>
        <w:ind w:right="49"/>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w:t>
      </w:r>
      <w:r w:rsidRPr="006D36B5">
        <w:rPr>
          <w:rFonts w:cs="Arial"/>
          <w:i/>
          <w:color w:val="000000" w:themeColor="text1"/>
          <w:sz w:val="18"/>
          <w:szCs w:val="18"/>
          <w:shd w:val="clear" w:color="auto" w:fill="FFFFFF"/>
        </w:rPr>
        <w:t>Se ha dicho que el </w:t>
      </w:r>
      <w:r w:rsidRPr="006D36B5">
        <w:rPr>
          <w:rFonts w:cs="Arial"/>
          <w:i/>
          <w:color w:val="000000" w:themeColor="text1"/>
          <w:sz w:val="18"/>
          <w:szCs w:val="18"/>
          <w:bdr w:val="none" w:sz="0" w:space="0" w:color="auto" w:frame="1"/>
          <w:shd w:val="clear" w:color="auto" w:fill="FFFFFF"/>
        </w:rPr>
        <w:t>‘concepto de parte tiene una doble acepción según se la examine desde el punto de vista puramente procesal o teniendo en cuenta el derecho material en discusión. En el primer caso, son partes quienes intervienen en el proceso como demandantes o demandados, en procura de que se les satisfaga una pretensión procesal, independientemente de que les asista razón o no; de manera que desde este punto de vista la noción de parte es puramente formal. En sentido material tienen la condición de partes los sujetos de la relación jurídica sustancial objeto de la controversia o motivo del reconocimiento, así no intervengan en el proceso</w:t>
      </w:r>
      <w:r w:rsidRPr="006D36B5">
        <w:rPr>
          <w:rFonts w:cs="Arial"/>
          <w:color w:val="000000" w:themeColor="text1"/>
          <w:sz w:val="18"/>
          <w:szCs w:val="18"/>
          <w:bdr w:val="none" w:sz="0" w:space="0" w:color="auto" w:frame="1"/>
          <w:shd w:val="clear" w:color="auto" w:fill="FFFFFF"/>
        </w:rPr>
        <w:t xml:space="preserve">”. </w:t>
      </w:r>
      <w:r w:rsidR="00494882" w:rsidRPr="006D36B5">
        <w:rPr>
          <w:rFonts w:cs="Arial"/>
          <w:color w:val="000000" w:themeColor="text1"/>
          <w:sz w:val="18"/>
          <w:szCs w:val="18"/>
        </w:rPr>
        <w:t>Corte Constitucional, Auto 027 del 21 de agosto de 1997, M.P. Antonio Barrera Carbonell.</w:t>
      </w:r>
    </w:p>
  </w:footnote>
  <w:footnote w:id="9">
    <w:p w14:paraId="0D5BDBFE" w14:textId="36142142" w:rsidR="007337C4" w:rsidRPr="006D36B5" w:rsidRDefault="007337C4" w:rsidP="009D3EE8">
      <w:pPr>
        <w:ind w:right="49"/>
        <w:contextualSpacing/>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w:t>
      </w:r>
      <w:r w:rsidRPr="006D36B5">
        <w:rPr>
          <w:rFonts w:cs="Arial"/>
          <w:color w:val="000000" w:themeColor="text1"/>
          <w:sz w:val="18"/>
          <w:szCs w:val="18"/>
          <w:bdr w:val="none" w:sz="0" w:space="0" w:color="auto" w:frame="1"/>
        </w:rPr>
        <w:t>“</w:t>
      </w:r>
      <w:r w:rsidRPr="006D36B5">
        <w:rPr>
          <w:rFonts w:cs="Arial"/>
          <w:i/>
          <w:color w:val="000000" w:themeColor="text1"/>
          <w:sz w:val="18"/>
          <w:szCs w:val="18"/>
          <w:bdr w:val="none" w:sz="0" w:space="0" w:color="auto" w:frame="1"/>
        </w:rPr>
        <w:t>[L</w:t>
      </w:r>
      <w:r w:rsidRPr="006D36B5">
        <w:rPr>
          <w:rFonts w:cs="Arial"/>
          <w:i/>
          <w:color w:val="000000" w:themeColor="text1"/>
          <w:sz w:val="18"/>
          <w:szCs w:val="18"/>
          <w:u w:val="single"/>
          <w:bdr w:val="none" w:sz="0" w:space="0" w:color="auto" w:frame="1"/>
        </w:rPr>
        <w:t>]a falta de poder especial para adelantar el proceso de tutela por parte de un apoderado judicial, aun cuando tenga poder específico o general en otros asuntos, no lo habilita para ejercer la acción de amparo constitucional a nombre de su mandante</w:t>
      </w:r>
      <w:r w:rsidRPr="006D36B5">
        <w:rPr>
          <w:rFonts w:cs="Arial"/>
          <w:i/>
          <w:color w:val="000000" w:themeColor="text1"/>
          <w:sz w:val="18"/>
          <w:szCs w:val="18"/>
          <w:bdr w:val="none" w:sz="0" w:space="0" w:color="auto" w:frame="1"/>
        </w:rPr>
        <w:t xml:space="preserve"> y, por lo tanto, en estos casos, la tutela debe ser declarada improcedente ante la falta de legitimación por activa</w:t>
      </w:r>
      <w:r w:rsidRPr="006D36B5">
        <w:rPr>
          <w:rFonts w:cs="Arial"/>
          <w:color w:val="000000" w:themeColor="text1"/>
          <w:sz w:val="18"/>
          <w:szCs w:val="18"/>
          <w:bdr w:val="none" w:sz="0" w:space="0" w:color="auto" w:frame="1"/>
        </w:rPr>
        <w:t>”</w:t>
      </w:r>
      <w:r w:rsidRPr="006D36B5">
        <w:rPr>
          <w:rStyle w:val="Refdenotaalpie"/>
          <w:rFonts w:cs="Arial"/>
          <w:color w:val="000000" w:themeColor="text1"/>
          <w:sz w:val="18"/>
          <w:szCs w:val="18"/>
          <w:bdr w:val="none" w:sz="0" w:space="0" w:color="auto" w:frame="1"/>
        </w:rPr>
        <w:footnoteRef/>
      </w:r>
      <w:r w:rsidRPr="006D36B5">
        <w:rPr>
          <w:rFonts w:cs="Arial"/>
          <w:color w:val="000000" w:themeColor="text1"/>
          <w:sz w:val="18"/>
          <w:szCs w:val="18"/>
          <w:bdr w:val="none" w:sz="0" w:space="0" w:color="auto" w:frame="1"/>
        </w:rPr>
        <w:t>.</w:t>
      </w:r>
      <w:r w:rsidRPr="006D36B5">
        <w:rPr>
          <w:rFonts w:cs="Arial"/>
          <w:color w:val="000000" w:themeColor="text1"/>
          <w:sz w:val="18"/>
          <w:szCs w:val="18"/>
        </w:rPr>
        <w:t xml:space="preserve"> Corte Constitucional, sentencia T-658 del 15 de agosto de 2002, M.P. Rodrigo Escobar Gil.</w:t>
      </w:r>
    </w:p>
    <w:p w14:paraId="181357D9" w14:textId="77777777" w:rsidR="007337C4" w:rsidRPr="006D36B5" w:rsidRDefault="007337C4" w:rsidP="009D3EE8">
      <w:pPr>
        <w:pStyle w:val="Textonotapie"/>
        <w:ind w:right="49"/>
        <w:rPr>
          <w:color w:val="000000" w:themeColor="text1"/>
        </w:rPr>
      </w:pPr>
    </w:p>
  </w:footnote>
  <w:footnote w:id="10">
    <w:p w14:paraId="4BA6F55F" w14:textId="77777777" w:rsidR="00AD448F" w:rsidRPr="006D36B5" w:rsidRDefault="00AD448F" w:rsidP="00AD448F">
      <w:pPr>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Obra poder a folio 60 del archivo digital subido en SAMAI con certificado D70910B78C06E672 351FCBA6FFB7D2EF 11E83687018086FA DEAC8AA6E951BA30.</w:t>
      </w:r>
    </w:p>
  </w:footnote>
  <w:footnote w:id="11">
    <w:p w14:paraId="2796F031" w14:textId="4EEEBCC0" w:rsidR="00494882" w:rsidRPr="006D36B5" w:rsidRDefault="00494882">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w:t>
      </w:r>
      <w:r w:rsidRPr="006D36B5">
        <w:rPr>
          <w:rFonts w:cs="Arial"/>
          <w:i/>
          <w:color w:val="000000" w:themeColor="text1"/>
          <w:sz w:val="18"/>
          <w:szCs w:val="18"/>
        </w:rPr>
        <w:t>Artículo 2156. Mandato especial y mandato general. Si el mandato comprende uno o más negocios especialmente determinados, se llama especial; si se da para todos los negocios del mandante, es general; y lo será igualmente si se da para todos, con una o más excepciones determinadas. (…)</w:t>
      </w:r>
      <w:r w:rsidRPr="006D36B5">
        <w:rPr>
          <w:rFonts w:cs="Arial"/>
          <w:color w:val="000000" w:themeColor="text1"/>
          <w:sz w:val="18"/>
          <w:szCs w:val="18"/>
        </w:rPr>
        <w:t>”.</w:t>
      </w:r>
    </w:p>
  </w:footnote>
  <w:footnote w:id="12">
    <w:p w14:paraId="76158DBB" w14:textId="7B1B67F5" w:rsidR="00763B87" w:rsidRPr="006D36B5" w:rsidRDefault="00763B87">
      <w:pPr>
        <w:pStyle w:val="Textonotapie"/>
        <w:rPr>
          <w:rFonts w:cs="Arial"/>
          <w:color w:val="000000" w:themeColor="text1"/>
          <w:sz w:val="18"/>
          <w:szCs w:val="18"/>
        </w:rPr>
      </w:pPr>
      <w:r w:rsidRPr="006D36B5">
        <w:rPr>
          <w:rStyle w:val="Refdenotaalpie"/>
          <w:rFonts w:cs="Arial"/>
          <w:color w:val="000000" w:themeColor="text1"/>
          <w:sz w:val="18"/>
          <w:szCs w:val="18"/>
        </w:rPr>
        <w:footnoteRef/>
      </w:r>
      <w:r w:rsidRPr="006D36B5">
        <w:rPr>
          <w:rFonts w:cs="Arial"/>
          <w:color w:val="000000" w:themeColor="text1"/>
          <w:sz w:val="18"/>
          <w:szCs w:val="18"/>
        </w:rPr>
        <w:t xml:space="preserve"> “</w:t>
      </w:r>
      <w:r w:rsidRPr="006D36B5">
        <w:rPr>
          <w:rFonts w:cs="Arial"/>
          <w:i/>
          <w:color w:val="000000" w:themeColor="text1"/>
          <w:sz w:val="18"/>
          <w:szCs w:val="18"/>
        </w:rPr>
        <w:t>Artículo 74. Poderes. Los poderes generales para toda clase de procesos solo podrán conferirse por escritura pública. El poder especial para uno o varios procesos podrá conferirse por documento privado. En los poderes especiales los asuntos deberán estar determinados y claramente identificados. (…)</w:t>
      </w:r>
      <w:r w:rsidRPr="006D36B5">
        <w:rPr>
          <w:rFonts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6791"/>
      <w:docPartObj>
        <w:docPartGallery w:val="Page Numbers (Top of Page)"/>
        <w:docPartUnique/>
      </w:docPartObj>
    </w:sdtPr>
    <w:sdtEndPr/>
    <w:sdtContent>
      <w:p w14:paraId="082B491A" w14:textId="1509493C" w:rsidR="007337C4" w:rsidRDefault="007337C4">
        <w:pPr>
          <w:pStyle w:val="Encabezado"/>
          <w:jc w:val="center"/>
        </w:pPr>
        <w:r>
          <w:fldChar w:fldCharType="begin"/>
        </w:r>
        <w:r>
          <w:instrText>PAGE   \* MERGEFORMAT</w:instrText>
        </w:r>
        <w:r>
          <w:fldChar w:fldCharType="separate"/>
        </w:r>
        <w:r w:rsidR="00A636EC" w:rsidRPr="00A636EC">
          <w:rPr>
            <w:noProof/>
            <w:lang w:val="es-ES"/>
          </w:rPr>
          <w:t>8</w:t>
        </w:r>
        <w:r>
          <w:fldChar w:fldCharType="end"/>
        </w:r>
      </w:p>
    </w:sdtContent>
  </w:sdt>
  <w:p w14:paraId="7B11CA8D" w14:textId="77777777" w:rsidR="007337C4" w:rsidRPr="00680712" w:rsidRDefault="007337C4" w:rsidP="00680712">
    <w:pPr>
      <w:tabs>
        <w:tab w:val="left" w:pos="2070"/>
      </w:tabs>
      <w:spacing w:line="276" w:lineRule="auto"/>
      <w:jc w:val="right"/>
      <w:rPr>
        <w:i/>
        <w:sz w:val="18"/>
        <w:szCs w:val="18"/>
      </w:rPr>
    </w:pPr>
    <w:r w:rsidRPr="00680712">
      <w:rPr>
        <w:i/>
        <w:sz w:val="18"/>
        <w:szCs w:val="18"/>
      </w:rPr>
      <w:t>Sentencia de primera instancia</w:t>
    </w:r>
  </w:p>
  <w:p w14:paraId="74948DB0" w14:textId="43504D01" w:rsidR="007337C4" w:rsidRPr="00680712" w:rsidRDefault="007337C4" w:rsidP="00680712">
    <w:pPr>
      <w:tabs>
        <w:tab w:val="left" w:pos="2070"/>
      </w:tabs>
      <w:spacing w:line="276" w:lineRule="auto"/>
      <w:jc w:val="right"/>
      <w:rPr>
        <w:i/>
        <w:sz w:val="18"/>
        <w:szCs w:val="18"/>
      </w:rPr>
    </w:pPr>
    <w:r w:rsidRPr="00680712">
      <w:rPr>
        <w:i/>
        <w:sz w:val="18"/>
        <w:szCs w:val="18"/>
      </w:rPr>
      <w:t>Radicación: 11001-03-15-000-2021-</w:t>
    </w:r>
    <w:r w:rsidR="00EF4065">
      <w:rPr>
        <w:i/>
        <w:sz w:val="18"/>
        <w:szCs w:val="18"/>
      </w:rPr>
      <w:t>04693</w:t>
    </w:r>
    <w:r w:rsidRPr="00680712">
      <w:rPr>
        <w:i/>
        <w:sz w:val="18"/>
        <w:szCs w:val="18"/>
      </w:rPr>
      <w:t xml:space="preserve">-00 </w:t>
    </w:r>
  </w:p>
  <w:p w14:paraId="020C8C8E" w14:textId="024E574B" w:rsidR="007337C4" w:rsidRPr="00680712" w:rsidRDefault="007337C4" w:rsidP="00680712">
    <w:pPr>
      <w:tabs>
        <w:tab w:val="left" w:pos="2070"/>
      </w:tabs>
      <w:spacing w:line="276" w:lineRule="auto"/>
      <w:jc w:val="right"/>
      <w:rPr>
        <w:i/>
        <w:sz w:val="18"/>
        <w:szCs w:val="18"/>
      </w:rPr>
    </w:pPr>
    <w:r w:rsidRPr="00680712">
      <w:rPr>
        <w:i/>
        <w:sz w:val="18"/>
        <w:szCs w:val="18"/>
      </w:rPr>
      <w:t xml:space="preserve">Accionante: </w:t>
    </w:r>
    <w:r w:rsidR="00EF4065">
      <w:rPr>
        <w:i/>
        <w:sz w:val="18"/>
        <w:szCs w:val="18"/>
      </w:rPr>
      <w:t xml:space="preserve">Alberto </w:t>
    </w:r>
    <w:proofErr w:type="spellStart"/>
    <w:r w:rsidR="00EF4065">
      <w:rPr>
        <w:i/>
        <w:sz w:val="18"/>
        <w:szCs w:val="18"/>
      </w:rPr>
      <w:t>Ravachi</w:t>
    </w:r>
    <w:proofErr w:type="spellEnd"/>
    <w:r w:rsidR="00EF4065">
      <w:rPr>
        <w:i/>
        <w:sz w:val="18"/>
        <w:szCs w:val="18"/>
      </w:rPr>
      <w:t xml:space="preserve"> Dávila</w:t>
    </w:r>
    <w:r w:rsidRPr="00680712">
      <w:rPr>
        <w:i/>
        <w:sz w:val="18"/>
        <w:szCs w:val="18"/>
      </w:rPr>
      <w:t xml:space="preserve"> </w:t>
    </w:r>
  </w:p>
  <w:p w14:paraId="3678E18D" w14:textId="3A71E5B3" w:rsidR="007337C4" w:rsidRPr="00680712" w:rsidRDefault="007337C4" w:rsidP="00680712">
    <w:pPr>
      <w:tabs>
        <w:tab w:val="left" w:pos="2070"/>
      </w:tabs>
      <w:spacing w:line="276" w:lineRule="auto"/>
      <w:jc w:val="right"/>
      <w:rPr>
        <w:i/>
        <w:sz w:val="18"/>
        <w:szCs w:val="18"/>
      </w:rPr>
    </w:pPr>
    <w:r w:rsidRPr="00680712">
      <w:rPr>
        <w:i/>
        <w:sz w:val="18"/>
        <w:szCs w:val="18"/>
      </w:rPr>
      <w:t>Accionado</w:t>
    </w:r>
    <w:r w:rsidRPr="00EF4065">
      <w:rPr>
        <w:i/>
        <w:sz w:val="18"/>
        <w:szCs w:val="18"/>
      </w:rPr>
      <w:t xml:space="preserve">: </w:t>
    </w:r>
    <w:r w:rsidR="00EF4065" w:rsidRPr="00EF4065">
      <w:rPr>
        <w:i/>
        <w:sz w:val="18"/>
        <w:szCs w:val="18"/>
      </w:rPr>
      <w:t>Tribunal Administrativo del Atlántico</w:t>
    </w:r>
  </w:p>
  <w:p w14:paraId="5671C061" w14:textId="77777777" w:rsidR="007337C4" w:rsidRPr="00680712" w:rsidRDefault="007337C4" w:rsidP="00680712">
    <w:pPr>
      <w:pStyle w:val="Encabezado"/>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9A63" w14:textId="77777777" w:rsidR="007337C4" w:rsidRPr="00E44FE5" w:rsidRDefault="007337C4" w:rsidP="006B0AC2">
    <w:pPr>
      <w:pStyle w:val="Encabezado"/>
      <w:rPr>
        <w:sz w:val="24"/>
        <w:szCs w:val="24"/>
      </w:rPr>
    </w:pPr>
    <w:r w:rsidRPr="00E44FE5">
      <w:rPr>
        <w:noProof/>
        <w:sz w:val="24"/>
        <w:szCs w:val="24"/>
        <w:lang w:val="en-US"/>
      </w:rPr>
      <w:drawing>
        <wp:anchor distT="0" distB="0" distL="114300" distR="114300" simplePos="0" relativeHeight="251659264" behindDoc="1" locked="0" layoutInCell="1" allowOverlap="1" wp14:anchorId="031CBB80" wp14:editId="0051D819">
          <wp:simplePos x="0" y="0"/>
          <wp:positionH relativeFrom="column">
            <wp:posOffset>-61491</wp:posOffset>
          </wp:positionH>
          <wp:positionV relativeFrom="paragraph">
            <wp:posOffset>-211616</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69080" w14:textId="77777777" w:rsidR="007337C4" w:rsidRPr="00E44FE5" w:rsidRDefault="007337C4" w:rsidP="006B0AC2">
    <w:pPr>
      <w:tabs>
        <w:tab w:val="center" w:pos="4703"/>
        <w:tab w:val="left" w:pos="7035"/>
      </w:tabs>
      <w:jc w:val="left"/>
      <w:rPr>
        <w:rFonts w:cs="Arial"/>
        <w:b/>
        <w:bCs/>
        <w:sz w:val="24"/>
        <w:szCs w:val="24"/>
        <w:lang w:eastAsia="es-ES"/>
      </w:rPr>
    </w:pPr>
    <w:r>
      <w:rPr>
        <w:rFonts w:cs="Arial"/>
        <w:b/>
        <w:bCs/>
        <w:sz w:val="24"/>
        <w:szCs w:val="24"/>
        <w:lang w:eastAsia="es-ES"/>
      </w:rPr>
      <w:tab/>
    </w:r>
    <w:r w:rsidRPr="00E44FE5">
      <w:rPr>
        <w:rFonts w:cs="Arial"/>
        <w:b/>
        <w:bCs/>
        <w:sz w:val="24"/>
        <w:szCs w:val="24"/>
        <w:lang w:eastAsia="es-ES"/>
      </w:rPr>
      <w:t>CONSEJO DE ESTADO</w:t>
    </w:r>
    <w:r>
      <w:rPr>
        <w:rFonts w:cs="Arial"/>
        <w:b/>
        <w:bCs/>
        <w:sz w:val="24"/>
        <w:szCs w:val="24"/>
        <w:lang w:eastAsia="es-ES"/>
      </w:rPr>
      <w:tab/>
    </w:r>
  </w:p>
  <w:p w14:paraId="36322B62" w14:textId="77777777" w:rsidR="007337C4" w:rsidRPr="00E44FE5" w:rsidRDefault="007337C4" w:rsidP="006B0AC2">
    <w:pPr>
      <w:jc w:val="center"/>
      <w:rPr>
        <w:rFonts w:cs="Arial"/>
        <w:b/>
        <w:bCs/>
        <w:color w:val="000000"/>
        <w:sz w:val="24"/>
        <w:szCs w:val="24"/>
        <w:lang w:eastAsia="es-ES"/>
      </w:rPr>
    </w:pPr>
    <w:r w:rsidRPr="00E44FE5">
      <w:rPr>
        <w:rFonts w:cs="Arial"/>
        <w:b/>
        <w:bCs/>
        <w:color w:val="000000"/>
        <w:sz w:val="24"/>
        <w:szCs w:val="24"/>
        <w:lang w:eastAsia="es-ES"/>
      </w:rPr>
      <w:t>SALA DE LO CONTENCIOSO ADMINISTRATIVO</w:t>
    </w:r>
  </w:p>
  <w:p w14:paraId="3DB720E0" w14:textId="77777777" w:rsidR="007337C4" w:rsidRPr="00E44FE5" w:rsidRDefault="007337C4" w:rsidP="006B0AC2">
    <w:pPr>
      <w:jc w:val="center"/>
      <w:rPr>
        <w:rFonts w:cs="Arial"/>
        <w:b/>
        <w:bCs/>
        <w:color w:val="000000"/>
        <w:sz w:val="24"/>
        <w:szCs w:val="24"/>
        <w:lang w:eastAsia="es-ES"/>
      </w:rPr>
    </w:pPr>
    <w:r w:rsidRPr="00E44FE5">
      <w:rPr>
        <w:rFonts w:cs="Arial"/>
        <w:b/>
        <w:bCs/>
        <w:color w:val="000000"/>
        <w:sz w:val="24"/>
        <w:szCs w:val="24"/>
        <w:lang w:eastAsia="es-ES"/>
      </w:rPr>
      <w:t>SECCIÓN TERCERA</w:t>
    </w:r>
  </w:p>
  <w:p w14:paraId="3574F5C9" w14:textId="77777777" w:rsidR="007337C4" w:rsidRDefault="007337C4" w:rsidP="006B0AC2">
    <w:pPr>
      <w:jc w:val="center"/>
      <w:rPr>
        <w:rFonts w:cs="Arial"/>
        <w:b/>
        <w:bCs/>
        <w:color w:val="000000"/>
        <w:sz w:val="24"/>
        <w:szCs w:val="24"/>
        <w:lang w:eastAsia="es-ES"/>
      </w:rPr>
    </w:pPr>
    <w:r w:rsidRPr="00E44FE5">
      <w:rPr>
        <w:rFonts w:cs="Arial"/>
        <w:b/>
        <w:bCs/>
        <w:color w:val="000000"/>
        <w:sz w:val="24"/>
        <w:szCs w:val="24"/>
        <w:lang w:eastAsia="es-ES"/>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F6355E9"/>
    <w:multiLevelType w:val="hybridMultilevel"/>
    <w:tmpl w:val="2BBC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C2"/>
    <w:rsid w:val="00012AE0"/>
    <w:rsid w:val="000154D7"/>
    <w:rsid w:val="00015941"/>
    <w:rsid w:val="000219C4"/>
    <w:rsid w:val="00044165"/>
    <w:rsid w:val="000516DA"/>
    <w:rsid w:val="00053D4F"/>
    <w:rsid w:val="0005410D"/>
    <w:rsid w:val="000611D7"/>
    <w:rsid w:val="00063571"/>
    <w:rsid w:val="0007131C"/>
    <w:rsid w:val="00085695"/>
    <w:rsid w:val="000A64BC"/>
    <w:rsid w:val="000A65E4"/>
    <w:rsid w:val="000D6865"/>
    <w:rsid w:val="000F10EC"/>
    <w:rsid w:val="000F59DC"/>
    <w:rsid w:val="000F7AB7"/>
    <w:rsid w:val="001257E1"/>
    <w:rsid w:val="001430AA"/>
    <w:rsid w:val="00161E1A"/>
    <w:rsid w:val="00173024"/>
    <w:rsid w:val="001843A1"/>
    <w:rsid w:val="00190178"/>
    <w:rsid w:val="00195B48"/>
    <w:rsid w:val="001A40E4"/>
    <w:rsid w:val="001A493B"/>
    <w:rsid w:val="001D27E1"/>
    <w:rsid w:val="001D5684"/>
    <w:rsid w:val="001D58CD"/>
    <w:rsid w:val="001D6F52"/>
    <w:rsid w:val="001E6210"/>
    <w:rsid w:val="00202D41"/>
    <w:rsid w:val="00216E9D"/>
    <w:rsid w:val="002305C9"/>
    <w:rsid w:val="00233BF4"/>
    <w:rsid w:val="00256E4C"/>
    <w:rsid w:val="002666EB"/>
    <w:rsid w:val="002C7CB7"/>
    <w:rsid w:val="002D7FCB"/>
    <w:rsid w:val="002E1CDA"/>
    <w:rsid w:val="002E5922"/>
    <w:rsid w:val="002F1796"/>
    <w:rsid w:val="0031180F"/>
    <w:rsid w:val="00326F04"/>
    <w:rsid w:val="00345610"/>
    <w:rsid w:val="00354B03"/>
    <w:rsid w:val="00367325"/>
    <w:rsid w:val="003753B9"/>
    <w:rsid w:val="003A303B"/>
    <w:rsid w:val="003A6A16"/>
    <w:rsid w:val="003C08D7"/>
    <w:rsid w:val="003E2C95"/>
    <w:rsid w:val="003E3F7C"/>
    <w:rsid w:val="00405BAE"/>
    <w:rsid w:val="004551B5"/>
    <w:rsid w:val="00467092"/>
    <w:rsid w:val="00472B17"/>
    <w:rsid w:val="00473452"/>
    <w:rsid w:val="00483EA5"/>
    <w:rsid w:val="00493F99"/>
    <w:rsid w:val="00494882"/>
    <w:rsid w:val="004B3F4A"/>
    <w:rsid w:val="004C6449"/>
    <w:rsid w:val="004D3AD0"/>
    <w:rsid w:val="00501941"/>
    <w:rsid w:val="00501CE1"/>
    <w:rsid w:val="005033D9"/>
    <w:rsid w:val="005108A6"/>
    <w:rsid w:val="0051438E"/>
    <w:rsid w:val="005268D2"/>
    <w:rsid w:val="0053104D"/>
    <w:rsid w:val="00536213"/>
    <w:rsid w:val="00540E92"/>
    <w:rsid w:val="0056066C"/>
    <w:rsid w:val="005705C3"/>
    <w:rsid w:val="00574EA1"/>
    <w:rsid w:val="00576456"/>
    <w:rsid w:val="00584607"/>
    <w:rsid w:val="00587A23"/>
    <w:rsid w:val="005C7402"/>
    <w:rsid w:val="00602200"/>
    <w:rsid w:val="00613A2B"/>
    <w:rsid w:val="0061549A"/>
    <w:rsid w:val="00624DFA"/>
    <w:rsid w:val="00634CF7"/>
    <w:rsid w:val="00642136"/>
    <w:rsid w:val="0064569B"/>
    <w:rsid w:val="0066333D"/>
    <w:rsid w:val="006669A6"/>
    <w:rsid w:val="00680712"/>
    <w:rsid w:val="00684854"/>
    <w:rsid w:val="00695515"/>
    <w:rsid w:val="006A2EDF"/>
    <w:rsid w:val="006B0AC2"/>
    <w:rsid w:val="006B3EE1"/>
    <w:rsid w:val="006C223A"/>
    <w:rsid w:val="006C684F"/>
    <w:rsid w:val="006C7D15"/>
    <w:rsid w:val="006D36B5"/>
    <w:rsid w:val="006E7A27"/>
    <w:rsid w:val="00722554"/>
    <w:rsid w:val="007337C4"/>
    <w:rsid w:val="00760EE1"/>
    <w:rsid w:val="00763B87"/>
    <w:rsid w:val="007664B2"/>
    <w:rsid w:val="00787407"/>
    <w:rsid w:val="00793399"/>
    <w:rsid w:val="00794E64"/>
    <w:rsid w:val="007A089C"/>
    <w:rsid w:val="007B0194"/>
    <w:rsid w:val="007D6E61"/>
    <w:rsid w:val="007F156A"/>
    <w:rsid w:val="007F2CB4"/>
    <w:rsid w:val="00800789"/>
    <w:rsid w:val="00802EEA"/>
    <w:rsid w:val="00810B28"/>
    <w:rsid w:val="00811EE4"/>
    <w:rsid w:val="008131B8"/>
    <w:rsid w:val="00814A80"/>
    <w:rsid w:val="00815F78"/>
    <w:rsid w:val="008256F0"/>
    <w:rsid w:val="00830831"/>
    <w:rsid w:val="00833486"/>
    <w:rsid w:val="00836A81"/>
    <w:rsid w:val="008439AD"/>
    <w:rsid w:val="00844CB3"/>
    <w:rsid w:val="00853523"/>
    <w:rsid w:val="0086246F"/>
    <w:rsid w:val="0086725C"/>
    <w:rsid w:val="0088327A"/>
    <w:rsid w:val="00885CB1"/>
    <w:rsid w:val="00896DDA"/>
    <w:rsid w:val="008B214D"/>
    <w:rsid w:val="008C693F"/>
    <w:rsid w:val="008D05E2"/>
    <w:rsid w:val="008D3A42"/>
    <w:rsid w:val="008E23AD"/>
    <w:rsid w:val="008E7985"/>
    <w:rsid w:val="009171F9"/>
    <w:rsid w:val="00936EA4"/>
    <w:rsid w:val="00955012"/>
    <w:rsid w:val="009572CB"/>
    <w:rsid w:val="00957407"/>
    <w:rsid w:val="00965094"/>
    <w:rsid w:val="00971C3D"/>
    <w:rsid w:val="00985D3D"/>
    <w:rsid w:val="009966DB"/>
    <w:rsid w:val="009A118B"/>
    <w:rsid w:val="009C5B60"/>
    <w:rsid w:val="009D3EE8"/>
    <w:rsid w:val="009D5912"/>
    <w:rsid w:val="00A317AB"/>
    <w:rsid w:val="00A33DFC"/>
    <w:rsid w:val="00A40872"/>
    <w:rsid w:val="00A41B97"/>
    <w:rsid w:val="00A53DF5"/>
    <w:rsid w:val="00A636EC"/>
    <w:rsid w:val="00A777AB"/>
    <w:rsid w:val="00A9416F"/>
    <w:rsid w:val="00A95027"/>
    <w:rsid w:val="00AA5F66"/>
    <w:rsid w:val="00AB7646"/>
    <w:rsid w:val="00AD2259"/>
    <w:rsid w:val="00AD25BF"/>
    <w:rsid w:val="00AD448F"/>
    <w:rsid w:val="00AE4282"/>
    <w:rsid w:val="00B13D9A"/>
    <w:rsid w:val="00B178C4"/>
    <w:rsid w:val="00B209C4"/>
    <w:rsid w:val="00B306F8"/>
    <w:rsid w:val="00B375CA"/>
    <w:rsid w:val="00B422E1"/>
    <w:rsid w:val="00B66442"/>
    <w:rsid w:val="00B90D77"/>
    <w:rsid w:val="00BA154B"/>
    <w:rsid w:val="00BA44CF"/>
    <w:rsid w:val="00BA7BA7"/>
    <w:rsid w:val="00BB3844"/>
    <w:rsid w:val="00BC1304"/>
    <w:rsid w:val="00BC6361"/>
    <w:rsid w:val="00BD034F"/>
    <w:rsid w:val="00BD7DE9"/>
    <w:rsid w:val="00BF48E7"/>
    <w:rsid w:val="00C05AAA"/>
    <w:rsid w:val="00C07827"/>
    <w:rsid w:val="00C11842"/>
    <w:rsid w:val="00C15D65"/>
    <w:rsid w:val="00C27C1C"/>
    <w:rsid w:val="00C3569D"/>
    <w:rsid w:val="00C45894"/>
    <w:rsid w:val="00C6319A"/>
    <w:rsid w:val="00C86EB2"/>
    <w:rsid w:val="00C92E10"/>
    <w:rsid w:val="00CA3D0A"/>
    <w:rsid w:val="00CC13F2"/>
    <w:rsid w:val="00CC2ACA"/>
    <w:rsid w:val="00CD3D94"/>
    <w:rsid w:val="00CE2470"/>
    <w:rsid w:val="00CE6F23"/>
    <w:rsid w:val="00CF26ED"/>
    <w:rsid w:val="00CF2720"/>
    <w:rsid w:val="00D16C4A"/>
    <w:rsid w:val="00D22FB0"/>
    <w:rsid w:val="00D272CE"/>
    <w:rsid w:val="00D32F4C"/>
    <w:rsid w:val="00D34B8E"/>
    <w:rsid w:val="00D36399"/>
    <w:rsid w:val="00D54FCD"/>
    <w:rsid w:val="00D571A6"/>
    <w:rsid w:val="00D93EEF"/>
    <w:rsid w:val="00DB5480"/>
    <w:rsid w:val="00DC0CFB"/>
    <w:rsid w:val="00DC3696"/>
    <w:rsid w:val="00DD176A"/>
    <w:rsid w:val="00DD6C33"/>
    <w:rsid w:val="00DD748D"/>
    <w:rsid w:val="00DE2D3C"/>
    <w:rsid w:val="00DE5E1A"/>
    <w:rsid w:val="00E00C77"/>
    <w:rsid w:val="00E12C97"/>
    <w:rsid w:val="00E1450D"/>
    <w:rsid w:val="00E34287"/>
    <w:rsid w:val="00E55DE7"/>
    <w:rsid w:val="00E6133F"/>
    <w:rsid w:val="00E70CB9"/>
    <w:rsid w:val="00E7289F"/>
    <w:rsid w:val="00E77875"/>
    <w:rsid w:val="00E86DEF"/>
    <w:rsid w:val="00E87AE1"/>
    <w:rsid w:val="00E93B8B"/>
    <w:rsid w:val="00EA001F"/>
    <w:rsid w:val="00EC2195"/>
    <w:rsid w:val="00ED2995"/>
    <w:rsid w:val="00ED32B6"/>
    <w:rsid w:val="00EF198C"/>
    <w:rsid w:val="00EF4065"/>
    <w:rsid w:val="00EF4C64"/>
    <w:rsid w:val="00F14F66"/>
    <w:rsid w:val="00F20FC8"/>
    <w:rsid w:val="00F76274"/>
    <w:rsid w:val="00F77CA0"/>
    <w:rsid w:val="00F77F71"/>
    <w:rsid w:val="00FA148B"/>
    <w:rsid w:val="00FB35F1"/>
    <w:rsid w:val="00FB37F7"/>
    <w:rsid w:val="00FC3E9F"/>
    <w:rsid w:val="00FC3FCF"/>
    <w:rsid w:val="00FD4D29"/>
    <w:rsid w:val="00FD6DB9"/>
    <w:rsid w:val="00FE78F5"/>
    <w:rsid w:val="00FF11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95C6"/>
  <w15:chartTrackingRefBased/>
  <w15:docId w15:val="{C62808A1-DD70-4732-B0D4-43AC5FA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AC2"/>
    <w:pPr>
      <w:tabs>
        <w:tab w:val="center" w:pos="4419"/>
        <w:tab w:val="right" w:pos="8838"/>
      </w:tabs>
    </w:pPr>
  </w:style>
  <w:style w:type="character" w:customStyle="1" w:styleId="EncabezadoCar">
    <w:name w:val="Encabezado Car"/>
    <w:basedOn w:val="Fuentedeprrafopredeter"/>
    <w:link w:val="Encabezado"/>
    <w:uiPriority w:val="99"/>
    <w:rsid w:val="006B0AC2"/>
  </w:style>
  <w:style w:type="paragraph" w:styleId="Piedepgina">
    <w:name w:val="footer"/>
    <w:basedOn w:val="Normal"/>
    <w:link w:val="PiedepginaCar"/>
    <w:uiPriority w:val="99"/>
    <w:unhideWhenUsed/>
    <w:rsid w:val="006B0AC2"/>
    <w:pPr>
      <w:tabs>
        <w:tab w:val="center" w:pos="4419"/>
        <w:tab w:val="right" w:pos="8838"/>
      </w:tabs>
    </w:pPr>
  </w:style>
  <w:style w:type="character" w:customStyle="1" w:styleId="PiedepginaCar">
    <w:name w:val="Pie de página Car"/>
    <w:basedOn w:val="Fuentedeprrafopredeter"/>
    <w:link w:val="Piedepgina"/>
    <w:uiPriority w:val="99"/>
    <w:rsid w:val="006B0AC2"/>
  </w:style>
  <w:style w:type="character" w:styleId="Refdecomentario">
    <w:name w:val="annotation reference"/>
    <w:basedOn w:val="Fuentedeprrafopredeter"/>
    <w:uiPriority w:val="99"/>
    <w:semiHidden/>
    <w:unhideWhenUsed/>
    <w:rsid w:val="0031180F"/>
    <w:rPr>
      <w:sz w:val="16"/>
      <w:szCs w:val="16"/>
    </w:rPr>
  </w:style>
  <w:style w:type="paragraph" w:styleId="Textocomentario">
    <w:name w:val="annotation text"/>
    <w:basedOn w:val="Normal"/>
    <w:link w:val="TextocomentarioCar"/>
    <w:uiPriority w:val="99"/>
    <w:semiHidden/>
    <w:unhideWhenUsed/>
    <w:rsid w:val="0031180F"/>
  </w:style>
  <w:style w:type="character" w:customStyle="1" w:styleId="TextocomentarioCar">
    <w:name w:val="Texto comentario Car"/>
    <w:basedOn w:val="Fuentedeprrafopredeter"/>
    <w:link w:val="Textocomentario"/>
    <w:uiPriority w:val="99"/>
    <w:semiHidden/>
    <w:rsid w:val="0031180F"/>
  </w:style>
  <w:style w:type="paragraph" w:styleId="Asuntodelcomentario">
    <w:name w:val="annotation subject"/>
    <w:basedOn w:val="Textocomentario"/>
    <w:next w:val="Textocomentario"/>
    <w:link w:val="AsuntodelcomentarioCar"/>
    <w:uiPriority w:val="99"/>
    <w:semiHidden/>
    <w:unhideWhenUsed/>
    <w:rsid w:val="0031180F"/>
    <w:rPr>
      <w:b/>
      <w:bCs/>
    </w:rPr>
  </w:style>
  <w:style w:type="character" w:customStyle="1" w:styleId="AsuntodelcomentarioCar">
    <w:name w:val="Asunto del comentario Car"/>
    <w:basedOn w:val="TextocomentarioCar"/>
    <w:link w:val="Asuntodelcomentario"/>
    <w:uiPriority w:val="99"/>
    <w:semiHidden/>
    <w:rsid w:val="0031180F"/>
    <w:rPr>
      <w:b/>
      <w:bCs/>
    </w:rPr>
  </w:style>
  <w:style w:type="paragraph" w:styleId="Textodeglobo">
    <w:name w:val="Balloon Text"/>
    <w:basedOn w:val="Normal"/>
    <w:link w:val="TextodegloboCar"/>
    <w:uiPriority w:val="99"/>
    <w:semiHidden/>
    <w:unhideWhenUsed/>
    <w:rsid w:val="003118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80F"/>
    <w:rPr>
      <w:rFonts w:ascii="Segoe UI" w:hAnsi="Segoe UI" w:cs="Segoe UI"/>
      <w:sz w:val="18"/>
      <w:szCs w:val="18"/>
    </w:rPr>
  </w:style>
  <w:style w:type="paragraph" w:styleId="Prrafodelista">
    <w:name w:val="List Paragraph"/>
    <w:basedOn w:val="Normal"/>
    <w:uiPriority w:val="34"/>
    <w:qFormat/>
    <w:rsid w:val="00985D3D"/>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985D3D"/>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985D3D"/>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iPriority w:val="99"/>
    <w:unhideWhenUsed/>
    <w:qFormat/>
    <w:rsid w:val="00985D3D"/>
    <w:rPr>
      <w:vertAlign w:val="superscript"/>
    </w:rPr>
  </w:style>
  <w:style w:type="character" w:customStyle="1" w:styleId="Ninguno">
    <w:name w:val="Ninguno"/>
    <w:rsid w:val="006E7A27"/>
    <w:rPr>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E3F7C"/>
    <w:rPr>
      <w:vertAlign w:val="superscript"/>
    </w:rPr>
  </w:style>
  <w:style w:type="character" w:styleId="Hipervnculo">
    <w:name w:val="Hyperlink"/>
    <w:basedOn w:val="Fuentedeprrafopredeter"/>
    <w:uiPriority w:val="99"/>
    <w:semiHidden/>
    <w:unhideWhenUsed/>
    <w:rsid w:val="00833486"/>
    <w:rPr>
      <w:color w:val="0000FF"/>
      <w:u w:val="single"/>
    </w:rPr>
  </w:style>
  <w:style w:type="paragraph" w:styleId="NormalWeb">
    <w:name w:val="Normal (Web)"/>
    <w:basedOn w:val="Normal"/>
    <w:uiPriority w:val="99"/>
    <w:unhideWhenUsed/>
    <w:rsid w:val="009C5B60"/>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baj">
    <w:name w:val="b_aj"/>
    <w:basedOn w:val="Fuentedeprrafopredeter"/>
    <w:rsid w:val="009C5B60"/>
  </w:style>
  <w:style w:type="paragraph" w:styleId="Revisin">
    <w:name w:val="Revision"/>
    <w:hidden/>
    <w:uiPriority w:val="99"/>
    <w:semiHidden/>
    <w:rsid w:val="006D36B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6301">
      <w:bodyDiv w:val="1"/>
      <w:marLeft w:val="0"/>
      <w:marRight w:val="0"/>
      <w:marTop w:val="0"/>
      <w:marBottom w:val="0"/>
      <w:divBdr>
        <w:top w:val="none" w:sz="0" w:space="0" w:color="auto"/>
        <w:left w:val="none" w:sz="0" w:space="0" w:color="auto"/>
        <w:bottom w:val="none" w:sz="0" w:space="0" w:color="auto"/>
        <w:right w:val="none" w:sz="0" w:space="0" w:color="auto"/>
      </w:divBdr>
    </w:div>
    <w:div w:id="1658612973">
      <w:bodyDiv w:val="1"/>
      <w:marLeft w:val="0"/>
      <w:marRight w:val="0"/>
      <w:marTop w:val="0"/>
      <w:marBottom w:val="0"/>
      <w:divBdr>
        <w:top w:val="none" w:sz="0" w:space="0" w:color="auto"/>
        <w:left w:val="none" w:sz="0" w:space="0" w:color="auto"/>
        <w:bottom w:val="none" w:sz="0" w:space="0" w:color="auto"/>
        <w:right w:val="none" w:sz="0" w:space="0" w:color="auto"/>
      </w:divBdr>
    </w:div>
    <w:div w:id="20931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4FA1E-4149-49B2-A642-BB82F92EB71E}">
  <ds:schemaRefs>
    <ds:schemaRef ds:uri="http://schemas.openxmlformats.org/officeDocument/2006/bibliography"/>
  </ds:schemaRefs>
</ds:datastoreItem>
</file>

<file path=customXml/itemProps2.xml><?xml version="1.0" encoding="utf-8"?>
<ds:datastoreItem xmlns:ds="http://schemas.openxmlformats.org/officeDocument/2006/customXml" ds:itemID="{6088D696-EDEF-4C71-96B1-4D28AE82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45441-742C-455C-BE4C-B3A319519BC5}">
  <ds:schemaRefs>
    <ds:schemaRef ds:uri="http://schemas.microsoft.com/sharepoint/v3/contenttype/forms"/>
  </ds:schemaRefs>
</ds:datastoreItem>
</file>

<file path=customXml/itemProps4.xml><?xml version="1.0" encoding="utf-8"?>
<ds:datastoreItem xmlns:ds="http://schemas.openxmlformats.org/officeDocument/2006/customXml" ds:itemID="{3A30E3BC-1806-4322-8924-5434E9B8F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1786</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2021-09-18T04:06:00Z</dcterms:created>
  <dcterms:modified xsi:type="dcterms:W3CDTF">2021-09-18T04:06:00Z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