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56C88" w14:textId="0F1E8B25" w:rsidR="00D671BD" w:rsidRPr="00DC45F8" w:rsidRDefault="00D671BD" w:rsidP="00DC45F8">
      <w:pPr>
        <w:pStyle w:val="Sinespaciado"/>
        <w:spacing w:line="276" w:lineRule="auto"/>
        <w:jc w:val="both"/>
        <w:rPr>
          <w:rFonts w:ascii="Verdana" w:hAnsi="Verdana"/>
        </w:rPr>
      </w:pPr>
      <w:r w:rsidRPr="00DC45F8">
        <w:rPr>
          <w:rFonts w:ascii="Verdana" w:hAnsi="Verdana"/>
        </w:rPr>
        <w:t>Señor</w:t>
      </w:r>
      <w:r w:rsidR="008A0C85" w:rsidRPr="00DC45F8">
        <w:rPr>
          <w:rFonts w:ascii="Verdana" w:hAnsi="Verdana"/>
        </w:rPr>
        <w:t>es</w:t>
      </w:r>
      <w:r w:rsidRPr="00DC45F8">
        <w:rPr>
          <w:rFonts w:ascii="Verdana" w:hAnsi="Verdana"/>
        </w:rPr>
        <w:t xml:space="preserve">: </w:t>
      </w:r>
    </w:p>
    <w:p w14:paraId="0C4173BA" w14:textId="788177DD" w:rsidR="00D671BD" w:rsidRPr="00DC45F8" w:rsidRDefault="008A0C85" w:rsidP="00DC45F8">
      <w:pPr>
        <w:pStyle w:val="Sinespaciado"/>
        <w:spacing w:line="276" w:lineRule="auto"/>
        <w:jc w:val="both"/>
        <w:rPr>
          <w:rFonts w:ascii="Verdana" w:hAnsi="Verdana"/>
          <w:b/>
        </w:rPr>
      </w:pPr>
      <w:r w:rsidRPr="00DC45F8">
        <w:rPr>
          <w:rFonts w:ascii="Verdana" w:hAnsi="Verdana"/>
          <w:b/>
        </w:rPr>
        <w:t xml:space="preserve">TRIBUNAL </w:t>
      </w:r>
      <w:r w:rsidR="006B3E12" w:rsidRPr="00DC45F8">
        <w:rPr>
          <w:rFonts w:ascii="Verdana" w:hAnsi="Verdana"/>
          <w:b/>
        </w:rPr>
        <w:t xml:space="preserve">SUPERIOR DE BOGOTÀ – SALA DE EXTINCION DE </w:t>
      </w:r>
      <w:r w:rsidRPr="00DC45F8">
        <w:rPr>
          <w:rFonts w:ascii="Verdana" w:hAnsi="Verdana"/>
          <w:b/>
        </w:rPr>
        <w:t>DOMINIO</w:t>
      </w:r>
      <w:r w:rsidR="006B3E12" w:rsidRPr="00DC45F8">
        <w:rPr>
          <w:rFonts w:ascii="Verdana" w:hAnsi="Verdana"/>
          <w:b/>
        </w:rPr>
        <w:t xml:space="preserve">. </w:t>
      </w:r>
    </w:p>
    <w:p w14:paraId="460163A3" w14:textId="77777777" w:rsidR="00D671BD" w:rsidRPr="00DC45F8" w:rsidRDefault="00D671BD" w:rsidP="00DC45F8">
      <w:pPr>
        <w:pStyle w:val="Sinespaciado"/>
        <w:spacing w:line="276" w:lineRule="auto"/>
        <w:jc w:val="both"/>
        <w:rPr>
          <w:rFonts w:ascii="Verdana" w:hAnsi="Verdana"/>
        </w:rPr>
      </w:pPr>
      <w:r w:rsidRPr="00DC45F8">
        <w:rPr>
          <w:rFonts w:ascii="Verdana" w:hAnsi="Verdana"/>
        </w:rPr>
        <w:t xml:space="preserve">E. S. D. </w:t>
      </w:r>
    </w:p>
    <w:p w14:paraId="3E583F7A" w14:textId="77777777" w:rsidR="00D671BD" w:rsidRPr="00DC45F8" w:rsidRDefault="00D671BD" w:rsidP="00DC45F8">
      <w:pPr>
        <w:pStyle w:val="Sinespaciado"/>
        <w:spacing w:line="276" w:lineRule="auto"/>
        <w:jc w:val="both"/>
        <w:rPr>
          <w:rFonts w:ascii="Verdana" w:hAnsi="Verdana"/>
        </w:rPr>
      </w:pPr>
    </w:p>
    <w:p w14:paraId="5A880E4D" w14:textId="77777777" w:rsidR="00D671BD" w:rsidRPr="00DC45F8" w:rsidRDefault="00D671BD" w:rsidP="00DC45F8">
      <w:pPr>
        <w:pStyle w:val="Sinespaciado"/>
        <w:spacing w:line="276" w:lineRule="auto"/>
        <w:jc w:val="both"/>
        <w:rPr>
          <w:rFonts w:ascii="Verdana" w:hAnsi="Verdana"/>
        </w:rPr>
      </w:pPr>
    </w:p>
    <w:p w14:paraId="309977CA" w14:textId="77777777" w:rsidR="00D671BD" w:rsidRPr="00DC45F8" w:rsidRDefault="00D671BD" w:rsidP="00DC45F8">
      <w:pPr>
        <w:pStyle w:val="Sinespaciado"/>
        <w:spacing w:line="276" w:lineRule="auto"/>
        <w:jc w:val="both"/>
        <w:rPr>
          <w:rFonts w:ascii="Verdana" w:hAnsi="Verdana"/>
        </w:rPr>
      </w:pPr>
      <w:r w:rsidRPr="00DC45F8">
        <w:rPr>
          <w:rFonts w:ascii="Verdana" w:hAnsi="Verdana"/>
        </w:rPr>
        <w:t>Referencia: ACCION DE TUTELA</w:t>
      </w:r>
    </w:p>
    <w:p w14:paraId="0A9555BB" w14:textId="01FA253F" w:rsidR="00D671BD" w:rsidRPr="00DC45F8" w:rsidRDefault="00D671BD" w:rsidP="00DC45F8">
      <w:pPr>
        <w:pStyle w:val="Sinespaciado"/>
        <w:spacing w:line="276" w:lineRule="auto"/>
        <w:jc w:val="both"/>
        <w:rPr>
          <w:rFonts w:ascii="Verdana" w:hAnsi="Verdana"/>
        </w:rPr>
      </w:pPr>
      <w:r w:rsidRPr="00DC45F8">
        <w:rPr>
          <w:rFonts w:ascii="Verdana" w:hAnsi="Verdana"/>
        </w:rPr>
        <w:t xml:space="preserve">DEMANDANTE: </w:t>
      </w:r>
      <w:r w:rsidR="00DC6E1B" w:rsidRPr="00DC45F8">
        <w:rPr>
          <w:rFonts w:ascii="Verdana" w:hAnsi="Verdana"/>
        </w:rPr>
        <w:t>OLGA ZIPA AMAYA</w:t>
      </w:r>
      <w:r w:rsidRPr="00DC45F8">
        <w:rPr>
          <w:rFonts w:ascii="Verdana" w:hAnsi="Verdana"/>
        </w:rPr>
        <w:t xml:space="preserve"> </w:t>
      </w:r>
    </w:p>
    <w:p w14:paraId="1E069624" w14:textId="32B86416" w:rsidR="00D671BD" w:rsidRPr="00DC45F8" w:rsidRDefault="00D671BD" w:rsidP="00DC45F8">
      <w:pPr>
        <w:pStyle w:val="Sinespaciado"/>
        <w:spacing w:line="276" w:lineRule="auto"/>
        <w:jc w:val="both"/>
        <w:rPr>
          <w:rFonts w:ascii="Verdana" w:hAnsi="Verdana"/>
        </w:rPr>
      </w:pPr>
      <w:r w:rsidRPr="00DC45F8">
        <w:rPr>
          <w:rFonts w:ascii="Verdana" w:hAnsi="Verdana"/>
        </w:rPr>
        <w:t>DEMANDADO</w:t>
      </w:r>
      <w:r w:rsidR="00DC6E1B" w:rsidRPr="00DC45F8">
        <w:rPr>
          <w:rFonts w:ascii="Verdana" w:hAnsi="Verdana"/>
        </w:rPr>
        <w:t>S</w:t>
      </w:r>
      <w:r w:rsidRPr="00DC45F8">
        <w:rPr>
          <w:rFonts w:ascii="Verdana" w:hAnsi="Verdana"/>
        </w:rPr>
        <w:t xml:space="preserve">: </w:t>
      </w:r>
      <w:r w:rsidR="008A0C85" w:rsidRPr="00DC45F8">
        <w:rPr>
          <w:rFonts w:ascii="Verdana" w:hAnsi="Verdana"/>
          <w:color w:val="000000"/>
        </w:rPr>
        <w:t xml:space="preserve">JUZGADO PRIMERO PENAL DEL CIRCUITO ESPECIALIZADO DE EXTINCIÓN DE DOMINIO DE BOGOTÁ, </w:t>
      </w:r>
      <w:r w:rsidR="00DC6E1B" w:rsidRPr="00DC45F8">
        <w:rPr>
          <w:rFonts w:ascii="Verdana" w:hAnsi="Verdana"/>
        </w:rPr>
        <w:t>ABOGADO</w:t>
      </w:r>
      <w:r w:rsidR="008A0C85" w:rsidRPr="00DC45F8">
        <w:rPr>
          <w:rFonts w:ascii="Verdana" w:hAnsi="Verdana"/>
        </w:rPr>
        <w:t>S</w:t>
      </w:r>
      <w:r w:rsidR="00DC6E1B" w:rsidRPr="00DC45F8">
        <w:rPr>
          <w:rFonts w:ascii="Verdana" w:hAnsi="Verdana"/>
        </w:rPr>
        <w:t xml:space="preserve"> JOSE FERNANDO BELTRAN GARZON y</w:t>
      </w:r>
      <w:r w:rsidR="008A0C85" w:rsidRPr="00DC45F8">
        <w:rPr>
          <w:rFonts w:ascii="Verdana" w:hAnsi="Verdana"/>
        </w:rPr>
        <w:t xml:space="preserve"> OMAR DARIO TORO GONZALEZ. </w:t>
      </w:r>
    </w:p>
    <w:p w14:paraId="608B37E1" w14:textId="60A90A1F" w:rsidR="00DC6E1B" w:rsidRPr="00DC45F8" w:rsidRDefault="00DC6E1B" w:rsidP="00DC45F8">
      <w:pPr>
        <w:pStyle w:val="Sinespaciado"/>
        <w:spacing w:line="276" w:lineRule="auto"/>
        <w:jc w:val="both"/>
        <w:rPr>
          <w:rFonts w:ascii="Verdana" w:hAnsi="Verdana"/>
        </w:rPr>
      </w:pPr>
    </w:p>
    <w:p w14:paraId="7DBAA72F" w14:textId="77777777" w:rsidR="00D671BD" w:rsidRPr="00DC45F8" w:rsidRDefault="00D671BD" w:rsidP="00DC45F8">
      <w:pPr>
        <w:pStyle w:val="Sinespaciado"/>
        <w:spacing w:line="276" w:lineRule="auto"/>
        <w:jc w:val="both"/>
        <w:rPr>
          <w:rFonts w:ascii="Verdana" w:hAnsi="Verdana"/>
        </w:rPr>
      </w:pPr>
    </w:p>
    <w:p w14:paraId="7CACBA8B" w14:textId="77777777" w:rsidR="00D671BD" w:rsidRPr="00DC45F8" w:rsidRDefault="00D671BD" w:rsidP="00DC45F8">
      <w:pPr>
        <w:pStyle w:val="Sinespaciado"/>
        <w:spacing w:line="276" w:lineRule="auto"/>
        <w:jc w:val="both"/>
        <w:rPr>
          <w:rFonts w:ascii="Verdana" w:hAnsi="Verdana"/>
        </w:rPr>
      </w:pPr>
    </w:p>
    <w:p w14:paraId="097D6C19" w14:textId="10750623" w:rsidR="00D671BD" w:rsidRPr="00DC45F8" w:rsidRDefault="00DC6E1B" w:rsidP="00DC45F8">
      <w:pPr>
        <w:pStyle w:val="Sinespaciado"/>
        <w:spacing w:line="276" w:lineRule="auto"/>
        <w:jc w:val="both"/>
        <w:rPr>
          <w:rFonts w:ascii="Verdana" w:hAnsi="Verdana"/>
        </w:rPr>
      </w:pPr>
      <w:r w:rsidRPr="00DC45F8">
        <w:rPr>
          <w:rFonts w:ascii="Verdana" w:hAnsi="Verdana"/>
          <w:b/>
        </w:rPr>
        <w:t>OLGA ZIPA AMAYA</w:t>
      </w:r>
      <w:r w:rsidR="00D671BD" w:rsidRPr="00DC45F8">
        <w:rPr>
          <w:rFonts w:ascii="Verdana" w:hAnsi="Verdana"/>
          <w:b/>
        </w:rPr>
        <w:t>,</w:t>
      </w:r>
      <w:r w:rsidR="00D671BD" w:rsidRPr="00DC45F8">
        <w:rPr>
          <w:rFonts w:ascii="Verdana" w:hAnsi="Verdana"/>
        </w:rPr>
        <w:t xml:space="preserve"> identificad</w:t>
      </w:r>
      <w:r w:rsidRPr="00DC45F8">
        <w:rPr>
          <w:rFonts w:ascii="Verdana" w:hAnsi="Verdana"/>
        </w:rPr>
        <w:t>a</w:t>
      </w:r>
      <w:r w:rsidR="00D671BD" w:rsidRPr="00DC45F8">
        <w:rPr>
          <w:rFonts w:ascii="Verdana" w:hAnsi="Verdana"/>
        </w:rPr>
        <w:t xml:space="preserve"> como aparece al pie de mi firma, actuando en nombre, invocando el artículo 86 de la Constitución Política, acudo ante su Despacho para instaurar ACCIÓN DE TUTELA contra</w:t>
      </w:r>
      <w:r w:rsidR="008A0C85" w:rsidRPr="00DC45F8">
        <w:rPr>
          <w:rFonts w:ascii="Verdana" w:hAnsi="Verdana"/>
        </w:rPr>
        <w:t xml:space="preserve"> el </w:t>
      </w:r>
      <w:r w:rsidR="008A0C85" w:rsidRPr="00DC45F8">
        <w:rPr>
          <w:rFonts w:ascii="Verdana" w:hAnsi="Verdana"/>
          <w:color w:val="000000"/>
        </w:rPr>
        <w:t xml:space="preserve">JUZGADO PRIMERO PENAL DEL CIRCUITO ESPECIALIZADO DE EXTINCIÓN DE DOMINIO DE BOGOTÁ y los </w:t>
      </w:r>
      <w:r w:rsidR="008A0C85" w:rsidRPr="00DC45F8">
        <w:rPr>
          <w:rFonts w:ascii="Verdana" w:hAnsi="Verdana"/>
        </w:rPr>
        <w:t xml:space="preserve">ABOGADOS JOSE FERNANDO BELTRAN GARZON y OMAR DARIO TORO GONZALEZ, </w:t>
      </w:r>
      <w:r w:rsidR="00D671BD" w:rsidRPr="00DC45F8">
        <w:rPr>
          <w:rFonts w:ascii="Verdana" w:hAnsi="Verdana"/>
        </w:rPr>
        <w:t>con el objeto de que se me protejan mi</w:t>
      </w:r>
      <w:r w:rsidRPr="00DC45F8">
        <w:rPr>
          <w:rFonts w:ascii="Verdana" w:hAnsi="Verdana"/>
        </w:rPr>
        <w:t>s derechos fundamentales a</w:t>
      </w:r>
      <w:r w:rsidR="006B3E12" w:rsidRPr="00DC45F8">
        <w:rPr>
          <w:rFonts w:ascii="Verdana" w:hAnsi="Verdana"/>
        </w:rPr>
        <w:t>l debido proceso</w:t>
      </w:r>
      <w:r w:rsidR="00863144">
        <w:rPr>
          <w:rFonts w:ascii="Verdana" w:hAnsi="Verdana"/>
        </w:rPr>
        <w:t xml:space="preserve"> por falta de defensa técnica</w:t>
      </w:r>
      <w:r w:rsidR="0077685C">
        <w:rPr>
          <w:rFonts w:ascii="Verdana" w:hAnsi="Verdana"/>
        </w:rPr>
        <w:t xml:space="preserve">, doble instancia y mínimo vital </w:t>
      </w:r>
      <w:r w:rsidRPr="00DC45F8">
        <w:rPr>
          <w:rFonts w:ascii="Verdana" w:hAnsi="Verdana"/>
        </w:rPr>
        <w:t xml:space="preserve">de conformidad con los siguientes: </w:t>
      </w:r>
    </w:p>
    <w:p w14:paraId="2BA8A977" w14:textId="77777777" w:rsidR="00D671BD" w:rsidRPr="00DC45F8" w:rsidRDefault="00D671BD" w:rsidP="00DC45F8">
      <w:pPr>
        <w:pStyle w:val="Sinespaciado"/>
        <w:spacing w:line="276" w:lineRule="auto"/>
        <w:jc w:val="both"/>
        <w:rPr>
          <w:rFonts w:ascii="Verdana" w:hAnsi="Verdana"/>
        </w:rPr>
      </w:pPr>
    </w:p>
    <w:p w14:paraId="0079FE6B" w14:textId="77777777" w:rsidR="00D671BD" w:rsidRPr="00DC45F8" w:rsidRDefault="00D671BD" w:rsidP="00DC45F8">
      <w:pPr>
        <w:pStyle w:val="Sinespaciado"/>
        <w:spacing w:line="276" w:lineRule="auto"/>
        <w:jc w:val="center"/>
        <w:rPr>
          <w:rFonts w:ascii="Verdana" w:hAnsi="Verdana"/>
          <w:b/>
        </w:rPr>
      </w:pPr>
      <w:r w:rsidRPr="00DC45F8">
        <w:rPr>
          <w:rFonts w:ascii="Verdana" w:hAnsi="Verdana"/>
          <w:b/>
        </w:rPr>
        <w:t>HECHOS</w:t>
      </w:r>
    </w:p>
    <w:p w14:paraId="63220D96" w14:textId="77777777" w:rsidR="00D671BD" w:rsidRPr="00DC45F8" w:rsidRDefault="00D671BD" w:rsidP="00DC45F8">
      <w:pPr>
        <w:pStyle w:val="Sinespaciado"/>
        <w:spacing w:line="276" w:lineRule="auto"/>
        <w:jc w:val="both"/>
        <w:rPr>
          <w:rFonts w:ascii="Verdana" w:hAnsi="Verdana"/>
          <w:b/>
        </w:rPr>
      </w:pPr>
    </w:p>
    <w:p w14:paraId="593D0FB4" w14:textId="7B22E6FF" w:rsidR="007B50F9" w:rsidRPr="00DC45F8" w:rsidRDefault="00D671BD" w:rsidP="00DC45F8">
      <w:pPr>
        <w:pStyle w:val="Sinespaciado"/>
        <w:spacing w:line="276" w:lineRule="auto"/>
        <w:jc w:val="both"/>
        <w:rPr>
          <w:rFonts w:ascii="Verdana" w:hAnsi="Verdana"/>
          <w:b/>
        </w:rPr>
      </w:pPr>
      <w:r w:rsidRPr="00DC45F8">
        <w:rPr>
          <w:rFonts w:ascii="Verdana" w:hAnsi="Verdana"/>
          <w:b/>
        </w:rPr>
        <w:t xml:space="preserve">PRIMERO: </w:t>
      </w:r>
      <w:r w:rsidR="008C3B39" w:rsidRPr="00DC45F8">
        <w:rPr>
          <w:rFonts w:ascii="Verdana" w:hAnsi="Verdana"/>
          <w:bCs/>
        </w:rPr>
        <w:t>El 15 de enero de 2018 s</w:t>
      </w:r>
      <w:r w:rsidR="00684AA5" w:rsidRPr="00DC45F8">
        <w:rPr>
          <w:rFonts w:ascii="Verdana" w:hAnsi="Verdana"/>
          <w:bCs/>
        </w:rPr>
        <w:t xml:space="preserve">uscribí contrato de prestación de servicios profesionales con los abogados </w:t>
      </w:r>
      <w:r w:rsidR="008C3B39" w:rsidRPr="00DC45F8">
        <w:rPr>
          <w:rFonts w:ascii="Verdana" w:hAnsi="Verdana"/>
        </w:rPr>
        <w:t>JOSE FERNANDO BELTRAN GARZON y OMAR DARIO TORO GONZALEZ</w:t>
      </w:r>
      <w:r w:rsidR="007B50F9" w:rsidRPr="00DC45F8">
        <w:rPr>
          <w:rFonts w:ascii="Verdana" w:hAnsi="Verdana"/>
          <w:bCs/>
        </w:rPr>
        <w:t xml:space="preserve">, cuyo objeto era </w:t>
      </w:r>
      <w:r w:rsidR="008A0C85" w:rsidRPr="00DC45F8">
        <w:rPr>
          <w:rFonts w:ascii="Verdana" w:hAnsi="Verdana"/>
          <w:bCs/>
          <w:i/>
          <w:iCs/>
        </w:rPr>
        <w:t>“</w:t>
      </w:r>
      <w:r w:rsidR="008A0C85" w:rsidRPr="00DC45F8">
        <w:rPr>
          <w:rFonts w:ascii="Verdana" w:hAnsi="Verdana"/>
          <w:bCs/>
          <w:i/>
          <w:iCs/>
          <w:color w:val="000000"/>
        </w:rPr>
        <w:t xml:space="preserve">.-OBJETO:- El </w:t>
      </w:r>
      <w:r w:rsidR="008A0C85" w:rsidRPr="00DC45F8">
        <w:rPr>
          <w:rFonts w:ascii="Verdana" w:hAnsi="Verdana"/>
          <w:i/>
          <w:iCs/>
          <w:color w:val="000000"/>
        </w:rPr>
        <w:t xml:space="preserve">CONTRATANTE O PODERDANTE, contrata los servicios profesionales del CONTRATISTA O APODERADO, para que la asesore y represente hasta su culminación en el TRAMITE DE EXTINCIÓN DE DOMINIO No. 110013120001-2017-00096-01 (143 E.D), Juzgado Primero Especializado de Extinción de Dominio, con domicilio principal en la ciudad de Bogotá. 2.- Realizar la vigilancia y seguimiento correspondiente a dicho proceso. 3.- Realizar la asesoría, vigilancia y seguimiento al proceso No. (143 E.D), del Fiscal 57 delegado de Extinción de Dominio”. </w:t>
      </w:r>
      <w:r w:rsidR="009B224F" w:rsidRPr="00DC45F8">
        <w:rPr>
          <w:rFonts w:ascii="Verdana" w:hAnsi="Verdana"/>
          <w:color w:val="000000"/>
        </w:rPr>
        <w:t xml:space="preserve">Cumpliendo la suscrita con las obligaciones a mi cargo allí pactadas, así como el pago en su totalidad de los honorarios establecidos. </w:t>
      </w:r>
    </w:p>
    <w:p w14:paraId="3AF3D3CD" w14:textId="77777777" w:rsidR="007B50F9" w:rsidRPr="00DC45F8" w:rsidRDefault="007B50F9" w:rsidP="00DC45F8">
      <w:pPr>
        <w:pStyle w:val="Sinespaciado"/>
        <w:spacing w:line="276" w:lineRule="auto"/>
        <w:jc w:val="both"/>
        <w:rPr>
          <w:rFonts w:ascii="Verdana" w:hAnsi="Verdana"/>
          <w:b/>
        </w:rPr>
      </w:pPr>
    </w:p>
    <w:p w14:paraId="05825380" w14:textId="77777777" w:rsidR="00446724" w:rsidRPr="00DC45F8" w:rsidRDefault="00D671BD" w:rsidP="00DC45F8">
      <w:pPr>
        <w:pStyle w:val="Sinespaciado"/>
        <w:spacing w:line="276" w:lineRule="auto"/>
        <w:jc w:val="both"/>
        <w:rPr>
          <w:rFonts w:ascii="Verdana" w:hAnsi="Verdana"/>
        </w:rPr>
      </w:pPr>
      <w:r w:rsidRPr="00DC45F8">
        <w:rPr>
          <w:rFonts w:ascii="Verdana" w:hAnsi="Verdana"/>
          <w:b/>
        </w:rPr>
        <w:t>SEGUNDO:</w:t>
      </w:r>
      <w:r w:rsidRPr="00DC45F8">
        <w:rPr>
          <w:rFonts w:ascii="Verdana" w:hAnsi="Verdana"/>
        </w:rPr>
        <w:t xml:space="preserve"> </w:t>
      </w:r>
      <w:r w:rsidR="009B224F" w:rsidRPr="00DC45F8">
        <w:rPr>
          <w:rFonts w:ascii="Verdana" w:hAnsi="Verdana"/>
        </w:rPr>
        <w:t xml:space="preserve">Tuve contacto con el abogado </w:t>
      </w:r>
      <w:r w:rsidR="00446724" w:rsidRPr="00DC45F8">
        <w:rPr>
          <w:rFonts w:ascii="Verdana" w:hAnsi="Verdana"/>
        </w:rPr>
        <w:t xml:space="preserve">JOSE FERNANDO BELTRAN GARZON </w:t>
      </w:r>
      <w:r w:rsidR="009B224F" w:rsidRPr="00DC45F8">
        <w:rPr>
          <w:rFonts w:ascii="Verdana" w:hAnsi="Verdana"/>
        </w:rPr>
        <w:t xml:space="preserve">hasta </w:t>
      </w:r>
      <w:r w:rsidR="00446724" w:rsidRPr="00DC45F8">
        <w:rPr>
          <w:rFonts w:ascii="Verdana" w:hAnsi="Verdana"/>
        </w:rPr>
        <w:t xml:space="preserve">septiembre u octubre de 2019 cuando le informe que me llego telegrama comunicándome que ya se había proferido sentencia de primera instancia, para que por favor verificara el contenido y me contara, luego me llamo me dijo que había salido negativa a nuestros intereses pero que se iba a poner a trabajar con el socio en el recurso de apelacion, hasta ahí tuve contacto con los abogados. </w:t>
      </w:r>
    </w:p>
    <w:p w14:paraId="279F1DD1" w14:textId="77777777" w:rsidR="00446724" w:rsidRPr="00DC45F8" w:rsidRDefault="00446724" w:rsidP="00DC45F8">
      <w:pPr>
        <w:pStyle w:val="Sinespaciado"/>
        <w:spacing w:line="276" w:lineRule="auto"/>
        <w:jc w:val="both"/>
        <w:rPr>
          <w:rFonts w:ascii="Verdana" w:hAnsi="Verdana"/>
        </w:rPr>
      </w:pPr>
    </w:p>
    <w:p w14:paraId="0BF88712" w14:textId="10B15E36" w:rsidR="00CF4147" w:rsidRPr="00DC45F8" w:rsidRDefault="00446724" w:rsidP="00DC45F8">
      <w:pPr>
        <w:pStyle w:val="Sinespaciado"/>
        <w:spacing w:line="276" w:lineRule="auto"/>
        <w:jc w:val="both"/>
        <w:rPr>
          <w:rFonts w:ascii="Verdana" w:hAnsi="Verdana"/>
        </w:rPr>
      </w:pPr>
      <w:r w:rsidRPr="00DC45F8">
        <w:rPr>
          <w:rFonts w:ascii="Verdana" w:hAnsi="Verdana"/>
          <w:b/>
          <w:bCs/>
        </w:rPr>
        <w:t>TERCERO:</w:t>
      </w:r>
      <w:r w:rsidRPr="00DC45F8">
        <w:rPr>
          <w:rFonts w:ascii="Verdana" w:hAnsi="Verdana"/>
        </w:rPr>
        <w:t xml:space="preserve"> </w:t>
      </w:r>
      <w:r w:rsidR="007B50F9" w:rsidRPr="00DC45F8">
        <w:rPr>
          <w:rFonts w:ascii="Verdana" w:hAnsi="Verdana"/>
        </w:rPr>
        <w:t>Para inicios del año 2020 sufrí un accidente cer</w:t>
      </w:r>
      <w:r w:rsidRPr="00DC45F8">
        <w:rPr>
          <w:rFonts w:ascii="Verdana" w:hAnsi="Verdana"/>
        </w:rPr>
        <w:t xml:space="preserve">ebrovascular </w:t>
      </w:r>
      <w:r w:rsidR="007B50F9" w:rsidRPr="00DC45F8">
        <w:rPr>
          <w:rFonts w:ascii="Verdana" w:hAnsi="Verdana"/>
        </w:rPr>
        <w:t xml:space="preserve">del cual gracias a Dios </w:t>
      </w:r>
      <w:r w:rsidRPr="00DC45F8">
        <w:rPr>
          <w:rFonts w:ascii="Verdana" w:hAnsi="Verdana"/>
        </w:rPr>
        <w:t>soy sobreviviente estando hospitalizada varias semanas en el Hospital Internacional de Colombia en Piedecuesta – Santander</w:t>
      </w:r>
      <w:r w:rsidR="007B50F9" w:rsidRPr="00DC45F8">
        <w:rPr>
          <w:rFonts w:ascii="Verdana" w:hAnsi="Verdana"/>
        </w:rPr>
        <w:t>, qued</w:t>
      </w:r>
      <w:r w:rsidR="000B5BC0" w:rsidRPr="00DC45F8">
        <w:rPr>
          <w:rFonts w:ascii="Verdana" w:hAnsi="Verdana"/>
        </w:rPr>
        <w:t xml:space="preserve">ando </w:t>
      </w:r>
      <w:r w:rsidR="007B50F9" w:rsidRPr="00DC45F8">
        <w:rPr>
          <w:rFonts w:ascii="Verdana" w:hAnsi="Verdana"/>
        </w:rPr>
        <w:t xml:space="preserve"> postrada a una cama por varios meses, </w:t>
      </w:r>
      <w:r w:rsidR="000B5BC0" w:rsidRPr="00DC45F8">
        <w:rPr>
          <w:rFonts w:ascii="Verdana" w:hAnsi="Verdana"/>
        </w:rPr>
        <w:t xml:space="preserve">sin embargo pedí el favor a mis hijas que le comunicaran al abogado JOSE FERNANDO BELTRAN GARZON, mi situación y nos informara el estado actual del proceso, pero no fue posible ya que nunca contestó los mensajes del </w:t>
      </w:r>
      <w:proofErr w:type="spellStart"/>
      <w:r w:rsidR="000B5BC0" w:rsidRPr="00DC45F8">
        <w:rPr>
          <w:rFonts w:ascii="Verdana" w:hAnsi="Verdana"/>
        </w:rPr>
        <w:t>whatspp</w:t>
      </w:r>
      <w:proofErr w:type="spellEnd"/>
      <w:r w:rsidR="000B5BC0" w:rsidRPr="00DC45F8">
        <w:rPr>
          <w:rFonts w:ascii="Verdana" w:hAnsi="Verdana"/>
        </w:rPr>
        <w:t>, ni del correo electrónico, ni mucho menos las llamadas telefónicas realizadas al abonado telefónico No.</w:t>
      </w:r>
      <w:r w:rsidR="000B5BC0" w:rsidRPr="00DC45F8">
        <w:rPr>
          <w:rFonts w:ascii="Verdana" w:hAnsi="Verdana"/>
          <w:b/>
          <w:bCs/>
        </w:rPr>
        <w:t xml:space="preserve"> 3133507133</w:t>
      </w:r>
      <w:r w:rsidR="004553F0" w:rsidRPr="00DC45F8">
        <w:rPr>
          <w:rFonts w:ascii="Verdana" w:hAnsi="Verdana"/>
        </w:rPr>
        <w:t xml:space="preserve"> </w:t>
      </w:r>
      <w:r w:rsidR="000B5BC0" w:rsidRPr="00DC45F8">
        <w:rPr>
          <w:rFonts w:ascii="Verdana" w:hAnsi="Verdana"/>
        </w:rPr>
        <w:t>número</w:t>
      </w:r>
      <w:r w:rsidR="004553F0" w:rsidRPr="00DC45F8">
        <w:rPr>
          <w:rFonts w:ascii="Verdana" w:hAnsi="Verdana"/>
        </w:rPr>
        <w:t xml:space="preserve"> telefónico perteneciente </w:t>
      </w:r>
      <w:r w:rsidR="007B50F9" w:rsidRPr="00DC45F8">
        <w:rPr>
          <w:rFonts w:ascii="Verdana" w:hAnsi="Verdana"/>
        </w:rPr>
        <w:t xml:space="preserve"> al abogado JOSE FERNADO </w:t>
      </w:r>
      <w:r w:rsidR="007B50F9" w:rsidRPr="00DC45F8">
        <w:rPr>
          <w:rFonts w:ascii="Verdana" w:hAnsi="Verdana"/>
        </w:rPr>
        <w:lastRenderedPageBreak/>
        <w:t>BELTRAN GARZON</w:t>
      </w:r>
      <w:r w:rsidR="00451CE3" w:rsidRPr="00DC45F8">
        <w:rPr>
          <w:rFonts w:ascii="Verdana" w:hAnsi="Verdana"/>
        </w:rPr>
        <w:t xml:space="preserve">, a la fecha no he tenido comunicación con el abogado a pesar de que he insistido con llamadas y mensajes él no responde. </w:t>
      </w:r>
    </w:p>
    <w:p w14:paraId="5251A6BD" w14:textId="77777777" w:rsidR="00CF4147" w:rsidRPr="00DC45F8" w:rsidRDefault="00CF4147" w:rsidP="00DC45F8">
      <w:pPr>
        <w:pStyle w:val="Sinespaciado"/>
        <w:spacing w:line="276" w:lineRule="auto"/>
        <w:jc w:val="both"/>
        <w:rPr>
          <w:rFonts w:ascii="Verdana" w:hAnsi="Verdana"/>
        </w:rPr>
      </w:pPr>
    </w:p>
    <w:p w14:paraId="7FD0A2CA" w14:textId="6861409F" w:rsidR="005C6E3B" w:rsidRPr="00DC45F8" w:rsidRDefault="00451CE3" w:rsidP="00DC45F8">
      <w:pPr>
        <w:pStyle w:val="Sinespaciado"/>
        <w:spacing w:line="276" w:lineRule="auto"/>
        <w:jc w:val="both"/>
        <w:rPr>
          <w:rFonts w:ascii="Verdana" w:hAnsi="Verdana"/>
        </w:rPr>
      </w:pPr>
      <w:r w:rsidRPr="00DC45F8">
        <w:rPr>
          <w:rFonts w:ascii="Verdana" w:hAnsi="Verdana"/>
          <w:b/>
          <w:bCs/>
        </w:rPr>
        <w:t xml:space="preserve">CUARTO: </w:t>
      </w:r>
      <w:r w:rsidR="00CF4147" w:rsidRPr="00DC45F8">
        <w:rPr>
          <w:rFonts w:ascii="Verdana" w:hAnsi="Verdana"/>
        </w:rPr>
        <w:t xml:space="preserve">A finales del julio del año 2021 con ocasión de la visita de un funcionarios de la Sociedad de Activos Especiales- SAE a mi vivienda con el fin de hacer un </w:t>
      </w:r>
      <w:r w:rsidRPr="00DC45F8">
        <w:rPr>
          <w:rFonts w:ascii="Verdana" w:hAnsi="Verdana"/>
        </w:rPr>
        <w:t>avaluó</w:t>
      </w:r>
      <w:r w:rsidR="00CF4147" w:rsidRPr="00DC45F8">
        <w:rPr>
          <w:rFonts w:ascii="Verdana" w:hAnsi="Verdana"/>
        </w:rPr>
        <w:t xml:space="preserve"> al predio</w:t>
      </w:r>
      <w:r w:rsidRPr="00DC45F8">
        <w:rPr>
          <w:rFonts w:ascii="Verdana" w:hAnsi="Verdana"/>
        </w:rPr>
        <w:t xml:space="preserve"> objeto de extinción de dominio</w:t>
      </w:r>
      <w:r w:rsidR="00CF4147" w:rsidRPr="00DC45F8">
        <w:rPr>
          <w:rFonts w:ascii="Verdana" w:hAnsi="Verdana"/>
        </w:rPr>
        <w:t>, vuelvo a inten</w:t>
      </w:r>
      <w:r w:rsidRPr="00DC45F8">
        <w:rPr>
          <w:rFonts w:ascii="Verdana" w:hAnsi="Verdana"/>
        </w:rPr>
        <w:t>t</w:t>
      </w:r>
      <w:r w:rsidR="00CF4147" w:rsidRPr="00DC45F8">
        <w:rPr>
          <w:rFonts w:ascii="Verdana" w:hAnsi="Verdana"/>
        </w:rPr>
        <w:t xml:space="preserve">ar </w:t>
      </w:r>
      <w:r w:rsidRPr="00DC45F8">
        <w:rPr>
          <w:rFonts w:ascii="Verdana" w:hAnsi="Verdana"/>
        </w:rPr>
        <w:t>comunicación con el</w:t>
      </w:r>
      <w:r w:rsidR="00CF4147" w:rsidRPr="00DC45F8">
        <w:rPr>
          <w:rFonts w:ascii="Verdana" w:hAnsi="Verdana"/>
        </w:rPr>
        <w:t xml:space="preserve"> abogado JOSE FERNANDO BELTRAN GARZON sin recibir respuesta alguna, motivo por el cual</w:t>
      </w:r>
      <w:r w:rsidRPr="00DC45F8">
        <w:rPr>
          <w:rFonts w:ascii="Verdana" w:hAnsi="Verdana"/>
        </w:rPr>
        <w:t xml:space="preserve"> y pensado que el proceso cursaba en el Tribunal Superior de Bogotá – Sala de Extinción de dominio </w:t>
      </w:r>
      <w:r w:rsidR="00CF4147" w:rsidRPr="00DC45F8">
        <w:rPr>
          <w:rFonts w:ascii="Verdana" w:hAnsi="Verdana"/>
        </w:rPr>
        <w:t xml:space="preserve"> </w:t>
      </w:r>
      <w:r w:rsidRPr="00DC45F8">
        <w:rPr>
          <w:rFonts w:ascii="Verdana" w:hAnsi="Verdana"/>
        </w:rPr>
        <w:t xml:space="preserve">escribí </w:t>
      </w:r>
      <w:r w:rsidR="00CF4147" w:rsidRPr="00DC45F8">
        <w:rPr>
          <w:rFonts w:ascii="Verdana" w:hAnsi="Verdana"/>
        </w:rPr>
        <w:t xml:space="preserve"> a</w:t>
      </w:r>
      <w:r w:rsidRPr="00DC45F8">
        <w:rPr>
          <w:rFonts w:ascii="Verdana" w:hAnsi="Verdana"/>
        </w:rPr>
        <w:t xml:space="preserve"> </w:t>
      </w:r>
      <w:r w:rsidR="00CF4147" w:rsidRPr="00DC45F8">
        <w:rPr>
          <w:rFonts w:ascii="Verdana" w:hAnsi="Verdana"/>
        </w:rPr>
        <w:t>l</w:t>
      </w:r>
      <w:r w:rsidRPr="00DC45F8">
        <w:rPr>
          <w:rFonts w:ascii="Verdana" w:hAnsi="Verdana"/>
        </w:rPr>
        <w:t>a Secretaria de dicha corporación solicitando información del proceso</w:t>
      </w:r>
      <w:r w:rsidR="00CF4147" w:rsidRPr="00DC45F8">
        <w:rPr>
          <w:rFonts w:ascii="Verdana" w:hAnsi="Verdana"/>
        </w:rPr>
        <w:t xml:space="preserve"> </w:t>
      </w:r>
      <w:r w:rsidR="005C6E3B" w:rsidRPr="00DC45F8">
        <w:rPr>
          <w:rFonts w:ascii="Verdana" w:hAnsi="Verdana"/>
        </w:rPr>
        <w:t xml:space="preserve">a unos correo que encontré por internet, mensajes de datos que anexo a la presente acción constitucional. </w:t>
      </w:r>
    </w:p>
    <w:p w14:paraId="248B85CC" w14:textId="77777777" w:rsidR="005C6E3B" w:rsidRPr="00DC45F8" w:rsidRDefault="005C6E3B" w:rsidP="00DC45F8">
      <w:pPr>
        <w:pStyle w:val="Sinespaciado"/>
        <w:spacing w:line="276" w:lineRule="auto"/>
        <w:jc w:val="both"/>
        <w:rPr>
          <w:rFonts w:ascii="Verdana" w:hAnsi="Verdana"/>
        </w:rPr>
      </w:pPr>
    </w:p>
    <w:p w14:paraId="4FEDB502" w14:textId="38004BA5" w:rsidR="004F2AB0" w:rsidRPr="00DC45F8" w:rsidRDefault="00451CE3" w:rsidP="00DC45F8">
      <w:pPr>
        <w:pStyle w:val="Sinespaciado"/>
        <w:spacing w:line="276" w:lineRule="auto"/>
        <w:jc w:val="both"/>
        <w:rPr>
          <w:rFonts w:ascii="Verdana" w:hAnsi="Verdana"/>
        </w:rPr>
      </w:pPr>
      <w:r w:rsidRPr="00DC45F8">
        <w:rPr>
          <w:rFonts w:ascii="Verdana" w:hAnsi="Verdana"/>
          <w:b/>
          <w:bCs/>
        </w:rPr>
        <w:t>QUINTO:</w:t>
      </w:r>
      <w:r w:rsidRPr="00DC45F8">
        <w:rPr>
          <w:rFonts w:ascii="Verdana" w:hAnsi="Verdana"/>
        </w:rPr>
        <w:t xml:space="preserve"> </w:t>
      </w:r>
      <w:r w:rsidR="007B50F9" w:rsidRPr="00DC45F8">
        <w:rPr>
          <w:rFonts w:ascii="Verdana" w:hAnsi="Verdana"/>
        </w:rPr>
        <w:t xml:space="preserve"> </w:t>
      </w:r>
      <w:r w:rsidR="004F2AB0" w:rsidRPr="00DC45F8">
        <w:rPr>
          <w:rFonts w:ascii="Verdana" w:hAnsi="Verdana"/>
        </w:rPr>
        <w:t xml:space="preserve">Mediante mensaje de datos recibido el 02 de agosto de 2021 </w:t>
      </w:r>
      <w:r w:rsidR="00250FBE" w:rsidRPr="00DC45F8">
        <w:rPr>
          <w:rFonts w:ascii="Verdana" w:hAnsi="Verdana"/>
        </w:rPr>
        <w:t>recibí</w:t>
      </w:r>
      <w:r w:rsidR="004F2AB0" w:rsidRPr="00DC45F8">
        <w:rPr>
          <w:rFonts w:ascii="Verdana" w:hAnsi="Verdana"/>
        </w:rPr>
        <w:t xml:space="preserve"> la siguiente respuesta de la secretaria del Tribunal Superior de </w:t>
      </w:r>
      <w:r w:rsidR="00250FBE" w:rsidRPr="00DC45F8">
        <w:rPr>
          <w:rFonts w:ascii="Verdana" w:hAnsi="Verdana"/>
        </w:rPr>
        <w:t>Bogotá</w:t>
      </w:r>
      <w:r w:rsidR="004F2AB0" w:rsidRPr="00DC45F8">
        <w:rPr>
          <w:rFonts w:ascii="Verdana" w:hAnsi="Verdana"/>
        </w:rPr>
        <w:t xml:space="preserve"> sala de extinción de dominio</w:t>
      </w:r>
      <w:r w:rsidR="00250FBE" w:rsidRPr="00DC45F8">
        <w:rPr>
          <w:rFonts w:ascii="Verdana" w:hAnsi="Verdana"/>
        </w:rPr>
        <w:t>:</w:t>
      </w:r>
      <w:r w:rsidR="004F2AB0" w:rsidRPr="00DC45F8">
        <w:rPr>
          <w:rFonts w:ascii="Verdana" w:hAnsi="Verdana"/>
        </w:rPr>
        <w:t xml:space="preserve"> </w:t>
      </w:r>
    </w:p>
    <w:p w14:paraId="658A4747" w14:textId="77777777" w:rsidR="00250FBE" w:rsidRDefault="00250FBE" w:rsidP="00D671BD">
      <w:pPr>
        <w:pStyle w:val="Sinespaciado"/>
        <w:spacing w:line="276" w:lineRule="auto"/>
        <w:jc w:val="both"/>
        <w:rPr>
          <w:rFonts w:ascii="Verdana" w:hAnsi="Verdana"/>
        </w:rPr>
      </w:pPr>
    </w:p>
    <w:p w14:paraId="0820181F" w14:textId="49AFF648" w:rsidR="004F2AB0" w:rsidRPr="004F2AB0" w:rsidRDefault="00250FBE" w:rsidP="00DC45F8">
      <w:pPr>
        <w:spacing w:after="0" w:line="240" w:lineRule="auto"/>
        <w:ind w:left="708"/>
        <w:textAlignment w:val="baseline"/>
        <w:rPr>
          <w:rFonts w:ascii="Verdana" w:hAnsi="Verdana"/>
          <w:i/>
          <w:iCs/>
          <w:sz w:val="20"/>
          <w:szCs w:val="20"/>
          <w:lang w:eastAsia="es-ES"/>
        </w:rPr>
      </w:pPr>
      <w:r w:rsidRPr="00DC45F8">
        <w:rPr>
          <w:rFonts w:ascii="Verdana" w:hAnsi="Verdana" w:cs="Calibri"/>
          <w:b/>
          <w:bCs/>
          <w:i/>
          <w:iCs/>
          <w:color w:val="000000"/>
          <w:sz w:val="20"/>
          <w:szCs w:val="20"/>
          <w:lang w:eastAsia="es-ES"/>
        </w:rPr>
        <w:t>“</w:t>
      </w:r>
      <w:r w:rsidR="004F2AB0" w:rsidRPr="004F2AB0">
        <w:rPr>
          <w:rFonts w:ascii="Verdana" w:hAnsi="Verdana" w:cs="Calibri"/>
          <w:b/>
          <w:bCs/>
          <w:i/>
          <w:iCs/>
          <w:color w:val="000000"/>
          <w:sz w:val="20"/>
          <w:szCs w:val="20"/>
          <w:lang w:eastAsia="es-ES"/>
        </w:rPr>
        <w:t>De:</w:t>
      </w:r>
      <w:r w:rsidR="004F2AB0" w:rsidRPr="004F2AB0">
        <w:rPr>
          <w:rFonts w:ascii="Verdana" w:hAnsi="Verdana" w:cs="Calibri"/>
          <w:i/>
          <w:iCs/>
          <w:color w:val="000000"/>
          <w:sz w:val="20"/>
          <w:szCs w:val="20"/>
          <w:lang w:eastAsia="es-ES"/>
        </w:rPr>
        <w:t xml:space="preserve"> Secretaria Sala </w:t>
      </w:r>
      <w:proofErr w:type="spellStart"/>
      <w:r w:rsidR="004F2AB0" w:rsidRPr="004F2AB0">
        <w:rPr>
          <w:rFonts w:ascii="Verdana" w:hAnsi="Verdana" w:cs="Calibri"/>
          <w:i/>
          <w:iCs/>
          <w:color w:val="000000"/>
          <w:sz w:val="20"/>
          <w:szCs w:val="20"/>
          <w:lang w:eastAsia="es-ES"/>
        </w:rPr>
        <w:t>Extincion</w:t>
      </w:r>
      <w:proofErr w:type="spellEnd"/>
      <w:r w:rsidR="004F2AB0" w:rsidRPr="004F2AB0">
        <w:rPr>
          <w:rFonts w:ascii="Verdana" w:hAnsi="Verdana" w:cs="Calibri"/>
          <w:i/>
          <w:iCs/>
          <w:color w:val="000000"/>
          <w:sz w:val="20"/>
          <w:szCs w:val="20"/>
          <w:lang w:eastAsia="es-ES"/>
        </w:rPr>
        <w:t xml:space="preserve"> Dominio Tribunal Superior - Seccional </w:t>
      </w:r>
      <w:proofErr w:type="spellStart"/>
      <w:r w:rsidR="004F2AB0" w:rsidRPr="004F2AB0">
        <w:rPr>
          <w:rFonts w:ascii="Verdana" w:hAnsi="Verdana" w:cs="Calibri"/>
          <w:i/>
          <w:iCs/>
          <w:color w:val="000000"/>
          <w:sz w:val="20"/>
          <w:szCs w:val="20"/>
          <w:lang w:eastAsia="es-ES"/>
        </w:rPr>
        <w:t>Bogota</w:t>
      </w:r>
      <w:proofErr w:type="spellEnd"/>
      <w:r w:rsidR="004F2AB0" w:rsidRPr="004F2AB0">
        <w:rPr>
          <w:rFonts w:ascii="Verdana" w:hAnsi="Verdana" w:cs="Calibri"/>
          <w:i/>
          <w:iCs/>
          <w:color w:val="000000"/>
          <w:sz w:val="20"/>
          <w:szCs w:val="20"/>
          <w:lang w:eastAsia="es-ES"/>
        </w:rPr>
        <w:t xml:space="preserve"> &lt;secsedtribsupbta@cendoj.ramajudicial.gov.co&gt;</w:t>
      </w:r>
      <w:r w:rsidR="004F2AB0" w:rsidRPr="004F2AB0">
        <w:rPr>
          <w:rFonts w:ascii="Verdana" w:hAnsi="Verdana" w:cs="Calibri"/>
          <w:i/>
          <w:iCs/>
          <w:color w:val="000000"/>
          <w:sz w:val="20"/>
          <w:szCs w:val="20"/>
          <w:lang w:eastAsia="es-ES"/>
        </w:rPr>
        <w:br/>
      </w:r>
      <w:r w:rsidR="004F2AB0" w:rsidRPr="004F2AB0">
        <w:rPr>
          <w:rFonts w:ascii="Verdana" w:hAnsi="Verdana" w:cs="Calibri"/>
          <w:b/>
          <w:bCs/>
          <w:i/>
          <w:iCs/>
          <w:color w:val="000000"/>
          <w:sz w:val="20"/>
          <w:szCs w:val="20"/>
          <w:lang w:eastAsia="es-ES"/>
        </w:rPr>
        <w:t>Enviado:</w:t>
      </w:r>
      <w:r w:rsidR="004F2AB0" w:rsidRPr="004F2AB0">
        <w:rPr>
          <w:rFonts w:ascii="Verdana" w:hAnsi="Verdana" w:cs="Calibri"/>
          <w:i/>
          <w:iCs/>
          <w:color w:val="000000"/>
          <w:sz w:val="20"/>
          <w:szCs w:val="20"/>
          <w:lang w:eastAsia="es-ES"/>
        </w:rPr>
        <w:t> lunes, 2 de agosto de 2021 11:37 a. m.</w:t>
      </w:r>
      <w:r w:rsidR="004F2AB0" w:rsidRPr="004F2AB0">
        <w:rPr>
          <w:rFonts w:ascii="Verdana" w:hAnsi="Verdana" w:cs="Calibri"/>
          <w:i/>
          <w:iCs/>
          <w:color w:val="000000"/>
          <w:sz w:val="20"/>
          <w:szCs w:val="20"/>
          <w:lang w:eastAsia="es-ES"/>
        </w:rPr>
        <w:br/>
      </w:r>
      <w:r w:rsidR="004F2AB0" w:rsidRPr="004F2AB0">
        <w:rPr>
          <w:rFonts w:ascii="Verdana" w:hAnsi="Verdana" w:cs="Calibri"/>
          <w:b/>
          <w:bCs/>
          <w:i/>
          <w:iCs/>
          <w:color w:val="000000"/>
          <w:sz w:val="20"/>
          <w:szCs w:val="20"/>
          <w:lang w:eastAsia="es-ES"/>
        </w:rPr>
        <w:t>Para:</w:t>
      </w:r>
      <w:r w:rsidR="004F2AB0" w:rsidRPr="004F2AB0">
        <w:rPr>
          <w:rFonts w:ascii="Verdana" w:hAnsi="Verdana" w:cs="Calibri"/>
          <w:i/>
          <w:iCs/>
          <w:color w:val="000000"/>
          <w:sz w:val="20"/>
          <w:szCs w:val="20"/>
          <w:lang w:eastAsia="es-ES"/>
        </w:rPr>
        <w:t xml:space="preserve"> Centro Servicios Penales Circuito Especializados </w:t>
      </w:r>
      <w:proofErr w:type="spellStart"/>
      <w:r w:rsidR="004F2AB0" w:rsidRPr="004F2AB0">
        <w:rPr>
          <w:rFonts w:ascii="Verdana" w:hAnsi="Verdana" w:cs="Calibri"/>
          <w:i/>
          <w:iCs/>
          <w:color w:val="000000"/>
          <w:sz w:val="20"/>
          <w:szCs w:val="20"/>
          <w:lang w:eastAsia="es-ES"/>
        </w:rPr>
        <w:t>Extincion</w:t>
      </w:r>
      <w:proofErr w:type="spellEnd"/>
      <w:r w:rsidR="004F2AB0" w:rsidRPr="004F2AB0">
        <w:rPr>
          <w:rFonts w:ascii="Verdana" w:hAnsi="Verdana" w:cs="Calibri"/>
          <w:i/>
          <w:iCs/>
          <w:color w:val="000000"/>
          <w:sz w:val="20"/>
          <w:szCs w:val="20"/>
          <w:lang w:eastAsia="es-ES"/>
        </w:rPr>
        <w:t xml:space="preserve"> </w:t>
      </w:r>
      <w:proofErr w:type="spellStart"/>
      <w:r w:rsidR="004F2AB0" w:rsidRPr="004F2AB0">
        <w:rPr>
          <w:rFonts w:ascii="Verdana" w:hAnsi="Verdana" w:cs="Calibri"/>
          <w:i/>
          <w:iCs/>
          <w:color w:val="000000"/>
          <w:sz w:val="20"/>
          <w:szCs w:val="20"/>
          <w:lang w:eastAsia="es-ES"/>
        </w:rPr>
        <w:t>Domin</w:t>
      </w:r>
      <w:proofErr w:type="spellEnd"/>
      <w:r w:rsidR="004F2AB0" w:rsidRPr="004F2AB0">
        <w:rPr>
          <w:rFonts w:ascii="Verdana" w:hAnsi="Verdana" w:cs="Calibri"/>
          <w:i/>
          <w:iCs/>
          <w:color w:val="000000"/>
          <w:sz w:val="20"/>
          <w:szCs w:val="20"/>
          <w:lang w:eastAsia="es-ES"/>
        </w:rPr>
        <w:t xml:space="preserve"> - Bogotá - Bogotá D.C. &lt;cserjesextdombt@cendoj.ramajudicial.gov.co&gt;</w:t>
      </w:r>
      <w:r w:rsidR="004F2AB0" w:rsidRPr="004F2AB0">
        <w:rPr>
          <w:rFonts w:ascii="Verdana" w:hAnsi="Verdana" w:cs="Calibri"/>
          <w:i/>
          <w:iCs/>
          <w:color w:val="000000"/>
          <w:sz w:val="20"/>
          <w:szCs w:val="20"/>
          <w:lang w:eastAsia="es-ES"/>
        </w:rPr>
        <w:br/>
      </w:r>
      <w:proofErr w:type="spellStart"/>
      <w:r w:rsidR="004F2AB0" w:rsidRPr="004F2AB0">
        <w:rPr>
          <w:rFonts w:ascii="Verdana" w:hAnsi="Verdana" w:cs="Calibri"/>
          <w:b/>
          <w:bCs/>
          <w:i/>
          <w:iCs/>
          <w:color w:val="000000"/>
          <w:sz w:val="20"/>
          <w:szCs w:val="20"/>
          <w:lang w:eastAsia="es-ES"/>
        </w:rPr>
        <w:t>Cc</w:t>
      </w:r>
      <w:proofErr w:type="spellEnd"/>
      <w:r w:rsidR="004F2AB0" w:rsidRPr="004F2AB0">
        <w:rPr>
          <w:rFonts w:ascii="Verdana" w:hAnsi="Verdana" w:cs="Calibri"/>
          <w:b/>
          <w:bCs/>
          <w:i/>
          <w:iCs/>
          <w:color w:val="000000"/>
          <w:sz w:val="20"/>
          <w:szCs w:val="20"/>
          <w:lang w:eastAsia="es-ES"/>
        </w:rPr>
        <w:t>:</w:t>
      </w:r>
      <w:r w:rsidR="004F2AB0" w:rsidRPr="004F2AB0">
        <w:rPr>
          <w:rFonts w:ascii="Verdana" w:hAnsi="Verdana" w:cs="Calibri"/>
          <w:i/>
          <w:iCs/>
          <w:color w:val="000000"/>
          <w:sz w:val="20"/>
          <w:szCs w:val="20"/>
          <w:lang w:eastAsia="es-ES"/>
        </w:rPr>
        <w:t> lcatalinahurtado@hotmail.com &lt;lcatalinahurtado@hotmail.com&gt;</w:t>
      </w:r>
      <w:r w:rsidR="004F2AB0" w:rsidRPr="004F2AB0">
        <w:rPr>
          <w:rFonts w:ascii="Verdana" w:hAnsi="Verdana" w:cs="Calibri"/>
          <w:i/>
          <w:iCs/>
          <w:color w:val="000000"/>
          <w:sz w:val="20"/>
          <w:szCs w:val="20"/>
          <w:lang w:eastAsia="es-ES"/>
        </w:rPr>
        <w:br/>
      </w:r>
      <w:r w:rsidR="004F2AB0" w:rsidRPr="004F2AB0">
        <w:rPr>
          <w:rFonts w:ascii="Verdana" w:hAnsi="Verdana" w:cs="Calibri"/>
          <w:b/>
          <w:bCs/>
          <w:i/>
          <w:iCs/>
          <w:color w:val="000000"/>
          <w:sz w:val="20"/>
          <w:szCs w:val="20"/>
          <w:lang w:eastAsia="es-ES"/>
        </w:rPr>
        <w:t>Asunto:</w:t>
      </w:r>
      <w:r w:rsidR="004F2AB0" w:rsidRPr="004F2AB0">
        <w:rPr>
          <w:rFonts w:ascii="Verdana" w:hAnsi="Verdana" w:cs="Calibri"/>
          <w:i/>
          <w:iCs/>
          <w:color w:val="000000"/>
          <w:sz w:val="20"/>
          <w:szCs w:val="20"/>
          <w:lang w:eastAsia="es-ES"/>
        </w:rPr>
        <w:t> RV: Solicitud de </w:t>
      </w:r>
      <w:r w:rsidR="004F2AB0" w:rsidRPr="004F2AB0">
        <w:rPr>
          <w:rFonts w:ascii="Verdana" w:hAnsi="Verdana" w:cs="Calibri"/>
          <w:i/>
          <w:iCs/>
          <w:color w:val="000000"/>
          <w:sz w:val="20"/>
          <w:szCs w:val="20"/>
          <w:bdr w:val="none" w:sz="0" w:space="0" w:color="auto" w:frame="1"/>
          <w:lang w:eastAsia="es-ES"/>
        </w:rPr>
        <w:t>colaboración</w:t>
      </w:r>
    </w:p>
    <w:p w14:paraId="524A0127" w14:textId="77777777" w:rsidR="004F2AB0" w:rsidRPr="004F2AB0" w:rsidRDefault="004F2AB0" w:rsidP="00DC45F8">
      <w:pPr>
        <w:spacing w:after="0" w:line="240" w:lineRule="auto"/>
        <w:ind w:left="708"/>
        <w:textAlignment w:val="baseline"/>
        <w:rPr>
          <w:rFonts w:ascii="Verdana" w:hAnsi="Verdana"/>
          <w:i/>
          <w:iCs/>
          <w:sz w:val="20"/>
          <w:szCs w:val="20"/>
          <w:lang w:eastAsia="es-ES"/>
        </w:rPr>
      </w:pPr>
      <w:r w:rsidRPr="004F2AB0">
        <w:rPr>
          <w:rFonts w:ascii="Verdana" w:hAnsi="Verdana"/>
          <w:i/>
          <w:iCs/>
          <w:sz w:val="20"/>
          <w:szCs w:val="20"/>
          <w:lang w:eastAsia="es-ES"/>
        </w:rPr>
        <w:t> </w:t>
      </w:r>
    </w:p>
    <w:p w14:paraId="7C1B0F3A" w14:textId="77777777" w:rsidR="004F2AB0" w:rsidRPr="004F2AB0" w:rsidRDefault="004F2AB0" w:rsidP="00DC45F8">
      <w:pPr>
        <w:spacing w:after="0" w:line="240" w:lineRule="auto"/>
        <w:ind w:left="708"/>
        <w:textAlignment w:val="baseline"/>
        <w:rPr>
          <w:rFonts w:ascii="Verdana" w:hAnsi="Verdana" w:cs="Calibri Light"/>
          <w:i/>
          <w:iCs/>
          <w:color w:val="000000"/>
          <w:sz w:val="20"/>
          <w:szCs w:val="20"/>
          <w:lang w:eastAsia="es-ES"/>
        </w:rPr>
      </w:pPr>
      <w:r w:rsidRPr="004F2AB0">
        <w:rPr>
          <w:rFonts w:ascii="Verdana" w:hAnsi="Verdana" w:cs="Calibri Light"/>
          <w:i/>
          <w:iCs/>
          <w:color w:val="000000"/>
          <w:sz w:val="20"/>
          <w:szCs w:val="20"/>
          <w:lang w:eastAsia="es-ES"/>
        </w:rPr>
        <w:t>Buenos días.</w:t>
      </w:r>
    </w:p>
    <w:p w14:paraId="35243103" w14:textId="77777777" w:rsidR="004F2AB0" w:rsidRPr="004F2AB0" w:rsidRDefault="004F2AB0" w:rsidP="00DC45F8">
      <w:pPr>
        <w:spacing w:after="0" w:line="240" w:lineRule="auto"/>
        <w:ind w:left="708"/>
        <w:textAlignment w:val="baseline"/>
        <w:rPr>
          <w:rFonts w:ascii="Verdana" w:hAnsi="Verdana" w:cs="Calibri Light"/>
          <w:i/>
          <w:iCs/>
          <w:color w:val="000000"/>
          <w:sz w:val="20"/>
          <w:szCs w:val="20"/>
          <w:lang w:eastAsia="es-ES"/>
        </w:rPr>
      </w:pPr>
    </w:p>
    <w:p w14:paraId="66FBE71E" w14:textId="77777777" w:rsidR="004F2AB0" w:rsidRPr="004F2AB0" w:rsidRDefault="004F2AB0" w:rsidP="00DC45F8">
      <w:pPr>
        <w:spacing w:after="0" w:line="240" w:lineRule="auto"/>
        <w:ind w:left="708"/>
        <w:jc w:val="both"/>
        <w:textAlignment w:val="baseline"/>
        <w:rPr>
          <w:rFonts w:ascii="Verdana" w:hAnsi="Verdana" w:cs="Calibri Light"/>
          <w:i/>
          <w:iCs/>
          <w:color w:val="000000"/>
          <w:sz w:val="20"/>
          <w:szCs w:val="20"/>
          <w:lang w:eastAsia="es-ES"/>
        </w:rPr>
      </w:pPr>
      <w:r w:rsidRPr="004F2AB0">
        <w:rPr>
          <w:rFonts w:ascii="Verdana" w:hAnsi="Verdana" w:cs="Calibri Light"/>
          <w:i/>
          <w:iCs/>
          <w:color w:val="000000"/>
          <w:sz w:val="20"/>
          <w:szCs w:val="20"/>
          <w:lang w:eastAsia="es-ES"/>
        </w:rPr>
        <w:t xml:space="preserve">Remito para su conocimiento y fines pertinentes solicitud de información presentada por la señora Olga </w:t>
      </w:r>
      <w:proofErr w:type="spellStart"/>
      <w:r w:rsidRPr="004F2AB0">
        <w:rPr>
          <w:rFonts w:ascii="Verdana" w:hAnsi="Verdana" w:cs="Calibri Light"/>
          <w:i/>
          <w:iCs/>
          <w:color w:val="000000"/>
          <w:sz w:val="20"/>
          <w:szCs w:val="20"/>
          <w:lang w:eastAsia="es-ES"/>
        </w:rPr>
        <w:t>Zipa</w:t>
      </w:r>
      <w:proofErr w:type="spellEnd"/>
      <w:r w:rsidRPr="004F2AB0">
        <w:rPr>
          <w:rFonts w:ascii="Verdana" w:hAnsi="Verdana" w:cs="Calibri Light"/>
          <w:i/>
          <w:iCs/>
          <w:color w:val="000000"/>
          <w:sz w:val="20"/>
          <w:szCs w:val="20"/>
          <w:lang w:eastAsia="es-ES"/>
        </w:rPr>
        <w:t xml:space="preserve"> Amaya, respecto del proceso radicado </w:t>
      </w:r>
      <w:r w:rsidRPr="004F2AB0">
        <w:rPr>
          <w:rFonts w:ascii="Verdana" w:hAnsi="Verdana" w:cs="Arial"/>
          <w:b/>
          <w:bCs/>
          <w:i/>
          <w:iCs/>
          <w:color w:val="000000"/>
          <w:sz w:val="20"/>
          <w:szCs w:val="20"/>
          <w:bdr w:val="none" w:sz="0" w:space="0" w:color="auto" w:frame="1"/>
          <w:lang w:eastAsia="es-ES"/>
        </w:rPr>
        <w:t>110013120001201700096. </w:t>
      </w:r>
    </w:p>
    <w:p w14:paraId="33496AC8" w14:textId="28F4258C" w:rsidR="004F2AB0" w:rsidRPr="004F2AB0" w:rsidRDefault="004F2AB0" w:rsidP="00DC45F8">
      <w:pPr>
        <w:spacing w:after="0" w:line="240" w:lineRule="auto"/>
        <w:ind w:left="708"/>
        <w:textAlignment w:val="baseline"/>
        <w:rPr>
          <w:rFonts w:ascii="Verdana" w:hAnsi="Verdana" w:cs="Calibri Light"/>
          <w:i/>
          <w:iCs/>
          <w:color w:val="000000"/>
          <w:sz w:val="20"/>
          <w:szCs w:val="20"/>
          <w:lang w:eastAsia="es-ES"/>
        </w:rPr>
      </w:pPr>
      <w:r w:rsidRPr="004F2AB0">
        <w:rPr>
          <w:rFonts w:ascii="Verdana" w:hAnsi="Verdana" w:cs="Arial"/>
          <w:b/>
          <w:bCs/>
          <w:i/>
          <w:iCs/>
          <w:color w:val="000000"/>
          <w:sz w:val="20"/>
          <w:szCs w:val="20"/>
          <w:bdr w:val="none" w:sz="0" w:space="0" w:color="auto" w:frame="1"/>
          <w:lang w:eastAsia="es-ES"/>
        </w:rPr>
        <w:br/>
      </w:r>
      <w:r w:rsidRPr="004F2AB0">
        <w:rPr>
          <w:rFonts w:ascii="Verdana" w:hAnsi="Verdana" w:cs="Arial"/>
          <w:i/>
          <w:iCs/>
          <w:color w:val="000000"/>
          <w:sz w:val="20"/>
          <w:szCs w:val="20"/>
          <w:bdr w:val="none" w:sz="0" w:space="0" w:color="auto" w:frame="1"/>
          <w:lang w:eastAsia="es-ES"/>
        </w:rPr>
        <w:t>Cordialmente.</w:t>
      </w:r>
    </w:p>
    <w:p w14:paraId="22923746" w14:textId="77777777" w:rsidR="004F2AB0" w:rsidRPr="004F2AB0" w:rsidRDefault="004F2AB0" w:rsidP="00DC45F8">
      <w:pPr>
        <w:spacing w:after="0" w:line="240" w:lineRule="auto"/>
        <w:ind w:left="708"/>
        <w:textAlignment w:val="baseline"/>
        <w:rPr>
          <w:rFonts w:ascii="Verdana" w:hAnsi="Verdana" w:cs="Calibri Light"/>
          <w:i/>
          <w:iCs/>
          <w:color w:val="000000"/>
          <w:sz w:val="20"/>
          <w:szCs w:val="20"/>
          <w:lang w:eastAsia="es-ES"/>
        </w:rPr>
      </w:pPr>
    </w:p>
    <w:p w14:paraId="0996563C"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p>
    <w:p w14:paraId="6776EB00" w14:textId="77777777" w:rsidR="004F2AB0" w:rsidRPr="004F2AB0" w:rsidRDefault="004F2AB0" w:rsidP="00DC45F8">
      <w:pPr>
        <w:shd w:val="clear" w:color="auto" w:fill="FFFFFF"/>
        <w:spacing w:after="0" w:line="240" w:lineRule="auto"/>
        <w:ind w:left="708"/>
        <w:textAlignment w:val="baseline"/>
        <w:rPr>
          <w:rFonts w:ascii="Verdana" w:hAnsi="Verdana" w:cs="Segoe UI"/>
          <w:i/>
          <w:iCs/>
          <w:color w:val="201F1E"/>
          <w:sz w:val="20"/>
          <w:szCs w:val="20"/>
          <w:lang w:eastAsia="es-ES"/>
        </w:rPr>
      </w:pPr>
      <w:r w:rsidRPr="004F2AB0">
        <w:rPr>
          <w:rFonts w:ascii="Verdana" w:hAnsi="Verdana" w:cs="Calibri Light"/>
          <w:b/>
          <w:bCs/>
          <w:i/>
          <w:iCs/>
          <w:color w:val="002451"/>
          <w:sz w:val="20"/>
          <w:szCs w:val="20"/>
          <w:bdr w:val="none" w:sz="0" w:space="0" w:color="auto" w:frame="1"/>
          <w:lang w:eastAsia="es-ES"/>
        </w:rPr>
        <w:t> Ana Estefanía Losada Almonacid</w:t>
      </w:r>
    </w:p>
    <w:p w14:paraId="58224979"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Escribiente</w:t>
      </w:r>
    </w:p>
    <w:p w14:paraId="36698511"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Sala de Extinción de Dominio </w:t>
      </w:r>
    </w:p>
    <w:p w14:paraId="0922BC6A"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Tribunal Superior de Bogotá </w:t>
      </w:r>
    </w:p>
    <w:p w14:paraId="14A2DCD1"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 xml:space="preserve">(571) 4233390 </w:t>
      </w:r>
      <w:proofErr w:type="spellStart"/>
      <w:r w:rsidRPr="004F2AB0">
        <w:rPr>
          <w:rFonts w:ascii="Verdana" w:hAnsi="Verdana" w:cs="Calibri Light"/>
          <w:b/>
          <w:bCs/>
          <w:i/>
          <w:iCs/>
          <w:color w:val="002451"/>
          <w:sz w:val="20"/>
          <w:szCs w:val="20"/>
          <w:bdr w:val="none" w:sz="0" w:space="0" w:color="auto" w:frame="1"/>
          <w:lang w:eastAsia="es-ES"/>
        </w:rPr>
        <w:t>ext</w:t>
      </w:r>
      <w:proofErr w:type="spellEnd"/>
      <w:r w:rsidRPr="004F2AB0">
        <w:rPr>
          <w:rFonts w:ascii="Verdana" w:hAnsi="Verdana" w:cs="Calibri Light"/>
          <w:b/>
          <w:bCs/>
          <w:i/>
          <w:iCs/>
          <w:color w:val="002451"/>
          <w:sz w:val="20"/>
          <w:szCs w:val="20"/>
          <w:bdr w:val="none" w:sz="0" w:space="0" w:color="auto" w:frame="1"/>
          <w:lang w:eastAsia="es-ES"/>
        </w:rPr>
        <w:t xml:space="preserve"> 8385</w:t>
      </w:r>
    </w:p>
    <w:p w14:paraId="46FDFB24" w14:textId="77777777"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 xml:space="preserve">Avenida Calle 24 </w:t>
      </w:r>
      <w:proofErr w:type="gramStart"/>
      <w:r w:rsidRPr="004F2AB0">
        <w:rPr>
          <w:rFonts w:ascii="Verdana" w:hAnsi="Verdana" w:cs="Calibri Light"/>
          <w:b/>
          <w:bCs/>
          <w:i/>
          <w:iCs/>
          <w:color w:val="002451"/>
          <w:sz w:val="20"/>
          <w:szCs w:val="20"/>
          <w:bdr w:val="none" w:sz="0" w:space="0" w:color="auto" w:frame="1"/>
          <w:lang w:eastAsia="es-ES"/>
        </w:rPr>
        <w:t>No.-</w:t>
      </w:r>
      <w:proofErr w:type="gramEnd"/>
      <w:r w:rsidRPr="004F2AB0">
        <w:rPr>
          <w:rFonts w:ascii="Verdana" w:hAnsi="Verdana" w:cs="Calibri Light"/>
          <w:b/>
          <w:bCs/>
          <w:i/>
          <w:iCs/>
          <w:color w:val="002451"/>
          <w:sz w:val="20"/>
          <w:szCs w:val="20"/>
          <w:bdr w:val="none" w:sz="0" w:space="0" w:color="auto" w:frame="1"/>
          <w:lang w:eastAsia="es-ES"/>
        </w:rPr>
        <w:t xml:space="preserve"> 53 - 28 -Oficina 310 - Torre C</w:t>
      </w:r>
    </w:p>
    <w:p w14:paraId="18987D48" w14:textId="439E3F6E" w:rsidR="004F2AB0" w:rsidRPr="004F2AB0" w:rsidRDefault="004F2AB0" w:rsidP="00DC45F8">
      <w:pPr>
        <w:shd w:val="clear" w:color="auto" w:fill="FFFFFF"/>
        <w:spacing w:after="0" w:line="240" w:lineRule="auto"/>
        <w:ind w:left="708"/>
        <w:textAlignment w:val="baseline"/>
        <w:rPr>
          <w:rFonts w:ascii="Verdana" w:hAnsi="Verdana" w:cs="Calibri"/>
          <w:i/>
          <w:iCs/>
          <w:color w:val="000000"/>
          <w:sz w:val="20"/>
          <w:szCs w:val="20"/>
          <w:lang w:eastAsia="es-ES"/>
        </w:rPr>
      </w:pPr>
      <w:r w:rsidRPr="004F2AB0">
        <w:rPr>
          <w:rFonts w:ascii="Verdana" w:hAnsi="Verdana" w:cs="Calibri Light"/>
          <w:b/>
          <w:bCs/>
          <w:i/>
          <w:iCs/>
          <w:color w:val="002451"/>
          <w:sz w:val="20"/>
          <w:szCs w:val="20"/>
          <w:bdr w:val="none" w:sz="0" w:space="0" w:color="auto" w:frame="1"/>
          <w:lang w:eastAsia="es-ES"/>
        </w:rPr>
        <w:t>Bogotá - Colombia </w:t>
      </w:r>
      <w:r w:rsidR="00250FBE" w:rsidRPr="00DC45F8">
        <w:rPr>
          <w:rFonts w:ascii="Verdana" w:hAnsi="Verdana" w:cs="Calibri Light"/>
          <w:b/>
          <w:bCs/>
          <w:i/>
          <w:iCs/>
          <w:color w:val="002451"/>
          <w:sz w:val="20"/>
          <w:szCs w:val="20"/>
          <w:bdr w:val="none" w:sz="0" w:space="0" w:color="auto" w:frame="1"/>
          <w:lang w:eastAsia="es-ES"/>
        </w:rPr>
        <w:t>“</w:t>
      </w:r>
    </w:p>
    <w:p w14:paraId="2EC2EC7C" w14:textId="77777777" w:rsidR="004F2AB0" w:rsidRDefault="004F2AB0" w:rsidP="00D671BD">
      <w:pPr>
        <w:pStyle w:val="Sinespaciado"/>
        <w:spacing w:line="276" w:lineRule="auto"/>
        <w:jc w:val="both"/>
        <w:rPr>
          <w:rFonts w:ascii="Verdana" w:hAnsi="Verdana"/>
        </w:rPr>
      </w:pPr>
    </w:p>
    <w:p w14:paraId="47FBCE55" w14:textId="778FD02F" w:rsidR="003D0B90" w:rsidRPr="00DC45F8" w:rsidRDefault="00250FBE" w:rsidP="00D671BD">
      <w:pPr>
        <w:pStyle w:val="Sinespaciado"/>
        <w:spacing w:line="276" w:lineRule="auto"/>
        <w:jc w:val="both"/>
        <w:rPr>
          <w:rFonts w:ascii="Verdana" w:hAnsi="Verdana"/>
          <w:i/>
          <w:iCs/>
          <w:color w:val="000000"/>
          <w:sz w:val="20"/>
          <w:szCs w:val="20"/>
          <w:shd w:val="clear" w:color="auto" w:fill="FFFFFF"/>
        </w:rPr>
      </w:pPr>
      <w:r w:rsidRPr="00DC45F8">
        <w:rPr>
          <w:rFonts w:ascii="Verdana" w:hAnsi="Verdana"/>
          <w:b/>
          <w:bCs/>
        </w:rPr>
        <w:t>SEXTO:</w:t>
      </w:r>
      <w:r w:rsidRPr="00DC45F8">
        <w:rPr>
          <w:rFonts w:ascii="Verdana" w:hAnsi="Verdana"/>
        </w:rPr>
        <w:t xml:space="preserve"> </w:t>
      </w:r>
      <w:r w:rsidR="003D0B90" w:rsidRPr="00DC45F8">
        <w:rPr>
          <w:rFonts w:ascii="Verdana" w:hAnsi="Verdana"/>
        </w:rPr>
        <w:t>Mediante mensaje de datos recibido el 0</w:t>
      </w:r>
      <w:r w:rsidR="004F2AB0" w:rsidRPr="00DC45F8">
        <w:rPr>
          <w:rFonts w:ascii="Verdana" w:hAnsi="Verdana"/>
        </w:rPr>
        <w:t>2</w:t>
      </w:r>
      <w:r w:rsidR="003D0B90" w:rsidRPr="00DC45F8">
        <w:rPr>
          <w:rFonts w:ascii="Verdana" w:hAnsi="Verdana"/>
        </w:rPr>
        <w:t xml:space="preserve"> de agosto de 2020, recibí la siguiente respuesta por parte del Centro de Servicios del Juzgado de los Juzgados de extinción de dominio </w:t>
      </w:r>
      <w:r w:rsidR="003D0B90" w:rsidRPr="00DC45F8">
        <w:rPr>
          <w:rFonts w:ascii="Verdana" w:hAnsi="Verdana"/>
          <w:i/>
          <w:iCs/>
          <w:sz w:val="20"/>
          <w:szCs w:val="20"/>
        </w:rPr>
        <w:t xml:space="preserve">“en </w:t>
      </w:r>
      <w:r w:rsidR="003D0B90" w:rsidRPr="00DC45F8">
        <w:rPr>
          <w:rFonts w:ascii="Verdana" w:hAnsi="Verdana"/>
          <w:i/>
          <w:iCs/>
          <w:color w:val="000000"/>
          <w:sz w:val="20"/>
          <w:szCs w:val="20"/>
          <w:shd w:val="clear" w:color="auto" w:fill="FFFFFF"/>
        </w:rPr>
        <w:t>atención a la </w:t>
      </w:r>
      <w:r w:rsidR="003D0B90" w:rsidRPr="00DC45F8">
        <w:rPr>
          <w:rStyle w:val="markwewjy86vq"/>
          <w:rFonts w:ascii="Verdana" w:hAnsi="Verdana"/>
          <w:i/>
          <w:iCs/>
          <w:color w:val="000000"/>
          <w:sz w:val="20"/>
          <w:szCs w:val="20"/>
          <w:bdr w:val="none" w:sz="0" w:space="0" w:color="auto" w:frame="1"/>
          <w:shd w:val="clear" w:color="auto" w:fill="FFFFFF"/>
        </w:rPr>
        <w:t>solicitud</w:t>
      </w:r>
      <w:r w:rsidR="003D0B90" w:rsidRPr="00DC45F8">
        <w:rPr>
          <w:rFonts w:ascii="Verdana" w:hAnsi="Verdana"/>
          <w:i/>
          <w:iCs/>
          <w:color w:val="000000"/>
          <w:sz w:val="20"/>
          <w:szCs w:val="20"/>
          <w:shd w:val="clear" w:color="auto" w:fill="FFFFFF"/>
        </w:rPr>
        <w:t> elevada, este CSAJED, se permite informar que en el proceso 2017-096-1 (143 E.D.), se profirió sentencia de primera instancia el 20/09/20, </w:t>
      </w:r>
      <w:r w:rsidR="003D0B90" w:rsidRPr="00DC45F8">
        <w:rPr>
          <w:rFonts w:ascii="Verdana" w:hAnsi="Verdana"/>
          <w:i/>
          <w:iCs/>
          <w:color w:val="000000"/>
          <w:sz w:val="20"/>
          <w:szCs w:val="20"/>
          <w:bdr w:val="none" w:sz="0" w:space="0" w:color="auto" w:frame="1"/>
          <w:shd w:val="clear" w:color="auto" w:fill="FFFFFF"/>
        </w:rPr>
        <w:t>extingue bien. Edicto 30 ejecutoria 7 de octubre de 2019, </w:t>
      </w:r>
      <w:r w:rsidR="003D0B90" w:rsidRPr="00DC45F8">
        <w:rPr>
          <w:rFonts w:ascii="Verdana" w:hAnsi="Verdana"/>
          <w:i/>
          <w:iCs/>
          <w:color w:val="000000"/>
          <w:sz w:val="20"/>
          <w:szCs w:val="20"/>
          <w:shd w:val="clear" w:color="auto" w:fill="FFFFFF"/>
        </w:rPr>
        <w:t>quedando debidamente ejecutoriado con apelación extemporánea, motivo por el cual se transfirió para archive definitivo”.</w:t>
      </w:r>
    </w:p>
    <w:p w14:paraId="604B8071" w14:textId="77777777" w:rsidR="003D0B90" w:rsidRDefault="003D0B90" w:rsidP="00D671BD">
      <w:pPr>
        <w:pStyle w:val="Sinespaciado"/>
        <w:spacing w:line="276" w:lineRule="auto"/>
        <w:jc w:val="both"/>
        <w:rPr>
          <w:rFonts w:ascii="Century Gothic" w:hAnsi="Century Gothic"/>
          <w:color w:val="000000"/>
          <w:shd w:val="clear" w:color="auto" w:fill="FFFFFF"/>
        </w:rPr>
      </w:pPr>
    </w:p>
    <w:p w14:paraId="706594E3" w14:textId="0B3FA78F" w:rsidR="005C65B1" w:rsidRPr="009053D1" w:rsidRDefault="00250FBE" w:rsidP="009053D1">
      <w:pPr>
        <w:shd w:val="clear" w:color="auto" w:fill="FFFFFF"/>
        <w:spacing w:line="276" w:lineRule="auto"/>
        <w:jc w:val="both"/>
        <w:textAlignment w:val="baseline"/>
        <w:rPr>
          <w:rFonts w:ascii="Verdana" w:hAnsi="Verdana"/>
          <w:color w:val="000000"/>
          <w:bdr w:val="none" w:sz="0" w:space="0" w:color="auto" w:frame="1"/>
          <w:lang w:eastAsia="es-ES"/>
        </w:rPr>
      </w:pPr>
      <w:r w:rsidRPr="009053D1">
        <w:rPr>
          <w:rFonts w:ascii="Verdana" w:hAnsi="Verdana"/>
          <w:b/>
          <w:bCs/>
          <w:color w:val="000000"/>
          <w:shd w:val="clear" w:color="auto" w:fill="FFFFFF"/>
        </w:rPr>
        <w:t>SEPTIMO:</w:t>
      </w:r>
      <w:r w:rsidRPr="009053D1">
        <w:rPr>
          <w:rFonts w:ascii="Verdana" w:hAnsi="Verdana"/>
          <w:color w:val="000000"/>
          <w:shd w:val="clear" w:color="auto" w:fill="FFFFFF"/>
        </w:rPr>
        <w:t xml:space="preserve"> </w:t>
      </w:r>
      <w:r w:rsidR="003D0B90" w:rsidRPr="009053D1">
        <w:rPr>
          <w:rFonts w:ascii="Verdana" w:hAnsi="Verdana"/>
          <w:color w:val="000000"/>
          <w:shd w:val="clear" w:color="auto" w:fill="FFFFFF"/>
        </w:rPr>
        <w:t xml:space="preserve"> </w:t>
      </w:r>
      <w:r w:rsidR="002C58AC" w:rsidRPr="009053D1">
        <w:rPr>
          <w:rFonts w:ascii="Verdana" w:hAnsi="Verdana"/>
          <w:color w:val="000000"/>
          <w:shd w:val="clear" w:color="auto" w:fill="FFFFFF"/>
        </w:rPr>
        <w:t>Con esa noticio seguí buscando e insistiendo al número telefónico del abogado JOSE FERNANDO BELTRAN GARZÒN, para que me informara que había pasado, si</w:t>
      </w:r>
      <w:r w:rsidRPr="009053D1">
        <w:rPr>
          <w:rFonts w:ascii="Verdana" w:hAnsi="Verdana"/>
          <w:color w:val="000000"/>
          <w:shd w:val="clear" w:color="auto" w:fill="FFFFFF"/>
        </w:rPr>
        <w:t xml:space="preserve">n recibir respuesta alguna,  pues no me hago a la idea de perder mi vivienda </w:t>
      </w:r>
      <w:r w:rsidR="002C58AC" w:rsidRPr="009053D1">
        <w:rPr>
          <w:rFonts w:ascii="Verdana" w:hAnsi="Verdana"/>
          <w:color w:val="000000"/>
          <w:shd w:val="clear" w:color="auto" w:fill="FFFFFF"/>
        </w:rPr>
        <w:t>por su descuido y negligencia</w:t>
      </w:r>
      <w:r w:rsidRPr="009053D1">
        <w:rPr>
          <w:rFonts w:ascii="Verdana" w:hAnsi="Verdana"/>
          <w:color w:val="000000"/>
          <w:shd w:val="clear" w:color="auto" w:fill="FFFFFF"/>
        </w:rPr>
        <w:t xml:space="preserve"> de un profesional del derecho, </w:t>
      </w:r>
      <w:r w:rsidR="002C58AC" w:rsidRPr="009053D1">
        <w:rPr>
          <w:rFonts w:ascii="Verdana" w:hAnsi="Verdana"/>
          <w:color w:val="000000"/>
          <w:shd w:val="clear" w:color="auto" w:fill="FFFFFF"/>
        </w:rPr>
        <w:t xml:space="preserve"> lo busque en la oficina pero no me dejaron ingresar, </w:t>
      </w:r>
      <w:r w:rsidR="002774C6" w:rsidRPr="009053D1">
        <w:rPr>
          <w:rFonts w:ascii="Verdana" w:hAnsi="Verdana"/>
          <w:color w:val="000000"/>
          <w:shd w:val="clear" w:color="auto" w:fill="FFFFFF"/>
        </w:rPr>
        <w:t>escribí</w:t>
      </w:r>
      <w:r w:rsidR="002C58AC" w:rsidRPr="009053D1">
        <w:rPr>
          <w:rFonts w:ascii="Verdana" w:hAnsi="Verdana"/>
          <w:color w:val="000000"/>
          <w:shd w:val="clear" w:color="auto" w:fill="FFFFFF"/>
        </w:rPr>
        <w:t xml:space="preserve"> varias veces al Juzgado para tener acceso al expediente </w:t>
      </w:r>
      <w:r w:rsidR="002774C6" w:rsidRPr="009053D1">
        <w:rPr>
          <w:rFonts w:ascii="Verdana" w:hAnsi="Verdana"/>
          <w:color w:val="000000"/>
          <w:shd w:val="clear" w:color="auto" w:fill="FFFFFF"/>
        </w:rPr>
        <w:t xml:space="preserve">y consultar el concepto de otro abogado </w:t>
      </w:r>
      <w:r w:rsidR="002C58AC" w:rsidRPr="009053D1">
        <w:rPr>
          <w:rFonts w:ascii="Verdana" w:hAnsi="Verdana"/>
          <w:color w:val="000000"/>
          <w:shd w:val="clear" w:color="auto" w:fill="FFFFFF"/>
        </w:rPr>
        <w:t xml:space="preserve">pero tampoco fue posible </w:t>
      </w:r>
      <w:r w:rsidR="002774C6" w:rsidRPr="009053D1">
        <w:rPr>
          <w:rFonts w:ascii="Verdana" w:hAnsi="Verdana"/>
          <w:color w:val="000000"/>
          <w:shd w:val="clear" w:color="auto" w:fill="FFFFFF"/>
        </w:rPr>
        <w:t xml:space="preserve">pues recibí como respuesta lo siguiente: </w:t>
      </w:r>
      <w:r w:rsidR="005C65B1" w:rsidRPr="009053D1">
        <w:rPr>
          <w:rFonts w:ascii="Verdana" w:hAnsi="Verdana"/>
          <w:i/>
          <w:iCs/>
          <w:color w:val="000000"/>
          <w:sz w:val="20"/>
          <w:szCs w:val="20"/>
          <w:shd w:val="clear" w:color="auto" w:fill="FFFFFF"/>
        </w:rPr>
        <w:t>“s</w:t>
      </w:r>
      <w:r w:rsidR="005C65B1" w:rsidRPr="009053D1">
        <w:rPr>
          <w:rFonts w:ascii="Verdana" w:hAnsi="Verdana"/>
          <w:i/>
          <w:iCs/>
          <w:color w:val="000000"/>
          <w:sz w:val="20"/>
          <w:szCs w:val="20"/>
          <w:bdr w:val="none" w:sz="0" w:space="0" w:color="auto" w:frame="1"/>
          <w:lang w:eastAsia="es-ES"/>
        </w:rPr>
        <w:t>e le informa que el proceso referenciado se encuentra archivado, por lo cual se eleva la presente, una vez se encuentre desarchivado y disponible en este CSAJED, se le comunicará para lo de su petición”</w:t>
      </w:r>
      <w:r w:rsidR="005C65B1" w:rsidRPr="009053D1">
        <w:rPr>
          <w:rFonts w:ascii="Verdana" w:hAnsi="Verdana"/>
          <w:color w:val="000000"/>
          <w:bdr w:val="none" w:sz="0" w:space="0" w:color="auto" w:frame="1"/>
          <w:lang w:eastAsia="es-ES"/>
        </w:rPr>
        <w:t>; y hasta la fecha no he recibido comunicación alguna.</w:t>
      </w:r>
    </w:p>
    <w:p w14:paraId="405BCF70" w14:textId="77777777" w:rsidR="00772BC0" w:rsidRDefault="00772BC0" w:rsidP="009053D1">
      <w:pPr>
        <w:pStyle w:val="Sinespaciado"/>
        <w:spacing w:line="276" w:lineRule="auto"/>
        <w:jc w:val="both"/>
        <w:rPr>
          <w:rFonts w:ascii="Verdana" w:hAnsi="Verdana"/>
          <w:b/>
          <w:bCs/>
          <w:color w:val="000000"/>
          <w:bdr w:val="none" w:sz="0" w:space="0" w:color="auto" w:frame="1"/>
          <w:lang w:eastAsia="es-ES"/>
        </w:rPr>
      </w:pPr>
    </w:p>
    <w:p w14:paraId="7168C4C9" w14:textId="45424BED" w:rsidR="00440FC1" w:rsidRDefault="00CD00E8" w:rsidP="009053D1">
      <w:pPr>
        <w:pStyle w:val="Sinespaciado"/>
        <w:spacing w:line="276" w:lineRule="auto"/>
        <w:jc w:val="both"/>
        <w:rPr>
          <w:rFonts w:ascii="Verdana" w:hAnsi="Verdana"/>
          <w:color w:val="000000"/>
          <w:bdr w:val="none" w:sz="0" w:space="0" w:color="auto" w:frame="1"/>
          <w:lang w:eastAsia="es-ES"/>
        </w:rPr>
      </w:pPr>
      <w:r w:rsidRPr="009053D1">
        <w:rPr>
          <w:rFonts w:ascii="Verdana" w:hAnsi="Verdana"/>
          <w:b/>
          <w:bCs/>
          <w:color w:val="000000"/>
          <w:bdr w:val="none" w:sz="0" w:space="0" w:color="auto" w:frame="1"/>
          <w:lang w:eastAsia="es-ES"/>
        </w:rPr>
        <w:t>OCTAVO:</w:t>
      </w:r>
      <w:r w:rsidRPr="009053D1">
        <w:rPr>
          <w:rFonts w:ascii="Verdana" w:hAnsi="Verdana"/>
          <w:color w:val="000000"/>
          <w:bdr w:val="none" w:sz="0" w:space="0" w:color="auto" w:frame="1"/>
          <w:lang w:eastAsia="es-ES"/>
        </w:rPr>
        <w:t xml:space="preserve"> </w:t>
      </w:r>
      <w:r w:rsidR="00C30EC1">
        <w:rPr>
          <w:rFonts w:ascii="Verdana" w:hAnsi="Verdana"/>
          <w:color w:val="000000"/>
          <w:bdr w:val="none" w:sz="0" w:space="0" w:color="auto" w:frame="1"/>
          <w:lang w:eastAsia="es-ES"/>
        </w:rPr>
        <w:t xml:space="preserve">El abonado telefónico </w:t>
      </w:r>
      <w:r w:rsidR="00C30EC1" w:rsidRPr="00DC45F8">
        <w:rPr>
          <w:rFonts w:ascii="Verdana" w:hAnsi="Verdana"/>
          <w:b/>
          <w:bCs/>
        </w:rPr>
        <w:t>3133507133</w:t>
      </w:r>
      <w:r w:rsidR="00C30EC1">
        <w:rPr>
          <w:rFonts w:ascii="Verdana" w:hAnsi="Verdana"/>
          <w:b/>
          <w:bCs/>
        </w:rPr>
        <w:t xml:space="preserve"> </w:t>
      </w:r>
      <w:r w:rsidR="00C30EC1" w:rsidRPr="00C30EC1">
        <w:rPr>
          <w:rFonts w:ascii="Verdana" w:hAnsi="Verdana"/>
        </w:rPr>
        <w:t>perteneciente a</w:t>
      </w:r>
      <w:r w:rsidR="00C30EC1" w:rsidRPr="00C30EC1">
        <w:rPr>
          <w:rFonts w:ascii="Verdana" w:hAnsi="Verdana"/>
          <w:color w:val="000000"/>
          <w:bdr w:val="none" w:sz="0" w:space="0" w:color="auto" w:frame="1"/>
          <w:lang w:eastAsia="es-ES"/>
        </w:rPr>
        <w:t>l</w:t>
      </w:r>
      <w:r w:rsidR="00C30EC1">
        <w:rPr>
          <w:rFonts w:ascii="Verdana" w:hAnsi="Verdana"/>
          <w:color w:val="000000"/>
          <w:bdr w:val="none" w:sz="0" w:space="0" w:color="auto" w:frame="1"/>
          <w:lang w:eastAsia="es-ES"/>
        </w:rPr>
        <w:t xml:space="preserve"> abogado </w:t>
      </w:r>
      <w:r w:rsidR="00C30EC1" w:rsidRPr="009053D1">
        <w:rPr>
          <w:rFonts w:ascii="Verdana" w:hAnsi="Verdana"/>
        </w:rPr>
        <w:t>JOSE FERNANDO BELTRAN GARZON</w:t>
      </w:r>
      <w:r w:rsidR="00C30EC1">
        <w:rPr>
          <w:rFonts w:ascii="Verdana" w:hAnsi="Verdana"/>
        </w:rPr>
        <w:t xml:space="preserve">, está activo pues de ese número él tiene acceso a los estados que mi hija coloca en WHATSAP de mi hija. </w:t>
      </w:r>
    </w:p>
    <w:p w14:paraId="1A46FFD3" w14:textId="77777777" w:rsidR="00772BC0" w:rsidRDefault="00772BC0" w:rsidP="009053D1">
      <w:pPr>
        <w:pStyle w:val="Sinespaciado"/>
        <w:spacing w:line="276" w:lineRule="auto"/>
        <w:jc w:val="both"/>
        <w:rPr>
          <w:rFonts w:ascii="Verdana" w:hAnsi="Verdana"/>
          <w:b/>
          <w:bCs/>
          <w:color w:val="000000"/>
          <w:bdr w:val="none" w:sz="0" w:space="0" w:color="auto" w:frame="1"/>
          <w:lang w:eastAsia="es-ES"/>
        </w:rPr>
      </w:pPr>
    </w:p>
    <w:p w14:paraId="613E21ED" w14:textId="1D31CB0A" w:rsidR="005C65B1" w:rsidRPr="009053D1" w:rsidRDefault="00440FC1" w:rsidP="009053D1">
      <w:pPr>
        <w:pStyle w:val="Sinespaciado"/>
        <w:spacing w:line="276" w:lineRule="auto"/>
        <w:jc w:val="both"/>
        <w:rPr>
          <w:rFonts w:ascii="Verdana" w:hAnsi="Verdana"/>
          <w:color w:val="000000"/>
          <w:bdr w:val="none" w:sz="0" w:space="0" w:color="auto" w:frame="1"/>
          <w:lang w:eastAsia="es-ES"/>
        </w:rPr>
      </w:pPr>
      <w:r w:rsidRPr="00440FC1">
        <w:rPr>
          <w:rFonts w:ascii="Verdana" w:hAnsi="Verdana"/>
          <w:b/>
          <w:bCs/>
          <w:color w:val="000000"/>
          <w:bdr w:val="none" w:sz="0" w:space="0" w:color="auto" w:frame="1"/>
          <w:lang w:eastAsia="es-ES"/>
        </w:rPr>
        <w:t>NOVENO:</w:t>
      </w:r>
      <w:r>
        <w:rPr>
          <w:rFonts w:ascii="Verdana" w:hAnsi="Verdana"/>
          <w:color w:val="000000"/>
          <w:bdr w:val="none" w:sz="0" w:space="0" w:color="auto" w:frame="1"/>
          <w:lang w:eastAsia="es-ES"/>
        </w:rPr>
        <w:t xml:space="preserve"> </w:t>
      </w:r>
      <w:r w:rsidR="00CD00E8" w:rsidRPr="009053D1">
        <w:rPr>
          <w:rFonts w:ascii="Verdana" w:hAnsi="Verdana"/>
          <w:color w:val="000000"/>
          <w:bdr w:val="none" w:sz="0" w:space="0" w:color="auto" w:frame="1"/>
          <w:lang w:eastAsia="es-ES"/>
        </w:rPr>
        <w:t>L</w:t>
      </w:r>
      <w:r w:rsidR="005C65B1" w:rsidRPr="009053D1">
        <w:rPr>
          <w:rFonts w:ascii="Verdana" w:hAnsi="Verdana"/>
          <w:color w:val="000000"/>
          <w:bdr w:val="none" w:sz="0" w:space="0" w:color="auto" w:frame="1"/>
          <w:lang w:eastAsia="es-ES"/>
        </w:rPr>
        <w:t xml:space="preserve">a suscrita no tiene </w:t>
      </w:r>
      <w:r w:rsidR="009053D1" w:rsidRPr="009053D1">
        <w:rPr>
          <w:rFonts w:ascii="Verdana" w:hAnsi="Verdana"/>
          <w:color w:val="000000"/>
          <w:bdr w:val="none" w:sz="0" w:space="0" w:color="auto" w:frame="1"/>
          <w:lang w:eastAsia="es-ES"/>
        </w:rPr>
        <w:t>por qué</w:t>
      </w:r>
      <w:r w:rsidR="005C65B1" w:rsidRPr="009053D1">
        <w:rPr>
          <w:rFonts w:ascii="Verdana" w:hAnsi="Verdana"/>
          <w:color w:val="000000"/>
          <w:bdr w:val="none" w:sz="0" w:space="0" w:color="auto" w:frame="1"/>
          <w:lang w:eastAsia="es-ES"/>
        </w:rPr>
        <w:t xml:space="preserve"> </w:t>
      </w:r>
      <w:r w:rsidR="005C65B1" w:rsidRPr="009053D1">
        <w:rPr>
          <w:rFonts w:ascii="Verdana" w:hAnsi="Verdana"/>
        </w:rPr>
        <w:t xml:space="preserve">soportar la </w:t>
      </w:r>
      <w:r w:rsidR="00CD00E8" w:rsidRPr="009053D1">
        <w:rPr>
          <w:rFonts w:ascii="Verdana" w:hAnsi="Verdana"/>
        </w:rPr>
        <w:t xml:space="preserve">desidia, </w:t>
      </w:r>
      <w:r w:rsidR="005C65B1" w:rsidRPr="009053D1">
        <w:rPr>
          <w:rFonts w:ascii="Verdana" w:hAnsi="Verdana"/>
        </w:rPr>
        <w:t xml:space="preserve">negligencia </w:t>
      </w:r>
      <w:r w:rsidR="00CD00E8" w:rsidRPr="009053D1">
        <w:rPr>
          <w:rFonts w:ascii="Verdana" w:hAnsi="Verdana"/>
        </w:rPr>
        <w:t xml:space="preserve">e </w:t>
      </w:r>
      <w:r w:rsidR="005C65B1" w:rsidRPr="009053D1">
        <w:rPr>
          <w:rFonts w:ascii="Verdana" w:hAnsi="Verdana"/>
        </w:rPr>
        <w:t>irresponsab</w:t>
      </w:r>
      <w:r w:rsidR="00CD00E8" w:rsidRPr="009053D1">
        <w:rPr>
          <w:rFonts w:ascii="Verdana" w:hAnsi="Verdana"/>
        </w:rPr>
        <w:t xml:space="preserve">ilidad de los abogados JOSE FERNANDO BELTRAN GARZON y OMAR DARIO TORO GONZALEZ, </w:t>
      </w:r>
      <w:r w:rsidR="00951F34" w:rsidRPr="009053D1">
        <w:rPr>
          <w:rFonts w:ascii="Verdana" w:hAnsi="Verdana"/>
        </w:rPr>
        <w:t xml:space="preserve">existiendo posibilidades de </w:t>
      </w:r>
      <w:r w:rsidR="002774C6" w:rsidRPr="009053D1">
        <w:rPr>
          <w:rFonts w:ascii="Verdana" w:hAnsi="Verdana"/>
        </w:rPr>
        <w:t xml:space="preserve">que </w:t>
      </w:r>
      <w:r w:rsidR="00951F34" w:rsidRPr="009053D1">
        <w:rPr>
          <w:rFonts w:ascii="Verdana" w:hAnsi="Verdana"/>
        </w:rPr>
        <w:t xml:space="preserve">la segunda instancia revise y revoque el fallo proferido por el Juzgado Primero Penal del Circuito Especializado en extinción de dominio de la ciudad de </w:t>
      </w:r>
      <w:r w:rsidR="002774C6" w:rsidRPr="009053D1">
        <w:rPr>
          <w:rFonts w:ascii="Verdana" w:hAnsi="Verdana"/>
        </w:rPr>
        <w:t xml:space="preserve">Bogotá y pueda conservar mi vivienda que es el único medio de subsistencia que tengo ya que no soy beneficiaria de pensión alguna, por mi edad y enfermedad no consigo trabajo, </w:t>
      </w:r>
      <w:r w:rsidR="00CD00E8" w:rsidRPr="009053D1">
        <w:rPr>
          <w:rFonts w:ascii="Verdana" w:hAnsi="Verdana"/>
        </w:rPr>
        <w:t xml:space="preserve">y </w:t>
      </w:r>
      <w:r w:rsidR="002774C6" w:rsidRPr="009053D1">
        <w:rPr>
          <w:rFonts w:ascii="Verdana" w:hAnsi="Verdana"/>
        </w:rPr>
        <w:t xml:space="preserve">mi único sustento es la renta que percibo por el arriendo de las habitaciones </w:t>
      </w:r>
      <w:r w:rsidR="00CD00E8" w:rsidRPr="009053D1">
        <w:rPr>
          <w:rFonts w:ascii="Verdana" w:hAnsi="Verdana"/>
        </w:rPr>
        <w:t>en mi inmueble.</w:t>
      </w:r>
      <w:r w:rsidR="002774C6" w:rsidRPr="009053D1">
        <w:rPr>
          <w:rFonts w:ascii="Verdana" w:hAnsi="Verdana"/>
        </w:rPr>
        <w:t xml:space="preserve"> </w:t>
      </w:r>
    </w:p>
    <w:p w14:paraId="284124DC" w14:textId="003965A2" w:rsidR="00D671BD" w:rsidRPr="009053D1" w:rsidRDefault="00D671BD" w:rsidP="009053D1">
      <w:pPr>
        <w:pStyle w:val="Sinespaciado"/>
        <w:spacing w:line="276" w:lineRule="auto"/>
        <w:jc w:val="both"/>
        <w:rPr>
          <w:rFonts w:ascii="Verdana" w:hAnsi="Verdana"/>
        </w:rPr>
      </w:pPr>
    </w:p>
    <w:p w14:paraId="34FCA5EF" w14:textId="0D74C9E0" w:rsidR="006C6154" w:rsidRPr="009053D1" w:rsidRDefault="006C6154" w:rsidP="009053D1">
      <w:pPr>
        <w:pStyle w:val="Sinespaciado"/>
      </w:pPr>
    </w:p>
    <w:p w14:paraId="5BC72EB6" w14:textId="105E1D36" w:rsidR="00CD00E8" w:rsidRPr="009053D1" w:rsidRDefault="00440FC1" w:rsidP="009053D1">
      <w:pPr>
        <w:pStyle w:val="Sinespaciado"/>
        <w:spacing w:line="276" w:lineRule="auto"/>
        <w:jc w:val="both"/>
        <w:rPr>
          <w:rFonts w:ascii="Verdana" w:hAnsi="Verdana"/>
        </w:rPr>
      </w:pPr>
      <w:r>
        <w:rPr>
          <w:rFonts w:ascii="Verdana" w:hAnsi="Verdana"/>
          <w:b/>
          <w:bCs/>
          <w:shd w:val="clear" w:color="auto" w:fill="FFFFFF"/>
        </w:rPr>
        <w:t>DECIMO</w:t>
      </w:r>
      <w:r w:rsidR="00CD00E8" w:rsidRPr="009053D1">
        <w:rPr>
          <w:rFonts w:ascii="Verdana" w:hAnsi="Verdana"/>
          <w:b/>
          <w:bCs/>
          <w:shd w:val="clear" w:color="auto" w:fill="FFFFFF"/>
        </w:rPr>
        <w:t>:</w:t>
      </w:r>
      <w:r w:rsidR="00CD00E8" w:rsidRPr="009053D1">
        <w:rPr>
          <w:rFonts w:ascii="Verdana" w:hAnsi="Verdana"/>
          <w:shd w:val="clear" w:color="auto" w:fill="FFFFFF"/>
        </w:rPr>
        <w:t xml:space="preserve"> Deposite mi confianza y ahorros en los abogados </w:t>
      </w:r>
      <w:r w:rsidR="00CD00E8" w:rsidRPr="009053D1">
        <w:rPr>
          <w:rFonts w:ascii="Verdana" w:hAnsi="Verdana"/>
        </w:rPr>
        <w:t>JOSE FERNANDO BELTRAN GARZON y OMAR DARIO TORO GONZALEZ, pues se suponía que eran expertos en procesos de extinción de dominio , en la contadora que me hicieron contratar, para evitar la extinción del dominio de mi casa de habitación</w:t>
      </w:r>
      <w:r w:rsidR="00263AEA" w:rsidRPr="009053D1">
        <w:rPr>
          <w:rFonts w:ascii="Verdana" w:hAnsi="Verdana"/>
        </w:rPr>
        <w:t xml:space="preserve">, me siento defraudada, abusada de la confianza yo vi en el abogado </w:t>
      </w:r>
      <w:r w:rsidR="00CD00E8" w:rsidRPr="009053D1">
        <w:rPr>
          <w:rFonts w:ascii="Verdana" w:hAnsi="Verdana"/>
        </w:rPr>
        <w:t xml:space="preserve"> </w:t>
      </w:r>
      <w:r w:rsidR="00263AEA" w:rsidRPr="009053D1">
        <w:rPr>
          <w:rFonts w:ascii="Verdana" w:hAnsi="Verdana"/>
        </w:rPr>
        <w:t>JOSE FERNANDO BELTRAN GARZON, un hombre honesto y respetuoso, o por lo menos debió avisarme que no quería  no podía trabajar mas en mi caso y no abandonar el proceso hasta el punto que ya están haciendo avaluó para rematar mi casa.</w:t>
      </w:r>
    </w:p>
    <w:p w14:paraId="547159A9" w14:textId="658C23E1" w:rsidR="006C6154" w:rsidRPr="009053D1" w:rsidRDefault="006C6154" w:rsidP="009053D1">
      <w:pPr>
        <w:pStyle w:val="Sinespaciado"/>
        <w:spacing w:line="276" w:lineRule="auto"/>
        <w:jc w:val="both"/>
        <w:rPr>
          <w:rFonts w:ascii="Verdana" w:hAnsi="Verdana"/>
        </w:rPr>
      </w:pPr>
    </w:p>
    <w:p w14:paraId="34E8843E" w14:textId="2E7461C7" w:rsidR="009301C7" w:rsidRPr="009053D1" w:rsidRDefault="00263AEA" w:rsidP="009053D1">
      <w:pPr>
        <w:shd w:val="clear" w:color="auto" w:fill="FFFFFF"/>
        <w:spacing w:line="276" w:lineRule="auto"/>
        <w:ind w:right="-93"/>
        <w:jc w:val="both"/>
        <w:rPr>
          <w:rFonts w:ascii="Verdana" w:hAnsi="Verdana"/>
          <w:shd w:val="clear" w:color="auto" w:fill="FFFFFF"/>
        </w:rPr>
      </w:pPr>
      <w:r w:rsidRPr="009053D1">
        <w:rPr>
          <w:rFonts w:ascii="Verdana" w:hAnsi="Verdana"/>
          <w:shd w:val="clear" w:color="auto" w:fill="FFFFFF"/>
        </w:rPr>
        <w:t>El proceder negligente, deshonroso para la profesión me vulnero mi derecho a la defensa técnica y a la doble instancia</w:t>
      </w:r>
      <w:r w:rsidR="0092376A" w:rsidRPr="009053D1">
        <w:rPr>
          <w:rFonts w:ascii="Verdana" w:hAnsi="Verdana"/>
          <w:shd w:val="clear" w:color="auto" w:fill="FFFFFF"/>
        </w:rPr>
        <w:t xml:space="preserve">, y hasta el mínimo vital. </w:t>
      </w:r>
    </w:p>
    <w:p w14:paraId="4C496A26" w14:textId="335BEB58" w:rsidR="009301C7" w:rsidRPr="009053D1" w:rsidRDefault="009301C7" w:rsidP="009053D1">
      <w:pPr>
        <w:pStyle w:val="Sinespaciado"/>
        <w:spacing w:line="276" w:lineRule="auto"/>
        <w:jc w:val="both"/>
        <w:rPr>
          <w:rFonts w:ascii="Verdana" w:hAnsi="Verdana"/>
        </w:rPr>
      </w:pPr>
    </w:p>
    <w:p w14:paraId="686060DD" w14:textId="39A380E1" w:rsidR="005024A6" w:rsidRPr="009053D1" w:rsidRDefault="0092376A" w:rsidP="009053D1">
      <w:pPr>
        <w:pStyle w:val="Sinespaciado"/>
        <w:spacing w:line="276" w:lineRule="auto"/>
        <w:jc w:val="both"/>
        <w:rPr>
          <w:rFonts w:ascii="Verdana" w:hAnsi="Verdana"/>
        </w:rPr>
      </w:pPr>
      <w:r w:rsidRPr="009053D1">
        <w:rPr>
          <w:rFonts w:ascii="Verdana" w:hAnsi="Verdana"/>
          <w:b/>
          <w:bCs/>
        </w:rPr>
        <w:t>DECIMO</w:t>
      </w:r>
      <w:r w:rsidR="00440FC1">
        <w:rPr>
          <w:rFonts w:ascii="Verdana" w:hAnsi="Verdana"/>
          <w:b/>
          <w:bCs/>
        </w:rPr>
        <w:t xml:space="preserve"> PRIMERO</w:t>
      </w:r>
      <w:r w:rsidRPr="009053D1">
        <w:rPr>
          <w:rFonts w:ascii="Verdana" w:hAnsi="Verdana"/>
          <w:b/>
          <w:bCs/>
        </w:rPr>
        <w:t>:</w:t>
      </w:r>
      <w:r w:rsidRPr="009053D1">
        <w:rPr>
          <w:rFonts w:ascii="Verdana" w:hAnsi="Verdana"/>
        </w:rPr>
        <w:t xml:space="preserve"> S</w:t>
      </w:r>
      <w:r w:rsidR="005024A6" w:rsidRPr="009053D1">
        <w:rPr>
          <w:rFonts w:ascii="Verdana" w:hAnsi="Verdana"/>
        </w:rPr>
        <w:t xml:space="preserve">oy una mujer de 59 </w:t>
      </w:r>
      <w:proofErr w:type="gramStart"/>
      <w:r w:rsidR="005024A6" w:rsidRPr="009053D1">
        <w:rPr>
          <w:rFonts w:ascii="Verdana" w:hAnsi="Verdana"/>
        </w:rPr>
        <w:t>años de edad</w:t>
      </w:r>
      <w:proofErr w:type="gramEnd"/>
      <w:r w:rsidR="005024A6" w:rsidRPr="009053D1">
        <w:rPr>
          <w:rFonts w:ascii="Verdana" w:hAnsi="Verdana"/>
        </w:rPr>
        <w:t>, próxima a cumplir 60 años, diabética e hipertensa disminuida físicamente en la parte izquierda de mi cuerpo por accidente cerebrovascular, lo que me hace una persona de especial protección constitucional</w:t>
      </w:r>
      <w:r w:rsidRPr="009053D1">
        <w:rPr>
          <w:rFonts w:ascii="Verdana" w:hAnsi="Verdana"/>
        </w:rPr>
        <w:t>, soltera sin ningún tipo de pensión o renta diferente a la que recibo como precio del arriendo de las habitaciones de mi casa que pretenden extinguir el dominio</w:t>
      </w:r>
      <w:r w:rsidR="005024A6" w:rsidRPr="009053D1">
        <w:rPr>
          <w:rFonts w:ascii="Verdana" w:hAnsi="Verdana"/>
        </w:rPr>
        <w:t xml:space="preserve">. </w:t>
      </w:r>
    </w:p>
    <w:p w14:paraId="4A23B6B1" w14:textId="57248482" w:rsidR="005024A6" w:rsidRPr="009053D1" w:rsidRDefault="005024A6" w:rsidP="009053D1">
      <w:pPr>
        <w:pStyle w:val="Sinespaciado"/>
        <w:spacing w:line="276" w:lineRule="auto"/>
        <w:jc w:val="both"/>
        <w:rPr>
          <w:rFonts w:ascii="Verdana" w:hAnsi="Verdana"/>
        </w:rPr>
      </w:pPr>
    </w:p>
    <w:p w14:paraId="2EFC51C2" w14:textId="77777777" w:rsidR="005024A6" w:rsidRPr="002151D3" w:rsidRDefault="005024A6" w:rsidP="00D671BD">
      <w:pPr>
        <w:pStyle w:val="Sinespaciado"/>
        <w:spacing w:line="276" w:lineRule="auto"/>
        <w:jc w:val="both"/>
        <w:rPr>
          <w:rFonts w:ascii="Verdana" w:hAnsi="Verdana"/>
        </w:rPr>
      </w:pPr>
    </w:p>
    <w:p w14:paraId="662FD3B4" w14:textId="77777777" w:rsidR="00D671BD" w:rsidRPr="002151D3" w:rsidRDefault="00D671BD" w:rsidP="00D671BD">
      <w:pPr>
        <w:pStyle w:val="Sinespaciado"/>
        <w:spacing w:line="276" w:lineRule="auto"/>
        <w:jc w:val="center"/>
        <w:rPr>
          <w:rFonts w:ascii="Verdana" w:hAnsi="Verdana"/>
        </w:rPr>
      </w:pPr>
      <w:r w:rsidRPr="002151D3">
        <w:rPr>
          <w:rFonts w:ascii="Verdana" w:hAnsi="Verdana"/>
          <w:b/>
        </w:rPr>
        <w:t>DERECHOS VULNERADOS</w:t>
      </w:r>
    </w:p>
    <w:p w14:paraId="53D97AAE" w14:textId="77777777" w:rsidR="00D671BD" w:rsidRPr="002151D3" w:rsidRDefault="00D671BD" w:rsidP="00D671BD">
      <w:pPr>
        <w:pStyle w:val="Sinespaciado"/>
        <w:spacing w:line="276" w:lineRule="auto"/>
        <w:jc w:val="both"/>
        <w:rPr>
          <w:rFonts w:ascii="Verdana" w:hAnsi="Verdana"/>
        </w:rPr>
      </w:pPr>
    </w:p>
    <w:p w14:paraId="59443A54" w14:textId="51CE7915" w:rsidR="00D671BD" w:rsidRPr="002151D3" w:rsidRDefault="00D671BD" w:rsidP="00D671BD">
      <w:pPr>
        <w:pStyle w:val="Sinespaciado"/>
        <w:spacing w:line="276" w:lineRule="auto"/>
        <w:jc w:val="both"/>
        <w:rPr>
          <w:rFonts w:ascii="Verdana" w:hAnsi="Verdana"/>
        </w:rPr>
      </w:pPr>
      <w:r w:rsidRPr="002151D3">
        <w:rPr>
          <w:rFonts w:ascii="Verdana" w:hAnsi="Verdana"/>
        </w:rPr>
        <w:t xml:space="preserve">Estimo que </w:t>
      </w:r>
      <w:r>
        <w:rPr>
          <w:rFonts w:ascii="Verdana" w:hAnsi="Verdana"/>
        </w:rPr>
        <w:t xml:space="preserve">me </w:t>
      </w:r>
      <w:r w:rsidRPr="002151D3">
        <w:rPr>
          <w:rFonts w:ascii="Verdana" w:hAnsi="Verdana"/>
        </w:rPr>
        <w:t xml:space="preserve">están vulnerado </w:t>
      </w:r>
      <w:r w:rsidR="009053D1">
        <w:rPr>
          <w:rFonts w:ascii="Verdana" w:hAnsi="Verdana"/>
        </w:rPr>
        <w:t xml:space="preserve">mi derecho fundamental al debido proceso por falta de </w:t>
      </w:r>
      <w:r w:rsidR="005C65B1">
        <w:rPr>
          <w:rFonts w:ascii="Verdana" w:hAnsi="Verdana"/>
        </w:rPr>
        <w:t xml:space="preserve">defensa </w:t>
      </w:r>
      <w:r w:rsidR="009C6D25">
        <w:rPr>
          <w:rFonts w:ascii="Verdana" w:hAnsi="Verdana"/>
        </w:rPr>
        <w:t>técnica.</w:t>
      </w:r>
      <w:r w:rsidR="005C65B1">
        <w:rPr>
          <w:rFonts w:ascii="Verdana" w:hAnsi="Verdana"/>
        </w:rPr>
        <w:t xml:space="preserve"> </w:t>
      </w:r>
    </w:p>
    <w:p w14:paraId="297E8F8B" w14:textId="67EB27C2" w:rsidR="00D671BD" w:rsidRDefault="00D671BD" w:rsidP="00D671BD">
      <w:pPr>
        <w:pStyle w:val="Sinespaciado"/>
        <w:spacing w:line="276" w:lineRule="auto"/>
        <w:jc w:val="both"/>
        <w:rPr>
          <w:rFonts w:ascii="Verdana" w:hAnsi="Verdana"/>
        </w:rPr>
      </w:pPr>
    </w:p>
    <w:p w14:paraId="339D0870" w14:textId="73914D98" w:rsidR="009C6D25" w:rsidRPr="003F187E" w:rsidRDefault="009C6D25" w:rsidP="003F187E">
      <w:pPr>
        <w:shd w:val="clear" w:color="auto" w:fill="FFFFFF"/>
        <w:spacing w:line="276" w:lineRule="auto"/>
        <w:jc w:val="both"/>
        <w:rPr>
          <w:rFonts w:ascii="Verdana" w:hAnsi="Verdana"/>
          <w:b/>
          <w:bCs/>
        </w:rPr>
      </w:pPr>
      <w:r w:rsidRPr="003F187E">
        <w:rPr>
          <w:rFonts w:ascii="Verdana" w:hAnsi="Verdana"/>
          <w:b/>
          <w:bCs/>
        </w:rPr>
        <w:t>El derecho a la defensa técnica</w:t>
      </w:r>
      <w:r w:rsidRPr="003F187E">
        <w:rPr>
          <w:rStyle w:val="Refdenotaalpie"/>
          <w:rFonts w:ascii="Verdana" w:hAnsi="Verdana"/>
          <w:b/>
          <w:bCs/>
        </w:rPr>
        <w:footnoteReference w:id="1"/>
      </w:r>
    </w:p>
    <w:p w14:paraId="6562E705" w14:textId="77777777" w:rsidR="003F187E" w:rsidRDefault="003F187E" w:rsidP="003F187E">
      <w:pPr>
        <w:jc w:val="both"/>
        <w:rPr>
          <w:rFonts w:ascii="Verdana" w:hAnsi="Verdana"/>
          <w:sz w:val="16"/>
          <w:szCs w:val="16"/>
        </w:rPr>
      </w:pPr>
    </w:p>
    <w:p w14:paraId="273DF62D" w14:textId="345A477D" w:rsidR="003F187E" w:rsidRPr="00634559" w:rsidRDefault="003F187E" w:rsidP="00634559">
      <w:pPr>
        <w:spacing w:line="276" w:lineRule="auto"/>
        <w:jc w:val="both"/>
        <w:rPr>
          <w:rFonts w:ascii="Verdana" w:hAnsi="Verdana"/>
        </w:rPr>
      </w:pPr>
      <w:r w:rsidRPr="00634559">
        <w:rPr>
          <w:rFonts w:ascii="Verdana" w:hAnsi="Verdana"/>
        </w:rPr>
        <w:t xml:space="preserve">Los siguientes fundamentos normativos y jurisprudenciales fueron extraídos del reciente pronunciamiento emito por la Corte Constitucional en la Sentencia T-366/21, Expediente T-8.070.085, Acción de tutela de Boris Fernando Marín Muñoz contra la Sala Penal del Tribunal Superior del Distrito Judicial de Ibagué. </w:t>
      </w:r>
      <w:r w:rsidRPr="00634559">
        <w:rPr>
          <w:rFonts w:ascii="Verdana" w:hAnsi="Verdana"/>
          <w:lang w:val="es-ES_tradnl"/>
        </w:rPr>
        <w:lastRenderedPageBreak/>
        <w:t>Magistrada ponente CRISTINA PARDO SCHLESINGER.</w:t>
      </w:r>
      <w:r w:rsidRPr="00634559">
        <w:rPr>
          <w:rFonts w:ascii="Verdana" w:hAnsi="Verdana"/>
        </w:rPr>
        <w:t xml:space="preserve">Bogotá, D.C., veintiséis (26) de octubre de dos mil veintiuno (2021).  </w:t>
      </w:r>
    </w:p>
    <w:p w14:paraId="0F19EA93" w14:textId="77777777" w:rsidR="003F187E" w:rsidRPr="00960646" w:rsidRDefault="003F187E" w:rsidP="003F187E">
      <w:pPr>
        <w:pStyle w:val="Textonotapie"/>
        <w:jc w:val="both"/>
        <w:rPr>
          <w:rFonts w:ascii="Verdana" w:hAnsi="Verdana"/>
          <w:sz w:val="16"/>
          <w:szCs w:val="16"/>
        </w:rPr>
      </w:pPr>
    </w:p>
    <w:p w14:paraId="49240334"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31.</w:t>
      </w:r>
      <w:r w:rsidRPr="003F187E">
        <w:rPr>
          <w:rFonts w:ascii="Verdana" w:hAnsi="Verdana"/>
        </w:rPr>
        <w:tab/>
        <w:t xml:space="preserve">Ahora bien, en cuanto trata del derecho al debido proceso en su faceta de contar con una efectiva defensa técnica, a diferencia de los asuntos citados en el numeral 29 </w:t>
      </w:r>
      <w:r w:rsidRPr="003F187E">
        <w:rPr>
          <w:rFonts w:ascii="Verdana" w:hAnsi="Verdana"/>
          <w:i/>
          <w:iCs/>
        </w:rPr>
        <w:t>supra,</w:t>
      </w:r>
      <w:r w:rsidRPr="003F187E">
        <w:rPr>
          <w:rFonts w:ascii="Verdana" w:hAnsi="Verdana"/>
        </w:rPr>
        <w:t xml:space="preserve"> en el caso de la referencia la vulneración a la doble conformidad no se habría producido por providencias que negaran la validez de tal derecho. Por el contrario, se trató de la eventual omisión en que habría incurrido la autoridad demandada cuando, ante el silencio procesal que el actor y su apoderado guardaron frente de sentencia condenatoria, el Tribunal Superior de Ibagué no se aseguró de que el actor pudiera materialmente conocer sobre los fines y objeto de su derecho a la doble conformidad y, en tal orden, pudiera expresar libremente y con conocimiento informado su voluntad de acceder o no a tal posibilidad procesal.</w:t>
      </w:r>
    </w:p>
    <w:p w14:paraId="059BCC25" w14:textId="77777777" w:rsidR="009C6D25" w:rsidRPr="003F187E" w:rsidRDefault="009C6D25" w:rsidP="003F187E">
      <w:pPr>
        <w:shd w:val="clear" w:color="auto" w:fill="FFFFFF"/>
        <w:spacing w:line="276" w:lineRule="auto"/>
        <w:jc w:val="both"/>
        <w:rPr>
          <w:rFonts w:ascii="Verdana" w:hAnsi="Verdana"/>
        </w:rPr>
      </w:pPr>
    </w:p>
    <w:p w14:paraId="44F34A48"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 xml:space="preserve">32. </w:t>
      </w:r>
      <w:r w:rsidRPr="003F187E">
        <w:rPr>
          <w:rFonts w:ascii="Verdana" w:hAnsi="Verdana"/>
        </w:rPr>
        <w:tab/>
        <w:t xml:space="preserve">El artículo 29 de la Constitución (debido proceso) contempla el derecho que tiene el sindicado </w:t>
      </w:r>
      <w:r w:rsidRPr="003F187E">
        <w:rPr>
          <w:rFonts w:ascii="Verdana" w:hAnsi="Verdana"/>
          <w:i/>
          <w:iCs/>
        </w:rPr>
        <w:t xml:space="preserve">“a la defensa ya a la asistencia de un abogado escogido por él, o de oficio, durante la investigación y el juzgamiento”. </w:t>
      </w:r>
      <w:r w:rsidRPr="003F187E">
        <w:rPr>
          <w:rFonts w:ascii="Verdana" w:hAnsi="Verdana"/>
        </w:rPr>
        <w:t>Con este derecho la Carta persigue dotar al procesado de las garantías necesarias para ejercer adecuadamente su derecho a la defensa. Así, con la garantía de defensa técnica se le permite al sindicado que, a través de un profesional del derecho</w:t>
      </w:r>
      <w:r w:rsidRPr="003F187E">
        <w:rPr>
          <w:rStyle w:val="Refdenotaalpie"/>
          <w:rFonts w:ascii="Verdana" w:hAnsi="Verdana"/>
        </w:rPr>
        <w:footnoteReference w:id="2"/>
      </w:r>
      <w:r w:rsidRPr="003F187E">
        <w:rPr>
          <w:rFonts w:ascii="Verdana" w:hAnsi="Verdana"/>
        </w:rPr>
        <w:t>, pueda hacer uso de los diferentes recursos que le otorga el ordenamiento procesal, allegar y controvertir pruebas y, en fin, oponerse efectivamente a las pretensiones que se presenten en su contra</w:t>
      </w:r>
      <w:r w:rsidRPr="003F187E">
        <w:rPr>
          <w:rStyle w:val="Refdenotaalpie"/>
          <w:rFonts w:ascii="Verdana" w:hAnsi="Verdana"/>
        </w:rPr>
        <w:footnoteReference w:id="3"/>
      </w:r>
      <w:r w:rsidRPr="003F187E">
        <w:rPr>
          <w:rFonts w:ascii="Verdana" w:hAnsi="Verdana"/>
        </w:rPr>
        <w:t>.</w:t>
      </w:r>
      <w:r w:rsidRPr="003F187E">
        <w:rPr>
          <w:rStyle w:val="Refdenotaalpie"/>
          <w:rFonts w:ascii="Verdana" w:hAnsi="Verdana"/>
        </w:rPr>
        <w:footnoteReference w:id="4"/>
      </w:r>
    </w:p>
    <w:p w14:paraId="447597C1" w14:textId="77777777" w:rsidR="009C6D25" w:rsidRPr="003F187E" w:rsidRDefault="009C6D25" w:rsidP="003F187E">
      <w:pPr>
        <w:shd w:val="clear" w:color="auto" w:fill="FFFFFF"/>
        <w:spacing w:line="276" w:lineRule="auto"/>
        <w:jc w:val="both"/>
        <w:rPr>
          <w:rFonts w:ascii="Verdana" w:hAnsi="Verdana"/>
        </w:rPr>
      </w:pPr>
    </w:p>
    <w:p w14:paraId="6E4B9AA8"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33. El derecho a la defensa técnica se hace efectivo siempre y cuando el profesional del derecho que el sindicado escoja o, en su defecto, que el Estado le asigne como abogado defensor de oficio, desempeñe su encargo de manera suficientemente razonable y responsable. En aras de ello, además de la responsabilidad civil común a todas las personas, el ordenamiento contempla sanciones tanto disciplinarias</w:t>
      </w:r>
      <w:r w:rsidRPr="003F187E">
        <w:rPr>
          <w:rStyle w:val="Refdenotaalpie"/>
          <w:rFonts w:ascii="Verdana" w:hAnsi="Verdana"/>
        </w:rPr>
        <w:footnoteReference w:id="5"/>
      </w:r>
      <w:r w:rsidRPr="003F187E">
        <w:rPr>
          <w:rFonts w:ascii="Verdana" w:hAnsi="Verdana"/>
        </w:rPr>
        <w:t xml:space="preserve"> como penales</w:t>
      </w:r>
      <w:r w:rsidRPr="003F187E">
        <w:rPr>
          <w:rStyle w:val="Refdenotaalpie"/>
          <w:rFonts w:ascii="Verdana" w:hAnsi="Verdana"/>
        </w:rPr>
        <w:footnoteReference w:id="6"/>
      </w:r>
      <w:r w:rsidRPr="003F187E">
        <w:rPr>
          <w:rFonts w:ascii="Verdana" w:hAnsi="Verdana"/>
        </w:rPr>
        <w:t xml:space="preserve"> para el abogado que incumpla sus deberes profesionales en perjuicio de su representado. </w:t>
      </w:r>
    </w:p>
    <w:p w14:paraId="65790D2D" w14:textId="77777777" w:rsidR="009C6D25" w:rsidRPr="003F187E" w:rsidRDefault="009C6D25" w:rsidP="003F187E">
      <w:pPr>
        <w:shd w:val="clear" w:color="auto" w:fill="FFFFFF"/>
        <w:spacing w:line="276" w:lineRule="auto"/>
        <w:jc w:val="both"/>
        <w:rPr>
          <w:rFonts w:ascii="Verdana" w:hAnsi="Verdana"/>
        </w:rPr>
      </w:pPr>
    </w:p>
    <w:p w14:paraId="6FFB51C9" w14:textId="77777777" w:rsidR="009C6D25" w:rsidRPr="003F187E" w:rsidRDefault="009C6D25" w:rsidP="003F187E">
      <w:pPr>
        <w:pStyle w:val="normaljustificado"/>
        <w:shd w:val="clear" w:color="auto" w:fill="FFFFFF"/>
        <w:spacing w:before="0" w:beforeAutospacing="0" w:after="0" w:afterAutospacing="0" w:line="276" w:lineRule="auto"/>
        <w:jc w:val="both"/>
        <w:rPr>
          <w:rFonts w:ascii="Verdana" w:hAnsi="Verdana"/>
          <w:i/>
          <w:iCs/>
          <w:sz w:val="22"/>
          <w:szCs w:val="22"/>
          <w:lang w:val="es-ES_tradnl"/>
        </w:rPr>
      </w:pPr>
      <w:r w:rsidRPr="003F187E">
        <w:rPr>
          <w:rFonts w:ascii="Verdana" w:hAnsi="Verdana"/>
          <w:sz w:val="22"/>
          <w:szCs w:val="22"/>
        </w:rPr>
        <w:t xml:space="preserve">Sobre este particular, sin embargo, cabe señalar que no toda actuación u omisión del defensor técnico es fuente de responsabilidad o constituye un incumplimiento de sus deberes profesionales. Ciertamente, en algunos casos, el silencio procesal puede entenderse como parte de la estrategia legítima del abogado defensor, en desarrollo de su autonomía profesional y en procura de la </w:t>
      </w:r>
      <w:r w:rsidRPr="003F187E">
        <w:rPr>
          <w:rFonts w:ascii="Verdana" w:hAnsi="Verdana"/>
          <w:sz w:val="22"/>
          <w:szCs w:val="22"/>
        </w:rPr>
        <w:lastRenderedPageBreak/>
        <w:t xml:space="preserve">defensa de los intereses de su cliente; todo ello, se resalta, </w:t>
      </w:r>
      <w:r w:rsidRPr="003F187E">
        <w:rPr>
          <w:rFonts w:ascii="Verdana" w:hAnsi="Verdana"/>
          <w:i/>
          <w:iCs/>
          <w:sz w:val="22"/>
          <w:szCs w:val="22"/>
        </w:rPr>
        <w:t>“</w:t>
      </w:r>
      <w:r w:rsidRPr="003F187E">
        <w:rPr>
          <w:rFonts w:ascii="Verdana" w:hAnsi="Verdana"/>
          <w:i/>
          <w:iCs/>
          <w:sz w:val="22"/>
          <w:szCs w:val="22"/>
          <w:lang w:val="es-ES_tradnl"/>
        </w:rPr>
        <w:t>cuando las circunstancias así lo aconsejen, siempre dentro de los prudentes límites de la razón y con miras a la defensa de los intereses del procesado.”</w:t>
      </w:r>
      <w:r w:rsidRPr="003F187E">
        <w:rPr>
          <w:rStyle w:val="Refdenotaalpie"/>
          <w:rFonts w:ascii="Verdana" w:hAnsi="Verdana"/>
          <w:i/>
          <w:iCs/>
          <w:sz w:val="22"/>
          <w:szCs w:val="22"/>
          <w:lang w:val="es-ES_tradnl"/>
        </w:rPr>
        <w:footnoteReference w:id="7"/>
      </w:r>
    </w:p>
    <w:p w14:paraId="177D6F14" w14:textId="77777777" w:rsidR="009C6D25" w:rsidRPr="003F187E" w:rsidRDefault="009C6D25" w:rsidP="003F187E">
      <w:pPr>
        <w:pStyle w:val="normaljustificado"/>
        <w:shd w:val="clear" w:color="auto" w:fill="FFFFFF"/>
        <w:spacing w:before="0" w:beforeAutospacing="0" w:after="0" w:afterAutospacing="0" w:line="276" w:lineRule="auto"/>
        <w:jc w:val="both"/>
        <w:rPr>
          <w:rFonts w:ascii="Verdana" w:hAnsi="Verdana"/>
          <w:i/>
          <w:iCs/>
          <w:sz w:val="22"/>
          <w:szCs w:val="22"/>
          <w:lang w:val="es-ES_tradnl"/>
        </w:rPr>
      </w:pPr>
    </w:p>
    <w:p w14:paraId="421B0AD6" w14:textId="77777777" w:rsidR="009C6D25" w:rsidRPr="003F187E" w:rsidRDefault="009C6D25" w:rsidP="003F187E">
      <w:pPr>
        <w:pStyle w:val="normaljustificado"/>
        <w:shd w:val="clear" w:color="auto" w:fill="FFFFFF"/>
        <w:spacing w:before="0" w:beforeAutospacing="0" w:after="0" w:afterAutospacing="0" w:line="276" w:lineRule="auto"/>
        <w:jc w:val="both"/>
        <w:rPr>
          <w:rFonts w:ascii="Verdana" w:hAnsi="Verdana"/>
          <w:sz w:val="22"/>
          <w:szCs w:val="22"/>
          <w:u w:val="single"/>
        </w:rPr>
      </w:pPr>
      <w:r w:rsidRPr="003F187E">
        <w:rPr>
          <w:rFonts w:ascii="Verdana" w:hAnsi="Verdana"/>
          <w:sz w:val="22"/>
          <w:szCs w:val="22"/>
          <w:lang w:val="es-ES_tradnl"/>
        </w:rPr>
        <w:t>34.</w:t>
      </w:r>
      <w:r w:rsidRPr="003F187E">
        <w:rPr>
          <w:rFonts w:ascii="Verdana" w:hAnsi="Verdana"/>
          <w:sz w:val="22"/>
          <w:szCs w:val="22"/>
          <w:lang w:val="es-ES_tradnl"/>
        </w:rPr>
        <w:tab/>
      </w:r>
      <w:r w:rsidRPr="003F187E">
        <w:rPr>
          <w:rFonts w:ascii="Verdana" w:hAnsi="Verdana"/>
          <w:sz w:val="22"/>
          <w:szCs w:val="22"/>
        </w:rPr>
        <w:t xml:space="preserve">En línea con lo anterior, la Corte Constitucional ha contemplado la posibilidad de ejercer la acción de tutela contra autoridades judiciales cuando sus actuaciones perjudiquen intereses de una persona por actuaciones u omisiones de su defensor técnico. </w:t>
      </w:r>
    </w:p>
    <w:p w14:paraId="227B92E7" w14:textId="77777777" w:rsidR="009C6D25" w:rsidRPr="003F187E" w:rsidRDefault="009C6D25" w:rsidP="003F187E">
      <w:pPr>
        <w:shd w:val="clear" w:color="auto" w:fill="FFFFFF"/>
        <w:spacing w:line="276" w:lineRule="auto"/>
        <w:jc w:val="both"/>
        <w:rPr>
          <w:rFonts w:ascii="Verdana" w:hAnsi="Verdana"/>
        </w:rPr>
      </w:pPr>
    </w:p>
    <w:p w14:paraId="79BF759E"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 xml:space="preserve">34.1 </w:t>
      </w:r>
      <w:r w:rsidRPr="003F187E">
        <w:rPr>
          <w:rFonts w:ascii="Verdana" w:hAnsi="Verdana"/>
        </w:rPr>
        <w:tab/>
        <w:t xml:space="preserve">Por ejemplo, mediante Sentencia </w:t>
      </w:r>
      <w:r w:rsidRPr="003F187E">
        <w:rPr>
          <w:rFonts w:ascii="Verdana" w:hAnsi="Verdana"/>
          <w:b/>
          <w:bCs/>
        </w:rPr>
        <w:t>T-654 de 1998</w:t>
      </w:r>
      <w:r w:rsidRPr="003F187E">
        <w:rPr>
          <w:rStyle w:val="Refdenotaalpie"/>
          <w:rFonts w:ascii="Verdana" w:hAnsi="Verdana"/>
        </w:rPr>
        <w:footnoteReference w:id="8"/>
      </w:r>
      <w:r w:rsidRPr="003F187E">
        <w:rPr>
          <w:rFonts w:ascii="Verdana" w:hAnsi="Verdana"/>
        </w:rPr>
        <w:t xml:space="preserve">, la Sala Tercera de Revisión de la Corte revocó una sentencia condenatoria dictada por el Tribunal Superior de Cundinamarca en el marco de un proceso penal adelantado por homicidio. En sustento de lo anterior, la Sala de Revisión señaló, entre otros, que </w:t>
      </w:r>
      <w:r w:rsidRPr="003F187E">
        <w:rPr>
          <w:rFonts w:ascii="Verdana" w:hAnsi="Verdana"/>
          <w:i/>
          <w:iCs/>
        </w:rPr>
        <w:t>“</w:t>
      </w:r>
      <w:r w:rsidRPr="003F187E">
        <w:rPr>
          <w:rFonts w:ascii="Verdana" w:hAnsi="Verdana"/>
          <w:i/>
          <w:iCs/>
          <w:spacing w:val="-3"/>
          <w:shd w:val="clear" w:color="auto" w:fill="FFFFFF"/>
        </w:rPr>
        <w:t xml:space="preserve">desde su iniciación, el juicio criminal seguido contra el </w:t>
      </w:r>
      <w:proofErr w:type="gramStart"/>
      <w:r w:rsidRPr="003F187E">
        <w:rPr>
          <w:rFonts w:ascii="Verdana" w:hAnsi="Verdana"/>
          <w:i/>
          <w:iCs/>
          <w:spacing w:val="-3"/>
          <w:shd w:val="clear" w:color="auto" w:fill="FFFFFF"/>
        </w:rPr>
        <w:t>actor,</w:t>
      </w:r>
      <w:proofErr w:type="gramEnd"/>
      <w:r w:rsidRPr="003F187E">
        <w:rPr>
          <w:rFonts w:ascii="Verdana" w:hAnsi="Verdana"/>
          <w:i/>
          <w:iCs/>
          <w:spacing w:val="-3"/>
          <w:shd w:val="clear" w:color="auto" w:fill="FFFFFF"/>
        </w:rPr>
        <w:t xml:space="preserve"> dio lugar a la vulneración de su derecho fundamental a la defensa material y técnica. Ello tuvo como resultado que se profiriera una decisión fundada en elementos de juicio insuficientes que no habían sido controvertidos por el imputado, la que quedó en firme dada la negligencia del apoderado de oficio y la falta de información que, sobre el proceso en curso, se suministró al implicado.”</w:t>
      </w:r>
    </w:p>
    <w:p w14:paraId="41101619" w14:textId="77777777" w:rsidR="009C6D25" w:rsidRPr="003F187E" w:rsidRDefault="009C6D25" w:rsidP="003F187E">
      <w:pPr>
        <w:shd w:val="clear" w:color="auto" w:fill="FFFFFF"/>
        <w:spacing w:line="276" w:lineRule="auto"/>
        <w:jc w:val="both"/>
        <w:rPr>
          <w:rFonts w:ascii="Verdana" w:hAnsi="Verdana"/>
        </w:rPr>
      </w:pPr>
    </w:p>
    <w:p w14:paraId="212CA5E9"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 xml:space="preserve">34.2 </w:t>
      </w:r>
      <w:r w:rsidRPr="003F187E">
        <w:rPr>
          <w:rFonts w:ascii="Verdana" w:hAnsi="Verdana"/>
        </w:rPr>
        <w:tab/>
        <w:t xml:space="preserve">En cambio, luego de constatar que </w:t>
      </w:r>
      <w:r w:rsidRPr="003F187E">
        <w:rPr>
          <w:rFonts w:ascii="Verdana" w:hAnsi="Verdana"/>
          <w:i/>
          <w:iCs/>
          <w:shd w:val="clear" w:color="auto" w:fill="FFFFFF"/>
        </w:rPr>
        <w:t xml:space="preserve">“durante todo el proceso el actor contó con la asistencia de profesionales del derecho tanto contractuales como de oficio, y si bien no estuvo presente ello no es un error atribuible al juez de la causa en tanto nunca fue enterado sobre el cambio de residencia del demandante y éste tampoco cumplió su deber de estar al tanto de lo que ocurría en un proceso que a partir de la indagatoria sabía que cursaba en su contra”, </w:t>
      </w:r>
      <w:r w:rsidRPr="003F187E">
        <w:rPr>
          <w:rFonts w:ascii="Verdana" w:hAnsi="Verdana"/>
          <w:shd w:val="clear" w:color="auto" w:fill="FFFFFF"/>
        </w:rPr>
        <w:t>en Sentencia</w:t>
      </w:r>
      <w:r w:rsidRPr="003F187E">
        <w:rPr>
          <w:rFonts w:ascii="Verdana" w:hAnsi="Verdana"/>
          <w:i/>
          <w:iCs/>
          <w:shd w:val="clear" w:color="auto" w:fill="FFFFFF"/>
        </w:rPr>
        <w:t xml:space="preserve"> </w:t>
      </w:r>
      <w:r w:rsidRPr="003F187E">
        <w:rPr>
          <w:rFonts w:ascii="Verdana" w:hAnsi="Verdana"/>
          <w:b/>
          <w:bCs/>
          <w:shd w:val="clear" w:color="auto" w:fill="FFFFFF"/>
        </w:rPr>
        <w:t>T-831 de 2008</w:t>
      </w:r>
      <w:r w:rsidRPr="003F187E">
        <w:rPr>
          <w:rStyle w:val="Refdenotaalpie"/>
          <w:rFonts w:ascii="Verdana" w:hAnsi="Verdana"/>
          <w:shd w:val="clear" w:color="auto" w:fill="FFFFFF"/>
        </w:rPr>
        <w:footnoteReference w:id="9"/>
      </w:r>
      <w:r w:rsidRPr="003F187E">
        <w:rPr>
          <w:rFonts w:ascii="Verdana" w:hAnsi="Verdana"/>
          <w:shd w:val="clear" w:color="auto" w:fill="FFFFFF"/>
        </w:rPr>
        <w:t xml:space="preserve"> la Sala Quinta de Revisión de la Corte</w:t>
      </w:r>
      <w:r w:rsidRPr="003F187E">
        <w:rPr>
          <w:rFonts w:ascii="Verdana" w:hAnsi="Verdana"/>
          <w:i/>
          <w:iCs/>
          <w:shd w:val="clear" w:color="auto" w:fill="FFFFFF"/>
        </w:rPr>
        <w:t xml:space="preserve"> </w:t>
      </w:r>
      <w:r w:rsidRPr="003F187E">
        <w:rPr>
          <w:rFonts w:ascii="Verdana" w:hAnsi="Verdana"/>
          <w:shd w:val="clear" w:color="auto" w:fill="FFFFFF"/>
        </w:rPr>
        <w:t xml:space="preserve">negó el amparo de tutela solicitado con fundamento en la falta de defensa técnica. Con todo, en dicha sentencia se señaló que </w:t>
      </w:r>
      <w:r w:rsidRPr="003F187E">
        <w:rPr>
          <w:rFonts w:ascii="Verdana" w:hAnsi="Verdana"/>
          <w:i/>
          <w:iCs/>
          <w:shd w:val="clear" w:color="auto" w:fill="FFFFFF"/>
        </w:rPr>
        <w:t xml:space="preserve">“para determinar la procedencia de la acción de tutela contra una providencia judicial en virtud de una eventual violación al derecho a una defensa técnica no es suficiente demostrar que existieron fallas en la defensa del procesado para que proceda el amparo constitucional pues en ese caso ha de comprobarse, según la jurisprudencia de esta Corporación que la pretendida falla i) no pueda imputarse directa o indirectamente al defendido, pues si éste renuncia al ejercicio personal de su defensa, al no comparecer conociendo la existencia de un proceso en su contra y delegarla en su totalidad en el apoderado de confianza o en el defensor de oficio, deslegitima su interés de protección, debiendo en esos casos asumir directamente las consecuencias del proceso; </w:t>
      </w:r>
      <w:proofErr w:type="spellStart"/>
      <w:r w:rsidRPr="003F187E">
        <w:rPr>
          <w:rFonts w:ascii="Verdana" w:hAnsi="Verdana"/>
          <w:i/>
          <w:iCs/>
          <w:shd w:val="clear" w:color="auto" w:fill="FFFFFF"/>
        </w:rPr>
        <w:t>ii</w:t>
      </w:r>
      <w:proofErr w:type="spellEnd"/>
      <w:r w:rsidRPr="003F187E">
        <w:rPr>
          <w:rFonts w:ascii="Verdana" w:hAnsi="Verdana"/>
          <w:i/>
          <w:iCs/>
          <w:shd w:val="clear" w:color="auto" w:fill="FFFFFF"/>
        </w:rPr>
        <w:t xml:space="preserve">) haya afectado otros derechos del sindicado en el contexto de lo que constituye el debido proceso penal; </w:t>
      </w:r>
      <w:proofErr w:type="spellStart"/>
      <w:r w:rsidRPr="003F187E">
        <w:rPr>
          <w:rFonts w:ascii="Verdana" w:hAnsi="Verdana"/>
          <w:i/>
          <w:iCs/>
          <w:shd w:val="clear" w:color="auto" w:fill="FFFFFF"/>
        </w:rPr>
        <w:t>iii</w:t>
      </w:r>
      <w:proofErr w:type="spellEnd"/>
      <w:r w:rsidRPr="003F187E">
        <w:rPr>
          <w:rFonts w:ascii="Verdana" w:hAnsi="Verdana"/>
          <w:i/>
          <w:iCs/>
          <w:shd w:val="clear" w:color="auto" w:fill="FFFFFF"/>
        </w:rPr>
        <w:t xml:space="preserve">) no tuvo o pudo haber tenido como fundamento la estrategia de defensa del abogado; </w:t>
      </w:r>
      <w:proofErr w:type="spellStart"/>
      <w:r w:rsidRPr="003F187E">
        <w:rPr>
          <w:rFonts w:ascii="Verdana" w:hAnsi="Verdana"/>
          <w:i/>
          <w:iCs/>
          <w:shd w:val="clear" w:color="auto" w:fill="FFFFFF"/>
        </w:rPr>
        <w:t>iv</w:t>
      </w:r>
      <w:proofErr w:type="spellEnd"/>
      <w:r w:rsidRPr="003F187E">
        <w:rPr>
          <w:rFonts w:ascii="Verdana" w:hAnsi="Verdana"/>
          <w:i/>
          <w:iCs/>
          <w:shd w:val="clear" w:color="auto" w:fill="FFFFFF"/>
        </w:rPr>
        <w:t>) y tuvo o pudo haber tenido un efecto en la providencia cuya constitucionalidad se cuestiona.</w:t>
      </w:r>
      <w:bookmarkStart w:id="0" w:name="_ftnref39"/>
      <w:r w:rsidRPr="003F187E">
        <w:rPr>
          <w:rFonts w:ascii="Verdana" w:hAnsi="Verdana"/>
        </w:rPr>
        <w:fldChar w:fldCharType="begin"/>
      </w:r>
      <w:r w:rsidRPr="003F187E">
        <w:rPr>
          <w:rFonts w:ascii="Verdana" w:hAnsi="Verdana"/>
        </w:rPr>
        <w:instrText xml:space="preserve"> HYPERLINK "https://www.corteconstitucional.gov.co/relatoria/2008/T-831-08.htm" \l "_ftn39" </w:instrText>
      </w:r>
      <w:r w:rsidRPr="003F187E">
        <w:rPr>
          <w:rFonts w:ascii="Verdana" w:hAnsi="Verdana"/>
        </w:rPr>
        <w:fldChar w:fldCharType="separate"/>
      </w:r>
      <w:r w:rsidRPr="003F187E">
        <w:rPr>
          <w:rStyle w:val="Hipervnculo"/>
          <w:rFonts w:ascii="Verdana" w:hAnsi="Verdana"/>
          <w:i/>
          <w:iCs/>
          <w:shd w:val="clear" w:color="auto" w:fill="FFFFFF"/>
        </w:rPr>
        <w:t>[39</w:t>
      </w:r>
      <w:r w:rsidRPr="003F187E">
        <w:rPr>
          <w:rStyle w:val="Refdenotaalpie"/>
          <w:rFonts w:ascii="Verdana" w:hAnsi="Verdana"/>
          <w:i/>
          <w:iCs/>
          <w:shd w:val="clear" w:color="auto" w:fill="FFFFFF"/>
        </w:rPr>
        <w:footnoteReference w:id="10"/>
      </w:r>
      <w:r w:rsidRPr="003F187E">
        <w:rPr>
          <w:rStyle w:val="Hipervnculo"/>
          <w:rFonts w:ascii="Verdana" w:hAnsi="Verdana"/>
          <w:i/>
          <w:iCs/>
          <w:shd w:val="clear" w:color="auto" w:fill="FFFFFF"/>
        </w:rPr>
        <w:t>]</w:t>
      </w:r>
      <w:r w:rsidRPr="003F187E">
        <w:rPr>
          <w:rFonts w:ascii="Verdana" w:hAnsi="Verdana"/>
        </w:rPr>
        <w:fldChar w:fldCharType="end"/>
      </w:r>
      <w:bookmarkEnd w:id="0"/>
      <w:r w:rsidRPr="003F187E">
        <w:rPr>
          <w:rFonts w:ascii="Verdana" w:hAnsi="Verdana"/>
          <w:i/>
          <w:iCs/>
        </w:rPr>
        <w:t>”</w:t>
      </w:r>
    </w:p>
    <w:p w14:paraId="48E5938A" w14:textId="77777777" w:rsidR="009C6D25" w:rsidRPr="003F187E" w:rsidRDefault="009C6D25" w:rsidP="003F187E">
      <w:pPr>
        <w:shd w:val="clear" w:color="auto" w:fill="FFFFFF"/>
        <w:spacing w:line="276" w:lineRule="auto"/>
        <w:jc w:val="both"/>
        <w:rPr>
          <w:rFonts w:ascii="Verdana" w:hAnsi="Verdana"/>
        </w:rPr>
      </w:pPr>
    </w:p>
    <w:p w14:paraId="2A5A024E" w14:textId="77777777" w:rsidR="009C6D25" w:rsidRPr="003F187E" w:rsidRDefault="009C6D25" w:rsidP="003F187E">
      <w:pPr>
        <w:shd w:val="clear" w:color="auto" w:fill="FFFFFF"/>
        <w:spacing w:line="276" w:lineRule="auto"/>
        <w:jc w:val="both"/>
        <w:rPr>
          <w:rFonts w:ascii="Verdana" w:hAnsi="Verdana"/>
          <w:lang w:val="es-CO" w:eastAsia="es-CO"/>
        </w:rPr>
      </w:pPr>
      <w:r w:rsidRPr="003F187E">
        <w:rPr>
          <w:rFonts w:ascii="Verdana" w:hAnsi="Verdana"/>
        </w:rPr>
        <w:t xml:space="preserve">34.3 </w:t>
      </w:r>
      <w:r w:rsidRPr="003F187E">
        <w:rPr>
          <w:rFonts w:ascii="Verdana" w:hAnsi="Verdana"/>
        </w:rPr>
        <w:tab/>
        <w:t xml:space="preserve">Luego, en Sentencia </w:t>
      </w:r>
      <w:r w:rsidRPr="003F187E">
        <w:rPr>
          <w:rFonts w:ascii="Verdana" w:hAnsi="Verdana"/>
          <w:b/>
          <w:bCs/>
        </w:rPr>
        <w:t>T-131 de 2012</w:t>
      </w:r>
      <w:r w:rsidRPr="003F187E">
        <w:rPr>
          <w:rStyle w:val="Refdenotaalpie"/>
          <w:rFonts w:ascii="Verdana" w:hAnsi="Verdana"/>
        </w:rPr>
        <w:footnoteReference w:id="11"/>
      </w:r>
      <w:r w:rsidRPr="003F187E">
        <w:rPr>
          <w:rFonts w:ascii="Verdana" w:hAnsi="Verdana"/>
        </w:rPr>
        <w:t xml:space="preserve"> que negó una acción de tutela ejercida por una persona que fue condenada por un delito contra la </w:t>
      </w:r>
      <w:r w:rsidRPr="003F187E">
        <w:rPr>
          <w:rFonts w:ascii="Verdana" w:hAnsi="Verdana"/>
        </w:rPr>
        <w:lastRenderedPageBreak/>
        <w:t xml:space="preserve">Administración Pública, la Sala Novena de Revisión de la Corte recordó que </w:t>
      </w:r>
      <w:r w:rsidRPr="003F187E">
        <w:rPr>
          <w:rFonts w:ascii="Verdana" w:hAnsi="Verdana"/>
          <w:i/>
          <w:iCs/>
        </w:rPr>
        <w:t>“</w:t>
      </w:r>
      <w:r w:rsidRPr="003F187E">
        <w:rPr>
          <w:rFonts w:ascii="Verdana" w:hAnsi="Verdana"/>
          <w:i/>
          <w:iCs/>
          <w:lang w:val="es-CO" w:eastAsia="es-CO"/>
        </w:rPr>
        <w:t>dado que el derecho a la defensa técnica puede ejercerse de formas muy diversas</w:t>
      </w:r>
      <w:bookmarkStart w:id="2" w:name="_ftnref37"/>
      <w:r w:rsidRPr="003F187E">
        <w:rPr>
          <w:rFonts w:ascii="Verdana" w:hAnsi="Verdana"/>
          <w:i/>
          <w:iCs/>
          <w:lang w:val="es-CO" w:eastAsia="es-CO"/>
        </w:rPr>
        <w:fldChar w:fldCharType="begin"/>
      </w:r>
      <w:r w:rsidRPr="003F187E">
        <w:rPr>
          <w:rFonts w:ascii="Verdana" w:hAnsi="Verdana"/>
          <w:i/>
          <w:iCs/>
          <w:lang w:val="es-CO" w:eastAsia="es-CO"/>
        </w:rPr>
        <w:instrText xml:space="preserve"> HYPERLINK "https://www.corteconstitucional.gov.co/relatoria/2012/t-131-12.htm" \l "_ftn37" </w:instrText>
      </w:r>
      <w:r w:rsidRPr="003F187E">
        <w:rPr>
          <w:rFonts w:ascii="Verdana" w:hAnsi="Verdana"/>
          <w:i/>
          <w:iCs/>
          <w:lang w:val="es-CO" w:eastAsia="es-CO"/>
        </w:rPr>
        <w:fldChar w:fldCharType="separate"/>
      </w:r>
      <w:r w:rsidRPr="003F187E">
        <w:rPr>
          <w:rStyle w:val="Hipervnculo"/>
          <w:rFonts w:ascii="Verdana" w:hAnsi="Verdana"/>
          <w:i/>
          <w:iCs/>
          <w:lang w:val="es-CO" w:eastAsia="es-CO"/>
        </w:rPr>
        <w:t>[37</w:t>
      </w:r>
      <w:r w:rsidRPr="003F187E">
        <w:rPr>
          <w:rStyle w:val="Refdenotaalpie"/>
          <w:rFonts w:ascii="Verdana" w:hAnsi="Verdana"/>
          <w:i/>
          <w:iCs/>
          <w:u w:val="single"/>
          <w:lang w:val="es-CO" w:eastAsia="es-CO"/>
        </w:rPr>
        <w:footnoteReference w:id="12"/>
      </w:r>
      <w:r w:rsidRPr="003F187E">
        <w:rPr>
          <w:rStyle w:val="Hipervnculo"/>
          <w:rFonts w:ascii="Verdana" w:hAnsi="Verdana"/>
          <w:i/>
          <w:iCs/>
          <w:lang w:val="es-CO" w:eastAsia="es-CO"/>
        </w:rPr>
        <w:t>]</w:t>
      </w:r>
      <w:r w:rsidRPr="003F187E">
        <w:rPr>
          <w:rFonts w:ascii="Verdana" w:hAnsi="Verdana"/>
          <w:i/>
          <w:iCs/>
          <w:lang w:val="es-CO" w:eastAsia="es-CO"/>
        </w:rPr>
        <w:fldChar w:fldCharType="end"/>
      </w:r>
      <w:bookmarkEnd w:id="2"/>
      <w:r w:rsidRPr="003F187E">
        <w:rPr>
          <w:rFonts w:ascii="Verdana" w:hAnsi="Verdana"/>
          <w:i/>
          <w:iCs/>
          <w:lang w:val="es-CO" w:eastAsia="es-CO"/>
        </w:rPr>
        <w:t>, la Corte ha adoptado estrictos criterios para la aceptación de la procedencia de la acción, como consecuencia de la actuación desplegada por el defensor de oficio…</w:t>
      </w:r>
      <w:r w:rsidRPr="003F187E">
        <w:rPr>
          <w:rFonts w:ascii="Verdana" w:hAnsi="Verdana"/>
          <w:i/>
          <w:iCs/>
          <w:spacing w:val="-3"/>
          <w:lang w:val="es-CO" w:eastAsia="es-CO"/>
        </w:rPr>
        <w:t>“(1) que efectivamente existieron fallas en la defensa que, desde ninguna perspectiva posible, pueden ser amparadas bajo el amplio margen de libertad con que cuenta el apoderado para escoger la estrategia de defensa adecuada; (2) que las mencionadas deficiencias no le son imputables al procesado; (3) que la falta de defensa material o técnica tuvo o puede tener un efecto definitivo y evidente sobre la decisión judicial de manera tal que pueda afirmarse que esta incurre en uno de los cuatro defectos anotados - sustantivo, fáctico, orgánico o procedimental-; (4) que, como consecuencia de todo lo anterior, aparezca una vulneración palmaria de los derechos fundamentales del procesado. En otras palabras, si las deficiencias en la defensa del implicado no tienen un efecto definitivo y notorio sobre la decisión judicial o si no apareja una afectación ulterior de sus restantes derechos fundamentales, no podría proceder la acción de tutela contra las decisiones judiciales del caso”</w:t>
      </w:r>
      <w:bookmarkStart w:id="4" w:name="_ftnref38"/>
      <w:r w:rsidRPr="003F187E">
        <w:rPr>
          <w:rFonts w:ascii="Verdana" w:hAnsi="Verdana"/>
          <w:i/>
          <w:iCs/>
          <w:spacing w:val="-3"/>
          <w:lang w:val="es-CO" w:eastAsia="es-CO"/>
        </w:rPr>
        <w:fldChar w:fldCharType="begin"/>
      </w:r>
      <w:r w:rsidRPr="003F187E">
        <w:rPr>
          <w:rFonts w:ascii="Verdana" w:hAnsi="Verdana"/>
          <w:i/>
          <w:iCs/>
          <w:spacing w:val="-3"/>
          <w:lang w:val="es-CO" w:eastAsia="es-CO"/>
        </w:rPr>
        <w:instrText xml:space="preserve"> HYPERLINK "https://www.corteconstitucional.gov.co/relatoria/2012/t-131-12.htm" \l "_ftn38" </w:instrText>
      </w:r>
      <w:r w:rsidRPr="003F187E">
        <w:rPr>
          <w:rFonts w:ascii="Verdana" w:hAnsi="Verdana"/>
          <w:i/>
          <w:iCs/>
          <w:spacing w:val="-3"/>
          <w:lang w:val="es-CO" w:eastAsia="es-CO"/>
        </w:rPr>
        <w:fldChar w:fldCharType="separate"/>
      </w:r>
      <w:r w:rsidRPr="003F187E">
        <w:rPr>
          <w:rStyle w:val="Hipervnculo"/>
          <w:rFonts w:ascii="Verdana" w:hAnsi="Verdana"/>
          <w:b/>
          <w:bCs/>
          <w:i/>
          <w:iCs/>
          <w:spacing w:val="-3"/>
          <w:lang w:val="es-CO" w:eastAsia="es-CO"/>
        </w:rPr>
        <w:t>[38</w:t>
      </w:r>
      <w:r w:rsidRPr="003F187E">
        <w:rPr>
          <w:rStyle w:val="Refdenotaalpie"/>
          <w:rFonts w:ascii="Verdana" w:hAnsi="Verdana"/>
          <w:b/>
          <w:bCs/>
          <w:i/>
          <w:iCs/>
          <w:spacing w:val="-3"/>
          <w:u w:val="single"/>
          <w:lang w:val="es-CO" w:eastAsia="es-CO"/>
        </w:rPr>
        <w:footnoteReference w:id="13"/>
      </w:r>
      <w:r w:rsidRPr="003F187E">
        <w:rPr>
          <w:rStyle w:val="Hipervnculo"/>
          <w:rFonts w:ascii="Verdana" w:hAnsi="Verdana"/>
          <w:b/>
          <w:bCs/>
          <w:i/>
          <w:iCs/>
          <w:spacing w:val="-3"/>
          <w:lang w:val="es-CO" w:eastAsia="es-CO"/>
        </w:rPr>
        <w:t>]</w:t>
      </w:r>
      <w:r w:rsidRPr="003F187E">
        <w:rPr>
          <w:rFonts w:ascii="Verdana" w:hAnsi="Verdana"/>
          <w:i/>
          <w:iCs/>
          <w:spacing w:val="-3"/>
          <w:lang w:val="es-CO" w:eastAsia="es-CO"/>
        </w:rPr>
        <w:fldChar w:fldCharType="end"/>
      </w:r>
      <w:bookmarkEnd w:id="4"/>
      <w:r w:rsidRPr="003F187E">
        <w:rPr>
          <w:rFonts w:ascii="Verdana" w:hAnsi="Verdana"/>
          <w:i/>
          <w:iCs/>
          <w:spacing w:val="-3"/>
          <w:lang w:val="es-CO" w:eastAsia="es-CO"/>
        </w:rPr>
        <w:t>.”</w:t>
      </w:r>
    </w:p>
    <w:p w14:paraId="5A1736C3" w14:textId="77777777" w:rsidR="009C6D25" w:rsidRPr="003F187E" w:rsidRDefault="009C6D25" w:rsidP="003F187E">
      <w:pPr>
        <w:shd w:val="clear" w:color="auto" w:fill="FFFFFF"/>
        <w:spacing w:line="276" w:lineRule="auto"/>
        <w:ind w:right="49"/>
        <w:jc w:val="both"/>
        <w:rPr>
          <w:rFonts w:ascii="Verdana" w:hAnsi="Verdana"/>
          <w:lang w:eastAsia="es-ES"/>
        </w:rPr>
      </w:pPr>
    </w:p>
    <w:p w14:paraId="479CBB2B" w14:textId="77777777" w:rsidR="009C6D25" w:rsidRPr="003F187E" w:rsidRDefault="009C6D25" w:rsidP="003F187E">
      <w:pPr>
        <w:shd w:val="clear" w:color="auto" w:fill="FFFFFF"/>
        <w:spacing w:line="276" w:lineRule="auto"/>
        <w:ind w:right="49"/>
        <w:jc w:val="both"/>
        <w:rPr>
          <w:rFonts w:ascii="Verdana" w:hAnsi="Verdana"/>
          <w:lang w:val="es-CO" w:eastAsia="es-CO"/>
        </w:rPr>
      </w:pPr>
      <w:r w:rsidRPr="003F187E">
        <w:rPr>
          <w:rFonts w:ascii="Verdana" w:hAnsi="Verdana"/>
        </w:rPr>
        <w:t xml:space="preserve">34.4 </w:t>
      </w:r>
      <w:r w:rsidRPr="003F187E">
        <w:rPr>
          <w:rFonts w:ascii="Verdana" w:hAnsi="Verdana"/>
        </w:rPr>
        <w:tab/>
        <w:t xml:space="preserve">En Sentencia </w:t>
      </w:r>
      <w:r w:rsidRPr="003F187E">
        <w:rPr>
          <w:rFonts w:ascii="Verdana" w:hAnsi="Verdana"/>
          <w:b/>
          <w:bCs/>
        </w:rPr>
        <w:t>T-385 de 2018</w:t>
      </w:r>
      <w:r w:rsidRPr="003F187E">
        <w:rPr>
          <w:rStyle w:val="Refdenotaalpie"/>
          <w:rFonts w:ascii="Verdana" w:hAnsi="Verdana"/>
        </w:rPr>
        <w:footnoteReference w:id="14"/>
      </w:r>
      <w:r w:rsidRPr="003F187E">
        <w:rPr>
          <w:rFonts w:ascii="Verdana" w:hAnsi="Verdana"/>
        </w:rPr>
        <w:t>, en un caso que guarda alguna similitud con que ahora ocupa a la Corte, la Sala Primera de Revisión resolvió</w:t>
      </w:r>
      <w:r w:rsidRPr="003F187E">
        <w:rPr>
          <w:rFonts w:ascii="Verdana" w:hAnsi="Verdana"/>
          <w:shd w:val="clear" w:color="auto" w:fill="FFFFFF"/>
        </w:rPr>
        <w:t> dejar sin efecto</w:t>
      </w:r>
      <w:r w:rsidRPr="003F187E">
        <w:rPr>
          <w:rFonts w:ascii="Verdana" w:hAnsi="Verdana"/>
          <w:b/>
          <w:bCs/>
          <w:shd w:val="clear" w:color="auto" w:fill="FFFFFF"/>
        </w:rPr>
        <w:t> </w:t>
      </w:r>
      <w:r w:rsidRPr="003F187E">
        <w:rPr>
          <w:rFonts w:ascii="Verdana" w:hAnsi="Verdana"/>
          <w:shd w:val="clear" w:color="auto" w:fill="FFFFFF"/>
        </w:rPr>
        <w:t xml:space="preserve">todo lo actuado en un proceso penal adelantado por cuenta de un homicidio, a partir de la resolución por la cual se llamó a indagatoria al sindicado; </w:t>
      </w:r>
      <w:r w:rsidRPr="003F187E">
        <w:rPr>
          <w:rFonts w:ascii="Verdana" w:hAnsi="Verdana"/>
          <w:u w:val="single"/>
          <w:shd w:val="clear" w:color="auto" w:fill="FFFFFF"/>
        </w:rPr>
        <w:t>proceso en donde se había dictado sentencia condenatoria de primera instancia sin que esta fuera apelada</w:t>
      </w:r>
      <w:r w:rsidRPr="003F187E">
        <w:rPr>
          <w:rFonts w:ascii="Verdana" w:hAnsi="Verdana"/>
          <w:shd w:val="clear" w:color="auto" w:fill="FFFFFF"/>
        </w:rPr>
        <w:t>. En sustento de su decisión, la mencionada Sala señaló, entre otras cosas, que</w:t>
      </w:r>
      <w:r w:rsidRPr="003F187E">
        <w:rPr>
          <w:rFonts w:ascii="Verdana" w:hAnsi="Verdana"/>
          <w:lang w:val="es-CO" w:eastAsia="es-CO"/>
        </w:rPr>
        <w:t xml:space="preserve"> </w:t>
      </w:r>
    </w:p>
    <w:p w14:paraId="62C542C6" w14:textId="77777777" w:rsidR="009C6D25" w:rsidRPr="003F187E" w:rsidRDefault="009C6D25" w:rsidP="003F187E">
      <w:pPr>
        <w:shd w:val="clear" w:color="auto" w:fill="FFFFFF"/>
        <w:spacing w:line="276" w:lineRule="auto"/>
        <w:ind w:right="49"/>
        <w:jc w:val="both"/>
        <w:rPr>
          <w:rFonts w:ascii="Verdana" w:hAnsi="Verdana"/>
          <w:lang w:val="es-CO" w:eastAsia="es-CO"/>
        </w:rPr>
      </w:pPr>
    </w:p>
    <w:p w14:paraId="449FA42F"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“las actuaciones de (los) defensores (del actor) no cumplieron las condiciones materiales para ser consideradas </w:t>
      </w:r>
      <w:r w:rsidRPr="003F187E">
        <w:rPr>
          <w:rFonts w:ascii="Verdana" w:hAnsi="Verdana"/>
          <w:i/>
          <w:iCs/>
          <w:lang w:val="es-CO" w:eastAsia="es-CO"/>
        </w:rPr>
        <w:t>reales</w:t>
      </w:r>
      <w:r w:rsidRPr="003F187E">
        <w:rPr>
          <w:rFonts w:ascii="Verdana" w:hAnsi="Verdana"/>
          <w:lang w:val="es-CO" w:eastAsia="es-CO"/>
        </w:rPr>
        <w:t>,</w:t>
      </w:r>
      <w:r w:rsidRPr="003F187E">
        <w:rPr>
          <w:rFonts w:ascii="Verdana" w:hAnsi="Verdana"/>
          <w:b/>
          <w:bCs/>
          <w:i/>
          <w:iCs/>
          <w:lang w:val="es-CO" w:eastAsia="es-CO"/>
        </w:rPr>
        <w:t> </w:t>
      </w:r>
      <w:r w:rsidRPr="003F187E">
        <w:rPr>
          <w:rFonts w:ascii="Verdana" w:hAnsi="Verdana"/>
          <w:lang w:val="es-CO" w:eastAsia="es-CO"/>
        </w:rPr>
        <w:t>(…). El primer defensor de oficio se limitó a ser notificado de las decisiones que se produjeron en el transcurso del proceso; sin embargo, no adelantó ninguna gestión litigiosa, </w:t>
      </w:r>
      <w:r w:rsidRPr="003F187E">
        <w:rPr>
          <w:rFonts w:ascii="Verdana" w:hAnsi="Verdana"/>
          <w:i/>
          <w:iCs/>
          <w:lang w:val="es-CO" w:eastAsia="es-CO"/>
        </w:rPr>
        <w:t>real</w:t>
      </w:r>
      <w:r w:rsidRPr="003F187E">
        <w:rPr>
          <w:rFonts w:ascii="Verdana" w:hAnsi="Verdana"/>
          <w:lang w:val="es-CO" w:eastAsia="es-CO"/>
        </w:rPr>
        <w:t>, en procura de los intereses de(l) (actor). Esta ausencia de defensa técnica generó, en el transcurso del proceso, una situación de indefensión del tutelante.</w:t>
      </w:r>
    </w:p>
    <w:p w14:paraId="3B6A7B63"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 </w:t>
      </w:r>
    </w:p>
    <w:p w14:paraId="7F0C5669"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136.  El segundo defensor de oficio, por su parte, no interpuso el recurso de apelación en contra de la sentencia condenatoria de primera instancia, pese a que el juzgado no atendió su argumento de falta de credibilidad de uno de los testimonios. Esta situación redundó en una ausencia de asistencia efectiva, con el agravante de que, para el momento en que se dictó la sentencia (junio 23 de 2015), el tutelante ya había sido privado de la libertad y puesto a disposición del juzgado accionado</w:t>
      </w:r>
    </w:p>
    <w:p w14:paraId="175BE4FF"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 </w:t>
      </w:r>
    </w:p>
    <w:p w14:paraId="3B6CBF03"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 xml:space="preserve">137.      No puede la Sala, de otro lado, asumir que se está ante una simple discrepancia del accionante con la estrategia que adelantaron sus defensores de oficio. Si bien el silencio puede ser considerado como una estrategia de litigio, al punto de que el ordenamiento </w:t>
      </w:r>
      <w:r w:rsidRPr="003F187E">
        <w:rPr>
          <w:rFonts w:ascii="Verdana" w:hAnsi="Verdana"/>
          <w:lang w:val="es-CO" w:eastAsia="es-CO"/>
        </w:rPr>
        <w:lastRenderedPageBreak/>
        <w:t>jurídico garantiza el derecho a guardar silencio, también lo es que el abandono total del proceso no puede considerarse expresión de aquel. En el primer caso se trata de una estrategia que se materializa con la omisión del profesional del derecho, mientras que en la segunda se trata de la indefensión generada, precisamente, por la inactividad de este.</w:t>
      </w:r>
    </w:p>
    <w:p w14:paraId="55E8AEA7"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 </w:t>
      </w:r>
    </w:p>
    <w:p w14:paraId="5A813154" w14:textId="77777777" w:rsidR="009C6D25" w:rsidRPr="003F187E" w:rsidRDefault="009C6D25" w:rsidP="003F187E">
      <w:pPr>
        <w:shd w:val="clear" w:color="auto" w:fill="FFFFFF"/>
        <w:spacing w:line="276" w:lineRule="auto"/>
        <w:ind w:left="567" w:right="616"/>
        <w:jc w:val="both"/>
        <w:rPr>
          <w:rFonts w:ascii="Verdana" w:hAnsi="Verdana"/>
          <w:lang w:val="es-CO" w:eastAsia="es-CO"/>
        </w:rPr>
      </w:pPr>
      <w:r w:rsidRPr="003F187E">
        <w:rPr>
          <w:rFonts w:ascii="Verdana" w:hAnsi="Verdana"/>
          <w:lang w:val="es-CO" w:eastAsia="es-CO"/>
        </w:rPr>
        <w:t>138.      Desde luego, estas omisiones no pueden atribuirse, en su integridad, al juzgado accionado. Sin embargo, en lo que respecta a sus competencias, se puede constatar su omisión de </w:t>
      </w:r>
      <w:r w:rsidRPr="003F187E">
        <w:rPr>
          <w:rFonts w:ascii="Verdana" w:hAnsi="Verdana"/>
          <w:i/>
          <w:iCs/>
          <w:lang w:val="es-CO" w:eastAsia="es-CO"/>
        </w:rPr>
        <w:t>“realizar un control constitucional y legal con el fin de verificar el respeto de los derechos fundamentales del procesado, examinando en detalle el ejercicio del derecho a la defensa”</w:t>
      </w:r>
      <w:bookmarkStart w:id="6" w:name="_ftnref144"/>
      <w:r w:rsidRPr="003F187E">
        <w:rPr>
          <w:rFonts w:ascii="Verdana" w:hAnsi="Verdana"/>
          <w:lang w:val="es-CO" w:eastAsia="es-CO"/>
        </w:rPr>
        <w:fldChar w:fldCharType="begin"/>
      </w:r>
      <w:r w:rsidRPr="003F187E">
        <w:rPr>
          <w:rFonts w:ascii="Verdana" w:hAnsi="Verdana"/>
          <w:lang w:val="es-CO" w:eastAsia="es-CO"/>
        </w:rPr>
        <w:instrText xml:space="preserve"> HYPERLINK "https://www.corteconstitucional.gov.co/relatoria/2018/t-385-18.htm" \l "_ftn144" </w:instrText>
      </w:r>
      <w:r w:rsidRPr="003F187E">
        <w:rPr>
          <w:rFonts w:ascii="Verdana" w:hAnsi="Verdana"/>
          <w:lang w:val="es-CO" w:eastAsia="es-CO"/>
        </w:rPr>
        <w:fldChar w:fldCharType="separate"/>
      </w:r>
      <w:r w:rsidRPr="003F187E">
        <w:rPr>
          <w:rStyle w:val="Hipervnculo"/>
          <w:rFonts w:ascii="Verdana" w:hAnsi="Verdana"/>
          <w:lang w:val="es-CO" w:eastAsia="es-CO"/>
        </w:rPr>
        <w:t>[144</w:t>
      </w:r>
      <w:r w:rsidRPr="003F187E">
        <w:rPr>
          <w:rStyle w:val="Refdenotaalpie"/>
          <w:rFonts w:ascii="Verdana" w:hAnsi="Verdana"/>
          <w:u w:val="single"/>
          <w:lang w:val="es-CO" w:eastAsia="es-CO"/>
        </w:rPr>
        <w:footnoteReference w:id="15"/>
      </w:r>
      <w:r w:rsidRPr="003F187E">
        <w:rPr>
          <w:rStyle w:val="Hipervnculo"/>
          <w:rFonts w:ascii="Verdana" w:hAnsi="Verdana"/>
          <w:lang w:val="es-CO" w:eastAsia="es-CO"/>
        </w:rPr>
        <w:t>]</w:t>
      </w:r>
      <w:r w:rsidRPr="003F187E">
        <w:rPr>
          <w:rFonts w:ascii="Verdana" w:hAnsi="Verdana"/>
          <w:lang w:val="es-CO" w:eastAsia="es-CO"/>
        </w:rPr>
        <w:fldChar w:fldCharType="end"/>
      </w:r>
      <w:bookmarkEnd w:id="6"/>
      <w:r w:rsidRPr="003F187E">
        <w:rPr>
          <w:rFonts w:ascii="Verdana" w:hAnsi="Verdana"/>
          <w:lang w:val="es-CO" w:eastAsia="es-CO"/>
        </w:rPr>
        <w:t>. De haber actuado en consecuencia habría debido constatar la situación de indefensión en que los defensores del accionante lo pusieron a lo largo del proceso, máxime al haber sido declarado persona ausente en la etapa de instrucción. (…)”</w:t>
      </w:r>
    </w:p>
    <w:p w14:paraId="294E5C9A" w14:textId="77777777" w:rsidR="009C6D25" w:rsidRPr="003F187E" w:rsidRDefault="009C6D25" w:rsidP="003F187E">
      <w:pPr>
        <w:shd w:val="clear" w:color="auto" w:fill="FFFFFF"/>
        <w:spacing w:line="276" w:lineRule="auto"/>
        <w:ind w:left="720"/>
        <w:jc w:val="both"/>
        <w:rPr>
          <w:rFonts w:ascii="Verdana" w:hAnsi="Verdana"/>
          <w:lang w:val="es-CO" w:eastAsia="es-CO"/>
        </w:rPr>
      </w:pPr>
      <w:r w:rsidRPr="003F187E">
        <w:rPr>
          <w:rFonts w:ascii="Verdana" w:hAnsi="Verdana"/>
          <w:lang w:val="es-CO" w:eastAsia="es-CO"/>
        </w:rPr>
        <w:t> </w:t>
      </w:r>
    </w:p>
    <w:p w14:paraId="3E4347CD" w14:textId="77777777" w:rsidR="009C6D25" w:rsidRPr="003F187E" w:rsidRDefault="009C6D25" w:rsidP="003F187E">
      <w:pPr>
        <w:shd w:val="clear" w:color="auto" w:fill="FFFFFF"/>
        <w:spacing w:line="276" w:lineRule="auto"/>
        <w:ind w:right="49"/>
        <w:jc w:val="both"/>
        <w:rPr>
          <w:rFonts w:ascii="Verdana" w:hAnsi="Verdana"/>
          <w:lang w:eastAsia="es-ES"/>
        </w:rPr>
      </w:pPr>
      <w:r w:rsidRPr="003F187E">
        <w:rPr>
          <w:rFonts w:ascii="Verdana" w:hAnsi="Verdana"/>
        </w:rPr>
        <w:t xml:space="preserve">34.5 </w:t>
      </w:r>
      <w:r w:rsidRPr="003F187E">
        <w:rPr>
          <w:rFonts w:ascii="Verdana" w:hAnsi="Verdana"/>
        </w:rPr>
        <w:tab/>
        <w:t xml:space="preserve">Poco después, mediante Sentencia </w:t>
      </w:r>
      <w:r w:rsidRPr="003F187E">
        <w:rPr>
          <w:rFonts w:ascii="Verdana" w:hAnsi="Verdana"/>
          <w:b/>
          <w:bCs/>
        </w:rPr>
        <w:t>T-463 de 2018</w:t>
      </w:r>
      <w:r w:rsidRPr="003F187E">
        <w:rPr>
          <w:rStyle w:val="Refdenotaalpie"/>
          <w:rFonts w:ascii="Verdana" w:hAnsi="Verdana"/>
        </w:rPr>
        <w:footnoteReference w:id="16"/>
      </w:r>
      <w:r w:rsidRPr="003F187E">
        <w:rPr>
          <w:rFonts w:ascii="Verdana" w:hAnsi="Verdana"/>
        </w:rPr>
        <w:t xml:space="preserve"> la Sala Quinta de Revisión de esta Corporación dejó sin efectos una sentencia condenatoria de una persona que no fue notificada de la existencia de un proceso en su contra. Así, en esta ocasión, tras señalar que </w:t>
      </w:r>
    </w:p>
    <w:p w14:paraId="362664BB" w14:textId="77777777" w:rsidR="009C6D25" w:rsidRPr="003F187E" w:rsidRDefault="009C6D25" w:rsidP="003F187E">
      <w:pPr>
        <w:shd w:val="clear" w:color="auto" w:fill="FFFFFF"/>
        <w:spacing w:line="276" w:lineRule="auto"/>
        <w:ind w:right="49"/>
        <w:jc w:val="both"/>
        <w:rPr>
          <w:rFonts w:ascii="Verdana" w:hAnsi="Verdana"/>
        </w:rPr>
      </w:pPr>
    </w:p>
    <w:p w14:paraId="79F32AEE" w14:textId="77777777" w:rsidR="009C6D25" w:rsidRPr="003F187E" w:rsidRDefault="009C6D25" w:rsidP="003F187E">
      <w:pPr>
        <w:shd w:val="clear" w:color="auto" w:fill="FFFFFF"/>
        <w:spacing w:line="276" w:lineRule="auto"/>
        <w:ind w:left="567" w:right="618"/>
        <w:jc w:val="both"/>
        <w:rPr>
          <w:rFonts w:ascii="Verdana" w:hAnsi="Verdana"/>
          <w:lang w:val="es-CO" w:eastAsia="es-CO"/>
        </w:rPr>
      </w:pPr>
      <w:r w:rsidRPr="003F187E">
        <w:rPr>
          <w:rFonts w:ascii="Verdana" w:hAnsi="Verdana"/>
        </w:rPr>
        <w:t>“se configura un defecto procedimental por desconocimiento del derecho a la defensa técnica ante errores protuberantes y que tengan las siguientes características:</w:t>
      </w:r>
    </w:p>
    <w:p w14:paraId="00C2D3DE" w14:textId="77777777" w:rsidR="009C6D25" w:rsidRPr="003F187E" w:rsidRDefault="009C6D25" w:rsidP="003F187E">
      <w:pPr>
        <w:shd w:val="clear" w:color="auto" w:fill="FFFFFF"/>
        <w:spacing w:line="276" w:lineRule="auto"/>
        <w:ind w:left="567" w:right="618"/>
        <w:jc w:val="both"/>
        <w:rPr>
          <w:rFonts w:ascii="Verdana" w:hAnsi="Verdana"/>
          <w:lang w:eastAsia="es-ES"/>
        </w:rPr>
      </w:pPr>
      <w:r w:rsidRPr="003F187E">
        <w:rPr>
          <w:rFonts w:ascii="Verdana" w:hAnsi="Verdana"/>
        </w:rPr>
        <w:t> </w:t>
      </w:r>
    </w:p>
    <w:p w14:paraId="4D46923C" w14:textId="77777777" w:rsidR="009C6D25" w:rsidRPr="003F187E" w:rsidRDefault="009C6D25" w:rsidP="003F187E">
      <w:pPr>
        <w:pStyle w:val="Prrafodelista"/>
        <w:numPr>
          <w:ilvl w:val="0"/>
          <w:numId w:val="1"/>
        </w:numPr>
        <w:shd w:val="clear" w:color="auto" w:fill="FFFFFF"/>
        <w:spacing w:line="276" w:lineRule="auto"/>
        <w:ind w:right="618"/>
        <w:jc w:val="both"/>
        <w:rPr>
          <w:rFonts w:ascii="Verdana" w:hAnsi="Verdana"/>
          <w:sz w:val="22"/>
          <w:szCs w:val="22"/>
        </w:rPr>
      </w:pPr>
      <w:r w:rsidRPr="003F187E">
        <w:rPr>
          <w:rFonts w:ascii="Verdana" w:hAnsi="Verdana"/>
          <w:sz w:val="22"/>
          <w:szCs w:val="22"/>
        </w:rPr>
        <w:t>Debe ser evidente que el defensor cumplió un papel meramente formal, carente de cualquier vinculación a una estrategia procesal o jurídica. </w:t>
      </w:r>
    </w:p>
    <w:p w14:paraId="2764F68B" w14:textId="77777777" w:rsidR="009C6D25" w:rsidRPr="003F187E" w:rsidRDefault="009C6D25" w:rsidP="003F187E">
      <w:pPr>
        <w:pStyle w:val="Prrafodelista"/>
        <w:shd w:val="clear" w:color="auto" w:fill="FFFFFF"/>
        <w:spacing w:line="276" w:lineRule="auto"/>
        <w:ind w:left="1392" w:right="618"/>
        <w:jc w:val="both"/>
        <w:rPr>
          <w:rFonts w:ascii="Verdana" w:hAnsi="Verdana"/>
          <w:sz w:val="22"/>
          <w:szCs w:val="22"/>
        </w:rPr>
      </w:pPr>
    </w:p>
    <w:p w14:paraId="67530344" w14:textId="77777777" w:rsidR="009C6D25" w:rsidRPr="003F187E" w:rsidRDefault="009C6D25" w:rsidP="003F187E">
      <w:pPr>
        <w:pStyle w:val="Prrafodelista"/>
        <w:numPr>
          <w:ilvl w:val="0"/>
          <w:numId w:val="1"/>
        </w:numPr>
        <w:shd w:val="clear" w:color="auto" w:fill="FFFFFF"/>
        <w:spacing w:line="276" w:lineRule="auto"/>
        <w:ind w:right="618"/>
        <w:jc w:val="both"/>
        <w:rPr>
          <w:rFonts w:ascii="Verdana" w:hAnsi="Verdana"/>
          <w:sz w:val="22"/>
          <w:szCs w:val="22"/>
        </w:rPr>
      </w:pPr>
      <w:r w:rsidRPr="003F187E">
        <w:rPr>
          <w:rFonts w:ascii="Verdana" w:hAnsi="Verdana"/>
          <w:sz w:val="22"/>
          <w:szCs w:val="22"/>
        </w:rPr>
        <w:t>Las mencionadas deficiencias no deben ser imputables al procesado o haber resultado de su propósito de evadir la justicia</w:t>
      </w:r>
      <w:bookmarkStart w:id="8" w:name="_ftnref15"/>
      <w:r w:rsidRPr="003F187E">
        <w:rPr>
          <w:rFonts w:ascii="Verdana" w:hAnsi="Verdana"/>
          <w:sz w:val="22"/>
          <w:szCs w:val="22"/>
        </w:rPr>
        <w:fldChar w:fldCharType="begin"/>
      </w:r>
      <w:r w:rsidRPr="003F187E">
        <w:rPr>
          <w:rFonts w:ascii="Verdana" w:hAnsi="Verdana"/>
          <w:sz w:val="22"/>
          <w:szCs w:val="22"/>
        </w:rPr>
        <w:instrText xml:space="preserve"> HYPERLINK "https://www.corteconstitucional.gov.co/relatoria/2018/t-463-18.htm" \l "_ftn15" </w:instrText>
      </w:r>
      <w:r w:rsidRPr="003F187E">
        <w:rPr>
          <w:rFonts w:ascii="Verdana" w:hAnsi="Verdana"/>
          <w:sz w:val="22"/>
          <w:szCs w:val="22"/>
        </w:rPr>
        <w:fldChar w:fldCharType="separate"/>
      </w:r>
      <w:r w:rsidRPr="003F187E">
        <w:rPr>
          <w:rStyle w:val="Hipervnculo"/>
          <w:rFonts w:ascii="Verdana" w:hAnsi="Verdana"/>
          <w:sz w:val="22"/>
          <w:szCs w:val="22"/>
        </w:rPr>
        <w:t>[15</w:t>
      </w:r>
      <w:r w:rsidRPr="003F187E">
        <w:rPr>
          <w:rStyle w:val="Refdenotaalpie"/>
          <w:rFonts w:ascii="Verdana" w:hAnsi="Verdana"/>
          <w:sz w:val="22"/>
          <w:szCs w:val="22"/>
          <w:u w:val="single"/>
        </w:rPr>
        <w:footnoteReference w:id="17"/>
      </w:r>
      <w:r w:rsidRPr="003F187E">
        <w:rPr>
          <w:rStyle w:val="Hipervnculo"/>
          <w:rFonts w:ascii="Verdana" w:hAnsi="Verdana"/>
          <w:sz w:val="22"/>
          <w:szCs w:val="22"/>
        </w:rPr>
        <w:t>]</w:t>
      </w:r>
      <w:r w:rsidRPr="003F187E">
        <w:rPr>
          <w:rFonts w:ascii="Verdana" w:hAnsi="Verdana"/>
          <w:sz w:val="22"/>
          <w:szCs w:val="22"/>
        </w:rPr>
        <w:fldChar w:fldCharType="end"/>
      </w:r>
      <w:bookmarkEnd w:id="8"/>
      <w:r w:rsidRPr="003F187E">
        <w:rPr>
          <w:rFonts w:ascii="Verdana" w:hAnsi="Verdana"/>
          <w:sz w:val="22"/>
          <w:szCs w:val="22"/>
        </w:rPr>
        <w:t>.</w:t>
      </w:r>
    </w:p>
    <w:p w14:paraId="76B1408F" w14:textId="77777777" w:rsidR="009C6D25" w:rsidRPr="003F187E" w:rsidRDefault="009C6D25" w:rsidP="003F187E">
      <w:pPr>
        <w:shd w:val="clear" w:color="auto" w:fill="FFFFFF"/>
        <w:spacing w:line="276" w:lineRule="auto"/>
        <w:ind w:right="618"/>
        <w:jc w:val="both"/>
        <w:rPr>
          <w:rFonts w:ascii="Verdana" w:hAnsi="Verdana"/>
        </w:rPr>
      </w:pPr>
    </w:p>
    <w:p w14:paraId="0906ADA1" w14:textId="77777777" w:rsidR="009C6D25" w:rsidRPr="003F187E" w:rsidRDefault="009C6D25" w:rsidP="003F187E">
      <w:pPr>
        <w:shd w:val="clear" w:color="auto" w:fill="FFFFFF"/>
        <w:spacing w:line="276" w:lineRule="auto"/>
        <w:ind w:left="1392" w:right="618" w:hanging="825"/>
        <w:jc w:val="both"/>
        <w:rPr>
          <w:rFonts w:ascii="Verdana" w:hAnsi="Verdana"/>
        </w:rPr>
      </w:pPr>
      <w:r w:rsidRPr="003F187E">
        <w:rPr>
          <w:rFonts w:ascii="Verdana" w:hAnsi="Verdana"/>
        </w:rPr>
        <w:t>(</w:t>
      </w:r>
      <w:proofErr w:type="spellStart"/>
      <w:r w:rsidRPr="003F187E">
        <w:rPr>
          <w:rFonts w:ascii="Verdana" w:hAnsi="Verdana"/>
        </w:rPr>
        <w:t>iii</w:t>
      </w:r>
      <w:proofErr w:type="spellEnd"/>
      <w:r w:rsidRPr="003F187E">
        <w:rPr>
          <w:rFonts w:ascii="Verdana" w:hAnsi="Verdana"/>
        </w:rPr>
        <w:t>)     </w:t>
      </w:r>
      <w:r w:rsidRPr="003F187E">
        <w:rPr>
          <w:rFonts w:ascii="Verdana" w:hAnsi="Verdana"/>
        </w:rPr>
        <w:tab/>
        <w:t>La falta de defensa material o técnica debe ser trascendente y determinante en los resultados de la decisión judicial</w:t>
      </w:r>
      <w:bookmarkStart w:id="10" w:name="_ftnref16"/>
      <w:r w:rsidRPr="003F187E">
        <w:rPr>
          <w:rFonts w:ascii="Verdana" w:hAnsi="Verdana"/>
        </w:rPr>
        <w:fldChar w:fldCharType="begin"/>
      </w:r>
      <w:r w:rsidRPr="003F187E">
        <w:rPr>
          <w:rFonts w:ascii="Verdana" w:hAnsi="Verdana"/>
        </w:rPr>
        <w:instrText xml:space="preserve"> HYPERLINK "https://www.corteconstitucional.gov.co/relatoria/2018/t-463-18.htm" \l "_ftn16" </w:instrText>
      </w:r>
      <w:r w:rsidRPr="003F187E">
        <w:rPr>
          <w:rFonts w:ascii="Verdana" w:hAnsi="Verdana"/>
        </w:rPr>
        <w:fldChar w:fldCharType="separate"/>
      </w:r>
      <w:r w:rsidRPr="003F187E">
        <w:rPr>
          <w:rStyle w:val="Hipervnculo"/>
          <w:rFonts w:ascii="Verdana" w:hAnsi="Verdana"/>
        </w:rPr>
        <w:t>[16</w:t>
      </w:r>
      <w:r w:rsidRPr="003F187E">
        <w:rPr>
          <w:rStyle w:val="Refdenotaalpie"/>
          <w:rFonts w:ascii="Verdana" w:hAnsi="Verdana"/>
          <w:u w:val="single"/>
        </w:rPr>
        <w:footnoteReference w:id="18"/>
      </w:r>
      <w:r w:rsidRPr="003F187E">
        <w:rPr>
          <w:rStyle w:val="Hipervnculo"/>
          <w:rFonts w:ascii="Verdana" w:hAnsi="Verdana"/>
        </w:rPr>
        <w:t>]</w:t>
      </w:r>
      <w:r w:rsidRPr="003F187E">
        <w:rPr>
          <w:rFonts w:ascii="Verdana" w:hAnsi="Verdana"/>
        </w:rPr>
        <w:fldChar w:fldCharType="end"/>
      </w:r>
      <w:bookmarkEnd w:id="10"/>
      <w:r w:rsidRPr="003F187E">
        <w:rPr>
          <w:rFonts w:ascii="Verdana" w:hAnsi="Verdana"/>
        </w:rPr>
        <w:t>.”</w:t>
      </w:r>
    </w:p>
    <w:p w14:paraId="603FC0BE" w14:textId="77777777" w:rsidR="009C6D25" w:rsidRPr="003F187E" w:rsidRDefault="009C6D25" w:rsidP="003F187E">
      <w:pPr>
        <w:shd w:val="clear" w:color="auto" w:fill="FFFFFF"/>
        <w:spacing w:line="276" w:lineRule="auto"/>
        <w:ind w:right="49"/>
        <w:jc w:val="both"/>
        <w:rPr>
          <w:rFonts w:ascii="Verdana" w:hAnsi="Verdana"/>
        </w:rPr>
      </w:pPr>
    </w:p>
    <w:p w14:paraId="08D22F44" w14:textId="77777777" w:rsidR="009C6D25" w:rsidRPr="003F187E" w:rsidRDefault="009C6D25" w:rsidP="003F187E">
      <w:pPr>
        <w:shd w:val="clear" w:color="auto" w:fill="FFFFFF"/>
        <w:spacing w:line="276" w:lineRule="auto"/>
        <w:ind w:right="49"/>
        <w:jc w:val="both"/>
        <w:rPr>
          <w:rFonts w:ascii="Verdana" w:hAnsi="Verdana"/>
        </w:rPr>
      </w:pPr>
      <w:r w:rsidRPr="003F187E">
        <w:rPr>
          <w:rFonts w:ascii="Verdana" w:hAnsi="Verdana"/>
        </w:rPr>
        <w:t>la citada Sala de Revisión concluyó que</w:t>
      </w:r>
      <w:r w:rsidRPr="003F187E">
        <w:rPr>
          <w:rFonts w:ascii="Verdana" w:hAnsi="Verdana"/>
          <w:shd w:val="clear" w:color="auto" w:fill="FFFFFF"/>
        </w:rPr>
        <w:t xml:space="preserve"> </w:t>
      </w:r>
      <w:r w:rsidRPr="003F187E">
        <w:rPr>
          <w:rFonts w:ascii="Verdana" w:hAnsi="Verdana"/>
          <w:i/>
          <w:iCs/>
          <w:shd w:val="clear" w:color="auto" w:fill="FFFFFF"/>
        </w:rPr>
        <w:t xml:space="preserve">“los defensores públicos [del sindicado] cometieron errores protuberantes, al no haber efectuado una revisión exhaustiva de (i) los documentos allegados el 23 de mayo de 2017, necesarios para proceder a declarar ausente a su defendido y no interponer los recursos </w:t>
      </w:r>
      <w:r w:rsidRPr="003F187E">
        <w:rPr>
          <w:rFonts w:ascii="Verdana" w:hAnsi="Verdana"/>
          <w:i/>
          <w:iCs/>
          <w:shd w:val="clear" w:color="auto" w:fill="FFFFFF"/>
        </w:rPr>
        <w:lastRenderedPageBreak/>
        <w:t>del caso; y (</w:t>
      </w:r>
      <w:proofErr w:type="spellStart"/>
      <w:r w:rsidRPr="003F187E">
        <w:rPr>
          <w:rFonts w:ascii="Verdana" w:hAnsi="Verdana"/>
          <w:i/>
          <w:iCs/>
          <w:shd w:val="clear" w:color="auto" w:fill="FFFFFF"/>
        </w:rPr>
        <w:t>ii</w:t>
      </w:r>
      <w:proofErr w:type="spellEnd"/>
      <w:r w:rsidRPr="003F187E">
        <w:rPr>
          <w:rFonts w:ascii="Verdana" w:hAnsi="Verdana"/>
          <w:i/>
          <w:iCs/>
          <w:shd w:val="clear" w:color="auto" w:fill="FFFFFF"/>
        </w:rPr>
        <w:t xml:space="preserve">) de las pruebas allegadas con el escrito de acusación, pues caso contrario, habría podido solicitar se notifique a su defendido en la última dirección que éste aportó y ello pudo haber cambiado el curso de la actuación; ya que en su ausencia era difícil solicitar pruebas que permitieran controvertir el hecho punible a aquel endilgado”. </w:t>
      </w:r>
    </w:p>
    <w:p w14:paraId="026BE8F2" w14:textId="77777777" w:rsidR="009C6D25" w:rsidRPr="003F187E" w:rsidRDefault="009C6D25" w:rsidP="003F187E">
      <w:pPr>
        <w:shd w:val="clear" w:color="auto" w:fill="FFFFFF"/>
        <w:spacing w:line="276" w:lineRule="auto"/>
        <w:ind w:right="49"/>
        <w:jc w:val="both"/>
        <w:rPr>
          <w:rFonts w:ascii="Verdana" w:hAnsi="Verdana"/>
        </w:rPr>
      </w:pPr>
    </w:p>
    <w:p w14:paraId="00D449F5" w14:textId="77777777" w:rsidR="009C6D25" w:rsidRPr="003F187E" w:rsidRDefault="009C6D25" w:rsidP="003F187E">
      <w:pPr>
        <w:shd w:val="clear" w:color="auto" w:fill="FFFFFF"/>
        <w:spacing w:line="276" w:lineRule="auto"/>
        <w:jc w:val="both"/>
        <w:rPr>
          <w:rFonts w:ascii="Verdana" w:hAnsi="Verdana"/>
        </w:rPr>
      </w:pPr>
      <w:r w:rsidRPr="003F187E">
        <w:rPr>
          <w:rFonts w:ascii="Verdana" w:hAnsi="Verdana"/>
        </w:rPr>
        <w:t>34.6</w:t>
      </w:r>
      <w:r w:rsidRPr="003F187E">
        <w:rPr>
          <w:rFonts w:ascii="Verdana" w:hAnsi="Verdana"/>
        </w:rPr>
        <w:tab/>
        <w:t xml:space="preserve">Finalmente, en Sentencia </w:t>
      </w:r>
      <w:r w:rsidRPr="003F187E">
        <w:rPr>
          <w:rFonts w:ascii="Verdana" w:hAnsi="Verdana"/>
          <w:b/>
          <w:bCs/>
        </w:rPr>
        <w:t>SU-108 de 2020</w:t>
      </w:r>
      <w:r w:rsidRPr="003F187E">
        <w:rPr>
          <w:rStyle w:val="Refdenotaalpie"/>
          <w:rFonts w:ascii="Verdana" w:hAnsi="Verdana"/>
        </w:rPr>
        <w:footnoteReference w:id="19"/>
      </w:r>
      <w:r w:rsidRPr="003F187E">
        <w:rPr>
          <w:rFonts w:ascii="Verdana" w:hAnsi="Verdana"/>
        </w:rPr>
        <w:t>, la Sala Plena de la Corte resolvió amparar el derecho a la defensa técnica de una mujer demandada ante la jurisdicción ordinaria laboral puesto que el juzgado laboral del conocimiento desconoció que, desde el momento posterior a la contestación de la demanda, la actora no contó con defensor técnico, sin que ello fuera imputable a su desidia</w:t>
      </w:r>
      <w:r w:rsidRPr="003F187E">
        <w:rPr>
          <w:rStyle w:val="Refdenotaalpie"/>
          <w:rFonts w:ascii="Verdana" w:hAnsi="Verdana"/>
        </w:rPr>
        <w:footnoteReference w:id="20"/>
      </w:r>
      <w:r w:rsidRPr="003F187E">
        <w:rPr>
          <w:rFonts w:ascii="Verdana" w:hAnsi="Verdana"/>
        </w:rPr>
        <w:t>.</w:t>
      </w:r>
    </w:p>
    <w:p w14:paraId="43613A75" w14:textId="77777777" w:rsidR="009C6D25" w:rsidRPr="003F187E" w:rsidRDefault="009C6D25" w:rsidP="003F187E">
      <w:pPr>
        <w:pStyle w:val="Sinespaciado"/>
        <w:spacing w:line="276" w:lineRule="auto"/>
        <w:jc w:val="both"/>
        <w:rPr>
          <w:rFonts w:ascii="Verdana" w:hAnsi="Verdana"/>
        </w:rPr>
      </w:pPr>
    </w:p>
    <w:p w14:paraId="1C911205" w14:textId="77777777" w:rsidR="00112F80" w:rsidRPr="003F187E" w:rsidRDefault="00112F80" w:rsidP="003F187E">
      <w:pPr>
        <w:shd w:val="clear" w:color="auto" w:fill="FFFFFF"/>
        <w:spacing w:line="276" w:lineRule="auto"/>
        <w:ind w:right="-93"/>
        <w:jc w:val="both"/>
        <w:rPr>
          <w:rFonts w:ascii="Verdana" w:hAnsi="Verdana"/>
        </w:rPr>
      </w:pPr>
      <w:r w:rsidRPr="003F187E">
        <w:rPr>
          <w:rFonts w:ascii="Verdana" w:hAnsi="Verdana"/>
        </w:rPr>
        <w:t xml:space="preserve">Ahora bien, recordando la interacción que existe entre la efectiva prestación del servicio y derecho a la defensa técnica y el derecho a la doble conformidad de la primera sentencia condenatoria (35 </w:t>
      </w:r>
      <w:r w:rsidRPr="003F187E">
        <w:rPr>
          <w:rFonts w:ascii="Verdana" w:hAnsi="Verdana"/>
          <w:i/>
          <w:iCs/>
        </w:rPr>
        <w:t>supra</w:t>
      </w:r>
      <w:r w:rsidRPr="003F187E">
        <w:rPr>
          <w:rFonts w:ascii="Verdana" w:hAnsi="Verdana"/>
        </w:rPr>
        <w:t xml:space="preserve">), la Sala destaca que, aplicando las reglas de la Sentencia T-463 de 2018 (34.5 </w:t>
      </w:r>
      <w:r w:rsidRPr="003F187E">
        <w:rPr>
          <w:rFonts w:ascii="Verdana" w:hAnsi="Verdana"/>
          <w:i/>
          <w:iCs/>
        </w:rPr>
        <w:t>supra</w:t>
      </w:r>
      <w:r w:rsidRPr="003F187E">
        <w:rPr>
          <w:rFonts w:ascii="Verdana" w:hAnsi="Verdana"/>
        </w:rPr>
        <w:t>), existiría un desconocimiento a la defensa técnica cuando (i)</w:t>
      </w:r>
      <w:r w:rsidRPr="003F187E">
        <w:rPr>
          <w:rFonts w:ascii="Verdana" w:hAnsi="Verdana"/>
          <w:bdr w:val="none" w:sz="0" w:space="0" w:color="auto" w:frame="1"/>
          <w:shd w:val="clear" w:color="auto" w:fill="FFFFFF"/>
        </w:rPr>
        <w:t xml:space="preserve"> </w:t>
      </w:r>
      <w:r w:rsidRPr="003F187E">
        <w:rPr>
          <w:rFonts w:ascii="Verdana" w:hAnsi="Verdana"/>
        </w:rPr>
        <w:t xml:space="preserve">sea </w:t>
      </w:r>
      <w:r w:rsidRPr="003F187E">
        <w:rPr>
          <w:rFonts w:ascii="Verdana" w:hAnsi="Verdana"/>
          <w:i/>
          <w:iCs/>
        </w:rPr>
        <w:t>“evidente que el defensor cumplió un papel meramente formal, carente de cualquier vinculación a una estrategia procesal o jurídica</w:t>
      </w:r>
      <w:r w:rsidRPr="003F187E">
        <w:rPr>
          <w:rFonts w:ascii="Verdana" w:hAnsi="Verdana"/>
        </w:rPr>
        <w:t>”; (</w:t>
      </w:r>
      <w:proofErr w:type="spellStart"/>
      <w:r w:rsidRPr="003F187E">
        <w:rPr>
          <w:rFonts w:ascii="Verdana" w:hAnsi="Verdana"/>
        </w:rPr>
        <w:t>ii</w:t>
      </w:r>
      <w:proofErr w:type="spellEnd"/>
      <w:r w:rsidRPr="003F187E">
        <w:rPr>
          <w:rFonts w:ascii="Verdana" w:hAnsi="Verdana"/>
        </w:rPr>
        <w:t xml:space="preserve">) </w:t>
      </w:r>
      <w:r w:rsidRPr="003F187E">
        <w:rPr>
          <w:rFonts w:ascii="Verdana" w:hAnsi="Verdana"/>
          <w:i/>
          <w:iCs/>
        </w:rPr>
        <w:t>“(l)as mencionadas deficiencias no [puedan] ser imputables al procesado o haber resultado de su propósito de evadir la justicia”</w:t>
      </w:r>
      <w:r w:rsidRPr="003F187E">
        <w:rPr>
          <w:rFonts w:ascii="Verdana" w:hAnsi="Verdana"/>
        </w:rPr>
        <w:t>; y (</w:t>
      </w:r>
      <w:proofErr w:type="spellStart"/>
      <w:r w:rsidRPr="003F187E">
        <w:rPr>
          <w:rFonts w:ascii="Verdana" w:hAnsi="Verdana"/>
        </w:rPr>
        <w:t>iii</w:t>
      </w:r>
      <w:proofErr w:type="spellEnd"/>
      <w:r w:rsidRPr="003F187E">
        <w:rPr>
          <w:rFonts w:ascii="Verdana" w:hAnsi="Verdana"/>
        </w:rPr>
        <w:t>) </w:t>
      </w:r>
      <w:r w:rsidRPr="003F187E">
        <w:rPr>
          <w:rFonts w:ascii="Verdana" w:hAnsi="Verdana"/>
          <w:i/>
          <w:iCs/>
        </w:rPr>
        <w:t xml:space="preserve">“(l)a falta de defensa material o técnica </w:t>
      </w:r>
      <w:proofErr w:type="spellStart"/>
      <w:r w:rsidRPr="003F187E">
        <w:rPr>
          <w:rFonts w:ascii="Verdana" w:hAnsi="Verdana"/>
          <w:i/>
          <w:iCs/>
        </w:rPr>
        <w:t>deb</w:t>
      </w:r>
      <w:proofErr w:type="spellEnd"/>
      <w:r w:rsidRPr="003F187E">
        <w:rPr>
          <w:rFonts w:ascii="Verdana" w:hAnsi="Verdana"/>
          <w:i/>
          <w:iCs/>
        </w:rPr>
        <w:t>(a) ser trascendente y determinante en los resultados de la decisión judicial”</w:t>
      </w:r>
      <w:r w:rsidRPr="003F187E">
        <w:rPr>
          <w:rFonts w:ascii="Verdana" w:hAnsi="Verdana"/>
        </w:rPr>
        <w:t xml:space="preserve">. </w:t>
      </w:r>
    </w:p>
    <w:p w14:paraId="326A3909" w14:textId="77777777" w:rsidR="00634559" w:rsidRDefault="00634559" w:rsidP="00D671BD">
      <w:pPr>
        <w:pStyle w:val="Sinespaciado"/>
        <w:spacing w:line="276" w:lineRule="auto"/>
        <w:jc w:val="center"/>
        <w:rPr>
          <w:rFonts w:ascii="Verdana" w:hAnsi="Verdana"/>
          <w:b/>
        </w:rPr>
      </w:pPr>
    </w:p>
    <w:p w14:paraId="18A3E0AD" w14:textId="48EFCBCC" w:rsidR="00D671BD" w:rsidRPr="002151D3" w:rsidRDefault="00D671BD" w:rsidP="00D671BD">
      <w:pPr>
        <w:pStyle w:val="Sinespaciado"/>
        <w:spacing w:line="276" w:lineRule="auto"/>
        <w:jc w:val="center"/>
        <w:rPr>
          <w:rFonts w:ascii="Verdana" w:hAnsi="Verdana"/>
          <w:b/>
        </w:rPr>
      </w:pPr>
      <w:r w:rsidRPr="002151D3">
        <w:rPr>
          <w:rFonts w:ascii="Verdana" w:hAnsi="Verdana"/>
          <w:b/>
        </w:rPr>
        <w:t>PRETENSIONES</w:t>
      </w:r>
    </w:p>
    <w:p w14:paraId="61EF1E98" w14:textId="77777777" w:rsidR="00D671BD" w:rsidRPr="002151D3" w:rsidRDefault="00D671BD" w:rsidP="00D671BD">
      <w:pPr>
        <w:pStyle w:val="Sinespaciado"/>
        <w:spacing w:line="276" w:lineRule="auto"/>
        <w:jc w:val="both"/>
        <w:rPr>
          <w:rFonts w:ascii="Verdana" w:hAnsi="Verdana"/>
        </w:rPr>
      </w:pPr>
    </w:p>
    <w:p w14:paraId="2D758D94" w14:textId="444B2804" w:rsidR="00D671BD" w:rsidRPr="0077685C" w:rsidRDefault="00D671BD" w:rsidP="00D671BD">
      <w:pPr>
        <w:pStyle w:val="Sinespaciado"/>
        <w:spacing w:line="276" w:lineRule="auto"/>
        <w:jc w:val="both"/>
        <w:rPr>
          <w:rFonts w:ascii="Verdana" w:hAnsi="Verdana"/>
        </w:rPr>
      </w:pPr>
      <w:r w:rsidRPr="0077685C">
        <w:rPr>
          <w:rFonts w:ascii="Verdana" w:hAnsi="Verdana"/>
        </w:rPr>
        <w:t>Con fundamento en los hechos relacionados, solicito a</w:t>
      </w:r>
      <w:r w:rsidR="005C65B1" w:rsidRPr="0077685C">
        <w:rPr>
          <w:rFonts w:ascii="Verdana" w:hAnsi="Verdana"/>
        </w:rPr>
        <w:t xml:space="preserve"> </w:t>
      </w:r>
      <w:r w:rsidRPr="0077685C">
        <w:rPr>
          <w:rFonts w:ascii="Verdana" w:hAnsi="Verdana"/>
        </w:rPr>
        <w:t>l</w:t>
      </w:r>
      <w:r w:rsidR="005C65B1" w:rsidRPr="0077685C">
        <w:rPr>
          <w:rFonts w:ascii="Verdana" w:hAnsi="Verdana"/>
        </w:rPr>
        <w:t xml:space="preserve">os señores Magistrados </w:t>
      </w:r>
      <w:r w:rsidRPr="0077685C">
        <w:rPr>
          <w:rFonts w:ascii="Verdana" w:hAnsi="Verdana"/>
        </w:rPr>
        <w:t xml:space="preserve">disponer y ordenar: </w:t>
      </w:r>
    </w:p>
    <w:p w14:paraId="11C530DF" w14:textId="77777777" w:rsidR="00D671BD" w:rsidRPr="0077685C" w:rsidRDefault="00D671BD" w:rsidP="00D671BD">
      <w:pPr>
        <w:pStyle w:val="Sinespaciado"/>
        <w:spacing w:line="276" w:lineRule="auto"/>
        <w:jc w:val="both"/>
        <w:rPr>
          <w:rFonts w:ascii="Verdana" w:hAnsi="Verdana"/>
        </w:rPr>
      </w:pPr>
      <w:r w:rsidRPr="0077685C">
        <w:rPr>
          <w:rFonts w:ascii="Verdana" w:hAnsi="Verdana"/>
        </w:rPr>
        <w:t xml:space="preserve"> </w:t>
      </w:r>
    </w:p>
    <w:p w14:paraId="54F0A723" w14:textId="1FE433EF" w:rsidR="00D671BD" w:rsidRPr="0077685C" w:rsidRDefault="00D671BD" w:rsidP="00D671BD">
      <w:pPr>
        <w:pStyle w:val="Sinespaciado"/>
        <w:spacing w:line="276" w:lineRule="auto"/>
        <w:jc w:val="both"/>
        <w:rPr>
          <w:rFonts w:ascii="Verdana" w:hAnsi="Verdana"/>
        </w:rPr>
      </w:pPr>
      <w:r w:rsidRPr="0077685C">
        <w:rPr>
          <w:rFonts w:ascii="Verdana" w:hAnsi="Verdana"/>
          <w:b/>
        </w:rPr>
        <w:t xml:space="preserve">PRIMERO: </w:t>
      </w:r>
      <w:r w:rsidRPr="0077685C">
        <w:rPr>
          <w:rFonts w:ascii="Verdana" w:hAnsi="Verdana"/>
        </w:rPr>
        <w:t xml:space="preserve">Tutelar a mi favor los derechos fundamentales </w:t>
      </w:r>
      <w:r w:rsidR="0077685C" w:rsidRPr="00DC45F8">
        <w:rPr>
          <w:rFonts w:ascii="Verdana" w:hAnsi="Verdana"/>
        </w:rPr>
        <w:t>debido proceso</w:t>
      </w:r>
      <w:r w:rsidR="0077685C">
        <w:rPr>
          <w:rFonts w:ascii="Verdana" w:hAnsi="Verdana"/>
        </w:rPr>
        <w:t xml:space="preserve"> por falta de defensa técnica, doble instancia y mínimo vital</w:t>
      </w:r>
      <w:r w:rsidR="0077685C">
        <w:rPr>
          <w:rFonts w:ascii="Verdana" w:hAnsi="Verdana"/>
        </w:rPr>
        <w:t xml:space="preserve">. </w:t>
      </w:r>
      <w:r w:rsidR="0077685C" w:rsidRPr="0077685C">
        <w:rPr>
          <w:rFonts w:ascii="Verdana" w:hAnsi="Verdana"/>
        </w:rPr>
        <w:t xml:space="preserve"> </w:t>
      </w:r>
    </w:p>
    <w:p w14:paraId="2F48D889" w14:textId="77777777" w:rsidR="00D671BD" w:rsidRPr="0077685C" w:rsidRDefault="00D671BD" w:rsidP="00D671BD">
      <w:pPr>
        <w:pStyle w:val="Sinespaciado"/>
        <w:spacing w:line="276" w:lineRule="auto"/>
        <w:jc w:val="both"/>
        <w:rPr>
          <w:rFonts w:ascii="Verdana" w:hAnsi="Verdana"/>
          <w:b/>
        </w:rPr>
      </w:pPr>
    </w:p>
    <w:p w14:paraId="4535B463" w14:textId="55AA3066" w:rsidR="00A439F2" w:rsidRPr="0077685C" w:rsidRDefault="00D671BD" w:rsidP="00A439F2">
      <w:pPr>
        <w:shd w:val="clear" w:color="auto" w:fill="FFFFFF"/>
        <w:ind w:right="49"/>
        <w:jc w:val="both"/>
        <w:rPr>
          <w:rFonts w:ascii="Verdana" w:hAnsi="Verdana"/>
          <w:lang w:val="es-CO" w:eastAsia="es-CO"/>
        </w:rPr>
      </w:pPr>
      <w:r w:rsidRPr="0077685C">
        <w:rPr>
          <w:rFonts w:ascii="Verdana" w:hAnsi="Verdana"/>
          <w:b/>
        </w:rPr>
        <w:t>SEGUNDO:</w:t>
      </w:r>
      <w:r w:rsidR="00A439F2" w:rsidRPr="0077685C">
        <w:rPr>
          <w:rFonts w:ascii="Verdana" w:hAnsi="Verdana"/>
          <w:lang w:val="es-CO" w:eastAsia="es-CO"/>
        </w:rPr>
        <w:t> </w:t>
      </w:r>
      <w:r w:rsidR="00A439F2" w:rsidRPr="0077685C">
        <w:rPr>
          <w:rFonts w:ascii="Verdana" w:hAnsi="Verdana"/>
          <w:b/>
          <w:bCs/>
          <w:lang w:val="es-CO" w:eastAsia="es-CO"/>
        </w:rPr>
        <w:t>DEJAR SIN EFECTO </w:t>
      </w:r>
      <w:r w:rsidR="00A439F2" w:rsidRPr="0077685C">
        <w:rPr>
          <w:rFonts w:ascii="Verdana" w:hAnsi="Verdana"/>
          <w:lang w:val="es-CO" w:eastAsia="es-CO"/>
        </w:rPr>
        <w:t xml:space="preserve">lo actuado en el proceso </w:t>
      </w:r>
      <w:r w:rsidR="00C30EC1" w:rsidRPr="0077685C">
        <w:rPr>
          <w:rFonts w:ascii="Verdana" w:hAnsi="Verdana"/>
          <w:color w:val="000000"/>
        </w:rPr>
        <w:t xml:space="preserve">No. 110013120001-2017-00096-01 (143 E.D), </w:t>
      </w:r>
      <w:r w:rsidR="00C30EC1" w:rsidRPr="0077685C">
        <w:rPr>
          <w:rFonts w:ascii="Verdana" w:hAnsi="Verdana"/>
          <w:color w:val="000000"/>
        </w:rPr>
        <w:t xml:space="preserve">que curso en el </w:t>
      </w:r>
      <w:r w:rsidR="00C30EC1" w:rsidRPr="0077685C">
        <w:rPr>
          <w:rFonts w:ascii="Verdana" w:hAnsi="Verdana"/>
          <w:color w:val="000000"/>
        </w:rPr>
        <w:t>Juzgado Primero Especializado de Extinción de Dominio</w:t>
      </w:r>
      <w:r w:rsidR="00C30EC1" w:rsidRPr="0077685C">
        <w:rPr>
          <w:rFonts w:ascii="Verdana" w:hAnsi="Verdana"/>
          <w:lang w:val="es-CO" w:eastAsia="es-CO"/>
        </w:rPr>
        <w:t xml:space="preserve"> de Bogotá</w:t>
      </w:r>
      <w:r w:rsidR="00A439F2" w:rsidRPr="0077685C">
        <w:rPr>
          <w:rFonts w:ascii="Verdana" w:hAnsi="Verdana"/>
          <w:lang w:val="es-CO" w:eastAsia="es-CO"/>
        </w:rPr>
        <w:t xml:space="preserve">, a partir de la notificación de la sentencia dictada el </w:t>
      </w:r>
      <w:r w:rsidR="00E4353E" w:rsidRPr="0077685C">
        <w:rPr>
          <w:rFonts w:ascii="Verdana" w:hAnsi="Verdana"/>
          <w:lang w:val="es-CO" w:eastAsia="es-CO"/>
        </w:rPr>
        <w:t>20 de septiembre de 20</w:t>
      </w:r>
      <w:r w:rsidR="0077685C" w:rsidRPr="0077685C">
        <w:rPr>
          <w:rFonts w:ascii="Verdana" w:hAnsi="Verdana"/>
          <w:lang w:val="es-CO" w:eastAsia="es-CO"/>
        </w:rPr>
        <w:t>19</w:t>
      </w:r>
      <w:r w:rsidR="0077685C">
        <w:rPr>
          <w:rFonts w:ascii="Verdana" w:hAnsi="Verdana"/>
          <w:lang w:val="es-CO" w:eastAsia="es-CO"/>
        </w:rPr>
        <w:t>, para así poder hacer ejercicio del recurso de apelación</w:t>
      </w:r>
      <w:r w:rsidR="0077685C" w:rsidRPr="0077685C">
        <w:rPr>
          <w:rFonts w:ascii="Verdana" w:hAnsi="Verdana"/>
          <w:lang w:val="es-CO" w:eastAsia="es-CO"/>
        </w:rPr>
        <w:t xml:space="preserve">. </w:t>
      </w:r>
    </w:p>
    <w:p w14:paraId="4D662C86" w14:textId="77777777" w:rsidR="00D671BD" w:rsidRPr="002151D3" w:rsidRDefault="00D671BD" w:rsidP="00D671BD">
      <w:pPr>
        <w:pStyle w:val="Sinespaciado"/>
        <w:spacing w:line="276" w:lineRule="auto"/>
        <w:jc w:val="center"/>
        <w:rPr>
          <w:rFonts w:ascii="Verdana" w:hAnsi="Verdana"/>
          <w:b/>
        </w:rPr>
      </w:pPr>
      <w:r w:rsidRPr="002151D3">
        <w:rPr>
          <w:rFonts w:ascii="Verdana" w:hAnsi="Verdana"/>
          <w:b/>
        </w:rPr>
        <w:t>PRUEBAS</w:t>
      </w:r>
    </w:p>
    <w:p w14:paraId="63C6E81F" w14:textId="77777777" w:rsidR="00D671BD" w:rsidRPr="002151D3" w:rsidRDefault="00D671BD" w:rsidP="00D671BD">
      <w:pPr>
        <w:pStyle w:val="Sinespaciado"/>
        <w:spacing w:line="276" w:lineRule="auto"/>
        <w:jc w:val="both"/>
        <w:rPr>
          <w:rFonts w:ascii="Verdana" w:hAnsi="Verdana"/>
        </w:rPr>
      </w:pPr>
    </w:p>
    <w:p w14:paraId="27005AA4" w14:textId="77777777" w:rsidR="0077685C" w:rsidRDefault="0077685C" w:rsidP="00D671BD">
      <w:pPr>
        <w:pStyle w:val="Sinespaciado"/>
        <w:spacing w:line="276" w:lineRule="auto"/>
        <w:jc w:val="both"/>
        <w:rPr>
          <w:rFonts w:ascii="Verdana" w:hAnsi="Verdana"/>
        </w:rPr>
      </w:pPr>
      <w:r>
        <w:rPr>
          <w:rFonts w:ascii="Verdana" w:hAnsi="Verdana"/>
        </w:rPr>
        <w:t xml:space="preserve">Aporto como pruebas los siguientes documentos: </w:t>
      </w:r>
    </w:p>
    <w:p w14:paraId="09D928DF" w14:textId="77777777" w:rsidR="0077685C" w:rsidRDefault="0077685C" w:rsidP="00D671BD">
      <w:pPr>
        <w:pStyle w:val="Sinespaciado"/>
        <w:spacing w:line="276" w:lineRule="auto"/>
        <w:jc w:val="both"/>
        <w:rPr>
          <w:rFonts w:ascii="Verdana" w:hAnsi="Verdana"/>
        </w:rPr>
      </w:pPr>
    </w:p>
    <w:p w14:paraId="3BB40A92" w14:textId="77777777" w:rsidR="0077685C" w:rsidRDefault="0077685C" w:rsidP="0077685C">
      <w:pPr>
        <w:pStyle w:val="Sinespaciado"/>
        <w:numPr>
          <w:ilvl w:val="0"/>
          <w:numId w:val="2"/>
        </w:numPr>
        <w:spacing w:line="276" w:lineRule="auto"/>
        <w:jc w:val="both"/>
        <w:rPr>
          <w:rFonts w:ascii="Verdana" w:hAnsi="Verdana"/>
        </w:rPr>
      </w:pPr>
      <w:r>
        <w:rPr>
          <w:rFonts w:ascii="Verdana" w:hAnsi="Verdana"/>
        </w:rPr>
        <w:t>Copia historia clínica.</w:t>
      </w:r>
    </w:p>
    <w:p w14:paraId="6ECD8BE9" w14:textId="5C2F9A9A" w:rsidR="0077685C" w:rsidRDefault="0077685C" w:rsidP="0077685C">
      <w:pPr>
        <w:pStyle w:val="Sinespaciado"/>
        <w:numPr>
          <w:ilvl w:val="0"/>
          <w:numId w:val="2"/>
        </w:numPr>
        <w:spacing w:line="276" w:lineRule="auto"/>
        <w:jc w:val="both"/>
        <w:rPr>
          <w:rFonts w:ascii="Verdana" w:hAnsi="Verdana"/>
        </w:rPr>
      </w:pPr>
      <w:r>
        <w:rPr>
          <w:rFonts w:ascii="Verdana" w:hAnsi="Verdana"/>
        </w:rPr>
        <w:t>Contrato de prestación de servicios.</w:t>
      </w:r>
    </w:p>
    <w:p w14:paraId="4D7C7D2A" w14:textId="77777777" w:rsidR="0077685C" w:rsidRDefault="0077685C" w:rsidP="0077685C">
      <w:pPr>
        <w:pStyle w:val="Sinespaciado"/>
        <w:numPr>
          <w:ilvl w:val="0"/>
          <w:numId w:val="2"/>
        </w:numPr>
        <w:spacing w:line="276" w:lineRule="auto"/>
        <w:jc w:val="both"/>
        <w:rPr>
          <w:rFonts w:ascii="Verdana" w:hAnsi="Verdana"/>
        </w:rPr>
      </w:pPr>
      <w:r>
        <w:rPr>
          <w:rFonts w:ascii="Verdana" w:hAnsi="Verdana"/>
        </w:rPr>
        <w:t xml:space="preserve">Pantallazo de los correos que se escribieron al Juzgado y sus respuestas. </w:t>
      </w:r>
    </w:p>
    <w:p w14:paraId="32576A1C" w14:textId="6DC76DC5" w:rsidR="003F5490" w:rsidRDefault="0077685C" w:rsidP="0077685C">
      <w:pPr>
        <w:pStyle w:val="Sinespaciado"/>
        <w:numPr>
          <w:ilvl w:val="0"/>
          <w:numId w:val="2"/>
        </w:numPr>
        <w:spacing w:line="276" w:lineRule="auto"/>
        <w:jc w:val="both"/>
        <w:rPr>
          <w:rFonts w:ascii="Verdana" w:hAnsi="Verdana"/>
        </w:rPr>
      </w:pPr>
      <w:r>
        <w:rPr>
          <w:rFonts w:ascii="Verdana" w:hAnsi="Verdana"/>
        </w:rPr>
        <w:lastRenderedPageBreak/>
        <w:t xml:space="preserve">Pantallazo del correo </w:t>
      </w:r>
      <w:r w:rsidR="003F5490">
        <w:rPr>
          <w:rFonts w:ascii="Verdana" w:hAnsi="Verdana"/>
        </w:rPr>
        <w:t xml:space="preserve">que se escribió al abogado </w:t>
      </w:r>
      <w:r w:rsidR="003F5490" w:rsidRPr="00DC45F8">
        <w:rPr>
          <w:rFonts w:ascii="Verdana" w:hAnsi="Verdana"/>
        </w:rPr>
        <w:t>JOSE FERNANDO BELTRAN GARZON</w:t>
      </w:r>
      <w:r w:rsidR="003F5490">
        <w:rPr>
          <w:rFonts w:ascii="Verdana" w:hAnsi="Verdana"/>
        </w:rPr>
        <w:t>.</w:t>
      </w:r>
    </w:p>
    <w:p w14:paraId="16CB0D9D" w14:textId="6B56919A" w:rsidR="00B444AA" w:rsidRDefault="00B444AA" w:rsidP="0077685C">
      <w:pPr>
        <w:pStyle w:val="Sinespaciado"/>
        <w:numPr>
          <w:ilvl w:val="0"/>
          <w:numId w:val="2"/>
        </w:numPr>
        <w:spacing w:line="276" w:lineRule="auto"/>
        <w:jc w:val="both"/>
        <w:rPr>
          <w:rFonts w:ascii="Verdana" w:hAnsi="Verdana"/>
        </w:rPr>
      </w:pPr>
      <w:r>
        <w:rPr>
          <w:rFonts w:ascii="Verdana" w:hAnsi="Verdana"/>
        </w:rPr>
        <w:t xml:space="preserve">Pantallazos de información que se envió al correo del abogado JOSE FERNADNO BELTRAN GARZON, para demostrar que ese efectivamente es su correo. </w:t>
      </w:r>
    </w:p>
    <w:p w14:paraId="4C30990A" w14:textId="77777777" w:rsidR="003F5490" w:rsidRDefault="003F5490" w:rsidP="0077685C">
      <w:pPr>
        <w:pStyle w:val="Sinespaciado"/>
        <w:numPr>
          <w:ilvl w:val="0"/>
          <w:numId w:val="2"/>
        </w:numPr>
        <w:spacing w:line="276" w:lineRule="auto"/>
        <w:jc w:val="both"/>
        <w:rPr>
          <w:rFonts w:ascii="Verdana" w:hAnsi="Verdana"/>
        </w:rPr>
      </w:pPr>
      <w:r>
        <w:rPr>
          <w:rFonts w:ascii="Verdana" w:hAnsi="Verdana"/>
        </w:rPr>
        <w:t xml:space="preserve">Pantallazo del correo que se recibió por parte del abogado </w:t>
      </w:r>
      <w:r w:rsidRPr="00DC45F8">
        <w:rPr>
          <w:rFonts w:ascii="Verdana" w:hAnsi="Verdana"/>
        </w:rPr>
        <w:t>JOSE FERNANDO BELTRAN GARZON</w:t>
      </w:r>
      <w:r>
        <w:rPr>
          <w:rFonts w:ascii="Verdana" w:hAnsi="Verdana"/>
        </w:rPr>
        <w:t xml:space="preserve"> con la oferta de servicios, poderes y contrato. </w:t>
      </w:r>
    </w:p>
    <w:p w14:paraId="4540BF22" w14:textId="77777777" w:rsidR="003F5490" w:rsidRDefault="003F5490" w:rsidP="0077685C">
      <w:pPr>
        <w:pStyle w:val="Sinespaciado"/>
        <w:numPr>
          <w:ilvl w:val="0"/>
          <w:numId w:val="2"/>
        </w:numPr>
        <w:spacing w:line="276" w:lineRule="auto"/>
        <w:jc w:val="both"/>
        <w:rPr>
          <w:rFonts w:ascii="Verdana" w:hAnsi="Verdana"/>
        </w:rPr>
      </w:pPr>
      <w:r>
        <w:rPr>
          <w:rFonts w:ascii="Verdana" w:hAnsi="Verdana"/>
        </w:rPr>
        <w:t xml:space="preserve">Pantallazo de los </w:t>
      </w:r>
      <w:proofErr w:type="spellStart"/>
      <w:r>
        <w:rPr>
          <w:rFonts w:ascii="Verdana" w:hAnsi="Verdana"/>
        </w:rPr>
        <w:t>Whatsap</w:t>
      </w:r>
      <w:proofErr w:type="spellEnd"/>
      <w:r>
        <w:rPr>
          <w:rFonts w:ascii="Verdana" w:hAnsi="Verdana"/>
        </w:rPr>
        <w:t xml:space="preserve"> que se escribieron al abogado solicitando información del proceso, lo cuales nunca contestó. </w:t>
      </w:r>
    </w:p>
    <w:p w14:paraId="2FE8589B" w14:textId="08CFA0B9" w:rsidR="003F5490" w:rsidRDefault="003F5490" w:rsidP="003F5490">
      <w:pPr>
        <w:pStyle w:val="Sinespaciado"/>
        <w:numPr>
          <w:ilvl w:val="0"/>
          <w:numId w:val="2"/>
        </w:numPr>
        <w:spacing w:line="276" w:lineRule="auto"/>
        <w:jc w:val="both"/>
        <w:rPr>
          <w:rFonts w:ascii="Verdana" w:hAnsi="Verdana"/>
        </w:rPr>
      </w:pPr>
      <w:r>
        <w:rPr>
          <w:rFonts w:ascii="Verdana" w:hAnsi="Verdana"/>
        </w:rPr>
        <w:t xml:space="preserve">Pantallazo de </w:t>
      </w:r>
      <w:proofErr w:type="spellStart"/>
      <w:r>
        <w:rPr>
          <w:rFonts w:ascii="Verdana" w:hAnsi="Verdana"/>
        </w:rPr>
        <w:t>Whatsap</w:t>
      </w:r>
      <w:proofErr w:type="spellEnd"/>
      <w:r>
        <w:rPr>
          <w:rFonts w:ascii="Verdana" w:hAnsi="Verdana"/>
        </w:rPr>
        <w:t xml:space="preserve"> donde se observa que el abogado </w:t>
      </w:r>
      <w:r w:rsidRPr="00DC45F8">
        <w:rPr>
          <w:rFonts w:ascii="Verdana" w:hAnsi="Verdana"/>
        </w:rPr>
        <w:t>JOSE FERNANDO BELTRAN GARZON</w:t>
      </w:r>
      <w:r>
        <w:rPr>
          <w:rFonts w:ascii="Verdana" w:hAnsi="Verdana"/>
        </w:rPr>
        <w:t xml:space="preserve">, aún tiene en mismo número de celular y tiene registrado el número de mi hija por que mira sus estados de </w:t>
      </w:r>
      <w:proofErr w:type="spellStart"/>
      <w:r>
        <w:rPr>
          <w:rFonts w:ascii="Verdana" w:hAnsi="Verdana"/>
        </w:rPr>
        <w:t>Whatsap</w:t>
      </w:r>
      <w:proofErr w:type="spellEnd"/>
      <w:r>
        <w:rPr>
          <w:rFonts w:ascii="Verdana" w:hAnsi="Verdana"/>
        </w:rPr>
        <w:t xml:space="preserve">. </w:t>
      </w:r>
    </w:p>
    <w:p w14:paraId="60C3C620" w14:textId="7F9C034D" w:rsidR="00D671BD" w:rsidRPr="002151D3" w:rsidRDefault="00D671BD" w:rsidP="003F5490">
      <w:pPr>
        <w:pStyle w:val="Sinespaciado"/>
        <w:spacing w:line="276" w:lineRule="auto"/>
        <w:ind w:left="720"/>
        <w:jc w:val="both"/>
        <w:rPr>
          <w:rFonts w:ascii="Verdana" w:hAnsi="Verdana"/>
        </w:rPr>
      </w:pPr>
    </w:p>
    <w:p w14:paraId="5194A3CC" w14:textId="77777777" w:rsidR="00D671BD" w:rsidRPr="002151D3" w:rsidRDefault="00D671BD" w:rsidP="00D671BD">
      <w:pPr>
        <w:pStyle w:val="Sinespaciado"/>
        <w:spacing w:line="276" w:lineRule="auto"/>
        <w:jc w:val="center"/>
        <w:rPr>
          <w:rFonts w:ascii="Verdana" w:hAnsi="Verdana"/>
          <w:b/>
        </w:rPr>
      </w:pPr>
    </w:p>
    <w:p w14:paraId="4E5CB1B5" w14:textId="77777777" w:rsidR="00D671BD" w:rsidRPr="002151D3" w:rsidRDefault="00D671BD" w:rsidP="00D671BD">
      <w:pPr>
        <w:pStyle w:val="Sinespaciado"/>
        <w:spacing w:line="276" w:lineRule="auto"/>
        <w:jc w:val="center"/>
        <w:rPr>
          <w:rFonts w:ascii="Verdana" w:hAnsi="Verdana"/>
          <w:b/>
        </w:rPr>
      </w:pPr>
      <w:r w:rsidRPr="002151D3">
        <w:rPr>
          <w:rFonts w:ascii="Verdana" w:hAnsi="Verdana"/>
          <w:b/>
        </w:rPr>
        <w:t>FUNDAMENTOS DE DERECHO</w:t>
      </w:r>
    </w:p>
    <w:p w14:paraId="551A5C79" w14:textId="77777777" w:rsidR="00D671BD" w:rsidRPr="002151D3" w:rsidRDefault="00D671BD" w:rsidP="00D671BD">
      <w:pPr>
        <w:pStyle w:val="Sinespaciado"/>
        <w:spacing w:line="276" w:lineRule="auto"/>
        <w:jc w:val="both"/>
        <w:rPr>
          <w:rFonts w:ascii="Verdana" w:hAnsi="Verdana"/>
        </w:rPr>
      </w:pPr>
    </w:p>
    <w:p w14:paraId="6F5A6120" w14:textId="7E1D4AFC" w:rsidR="00D671BD" w:rsidRPr="002151D3" w:rsidRDefault="00D671BD" w:rsidP="00D671BD">
      <w:pPr>
        <w:pStyle w:val="Sinespaciado"/>
        <w:spacing w:line="276" w:lineRule="auto"/>
        <w:jc w:val="both"/>
        <w:rPr>
          <w:rFonts w:ascii="Verdana" w:hAnsi="Verdana"/>
        </w:rPr>
      </w:pPr>
      <w:r w:rsidRPr="002151D3">
        <w:rPr>
          <w:rFonts w:ascii="Verdana" w:hAnsi="Verdana"/>
        </w:rPr>
        <w:t>Fundamento esta acción en el artículo 86 de la Constitución Política de 1991 y sus decretos reglamentarios 2591 y 306 de 1992</w:t>
      </w:r>
      <w:r w:rsidR="003F5490">
        <w:rPr>
          <w:rFonts w:ascii="Verdana" w:hAnsi="Verdana"/>
        </w:rPr>
        <w:t>, sentencia T-366</w:t>
      </w:r>
      <w:r w:rsidR="007D7FFE">
        <w:rPr>
          <w:rFonts w:ascii="Verdana" w:hAnsi="Verdana"/>
        </w:rPr>
        <w:t xml:space="preserve"> del 07 de diciembre de 2021.</w:t>
      </w:r>
    </w:p>
    <w:p w14:paraId="794CFA4A" w14:textId="77777777" w:rsidR="00D671BD" w:rsidRPr="002151D3" w:rsidRDefault="00D671BD" w:rsidP="00D671BD">
      <w:pPr>
        <w:pStyle w:val="Sinespaciado"/>
        <w:spacing w:line="276" w:lineRule="auto"/>
        <w:jc w:val="both"/>
        <w:rPr>
          <w:rFonts w:ascii="Verdana" w:hAnsi="Verdana"/>
        </w:rPr>
      </w:pPr>
    </w:p>
    <w:p w14:paraId="192AD7DB" w14:textId="77777777" w:rsidR="00D671BD" w:rsidRPr="002151D3" w:rsidRDefault="00D671BD" w:rsidP="00D671BD">
      <w:pPr>
        <w:pStyle w:val="Sinespaciado"/>
        <w:spacing w:line="276" w:lineRule="auto"/>
        <w:jc w:val="center"/>
        <w:rPr>
          <w:rFonts w:ascii="Verdana" w:hAnsi="Verdana"/>
          <w:b/>
        </w:rPr>
      </w:pPr>
      <w:r w:rsidRPr="002151D3">
        <w:rPr>
          <w:rFonts w:ascii="Verdana" w:hAnsi="Verdana"/>
          <w:b/>
        </w:rPr>
        <w:t>NOTIFICACIONES</w:t>
      </w:r>
    </w:p>
    <w:p w14:paraId="1BA7A07D" w14:textId="77777777" w:rsidR="00D671BD" w:rsidRPr="002151D3" w:rsidRDefault="00D671BD" w:rsidP="00D671BD">
      <w:pPr>
        <w:pStyle w:val="Sinespaciado"/>
        <w:spacing w:line="276" w:lineRule="auto"/>
        <w:jc w:val="both"/>
        <w:rPr>
          <w:rFonts w:ascii="Verdana" w:hAnsi="Verdana"/>
        </w:rPr>
      </w:pPr>
    </w:p>
    <w:p w14:paraId="08C48A2B" w14:textId="3BC5F883" w:rsidR="00D671BD" w:rsidRPr="000459D3" w:rsidRDefault="00D671BD" w:rsidP="00D671BD">
      <w:pPr>
        <w:pStyle w:val="Sinespaciado"/>
        <w:spacing w:line="276" w:lineRule="auto"/>
        <w:jc w:val="both"/>
        <w:rPr>
          <w:rFonts w:ascii="Verdana" w:hAnsi="Verdana"/>
        </w:rPr>
      </w:pPr>
      <w:r w:rsidRPr="002151D3">
        <w:rPr>
          <w:rFonts w:ascii="Verdana" w:hAnsi="Verdana"/>
        </w:rPr>
        <w:t xml:space="preserve">Recibiré notificaciones en </w:t>
      </w:r>
      <w:r>
        <w:rPr>
          <w:rFonts w:ascii="Verdana" w:hAnsi="Verdana"/>
        </w:rPr>
        <w:t xml:space="preserve">el </w:t>
      </w:r>
      <w:r w:rsidRPr="002151D3">
        <w:rPr>
          <w:rFonts w:ascii="Verdana" w:hAnsi="Verdana"/>
        </w:rPr>
        <w:t>celular 31</w:t>
      </w:r>
      <w:r w:rsidR="007D7FFE">
        <w:rPr>
          <w:rFonts w:ascii="Verdana" w:hAnsi="Verdana"/>
        </w:rPr>
        <w:t>12443864</w:t>
      </w:r>
      <w:r w:rsidRPr="002151D3">
        <w:rPr>
          <w:rFonts w:ascii="Verdana" w:hAnsi="Verdana"/>
        </w:rPr>
        <w:t xml:space="preserve">, correo electrónico: </w:t>
      </w:r>
      <w:r w:rsidR="007D7FFE">
        <w:rPr>
          <w:rFonts w:ascii="Verdana" w:hAnsi="Verdana"/>
        </w:rPr>
        <w:t>lcatalinahurtado</w:t>
      </w:r>
      <w:r w:rsidRPr="000459D3">
        <w:rPr>
          <w:rFonts w:ascii="Verdana" w:hAnsi="Verdana" w:cs="Segoe UI"/>
          <w:color w:val="323130"/>
          <w:shd w:val="clear" w:color="auto" w:fill="FFFFFF"/>
        </w:rPr>
        <w:t>@</w:t>
      </w:r>
      <w:r w:rsidR="007D7FFE">
        <w:rPr>
          <w:rFonts w:ascii="Verdana" w:hAnsi="Verdana" w:cs="Segoe UI"/>
          <w:color w:val="323130"/>
          <w:shd w:val="clear" w:color="auto" w:fill="FFFFFF"/>
        </w:rPr>
        <w:t>hotmail.com</w:t>
      </w:r>
      <w:r w:rsidRPr="000459D3">
        <w:rPr>
          <w:rFonts w:ascii="Verdana" w:hAnsi="Verdana"/>
        </w:rPr>
        <w:t xml:space="preserve"> </w:t>
      </w:r>
    </w:p>
    <w:p w14:paraId="76F55448" w14:textId="77777777" w:rsidR="00D671BD" w:rsidRPr="002151D3" w:rsidRDefault="00D671BD" w:rsidP="00D671BD">
      <w:pPr>
        <w:pStyle w:val="Sinespaciado"/>
        <w:spacing w:line="276" w:lineRule="auto"/>
        <w:jc w:val="both"/>
        <w:rPr>
          <w:rFonts w:ascii="Verdana" w:hAnsi="Verdana"/>
        </w:rPr>
      </w:pPr>
    </w:p>
    <w:p w14:paraId="3CAF44FE" w14:textId="7F3321AD" w:rsidR="00D671BD" w:rsidRDefault="000951EE" w:rsidP="00D671BD">
      <w:pPr>
        <w:pStyle w:val="Sinespaciado"/>
        <w:spacing w:line="276" w:lineRule="auto"/>
        <w:jc w:val="both"/>
        <w:rPr>
          <w:rFonts w:ascii="Verdana" w:hAnsi="Verdana"/>
        </w:rPr>
      </w:pPr>
      <w:r>
        <w:rPr>
          <w:rFonts w:ascii="Verdana" w:hAnsi="Verdana"/>
        </w:rPr>
        <w:t xml:space="preserve">Los abogados </w:t>
      </w:r>
      <w:r w:rsidRPr="00DC45F8">
        <w:rPr>
          <w:rFonts w:ascii="Verdana" w:hAnsi="Verdana"/>
        </w:rPr>
        <w:t>JOSE FERNANDO BELTRAN GARZON y OMAR DARIO TORO GONZALEZ</w:t>
      </w:r>
      <w:r>
        <w:rPr>
          <w:rFonts w:ascii="Verdana" w:hAnsi="Verdana"/>
        </w:rPr>
        <w:t xml:space="preserve">, las recibirán en </w:t>
      </w:r>
      <w:r w:rsidR="00577CAD">
        <w:rPr>
          <w:rFonts w:ascii="Verdana" w:hAnsi="Verdana"/>
        </w:rPr>
        <w:t xml:space="preserve">el correo electrónico </w:t>
      </w:r>
      <w:hyperlink r:id="rId8" w:history="1">
        <w:r w:rsidR="00577CAD" w:rsidRPr="007E4B19">
          <w:rPr>
            <w:rStyle w:val="Hipervnculo"/>
            <w:rFonts w:ascii="Verdana" w:hAnsi="Verdana" w:cstheme="minorBidi"/>
          </w:rPr>
          <w:t>febenexos</w:t>
        </w:r>
        <w:r w:rsidR="00577CAD" w:rsidRPr="007E4B19">
          <w:rPr>
            <w:rStyle w:val="Hipervnculo"/>
            <w:rFonts w:ascii="Verdana" w:hAnsi="Verdana" w:cs="Segoe UI"/>
            <w:shd w:val="clear" w:color="auto" w:fill="FFFFFF"/>
          </w:rPr>
          <w:t>@</w:t>
        </w:r>
        <w:r w:rsidR="00577CAD" w:rsidRPr="007E4B19">
          <w:rPr>
            <w:rStyle w:val="Hipervnculo"/>
            <w:rFonts w:ascii="Verdana" w:hAnsi="Verdana" w:cs="Segoe UI"/>
            <w:shd w:val="clear" w:color="auto" w:fill="FFFFFF"/>
          </w:rPr>
          <w:t>gmail.com</w:t>
        </w:r>
      </w:hyperlink>
      <w:r w:rsidR="00577CAD">
        <w:rPr>
          <w:rFonts w:ascii="Verdana" w:hAnsi="Verdana" w:cs="Segoe UI"/>
          <w:color w:val="323130"/>
          <w:shd w:val="clear" w:color="auto" w:fill="FFFFFF"/>
        </w:rPr>
        <w:t xml:space="preserve"> y en el celular 3133507133.  </w:t>
      </w:r>
    </w:p>
    <w:p w14:paraId="70947C3D" w14:textId="0B6F29FF" w:rsidR="000951EE" w:rsidRDefault="000951EE" w:rsidP="00D671BD">
      <w:pPr>
        <w:pStyle w:val="Sinespaciado"/>
        <w:spacing w:line="276" w:lineRule="auto"/>
        <w:jc w:val="both"/>
        <w:rPr>
          <w:rFonts w:ascii="Verdana" w:hAnsi="Verdana"/>
        </w:rPr>
      </w:pPr>
    </w:p>
    <w:p w14:paraId="42AADC9A" w14:textId="27491B4D" w:rsidR="000951EE" w:rsidRPr="00E35157" w:rsidRDefault="000951EE" w:rsidP="00D671BD">
      <w:pPr>
        <w:pStyle w:val="Sinespaciado"/>
        <w:spacing w:line="276" w:lineRule="auto"/>
        <w:jc w:val="both"/>
        <w:rPr>
          <w:rFonts w:ascii="Verdana" w:hAnsi="Verdana"/>
          <w:color w:val="000000"/>
          <w:shd w:val="clear" w:color="auto" w:fill="FFFFFF"/>
        </w:rPr>
      </w:pPr>
      <w:r w:rsidRPr="00E35157">
        <w:rPr>
          <w:rFonts w:ascii="Verdana" w:hAnsi="Verdana"/>
          <w:color w:val="000000"/>
        </w:rPr>
        <w:t>JUZGADO PRIMERO PENAL DEL CIRCUITO ESPECIALIZADO DE EXTINCIÓN DE DOMINIO DE BOGOTÁ</w:t>
      </w:r>
      <w:r w:rsidRPr="00E35157">
        <w:rPr>
          <w:rFonts w:ascii="Verdana" w:hAnsi="Verdana"/>
          <w:color w:val="000000"/>
        </w:rPr>
        <w:t xml:space="preserve">, las recibirá en </w:t>
      </w:r>
      <w:r w:rsidR="00577CAD" w:rsidRPr="00E35157">
        <w:rPr>
          <w:rFonts w:ascii="Verdana" w:hAnsi="Verdana"/>
          <w:color w:val="000000"/>
        </w:rPr>
        <w:t xml:space="preserve">el correo electrónico </w:t>
      </w:r>
      <w:hyperlink r:id="rId9" w:history="1">
        <w:r w:rsidR="00E35157" w:rsidRPr="00E35157">
          <w:rPr>
            <w:rStyle w:val="Hipervnculo"/>
            <w:rFonts w:ascii="Verdana" w:hAnsi="Verdana" w:cstheme="minorBidi"/>
            <w:shd w:val="clear" w:color="auto" w:fill="FFFFFF"/>
          </w:rPr>
          <w:t>cserjesextdombt@cendoj.ramajudicial.gov.co</w:t>
        </w:r>
      </w:hyperlink>
    </w:p>
    <w:p w14:paraId="36E51346" w14:textId="3AA927F3" w:rsidR="00E35157" w:rsidRDefault="00E35157" w:rsidP="00D671BD">
      <w:pPr>
        <w:pStyle w:val="Sinespaciado"/>
        <w:spacing w:line="276" w:lineRule="auto"/>
        <w:jc w:val="both"/>
        <w:rPr>
          <w:rFonts w:ascii="Calibri" w:hAnsi="Calibri"/>
          <w:color w:val="000000"/>
          <w:shd w:val="clear" w:color="auto" w:fill="FFFFFF"/>
        </w:rPr>
      </w:pPr>
    </w:p>
    <w:p w14:paraId="066E59FE" w14:textId="77777777" w:rsidR="00E35157" w:rsidRDefault="00E35157" w:rsidP="00D671BD">
      <w:pPr>
        <w:pStyle w:val="Sinespaciado"/>
        <w:spacing w:line="276" w:lineRule="auto"/>
        <w:jc w:val="both"/>
        <w:rPr>
          <w:rFonts w:ascii="Verdana" w:hAnsi="Verdana"/>
        </w:rPr>
      </w:pPr>
    </w:p>
    <w:p w14:paraId="7A998973" w14:textId="77777777" w:rsidR="000951EE" w:rsidRPr="002151D3" w:rsidRDefault="000951EE" w:rsidP="00D671BD">
      <w:pPr>
        <w:pStyle w:val="Sinespaciado"/>
        <w:spacing w:line="276" w:lineRule="auto"/>
        <w:jc w:val="both"/>
        <w:rPr>
          <w:rFonts w:ascii="Verdana" w:hAnsi="Verdana"/>
        </w:rPr>
      </w:pPr>
    </w:p>
    <w:p w14:paraId="2AF6A169" w14:textId="77777777" w:rsidR="00D671BD" w:rsidRPr="002151D3" w:rsidRDefault="00D671BD" w:rsidP="00D671BD">
      <w:pPr>
        <w:pStyle w:val="Sinespaciado"/>
        <w:spacing w:line="276" w:lineRule="auto"/>
        <w:jc w:val="both"/>
        <w:rPr>
          <w:rFonts w:ascii="Verdana" w:hAnsi="Verdana"/>
        </w:rPr>
      </w:pPr>
      <w:r w:rsidRPr="002151D3">
        <w:rPr>
          <w:rFonts w:ascii="Verdana" w:hAnsi="Verdana"/>
        </w:rPr>
        <w:t xml:space="preserve">Atentamente, </w:t>
      </w:r>
    </w:p>
    <w:p w14:paraId="529B0A84" w14:textId="77777777" w:rsidR="00D671BD" w:rsidRPr="007D7FFE" w:rsidRDefault="00D671BD" w:rsidP="00D671BD">
      <w:pPr>
        <w:pStyle w:val="Sinespaciado"/>
        <w:spacing w:line="276" w:lineRule="auto"/>
        <w:jc w:val="both"/>
        <w:rPr>
          <w:rFonts w:ascii="Verdana" w:hAnsi="Verdana"/>
          <w:b/>
          <w:bCs/>
        </w:rPr>
      </w:pPr>
    </w:p>
    <w:p w14:paraId="20EF4DD6" w14:textId="77777777" w:rsidR="00D671BD" w:rsidRPr="007D7FFE" w:rsidRDefault="00D671BD" w:rsidP="00D671BD">
      <w:pPr>
        <w:pStyle w:val="Sinespaciado"/>
        <w:spacing w:line="276" w:lineRule="auto"/>
        <w:jc w:val="both"/>
        <w:rPr>
          <w:rFonts w:ascii="Verdana" w:hAnsi="Verdana"/>
          <w:b/>
          <w:bCs/>
        </w:rPr>
      </w:pPr>
    </w:p>
    <w:p w14:paraId="1527D167" w14:textId="289BE675" w:rsidR="00D671BD" w:rsidRPr="007D7FFE" w:rsidRDefault="007D7FFE" w:rsidP="00D671BD">
      <w:pPr>
        <w:spacing w:line="276" w:lineRule="auto"/>
        <w:rPr>
          <w:rFonts w:ascii="Verdana" w:hAnsi="Verdana"/>
          <w:b/>
          <w:bCs/>
        </w:rPr>
      </w:pPr>
      <w:r w:rsidRPr="007D7FFE">
        <w:rPr>
          <w:rFonts w:ascii="Verdana" w:hAnsi="Verdana"/>
          <w:b/>
          <w:bCs/>
        </w:rPr>
        <w:t>OLGA ZIPA AMAYA</w:t>
      </w:r>
    </w:p>
    <w:p w14:paraId="7FE4D61D" w14:textId="379A671E" w:rsidR="007D7FFE" w:rsidRPr="007D7FFE" w:rsidRDefault="007D7FFE" w:rsidP="00D671BD">
      <w:pPr>
        <w:spacing w:line="276" w:lineRule="auto"/>
        <w:rPr>
          <w:rFonts w:ascii="Verdana" w:hAnsi="Verdana"/>
          <w:b/>
          <w:bCs/>
        </w:rPr>
      </w:pPr>
      <w:r w:rsidRPr="007D7FFE">
        <w:rPr>
          <w:rFonts w:ascii="Verdana" w:hAnsi="Verdana"/>
          <w:b/>
          <w:bCs/>
        </w:rPr>
        <w:t xml:space="preserve">C. C. No. 40.017.252 de Tunja. </w:t>
      </w:r>
    </w:p>
    <w:p w14:paraId="33992BC5" w14:textId="77777777" w:rsidR="00D671BD" w:rsidRPr="002151D3" w:rsidRDefault="00D671BD" w:rsidP="00D671BD">
      <w:pPr>
        <w:spacing w:line="276" w:lineRule="auto"/>
        <w:rPr>
          <w:rFonts w:ascii="Verdana" w:hAnsi="Verdana"/>
        </w:rPr>
      </w:pPr>
    </w:p>
    <w:p w14:paraId="1630E5C2" w14:textId="594D542B" w:rsidR="00D671BD" w:rsidRDefault="00D671BD" w:rsidP="00D671BD">
      <w:pPr>
        <w:spacing w:line="276" w:lineRule="auto"/>
        <w:rPr>
          <w:rFonts w:ascii="Verdana" w:hAnsi="Verdana"/>
        </w:rPr>
      </w:pPr>
    </w:p>
    <w:p w14:paraId="06A2CDF7" w14:textId="2EC43620" w:rsidR="006A084D" w:rsidRDefault="006A084D" w:rsidP="00D671BD">
      <w:pPr>
        <w:spacing w:line="276" w:lineRule="auto"/>
        <w:rPr>
          <w:rFonts w:ascii="Verdana" w:hAnsi="Verdana"/>
        </w:rPr>
      </w:pPr>
    </w:p>
    <w:p w14:paraId="385D48B6" w14:textId="6DBB34D9" w:rsidR="006A084D" w:rsidRDefault="006A084D" w:rsidP="00D671BD">
      <w:pPr>
        <w:spacing w:line="276" w:lineRule="auto"/>
        <w:rPr>
          <w:rFonts w:ascii="Verdana" w:hAnsi="Verdana"/>
        </w:rPr>
      </w:pPr>
    </w:p>
    <w:p w14:paraId="41E754A7" w14:textId="62A77331" w:rsidR="006A084D" w:rsidRDefault="006A084D" w:rsidP="00D671BD">
      <w:pPr>
        <w:spacing w:line="276" w:lineRule="auto"/>
        <w:rPr>
          <w:rFonts w:ascii="Verdana" w:hAnsi="Verdana"/>
        </w:rPr>
      </w:pPr>
    </w:p>
    <w:p w14:paraId="4CFB078D" w14:textId="555D8383" w:rsidR="006A084D" w:rsidRDefault="006A084D" w:rsidP="00D671BD">
      <w:pPr>
        <w:spacing w:line="276" w:lineRule="auto"/>
        <w:rPr>
          <w:rFonts w:ascii="Verdana" w:hAnsi="Verdana"/>
        </w:rPr>
      </w:pPr>
    </w:p>
    <w:p w14:paraId="7F8B29E1" w14:textId="18D28F28" w:rsidR="006A084D" w:rsidRDefault="006A084D" w:rsidP="00D671BD">
      <w:pPr>
        <w:spacing w:line="276" w:lineRule="auto"/>
        <w:rPr>
          <w:rFonts w:ascii="Verdana" w:hAnsi="Verdana"/>
        </w:rPr>
      </w:pPr>
    </w:p>
    <w:p w14:paraId="60CAB318" w14:textId="5B457715" w:rsidR="006A084D" w:rsidRDefault="006A084D" w:rsidP="00D671BD">
      <w:pPr>
        <w:spacing w:line="276" w:lineRule="auto"/>
        <w:rPr>
          <w:rFonts w:ascii="Verdana" w:hAnsi="Verdana"/>
        </w:rPr>
      </w:pPr>
    </w:p>
    <w:p w14:paraId="12F658E4" w14:textId="0FBCEAC3" w:rsidR="006A084D" w:rsidRDefault="006A084D" w:rsidP="00D671BD">
      <w:pPr>
        <w:spacing w:line="276" w:lineRule="auto"/>
        <w:rPr>
          <w:rFonts w:ascii="Verdana" w:hAnsi="Verdana"/>
        </w:rPr>
      </w:pPr>
    </w:p>
    <w:p w14:paraId="5D86FCB3" w14:textId="1E995245" w:rsidR="006A084D" w:rsidRDefault="006A084D" w:rsidP="00D671BD">
      <w:pPr>
        <w:spacing w:line="276" w:lineRule="auto"/>
        <w:rPr>
          <w:rFonts w:ascii="Verdana" w:hAnsi="Verdana"/>
        </w:rPr>
      </w:pPr>
    </w:p>
    <w:p w14:paraId="2D42C0A1" w14:textId="78797BBB" w:rsidR="00D80EA1" w:rsidRDefault="00D80EA1" w:rsidP="00D671BD">
      <w:pPr>
        <w:spacing w:line="276" w:lineRule="auto"/>
        <w:rPr>
          <w:rFonts w:ascii="Verdana" w:hAnsi="Verdana"/>
        </w:rPr>
      </w:pPr>
    </w:p>
    <w:p w14:paraId="3CF97372" w14:textId="77777777" w:rsidR="00D80EA1" w:rsidRDefault="00D80EA1" w:rsidP="00D671BD">
      <w:pPr>
        <w:spacing w:line="276" w:lineRule="auto"/>
        <w:rPr>
          <w:rFonts w:ascii="Verdana" w:hAnsi="Verdana"/>
        </w:rPr>
      </w:pPr>
    </w:p>
    <w:p w14:paraId="7AF5E27A" w14:textId="29D7A98A" w:rsidR="006A084D" w:rsidRDefault="00D80EA1" w:rsidP="00D671BD">
      <w:pPr>
        <w:spacing w:line="276" w:lineRule="auto"/>
        <w:rPr>
          <w:rFonts w:ascii="Verdana" w:hAnsi="Verdana"/>
        </w:rPr>
      </w:pPr>
      <w:r>
        <w:rPr>
          <w:rFonts w:ascii="Verdana" w:hAnsi="Verdana"/>
          <w:noProof/>
        </w:rPr>
        <w:drawing>
          <wp:inline distT="0" distB="0" distL="0" distR="0" wp14:anchorId="672884AD" wp14:editId="4B1BD07E">
            <wp:extent cx="5613400" cy="2991485"/>
            <wp:effectExtent l="0" t="0" r="635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1D32B3F1" wp14:editId="5D2CB3B2">
            <wp:extent cx="5613400" cy="2991485"/>
            <wp:effectExtent l="0" t="0" r="6350" b="0"/>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37EF66B7" wp14:editId="0F6813F5">
            <wp:extent cx="5613400" cy="2991485"/>
            <wp:effectExtent l="0" t="0" r="6350" b="0"/>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lastRenderedPageBreak/>
        <w:drawing>
          <wp:inline distT="0" distB="0" distL="0" distR="0" wp14:anchorId="20F664DA" wp14:editId="6C535B73">
            <wp:extent cx="5613400" cy="2991485"/>
            <wp:effectExtent l="0" t="0" r="6350" b="0"/>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630FFCDC" wp14:editId="6CD3C4E6">
            <wp:extent cx="5613400" cy="2991485"/>
            <wp:effectExtent l="0" t="0" r="6350"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4CA6BBB2" wp14:editId="0AF73B3A">
            <wp:extent cx="5613400" cy="2991485"/>
            <wp:effectExtent l="0" t="0" r="6350" b="0"/>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lastRenderedPageBreak/>
        <w:drawing>
          <wp:inline distT="0" distB="0" distL="0" distR="0" wp14:anchorId="32FF1697" wp14:editId="47B604A9">
            <wp:extent cx="5613400" cy="2991485"/>
            <wp:effectExtent l="0" t="0" r="6350" b="0"/>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6F2141D5" wp14:editId="4B65C4A7">
            <wp:extent cx="5613400" cy="2991485"/>
            <wp:effectExtent l="0" t="0" r="6350"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70841A87" wp14:editId="282DABDB">
            <wp:extent cx="5613400" cy="2991485"/>
            <wp:effectExtent l="0" t="0" r="6350" b="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lastRenderedPageBreak/>
        <w:drawing>
          <wp:inline distT="0" distB="0" distL="0" distR="0" wp14:anchorId="0D123C07" wp14:editId="19076A0D">
            <wp:extent cx="5613400" cy="2991485"/>
            <wp:effectExtent l="0" t="0" r="6350"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2918ADD4" wp14:editId="526F7A94">
            <wp:extent cx="5613400" cy="2991485"/>
            <wp:effectExtent l="0" t="0" r="6350" b="0"/>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605DEBD0" wp14:editId="3663A246">
            <wp:extent cx="5613400" cy="2991485"/>
            <wp:effectExtent l="0" t="0" r="6350" b="0"/>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lastRenderedPageBreak/>
        <w:drawing>
          <wp:inline distT="0" distB="0" distL="0" distR="0" wp14:anchorId="027490B8" wp14:editId="0AABF19A">
            <wp:extent cx="5613400" cy="2991485"/>
            <wp:effectExtent l="0" t="0" r="6350" b="0"/>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r>
        <w:rPr>
          <w:rFonts w:ascii="Verdana" w:hAnsi="Verdana"/>
          <w:noProof/>
        </w:rPr>
        <w:drawing>
          <wp:inline distT="0" distB="0" distL="0" distR="0" wp14:anchorId="32C5E857" wp14:editId="518FD106">
            <wp:extent cx="5613400" cy="2991485"/>
            <wp:effectExtent l="0" t="0" r="6350" b="0"/>
            <wp:docPr id="29" name="Imagen 2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 Correo electrón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3400" cy="2991485"/>
                    </a:xfrm>
                    <a:prstGeom prst="rect">
                      <a:avLst/>
                    </a:prstGeom>
                  </pic:spPr>
                </pic:pic>
              </a:graphicData>
            </a:graphic>
          </wp:inline>
        </w:drawing>
      </w:r>
    </w:p>
    <w:p w14:paraId="48A0FCAC" w14:textId="630A4007" w:rsidR="006A084D" w:rsidRDefault="006A084D" w:rsidP="00D671BD">
      <w:pPr>
        <w:spacing w:line="276" w:lineRule="auto"/>
        <w:rPr>
          <w:rFonts w:ascii="Verdana" w:hAnsi="Verdana"/>
        </w:rPr>
      </w:pPr>
    </w:p>
    <w:p w14:paraId="097EAE77" w14:textId="77777777" w:rsidR="00261F81" w:rsidRDefault="00261F81" w:rsidP="00D671BD">
      <w:pPr>
        <w:spacing w:line="276" w:lineRule="auto"/>
        <w:rPr>
          <w:rFonts w:ascii="Verdana" w:hAnsi="Verdana"/>
          <w:noProof/>
        </w:rPr>
      </w:pPr>
      <w:r>
        <w:rPr>
          <w:rFonts w:ascii="Verdana" w:hAnsi="Verdana"/>
          <w:noProof/>
        </w:rPr>
        <w:drawing>
          <wp:inline distT="0" distB="0" distL="0" distR="0" wp14:anchorId="278DD441" wp14:editId="4E71CDD2">
            <wp:extent cx="3908425" cy="2705735"/>
            <wp:effectExtent l="0" t="0" r="0" b="0"/>
            <wp:docPr id="33" name="Imagen 3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 Chat o mensaje de texto&#10;&#10;Descripción generada automáticamente"/>
                    <pic:cNvPicPr/>
                  </pic:nvPicPr>
                  <pic:blipFill rotWithShape="1">
                    <a:blip r:embed="rId24" cstate="print">
                      <a:extLst>
                        <a:ext uri="{28A0092B-C50C-407E-A947-70E740481C1C}">
                          <a14:useLocalDpi xmlns:a14="http://schemas.microsoft.com/office/drawing/2010/main" val="0"/>
                        </a:ext>
                      </a:extLst>
                    </a:blip>
                    <a:srcRect l="30374" t="9553"/>
                    <a:stretch/>
                  </pic:blipFill>
                  <pic:spPr bwMode="auto">
                    <a:xfrm>
                      <a:off x="0" y="0"/>
                      <a:ext cx="3908425" cy="2705735"/>
                    </a:xfrm>
                    <a:prstGeom prst="rect">
                      <a:avLst/>
                    </a:prstGeom>
                    <a:ln>
                      <a:noFill/>
                    </a:ln>
                    <a:extLst>
                      <a:ext uri="{53640926-AAD7-44D8-BBD7-CCE9431645EC}">
                        <a14:shadowObscured xmlns:a14="http://schemas.microsoft.com/office/drawing/2010/main"/>
                      </a:ext>
                    </a:extLst>
                  </pic:spPr>
                </pic:pic>
              </a:graphicData>
            </a:graphic>
          </wp:inline>
        </w:drawing>
      </w:r>
    </w:p>
    <w:p w14:paraId="1B473BD0" w14:textId="11411992" w:rsidR="006A084D" w:rsidRPr="002151D3" w:rsidRDefault="00261F81" w:rsidP="00D671BD">
      <w:pPr>
        <w:spacing w:line="276" w:lineRule="auto"/>
        <w:rPr>
          <w:rFonts w:ascii="Verdana" w:hAnsi="Verdana"/>
        </w:rPr>
      </w:pPr>
      <w:r>
        <w:rPr>
          <w:rFonts w:ascii="Verdana" w:hAnsi="Verdana"/>
          <w:noProof/>
        </w:rPr>
        <w:lastRenderedPageBreak/>
        <w:drawing>
          <wp:inline distT="0" distB="0" distL="0" distR="0" wp14:anchorId="0CEE3BC5" wp14:editId="152A4260">
            <wp:extent cx="3927475" cy="2581910"/>
            <wp:effectExtent l="0" t="0" r="0" b="8890"/>
            <wp:docPr id="35" name="Imagen 3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hat o mensaje de texto&#10;&#10;Descripción generada automáticamente"/>
                    <pic:cNvPicPr/>
                  </pic:nvPicPr>
                  <pic:blipFill rotWithShape="1">
                    <a:blip r:embed="rId25" cstate="print">
                      <a:extLst>
                        <a:ext uri="{28A0092B-C50C-407E-A947-70E740481C1C}">
                          <a14:useLocalDpi xmlns:a14="http://schemas.microsoft.com/office/drawing/2010/main" val="0"/>
                        </a:ext>
                      </a:extLst>
                    </a:blip>
                    <a:srcRect l="30204" t="8278" r="-170" b="5413"/>
                    <a:stretch/>
                  </pic:blipFill>
                  <pic:spPr bwMode="auto">
                    <a:xfrm>
                      <a:off x="0" y="0"/>
                      <a:ext cx="3927475" cy="2581910"/>
                    </a:xfrm>
                    <a:prstGeom prst="rect">
                      <a:avLst/>
                    </a:prstGeom>
                    <a:ln>
                      <a:noFill/>
                    </a:ln>
                    <a:extLst>
                      <a:ext uri="{53640926-AAD7-44D8-BBD7-CCE9431645EC}">
                        <a14:shadowObscured xmlns:a14="http://schemas.microsoft.com/office/drawing/2010/main"/>
                      </a:ext>
                    </a:extLst>
                  </pic:spPr>
                </pic:pic>
              </a:graphicData>
            </a:graphic>
          </wp:inline>
        </w:drawing>
      </w:r>
    </w:p>
    <w:p w14:paraId="6CEAF800" w14:textId="77777777" w:rsidR="00D671BD" w:rsidRDefault="00D671BD" w:rsidP="00D671BD">
      <w:pPr>
        <w:pStyle w:val="Sinespaciado"/>
        <w:spacing w:line="276" w:lineRule="auto"/>
        <w:jc w:val="both"/>
        <w:rPr>
          <w:rFonts w:ascii="Verdana" w:hAnsi="Verdana"/>
          <w:shd w:val="clear" w:color="auto" w:fill="FFFFFF"/>
        </w:rPr>
      </w:pPr>
    </w:p>
    <w:p w14:paraId="0D38FE81" w14:textId="34550C98" w:rsidR="00D671BD" w:rsidRDefault="00B444AA" w:rsidP="00D671BD">
      <w:pPr>
        <w:pStyle w:val="Sinespaciado"/>
        <w:spacing w:line="276" w:lineRule="auto"/>
        <w:jc w:val="both"/>
        <w:rPr>
          <w:rFonts w:ascii="Verdana" w:hAnsi="Verdana"/>
          <w:shd w:val="clear" w:color="auto" w:fill="FFFFFF"/>
        </w:rPr>
      </w:pPr>
      <w:r>
        <w:rPr>
          <w:rFonts w:ascii="Verdana" w:hAnsi="Verdana"/>
          <w:noProof/>
          <w:shd w:val="clear" w:color="auto" w:fill="FFFFFF"/>
        </w:rPr>
        <w:lastRenderedPageBreak/>
        <w:drawing>
          <wp:inline distT="0" distB="0" distL="0" distR="0" wp14:anchorId="2C6C4632" wp14:editId="7C112451">
            <wp:extent cx="4686300" cy="9061123"/>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680" cy="9083127"/>
                    </a:xfrm>
                    <a:prstGeom prst="rect">
                      <a:avLst/>
                    </a:prstGeom>
                    <a:noFill/>
                  </pic:spPr>
                </pic:pic>
              </a:graphicData>
            </a:graphic>
          </wp:inline>
        </w:drawing>
      </w:r>
    </w:p>
    <w:p w14:paraId="5E8860EB" w14:textId="77777777" w:rsidR="00D671BD" w:rsidRDefault="00D671BD" w:rsidP="00D671BD">
      <w:pPr>
        <w:pStyle w:val="Sinespaciado"/>
        <w:spacing w:line="276" w:lineRule="auto"/>
        <w:jc w:val="both"/>
        <w:rPr>
          <w:rFonts w:ascii="Verdana" w:hAnsi="Verdana"/>
          <w:shd w:val="clear" w:color="auto" w:fill="FFFFFF"/>
        </w:rPr>
      </w:pPr>
    </w:p>
    <w:p w14:paraId="30FB1135" w14:textId="77777777" w:rsidR="00D671BD" w:rsidRDefault="00D671BD" w:rsidP="00D671BD">
      <w:pPr>
        <w:pStyle w:val="Sinespaciado"/>
        <w:spacing w:line="276" w:lineRule="auto"/>
        <w:jc w:val="both"/>
        <w:rPr>
          <w:rFonts w:ascii="Verdana" w:hAnsi="Verdana"/>
          <w:shd w:val="clear" w:color="auto" w:fill="FFFFFF"/>
        </w:rPr>
      </w:pPr>
    </w:p>
    <w:p w14:paraId="2ACFDF12" w14:textId="77777777" w:rsidR="00D671BD" w:rsidRDefault="00D671BD" w:rsidP="00D671BD">
      <w:pPr>
        <w:pStyle w:val="Sinespaciado"/>
        <w:spacing w:line="276" w:lineRule="auto"/>
        <w:jc w:val="both"/>
        <w:rPr>
          <w:rFonts w:ascii="Verdana" w:hAnsi="Verdana"/>
          <w:shd w:val="clear" w:color="auto" w:fill="FFFFFF"/>
        </w:rPr>
      </w:pPr>
    </w:p>
    <w:p w14:paraId="03AD6D97" w14:textId="77777777" w:rsidR="00D671BD" w:rsidRDefault="00D671BD" w:rsidP="00D671BD">
      <w:pPr>
        <w:pStyle w:val="Sinespaciado"/>
        <w:spacing w:line="276" w:lineRule="auto"/>
        <w:jc w:val="both"/>
        <w:rPr>
          <w:rFonts w:ascii="Verdana" w:hAnsi="Verdana"/>
          <w:shd w:val="clear" w:color="auto" w:fill="FFFFFF"/>
        </w:rPr>
      </w:pPr>
    </w:p>
    <w:p w14:paraId="3098FA4C" w14:textId="3DD0E4DB" w:rsidR="00D671BD" w:rsidRDefault="00D671BD"/>
    <w:sectPr w:rsidR="00D671BD" w:rsidSect="00017E37">
      <w:pgSz w:w="12242" w:h="20163" w:code="5"/>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09659" w14:textId="77777777" w:rsidR="00CB22DA" w:rsidRDefault="00CB22DA" w:rsidP="009C6D25">
      <w:pPr>
        <w:spacing w:after="0" w:line="240" w:lineRule="auto"/>
      </w:pPr>
      <w:r>
        <w:separator/>
      </w:r>
    </w:p>
  </w:endnote>
  <w:endnote w:type="continuationSeparator" w:id="0">
    <w:p w14:paraId="03B389FD" w14:textId="77777777" w:rsidR="00CB22DA" w:rsidRDefault="00CB22DA" w:rsidP="009C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8FF09" w14:textId="77777777" w:rsidR="00CB22DA" w:rsidRDefault="00CB22DA" w:rsidP="009C6D25">
      <w:pPr>
        <w:spacing w:after="0" w:line="240" w:lineRule="auto"/>
      </w:pPr>
      <w:r>
        <w:separator/>
      </w:r>
    </w:p>
  </w:footnote>
  <w:footnote w:type="continuationSeparator" w:id="0">
    <w:p w14:paraId="7C750E84" w14:textId="77777777" w:rsidR="00CB22DA" w:rsidRDefault="00CB22DA" w:rsidP="009C6D25">
      <w:pPr>
        <w:spacing w:after="0" w:line="240" w:lineRule="auto"/>
      </w:pPr>
      <w:r>
        <w:continuationSeparator/>
      </w:r>
    </w:p>
  </w:footnote>
  <w:footnote w:id="1">
    <w:p w14:paraId="048905D7" w14:textId="6833DA1B" w:rsidR="009C6D25" w:rsidRPr="00960646" w:rsidRDefault="009C6D25" w:rsidP="00960646">
      <w:pPr>
        <w:jc w:val="both"/>
        <w:rPr>
          <w:rFonts w:ascii="Verdana" w:hAnsi="Verdana"/>
          <w:sz w:val="16"/>
          <w:szCs w:val="16"/>
        </w:rPr>
      </w:pPr>
      <w:r>
        <w:rPr>
          <w:rStyle w:val="Refdenotaalpie"/>
        </w:rPr>
        <w:footnoteRef/>
      </w:r>
      <w:r>
        <w:t xml:space="preserve"> </w:t>
      </w:r>
      <w:r w:rsidRPr="00960646">
        <w:rPr>
          <w:rFonts w:ascii="Verdana" w:hAnsi="Verdana"/>
          <w:sz w:val="16"/>
          <w:szCs w:val="16"/>
        </w:rPr>
        <w:t xml:space="preserve">Sentencia T-366/21, Expediente T-8.070.085, Acción de tutela de Boris Fernando Marín Muñoz contra la Sala Penal del Tribunal Superior del Distrito Judicial de Ibagué. </w:t>
      </w:r>
      <w:r w:rsidRPr="00960646">
        <w:rPr>
          <w:rFonts w:ascii="Verdana" w:hAnsi="Verdana"/>
          <w:sz w:val="16"/>
          <w:szCs w:val="16"/>
          <w:lang w:val="es-ES_tradnl"/>
        </w:rPr>
        <w:t>Magistrada ponente CRISTINA PARDO SCHLESINGER.</w:t>
      </w:r>
      <w:r w:rsidRPr="00960646">
        <w:rPr>
          <w:rFonts w:ascii="Verdana" w:hAnsi="Verdana"/>
          <w:sz w:val="16"/>
          <w:szCs w:val="16"/>
        </w:rPr>
        <w:t xml:space="preserve">Bogotá, D.C., veintiséis (26) de octubre de dos mil veintiuno (2021).  </w:t>
      </w:r>
    </w:p>
    <w:p w14:paraId="285AC525" w14:textId="17B1B757" w:rsidR="009C6D25" w:rsidRPr="00960646" w:rsidRDefault="009C6D25" w:rsidP="00960646">
      <w:pPr>
        <w:pStyle w:val="Textonotapie"/>
        <w:jc w:val="both"/>
        <w:rPr>
          <w:rFonts w:ascii="Verdana" w:hAnsi="Verdana"/>
          <w:sz w:val="16"/>
          <w:szCs w:val="16"/>
        </w:rPr>
      </w:pPr>
    </w:p>
  </w:footnote>
  <w:footnote w:id="2">
    <w:p w14:paraId="6B25FEC4"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 xml:space="preserve">La ley excepcionalmente permite que la defensa sea ejercida por </w:t>
      </w:r>
      <w:r w:rsidRPr="00634559">
        <w:rPr>
          <w:rFonts w:ascii="Verdana" w:hAnsi="Verdana"/>
          <w:i/>
          <w:iCs/>
          <w:sz w:val="16"/>
          <w:szCs w:val="16"/>
          <w:shd w:val="clear" w:color="auto" w:fill="FFFFFF"/>
        </w:rPr>
        <w:t xml:space="preserve">personas “que reúnan al menos las condiciones de egresados, o estudiantes de derecho pertenecientes a un consultorio jurídico, pues de esta forma se consigue el objetivo de que dichos defensores sean personas con cierta formación jurídica.” </w:t>
      </w:r>
      <w:r w:rsidRPr="00634559">
        <w:rPr>
          <w:rFonts w:ascii="Verdana" w:hAnsi="Verdana"/>
          <w:sz w:val="16"/>
          <w:szCs w:val="16"/>
          <w:shd w:val="clear" w:color="auto" w:fill="FFFFFF"/>
        </w:rPr>
        <w:t>(Sentencia SU-044 de 1995, MP Antonio Barrera Carbonell).</w:t>
      </w:r>
    </w:p>
  </w:footnote>
  <w:footnote w:id="3">
    <w:p w14:paraId="2BAB8FF9"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i/>
          <w:iCs/>
          <w:sz w:val="16"/>
          <w:szCs w:val="16"/>
          <w:lang w:val="es-CO"/>
        </w:rPr>
        <w:t>Cfr.</w:t>
      </w:r>
      <w:r w:rsidRPr="00634559">
        <w:rPr>
          <w:rFonts w:ascii="Verdana" w:hAnsi="Verdana"/>
          <w:sz w:val="16"/>
          <w:szCs w:val="16"/>
          <w:lang w:val="es-CO"/>
        </w:rPr>
        <w:t>, entre otras, las sentencia T-610 de 2001 (MP Jaime Araújo Rentería), C-152 de 2004 (MP Jaime Araújo Rentería), C-025 de 2009 (Rodrigo Escobar Gil), C-127 de 2011 (MP María Victoria Calle Correa) y T-018 de 2017 (MP Gabriel Eduardo Mendoza Martelo).</w:t>
      </w:r>
    </w:p>
  </w:footnote>
  <w:footnote w:id="4">
    <w:p w14:paraId="6FBF03F8"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 xml:space="preserve">El derecho a la defensa técnica resulta particularmente relevante en el ámbito penal por el rango de los derechos que dentro de tales procesos se encuentran en juego. No obstante, el ordenamiento también procura que las partes en procesos de otra naturaleza cuenten con la asistencia de un profesional del derecho. En este sentido, en Sentencia C-542 de 2019 (MP Alejandro Linares Cantillo) la Sala Plena sostuvo que </w:t>
      </w:r>
      <w:r w:rsidRPr="00634559">
        <w:rPr>
          <w:rFonts w:ascii="Verdana" w:hAnsi="Verdana"/>
          <w:i/>
          <w:iCs/>
          <w:sz w:val="16"/>
          <w:szCs w:val="16"/>
          <w:lang w:val="es-CO"/>
        </w:rPr>
        <w:t>“(a)</w:t>
      </w:r>
      <w:proofErr w:type="spellStart"/>
      <w:r w:rsidRPr="00634559">
        <w:rPr>
          <w:rFonts w:ascii="Verdana" w:hAnsi="Verdana"/>
          <w:i/>
          <w:iCs/>
          <w:sz w:val="16"/>
          <w:szCs w:val="16"/>
          <w:shd w:val="clear" w:color="auto" w:fill="FFFFFF"/>
        </w:rPr>
        <w:t>unque</w:t>
      </w:r>
      <w:proofErr w:type="spellEnd"/>
      <w:r w:rsidRPr="00634559">
        <w:rPr>
          <w:rFonts w:ascii="Verdana" w:hAnsi="Verdana"/>
          <w:i/>
          <w:iCs/>
          <w:sz w:val="16"/>
          <w:szCs w:val="16"/>
          <w:shd w:val="clear" w:color="auto" w:fill="FFFFFF"/>
        </w:rPr>
        <w:t xml:space="preserve"> el derecho a la defensa técnica se proyecta con mayor intensidad en el desarrollo del proceso penal, en razón de los intereses jurídicos que allí se ven comprometidos, la Corte ha establecido que esta prerrogativa debe ser garantizada por el Estado en el ámbito de cualquier proceso o actuación judicial o administrativa, de tal forma que permita a las personas hacer valer sus derechos sustanciales y hacer cumplir las formalidades propias de cada juicio</w:t>
      </w:r>
      <w:r w:rsidRPr="00634559">
        <w:rPr>
          <w:rFonts w:ascii="Verdana" w:hAnsi="Verdana"/>
          <w:i/>
          <w:iCs/>
          <w:sz w:val="16"/>
          <w:szCs w:val="16"/>
        </w:rPr>
        <w:t>.”</w:t>
      </w:r>
    </w:p>
  </w:footnote>
  <w:footnote w:id="5">
    <w:p w14:paraId="0E0829FF"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Ver Ley 1123 de 2007 (Código Disciplinario del Abogado).</w:t>
      </w:r>
    </w:p>
  </w:footnote>
  <w:footnote w:id="6">
    <w:p w14:paraId="6A3FDA80"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Ver artículo 445 de la Ley 599 de 2000 (Infidelidad a los deberes profesionales).</w:t>
      </w:r>
    </w:p>
  </w:footnote>
  <w:footnote w:id="7">
    <w:p w14:paraId="2EAE498D"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i/>
          <w:iCs/>
          <w:sz w:val="16"/>
          <w:szCs w:val="16"/>
          <w:lang w:val="es-CO"/>
        </w:rPr>
        <w:t>Cfr</w:t>
      </w:r>
      <w:r w:rsidRPr="00634559">
        <w:rPr>
          <w:rFonts w:ascii="Verdana" w:hAnsi="Verdana"/>
          <w:sz w:val="16"/>
          <w:szCs w:val="16"/>
          <w:lang w:val="es-CO"/>
        </w:rPr>
        <w:t>. Sentencia C-069 de 2009 (MP Clara Inés Vargas Hernández)</w:t>
      </w:r>
    </w:p>
  </w:footnote>
  <w:footnote w:id="8">
    <w:p w14:paraId="6F487306"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MP Eduardo Cifuentes Muñoz.</w:t>
      </w:r>
    </w:p>
  </w:footnote>
  <w:footnote w:id="9">
    <w:p w14:paraId="49718DFD"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MP Mauricio González Cuervo.</w:t>
      </w:r>
    </w:p>
  </w:footnote>
  <w:footnote w:id="10">
    <w:p w14:paraId="2460F077" w14:textId="77777777" w:rsidR="009C6D25" w:rsidRPr="00634559" w:rsidRDefault="009C6D25" w:rsidP="009C6D25">
      <w:pPr>
        <w:shd w:val="clear" w:color="auto" w:fill="FFFFFF"/>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1" w:name="_ftn39"/>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"https://www.corteconstitucional.gov.co/relatoria/2008/T-831-08.htm" \l "_ftnref39" </w:instrText>
      </w:r>
      <w:r w:rsidRPr="00634559">
        <w:rPr>
          <w:rFonts w:ascii="Verdana" w:hAnsi="Verdana"/>
          <w:sz w:val="16"/>
          <w:szCs w:val="16"/>
        </w:rPr>
        <w:fldChar w:fldCharType="separate"/>
      </w:r>
      <w:r w:rsidRPr="00634559">
        <w:rPr>
          <w:rStyle w:val="Hipervnculo"/>
          <w:rFonts w:ascii="Verdana" w:hAnsi="Verdana"/>
          <w:sz w:val="16"/>
          <w:szCs w:val="16"/>
          <w:lang w:val="es-CO" w:eastAsia="es-CO"/>
        </w:rPr>
        <w:t>[39]</w:t>
      </w:r>
      <w:r w:rsidRPr="00634559">
        <w:rPr>
          <w:rFonts w:ascii="Verdana" w:hAnsi="Verdana"/>
          <w:sz w:val="16"/>
          <w:szCs w:val="16"/>
        </w:rPr>
        <w:fldChar w:fldCharType="end"/>
      </w:r>
      <w:bookmarkEnd w:id="1"/>
      <w:r w:rsidRPr="00634559">
        <w:rPr>
          <w:rFonts w:ascii="Verdana" w:hAnsi="Verdana"/>
          <w:sz w:val="16"/>
          <w:szCs w:val="16"/>
          <w:lang w:val="es-CO" w:eastAsia="es-CO"/>
        </w:rPr>
        <w:t> Sentencias T-654 de 1998 M.P. Eduardo Cifuentes Muñoz, T-784 de 2000 M.P. Vladimiro Naranjo Mesa, T-028 de 2005 M.P. Clara Inés Vargas Hernández, T-066 de 2005 M.P. Rodrigo Escobar Gil (,) T-068 de 2005 M.P. Rodrigo Escobar Gil.</w:t>
      </w:r>
    </w:p>
  </w:footnote>
  <w:footnote w:id="11">
    <w:p w14:paraId="35F5B8A2"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MP Luis Ernesto Vargas Silva.</w:t>
      </w:r>
    </w:p>
  </w:footnote>
  <w:footnote w:id="12">
    <w:p w14:paraId="2EB8E98E"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3" w:name="_ftn37"/>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"https://www.corteconstitucional.gov.co/relatoria/2012/t-131-12.htm" \l "_ftnref37" </w:instrText>
      </w:r>
      <w:r w:rsidRPr="00634559">
        <w:rPr>
          <w:rFonts w:ascii="Verdana" w:hAnsi="Verdana"/>
          <w:sz w:val="16"/>
          <w:szCs w:val="16"/>
        </w:rPr>
        <w:fldChar w:fldCharType="separate"/>
      </w:r>
      <w:r w:rsidRPr="00634559">
        <w:rPr>
          <w:rStyle w:val="Hipervnculo"/>
          <w:rFonts w:ascii="Verdana" w:hAnsi="Verdana"/>
          <w:sz w:val="16"/>
          <w:szCs w:val="16"/>
          <w:shd w:val="clear" w:color="auto" w:fill="FFFFFF"/>
        </w:rPr>
        <w:t>[37]</w:t>
      </w:r>
      <w:r w:rsidRPr="00634559">
        <w:rPr>
          <w:rFonts w:ascii="Verdana" w:hAnsi="Verdana"/>
          <w:sz w:val="16"/>
          <w:szCs w:val="16"/>
        </w:rPr>
        <w:fldChar w:fldCharType="end"/>
      </w:r>
      <w:bookmarkEnd w:id="3"/>
      <w:r w:rsidRPr="00634559">
        <w:rPr>
          <w:rFonts w:ascii="Verdana" w:hAnsi="Verdana"/>
          <w:sz w:val="16"/>
          <w:szCs w:val="16"/>
          <w:shd w:val="clear" w:color="auto" w:fill="FFFFFF"/>
        </w:rPr>
        <w:t> Ver, entre muchas otras, las sentencias T-654 de 1994, C-488 de 1996 y SU-960 de 1999.</w:t>
      </w:r>
    </w:p>
  </w:footnote>
  <w:footnote w:id="13">
    <w:p w14:paraId="06E4CA1A"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5" w:name="_ftn38"/>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"https://www.corteconstitucional.gov.co/relatoria/2012/t-131-12.htm" \l "_ftnref38" </w:instrText>
      </w:r>
      <w:r w:rsidRPr="00634559">
        <w:rPr>
          <w:rFonts w:ascii="Verdana" w:hAnsi="Verdana"/>
          <w:sz w:val="16"/>
          <w:szCs w:val="16"/>
        </w:rPr>
        <w:fldChar w:fldCharType="separate"/>
      </w:r>
      <w:r w:rsidRPr="00634559">
        <w:rPr>
          <w:rStyle w:val="Hipervnculo"/>
          <w:rFonts w:ascii="Verdana" w:hAnsi="Verdana"/>
          <w:sz w:val="16"/>
          <w:szCs w:val="16"/>
          <w:shd w:val="clear" w:color="auto" w:fill="FFFFFF"/>
        </w:rPr>
        <w:t>[38]</w:t>
      </w:r>
      <w:r w:rsidRPr="00634559">
        <w:rPr>
          <w:rFonts w:ascii="Verdana" w:hAnsi="Verdana"/>
          <w:sz w:val="16"/>
          <w:szCs w:val="16"/>
        </w:rPr>
        <w:fldChar w:fldCharType="end"/>
      </w:r>
      <w:bookmarkEnd w:id="5"/>
      <w:r w:rsidRPr="00634559">
        <w:rPr>
          <w:rFonts w:ascii="Verdana" w:hAnsi="Verdana"/>
          <w:sz w:val="16"/>
          <w:szCs w:val="16"/>
          <w:shd w:val="clear" w:color="auto" w:fill="FFFFFF"/>
        </w:rPr>
        <w:t>Ver sentencias T-654 y T-776 ambas de 1998. Más recientemente ver la sentencia T-957 de 2006</w:t>
      </w:r>
    </w:p>
  </w:footnote>
  <w:footnote w:id="14">
    <w:p w14:paraId="1229EEF0"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MP Carlos Bernal Pulido.</w:t>
      </w:r>
    </w:p>
  </w:footnote>
  <w:footnote w:id="15">
    <w:p w14:paraId="6DC01619"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7" w:name="_ftn144"/>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"https://www.corteconstitucional.gov.co/relatoria/2018/t-385-18.htm" \l "_ftnref144" </w:instrText>
      </w:r>
      <w:r w:rsidRPr="00634559">
        <w:rPr>
          <w:rFonts w:ascii="Verdana" w:hAnsi="Verdana"/>
          <w:sz w:val="16"/>
          <w:szCs w:val="16"/>
        </w:rPr>
        <w:fldChar w:fldCharType="separate"/>
      </w:r>
      <w:r w:rsidRPr="00634559">
        <w:rPr>
          <w:rStyle w:val="Hipervnculo"/>
          <w:rFonts w:ascii="Verdana" w:hAnsi="Verdana"/>
          <w:sz w:val="16"/>
          <w:szCs w:val="16"/>
          <w:shd w:val="clear" w:color="auto" w:fill="FFFFFF"/>
        </w:rPr>
        <w:t>[144]</w:t>
      </w:r>
      <w:r w:rsidRPr="00634559">
        <w:rPr>
          <w:rFonts w:ascii="Verdana" w:hAnsi="Verdana"/>
          <w:sz w:val="16"/>
          <w:szCs w:val="16"/>
        </w:rPr>
        <w:fldChar w:fldCharType="end"/>
      </w:r>
      <w:bookmarkEnd w:id="7"/>
      <w:r w:rsidRPr="00634559">
        <w:rPr>
          <w:rFonts w:ascii="Verdana" w:hAnsi="Verdana"/>
          <w:sz w:val="16"/>
          <w:szCs w:val="16"/>
          <w:shd w:val="clear" w:color="auto" w:fill="FFFFFF"/>
        </w:rPr>
        <w:t> </w:t>
      </w:r>
      <w:r w:rsidRPr="00634559">
        <w:rPr>
          <w:rFonts w:ascii="Verdana" w:hAnsi="Verdana"/>
          <w:sz w:val="16"/>
          <w:szCs w:val="16"/>
          <w:shd w:val="clear" w:color="auto" w:fill="FFFFFF"/>
          <w:lang w:val="es-US"/>
        </w:rPr>
        <w:t>Cfr. </w:t>
      </w:r>
      <w:r w:rsidRPr="00634559">
        <w:rPr>
          <w:rFonts w:ascii="Verdana" w:hAnsi="Verdana"/>
          <w:sz w:val="16"/>
          <w:szCs w:val="16"/>
          <w:shd w:val="clear" w:color="auto" w:fill="FFFFFF"/>
        </w:rPr>
        <w:t>Corte Suprema de Justicia, Sala de Casación Penal. Sentencia del 8 de mayo de 2008, con Radicado No. 28115.</w:t>
      </w:r>
    </w:p>
  </w:footnote>
  <w:footnote w:id="16">
    <w:p w14:paraId="7D1C9DA9"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 xml:space="preserve">MP Antonio José Lizarazo Ocampo. </w:t>
      </w:r>
    </w:p>
  </w:footnote>
  <w:footnote w:id="17">
    <w:p w14:paraId="4DD961D7"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9" w:name="_ftn15"/>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"https://www.corteconstitucional.gov.co/relatoria/2018/t-463-18.htm" \l "_ftnref15" </w:instrText>
      </w:r>
      <w:r w:rsidRPr="00634559">
        <w:rPr>
          <w:rFonts w:ascii="Verdana" w:hAnsi="Verdana"/>
          <w:sz w:val="16"/>
          <w:szCs w:val="16"/>
        </w:rPr>
        <w:fldChar w:fldCharType="separate"/>
      </w:r>
      <w:r w:rsidRPr="00634559">
        <w:rPr>
          <w:rStyle w:val="Hipervnculo"/>
          <w:rFonts w:ascii="Verdana" w:hAnsi="Verdana"/>
          <w:sz w:val="16"/>
          <w:szCs w:val="16"/>
          <w:shd w:val="clear" w:color="auto" w:fill="FFFFFF"/>
        </w:rPr>
        <w:t>[15]</w:t>
      </w:r>
      <w:r w:rsidRPr="00634559">
        <w:rPr>
          <w:rFonts w:ascii="Verdana" w:hAnsi="Verdana"/>
          <w:sz w:val="16"/>
          <w:szCs w:val="16"/>
        </w:rPr>
        <w:fldChar w:fldCharType="end"/>
      </w:r>
      <w:bookmarkEnd w:id="9"/>
      <w:r w:rsidRPr="00634559">
        <w:rPr>
          <w:rFonts w:ascii="Verdana" w:hAnsi="Verdana"/>
          <w:sz w:val="16"/>
          <w:szCs w:val="16"/>
          <w:shd w:val="clear" w:color="auto" w:fill="FFFFFF"/>
        </w:rPr>
        <w:t> La expresión es tomada literalmente de la sentencia T-1049 de 2012 que, retoma las consideraciones de las sentencias T-450/11 M.P Humberto Sierra Porto y T-831/08 M.P Mauricio González.</w:t>
      </w:r>
    </w:p>
  </w:footnote>
  <w:footnote w:id="18">
    <w:p w14:paraId="278B6247"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bookmarkStart w:id="11" w:name="_ftn16"/>
      <w:r w:rsidRPr="00634559">
        <w:rPr>
          <w:rFonts w:ascii="Verdana" w:hAnsi="Verdana"/>
          <w:sz w:val="16"/>
          <w:szCs w:val="16"/>
        </w:rPr>
        <w:fldChar w:fldCharType="begin"/>
      </w:r>
      <w:r w:rsidRPr="00634559">
        <w:rPr>
          <w:rFonts w:ascii="Verdana" w:hAnsi="Verdana"/>
          <w:sz w:val="16"/>
          <w:szCs w:val="16"/>
        </w:rPr>
        <w:instrText xml:space="preserve"> HYPERLINK "https://www.corteconstitucional.gov.co/relatoria/2018/t-463-18.htm" \l "_ftnref16" </w:instrText>
      </w:r>
      <w:r w:rsidRPr="00634559">
        <w:rPr>
          <w:rFonts w:ascii="Verdana" w:hAnsi="Verdana"/>
          <w:sz w:val="16"/>
          <w:szCs w:val="16"/>
        </w:rPr>
        <w:fldChar w:fldCharType="separate"/>
      </w:r>
      <w:r w:rsidRPr="00634559">
        <w:rPr>
          <w:rStyle w:val="Hipervnculo"/>
          <w:rFonts w:ascii="Verdana" w:hAnsi="Verdana"/>
          <w:sz w:val="16"/>
          <w:szCs w:val="16"/>
          <w:shd w:val="clear" w:color="auto" w:fill="FFFFFF"/>
        </w:rPr>
        <w:t>[16]</w:t>
      </w:r>
      <w:r w:rsidRPr="00634559">
        <w:rPr>
          <w:rFonts w:ascii="Verdana" w:hAnsi="Verdana"/>
          <w:sz w:val="16"/>
          <w:szCs w:val="16"/>
        </w:rPr>
        <w:fldChar w:fldCharType="end"/>
      </w:r>
      <w:bookmarkEnd w:id="11"/>
      <w:r w:rsidRPr="00634559">
        <w:rPr>
          <w:rFonts w:ascii="Verdana" w:hAnsi="Verdana"/>
          <w:sz w:val="16"/>
          <w:szCs w:val="16"/>
          <w:shd w:val="clear" w:color="auto" w:fill="FFFFFF"/>
        </w:rPr>
        <w:t> </w:t>
      </w:r>
      <w:r w:rsidRPr="00634559">
        <w:rPr>
          <w:rFonts w:ascii="Verdana" w:hAnsi="Verdana"/>
          <w:i/>
          <w:iCs/>
          <w:sz w:val="16"/>
          <w:szCs w:val="16"/>
          <w:shd w:val="clear" w:color="auto" w:fill="FFFFFF"/>
        </w:rPr>
        <w:t>Sobre este tema ver las sentencias T-450/11 M.P Humberto Sierra Porto, T-395/10 M.P Jorge Ignacio Pretelt; T-831/08 M.P Mauricio González, T-962/07 M.P Clara Inés Vargas Hernández, T-068/05 M.P. Rodrigo Escobar Gil, T-028/05 M.P. Clara Inés Vargas Hernández, T-784/00 M.P. Vladimiro Naranjo Mesa, y T-654/98 M.P. Eduardo Cifuentes Muñoz. </w:t>
      </w:r>
      <w:r w:rsidRPr="00634559">
        <w:rPr>
          <w:rFonts w:ascii="Verdana" w:hAnsi="Verdana"/>
          <w:sz w:val="16"/>
          <w:szCs w:val="16"/>
          <w:shd w:val="clear" w:color="auto" w:fill="FFFFFF"/>
        </w:rPr>
        <w:t>Citadas por la sentencia T-1049 de 2012.</w:t>
      </w:r>
    </w:p>
  </w:footnote>
  <w:footnote w:id="19">
    <w:p w14:paraId="29460A39" w14:textId="77777777" w:rsidR="009C6D25" w:rsidRPr="00634559" w:rsidRDefault="009C6D25" w:rsidP="009C6D25">
      <w:pPr>
        <w:pStyle w:val="Textonotapie"/>
        <w:jc w:val="both"/>
        <w:rPr>
          <w:rFonts w:ascii="Verdana" w:hAnsi="Verdana"/>
          <w:sz w:val="16"/>
          <w:szCs w:val="16"/>
        </w:rPr>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MP Carlos Bernal Pulido.</w:t>
      </w:r>
    </w:p>
  </w:footnote>
  <w:footnote w:id="20">
    <w:p w14:paraId="7F02EAAB" w14:textId="77777777" w:rsidR="009C6D25" w:rsidRDefault="009C6D25" w:rsidP="009C6D25">
      <w:pPr>
        <w:pStyle w:val="Textonotapie"/>
        <w:jc w:val="both"/>
      </w:pPr>
      <w:r w:rsidRPr="00634559">
        <w:rPr>
          <w:rStyle w:val="Refdenotaalpie"/>
          <w:rFonts w:ascii="Verdana" w:hAnsi="Verdana"/>
          <w:sz w:val="16"/>
          <w:szCs w:val="16"/>
        </w:rPr>
        <w:footnoteRef/>
      </w:r>
      <w:r w:rsidRPr="00634559">
        <w:rPr>
          <w:rFonts w:ascii="Verdana" w:hAnsi="Verdana"/>
          <w:sz w:val="16"/>
          <w:szCs w:val="16"/>
        </w:rPr>
        <w:t xml:space="preserve"> </w:t>
      </w:r>
      <w:r w:rsidRPr="00634559">
        <w:rPr>
          <w:rFonts w:ascii="Verdana" w:hAnsi="Verdana"/>
          <w:sz w:val="16"/>
          <w:szCs w:val="16"/>
          <w:lang w:val="es-CO"/>
        </w:rPr>
        <w:t>Como fundamento de su decisión, la Sala Plena consideró que “</w:t>
      </w:r>
      <w:r w:rsidRPr="00634559">
        <w:rPr>
          <w:rFonts w:ascii="Verdana" w:hAnsi="Verdana"/>
          <w:i/>
          <w:iCs/>
          <w:sz w:val="16"/>
          <w:szCs w:val="16"/>
          <w:lang w:val="es-CO"/>
        </w:rPr>
        <w:t>e</w:t>
      </w:r>
      <w:r w:rsidRPr="00634559">
        <w:rPr>
          <w:rFonts w:ascii="Verdana" w:hAnsi="Verdana"/>
          <w:i/>
          <w:iCs/>
          <w:sz w:val="16"/>
          <w:szCs w:val="16"/>
          <w:shd w:val="clear" w:color="auto" w:fill="FFFFFF"/>
        </w:rPr>
        <w:t xml:space="preserve">l Juez Treinta y Dos Laboral del Circuito de Bogotá desconoció “los postulados procesales aplicables al caso”, por cuanto adelantó el trámite laboral ordinario de primera instancia, a pesar de que María </w:t>
      </w:r>
      <w:proofErr w:type="spellStart"/>
      <w:r w:rsidRPr="00634559">
        <w:rPr>
          <w:rFonts w:ascii="Verdana" w:hAnsi="Verdana"/>
          <w:i/>
          <w:iCs/>
          <w:sz w:val="16"/>
          <w:szCs w:val="16"/>
          <w:shd w:val="clear" w:color="auto" w:fill="FFFFFF"/>
        </w:rPr>
        <w:t>Analfi</w:t>
      </w:r>
      <w:proofErr w:type="spellEnd"/>
      <w:r w:rsidRPr="00634559">
        <w:rPr>
          <w:rFonts w:ascii="Verdana" w:hAnsi="Verdana"/>
          <w:i/>
          <w:iCs/>
          <w:sz w:val="16"/>
          <w:szCs w:val="16"/>
          <w:shd w:val="clear" w:color="auto" w:fill="FFFFFF"/>
        </w:rPr>
        <w:t xml:space="preserve"> Santa no contaba con la debida representación judicial y, con ello, vulneró su derecho fundamental al debido proceso. Además, dicha omisión por parte de la autoridad judicial configuró un “defecto procedimental absoluto” por ausencia de defensa técnica, dado que (i) no se encontraba amparada por una estrategia de defensa judicial; (</w:t>
      </w:r>
      <w:proofErr w:type="spellStart"/>
      <w:r w:rsidRPr="00634559">
        <w:rPr>
          <w:rFonts w:ascii="Verdana" w:hAnsi="Verdana"/>
          <w:i/>
          <w:iCs/>
          <w:sz w:val="16"/>
          <w:szCs w:val="16"/>
          <w:shd w:val="clear" w:color="auto" w:fill="FFFFFF"/>
        </w:rPr>
        <w:t>ii</w:t>
      </w:r>
      <w:proofErr w:type="spellEnd"/>
      <w:r w:rsidRPr="00634559">
        <w:rPr>
          <w:rFonts w:ascii="Verdana" w:hAnsi="Verdana"/>
          <w:i/>
          <w:iCs/>
          <w:sz w:val="16"/>
          <w:szCs w:val="16"/>
          <w:shd w:val="clear" w:color="auto" w:fill="FFFFFF"/>
        </w:rPr>
        <w:t xml:space="preserve">) no le era imputable a María </w:t>
      </w:r>
      <w:proofErr w:type="spellStart"/>
      <w:r w:rsidRPr="00634559">
        <w:rPr>
          <w:rFonts w:ascii="Verdana" w:hAnsi="Verdana"/>
          <w:i/>
          <w:iCs/>
          <w:sz w:val="16"/>
          <w:szCs w:val="16"/>
          <w:shd w:val="clear" w:color="auto" w:fill="FFFFFF"/>
        </w:rPr>
        <w:t>Analfi</w:t>
      </w:r>
      <w:proofErr w:type="spellEnd"/>
      <w:r w:rsidRPr="00634559">
        <w:rPr>
          <w:rFonts w:ascii="Verdana" w:hAnsi="Verdana"/>
          <w:i/>
          <w:iCs/>
          <w:sz w:val="16"/>
          <w:szCs w:val="16"/>
          <w:shd w:val="clear" w:color="auto" w:fill="FFFFFF"/>
        </w:rPr>
        <w:t xml:space="preserve"> Santa, (</w:t>
      </w:r>
      <w:proofErr w:type="spellStart"/>
      <w:r w:rsidRPr="00634559">
        <w:rPr>
          <w:rFonts w:ascii="Verdana" w:hAnsi="Verdana"/>
          <w:i/>
          <w:iCs/>
          <w:sz w:val="16"/>
          <w:szCs w:val="16"/>
          <w:shd w:val="clear" w:color="auto" w:fill="FFFFFF"/>
        </w:rPr>
        <w:t>iii</w:t>
      </w:r>
      <w:proofErr w:type="spellEnd"/>
      <w:r w:rsidRPr="00634559">
        <w:rPr>
          <w:rFonts w:ascii="Verdana" w:hAnsi="Verdana"/>
          <w:i/>
          <w:iCs/>
          <w:sz w:val="16"/>
          <w:szCs w:val="16"/>
          <w:shd w:val="clear" w:color="auto" w:fill="FFFFFF"/>
        </w:rPr>
        <w:t>) fue determinante para el sentido de las decisiones judiciales y (</w:t>
      </w:r>
      <w:proofErr w:type="spellStart"/>
      <w:r w:rsidRPr="00634559">
        <w:rPr>
          <w:rFonts w:ascii="Verdana" w:hAnsi="Verdana"/>
          <w:i/>
          <w:iCs/>
          <w:sz w:val="16"/>
          <w:szCs w:val="16"/>
          <w:shd w:val="clear" w:color="auto" w:fill="FFFFFF"/>
        </w:rPr>
        <w:t>iv</w:t>
      </w:r>
      <w:proofErr w:type="spellEnd"/>
      <w:r w:rsidRPr="00634559">
        <w:rPr>
          <w:rFonts w:ascii="Verdana" w:hAnsi="Verdana"/>
          <w:i/>
          <w:iCs/>
          <w:sz w:val="16"/>
          <w:szCs w:val="16"/>
          <w:shd w:val="clear" w:color="auto" w:fill="FFFFFF"/>
        </w:rPr>
        <w:t>) afectó de forma evidente los derechos fundamentales de la accionante.”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F35D7"/>
    <w:multiLevelType w:val="hybridMultilevel"/>
    <w:tmpl w:val="8406512C"/>
    <w:lvl w:ilvl="0" w:tplc="B3DEDE30">
      <w:start w:val="1"/>
      <w:numFmt w:val="lowerRoman"/>
      <w:lvlText w:val="(%1)"/>
      <w:lvlJc w:val="left"/>
      <w:pPr>
        <w:ind w:left="1392" w:hanging="825"/>
      </w:pPr>
      <w:rPr>
        <w:rFonts w:cs="Times New Roman"/>
      </w:rPr>
    </w:lvl>
    <w:lvl w:ilvl="1" w:tplc="240A0019">
      <w:start w:val="1"/>
      <w:numFmt w:val="lowerLetter"/>
      <w:lvlText w:val="%2."/>
      <w:lvlJc w:val="left"/>
      <w:pPr>
        <w:ind w:left="1647" w:hanging="360"/>
      </w:pPr>
      <w:rPr>
        <w:rFonts w:cs="Times New Roman"/>
      </w:rPr>
    </w:lvl>
    <w:lvl w:ilvl="2" w:tplc="240A001B">
      <w:start w:val="1"/>
      <w:numFmt w:val="lowerRoman"/>
      <w:lvlText w:val="%3."/>
      <w:lvlJc w:val="right"/>
      <w:pPr>
        <w:ind w:left="2367" w:hanging="180"/>
      </w:pPr>
      <w:rPr>
        <w:rFonts w:cs="Times New Roman"/>
      </w:rPr>
    </w:lvl>
    <w:lvl w:ilvl="3" w:tplc="240A000F">
      <w:start w:val="1"/>
      <w:numFmt w:val="decimal"/>
      <w:lvlText w:val="%4."/>
      <w:lvlJc w:val="left"/>
      <w:pPr>
        <w:ind w:left="3087" w:hanging="360"/>
      </w:pPr>
      <w:rPr>
        <w:rFonts w:cs="Times New Roman"/>
      </w:rPr>
    </w:lvl>
    <w:lvl w:ilvl="4" w:tplc="240A0019">
      <w:start w:val="1"/>
      <w:numFmt w:val="lowerLetter"/>
      <w:lvlText w:val="%5."/>
      <w:lvlJc w:val="left"/>
      <w:pPr>
        <w:ind w:left="3807" w:hanging="360"/>
      </w:pPr>
      <w:rPr>
        <w:rFonts w:cs="Times New Roman"/>
      </w:rPr>
    </w:lvl>
    <w:lvl w:ilvl="5" w:tplc="240A001B">
      <w:start w:val="1"/>
      <w:numFmt w:val="lowerRoman"/>
      <w:lvlText w:val="%6."/>
      <w:lvlJc w:val="right"/>
      <w:pPr>
        <w:ind w:left="4527" w:hanging="180"/>
      </w:pPr>
      <w:rPr>
        <w:rFonts w:cs="Times New Roman"/>
      </w:rPr>
    </w:lvl>
    <w:lvl w:ilvl="6" w:tplc="240A000F">
      <w:start w:val="1"/>
      <w:numFmt w:val="decimal"/>
      <w:lvlText w:val="%7."/>
      <w:lvlJc w:val="left"/>
      <w:pPr>
        <w:ind w:left="5247" w:hanging="360"/>
      </w:pPr>
      <w:rPr>
        <w:rFonts w:cs="Times New Roman"/>
      </w:rPr>
    </w:lvl>
    <w:lvl w:ilvl="7" w:tplc="240A0019">
      <w:start w:val="1"/>
      <w:numFmt w:val="lowerLetter"/>
      <w:lvlText w:val="%8."/>
      <w:lvlJc w:val="left"/>
      <w:pPr>
        <w:ind w:left="5967" w:hanging="360"/>
      </w:pPr>
      <w:rPr>
        <w:rFonts w:cs="Times New Roman"/>
      </w:rPr>
    </w:lvl>
    <w:lvl w:ilvl="8" w:tplc="240A001B">
      <w:start w:val="1"/>
      <w:numFmt w:val="lowerRoman"/>
      <w:lvlText w:val="%9."/>
      <w:lvlJc w:val="right"/>
      <w:pPr>
        <w:ind w:left="6687" w:hanging="180"/>
      </w:pPr>
      <w:rPr>
        <w:rFonts w:cs="Times New Roman"/>
      </w:rPr>
    </w:lvl>
  </w:abstractNum>
  <w:abstractNum w:abstractNumId="1" w15:restartNumberingAfterBreak="0">
    <w:nsid w:val="217004E4"/>
    <w:multiLevelType w:val="hybridMultilevel"/>
    <w:tmpl w:val="779642A4"/>
    <w:lvl w:ilvl="0" w:tplc="BF1AC2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BD"/>
    <w:rsid w:val="000951EE"/>
    <w:rsid w:val="000B5BC0"/>
    <w:rsid w:val="00112F80"/>
    <w:rsid w:val="00250FBE"/>
    <w:rsid w:val="00261F81"/>
    <w:rsid w:val="00263AEA"/>
    <w:rsid w:val="002774C6"/>
    <w:rsid w:val="002C58AC"/>
    <w:rsid w:val="003D0B90"/>
    <w:rsid w:val="003F187E"/>
    <w:rsid w:val="003F5490"/>
    <w:rsid w:val="00440FC1"/>
    <w:rsid w:val="00446724"/>
    <w:rsid w:val="00451CE3"/>
    <w:rsid w:val="004553F0"/>
    <w:rsid w:val="004F2AB0"/>
    <w:rsid w:val="005024A6"/>
    <w:rsid w:val="00577CAD"/>
    <w:rsid w:val="005C65B1"/>
    <w:rsid w:val="005C6E3B"/>
    <w:rsid w:val="00634559"/>
    <w:rsid w:val="00684AA5"/>
    <w:rsid w:val="006A084D"/>
    <w:rsid w:val="006B3E12"/>
    <w:rsid w:val="006C6154"/>
    <w:rsid w:val="006D52F8"/>
    <w:rsid w:val="00772BC0"/>
    <w:rsid w:val="0077685C"/>
    <w:rsid w:val="00790ED5"/>
    <w:rsid w:val="007B50F9"/>
    <w:rsid w:val="007D7FFE"/>
    <w:rsid w:val="00863144"/>
    <w:rsid w:val="008A0C85"/>
    <w:rsid w:val="008C3B39"/>
    <w:rsid w:val="009053D1"/>
    <w:rsid w:val="0092376A"/>
    <w:rsid w:val="009301C7"/>
    <w:rsid w:val="00951F34"/>
    <w:rsid w:val="00960646"/>
    <w:rsid w:val="009B224F"/>
    <w:rsid w:val="009C6D25"/>
    <w:rsid w:val="00A439F2"/>
    <w:rsid w:val="00B444AA"/>
    <w:rsid w:val="00C30EC1"/>
    <w:rsid w:val="00CB22DA"/>
    <w:rsid w:val="00CD00E8"/>
    <w:rsid w:val="00CF4147"/>
    <w:rsid w:val="00D20143"/>
    <w:rsid w:val="00D671BD"/>
    <w:rsid w:val="00D80EA1"/>
    <w:rsid w:val="00DC45F8"/>
    <w:rsid w:val="00DC6E1B"/>
    <w:rsid w:val="00E35157"/>
    <w:rsid w:val="00E4353E"/>
    <w:rsid w:val="00F875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DDEC5"/>
  <w15:chartTrackingRefBased/>
  <w15:docId w15:val="{C0976502-C4E2-4A29-83E5-00F1F82D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1BD"/>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671BD"/>
    <w:pPr>
      <w:spacing w:after="0" w:line="240" w:lineRule="auto"/>
    </w:pPr>
  </w:style>
  <w:style w:type="character" w:customStyle="1" w:styleId="markwewjy86vq">
    <w:name w:val="markwewjy86vq"/>
    <w:basedOn w:val="Fuentedeprrafopredeter"/>
    <w:rsid w:val="003D0B90"/>
  </w:style>
  <w:style w:type="character" w:styleId="Hipervnculo">
    <w:name w:val="Hyperlink"/>
    <w:basedOn w:val="Fuentedeprrafopredeter"/>
    <w:uiPriority w:val="99"/>
    <w:unhideWhenUsed/>
    <w:rsid w:val="009C6D25"/>
    <w:rPr>
      <w:rFonts w:ascii="Times New Roman" w:hAnsi="Times New Roman" w:cs="Times New Roman" w:hint="default"/>
      <w:color w:val="0563C1" w:themeColor="hyperlink"/>
      <w:u w:val="single"/>
    </w:rPr>
  </w:style>
  <w:style w:type="character" w:customStyle="1" w:styleId="TextonotapieCar">
    <w:name w:val="Texto nota pie Car"/>
    <w:aliases w:val="Ref. de nota al pie1 Car,Texto de nota al pie Car,referencia nota al pie Car,Footnotes refss Car,Appel note de bas de page Car,Fago Fußnotenzeichen Car,Footnote number Car,BVI fnr Car,f Car,Ref. de nota al pie 2 Car,4_G Car,Ref Car"/>
    <w:basedOn w:val="Fuentedeprrafopredeter"/>
    <w:link w:val="Textonotapie"/>
    <w:uiPriority w:val="99"/>
    <w:semiHidden/>
    <w:qFormat/>
    <w:locked/>
    <w:rsid w:val="009C6D25"/>
    <w:rPr>
      <w:rFonts w:ascii="Times New Roman" w:hAnsi="Times New Roman" w:cs="Times New Roman"/>
      <w:sz w:val="20"/>
      <w:szCs w:val="20"/>
      <w:lang w:eastAsia="es-ES"/>
    </w:rPr>
  </w:style>
  <w:style w:type="paragraph" w:styleId="Textonotapie">
    <w:name w:val="footnote text"/>
    <w:aliases w:val="Ref. de nota al pie1,Texto de nota al pie,referencia nota al pie,Footnotes refss,Appel note de bas de page,Fago Fußnotenzeichen,Footnote number,BVI fnr,f,Ref. de nota al pie 2,4_G,16 Point,Superscript 6 Point,Footnote symbol,Footnote,Ref"/>
    <w:basedOn w:val="Normal"/>
    <w:link w:val="TextonotapieCar"/>
    <w:uiPriority w:val="99"/>
    <w:semiHidden/>
    <w:unhideWhenUsed/>
    <w:qFormat/>
    <w:rsid w:val="009C6D25"/>
    <w:pPr>
      <w:spacing w:after="0" w:line="240" w:lineRule="auto"/>
    </w:pPr>
    <w:rPr>
      <w:rFonts w:ascii="Times New Roman" w:eastAsiaTheme="minorHAnsi" w:hAnsi="Times New Roman"/>
      <w:sz w:val="20"/>
      <w:szCs w:val="20"/>
      <w:lang w:eastAsia="es-ES"/>
    </w:rPr>
  </w:style>
  <w:style w:type="character" w:customStyle="1" w:styleId="TextonotapieCar1">
    <w:name w:val="Texto nota pie Car1"/>
    <w:basedOn w:val="Fuentedeprrafopredeter"/>
    <w:uiPriority w:val="99"/>
    <w:semiHidden/>
    <w:rsid w:val="009C6D25"/>
    <w:rPr>
      <w:rFonts w:ascii="Calibri" w:eastAsia="Times New Roman" w:hAnsi="Calibri" w:cs="Times New Roman"/>
      <w:sz w:val="20"/>
      <w:szCs w:val="20"/>
    </w:rPr>
  </w:style>
  <w:style w:type="character" w:customStyle="1" w:styleId="PrrafodelistaCar">
    <w:name w:val="Párrafo de lista Car"/>
    <w:link w:val="Prrafodelista"/>
    <w:uiPriority w:val="34"/>
    <w:locked/>
    <w:rsid w:val="009C6D25"/>
    <w:rPr>
      <w:rFonts w:ascii="Times New Roman" w:hAnsi="Times New Roman" w:cs="Times New Roman"/>
      <w:sz w:val="24"/>
      <w:szCs w:val="24"/>
      <w:lang w:eastAsia="es-CO"/>
    </w:rPr>
  </w:style>
  <w:style w:type="paragraph" w:styleId="Prrafodelista">
    <w:name w:val="List Paragraph"/>
    <w:basedOn w:val="Normal"/>
    <w:link w:val="PrrafodelistaCar"/>
    <w:uiPriority w:val="34"/>
    <w:qFormat/>
    <w:rsid w:val="009C6D25"/>
    <w:pPr>
      <w:spacing w:after="0" w:line="256" w:lineRule="auto"/>
      <w:ind w:left="720"/>
      <w:contextualSpacing/>
    </w:pPr>
    <w:rPr>
      <w:rFonts w:ascii="Times New Roman" w:eastAsiaTheme="minorHAnsi" w:hAnsi="Times New Roman"/>
      <w:sz w:val="24"/>
      <w:szCs w:val="24"/>
      <w:lang w:eastAsia="es-CO"/>
    </w:rPr>
  </w:style>
  <w:style w:type="character" w:styleId="Refdenotaalpie">
    <w:name w:val="footnote reference"/>
    <w:aliases w:val="Texto nota al pie,Pie de Página,FC,Texto de nota al pi,Pie de P_gi,Texto nota pie Car2,Footnote reference Car1,Footnote Text Char Char Char Car1,Footnote Reference Char3,Footnote Reference Char1 Char,FA Fu Car2 Car,Nota de pie,F,4"/>
    <w:basedOn w:val="Fuentedeprrafopredeter"/>
    <w:link w:val="4GChar"/>
    <w:uiPriority w:val="99"/>
    <w:unhideWhenUsed/>
    <w:qFormat/>
    <w:rsid w:val="009C6D25"/>
    <w:rPr>
      <w:rFonts w:ascii="Times New Roman" w:hAnsi="Times New Roman" w:cs="Times New Roman"/>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C6D25"/>
    <w:pPr>
      <w:spacing w:after="0" w:line="240" w:lineRule="auto"/>
      <w:jc w:val="both"/>
    </w:pPr>
    <w:rPr>
      <w:rFonts w:ascii="Times New Roman" w:eastAsiaTheme="minorHAnsi" w:hAnsi="Times New Roman"/>
      <w:vertAlign w:val="superscript"/>
    </w:rPr>
  </w:style>
  <w:style w:type="paragraph" w:customStyle="1" w:styleId="normaljustificado">
    <w:name w:val="normaljustificado"/>
    <w:basedOn w:val="Normal"/>
    <w:rsid w:val="009C6D25"/>
    <w:pPr>
      <w:spacing w:before="100" w:beforeAutospacing="1" w:after="100" w:afterAutospacing="1" w:line="240" w:lineRule="auto"/>
    </w:pPr>
    <w:rPr>
      <w:rFonts w:ascii="Times New Roman" w:hAnsi="Times New Roman"/>
      <w:sz w:val="24"/>
      <w:szCs w:val="24"/>
      <w:lang w:val="es-CO" w:eastAsia="es-CO"/>
    </w:rPr>
  </w:style>
  <w:style w:type="paragraph" w:styleId="NormalWeb">
    <w:name w:val="Normal (Web)"/>
    <w:basedOn w:val="Normal"/>
    <w:uiPriority w:val="99"/>
    <w:semiHidden/>
    <w:unhideWhenUsed/>
    <w:rsid w:val="006C6154"/>
    <w:pPr>
      <w:spacing w:before="100" w:beforeAutospacing="1" w:after="100" w:afterAutospacing="1" w:line="240" w:lineRule="auto"/>
    </w:pPr>
    <w:rPr>
      <w:rFonts w:ascii="Times New Roman" w:hAnsi="Times New Roman"/>
      <w:sz w:val="28"/>
      <w:szCs w:val="28"/>
      <w:lang w:val="es-ES_tradnl" w:eastAsia="es-CO"/>
    </w:rPr>
  </w:style>
  <w:style w:type="character" w:customStyle="1" w:styleId="mark9knsfuvo1">
    <w:name w:val="mark9knsfuvo1"/>
    <w:basedOn w:val="Fuentedeprrafopredeter"/>
    <w:rsid w:val="004F2AB0"/>
  </w:style>
  <w:style w:type="character" w:styleId="Mencinsinresolver">
    <w:name w:val="Unresolved Mention"/>
    <w:basedOn w:val="Fuentedeprrafopredeter"/>
    <w:uiPriority w:val="99"/>
    <w:semiHidden/>
    <w:unhideWhenUsed/>
    <w:rsid w:val="00577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120710">
      <w:bodyDiv w:val="1"/>
      <w:marLeft w:val="0"/>
      <w:marRight w:val="0"/>
      <w:marTop w:val="0"/>
      <w:marBottom w:val="0"/>
      <w:divBdr>
        <w:top w:val="none" w:sz="0" w:space="0" w:color="auto"/>
        <w:left w:val="none" w:sz="0" w:space="0" w:color="auto"/>
        <w:bottom w:val="none" w:sz="0" w:space="0" w:color="auto"/>
        <w:right w:val="none" w:sz="0" w:space="0" w:color="auto"/>
      </w:divBdr>
    </w:div>
    <w:div w:id="593592271">
      <w:bodyDiv w:val="1"/>
      <w:marLeft w:val="0"/>
      <w:marRight w:val="0"/>
      <w:marTop w:val="0"/>
      <w:marBottom w:val="0"/>
      <w:divBdr>
        <w:top w:val="none" w:sz="0" w:space="0" w:color="auto"/>
        <w:left w:val="none" w:sz="0" w:space="0" w:color="auto"/>
        <w:bottom w:val="none" w:sz="0" w:space="0" w:color="auto"/>
        <w:right w:val="none" w:sz="0" w:space="0" w:color="auto"/>
      </w:divBdr>
    </w:div>
    <w:div w:id="1312440745">
      <w:bodyDiv w:val="1"/>
      <w:marLeft w:val="0"/>
      <w:marRight w:val="0"/>
      <w:marTop w:val="0"/>
      <w:marBottom w:val="0"/>
      <w:divBdr>
        <w:top w:val="none" w:sz="0" w:space="0" w:color="auto"/>
        <w:left w:val="none" w:sz="0" w:space="0" w:color="auto"/>
        <w:bottom w:val="none" w:sz="0" w:space="0" w:color="auto"/>
        <w:right w:val="none" w:sz="0" w:space="0" w:color="auto"/>
      </w:divBdr>
    </w:div>
    <w:div w:id="1443262969">
      <w:bodyDiv w:val="1"/>
      <w:marLeft w:val="0"/>
      <w:marRight w:val="0"/>
      <w:marTop w:val="0"/>
      <w:marBottom w:val="0"/>
      <w:divBdr>
        <w:top w:val="none" w:sz="0" w:space="0" w:color="auto"/>
        <w:left w:val="none" w:sz="0" w:space="0" w:color="auto"/>
        <w:bottom w:val="none" w:sz="0" w:space="0" w:color="auto"/>
        <w:right w:val="none" w:sz="0" w:space="0" w:color="auto"/>
      </w:divBdr>
      <w:divsChild>
        <w:div w:id="2111199212">
          <w:marLeft w:val="0"/>
          <w:marRight w:val="0"/>
          <w:marTop w:val="0"/>
          <w:marBottom w:val="0"/>
          <w:divBdr>
            <w:top w:val="none" w:sz="0" w:space="0" w:color="auto"/>
            <w:left w:val="none" w:sz="0" w:space="0" w:color="auto"/>
            <w:bottom w:val="none" w:sz="0" w:space="0" w:color="auto"/>
            <w:right w:val="none" w:sz="0" w:space="0" w:color="auto"/>
          </w:divBdr>
        </w:div>
      </w:divsChild>
    </w:div>
    <w:div w:id="1446608603">
      <w:bodyDiv w:val="1"/>
      <w:marLeft w:val="0"/>
      <w:marRight w:val="0"/>
      <w:marTop w:val="0"/>
      <w:marBottom w:val="0"/>
      <w:divBdr>
        <w:top w:val="none" w:sz="0" w:space="0" w:color="auto"/>
        <w:left w:val="none" w:sz="0" w:space="0" w:color="auto"/>
        <w:bottom w:val="none" w:sz="0" w:space="0" w:color="auto"/>
        <w:right w:val="none" w:sz="0" w:space="0" w:color="auto"/>
      </w:divBdr>
    </w:div>
    <w:div w:id="1514614489">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851942894">
      <w:bodyDiv w:val="1"/>
      <w:marLeft w:val="0"/>
      <w:marRight w:val="0"/>
      <w:marTop w:val="0"/>
      <w:marBottom w:val="0"/>
      <w:divBdr>
        <w:top w:val="none" w:sz="0" w:space="0" w:color="auto"/>
        <w:left w:val="none" w:sz="0" w:space="0" w:color="auto"/>
        <w:bottom w:val="none" w:sz="0" w:space="0" w:color="auto"/>
        <w:right w:val="none" w:sz="0" w:space="0" w:color="auto"/>
      </w:divBdr>
    </w:div>
    <w:div w:id="1911572214">
      <w:bodyDiv w:val="1"/>
      <w:marLeft w:val="0"/>
      <w:marRight w:val="0"/>
      <w:marTop w:val="0"/>
      <w:marBottom w:val="0"/>
      <w:divBdr>
        <w:top w:val="none" w:sz="0" w:space="0" w:color="auto"/>
        <w:left w:val="none" w:sz="0" w:space="0" w:color="auto"/>
        <w:bottom w:val="none" w:sz="0" w:space="0" w:color="auto"/>
        <w:right w:val="none" w:sz="0" w:space="0" w:color="auto"/>
      </w:divBdr>
    </w:div>
    <w:div w:id="2036270175">
      <w:bodyDiv w:val="1"/>
      <w:marLeft w:val="0"/>
      <w:marRight w:val="0"/>
      <w:marTop w:val="0"/>
      <w:marBottom w:val="0"/>
      <w:divBdr>
        <w:top w:val="none" w:sz="0" w:space="0" w:color="auto"/>
        <w:left w:val="none" w:sz="0" w:space="0" w:color="auto"/>
        <w:bottom w:val="none" w:sz="0" w:space="0" w:color="auto"/>
        <w:right w:val="none" w:sz="0" w:space="0" w:color="auto"/>
      </w:divBdr>
      <w:divsChild>
        <w:div w:id="1848710804">
          <w:marLeft w:val="0"/>
          <w:marRight w:val="0"/>
          <w:marTop w:val="0"/>
          <w:marBottom w:val="0"/>
          <w:divBdr>
            <w:top w:val="none" w:sz="0" w:space="0" w:color="auto"/>
            <w:left w:val="none" w:sz="0" w:space="0" w:color="auto"/>
            <w:bottom w:val="none" w:sz="0" w:space="0" w:color="auto"/>
            <w:right w:val="none" w:sz="0" w:space="0" w:color="auto"/>
          </w:divBdr>
          <w:divsChild>
            <w:div w:id="1384405718">
              <w:marLeft w:val="0"/>
              <w:marRight w:val="0"/>
              <w:marTop w:val="0"/>
              <w:marBottom w:val="0"/>
              <w:divBdr>
                <w:top w:val="none" w:sz="0" w:space="0" w:color="auto"/>
                <w:left w:val="none" w:sz="0" w:space="0" w:color="auto"/>
                <w:bottom w:val="none" w:sz="0" w:space="0" w:color="auto"/>
                <w:right w:val="none" w:sz="0" w:space="0" w:color="auto"/>
              </w:divBdr>
            </w:div>
          </w:divsChild>
        </w:div>
        <w:div w:id="2105999373">
          <w:marLeft w:val="0"/>
          <w:marRight w:val="0"/>
          <w:marTop w:val="0"/>
          <w:marBottom w:val="0"/>
          <w:divBdr>
            <w:top w:val="none" w:sz="0" w:space="0" w:color="auto"/>
            <w:left w:val="none" w:sz="0" w:space="0" w:color="auto"/>
            <w:bottom w:val="none" w:sz="0" w:space="0" w:color="auto"/>
            <w:right w:val="none" w:sz="0" w:space="0" w:color="auto"/>
          </w:divBdr>
          <w:divsChild>
            <w:div w:id="661736958">
              <w:marLeft w:val="0"/>
              <w:marRight w:val="0"/>
              <w:marTop w:val="0"/>
              <w:marBottom w:val="0"/>
              <w:divBdr>
                <w:top w:val="none" w:sz="0" w:space="0" w:color="auto"/>
                <w:left w:val="none" w:sz="0" w:space="0" w:color="auto"/>
                <w:bottom w:val="none" w:sz="0" w:space="0" w:color="auto"/>
                <w:right w:val="none" w:sz="0" w:space="0" w:color="auto"/>
              </w:divBdr>
            </w:div>
            <w:div w:id="408235042">
              <w:marLeft w:val="0"/>
              <w:marRight w:val="0"/>
              <w:marTop w:val="0"/>
              <w:marBottom w:val="0"/>
              <w:divBdr>
                <w:top w:val="none" w:sz="0" w:space="0" w:color="auto"/>
                <w:left w:val="none" w:sz="0" w:space="0" w:color="auto"/>
                <w:bottom w:val="none" w:sz="0" w:space="0" w:color="auto"/>
                <w:right w:val="none" w:sz="0" w:space="0" w:color="auto"/>
              </w:divBdr>
            </w:div>
            <w:div w:id="730688894">
              <w:marLeft w:val="0"/>
              <w:marRight w:val="0"/>
              <w:marTop w:val="0"/>
              <w:marBottom w:val="0"/>
              <w:divBdr>
                <w:top w:val="none" w:sz="0" w:space="0" w:color="auto"/>
                <w:left w:val="none" w:sz="0" w:space="0" w:color="auto"/>
                <w:bottom w:val="none" w:sz="0" w:space="0" w:color="auto"/>
                <w:right w:val="none" w:sz="0" w:space="0" w:color="auto"/>
              </w:divBdr>
            </w:div>
            <w:div w:id="446313328">
              <w:marLeft w:val="0"/>
              <w:marRight w:val="0"/>
              <w:marTop w:val="0"/>
              <w:marBottom w:val="0"/>
              <w:divBdr>
                <w:top w:val="none" w:sz="0" w:space="0" w:color="auto"/>
                <w:left w:val="none" w:sz="0" w:space="0" w:color="auto"/>
                <w:bottom w:val="none" w:sz="0" w:space="0" w:color="auto"/>
                <w:right w:val="none" w:sz="0" w:space="0" w:color="auto"/>
              </w:divBdr>
            </w:div>
            <w:div w:id="1881554405">
              <w:marLeft w:val="0"/>
              <w:marRight w:val="0"/>
              <w:marTop w:val="0"/>
              <w:marBottom w:val="0"/>
              <w:divBdr>
                <w:top w:val="none" w:sz="0" w:space="0" w:color="auto"/>
                <w:left w:val="none" w:sz="0" w:space="0" w:color="auto"/>
                <w:bottom w:val="none" w:sz="0" w:space="0" w:color="auto"/>
                <w:right w:val="none" w:sz="0" w:space="0" w:color="auto"/>
              </w:divBdr>
            </w:div>
            <w:div w:id="72119478">
              <w:marLeft w:val="0"/>
              <w:marRight w:val="0"/>
              <w:marTop w:val="0"/>
              <w:marBottom w:val="0"/>
              <w:divBdr>
                <w:top w:val="none" w:sz="0" w:space="0" w:color="auto"/>
                <w:left w:val="none" w:sz="0" w:space="0" w:color="auto"/>
                <w:bottom w:val="none" w:sz="0" w:space="0" w:color="auto"/>
                <w:right w:val="none" w:sz="0" w:space="0" w:color="auto"/>
              </w:divBdr>
            </w:div>
            <w:div w:id="612514086">
              <w:marLeft w:val="0"/>
              <w:marRight w:val="0"/>
              <w:marTop w:val="0"/>
              <w:marBottom w:val="0"/>
              <w:divBdr>
                <w:top w:val="none" w:sz="0" w:space="0" w:color="auto"/>
                <w:left w:val="none" w:sz="0" w:space="0" w:color="auto"/>
                <w:bottom w:val="none" w:sz="0" w:space="0" w:color="auto"/>
                <w:right w:val="none" w:sz="0" w:space="0" w:color="auto"/>
              </w:divBdr>
              <w:divsChild>
                <w:div w:id="658341784">
                  <w:marLeft w:val="0"/>
                  <w:marRight w:val="0"/>
                  <w:marTop w:val="0"/>
                  <w:marBottom w:val="0"/>
                  <w:divBdr>
                    <w:top w:val="none" w:sz="0" w:space="0" w:color="auto"/>
                    <w:left w:val="none" w:sz="0" w:space="0" w:color="auto"/>
                    <w:bottom w:val="none" w:sz="0" w:space="0" w:color="auto"/>
                    <w:right w:val="none" w:sz="0" w:space="0" w:color="auto"/>
                  </w:divBdr>
                </w:div>
                <w:div w:id="435298717">
                  <w:marLeft w:val="0"/>
                  <w:marRight w:val="0"/>
                  <w:marTop w:val="0"/>
                  <w:marBottom w:val="0"/>
                  <w:divBdr>
                    <w:top w:val="none" w:sz="0" w:space="0" w:color="auto"/>
                    <w:left w:val="none" w:sz="0" w:space="0" w:color="auto"/>
                    <w:bottom w:val="none" w:sz="0" w:space="0" w:color="auto"/>
                    <w:right w:val="none" w:sz="0" w:space="0" w:color="auto"/>
                  </w:divBdr>
                  <w:divsChild>
                    <w:div w:id="844396650">
                      <w:marLeft w:val="0"/>
                      <w:marRight w:val="0"/>
                      <w:marTop w:val="0"/>
                      <w:marBottom w:val="0"/>
                      <w:divBdr>
                        <w:top w:val="none" w:sz="0" w:space="0" w:color="auto"/>
                        <w:left w:val="none" w:sz="0" w:space="0" w:color="auto"/>
                        <w:bottom w:val="none" w:sz="0" w:space="0" w:color="auto"/>
                        <w:right w:val="none" w:sz="0" w:space="0" w:color="auto"/>
                      </w:divBdr>
                      <w:divsChild>
                        <w:div w:id="1404181534">
                          <w:marLeft w:val="0"/>
                          <w:marRight w:val="0"/>
                          <w:marTop w:val="0"/>
                          <w:marBottom w:val="0"/>
                          <w:divBdr>
                            <w:top w:val="none" w:sz="0" w:space="0" w:color="auto"/>
                            <w:left w:val="none" w:sz="0" w:space="0" w:color="auto"/>
                            <w:bottom w:val="none" w:sz="0" w:space="0" w:color="auto"/>
                            <w:right w:val="none" w:sz="0" w:space="0" w:color="auto"/>
                          </w:divBdr>
                          <w:divsChild>
                            <w:div w:id="262149026">
                              <w:marLeft w:val="0"/>
                              <w:marRight w:val="0"/>
                              <w:marTop w:val="0"/>
                              <w:marBottom w:val="0"/>
                              <w:divBdr>
                                <w:top w:val="none" w:sz="0" w:space="0" w:color="auto"/>
                                <w:left w:val="none" w:sz="0" w:space="0" w:color="auto"/>
                                <w:bottom w:val="none" w:sz="0" w:space="0" w:color="auto"/>
                                <w:right w:val="none" w:sz="0" w:space="0" w:color="auto"/>
                              </w:divBdr>
                            </w:div>
                            <w:div w:id="810446883">
                              <w:marLeft w:val="0"/>
                              <w:marRight w:val="0"/>
                              <w:marTop w:val="0"/>
                              <w:marBottom w:val="0"/>
                              <w:divBdr>
                                <w:top w:val="none" w:sz="0" w:space="0" w:color="auto"/>
                                <w:left w:val="none" w:sz="0" w:space="0" w:color="auto"/>
                                <w:bottom w:val="none" w:sz="0" w:space="0" w:color="auto"/>
                                <w:right w:val="none" w:sz="0" w:space="0" w:color="auto"/>
                              </w:divBdr>
                            </w:div>
                            <w:div w:id="457992650">
                              <w:marLeft w:val="0"/>
                              <w:marRight w:val="0"/>
                              <w:marTop w:val="0"/>
                              <w:marBottom w:val="0"/>
                              <w:divBdr>
                                <w:top w:val="none" w:sz="0" w:space="0" w:color="auto"/>
                                <w:left w:val="none" w:sz="0" w:space="0" w:color="auto"/>
                                <w:bottom w:val="none" w:sz="0" w:space="0" w:color="auto"/>
                                <w:right w:val="none" w:sz="0" w:space="0" w:color="auto"/>
                              </w:divBdr>
                            </w:div>
                            <w:div w:id="384180553">
                              <w:marLeft w:val="0"/>
                              <w:marRight w:val="0"/>
                              <w:marTop w:val="0"/>
                              <w:marBottom w:val="0"/>
                              <w:divBdr>
                                <w:top w:val="none" w:sz="0" w:space="0" w:color="auto"/>
                                <w:left w:val="none" w:sz="0" w:space="0" w:color="auto"/>
                                <w:bottom w:val="none" w:sz="0" w:space="0" w:color="auto"/>
                                <w:right w:val="none" w:sz="0" w:space="0" w:color="auto"/>
                              </w:divBdr>
                            </w:div>
                            <w:div w:id="183908196">
                              <w:marLeft w:val="0"/>
                              <w:marRight w:val="0"/>
                              <w:marTop w:val="0"/>
                              <w:marBottom w:val="0"/>
                              <w:divBdr>
                                <w:top w:val="none" w:sz="0" w:space="0" w:color="auto"/>
                                <w:left w:val="none" w:sz="0" w:space="0" w:color="auto"/>
                                <w:bottom w:val="none" w:sz="0" w:space="0" w:color="auto"/>
                                <w:right w:val="none" w:sz="0" w:space="0" w:color="auto"/>
                              </w:divBdr>
                            </w:div>
                            <w:div w:id="228073449">
                              <w:marLeft w:val="0"/>
                              <w:marRight w:val="0"/>
                              <w:marTop w:val="0"/>
                              <w:marBottom w:val="0"/>
                              <w:divBdr>
                                <w:top w:val="none" w:sz="0" w:space="0" w:color="auto"/>
                                <w:left w:val="none" w:sz="0" w:space="0" w:color="auto"/>
                                <w:bottom w:val="none" w:sz="0" w:space="0" w:color="auto"/>
                                <w:right w:val="none" w:sz="0" w:space="0" w:color="auto"/>
                              </w:divBdr>
                            </w:div>
                            <w:div w:id="816340219">
                              <w:marLeft w:val="0"/>
                              <w:marRight w:val="0"/>
                              <w:marTop w:val="0"/>
                              <w:marBottom w:val="0"/>
                              <w:divBdr>
                                <w:top w:val="none" w:sz="0" w:space="0" w:color="auto"/>
                                <w:left w:val="none" w:sz="0" w:space="0" w:color="auto"/>
                                <w:bottom w:val="none" w:sz="0" w:space="0" w:color="auto"/>
                                <w:right w:val="none" w:sz="0" w:space="0" w:color="auto"/>
                              </w:divBdr>
                            </w:div>
                            <w:div w:id="674116906">
                              <w:marLeft w:val="0"/>
                              <w:marRight w:val="0"/>
                              <w:marTop w:val="0"/>
                              <w:marBottom w:val="0"/>
                              <w:divBdr>
                                <w:top w:val="none" w:sz="0" w:space="0" w:color="auto"/>
                                <w:left w:val="none" w:sz="0" w:space="0" w:color="auto"/>
                                <w:bottom w:val="none" w:sz="0" w:space="0" w:color="auto"/>
                                <w:right w:val="none" w:sz="0" w:space="0" w:color="auto"/>
                              </w:divBdr>
                            </w:div>
                            <w:div w:id="2990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benexos@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serjesextdombt@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09E0-6622-41F3-BC63-ABB9D075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16</Pages>
  <Words>3614</Words>
  <Characters>19878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Nemecio</dc:creator>
  <cp:keywords/>
  <dc:description/>
  <cp:lastModifiedBy>RODRIGUEZ Nemecio</cp:lastModifiedBy>
  <cp:revision>21</cp:revision>
  <dcterms:created xsi:type="dcterms:W3CDTF">2022-01-06T17:24:00Z</dcterms:created>
  <dcterms:modified xsi:type="dcterms:W3CDTF">2022-01-18T19:16:00Z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2022-01-06T17:24:45Z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d558003b-c385-4ca9-a4f9-49ce9de729db</vt:lpwstr>
  </property>
  <property fmtid="{D5CDD505-2E9C-101B-9397-08002B2CF9AE}" pid="8" name="MSIP_Label_2059aa38-f392-4105-be92-628035578272_ContentBits">
    <vt:lpwstr>0</vt:lpwstr>
  </property>
</Properties>
</file>