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946" w:rsidRPr="004A3583" w:rsidRDefault="00987946" w:rsidP="005E6A7F">
      <w:pPr>
        <w:spacing w:line="240" w:lineRule="auto"/>
        <w:jc w:val="both"/>
        <w:rPr>
          <w:rFonts w:ascii="Arial Narrow" w:hAnsi="Arial Narrow"/>
          <w:sz w:val="24"/>
          <w:szCs w:val="24"/>
        </w:rPr>
      </w:pPr>
      <w:r w:rsidRPr="004A3583">
        <w:rPr>
          <w:rFonts w:ascii="Arial Narrow" w:hAnsi="Arial Narrow"/>
          <w:sz w:val="24"/>
          <w:szCs w:val="24"/>
        </w:rPr>
        <w:t xml:space="preserve">                                                                                                      </w:t>
      </w:r>
    </w:p>
    <w:p w:rsidR="00987946" w:rsidRPr="004A3583" w:rsidRDefault="00987946" w:rsidP="005E6A7F">
      <w:pPr>
        <w:spacing w:after="0" w:line="240" w:lineRule="auto"/>
        <w:jc w:val="both"/>
        <w:rPr>
          <w:rFonts w:ascii="Arial Narrow" w:eastAsia="Batang" w:hAnsi="Arial Narrow"/>
          <w:b/>
          <w:sz w:val="24"/>
          <w:szCs w:val="24"/>
        </w:rPr>
      </w:pPr>
      <w:r w:rsidRPr="004A3583">
        <w:rPr>
          <w:rFonts w:ascii="Arial Narrow" w:eastAsia="Batang" w:hAnsi="Arial Narrow"/>
          <w:sz w:val="24"/>
          <w:szCs w:val="24"/>
        </w:rPr>
        <w:t xml:space="preserve">San Juan de </w:t>
      </w:r>
      <w:r w:rsidR="00506273" w:rsidRPr="004A3583">
        <w:rPr>
          <w:rFonts w:ascii="Arial Narrow" w:eastAsia="Batang" w:hAnsi="Arial Narrow"/>
          <w:sz w:val="24"/>
          <w:szCs w:val="24"/>
        </w:rPr>
        <w:t>Pasto,</w:t>
      </w:r>
      <w:r w:rsidR="00FB0AFB" w:rsidRPr="004A3583">
        <w:rPr>
          <w:rFonts w:ascii="Arial Narrow" w:eastAsia="Batang" w:hAnsi="Arial Narrow"/>
          <w:sz w:val="24"/>
          <w:szCs w:val="24"/>
        </w:rPr>
        <w:t xml:space="preserve"> 9</w:t>
      </w:r>
      <w:r w:rsidR="000D5B37" w:rsidRPr="004A3583">
        <w:rPr>
          <w:rFonts w:ascii="Arial Narrow" w:eastAsia="Batang" w:hAnsi="Arial Narrow"/>
          <w:sz w:val="24"/>
          <w:szCs w:val="24"/>
        </w:rPr>
        <w:t xml:space="preserve"> de Julio</w:t>
      </w:r>
      <w:r w:rsidR="00697186" w:rsidRPr="004A3583">
        <w:rPr>
          <w:rFonts w:ascii="Arial Narrow" w:eastAsia="Batang" w:hAnsi="Arial Narrow"/>
          <w:sz w:val="24"/>
          <w:szCs w:val="24"/>
        </w:rPr>
        <w:t xml:space="preserve"> de 2</w:t>
      </w:r>
      <w:r w:rsidR="000D5B37" w:rsidRPr="004A3583">
        <w:rPr>
          <w:rFonts w:ascii="Arial Narrow" w:eastAsia="Batang" w:hAnsi="Arial Narrow"/>
          <w:sz w:val="24"/>
          <w:szCs w:val="24"/>
        </w:rPr>
        <w:t>.</w:t>
      </w:r>
      <w:r w:rsidR="00697186" w:rsidRPr="004A3583">
        <w:rPr>
          <w:rFonts w:ascii="Arial Narrow" w:eastAsia="Batang" w:hAnsi="Arial Narrow"/>
          <w:sz w:val="24"/>
          <w:szCs w:val="24"/>
        </w:rPr>
        <w:t>020</w:t>
      </w:r>
      <w:r w:rsidRPr="004A3583">
        <w:rPr>
          <w:rFonts w:ascii="Arial Narrow" w:eastAsia="Batang" w:hAnsi="Arial Narrow"/>
          <w:sz w:val="24"/>
          <w:szCs w:val="24"/>
        </w:rPr>
        <w:tab/>
      </w:r>
      <w:r w:rsidRPr="004A3583">
        <w:rPr>
          <w:rFonts w:ascii="Arial Narrow" w:eastAsia="Batang" w:hAnsi="Arial Narrow"/>
          <w:sz w:val="24"/>
          <w:szCs w:val="24"/>
        </w:rPr>
        <w:tab/>
      </w:r>
      <w:r w:rsidRPr="004A3583">
        <w:rPr>
          <w:rFonts w:ascii="Arial Narrow" w:eastAsia="Batang" w:hAnsi="Arial Narrow"/>
          <w:sz w:val="24"/>
          <w:szCs w:val="24"/>
        </w:rPr>
        <w:tab/>
      </w:r>
      <w:r w:rsidRPr="004A3583">
        <w:rPr>
          <w:rFonts w:ascii="Arial Narrow" w:eastAsia="Batang" w:hAnsi="Arial Narrow"/>
          <w:sz w:val="24"/>
          <w:szCs w:val="24"/>
        </w:rPr>
        <w:tab/>
      </w:r>
      <w:r w:rsidRPr="004A3583">
        <w:rPr>
          <w:rFonts w:ascii="Arial Narrow" w:eastAsia="Batang" w:hAnsi="Arial Narrow"/>
          <w:sz w:val="24"/>
          <w:szCs w:val="24"/>
        </w:rPr>
        <w:tab/>
      </w:r>
      <w:r w:rsidRPr="004A3583">
        <w:rPr>
          <w:rFonts w:ascii="Arial Narrow" w:eastAsia="Batang" w:hAnsi="Arial Narrow"/>
          <w:sz w:val="24"/>
          <w:szCs w:val="24"/>
        </w:rPr>
        <w:tab/>
      </w:r>
    </w:p>
    <w:p w:rsidR="00987946" w:rsidRPr="004A3583" w:rsidRDefault="00987946" w:rsidP="005E6A7F">
      <w:pPr>
        <w:spacing w:after="0" w:line="240" w:lineRule="auto"/>
        <w:jc w:val="both"/>
        <w:rPr>
          <w:rFonts w:ascii="Arial Narrow" w:eastAsia="Batang" w:hAnsi="Arial Narrow"/>
          <w:sz w:val="24"/>
          <w:szCs w:val="24"/>
        </w:rPr>
      </w:pPr>
    </w:p>
    <w:p w:rsidR="00987946" w:rsidRPr="004A3583" w:rsidRDefault="00987946" w:rsidP="005E6A7F">
      <w:pPr>
        <w:spacing w:after="0" w:line="240" w:lineRule="auto"/>
        <w:jc w:val="both"/>
        <w:rPr>
          <w:rFonts w:ascii="Arial Narrow" w:eastAsia="Batang" w:hAnsi="Arial Narrow"/>
          <w:sz w:val="24"/>
          <w:szCs w:val="24"/>
        </w:rPr>
      </w:pPr>
    </w:p>
    <w:p w:rsidR="003C19AB" w:rsidRPr="004A3583" w:rsidRDefault="003C19AB" w:rsidP="005E6A7F">
      <w:pPr>
        <w:spacing w:after="0" w:line="240" w:lineRule="auto"/>
        <w:jc w:val="both"/>
        <w:rPr>
          <w:rFonts w:ascii="Arial Narrow" w:eastAsia="Batang" w:hAnsi="Arial Narrow"/>
          <w:sz w:val="24"/>
          <w:szCs w:val="24"/>
        </w:rPr>
      </w:pPr>
      <w:r w:rsidRPr="004A3583">
        <w:rPr>
          <w:rFonts w:ascii="Arial Narrow" w:eastAsia="Batang" w:hAnsi="Arial Narrow"/>
          <w:sz w:val="24"/>
          <w:szCs w:val="24"/>
        </w:rPr>
        <w:t>Doctora</w:t>
      </w:r>
    </w:p>
    <w:p w:rsidR="003C19AB" w:rsidRPr="004A3583" w:rsidRDefault="003C19AB" w:rsidP="005E6A7F">
      <w:pPr>
        <w:spacing w:after="0" w:line="240" w:lineRule="auto"/>
        <w:jc w:val="both"/>
        <w:rPr>
          <w:rFonts w:ascii="Arial Narrow" w:eastAsia="Batang" w:hAnsi="Arial Narrow"/>
          <w:b/>
          <w:sz w:val="24"/>
          <w:szCs w:val="24"/>
        </w:rPr>
      </w:pPr>
      <w:r w:rsidRPr="004A3583">
        <w:rPr>
          <w:rFonts w:ascii="Arial Narrow" w:eastAsia="Batang" w:hAnsi="Arial Narrow"/>
          <w:b/>
          <w:sz w:val="24"/>
          <w:szCs w:val="24"/>
        </w:rPr>
        <w:t xml:space="preserve">CRISTINA CIFUENTES CORDOBA </w:t>
      </w:r>
    </w:p>
    <w:p w:rsidR="000D5B37" w:rsidRPr="004A3583" w:rsidRDefault="003C19AB" w:rsidP="005E6A7F">
      <w:pPr>
        <w:spacing w:after="0" w:line="240" w:lineRule="auto"/>
        <w:jc w:val="both"/>
        <w:rPr>
          <w:rFonts w:ascii="Arial Narrow" w:eastAsia="Batang" w:hAnsi="Arial Narrow"/>
          <w:b/>
          <w:sz w:val="24"/>
          <w:szCs w:val="24"/>
        </w:rPr>
      </w:pPr>
      <w:r w:rsidRPr="004A3583">
        <w:rPr>
          <w:rFonts w:ascii="Arial Narrow" w:eastAsia="Batang" w:hAnsi="Arial Narrow"/>
          <w:b/>
          <w:sz w:val="24"/>
          <w:szCs w:val="24"/>
        </w:rPr>
        <w:t xml:space="preserve">JUEZ PRIMERA CIVIL DEL CIRCUITO </w:t>
      </w:r>
    </w:p>
    <w:p w:rsidR="000D5B37" w:rsidRPr="004A3583" w:rsidRDefault="000D5B37" w:rsidP="005E6A7F">
      <w:pPr>
        <w:spacing w:after="0" w:line="240" w:lineRule="auto"/>
        <w:jc w:val="both"/>
        <w:rPr>
          <w:rFonts w:ascii="Arial Narrow" w:eastAsia="Batang" w:hAnsi="Arial Narrow"/>
          <w:b/>
          <w:sz w:val="24"/>
          <w:szCs w:val="24"/>
        </w:rPr>
      </w:pPr>
      <w:r w:rsidRPr="004A3583">
        <w:rPr>
          <w:rFonts w:ascii="Arial Narrow" w:eastAsia="Batang" w:hAnsi="Arial Narrow"/>
          <w:b/>
          <w:sz w:val="24"/>
          <w:szCs w:val="24"/>
        </w:rPr>
        <w:t>DISTRITO JUDICIAL</w:t>
      </w:r>
    </w:p>
    <w:p w:rsidR="003C19AB" w:rsidRPr="004A3583" w:rsidRDefault="003C19AB" w:rsidP="005E6A7F">
      <w:pPr>
        <w:spacing w:after="0" w:line="240" w:lineRule="auto"/>
        <w:jc w:val="both"/>
        <w:rPr>
          <w:rFonts w:ascii="Arial Narrow" w:eastAsia="Batang" w:hAnsi="Arial Narrow"/>
          <w:b/>
          <w:sz w:val="24"/>
          <w:szCs w:val="24"/>
        </w:rPr>
      </w:pPr>
      <w:r w:rsidRPr="004A3583">
        <w:rPr>
          <w:rFonts w:ascii="Arial Narrow" w:eastAsia="Batang" w:hAnsi="Arial Narrow"/>
          <w:b/>
          <w:sz w:val="24"/>
          <w:szCs w:val="24"/>
        </w:rPr>
        <w:t xml:space="preserve">PASTO </w:t>
      </w:r>
    </w:p>
    <w:p w:rsidR="003C19AB" w:rsidRPr="004A3583" w:rsidRDefault="003C19AB" w:rsidP="005E6A7F">
      <w:pPr>
        <w:spacing w:after="0" w:line="240" w:lineRule="auto"/>
        <w:jc w:val="both"/>
        <w:rPr>
          <w:rFonts w:ascii="Arial Narrow" w:eastAsia="Batang" w:hAnsi="Arial Narrow"/>
          <w:sz w:val="24"/>
          <w:szCs w:val="24"/>
        </w:rPr>
      </w:pPr>
    </w:p>
    <w:p w:rsidR="003C19AB" w:rsidRPr="004A3583" w:rsidRDefault="003C19AB" w:rsidP="005E6A7F">
      <w:pPr>
        <w:spacing w:after="0" w:line="240" w:lineRule="auto"/>
        <w:jc w:val="both"/>
        <w:rPr>
          <w:rFonts w:ascii="Arial Narrow" w:eastAsia="Batang" w:hAnsi="Arial Narrow"/>
          <w:sz w:val="24"/>
          <w:szCs w:val="24"/>
        </w:rPr>
      </w:pPr>
      <w:r w:rsidRPr="004A3583">
        <w:rPr>
          <w:rFonts w:ascii="Arial Narrow" w:eastAsia="Batang" w:hAnsi="Arial Narrow"/>
          <w:sz w:val="24"/>
          <w:szCs w:val="24"/>
        </w:rPr>
        <w:t>________________________________________</w:t>
      </w:r>
    </w:p>
    <w:p w:rsidR="00987946" w:rsidRPr="004A3583" w:rsidRDefault="00987946" w:rsidP="005E6A7F">
      <w:pPr>
        <w:spacing w:after="0" w:line="240" w:lineRule="auto"/>
        <w:jc w:val="both"/>
        <w:rPr>
          <w:rFonts w:ascii="Arial Narrow" w:eastAsia="Batang" w:hAnsi="Arial Narrow"/>
          <w:sz w:val="24"/>
          <w:szCs w:val="24"/>
        </w:rPr>
      </w:pPr>
    </w:p>
    <w:p w:rsidR="00987946" w:rsidRPr="004A3583" w:rsidRDefault="00987946" w:rsidP="005E6A7F">
      <w:pPr>
        <w:spacing w:after="0" w:line="240" w:lineRule="auto"/>
        <w:ind w:left="360"/>
        <w:jc w:val="both"/>
        <w:rPr>
          <w:rFonts w:ascii="Arial Narrow" w:eastAsia="Batang" w:hAnsi="Arial Narrow"/>
          <w:b/>
          <w:sz w:val="24"/>
          <w:szCs w:val="24"/>
        </w:rPr>
      </w:pPr>
      <w:r w:rsidRPr="004A3583">
        <w:rPr>
          <w:rFonts w:ascii="Arial Narrow" w:eastAsia="Batang" w:hAnsi="Arial Narrow"/>
          <w:sz w:val="24"/>
          <w:szCs w:val="24"/>
        </w:rPr>
        <w:tab/>
      </w:r>
      <w:r w:rsidRPr="004A3583">
        <w:rPr>
          <w:rFonts w:ascii="Arial Narrow" w:eastAsia="Batang" w:hAnsi="Arial Narrow"/>
          <w:sz w:val="24"/>
          <w:szCs w:val="24"/>
        </w:rPr>
        <w:tab/>
      </w:r>
      <w:r w:rsidRPr="004A3583">
        <w:rPr>
          <w:rFonts w:ascii="Arial Narrow" w:eastAsia="Batang" w:hAnsi="Arial Narrow"/>
          <w:sz w:val="24"/>
          <w:szCs w:val="24"/>
        </w:rPr>
        <w:tab/>
      </w:r>
      <w:r w:rsidR="005E6A7F" w:rsidRPr="004A3583">
        <w:rPr>
          <w:rFonts w:ascii="Arial Narrow" w:eastAsia="Batang" w:hAnsi="Arial Narrow"/>
          <w:b/>
          <w:sz w:val="24"/>
          <w:szCs w:val="24"/>
        </w:rPr>
        <w:t>Referencia</w:t>
      </w:r>
      <w:r w:rsidR="00506273" w:rsidRPr="004A3583">
        <w:rPr>
          <w:rFonts w:ascii="Arial Narrow" w:eastAsia="Batang" w:hAnsi="Arial Narrow"/>
          <w:b/>
          <w:sz w:val="24"/>
          <w:szCs w:val="24"/>
        </w:rPr>
        <w:t xml:space="preserve">: </w:t>
      </w:r>
      <w:r w:rsidR="00506273" w:rsidRPr="004A3583">
        <w:rPr>
          <w:rFonts w:ascii="Arial Narrow" w:eastAsia="Batang" w:hAnsi="Arial Narrow"/>
          <w:b/>
          <w:sz w:val="24"/>
          <w:szCs w:val="24"/>
        </w:rPr>
        <w:tab/>
        <w:t>Proceso</w:t>
      </w:r>
      <w:r w:rsidRPr="004A3583">
        <w:rPr>
          <w:rFonts w:ascii="Arial Narrow" w:eastAsia="Batang" w:hAnsi="Arial Narrow"/>
          <w:b/>
          <w:sz w:val="24"/>
          <w:szCs w:val="24"/>
        </w:rPr>
        <w:t xml:space="preserve"> No. 2014 - 0164</w:t>
      </w:r>
    </w:p>
    <w:p w:rsidR="00987946" w:rsidRPr="004A3583" w:rsidRDefault="00987946" w:rsidP="005E6A7F">
      <w:pPr>
        <w:spacing w:after="0" w:line="240" w:lineRule="auto"/>
        <w:ind w:left="1416" w:firstLine="708"/>
        <w:jc w:val="both"/>
        <w:rPr>
          <w:rFonts w:ascii="Arial Narrow" w:eastAsia="Batang" w:hAnsi="Arial Narrow"/>
          <w:b/>
          <w:sz w:val="24"/>
          <w:szCs w:val="24"/>
        </w:rPr>
      </w:pPr>
      <w:r w:rsidRPr="004A3583">
        <w:rPr>
          <w:rFonts w:ascii="Arial Narrow" w:eastAsia="Batang" w:hAnsi="Arial Narrow"/>
          <w:b/>
          <w:sz w:val="24"/>
          <w:szCs w:val="24"/>
        </w:rPr>
        <w:t>Acción</w:t>
      </w:r>
      <w:r w:rsidRPr="004A3583">
        <w:rPr>
          <w:rFonts w:ascii="Arial Narrow" w:eastAsia="Batang" w:hAnsi="Arial Narrow"/>
          <w:b/>
          <w:sz w:val="24"/>
          <w:szCs w:val="24"/>
        </w:rPr>
        <w:tab/>
        <w:t xml:space="preserve">: </w:t>
      </w:r>
      <w:r w:rsidRPr="004A3583">
        <w:rPr>
          <w:rFonts w:ascii="Arial Narrow" w:eastAsia="Batang" w:hAnsi="Arial Narrow"/>
          <w:b/>
          <w:sz w:val="24"/>
          <w:szCs w:val="24"/>
        </w:rPr>
        <w:tab/>
        <w:t>Expropiación Judicial</w:t>
      </w:r>
      <w:r w:rsidRPr="004A3583">
        <w:rPr>
          <w:rFonts w:ascii="Arial Narrow" w:eastAsia="Batang" w:hAnsi="Arial Narrow"/>
          <w:b/>
          <w:sz w:val="24"/>
          <w:szCs w:val="24"/>
        </w:rPr>
        <w:tab/>
      </w:r>
    </w:p>
    <w:p w:rsidR="00987946" w:rsidRPr="004A3583" w:rsidRDefault="00987946" w:rsidP="005E6A7F">
      <w:pPr>
        <w:spacing w:after="0" w:line="240" w:lineRule="auto"/>
        <w:ind w:left="1416" w:firstLine="708"/>
        <w:jc w:val="both"/>
        <w:rPr>
          <w:rFonts w:ascii="Arial Narrow" w:eastAsia="Batang" w:hAnsi="Arial Narrow"/>
          <w:b/>
          <w:sz w:val="24"/>
          <w:szCs w:val="24"/>
        </w:rPr>
      </w:pPr>
      <w:r w:rsidRPr="004A3583">
        <w:rPr>
          <w:rFonts w:ascii="Arial Narrow" w:eastAsia="Batang" w:hAnsi="Arial Narrow"/>
          <w:b/>
          <w:sz w:val="24"/>
          <w:szCs w:val="24"/>
        </w:rPr>
        <w:t>Demandante</w:t>
      </w:r>
      <w:r w:rsidR="00506273" w:rsidRPr="004A3583">
        <w:rPr>
          <w:rFonts w:ascii="Arial Narrow" w:eastAsia="Batang" w:hAnsi="Arial Narrow"/>
          <w:b/>
          <w:sz w:val="24"/>
          <w:szCs w:val="24"/>
        </w:rPr>
        <w:t>:</w:t>
      </w:r>
      <w:r w:rsidR="00506273" w:rsidRPr="004A3583">
        <w:rPr>
          <w:rFonts w:ascii="Arial Narrow" w:eastAsia="Batang" w:hAnsi="Arial Narrow"/>
          <w:b/>
          <w:sz w:val="24"/>
          <w:szCs w:val="24"/>
        </w:rPr>
        <w:tab/>
        <w:t xml:space="preserve"> AVANTE</w:t>
      </w:r>
      <w:r w:rsidRPr="004A3583">
        <w:rPr>
          <w:rFonts w:ascii="Arial Narrow" w:eastAsia="Batang" w:hAnsi="Arial Narrow"/>
          <w:b/>
          <w:sz w:val="24"/>
          <w:szCs w:val="24"/>
        </w:rPr>
        <w:t xml:space="preserve"> SETP</w:t>
      </w:r>
      <w:r w:rsidRPr="004A3583">
        <w:rPr>
          <w:rFonts w:ascii="Arial Narrow" w:eastAsia="Batang" w:hAnsi="Arial Narrow"/>
          <w:b/>
          <w:sz w:val="24"/>
          <w:szCs w:val="24"/>
        </w:rPr>
        <w:tab/>
      </w:r>
    </w:p>
    <w:p w:rsidR="00987946" w:rsidRPr="004A3583" w:rsidRDefault="00987946" w:rsidP="005E6A7F">
      <w:pPr>
        <w:spacing w:after="0" w:line="240" w:lineRule="auto"/>
        <w:ind w:left="1416" w:firstLine="708"/>
        <w:jc w:val="both"/>
        <w:rPr>
          <w:rFonts w:ascii="Arial Narrow" w:eastAsia="Batang" w:hAnsi="Arial Narrow"/>
          <w:b/>
          <w:sz w:val="24"/>
          <w:szCs w:val="24"/>
        </w:rPr>
      </w:pPr>
      <w:r w:rsidRPr="004A3583">
        <w:rPr>
          <w:rFonts w:ascii="Arial Narrow" w:eastAsia="Batang" w:hAnsi="Arial Narrow"/>
          <w:b/>
          <w:sz w:val="24"/>
          <w:szCs w:val="24"/>
        </w:rPr>
        <w:t>Demandados:</w:t>
      </w:r>
      <w:r w:rsidRPr="004A3583">
        <w:rPr>
          <w:rFonts w:ascii="Arial Narrow" w:eastAsia="Batang" w:hAnsi="Arial Narrow"/>
          <w:b/>
          <w:sz w:val="24"/>
          <w:szCs w:val="24"/>
        </w:rPr>
        <w:tab/>
        <w:t xml:space="preserve">Olivia Tobar de Romero </w:t>
      </w:r>
    </w:p>
    <w:p w:rsidR="00987946" w:rsidRPr="004A3583" w:rsidRDefault="00987946" w:rsidP="005E6A7F">
      <w:pPr>
        <w:spacing w:after="0" w:line="240" w:lineRule="auto"/>
        <w:ind w:left="1416" w:firstLine="708"/>
        <w:jc w:val="both"/>
        <w:rPr>
          <w:rFonts w:ascii="Arial Narrow" w:eastAsia="Batang" w:hAnsi="Arial Narrow"/>
          <w:b/>
          <w:sz w:val="24"/>
          <w:szCs w:val="24"/>
        </w:rPr>
      </w:pPr>
      <w:r w:rsidRPr="004A3583">
        <w:rPr>
          <w:rFonts w:ascii="Arial Narrow" w:eastAsia="Batang" w:hAnsi="Arial Narrow"/>
          <w:b/>
          <w:sz w:val="24"/>
          <w:szCs w:val="24"/>
        </w:rPr>
        <w:t xml:space="preserve"> </w:t>
      </w:r>
    </w:p>
    <w:p w:rsidR="00987946" w:rsidRPr="004A3583" w:rsidRDefault="00987946" w:rsidP="005E6A7F">
      <w:pPr>
        <w:spacing w:after="0" w:line="240" w:lineRule="auto"/>
        <w:jc w:val="both"/>
        <w:rPr>
          <w:rFonts w:ascii="Arial Narrow" w:eastAsia="Batang" w:hAnsi="Arial Narrow"/>
          <w:b/>
          <w:sz w:val="24"/>
          <w:szCs w:val="24"/>
        </w:rPr>
      </w:pPr>
    </w:p>
    <w:p w:rsidR="00987946" w:rsidRPr="004A3583" w:rsidRDefault="00987946" w:rsidP="005E6A7F">
      <w:pPr>
        <w:spacing w:after="0" w:line="240" w:lineRule="auto"/>
        <w:ind w:left="2124"/>
        <w:jc w:val="both"/>
        <w:rPr>
          <w:rFonts w:ascii="Arial Narrow" w:eastAsia="Batang" w:hAnsi="Arial Narrow"/>
          <w:sz w:val="24"/>
          <w:szCs w:val="24"/>
        </w:rPr>
      </w:pPr>
      <w:r w:rsidRPr="004A3583">
        <w:rPr>
          <w:rFonts w:ascii="Arial Narrow" w:eastAsia="Batang" w:hAnsi="Arial Narrow"/>
          <w:sz w:val="24"/>
          <w:szCs w:val="24"/>
        </w:rPr>
        <w:t>Escrito por medio del cual se formula un</w:t>
      </w:r>
      <w:r w:rsidR="00697186" w:rsidRPr="004A3583">
        <w:rPr>
          <w:rFonts w:ascii="Arial Narrow" w:eastAsia="Batang" w:hAnsi="Arial Narrow"/>
          <w:sz w:val="24"/>
          <w:szCs w:val="24"/>
        </w:rPr>
        <w:t xml:space="preserve"> recurso</w:t>
      </w:r>
      <w:r w:rsidR="0048403D" w:rsidRPr="004A3583">
        <w:rPr>
          <w:rFonts w:ascii="Arial Narrow" w:eastAsia="Batang" w:hAnsi="Arial Narrow"/>
          <w:sz w:val="24"/>
          <w:szCs w:val="24"/>
        </w:rPr>
        <w:t xml:space="preserve"> reposición en subsidio de apelación </w:t>
      </w:r>
      <w:r w:rsidR="00697186" w:rsidRPr="004A3583">
        <w:rPr>
          <w:rFonts w:ascii="Arial Narrow" w:eastAsia="Batang" w:hAnsi="Arial Narrow"/>
          <w:sz w:val="24"/>
          <w:szCs w:val="24"/>
        </w:rPr>
        <w:t>contra</w:t>
      </w:r>
      <w:r w:rsidR="00697186" w:rsidRPr="004A3583">
        <w:rPr>
          <w:rFonts w:ascii="Arial Narrow" w:hAnsi="Arial Narrow"/>
          <w:sz w:val="24"/>
          <w:szCs w:val="24"/>
        </w:rPr>
        <w:t xml:space="preserve"> la providencia que fija una indemnización</w:t>
      </w:r>
      <w:r w:rsidRPr="004A3583">
        <w:rPr>
          <w:rFonts w:ascii="Arial Narrow" w:eastAsia="Batang" w:hAnsi="Arial Narrow"/>
          <w:sz w:val="24"/>
          <w:szCs w:val="24"/>
        </w:rPr>
        <w:t xml:space="preserve"> </w:t>
      </w:r>
      <w:r w:rsidR="00697186" w:rsidRPr="004A3583">
        <w:rPr>
          <w:rFonts w:ascii="Arial Narrow" w:eastAsia="Batang" w:hAnsi="Arial Narrow"/>
          <w:sz w:val="24"/>
          <w:szCs w:val="24"/>
        </w:rPr>
        <w:t>dentro del proceso de la referencia</w:t>
      </w:r>
    </w:p>
    <w:p w:rsidR="00987946" w:rsidRPr="004A3583" w:rsidRDefault="00987946" w:rsidP="005E6A7F">
      <w:pPr>
        <w:spacing w:after="0" w:line="240" w:lineRule="auto"/>
        <w:jc w:val="both"/>
        <w:rPr>
          <w:rFonts w:ascii="Arial Narrow" w:eastAsia="Batang" w:hAnsi="Arial Narrow"/>
          <w:sz w:val="24"/>
          <w:szCs w:val="24"/>
        </w:rPr>
      </w:pPr>
    </w:p>
    <w:p w:rsidR="00853728" w:rsidRPr="004A3583" w:rsidRDefault="00853728" w:rsidP="005E6A7F">
      <w:pPr>
        <w:spacing w:after="0" w:line="240" w:lineRule="auto"/>
        <w:jc w:val="both"/>
        <w:rPr>
          <w:rFonts w:ascii="Arial Narrow" w:eastAsia="Batang" w:hAnsi="Arial Narrow"/>
          <w:b/>
          <w:sz w:val="24"/>
          <w:szCs w:val="24"/>
        </w:rPr>
      </w:pPr>
    </w:p>
    <w:p w:rsidR="00987946" w:rsidRPr="004A3583" w:rsidRDefault="00987946" w:rsidP="005E6A7F">
      <w:pPr>
        <w:spacing w:after="0" w:line="240" w:lineRule="auto"/>
        <w:jc w:val="both"/>
        <w:rPr>
          <w:rFonts w:ascii="Arial Narrow" w:eastAsia="Batang" w:hAnsi="Arial Narrow"/>
          <w:sz w:val="24"/>
          <w:szCs w:val="24"/>
        </w:rPr>
      </w:pPr>
      <w:r w:rsidRPr="004A3583">
        <w:rPr>
          <w:rFonts w:ascii="Arial Narrow" w:eastAsia="Batang" w:hAnsi="Arial Narrow"/>
          <w:b/>
          <w:sz w:val="24"/>
          <w:szCs w:val="24"/>
        </w:rPr>
        <w:t>Cordial saludo</w:t>
      </w:r>
      <w:r w:rsidRPr="004A3583">
        <w:rPr>
          <w:rFonts w:ascii="Arial Narrow" w:eastAsia="Batang" w:hAnsi="Arial Narrow"/>
          <w:sz w:val="24"/>
          <w:szCs w:val="24"/>
        </w:rPr>
        <w:t>:</w:t>
      </w:r>
    </w:p>
    <w:p w:rsidR="00987946" w:rsidRPr="004A3583" w:rsidRDefault="00987946" w:rsidP="005E6A7F">
      <w:pPr>
        <w:spacing w:after="0" w:line="240" w:lineRule="auto"/>
        <w:jc w:val="both"/>
        <w:rPr>
          <w:rFonts w:ascii="Arial Narrow" w:eastAsia="Batang" w:hAnsi="Arial Narrow"/>
          <w:b/>
          <w:sz w:val="24"/>
          <w:szCs w:val="24"/>
        </w:rPr>
      </w:pPr>
    </w:p>
    <w:p w:rsidR="009D4E3F" w:rsidRPr="004A3583" w:rsidRDefault="009D4E3F" w:rsidP="00506273">
      <w:pPr>
        <w:pStyle w:val="Prrafodelista"/>
        <w:numPr>
          <w:ilvl w:val="0"/>
          <w:numId w:val="9"/>
        </w:numPr>
        <w:spacing w:after="0" w:line="240" w:lineRule="auto"/>
        <w:jc w:val="both"/>
        <w:rPr>
          <w:rFonts w:ascii="Arial Narrow" w:hAnsi="Arial Narrow" w:cs="Arial"/>
          <w:sz w:val="24"/>
          <w:szCs w:val="24"/>
        </w:rPr>
      </w:pPr>
      <w:r w:rsidRPr="004A3583">
        <w:rPr>
          <w:rFonts w:ascii="Arial Narrow" w:hAnsi="Arial Narrow"/>
          <w:b/>
          <w:sz w:val="24"/>
          <w:szCs w:val="24"/>
        </w:rPr>
        <w:t xml:space="preserve">CAROLINA ALEXANDRA GUERRERO RODRIGUEZ </w:t>
      </w:r>
      <w:r w:rsidRPr="004A3583">
        <w:rPr>
          <w:rFonts w:ascii="Arial Narrow" w:hAnsi="Arial Narrow"/>
          <w:sz w:val="24"/>
          <w:szCs w:val="24"/>
        </w:rPr>
        <w:t>mayor y vecino de la ciudad de Pasto, abogada titulada y en ejercicio, identificada con la cédula de ciudadanía número 1.085.250.237</w:t>
      </w:r>
      <w:r w:rsidRPr="004A3583">
        <w:rPr>
          <w:rFonts w:ascii="Arial Narrow" w:hAnsi="Arial Narrow"/>
          <w:b/>
          <w:sz w:val="24"/>
          <w:szCs w:val="24"/>
        </w:rPr>
        <w:t xml:space="preserve"> </w:t>
      </w:r>
      <w:r w:rsidRPr="004A3583">
        <w:rPr>
          <w:rFonts w:ascii="Arial Narrow" w:hAnsi="Arial Narrow"/>
          <w:sz w:val="24"/>
          <w:szCs w:val="24"/>
        </w:rPr>
        <w:t>expedida en Pasto y portadora de la Tarjeta Profesional número 193.316 del Consejo Superior de la Judicatura</w:t>
      </w:r>
      <w:r w:rsidRPr="004A3583">
        <w:rPr>
          <w:rFonts w:ascii="Arial Narrow" w:eastAsia="Adobe Fangsong Std R" w:hAnsi="Arial Narrow"/>
          <w:sz w:val="24"/>
          <w:szCs w:val="24"/>
        </w:rPr>
        <w:t>, actua</w:t>
      </w:r>
      <w:r w:rsidR="000D5B37" w:rsidRPr="004A3583">
        <w:rPr>
          <w:rFonts w:ascii="Arial Narrow" w:eastAsia="Adobe Fangsong Std R" w:hAnsi="Arial Narrow"/>
          <w:sz w:val="24"/>
          <w:szCs w:val="24"/>
        </w:rPr>
        <w:t>ndo en mi condición de apoderada</w:t>
      </w:r>
      <w:r w:rsidRPr="004A3583">
        <w:rPr>
          <w:rFonts w:ascii="Arial Narrow" w:eastAsia="Adobe Fangsong Std R" w:hAnsi="Arial Narrow"/>
          <w:sz w:val="24"/>
          <w:szCs w:val="24"/>
        </w:rPr>
        <w:t xml:space="preserve"> judicial de la </w:t>
      </w:r>
      <w:r w:rsidRPr="004A3583">
        <w:rPr>
          <w:rFonts w:ascii="Arial Narrow" w:eastAsia="Adobe Fangsong Std R" w:hAnsi="Arial Narrow"/>
          <w:b/>
          <w:sz w:val="24"/>
          <w:szCs w:val="24"/>
        </w:rPr>
        <w:t>Unidad Administrativa Especial del Sistema Estratégico de Transporte Público de Pasto – UAE SETP AVANTE</w:t>
      </w:r>
      <w:r w:rsidRPr="004A3583">
        <w:rPr>
          <w:rFonts w:ascii="Arial Narrow" w:eastAsia="Adobe Fangsong Std R" w:hAnsi="Arial Narrow"/>
          <w:bCs/>
          <w:sz w:val="24"/>
          <w:szCs w:val="24"/>
        </w:rPr>
        <w:t xml:space="preserve"> dentro del proceso de la referencia,</w:t>
      </w:r>
      <w:r w:rsidRPr="004A3583">
        <w:rPr>
          <w:rFonts w:ascii="Arial Narrow" w:hAnsi="Arial Narrow" w:cs="Arial"/>
          <w:sz w:val="24"/>
          <w:szCs w:val="24"/>
        </w:rPr>
        <w:t xml:space="preserve"> encontrándome dentro de la oportunidad legal, </w:t>
      </w:r>
      <w:r w:rsidRPr="004A3583">
        <w:rPr>
          <w:rFonts w:ascii="Arial Narrow" w:hAnsi="Arial Narrow"/>
          <w:sz w:val="24"/>
          <w:szCs w:val="24"/>
        </w:rPr>
        <w:t>de la manera más respetuosa me dirijo ante su Señoría a fin de  interponer recurso de reposición y en subsidio apelación contra la providencia que fija una indemnización</w:t>
      </w:r>
      <w:r w:rsidRPr="004A3583">
        <w:rPr>
          <w:rFonts w:ascii="Arial Narrow" w:hAnsi="Arial Narrow" w:cs="Arial"/>
          <w:sz w:val="24"/>
          <w:szCs w:val="24"/>
        </w:rPr>
        <w:t>,</w:t>
      </w:r>
      <w:r w:rsidR="000D5B37" w:rsidRPr="004A3583">
        <w:rPr>
          <w:rFonts w:ascii="Arial Narrow" w:hAnsi="Arial Narrow" w:cs="Arial"/>
          <w:sz w:val="24"/>
          <w:szCs w:val="24"/>
        </w:rPr>
        <w:t xml:space="preserve"> emitida el </w:t>
      </w:r>
      <w:r w:rsidR="00506273" w:rsidRPr="004A3583">
        <w:rPr>
          <w:rFonts w:ascii="Arial Narrow" w:hAnsi="Arial Narrow" w:cs="Arial"/>
          <w:sz w:val="24"/>
          <w:szCs w:val="24"/>
        </w:rPr>
        <w:t xml:space="preserve">25 </w:t>
      </w:r>
      <w:r w:rsidR="000D5B37" w:rsidRPr="004A3583">
        <w:rPr>
          <w:rFonts w:ascii="Arial Narrow" w:hAnsi="Arial Narrow" w:cs="Arial"/>
          <w:sz w:val="24"/>
          <w:szCs w:val="24"/>
        </w:rPr>
        <w:t xml:space="preserve">de </w:t>
      </w:r>
      <w:r w:rsidR="00506273" w:rsidRPr="004A3583">
        <w:rPr>
          <w:rFonts w:ascii="Arial Narrow" w:hAnsi="Arial Narrow" w:cs="Arial"/>
          <w:sz w:val="24"/>
          <w:szCs w:val="24"/>
        </w:rPr>
        <w:t xml:space="preserve">marzo de </w:t>
      </w:r>
      <w:r w:rsidR="000D5B37" w:rsidRPr="004A3583">
        <w:rPr>
          <w:rFonts w:ascii="Arial Narrow" w:hAnsi="Arial Narrow" w:cs="Arial"/>
          <w:sz w:val="24"/>
          <w:szCs w:val="24"/>
        </w:rPr>
        <w:t>este año</w:t>
      </w:r>
      <w:r w:rsidR="00506273" w:rsidRPr="004A3583">
        <w:rPr>
          <w:rFonts w:ascii="Arial Narrow" w:hAnsi="Arial Narrow" w:cs="Arial"/>
          <w:sz w:val="24"/>
          <w:szCs w:val="24"/>
        </w:rPr>
        <w:t xml:space="preserve"> y notificada por estados el día 6 de julio de 2020,</w:t>
      </w:r>
      <w:r w:rsidRPr="004A3583">
        <w:rPr>
          <w:rFonts w:ascii="Arial Narrow" w:hAnsi="Arial Narrow" w:cs="Arial"/>
          <w:sz w:val="24"/>
          <w:szCs w:val="24"/>
        </w:rPr>
        <w:t xml:space="preserve"> actuación tiene sustento en los términos que se exponen a continuación:</w:t>
      </w:r>
    </w:p>
    <w:p w:rsidR="00EE263E" w:rsidRPr="004A3583" w:rsidRDefault="00EE263E" w:rsidP="005E6A7F">
      <w:pPr>
        <w:pStyle w:val="Textoindependiente2"/>
        <w:rPr>
          <w:rFonts w:ascii="Arial Narrow" w:hAnsi="Arial Narrow" w:cs="Bookman Old Style"/>
          <w:szCs w:val="24"/>
        </w:rPr>
      </w:pPr>
    </w:p>
    <w:p w:rsidR="00F83C56" w:rsidRPr="004A3583" w:rsidRDefault="00F83C56" w:rsidP="005E6A7F">
      <w:pPr>
        <w:pStyle w:val="Textoindependiente2"/>
        <w:rPr>
          <w:rFonts w:ascii="Arial Narrow" w:hAnsi="Arial Narrow" w:cs="Bookman Old Style"/>
          <w:szCs w:val="24"/>
        </w:rPr>
      </w:pPr>
    </w:p>
    <w:p w:rsidR="00F44B96" w:rsidRPr="004A3583" w:rsidRDefault="00AC128B" w:rsidP="00AC128B">
      <w:pPr>
        <w:pStyle w:val="Textoindependiente2"/>
        <w:jc w:val="center"/>
        <w:rPr>
          <w:rFonts w:ascii="Arial Narrow" w:hAnsi="Arial Narrow" w:cs="Bookman Old Style"/>
          <w:b/>
          <w:szCs w:val="24"/>
        </w:rPr>
      </w:pPr>
      <w:r w:rsidRPr="004A3583">
        <w:rPr>
          <w:rFonts w:ascii="Arial Narrow" w:hAnsi="Arial Narrow" w:cs="Bookman Old Style"/>
          <w:b/>
          <w:szCs w:val="24"/>
        </w:rPr>
        <w:t>EL AUTO RECURRIDO</w:t>
      </w:r>
    </w:p>
    <w:p w:rsidR="00F44B96" w:rsidRPr="004A3583" w:rsidRDefault="00F44B96" w:rsidP="005E6A7F">
      <w:pPr>
        <w:pStyle w:val="Textoindependiente2"/>
        <w:rPr>
          <w:rFonts w:ascii="Arial Narrow" w:hAnsi="Arial Narrow" w:cs="Bookman Old Style"/>
          <w:szCs w:val="24"/>
        </w:rPr>
      </w:pPr>
    </w:p>
    <w:p w:rsidR="00F44B96" w:rsidRPr="004A3583" w:rsidRDefault="00CE30DE" w:rsidP="005E6A7F">
      <w:pPr>
        <w:pStyle w:val="Textoindependiente2"/>
        <w:rPr>
          <w:rFonts w:ascii="Arial Narrow" w:hAnsi="Arial Narrow" w:cs="Bookman Old Style"/>
          <w:szCs w:val="24"/>
        </w:rPr>
      </w:pPr>
      <w:r w:rsidRPr="004A3583">
        <w:rPr>
          <w:rFonts w:ascii="Arial Narrow" w:hAnsi="Arial Narrow" w:cs="Bookman Old Style"/>
          <w:szCs w:val="24"/>
        </w:rPr>
        <w:t xml:space="preserve">Mediante providencia de fecha </w:t>
      </w:r>
      <w:r w:rsidR="00EE263E" w:rsidRPr="004A3583">
        <w:rPr>
          <w:rFonts w:ascii="Arial Narrow" w:hAnsi="Arial Narrow" w:cs="Bookman Old Style"/>
          <w:szCs w:val="24"/>
        </w:rPr>
        <w:t xml:space="preserve">25 de marzo de </w:t>
      </w:r>
      <w:r w:rsidR="00506273" w:rsidRPr="004A3583">
        <w:rPr>
          <w:rFonts w:ascii="Arial Narrow" w:hAnsi="Arial Narrow" w:cs="Bookman Old Style"/>
          <w:szCs w:val="24"/>
        </w:rPr>
        <w:t>2.020,</w:t>
      </w:r>
      <w:r w:rsidR="000D5B37" w:rsidRPr="004A3583">
        <w:rPr>
          <w:rFonts w:ascii="Arial Narrow" w:hAnsi="Arial Narrow" w:cs="Bookman Old Style"/>
          <w:szCs w:val="24"/>
        </w:rPr>
        <w:t xml:space="preserve"> su Despacho, dentro del proceso en referencia, ordenó:</w:t>
      </w:r>
    </w:p>
    <w:p w:rsidR="00CE30DE" w:rsidRPr="004A3583" w:rsidRDefault="00CE30DE" w:rsidP="005E6A7F">
      <w:pPr>
        <w:pStyle w:val="Textoindependiente2"/>
        <w:rPr>
          <w:rFonts w:ascii="Arial Narrow" w:hAnsi="Arial Narrow" w:cs="Bookman Old Style"/>
          <w:szCs w:val="24"/>
        </w:rPr>
      </w:pPr>
    </w:p>
    <w:p w:rsidR="00274364" w:rsidRPr="004A3583" w:rsidRDefault="00274364" w:rsidP="005E6A7F">
      <w:pPr>
        <w:pStyle w:val="Textoindependiente2"/>
        <w:rPr>
          <w:rFonts w:ascii="Arial Narrow" w:hAnsi="Arial Narrow" w:cs="Bookman Old Style"/>
          <w:szCs w:val="24"/>
        </w:rPr>
      </w:pPr>
    </w:p>
    <w:p w:rsidR="0048403D" w:rsidRPr="004A3583" w:rsidRDefault="00CE30DE" w:rsidP="005E6A7F">
      <w:pPr>
        <w:spacing w:after="0" w:line="240" w:lineRule="auto"/>
        <w:jc w:val="both"/>
        <w:rPr>
          <w:rFonts w:ascii="Arial Narrow" w:hAnsi="Arial Narrow"/>
          <w:sz w:val="24"/>
          <w:szCs w:val="24"/>
        </w:rPr>
      </w:pPr>
      <w:r w:rsidRPr="004A3583">
        <w:rPr>
          <w:rFonts w:ascii="Arial Narrow" w:hAnsi="Arial Narrow"/>
          <w:sz w:val="24"/>
          <w:szCs w:val="24"/>
        </w:rPr>
        <w:t>“</w:t>
      </w:r>
      <w:r w:rsidR="0048403D" w:rsidRPr="004A3583">
        <w:rPr>
          <w:rFonts w:ascii="Arial Narrow" w:hAnsi="Arial Narrow"/>
          <w:b/>
          <w:sz w:val="24"/>
          <w:szCs w:val="24"/>
        </w:rPr>
        <w:t>PRIMERO</w:t>
      </w:r>
      <w:r w:rsidR="0048403D" w:rsidRPr="004A3583">
        <w:rPr>
          <w:rFonts w:ascii="Arial Narrow" w:hAnsi="Arial Narrow"/>
          <w:sz w:val="24"/>
          <w:szCs w:val="24"/>
        </w:rPr>
        <w:t>. Declarar no probadas las objeciones que por error grave enfiló cada una de las partes contra los dictámenes aportados al proceso.</w:t>
      </w:r>
    </w:p>
    <w:p w:rsidR="00CE30DE" w:rsidRPr="004A3583" w:rsidRDefault="00CE30DE" w:rsidP="005E6A7F">
      <w:pPr>
        <w:spacing w:after="0" w:line="240" w:lineRule="auto"/>
        <w:jc w:val="both"/>
        <w:rPr>
          <w:rFonts w:ascii="Arial Narrow" w:hAnsi="Arial Narrow"/>
          <w:sz w:val="24"/>
          <w:szCs w:val="24"/>
        </w:rPr>
      </w:pPr>
    </w:p>
    <w:p w:rsidR="00EE263E" w:rsidRPr="004A3583" w:rsidRDefault="00EE263E" w:rsidP="005E6A7F">
      <w:pPr>
        <w:spacing w:after="0" w:line="240" w:lineRule="auto"/>
        <w:jc w:val="both"/>
        <w:rPr>
          <w:rFonts w:ascii="Arial Narrow" w:hAnsi="Arial Narrow"/>
          <w:sz w:val="24"/>
          <w:szCs w:val="24"/>
        </w:rPr>
      </w:pPr>
      <w:r w:rsidRPr="004A3583">
        <w:rPr>
          <w:rFonts w:ascii="Arial Narrow" w:hAnsi="Arial Narrow"/>
          <w:b/>
          <w:sz w:val="24"/>
          <w:szCs w:val="24"/>
        </w:rPr>
        <w:t xml:space="preserve">SEGUNDO. </w:t>
      </w:r>
      <w:r w:rsidRPr="004A3583">
        <w:rPr>
          <w:rFonts w:ascii="Arial Narrow" w:hAnsi="Arial Narrow"/>
          <w:sz w:val="24"/>
          <w:szCs w:val="24"/>
        </w:rPr>
        <w:t>Establecer, con base en las explicaciones contenidas en la motiva de esta providencia, como indemnización que la entidad demandante deberá pagar a la demanda por la expropiación de la que da cuenta este proceso, el valor total de TRES MIL TRESCIENTOS CUARENTA Y SEIS MILLONES SEISCIENTOS CUARENTA MIL SETECIENTOS CUARENTA Y DOS PESOS ($3.346.640.742)</w:t>
      </w:r>
      <w:r w:rsidR="00DA5D2B" w:rsidRPr="004A3583">
        <w:rPr>
          <w:rFonts w:ascii="Arial Narrow" w:hAnsi="Arial Narrow"/>
          <w:sz w:val="24"/>
          <w:szCs w:val="24"/>
        </w:rPr>
        <w:t>.</w:t>
      </w:r>
    </w:p>
    <w:p w:rsidR="00DA5D2B" w:rsidRPr="004A3583" w:rsidRDefault="00DA5D2B" w:rsidP="005E6A7F">
      <w:pPr>
        <w:spacing w:after="0" w:line="240" w:lineRule="auto"/>
        <w:jc w:val="both"/>
        <w:rPr>
          <w:rFonts w:ascii="Arial Narrow" w:hAnsi="Arial Narrow"/>
          <w:sz w:val="24"/>
          <w:szCs w:val="24"/>
        </w:rPr>
      </w:pPr>
    </w:p>
    <w:p w:rsidR="00DA5D2B" w:rsidRPr="004A3583" w:rsidRDefault="00DA5D2B" w:rsidP="00DA5D2B">
      <w:pPr>
        <w:spacing w:after="0" w:line="240" w:lineRule="auto"/>
        <w:jc w:val="both"/>
        <w:rPr>
          <w:rFonts w:ascii="Arial Narrow" w:hAnsi="Arial Narrow"/>
          <w:sz w:val="24"/>
          <w:szCs w:val="24"/>
        </w:rPr>
      </w:pPr>
      <w:r w:rsidRPr="004A3583">
        <w:rPr>
          <w:rFonts w:ascii="Arial Narrow" w:hAnsi="Arial Narrow"/>
          <w:b/>
          <w:sz w:val="24"/>
          <w:szCs w:val="24"/>
        </w:rPr>
        <w:t>TERCERO.</w:t>
      </w:r>
      <w:r w:rsidRPr="004A3583">
        <w:rPr>
          <w:rFonts w:ascii="Arial Narrow" w:hAnsi="Arial Narrow"/>
          <w:sz w:val="24"/>
          <w:szCs w:val="24"/>
        </w:rPr>
        <w:t xml:space="preserve"> La entidad demandante deberá consignar la suma atrás anotada, descontado el valor entregado a la demandada, esto es la suma de $1.239.030.080, en el término perentorio de VEINTE (20) DÍAS para ser entregados a la interesada lo cual se supedita, por supuesto, a la inscripción de la sentencia emitida en este proceso.</w:t>
      </w:r>
    </w:p>
    <w:p w:rsidR="00DA5D2B" w:rsidRPr="004A3583" w:rsidRDefault="00DA5D2B" w:rsidP="00DA5D2B">
      <w:pPr>
        <w:spacing w:after="0" w:line="240" w:lineRule="auto"/>
        <w:jc w:val="both"/>
        <w:rPr>
          <w:rFonts w:ascii="Arial Narrow" w:hAnsi="Arial Narrow"/>
          <w:sz w:val="24"/>
          <w:szCs w:val="24"/>
        </w:rPr>
      </w:pPr>
    </w:p>
    <w:p w:rsidR="00DA5D2B" w:rsidRPr="004A3583" w:rsidRDefault="00DA5D2B" w:rsidP="00DA5D2B">
      <w:pPr>
        <w:spacing w:after="0" w:line="240" w:lineRule="auto"/>
        <w:jc w:val="both"/>
        <w:rPr>
          <w:rFonts w:ascii="Arial Narrow" w:hAnsi="Arial Narrow"/>
          <w:sz w:val="24"/>
          <w:szCs w:val="24"/>
        </w:rPr>
      </w:pPr>
      <w:r w:rsidRPr="004A3583">
        <w:rPr>
          <w:rFonts w:ascii="Arial Narrow" w:hAnsi="Arial Narrow"/>
          <w:sz w:val="24"/>
          <w:szCs w:val="24"/>
        </w:rPr>
        <w:t>Si transcurrido el término dispuesto la consignación no se surte, deberán reconocerse los respetivos intereses moratorios sobre la suma correspondiente.</w:t>
      </w:r>
    </w:p>
    <w:p w:rsidR="007D12C5" w:rsidRPr="004A3583" w:rsidRDefault="00657987" w:rsidP="005E6A7F">
      <w:pPr>
        <w:pStyle w:val="Prrafodelista"/>
        <w:spacing w:after="0" w:line="240" w:lineRule="auto"/>
        <w:jc w:val="center"/>
        <w:rPr>
          <w:rFonts w:ascii="Arial Narrow" w:hAnsi="Arial Narrow"/>
          <w:b/>
          <w:sz w:val="24"/>
          <w:szCs w:val="24"/>
        </w:rPr>
      </w:pPr>
      <w:r w:rsidRPr="004A3583">
        <w:rPr>
          <w:rFonts w:ascii="Arial Narrow" w:hAnsi="Arial Narrow"/>
          <w:b/>
          <w:sz w:val="24"/>
          <w:szCs w:val="24"/>
        </w:rPr>
        <w:lastRenderedPageBreak/>
        <w:t>FUNDAMENTOS DEL RECURSO</w:t>
      </w:r>
    </w:p>
    <w:p w:rsidR="00657987" w:rsidRPr="004A3583" w:rsidRDefault="00657987" w:rsidP="005E6A7F">
      <w:pPr>
        <w:pStyle w:val="Prrafodelista"/>
        <w:spacing w:after="0" w:line="240" w:lineRule="auto"/>
        <w:jc w:val="both"/>
        <w:rPr>
          <w:rFonts w:ascii="Arial Narrow" w:hAnsi="Arial Narrow"/>
          <w:sz w:val="24"/>
          <w:szCs w:val="24"/>
        </w:rPr>
      </w:pPr>
    </w:p>
    <w:p w:rsidR="007D12C5" w:rsidRPr="004A3583" w:rsidRDefault="007D12C5" w:rsidP="005E6A7F">
      <w:pPr>
        <w:pStyle w:val="Prrafodelista"/>
        <w:spacing w:after="0" w:line="240" w:lineRule="auto"/>
        <w:jc w:val="both"/>
        <w:rPr>
          <w:rFonts w:ascii="Arial Narrow" w:hAnsi="Arial Narrow"/>
          <w:sz w:val="24"/>
          <w:szCs w:val="24"/>
        </w:rPr>
      </w:pPr>
    </w:p>
    <w:p w:rsidR="00AA19C2" w:rsidRPr="004A3583" w:rsidRDefault="00AC128B" w:rsidP="00AC128B">
      <w:pPr>
        <w:spacing w:after="0" w:line="240" w:lineRule="auto"/>
        <w:jc w:val="both"/>
        <w:rPr>
          <w:rFonts w:ascii="Arial Narrow" w:hAnsi="Arial Narrow"/>
          <w:sz w:val="24"/>
          <w:szCs w:val="24"/>
        </w:rPr>
      </w:pPr>
      <w:r w:rsidRPr="004A3583">
        <w:rPr>
          <w:rFonts w:ascii="Arial Narrow" w:hAnsi="Arial Narrow"/>
          <w:sz w:val="24"/>
          <w:szCs w:val="24"/>
        </w:rPr>
        <w:t xml:space="preserve">El Despacho en auto </w:t>
      </w:r>
      <w:r w:rsidR="00AA19C2" w:rsidRPr="004A3583">
        <w:rPr>
          <w:rFonts w:ascii="Arial Narrow" w:hAnsi="Arial Narrow" w:cs="Arial"/>
          <w:sz w:val="24"/>
          <w:szCs w:val="24"/>
        </w:rPr>
        <w:t>emitido</w:t>
      </w:r>
      <w:r w:rsidRPr="004A3583">
        <w:rPr>
          <w:rFonts w:ascii="Arial Narrow" w:hAnsi="Arial Narrow" w:cs="Arial"/>
          <w:sz w:val="24"/>
          <w:szCs w:val="24"/>
        </w:rPr>
        <w:t xml:space="preserve"> el 25 de marzo de este año y notificado por estados el día 6 julio </w:t>
      </w:r>
      <w:r w:rsidRPr="004A3583">
        <w:rPr>
          <w:rFonts w:ascii="Arial Narrow" w:hAnsi="Arial Narrow"/>
          <w:sz w:val="24"/>
          <w:szCs w:val="24"/>
        </w:rPr>
        <w:t>de la misma anualidad,</w:t>
      </w:r>
      <w:r w:rsidR="00AA19C2" w:rsidRPr="004A3583">
        <w:rPr>
          <w:rFonts w:ascii="Arial Narrow" w:hAnsi="Arial Narrow"/>
          <w:sz w:val="24"/>
          <w:szCs w:val="24"/>
        </w:rPr>
        <w:t xml:space="preserve"> fija la indemnización a reconocer por parte de la UAE SETP AVANTE, con base en </w:t>
      </w:r>
      <w:r w:rsidRPr="004A3583">
        <w:rPr>
          <w:rFonts w:ascii="Arial Narrow" w:hAnsi="Arial Narrow"/>
          <w:sz w:val="24"/>
          <w:szCs w:val="24"/>
        </w:rPr>
        <w:t xml:space="preserve">argumentos, que con el debido respeto no comparto, </w:t>
      </w:r>
      <w:r w:rsidR="0010094C" w:rsidRPr="004A3583">
        <w:rPr>
          <w:rFonts w:ascii="Arial Narrow" w:hAnsi="Arial Narrow"/>
          <w:sz w:val="24"/>
          <w:szCs w:val="24"/>
        </w:rPr>
        <w:t xml:space="preserve">y que me permito </w:t>
      </w:r>
      <w:r w:rsidR="00AA19C2" w:rsidRPr="004A3583">
        <w:rPr>
          <w:rFonts w:ascii="Arial Narrow" w:hAnsi="Arial Narrow"/>
          <w:sz w:val="24"/>
          <w:szCs w:val="24"/>
        </w:rPr>
        <w:t>relacionar cada uno de la siguiente manera:</w:t>
      </w:r>
    </w:p>
    <w:p w:rsidR="00AC128B" w:rsidRPr="004A3583" w:rsidRDefault="00AC128B" w:rsidP="00AC128B">
      <w:pPr>
        <w:spacing w:after="0" w:line="240" w:lineRule="auto"/>
        <w:jc w:val="both"/>
        <w:rPr>
          <w:rFonts w:ascii="Arial Narrow" w:hAnsi="Arial Narrow"/>
          <w:sz w:val="24"/>
          <w:szCs w:val="24"/>
        </w:rPr>
      </w:pPr>
    </w:p>
    <w:p w:rsidR="00AC128B" w:rsidRPr="004A3583" w:rsidRDefault="00AC128B" w:rsidP="00AC128B">
      <w:pPr>
        <w:pStyle w:val="Prrafodelista"/>
        <w:spacing w:after="0" w:line="240" w:lineRule="auto"/>
        <w:jc w:val="both"/>
        <w:rPr>
          <w:rFonts w:ascii="Arial Narrow" w:hAnsi="Arial Narrow"/>
          <w:sz w:val="24"/>
          <w:szCs w:val="24"/>
        </w:rPr>
      </w:pPr>
    </w:p>
    <w:p w:rsidR="003F1674" w:rsidRPr="00097261" w:rsidRDefault="00A121F4" w:rsidP="00AC128B">
      <w:pPr>
        <w:pStyle w:val="Prrafodelista"/>
        <w:numPr>
          <w:ilvl w:val="0"/>
          <w:numId w:val="10"/>
        </w:numPr>
        <w:spacing w:after="0" w:line="240" w:lineRule="auto"/>
        <w:jc w:val="both"/>
        <w:rPr>
          <w:rFonts w:ascii="Arial Narrow" w:hAnsi="Arial Narrow"/>
          <w:sz w:val="24"/>
          <w:szCs w:val="24"/>
          <w:highlight w:val="lightGray"/>
        </w:rPr>
      </w:pPr>
      <w:proofErr w:type="gramStart"/>
      <w:r w:rsidRPr="00097261">
        <w:rPr>
          <w:rFonts w:ascii="Arial Narrow" w:hAnsi="Arial Narrow" w:cs="Arial"/>
          <w:i/>
          <w:sz w:val="24"/>
          <w:szCs w:val="24"/>
          <w:highlight w:val="lightGray"/>
        </w:rPr>
        <w:t>“</w:t>
      </w:r>
      <w:r w:rsidR="00CC4AA5" w:rsidRPr="00097261">
        <w:rPr>
          <w:rFonts w:ascii="Arial Narrow" w:hAnsi="Arial Narrow" w:cs="Arial"/>
          <w:i/>
          <w:sz w:val="24"/>
          <w:szCs w:val="24"/>
          <w:highlight w:val="lightGray"/>
        </w:rPr>
        <w:t xml:space="preserve"> </w:t>
      </w:r>
      <w:r w:rsidR="00CC4AA5" w:rsidRPr="00097261">
        <w:rPr>
          <w:rFonts w:ascii="Arial Narrow" w:hAnsi="Arial Narrow"/>
          <w:sz w:val="24"/>
          <w:szCs w:val="24"/>
          <w:highlight w:val="lightGray"/>
        </w:rPr>
        <w:t>La</w:t>
      </w:r>
      <w:proofErr w:type="gramEnd"/>
      <w:r w:rsidR="00CC4AA5" w:rsidRPr="00097261">
        <w:rPr>
          <w:rFonts w:ascii="Arial Narrow" w:hAnsi="Arial Narrow"/>
          <w:sz w:val="24"/>
          <w:szCs w:val="24"/>
          <w:highlight w:val="lightGray"/>
        </w:rPr>
        <w:t xml:space="preserve"> experticia traída con la demanda,</w:t>
      </w:r>
      <w:r w:rsidR="00CC4AA5" w:rsidRPr="00097261">
        <w:rPr>
          <w:rFonts w:ascii="Arial Narrow" w:hAnsi="Arial Narrow" w:cs="Arial"/>
          <w:i/>
          <w:sz w:val="24"/>
          <w:szCs w:val="24"/>
          <w:highlight w:val="lightGray"/>
        </w:rPr>
        <w:t xml:space="preserve"> </w:t>
      </w:r>
      <w:r w:rsidR="00CC4AA5" w:rsidRPr="00097261">
        <w:rPr>
          <w:rFonts w:ascii="Arial Narrow" w:hAnsi="Arial Narrow"/>
          <w:i/>
          <w:sz w:val="24"/>
          <w:szCs w:val="24"/>
          <w:highlight w:val="lightGray"/>
        </w:rPr>
        <w:t xml:space="preserve">no puede ser acogida en la medida en que tras invocar que se funda en el método de comparación, cita una serie de ofertas de inmuebles semejantes, pero no apareja al dictamen evidencia ni de las ofertas, ni de los inmuebles, a efecto de verificar si son o no equiparables al aquí involucrado, contrariando con ello lo dispuesto por el artículo 10 de la Resolución 620 de 2008 </w:t>
      </w:r>
    </w:p>
    <w:p w:rsidR="00AA19C2" w:rsidRPr="004A3583" w:rsidRDefault="00AA19C2" w:rsidP="005E6A7F">
      <w:pPr>
        <w:spacing w:after="0" w:line="240" w:lineRule="auto"/>
        <w:jc w:val="both"/>
        <w:rPr>
          <w:rFonts w:ascii="Arial Narrow" w:hAnsi="Arial Narrow"/>
          <w:sz w:val="24"/>
          <w:szCs w:val="24"/>
        </w:rPr>
      </w:pPr>
      <w:bookmarkStart w:id="0" w:name="_GoBack"/>
      <w:bookmarkEnd w:id="0"/>
    </w:p>
    <w:p w:rsidR="0092656C" w:rsidRPr="004A3583" w:rsidRDefault="007E4C06" w:rsidP="005E6A7F">
      <w:pPr>
        <w:spacing w:after="0" w:line="240" w:lineRule="auto"/>
        <w:jc w:val="both"/>
        <w:rPr>
          <w:rFonts w:ascii="Arial Narrow" w:hAnsi="Arial Narrow"/>
          <w:sz w:val="24"/>
          <w:szCs w:val="24"/>
        </w:rPr>
      </w:pPr>
      <w:r w:rsidRPr="004A3583">
        <w:rPr>
          <w:rFonts w:ascii="Arial Narrow" w:hAnsi="Arial Narrow"/>
          <w:sz w:val="24"/>
          <w:szCs w:val="24"/>
        </w:rPr>
        <w:t xml:space="preserve">El Despacho </w:t>
      </w:r>
      <w:r w:rsidR="00AA19C2" w:rsidRPr="004A3583">
        <w:rPr>
          <w:rFonts w:ascii="Arial Narrow" w:hAnsi="Arial Narrow"/>
          <w:sz w:val="24"/>
          <w:szCs w:val="24"/>
        </w:rPr>
        <w:t xml:space="preserve">al realizar el análisis del avalúo presentado por la UAE SETP AVANTE, </w:t>
      </w:r>
      <w:r w:rsidR="0092656C" w:rsidRPr="004A3583">
        <w:rPr>
          <w:rFonts w:ascii="Arial Narrow" w:hAnsi="Arial Narrow"/>
          <w:b/>
          <w:bCs/>
          <w:sz w:val="24"/>
          <w:szCs w:val="24"/>
        </w:rPr>
        <w:t>incurre en error grave</w:t>
      </w:r>
      <w:r w:rsidR="0092656C" w:rsidRPr="004A3583">
        <w:rPr>
          <w:rFonts w:ascii="Arial Narrow" w:hAnsi="Arial Narrow"/>
          <w:sz w:val="24"/>
          <w:szCs w:val="24"/>
        </w:rPr>
        <w:t xml:space="preserve"> al desvirtuar la metodología utilizada para el cálculo del terreno el avalúo comercial aportado en la demanda, considerando que el mismo aplica correctamente el método comparativo de mercado, relacionando un total de 9 muestras, de las cuales se relacionan </w:t>
      </w:r>
      <w:r w:rsidR="0092656C" w:rsidRPr="004A3583">
        <w:rPr>
          <w:rFonts w:ascii="Arial Narrow" w:hAnsi="Arial Narrow"/>
          <w:b/>
          <w:bCs/>
          <w:sz w:val="24"/>
          <w:szCs w:val="24"/>
        </w:rPr>
        <w:t>claramente</w:t>
      </w:r>
      <w:r w:rsidR="0092656C" w:rsidRPr="004A3583">
        <w:rPr>
          <w:rFonts w:ascii="Arial Narrow" w:hAnsi="Arial Narrow"/>
          <w:sz w:val="24"/>
          <w:szCs w:val="24"/>
        </w:rPr>
        <w:t xml:space="preserve"> su </w:t>
      </w:r>
      <w:r w:rsidR="0092656C" w:rsidRPr="004A3583">
        <w:rPr>
          <w:rFonts w:ascii="Arial Narrow" w:hAnsi="Arial Narrow"/>
          <w:b/>
          <w:bCs/>
          <w:sz w:val="24"/>
          <w:szCs w:val="24"/>
        </w:rPr>
        <w:t>dirección</w:t>
      </w:r>
      <w:r w:rsidR="0092656C" w:rsidRPr="004A3583">
        <w:rPr>
          <w:rFonts w:ascii="Arial Narrow" w:hAnsi="Arial Narrow"/>
          <w:sz w:val="24"/>
          <w:szCs w:val="24"/>
        </w:rPr>
        <w:t xml:space="preserve">, la persona consultada y el </w:t>
      </w:r>
      <w:r w:rsidR="0092656C" w:rsidRPr="004A3583">
        <w:rPr>
          <w:rFonts w:ascii="Arial Narrow" w:hAnsi="Arial Narrow"/>
          <w:b/>
          <w:bCs/>
          <w:sz w:val="24"/>
          <w:szCs w:val="24"/>
        </w:rPr>
        <w:t>área de terreno</w:t>
      </w:r>
      <w:r w:rsidR="0092656C" w:rsidRPr="004A3583">
        <w:rPr>
          <w:rFonts w:ascii="Arial Narrow" w:hAnsi="Arial Narrow"/>
          <w:sz w:val="24"/>
          <w:szCs w:val="24"/>
        </w:rPr>
        <w:t xml:space="preserve"> correspondiente, factores que se utilizaron como los determinantes para establecerlas como equiparables y base para la estimación de valor promedio del terreno en el sector. De la misma manera y determinando que la condición de ubicación como predio esquinero le representaba una mayor demanda, se determinó que al valor promedio encontrado se le debía aplicar el ajuste por condición de forma, basado en la influencia que su condición de esquinero le genera al aumentar el frente, p</w:t>
      </w:r>
      <w:r w:rsidR="008667BE" w:rsidRPr="004A3583">
        <w:rPr>
          <w:rFonts w:ascii="Arial Narrow" w:hAnsi="Arial Narrow"/>
          <w:sz w:val="24"/>
          <w:szCs w:val="24"/>
        </w:rPr>
        <w:t xml:space="preserve">or lo que se le aplico un </w:t>
      </w:r>
      <w:r w:rsidR="00506273" w:rsidRPr="004A3583">
        <w:rPr>
          <w:rFonts w:ascii="Arial Narrow" w:hAnsi="Arial Narrow"/>
          <w:sz w:val="24"/>
          <w:szCs w:val="24"/>
        </w:rPr>
        <w:t>incremento del</w:t>
      </w:r>
      <w:r w:rsidR="0092656C" w:rsidRPr="004A3583">
        <w:rPr>
          <w:rFonts w:ascii="Arial Narrow" w:hAnsi="Arial Narrow"/>
          <w:sz w:val="24"/>
          <w:szCs w:val="24"/>
        </w:rPr>
        <w:t xml:space="preserve"> 20%, sobre el valor promedio del sector. </w:t>
      </w:r>
    </w:p>
    <w:p w:rsidR="0092656C" w:rsidRPr="004A3583" w:rsidRDefault="0092656C" w:rsidP="005E6A7F">
      <w:pPr>
        <w:spacing w:after="0" w:line="240" w:lineRule="auto"/>
        <w:jc w:val="both"/>
        <w:rPr>
          <w:rFonts w:ascii="Arial Narrow" w:hAnsi="Arial Narrow"/>
          <w:sz w:val="24"/>
          <w:szCs w:val="24"/>
        </w:rPr>
      </w:pPr>
    </w:p>
    <w:p w:rsidR="003F1674" w:rsidRPr="004A3583" w:rsidRDefault="0092656C" w:rsidP="005E6A7F">
      <w:pPr>
        <w:spacing w:after="0" w:line="240" w:lineRule="auto"/>
        <w:jc w:val="both"/>
        <w:rPr>
          <w:rFonts w:ascii="Arial Narrow" w:hAnsi="Arial Narrow"/>
          <w:sz w:val="24"/>
          <w:szCs w:val="24"/>
        </w:rPr>
      </w:pPr>
      <w:r w:rsidRPr="004A3583">
        <w:rPr>
          <w:rFonts w:ascii="Arial Narrow" w:hAnsi="Arial Narrow"/>
          <w:sz w:val="24"/>
          <w:szCs w:val="24"/>
        </w:rPr>
        <w:t>Lo anterior demuestra que el análisis empelado para el cálculo del valor del terreno, aplicó correctamente las metodologías establecidas en la Resolución Reglamentaria No. 620 del 23 de septiembre de 2.008, expedida por IGAC</w:t>
      </w:r>
    </w:p>
    <w:p w:rsidR="0092656C" w:rsidRPr="004A3583" w:rsidRDefault="0092656C" w:rsidP="005E6A7F">
      <w:pPr>
        <w:spacing w:after="0" w:line="240" w:lineRule="auto"/>
        <w:jc w:val="both"/>
        <w:rPr>
          <w:rFonts w:ascii="Arial Narrow" w:hAnsi="Arial Narrow"/>
          <w:sz w:val="24"/>
          <w:szCs w:val="24"/>
        </w:rPr>
      </w:pPr>
    </w:p>
    <w:p w:rsidR="00F65376" w:rsidRPr="004A3583" w:rsidRDefault="00F65376" w:rsidP="005E6A7F">
      <w:pPr>
        <w:spacing w:after="0" w:line="240" w:lineRule="auto"/>
        <w:jc w:val="both"/>
        <w:rPr>
          <w:rFonts w:ascii="Arial Narrow" w:hAnsi="Arial Narrow"/>
          <w:sz w:val="24"/>
          <w:szCs w:val="24"/>
        </w:rPr>
      </w:pPr>
      <w:r w:rsidRPr="004A3583">
        <w:rPr>
          <w:rFonts w:ascii="Arial Narrow" w:hAnsi="Arial Narrow"/>
          <w:sz w:val="24"/>
          <w:szCs w:val="24"/>
        </w:rPr>
        <w:t xml:space="preserve">El método en el cual se fundamenta para emitir su </w:t>
      </w:r>
      <w:r w:rsidR="0077344A" w:rsidRPr="004A3583">
        <w:rPr>
          <w:rFonts w:ascii="Arial Narrow" w:hAnsi="Arial Narrow"/>
          <w:sz w:val="24"/>
          <w:szCs w:val="24"/>
        </w:rPr>
        <w:t>concepto,</w:t>
      </w:r>
      <w:r w:rsidRPr="004A3583">
        <w:rPr>
          <w:rFonts w:ascii="Arial Narrow" w:hAnsi="Arial Narrow"/>
          <w:sz w:val="24"/>
          <w:szCs w:val="24"/>
        </w:rPr>
        <w:t xml:space="preserve"> el señor perito acudió </w:t>
      </w:r>
      <w:r w:rsidR="008B1AB6" w:rsidRPr="004A3583">
        <w:rPr>
          <w:rFonts w:ascii="Arial Narrow" w:hAnsi="Arial Narrow"/>
          <w:sz w:val="24"/>
          <w:szCs w:val="24"/>
        </w:rPr>
        <w:t xml:space="preserve">al indicado en el Articulo 1 del </w:t>
      </w:r>
      <w:r w:rsidR="0077344A" w:rsidRPr="004A3583">
        <w:rPr>
          <w:rFonts w:ascii="Arial Narrow" w:hAnsi="Arial Narrow"/>
          <w:sz w:val="24"/>
          <w:szCs w:val="24"/>
        </w:rPr>
        <w:t xml:space="preserve">Decreto 1420 de 1.998 </w:t>
      </w:r>
      <w:r w:rsidR="008B1AB6" w:rsidRPr="004A3583">
        <w:rPr>
          <w:rFonts w:ascii="Arial Narrow" w:hAnsi="Arial Narrow"/>
          <w:sz w:val="24"/>
          <w:szCs w:val="24"/>
        </w:rPr>
        <w:t>que textualmente establece</w:t>
      </w:r>
      <w:r w:rsidR="0077344A" w:rsidRPr="004A3583">
        <w:rPr>
          <w:rFonts w:ascii="Arial Narrow" w:hAnsi="Arial Narrow"/>
          <w:sz w:val="24"/>
          <w:szCs w:val="24"/>
        </w:rPr>
        <w:t>:</w:t>
      </w:r>
      <w:r w:rsidR="008B1AB6" w:rsidRPr="004A3583">
        <w:rPr>
          <w:rFonts w:ascii="Arial Narrow" w:hAnsi="Arial Narrow"/>
          <w:sz w:val="24"/>
          <w:szCs w:val="24"/>
        </w:rPr>
        <w:t xml:space="preserve"> </w:t>
      </w:r>
    </w:p>
    <w:p w:rsidR="00F65376" w:rsidRPr="004A3583" w:rsidRDefault="00F65376" w:rsidP="005E6A7F">
      <w:pPr>
        <w:spacing w:after="0" w:line="240" w:lineRule="auto"/>
        <w:jc w:val="both"/>
        <w:rPr>
          <w:rFonts w:ascii="Arial Narrow" w:hAnsi="Arial Narrow"/>
          <w:sz w:val="24"/>
          <w:szCs w:val="24"/>
        </w:rPr>
      </w:pPr>
    </w:p>
    <w:p w:rsidR="009D4E3F" w:rsidRPr="004A3583" w:rsidRDefault="009D4E3F" w:rsidP="005E6A7F">
      <w:pPr>
        <w:spacing w:after="0" w:line="240" w:lineRule="auto"/>
        <w:ind w:left="720"/>
        <w:contextualSpacing/>
        <w:jc w:val="both"/>
        <w:rPr>
          <w:rFonts w:ascii="Arial Narrow" w:eastAsia="Times New Roman" w:hAnsi="Arial Narrow" w:cs="Arial"/>
          <w:sz w:val="24"/>
          <w:szCs w:val="24"/>
        </w:rPr>
      </w:pPr>
    </w:p>
    <w:p w:rsidR="009D4E3F" w:rsidRPr="004A3583" w:rsidRDefault="00506273" w:rsidP="007E4C06">
      <w:pPr>
        <w:spacing w:after="0" w:line="240" w:lineRule="auto"/>
        <w:contextualSpacing/>
        <w:jc w:val="both"/>
        <w:rPr>
          <w:rFonts w:ascii="Arial Narrow" w:eastAsia="Times New Roman" w:hAnsi="Arial Narrow" w:cs="Arial"/>
          <w:color w:val="000000"/>
          <w:sz w:val="24"/>
          <w:szCs w:val="24"/>
          <w:shd w:val="clear" w:color="auto" w:fill="FFFFFF"/>
        </w:rPr>
      </w:pPr>
      <w:r w:rsidRPr="004A3583">
        <w:rPr>
          <w:rFonts w:ascii="Arial Narrow" w:eastAsia="Times New Roman" w:hAnsi="Arial Narrow" w:cs="Arial"/>
          <w:b/>
          <w:bCs/>
          <w:color w:val="000000"/>
          <w:sz w:val="24"/>
          <w:szCs w:val="24"/>
          <w:shd w:val="clear" w:color="auto" w:fill="FFFFFF"/>
        </w:rPr>
        <w:t>“MÉTODO</w:t>
      </w:r>
      <w:r w:rsidR="009D4E3F" w:rsidRPr="004A3583">
        <w:rPr>
          <w:rFonts w:ascii="Arial Narrow" w:eastAsia="Times New Roman" w:hAnsi="Arial Narrow" w:cs="Arial"/>
          <w:b/>
          <w:bCs/>
          <w:i/>
          <w:iCs/>
          <w:color w:val="000000"/>
          <w:sz w:val="24"/>
          <w:szCs w:val="24"/>
          <w:shd w:val="clear" w:color="auto" w:fill="FFFFFF"/>
        </w:rPr>
        <w:t xml:space="preserve"> DE COMPARACIÓN O DE MERCADO.</w:t>
      </w:r>
      <w:r w:rsidR="009D4E3F" w:rsidRPr="004A3583">
        <w:rPr>
          <w:rFonts w:ascii="Arial Narrow" w:eastAsia="Times New Roman" w:hAnsi="Arial Narrow" w:cs="Arial"/>
          <w:color w:val="000000"/>
          <w:sz w:val="24"/>
          <w:szCs w:val="24"/>
          <w:shd w:val="clear" w:color="auto" w:fill="FFFFFF"/>
        </w:rPr>
        <w:t> Es la técnica valuatoria que busca establecer el valor comercial del bien, a partir del estudio de las ofertas o transacciones recientes, de bienes semejantes y comparables al del objeto de avalúo. tales ofertas o transacciones deberán ser clasificadas, analizadas e interpretadas para llegar a la estimación del valor comercial.” (Mayúsculas son de nuestra autoría).</w:t>
      </w:r>
    </w:p>
    <w:p w:rsidR="009D4E3F" w:rsidRPr="004A3583" w:rsidRDefault="009D4E3F" w:rsidP="005E6A7F">
      <w:pPr>
        <w:spacing w:after="0" w:line="240" w:lineRule="auto"/>
        <w:ind w:left="720"/>
        <w:contextualSpacing/>
        <w:jc w:val="both"/>
        <w:rPr>
          <w:rFonts w:ascii="Arial Narrow" w:eastAsia="Times New Roman" w:hAnsi="Arial Narrow" w:cs="Arial"/>
          <w:color w:val="000000"/>
          <w:sz w:val="24"/>
          <w:szCs w:val="24"/>
          <w:shd w:val="clear" w:color="auto" w:fill="FFFFFF"/>
        </w:rPr>
      </w:pPr>
    </w:p>
    <w:p w:rsidR="009D4E3F" w:rsidRPr="004A3583" w:rsidRDefault="009D4E3F" w:rsidP="005E6A7F">
      <w:pPr>
        <w:spacing w:after="0" w:line="240" w:lineRule="auto"/>
        <w:contextualSpacing/>
        <w:jc w:val="both"/>
        <w:rPr>
          <w:rFonts w:ascii="Arial Narrow" w:eastAsia="Times New Roman" w:hAnsi="Arial Narrow" w:cs="Arial"/>
          <w:color w:val="000000"/>
          <w:sz w:val="24"/>
          <w:szCs w:val="24"/>
          <w:shd w:val="clear" w:color="auto" w:fill="FFFFFF"/>
        </w:rPr>
      </w:pPr>
      <w:r w:rsidRPr="004A3583">
        <w:rPr>
          <w:rFonts w:ascii="Arial Narrow" w:eastAsia="Times New Roman" w:hAnsi="Arial Narrow" w:cs="Arial"/>
          <w:color w:val="000000"/>
          <w:sz w:val="24"/>
          <w:szCs w:val="24"/>
          <w:shd w:val="clear" w:color="auto" w:fill="FFFFFF"/>
        </w:rPr>
        <w:t xml:space="preserve">En este entendido es importante recordar que en el sector se </w:t>
      </w:r>
      <w:r w:rsidR="00997540" w:rsidRPr="004A3583">
        <w:rPr>
          <w:rFonts w:ascii="Arial Narrow" w:eastAsia="Times New Roman" w:hAnsi="Arial Narrow" w:cs="Arial"/>
          <w:color w:val="000000"/>
          <w:sz w:val="24"/>
          <w:szCs w:val="24"/>
          <w:shd w:val="clear" w:color="auto" w:fill="FFFFFF"/>
        </w:rPr>
        <w:t>realiz</w:t>
      </w:r>
      <w:r w:rsidR="00C375E7" w:rsidRPr="004A3583">
        <w:rPr>
          <w:rFonts w:ascii="Arial Narrow" w:eastAsia="Times New Roman" w:hAnsi="Arial Narrow" w:cs="Arial"/>
          <w:color w:val="000000"/>
          <w:sz w:val="24"/>
          <w:szCs w:val="24"/>
          <w:shd w:val="clear" w:color="auto" w:fill="FFFFFF"/>
        </w:rPr>
        <w:t>aron</w:t>
      </w:r>
      <w:r w:rsidRPr="004A3583">
        <w:rPr>
          <w:rFonts w:ascii="Arial Narrow" w:eastAsia="Times New Roman" w:hAnsi="Arial Narrow" w:cs="Arial"/>
          <w:color w:val="000000"/>
          <w:sz w:val="24"/>
          <w:szCs w:val="24"/>
          <w:shd w:val="clear" w:color="auto" w:fill="FFFFFF"/>
        </w:rPr>
        <w:t xml:space="preserve"> varias compraventas de manera voluntaria</w:t>
      </w:r>
      <w:r w:rsidR="008B1AB6" w:rsidRPr="004A3583">
        <w:rPr>
          <w:rFonts w:ascii="Arial Narrow" w:eastAsia="Times New Roman" w:hAnsi="Arial Narrow" w:cs="Arial"/>
          <w:color w:val="000000"/>
          <w:sz w:val="24"/>
          <w:szCs w:val="24"/>
          <w:shd w:val="clear" w:color="auto" w:fill="FFFFFF"/>
        </w:rPr>
        <w:t>,</w:t>
      </w:r>
      <w:r w:rsidRPr="004A3583">
        <w:rPr>
          <w:rFonts w:ascii="Arial Narrow" w:eastAsia="Times New Roman" w:hAnsi="Arial Narrow" w:cs="Arial"/>
          <w:color w:val="000000"/>
          <w:sz w:val="24"/>
          <w:szCs w:val="24"/>
          <w:shd w:val="clear" w:color="auto" w:fill="FFFFFF"/>
        </w:rPr>
        <w:t xml:space="preserve"> de predios re</w:t>
      </w:r>
      <w:r w:rsidR="008B1AB6" w:rsidRPr="004A3583">
        <w:rPr>
          <w:rFonts w:ascii="Arial Narrow" w:eastAsia="Times New Roman" w:hAnsi="Arial Narrow" w:cs="Arial"/>
          <w:color w:val="000000"/>
          <w:sz w:val="24"/>
          <w:szCs w:val="24"/>
          <w:shd w:val="clear" w:color="auto" w:fill="FFFFFF"/>
        </w:rPr>
        <w:t>queridos para la ejecución del P</w:t>
      </w:r>
      <w:r w:rsidRPr="004A3583">
        <w:rPr>
          <w:rFonts w:ascii="Arial Narrow" w:eastAsia="Times New Roman" w:hAnsi="Arial Narrow" w:cs="Arial"/>
          <w:color w:val="000000"/>
          <w:sz w:val="24"/>
          <w:szCs w:val="24"/>
          <w:shd w:val="clear" w:color="auto" w:fill="FFFFFF"/>
        </w:rPr>
        <w:t xml:space="preserve">royecto, siendo por tanto </w:t>
      </w:r>
      <w:r w:rsidR="006D65CE" w:rsidRPr="004A3583">
        <w:rPr>
          <w:rFonts w:ascii="Arial Narrow" w:eastAsia="Times New Roman" w:hAnsi="Arial Narrow" w:cs="Arial"/>
          <w:color w:val="000000"/>
          <w:sz w:val="24"/>
          <w:szCs w:val="24"/>
          <w:shd w:val="clear" w:color="auto" w:fill="FFFFFF"/>
        </w:rPr>
        <w:t>transacciones</w:t>
      </w:r>
      <w:r w:rsidRPr="004A3583">
        <w:rPr>
          <w:rFonts w:ascii="Arial Narrow" w:eastAsia="Times New Roman" w:hAnsi="Arial Narrow" w:cs="Arial"/>
          <w:color w:val="000000"/>
          <w:sz w:val="24"/>
          <w:szCs w:val="24"/>
          <w:shd w:val="clear" w:color="auto" w:fill="FFFFFF"/>
        </w:rPr>
        <w:t xml:space="preserve"> real</w:t>
      </w:r>
      <w:r w:rsidR="006D65CE" w:rsidRPr="004A3583">
        <w:rPr>
          <w:rFonts w:ascii="Arial Narrow" w:eastAsia="Times New Roman" w:hAnsi="Arial Narrow" w:cs="Arial"/>
          <w:color w:val="000000"/>
          <w:sz w:val="24"/>
          <w:szCs w:val="24"/>
          <w:shd w:val="clear" w:color="auto" w:fill="FFFFFF"/>
        </w:rPr>
        <w:t>es</w:t>
      </w:r>
      <w:r w:rsidRPr="004A3583">
        <w:rPr>
          <w:rFonts w:ascii="Arial Narrow" w:eastAsia="Times New Roman" w:hAnsi="Arial Narrow" w:cs="Arial"/>
          <w:color w:val="000000"/>
          <w:sz w:val="24"/>
          <w:szCs w:val="24"/>
          <w:shd w:val="clear" w:color="auto" w:fill="FFFFFF"/>
        </w:rPr>
        <w:t>, no</w:t>
      </w:r>
      <w:r w:rsidR="006D65CE" w:rsidRPr="004A3583">
        <w:rPr>
          <w:rFonts w:ascii="Arial Narrow" w:eastAsia="Times New Roman" w:hAnsi="Arial Narrow" w:cs="Arial"/>
          <w:color w:val="000000"/>
          <w:sz w:val="24"/>
          <w:szCs w:val="24"/>
          <w:shd w:val="clear" w:color="auto" w:fill="FFFFFF"/>
        </w:rPr>
        <w:t xml:space="preserve"> apreciaciones</w:t>
      </w:r>
      <w:r w:rsidRPr="004A3583">
        <w:rPr>
          <w:rFonts w:ascii="Arial Narrow" w:eastAsia="Times New Roman" w:hAnsi="Arial Narrow" w:cs="Arial"/>
          <w:color w:val="000000"/>
          <w:sz w:val="24"/>
          <w:szCs w:val="24"/>
          <w:shd w:val="clear" w:color="auto" w:fill="FFFFFF"/>
        </w:rPr>
        <w:t xml:space="preserve"> subjetivas como encu</w:t>
      </w:r>
      <w:r w:rsidR="008B1AB6" w:rsidRPr="004A3583">
        <w:rPr>
          <w:rFonts w:ascii="Arial Narrow" w:eastAsia="Times New Roman" w:hAnsi="Arial Narrow" w:cs="Arial"/>
          <w:color w:val="000000"/>
          <w:sz w:val="24"/>
          <w:szCs w:val="24"/>
          <w:shd w:val="clear" w:color="auto" w:fill="FFFFFF"/>
        </w:rPr>
        <w:t>estas o cotizaci</w:t>
      </w:r>
      <w:r w:rsidR="008667BE" w:rsidRPr="004A3583">
        <w:rPr>
          <w:rFonts w:ascii="Arial Narrow" w:eastAsia="Times New Roman" w:hAnsi="Arial Narrow" w:cs="Arial"/>
          <w:color w:val="000000"/>
          <w:sz w:val="24"/>
          <w:szCs w:val="24"/>
          <w:shd w:val="clear" w:color="auto" w:fill="FFFFFF"/>
        </w:rPr>
        <w:t xml:space="preserve">ones, tal es el caso del predio </w:t>
      </w:r>
      <w:r w:rsidR="008B1AB6" w:rsidRPr="004A3583">
        <w:rPr>
          <w:rFonts w:ascii="Arial Narrow" w:eastAsia="Times New Roman" w:hAnsi="Arial Narrow" w:cs="Arial"/>
          <w:color w:val="000000"/>
          <w:sz w:val="24"/>
          <w:szCs w:val="24"/>
          <w:shd w:val="clear" w:color="auto" w:fill="FFFFFF"/>
        </w:rPr>
        <w:t>donde funcionaba el establec</w:t>
      </w:r>
      <w:r w:rsidR="0077344A" w:rsidRPr="004A3583">
        <w:rPr>
          <w:rFonts w:ascii="Arial Narrow" w:eastAsia="Times New Roman" w:hAnsi="Arial Narrow" w:cs="Arial"/>
          <w:color w:val="000000"/>
          <w:sz w:val="24"/>
          <w:szCs w:val="24"/>
          <w:shd w:val="clear" w:color="auto" w:fill="FFFFFF"/>
        </w:rPr>
        <w:t xml:space="preserve">imiento denominado </w:t>
      </w:r>
      <w:proofErr w:type="spellStart"/>
      <w:r w:rsidR="0077344A" w:rsidRPr="004A3583">
        <w:rPr>
          <w:rFonts w:ascii="Arial Narrow" w:eastAsia="Times New Roman" w:hAnsi="Arial Narrow" w:cs="Arial"/>
          <w:color w:val="000000"/>
          <w:sz w:val="24"/>
          <w:szCs w:val="24"/>
          <w:shd w:val="clear" w:color="auto" w:fill="FFFFFF"/>
        </w:rPr>
        <w:t>Whop</w:t>
      </w:r>
      <w:r w:rsidR="008B1AB6" w:rsidRPr="004A3583">
        <w:rPr>
          <w:rFonts w:ascii="Arial Narrow" w:eastAsia="Times New Roman" w:hAnsi="Arial Narrow" w:cs="Arial"/>
          <w:color w:val="000000"/>
          <w:sz w:val="24"/>
          <w:szCs w:val="24"/>
          <w:shd w:val="clear" w:color="auto" w:fill="FFFFFF"/>
        </w:rPr>
        <w:t>per</w:t>
      </w:r>
      <w:proofErr w:type="spellEnd"/>
      <w:r w:rsidR="008B1AB6" w:rsidRPr="004A3583">
        <w:rPr>
          <w:rFonts w:ascii="Arial Narrow" w:eastAsia="Times New Roman" w:hAnsi="Arial Narrow" w:cs="Arial"/>
          <w:color w:val="000000"/>
          <w:sz w:val="24"/>
          <w:szCs w:val="24"/>
          <w:shd w:val="clear" w:color="auto" w:fill="FFFFFF"/>
        </w:rPr>
        <w:t xml:space="preserve"> King, ubicado en la calle 12 No. 4-08,</w:t>
      </w:r>
      <w:r w:rsidR="000865DF" w:rsidRPr="004A3583">
        <w:rPr>
          <w:rFonts w:ascii="Arial Narrow" w:eastAsia="Times New Roman" w:hAnsi="Arial Narrow" w:cs="Arial"/>
          <w:color w:val="000000"/>
          <w:sz w:val="24"/>
          <w:szCs w:val="24"/>
          <w:shd w:val="clear" w:color="auto" w:fill="FFFFFF"/>
        </w:rPr>
        <w:t xml:space="preserve"> identificado con numero predial 01-04-0523-0013-000  </w:t>
      </w:r>
      <w:r w:rsidR="001455EC" w:rsidRPr="004A3583">
        <w:rPr>
          <w:rFonts w:ascii="Arial Narrow" w:eastAsia="Times New Roman" w:hAnsi="Arial Narrow" w:cs="Arial"/>
          <w:color w:val="000000"/>
          <w:sz w:val="24"/>
          <w:szCs w:val="24"/>
          <w:shd w:val="clear" w:color="auto" w:fill="FFFFFF"/>
        </w:rPr>
        <w:t xml:space="preserve">que es </w:t>
      </w:r>
      <w:r w:rsidR="008B1AB6" w:rsidRPr="004A3583">
        <w:rPr>
          <w:rFonts w:ascii="Arial Narrow" w:eastAsia="Times New Roman" w:hAnsi="Arial Narrow" w:cs="Arial"/>
          <w:color w:val="000000"/>
          <w:sz w:val="24"/>
          <w:szCs w:val="24"/>
          <w:shd w:val="clear" w:color="auto" w:fill="FFFFFF"/>
        </w:rPr>
        <w:t xml:space="preserve">de propiedad del señor Henry Olaya </w:t>
      </w:r>
      <w:r w:rsidR="004E347E" w:rsidRPr="004A3583">
        <w:rPr>
          <w:rFonts w:ascii="Arial Narrow" w:eastAsia="Times New Roman" w:hAnsi="Arial Narrow" w:cs="Arial"/>
          <w:color w:val="000000"/>
          <w:sz w:val="24"/>
          <w:szCs w:val="24"/>
          <w:shd w:val="clear" w:color="auto" w:fill="FFFFFF"/>
        </w:rPr>
        <w:t xml:space="preserve">Angel </w:t>
      </w:r>
      <w:r w:rsidR="008B1AB6" w:rsidRPr="004A3583">
        <w:rPr>
          <w:rFonts w:ascii="Arial Narrow" w:eastAsia="Times New Roman" w:hAnsi="Arial Narrow" w:cs="Arial"/>
          <w:color w:val="000000"/>
          <w:sz w:val="24"/>
          <w:szCs w:val="24"/>
          <w:shd w:val="clear" w:color="auto" w:fill="FFFFFF"/>
        </w:rPr>
        <w:t>y que se referencia en las cotizaciones, el cual también se requiri</w:t>
      </w:r>
      <w:r w:rsidR="0077344A" w:rsidRPr="004A3583">
        <w:rPr>
          <w:rFonts w:ascii="Arial Narrow" w:eastAsia="Times New Roman" w:hAnsi="Arial Narrow" w:cs="Arial"/>
          <w:color w:val="000000"/>
          <w:sz w:val="24"/>
          <w:szCs w:val="24"/>
          <w:shd w:val="clear" w:color="auto" w:fill="FFFFFF"/>
        </w:rPr>
        <w:t xml:space="preserve">ó por motivos de utilidad </w:t>
      </w:r>
      <w:r w:rsidR="001455EC" w:rsidRPr="004A3583">
        <w:rPr>
          <w:rFonts w:ascii="Arial Narrow" w:eastAsia="Times New Roman" w:hAnsi="Arial Narrow" w:cs="Arial"/>
          <w:color w:val="000000"/>
          <w:sz w:val="24"/>
          <w:szCs w:val="24"/>
          <w:shd w:val="clear" w:color="auto" w:fill="FFFFFF"/>
        </w:rPr>
        <w:t>pública</w:t>
      </w:r>
      <w:r w:rsidR="0077344A" w:rsidRPr="004A3583">
        <w:rPr>
          <w:rFonts w:ascii="Arial Narrow" w:eastAsia="Times New Roman" w:hAnsi="Arial Narrow" w:cs="Arial"/>
          <w:color w:val="000000"/>
          <w:sz w:val="24"/>
          <w:szCs w:val="24"/>
          <w:shd w:val="clear" w:color="auto" w:fill="FFFFFF"/>
        </w:rPr>
        <w:t xml:space="preserve">, </w:t>
      </w:r>
      <w:r w:rsidR="008B1AB6" w:rsidRPr="004A3583">
        <w:rPr>
          <w:rFonts w:ascii="Arial Narrow" w:eastAsia="Times New Roman" w:hAnsi="Arial Narrow" w:cs="Arial"/>
          <w:color w:val="000000"/>
          <w:sz w:val="24"/>
          <w:szCs w:val="24"/>
          <w:shd w:val="clear" w:color="auto" w:fill="FFFFFF"/>
        </w:rPr>
        <w:t xml:space="preserve"> de manera parcial mediante Escritura Publica No. 657 de la Notaria Segunda de Pasto, del 28 de marzo de 2.014, por la suma </w:t>
      </w:r>
      <w:r w:rsidR="001455EC" w:rsidRPr="004A3583">
        <w:rPr>
          <w:rFonts w:ascii="Arial Narrow" w:eastAsia="Times New Roman" w:hAnsi="Arial Narrow" w:cs="Arial"/>
          <w:color w:val="000000"/>
          <w:sz w:val="24"/>
          <w:szCs w:val="24"/>
          <w:shd w:val="clear" w:color="auto" w:fill="FFFFFF"/>
        </w:rPr>
        <w:t xml:space="preserve"> de $11.083.500, de 13,5 </w:t>
      </w:r>
      <w:proofErr w:type="spellStart"/>
      <w:r w:rsidR="001455EC" w:rsidRPr="004A3583">
        <w:rPr>
          <w:rFonts w:ascii="Arial Narrow" w:eastAsia="Times New Roman" w:hAnsi="Arial Narrow" w:cs="Arial"/>
          <w:color w:val="000000"/>
          <w:sz w:val="24"/>
          <w:szCs w:val="24"/>
          <w:shd w:val="clear" w:color="auto" w:fill="FFFFFF"/>
        </w:rPr>
        <w:t>mts</w:t>
      </w:r>
      <w:proofErr w:type="spellEnd"/>
      <w:r w:rsidR="001455EC" w:rsidRPr="004A3583">
        <w:rPr>
          <w:rFonts w:ascii="Arial Narrow" w:eastAsia="Times New Roman" w:hAnsi="Arial Narrow" w:cs="Arial"/>
          <w:color w:val="000000"/>
          <w:sz w:val="24"/>
          <w:szCs w:val="24"/>
          <w:shd w:val="clear" w:color="auto" w:fill="FFFFFF"/>
        </w:rPr>
        <w:t xml:space="preserve"> 2 terreno, estableciendo en el avalúo el valor por metro cuadrado de</w:t>
      </w:r>
      <w:r w:rsidR="008B1AB6" w:rsidRPr="004A3583">
        <w:rPr>
          <w:rFonts w:ascii="Arial Narrow" w:eastAsia="Times New Roman" w:hAnsi="Arial Narrow" w:cs="Arial"/>
          <w:color w:val="000000"/>
          <w:sz w:val="24"/>
          <w:szCs w:val="24"/>
          <w:shd w:val="clear" w:color="auto" w:fill="FFFFFF"/>
        </w:rPr>
        <w:t xml:space="preserve"> $</w:t>
      </w:r>
      <w:r w:rsidR="001455EC" w:rsidRPr="004A3583">
        <w:rPr>
          <w:rFonts w:ascii="Arial Narrow" w:eastAsia="Times New Roman" w:hAnsi="Arial Narrow" w:cs="Arial"/>
          <w:color w:val="000000"/>
          <w:sz w:val="24"/>
          <w:szCs w:val="24"/>
          <w:shd w:val="clear" w:color="auto" w:fill="FFFFFF"/>
        </w:rPr>
        <w:t>740.000</w:t>
      </w:r>
      <w:r w:rsidR="008667BE" w:rsidRPr="004A3583">
        <w:rPr>
          <w:rFonts w:ascii="Arial Narrow" w:eastAsia="Times New Roman" w:hAnsi="Arial Narrow" w:cs="Arial"/>
          <w:color w:val="000000"/>
          <w:sz w:val="24"/>
          <w:szCs w:val="24"/>
          <w:shd w:val="clear" w:color="auto" w:fill="FFFFFF"/>
        </w:rPr>
        <w:t xml:space="preserve">. Documento público que allego a su Despacho con este escrito. </w:t>
      </w:r>
    </w:p>
    <w:p w:rsidR="00C375E7" w:rsidRPr="004A3583" w:rsidRDefault="00C375E7" w:rsidP="005E6A7F">
      <w:pPr>
        <w:spacing w:after="0" w:line="240" w:lineRule="auto"/>
        <w:ind w:left="720"/>
        <w:contextualSpacing/>
        <w:jc w:val="both"/>
        <w:rPr>
          <w:rFonts w:ascii="Arial Narrow" w:eastAsia="Times New Roman" w:hAnsi="Arial Narrow" w:cs="Arial"/>
          <w:color w:val="000000"/>
          <w:sz w:val="24"/>
          <w:szCs w:val="24"/>
          <w:shd w:val="clear" w:color="auto" w:fill="FFFFFF"/>
        </w:rPr>
      </w:pPr>
    </w:p>
    <w:p w:rsidR="000865DF" w:rsidRPr="004A3583" w:rsidRDefault="000865DF" w:rsidP="007E4C06">
      <w:pPr>
        <w:spacing w:after="0" w:line="240" w:lineRule="auto"/>
        <w:contextualSpacing/>
        <w:jc w:val="both"/>
        <w:rPr>
          <w:rFonts w:ascii="Arial Narrow" w:eastAsia="Times New Roman" w:hAnsi="Arial Narrow" w:cs="Arial"/>
          <w:color w:val="000000"/>
          <w:sz w:val="24"/>
          <w:szCs w:val="24"/>
          <w:shd w:val="clear" w:color="auto" w:fill="FFFFFF"/>
        </w:rPr>
      </w:pPr>
      <w:r w:rsidRPr="004A3583">
        <w:rPr>
          <w:rFonts w:ascii="Arial Narrow" w:eastAsia="Times New Roman" w:hAnsi="Arial Narrow" w:cs="Arial"/>
          <w:color w:val="000000"/>
          <w:sz w:val="24"/>
          <w:szCs w:val="24"/>
          <w:shd w:val="clear" w:color="auto" w:fill="FFFFFF"/>
        </w:rPr>
        <w:t>Es que en la misma providencia sobre la cual versa nuestra inconformidad, hace relación a los predios adquiridos para el Proyecto y que tiene similitud respecto de la ubicación y giro comercial con el de propiedad de la señora Olivia, cuando señala:</w:t>
      </w:r>
    </w:p>
    <w:p w:rsidR="000865DF" w:rsidRPr="004A3583" w:rsidRDefault="000865DF" w:rsidP="005E6A7F">
      <w:pPr>
        <w:spacing w:after="0" w:line="240" w:lineRule="auto"/>
        <w:ind w:left="720"/>
        <w:contextualSpacing/>
        <w:jc w:val="both"/>
        <w:rPr>
          <w:rFonts w:ascii="Arial Narrow" w:eastAsia="Times New Roman" w:hAnsi="Arial Narrow" w:cs="Arial"/>
          <w:color w:val="000000"/>
          <w:sz w:val="24"/>
          <w:szCs w:val="24"/>
          <w:shd w:val="clear" w:color="auto" w:fill="FFFFFF"/>
        </w:rPr>
      </w:pPr>
    </w:p>
    <w:p w:rsidR="00AC5611" w:rsidRPr="00097261" w:rsidRDefault="00AC5611" w:rsidP="00AC5611">
      <w:pPr>
        <w:pStyle w:val="Prrafodelista"/>
        <w:numPr>
          <w:ilvl w:val="0"/>
          <w:numId w:val="8"/>
        </w:numPr>
        <w:spacing w:after="0"/>
        <w:jc w:val="both"/>
        <w:rPr>
          <w:rFonts w:ascii="Arial Narrow" w:hAnsi="Arial Narrow"/>
          <w:b/>
          <w:i/>
          <w:sz w:val="24"/>
          <w:szCs w:val="24"/>
          <w:highlight w:val="lightGray"/>
        </w:rPr>
      </w:pPr>
      <w:r w:rsidRPr="00097261">
        <w:rPr>
          <w:rFonts w:ascii="Arial Narrow" w:hAnsi="Arial Narrow"/>
          <w:b/>
          <w:i/>
          <w:sz w:val="24"/>
          <w:szCs w:val="24"/>
          <w:highlight w:val="lightGray"/>
        </w:rPr>
        <w:t>“El dictamen aparejado a la contestación de la demanda… su revisión indica que, tras no encontrar ofertas respecto de predios semejantes, el perito acude a cotizaciones, pero al tiempo las analiza con encuestas”.</w:t>
      </w:r>
    </w:p>
    <w:p w:rsidR="00AC5611" w:rsidRPr="004A3583" w:rsidRDefault="00AC5611" w:rsidP="00AC5611">
      <w:pPr>
        <w:pStyle w:val="Prrafodelista"/>
        <w:spacing w:after="0"/>
        <w:jc w:val="both"/>
        <w:rPr>
          <w:rFonts w:ascii="Arial Narrow" w:hAnsi="Arial Narrow"/>
          <w:b/>
          <w:i/>
          <w:sz w:val="24"/>
          <w:szCs w:val="24"/>
        </w:rPr>
      </w:pPr>
    </w:p>
    <w:p w:rsidR="00AC5611" w:rsidRPr="004A3583" w:rsidRDefault="00AC5611" w:rsidP="00AC5611">
      <w:pPr>
        <w:spacing w:after="0"/>
        <w:jc w:val="both"/>
        <w:rPr>
          <w:rFonts w:ascii="Arial Narrow" w:hAnsi="Arial Narrow"/>
          <w:b/>
          <w:bCs/>
          <w:sz w:val="24"/>
          <w:szCs w:val="24"/>
        </w:rPr>
      </w:pPr>
      <w:r w:rsidRPr="004A3583">
        <w:rPr>
          <w:rFonts w:ascii="Arial Narrow" w:hAnsi="Arial Narrow"/>
          <w:sz w:val="24"/>
          <w:szCs w:val="24"/>
        </w:rPr>
        <w:lastRenderedPageBreak/>
        <w:t>En cuanto a este punto s</w:t>
      </w:r>
      <w:r w:rsidR="007E4C06" w:rsidRPr="004A3583">
        <w:rPr>
          <w:rFonts w:ascii="Arial Narrow" w:hAnsi="Arial Narrow"/>
          <w:sz w:val="24"/>
          <w:szCs w:val="24"/>
        </w:rPr>
        <w:t xml:space="preserve">e </w:t>
      </w:r>
      <w:r w:rsidRPr="004A3583">
        <w:rPr>
          <w:rFonts w:ascii="Arial Narrow" w:hAnsi="Arial Narrow"/>
          <w:sz w:val="24"/>
          <w:szCs w:val="24"/>
        </w:rPr>
        <w:t xml:space="preserve">debe aclarar, que en el dictamen tomado como base para adoptar el valor del metro cuadrado del terreno del inmueble objeto de avalúo, enuncia que adopta como metodología para determinar el valor del terreno la investigación directa (Cotizaciones a personal naturales o jurídicas), basado en lo reglamentado en el artículo 12 de la Resolución 898 del 19 de agosto de 2014 expedida por el IGAC, incurriendo en un </w:t>
      </w:r>
      <w:r w:rsidRPr="004A3583">
        <w:rPr>
          <w:rFonts w:ascii="Arial Narrow" w:hAnsi="Arial Narrow"/>
          <w:b/>
          <w:bCs/>
          <w:sz w:val="24"/>
          <w:szCs w:val="24"/>
        </w:rPr>
        <w:t>error grave</w:t>
      </w:r>
      <w:r w:rsidRPr="004A3583">
        <w:rPr>
          <w:rFonts w:ascii="Arial Narrow" w:hAnsi="Arial Narrow"/>
          <w:sz w:val="24"/>
          <w:szCs w:val="24"/>
        </w:rPr>
        <w:t xml:space="preserve">, ya que dicha metodología aplica solo para el cálculo de las indemnizaciones y no para </w:t>
      </w:r>
      <w:r w:rsidRPr="004A3583">
        <w:rPr>
          <w:rFonts w:ascii="Arial Narrow" w:hAnsi="Arial Narrow"/>
          <w:b/>
          <w:bCs/>
          <w:sz w:val="24"/>
          <w:szCs w:val="24"/>
        </w:rPr>
        <w:t>la valoración comercial del terreno, construcciones o cultivos</w:t>
      </w:r>
      <w:r w:rsidRPr="004A3583">
        <w:rPr>
          <w:rFonts w:ascii="Arial Narrow" w:hAnsi="Arial Narrow"/>
          <w:sz w:val="24"/>
          <w:szCs w:val="24"/>
        </w:rPr>
        <w:t xml:space="preserve">, ya que como lo establece el artículo 8 de la misma  Resolución 898 del 19 de agosto de 2014 expedida por el IGAC, se establece claramente el procedimiento de valoración de estos ítems en el avalúo: </w:t>
      </w:r>
      <w:r w:rsidRPr="004A3583">
        <w:rPr>
          <w:rFonts w:ascii="Arial Narrow" w:hAnsi="Arial Narrow"/>
          <w:i/>
          <w:iCs/>
          <w:sz w:val="24"/>
          <w:szCs w:val="24"/>
        </w:rPr>
        <w:t>“ART. 8º—</w:t>
      </w:r>
      <w:r w:rsidRPr="004A3583">
        <w:rPr>
          <w:rFonts w:ascii="Arial Narrow" w:hAnsi="Arial Narrow"/>
          <w:b/>
          <w:bCs/>
          <w:i/>
          <w:iCs/>
          <w:sz w:val="24"/>
          <w:szCs w:val="24"/>
        </w:rPr>
        <w:t>Valoración comercial de terreno, construcciones y/o cultivos.</w:t>
      </w:r>
      <w:r w:rsidRPr="004A3583">
        <w:rPr>
          <w:rFonts w:ascii="Arial Narrow" w:hAnsi="Arial Narrow"/>
          <w:i/>
          <w:iCs/>
          <w:sz w:val="24"/>
          <w:szCs w:val="24"/>
        </w:rPr>
        <w:t xml:space="preserve"> Para efectos de determinar el valor comercial de terreno, construcciones y/o cultivos, se deberán aplicar las normas, procedimientos, parámetros, criterios y métodos contenidos en el capítulo cuarto del Decreto Nacional 1420 de 1998, y en la Resolución IGAC 620 de 2008, o las normas que lo (la) derogue, modifique, adicione o complemente”. </w:t>
      </w:r>
      <w:r w:rsidRPr="004A3583">
        <w:rPr>
          <w:rFonts w:ascii="Arial Narrow" w:hAnsi="Arial Narrow"/>
          <w:b/>
          <w:bCs/>
          <w:sz w:val="24"/>
          <w:szCs w:val="24"/>
        </w:rPr>
        <w:t xml:space="preserve">Normas en las cuales la metodología aplicada </w:t>
      </w:r>
      <w:r w:rsidRPr="004A3583">
        <w:rPr>
          <w:rFonts w:ascii="Arial Narrow" w:hAnsi="Arial Narrow"/>
          <w:sz w:val="24"/>
          <w:szCs w:val="24"/>
        </w:rPr>
        <w:t>investigación directa (Cotizaciones a personal naturales o jurídicas)</w:t>
      </w:r>
      <w:r w:rsidRPr="004A3583">
        <w:rPr>
          <w:rFonts w:ascii="Arial Narrow" w:hAnsi="Arial Narrow"/>
          <w:b/>
          <w:bCs/>
          <w:sz w:val="24"/>
          <w:szCs w:val="24"/>
        </w:rPr>
        <w:t>, no se encuentra como una de las establecidas para la determinación del valor comercial del terreno.</w:t>
      </w:r>
    </w:p>
    <w:p w:rsidR="007E4C06" w:rsidRPr="004A3583" w:rsidRDefault="007E4C06" w:rsidP="00AC5611">
      <w:pPr>
        <w:spacing w:after="0"/>
        <w:jc w:val="both"/>
        <w:rPr>
          <w:rFonts w:ascii="Arial Narrow" w:hAnsi="Arial Narrow"/>
          <w:b/>
          <w:bCs/>
          <w:sz w:val="24"/>
          <w:szCs w:val="24"/>
        </w:rPr>
      </w:pPr>
    </w:p>
    <w:p w:rsidR="007E4C06" w:rsidRPr="004A3583" w:rsidRDefault="007E4C06" w:rsidP="007E4C06">
      <w:pPr>
        <w:spacing w:after="0"/>
        <w:jc w:val="both"/>
        <w:rPr>
          <w:rFonts w:ascii="Arial Narrow" w:hAnsi="Arial Narrow"/>
          <w:b/>
          <w:bCs/>
          <w:sz w:val="24"/>
          <w:szCs w:val="24"/>
        </w:rPr>
      </w:pPr>
    </w:p>
    <w:p w:rsidR="007E4C06" w:rsidRPr="004A3583" w:rsidRDefault="007E4C06" w:rsidP="007E4C06">
      <w:pPr>
        <w:spacing w:after="0"/>
        <w:jc w:val="both"/>
        <w:rPr>
          <w:rFonts w:ascii="Arial Narrow" w:hAnsi="Arial Narrow"/>
          <w:bCs/>
          <w:sz w:val="24"/>
          <w:szCs w:val="24"/>
        </w:rPr>
      </w:pPr>
      <w:r w:rsidRPr="004A3583">
        <w:rPr>
          <w:rFonts w:ascii="Arial Narrow" w:hAnsi="Arial Narrow"/>
          <w:bCs/>
          <w:sz w:val="24"/>
          <w:szCs w:val="24"/>
        </w:rPr>
        <w:t xml:space="preserve">Por otra parte, es necesario manifestar, que en ningún momento el avalúo presentado por la entidad representada AVANTE SETP, ha sido objeto de tacha por falsedad, ya que a pesar de que se corrió traslado del mismo al demandado, este no presento recurso alguno y tan solo presento un nuevo avalúo para ser tenido en cuenta dentro de la contestación de la demanda, además </w:t>
      </w:r>
      <w:r w:rsidR="00A4172A" w:rsidRPr="004A3583">
        <w:rPr>
          <w:rFonts w:ascii="Arial Narrow" w:hAnsi="Arial Narrow"/>
          <w:bCs/>
          <w:sz w:val="24"/>
          <w:szCs w:val="24"/>
        </w:rPr>
        <w:t xml:space="preserve"> el dictamen aparejado a la demanda cumple</w:t>
      </w:r>
      <w:r w:rsidRPr="004A3583">
        <w:rPr>
          <w:rFonts w:ascii="Arial Narrow" w:hAnsi="Arial Narrow"/>
          <w:bCs/>
          <w:sz w:val="24"/>
          <w:szCs w:val="24"/>
        </w:rPr>
        <w:t xml:space="preserve"> con todas</w:t>
      </w:r>
      <w:r w:rsidR="00A4172A" w:rsidRPr="004A3583">
        <w:rPr>
          <w:rFonts w:ascii="Arial Narrow" w:hAnsi="Arial Narrow"/>
          <w:bCs/>
          <w:sz w:val="24"/>
          <w:szCs w:val="24"/>
        </w:rPr>
        <w:t xml:space="preserve"> las normas establecidas en la Ley 388/97, D</w:t>
      </w:r>
      <w:r w:rsidRPr="004A3583">
        <w:rPr>
          <w:rFonts w:ascii="Arial Narrow" w:hAnsi="Arial Narrow"/>
          <w:bCs/>
          <w:sz w:val="24"/>
          <w:szCs w:val="24"/>
        </w:rPr>
        <w:t>ecreto 1420/98 y demás normas concordantes.</w:t>
      </w:r>
    </w:p>
    <w:p w:rsidR="000865DF" w:rsidRPr="004A3583" w:rsidRDefault="000865DF" w:rsidP="005E6A7F">
      <w:pPr>
        <w:spacing w:after="0" w:line="240" w:lineRule="auto"/>
        <w:ind w:left="720"/>
        <w:contextualSpacing/>
        <w:jc w:val="both"/>
        <w:rPr>
          <w:rFonts w:ascii="Arial Narrow" w:eastAsia="Times New Roman" w:hAnsi="Arial Narrow" w:cs="Arial"/>
          <w:color w:val="000000"/>
          <w:sz w:val="24"/>
          <w:szCs w:val="24"/>
          <w:shd w:val="clear" w:color="auto" w:fill="FFFFFF"/>
        </w:rPr>
      </w:pPr>
    </w:p>
    <w:p w:rsidR="00AC5611" w:rsidRPr="004A3583" w:rsidRDefault="00AC5611" w:rsidP="00AC5611">
      <w:pPr>
        <w:pStyle w:val="Prrafodelista"/>
        <w:numPr>
          <w:ilvl w:val="0"/>
          <w:numId w:val="8"/>
        </w:numPr>
        <w:spacing w:after="0"/>
        <w:jc w:val="both"/>
        <w:rPr>
          <w:rFonts w:ascii="Arial Narrow" w:hAnsi="Arial Narrow"/>
          <w:i/>
          <w:sz w:val="24"/>
          <w:szCs w:val="24"/>
        </w:rPr>
      </w:pPr>
      <w:r w:rsidRPr="004A3583">
        <w:rPr>
          <w:rFonts w:ascii="Arial Narrow" w:hAnsi="Arial Narrow"/>
          <w:i/>
          <w:sz w:val="24"/>
          <w:szCs w:val="24"/>
        </w:rPr>
        <w:t>“analizada la experticia practicada como prueba de las objeciones dirigidas frente al trabajo anterior, encuentra la Judicatura que, con relación al ítem que analizamos, se limitó a actualizar con base en el IPC, los valores suministrados por los peritos que intervinieron con antelación”.</w:t>
      </w:r>
    </w:p>
    <w:p w:rsidR="00AC5611" w:rsidRPr="004A3583" w:rsidRDefault="00AC5611" w:rsidP="00AC5611">
      <w:pPr>
        <w:spacing w:after="0"/>
        <w:jc w:val="both"/>
        <w:rPr>
          <w:rFonts w:ascii="Arial Narrow" w:hAnsi="Arial Narrow"/>
          <w:sz w:val="24"/>
          <w:szCs w:val="24"/>
        </w:rPr>
      </w:pPr>
    </w:p>
    <w:p w:rsidR="00AC5611" w:rsidRPr="004A3583" w:rsidRDefault="00AC5611" w:rsidP="00AC5611">
      <w:pPr>
        <w:spacing w:after="0"/>
        <w:jc w:val="both"/>
        <w:rPr>
          <w:rFonts w:ascii="Arial Narrow" w:hAnsi="Arial Narrow"/>
          <w:i/>
          <w:sz w:val="24"/>
          <w:szCs w:val="24"/>
        </w:rPr>
      </w:pPr>
      <w:r w:rsidRPr="004A3583">
        <w:rPr>
          <w:rFonts w:ascii="Arial Narrow" w:hAnsi="Arial Narrow"/>
          <w:sz w:val="24"/>
          <w:szCs w:val="24"/>
        </w:rPr>
        <w:t xml:space="preserve">Determinando entonces que la normatividad aplicada y la metodología adoptada para la determinación del valor comercial del terreno presentan </w:t>
      </w:r>
      <w:r w:rsidRPr="004A3583">
        <w:rPr>
          <w:rFonts w:ascii="Arial Narrow" w:hAnsi="Arial Narrow"/>
          <w:b/>
          <w:bCs/>
          <w:sz w:val="24"/>
          <w:szCs w:val="24"/>
        </w:rPr>
        <w:t>error grave</w:t>
      </w:r>
      <w:r w:rsidRPr="004A3583">
        <w:rPr>
          <w:rFonts w:ascii="Arial Narrow" w:hAnsi="Arial Narrow"/>
          <w:sz w:val="24"/>
          <w:szCs w:val="24"/>
        </w:rPr>
        <w:t xml:space="preserve">, no se encuentra procedente realizar ninguna conclusión de valor, ni métodos de actualización de dicho valor. Por lo tanto queda claro que la normatividad aplicada y las metodologías adoptadas por el avalúo aportado en la demanda para la determinación del valor comercial del terreno al año 2014,  son correctas y </w:t>
      </w:r>
      <w:proofErr w:type="spellStart"/>
      <w:r w:rsidRPr="004A3583">
        <w:rPr>
          <w:rFonts w:ascii="Arial Narrow" w:hAnsi="Arial Narrow"/>
          <w:sz w:val="24"/>
          <w:szCs w:val="24"/>
        </w:rPr>
        <w:t>mas</w:t>
      </w:r>
      <w:proofErr w:type="spellEnd"/>
      <w:r w:rsidRPr="004A3583">
        <w:rPr>
          <w:rFonts w:ascii="Arial Narrow" w:hAnsi="Arial Narrow"/>
          <w:sz w:val="24"/>
          <w:szCs w:val="24"/>
        </w:rPr>
        <w:t xml:space="preserve"> aun si se tiene en cuenta que dentro del proyecto vial que afecta el inmueble valorado, el Sistema estratégico de transporte de la ciudad de Pasto (Avante), realizo compras de terrenos afectados dentro del mismo proyecto durante esos años de predios ubicados dentro del mismo sector homogéneo al del inmueble valorado, a valores similares a los determinados en el avalúo aportado en la demanda. Lo anterior implica que el valor correcto a indexar para la determinación del valor actual del terreno es de $890.000 por metro cuadrado y no $1.620.400 valor que no tiene sustento dentro de la normatividad actual con la cual se debe calcular.</w:t>
      </w:r>
    </w:p>
    <w:p w:rsidR="00AC5611" w:rsidRPr="004A3583" w:rsidRDefault="00AC5611" w:rsidP="005E6A7F">
      <w:pPr>
        <w:spacing w:after="0" w:line="240" w:lineRule="auto"/>
        <w:ind w:left="720"/>
        <w:contextualSpacing/>
        <w:jc w:val="both"/>
        <w:rPr>
          <w:rFonts w:ascii="Arial Narrow" w:eastAsia="Times New Roman" w:hAnsi="Arial Narrow" w:cs="Arial"/>
          <w:color w:val="000000"/>
          <w:sz w:val="24"/>
          <w:szCs w:val="24"/>
          <w:shd w:val="clear" w:color="auto" w:fill="FFFFFF"/>
        </w:rPr>
      </w:pPr>
    </w:p>
    <w:p w:rsidR="00AC5611" w:rsidRPr="004A3583" w:rsidRDefault="00AC5611" w:rsidP="005E6A7F">
      <w:pPr>
        <w:spacing w:after="0" w:line="240" w:lineRule="auto"/>
        <w:ind w:left="720"/>
        <w:contextualSpacing/>
        <w:jc w:val="both"/>
        <w:rPr>
          <w:rFonts w:ascii="Arial Narrow" w:eastAsia="Times New Roman" w:hAnsi="Arial Narrow" w:cs="Arial"/>
          <w:color w:val="000000"/>
          <w:sz w:val="24"/>
          <w:szCs w:val="24"/>
          <w:shd w:val="clear" w:color="auto" w:fill="FFFFFF"/>
        </w:rPr>
      </w:pPr>
    </w:p>
    <w:p w:rsidR="009D1A88" w:rsidRPr="00097261" w:rsidRDefault="00CC4AA5" w:rsidP="005E6A7F">
      <w:pPr>
        <w:pStyle w:val="Prrafodelista"/>
        <w:numPr>
          <w:ilvl w:val="0"/>
          <w:numId w:val="7"/>
        </w:numPr>
        <w:spacing w:after="0" w:line="240" w:lineRule="auto"/>
        <w:jc w:val="both"/>
        <w:rPr>
          <w:rFonts w:ascii="Arial Narrow" w:hAnsi="Arial Narrow"/>
          <w:i/>
          <w:sz w:val="24"/>
          <w:szCs w:val="24"/>
          <w:highlight w:val="lightGray"/>
        </w:rPr>
      </w:pPr>
      <w:r w:rsidRPr="004A3583">
        <w:rPr>
          <w:rFonts w:ascii="Arial Narrow" w:hAnsi="Arial Narrow"/>
          <w:sz w:val="24"/>
          <w:szCs w:val="24"/>
        </w:rPr>
        <w:t xml:space="preserve"> </w:t>
      </w:r>
      <w:proofErr w:type="gramStart"/>
      <w:r w:rsidR="00BB1627" w:rsidRPr="00097261">
        <w:rPr>
          <w:rFonts w:ascii="Arial Narrow" w:hAnsi="Arial Narrow"/>
          <w:i/>
          <w:sz w:val="24"/>
          <w:szCs w:val="24"/>
          <w:highlight w:val="lightGray"/>
        </w:rPr>
        <w:t xml:space="preserve">“ </w:t>
      </w:r>
      <w:r w:rsidR="009D1A88" w:rsidRPr="00097261">
        <w:rPr>
          <w:rFonts w:ascii="Arial Narrow" w:hAnsi="Arial Narrow"/>
          <w:i/>
          <w:sz w:val="24"/>
          <w:szCs w:val="24"/>
          <w:highlight w:val="lightGray"/>
        </w:rPr>
        <w:t>En</w:t>
      </w:r>
      <w:proofErr w:type="gramEnd"/>
      <w:r w:rsidR="009D1A88" w:rsidRPr="00097261">
        <w:rPr>
          <w:rFonts w:ascii="Arial Narrow" w:hAnsi="Arial Narrow"/>
          <w:i/>
          <w:sz w:val="24"/>
          <w:szCs w:val="24"/>
          <w:highlight w:val="lightGray"/>
        </w:rPr>
        <w:t xml:space="preserve"> este escenario, como de todas maneras debe el Despacho definir el aspecto bajo análisis, considera prudente, acudiendo a los elementos de juicio que corren en los autos, surtir las operaciones aritméticas respectivas, tomando como sustento para el efecto las cotizaciones, que en el número especificado por el parágrafo 2° del artículo 14 de la Resolución 898, aparecen a folios 193 a 195 del expediente, cálculo que se refleja en la siguiente tabla:</w:t>
      </w:r>
    </w:p>
    <w:p w:rsidR="009D1A88" w:rsidRPr="004A3583" w:rsidRDefault="009D1A88" w:rsidP="009D1A88">
      <w:pPr>
        <w:pStyle w:val="Prrafodelista"/>
        <w:spacing w:after="0" w:line="240" w:lineRule="auto"/>
        <w:ind w:left="360"/>
        <w:jc w:val="both"/>
        <w:rPr>
          <w:rFonts w:ascii="Arial Narrow" w:hAnsi="Arial Narrow"/>
          <w:i/>
          <w:sz w:val="24"/>
          <w:szCs w:val="24"/>
          <w:highlight w:val="yellow"/>
        </w:rPr>
      </w:pPr>
    </w:p>
    <w:p w:rsidR="009D1A88" w:rsidRPr="004A3583" w:rsidRDefault="009D1A88" w:rsidP="009D1A88">
      <w:pPr>
        <w:pStyle w:val="Prrafodelista"/>
        <w:spacing w:after="0" w:line="240" w:lineRule="auto"/>
        <w:ind w:left="360"/>
        <w:jc w:val="center"/>
        <w:rPr>
          <w:rFonts w:ascii="Arial Narrow" w:hAnsi="Arial Narrow"/>
          <w:i/>
          <w:sz w:val="24"/>
          <w:szCs w:val="24"/>
          <w:highlight w:val="yellow"/>
        </w:rPr>
      </w:pPr>
      <w:r w:rsidRPr="004A3583">
        <w:rPr>
          <w:rFonts w:ascii="Arial Narrow" w:hAnsi="Arial Narrow"/>
          <w:noProof/>
          <w:sz w:val="24"/>
          <w:szCs w:val="24"/>
          <w:lang w:eastAsia="es-CO"/>
        </w:rPr>
        <w:lastRenderedPageBreak/>
        <w:drawing>
          <wp:inline distT="0" distB="0" distL="0" distR="0" wp14:anchorId="401E744A" wp14:editId="252B70EE">
            <wp:extent cx="3437380" cy="130210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8681" t="35082" r="35444" b="27292"/>
                    <a:stretch/>
                  </pic:blipFill>
                  <pic:spPr bwMode="auto">
                    <a:xfrm>
                      <a:off x="0" y="0"/>
                      <a:ext cx="3438041" cy="1302356"/>
                    </a:xfrm>
                    <a:prstGeom prst="rect">
                      <a:avLst/>
                    </a:prstGeom>
                    <a:ln>
                      <a:noFill/>
                    </a:ln>
                    <a:extLst>
                      <a:ext uri="{53640926-AAD7-44D8-BBD7-CCE9431645EC}">
                        <a14:shadowObscured xmlns:a14="http://schemas.microsoft.com/office/drawing/2010/main"/>
                      </a:ext>
                    </a:extLst>
                  </pic:spPr>
                </pic:pic>
              </a:graphicData>
            </a:graphic>
          </wp:inline>
        </w:drawing>
      </w:r>
    </w:p>
    <w:p w:rsidR="003B5619" w:rsidRPr="004A3583" w:rsidRDefault="003B5619" w:rsidP="009D1A88">
      <w:pPr>
        <w:pStyle w:val="Prrafodelista"/>
        <w:spacing w:after="0" w:line="240" w:lineRule="auto"/>
        <w:ind w:left="360"/>
        <w:jc w:val="center"/>
        <w:rPr>
          <w:rFonts w:ascii="Arial Narrow" w:hAnsi="Arial Narrow"/>
          <w:i/>
          <w:sz w:val="24"/>
          <w:szCs w:val="24"/>
          <w:highlight w:val="yellow"/>
        </w:rPr>
      </w:pPr>
    </w:p>
    <w:p w:rsidR="00604490" w:rsidRPr="004A3583" w:rsidRDefault="00604490" w:rsidP="005E6A7F">
      <w:pPr>
        <w:spacing w:after="0" w:line="240" w:lineRule="auto"/>
        <w:contextualSpacing/>
        <w:jc w:val="both"/>
        <w:rPr>
          <w:rFonts w:ascii="Arial Narrow" w:hAnsi="Arial Narrow"/>
          <w:i/>
          <w:sz w:val="24"/>
          <w:szCs w:val="24"/>
          <w:highlight w:val="cyan"/>
        </w:rPr>
      </w:pPr>
    </w:p>
    <w:p w:rsidR="000865DF" w:rsidRPr="004A3583" w:rsidRDefault="000865DF" w:rsidP="005E6A7F">
      <w:pPr>
        <w:spacing w:after="0" w:line="240" w:lineRule="auto"/>
        <w:jc w:val="both"/>
        <w:rPr>
          <w:rFonts w:ascii="Arial Narrow" w:hAnsi="Arial Narrow"/>
          <w:sz w:val="24"/>
          <w:szCs w:val="24"/>
        </w:rPr>
      </w:pPr>
    </w:p>
    <w:p w:rsidR="002538E6" w:rsidRPr="004A3583" w:rsidRDefault="00BB0220" w:rsidP="005E6A7F">
      <w:pPr>
        <w:spacing w:after="0" w:line="240" w:lineRule="auto"/>
        <w:jc w:val="both"/>
        <w:rPr>
          <w:rFonts w:ascii="Arial Narrow" w:hAnsi="Arial Narrow"/>
          <w:b/>
          <w:bCs/>
          <w:sz w:val="24"/>
          <w:szCs w:val="24"/>
        </w:rPr>
      </w:pPr>
      <w:r w:rsidRPr="004A3583">
        <w:rPr>
          <w:rFonts w:ascii="Arial Narrow" w:hAnsi="Arial Narrow"/>
          <w:sz w:val="24"/>
          <w:szCs w:val="24"/>
        </w:rPr>
        <w:t>Como se</w:t>
      </w:r>
      <w:r w:rsidR="002538E6" w:rsidRPr="004A3583">
        <w:rPr>
          <w:rFonts w:ascii="Arial Narrow" w:hAnsi="Arial Narrow"/>
          <w:sz w:val="24"/>
          <w:szCs w:val="24"/>
        </w:rPr>
        <w:t xml:space="preserve"> manifestó en </w:t>
      </w:r>
      <w:r w:rsidR="00635396" w:rsidRPr="004A3583">
        <w:rPr>
          <w:rFonts w:ascii="Arial Narrow" w:hAnsi="Arial Narrow"/>
          <w:sz w:val="24"/>
          <w:szCs w:val="24"/>
        </w:rPr>
        <w:t>precedencia,</w:t>
      </w:r>
      <w:r w:rsidR="002538E6" w:rsidRPr="004A3583">
        <w:rPr>
          <w:rFonts w:ascii="Arial Narrow" w:hAnsi="Arial Narrow"/>
          <w:sz w:val="24"/>
          <w:szCs w:val="24"/>
        </w:rPr>
        <w:t xml:space="preserve"> determinar el valor del terreno la investigación directa (Cotizaciones a personal naturales o jurídicas), basado en lo reglamentado </w:t>
      </w:r>
      <w:r w:rsidR="009A2B7F" w:rsidRPr="004A3583">
        <w:rPr>
          <w:rFonts w:ascii="Arial Narrow" w:hAnsi="Arial Narrow"/>
          <w:sz w:val="24"/>
          <w:szCs w:val="24"/>
        </w:rPr>
        <w:t xml:space="preserve">por </w:t>
      </w:r>
      <w:r w:rsidR="002538E6" w:rsidRPr="004A3583">
        <w:rPr>
          <w:rFonts w:ascii="Arial Narrow" w:hAnsi="Arial Narrow"/>
          <w:sz w:val="24"/>
          <w:szCs w:val="24"/>
        </w:rPr>
        <w:t xml:space="preserve">la Resolución 898 del 19 de agosto de 2014 expedida por el </w:t>
      </w:r>
      <w:r w:rsidR="00635396" w:rsidRPr="004A3583">
        <w:rPr>
          <w:rFonts w:ascii="Arial Narrow" w:hAnsi="Arial Narrow"/>
          <w:sz w:val="24"/>
          <w:szCs w:val="24"/>
        </w:rPr>
        <w:t>IGAC, dicha</w:t>
      </w:r>
      <w:r w:rsidR="002538E6" w:rsidRPr="004A3583">
        <w:rPr>
          <w:rFonts w:ascii="Arial Narrow" w:hAnsi="Arial Narrow"/>
          <w:sz w:val="24"/>
          <w:szCs w:val="24"/>
        </w:rPr>
        <w:t xml:space="preserve"> metodología aplica solo para el cálculo de las indemnizaciones y no para </w:t>
      </w:r>
      <w:r w:rsidR="002538E6" w:rsidRPr="004A3583">
        <w:rPr>
          <w:rFonts w:ascii="Arial Narrow" w:hAnsi="Arial Narrow"/>
          <w:b/>
          <w:bCs/>
          <w:sz w:val="24"/>
          <w:szCs w:val="24"/>
        </w:rPr>
        <w:t xml:space="preserve">la valoración comercial del terreno, construcciones o cultivos. </w:t>
      </w:r>
    </w:p>
    <w:p w:rsidR="002538E6" w:rsidRPr="004A3583" w:rsidRDefault="002538E6" w:rsidP="005E6A7F">
      <w:pPr>
        <w:spacing w:after="0" w:line="240" w:lineRule="auto"/>
        <w:jc w:val="both"/>
        <w:rPr>
          <w:rFonts w:ascii="Arial Narrow" w:hAnsi="Arial Narrow"/>
          <w:b/>
          <w:bCs/>
          <w:sz w:val="24"/>
          <w:szCs w:val="24"/>
        </w:rPr>
      </w:pPr>
    </w:p>
    <w:p w:rsidR="002538E6" w:rsidRPr="004A3583" w:rsidRDefault="002538E6" w:rsidP="005E6A7F">
      <w:pPr>
        <w:spacing w:after="0" w:line="240" w:lineRule="auto"/>
        <w:jc w:val="both"/>
        <w:rPr>
          <w:rFonts w:ascii="Arial Narrow" w:hAnsi="Arial Narrow"/>
          <w:bCs/>
          <w:sz w:val="24"/>
          <w:szCs w:val="24"/>
        </w:rPr>
      </w:pPr>
      <w:r w:rsidRPr="004A3583">
        <w:rPr>
          <w:rFonts w:ascii="Arial Narrow" w:hAnsi="Arial Narrow"/>
          <w:bCs/>
          <w:sz w:val="24"/>
          <w:szCs w:val="24"/>
        </w:rPr>
        <w:t xml:space="preserve">Por lo </w:t>
      </w:r>
      <w:r w:rsidR="00506273" w:rsidRPr="004A3583">
        <w:rPr>
          <w:rFonts w:ascii="Arial Narrow" w:hAnsi="Arial Narrow"/>
          <w:bCs/>
          <w:sz w:val="24"/>
          <w:szCs w:val="24"/>
        </w:rPr>
        <w:t>tanto,</w:t>
      </w:r>
      <w:r w:rsidRPr="004A3583">
        <w:rPr>
          <w:rFonts w:ascii="Arial Narrow" w:hAnsi="Arial Narrow"/>
          <w:bCs/>
          <w:sz w:val="24"/>
          <w:szCs w:val="24"/>
        </w:rPr>
        <w:t xml:space="preserve"> la valoración del terreno </w:t>
      </w:r>
      <w:r w:rsidR="00635396" w:rsidRPr="004A3583">
        <w:rPr>
          <w:rFonts w:ascii="Arial Narrow" w:hAnsi="Arial Narrow"/>
          <w:bCs/>
          <w:sz w:val="24"/>
          <w:szCs w:val="24"/>
        </w:rPr>
        <w:t>realizada en</w:t>
      </w:r>
      <w:r w:rsidR="009A2B7F" w:rsidRPr="004A3583">
        <w:rPr>
          <w:rFonts w:ascii="Arial Narrow" w:hAnsi="Arial Narrow"/>
          <w:bCs/>
          <w:sz w:val="24"/>
          <w:szCs w:val="24"/>
        </w:rPr>
        <w:t xml:space="preserve"> base a cotizaciones, no aplica en este</w:t>
      </w:r>
      <w:r w:rsidR="002F29F5" w:rsidRPr="004A3583">
        <w:rPr>
          <w:rFonts w:ascii="Arial Narrow" w:hAnsi="Arial Narrow"/>
          <w:bCs/>
          <w:sz w:val="24"/>
          <w:szCs w:val="24"/>
        </w:rPr>
        <w:t xml:space="preserve"> caso, en atención a que </w:t>
      </w:r>
      <w:r w:rsidR="00506273" w:rsidRPr="004A3583">
        <w:rPr>
          <w:rFonts w:ascii="Arial Narrow" w:hAnsi="Arial Narrow"/>
          <w:bCs/>
          <w:sz w:val="24"/>
          <w:szCs w:val="24"/>
        </w:rPr>
        <w:t>debe adoptarse el</w:t>
      </w:r>
      <w:r w:rsidR="009A2B7F" w:rsidRPr="004A3583">
        <w:rPr>
          <w:rFonts w:ascii="Arial Narrow" w:hAnsi="Arial Narrow"/>
          <w:bCs/>
          <w:sz w:val="24"/>
          <w:szCs w:val="24"/>
        </w:rPr>
        <w:t xml:space="preserve"> método de comparación de mercado, debido a que </w:t>
      </w:r>
      <w:r w:rsidR="002F29F5" w:rsidRPr="004A3583">
        <w:rPr>
          <w:rFonts w:ascii="Arial Narrow" w:hAnsi="Arial Narrow"/>
          <w:bCs/>
          <w:sz w:val="24"/>
          <w:szCs w:val="24"/>
        </w:rPr>
        <w:t xml:space="preserve">ya </w:t>
      </w:r>
      <w:r w:rsidR="009A2B7F" w:rsidRPr="004A3583">
        <w:rPr>
          <w:rFonts w:ascii="Arial Narrow" w:hAnsi="Arial Narrow"/>
          <w:bCs/>
          <w:sz w:val="24"/>
          <w:szCs w:val="24"/>
        </w:rPr>
        <w:t>existen transacciones realizadas por AVA</w:t>
      </w:r>
      <w:r w:rsidR="002F29F5" w:rsidRPr="004A3583">
        <w:rPr>
          <w:rFonts w:ascii="Arial Narrow" w:hAnsi="Arial Narrow"/>
          <w:bCs/>
          <w:sz w:val="24"/>
          <w:szCs w:val="24"/>
        </w:rPr>
        <w:t>N</w:t>
      </w:r>
      <w:r w:rsidR="009A2B7F" w:rsidRPr="004A3583">
        <w:rPr>
          <w:rFonts w:ascii="Arial Narrow" w:hAnsi="Arial Narrow"/>
          <w:bCs/>
          <w:sz w:val="24"/>
          <w:szCs w:val="24"/>
        </w:rPr>
        <w:t>TE.</w:t>
      </w:r>
      <w:r w:rsidR="002F29F5" w:rsidRPr="004A3583">
        <w:rPr>
          <w:rFonts w:ascii="Arial Narrow" w:hAnsi="Arial Narrow"/>
          <w:bCs/>
          <w:sz w:val="24"/>
          <w:szCs w:val="24"/>
        </w:rPr>
        <w:t xml:space="preserve"> respecto de inmuebles ubicados en el mismo sector del predio objeto de expropiación, tal es el caso del lote donde funcionaba </w:t>
      </w:r>
      <w:proofErr w:type="spellStart"/>
      <w:r w:rsidR="002F29F5" w:rsidRPr="004A3583">
        <w:rPr>
          <w:rFonts w:ascii="Arial Narrow" w:hAnsi="Arial Narrow"/>
          <w:bCs/>
          <w:sz w:val="24"/>
          <w:szCs w:val="24"/>
        </w:rPr>
        <w:t>Wopper</w:t>
      </w:r>
      <w:proofErr w:type="spellEnd"/>
      <w:r w:rsidR="002F29F5" w:rsidRPr="004A3583">
        <w:rPr>
          <w:rFonts w:ascii="Arial Narrow" w:hAnsi="Arial Narrow"/>
          <w:bCs/>
          <w:sz w:val="24"/>
          <w:szCs w:val="24"/>
        </w:rPr>
        <w:t xml:space="preserve"> King</w:t>
      </w:r>
    </w:p>
    <w:p w:rsidR="009A2B7F" w:rsidRPr="004A3583" w:rsidRDefault="009A2B7F" w:rsidP="005E6A7F">
      <w:pPr>
        <w:spacing w:after="0" w:line="240" w:lineRule="auto"/>
        <w:jc w:val="both"/>
        <w:rPr>
          <w:rFonts w:ascii="Arial Narrow" w:hAnsi="Arial Narrow"/>
          <w:b/>
          <w:bCs/>
          <w:sz w:val="24"/>
          <w:szCs w:val="24"/>
        </w:rPr>
      </w:pPr>
    </w:p>
    <w:p w:rsidR="00F9548E" w:rsidRPr="004A3583" w:rsidRDefault="00A43087" w:rsidP="00F9548E">
      <w:pPr>
        <w:spacing w:after="0" w:line="240" w:lineRule="auto"/>
        <w:jc w:val="both"/>
        <w:rPr>
          <w:rFonts w:ascii="Arial Narrow" w:hAnsi="Arial Narrow"/>
          <w:sz w:val="24"/>
          <w:szCs w:val="24"/>
        </w:rPr>
      </w:pPr>
      <w:r w:rsidRPr="004A3583">
        <w:rPr>
          <w:rFonts w:ascii="Arial Narrow" w:hAnsi="Arial Narrow"/>
          <w:sz w:val="24"/>
          <w:szCs w:val="24"/>
        </w:rPr>
        <w:t xml:space="preserve">Si bien la señora Juez debía adoptar una decisión, sobre el valor del </w:t>
      </w:r>
      <w:r w:rsidR="00506273" w:rsidRPr="004A3583">
        <w:rPr>
          <w:rFonts w:ascii="Arial Narrow" w:hAnsi="Arial Narrow"/>
          <w:sz w:val="24"/>
          <w:szCs w:val="24"/>
        </w:rPr>
        <w:t>terreno, la</w:t>
      </w:r>
      <w:r w:rsidRPr="004A3583">
        <w:rPr>
          <w:rFonts w:ascii="Arial Narrow" w:hAnsi="Arial Narrow"/>
          <w:sz w:val="24"/>
          <w:szCs w:val="24"/>
        </w:rPr>
        <w:t xml:space="preserve"> misma debe estar enmarcada en lo que </w:t>
      </w:r>
      <w:r w:rsidR="00F9548E" w:rsidRPr="004A3583">
        <w:rPr>
          <w:rFonts w:ascii="Arial Narrow" w:hAnsi="Arial Narrow"/>
          <w:sz w:val="24"/>
          <w:szCs w:val="24"/>
        </w:rPr>
        <w:t xml:space="preserve">jurídicamente es </w:t>
      </w:r>
      <w:r w:rsidRPr="004A3583">
        <w:rPr>
          <w:rFonts w:ascii="Arial Narrow" w:hAnsi="Arial Narrow"/>
          <w:sz w:val="24"/>
          <w:szCs w:val="24"/>
        </w:rPr>
        <w:t>los métodos l</w:t>
      </w:r>
      <w:r w:rsidR="00F9548E" w:rsidRPr="004A3583">
        <w:rPr>
          <w:rFonts w:ascii="Arial Narrow" w:hAnsi="Arial Narrow"/>
          <w:sz w:val="24"/>
          <w:szCs w:val="24"/>
        </w:rPr>
        <w:t xml:space="preserve">egalmente </w:t>
      </w:r>
      <w:r w:rsidR="00506273" w:rsidRPr="004A3583">
        <w:rPr>
          <w:rFonts w:ascii="Arial Narrow" w:hAnsi="Arial Narrow"/>
          <w:sz w:val="24"/>
          <w:szCs w:val="24"/>
        </w:rPr>
        <w:t>establecidas,</w:t>
      </w:r>
      <w:r w:rsidR="00F9548E" w:rsidRPr="004A3583">
        <w:rPr>
          <w:rFonts w:ascii="Arial Narrow" w:hAnsi="Arial Narrow"/>
          <w:sz w:val="24"/>
          <w:szCs w:val="24"/>
        </w:rPr>
        <w:t xml:space="preserve"> no dentro de las que a</w:t>
      </w:r>
      <w:r w:rsidR="006443D0" w:rsidRPr="004A3583">
        <w:rPr>
          <w:rFonts w:ascii="Arial Narrow" w:hAnsi="Arial Narrow"/>
          <w:sz w:val="24"/>
          <w:szCs w:val="24"/>
        </w:rPr>
        <w:t xml:space="preserve"> su</w:t>
      </w:r>
      <w:r w:rsidR="00F9548E" w:rsidRPr="004A3583">
        <w:rPr>
          <w:rFonts w:ascii="Arial Narrow" w:hAnsi="Arial Narrow"/>
          <w:sz w:val="24"/>
          <w:szCs w:val="24"/>
        </w:rPr>
        <w:t xml:space="preserve"> criterio considere </w:t>
      </w:r>
      <w:r w:rsidR="00B14E88" w:rsidRPr="004A3583">
        <w:rPr>
          <w:rFonts w:ascii="Arial Narrow" w:hAnsi="Arial Narrow"/>
          <w:sz w:val="24"/>
          <w:szCs w:val="24"/>
        </w:rPr>
        <w:t>conveniente</w:t>
      </w:r>
      <w:r w:rsidR="00F9548E" w:rsidRPr="004A3583">
        <w:rPr>
          <w:rFonts w:ascii="Arial Narrow" w:hAnsi="Arial Narrow"/>
          <w:sz w:val="24"/>
          <w:szCs w:val="24"/>
        </w:rPr>
        <w:t xml:space="preserve">. </w:t>
      </w:r>
    </w:p>
    <w:p w:rsidR="00503210" w:rsidRPr="004A3583" w:rsidRDefault="00503210" w:rsidP="00F9548E">
      <w:pPr>
        <w:spacing w:after="0" w:line="240" w:lineRule="auto"/>
        <w:jc w:val="both"/>
        <w:rPr>
          <w:rFonts w:ascii="Arial Narrow" w:hAnsi="Arial Narrow"/>
          <w:sz w:val="24"/>
          <w:szCs w:val="24"/>
        </w:rPr>
      </w:pPr>
    </w:p>
    <w:p w:rsidR="00503210" w:rsidRPr="004A3583" w:rsidRDefault="00B14E88" w:rsidP="00F9548E">
      <w:pPr>
        <w:spacing w:after="0" w:line="240" w:lineRule="auto"/>
        <w:jc w:val="both"/>
        <w:rPr>
          <w:rFonts w:ascii="Arial Narrow" w:hAnsi="Arial Narrow"/>
          <w:sz w:val="24"/>
          <w:szCs w:val="24"/>
        </w:rPr>
      </w:pPr>
      <w:r w:rsidRPr="004A3583">
        <w:rPr>
          <w:rFonts w:ascii="Arial Narrow" w:hAnsi="Arial Narrow"/>
          <w:sz w:val="24"/>
          <w:szCs w:val="24"/>
        </w:rPr>
        <w:t>Así</w:t>
      </w:r>
      <w:r w:rsidR="00503210" w:rsidRPr="004A3583">
        <w:rPr>
          <w:rFonts w:ascii="Arial Narrow" w:hAnsi="Arial Narrow"/>
          <w:sz w:val="24"/>
          <w:szCs w:val="24"/>
        </w:rPr>
        <w:t xml:space="preserve"> las cosas, tomar el valor de acuerdo a 3 cotizaciones no es correcto</w:t>
      </w:r>
      <w:r w:rsidR="00A43087" w:rsidRPr="004A3583">
        <w:rPr>
          <w:rFonts w:ascii="Arial Narrow" w:hAnsi="Arial Narrow"/>
          <w:sz w:val="24"/>
          <w:szCs w:val="24"/>
        </w:rPr>
        <w:t xml:space="preserve">, debido a que esta modalidad solo </w:t>
      </w:r>
      <w:r w:rsidR="006443D0" w:rsidRPr="004A3583">
        <w:rPr>
          <w:rFonts w:ascii="Arial Narrow" w:hAnsi="Arial Narrow"/>
          <w:sz w:val="24"/>
          <w:szCs w:val="24"/>
        </w:rPr>
        <w:t>se aplica</w:t>
      </w:r>
      <w:r w:rsidR="00503210" w:rsidRPr="004A3583">
        <w:rPr>
          <w:rFonts w:ascii="Arial Narrow" w:hAnsi="Arial Narrow"/>
          <w:sz w:val="24"/>
          <w:szCs w:val="24"/>
        </w:rPr>
        <w:t xml:space="preserve"> para </w:t>
      </w:r>
      <w:r w:rsidR="00A43087" w:rsidRPr="004A3583">
        <w:rPr>
          <w:rFonts w:ascii="Arial Narrow" w:hAnsi="Arial Narrow"/>
          <w:sz w:val="24"/>
          <w:szCs w:val="24"/>
        </w:rPr>
        <w:t xml:space="preserve">determinar </w:t>
      </w:r>
      <w:r w:rsidR="00506273" w:rsidRPr="004A3583">
        <w:rPr>
          <w:rFonts w:ascii="Arial Narrow" w:hAnsi="Arial Narrow"/>
          <w:sz w:val="24"/>
          <w:szCs w:val="24"/>
        </w:rPr>
        <w:t>otro concepto</w:t>
      </w:r>
      <w:r w:rsidR="00A43087" w:rsidRPr="004A3583">
        <w:rPr>
          <w:rFonts w:ascii="Arial Narrow" w:hAnsi="Arial Narrow"/>
          <w:sz w:val="24"/>
          <w:szCs w:val="24"/>
        </w:rPr>
        <w:t xml:space="preserve"> que no es terreno, por lo </w:t>
      </w:r>
      <w:r w:rsidR="00506273" w:rsidRPr="004A3583">
        <w:rPr>
          <w:rFonts w:ascii="Arial Narrow" w:hAnsi="Arial Narrow"/>
          <w:sz w:val="24"/>
          <w:szCs w:val="24"/>
        </w:rPr>
        <w:t>tanto,</w:t>
      </w:r>
      <w:r w:rsidR="00A43087" w:rsidRPr="004A3583">
        <w:rPr>
          <w:rFonts w:ascii="Arial Narrow" w:hAnsi="Arial Narrow"/>
          <w:sz w:val="24"/>
          <w:szCs w:val="24"/>
        </w:rPr>
        <w:t xml:space="preserve"> erradamente </w:t>
      </w:r>
      <w:r w:rsidR="00503210" w:rsidRPr="004A3583">
        <w:rPr>
          <w:rFonts w:ascii="Arial Narrow" w:hAnsi="Arial Narrow"/>
          <w:sz w:val="24"/>
          <w:szCs w:val="24"/>
        </w:rPr>
        <w:t xml:space="preserve">acoge a una </w:t>
      </w:r>
      <w:r w:rsidRPr="004A3583">
        <w:rPr>
          <w:rFonts w:ascii="Arial Narrow" w:hAnsi="Arial Narrow"/>
          <w:sz w:val="24"/>
          <w:szCs w:val="24"/>
        </w:rPr>
        <w:t>metodología</w:t>
      </w:r>
      <w:r w:rsidR="00503210" w:rsidRPr="004A3583">
        <w:rPr>
          <w:rFonts w:ascii="Arial Narrow" w:hAnsi="Arial Narrow"/>
          <w:sz w:val="24"/>
          <w:szCs w:val="24"/>
        </w:rPr>
        <w:t xml:space="preserve"> que la Resolución 898 de 2.014 expone o </w:t>
      </w:r>
      <w:r w:rsidRPr="004A3583">
        <w:rPr>
          <w:rFonts w:ascii="Arial Narrow" w:hAnsi="Arial Narrow"/>
          <w:sz w:val="24"/>
          <w:szCs w:val="24"/>
        </w:rPr>
        <w:t>determina</w:t>
      </w:r>
      <w:r w:rsidR="00503210" w:rsidRPr="004A3583">
        <w:rPr>
          <w:rFonts w:ascii="Arial Narrow" w:hAnsi="Arial Narrow"/>
          <w:sz w:val="24"/>
          <w:szCs w:val="24"/>
        </w:rPr>
        <w:t xml:space="preserve"> para el </w:t>
      </w:r>
      <w:r w:rsidR="00506273" w:rsidRPr="004A3583">
        <w:rPr>
          <w:rFonts w:ascii="Arial Narrow" w:hAnsi="Arial Narrow"/>
          <w:sz w:val="24"/>
          <w:szCs w:val="24"/>
        </w:rPr>
        <w:t>cálculo</w:t>
      </w:r>
      <w:r w:rsidR="00503210" w:rsidRPr="004A3583">
        <w:rPr>
          <w:rFonts w:ascii="Arial Narrow" w:hAnsi="Arial Narrow"/>
          <w:sz w:val="24"/>
          <w:szCs w:val="24"/>
        </w:rPr>
        <w:t xml:space="preserve"> para las </w:t>
      </w:r>
      <w:r w:rsidRPr="004A3583">
        <w:rPr>
          <w:rFonts w:ascii="Arial Narrow" w:hAnsi="Arial Narrow"/>
          <w:sz w:val="24"/>
          <w:szCs w:val="24"/>
        </w:rPr>
        <w:t>indemnizaciones</w:t>
      </w:r>
      <w:r w:rsidR="00503210" w:rsidRPr="004A3583">
        <w:rPr>
          <w:rFonts w:ascii="Arial Narrow" w:hAnsi="Arial Narrow"/>
          <w:sz w:val="24"/>
          <w:szCs w:val="24"/>
        </w:rPr>
        <w:t xml:space="preserve">, </w:t>
      </w:r>
      <w:r w:rsidR="00A43087" w:rsidRPr="004A3583">
        <w:rPr>
          <w:rFonts w:ascii="Arial Narrow" w:hAnsi="Arial Narrow"/>
          <w:sz w:val="24"/>
          <w:szCs w:val="24"/>
        </w:rPr>
        <w:t xml:space="preserve">sin </w:t>
      </w:r>
      <w:r w:rsidR="00506273" w:rsidRPr="004A3583">
        <w:rPr>
          <w:rFonts w:ascii="Arial Narrow" w:hAnsi="Arial Narrow"/>
          <w:sz w:val="24"/>
          <w:szCs w:val="24"/>
        </w:rPr>
        <w:t>embargo,</w:t>
      </w:r>
      <w:r w:rsidR="00A43087" w:rsidRPr="004A3583">
        <w:rPr>
          <w:rFonts w:ascii="Arial Narrow" w:hAnsi="Arial Narrow"/>
          <w:sz w:val="24"/>
          <w:szCs w:val="24"/>
        </w:rPr>
        <w:t xml:space="preserve"> es importante comprender que los métodos están claramente establecidos en la </w:t>
      </w:r>
      <w:r w:rsidRPr="004A3583">
        <w:rPr>
          <w:rFonts w:ascii="Arial Narrow" w:hAnsi="Arial Narrow"/>
          <w:sz w:val="24"/>
          <w:szCs w:val="24"/>
        </w:rPr>
        <w:t>Resolución</w:t>
      </w:r>
      <w:r w:rsidR="00B25E9C" w:rsidRPr="004A3583">
        <w:rPr>
          <w:rFonts w:ascii="Arial Narrow" w:hAnsi="Arial Narrow"/>
          <w:sz w:val="24"/>
          <w:szCs w:val="24"/>
        </w:rPr>
        <w:t xml:space="preserve"> 620 de</w:t>
      </w:r>
      <w:r w:rsidR="00506273" w:rsidRPr="004A3583">
        <w:rPr>
          <w:rFonts w:ascii="Arial Narrow" w:hAnsi="Arial Narrow"/>
          <w:sz w:val="24"/>
          <w:szCs w:val="24"/>
        </w:rPr>
        <w:t xml:space="preserve"> 2008</w:t>
      </w:r>
      <w:r w:rsidR="00B25E9C" w:rsidRPr="004A3583">
        <w:rPr>
          <w:rFonts w:ascii="Arial Narrow" w:hAnsi="Arial Narrow"/>
          <w:sz w:val="24"/>
          <w:szCs w:val="24"/>
        </w:rPr>
        <w:t xml:space="preserve"> IGAG.</w:t>
      </w:r>
    </w:p>
    <w:p w:rsidR="00B25E9C" w:rsidRPr="004A3583" w:rsidRDefault="00B25E9C" w:rsidP="00F9548E">
      <w:pPr>
        <w:spacing w:after="0" w:line="240" w:lineRule="auto"/>
        <w:jc w:val="both"/>
        <w:rPr>
          <w:rFonts w:ascii="Arial Narrow" w:hAnsi="Arial Narrow"/>
          <w:sz w:val="24"/>
          <w:szCs w:val="24"/>
        </w:rPr>
      </w:pPr>
    </w:p>
    <w:p w:rsidR="00B25E9C" w:rsidRPr="004A3583" w:rsidRDefault="00B14E88" w:rsidP="00F9548E">
      <w:pPr>
        <w:spacing w:after="0" w:line="240" w:lineRule="auto"/>
        <w:jc w:val="both"/>
        <w:rPr>
          <w:rFonts w:ascii="Arial Narrow" w:hAnsi="Arial Narrow"/>
          <w:sz w:val="24"/>
          <w:szCs w:val="24"/>
        </w:rPr>
      </w:pPr>
      <w:r w:rsidRPr="004A3583">
        <w:rPr>
          <w:rFonts w:ascii="Arial Narrow" w:hAnsi="Arial Narrow"/>
          <w:sz w:val="24"/>
          <w:szCs w:val="24"/>
        </w:rPr>
        <w:t>Existen 4</w:t>
      </w:r>
      <w:r w:rsidR="00B25E9C" w:rsidRPr="004A3583">
        <w:rPr>
          <w:rFonts w:ascii="Arial Narrow" w:hAnsi="Arial Narrow"/>
          <w:sz w:val="24"/>
          <w:szCs w:val="24"/>
        </w:rPr>
        <w:t xml:space="preserve"> </w:t>
      </w:r>
      <w:r w:rsidR="00506273" w:rsidRPr="004A3583">
        <w:rPr>
          <w:rFonts w:ascii="Arial Narrow" w:hAnsi="Arial Narrow"/>
          <w:sz w:val="24"/>
          <w:szCs w:val="24"/>
        </w:rPr>
        <w:t>métodos valuatorios</w:t>
      </w:r>
      <w:r w:rsidRPr="004A3583">
        <w:rPr>
          <w:rFonts w:ascii="Arial Narrow" w:hAnsi="Arial Narrow"/>
          <w:sz w:val="24"/>
          <w:szCs w:val="24"/>
        </w:rPr>
        <w:t xml:space="preserve">, el comparativo de mercado, el método de capitalización de renta, costo de reposición y metodología </w:t>
      </w:r>
      <w:r w:rsidR="00506273" w:rsidRPr="004A3583">
        <w:rPr>
          <w:rFonts w:ascii="Arial Narrow" w:hAnsi="Arial Narrow"/>
          <w:sz w:val="24"/>
          <w:szCs w:val="24"/>
        </w:rPr>
        <w:t>residual, adicionalmente</w:t>
      </w:r>
      <w:r w:rsidRPr="004A3583">
        <w:rPr>
          <w:rFonts w:ascii="Arial Narrow" w:hAnsi="Arial Narrow"/>
          <w:sz w:val="24"/>
          <w:szCs w:val="24"/>
        </w:rPr>
        <w:t xml:space="preserve"> si no existen datos en el mercado de negociaciones realizadas, </w:t>
      </w:r>
      <w:r w:rsidRPr="004A3583">
        <w:rPr>
          <w:rFonts w:ascii="Arial Narrow" w:hAnsi="Arial Narrow"/>
          <w:sz w:val="24"/>
          <w:szCs w:val="24"/>
          <w:highlight w:val="lightGray"/>
        </w:rPr>
        <w:t>la Resolución 620</w:t>
      </w:r>
      <w:r w:rsidR="00506273" w:rsidRPr="004A3583">
        <w:rPr>
          <w:rFonts w:ascii="Arial Narrow" w:hAnsi="Arial Narrow"/>
          <w:sz w:val="24"/>
          <w:szCs w:val="24"/>
        </w:rPr>
        <w:t xml:space="preserve"> de 2008</w:t>
      </w:r>
      <w:r w:rsidRPr="004A3583">
        <w:rPr>
          <w:rFonts w:ascii="Arial Narrow" w:hAnsi="Arial Narrow"/>
          <w:sz w:val="24"/>
          <w:szCs w:val="24"/>
        </w:rPr>
        <w:t xml:space="preserve">permite realizar consulta a expertos valuadores o encuestas en la que dice que los encuestados deben ser profesionales que manejen el mercado diario de manera frecuente, que conozcan las características particulares del predio o inmueble que debe ser valorado. </w:t>
      </w:r>
      <w:r w:rsidR="00B25E9C" w:rsidRPr="004A3583">
        <w:rPr>
          <w:rFonts w:ascii="Arial Narrow" w:hAnsi="Arial Narrow"/>
          <w:sz w:val="24"/>
          <w:szCs w:val="24"/>
        </w:rPr>
        <w:t xml:space="preserve">        </w:t>
      </w:r>
    </w:p>
    <w:p w:rsidR="002538E6" w:rsidRPr="004A3583" w:rsidRDefault="002538E6" w:rsidP="005E6A7F">
      <w:pPr>
        <w:spacing w:after="0" w:line="240" w:lineRule="auto"/>
        <w:jc w:val="both"/>
        <w:rPr>
          <w:rFonts w:ascii="Arial Narrow" w:hAnsi="Arial Narrow"/>
          <w:sz w:val="24"/>
          <w:szCs w:val="24"/>
        </w:rPr>
      </w:pPr>
    </w:p>
    <w:p w:rsidR="004E5B79" w:rsidRPr="004A3583" w:rsidRDefault="004E5B79" w:rsidP="005E6A7F">
      <w:pPr>
        <w:spacing w:after="0" w:line="240" w:lineRule="auto"/>
        <w:jc w:val="both"/>
        <w:rPr>
          <w:rFonts w:ascii="Arial Narrow" w:hAnsi="Arial Narrow"/>
          <w:sz w:val="24"/>
          <w:szCs w:val="24"/>
        </w:rPr>
      </w:pPr>
      <w:r w:rsidRPr="004A3583">
        <w:rPr>
          <w:rFonts w:ascii="Arial Narrow" w:hAnsi="Arial Narrow"/>
          <w:sz w:val="24"/>
          <w:szCs w:val="24"/>
        </w:rPr>
        <w:t>Desvirtuando de esta manera lo que señala</w:t>
      </w:r>
      <w:r w:rsidR="00B14E88" w:rsidRPr="004A3583">
        <w:rPr>
          <w:rFonts w:ascii="Arial Narrow" w:hAnsi="Arial Narrow"/>
          <w:sz w:val="24"/>
          <w:szCs w:val="24"/>
        </w:rPr>
        <w:t>n</w:t>
      </w:r>
      <w:r w:rsidRPr="004A3583">
        <w:rPr>
          <w:rFonts w:ascii="Arial Narrow" w:hAnsi="Arial Narrow"/>
          <w:sz w:val="24"/>
          <w:szCs w:val="24"/>
        </w:rPr>
        <w:t xml:space="preserve">, </w:t>
      </w:r>
      <w:r w:rsidR="00B14E88" w:rsidRPr="004A3583">
        <w:rPr>
          <w:rFonts w:ascii="Arial Narrow" w:hAnsi="Arial Narrow"/>
          <w:sz w:val="24"/>
          <w:szCs w:val="24"/>
        </w:rPr>
        <w:t>la inexistencia de</w:t>
      </w:r>
      <w:r w:rsidRPr="004A3583">
        <w:rPr>
          <w:rFonts w:ascii="Arial Narrow" w:hAnsi="Arial Narrow"/>
          <w:sz w:val="24"/>
          <w:szCs w:val="24"/>
        </w:rPr>
        <w:t xml:space="preserve"> ofertas de venta ni transacciones que permitieran establecer otros valores de referencia, siendo que para el mismo proyecto se adquirieron varios inmuebles a los que</w:t>
      </w:r>
      <w:r w:rsidR="00B14E88" w:rsidRPr="004A3583">
        <w:rPr>
          <w:rFonts w:ascii="Arial Narrow" w:hAnsi="Arial Narrow"/>
          <w:sz w:val="24"/>
          <w:szCs w:val="24"/>
        </w:rPr>
        <w:t xml:space="preserve"> se</w:t>
      </w:r>
      <w:r w:rsidRPr="004A3583">
        <w:rPr>
          <w:rFonts w:ascii="Arial Narrow" w:hAnsi="Arial Narrow"/>
          <w:sz w:val="24"/>
          <w:szCs w:val="24"/>
        </w:rPr>
        <w:t xml:space="preserve"> debió acudir el auxiliar de la justicia por ser de conocimiento </w:t>
      </w:r>
      <w:r w:rsidR="00EB52CF" w:rsidRPr="004A3583">
        <w:rPr>
          <w:rFonts w:ascii="Arial Narrow" w:hAnsi="Arial Narrow"/>
          <w:sz w:val="24"/>
          <w:szCs w:val="24"/>
        </w:rPr>
        <w:t>público</w:t>
      </w:r>
      <w:r w:rsidRPr="004A3583">
        <w:rPr>
          <w:rFonts w:ascii="Arial Narrow" w:hAnsi="Arial Narrow"/>
          <w:sz w:val="24"/>
          <w:szCs w:val="24"/>
        </w:rPr>
        <w:t xml:space="preserve"> a cuyos soportes</w:t>
      </w:r>
      <w:r w:rsidR="00EB52CF" w:rsidRPr="004A3583">
        <w:rPr>
          <w:rFonts w:ascii="Arial Narrow" w:hAnsi="Arial Narrow"/>
          <w:sz w:val="24"/>
          <w:szCs w:val="24"/>
        </w:rPr>
        <w:t xml:space="preserve"> como Escrituras de Compraventa, </w:t>
      </w:r>
      <w:r w:rsidRPr="004A3583">
        <w:rPr>
          <w:rFonts w:ascii="Arial Narrow" w:hAnsi="Arial Narrow"/>
          <w:sz w:val="24"/>
          <w:szCs w:val="24"/>
        </w:rPr>
        <w:t xml:space="preserve">pudo acceder por ser </w:t>
      </w:r>
      <w:r w:rsidR="00EB52CF" w:rsidRPr="004A3583">
        <w:rPr>
          <w:rFonts w:ascii="Arial Narrow" w:hAnsi="Arial Narrow"/>
          <w:sz w:val="24"/>
          <w:szCs w:val="24"/>
        </w:rPr>
        <w:t>documentos</w:t>
      </w:r>
      <w:r w:rsidRPr="004A3583">
        <w:rPr>
          <w:rFonts w:ascii="Arial Narrow" w:hAnsi="Arial Narrow"/>
          <w:sz w:val="24"/>
          <w:szCs w:val="24"/>
        </w:rPr>
        <w:t xml:space="preserve"> públicos.</w:t>
      </w:r>
    </w:p>
    <w:p w:rsidR="00C375E7" w:rsidRPr="004A3583" w:rsidRDefault="00C375E7" w:rsidP="005E6A7F">
      <w:pPr>
        <w:pStyle w:val="Prrafodelista"/>
        <w:spacing w:after="0" w:line="240" w:lineRule="auto"/>
        <w:jc w:val="both"/>
        <w:rPr>
          <w:rFonts w:ascii="Arial Narrow" w:hAnsi="Arial Narrow"/>
          <w:i/>
          <w:sz w:val="24"/>
          <w:szCs w:val="24"/>
        </w:rPr>
      </w:pPr>
    </w:p>
    <w:p w:rsidR="0064635A" w:rsidRPr="004A3583" w:rsidRDefault="0064635A" w:rsidP="005E6A7F">
      <w:pPr>
        <w:spacing w:after="0" w:line="240" w:lineRule="auto"/>
        <w:jc w:val="both"/>
        <w:rPr>
          <w:rFonts w:ascii="Arial Narrow" w:hAnsi="Arial Narrow"/>
          <w:sz w:val="24"/>
          <w:szCs w:val="24"/>
        </w:rPr>
      </w:pPr>
    </w:p>
    <w:p w:rsidR="0064635A" w:rsidRPr="00097261" w:rsidRDefault="006F269A" w:rsidP="005E6A7F">
      <w:pPr>
        <w:spacing w:after="0" w:line="240" w:lineRule="auto"/>
        <w:jc w:val="both"/>
        <w:rPr>
          <w:rFonts w:ascii="Arial Narrow" w:hAnsi="Arial Narrow"/>
          <w:sz w:val="24"/>
          <w:szCs w:val="24"/>
          <w:highlight w:val="lightGray"/>
        </w:rPr>
      </w:pPr>
      <w:r w:rsidRPr="00097261">
        <w:rPr>
          <w:rFonts w:ascii="Arial Narrow" w:hAnsi="Arial Narrow"/>
          <w:sz w:val="24"/>
          <w:szCs w:val="24"/>
          <w:highlight w:val="lightGray"/>
        </w:rPr>
        <w:t>5.</w:t>
      </w:r>
      <w:r w:rsidR="000403C4" w:rsidRPr="00097261">
        <w:rPr>
          <w:rFonts w:ascii="Arial Narrow" w:hAnsi="Arial Narrow"/>
          <w:sz w:val="24"/>
          <w:szCs w:val="24"/>
          <w:highlight w:val="lightGray"/>
        </w:rPr>
        <w:t xml:space="preserve">. </w:t>
      </w:r>
      <w:r w:rsidR="0064635A" w:rsidRPr="00097261">
        <w:rPr>
          <w:rFonts w:ascii="Arial Narrow" w:hAnsi="Arial Narrow"/>
          <w:sz w:val="24"/>
          <w:szCs w:val="24"/>
          <w:highlight w:val="lightGray"/>
        </w:rPr>
        <w:t xml:space="preserve">Por su parte, en cuanto hace relación al daño emergente y el lucro cesante, no puede soslayarse que en el inmueble expropiado funcionaba un establecimiento de comercio de reconocida trayectoria y fama, el que, </w:t>
      </w:r>
      <w:r w:rsidR="0064635A" w:rsidRPr="00097261">
        <w:rPr>
          <w:rFonts w:ascii="Arial Narrow" w:hAnsi="Arial Narrow"/>
          <w:b/>
          <w:sz w:val="24"/>
          <w:szCs w:val="24"/>
          <w:highlight w:val="lightGray"/>
        </w:rPr>
        <w:t>pese a la afectación parcial, tuvo que ser desmontado, pues la actividad para la que era requerido el predio implicó la demolición total de la construcción</w:t>
      </w:r>
      <w:r w:rsidR="0064635A" w:rsidRPr="00097261">
        <w:rPr>
          <w:rFonts w:ascii="Arial Narrow" w:hAnsi="Arial Narrow"/>
          <w:sz w:val="24"/>
          <w:szCs w:val="24"/>
          <w:highlight w:val="lightGray"/>
        </w:rPr>
        <w:t>, sobreviniendo, entonces la extinción d</w:t>
      </w:r>
      <w:r w:rsidR="0064635A" w:rsidRPr="00097261">
        <w:rPr>
          <w:rFonts w:ascii="Arial Narrow" w:hAnsi="Arial Narrow"/>
          <w:b/>
          <w:sz w:val="24"/>
          <w:szCs w:val="24"/>
          <w:highlight w:val="lightGray"/>
        </w:rPr>
        <w:t>el dicho establecimiento</w:t>
      </w:r>
      <w:r w:rsidR="0064635A" w:rsidRPr="00097261">
        <w:rPr>
          <w:rFonts w:ascii="Arial Narrow" w:hAnsi="Arial Narrow"/>
          <w:sz w:val="24"/>
          <w:szCs w:val="24"/>
          <w:highlight w:val="lightGray"/>
        </w:rPr>
        <w:t>.</w:t>
      </w:r>
    </w:p>
    <w:p w:rsidR="000403C4" w:rsidRPr="004A3583" w:rsidRDefault="000403C4" w:rsidP="005E6A7F">
      <w:pPr>
        <w:pStyle w:val="Prrafodelista"/>
        <w:spacing w:after="0" w:line="240" w:lineRule="auto"/>
        <w:jc w:val="both"/>
        <w:rPr>
          <w:rFonts w:ascii="Arial Narrow" w:hAnsi="Arial Narrow"/>
          <w:sz w:val="24"/>
          <w:szCs w:val="24"/>
        </w:rPr>
      </w:pPr>
    </w:p>
    <w:p w:rsidR="00EB52CF" w:rsidRPr="004A3583" w:rsidRDefault="00EB52CF" w:rsidP="005E6A7F">
      <w:pPr>
        <w:pStyle w:val="NormalWeb"/>
        <w:shd w:val="clear" w:color="auto" w:fill="FFFFFF"/>
        <w:spacing w:before="0" w:beforeAutospacing="0" w:after="300" w:afterAutospacing="0"/>
        <w:jc w:val="both"/>
        <w:rPr>
          <w:rFonts w:ascii="Arial Narrow" w:hAnsi="Arial Narrow"/>
        </w:rPr>
      </w:pPr>
      <w:r w:rsidRPr="004A3583">
        <w:rPr>
          <w:rFonts w:ascii="Arial Narrow" w:hAnsi="Arial Narrow"/>
        </w:rPr>
        <w:t>No hay que perder de vis</w:t>
      </w:r>
      <w:r w:rsidR="001137D0" w:rsidRPr="004A3583">
        <w:rPr>
          <w:rFonts w:ascii="Arial Narrow" w:hAnsi="Arial Narrow"/>
        </w:rPr>
        <w:t>t</w:t>
      </w:r>
      <w:r w:rsidRPr="004A3583">
        <w:rPr>
          <w:rFonts w:ascii="Arial Narrow" w:hAnsi="Arial Narrow"/>
        </w:rPr>
        <w:t xml:space="preserve">a que la Entidad expropiante </w:t>
      </w:r>
      <w:r w:rsidR="001455EC" w:rsidRPr="004A3583">
        <w:rPr>
          <w:rFonts w:ascii="Arial Narrow" w:hAnsi="Arial Narrow"/>
        </w:rPr>
        <w:t>requiere el</w:t>
      </w:r>
      <w:r w:rsidRPr="004A3583">
        <w:rPr>
          <w:rFonts w:ascii="Arial Narrow" w:hAnsi="Arial Narrow"/>
        </w:rPr>
        <w:t xml:space="preserve"> inmueble para efectos </w:t>
      </w:r>
      <w:r w:rsidR="001137D0" w:rsidRPr="004A3583">
        <w:rPr>
          <w:rFonts w:ascii="Arial Narrow" w:hAnsi="Arial Narrow"/>
        </w:rPr>
        <w:t>de consolidar el Proyecto Intersección</w:t>
      </w:r>
      <w:r w:rsidRPr="004A3583">
        <w:rPr>
          <w:rFonts w:ascii="Arial Narrow" w:hAnsi="Arial Narrow"/>
        </w:rPr>
        <w:t xml:space="preserve"> </w:t>
      </w:r>
      <w:proofErr w:type="spellStart"/>
      <w:r w:rsidRPr="004A3583">
        <w:rPr>
          <w:rFonts w:ascii="Arial Narrow" w:hAnsi="Arial Narrow"/>
        </w:rPr>
        <w:t>Chapal</w:t>
      </w:r>
      <w:proofErr w:type="spellEnd"/>
      <w:r w:rsidRPr="004A3583">
        <w:rPr>
          <w:rFonts w:ascii="Arial Narrow" w:hAnsi="Arial Narrow"/>
        </w:rPr>
        <w:t xml:space="preserve">, </w:t>
      </w:r>
      <w:r w:rsidR="00E762EE" w:rsidRPr="004A3583">
        <w:rPr>
          <w:rFonts w:ascii="Arial Narrow" w:hAnsi="Arial Narrow"/>
        </w:rPr>
        <w:t>en cuyo</w:t>
      </w:r>
      <w:r w:rsidRPr="004A3583">
        <w:rPr>
          <w:rFonts w:ascii="Arial Narrow" w:hAnsi="Arial Narrow"/>
        </w:rPr>
        <w:t xml:space="preserve"> </w:t>
      </w:r>
      <w:r w:rsidR="00E762EE" w:rsidRPr="004A3583">
        <w:rPr>
          <w:rFonts w:ascii="Arial Narrow" w:hAnsi="Arial Narrow"/>
        </w:rPr>
        <w:t>avalúo se</w:t>
      </w:r>
      <w:r w:rsidRPr="004A3583">
        <w:rPr>
          <w:rFonts w:ascii="Arial Narrow" w:hAnsi="Arial Narrow"/>
        </w:rPr>
        <w:t xml:space="preserve"> contempló la destinación económica del inmueble y se la tuvo en cuenta para calcular el </w:t>
      </w:r>
      <w:r w:rsidR="00E762EE" w:rsidRPr="004A3583">
        <w:rPr>
          <w:rFonts w:ascii="Arial Narrow" w:hAnsi="Arial Narrow"/>
        </w:rPr>
        <w:t>valor de terreno como de uso comercial</w:t>
      </w:r>
      <w:r w:rsidRPr="004A3583">
        <w:rPr>
          <w:rFonts w:ascii="Arial Narrow" w:hAnsi="Arial Narrow"/>
        </w:rPr>
        <w:t>.</w:t>
      </w:r>
    </w:p>
    <w:p w:rsidR="000414BF" w:rsidRPr="004A3583" w:rsidRDefault="00EB52CF" w:rsidP="005E6A7F">
      <w:pPr>
        <w:spacing w:after="0" w:line="240" w:lineRule="auto"/>
        <w:jc w:val="both"/>
        <w:rPr>
          <w:rFonts w:ascii="Arial Narrow" w:hAnsi="Arial Narrow"/>
          <w:sz w:val="24"/>
          <w:szCs w:val="24"/>
        </w:rPr>
      </w:pPr>
      <w:r w:rsidRPr="004A3583">
        <w:rPr>
          <w:rFonts w:ascii="Arial Narrow" w:hAnsi="Arial Narrow"/>
          <w:sz w:val="24"/>
          <w:szCs w:val="24"/>
        </w:rPr>
        <w:t xml:space="preserve">Así las </w:t>
      </w:r>
      <w:r w:rsidR="00497CFE" w:rsidRPr="004A3583">
        <w:rPr>
          <w:rFonts w:ascii="Arial Narrow" w:hAnsi="Arial Narrow"/>
          <w:sz w:val="24"/>
          <w:szCs w:val="24"/>
        </w:rPr>
        <w:t>cosas,</w:t>
      </w:r>
      <w:r w:rsidRPr="004A3583">
        <w:rPr>
          <w:rFonts w:ascii="Arial Narrow" w:hAnsi="Arial Narrow"/>
          <w:sz w:val="24"/>
          <w:szCs w:val="24"/>
        </w:rPr>
        <w:t xml:space="preserve"> la indemnización que se reconoce a la propietaria comprende todos los aspectos que se vinculan con el predio a expropiar, la destinación económica que tenía, su ubicación, funcionalidad y características especiales que la comprenden, pero no así el reconocimiento de rentas futuras</w:t>
      </w:r>
      <w:r w:rsidR="000414BF" w:rsidRPr="004A3583">
        <w:rPr>
          <w:rFonts w:ascii="Arial Narrow" w:hAnsi="Arial Narrow"/>
          <w:sz w:val="24"/>
          <w:szCs w:val="24"/>
        </w:rPr>
        <w:t xml:space="preserve"> ya que los motivos para los cuales requiere del bien son de utilidad </w:t>
      </w:r>
      <w:r w:rsidR="001137D0" w:rsidRPr="004A3583">
        <w:rPr>
          <w:rFonts w:ascii="Arial Narrow" w:hAnsi="Arial Narrow"/>
          <w:sz w:val="24"/>
          <w:szCs w:val="24"/>
        </w:rPr>
        <w:t>p</w:t>
      </w:r>
      <w:r w:rsidR="00497CFE" w:rsidRPr="004A3583">
        <w:rPr>
          <w:rFonts w:ascii="Arial Narrow" w:hAnsi="Arial Narrow"/>
          <w:sz w:val="24"/>
          <w:szCs w:val="24"/>
        </w:rPr>
        <w:t>ública</w:t>
      </w:r>
      <w:r w:rsidR="000414BF" w:rsidRPr="004A3583">
        <w:rPr>
          <w:rFonts w:ascii="Arial Narrow" w:hAnsi="Arial Narrow"/>
          <w:sz w:val="24"/>
          <w:szCs w:val="24"/>
        </w:rPr>
        <w:t xml:space="preserve"> y no para su explotación económica.</w:t>
      </w:r>
    </w:p>
    <w:p w:rsidR="000414BF" w:rsidRPr="004A3583" w:rsidRDefault="000414BF" w:rsidP="005E6A7F">
      <w:pPr>
        <w:spacing w:after="0" w:line="240" w:lineRule="auto"/>
        <w:jc w:val="both"/>
        <w:rPr>
          <w:rFonts w:ascii="Arial Narrow" w:hAnsi="Arial Narrow"/>
          <w:sz w:val="24"/>
          <w:szCs w:val="24"/>
        </w:rPr>
      </w:pPr>
    </w:p>
    <w:p w:rsidR="00C859B5" w:rsidRPr="004A3583" w:rsidRDefault="000414BF" w:rsidP="005E6A7F">
      <w:pPr>
        <w:spacing w:after="0" w:line="240" w:lineRule="auto"/>
        <w:jc w:val="both"/>
        <w:rPr>
          <w:rFonts w:ascii="Arial Narrow" w:hAnsi="Arial Narrow"/>
          <w:sz w:val="24"/>
          <w:szCs w:val="24"/>
        </w:rPr>
      </w:pPr>
      <w:r w:rsidRPr="004A3583">
        <w:rPr>
          <w:rFonts w:ascii="Arial Narrow" w:hAnsi="Arial Narrow"/>
          <w:sz w:val="24"/>
          <w:szCs w:val="24"/>
        </w:rPr>
        <w:lastRenderedPageBreak/>
        <w:t xml:space="preserve">Sin embargo, </w:t>
      </w:r>
      <w:r w:rsidR="00EB52CF" w:rsidRPr="004A3583">
        <w:rPr>
          <w:rFonts w:ascii="Arial Narrow" w:hAnsi="Arial Narrow"/>
          <w:sz w:val="24"/>
          <w:szCs w:val="24"/>
        </w:rPr>
        <w:t>las indemnizaciones por concepto de primas comerciales que las recibe un establecimiento de comercio cuando se vende por motivos comerciales o para explotación económica, no pueden ahora prete</w:t>
      </w:r>
      <w:r w:rsidRPr="004A3583">
        <w:rPr>
          <w:rFonts w:ascii="Arial Narrow" w:hAnsi="Arial Narrow"/>
          <w:sz w:val="24"/>
          <w:szCs w:val="24"/>
        </w:rPr>
        <w:t>nderse por cuanto, de un lado, AVANTE</w:t>
      </w:r>
      <w:r w:rsidR="00EB52CF" w:rsidRPr="004A3583">
        <w:rPr>
          <w:rFonts w:ascii="Arial Narrow" w:hAnsi="Arial Narrow"/>
          <w:sz w:val="24"/>
          <w:szCs w:val="24"/>
        </w:rPr>
        <w:t xml:space="preserve"> no adquiere establecimientos de comercio sino inmuebles que se</w:t>
      </w:r>
      <w:r w:rsidR="00C859B5" w:rsidRPr="004A3583">
        <w:rPr>
          <w:rFonts w:ascii="Arial Narrow" w:hAnsi="Arial Narrow"/>
          <w:sz w:val="24"/>
          <w:szCs w:val="24"/>
        </w:rPr>
        <w:t xml:space="preserve"> destinan a un interés social, de </w:t>
      </w:r>
      <w:r w:rsidR="00497CFE" w:rsidRPr="004A3583">
        <w:rPr>
          <w:rFonts w:ascii="Arial Narrow" w:hAnsi="Arial Narrow"/>
          <w:sz w:val="24"/>
          <w:szCs w:val="24"/>
        </w:rPr>
        <w:t>allí</w:t>
      </w:r>
      <w:r w:rsidR="00C859B5" w:rsidRPr="004A3583">
        <w:rPr>
          <w:rFonts w:ascii="Arial Narrow" w:hAnsi="Arial Narrow"/>
          <w:sz w:val="24"/>
          <w:szCs w:val="24"/>
        </w:rPr>
        <w:t xml:space="preserve"> que actuando bajo el principio de igualdad el mismo tratamiento se dio a los demás propietarios de </w:t>
      </w:r>
      <w:r w:rsidR="00C859B5" w:rsidRPr="004A3583">
        <w:rPr>
          <w:rFonts w:ascii="Arial Narrow" w:hAnsi="Arial Narrow"/>
          <w:sz w:val="24"/>
          <w:szCs w:val="24"/>
          <w:highlight w:val="lightGray"/>
        </w:rPr>
        <w:t>inmuebles ubicados en el sector.</w:t>
      </w:r>
    </w:p>
    <w:p w:rsidR="00C859B5" w:rsidRPr="004A3583" w:rsidRDefault="00C859B5" w:rsidP="005E6A7F">
      <w:pPr>
        <w:spacing w:after="0" w:line="240" w:lineRule="auto"/>
        <w:jc w:val="both"/>
        <w:rPr>
          <w:rFonts w:ascii="Arial Narrow" w:hAnsi="Arial Narrow"/>
          <w:sz w:val="24"/>
          <w:szCs w:val="24"/>
        </w:rPr>
      </w:pPr>
    </w:p>
    <w:p w:rsidR="009A08EA" w:rsidRPr="004A3583" w:rsidRDefault="007F60F1" w:rsidP="005E6A7F">
      <w:pPr>
        <w:pStyle w:val="NormalWeb"/>
        <w:shd w:val="clear" w:color="auto" w:fill="FFFFFF"/>
        <w:spacing w:before="0" w:beforeAutospacing="0" w:after="300" w:afterAutospacing="0"/>
        <w:jc w:val="both"/>
        <w:rPr>
          <w:rFonts w:ascii="Arial Narrow" w:hAnsi="Arial Narrow"/>
        </w:rPr>
      </w:pPr>
      <w:r w:rsidRPr="004A3583">
        <w:rPr>
          <w:rFonts w:ascii="Arial Narrow" w:hAnsi="Arial Narrow"/>
        </w:rPr>
        <w:t xml:space="preserve">De otra parte, el Crédito Mercantil o </w:t>
      </w:r>
      <w:proofErr w:type="spellStart"/>
      <w:r w:rsidRPr="004A3583">
        <w:rPr>
          <w:rFonts w:ascii="Arial Narrow" w:hAnsi="Arial Narrow" w:cs="Arial"/>
          <w:color w:val="333333"/>
        </w:rPr>
        <w:t>Good</w:t>
      </w:r>
      <w:proofErr w:type="spellEnd"/>
      <w:r w:rsidRPr="004A3583">
        <w:rPr>
          <w:rFonts w:ascii="Arial Narrow" w:hAnsi="Arial Narrow" w:cs="Arial"/>
          <w:color w:val="333333"/>
        </w:rPr>
        <w:t xml:space="preserve"> </w:t>
      </w:r>
      <w:proofErr w:type="spellStart"/>
      <w:r w:rsidRPr="004A3583">
        <w:rPr>
          <w:rFonts w:ascii="Arial Narrow" w:hAnsi="Arial Narrow" w:cs="Arial"/>
          <w:color w:val="333333"/>
        </w:rPr>
        <w:t>Will</w:t>
      </w:r>
      <w:proofErr w:type="spellEnd"/>
      <w:r w:rsidRPr="004A3583">
        <w:rPr>
          <w:rFonts w:ascii="Arial Narrow" w:hAnsi="Arial Narrow"/>
        </w:rPr>
        <w:t xml:space="preserve">, definido en la </w:t>
      </w:r>
      <w:r w:rsidRPr="004A3583">
        <w:rPr>
          <w:rFonts w:ascii="Arial Narrow" w:hAnsi="Arial Narrow" w:cs="Arial"/>
          <w:color w:val="333333"/>
        </w:rPr>
        <w:t>Sentencia del 27 de julio del 2001, Expediente 5860</w:t>
      </w:r>
      <w:r w:rsidR="001455EC" w:rsidRPr="004A3583">
        <w:rPr>
          <w:rFonts w:ascii="Arial Narrow" w:hAnsi="Arial Narrow" w:cs="Arial"/>
          <w:color w:val="333333"/>
        </w:rPr>
        <w:t>,</w:t>
      </w:r>
      <w:r w:rsidR="001137D0" w:rsidRPr="004A3583">
        <w:rPr>
          <w:rFonts w:ascii="Arial Narrow" w:hAnsi="Arial Narrow" w:cs="Arial"/>
          <w:color w:val="333333"/>
        </w:rPr>
        <w:t xml:space="preserve"> </w:t>
      </w:r>
      <w:r w:rsidRPr="004A3583">
        <w:rPr>
          <w:rFonts w:ascii="Arial Narrow" w:hAnsi="Arial Narrow" w:cs="Arial"/>
          <w:color w:val="333333"/>
        </w:rPr>
        <w:t>como el prestigio y buen nombre que tiene el comerciante y el establecimiento mercantil respecto a los demás y al público en general</w:t>
      </w:r>
      <w:r w:rsidR="001137D0" w:rsidRPr="004A3583">
        <w:rPr>
          <w:rFonts w:ascii="Arial Narrow" w:hAnsi="Arial Narrow" w:cs="Arial"/>
          <w:color w:val="333333"/>
        </w:rPr>
        <w:t>, la citada C</w:t>
      </w:r>
      <w:r w:rsidRPr="004A3583">
        <w:rPr>
          <w:rFonts w:ascii="Arial Narrow" w:hAnsi="Arial Narrow" w:cs="Arial"/>
          <w:color w:val="333333"/>
        </w:rPr>
        <w:t xml:space="preserve">orporación señala que el </w:t>
      </w:r>
      <w:proofErr w:type="spellStart"/>
      <w:r w:rsidRPr="004A3583">
        <w:rPr>
          <w:rFonts w:ascii="Arial Narrow" w:hAnsi="Arial Narrow" w:cs="Arial"/>
          <w:color w:val="333333"/>
        </w:rPr>
        <w:t>Good</w:t>
      </w:r>
      <w:proofErr w:type="spellEnd"/>
      <w:r w:rsidRPr="004A3583">
        <w:rPr>
          <w:rFonts w:ascii="Arial Narrow" w:hAnsi="Arial Narrow" w:cs="Arial"/>
          <w:color w:val="333333"/>
        </w:rPr>
        <w:t xml:space="preserve"> </w:t>
      </w:r>
      <w:proofErr w:type="spellStart"/>
      <w:r w:rsidRPr="004A3583">
        <w:rPr>
          <w:rFonts w:ascii="Arial Narrow" w:hAnsi="Arial Narrow" w:cs="Arial"/>
          <w:color w:val="333333"/>
        </w:rPr>
        <w:t>will</w:t>
      </w:r>
      <w:proofErr w:type="spellEnd"/>
      <w:r w:rsidRPr="004A3583">
        <w:rPr>
          <w:rFonts w:ascii="Arial Narrow" w:hAnsi="Arial Narrow" w:cs="Arial"/>
          <w:color w:val="333333"/>
        </w:rPr>
        <w:t xml:space="preserve"> hace referencia al factor específico de un negocio que ha creado fama, conquistado clientela y hasta una red de relaciones intermediarias de toda índole. A lo anterior se le suma la confianza que despierta entre los proveedores, trabajadores, bancos y, en general, frente al mercado con quien tiene vínculos, no se puede entender como un factor principal del establecimient</w:t>
      </w:r>
      <w:r w:rsidR="009A08EA" w:rsidRPr="004A3583">
        <w:rPr>
          <w:rFonts w:ascii="Arial Narrow" w:hAnsi="Arial Narrow" w:cs="Arial"/>
          <w:color w:val="333333"/>
        </w:rPr>
        <w:t xml:space="preserve">o de comercio, sino accesorio y </w:t>
      </w:r>
      <w:r w:rsidR="009A08EA" w:rsidRPr="004A3583">
        <w:rPr>
          <w:rFonts w:ascii="Arial Narrow" w:hAnsi="Arial Narrow"/>
          <w:highlight w:val="lightGray"/>
        </w:rPr>
        <w:t>no es un factor reglamentado en las Resoluciones 898 y 1044 de 2.014</w:t>
      </w:r>
      <w:r w:rsidR="009A08EA" w:rsidRPr="004A3583">
        <w:rPr>
          <w:rFonts w:ascii="Arial Narrow" w:hAnsi="Arial Narrow"/>
        </w:rPr>
        <w:t xml:space="preserve">, expedidas por el Instituto Geográfico Agustín Codazzi. </w:t>
      </w:r>
    </w:p>
    <w:p w:rsidR="009A08EA" w:rsidRPr="004A3583" w:rsidRDefault="00EB52CF" w:rsidP="005E6A7F">
      <w:pPr>
        <w:pStyle w:val="NormalWeb"/>
        <w:shd w:val="clear" w:color="auto" w:fill="FFFFFF"/>
        <w:spacing w:before="0" w:beforeAutospacing="0" w:after="300" w:afterAutospacing="0"/>
        <w:jc w:val="both"/>
        <w:rPr>
          <w:rFonts w:ascii="Arial Narrow" w:hAnsi="Arial Narrow"/>
        </w:rPr>
      </w:pPr>
      <w:r w:rsidRPr="004A3583">
        <w:rPr>
          <w:rFonts w:ascii="Arial Narrow" w:hAnsi="Arial Narrow"/>
        </w:rPr>
        <w:t>Lo que se extinguió</w:t>
      </w:r>
      <w:r w:rsidR="003122D3" w:rsidRPr="004A3583">
        <w:rPr>
          <w:rFonts w:ascii="Arial Narrow" w:hAnsi="Arial Narrow"/>
        </w:rPr>
        <w:t xml:space="preserve"> por </w:t>
      </w:r>
      <w:r w:rsidR="00091093" w:rsidRPr="004A3583">
        <w:rPr>
          <w:rFonts w:ascii="Arial Narrow" w:hAnsi="Arial Narrow"/>
        </w:rPr>
        <w:t>demolición fue</w:t>
      </w:r>
      <w:r w:rsidRPr="004A3583">
        <w:rPr>
          <w:rFonts w:ascii="Arial Narrow" w:hAnsi="Arial Narrow"/>
        </w:rPr>
        <w:t xml:space="preserve"> la construcción </w:t>
      </w:r>
      <w:r w:rsidR="00662B53" w:rsidRPr="004A3583">
        <w:rPr>
          <w:rFonts w:ascii="Arial Narrow" w:hAnsi="Arial Narrow"/>
        </w:rPr>
        <w:t>donde</w:t>
      </w:r>
      <w:r w:rsidRPr="004A3583">
        <w:rPr>
          <w:rFonts w:ascii="Arial Narrow" w:hAnsi="Arial Narrow"/>
        </w:rPr>
        <w:t xml:space="preserve"> funcionaba el </w:t>
      </w:r>
      <w:r w:rsidR="00662B53" w:rsidRPr="004A3583">
        <w:rPr>
          <w:rFonts w:ascii="Arial Narrow" w:hAnsi="Arial Narrow"/>
        </w:rPr>
        <w:t>establecimiento</w:t>
      </w:r>
      <w:r w:rsidRPr="004A3583">
        <w:rPr>
          <w:rFonts w:ascii="Arial Narrow" w:hAnsi="Arial Narrow"/>
        </w:rPr>
        <w:t xml:space="preserve"> de comercio, pero la razón social</w:t>
      </w:r>
      <w:r w:rsidR="001137D0" w:rsidRPr="004A3583">
        <w:rPr>
          <w:rFonts w:ascii="Arial Narrow" w:hAnsi="Arial Narrow"/>
        </w:rPr>
        <w:t xml:space="preserve"> </w:t>
      </w:r>
      <w:proofErr w:type="spellStart"/>
      <w:r w:rsidR="001137D0" w:rsidRPr="004A3583">
        <w:rPr>
          <w:rFonts w:ascii="Arial Narrow" w:hAnsi="Arial Narrow"/>
        </w:rPr>
        <w:t>Kikorin</w:t>
      </w:r>
      <w:proofErr w:type="spellEnd"/>
      <w:r w:rsidRPr="004A3583">
        <w:rPr>
          <w:rFonts w:ascii="Arial Narrow" w:hAnsi="Arial Narrow"/>
        </w:rPr>
        <w:t xml:space="preserve"> como tal se encuentra </w:t>
      </w:r>
      <w:r w:rsidR="00662B53" w:rsidRPr="004A3583">
        <w:rPr>
          <w:rFonts w:ascii="Arial Narrow" w:hAnsi="Arial Narrow"/>
        </w:rPr>
        <w:t>vigente,</w:t>
      </w:r>
      <w:r w:rsidRPr="004A3583">
        <w:rPr>
          <w:rFonts w:ascii="Arial Narrow" w:hAnsi="Arial Narrow"/>
        </w:rPr>
        <w:t xml:space="preserve"> porque es de conocimiento público que dicho negocio sigue </w:t>
      </w:r>
      <w:r w:rsidR="00662B53" w:rsidRPr="004A3583">
        <w:rPr>
          <w:rFonts w:ascii="Arial Narrow" w:hAnsi="Arial Narrow"/>
        </w:rPr>
        <w:t>funcionando con sus sucursales, bajo</w:t>
      </w:r>
      <w:r w:rsidRPr="004A3583">
        <w:rPr>
          <w:rFonts w:ascii="Arial Narrow" w:hAnsi="Arial Narrow"/>
        </w:rPr>
        <w:t xml:space="preserve"> el mismo nombre y con el </w:t>
      </w:r>
      <w:r w:rsidR="00662B53" w:rsidRPr="004A3583">
        <w:rPr>
          <w:rFonts w:ascii="Arial Narrow" w:hAnsi="Arial Narrow"/>
        </w:rPr>
        <w:t>mismo objeto</w:t>
      </w:r>
      <w:r w:rsidRPr="004A3583">
        <w:rPr>
          <w:rFonts w:ascii="Arial Narrow" w:hAnsi="Arial Narrow"/>
        </w:rPr>
        <w:t xml:space="preserve"> </w:t>
      </w:r>
      <w:r w:rsidR="00662B53" w:rsidRPr="004A3583">
        <w:rPr>
          <w:rFonts w:ascii="Arial Narrow" w:hAnsi="Arial Narrow"/>
        </w:rPr>
        <w:t>social en</w:t>
      </w:r>
      <w:r w:rsidRPr="004A3583">
        <w:rPr>
          <w:rFonts w:ascii="Arial Narrow" w:hAnsi="Arial Narrow"/>
        </w:rPr>
        <w:t xml:space="preserve"> varios puntos de esta capital.  Es </w:t>
      </w:r>
      <w:r w:rsidR="00091093" w:rsidRPr="004A3583">
        <w:rPr>
          <w:rFonts w:ascii="Arial Narrow" w:hAnsi="Arial Narrow"/>
        </w:rPr>
        <w:t>decir,</w:t>
      </w:r>
      <w:r w:rsidRPr="004A3583">
        <w:rPr>
          <w:rFonts w:ascii="Arial Narrow" w:hAnsi="Arial Narrow"/>
        </w:rPr>
        <w:t xml:space="preserve"> no se ha causado ningún perjuicio al buen nombre pues ha seguido </w:t>
      </w:r>
      <w:r w:rsidR="00662B53" w:rsidRPr="004A3583">
        <w:rPr>
          <w:rFonts w:ascii="Arial Narrow" w:hAnsi="Arial Narrow"/>
        </w:rPr>
        <w:t xml:space="preserve">operando </w:t>
      </w:r>
      <w:r w:rsidRPr="004A3583">
        <w:rPr>
          <w:rFonts w:ascii="Arial Narrow" w:hAnsi="Arial Narrow"/>
        </w:rPr>
        <w:t xml:space="preserve">en </w:t>
      </w:r>
      <w:r w:rsidR="00662B53" w:rsidRPr="004A3583">
        <w:rPr>
          <w:rFonts w:ascii="Arial Narrow" w:hAnsi="Arial Narrow"/>
        </w:rPr>
        <w:t>las mismas</w:t>
      </w:r>
      <w:r w:rsidRPr="004A3583">
        <w:rPr>
          <w:rFonts w:ascii="Arial Narrow" w:hAnsi="Arial Narrow"/>
        </w:rPr>
        <w:t xml:space="preserve"> </w:t>
      </w:r>
      <w:r w:rsidR="00091093" w:rsidRPr="004A3583">
        <w:rPr>
          <w:rFonts w:ascii="Arial Narrow" w:hAnsi="Arial Narrow"/>
        </w:rPr>
        <w:t>condiciones,</w:t>
      </w:r>
      <w:r w:rsidRPr="004A3583">
        <w:rPr>
          <w:rFonts w:ascii="Arial Narrow" w:hAnsi="Arial Narrow"/>
        </w:rPr>
        <w:t xml:space="preserve"> pero en domicilios </w:t>
      </w:r>
      <w:r w:rsidR="00662B53" w:rsidRPr="004A3583">
        <w:rPr>
          <w:rFonts w:ascii="Arial Narrow" w:hAnsi="Arial Narrow"/>
        </w:rPr>
        <w:t>diferentes, la</w:t>
      </w:r>
      <w:r w:rsidRPr="004A3583">
        <w:rPr>
          <w:rFonts w:ascii="Arial Narrow" w:hAnsi="Arial Narrow"/>
        </w:rPr>
        <w:t xml:space="preserve"> </w:t>
      </w:r>
      <w:r w:rsidR="00787DAC" w:rsidRPr="004A3583">
        <w:rPr>
          <w:rFonts w:ascii="Arial Narrow" w:hAnsi="Arial Narrow"/>
        </w:rPr>
        <w:t>persona jurídica</w:t>
      </w:r>
      <w:r w:rsidRPr="004A3583">
        <w:rPr>
          <w:rFonts w:ascii="Arial Narrow" w:hAnsi="Arial Narrow"/>
        </w:rPr>
        <w:t xml:space="preserve"> sigue </w:t>
      </w:r>
      <w:r w:rsidR="00787DAC" w:rsidRPr="004A3583">
        <w:rPr>
          <w:rFonts w:ascii="Arial Narrow" w:hAnsi="Arial Narrow"/>
        </w:rPr>
        <w:t>incólume, así</w:t>
      </w:r>
      <w:r w:rsidRPr="004A3583">
        <w:rPr>
          <w:rFonts w:ascii="Arial Narrow" w:hAnsi="Arial Narrow"/>
        </w:rPr>
        <w:t xml:space="preserve"> se demuestra además a través de la </w:t>
      </w:r>
      <w:r w:rsidR="00091093" w:rsidRPr="004A3583">
        <w:rPr>
          <w:rFonts w:ascii="Arial Narrow" w:hAnsi="Arial Narrow"/>
        </w:rPr>
        <w:t>red social Facebook</w:t>
      </w:r>
      <w:r w:rsidRPr="004A3583">
        <w:rPr>
          <w:rFonts w:ascii="Arial Narrow" w:hAnsi="Arial Narrow"/>
        </w:rPr>
        <w:t>.</w:t>
      </w:r>
    </w:p>
    <w:p w:rsidR="006F269A" w:rsidRPr="004A3583" w:rsidRDefault="006F269A" w:rsidP="005E6A7F">
      <w:pPr>
        <w:pStyle w:val="NormalWeb"/>
        <w:shd w:val="clear" w:color="auto" w:fill="FFFFFF"/>
        <w:spacing w:before="0" w:beforeAutospacing="0" w:after="300" w:afterAutospacing="0"/>
        <w:jc w:val="both"/>
        <w:rPr>
          <w:rFonts w:ascii="Arial Narrow" w:hAnsi="Arial Narrow"/>
        </w:rPr>
      </w:pPr>
      <w:r w:rsidRPr="004A3583">
        <w:rPr>
          <w:rFonts w:ascii="Arial Narrow" w:hAnsi="Arial Narrow"/>
          <w:noProof/>
          <w:lang w:val="es-CO" w:eastAsia="es-CO"/>
        </w:rPr>
        <w:drawing>
          <wp:inline distT="0" distB="0" distL="0" distR="0" wp14:anchorId="09D29530" wp14:editId="6EB200BE">
            <wp:extent cx="4152900" cy="248602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9818" t="9667" r="13744" b="8939"/>
                    <a:stretch/>
                  </pic:blipFill>
                  <pic:spPr bwMode="auto">
                    <a:xfrm>
                      <a:off x="0" y="0"/>
                      <a:ext cx="4152900" cy="2486025"/>
                    </a:xfrm>
                    <a:prstGeom prst="rect">
                      <a:avLst/>
                    </a:prstGeom>
                    <a:ln>
                      <a:noFill/>
                    </a:ln>
                    <a:extLst>
                      <a:ext uri="{53640926-AAD7-44D8-BBD7-CCE9431645EC}">
                        <a14:shadowObscured xmlns:a14="http://schemas.microsoft.com/office/drawing/2010/main"/>
                      </a:ext>
                    </a:extLst>
                  </pic:spPr>
                </pic:pic>
              </a:graphicData>
            </a:graphic>
          </wp:inline>
        </w:drawing>
      </w:r>
    </w:p>
    <w:p w:rsidR="006F269A" w:rsidRPr="004A3583" w:rsidRDefault="006F269A" w:rsidP="005E6A7F">
      <w:pPr>
        <w:pStyle w:val="NormalWeb"/>
        <w:shd w:val="clear" w:color="auto" w:fill="FFFFFF"/>
        <w:spacing w:before="0" w:beforeAutospacing="0" w:after="300" w:afterAutospacing="0"/>
        <w:jc w:val="both"/>
        <w:rPr>
          <w:rFonts w:ascii="Arial Narrow" w:hAnsi="Arial Narrow"/>
        </w:rPr>
      </w:pPr>
    </w:p>
    <w:p w:rsidR="00EB52CF" w:rsidRPr="004A3583" w:rsidRDefault="00EB52CF" w:rsidP="005E6A7F">
      <w:pPr>
        <w:pStyle w:val="NormalWeb"/>
        <w:shd w:val="clear" w:color="auto" w:fill="FFFFFF"/>
        <w:spacing w:before="0" w:beforeAutospacing="0" w:after="300" w:afterAutospacing="0"/>
        <w:jc w:val="both"/>
        <w:rPr>
          <w:rFonts w:ascii="Arial Narrow" w:hAnsi="Arial Narrow"/>
        </w:rPr>
      </w:pPr>
      <w:r w:rsidRPr="004A3583">
        <w:rPr>
          <w:rFonts w:ascii="Arial Narrow" w:hAnsi="Arial Narrow"/>
        </w:rPr>
        <w:t xml:space="preserve">Aunado a lo </w:t>
      </w:r>
      <w:r w:rsidR="00787DAC" w:rsidRPr="004A3583">
        <w:rPr>
          <w:rFonts w:ascii="Arial Narrow" w:hAnsi="Arial Narrow"/>
        </w:rPr>
        <w:t>anterior,</w:t>
      </w:r>
      <w:r w:rsidR="001137D0" w:rsidRPr="004A3583">
        <w:rPr>
          <w:rFonts w:ascii="Arial Narrow" w:hAnsi="Arial Narrow"/>
        </w:rPr>
        <w:t xml:space="preserve"> del predio en </w:t>
      </w:r>
      <w:r w:rsidR="00091093" w:rsidRPr="004A3583">
        <w:rPr>
          <w:rFonts w:ascii="Arial Narrow" w:hAnsi="Arial Narrow"/>
        </w:rPr>
        <w:t>cuestión solo</w:t>
      </w:r>
      <w:r w:rsidR="00662B53" w:rsidRPr="004A3583">
        <w:rPr>
          <w:rFonts w:ascii="Arial Narrow" w:hAnsi="Arial Narrow"/>
        </w:rPr>
        <w:t xml:space="preserve"> se requirió de manera parcial un área de 226,53 </w:t>
      </w:r>
      <w:proofErr w:type="spellStart"/>
      <w:r w:rsidR="00662B53" w:rsidRPr="004A3583">
        <w:rPr>
          <w:rFonts w:ascii="Arial Narrow" w:hAnsi="Arial Narrow"/>
        </w:rPr>
        <w:t>mts</w:t>
      </w:r>
      <w:proofErr w:type="spellEnd"/>
      <w:r w:rsidR="00662B53" w:rsidRPr="004A3583">
        <w:rPr>
          <w:rFonts w:ascii="Arial Narrow" w:hAnsi="Arial Narrow"/>
        </w:rPr>
        <w:t xml:space="preserve"> </w:t>
      </w:r>
      <w:proofErr w:type="gramStart"/>
      <w:r w:rsidR="00662B53" w:rsidRPr="004A3583">
        <w:rPr>
          <w:rFonts w:ascii="Arial Narrow" w:hAnsi="Arial Narrow"/>
        </w:rPr>
        <w:t>2 ,</w:t>
      </w:r>
      <w:proofErr w:type="gramEnd"/>
      <w:r w:rsidR="00662B53" w:rsidRPr="004A3583">
        <w:rPr>
          <w:rFonts w:ascii="Arial Narrow" w:hAnsi="Arial Narrow"/>
        </w:rPr>
        <w:t xml:space="preserve"> </w:t>
      </w:r>
      <w:r w:rsidRPr="004A3583">
        <w:rPr>
          <w:rFonts w:ascii="Arial Narrow" w:hAnsi="Arial Narrow"/>
        </w:rPr>
        <w:t xml:space="preserve"> , quedando en poder de la demandada una gran porción del lote , recordemos que el área de terreno total </w:t>
      </w:r>
      <w:r w:rsidR="000935A7" w:rsidRPr="004A3583">
        <w:rPr>
          <w:rFonts w:ascii="Arial Narrow" w:hAnsi="Arial Narrow"/>
          <w:highlight w:val="lightGray"/>
        </w:rPr>
        <w:t>es de 400 Mts2</w:t>
      </w:r>
      <w:r w:rsidR="001137D0" w:rsidRPr="004A3583">
        <w:rPr>
          <w:rFonts w:ascii="Arial Narrow" w:hAnsi="Arial Narrow"/>
          <w:highlight w:val="lightGray"/>
        </w:rPr>
        <w:t xml:space="preserve">, </w:t>
      </w:r>
      <w:r w:rsidRPr="004A3583">
        <w:rPr>
          <w:rFonts w:ascii="Arial Narrow" w:hAnsi="Arial Narrow"/>
          <w:highlight w:val="lightGray"/>
        </w:rPr>
        <w:t xml:space="preserve"> que</w:t>
      </w:r>
      <w:r w:rsidRPr="004A3583">
        <w:rPr>
          <w:rFonts w:ascii="Arial Narrow" w:hAnsi="Arial Narrow"/>
        </w:rPr>
        <w:t xml:space="preserve"> por cierto con las obras que se van a construir</w:t>
      </w:r>
      <w:r w:rsidR="001137D0" w:rsidRPr="004A3583">
        <w:rPr>
          <w:rFonts w:ascii="Arial Narrow" w:hAnsi="Arial Narrow"/>
        </w:rPr>
        <w:t xml:space="preserve"> en </w:t>
      </w:r>
      <w:r w:rsidRPr="004A3583">
        <w:rPr>
          <w:rFonts w:ascii="Arial Narrow" w:hAnsi="Arial Narrow"/>
        </w:rPr>
        <w:t xml:space="preserve"> este sector tiene una gran perspectiva comercial por ende se verá beneficiada con la valorización del </w:t>
      </w:r>
      <w:r w:rsidR="00EF44C0" w:rsidRPr="004A3583">
        <w:rPr>
          <w:rFonts w:ascii="Arial Narrow" w:hAnsi="Arial Narrow"/>
        </w:rPr>
        <w:t>terreno.</w:t>
      </w:r>
    </w:p>
    <w:p w:rsidR="00EF44C0" w:rsidRPr="004A3583" w:rsidRDefault="00EF44C0" w:rsidP="005E6A7F">
      <w:pPr>
        <w:spacing w:after="0" w:line="240" w:lineRule="auto"/>
        <w:jc w:val="both"/>
        <w:rPr>
          <w:rFonts w:ascii="Arial Narrow" w:hAnsi="Arial Narrow"/>
          <w:i/>
          <w:sz w:val="24"/>
          <w:szCs w:val="24"/>
        </w:rPr>
      </w:pPr>
      <w:r w:rsidRPr="004A3583">
        <w:rPr>
          <w:rFonts w:ascii="Arial Narrow" w:hAnsi="Arial Narrow"/>
          <w:sz w:val="24"/>
          <w:szCs w:val="24"/>
        </w:rPr>
        <w:t xml:space="preserve">Partiendo de las </w:t>
      </w:r>
      <w:r w:rsidR="001137D0" w:rsidRPr="004A3583">
        <w:rPr>
          <w:rFonts w:ascii="Arial Narrow" w:hAnsi="Arial Narrow"/>
          <w:sz w:val="24"/>
          <w:szCs w:val="24"/>
        </w:rPr>
        <w:t>anteriores consideraciones, la E</w:t>
      </w:r>
      <w:r w:rsidRPr="004A3583">
        <w:rPr>
          <w:rFonts w:ascii="Arial Narrow" w:hAnsi="Arial Narrow"/>
          <w:sz w:val="24"/>
          <w:szCs w:val="24"/>
        </w:rPr>
        <w:t xml:space="preserve">ntidad lo que pretende es cancelar el justo precio del </w:t>
      </w:r>
      <w:r w:rsidR="001137D0" w:rsidRPr="004A3583">
        <w:rPr>
          <w:rFonts w:ascii="Arial Narrow" w:hAnsi="Arial Narrow"/>
          <w:sz w:val="24"/>
          <w:szCs w:val="24"/>
        </w:rPr>
        <w:t>inmueble mas no el negocio como tal, ya que el mismo lo puede trasladar y su buen nombre no desaparece</w:t>
      </w:r>
      <w:r w:rsidRPr="004A3583">
        <w:rPr>
          <w:rFonts w:ascii="Arial Narrow" w:hAnsi="Arial Narrow"/>
          <w:sz w:val="24"/>
          <w:szCs w:val="24"/>
        </w:rPr>
        <w:t xml:space="preserve">; al respecto, el destacado administrativista argentino MANUEL MARÍA DÍEZ, señala que </w:t>
      </w:r>
      <w:r w:rsidRPr="004A3583">
        <w:rPr>
          <w:rFonts w:ascii="Arial Narrow" w:hAnsi="Arial Narrow"/>
          <w:i/>
          <w:sz w:val="24"/>
          <w:szCs w:val="24"/>
        </w:rPr>
        <w:t xml:space="preserve">“[…] la suma a pagar debe cubrir exactamente el daño que se irrogue al propietario, sin que éste se empobrezca ni enriquezca, en la medida que tal resultado pueda razonablemente </w:t>
      </w:r>
      <w:r w:rsidR="003122D3" w:rsidRPr="004A3583">
        <w:rPr>
          <w:rFonts w:ascii="Arial Narrow" w:hAnsi="Arial Narrow"/>
          <w:i/>
          <w:sz w:val="24"/>
          <w:szCs w:val="24"/>
        </w:rPr>
        <w:t>alcanzarse…”</w:t>
      </w:r>
    </w:p>
    <w:p w:rsidR="00EF44C0" w:rsidRPr="004A3583" w:rsidRDefault="00EF44C0" w:rsidP="005E6A7F">
      <w:pPr>
        <w:spacing w:after="0" w:line="240" w:lineRule="auto"/>
        <w:jc w:val="both"/>
        <w:rPr>
          <w:rFonts w:ascii="Arial Narrow" w:hAnsi="Arial Narrow"/>
          <w:i/>
          <w:sz w:val="24"/>
          <w:szCs w:val="24"/>
        </w:rPr>
      </w:pPr>
    </w:p>
    <w:p w:rsidR="00F8497A" w:rsidRPr="004A3583" w:rsidRDefault="00DC0892" w:rsidP="00E54B04">
      <w:pPr>
        <w:spacing w:after="0" w:line="240" w:lineRule="auto"/>
        <w:jc w:val="both"/>
        <w:rPr>
          <w:rFonts w:ascii="Arial Narrow" w:hAnsi="Arial Narrow"/>
          <w:sz w:val="24"/>
          <w:szCs w:val="24"/>
        </w:rPr>
      </w:pPr>
      <w:r w:rsidRPr="004A3583">
        <w:rPr>
          <w:rFonts w:ascii="Arial Narrow" w:hAnsi="Arial Narrow"/>
          <w:sz w:val="24"/>
          <w:szCs w:val="24"/>
        </w:rPr>
        <w:t>En sintonía con la anterior apreciación, el profesor RAFAEL BIELSA comenta que “La reparación integral debe ser justa y razonable” y continúa diciendo, “</w:t>
      </w:r>
      <w:r w:rsidR="00091093" w:rsidRPr="004A3583">
        <w:rPr>
          <w:rFonts w:ascii="Arial Narrow" w:hAnsi="Arial Narrow"/>
          <w:sz w:val="24"/>
          <w:szCs w:val="24"/>
        </w:rPr>
        <w:t>… «</w:t>
      </w:r>
      <w:r w:rsidRPr="004A3583">
        <w:rPr>
          <w:rFonts w:ascii="Arial Narrow" w:hAnsi="Arial Narrow"/>
          <w:sz w:val="24"/>
          <w:szCs w:val="24"/>
        </w:rPr>
        <w:t>el justiprecio» es el que representa y restablece el equilibrio, no, desde luego, nominalmente, sino realmente, efectivamen</w:t>
      </w:r>
      <w:r w:rsidR="004A31F6" w:rsidRPr="004A3583">
        <w:rPr>
          <w:rFonts w:ascii="Arial Narrow" w:hAnsi="Arial Narrow"/>
          <w:sz w:val="24"/>
          <w:szCs w:val="24"/>
        </w:rPr>
        <w:t xml:space="preserve">te.” </w:t>
      </w:r>
      <w:r w:rsidRPr="004A3583">
        <w:rPr>
          <w:rFonts w:ascii="Arial Narrow" w:hAnsi="Arial Narrow"/>
          <w:sz w:val="24"/>
          <w:szCs w:val="24"/>
        </w:rPr>
        <w:t xml:space="preserve"> Como corolario de lo expuesto, debe entenderse que la decisión de expropiar un bien del dominio privado, comporta necesariamente la obligación de indemnizar el daño, todo el daño y nada más que el daño, esto es, sin pecar por exceso o por defecto, pues es claro que </w:t>
      </w:r>
      <w:r w:rsidRPr="004A3583">
        <w:rPr>
          <w:rFonts w:ascii="Arial Narrow" w:hAnsi="Arial Narrow"/>
          <w:sz w:val="24"/>
          <w:szCs w:val="24"/>
        </w:rPr>
        <w:lastRenderedPageBreak/>
        <w:t xml:space="preserve">una indemnización que exceda los límites de lo justo, o que resulte ser parcial o incompleta, se aparta del postulado de justicia </w:t>
      </w:r>
      <w:r w:rsidR="00E54B04" w:rsidRPr="004A3583">
        <w:rPr>
          <w:rFonts w:ascii="Arial Narrow" w:hAnsi="Arial Narrow"/>
          <w:sz w:val="24"/>
          <w:szCs w:val="24"/>
        </w:rPr>
        <w:t xml:space="preserve">consagrado por el </w:t>
      </w:r>
      <w:r w:rsidR="00091093" w:rsidRPr="004A3583">
        <w:rPr>
          <w:rFonts w:ascii="Arial Narrow" w:hAnsi="Arial Narrow"/>
          <w:sz w:val="24"/>
          <w:szCs w:val="24"/>
        </w:rPr>
        <w:t>constituyente.</w:t>
      </w:r>
      <w:r w:rsidR="00E54B04" w:rsidRPr="004A3583">
        <w:rPr>
          <w:rFonts w:ascii="Arial Narrow" w:hAnsi="Arial Narrow"/>
          <w:sz w:val="24"/>
          <w:szCs w:val="24"/>
        </w:rPr>
        <w:t xml:space="preserve"> En Sentencia C 750 de 2.015, se indica que  </w:t>
      </w:r>
    </w:p>
    <w:p w:rsidR="00F8497A" w:rsidRPr="004A3583" w:rsidRDefault="00F8497A" w:rsidP="00E54B04">
      <w:pPr>
        <w:spacing w:after="0" w:line="240" w:lineRule="auto"/>
        <w:jc w:val="both"/>
        <w:rPr>
          <w:rFonts w:ascii="Arial Narrow" w:hAnsi="Arial Narrow"/>
          <w:sz w:val="24"/>
          <w:szCs w:val="24"/>
        </w:rPr>
      </w:pPr>
    </w:p>
    <w:p w:rsidR="00F8497A" w:rsidRPr="004A3583" w:rsidRDefault="00E54B04" w:rsidP="00F8497A">
      <w:pPr>
        <w:spacing w:after="0" w:line="240" w:lineRule="auto"/>
        <w:ind w:left="284" w:right="284"/>
        <w:jc w:val="both"/>
        <w:rPr>
          <w:rFonts w:ascii="Arial Narrow" w:hAnsi="Arial Narrow"/>
          <w:sz w:val="24"/>
          <w:szCs w:val="24"/>
        </w:rPr>
      </w:pPr>
      <w:r w:rsidRPr="004A3583">
        <w:rPr>
          <w:rFonts w:ascii="Arial Narrow" w:hAnsi="Arial Narrow"/>
          <w:sz w:val="24"/>
          <w:szCs w:val="24"/>
        </w:rPr>
        <w:t>“</w:t>
      </w:r>
      <w:r w:rsidRPr="004A3583">
        <w:rPr>
          <w:rFonts w:ascii="Arial Narrow" w:hAnsi="Arial Narrow"/>
          <w:i/>
          <w:sz w:val="24"/>
          <w:szCs w:val="24"/>
        </w:rPr>
        <w:t xml:space="preserve">la indemnización no puede ser irrisoria o simbólica, pues el juez o la administración de la expropiación deberán ponderar los intereses privados y sociales de manera que correspondan en realidad “a lo que es justo”. De hecho, esa reforma constitucional suprimió la idea que el resarcimiento podía cancelarse con base en la </w:t>
      </w:r>
      <w:r w:rsidR="00091093" w:rsidRPr="004A3583">
        <w:rPr>
          <w:rFonts w:ascii="Arial Narrow" w:hAnsi="Arial Narrow"/>
          <w:i/>
          <w:sz w:val="24"/>
          <w:szCs w:val="24"/>
        </w:rPr>
        <w:t>equidad [</w:t>
      </w:r>
      <w:r w:rsidRPr="004A3583">
        <w:rPr>
          <w:rFonts w:ascii="Arial Narrow" w:hAnsi="Arial Narrow"/>
          <w:i/>
          <w:sz w:val="24"/>
          <w:szCs w:val="24"/>
        </w:rPr>
        <w:t xml:space="preserve">91]. Por ende, el valor indemnizatorio que se determine debe comprender los daños causados con la expropiación, pero cuidando que no constituya un enriquecimiento al ciudadano, ni un menoscabo a su patrimonio. Tal precisión indica que el resarcimiento producto de la adquisición de bienes del Estado no puede restaurar todas las lesiones </w:t>
      </w:r>
      <w:r w:rsidR="00091093" w:rsidRPr="004A3583">
        <w:rPr>
          <w:rFonts w:ascii="Arial Narrow" w:hAnsi="Arial Narrow"/>
          <w:i/>
          <w:sz w:val="24"/>
          <w:szCs w:val="24"/>
        </w:rPr>
        <w:t>padecidas,</w:t>
      </w:r>
      <w:r w:rsidRPr="004A3583">
        <w:rPr>
          <w:rFonts w:ascii="Arial Narrow" w:hAnsi="Arial Narrow"/>
          <w:i/>
          <w:sz w:val="24"/>
          <w:szCs w:val="24"/>
        </w:rPr>
        <w:t xml:space="preserve"> en cualquier caso</w:t>
      </w:r>
      <w:r w:rsidR="00F8497A" w:rsidRPr="004A3583">
        <w:rPr>
          <w:rFonts w:ascii="Arial Narrow" w:hAnsi="Arial Narrow"/>
          <w:i/>
          <w:sz w:val="24"/>
          <w:szCs w:val="24"/>
        </w:rPr>
        <w:t>.</w:t>
      </w:r>
    </w:p>
    <w:p w:rsidR="00F8497A" w:rsidRPr="004A3583" w:rsidRDefault="00F8497A" w:rsidP="00F8497A">
      <w:pPr>
        <w:spacing w:after="0" w:line="240" w:lineRule="auto"/>
        <w:ind w:left="284" w:right="284"/>
        <w:jc w:val="both"/>
        <w:rPr>
          <w:rFonts w:ascii="Arial Narrow" w:hAnsi="Arial Narrow"/>
          <w:i/>
          <w:sz w:val="24"/>
          <w:szCs w:val="24"/>
        </w:rPr>
      </w:pPr>
    </w:p>
    <w:p w:rsidR="00E54B04" w:rsidRPr="004A3583" w:rsidRDefault="00F8497A" w:rsidP="00F8497A">
      <w:pPr>
        <w:spacing w:after="0" w:line="240" w:lineRule="auto"/>
        <w:ind w:left="284" w:right="284"/>
        <w:jc w:val="both"/>
        <w:rPr>
          <w:rFonts w:ascii="Arial Narrow" w:hAnsi="Arial Narrow"/>
          <w:i/>
          <w:sz w:val="24"/>
          <w:szCs w:val="24"/>
        </w:rPr>
      </w:pPr>
      <w:r w:rsidRPr="004A3583">
        <w:rPr>
          <w:rFonts w:ascii="Arial Narrow" w:hAnsi="Arial Narrow"/>
          <w:i/>
          <w:sz w:val="24"/>
          <w:szCs w:val="24"/>
        </w:rPr>
        <w:t>El equilibrio de las cargas públicas y el cumplimiento de finalidades constitucionales significan que el juez y la administración deben sopesar las circunstancias de cada caso para tasar la indemnización. Ello no es otra cosa que la vigencia y aplicación de los principios de la razonabilidad y proporcionalidad en el pago de los perjuicios causados al ciudadano. En cada causa, las autoridades expropiadoras tasaran la indemnización que debe recibir el particular por perder su derecho de dominio, asignación que tendrá en cuenta el contexto en que se encuentra el afectado, los derechos en discusión y su condición.”</w:t>
      </w:r>
      <w:r w:rsidR="00E54B04" w:rsidRPr="004A3583">
        <w:rPr>
          <w:rFonts w:ascii="Arial Narrow" w:hAnsi="Arial Narrow"/>
          <w:i/>
          <w:sz w:val="24"/>
          <w:szCs w:val="24"/>
        </w:rPr>
        <w:t>.</w:t>
      </w:r>
    </w:p>
    <w:p w:rsidR="00E54B04" w:rsidRPr="004A3583" w:rsidRDefault="00E54B04" w:rsidP="00E54B04">
      <w:pPr>
        <w:spacing w:after="0" w:line="240" w:lineRule="auto"/>
        <w:jc w:val="both"/>
        <w:rPr>
          <w:rFonts w:ascii="Arial Narrow" w:hAnsi="Arial Narrow"/>
          <w:sz w:val="24"/>
          <w:szCs w:val="24"/>
        </w:rPr>
      </w:pPr>
    </w:p>
    <w:p w:rsidR="00E54B04" w:rsidRPr="004A3583" w:rsidRDefault="00E54B04" w:rsidP="00E54B04">
      <w:pPr>
        <w:spacing w:after="0" w:line="240" w:lineRule="auto"/>
        <w:jc w:val="both"/>
        <w:rPr>
          <w:rFonts w:ascii="Arial Narrow" w:hAnsi="Arial Narrow"/>
          <w:sz w:val="24"/>
          <w:szCs w:val="24"/>
        </w:rPr>
      </w:pPr>
    </w:p>
    <w:p w:rsidR="00900433" w:rsidRPr="004A3583" w:rsidRDefault="00900433" w:rsidP="005E6A7F">
      <w:pPr>
        <w:spacing w:after="0" w:line="240" w:lineRule="auto"/>
        <w:jc w:val="both"/>
        <w:rPr>
          <w:rFonts w:ascii="Arial Narrow" w:hAnsi="Arial Narrow"/>
          <w:sz w:val="24"/>
          <w:szCs w:val="24"/>
        </w:rPr>
      </w:pPr>
      <w:r w:rsidRPr="004A3583">
        <w:rPr>
          <w:rFonts w:ascii="Arial Narrow" w:hAnsi="Arial Narrow"/>
          <w:sz w:val="24"/>
          <w:szCs w:val="24"/>
        </w:rPr>
        <w:t>De ahí que es pertinente destacar el alcance de lo que significa el término daño emergente, según la Ley 1682 de 2013, reglamentada mediante Resoluc</w:t>
      </w:r>
      <w:r w:rsidR="00F8497A" w:rsidRPr="004A3583">
        <w:rPr>
          <w:rFonts w:ascii="Arial Narrow" w:hAnsi="Arial Narrow"/>
          <w:sz w:val="24"/>
          <w:szCs w:val="24"/>
        </w:rPr>
        <w:t xml:space="preserve">ión No.898 de 2014, en su </w:t>
      </w:r>
    </w:p>
    <w:p w:rsidR="00900433" w:rsidRPr="004A3583" w:rsidRDefault="00900433" w:rsidP="005E6A7F">
      <w:pPr>
        <w:pStyle w:val="Prrafodelista"/>
        <w:spacing w:after="0" w:line="240" w:lineRule="auto"/>
        <w:jc w:val="both"/>
        <w:rPr>
          <w:rFonts w:ascii="Arial Narrow" w:hAnsi="Arial Narrow"/>
          <w:sz w:val="24"/>
          <w:szCs w:val="24"/>
        </w:rPr>
      </w:pPr>
    </w:p>
    <w:p w:rsidR="00900433" w:rsidRPr="004A3583" w:rsidRDefault="00F8497A" w:rsidP="005E6A7F">
      <w:pPr>
        <w:pStyle w:val="Prrafodelista"/>
        <w:spacing w:after="0" w:line="240" w:lineRule="auto"/>
        <w:jc w:val="both"/>
        <w:rPr>
          <w:rFonts w:ascii="Arial Narrow" w:hAnsi="Arial Narrow"/>
          <w:sz w:val="24"/>
          <w:szCs w:val="24"/>
        </w:rPr>
      </w:pPr>
      <w:r w:rsidRPr="004A3583">
        <w:rPr>
          <w:rFonts w:ascii="Arial Narrow" w:hAnsi="Arial Narrow"/>
          <w:sz w:val="24"/>
          <w:szCs w:val="24"/>
        </w:rPr>
        <w:t xml:space="preserve">“ARTICULO 3. - </w:t>
      </w:r>
      <w:r w:rsidR="00900433" w:rsidRPr="004A3583">
        <w:rPr>
          <w:rFonts w:ascii="Arial Narrow" w:hAnsi="Arial Narrow"/>
          <w:sz w:val="24"/>
          <w:szCs w:val="24"/>
        </w:rPr>
        <w:t>Daño emergente: Perjuicio o pérdida asociada al proceso de adquisición predial.</w:t>
      </w:r>
    </w:p>
    <w:p w:rsidR="00900433" w:rsidRPr="004A3583" w:rsidRDefault="00900433" w:rsidP="005E6A7F">
      <w:pPr>
        <w:pStyle w:val="Prrafodelista"/>
        <w:spacing w:after="0" w:line="240" w:lineRule="auto"/>
        <w:jc w:val="both"/>
        <w:rPr>
          <w:rFonts w:ascii="Arial Narrow" w:hAnsi="Arial Narrow"/>
          <w:sz w:val="24"/>
          <w:szCs w:val="24"/>
        </w:rPr>
      </w:pPr>
      <w:r w:rsidRPr="004A3583">
        <w:rPr>
          <w:rFonts w:ascii="Arial Narrow" w:hAnsi="Arial Narrow"/>
          <w:sz w:val="24"/>
          <w:szCs w:val="24"/>
        </w:rPr>
        <w:t>(…)”.</w:t>
      </w:r>
    </w:p>
    <w:p w:rsidR="00900433" w:rsidRPr="004A3583" w:rsidRDefault="00900433" w:rsidP="005E6A7F">
      <w:pPr>
        <w:pStyle w:val="Prrafodelista"/>
        <w:spacing w:after="0" w:line="240" w:lineRule="auto"/>
        <w:jc w:val="both"/>
        <w:rPr>
          <w:rFonts w:ascii="Arial Narrow" w:hAnsi="Arial Narrow"/>
          <w:sz w:val="24"/>
          <w:szCs w:val="24"/>
        </w:rPr>
      </w:pPr>
    </w:p>
    <w:p w:rsidR="00900433" w:rsidRPr="004A3583" w:rsidRDefault="00900433" w:rsidP="005E6A7F">
      <w:pPr>
        <w:spacing w:after="0" w:line="240" w:lineRule="auto"/>
        <w:jc w:val="both"/>
        <w:rPr>
          <w:rFonts w:ascii="Arial Narrow" w:hAnsi="Arial Narrow"/>
          <w:sz w:val="24"/>
          <w:szCs w:val="24"/>
        </w:rPr>
      </w:pPr>
      <w:r w:rsidRPr="004A3583">
        <w:rPr>
          <w:rFonts w:ascii="Arial Narrow" w:hAnsi="Arial Narrow"/>
          <w:sz w:val="24"/>
          <w:szCs w:val="24"/>
        </w:rPr>
        <w:t>Según la Real Academia de la lengua el término perjuicio se define de la siguiente manera:</w:t>
      </w:r>
    </w:p>
    <w:p w:rsidR="00900433" w:rsidRPr="004A3583" w:rsidRDefault="00900433" w:rsidP="005E6A7F">
      <w:pPr>
        <w:pStyle w:val="Prrafodelista"/>
        <w:spacing w:after="0" w:line="240" w:lineRule="auto"/>
        <w:jc w:val="both"/>
        <w:rPr>
          <w:rFonts w:ascii="Arial Narrow" w:hAnsi="Arial Narrow"/>
          <w:sz w:val="24"/>
          <w:szCs w:val="24"/>
        </w:rPr>
      </w:pPr>
    </w:p>
    <w:p w:rsidR="00900433" w:rsidRPr="004A3583" w:rsidRDefault="00900433" w:rsidP="005E6A7F">
      <w:pPr>
        <w:spacing w:after="0" w:line="240" w:lineRule="auto"/>
        <w:jc w:val="both"/>
        <w:rPr>
          <w:rFonts w:ascii="Arial Narrow" w:hAnsi="Arial Narrow"/>
          <w:sz w:val="24"/>
          <w:szCs w:val="24"/>
        </w:rPr>
      </w:pPr>
      <w:r w:rsidRPr="004A3583">
        <w:rPr>
          <w:rFonts w:ascii="Arial Narrow" w:hAnsi="Arial Narrow"/>
          <w:sz w:val="24"/>
          <w:szCs w:val="24"/>
        </w:rPr>
        <w:t>Perjuicio. Este concepto refiere a las consecuencias de perjudicar, una acción que consiste en provocar un detrimento a alguien o algo.</w:t>
      </w:r>
    </w:p>
    <w:p w:rsidR="00900433" w:rsidRPr="004A3583" w:rsidRDefault="00900433" w:rsidP="005E6A7F">
      <w:pPr>
        <w:pStyle w:val="Prrafodelista"/>
        <w:spacing w:after="0" w:line="240" w:lineRule="auto"/>
        <w:jc w:val="both"/>
        <w:rPr>
          <w:rFonts w:ascii="Arial Narrow" w:hAnsi="Arial Narrow"/>
          <w:sz w:val="24"/>
          <w:szCs w:val="24"/>
        </w:rPr>
      </w:pPr>
    </w:p>
    <w:p w:rsidR="00900433" w:rsidRPr="004A3583" w:rsidRDefault="00900433" w:rsidP="005E6A7F">
      <w:pPr>
        <w:spacing w:after="0" w:line="240" w:lineRule="auto"/>
        <w:jc w:val="both"/>
        <w:rPr>
          <w:rFonts w:ascii="Arial Narrow" w:hAnsi="Arial Narrow"/>
          <w:sz w:val="24"/>
          <w:szCs w:val="24"/>
        </w:rPr>
      </w:pPr>
      <w:r w:rsidRPr="004A3583">
        <w:rPr>
          <w:rFonts w:ascii="Arial Narrow" w:hAnsi="Arial Narrow"/>
          <w:sz w:val="24"/>
          <w:szCs w:val="24"/>
        </w:rPr>
        <w:t>Un perjuicio, por lo tanto, es lo que sufre una persona o una entidad cuando es víctima de un daño.</w:t>
      </w:r>
    </w:p>
    <w:p w:rsidR="00900433" w:rsidRPr="004A3583" w:rsidRDefault="00900433" w:rsidP="005E6A7F">
      <w:pPr>
        <w:pStyle w:val="Prrafodelista"/>
        <w:spacing w:after="0" w:line="240" w:lineRule="auto"/>
        <w:jc w:val="both"/>
        <w:rPr>
          <w:rFonts w:ascii="Arial Narrow" w:hAnsi="Arial Narrow"/>
          <w:sz w:val="24"/>
          <w:szCs w:val="24"/>
        </w:rPr>
      </w:pPr>
    </w:p>
    <w:p w:rsidR="00900433" w:rsidRPr="004A3583" w:rsidRDefault="00900433" w:rsidP="005E6A7F">
      <w:pPr>
        <w:spacing w:after="0" w:line="240" w:lineRule="auto"/>
        <w:jc w:val="both"/>
        <w:rPr>
          <w:rFonts w:ascii="Arial Narrow" w:hAnsi="Arial Narrow"/>
          <w:sz w:val="24"/>
          <w:szCs w:val="24"/>
        </w:rPr>
      </w:pPr>
      <w:r w:rsidRPr="004A3583">
        <w:rPr>
          <w:rFonts w:ascii="Arial Narrow" w:hAnsi="Arial Narrow"/>
          <w:sz w:val="24"/>
          <w:szCs w:val="24"/>
        </w:rPr>
        <w:t xml:space="preserve">En el ámbito del derecho, se entiende por perjuicio a un menoscabo (detrimento – pérdida) que requiere de la indemnización de quien lo genera. Esto quiere decir que la persona que provoca el perjuicio debe pagar (indemnizar) a la víctima. </w:t>
      </w:r>
    </w:p>
    <w:p w:rsidR="00900433" w:rsidRPr="004A3583" w:rsidRDefault="00900433" w:rsidP="005E6A7F">
      <w:pPr>
        <w:pStyle w:val="Prrafodelista"/>
        <w:spacing w:after="0" w:line="240" w:lineRule="auto"/>
        <w:jc w:val="both"/>
        <w:rPr>
          <w:rFonts w:ascii="Arial Narrow" w:hAnsi="Arial Narrow"/>
          <w:sz w:val="24"/>
          <w:szCs w:val="24"/>
        </w:rPr>
      </w:pPr>
    </w:p>
    <w:p w:rsidR="00900433" w:rsidRPr="004A3583" w:rsidRDefault="00900433" w:rsidP="005E6A7F">
      <w:pPr>
        <w:spacing w:after="0" w:line="240" w:lineRule="auto"/>
        <w:jc w:val="both"/>
        <w:rPr>
          <w:rFonts w:ascii="Arial Narrow" w:hAnsi="Arial Narrow"/>
          <w:sz w:val="24"/>
          <w:szCs w:val="24"/>
        </w:rPr>
      </w:pPr>
      <w:r w:rsidRPr="004A3583">
        <w:rPr>
          <w:rFonts w:ascii="Arial Narrow" w:hAnsi="Arial Narrow"/>
          <w:sz w:val="24"/>
          <w:szCs w:val="24"/>
        </w:rPr>
        <w:t>En el caso bajo estudio, los gastos reportados en el informe pericial, hacen referencia a cuestiones totalmente ajenas al concepto de daño emergente establecido en la Ley 1682 de 2013, reglamentada por la Resolución 898 de 2014, pues el pago</w:t>
      </w:r>
      <w:r w:rsidR="00F8497A" w:rsidRPr="004A3583">
        <w:rPr>
          <w:rFonts w:ascii="Arial Narrow" w:hAnsi="Arial Narrow"/>
          <w:sz w:val="24"/>
          <w:szCs w:val="24"/>
        </w:rPr>
        <w:t xml:space="preserve"> de sumas exageradas por </w:t>
      </w:r>
      <w:r w:rsidR="00FC706B" w:rsidRPr="004A3583">
        <w:rPr>
          <w:rFonts w:ascii="Arial Narrow" w:hAnsi="Arial Narrow"/>
          <w:sz w:val="24"/>
          <w:szCs w:val="24"/>
        </w:rPr>
        <w:t>concepto de</w:t>
      </w:r>
      <w:r w:rsidRPr="004A3583">
        <w:rPr>
          <w:rFonts w:ascii="Arial Narrow" w:hAnsi="Arial Narrow"/>
          <w:sz w:val="24"/>
          <w:szCs w:val="24"/>
          <w:highlight w:val="lightGray"/>
        </w:rPr>
        <w:t xml:space="preserve"> </w:t>
      </w:r>
      <w:r w:rsidR="00B01657" w:rsidRPr="004A3583">
        <w:rPr>
          <w:rFonts w:ascii="Arial Narrow" w:hAnsi="Arial Narrow"/>
          <w:sz w:val="24"/>
          <w:szCs w:val="24"/>
          <w:highlight w:val="lightGray"/>
        </w:rPr>
        <w:t>desmonte,</w:t>
      </w:r>
      <w:r w:rsidR="00F8497A" w:rsidRPr="004A3583">
        <w:rPr>
          <w:rFonts w:ascii="Arial Narrow" w:hAnsi="Arial Narrow"/>
          <w:sz w:val="24"/>
          <w:szCs w:val="24"/>
        </w:rPr>
        <w:t xml:space="preserve"> no puede ser catalogado</w:t>
      </w:r>
      <w:r w:rsidRPr="004A3583">
        <w:rPr>
          <w:rFonts w:ascii="Arial Narrow" w:hAnsi="Arial Narrow"/>
          <w:sz w:val="24"/>
          <w:szCs w:val="24"/>
        </w:rPr>
        <w:t xml:space="preserve"> en ningún momento como perjuicios causados</w:t>
      </w:r>
      <w:r w:rsidR="0085679A" w:rsidRPr="004A3583">
        <w:rPr>
          <w:rFonts w:ascii="Arial Narrow" w:hAnsi="Arial Narrow"/>
          <w:sz w:val="24"/>
          <w:szCs w:val="24"/>
        </w:rPr>
        <w:t xml:space="preserve"> con el proceso de adquisición.</w:t>
      </w:r>
    </w:p>
    <w:p w:rsidR="0085679A" w:rsidRPr="004A3583" w:rsidRDefault="0085679A" w:rsidP="005E6A7F">
      <w:pPr>
        <w:pStyle w:val="Prrafodelista"/>
        <w:spacing w:after="0" w:line="240" w:lineRule="auto"/>
        <w:jc w:val="both"/>
        <w:rPr>
          <w:rFonts w:ascii="Arial Narrow" w:hAnsi="Arial Narrow"/>
          <w:sz w:val="24"/>
          <w:szCs w:val="24"/>
        </w:rPr>
      </w:pPr>
    </w:p>
    <w:p w:rsidR="00900433" w:rsidRPr="004A3583" w:rsidRDefault="00900433" w:rsidP="005E6A7F">
      <w:pPr>
        <w:spacing w:after="0" w:line="240" w:lineRule="auto"/>
        <w:jc w:val="both"/>
        <w:rPr>
          <w:rFonts w:ascii="Arial Narrow" w:hAnsi="Arial Narrow"/>
          <w:sz w:val="24"/>
          <w:szCs w:val="24"/>
        </w:rPr>
      </w:pPr>
      <w:r w:rsidRPr="004A3583">
        <w:rPr>
          <w:rFonts w:ascii="Arial Narrow" w:hAnsi="Arial Narrow"/>
          <w:sz w:val="24"/>
          <w:szCs w:val="24"/>
        </w:rPr>
        <w:t xml:space="preserve">Cierto es, que el parágrafo final del artículo 17 de la Resolución 898 de 2014, reglamentaria de la Ley 1682 de 2013, estableció que los conceptos enunciados en el citado artículo, son indicativos, pero su </w:t>
      </w:r>
      <w:r w:rsidR="00FB6F57" w:rsidRPr="004A3583">
        <w:rPr>
          <w:rFonts w:ascii="Arial Narrow" w:hAnsi="Arial Narrow"/>
          <w:sz w:val="24"/>
          <w:szCs w:val="24"/>
        </w:rPr>
        <w:t>interpretación jamás</w:t>
      </w:r>
      <w:r w:rsidRPr="004A3583">
        <w:rPr>
          <w:rFonts w:ascii="Arial Narrow" w:hAnsi="Arial Narrow"/>
          <w:sz w:val="24"/>
          <w:szCs w:val="24"/>
        </w:rPr>
        <w:t xml:space="preserve"> </w:t>
      </w:r>
      <w:r w:rsidR="00FC706B" w:rsidRPr="004A3583">
        <w:rPr>
          <w:rFonts w:ascii="Arial Narrow" w:hAnsi="Arial Narrow"/>
          <w:sz w:val="24"/>
          <w:szCs w:val="24"/>
        </w:rPr>
        <w:t>deberá hacerse</w:t>
      </w:r>
      <w:r w:rsidRPr="004A3583">
        <w:rPr>
          <w:rFonts w:ascii="Arial Narrow" w:hAnsi="Arial Narrow"/>
          <w:sz w:val="24"/>
          <w:szCs w:val="24"/>
        </w:rPr>
        <w:t xml:space="preserve"> al capricho de quien busca obtener beneficios de aquella, pues acceder a lo pedido propiciaría la comisión de despropósitos, los qu</w:t>
      </w:r>
      <w:r w:rsidR="00B6611A" w:rsidRPr="004A3583">
        <w:rPr>
          <w:rFonts w:ascii="Arial Narrow" w:hAnsi="Arial Narrow"/>
          <w:sz w:val="24"/>
          <w:szCs w:val="24"/>
        </w:rPr>
        <w:t>e lógicamente acarrearían a la A</w:t>
      </w:r>
      <w:r w:rsidRPr="004A3583">
        <w:rPr>
          <w:rFonts w:ascii="Arial Narrow" w:hAnsi="Arial Narrow"/>
          <w:sz w:val="24"/>
          <w:szCs w:val="24"/>
        </w:rPr>
        <w:t xml:space="preserve">dministración consecuencias financieras. Y es que AVANTE SETP, no puede permitir que se quebrante el principio de legalidad, </w:t>
      </w:r>
      <w:r w:rsidR="00F8497A" w:rsidRPr="004A3583">
        <w:rPr>
          <w:rFonts w:ascii="Arial Narrow" w:hAnsi="Arial Narrow"/>
          <w:sz w:val="24"/>
          <w:szCs w:val="24"/>
        </w:rPr>
        <w:t xml:space="preserve">porque </w:t>
      </w:r>
      <w:r w:rsidRPr="004A3583">
        <w:rPr>
          <w:rFonts w:ascii="Arial Narrow" w:hAnsi="Arial Narrow"/>
          <w:sz w:val="24"/>
          <w:szCs w:val="24"/>
        </w:rPr>
        <w:t>puede ser fuente de enriquecimiento sin causa a favor de los afectados por el proyecto de utilidad pública e interés social.</w:t>
      </w:r>
    </w:p>
    <w:p w:rsidR="00900433" w:rsidRPr="004A3583" w:rsidRDefault="00900433" w:rsidP="005E6A7F">
      <w:pPr>
        <w:pStyle w:val="Prrafodelista"/>
        <w:spacing w:after="0" w:line="240" w:lineRule="auto"/>
        <w:jc w:val="both"/>
        <w:rPr>
          <w:rFonts w:ascii="Arial Narrow" w:hAnsi="Arial Narrow"/>
          <w:sz w:val="24"/>
          <w:szCs w:val="24"/>
        </w:rPr>
      </w:pPr>
    </w:p>
    <w:p w:rsidR="00AB5365" w:rsidRPr="00097261" w:rsidRDefault="00E019C7" w:rsidP="005E6A7F">
      <w:pPr>
        <w:spacing w:after="0" w:line="240" w:lineRule="auto"/>
        <w:jc w:val="both"/>
        <w:rPr>
          <w:rFonts w:ascii="Arial Narrow" w:hAnsi="Arial Narrow"/>
          <w:sz w:val="24"/>
          <w:szCs w:val="24"/>
          <w:highlight w:val="lightGray"/>
        </w:rPr>
      </w:pPr>
      <w:r w:rsidRPr="00097261">
        <w:rPr>
          <w:rFonts w:ascii="Arial Narrow" w:hAnsi="Arial Narrow"/>
          <w:sz w:val="24"/>
          <w:szCs w:val="24"/>
          <w:highlight w:val="lightGray"/>
        </w:rPr>
        <w:t xml:space="preserve">10.. </w:t>
      </w:r>
      <w:r w:rsidR="00A2033F" w:rsidRPr="00097261">
        <w:rPr>
          <w:rFonts w:ascii="Arial Narrow" w:hAnsi="Arial Narrow"/>
          <w:sz w:val="24"/>
          <w:szCs w:val="24"/>
          <w:highlight w:val="lightGray"/>
        </w:rPr>
        <w:t>“</w:t>
      </w:r>
      <w:r w:rsidR="00AB5365" w:rsidRPr="00097261">
        <w:rPr>
          <w:rFonts w:ascii="Arial Narrow" w:hAnsi="Arial Narrow"/>
          <w:sz w:val="24"/>
          <w:szCs w:val="24"/>
          <w:highlight w:val="lightGray"/>
        </w:rPr>
        <w:t>lo sostuvo la Corte Constitucional en la Sentencia C-306 de 2013, la indemnización en esta clase procesos no debe limitarse al precio del bien, sino que debe incluir los daños y perjuicios que haya sufrido el afectado con la expropiación</w:t>
      </w:r>
      <w:r w:rsidR="00A2033F" w:rsidRPr="00097261">
        <w:rPr>
          <w:rFonts w:ascii="Arial Narrow" w:hAnsi="Arial Narrow"/>
          <w:sz w:val="24"/>
          <w:szCs w:val="24"/>
          <w:highlight w:val="lightGray"/>
        </w:rPr>
        <w:t>”</w:t>
      </w:r>
      <w:r w:rsidR="00AB5365" w:rsidRPr="00097261">
        <w:rPr>
          <w:rFonts w:ascii="Arial Narrow" w:hAnsi="Arial Narrow"/>
          <w:sz w:val="24"/>
          <w:szCs w:val="24"/>
          <w:highlight w:val="lightGray"/>
        </w:rPr>
        <w:t>.</w:t>
      </w:r>
    </w:p>
    <w:p w:rsidR="00604801" w:rsidRPr="004A3583" w:rsidRDefault="00604801" w:rsidP="005E6A7F">
      <w:pPr>
        <w:spacing w:after="0" w:line="240" w:lineRule="auto"/>
        <w:jc w:val="both"/>
        <w:rPr>
          <w:rFonts w:ascii="Arial Narrow" w:hAnsi="Arial Narrow"/>
          <w:sz w:val="24"/>
          <w:szCs w:val="24"/>
        </w:rPr>
      </w:pPr>
    </w:p>
    <w:p w:rsidR="00604801" w:rsidRPr="004A3583" w:rsidRDefault="00604801" w:rsidP="005E6A7F">
      <w:pPr>
        <w:pStyle w:val="Prrafodelista"/>
        <w:spacing w:after="0" w:line="240" w:lineRule="auto"/>
        <w:jc w:val="both"/>
        <w:rPr>
          <w:rFonts w:ascii="Arial Narrow" w:hAnsi="Arial Narrow" w:cs="Calibri"/>
          <w:sz w:val="24"/>
          <w:szCs w:val="24"/>
        </w:rPr>
      </w:pPr>
    </w:p>
    <w:p w:rsidR="00604801" w:rsidRPr="004A3583" w:rsidRDefault="00604801" w:rsidP="005E6A7F">
      <w:pPr>
        <w:spacing w:after="0" w:line="240" w:lineRule="auto"/>
        <w:jc w:val="both"/>
        <w:rPr>
          <w:rFonts w:ascii="Arial Narrow" w:hAnsi="Arial Narrow" w:cs="Calibri"/>
          <w:sz w:val="24"/>
          <w:szCs w:val="24"/>
        </w:rPr>
      </w:pPr>
      <w:r w:rsidRPr="004A3583">
        <w:rPr>
          <w:rFonts w:ascii="Arial Narrow" w:hAnsi="Arial Narrow" w:cs="Calibri"/>
          <w:sz w:val="24"/>
          <w:szCs w:val="24"/>
        </w:rPr>
        <w:t xml:space="preserve">El artículo 58 de la Constitución no advierte que el resarcimiento debe ser pleno o integral, puesto que el particular cede su derecho en pro de la utilidad y del bienestar social, condiciones que garantizan el interés general. En estas hipótesis, la función restituiva de la indemnización se transforma en una compensatoria, dado </w:t>
      </w:r>
      <w:r w:rsidRPr="004A3583">
        <w:rPr>
          <w:rFonts w:ascii="Arial Narrow" w:hAnsi="Arial Narrow" w:cs="Calibri"/>
          <w:sz w:val="24"/>
          <w:szCs w:val="24"/>
        </w:rPr>
        <w:lastRenderedPageBreak/>
        <w:t>que la Carta Política no reconoce una reparación integral en materia de expropiación. De ahí que, el resarcimiento que tiene su fuente en el artículo 58 superior es diferente a la indemnización que se deriva de la responsabilidad del Estado consignada en el artículo 90 ibídem</w:t>
      </w:r>
      <w:r w:rsidR="00604490" w:rsidRPr="004A3583">
        <w:rPr>
          <w:rFonts w:ascii="Arial Narrow" w:hAnsi="Arial Narrow" w:cs="Calibri"/>
          <w:sz w:val="24"/>
          <w:szCs w:val="24"/>
        </w:rPr>
        <w:t>.</w:t>
      </w:r>
    </w:p>
    <w:p w:rsidR="00604490" w:rsidRPr="004A3583" w:rsidRDefault="00604490" w:rsidP="005E6A7F">
      <w:pPr>
        <w:spacing w:after="0" w:line="240" w:lineRule="auto"/>
        <w:jc w:val="both"/>
        <w:rPr>
          <w:rFonts w:ascii="Arial Narrow" w:hAnsi="Arial Narrow"/>
          <w:sz w:val="24"/>
          <w:szCs w:val="24"/>
        </w:rPr>
      </w:pPr>
    </w:p>
    <w:p w:rsidR="00C816E1" w:rsidRPr="004A3583" w:rsidRDefault="00C816E1" w:rsidP="005E6A7F">
      <w:pPr>
        <w:pStyle w:val="Sinespaciado"/>
        <w:jc w:val="both"/>
        <w:rPr>
          <w:rFonts w:ascii="Arial Narrow" w:hAnsi="Arial Narrow" w:cs="Calibri"/>
          <w:sz w:val="24"/>
          <w:szCs w:val="24"/>
        </w:rPr>
      </w:pPr>
      <w:r w:rsidRPr="004A3583">
        <w:rPr>
          <w:rFonts w:ascii="Arial Narrow" w:hAnsi="Arial Narrow" w:cs="Calibri"/>
          <w:sz w:val="24"/>
          <w:szCs w:val="24"/>
        </w:rPr>
        <w:t xml:space="preserve">Aunado a lo anterior, la naturaleza compensatoria de la indemnización se deriva de la diferencia que existe entre este pago y el resarcimiento que se produce como consecuencia del artículo 90 superior, que se presenta en la responsabilidad patrimonial del Estado por daños antijurídicos generados por las acciones u omisiones de las autoridades públicas. Sobre el particular, la Corte en Sentencia C- 1074 DE 2002 indicó: </w:t>
      </w:r>
    </w:p>
    <w:p w:rsidR="00C816E1" w:rsidRPr="004A3583" w:rsidRDefault="00C816E1" w:rsidP="005E6A7F">
      <w:pPr>
        <w:pStyle w:val="Sinespaciado"/>
        <w:jc w:val="both"/>
        <w:rPr>
          <w:rFonts w:ascii="Arial Narrow" w:hAnsi="Arial Narrow" w:cs="Calibri"/>
          <w:sz w:val="24"/>
          <w:szCs w:val="24"/>
        </w:rPr>
      </w:pPr>
    </w:p>
    <w:p w:rsidR="00C816E1" w:rsidRPr="004A3583" w:rsidRDefault="00C816E1" w:rsidP="005E6A7F">
      <w:pPr>
        <w:spacing w:line="240" w:lineRule="auto"/>
        <w:ind w:right="335"/>
        <w:jc w:val="both"/>
        <w:rPr>
          <w:rFonts w:ascii="Arial Narrow" w:hAnsi="Arial Narrow" w:cs="Calibri"/>
          <w:sz w:val="24"/>
          <w:szCs w:val="24"/>
        </w:rPr>
      </w:pPr>
      <w:r w:rsidRPr="004A3583">
        <w:rPr>
          <w:rFonts w:ascii="Arial Narrow" w:hAnsi="Arial Narrow" w:cs="Calibri"/>
          <w:sz w:val="24"/>
          <w:szCs w:val="24"/>
        </w:rPr>
        <w:t>“En primer lugar, el artículo 58 se refiere a un daño que no es antijurídico, puesto que el mismo texto constitucional establece que el particular debe soportar la carga de ser expropiado, es decir, el daño resultado de la expropiación sí debe ser soportado por el expropiado, lo cual no significa que dicho daño no deba también ser indemnizado, por mandato expreso de la Constitución. La existencia de tal deber justifica que la indemnización en caso de expropiación no tenga siempre que ser integral –como si lo exige el artículo 90 Superior. En segundo lugar, el artículo 58 Superior regula expresamente la fijación de la indemnización en caso de expropiación para indicar que ésta no se basa exclusivamente en los intereses del afectado, es decir, en el interés privado en que la indemnización sea lo más elevada posible y comprenda todas las cargas que ha soportado, sino que ha de fundarse también en los intereses de la comunidad. La fijación de la indemnización se hará ‘consultando los intereses de la comunidad y del afectado’, cuando el perjuicio es resultado de una expropiación, no de un daño antijurídico previsto en el artículo 90. En tercer lugar, tradicionalmente la indemnización en caso de expropiación no ha comprendido el daño moral, como por ejemplo el que puede resultar del especial afecto que el propietario tuviera por el bien expropiado. Ello indica que en este caso la expropiación no tiene que ser integral. En cambio, en materia de responsabilidad patrimonial del Estado por daños antijurídicos, la indemnización sí comprende el daño moral.”</w:t>
      </w:r>
      <w:r w:rsidRPr="004A3583">
        <w:rPr>
          <w:rFonts w:ascii="Arial Narrow" w:hAnsi="Arial Narrow" w:cs="Calibri"/>
          <w:sz w:val="24"/>
          <w:szCs w:val="24"/>
          <w:vertAlign w:val="superscript"/>
        </w:rPr>
        <w:t xml:space="preserve"> </w:t>
      </w:r>
    </w:p>
    <w:p w:rsidR="00FC706B" w:rsidRPr="004A3583" w:rsidRDefault="00ED634A" w:rsidP="00FC706B">
      <w:pPr>
        <w:pStyle w:val="Ttulo5"/>
        <w:spacing w:before="0" w:after="0"/>
        <w:jc w:val="both"/>
        <w:rPr>
          <w:rFonts w:ascii="Arial Narrow" w:hAnsi="Arial Narrow" w:cs="Calibri"/>
          <w:b w:val="0"/>
          <w:i w:val="0"/>
          <w:sz w:val="24"/>
          <w:szCs w:val="24"/>
        </w:rPr>
      </w:pPr>
      <w:r w:rsidRPr="004A3583">
        <w:rPr>
          <w:rFonts w:ascii="Arial Narrow" w:hAnsi="Arial Narrow" w:cs="Calibri"/>
          <w:b w:val="0"/>
          <w:i w:val="0"/>
          <w:sz w:val="24"/>
          <w:szCs w:val="24"/>
        </w:rPr>
        <w:t>La indemnización tiene la posibilidad de ser compensatoria, porque la Carta Política no exige que el particular reciba un resarcimiento por la totalidad de daños y costos que sufrió por la expropiación. No es imperativo que la indemnización sirva para que el afectado alcance una situación igual a la que tenía antes del proceso de adquisición de predios</w:t>
      </w:r>
      <w:r w:rsidRPr="004A3583">
        <w:rPr>
          <w:rFonts w:ascii="Arial Narrow" w:hAnsi="Arial Narrow" w:cs="Calibri"/>
          <w:b w:val="0"/>
          <w:i w:val="0"/>
          <w:sz w:val="24"/>
          <w:szCs w:val="24"/>
          <w:vertAlign w:val="superscript"/>
        </w:rPr>
        <w:footnoteReference w:id="1"/>
      </w:r>
      <w:r w:rsidRPr="004A3583">
        <w:rPr>
          <w:rFonts w:ascii="Arial Narrow" w:hAnsi="Arial Narrow" w:cs="Calibri"/>
          <w:b w:val="0"/>
          <w:i w:val="0"/>
          <w:sz w:val="24"/>
          <w:szCs w:val="24"/>
        </w:rPr>
        <w:t>. Tales consideraciones se justifican en que el resarcimiento debe ser calculado atendiendo los intereses del particular y de la comunidad. “Del que la propiedad sea una función social, surge la posibilidad constitucional de reducir el valor de la indemnización reconocida al particular expropiado, cuando dicha propiedad no está cumpliendo con esa función. En este orden de ideas, también puede regularse la forma de pago de dicha indemnización y los instrumentos con los cuales será cancelada”</w:t>
      </w:r>
      <w:r w:rsidRPr="004A3583">
        <w:rPr>
          <w:rFonts w:ascii="Arial Narrow" w:hAnsi="Arial Narrow" w:cs="Calibri"/>
          <w:b w:val="0"/>
          <w:i w:val="0"/>
          <w:sz w:val="24"/>
          <w:szCs w:val="24"/>
          <w:vertAlign w:val="superscript"/>
        </w:rPr>
        <w:footnoteReference w:id="2"/>
      </w:r>
      <w:r w:rsidRPr="004A3583">
        <w:rPr>
          <w:rFonts w:ascii="Arial Narrow" w:hAnsi="Arial Narrow" w:cs="Calibri"/>
          <w:b w:val="0"/>
          <w:i w:val="0"/>
          <w:sz w:val="24"/>
          <w:szCs w:val="24"/>
        </w:rPr>
        <w:t xml:space="preserve"> </w:t>
      </w:r>
      <w:r w:rsidR="00FC706B" w:rsidRPr="004A3583">
        <w:rPr>
          <w:rFonts w:ascii="Arial Narrow" w:hAnsi="Arial Narrow" w:cs="Calibri"/>
          <w:b w:val="0"/>
          <w:i w:val="0"/>
          <w:sz w:val="24"/>
          <w:szCs w:val="24"/>
        </w:rPr>
        <w:t xml:space="preserve">( Sentencia 750 de 2.015 </w:t>
      </w:r>
      <w:r w:rsidR="00A159CC" w:rsidRPr="004A3583">
        <w:rPr>
          <w:rFonts w:ascii="Arial Narrow" w:hAnsi="Arial Narrow" w:cs="Calibri"/>
          <w:b w:val="0"/>
          <w:i w:val="0"/>
          <w:sz w:val="24"/>
          <w:szCs w:val="24"/>
        </w:rPr>
        <w:t xml:space="preserve"> emitida por la Sala Plena </w:t>
      </w:r>
      <w:r w:rsidR="00FC706B" w:rsidRPr="004A3583">
        <w:rPr>
          <w:rFonts w:ascii="Arial Narrow" w:hAnsi="Arial Narrow" w:cs="Calibri"/>
          <w:b w:val="0"/>
          <w:i w:val="0"/>
          <w:sz w:val="24"/>
          <w:szCs w:val="24"/>
        </w:rPr>
        <w:t>Corte Constitucional)</w:t>
      </w:r>
      <w:r w:rsidR="004A3583" w:rsidRPr="004A3583">
        <w:rPr>
          <w:rFonts w:ascii="Arial Narrow" w:hAnsi="Arial Narrow" w:cs="Calibri"/>
          <w:b w:val="0"/>
          <w:i w:val="0"/>
          <w:sz w:val="24"/>
          <w:szCs w:val="24"/>
        </w:rPr>
        <w:t>.</w:t>
      </w:r>
    </w:p>
    <w:p w:rsidR="004A3583" w:rsidRDefault="004A3583" w:rsidP="004A3583">
      <w:pPr>
        <w:rPr>
          <w:rFonts w:ascii="Arial Narrow" w:hAnsi="Arial Narrow"/>
          <w:sz w:val="24"/>
          <w:szCs w:val="24"/>
        </w:rPr>
      </w:pPr>
    </w:p>
    <w:p w:rsidR="004A3583" w:rsidRPr="004A3583" w:rsidRDefault="004A3583" w:rsidP="004A3583">
      <w:pPr>
        <w:rPr>
          <w:rFonts w:ascii="Arial Narrow" w:hAnsi="Arial Narrow"/>
          <w:sz w:val="24"/>
          <w:szCs w:val="24"/>
        </w:rPr>
      </w:pPr>
      <w:r>
        <w:rPr>
          <w:rFonts w:ascii="Arial Narrow" w:hAnsi="Arial Narrow"/>
          <w:sz w:val="24"/>
          <w:szCs w:val="24"/>
        </w:rPr>
        <w:t>P</w:t>
      </w:r>
      <w:r w:rsidRPr="004A3583">
        <w:rPr>
          <w:rFonts w:ascii="Arial Narrow" w:hAnsi="Arial Narrow"/>
          <w:sz w:val="24"/>
          <w:szCs w:val="24"/>
        </w:rPr>
        <w:t xml:space="preserve">or ultimo solcito de manera </w:t>
      </w:r>
      <w:proofErr w:type="gramStart"/>
      <w:r w:rsidRPr="004A3583">
        <w:rPr>
          <w:rFonts w:ascii="Arial Narrow" w:hAnsi="Arial Narrow"/>
          <w:sz w:val="24"/>
          <w:szCs w:val="24"/>
        </w:rPr>
        <w:t>respetuosa</w:t>
      </w:r>
      <w:r>
        <w:rPr>
          <w:rFonts w:ascii="Arial Narrow" w:hAnsi="Arial Narrow"/>
          <w:sz w:val="24"/>
          <w:szCs w:val="24"/>
        </w:rPr>
        <w:t xml:space="preserve"> </w:t>
      </w:r>
      <w:r w:rsidRPr="004A3583">
        <w:rPr>
          <w:rFonts w:ascii="Arial Narrow" w:hAnsi="Arial Narrow"/>
          <w:sz w:val="24"/>
          <w:szCs w:val="24"/>
        </w:rPr>
        <w:t xml:space="preserve"> oficiar</w:t>
      </w:r>
      <w:proofErr w:type="gramEnd"/>
      <w:r w:rsidRPr="004A3583">
        <w:rPr>
          <w:rFonts w:ascii="Arial Narrow" w:hAnsi="Arial Narrow"/>
          <w:sz w:val="24"/>
          <w:szCs w:val="24"/>
        </w:rPr>
        <w:t xml:space="preserve">  a la Secretaria De Hacienda Municipal De Pasto, certifique cual es el valor declarado por dicho establecimiento (KIKORIN), en el tiempo que ha estado </w:t>
      </w:r>
      <w:proofErr w:type="spellStart"/>
      <w:r w:rsidRPr="004A3583">
        <w:rPr>
          <w:rFonts w:ascii="Arial Narrow" w:hAnsi="Arial Narrow"/>
          <w:sz w:val="24"/>
          <w:szCs w:val="24"/>
        </w:rPr>
        <w:t>aperturado</w:t>
      </w:r>
      <w:proofErr w:type="spellEnd"/>
      <w:r w:rsidRPr="004A3583">
        <w:rPr>
          <w:rFonts w:ascii="Arial Narrow" w:hAnsi="Arial Narrow"/>
          <w:sz w:val="24"/>
          <w:szCs w:val="24"/>
        </w:rPr>
        <w:t xml:space="preserve"> el negocio, teniendo en cuenta que en CAMARA DE COMERCIO, se han encontrado varios </w:t>
      </w:r>
      <w:r>
        <w:rPr>
          <w:rFonts w:ascii="Arial Narrow" w:hAnsi="Arial Narrow"/>
          <w:sz w:val="24"/>
          <w:szCs w:val="24"/>
        </w:rPr>
        <w:t>negocios con esta razón social.</w:t>
      </w:r>
      <w:r w:rsidRPr="004A3583">
        <w:rPr>
          <w:rFonts w:ascii="Arial Narrow" w:hAnsi="Arial Narrow"/>
          <w:sz w:val="24"/>
          <w:szCs w:val="24"/>
        </w:rPr>
        <w:t xml:space="preserve">. </w:t>
      </w:r>
    </w:p>
    <w:p w:rsidR="004A3583" w:rsidRPr="004A3583" w:rsidRDefault="004A3583" w:rsidP="004A3583">
      <w:pPr>
        <w:rPr>
          <w:rFonts w:ascii="Arial Narrow" w:hAnsi="Arial Narrow"/>
          <w:sz w:val="24"/>
          <w:szCs w:val="24"/>
        </w:rPr>
      </w:pPr>
      <w:r>
        <w:rPr>
          <w:rFonts w:ascii="Arial Narrow" w:hAnsi="Arial Narrow"/>
          <w:sz w:val="24"/>
          <w:szCs w:val="24"/>
        </w:rPr>
        <w:t>A</w:t>
      </w:r>
      <w:r w:rsidRPr="004A3583">
        <w:rPr>
          <w:rFonts w:ascii="Arial Narrow" w:hAnsi="Arial Narrow"/>
          <w:sz w:val="24"/>
          <w:szCs w:val="24"/>
        </w:rPr>
        <w:t>demás, solicitar una certificación de cuantos establecimientos de comercio con esta denominación (KI</w:t>
      </w:r>
      <w:r>
        <w:rPr>
          <w:rFonts w:ascii="Arial Narrow" w:hAnsi="Arial Narrow"/>
          <w:sz w:val="24"/>
          <w:szCs w:val="24"/>
        </w:rPr>
        <w:t>KORIN) existen en la ciudad de P</w:t>
      </w:r>
      <w:r w:rsidRPr="004A3583">
        <w:rPr>
          <w:rFonts w:ascii="Arial Narrow" w:hAnsi="Arial Narrow"/>
          <w:sz w:val="24"/>
          <w:szCs w:val="24"/>
        </w:rPr>
        <w:t>asto y cuáles de dichas sucursales aún se encuentran en funcionamiento.</w:t>
      </w:r>
    </w:p>
    <w:p w:rsidR="004A3583" w:rsidRPr="004A3583" w:rsidRDefault="004A3583" w:rsidP="004A3583">
      <w:pPr>
        <w:rPr>
          <w:rFonts w:ascii="Arial Narrow" w:hAnsi="Arial Narrow"/>
          <w:sz w:val="24"/>
          <w:szCs w:val="24"/>
        </w:rPr>
      </w:pPr>
      <w:r>
        <w:rPr>
          <w:rFonts w:ascii="Arial Narrow" w:hAnsi="Arial Narrow"/>
          <w:sz w:val="24"/>
          <w:szCs w:val="24"/>
        </w:rPr>
        <w:t>P</w:t>
      </w:r>
      <w:r w:rsidRPr="004A3583">
        <w:rPr>
          <w:rFonts w:ascii="Arial Narrow" w:hAnsi="Arial Narrow"/>
          <w:sz w:val="24"/>
          <w:szCs w:val="24"/>
        </w:rPr>
        <w:t>or ultimo solicitar a la misma entidad certifique sobre los ingresos que tenía el establecimiento de comercio en estudio con sus respectivas sucursales en años anteriores a la expropiación y en los años posteriores a misma.</w:t>
      </w:r>
    </w:p>
    <w:p w:rsidR="00FC706B" w:rsidRPr="004A3583" w:rsidRDefault="00FC706B" w:rsidP="00FC706B">
      <w:pPr>
        <w:rPr>
          <w:rFonts w:ascii="Arial Narrow" w:hAnsi="Arial Narrow"/>
          <w:sz w:val="24"/>
          <w:szCs w:val="24"/>
          <w:lang w:eastAsia="es-ES"/>
        </w:rPr>
      </w:pPr>
    </w:p>
    <w:p w:rsidR="0010094C" w:rsidRPr="004A3583" w:rsidRDefault="0010094C" w:rsidP="0010094C">
      <w:pPr>
        <w:spacing w:after="0" w:line="240" w:lineRule="auto"/>
        <w:jc w:val="both"/>
        <w:rPr>
          <w:rFonts w:ascii="Arial Narrow" w:hAnsi="Arial Narrow"/>
          <w:sz w:val="24"/>
          <w:szCs w:val="24"/>
        </w:rPr>
      </w:pPr>
      <w:r w:rsidRPr="004A3583">
        <w:rPr>
          <w:rFonts w:ascii="Arial Narrow" w:hAnsi="Arial Narrow"/>
          <w:sz w:val="24"/>
          <w:szCs w:val="24"/>
        </w:rPr>
        <w:t xml:space="preserve">Por lo expuesto, comedidamente solicito: </w:t>
      </w:r>
    </w:p>
    <w:p w:rsidR="0010094C" w:rsidRPr="004A3583" w:rsidRDefault="0010094C" w:rsidP="0010094C">
      <w:pPr>
        <w:spacing w:after="0" w:line="240" w:lineRule="auto"/>
        <w:jc w:val="both"/>
        <w:rPr>
          <w:rFonts w:ascii="Arial Narrow" w:hAnsi="Arial Narrow"/>
          <w:sz w:val="24"/>
          <w:szCs w:val="24"/>
        </w:rPr>
      </w:pPr>
    </w:p>
    <w:p w:rsidR="0010094C" w:rsidRPr="004A3583" w:rsidRDefault="0010094C" w:rsidP="0010094C">
      <w:pPr>
        <w:spacing w:after="0" w:line="240" w:lineRule="auto"/>
        <w:jc w:val="center"/>
        <w:rPr>
          <w:rFonts w:ascii="Arial Narrow" w:hAnsi="Arial Narrow"/>
          <w:b/>
          <w:sz w:val="24"/>
          <w:szCs w:val="24"/>
        </w:rPr>
      </w:pPr>
      <w:r w:rsidRPr="004A3583">
        <w:rPr>
          <w:rFonts w:ascii="Arial Narrow" w:hAnsi="Arial Narrow"/>
          <w:b/>
          <w:sz w:val="24"/>
          <w:szCs w:val="24"/>
        </w:rPr>
        <w:t>PRETENSIONES.</w:t>
      </w:r>
    </w:p>
    <w:p w:rsidR="0010094C" w:rsidRPr="004A3583" w:rsidRDefault="0010094C" w:rsidP="0010094C">
      <w:pPr>
        <w:spacing w:after="0" w:line="240" w:lineRule="auto"/>
        <w:jc w:val="center"/>
        <w:rPr>
          <w:rFonts w:ascii="Arial Narrow" w:hAnsi="Arial Narrow"/>
          <w:b/>
          <w:sz w:val="24"/>
          <w:szCs w:val="24"/>
        </w:rPr>
      </w:pPr>
    </w:p>
    <w:p w:rsidR="0010094C" w:rsidRPr="004A3583" w:rsidRDefault="00FB0AFB" w:rsidP="0010094C">
      <w:pPr>
        <w:spacing w:after="0" w:line="240" w:lineRule="auto"/>
        <w:jc w:val="both"/>
        <w:rPr>
          <w:rFonts w:ascii="Arial Narrow" w:hAnsi="Arial Narrow"/>
          <w:sz w:val="24"/>
          <w:szCs w:val="24"/>
        </w:rPr>
      </w:pPr>
      <w:r w:rsidRPr="004A3583">
        <w:rPr>
          <w:rFonts w:ascii="Arial Narrow" w:hAnsi="Arial Narrow"/>
          <w:sz w:val="24"/>
          <w:szCs w:val="24"/>
        </w:rPr>
        <w:lastRenderedPageBreak/>
        <w:t>Señora Juez, solicito REPONER</w:t>
      </w:r>
      <w:r w:rsidR="0010094C" w:rsidRPr="004A3583">
        <w:rPr>
          <w:rFonts w:ascii="Arial Narrow" w:hAnsi="Arial Narrow"/>
          <w:sz w:val="24"/>
          <w:szCs w:val="24"/>
        </w:rPr>
        <w:t xml:space="preserve"> el Auto</w:t>
      </w:r>
      <w:r w:rsidRPr="004A3583">
        <w:rPr>
          <w:rFonts w:ascii="Arial Narrow" w:hAnsi="Arial Narrow"/>
          <w:sz w:val="24"/>
          <w:szCs w:val="24"/>
        </w:rPr>
        <w:t xml:space="preserve"> proferido el 25 de marzo de 2.020 </w:t>
      </w:r>
      <w:proofErr w:type="gramStart"/>
      <w:r w:rsidRPr="004A3583">
        <w:rPr>
          <w:rFonts w:ascii="Arial Narrow" w:hAnsi="Arial Narrow"/>
          <w:sz w:val="24"/>
          <w:szCs w:val="24"/>
        </w:rPr>
        <w:t xml:space="preserve">y </w:t>
      </w:r>
      <w:r w:rsidR="0010094C" w:rsidRPr="004A3583">
        <w:rPr>
          <w:rFonts w:ascii="Arial Narrow" w:hAnsi="Arial Narrow"/>
          <w:sz w:val="24"/>
          <w:szCs w:val="24"/>
        </w:rPr>
        <w:t xml:space="preserve"> </w:t>
      </w:r>
      <w:r w:rsidR="00B23E62" w:rsidRPr="004A3583">
        <w:rPr>
          <w:rFonts w:ascii="Arial Narrow" w:hAnsi="Arial Narrow"/>
          <w:sz w:val="24"/>
          <w:szCs w:val="24"/>
        </w:rPr>
        <w:t>notificado</w:t>
      </w:r>
      <w:proofErr w:type="gramEnd"/>
      <w:r w:rsidR="00B23E62" w:rsidRPr="004A3583">
        <w:rPr>
          <w:rFonts w:ascii="Arial Narrow" w:hAnsi="Arial Narrow"/>
          <w:sz w:val="24"/>
          <w:szCs w:val="24"/>
        </w:rPr>
        <w:t xml:space="preserve"> </w:t>
      </w:r>
      <w:r w:rsidR="0010094C" w:rsidRPr="004A3583">
        <w:rPr>
          <w:rFonts w:ascii="Arial Narrow" w:hAnsi="Arial Narrow"/>
          <w:sz w:val="24"/>
          <w:szCs w:val="24"/>
        </w:rPr>
        <w:t xml:space="preserve">el </w:t>
      </w:r>
      <w:r w:rsidR="00B23E62" w:rsidRPr="004A3583">
        <w:rPr>
          <w:rFonts w:ascii="Arial Narrow" w:hAnsi="Arial Narrow"/>
          <w:sz w:val="24"/>
          <w:szCs w:val="24"/>
        </w:rPr>
        <w:t>seis</w:t>
      </w:r>
      <w:r w:rsidR="0010094C" w:rsidRPr="004A3583">
        <w:rPr>
          <w:rFonts w:ascii="Arial Narrow" w:hAnsi="Arial Narrow"/>
          <w:sz w:val="24"/>
          <w:szCs w:val="24"/>
        </w:rPr>
        <w:t xml:space="preserve"> (</w:t>
      </w:r>
      <w:r w:rsidR="00B23E62" w:rsidRPr="004A3583">
        <w:rPr>
          <w:rFonts w:ascii="Arial Narrow" w:hAnsi="Arial Narrow"/>
          <w:sz w:val="24"/>
          <w:szCs w:val="24"/>
        </w:rPr>
        <w:t>6</w:t>
      </w:r>
      <w:r w:rsidR="0010094C" w:rsidRPr="004A3583">
        <w:rPr>
          <w:rFonts w:ascii="Arial Narrow" w:hAnsi="Arial Narrow"/>
          <w:sz w:val="24"/>
          <w:szCs w:val="24"/>
        </w:rPr>
        <w:t xml:space="preserve">) de </w:t>
      </w:r>
      <w:r w:rsidR="00B23E62" w:rsidRPr="004A3583">
        <w:rPr>
          <w:rFonts w:ascii="Arial Narrow" w:hAnsi="Arial Narrow"/>
          <w:sz w:val="24"/>
          <w:szCs w:val="24"/>
        </w:rPr>
        <w:t>julio</w:t>
      </w:r>
      <w:r w:rsidR="00AB7D83">
        <w:rPr>
          <w:rFonts w:ascii="Arial Narrow" w:hAnsi="Arial Narrow"/>
          <w:sz w:val="24"/>
          <w:szCs w:val="24"/>
        </w:rPr>
        <w:t xml:space="preserve"> de 2020</w:t>
      </w:r>
      <w:r w:rsidR="00F805F4" w:rsidRPr="004A3583">
        <w:rPr>
          <w:rFonts w:ascii="Arial Narrow" w:hAnsi="Arial Narrow"/>
          <w:sz w:val="24"/>
          <w:szCs w:val="24"/>
        </w:rPr>
        <w:t xml:space="preserve"> y se reconsidere el valor adoptado, </w:t>
      </w:r>
      <w:r w:rsidRPr="004A3583">
        <w:rPr>
          <w:rFonts w:ascii="Arial Narrow" w:hAnsi="Arial Narrow"/>
          <w:sz w:val="24"/>
          <w:szCs w:val="24"/>
        </w:rPr>
        <w:t>por concepto de indemnización, atendiendo</w:t>
      </w:r>
      <w:r w:rsidR="00F805F4" w:rsidRPr="004A3583">
        <w:rPr>
          <w:rFonts w:ascii="Arial Narrow" w:hAnsi="Arial Narrow"/>
          <w:sz w:val="24"/>
          <w:szCs w:val="24"/>
        </w:rPr>
        <w:t xml:space="preserve"> las razones antes expuestas y que sustentan nuestra inconformidad.</w:t>
      </w:r>
    </w:p>
    <w:p w:rsidR="00FB0AFB" w:rsidRPr="004A3583" w:rsidRDefault="00FB0AFB" w:rsidP="0010094C">
      <w:pPr>
        <w:spacing w:after="0" w:line="240" w:lineRule="auto"/>
        <w:jc w:val="both"/>
        <w:rPr>
          <w:rFonts w:ascii="Arial Narrow" w:hAnsi="Arial Narrow"/>
          <w:b/>
          <w:sz w:val="24"/>
          <w:szCs w:val="24"/>
        </w:rPr>
      </w:pPr>
    </w:p>
    <w:p w:rsidR="00B23E62" w:rsidRPr="00E52F3C" w:rsidRDefault="00B23E62" w:rsidP="0010094C">
      <w:pPr>
        <w:spacing w:after="0" w:line="240" w:lineRule="auto"/>
        <w:jc w:val="both"/>
        <w:rPr>
          <w:rFonts w:ascii="Arial Narrow" w:hAnsi="Arial Narrow"/>
          <w:sz w:val="24"/>
          <w:szCs w:val="24"/>
        </w:rPr>
      </w:pPr>
    </w:p>
    <w:p w:rsidR="00AB7D83" w:rsidRPr="00E52F3C" w:rsidRDefault="0010094C" w:rsidP="00AB7D83">
      <w:pPr>
        <w:spacing w:after="0" w:line="240" w:lineRule="auto"/>
        <w:jc w:val="center"/>
        <w:rPr>
          <w:rFonts w:ascii="Arial Narrow" w:hAnsi="Arial Narrow"/>
          <w:b/>
          <w:sz w:val="24"/>
          <w:szCs w:val="24"/>
        </w:rPr>
      </w:pPr>
      <w:r w:rsidRPr="00E52F3C">
        <w:rPr>
          <w:rFonts w:ascii="Arial Narrow" w:hAnsi="Arial Narrow"/>
          <w:sz w:val="24"/>
          <w:szCs w:val="24"/>
        </w:rPr>
        <w:t xml:space="preserve"> </w:t>
      </w:r>
      <w:r w:rsidR="00AB7D83" w:rsidRPr="00E52F3C">
        <w:rPr>
          <w:rFonts w:ascii="Arial Narrow" w:hAnsi="Arial Narrow"/>
          <w:b/>
          <w:sz w:val="24"/>
          <w:szCs w:val="24"/>
        </w:rPr>
        <w:t>PRETENSIÓN SUBSIDIARIA:</w:t>
      </w:r>
    </w:p>
    <w:p w:rsidR="00AB7D83" w:rsidRPr="00E52F3C" w:rsidRDefault="00AB7D83" w:rsidP="00AB7D83">
      <w:pPr>
        <w:spacing w:after="0" w:line="240" w:lineRule="auto"/>
        <w:jc w:val="both"/>
        <w:rPr>
          <w:rFonts w:ascii="Arial Narrow" w:hAnsi="Arial Narrow"/>
          <w:sz w:val="24"/>
          <w:szCs w:val="24"/>
        </w:rPr>
      </w:pPr>
    </w:p>
    <w:p w:rsidR="00AB7D83" w:rsidRPr="00E52F3C" w:rsidRDefault="00AB7D83" w:rsidP="00AB7D83">
      <w:pPr>
        <w:pStyle w:val="Prrafodelista"/>
        <w:numPr>
          <w:ilvl w:val="0"/>
          <w:numId w:val="11"/>
        </w:numPr>
        <w:overflowPunct w:val="0"/>
        <w:autoSpaceDE w:val="0"/>
        <w:autoSpaceDN w:val="0"/>
        <w:adjustRightInd w:val="0"/>
        <w:spacing w:after="0" w:line="240" w:lineRule="auto"/>
        <w:contextualSpacing w:val="0"/>
        <w:jc w:val="both"/>
        <w:textAlignment w:val="baseline"/>
        <w:rPr>
          <w:rFonts w:ascii="Arial Narrow" w:hAnsi="Arial Narrow"/>
          <w:sz w:val="24"/>
          <w:szCs w:val="24"/>
        </w:rPr>
      </w:pPr>
      <w:r w:rsidRPr="00E52F3C">
        <w:rPr>
          <w:rFonts w:ascii="Arial Narrow" w:hAnsi="Arial Narrow"/>
          <w:sz w:val="24"/>
          <w:szCs w:val="24"/>
        </w:rPr>
        <w:t>Subsidiario de no conceder lo anterior, conceder el Recurso de apelación.</w:t>
      </w:r>
    </w:p>
    <w:p w:rsidR="00AB7D83" w:rsidRPr="00E52F3C" w:rsidRDefault="00AB7D83" w:rsidP="00AB7D83">
      <w:pPr>
        <w:overflowPunct w:val="0"/>
        <w:autoSpaceDE w:val="0"/>
        <w:autoSpaceDN w:val="0"/>
        <w:adjustRightInd w:val="0"/>
        <w:spacing w:after="0" w:line="240" w:lineRule="auto"/>
        <w:ind w:left="360"/>
        <w:jc w:val="both"/>
        <w:textAlignment w:val="baseline"/>
        <w:rPr>
          <w:rFonts w:ascii="Arial Narrow" w:hAnsi="Arial Narrow"/>
          <w:sz w:val="24"/>
          <w:szCs w:val="24"/>
        </w:rPr>
      </w:pPr>
    </w:p>
    <w:p w:rsidR="00AB7D83" w:rsidRPr="00E52F3C" w:rsidRDefault="00AB7D83" w:rsidP="00AB7D83">
      <w:pPr>
        <w:pStyle w:val="Prrafodelista"/>
        <w:overflowPunct w:val="0"/>
        <w:autoSpaceDE w:val="0"/>
        <w:autoSpaceDN w:val="0"/>
        <w:adjustRightInd w:val="0"/>
        <w:spacing w:after="0" w:line="240" w:lineRule="auto"/>
        <w:contextualSpacing w:val="0"/>
        <w:jc w:val="both"/>
        <w:textAlignment w:val="baseline"/>
        <w:rPr>
          <w:rFonts w:ascii="Arial Narrow" w:hAnsi="Arial Narrow"/>
          <w:sz w:val="24"/>
          <w:szCs w:val="24"/>
        </w:rPr>
      </w:pPr>
      <w:r w:rsidRPr="00E52F3C">
        <w:rPr>
          <w:rFonts w:ascii="Arial Narrow" w:hAnsi="Arial Narrow"/>
          <w:b/>
          <w:sz w:val="24"/>
          <w:szCs w:val="24"/>
        </w:rPr>
        <w:t>NOTIFICACIONES:</w:t>
      </w:r>
    </w:p>
    <w:p w:rsidR="00AB7D83" w:rsidRPr="00E52F3C" w:rsidRDefault="00AB7D83" w:rsidP="00AB7D83">
      <w:pPr>
        <w:spacing w:after="0" w:line="240" w:lineRule="auto"/>
        <w:jc w:val="both"/>
        <w:rPr>
          <w:rFonts w:ascii="Arial Narrow" w:hAnsi="Arial Narrow"/>
          <w:sz w:val="24"/>
          <w:szCs w:val="24"/>
        </w:rPr>
      </w:pPr>
    </w:p>
    <w:p w:rsidR="00AB7D83" w:rsidRPr="00E52F3C" w:rsidRDefault="00AB7D83" w:rsidP="00AB7D83">
      <w:pPr>
        <w:spacing w:after="0" w:line="240" w:lineRule="auto"/>
        <w:jc w:val="both"/>
        <w:rPr>
          <w:rFonts w:ascii="Arial Narrow" w:hAnsi="Arial Narrow"/>
          <w:sz w:val="24"/>
          <w:szCs w:val="24"/>
        </w:rPr>
      </w:pPr>
    </w:p>
    <w:p w:rsidR="00AB7D83" w:rsidRPr="00E52F3C" w:rsidRDefault="00FE6A78" w:rsidP="00AB7D83">
      <w:pPr>
        <w:spacing w:after="0" w:line="240" w:lineRule="auto"/>
        <w:jc w:val="both"/>
        <w:rPr>
          <w:rFonts w:ascii="Arial Narrow" w:hAnsi="Arial Narrow"/>
          <w:sz w:val="24"/>
          <w:szCs w:val="24"/>
        </w:rPr>
      </w:pPr>
      <w:r>
        <w:rPr>
          <w:rFonts w:ascii="Arial Narrow" w:hAnsi="Arial Narrow"/>
          <w:sz w:val="24"/>
          <w:szCs w:val="24"/>
        </w:rPr>
        <w:t>L</w:t>
      </w:r>
      <w:r w:rsidRPr="00FE6A78">
        <w:rPr>
          <w:rFonts w:ascii="Arial Narrow" w:hAnsi="Arial Narrow"/>
          <w:sz w:val="24"/>
          <w:szCs w:val="24"/>
        </w:rPr>
        <w:t>a suscrita</w:t>
      </w:r>
      <w:r w:rsidR="00AB7D83" w:rsidRPr="00E52F3C">
        <w:rPr>
          <w:rFonts w:ascii="Arial Narrow" w:hAnsi="Arial Narrow"/>
          <w:sz w:val="24"/>
          <w:szCs w:val="24"/>
        </w:rPr>
        <w:t xml:space="preserve">: en </w:t>
      </w:r>
      <w:r>
        <w:rPr>
          <w:rFonts w:ascii="Arial Narrow" w:hAnsi="Arial Narrow"/>
          <w:sz w:val="24"/>
          <w:szCs w:val="24"/>
        </w:rPr>
        <w:t xml:space="preserve">la carrera 44 No. 21-65 Barrio </w:t>
      </w:r>
      <w:proofErr w:type="spellStart"/>
      <w:r>
        <w:rPr>
          <w:rFonts w:ascii="Arial Narrow" w:hAnsi="Arial Narrow"/>
          <w:sz w:val="24"/>
          <w:szCs w:val="24"/>
        </w:rPr>
        <w:t>M</w:t>
      </w:r>
      <w:r w:rsidR="00AB7D83" w:rsidRPr="00E52F3C">
        <w:rPr>
          <w:rFonts w:ascii="Arial Narrow" w:hAnsi="Arial Narrow"/>
          <w:sz w:val="24"/>
          <w:szCs w:val="24"/>
        </w:rPr>
        <w:t>orasurco</w:t>
      </w:r>
      <w:proofErr w:type="spellEnd"/>
      <w:r w:rsidR="00AB7D83" w:rsidRPr="00E52F3C">
        <w:rPr>
          <w:rFonts w:ascii="Arial Narrow" w:hAnsi="Arial Narrow"/>
          <w:sz w:val="24"/>
          <w:szCs w:val="24"/>
        </w:rPr>
        <w:t xml:space="preserve"> </w:t>
      </w:r>
      <w:proofErr w:type="spellStart"/>
      <w:r w:rsidRPr="00E52F3C">
        <w:rPr>
          <w:rFonts w:ascii="Arial Narrow" w:hAnsi="Arial Narrow"/>
          <w:sz w:val="24"/>
          <w:szCs w:val="24"/>
        </w:rPr>
        <w:t>Edififio</w:t>
      </w:r>
      <w:proofErr w:type="spellEnd"/>
      <w:r w:rsidRPr="00E52F3C">
        <w:rPr>
          <w:rFonts w:ascii="Arial Narrow" w:hAnsi="Arial Narrow"/>
          <w:sz w:val="24"/>
          <w:szCs w:val="24"/>
        </w:rPr>
        <w:t xml:space="preserve"> </w:t>
      </w:r>
      <w:proofErr w:type="spellStart"/>
      <w:r w:rsidRPr="00E52F3C">
        <w:rPr>
          <w:rFonts w:ascii="Arial Narrow" w:hAnsi="Arial Narrow"/>
          <w:sz w:val="24"/>
          <w:szCs w:val="24"/>
        </w:rPr>
        <w:t>Tusanala</w:t>
      </w:r>
      <w:proofErr w:type="spellEnd"/>
      <w:r w:rsidRPr="00E52F3C">
        <w:rPr>
          <w:rFonts w:ascii="Arial Narrow" w:hAnsi="Arial Narrow"/>
          <w:sz w:val="24"/>
          <w:szCs w:val="24"/>
        </w:rPr>
        <w:t xml:space="preserve"> </w:t>
      </w:r>
      <w:r w:rsidR="00AB7D83" w:rsidRPr="00E52F3C">
        <w:rPr>
          <w:rFonts w:ascii="Arial Narrow" w:hAnsi="Arial Narrow"/>
          <w:sz w:val="24"/>
          <w:szCs w:val="24"/>
        </w:rPr>
        <w:t>apto 401</w:t>
      </w:r>
    </w:p>
    <w:p w:rsidR="00AB7D83" w:rsidRPr="00E52F3C" w:rsidRDefault="00AB7D83" w:rsidP="00AB7D83">
      <w:pPr>
        <w:spacing w:after="0" w:line="240" w:lineRule="auto"/>
        <w:jc w:val="both"/>
        <w:rPr>
          <w:rFonts w:ascii="Arial Narrow" w:hAnsi="Arial Narrow"/>
          <w:sz w:val="24"/>
          <w:szCs w:val="24"/>
        </w:rPr>
      </w:pPr>
      <w:r w:rsidRPr="00E52F3C">
        <w:rPr>
          <w:rFonts w:ascii="Arial Narrow" w:hAnsi="Arial Narrow"/>
          <w:sz w:val="24"/>
          <w:szCs w:val="24"/>
        </w:rPr>
        <w:t>celular: 3218573264</w:t>
      </w:r>
    </w:p>
    <w:p w:rsidR="00AB7D83" w:rsidRPr="00E52F3C" w:rsidRDefault="00AB7D83" w:rsidP="00AB7D83">
      <w:pPr>
        <w:spacing w:after="0" w:line="240" w:lineRule="auto"/>
        <w:jc w:val="both"/>
        <w:rPr>
          <w:rFonts w:ascii="Arial Narrow" w:hAnsi="Arial Narrow"/>
          <w:sz w:val="24"/>
          <w:szCs w:val="24"/>
        </w:rPr>
      </w:pPr>
      <w:r w:rsidRPr="00E52F3C">
        <w:rPr>
          <w:rFonts w:ascii="Arial Narrow" w:hAnsi="Arial Narrow"/>
          <w:sz w:val="24"/>
          <w:szCs w:val="24"/>
        </w:rPr>
        <w:t xml:space="preserve">correo electrónico: </w:t>
      </w:r>
      <w:hyperlink r:id="rId9" w:history="1">
        <w:r w:rsidRPr="00E52F3C">
          <w:rPr>
            <w:rStyle w:val="Hipervnculo"/>
            <w:rFonts w:ascii="Arial Narrow" w:hAnsi="Arial Narrow"/>
            <w:sz w:val="24"/>
            <w:szCs w:val="24"/>
          </w:rPr>
          <w:t>espcarolinaguerrero@gmail.com</w:t>
        </w:r>
      </w:hyperlink>
    </w:p>
    <w:p w:rsidR="00AB7D83" w:rsidRPr="00E52F3C" w:rsidRDefault="00AB7D83" w:rsidP="00AB7D83">
      <w:pPr>
        <w:spacing w:after="0" w:line="240" w:lineRule="auto"/>
        <w:jc w:val="both"/>
        <w:rPr>
          <w:rFonts w:ascii="Arial Narrow" w:hAnsi="Arial Narrow"/>
          <w:sz w:val="24"/>
          <w:szCs w:val="24"/>
        </w:rPr>
      </w:pPr>
    </w:p>
    <w:p w:rsidR="00AB7D83" w:rsidRPr="00E52F3C" w:rsidRDefault="00AB7D83" w:rsidP="00AB7D83">
      <w:pPr>
        <w:pStyle w:val="Prrafodelista"/>
        <w:spacing w:after="0" w:line="240" w:lineRule="auto"/>
        <w:ind w:left="360"/>
        <w:jc w:val="both"/>
        <w:rPr>
          <w:rFonts w:ascii="Arial Narrow" w:hAnsi="Arial Narrow"/>
          <w:sz w:val="24"/>
          <w:szCs w:val="24"/>
        </w:rPr>
      </w:pPr>
    </w:p>
    <w:p w:rsidR="00097261" w:rsidRPr="00542BA2" w:rsidRDefault="00097261" w:rsidP="00097261">
      <w:pPr>
        <w:pStyle w:val="Sinespaciado"/>
        <w:jc w:val="both"/>
        <w:rPr>
          <w:rFonts w:ascii="Source" w:hAnsi="Source"/>
          <w:sz w:val="24"/>
          <w:szCs w:val="24"/>
          <w:lang w:eastAsia="es-CO"/>
        </w:rPr>
      </w:pPr>
      <w:r w:rsidRPr="00542BA2">
        <w:rPr>
          <w:rFonts w:ascii="Source" w:hAnsi="Source"/>
          <w:sz w:val="24"/>
          <w:szCs w:val="24"/>
        </w:rPr>
        <w:t>Atentamente,</w:t>
      </w:r>
    </w:p>
    <w:p w:rsidR="00097261" w:rsidRPr="00542BA2" w:rsidRDefault="00097261" w:rsidP="00097261">
      <w:pPr>
        <w:pStyle w:val="Sinespaciado"/>
        <w:jc w:val="both"/>
        <w:rPr>
          <w:rFonts w:ascii="Source" w:hAnsi="Source"/>
          <w:b/>
          <w:sz w:val="24"/>
          <w:szCs w:val="24"/>
        </w:rPr>
      </w:pPr>
      <w:r w:rsidRPr="00542BA2">
        <w:rPr>
          <w:rFonts w:ascii="Source" w:hAnsi="Source" w:cs="Arial"/>
          <w:b/>
          <w:noProof/>
          <w:sz w:val="24"/>
          <w:szCs w:val="24"/>
          <w:lang w:val="es-CO" w:eastAsia="es-CO"/>
        </w:rPr>
        <w:drawing>
          <wp:anchor distT="0" distB="0" distL="114300" distR="114300" simplePos="0" relativeHeight="251659264" behindDoc="1" locked="0" layoutInCell="1" allowOverlap="1" wp14:anchorId="0387F17A" wp14:editId="11478CFF">
            <wp:simplePos x="0" y="0"/>
            <wp:positionH relativeFrom="column">
              <wp:posOffset>0</wp:posOffset>
            </wp:positionH>
            <wp:positionV relativeFrom="paragraph">
              <wp:posOffset>120015</wp:posOffset>
            </wp:positionV>
            <wp:extent cx="3105150" cy="809625"/>
            <wp:effectExtent l="0" t="0" r="0" b="9525"/>
            <wp:wrapNone/>
            <wp:docPr id="3" name="Imagen 3" descr="G:\carro\NuevoDocumento 03-26-2020 17.17.22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arro\NuevoDocumento 03-26-2020 17.17.22_2.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0751" b="31908"/>
                    <a:stretch/>
                  </pic:blipFill>
                  <pic:spPr bwMode="auto">
                    <a:xfrm>
                      <a:off x="0" y="0"/>
                      <a:ext cx="3105150" cy="809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97261" w:rsidRPr="00542BA2" w:rsidRDefault="00097261" w:rsidP="00097261">
      <w:pPr>
        <w:pStyle w:val="Sinespaciado"/>
        <w:jc w:val="both"/>
        <w:rPr>
          <w:rFonts w:ascii="Source" w:hAnsi="Source"/>
          <w:b/>
          <w:sz w:val="24"/>
          <w:szCs w:val="24"/>
        </w:rPr>
      </w:pPr>
    </w:p>
    <w:p w:rsidR="00097261" w:rsidRPr="00542BA2" w:rsidRDefault="00097261" w:rsidP="00097261">
      <w:pPr>
        <w:pStyle w:val="Sinespaciado"/>
        <w:jc w:val="both"/>
        <w:rPr>
          <w:rFonts w:ascii="Source" w:hAnsi="Source"/>
          <w:b/>
          <w:sz w:val="24"/>
          <w:szCs w:val="24"/>
        </w:rPr>
      </w:pPr>
    </w:p>
    <w:p w:rsidR="00097261" w:rsidRPr="00542BA2" w:rsidRDefault="00097261" w:rsidP="00097261">
      <w:pPr>
        <w:pStyle w:val="Sinespaciado"/>
        <w:jc w:val="both"/>
        <w:rPr>
          <w:rFonts w:ascii="Source" w:hAnsi="Source"/>
          <w:b/>
          <w:sz w:val="24"/>
          <w:szCs w:val="24"/>
        </w:rPr>
      </w:pPr>
    </w:p>
    <w:p w:rsidR="00097261" w:rsidRPr="00542BA2" w:rsidRDefault="00097261" w:rsidP="00097261">
      <w:pPr>
        <w:pStyle w:val="Sinespaciado"/>
        <w:jc w:val="both"/>
        <w:rPr>
          <w:rFonts w:ascii="Source" w:hAnsi="Source"/>
          <w:b/>
          <w:sz w:val="24"/>
          <w:szCs w:val="24"/>
        </w:rPr>
      </w:pPr>
    </w:p>
    <w:p w:rsidR="00097261" w:rsidRPr="00542BA2" w:rsidRDefault="00097261" w:rsidP="00097261">
      <w:pPr>
        <w:pStyle w:val="Sinespaciado"/>
        <w:jc w:val="both"/>
        <w:rPr>
          <w:rFonts w:ascii="Source" w:hAnsi="Source"/>
          <w:b/>
          <w:sz w:val="24"/>
          <w:szCs w:val="24"/>
        </w:rPr>
      </w:pPr>
      <w:r w:rsidRPr="00542BA2">
        <w:rPr>
          <w:rFonts w:ascii="Source" w:hAnsi="Source"/>
          <w:b/>
          <w:sz w:val="24"/>
          <w:szCs w:val="24"/>
        </w:rPr>
        <w:t>CAROLINA ALEXANDRA GUERRERO RODRIGUEZ</w:t>
      </w:r>
    </w:p>
    <w:p w:rsidR="00097261" w:rsidRPr="00542BA2" w:rsidRDefault="00097261" w:rsidP="00097261">
      <w:pPr>
        <w:pStyle w:val="Sinespaciado"/>
        <w:tabs>
          <w:tab w:val="left" w:pos="6075"/>
        </w:tabs>
        <w:jc w:val="both"/>
        <w:rPr>
          <w:rFonts w:ascii="Source" w:hAnsi="Source"/>
          <w:sz w:val="24"/>
          <w:szCs w:val="24"/>
        </w:rPr>
      </w:pPr>
      <w:r w:rsidRPr="00542BA2">
        <w:rPr>
          <w:rFonts w:ascii="Source" w:hAnsi="Source"/>
          <w:sz w:val="24"/>
          <w:szCs w:val="24"/>
        </w:rPr>
        <w:t>C.C. No. 1.085.250.237 de Pasto</w:t>
      </w:r>
    </w:p>
    <w:p w:rsidR="00097261" w:rsidRPr="00542BA2" w:rsidRDefault="00097261" w:rsidP="00097261">
      <w:pPr>
        <w:pStyle w:val="Sinespaciado"/>
        <w:tabs>
          <w:tab w:val="left" w:pos="6075"/>
        </w:tabs>
        <w:jc w:val="both"/>
        <w:rPr>
          <w:rFonts w:ascii="Source" w:hAnsi="Source"/>
          <w:sz w:val="24"/>
          <w:szCs w:val="24"/>
        </w:rPr>
      </w:pPr>
      <w:r w:rsidRPr="00542BA2">
        <w:rPr>
          <w:rFonts w:ascii="Source" w:hAnsi="Source"/>
          <w:sz w:val="24"/>
          <w:szCs w:val="24"/>
        </w:rPr>
        <w:t>T. P. No. 193.316 del C. S. de la J.</w:t>
      </w:r>
    </w:p>
    <w:p w:rsidR="00B23E62" w:rsidRPr="00097261" w:rsidRDefault="00B23E62" w:rsidP="00097261">
      <w:pPr>
        <w:spacing w:after="0" w:line="240" w:lineRule="auto"/>
        <w:jc w:val="both"/>
        <w:rPr>
          <w:rFonts w:ascii="Arial Narrow" w:hAnsi="Arial Narrow"/>
          <w:sz w:val="24"/>
          <w:szCs w:val="24"/>
          <w:lang w:val="es-ES"/>
        </w:rPr>
      </w:pPr>
    </w:p>
    <w:sectPr w:rsidR="00B23E62" w:rsidRPr="00097261" w:rsidSect="00BC409B">
      <w:headerReference w:type="default" r:id="rId11"/>
      <w:pgSz w:w="12242" w:h="18711" w:code="5"/>
      <w:pgMar w:top="1701" w:right="170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8C7" w:rsidRDefault="00CE78C7" w:rsidP="00697186">
      <w:pPr>
        <w:spacing w:after="0" w:line="240" w:lineRule="auto"/>
      </w:pPr>
      <w:r>
        <w:separator/>
      </w:r>
    </w:p>
  </w:endnote>
  <w:endnote w:type="continuationSeparator" w:id="0">
    <w:p w:rsidR="00CE78C7" w:rsidRDefault="00CE78C7" w:rsidP="00697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dobe Fangsong Std R">
    <w:panose1 w:val="00000000000000000000"/>
    <w:charset w:val="80"/>
    <w:family w:val="roman"/>
    <w:notTrueType/>
    <w:pitch w:val="variable"/>
    <w:sig w:usb0="00000207" w:usb1="0A0F1810" w:usb2="00000016" w:usb3="00000000" w:csb0="00060007" w:csb1="00000000"/>
  </w:font>
  <w:font w:name="Bookman Old Style">
    <w:panose1 w:val="02050604050505020204"/>
    <w:charset w:val="00"/>
    <w:family w:val="roman"/>
    <w:pitch w:val="variable"/>
    <w:sig w:usb0="00000287" w:usb1="00000000" w:usb2="00000000" w:usb3="00000000" w:csb0="0000009F" w:csb1="00000000"/>
  </w:font>
  <w:font w:name="Source">
    <w:altName w:val="Times New Roman"/>
    <w:panose1 w:val="00000000000000000000"/>
    <w:charset w:val="00"/>
    <w:family w:val="roman"/>
    <w:notTrueType/>
    <w:pitch w:val="default"/>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8C7" w:rsidRDefault="00CE78C7" w:rsidP="00697186">
      <w:pPr>
        <w:spacing w:after="0" w:line="240" w:lineRule="auto"/>
      </w:pPr>
      <w:r>
        <w:separator/>
      </w:r>
    </w:p>
  </w:footnote>
  <w:footnote w:type="continuationSeparator" w:id="0">
    <w:p w:rsidR="00CE78C7" w:rsidRDefault="00CE78C7" w:rsidP="00697186">
      <w:pPr>
        <w:spacing w:after="0" w:line="240" w:lineRule="auto"/>
      </w:pPr>
      <w:r>
        <w:continuationSeparator/>
      </w:r>
    </w:p>
  </w:footnote>
  <w:footnote w:id="1">
    <w:p w:rsidR="00ED634A" w:rsidRDefault="00ED634A" w:rsidP="00ED634A">
      <w:pPr>
        <w:pStyle w:val="Textonotapie"/>
      </w:pPr>
      <w:r w:rsidRPr="001513E7">
        <w:rPr>
          <w:sz w:val="16"/>
          <w:szCs w:val="16"/>
          <w:vertAlign w:val="superscript"/>
        </w:rPr>
        <w:footnoteRef/>
      </w:r>
      <w:r>
        <w:rPr>
          <w:sz w:val="16"/>
          <w:szCs w:val="16"/>
        </w:rPr>
        <w:t xml:space="preserve"> </w:t>
      </w:r>
      <w:r w:rsidRPr="001513E7">
        <w:rPr>
          <w:sz w:val="16"/>
          <w:szCs w:val="16"/>
        </w:rPr>
        <w:t>.</w:t>
      </w:r>
      <w:r w:rsidRPr="00ED634A">
        <w:rPr>
          <w:rFonts w:cs="Calibri"/>
          <w:sz w:val="22"/>
          <w:szCs w:val="18"/>
        </w:rPr>
        <w:t xml:space="preserve"> </w:t>
      </w:r>
      <w:r w:rsidRPr="00A83108">
        <w:rPr>
          <w:rFonts w:cs="Calibri"/>
          <w:sz w:val="22"/>
          <w:szCs w:val="18"/>
        </w:rPr>
        <w:t>Sentencia 750 de 2.015</w:t>
      </w:r>
    </w:p>
  </w:footnote>
  <w:footnote w:id="2">
    <w:p w:rsidR="00ED634A" w:rsidRDefault="00ED634A" w:rsidP="00ED634A">
      <w:pPr>
        <w:pStyle w:val="Textonotapie"/>
      </w:pPr>
      <w:r w:rsidRPr="001513E7">
        <w:rPr>
          <w:sz w:val="16"/>
          <w:szCs w:val="16"/>
          <w:vertAlign w:val="superscript"/>
        </w:rPr>
        <w:footnoteRef/>
      </w:r>
      <w:r w:rsidRPr="001513E7">
        <w:rPr>
          <w:sz w:val="16"/>
          <w:szCs w:val="16"/>
        </w:rPr>
        <w:t xml:space="preserve"> </w:t>
      </w:r>
      <w:r w:rsidR="00B01657" w:rsidRPr="00B01657">
        <w:rPr>
          <w:sz w:val="16"/>
          <w:szCs w:val="16"/>
        </w:rPr>
        <w:t xml:space="preserve">Sentencia 750 de </w:t>
      </w:r>
      <w:proofErr w:type="gramStart"/>
      <w:r w:rsidR="00B01657" w:rsidRPr="00B01657">
        <w:rPr>
          <w:sz w:val="16"/>
          <w:szCs w:val="16"/>
        </w:rPr>
        <w:t xml:space="preserve">2.015  </w:t>
      </w:r>
      <w:r w:rsidRPr="001513E7">
        <w:rPr>
          <w:sz w:val="16"/>
          <w:szCs w:val="16"/>
        </w:rPr>
        <w:t>.</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606" w:rsidRDefault="00810E33" w:rsidP="00697186">
    <w:pPr>
      <w:tabs>
        <w:tab w:val="center" w:pos="4419"/>
        <w:tab w:val="right" w:pos="8838"/>
      </w:tabs>
      <w:spacing w:after="0" w:line="240" w:lineRule="auto"/>
      <w:ind w:firstLine="2124"/>
      <w:jc w:val="center"/>
    </w:pPr>
    <w:r w:rsidRPr="0012637A">
      <w:rPr>
        <w:rFonts w:ascii="Script MT Bold" w:eastAsia="Times New Roman" w:hAnsi="Script MT Bold"/>
        <w:b/>
        <w:bCs/>
        <w:color w:val="333399"/>
        <w:sz w:val="36"/>
        <w:szCs w:val="24"/>
        <w:lang w:val="es-MX" w:eastAsia="es-ES"/>
      </w:rPr>
      <w:t xml:space="preserve">                   </w:t>
    </w:r>
    <w:r>
      <w:rPr>
        <w:rFonts w:ascii="Script MT Bold" w:eastAsia="Times New Roman" w:hAnsi="Script MT Bold"/>
        <w:b/>
        <w:bCs/>
        <w:color w:val="333399"/>
        <w:sz w:val="36"/>
        <w:szCs w:val="24"/>
        <w:lang w:val="es-MX" w:eastAsia="es-ES"/>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A6840"/>
    <w:multiLevelType w:val="hybridMultilevel"/>
    <w:tmpl w:val="871EF9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237050F"/>
    <w:multiLevelType w:val="hybridMultilevel"/>
    <w:tmpl w:val="6096B71A"/>
    <w:lvl w:ilvl="0" w:tplc="DC6E0E0E">
      <w:start w:val="1"/>
      <w:numFmt w:val="decimal"/>
      <w:lvlText w:val="%1."/>
      <w:lvlJc w:val="left"/>
      <w:pPr>
        <w:ind w:left="720" w:hanging="360"/>
      </w:pPr>
      <w:rPr>
        <w:rFonts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AAF6F7D"/>
    <w:multiLevelType w:val="hybridMultilevel"/>
    <w:tmpl w:val="786E7912"/>
    <w:lvl w:ilvl="0" w:tplc="4684B426">
      <w:start w:val="1"/>
      <w:numFmt w:val="decimal"/>
      <w:lvlText w:val="%1."/>
      <w:lvlJc w:val="left"/>
      <w:pPr>
        <w:ind w:left="720" w:hanging="360"/>
      </w:pPr>
      <w:rPr>
        <w:rFont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25F319C"/>
    <w:multiLevelType w:val="hybridMultilevel"/>
    <w:tmpl w:val="A7E68E80"/>
    <w:lvl w:ilvl="0" w:tplc="5096F010">
      <w:start w:val="1"/>
      <w:numFmt w:val="decimal"/>
      <w:lvlText w:val="%1."/>
      <w:lvlJc w:val="left"/>
      <w:pPr>
        <w:ind w:left="720" w:hanging="360"/>
      </w:pPr>
      <w:rPr>
        <w:rFonts w:cs="Aria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37F454C"/>
    <w:multiLevelType w:val="hybridMultilevel"/>
    <w:tmpl w:val="E138E06A"/>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5" w15:restartNumberingAfterBreak="0">
    <w:nsid w:val="40291DB2"/>
    <w:multiLevelType w:val="hybridMultilevel"/>
    <w:tmpl w:val="D01A1D8C"/>
    <w:lvl w:ilvl="0" w:tplc="240A000F">
      <w:start w:val="4"/>
      <w:numFmt w:val="decimal"/>
      <w:lvlText w:val="%1."/>
      <w:lvlJc w:val="left"/>
      <w:pPr>
        <w:ind w:left="36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8A04BE5"/>
    <w:multiLevelType w:val="hybridMultilevel"/>
    <w:tmpl w:val="54C46D92"/>
    <w:lvl w:ilvl="0" w:tplc="C7907AAA">
      <w:start w:val="740"/>
      <w:numFmt w:val="bullet"/>
      <w:lvlText w:val="-"/>
      <w:lvlJc w:val="left"/>
      <w:pPr>
        <w:ind w:left="1068" w:hanging="360"/>
      </w:pPr>
      <w:rPr>
        <w:rFonts w:ascii="Calibri" w:eastAsia="Calibri" w:hAnsi="Calibri"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15:restartNumberingAfterBreak="0">
    <w:nsid w:val="605D133E"/>
    <w:multiLevelType w:val="hybridMultilevel"/>
    <w:tmpl w:val="8DBE535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6494E59"/>
    <w:multiLevelType w:val="hybridMultilevel"/>
    <w:tmpl w:val="F594F070"/>
    <w:lvl w:ilvl="0" w:tplc="240A000F">
      <w:start w:val="4"/>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B142403"/>
    <w:multiLevelType w:val="hybridMultilevel"/>
    <w:tmpl w:val="6B4A7BD6"/>
    <w:lvl w:ilvl="0" w:tplc="240A000F">
      <w:start w:val="1"/>
      <w:numFmt w:val="decimal"/>
      <w:lvlText w:val="%1."/>
      <w:lvlJc w:val="left"/>
      <w:pPr>
        <w:ind w:left="927"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51B5439"/>
    <w:multiLevelType w:val="hybridMultilevel"/>
    <w:tmpl w:val="65969A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2"/>
  </w:num>
  <w:num w:numId="5">
    <w:abstractNumId w:val="9"/>
  </w:num>
  <w:num w:numId="6">
    <w:abstractNumId w:val="8"/>
  </w:num>
  <w:num w:numId="7">
    <w:abstractNumId w:val="5"/>
  </w:num>
  <w:num w:numId="8">
    <w:abstractNumId w:val="3"/>
  </w:num>
  <w:num w:numId="9">
    <w:abstractNumId w:val="1"/>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946"/>
    <w:rsid w:val="00003150"/>
    <w:rsid w:val="00020534"/>
    <w:rsid w:val="00037FDB"/>
    <w:rsid w:val="000403C4"/>
    <w:rsid w:val="000414BF"/>
    <w:rsid w:val="00053909"/>
    <w:rsid w:val="00083E5A"/>
    <w:rsid w:val="000865DF"/>
    <w:rsid w:val="00091093"/>
    <w:rsid w:val="000935A7"/>
    <w:rsid w:val="00097261"/>
    <w:rsid w:val="000A54DD"/>
    <w:rsid w:val="000D5B37"/>
    <w:rsid w:val="0010029D"/>
    <w:rsid w:val="0010094C"/>
    <w:rsid w:val="001137D0"/>
    <w:rsid w:val="001455EC"/>
    <w:rsid w:val="0019579B"/>
    <w:rsid w:val="00214B78"/>
    <w:rsid w:val="002538E6"/>
    <w:rsid w:val="002718FF"/>
    <w:rsid w:val="00274364"/>
    <w:rsid w:val="002B7BBB"/>
    <w:rsid w:val="002F29F5"/>
    <w:rsid w:val="003122D3"/>
    <w:rsid w:val="0033729F"/>
    <w:rsid w:val="0036594B"/>
    <w:rsid w:val="003664BA"/>
    <w:rsid w:val="00366701"/>
    <w:rsid w:val="003B01AC"/>
    <w:rsid w:val="003B5619"/>
    <w:rsid w:val="003B5664"/>
    <w:rsid w:val="003C19AB"/>
    <w:rsid w:val="003D40C7"/>
    <w:rsid w:val="003F1674"/>
    <w:rsid w:val="0046540C"/>
    <w:rsid w:val="0048403D"/>
    <w:rsid w:val="00497CFE"/>
    <w:rsid w:val="004A31F6"/>
    <w:rsid w:val="004A3583"/>
    <w:rsid w:val="004A4CE6"/>
    <w:rsid w:val="004B5C8D"/>
    <w:rsid w:val="004C3EC7"/>
    <w:rsid w:val="004D0982"/>
    <w:rsid w:val="004E347E"/>
    <w:rsid w:val="004E5B79"/>
    <w:rsid w:val="00503210"/>
    <w:rsid w:val="00505F48"/>
    <w:rsid w:val="00506273"/>
    <w:rsid w:val="00536195"/>
    <w:rsid w:val="00557D3D"/>
    <w:rsid w:val="0057528A"/>
    <w:rsid w:val="005E6A7F"/>
    <w:rsid w:val="00601EB4"/>
    <w:rsid w:val="00604490"/>
    <w:rsid w:val="00604801"/>
    <w:rsid w:val="00635396"/>
    <w:rsid w:val="006442E4"/>
    <w:rsid w:val="006443D0"/>
    <w:rsid w:val="0064635A"/>
    <w:rsid w:val="00657987"/>
    <w:rsid w:val="00662B53"/>
    <w:rsid w:val="00663A55"/>
    <w:rsid w:val="006822FC"/>
    <w:rsid w:val="00695E94"/>
    <w:rsid w:val="00697186"/>
    <w:rsid w:val="006B550B"/>
    <w:rsid w:val="006D65CE"/>
    <w:rsid w:val="006F269A"/>
    <w:rsid w:val="00701347"/>
    <w:rsid w:val="007545C2"/>
    <w:rsid w:val="0077344A"/>
    <w:rsid w:val="00787DAC"/>
    <w:rsid w:val="00792D05"/>
    <w:rsid w:val="00795A5F"/>
    <w:rsid w:val="007D12C5"/>
    <w:rsid w:val="007E4C06"/>
    <w:rsid w:val="007F60F1"/>
    <w:rsid w:val="00810E33"/>
    <w:rsid w:val="008478DE"/>
    <w:rsid w:val="00853728"/>
    <w:rsid w:val="0085679A"/>
    <w:rsid w:val="008667BE"/>
    <w:rsid w:val="008777CF"/>
    <w:rsid w:val="00897A18"/>
    <w:rsid w:val="008A780A"/>
    <w:rsid w:val="008B1AB6"/>
    <w:rsid w:val="008C155C"/>
    <w:rsid w:val="008D6EA4"/>
    <w:rsid w:val="00900433"/>
    <w:rsid w:val="0092656C"/>
    <w:rsid w:val="00963947"/>
    <w:rsid w:val="00987946"/>
    <w:rsid w:val="00994D20"/>
    <w:rsid w:val="00997540"/>
    <w:rsid w:val="009A08EA"/>
    <w:rsid w:val="009A2B7F"/>
    <w:rsid w:val="009B0050"/>
    <w:rsid w:val="009D1A88"/>
    <w:rsid w:val="009D4E3F"/>
    <w:rsid w:val="009F79B7"/>
    <w:rsid w:val="00A121F4"/>
    <w:rsid w:val="00A159CC"/>
    <w:rsid w:val="00A2033F"/>
    <w:rsid w:val="00A24A71"/>
    <w:rsid w:val="00A4172A"/>
    <w:rsid w:val="00A43087"/>
    <w:rsid w:val="00A5417A"/>
    <w:rsid w:val="00A96336"/>
    <w:rsid w:val="00AA19C2"/>
    <w:rsid w:val="00AB5365"/>
    <w:rsid w:val="00AB7D83"/>
    <w:rsid w:val="00AC128B"/>
    <w:rsid w:val="00AC42FE"/>
    <w:rsid w:val="00AC540C"/>
    <w:rsid w:val="00AC5611"/>
    <w:rsid w:val="00AE1641"/>
    <w:rsid w:val="00AE40E5"/>
    <w:rsid w:val="00B01657"/>
    <w:rsid w:val="00B14E88"/>
    <w:rsid w:val="00B23E62"/>
    <w:rsid w:val="00B25E9C"/>
    <w:rsid w:val="00B4626D"/>
    <w:rsid w:val="00B6611A"/>
    <w:rsid w:val="00B7445A"/>
    <w:rsid w:val="00B93691"/>
    <w:rsid w:val="00BB0220"/>
    <w:rsid w:val="00BB1627"/>
    <w:rsid w:val="00C15721"/>
    <w:rsid w:val="00C17FE9"/>
    <w:rsid w:val="00C22AB1"/>
    <w:rsid w:val="00C3293A"/>
    <w:rsid w:val="00C375E7"/>
    <w:rsid w:val="00C51013"/>
    <w:rsid w:val="00C654DA"/>
    <w:rsid w:val="00C66E7B"/>
    <w:rsid w:val="00C816E1"/>
    <w:rsid w:val="00C859B5"/>
    <w:rsid w:val="00CC4AA5"/>
    <w:rsid w:val="00CE152E"/>
    <w:rsid w:val="00CE30DE"/>
    <w:rsid w:val="00CE78C7"/>
    <w:rsid w:val="00CF4A37"/>
    <w:rsid w:val="00D51A80"/>
    <w:rsid w:val="00DA5D2B"/>
    <w:rsid w:val="00DC0892"/>
    <w:rsid w:val="00DD346C"/>
    <w:rsid w:val="00DF230E"/>
    <w:rsid w:val="00E019C7"/>
    <w:rsid w:val="00E16C1A"/>
    <w:rsid w:val="00E21888"/>
    <w:rsid w:val="00E52F3C"/>
    <w:rsid w:val="00E54B04"/>
    <w:rsid w:val="00E61B4C"/>
    <w:rsid w:val="00E762EE"/>
    <w:rsid w:val="00E86332"/>
    <w:rsid w:val="00EB52CF"/>
    <w:rsid w:val="00ED634A"/>
    <w:rsid w:val="00EE263E"/>
    <w:rsid w:val="00EF44C0"/>
    <w:rsid w:val="00F21902"/>
    <w:rsid w:val="00F27FE1"/>
    <w:rsid w:val="00F44B96"/>
    <w:rsid w:val="00F65376"/>
    <w:rsid w:val="00F805F4"/>
    <w:rsid w:val="00F83C56"/>
    <w:rsid w:val="00F8497A"/>
    <w:rsid w:val="00F84F7D"/>
    <w:rsid w:val="00F9548E"/>
    <w:rsid w:val="00FA3E6D"/>
    <w:rsid w:val="00FB0AFB"/>
    <w:rsid w:val="00FB6F57"/>
    <w:rsid w:val="00FC706B"/>
    <w:rsid w:val="00FE6A7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43114"/>
  <w15:chartTrackingRefBased/>
  <w15:docId w15:val="{A3A144B8-E979-4648-B509-D1393D351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946"/>
    <w:pPr>
      <w:spacing w:after="200" w:line="276" w:lineRule="auto"/>
    </w:pPr>
    <w:rPr>
      <w:rFonts w:ascii="Calibri" w:eastAsia="Calibri" w:hAnsi="Calibri" w:cs="Times New Roman"/>
    </w:rPr>
  </w:style>
  <w:style w:type="paragraph" w:styleId="Ttulo5">
    <w:name w:val="heading 5"/>
    <w:basedOn w:val="Normal"/>
    <w:next w:val="Normal"/>
    <w:link w:val="Ttulo5Car"/>
    <w:uiPriority w:val="9"/>
    <w:unhideWhenUsed/>
    <w:qFormat/>
    <w:rsid w:val="00ED634A"/>
    <w:pPr>
      <w:autoSpaceDE w:val="0"/>
      <w:autoSpaceDN w:val="0"/>
      <w:spacing w:before="240" w:after="60" w:line="240" w:lineRule="auto"/>
      <w:outlineLvl w:val="4"/>
    </w:pPr>
    <w:rPr>
      <w:rFonts w:eastAsia="Times New Roman"/>
      <w:b/>
      <w:bCs/>
      <w:i/>
      <w:iCs/>
      <w:sz w:val="26"/>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87946"/>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987946"/>
  </w:style>
  <w:style w:type="paragraph" w:styleId="Piedepgina">
    <w:name w:val="footer"/>
    <w:basedOn w:val="Normal"/>
    <w:link w:val="PiedepginaCar"/>
    <w:uiPriority w:val="99"/>
    <w:unhideWhenUsed/>
    <w:rsid w:val="00987946"/>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987946"/>
  </w:style>
  <w:style w:type="paragraph" w:styleId="Prrafodelista">
    <w:name w:val="List Paragraph"/>
    <w:basedOn w:val="Normal"/>
    <w:link w:val="PrrafodelistaCar"/>
    <w:uiPriority w:val="34"/>
    <w:qFormat/>
    <w:rsid w:val="00987946"/>
    <w:pPr>
      <w:ind w:left="720"/>
      <w:contextualSpacing/>
    </w:pPr>
  </w:style>
  <w:style w:type="character" w:customStyle="1" w:styleId="apple-converted-space">
    <w:name w:val="apple-converted-space"/>
    <w:basedOn w:val="Fuentedeprrafopredeter"/>
    <w:rsid w:val="00987946"/>
  </w:style>
  <w:style w:type="table" w:styleId="Tablaconcuadrcula">
    <w:name w:val="Table Grid"/>
    <w:basedOn w:val="Tablanormal"/>
    <w:uiPriority w:val="59"/>
    <w:rsid w:val="00987946"/>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87946"/>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2">
    <w:name w:val="Body Text 2"/>
    <w:basedOn w:val="Normal"/>
    <w:link w:val="Textoindependiente2Car"/>
    <w:unhideWhenUsed/>
    <w:rsid w:val="0048403D"/>
    <w:pPr>
      <w:widowControl w:val="0"/>
      <w:snapToGrid w:val="0"/>
      <w:spacing w:after="0" w:line="240" w:lineRule="auto"/>
      <w:jc w:val="both"/>
    </w:pPr>
    <w:rPr>
      <w:rFonts w:ascii="Verdana" w:eastAsia="Times New Roman" w:hAnsi="Verdana"/>
      <w:sz w:val="24"/>
      <w:szCs w:val="20"/>
      <w:lang w:val="es-ES" w:eastAsia="es-ES"/>
    </w:rPr>
  </w:style>
  <w:style w:type="character" w:customStyle="1" w:styleId="Textoindependiente2Car">
    <w:name w:val="Texto independiente 2 Car"/>
    <w:basedOn w:val="Fuentedeprrafopredeter"/>
    <w:link w:val="Textoindependiente2"/>
    <w:rsid w:val="0048403D"/>
    <w:rPr>
      <w:rFonts w:ascii="Verdana" w:eastAsia="Times New Roman" w:hAnsi="Verdana" w:cs="Times New Roman"/>
      <w:sz w:val="24"/>
      <w:szCs w:val="20"/>
      <w:lang w:val="es-ES" w:eastAsia="es-ES"/>
    </w:rPr>
  </w:style>
  <w:style w:type="character" w:customStyle="1" w:styleId="PrrafodelistaCar">
    <w:name w:val="Párrafo de lista Car"/>
    <w:basedOn w:val="Fuentedeprrafopredeter"/>
    <w:link w:val="Prrafodelista"/>
    <w:uiPriority w:val="34"/>
    <w:locked/>
    <w:rsid w:val="009D4E3F"/>
    <w:rPr>
      <w:rFonts w:ascii="Calibri" w:eastAsia="Calibri" w:hAnsi="Calibri" w:cs="Times New Roman"/>
    </w:rPr>
  </w:style>
  <w:style w:type="character" w:styleId="Textoennegrita">
    <w:name w:val="Strong"/>
    <w:basedOn w:val="Fuentedeprrafopredeter"/>
    <w:uiPriority w:val="22"/>
    <w:qFormat/>
    <w:rsid w:val="00EB52CF"/>
    <w:rPr>
      <w:b/>
      <w:bCs/>
    </w:rPr>
  </w:style>
  <w:style w:type="paragraph" w:styleId="Textonotapie">
    <w:name w:val="footnote text"/>
    <w:aliases w:val="Ref. de nota al pie1,referencia nota al pie,Appel note de bas de page,Texto de nota al pie,Footnotes refss,Footnote number,BVI fnr,Ref. de nota al pie 2,Fago Fußnotenzeichen,4_G,16 Point,Superscript 6 Point,Texto nota al pie,Ref"/>
    <w:basedOn w:val="Normal"/>
    <w:link w:val="TextonotapieCar"/>
    <w:uiPriority w:val="99"/>
    <w:rsid w:val="00900433"/>
    <w:pPr>
      <w:autoSpaceDE w:val="0"/>
      <w:autoSpaceDN w:val="0"/>
      <w:spacing w:after="0" w:line="240" w:lineRule="auto"/>
    </w:pPr>
    <w:rPr>
      <w:rFonts w:ascii="Times New Roman" w:eastAsia="Times New Roman" w:hAnsi="Times New Roman"/>
      <w:sz w:val="20"/>
      <w:szCs w:val="20"/>
      <w:lang w:eastAsia="es-ES"/>
    </w:rPr>
  </w:style>
  <w:style w:type="character" w:customStyle="1" w:styleId="TextonotapieCar">
    <w:name w:val="Texto nota pie Car"/>
    <w:aliases w:val="Ref. de nota al pie1 Car,referencia nota al pie Car,Appel note de bas de page Car,Texto de nota al pie Car,Footnotes refss Car,Footnote number Car,BVI fnr Car,Ref. de nota al pie 2 Car,Fago Fußnotenzeichen Car,4_G Car,16 Point Car"/>
    <w:basedOn w:val="Fuentedeprrafopredeter"/>
    <w:link w:val="Textonotapie"/>
    <w:uiPriority w:val="99"/>
    <w:rsid w:val="00900433"/>
    <w:rPr>
      <w:rFonts w:ascii="Times New Roman" w:eastAsia="Times New Roman" w:hAnsi="Times New Roman" w:cs="Times New Roman"/>
      <w:sz w:val="20"/>
      <w:szCs w:val="20"/>
      <w:lang w:eastAsia="es-ES"/>
    </w:rPr>
  </w:style>
  <w:style w:type="paragraph" w:styleId="Sinespaciado">
    <w:name w:val="No Spacing"/>
    <w:link w:val="SinespaciadoCar"/>
    <w:uiPriority w:val="1"/>
    <w:qFormat/>
    <w:rsid w:val="00C816E1"/>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lang w:val="es-ES" w:eastAsia="es-ES"/>
    </w:rPr>
  </w:style>
  <w:style w:type="character" w:customStyle="1" w:styleId="Ttulo5Car">
    <w:name w:val="Título 5 Car"/>
    <w:basedOn w:val="Fuentedeprrafopredeter"/>
    <w:link w:val="Ttulo5"/>
    <w:uiPriority w:val="9"/>
    <w:rsid w:val="00ED634A"/>
    <w:rPr>
      <w:rFonts w:ascii="Calibri" w:eastAsia="Times New Roman" w:hAnsi="Calibri" w:cs="Times New Roman"/>
      <w:b/>
      <w:bCs/>
      <w:i/>
      <w:iCs/>
      <w:sz w:val="26"/>
      <w:szCs w:val="26"/>
      <w:lang w:eastAsia="es-ES"/>
    </w:rPr>
  </w:style>
  <w:style w:type="character" w:styleId="Hipervnculo">
    <w:name w:val="Hyperlink"/>
    <w:basedOn w:val="Fuentedeprrafopredeter"/>
    <w:uiPriority w:val="99"/>
    <w:unhideWhenUsed/>
    <w:rsid w:val="00AB7D83"/>
    <w:rPr>
      <w:color w:val="0000FF"/>
      <w:u w:val="single"/>
    </w:rPr>
  </w:style>
  <w:style w:type="character" w:customStyle="1" w:styleId="SinespaciadoCar">
    <w:name w:val="Sin espaciado Car"/>
    <w:link w:val="Sinespaciado"/>
    <w:uiPriority w:val="1"/>
    <w:qFormat/>
    <w:locked/>
    <w:rsid w:val="00097261"/>
    <w:rPr>
      <w:rFonts w:ascii="Times New Roman" w:eastAsia="Times New Roman" w:hAnsi="Times New Roman" w:cs="Times New Roman"/>
      <w:sz w:val="28"/>
      <w:szCs w:val="2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685090">
      <w:bodyDiv w:val="1"/>
      <w:marLeft w:val="0"/>
      <w:marRight w:val="0"/>
      <w:marTop w:val="0"/>
      <w:marBottom w:val="0"/>
      <w:divBdr>
        <w:top w:val="none" w:sz="0" w:space="0" w:color="auto"/>
        <w:left w:val="none" w:sz="0" w:space="0" w:color="auto"/>
        <w:bottom w:val="none" w:sz="0" w:space="0" w:color="auto"/>
        <w:right w:val="none" w:sz="0" w:space="0" w:color="auto"/>
      </w:divBdr>
    </w:div>
    <w:div w:id="197147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mailto:espcarolinaguerrero@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581</TotalTime>
  <Pages>8</Pages>
  <Words>3968</Words>
  <Characters>21828</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dc:description/>
  <cp:lastModifiedBy>Carolina Guerrero</cp:lastModifiedBy>
  <cp:revision>51</cp:revision>
  <dcterms:created xsi:type="dcterms:W3CDTF">2020-07-09T09:29:00Z</dcterms:created>
  <dcterms:modified xsi:type="dcterms:W3CDTF">2020-07-09T22:48:00Z</dcterms:modified>
</cp:coreProperties>
</file>