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4ED9" w14:textId="05E42ED9" w:rsidR="00D526F5" w:rsidRDefault="00022ED4" w:rsidP="00022ED4">
      <w:pPr>
        <w:ind w:right="50"/>
        <w:contextualSpacing/>
        <w:jc w:val="both"/>
        <w:rPr>
          <w:rFonts w:ascii="Arial" w:hAnsi="Arial" w:cs="Arial"/>
          <w:b/>
          <w:iCs/>
          <w:sz w:val="24"/>
          <w:szCs w:val="24"/>
        </w:rPr>
      </w:pPr>
      <w:r>
        <w:rPr>
          <w:rFonts w:ascii="Arial" w:hAnsi="Arial" w:cs="Arial"/>
          <w:b/>
          <w:iCs/>
          <w:sz w:val="24"/>
          <w:szCs w:val="24"/>
        </w:rPr>
        <w:t>CADUCIDAD DEL MEDIO DE CONTROL DE NULIDAD Y RESTABLECIMIENTO DEL DERECHO CONTRA ACTOS PROFERIDOS ANTES DE LA CELEBRACIÓN DE UN CONTRATO / Normatividad aplicable.</w:t>
      </w:r>
    </w:p>
    <w:p w14:paraId="1DE5F5F4" w14:textId="1A19512F" w:rsidR="00022ED4" w:rsidRDefault="00022ED4" w:rsidP="00022ED4">
      <w:pPr>
        <w:ind w:right="50"/>
        <w:contextualSpacing/>
        <w:jc w:val="both"/>
        <w:rPr>
          <w:rFonts w:ascii="Arial" w:hAnsi="Arial" w:cs="Arial"/>
          <w:b/>
          <w:iCs/>
          <w:sz w:val="24"/>
          <w:szCs w:val="24"/>
        </w:rPr>
      </w:pPr>
    </w:p>
    <w:p w14:paraId="584C2CBF" w14:textId="04DA7342" w:rsidR="00022ED4" w:rsidRDefault="00022ED4" w:rsidP="00022ED4">
      <w:pPr>
        <w:ind w:right="50"/>
        <w:contextualSpacing/>
        <w:jc w:val="both"/>
        <w:rPr>
          <w:rFonts w:ascii="Arial" w:hAnsi="Arial" w:cs="Arial"/>
          <w:i/>
          <w:iCs/>
          <w:sz w:val="24"/>
          <w:szCs w:val="24"/>
        </w:rPr>
      </w:pPr>
      <w:r w:rsidRPr="00022ED4">
        <w:rPr>
          <w:rFonts w:ascii="Arial" w:hAnsi="Arial" w:cs="Arial"/>
          <w:iCs/>
          <w:sz w:val="24"/>
          <w:szCs w:val="24"/>
        </w:rPr>
        <w:t xml:space="preserve">Tratándose del control judicial de este tipo de actos a través del medio de control de nulidad y restablecimiento del derecho, el segundo acápite del artículo 141 del CPACA previó que </w:t>
      </w:r>
      <w:r w:rsidRPr="00022ED4">
        <w:rPr>
          <w:rFonts w:ascii="Arial" w:hAnsi="Arial" w:cs="Arial"/>
          <w:i/>
          <w:iCs/>
          <w:sz w:val="24"/>
          <w:szCs w:val="24"/>
        </w:rPr>
        <w:t xml:space="preserve">«[l]os actos proferidos antes de la celebración del contrato, con ocasión de la actividad contractual, </w:t>
      </w:r>
      <w:proofErr w:type="spellStart"/>
      <w:r w:rsidRPr="00022ED4">
        <w:rPr>
          <w:rFonts w:ascii="Arial" w:hAnsi="Arial" w:cs="Arial"/>
          <w:i/>
          <w:iCs/>
          <w:sz w:val="24"/>
          <w:szCs w:val="24"/>
        </w:rPr>
        <w:t>podr</w:t>
      </w:r>
      <w:proofErr w:type="spellEnd"/>
      <w:r w:rsidRPr="00022ED4">
        <w:rPr>
          <w:rFonts w:ascii="Arial" w:hAnsi="Arial" w:cs="Arial"/>
          <w:i/>
          <w:iCs/>
          <w:sz w:val="24"/>
          <w:szCs w:val="24"/>
        </w:rPr>
        <w:t>[</w:t>
      </w:r>
      <w:proofErr w:type="spellStart"/>
      <w:r w:rsidRPr="00022ED4">
        <w:rPr>
          <w:rFonts w:ascii="Arial" w:hAnsi="Arial" w:cs="Arial"/>
          <w:i/>
          <w:iCs/>
          <w:sz w:val="24"/>
          <w:szCs w:val="24"/>
        </w:rPr>
        <w:t>ía</w:t>
      </w:r>
      <w:proofErr w:type="spellEnd"/>
      <w:r w:rsidRPr="00022ED4">
        <w:rPr>
          <w:rFonts w:ascii="Arial" w:hAnsi="Arial" w:cs="Arial"/>
          <w:i/>
          <w:iCs/>
          <w:sz w:val="24"/>
          <w:szCs w:val="24"/>
        </w:rPr>
        <w:t>]n demandarse en los términos de los artículos 137 y 138 de este Código».</w:t>
      </w:r>
      <w:r>
        <w:rPr>
          <w:rFonts w:ascii="Arial" w:hAnsi="Arial" w:cs="Arial"/>
          <w:i/>
          <w:iCs/>
          <w:sz w:val="24"/>
          <w:szCs w:val="24"/>
        </w:rPr>
        <w:t xml:space="preserve"> </w:t>
      </w:r>
      <w:r w:rsidRPr="00022ED4">
        <w:rPr>
          <w:rFonts w:ascii="Arial" w:hAnsi="Arial" w:cs="Arial"/>
          <w:iCs/>
          <w:sz w:val="24"/>
          <w:szCs w:val="24"/>
        </w:rPr>
        <w:t xml:space="preserve">Por su parte, revisado el artículo 164 de la Ley 1437 de 2011, se tiene que el legislador dispuso lo siguiente, en relación con el término en que debe ser presentada la demanda de nulidad y restablecimiento del derecho: </w:t>
      </w:r>
      <w:r w:rsidRPr="00022ED4">
        <w:rPr>
          <w:rFonts w:ascii="Arial" w:hAnsi="Arial" w:cs="Arial"/>
          <w:i/>
          <w:iCs/>
          <w:sz w:val="24"/>
          <w:szCs w:val="24"/>
        </w:rPr>
        <w:t>«Artículo 164. Oportunidad para presentar la demanda. La demanda deberá ser presentada:</w:t>
      </w:r>
      <w:r>
        <w:rPr>
          <w:rFonts w:ascii="Arial" w:hAnsi="Arial" w:cs="Arial"/>
          <w:iCs/>
          <w:sz w:val="24"/>
          <w:szCs w:val="24"/>
        </w:rPr>
        <w:t xml:space="preserve"> </w:t>
      </w:r>
      <w:r w:rsidRPr="00022ED4">
        <w:rPr>
          <w:rFonts w:ascii="Arial" w:hAnsi="Arial" w:cs="Arial"/>
          <w:i/>
          <w:iCs/>
          <w:sz w:val="24"/>
          <w:szCs w:val="24"/>
        </w:rPr>
        <w:t>(…) 2. En los siguientes términos, so pena de que opere la caducidad:</w:t>
      </w:r>
      <w:r>
        <w:rPr>
          <w:rFonts w:ascii="Arial" w:hAnsi="Arial" w:cs="Arial"/>
          <w:iCs/>
          <w:sz w:val="24"/>
          <w:szCs w:val="24"/>
        </w:rPr>
        <w:t xml:space="preserve"> </w:t>
      </w:r>
      <w:r w:rsidRPr="00022ED4">
        <w:rPr>
          <w:rFonts w:ascii="Arial" w:hAnsi="Arial" w:cs="Arial"/>
          <w:i/>
          <w:iCs/>
          <w:sz w:val="24"/>
          <w:szCs w:val="24"/>
        </w:rPr>
        <w:t>(…) 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r>
        <w:rPr>
          <w:rFonts w:ascii="Arial" w:hAnsi="Arial" w:cs="Arial"/>
          <w:i/>
          <w:iCs/>
          <w:sz w:val="24"/>
          <w:szCs w:val="24"/>
        </w:rPr>
        <w:t>.</w:t>
      </w:r>
    </w:p>
    <w:p w14:paraId="4B844EB8" w14:textId="2DCCB4F9" w:rsidR="00022ED4" w:rsidRDefault="00022ED4" w:rsidP="00022ED4">
      <w:pPr>
        <w:ind w:right="50"/>
        <w:contextualSpacing/>
        <w:jc w:val="both"/>
        <w:rPr>
          <w:rFonts w:ascii="Arial" w:hAnsi="Arial" w:cs="Arial"/>
          <w:iCs/>
          <w:sz w:val="24"/>
          <w:szCs w:val="24"/>
        </w:rPr>
      </w:pPr>
    </w:p>
    <w:p w14:paraId="21477CEA" w14:textId="14187440" w:rsidR="00022ED4" w:rsidRDefault="00022ED4" w:rsidP="00022ED4">
      <w:pPr>
        <w:ind w:right="50"/>
        <w:contextualSpacing/>
        <w:jc w:val="both"/>
        <w:rPr>
          <w:rFonts w:ascii="Arial" w:hAnsi="Arial" w:cs="Arial"/>
          <w:b/>
          <w:iCs/>
          <w:sz w:val="24"/>
          <w:szCs w:val="24"/>
        </w:rPr>
      </w:pPr>
      <w:r>
        <w:rPr>
          <w:rFonts w:ascii="Arial" w:hAnsi="Arial" w:cs="Arial"/>
          <w:b/>
          <w:iCs/>
          <w:sz w:val="24"/>
          <w:szCs w:val="24"/>
        </w:rPr>
        <w:t>CADUCIDAD / Concepto / Finalidad / Oportunidad para declararla.</w:t>
      </w:r>
    </w:p>
    <w:p w14:paraId="0399A79B" w14:textId="38BF9A82" w:rsidR="00022ED4" w:rsidRDefault="00022ED4" w:rsidP="00022ED4">
      <w:pPr>
        <w:ind w:right="50"/>
        <w:contextualSpacing/>
        <w:jc w:val="both"/>
        <w:rPr>
          <w:rFonts w:ascii="Arial" w:hAnsi="Arial" w:cs="Arial"/>
          <w:b/>
          <w:iCs/>
          <w:sz w:val="24"/>
          <w:szCs w:val="24"/>
        </w:rPr>
      </w:pPr>
    </w:p>
    <w:p w14:paraId="299745B8" w14:textId="26DF6C78" w:rsidR="00022ED4" w:rsidRDefault="00022ED4" w:rsidP="00022ED4">
      <w:pPr>
        <w:ind w:right="50"/>
        <w:contextualSpacing/>
        <w:jc w:val="both"/>
        <w:rPr>
          <w:rFonts w:ascii="Arial" w:hAnsi="Arial" w:cs="Arial"/>
          <w:iCs/>
          <w:sz w:val="24"/>
          <w:szCs w:val="24"/>
        </w:rPr>
      </w:pPr>
      <w:r w:rsidRPr="00022ED4">
        <w:rPr>
          <w:rFonts w:ascii="Arial" w:hAnsi="Arial" w:cs="Arial"/>
          <w:iCs/>
          <w:sz w:val="24"/>
          <w:szCs w:val="24"/>
        </w:rPr>
        <w:t>E</w:t>
      </w:r>
      <w:r w:rsidRPr="00022ED4">
        <w:rPr>
          <w:rFonts w:ascii="Arial" w:hAnsi="Arial" w:cs="Arial"/>
          <w:iCs/>
          <w:sz w:val="24"/>
          <w:szCs w:val="24"/>
        </w:rPr>
        <w:t>s del caso señalar que la caducidad es una institución jurídica que impide que las situaciones puedan ser debatidas en cualquier tiempo ante la jurisdicción, pues ello iría en contravía del principio de seguridad jurídica y permitiría la permanencia indefinida de los conflictos en el tiempo.</w:t>
      </w:r>
      <w:r w:rsidRPr="00022ED4">
        <w:rPr>
          <w:rFonts w:ascii="Arial" w:hAnsi="Arial" w:cs="Arial"/>
          <w:iCs/>
          <w:sz w:val="24"/>
          <w:szCs w:val="24"/>
        </w:rPr>
        <w:t xml:space="preserve"> </w:t>
      </w:r>
      <w:r w:rsidRPr="00022ED4">
        <w:rPr>
          <w:rFonts w:ascii="Arial" w:hAnsi="Arial" w:cs="Arial"/>
          <w:iCs/>
          <w:sz w:val="24"/>
          <w:szCs w:val="24"/>
        </w:rPr>
        <w:t>Precisamente, por su carácter de norma de orden público, es posible que su configuración pueda ser declarada a petición de parte o de oficio, ya sea como excepción ―de acuerdo con el numeral 6° del artículo 180 del CPACA― o en la sentencia ―en los términos del artículo 187 ibidem―; esto, en caso de no haber sido advertida al momento de examinar la admisibilidad de la demanda.</w:t>
      </w:r>
    </w:p>
    <w:p w14:paraId="64510DFC" w14:textId="149266F3" w:rsidR="00022ED4" w:rsidRDefault="00022ED4" w:rsidP="00022ED4">
      <w:pPr>
        <w:ind w:right="50"/>
        <w:contextualSpacing/>
        <w:jc w:val="both"/>
        <w:rPr>
          <w:rFonts w:ascii="Arial" w:hAnsi="Arial" w:cs="Arial"/>
          <w:iCs/>
          <w:sz w:val="24"/>
          <w:szCs w:val="24"/>
        </w:rPr>
      </w:pPr>
    </w:p>
    <w:p w14:paraId="4F84290E" w14:textId="55EA1748" w:rsidR="00022ED4" w:rsidRDefault="00022ED4" w:rsidP="00022ED4">
      <w:pPr>
        <w:ind w:right="50"/>
        <w:contextualSpacing/>
        <w:jc w:val="both"/>
        <w:rPr>
          <w:rFonts w:ascii="Arial" w:hAnsi="Arial" w:cs="Arial"/>
          <w:iCs/>
          <w:sz w:val="24"/>
          <w:szCs w:val="24"/>
        </w:rPr>
      </w:pPr>
      <w:r>
        <w:rPr>
          <w:rFonts w:ascii="Arial" w:hAnsi="Arial" w:cs="Arial"/>
          <w:b/>
          <w:iCs/>
          <w:sz w:val="24"/>
          <w:szCs w:val="24"/>
        </w:rPr>
        <w:t>CADUCIDAD /</w:t>
      </w:r>
      <w:r>
        <w:rPr>
          <w:rFonts w:ascii="Arial" w:hAnsi="Arial" w:cs="Arial"/>
          <w:b/>
          <w:iCs/>
          <w:sz w:val="24"/>
          <w:szCs w:val="24"/>
        </w:rPr>
        <w:t xml:space="preserve"> Forma correcta de contabilizar los términos judiciales / Fundamento normativo.</w:t>
      </w:r>
    </w:p>
    <w:p w14:paraId="385D0F3B" w14:textId="651E2E16" w:rsidR="00022ED4" w:rsidRDefault="00022ED4" w:rsidP="00022ED4">
      <w:pPr>
        <w:ind w:right="50"/>
        <w:contextualSpacing/>
        <w:jc w:val="both"/>
        <w:rPr>
          <w:rFonts w:ascii="Arial" w:hAnsi="Arial" w:cs="Arial"/>
          <w:iCs/>
          <w:sz w:val="24"/>
          <w:szCs w:val="24"/>
        </w:rPr>
      </w:pPr>
    </w:p>
    <w:p w14:paraId="51DAF229" w14:textId="257DEE1F" w:rsidR="00022ED4" w:rsidRDefault="00022ED4" w:rsidP="00022ED4">
      <w:pPr>
        <w:ind w:right="50"/>
        <w:contextualSpacing/>
        <w:jc w:val="both"/>
        <w:rPr>
          <w:rFonts w:ascii="Arial" w:hAnsi="Arial" w:cs="Arial"/>
          <w:iCs/>
          <w:sz w:val="24"/>
          <w:szCs w:val="24"/>
        </w:rPr>
      </w:pPr>
      <w:r>
        <w:rPr>
          <w:rFonts w:ascii="Arial" w:hAnsi="Arial" w:cs="Arial"/>
          <w:iCs/>
          <w:sz w:val="24"/>
          <w:szCs w:val="24"/>
        </w:rPr>
        <w:t>C</w:t>
      </w:r>
      <w:r w:rsidRPr="00022ED4">
        <w:rPr>
          <w:rFonts w:ascii="Arial" w:hAnsi="Arial" w:cs="Arial"/>
          <w:iCs/>
          <w:sz w:val="24"/>
          <w:szCs w:val="24"/>
        </w:rPr>
        <w:t xml:space="preserve">on el propósito de establecer la forma correcta de contabilizar los términos judiciales, resulta procedente hacer alusión a lo indicado en los artículos 106 y 118 del CGP ―por remisión del artículo 306 del CPACA―, normas que dispusieron lo siguiente: </w:t>
      </w:r>
      <w:r w:rsidRPr="00022ED4">
        <w:rPr>
          <w:rFonts w:ascii="Arial" w:hAnsi="Arial" w:cs="Arial"/>
          <w:i/>
          <w:iCs/>
          <w:sz w:val="24"/>
          <w:szCs w:val="24"/>
        </w:rPr>
        <w:t>«Artículo 106. Actuación judicial. Las actuaciones, audiencias y diligencias judiciales se adelantarán en días y horas hábiles, sin perjuicio de los casos en que la ley o el juez dispongan realizarlos en horas inhábiles.</w:t>
      </w:r>
      <w:r>
        <w:rPr>
          <w:rFonts w:ascii="Arial" w:hAnsi="Arial" w:cs="Arial"/>
          <w:i/>
          <w:iCs/>
          <w:sz w:val="24"/>
          <w:szCs w:val="24"/>
        </w:rPr>
        <w:t xml:space="preserve"> </w:t>
      </w:r>
      <w:r w:rsidRPr="00022ED4">
        <w:rPr>
          <w:rFonts w:ascii="Arial" w:hAnsi="Arial" w:cs="Arial"/>
          <w:i/>
          <w:iCs/>
          <w:sz w:val="24"/>
          <w:szCs w:val="24"/>
        </w:rPr>
        <w:t>Las audiencias y diligencias iniciadas en hora hábil podrán continuarse en horas inhábiles sin necesidad de habilitación expresa.</w:t>
      </w:r>
      <w:r>
        <w:rPr>
          <w:rFonts w:ascii="Arial" w:hAnsi="Arial" w:cs="Arial"/>
          <w:i/>
          <w:iCs/>
          <w:sz w:val="24"/>
          <w:szCs w:val="24"/>
        </w:rPr>
        <w:t xml:space="preserve"> </w:t>
      </w:r>
      <w:r w:rsidRPr="00022ED4">
        <w:rPr>
          <w:rFonts w:ascii="Arial" w:hAnsi="Arial" w:cs="Arial"/>
          <w:i/>
          <w:iCs/>
          <w:sz w:val="24"/>
          <w:szCs w:val="24"/>
        </w:rPr>
        <w:t xml:space="preserve">(…) </w:t>
      </w:r>
      <w:r>
        <w:rPr>
          <w:rFonts w:ascii="Arial" w:hAnsi="Arial" w:cs="Arial"/>
          <w:i/>
          <w:iCs/>
          <w:sz w:val="24"/>
          <w:szCs w:val="24"/>
        </w:rPr>
        <w:t xml:space="preserve"> </w:t>
      </w:r>
      <w:r w:rsidRPr="00022ED4">
        <w:rPr>
          <w:rFonts w:ascii="Arial" w:hAnsi="Arial" w:cs="Arial"/>
          <w:i/>
          <w:iCs/>
          <w:sz w:val="24"/>
          <w:szCs w:val="24"/>
        </w:rPr>
        <w:t>Artículo 118. Cómputo de términos. (…) 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r>
        <w:rPr>
          <w:rFonts w:ascii="Arial" w:hAnsi="Arial" w:cs="Arial"/>
          <w:i/>
          <w:iCs/>
          <w:sz w:val="24"/>
          <w:szCs w:val="24"/>
        </w:rPr>
        <w:t xml:space="preserve"> </w:t>
      </w:r>
      <w:r w:rsidRPr="00022ED4">
        <w:rPr>
          <w:rFonts w:ascii="Arial" w:hAnsi="Arial" w:cs="Arial"/>
          <w:i/>
          <w:iCs/>
          <w:sz w:val="24"/>
          <w:szCs w:val="24"/>
        </w:rPr>
        <w:t>En los términos de días no se tomarán en cuenta los de vacancia judicial ni aquellos en que por cualquier circunstancia permanezca cerrado el juzgado»</w:t>
      </w:r>
      <w:r>
        <w:rPr>
          <w:rFonts w:ascii="Arial" w:hAnsi="Arial" w:cs="Arial"/>
          <w:iCs/>
          <w:sz w:val="24"/>
          <w:szCs w:val="24"/>
        </w:rPr>
        <w:t xml:space="preserve">. </w:t>
      </w:r>
      <w:r w:rsidRPr="00022ED4">
        <w:rPr>
          <w:rFonts w:ascii="Arial" w:hAnsi="Arial" w:cs="Arial"/>
          <w:iCs/>
          <w:sz w:val="24"/>
          <w:szCs w:val="24"/>
        </w:rPr>
        <w:t xml:space="preserve">Sobre este punto, el Consejo de Estado ha explicado que diferentes circunstancias externas, </w:t>
      </w:r>
      <w:r w:rsidRPr="00022ED4">
        <w:rPr>
          <w:rFonts w:ascii="Arial" w:hAnsi="Arial" w:cs="Arial"/>
          <w:iCs/>
          <w:sz w:val="24"/>
          <w:szCs w:val="24"/>
        </w:rPr>
        <w:lastRenderedPageBreak/>
        <w:t>como la vacancia judicial o los paros ―por ejemplo―, no interrumpen el término de la caducidad, precisando que, en tales eventos, el lapso para interponer la demanda se corre al día hábil siguiente</w:t>
      </w:r>
      <w:r>
        <w:rPr>
          <w:rFonts w:ascii="Arial" w:hAnsi="Arial" w:cs="Arial"/>
          <w:iCs/>
          <w:sz w:val="24"/>
          <w:szCs w:val="24"/>
        </w:rPr>
        <w:t xml:space="preserve"> (…).</w:t>
      </w:r>
    </w:p>
    <w:p w14:paraId="6B24E537" w14:textId="017A538A" w:rsidR="00EA04F0" w:rsidRDefault="00EA04F0" w:rsidP="00022ED4">
      <w:pPr>
        <w:ind w:right="50"/>
        <w:contextualSpacing/>
        <w:jc w:val="both"/>
        <w:rPr>
          <w:rFonts w:ascii="Arial" w:hAnsi="Arial" w:cs="Arial"/>
          <w:iCs/>
          <w:sz w:val="24"/>
          <w:szCs w:val="24"/>
        </w:rPr>
      </w:pPr>
    </w:p>
    <w:p w14:paraId="4CE37F9E" w14:textId="2FFEA64E" w:rsidR="00EA04F0" w:rsidRDefault="00EA04F0" w:rsidP="00022ED4">
      <w:pPr>
        <w:ind w:right="50"/>
        <w:contextualSpacing/>
        <w:jc w:val="both"/>
        <w:rPr>
          <w:rFonts w:ascii="Arial" w:hAnsi="Arial" w:cs="Arial"/>
          <w:iCs/>
          <w:sz w:val="24"/>
          <w:szCs w:val="24"/>
        </w:rPr>
      </w:pPr>
      <w:r>
        <w:rPr>
          <w:rFonts w:ascii="Arial" w:hAnsi="Arial" w:cs="Arial"/>
          <w:b/>
          <w:iCs/>
          <w:sz w:val="24"/>
          <w:szCs w:val="24"/>
        </w:rPr>
        <w:t>CADUCIDAD /</w:t>
      </w:r>
      <w:r>
        <w:rPr>
          <w:rFonts w:ascii="Arial" w:hAnsi="Arial" w:cs="Arial"/>
          <w:b/>
          <w:iCs/>
          <w:sz w:val="24"/>
          <w:szCs w:val="24"/>
        </w:rPr>
        <w:t xml:space="preserve"> Suspensión del término / Regla general.</w:t>
      </w:r>
    </w:p>
    <w:p w14:paraId="79745A33" w14:textId="7FB54DBC" w:rsidR="00EA04F0" w:rsidRDefault="00EA04F0" w:rsidP="00022ED4">
      <w:pPr>
        <w:ind w:right="50"/>
        <w:contextualSpacing/>
        <w:jc w:val="both"/>
        <w:rPr>
          <w:rFonts w:ascii="Arial" w:hAnsi="Arial" w:cs="Arial"/>
          <w:i/>
          <w:iCs/>
          <w:sz w:val="24"/>
          <w:szCs w:val="24"/>
        </w:rPr>
      </w:pPr>
    </w:p>
    <w:p w14:paraId="69742533" w14:textId="60F9F9F2" w:rsidR="00EA04F0" w:rsidRDefault="00EA04F0" w:rsidP="00EA04F0">
      <w:pPr>
        <w:ind w:right="50"/>
        <w:contextualSpacing/>
        <w:jc w:val="both"/>
        <w:rPr>
          <w:rFonts w:ascii="Arial" w:hAnsi="Arial" w:cs="Arial"/>
          <w:i/>
          <w:iCs/>
          <w:sz w:val="24"/>
          <w:szCs w:val="24"/>
        </w:rPr>
      </w:pPr>
      <w:r>
        <w:rPr>
          <w:rFonts w:ascii="Arial" w:hAnsi="Arial" w:cs="Arial"/>
          <w:iCs/>
          <w:sz w:val="24"/>
          <w:szCs w:val="24"/>
        </w:rPr>
        <w:t>E</w:t>
      </w:r>
      <w:r w:rsidRPr="00EA04F0">
        <w:rPr>
          <w:rFonts w:ascii="Arial" w:hAnsi="Arial" w:cs="Arial"/>
          <w:iCs/>
          <w:sz w:val="24"/>
          <w:szCs w:val="24"/>
        </w:rPr>
        <w:t xml:space="preserve">n la sentencia de 4 de junio de </w:t>
      </w:r>
      <w:r w:rsidRPr="00EA04F0">
        <w:rPr>
          <w:rFonts w:ascii="Arial" w:hAnsi="Arial" w:cs="Arial"/>
          <w:iCs/>
          <w:sz w:val="24"/>
          <w:szCs w:val="24"/>
        </w:rPr>
        <w:t>2021,</w:t>
      </w:r>
      <w:r w:rsidRPr="00EA04F0">
        <w:rPr>
          <w:rFonts w:ascii="Arial" w:hAnsi="Arial" w:cs="Arial"/>
          <w:iCs/>
          <w:sz w:val="24"/>
          <w:szCs w:val="24"/>
        </w:rPr>
        <w:t xml:space="preserve"> el Máximo Tribunal de lo contencioso-administrativo anotó lo siguiente, en relación con la suspensión del conteo del término de caducidad: </w:t>
      </w:r>
      <w:r w:rsidRPr="00EA04F0">
        <w:rPr>
          <w:rFonts w:ascii="Arial" w:hAnsi="Arial" w:cs="Arial"/>
          <w:i/>
          <w:iCs/>
          <w:sz w:val="24"/>
          <w:szCs w:val="24"/>
        </w:rPr>
        <w:t>«Dicha figura no admite suspensión, salvo que se presente solicitud de conciliación extrajudicial en derecho, en concordancia con lo previsto por las Leyes 446 de 1998 y 640 de 2001, así como tampoco admite renuncia y, de encontrarse probada, debe ser declarada de oficio por el juez».</w:t>
      </w:r>
    </w:p>
    <w:p w14:paraId="70F69BD1" w14:textId="3FC49823" w:rsidR="00EA04F0" w:rsidRDefault="00EA04F0" w:rsidP="00EA04F0">
      <w:pPr>
        <w:ind w:right="50"/>
        <w:contextualSpacing/>
        <w:jc w:val="both"/>
        <w:rPr>
          <w:rFonts w:ascii="Arial" w:hAnsi="Arial" w:cs="Arial"/>
          <w:i/>
          <w:iCs/>
          <w:sz w:val="24"/>
          <w:szCs w:val="24"/>
        </w:rPr>
      </w:pPr>
    </w:p>
    <w:p w14:paraId="740D5040" w14:textId="0D8F8D2C" w:rsidR="00EA04F0" w:rsidRPr="00EA04F0" w:rsidRDefault="00EA04F0" w:rsidP="00EA04F0">
      <w:pPr>
        <w:ind w:right="50"/>
        <w:contextualSpacing/>
        <w:jc w:val="both"/>
        <w:rPr>
          <w:rFonts w:ascii="Arial" w:hAnsi="Arial" w:cs="Arial"/>
          <w:iCs/>
          <w:sz w:val="24"/>
          <w:szCs w:val="24"/>
        </w:rPr>
      </w:pPr>
      <w:r>
        <w:rPr>
          <w:rFonts w:ascii="Arial" w:hAnsi="Arial" w:cs="Arial"/>
          <w:b/>
          <w:iCs/>
          <w:sz w:val="24"/>
          <w:szCs w:val="24"/>
        </w:rPr>
        <w:t>CADUCIDAD / Suspensión del término /</w:t>
      </w:r>
      <w:r>
        <w:rPr>
          <w:rFonts w:ascii="Arial" w:hAnsi="Arial" w:cs="Arial"/>
          <w:b/>
          <w:iCs/>
          <w:sz w:val="24"/>
          <w:szCs w:val="24"/>
        </w:rPr>
        <w:t xml:space="preserve"> Normas aplicables con ocasión de la emergencia sanitaria generada por la propagación del COVID-19.</w:t>
      </w:r>
    </w:p>
    <w:p w14:paraId="191CD52D" w14:textId="022ACEDB" w:rsidR="00EA04F0" w:rsidRDefault="00EA04F0" w:rsidP="00EA04F0">
      <w:pPr>
        <w:ind w:right="50"/>
        <w:contextualSpacing/>
        <w:jc w:val="both"/>
        <w:rPr>
          <w:rFonts w:ascii="Arial" w:hAnsi="Arial" w:cs="Arial"/>
          <w:iCs/>
          <w:sz w:val="24"/>
          <w:szCs w:val="24"/>
        </w:rPr>
      </w:pPr>
    </w:p>
    <w:p w14:paraId="3F4E612E" w14:textId="21C54AC2" w:rsidR="00EA04F0" w:rsidRDefault="00EA04F0" w:rsidP="00EA04F0">
      <w:pPr>
        <w:ind w:right="50"/>
        <w:contextualSpacing/>
        <w:jc w:val="both"/>
        <w:rPr>
          <w:rFonts w:ascii="Arial" w:hAnsi="Arial" w:cs="Arial"/>
          <w:iCs/>
          <w:sz w:val="24"/>
          <w:szCs w:val="24"/>
        </w:rPr>
      </w:pPr>
      <w:r w:rsidRPr="00EA04F0">
        <w:rPr>
          <w:rFonts w:ascii="Arial" w:hAnsi="Arial" w:cs="Arial"/>
          <w:iCs/>
          <w:sz w:val="24"/>
          <w:szCs w:val="24"/>
        </w:rPr>
        <w:t xml:space="preserve">Sin perjuicio de lo anterior, en el presente caso, es pertinente evocar que el artículo 1 del Decreto 564 de 2020, </w:t>
      </w:r>
      <w:r w:rsidRPr="00EA04F0">
        <w:rPr>
          <w:rFonts w:ascii="Arial" w:hAnsi="Arial" w:cs="Arial"/>
          <w:i/>
          <w:iCs/>
          <w:sz w:val="24"/>
          <w:szCs w:val="24"/>
        </w:rPr>
        <w:t>«[p]</w:t>
      </w:r>
      <w:proofErr w:type="spellStart"/>
      <w:r w:rsidRPr="00EA04F0">
        <w:rPr>
          <w:rFonts w:ascii="Arial" w:hAnsi="Arial" w:cs="Arial"/>
          <w:i/>
          <w:iCs/>
          <w:sz w:val="24"/>
          <w:szCs w:val="24"/>
        </w:rPr>
        <w:t>or</w:t>
      </w:r>
      <w:proofErr w:type="spellEnd"/>
      <w:r w:rsidRPr="00EA04F0">
        <w:rPr>
          <w:rFonts w:ascii="Arial" w:hAnsi="Arial" w:cs="Arial"/>
          <w:i/>
          <w:iCs/>
          <w:sz w:val="24"/>
          <w:szCs w:val="24"/>
        </w:rPr>
        <w:t xml:space="preserve"> el cual se adoptan medidas para la garantía de los derechos de los usuarios del sistema de justicia, en el marco del Estado de Emergencia Económica, Social y Ecológica»</w:t>
      </w:r>
      <w:r w:rsidRPr="00EA04F0">
        <w:rPr>
          <w:rFonts w:ascii="Arial" w:hAnsi="Arial" w:cs="Arial"/>
          <w:iCs/>
          <w:sz w:val="24"/>
          <w:szCs w:val="24"/>
        </w:rPr>
        <w:t>, dispuso ciertas medidas respecto de la suspensión de términos de prescripción y caducidad en el marco de los procesos judiciales de la siguiente manera:</w:t>
      </w:r>
      <w:r>
        <w:rPr>
          <w:rFonts w:ascii="Arial" w:hAnsi="Arial" w:cs="Arial"/>
          <w:iCs/>
          <w:sz w:val="24"/>
          <w:szCs w:val="24"/>
        </w:rPr>
        <w:t xml:space="preserve"> </w:t>
      </w:r>
      <w:r w:rsidRPr="00EA04F0">
        <w:rPr>
          <w:rFonts w:ascii="Arial" w:hAnsi="Arial" w:cs="Arial"/>
          <w:i/>
          <w:iCs/>
          <w:sz w:val="24"/>
          <w:szCs w:val="24"/>
        </w:rPr>
        <w:t>«ARTÍCULO 1. Suspensión de términos de prescripción y caducidad. Los términos de prescripción y de caducidad previstos en cualquier norma sustancial o procesal para ejercer derechos, acciones, medios de control o presentar demandas ante la Rama Judicial o ante los tribunales arbitrales, sean de días, meses o años, se encuentran suspendidos desde el 16 de marzo de 2020 hasta el día que el Consejo Superior de la Judicatura disponga la reanudación de los términos judiciales. (…)”.</w:t>
      </w:r>
      <w:r w:rsidRPr="00EA04F0">
        <w:rPr>
          <w:rFonts w:ascii="Arial" w:hAnsi="Arial" w:cs="Arial"/>
          <w:iCs/>
          <w:sz w:val="24"/>
          <w:szCs w:val="24"/>
        </w:rPr>
        <w:t xml:space="preserve"> En desarrollo de lo anterior, por motivos de salubridad pública y fuerza mayor con ocasión de la pandemia de la COVID-19, el Consejo Superior de la Judicatura suspendió los términos judiciales a partir del 16 de marzo de 2020 ―mediante Acuerdos PCSJA-11517, PCSJA20-11518, PCSJA-11519, PCSJA-11521, PCSJA20-11526, PCSJA-11527, PCSJA-11528, PCSJA-11529, PCSJA-11532, PCSJA-11546, PCSJA-11549, PCSJA-11556 y PCSJA-11567―. Solamente hasta el 27 de mayo de dicha anualidad, el Consejo Superior de la Judicatura determinó ―mediante el Acuerdo PCSJA-11581 de dicha data― que el levantamiento de términos judiciales sería efectivo a partir del 1 de julio de 2020.</w:t>
      </w:r>
      <w:r>
        <w:rPr>
          <w:rFonts w:ascii="Arial" w:hAnsi="Arial" w:cs="Arial"/>
          <w:iCs/>
          <w:sz w:val="24"/>
          <w:szCs w:val="24"/>
        </w:rPr>
        <w:t xml:space="preserve"> (…) </w:t>
      </w:r>
      <w:r w:rsidRPr="00EA04F0">
        <w:rPr>
          <w:rFonts w:ascii="Arial" w:hAnsi="Arial" w:cs="Arial"/>
          <w:iCs/>
          <w:sz w:val="24"/>
          <w:szCs w:val="24"/>
        </w:rPr>
        <w:t>En virtud de los diferentes acuerdos expedidos por el Consejo Superior de la Judicatura, los términos judiciales estuvieron suspendidos desde el 16 de marzo de 2020 hasta el 30 de junio de 2020, reanudándose los mismos a partir del 1 de julio de dicha anualidad.</w:t>
      </w:r>
    </w:p>
    <w:p w14:paraId="28D1C6F9" w14:textId="12CB17C6" w:rsidR="00EA04F0" w:rsidRDefault="00EA04F0" w:rsidP="00EA04F0">
      <w:pPr>
        <w:ind w:right="50"/>
        <w:contextualSpacing/>
        <w:jc w:val="both"/>
        <w:rPr>
          <w:rFonts w:ascii="Arial" w:hAnsi="Arial" w:cs="Arial"/>
          <w:iCs/>
          <w:sz w:val="24"/>
          <w:szCs w:val="24"/>
        </w:rPr>
      </w:pPr>
    </w:p>
    <w:p w14:paraId="145BCE31" w14:textId="0D99A8EB" w:rsidR="00EA04F0" w:rsidRPr="00EA04F0" w:rsidRDefault="00EA04F0" w:rsidP="00EA04F0">
      <w:pPr>
        <w:ind w:right="50"/>
        <w:contextualSpacing/>
        <w:jc w:val="both"/>
        <w:rPr>
          <w:rFonts w:ascii="Arial" w:hAnsi="Arial" w:cs="Arial"/>
          <w:iCs/>
          <w:sz w:val="24"/>
          <w:szCs w:val="24"/>
        </w:rPr>
      </w:pPr>
      <w:r>
        <w:rPr>
          <w:rFonts w:ascii="Arial" w:hAnsi="Arial" w:cs="Arial"/>
          <w:b/>
          <w:iCs/>
          <w:sz w:val="24"/>
          <w:szCs w:val="24"/>
        </w:rPr>
        <w:t>CADUCIDAD DEL MEDIO DE CONTROL DE NULIDAD Y RESTABLECIMIENTO DEL DERECHO CONTRA ACTOS PROFERIDOS ANTES DE LA CELEBRACIÓN DE UN CONTRATO /</w:t>
      </w:r>
      <w:r w:rsidR="00CD41A0">
        <w:rPr>
          <w:rFonts w:ascii="Arial" w:hAnsi="Arial" w:cs="Arial"/>
          <w:b/>
          <w:iCs/>
          <w:sz w:val="24"/>
          <w:szCs w:val="24"/>
        </w:rPr>
        <w:t xml:space="preserve"> Conteo del término de caducidad de actos que fueron expedidos y publicados en debida forma dentro del lapso de suspensión de términos decretado por la emergencia sanitaria.</w:t>
      </w:r>
    </w:p>
    <w:p w14:paraId="6CEE5B73" w14:textId="01FC6740" w:rsidR="00D526F5" w:rsidRDefault="00D526F5" w:rsidP="00C408EF">
      <w:pPr>
        <w:spacing w:line="276" w:lineRule="auto"/>
        <w:ind w:right="50"/>
        <w:contextualSpacing/>
        <w:jc w:val="both"/>
        <w:rPr>
          <w:rFonts w:ascii="Arial" w:hAnsi="Arial" w:cs="Arial"/>
          <w:iCs/>
          <w:sz w:val="24"/>
          <w:szCs w:val="24"/>
        </w:rPr>
      </w:pPr>
    </w:p>
    <w:p w14:paraId="4B11C203" w14:textId="75D6D8BB" w:rsidR="00CD41A0" w:rsidRDefault="00CD41A0" w:rsidP="00C408EF">
      <w:pPr>
        <w:spacing w:line="276" w:lineRule="auto"/>
        <w:ind w:right="50"/>
        <w:contextualSpacing/>
        <w:jc w:val="both"/>
        <w:rPr>
          <w:rFonts w:ascii="Arial" w:hAnsi="Arial" w:cs="Arial"/>
          <w:iCs/>
          <w:sz w:val="24"/>
          <w:szCs w:val="24"/>
        </w:rPr>
      </w:pPr>
      <w:r>
        <w:rPr>
          <w:rFonts w:ascii="Arial" w:hAnsi="Arial" w:cs="Arial"/>
          <w:iCs/>
          <w:sz w:val="24"/>
          <w:szCs w:val="24"/>
        </w:rPr>
        <w:t>L</w:t>
      </w:r>
      <w:r w:rsidRPr="00CD41A0">
        <w:rPr>
          <w:rFonts w:ascii="Arial" w:hAnsi="Arial" w:cs="Arial"/>
          <w:iCs/>
          <w:sz w:val="24"/>
          <w:szCs w:val="24"/>
        </w:rPr>
        <w:t xml:space="preserve">a Sala llega a la conclusión de que, en el presente medio de control, el término de caducidad comenzó a correr a partir del día 1 de julio de 2020; con independencia de que el acto administrativo demandado se haya expedido y publicado ―en debida forma― el 19 de marzo de 2020; y, sin que se desconozca que la resolución que </w:t>
      </w:r>
      <w:r w:rsidRPr="00CD41A0">
        <w:rPr>
          <w:rFonts w:ascii="Arial" w:hAnsi="Arial" w:cs="Arial"/>
          <w:iCs/>
          <w:sz w:val="24"/>
          <w:szCs w:val="24"/>
        </w:rPr>
        <w:lastRenderedPageBreak/>
        <w:t>desató el recurso de reposición y mantuvo la decisión atacada, hoy día, ante la justicia, se emitió el 13 de abril de 2020.</w:t>
      </w:r>
    </w:p>
    <w:p w14:paraId="4E4567CF" w14:textId="57AC3D00" w:rsidR="00CD41A0" w:rsidRDefault="00CD41A0" w:rsidP="00C408EF">
      <w:pPr>
        <w:spacing w:line="276" w:lineRule="auto"/>
        <w:ind w:right="50"/>
        <w:contextualSpacing/>
        <w:jc w:val="both"/>
        <w:rPr>
          <w:rFonts w:ascii="Arial" w:hAnsi="Arial" w:cs="Arial"/>
          <w:iCs/>
          <w:sz w:val="24"/>
          <w:szCs w:val="24"/>
        </w:rPr>
      </w:pPr>
    </w:p>
    <w:p w14:paraId="05AD09D0" w14:textId="165A7390" w:rsidR="00CD41A0" w:rsidRDefault="00CD41A0" w:rsidP="00C408EF">
      <w:pPr>
        <w:spacing w:line="276" w:lineRule="auto"/>
        <w:ind w:right="50"/>
        <w:contextualSpacing/>
        <w:jc w:val="both"/>
        <w:rPr>
          <w:rFonts w:ascii="Arial" w:hAnsi="Arial" w:cs="Arial"/>
          <w:iCs/>
          <w:sz w:val="24"/>
          <w:szCs w:val="24"/>
        </w:rPr>
      </w:pPr>
      <w:r>
        <w:rPr>
          <w:rFonts w:ascii="Arial" w:hAnsi="Arial" w:cs="Arial"/>
          <w:b/>
          <w:iCs/>
          <w:sz w:val="24"/>
          <w:szCs w:val="24"/>
        </w:rPr>
        <w:t>CADUCIDAD DEL MEDIO DE CONTROL DE NULIDAD Y RESTABLECIMIENTO DEL DERECHO CONTRA ACTOS PROFERIDOS ANTES DE LA CELEBRACIÓN DE UN CONTRATO /</w:t>
      </w:r>
      <w:r>
        <w:rPr>
          <w:rFonts w:ascii="Arial" w:hAnsi="Arial" w:cs="Arial"/>
          <w:b/>
          <w:iCs/>
          <w:sz w:val="24"/>
          <w:szCs w:val="24"/>
        </w:rPr>
        <w:t xml:space="preserve"> Presentación de primera demanda no suspende el término de caducidad cuando esta ha sido rechazada.</w:t>
      </w:r>
    </w:p>
    <w:p w14:paraId="10E9CA64" w14:textId="7406298E" w:rsidR="00CD41A0" w:rsidRDefault="00CD41A0" w:rsidP="00C408EF">
      <w:pPr>
        <w:spacing w:line="276" w:lineRule="auto"/>
        <w:ind w:right="50"/>
        <w:contextualSpacing/>
        <w:jc w:val="both"/>
        <w:rPr>
          <w:rFonts w:ascii="Arial" w:hAnsi="Arial" w:cs="Arial"/>
          <w:iCs/>
          <w:sz w:val="24"/>
          <w:szCs w:val="24"/>
        </w:rPr>
      </w:pPr>
    </w:p>
    <w:p w14:paraId="2B751483" w14:textId="2F660E3B" w:rsidR="00CD41A0" w:rsidRDefault="00CD41A0" w:rsidP="00CD41A0">
      <w:pPr>
        <w:spacing w:line="276" w:lineRule="auto"/>
        <w:ind w:right="50"/>
        <w:contextualSpacing/>
        <w:jc w:val="both"/>
        <w:rPr>
          <w:rFonts w:ascii="Arial" w:hAnsi="Arial" w:cs="Arial"/>
          <w:iCs/>
          <w:sz w:val="24"/>
          <w:szCs w:val="24"/>
        </w:rPr>
      </w:pPr>
      <w:r>
        <w:rPr>
          <w:rFonts w:ascii="Arial" w:hAnsi="Arial" w:cs="Arial"/>
          <w:iCs/>
          <w:sz w:val="24"/>
          <w:szCs w:val="24"/>
        </w:rPr>
        <w:t>E</w:t>
      </w:r>
      <w:r w:rsidRPr="00CD41A0">
        <w:rPr>
          <w:rFonts w:ascii="Arial" w:hAnsi="Arial" w:cs="Arial"/>
          <w:iCs/>
          <w:sz w:val="24"/>
          <w:szCs w:val="24"/>
        </w:rPr>
        <w:t xml:space="preserve">n la apelación, el señor Gilberto Hernández Merchán indicó que el término de caducidad también se había suspendido mientras cursó la primera demanda que fue repartida al Juzgado Primero Administrativo de Duitama bajo el radicado 15238-3333-001-2020-00132-00; esto es, desde el 20 de noviembre de 2020 ―momento en que se radicó el citado medio de control― y el 5 de febrero de 2021 ―fecha para la cual se expidió auto que rechazó la demanda por no haberla subsanado―. </w:t>
      </w:r>
      <w:r w:rsidRPr="00CD41A0">
        <w:rPr>
          <w:rFonts w:ascii="Arial" w:hAnsi="Arial" w:cs="Arial"/>
          <w:iCs/>
          <w:sz w:val="24"/>
          <w:szCs w:val="24"/>
        </w:rPr>
        <w:t xml:space="preserve"> </w:t>
      </w:r>
      <w:r w:rsidRPr="00CD41A0">
        <w:rPr>
          <w:rFonts w:ascii="Arial" w:hAnsi="Arial" w:cs="Arial"/>
          <w:iCs/>
          <w:sz w:val="24"/>
          <w:szCs w:val="24"/>
        </w:rPr>
        <w:t>Sobre este punto, la Sala considera que el recurrente no tiene la razón, en la medida que la presentación anterior de un medio de control que haya culminado con un rechazo no está prevista en la ley como una causal que suspenda el término de caducidad.</w:t>
      </w:r>
      <w:r>
        <w:rPr>
          <w:rFonts w:ascii="Arial" w:hAnsi="Arial" w:cs="Arial"/>
          <w:iCs/>
          <w:sz w:val="24"/>
          <w:szCs w:val="24"/>
        </w:rPr>
        <w:t xml:space="preserve"> (…) </w:t>
      </w:r>
      <w:r w:rsidRPr="00CD41A0">
        <w:rPr>
          <w:rFonts w:ascii="Arial" w:hAnsi="Arial" w:cs="Arial"/>
          <w:iCs/>
          <w:sz w:val="24"/>
          <w:szCs w:val="24"/>
        </w:rPr>
        <w:t xml:space="preserve">Es importante resaltar que la anterior postura se inscribió en la misma línea que ya había sido trazada por la providencia emitida el 22 de enero de 2015, por parte del Consejo de Estado, donde se dejó claro que el hecho de que se instaure una nueva demanda no implica </w:t>
      </w:r>
      <w:r w:rsidRPr="00CD41A0">
        <w:rPr>
          <w:rFonts w:ascii="Arial" w:hAnsi="Arial" w:cs="Arial"/>
          <w:i/>
          <w:iCs/>
          <w:sz w:val="24"/>
          <w:szCs w:val="24"/>
        </w:rPr>
        <w:t xml:space="preserve">per </w:t>
      </w:r>
      <w:proofErr w:type="spellStart"/>
      <w:r w:rsidRPr="00CD41A0">
        <w:rPr>
          <w:rFonts w:ascii="Arial" w:hAnsi="Arial" w:cs="Arial"/>
          <w:i/>
          <w:iCs/>
          <w:sz w:val="24"/>
          <w:szCs w:val="24"/>
        </w:rPr>
        <w:t>se</w:t>
      </w:r>
      <w:proofErr w:type="spellEnd"/>
      <w:r w:rsidRPr="00CD41A0">
        <w:rPr>
          <w:rFonts w:ascii="Arial" w:hAnsi="Arial" w:cs="Arial"/>
          <w:iCs/>
          <w:sz w:val="24"/>
          <w:szCs w:val="24"/>
        </w:rPr>
        <w:t xml:space="preserve"> que se suspenda o se interrumpa el término de caducidad del medio de control, razón por la cual ello no conlleva a que, de esa manera, se puedan revivir términos ya fenecidos.</w:t>
      </w:r>
      <w:r>
        <w:rPr>
          <w:rFonts w:ascii="Arial" w:hAnsi="Arial" w:cs="Arial"/>
          <w:iCs/>
          <w:sz w:val="24"/>
          <w:szCs w:val="24"/>
        </w:rPr>
        <w:t xml:space="preserve"> </w:t>
      </w:r>
      <w:r w:rsidRPr="00CD41A0">
        <w:rPr>
          <w:rFonts w:ascii="Arial" w:hAnsi="Arial" w:cs="Arial"/>
          <w:iCs/>
          <w:sz w:val="24"/>
          <w:szCs w:val="24"/>
        </w:rPr>
        <w:t>Así las cosas, es claro que el término de caducidad del presente medio de control no se suspendió entre el 20 de noviembre de 2020 y el 5 de febrero de 2021.</w:t>
      </w:r>
    </w:p>
    <w:p w14:paraId="793CC0AD" w14:textId="2AB8A57C" w:rsidR="00316D8C" w:rsidRDefault="00316D8C" w:rsidP="00CD41A0">
      <w:pPr>
        <w:spacing w:line="276" w:lineRule="auto"/>
        <w:ind w:right="50"/>
        <w:contextualSpacing/>
        <w:jc w:val="both"/>
        <w:rPr>
          <w:rFonts w:ascii="Arial" w:hAnsi="Arial" w:cs="Arial"/>
          <w:iCs/>
          <w:sz w:val="24"/>
          <w:szCs w:val="24"/>
        </w:rPr>
      </w:pPr>
    </w:p>
    <w:p w14:paraId="08B14A9C" w14:textId="2751B1BD" w:rsidR="00316D8C" w:rsidRDefault="00316D8C" w:rsidP="00CD41A0">
      <w:pPr>
        <w:spacing w:line="276" w:lineRule="auto"/>
        <w:ind w:right="50"/>
        <w:contextualSpacing/>
        <w:jc w:val="both"/>
        <w:rPr>
          <w:rFonts w:ascii="Arial" w:hAnsi="Arial" w:cs="Arial"/>
          <w:iCs/>
          <w:sz w:val="24"/>
          <w:szCs w:val="24"/>
        </w:rPr>
      </w:pPr>
      <w:r>
        <w:rPr>
          <w:rFonts w:ascii="Arial" w:hAnsi="Arial" w:cs="Arial"/>
          <w:b/>
          <w:iCs/>
          <w:sz w:val="24"/>
          <w:szCs w:val="24"/>
        </w:rPr>
        <w:t>CADUCIDAD DEL MEDIO DE CONTROL DE NULIDAD Y RESTABLECIMIENTO DEL DERECHO CONTRA ACTOS PROFERIDOS ANTES DE LA CELEBRACIÓN DE UN CONTRATO /</w:t>
      </w:r>
      <w:r>
        <w:rPr>
          <w:rFonts w:ascii="Arial" w:hAnsi="Arial" w:cs="Arial"/>
          <w:b/>
          <w:iCs/>
          <w:sz w:val="24"/>
          <w:szCs w:val="24"/>
        </w:rPr>
        <w:t xml:space="preserve"> Contabilización del término.</w:t>
      </w:r>
    </w:p>
    <w:p w14:paraId="26A2B4C1" w14:textId="4AFD2468" w:rsidR="00316D8C" w:rsidRDefault="00316D8C" w:rsidP="00CD41A0">
      <w:pPr>
        <w:spacing w:line="276" w:lineRule="auto"/>
        <w:ind w:right="50"/>
        <w:contextualSpacing/>
        <w:jc w:val="both"/>
        <w:rPr>
          <w:rFonts w:ascii="Arial" w:hAnsi="Arial" w:cs="Arial"/>
          <w:iCs/>
          <w:sz w:val="24"/>
          <w:szCs w:val="24"/>
        </w:rPr>
      </w:pPr>
    </w:p>
    <w:p w14:paraId="6C6A90E1" w14:textId="06CB135D" w:rsidR="00316D8C" w:rsidRDefault="00316D8C" w:rsidP="00316D8C">
      <w:pPr>
        <w:spacing w:line="276" w:lineRule="auto"/>
        <w:ind w:right="50"/>
        <w:contextualSpacing/>
        <w:jc w:val="both"/>
        <w:rPr>
          <w:rFonts w:ascii="Arial" w:hAnsi="Arial" w:cs="Arial"/>
          <w:iCs/>
          <w:sz w:val="24"/>
          <w:szCs w:val="24"/>
        </w:rPr>
      </w:pPr>
      <w:r w:rsidRPr="00316D8C">
        <w:rPr>
          <w:rFonts w:ascii="Arial" w:hAnsi="Arial" w:cs="Arial"/>
          <w:iCs/>
          <w:sz w:val="24"/>
          <w:szCs w:val="24"/>
        </w:rPr>
        <w:t xml:space="preserve">En el caso bajo estudio, se evidencia que el término de caducidad para demandar la nulidad del acto administrativo atacado ―y el que resolvió el recurso que se interpuso contra el mismo― comenzó a correr a partir del 1 de julio de 2020 y fue suspendido, de forma temporal, el 3 de agosto de 2020, cuando se radicó la solicitud de conciliación extrajudicial ―con el fin de agotar el requisito de procedibilidad previsto en el numeral 1° del artículo 161 del CPACA―. </w:t>
      </w:r>
      <w:r>
        <w:rPr>
          <w:rFonts w:ascii="Arial" w:hAnsi="Arial" w:cs="Arial"/>
          <w:iCs/>
          <w:sz w:val="24"/>
          <w:szCs w:val="24"/>
        </w:rPr>
        <w:t xml:space="preserve"> </w:t>
      </w:r>
      <w:r w:rsidRPr="00316D8C">
        <w:rPr>
          <w:rFonts w:ascii="Arial" w:hAnsi="Arial" w:cs="Arial"/>
          <w:iCs/>
          <w:sz w:val="24"/>
          <w:szCs w:val="24"/>
        </w:rPr>
        <w:t xml:space="preserve">Efectuados los cálculos, se tiene que entre una y otra actuación, transcurrieron 1 mes y 2 días. </w:t>
      </w:r>
      <w:r>
        <w:rPr>
          <w:rFonts w:ascii="Arial" w:hAnsi="Arial" w:cs="Arial"/>
          <w:iCs/>
          <w:sz w:val="24"/>
          <w:szCs w:val="24"/>
        </w:rPr>
        <w:t xml:space="preserve"> </w:t>
      </w:r>
      <w:r w:rsidRPr="00316D8C">
        <w:rPr>
          <w:rFonts w:ascii="Arial" w:hAnsi="Arial" w:cs="Arial"/>
          <w:iCs/>
          <w:sz w:val="24"/>
          <w:szCs w:val="24"/>
        </w:rPr>
        <w:t xml:space="preserve">Ahora bien, la constancia a que se refiere el artículo 2 de la Ley 640 de 2001 fue expedida, por la Procuraduría General de la Nación, el 26 de octubre de 2020. Por su parte, la presente demanda fue radicada hasta el día 15 de febrero de 2021 ―independientemente del hecho de que la misma se haya repartido hasta el día 8 de abril de dicha anualidad―. </w:t>
      </w:r>
      <w:r>
        <w:rPr>
          <w:rFonts w:ascii="Arial" w:hAnsi="Arial" w:cs="Arial"/>
          <w:iCs/>
          <w:sz w:val="24"/>
          <w:szCs w:val="24"/>
        </w:rPr>
        <w:t xml:space="preserve"> </w:t>
      </w:r>
      <w:r w:rsidRPr="00316D8C">
        <w:rPr>
          <w:rFonts w:ascii="Arial" w:hAnsi="Arial" w:cs="Arial"/>
          <w:iCs/>
          <w:sz w:val="24"/>
          <w:szCs w:val="24"/>
        </w:rPr>
        <w:t xml:space="preserve">Lo anterior indica que, a partir del día siguiente al que fue expedida la constancia por parte del Procurador 178 Judicial I para Asuntos Administrativos, hasta que fue radicado el presente medio de control, transcurrió un total de 3 meses y 26 días. </w:t>
      </w:r>
      <w:r>
        <w:rPr>
          <w:rFonts w:ascii="Arial" w:hAnsi="Arial" w:cs="Arial"/>
          <w:iCs/>
          <w:sz w:val="24"/>
          <w:szCs w:val="24"/>
        </w:rPr>
        <w:t xml:space="preserve"> </w:t>
      </w:r>
      <w:r w:rsidRPr="00316D8C">
        <w:rPr>
          <w:rFonts w:ascii="Arial" w:hAnsi="Arial" w:cs="Arial"/>
          <w:iCs/>
          <w:sz w:val="24"/>
          <w:szCs w:val="24"/>
        </w:rPr>
        <w:t xml:space="preserve">De esta manera, se tiene que la demanda fue radicada </w:t>
      </w:r>
      <w:r w:rsidRPr="00316D8C">
        <w:rPr>
          <w:rFonts w:ascii="Arial" w:hAnsi="Arial" w:cs="Arial"/>
          <w:iCs/>
          <w:sz w:val="24"/>
          <w:szCs w:val="24"/>
        </w:rPr>
        <w:lastRenderedPageBreak/>
        <w:t>4 meses y 28 días después de que comenzó a contarse el término de caducidad previsto por el literal c) del numeral 2° del artículo 164 del CPACA; norma que solo otorgaba cuatro meses para la interposición de la demanda en contra «de los actos previos a la celebración del contrato». En consecuencia, si bien es cierto que el a quo erró al considerar que la demanda se había radicado hasta el 8 de abril del de 2021, lo cierto es que su determinación sí fue acertada ya que, según lo expuesto, al momento de su interposición, el medio de control ya se encontraba caduco.</w:t>
      </w:r>
    </w:p>
    <w:p w14:paraId="37B29221" w14:textId="589CD06E" w:rsidR="00316D8C" w:rsidRDefault="00316D8C" w:rsidP="00316D8C">
      <w:pPr>
        <w:spacing w:line="276" w:lineRule="auto"/>
        <w:ind w:right="50"/>
        <w:contextualSpacing/>
        <w:jc w:val="both"/>
        <w:rPr>
          <w:rFonts w:ascii="Arial" w:hAnsi="Arial" w:cs="Arial"/>
          <w:iCs/>
          <w:sz w:val="24"/>
          <w:szCs w:val="24"/>
        </w:rPr>
      </w:pPr>
    </w:p>
    <w:p w14:paraId="12F50101" w14:textId="285C1D4C" w:rsidR="00316D8C" w:rsidRPr="00CD41A0" w:rsidRDefault="00316D8C" w:rsidP="00316D8C">
      <w:pPr>
        <w:spacing w:line="276" w:lineRule="auto"/>
        <w:ind w:right="50"/>
        <w:contextualSpacing/>
        <w:jc w:val="both"/>
        <w:rPr>
          <w:rFonts w:ascii="Arial" w:hAnsi="Arial" w:cs="Arial"/>
          <w:iCs/>
          <w:sz w:val="24"/>
          <w:szCs w:val="24"/>
        </w:rPr>
      </w:pPr>
      <w:bookmarkStart w:id="0" w:name="_GoBack"/>
      <w:r w:rsidRPr="00316D8C">
        <w:rPr>
          <w:rFonts w:ascii="Arial" w:hAnsi="Arial" w:cs="Arial"/>
          <w:b/>
          <w:iCs/>
          <w:sz w:val="24"/>
          <w:szCs w:val="24"/>
        </w:rPr>
        <w:t>NOTA DE RELATORÍA:</w:t>
      </w:r>
      <w:r w:rsidRPr="00316D8C">
        <w:rPr>
          <w:rFonts w:ascii="Arial" w:hAnsi="Arial" w:cs="Arial"/>
          <w:iCs/>
          <w:sz w:val="24"/>
          <w:szCs w:val="24"/>
        </w:rPr>
        <w:t xml:space="preserve"> </w:t>
      </w:r>
      <w:bookmarkEnd w:id="0"/>
      <w:r w:rsidRPr="00316D8C">
        <w:rPr>
          <w:rFonts w:ascii="Arial" w:hAnsi="Arial" w:cs="Arial"/>
          <w:iCs/>
          <w:sz w:val="24"/>
          <w:szCs w:val="24"/>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74CC513" w14:textId="77777777" w:rsidR="00CD41A0" w:rsidRPr="00CD41A0" w:rsidRDefault="00CD41A0" w:rsidP="00CD41A0">
      <w:pPr>
        <w:spacing w:line="276" w:lineRule="auto"/>
        <w:ind w:left="360" w:right="50"/>
        <w:contextualSpacing/>
        <w:jc w:val="both"/>
        <w:rPr>
          <w:rFonts w:ascii="Arial" w:hAnsi="Arial" w:cs="Arial"/>
          <w:iCs/>
          <w:sz w:val="24"/>
          <w:szCs w:val="24"/>
        </w:rPr>
      </w:pPr>
    </w:p>
    <w:p w14:paraId="6EB5DD9A" w14:textId="3B3EA28A" w:rsidR="000740CF" w:rsidRPr="003B2AEA" w:rsidRDefault="000740CF" w:rsidP="00C408EF">
      <w:pPr>
        <w:spacing w:line="276" w:lineRule="auto"/>
        <w:ind w:right="50"/>
        <w:contextualSpacing/>
        <w:jc w:val="both"/>
        <w:rPr>
          <w:rFonts w:ascii="Arial" w:hAnsi="Arial" w:cs="Arial"/>
          <w:iCs/>
          <w:sz w:val="24"/>
          <w:szCs w:val="24"/>
        </w:rPr>
      </w:pPr>
      <w:r w:rsidRPr="003B2AEA">
        <w:rPr>
          <w:rFonts w:ascii="Arial" w:hAnsi="Arial" w:cs="Arial"/>
          <w:iCs/>
          <w:sz w:val="24"/>
          <w:szCs w:val="24"/>
        </w:rPr>
        <w:t>Tunja,</w:t>
      </w:r>
      <w:r w:rsidR="00EA73B8" w:rsidRPr="003B2AEA">
        <w:rPr>
          <w:rFonts w:ascii="Arial" w:hAnsi="Arial" w:cs="Arial"/>
          <w:iCs/>
          <w:sz w:val="24"/>
          <w:szCs w:val="24"/>
        </w:rPr>
        <w:t xml:space="preserve"> </w:t>
      </w:r>
      <w:r w:rsidR="00414663" w:rsidRPr="45151159">
        <w:rPr>
          <w:rFonts w:ascii="Arial" w:hAnsi="Arial" w:cs="Arial"/>
          <w:sz w:val="24"/>
          <w:szCs w:val="24"/>
        </w:rPr>
        <w:t>veinticuatro (24) de febrero de dos mil veintidós (2022)</w:t>
      </w:r>
    </w:p>
    <w:p w14:paraId="7511CEFD" w14:textId="473EAFC7" w:rsidR="00086FF7" w:rsidRPr="003B2AEA" w:rsidRDefault="00086FF7" w:rsidP="00C408EF">
      <w:pPr>
        <w:spacing w:line="276" w:lineRule="auto"/>
        <w:ind w:right="50"/>
        <w:contextualSpacing/>
        <w:jc w:val="both"/>
        <w:rPr>
          <w:rFonts w:ascii="Arial" w:hAnsi="Arial" w:cs="Arial"/>
          <w:iCs/>
          <w:sz w:val="24"/>
          <w:szCs w:val="24"/>
        </w:rPr>
      </w:pPr>
    </w:p>
    <w:p w14:paraId="4BD2CAB6" w14:textId="57F84ABA" w:rsidR="00086FF7" w:rsidRPr="003B2AEA" w:rsidRDefault="00086FF7" w:rsidP="00C408EF">
      <w:pPr>
        <w:spacing w:line="276" w:lineRule="auto"/>
        <w:ind w:right="50"/>
        <w:contextualSpacing/>
        <w:jc w:val="both"/>
        <w:rPr>
          <w:rFonts w:ascii="Arial" w:hAnsi="Arial" w:cs="Arial"/>
          <w:iCs/>
          <w:sz w:val="24"/>
          <w:szCs w:val="24"/>
        </w:rPr>
      </w:pPr>
      <w:r w:rsidRPr="003B2AEA">
        <w:rPr>
          <w:rFonts w:ascii="Arial" w:hAnsi="Arial" w:cs="Arial"/>
          <w:iCs/>
          <w:sz w:val="24"/>
          <w:szCs w:val="24"/>
        </w:rPr>
        <w:t xml:space="preserve">Expediente: </w:t>
      </w:r>
      <w:r w:rsidR="00665EF3" w:rsidRPr="00665EF3">
        <w:rPr>
          <w:rFonts w:ascii="Arial" w:hAnsi="Arial" w:cs="Arial"/>
          <w:iCs/>
          <w:sz w:val="24"/>
          <w:szCs w:val="24"/>
        </w:rPr>
        <w:t>15238-33-33-002-2021-00049-01</w:t>
      </w:r>
    </w:p>
    <w:p w14:paraId="03A26AF4" w14:textId="15EB93D7" w:rsidR="00086FF7" w:rsidRPr="003B2AEA" w:rsidRDefault="00086FF7" w:rsidP="00C408EF">
      <w:pPr>
        <w:spacing w:line="276" w:lineRule="auto"/>
        <w:ind w:right="50"/>
        <w:contextualSpacing/>
        <w:jc w:val="both"/>
        <w:rPr>
          <w:rFonts w:ascii="Arial" w:hAnsi="Arial" w:cs="Arial"/>
          <w:iCs/>
          <w:sz w:val="24"/>
          <w:szCs w:val="24"/>
        </w:rPr>
      </w:pPr>
      <w:r w:rsidRPr="003B2AEA">
        <w:rPr>
          <w:rFonts w:ascii="Arial" w:hAnsi="Arial" w:cs="Arial"/>
          <w:iCs/>
          <w:sz w:val="24"/>
          <w:szCs w:val="24"/>
        </w:rPr>
        <w:t xml:space="preserve">Demandante: </w:t>
      </w:r>
      <w:r w:rsidR="006A10F5" w:rsidRPr="003B2AEA">
        <w:rPr>
          <w:rFonts w:ascii="Arial" w:hAnsi="Arial" w:cs="Arial"/>
          <w:iCs/>
          <w:sz w:val="24"/>
          <w:szCs w:val="24"/>
        </w:rPr>
        <w:t>G</w:t>
      </w:r>
      <w:r w:rsidR="00724ACB">
        <w:rPr>
          <w:rFonts w:ascii="Arial" w:hAnsi="Arial" w:cs="Arial"/>
          <w:iCs/>
          <w:sz w:val="24"/>
          <w:szCs w:val="24"/>
        </w:rPr>
        <w:t>ilberto Hernández Merchán</w:t>
      </w:r>
    </w:p>
    <w:p w14:paraId="24D07ED5" w14:textId="1D31F48C" w:rsidR="00086FF7" w:rsidRPr="003B2AEA" w:rsidRDefault="00086FF7" w:rsidP="00C408EF">
      <w:pPr>
        <w:spacing w:line="276" w:lineRule="auto"/>
        <w:ind w:right="50"/>
        <w:contextualSpacing/>
        <w:jc w:val="both"/>
        <w:rPr>
          <w:rFonts w:ascii="Arial" w:hAnsi="Arial" w:cs="Arial"/>
          <w:iCs/>
          <w:sz w:val="24"/>
          <w:szCs w:val="24"/>
        </w:rPr>
      </w:pPr>
      <w:r w:rsidRPr="003B2AEA">
        <w:rPr>
          <w:rFonts w:ascii="Arial" w:hAnsi="Arial" w:cs="Arial"/>
          <w:iCs/>
          <w:sz w:val="24"/>
          <w:szCs w:val="24"/>
        </w:rPr>
        <w:t xml:space="preserve">Demandado: </w:t>
      </w:r>
      <w:r w:rsidR="00724ACB">
        <w:rPr>
          <w:rFonts w:ascii="Arial" w:hAnsi="Arial" w:cs="Arial"/>
          <w:iCs/>
          <w:sz w:val="24"/>
          <w:szCs w:val="24"/>
        </w:rPr>
        <w:t xml:space="preserve">ESE Salud </w:t>
      </w:r>
      <w:r w:rsidR="001F74CB">
        <w:rPr>
          <w:rFonts w:ascii="Arial" w:hAnsi="Arial" w:cs="Arial"/>
          <w:iCs/>
          <w:sz w:val="24"/>
          <w:szCs w:val="24"/>
        </w:rPr>
        <w:t xml:space="preserve">del </w:t>
      </w:r>
      <w:r w:rsidR="00724ACB">
        <w:rPr>
          <w:rFonts w:ascii="Arial" w:hAnsi="Arial" w:cs="Arial"/>
          <w:iCs/>
          <w:sz w:val="24"/>
          <w:szCs w:val="24"/>
        </w:rPr>
        <w:t>Tundama</w:t>
      </w:r>
    </w:p>
    <w:p w14:paraId="71BAE9C7" w14:textId="40B26FD7" w:rsidR="00086FF7" w:rsidRPr="003B2AEA" w:rsidRDefault="00086FF7" w:rsidP="26A5AAD8">
      <w:pPr>
        <w:spacing w:line="276" w:lineRule="auto"/>
        <w:ind w:right="50"/>
        <w:contextualSpacing/>
        <w:jc w:val="both"/>
        <w:rPr>
          <w:rFonts w:ascii="Arial" w:hAnsi="Arial" w:cs="Arial"/>
          <w:sz w:val="24"/>
          <w:szCs w:val="24"/>
        </w:rPr>
      </w:pPr>
      <w:r w:rsidRPr="26A5AAD8">
        <w:rPr>
          <w:rFonts w:ascii="Arial" w:hAnsi="Arial" w:cs="Arial"/>
          <w:sz w:val="24"/>
          <w:szCs w:val="24"/>
        </w:rPr>
        <w:t>Medio de control</w:t>
      </w:r>
      <w:r w:rsidR="004B70DB" w:rsidRPr="26A5AAD8">
        <w:rPr>
          <w:rFonts w:ascii="Arial" w:hAnsi="Arial" w:cs="Arial"/>
          <w:sz w:val="24"/>
          <w:szCs w:val="24"/>
        </w:rPr>
        <w:t xml:space="preserve">: </w:t>
      </w:r>
      <w:r w:rsidR="006A10F5" w:rsidRPr="26A5AAD8">
        <w:rPr>
          <w:rFonts w:ascii="Arial" w:hAnsi="Arial" w:cs="Arial"/>
          <w:b/>
          <w:bCs/>
          <w:sz w:val="24"/>
          <w:szCs w:val="24"/>
        </w:rPr>
        <w:t xml:space="preserve">Nulidad </w:t>
      </w:r>
      <w:r w:rsidR="001F74CB" w:rsidRPr="26A5AAD8">
        <w:rPr>
          <w:rFonts w:ascii="Arial" w:hAnsi="Arial" w:cs="Arial"/>
          <w:b/>
          <w:bCs/>
          <w:sz w:val="24"/>
          <w:szCs w:val="24"/>
        </w:rPr>
        <w:t>y restablecimiento del derecho</w:t>
      </w:r>
    </w:p>
    <w:p w14:paraId="47E63FED" w14:textId="77777777" w:rsidR="00086FF7" w:rsidRPr="003B2AEA" w:rsidRDefault="00086FF7" w:rsidP="00C408EF">
      <w:pPr>
        <w:spacing w:line="276" w:lineRule="auto"/>
        <w:ind w:right="50"/>
        <w:contextualSpacing/>
        <w:jc w:val="both"/>
        <w:rPr>
          <w:rFonts w:ascii="Arial" w:hAnsi="Arial" w:cs="Arial"/>
          <w:iCs/>
          <w:sz w:val="24"/>
          <w:szCs w:val="24"/>
        </w:rPr>
      </w:pPr>
    </w:p>
    <w:p w14:paraId="4AEA467A" w14:textId="1B9A9D76" w:rsidR="00086FF7" w:rsidRPr="003B2AEA" w:rsidRDefault="000D5513" w:rsidP="00C408EF">
      <w:pPr>
        <w:spacing w:line="276" w:lineRule="auto"/>
        <w:ind w:right="50"/>
        <w:contextualSpacing/>
        <w:jc w:val="both"/>
        <w:rPr>
          <w:rFonts w:ascii="Arial" w:hAnsi="Arial" w:cs="Arial"/>
          <w:iCs/>
          <w:sz w:val="21"/>
          <w:szCs w:val="21"/>
        </w:rPr>
      </w:pPr>
      <w:r w:rsidRPr="003B2AEA">
        <w:rPr>
          <w:rFonts w:ascii="Arial" w:hAnsi="Arial" w:cs="Arial"/>
          <w:iCs/>
          <w:sz w:val="21"/>
          <w:szCs w:val="21"/>
        </w:rPr>
        <w:t>Asunto</w:t>
      </w:r>
      <w:r w:rsidR="00FB1692" w:rsidRPr="003B2AEA">
        <w:rPr>
          <w:rFonts w:ascii="Arial" w:hAnsi="Arial" w:cs="Arial"/>
          <w:iCs/>
          <w:sz w:val="21"/>
          <w:szCs w:val="21"/>
        </w:rPr>
        <w:t xml:space="preserve">: </w:t>
      </w:r>
      <w:r w:rsidR="000125CC" w:rsidRPr="003B2AEA">
        <w:rPr>
          <w:rFonts w:ascii="Arial" w:hAnsi="Arial" w:cs="Arial"/>
          <w:iCs/>
          <w:sz w:val="21"/>
          <w:szCs w:val="21"/>
        </w:rPr>
        <w:t xml:space="preserve">Auto resuelve apelación en contra de providencia que </w:t>
      </w:r>
      <w:r w:rsidR="00326CAF">
        <w:rPr>
          <w:rFonts w:ascii="Arial" w:hAnsi="Arial" w:cs="Arial"/>
          <w:iCs/>
          <w:sz w:val="21"/>
          <w:szCs w:val="21"/>
        </w:rPr>
        <w:t>rechazo la demanda por caducidad</w:t>
      </w:r>
      <w:r w:rsidR="000125CC" w:rsidRPr="003B2AEA">
        <w:rPr>
          <w:rFonts w:ascii="Arial" w:hAnsi="Arial" w:cs="Arial"/>
          <w:iCs/>
          <w:sz w:val="21"/>
          <w:szCs w:val="21"/>
        </w:rPr>
        <w:t xml:space="preserve">. Confirma </w:t>
      </w:r>
      <w:r w:rsidR="00BA3B3E">
        <w:rPr>
          <w:rFonts w:ascii="Arial" w:hAnsi="Arial" w:cs="Arial"/>
          <w:iCs/>
          <w:sz w:val="21"/>
          <w:szCs w:val="21"/>
        </w:rPr>
        <w:t xml:space="preserve">decisión del </w:t>
      </w:r>
      <w:r w:rsidR="00BA3B3E">
        <w:rPr>
          <w:rFonts w:ascii="Arial" w:hAnsi="Arial" w:cs="Arial"/>
          <w:i/>
          <w:iCs/>
          <w:sz w:val="21"/>
          <w:szCs w:val="21"/>
        </w:rPr>
        <w:t>a quo</w:t>
      </w:r>
      <w:r w:rsidR="00EF61BC" w:rsidRPr="003B2AEA">
        <w:rPr>
          <w:rFonts w:ascii="Arial" w:hAnsi="Arial" w:cs="Arial"/>
          <w:iCs/>
          <w:sz w:val="21"/>
          <w:szCs w:val="21"/>
        </w:rPr>
        <w:t>.</w:t>
      </w:r>
      <w:r w:rsidR="00BA3B3E">
        <w:rPr>
          <w:rFonts w:ascii="Arial" w:hAnsi="Arial" w:cs="Arial"/>
          <w:iCs/>
          <w:sz w:val="21"/>
          <w:szCs w:val="21"/>
        </w:rPr>
        <w:t xml:space="preserve"> </w:t>
      </w:r>
    </w:p>
    <w:p w14:paraId="1D526300" w14:textId="77777777" w:rsidR="006C4E48" w:rsidRPr="003B2AEA" w:rsidRDefault="006C4E48" w:rsidP="00C408EF">
      <w:pPr>
        <w:spacing w:line="276" w:lineRule="auto"/>
        <w:ind w:right="50"/>
        <w:contextualSpacing/>
        <w:jc w:val="both"/>
        <w:rPr>
          <w:rFonts w:ascii="Arial" w:hAnsi="Arial" w:cs="Arial"/>
          <w:color w:val="000000"/>
          <w:sz w:val="24"/>
          <w:szCs w:val="24"/>
          <w:highlight w:val="green"/>
        </w:rPr>
      </w:pPr>
    </w:p>
    <w:p w14:paraId="4F2E0405" w14:textId="4870A374" w:rsidR="00226B49" w:rsidRPr="003B2AEA" w:rsidRDefault="00E67162"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sz w:val="24"/>
          <w:szCs w:val="24"/>
        </w:rPr>
        <w:t>E</w:t>
      </w:r>
      <w:r w:rsidR="00A60D81" w:rsidRPr="003B2AEA">
        <w:rPr>
          <w:rFonts w:ascii="Arial" w:hAnsi="Arial" w:cs="Arial"/>
          <w:sz w:val="24"/>
          <w:szCs w:val="24"/>
        </w:rPr>
        <w:t>l proceso ingresa</w:t>
      </w:r>
      <w:r w:rsidR="00341D06" w:rsidRPr="003B2AEA">
        <w:rPr>
          <w:rFonts w:ascii="Arial" w:hAnsi="Arial" w:cs="Arial"/>
          <w:sz w:val="24"/>
          <w:szCs w:val="24"/>
        </w:rPr>
        <w:t xml:space="preserve"> para resolver </w:t>
      </w:r>
      <w:r w:rsidR="005959E3" w:rsidRPr="003B2AEA">
        <w:rPr>
          <w:rFonts w:ascii="Arial" w:hAnsi="Arial" w:cs="Arial"/>
          <w:sz w:val="24"/>
          <w:szCs w:val="24"/>
        </w:rPr>
        <w:t xml:space="preserve">sobre </w:t>
      </w:r>
      <w:r w:rsidR="00341D06" w:rsidRPr="003B2AEA">
        <w:rPr>
          <w:rFonts w:ascii="Arial" w:hAnsi="Arial" w:cs="Arial"/>
          <w:sz w:val="24"/>
          <w:szCs w:val="24"/>
        </w:rPr>
        <w:t xml:space="preserve">el recurso de </w:t>
      </w:r>
      <w:r w:rsidRPr="003B2AEA">
        <w:rPr>
          <w:rFonts w:ascii="Arial" w:hAnsi="Arial" w:cs="Arial"/>
          <w:sz w:val="24"/>
          <w:szCs w:val="24"/>
        </w:rPr>
        <w:t>apelación q</w:t>
      </w:r>
      <w:r w:rsidR="00341D06" w:rsidRPr="003B2AEA">
        <w:rPr>
          <w:rFonts w:ascii="Arial" w:hAnsi="Arial" w:cs="Arial"/>
          <w:sz w:val="24"/>
          <w:szCs w:val="24"/>
        </w:rPr>
        <w:t xml:space="preserve">ue interpuso el apoderado judicial de la </w:t>
      </w:r>
      <w:r w:rsidRPr="003B2AEA">
        <w:rPr>
          <w:rFonts w:ascii="Arial" w:hAnsi="Arial" w:cs="Arial"/>
          <w:sz w:val="24"/>
          <w:szCs w:val="24"/>
        </w:rPr>
        <w:t xml:space="preserve">parte </w:t>
      </w:r>
      <w:r w:rsidR="00025D5A" w:rsidRPr="003B2AEA">
        <w:rPr>
          <w:rFonts w:ascii="Arial" w:hAnsi="Arial" w:cs="Arial"/>
          <w:sz w:val="24"/>
          <w:szCs w:val="24"/>
        </w:rPr>
        <w:t xml:space="preserve">actora </w:t>
      </w:r>
      <w:r w:rsidRPr="003B2AEA">
        <w:rPr>
          <w:rFonts w:ascii="Arial" w:hAnsi="Arial" w:cs="Arial"/>
          <w:sz w:val="24"/>
          <w:szCs w:val="24"/>
        </w:rPr>
        <w:t xml:space="preserve">en contra del auto proferido por el </w:t>
      </w:r>
      <w:r w:rsidR="00EA26F9">
        <w:rPr>
          <w:rFonts w:ascii="Arial" w:hAnsi="Arial" w:cs="Arial"/>
          <w:sz w:val="24"/>
          <w:szCs w:val="24"/>
        </w:rPr>
        <w:t>Juzgado Segundo Administrativo de Duitama</w:t>
      </w:r>
      <w:r w:rsidRPr="003B2AEA">
        <w:rPr>
          <w:rFonts w:ascii="Arial" w:hAnsi="Arial" w:cs="Arial"/>
          <w:sz w:val="24"/>
          <w:szCs w:val="24"/>
        </w:rPr>
        <w:t xml:space="preserve"> que </w:t>
      </w:r>
      <w:r w:rsidR="00EA26F9">
        <w:rPr>
          <w:rFonts w:ascii="Arial" w:hAnsi="Arial" w:cs="Arial"/>
          <w:sz w:val="24"/>
          <w:szCs w:val="24"/>
        </w:rPr>
        <w:t>rechazó la demanda por caducidad</w:t>
      </w:r>
      <w:r w:rsidR="00807E96" w:rsidRPr="003B2AEA">
        <w:rPr>
          <w:rFonts w:ascii="Arial" w:hAnsi="Arial" w:cs="Arial"/>
          <w:sz w:val="24"/>
          <w:szCs w:val="24"/>
        </w:rPr>
        <w:t>.</w:t>
      </w:r>
      <w:r w:rsidR="009305EA" w:rsidRPr="003B2AEA">
        <w:rPr>
          <w:rFonts w:ascii="Arial" w:hAnsi="Arial" w:cs="Arial"/>
          <w:sz w:val="24"/>
          <w:szCs w:val="24"/>
        </w:rPr>
        <w:t xml:space="preserve"> </w:t>
      </w:r>
    </w:p>
    <w:p w14:paraId="20F5C50E" w14:textId="0F9560C9" w:rsidR="00141838" w:rsidRPr="003B2AEA" w:rsidRDefault="00141838" w:rsidP="00C408EF">
      <w:pPr>
        <w:pStyle w:val="Prrafodelista"/>
        <w:spacing w:line="276" w:lineRule="auto"/>
        <w:ind w:left="0" w:right="50"/>
        <w:contextualSpacing/>
        <w:jc w:val="both"/>
        <w:rPr>
          <w:rFonts w:ascii="Arial" w:hAnsi="Arial" w:cs="Arial"/>
          <w:color w:val="000000"/>
          <w:sz w:val="24"/>
          <w:szCs w:val="24"/>
        </w:rPr>
      </w:pPr>
    </w:p>
    <w:p w14:paraId="3F93E5D6" w14:textId="468B0EB5" w:rsidR="00D8377C" w:rsidRPr="003B2AEA" w:rsidRDefault="00397050" w:rsidP="00C408EF">
      <w:pPr>
        <w:spacing w:line="276" w:lineRule="auto"/>
        <w:ind w:right="50"/>
        <w:contextualSpacing/>
        <w:jc w:val="center"/>
        <w:rPr>
          <w:rFonts w:ascii="Arial" w:hAnsi="Arial" w:cs="Arial"/>
          <w:b/>
          <w:color w:val="000000"/>
          <w:sz w:val="24"/>
          <w:szCs w:val="24"/>
        </w:rPr>
      </w:pPr>
      <w:r w:rsidRPr="003B2AEA">
        <w:rPr>
          <w:rFonts w:ascii="Arial" w:hAnsi="Arial" w:cs="Arial"/>
          <w:b/>
          <w:color w:val="000000"/>
          <w:sz w:val="24"/>
          <w:szCs w:val="24"/>
        </w:rPr>
        <w:t>ANTECEDENTES</w:t>
      </w:r>
      <w:r w:rsidR="001A43B1" w:rsidRPr="003B2AEA">
        <w:rPr>
          <w:rFonts w:ascii="Arial" w:hAnsi="Arial" w:cs="Arial"/>
          <w:color w:val="000000"/>
          <w:sz w:val="24"/>
          <w:szCs w:val="24"/>
        </w:rPr>
        <w:t xml:space="preserve"> </w:t>
      </w:r>
    </w:p>
    <w:p w14:paraId="685CBE97" w14:textId="196F8B75" w:rsidR="0037530E" w:rsidRPr="003B2AEA" w:rsidRDefault="0037530E" w:rsidP="00C408EF">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sidRPr="003B2AEA">
        <w:rPr>
          <w:rFonts w:ascii="Arial" w:hAnsi="Arial" w:cs="Arial"/>
          <w:b/>
          <w:bCs/>
          <w:color w:val="000000" w:themeColor="text1"/>
          <w:sz w:val="24"/>
          <w:szCs w:val="24"/>
        </w:rPr>
        <w:t>La demanda</w:t>
      </w:r>
      <w:r w:rsidR="004119FA">
        <w:rPr>
          <w:rStyle w:val="Refdenotaalpie"/>
          <w:rFonts w:ascii="Arial" w:hAnsi="Arial" w:cs="Arial"/>
          <w:b/>
          <w:bCs/>
          <w:color w:val="000000" w:themeColor="text1"/>
          <w:sz w:val="24"/>
          <w:szCs w:val="24"/>
        </w:rPr>
        <w:footnoteReference w:id="1"/>
      </w:r>
    </w:p>
    <w:p w14:paraId="37E1219C" w14:textId="77777777" w:rsidR="0037530E" w:rsidRPr="003B2AEA" w:rsidRDefault="0037530E" w:rsidP="00C408EF">
      <w:pPr>
        <w:pStyle w:val="Prrafodelista"/>
        <w:spacing w:line="276" w:lineRule="auto"/>
        <w:ind w:left="0" w:right="50"/>
        <w:contextualSpacing/>
        <w:jc w:val="both"/>
        <w:rPr>
          <w:rFonts w:ascii="Arial" w:hAnsi="Arial" w:cs="Arial"/>
          <w:color w:val="000000"/>
          <w:sz w:val="24"/>
          <w:szCs w:val="24"/>
        </w:rPr>
      </w:pPr>
    </w:p>
    <w:p w14:paraId="56653540" w14:textId="45CEED40" w:rsidR="003A2BE4" w:rsidRPr="003B2AEA" w:rsidRDefault="004119FA"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L</w:t>
      </w:r>
      <w:r w:rsidR="002B7557" w:rsidRPr="003B2AEA">
        <w:rPr>
          <w:rFonts w:ascii="Arial" w:hAnsi="Arial" w:cs="Arial"/>
          <w:color w:val="000000"/>
          <w:sz w:val="24"/>
          <w:szCs w:val="24"/>
        </w:rPr>
        <w:t xml:space="preserve">a parte actora instauró demanda de </w:t>
      </w:r>
      <w:r>
        <w:rPr>
          <w:rFonts w:ascii="Arial" w:hAnsi="Arial" w:cs="Arial"/>
          <w:color w:val="000000"/>
          <w:sz w:val="24"/>
          <w:szCs w:val="24"/>
        </w:rPr>
        <w:t xml:space="preserve">nulidad y restablecimiento del derecho en contra de </w:t>
      </w:r>
      <w:r w:rsidR="00BF7329">
        <w:rPr>
          <w:rFonts w:ascii="Arial" w:hAnsi="Arial" w:cs="Arial"/>
          <w:color w:val="000000"/>
          <w:sz w:val="24"/>
          <w:szCs w:val="24"/>
        </w:rPr>
        <w:t xml:space="preserve">la ESE Salud del Tundama </w:t>
      </w:r>
      <w:r w:rsidR="003A2BE4" w:rsidRPr="003B2AEA">
        <w:rPr>
          <w:rFonts w:ascii="Arial" w:hAnsi="Arial" w:cs="Arial"/>
          <w:bCs/>
          <w:iCs/>
          <w:color w:val="000000"/>
          <w:sz w:val="24"/>
          <w:szCs w:val="24"/>
        </w:rPr>
        <w:t>con el fin de que se accediera a las siguientes pretensiones:</w:t>
      </w:r>
    </w:p>
    <w:p w14:paraId="629A2B3D" w14:textId="77777777" w:rsidR="003A2BE4" w:rsidRPr="003B2AEA" w:rsidRDefault="003A2BE4" w:rsidP="00C408EF">
      <w:pPr>
        <w:pStyle w:val="Prrafodelista"/>
        <w:spacing w:line="276" w:lineRule="auto"/>
        <w:ind w:left="0" w:right="50"/>
        <w:contextualSpacing/>
        <w:jc w:val="both"/>
        <w:rPr>
          <w:rFonts w:ascii="Arial" w:hAnsi="Arial" w:cs="Arial"/>
          <w:bCs/>
          <w:iCs/>
          <w:color w:val="000000"/>
          <w:sz w:val="24"/>
          <w:szCs w:val="24"/>
        </w:rPr>
      </w:pPr>
    </w:p>
    <w:p w14:paraId="1DFE3112" w14:textId="647F8CA2" w:rsidR="00A23433" w:rsidRDefault="003A2BE4" w:rsidP="00A23433">
      <w:pPr>
        <w:pStyle w:val="Prrafodelista"/>
        <w:spacing w:line="276" w:lineRule="auto"/>
        <w:ind w:right="50"/>
        <w:contextualSpacing/>
        <w:jc w:val="both"/>
        <w:rPr>
          <w:rFonts w:ascii="Arial" w:hAnsi="Arial" w:cs="Arial"/>
          <w:bCs/>
          <w:iCs/>
          <w:color w:val="000000"/>
          <w:sz w:val="21"/>
          <w:szCs w:val="21"/>
        </w:rPr>
      </w:pPr>
      <w:r w:rsidRPr="003B2AEA">
        <w:rPr>
          <w:rFonts w:ascii="Arial" w:hAnsi="Arial" w:cs="Arial"/>
          <w:bCs/>
          <w:iCs/>
          <w:color w:val="000000"/>
          <w:sz w:val="21"/>
          <w:szCs w:val="21"/>
        </w:rPr>
        <w:t>«</w:t>
      </w:r>
      <w:r w:rsidR="00A23433" w:rsidRPr="00A23433">
        <w:rPr>
          <w:rFonts w:ascii="Arial" w:hAnsi="Arial" w:cs="Arial"/>
          <w:bCs/>
          <w:iCs/>
          <w:color w:val="000000"/>
          <w:sz w:val="21"/>
          <w:szCs w:val="21"/>
        </w:rPr>
        <w:t xml:space="preserve">PRIMERO: Se sirva DECLARAR LA NULIDAD ABSOLUTA de </w:t>
      </w:r>
      <w:bookmarkStart w:id="1" w:name="_Hlk95901394"/>
      <w:r w:rsidR="00A23433" w:rsidRPr="00A23433">
        <w:rPr>
          <w:rFonts w:ascii="Arial" w:hAnsi="Arial" w:cs="Arial"/>
          <w:bCs/>
          <w:iCs/>
          <w:color w:val="000000"/>
          <w:sz w:val="21"/>
          <w:szCs w:val="21"/>
        </w:rPr>
        <w:t>la resolución 232 de marzo 19 de 2020</w:t>
      </w:r>
      <w:r w:rsidR="00A23433">
        <w:rPr>
          <w:rFonts w:ascii="Arial" w:hAnsi="Arial" w:cs="Arial"/>
          <w:bCs/>
          <w:iCs/>
          <w:color w:val="000000"/>
          <w:sz w:val="21"/>
          <w:szCs w:val="21"/>
        </w:rPr>
        <w:t xml:space="preserve"> </w:t>
      </w:r>
      <w:r w:rsidR="00A23433" w:rsidRPr="00A23433">
        <w:rPr>
          <w:rFonts w:ascii="Arial" w:hAnsi="Arial" w:cs="Arial"/>
          <w:bCs/>
          <w:iCs/>
          <w:color w:val="000000"/>
          <w:sz w:val="21"/>
          <w:szCs w:val="21"/>
        </w:rPr>
        <w:t>con la cual se DECLARA DESIERTO EL PROCESO de contratación número 00</w:t>
      </w:r>
      <w:r w:rsidR="00A23433">
        <w:rPr>
          <w:rFonts w:ascii="Arial" w:hAnsi="Arial" w:cs="Arial"/>
          <w:bCs/>
          <w:iCs/>
          <w:color w:val="000000"/>
          <w:sz w:val="21"/>
          <w:szCs w:val="21"/>
        </w:rPr>
        <w:t>7-</w:t>
      </w:r>
      <w:r w:rsidR="00A23433" w:rsidRPr="00A23433">
        <w:rPr>
          <w:rFonts w:ascii="Arial" w:hAnsi="Arial" w:cs="Arial"/>
          <w:bCs/>
          <w:iCs/>
          <w:color w:val="000000"/>
          <w:sz w:val="21"/>
          <w:szCs w:val="21"/>
        </w:rPr>
        <w:t xml:space="preserve">2020 cuyo objeto </w:t>
      </w:r>
      <w:r w:rsidR="00A23433">
        <w:rPr>
          <w:rFonts w:ascii="Arial" w:hAnsi="Arial" w:cs="Arial"/>
          <w:bCs/>
          <w:iCs/>
          <w:color w:val="000000"/>
          <w:sz w:val="21"/>
          <w:szCs w:val="21"/>
        </w:rPr>
        <w:t xml:space="preserve">[fue el] </w:t>
      </w:r>
      <w:r w:rsidR="00A23433" w:rsidRPr="00A23433">
        <w:rPr>
          <w:rFonts w:ascii="Arial" w:hAnsi="Arial" w:cs="Arial"/>
          <w:bCs/>
          <w:iCs/>
          <w:color w:val="000000"/>
          <w:sz w:val="21"/>
          <w:szCs w:val="21"/>
        </w:rPr>
        <w:t>SUMINISTRO DE ELEMENTOS DE ASEO Y LIMPIEZA HOSPITALARIA PARA la EMPRESA SOCIAL</w:t>
      </w:r>
      <w:r w:rsidR="00A23433">
        <w:rPr>
          <w:rFonts w:ascii="Arial" w:hAnsi="Arial" w:cs="Arial"/>
          <w:bCs/>
          <w:iCs/>
          <w:color w:val="000000"/>
          <w:sz w:val="21"/>
          <w:szCs w:val="21"/>
        </w:rPr>
        <w:t xml:space="preserve"> </w:t>
      </w:r>
      <w:r w:rsidR="00A23433" w:rsidRPr="00A23433">
        <w:rPr>
          <w:rFonts w:ascii="Arial" w:hAnsi="Arial" w:cs="Arial"/>
          <w:bCs/>
          <w:iCs/>
          <w:color w:val="000000"/>
          <w:sz w:val="21"/>
          <w:szCs w:val="21"/>
        </w:rPr>
        <w:t>DEL ESTADO SALUD DEL TUNDAMA EN EL MUNICIPIO DE DUITAMA DEPARTAMENTO DE BOYA</w:t>
      </w:r>
      <w:r w:rsidR="00A23433">
        <w:rPr>
          <w:rFonts w:ascii="Arial" w:hAnsi="Arial" w:cs="Arial"/>
          <w:bCs/>
          <w:iCs/>
          <w:color w:val="000000"/>
          <w:sz w:val="21"/>
          <w:szCs w:val="21"/>
        </w:rPr>
        <w:t xml:space="preserve">CÁ </w:t>
      </w:r>
      <w:bookmarkEnd w:id="1"/>
      <w:r w:rsidR="00A23433">
        <w:rPr>
          <w:rFonts w:ascii="Arial" w:hAnsi="Arial" w:cs="Arial"/>
          <w:bCs/>
          <w:iCs/>
          <w:color w:val="000000"/>
          <w:sz w:val="21"/>
          <w:szCs w:val="21"/>
        </w:rPr>
        <w:t>(…)</w:t>
      </w:r>
      <w:r w:rsidR="00A23433" w:rsidRPr="00A23433">
        <w:rPr>
          <w:rFonts w:ascii="Arial" w:hAnsi="Arial" w:cs="Arial"/>
          <w:bCs/>
          <w:iCs/>
          <w:color w:val="000000"/>
          <w:sz w:val="21"/>
          <w:szCs w:val="21"/>
        </w:rPr>
        <w:t>.</w:t>
      </w:r>
    </w:p>
    <w:p w14:paraId="77BA5890" w14:textId="42E490F0" w:rsidR="00A23433" w:rsidRDefault="00A23433" w:rsidP="00A23433">
      <w:pPr>
        <w:pStyle w:val="Prrafodelista"/>
        <w:spacing w:line="276" w:lineRule="auto"/>
        <w:ind w:right="50"/>
        <w:contextualSpacing/>
        <w:jc w:val="both"/>
        <w:rPr>
          <w:rFonts w:ascii="Arial" w:hAnsi="Arial" w:cs="Arial"/>
          <w:bCs/>
          <w:iCs/>
          <w:color w:val="000000"/>
          <w:sz w:val="21"/>
          <w:szCs w:val="21"/>
        </w:rPr>
      </w:pPr>
    </w:p>
    <w:p w14:paraId="0BBA263E" w14:textId="6EF04938" w:rsidR="00A23433" w:rsidRPr="00A23433" w:rsidRDefault="00A23433" w:rsidP="00A23433">
      <w:pPr>
        <w:pStyle w:val="Prrafodelista"/>
        <w:spacing w:line="276" w:lineRule="auto"/>
        <w:ind w:right="50"/>
        <w:contextualSpacing/>
        <w:jc w:val="both"/>
        <w:rPr>
          <w:rFonts w:ascii="Arial" w:hAnsi="Arial" w:cs="Arial"/>
          <w:bCs/>
          <w:iCs/>
          <w:color w:val="000000"/>
          <w:sz w:val="21"/>
          <w:szCs w:val="21"/>
        </w:rPr>
      </w:pPr>
      <w:r w:rsidRPr="00A23433">
        <w:rPr>
          <w:rFonts w:ascii="Arial" w:hAnsi="Arial" w:cs="Arial"/>
          <w:bCs/>
          <w:iCs/>
          <w:color w:val="000000"/>
          <w:sz w:val="21"/>
          <w:szCs w:val="21"/>
        </w:rPr>
        <w:lastRenderedPageBreak/>
        <w:t xml:space="preserve">SEGUNDO: </w:t>
      </w:r>
      <w:r>
        <w:rPr>
          <w:rFonts w:ascii="Arial" w:hAnsi="Arial" w:cs="Arial"/>
          <w:bCs/>
          <w:iCs/>
          <w:color w:val="000000"/>
          <w:sz w:val="21"/>
          <w:szCs w:val="21"/>
        </w:rPr>
        <w:t>[S]</w:t>
      </w:r>
      <w:r w:rsidRPr="00A23433">
        <w:rPr>
          <w:rFonts w:ascii="Arial" w:hAnsi="Arial" w:cs="Arial"/>
          <w:bCs/>
          <w:iCs/>
          <w:color w:val="000000"/>
          <w:sz w:val="21"/>
          <w:szCs w:val="21"/>
        </w:rPr>
        <w:t>e DECLARE que la propuesta ganadora de la subasta inversa presencial de la invitación 007-2020</w:t>
      </w:r>
      <w:r>
        <w:rPr>
          <w:rFonts w:ascii="Arial" w:hAnsi="Arial" w:cs="Arial"/>
          <w:bCs/>
          <w:iCs/>
          <w:color w:val="000000"/>
          <w:sz w:val="21"/>
          <w:szCs w:val="21"/>
        </w:rPr>
        <w:t>[,]</w:t>
      </w:r>
      <w:r w:rsidRPr="00A23433">
        <w:rPr>
          <w:rFonts w:ascii="Arial" w:hAnsi="Arial" w:cs="Arial"/>
          <w:bCs/>
          <w:iCs/>
          <w:color w:val="000000"/>
          <w:sz w:val="21"/>
          <w:szCs w:val="21"/>
        </w:rPr>
        <w:t xml:space="preserve"> al ser la de menor </w:t>
      </w:r>
      <w:proofErr w:type="gramStart"/>
      <w:r w:rsidRPr="00A23433">
        <w:rPr>
          <w:rFonts w:ascii="Arial" w:hAnsi="Arial" w:cs="Arial"/>
          <w:bCs/>
          <w:iCs/>
          <w:color w:val="000000"/>
          <w:sz w:val="21"/>
          <w:szCs w:val="21"/>
        </w:rPr>
        <w:t>precio</w:t>
      </w:r>
      <w:r>
        <w:rPr>
          <w:rFonts w:ascii="Arial" w:hAnsi="Arial" w:cs="Arial"/>
          <w:bCs/>
          <w:iCs/>
          <w:color w:val="000000"/>
          <w:sz w:val="21"/>
          <w:szCs w:val="21"/>
        </w:rPr>
        <w:t>[</w:t>
      </w:r>
      <w:proofErr w:type="gramEnd"/>
      <w:r>
        <w:rPr>
          <w:rFonts w:ascii="Arial" w:hAnsi="Arial" w:cs="Arial"/>
          <w:bCs/>
          <w:iCs/>
          <w:color w:val="000000"/>
          <w:sz w:val="21"/>
          <w:szCs w:val="21"/>
        </w:rPr>
        <w:t>,]</w:t>
      </w:r>
      <w:r w:rsidRPr="00A23433">
        <w:rPr>
          <w:rFonts w:ascii="Arial" w:hAnsi="Arial" w:cs="Arial"/>
          <w:bCs/>
          <w:iCs/>
          <w:color w:val="000000"/>
          <w:sz w:val="21"/>
          <w:szCs w:val="21"/>
        </w:rPr>
        <w:t xml:space="preserve"> e</w:t>
      </w:r>
      <w:r>
        <w:rPr>
          <w:rFonts w:ascii="Arial" w:hAnsi="Arial" w:cs="Arial"/>
          <w:bCs/>
          <w:iCs/>
          <w:color w:val="000000"/>
          <w:sz w:val="21"/>
          <w:szCs w:val="21"/>
        </w:rPr>
        <w:t>[</w:t>
      </w:r>
      <w:proofErr w:type="spellStart"/>
      <w:r>
        <w:rPr>
          <w:rFonts w:ascii="Arial" w:hAnsi="Arial" w:cs="Arial"/>
          <w:bCs/>
          <w:iCs/>
          <w:color w:val="000000"/>
          <w:sz w:val="21"/>
          <w:szCs w:val="21"/>
        </w:rPr>
        <w:t>ra</w:t>
      </w:r>
      <w:proofErr w:type="spellEnd"/>
      <w:r>
        <w:rPr>
          <w:rFonts w:ascii="Arial" w:hAnsi="Arial" w:cs="Arial"/>
          <w:bCs/>
          <w:iCs/>
          <w:color w:val="000000"/>
          <w:sz w:val="21"/>
          <w:szCs w:val="21"/>
        </w:rPr>
        <w:t xml:space="preserve">] </w:t>
      </w:r>
      <w:r w:rsidRPr="00A23433">
        <w:rPr>
          <w:rFonts w:ascii="Arial" w:hAnsi="Arial" w:cs="Arial"/>
          <w:bCs/>
          <w:iCs/>
          <w:color w:val="000000"/>
          <w:sz w:val="21"/>
          <w:szCs w:val="21"/>
        </w:rPr>
        <w:t>la propues</w:t>
      </w:r>
      <w:r>
        <w:rPr>
          <w:rFonts w:ascii="Arial" w:hAnsi="Arial" w:cs="Arial"/>
          <w:bCs/>
          <w:iCs/>
          <w:color w:val="000000"/>
          <w:sz w:val="21"/>
          <w:szCs w:val="21"/>
        </w:rPr>
        <w:t>t</w:t>
      </w:r>
      <w:r w:rsidRPr="00A23433">
        <w:rPr>
          <w:rFonts w:ascii="Arial" w:hAnsi="Arial" w:cs="Arial"/>
          <w:bCs/>
          <w:iCs/>
          <w:color w:val="000000"/>
          <w:sz w:val="21"/>
          <w:szCs w:val="21"/>
        </w:rPr>
        <w:t>a presentada legalmente por GILBERTO HERNÁNDEZ</w:t>
      </w:r>
      <w:r>
        <w:rPr>
          <w:rFonts w:ascii="Arial" w:hAnsi="Arial" w:cs="Arial"/>
          <w:bCs/>
          <w:iCs/>
          <w:color w:val="000000"/>
          <w:sz w:val="21"/>
          <w:szCs w:val="21"/>
        </w:rPr>
        <w:t xml:space="preserve"> </w:t>
      </w:r>
      <w:r w:rsidRPr="00A23433">
        <w:rPr>
          <w:rFonts w:ascii="Arial" w:hAnsi="Arial" w:cs="Arial"/>
          <w:bCs/>
          <w:iCs/>
          <w:color w:val="000000"/>
          <w:sz w:val="21"/>
          <w:szCs w:val="21"/>
        </w:rPr>
        <w:t>MERCHÁN.</w:t>
      </w:r>
    </w:p>
    <w:p w14:paraId="35F16DB4" w14:textId="77777777" w:rsidR="00FE5370" w:rsidRDefault="00FE5370" w:rsidP="00A23433">
      <w:pPr>
        <w:pStyle w:val="Prrafodelista"/>
        <w:spacing w:line="276" w:lineRule="auto"/>
        <w:ind w:right="50"/>
        <w:contextualSpacing/>
        <w:jc w:val="both"/>
        <w:rPr>
          <w:rFonts w:ascii="Arial" w:hAnsi="Arial" w:cs="Arial"/>
          <w:bCs/>
          <w:iCs/>
          <w:color w:val="000000"/>
          <w:sz w:val="21"/>
          <w:szCs w:val="21"/>
        </w:rPr>
      </w:pPr>
    </w:p>
    <w:p w14:paraId="62A1321E" w14:textId="77777777" w:rsidR="00FE5370" w:rsidRDefault="00A23433" w:rsidP="00FE5370">
      <w:pPr>
        <w:pStyle w:val="Prrafodelista"/>
        <w:spacing w:line="276" w:lineRule="auto"/>
        <w:ind w:right="50"/>
        <w:contextualSpacing/>
        <w:jc w:val="both"/>
        <w:rPr>
          <w:rFonts w:ascii="Arial" w:hAnsi="Arial" w:cs="Arial"/>
          <w:bCs/>
          <w:iCs/>
          <w:color w:val="000000"/>
          <w:sz w:val="21"/>
          <w:szCs w:val="21"/>
        </w:rPr>
      </w:pPr>
      <w:r w:rsidRPr="00A23433">
        <w:rPr>
          <w:rFonts w:ascii="Arial" w:hAnsi="Arial" w:cs="Arial"/>
          <w:bCs/>
          <w:iCs/>
          <w:color w:val="000000"/>
          <w:sz w:val="21"/>
          <w:szCs w:val="21"/>
        </w:rPr>
        <w:t xml:space="preserve">TERCERO: Como </w:t>
      </w:r>
      <w:r w:rsidR="00FE5370">
        <w:rPr>
          <w:rFonts w:ascii="Arial" w:hAnsi="Arial" w:cs="Arial"/>
          <w:bCs/>
          <w:iCs/>
          <w:color w:val="000000"/>
          <w:sz w:val="21"/>
          <w:szCs w:val="21"/>
        </w:rPr>
        <w:t xml:space="preserve">consecuencia </w:t>
      </w:r>
      <w:r w:rsidRPr="00A23433">
        <w:rPr>
          <w:rFonts w:ascii="Arial" w:hAnsi="Arial" w:cs="Arial"/>
          <w:bCs/>
          <w:iCs/>
          <w:color w:val="000000"/>
          <w:sz w:val="21"/>
          <w:szCs w:val="21"/>
        </w:rPr>
        <w:t>de la anterior declaración, se condene EMPRESA SOCIAL DEL</w:t>
      </w:r>
      <w:r w:rsidR="00FE5370">
        <w:rPr>
          <w:rFonts w:ascii="Arial" w:hAnsi="Arial" w:cs="Arial"/>
          <w:bCs/>
          <w:iCs/>
          <w:color w:val="000000"/>
          <w:sz w:val="21"/>
          <w:szCs w:val="21"/>
        </w:rPr>
        <w:t xml:space="preserve"> </w:t>
      </w:r>
      <w:r w:rsidRPr="00A23433">
        <w:rPr>
          <w:rFonts w:ascii="Arial" w:hAnsi="Arial" w:cs="Arial"/>
          <w:bCs/>
          <w:iCs/>
          <w:color w:val="000000"/>
          <w:sz w:val="21"/>
          <w:szCs w:val="21"/>
        </w:rPr>
        <w:t>ESTADO SALUD DEL TUNDAMA, pagar por los da</w:t>
      </w:r>
      <w:r w:rsidR="00FE5370">
        <w:rPr>
          <w:rFonts w:ascii="Arial" w:hAnsi="Arial" w:cs="Arial"/>
          <w:bCs/>
          <w:iCs/>
          <w:color w:val="000000"/>
          <w:sz w:val="21"/>
          <w:szCs w:val="21"/>
        </w:rPr>
        <w:t xml:space="preserve">ños </w:t>
      </w:r>
      <w:r w:rsidRPr="00A23433">
        <w:rPr>
          <w:rFonts w:ascii="Arial" w:hAnsi="Arial" w:cs="Arial"/>
          <w:bCs/>
          <w:iCs/>
          <w:color w:val="000000"/>
          <w:sz w:val="21"/>
          <w:szCs w:val="21"/>
        </w:rPr>
        <w:t xml:space="preserve">causados en calidad de RESTABLECIMIENTO </w:t>
      </w:r>
      <w:r w:rsidR="00FE5370">
        <w:rPr>
          <w:rFonts w:ascii="Arial" w:hAnsi="Arial" w:cs="Arial"/>
          <w:bCs/>
          <w:iCs/>
          <w:color w:val="000000"/>
          <w:sz w:val="21"/>
          <w:szCs w:val="21"/>
        </w:rPr>
        <w:t xml:space="preserve">DEL </w:t>
      </w:r>
      <w:r w:rsidRPr="00A23433">
        <w:rPr>
          <w:rFonts w:ascii="Arial" w:hAnsi="Arial" w:cs="Arial"/>
          <w:bCs/>
          <w:iCs/>
          <w:color w:val="000000"/>
          <w:sz w:val="21"/>
          <w:szCs w:val="21"/>
        </w:rPr>
        <w:t>DERECHO</w:t>
      </w:r>
      <w:r w:rsidR="00FE5370">
        <w:rPr>
          <w:rFonts w:ascii="Arial" w:hAnsi="Arial" w:cs="Arial"/>
          <w:bCs/>
          <w:iCs/>
          <w:color w:val="000000"/>
          <w:sz w:val="21"/>
          <w:szCs w:val="21"/>
        </w:rPr>
        <w:t xml:space="preserve"> (…)</w:t>
      </w:r>
    </w:p>
    <w:p w14:paraId="4844AD30" w14:textId="77777777" w:rsidR="00FE5370" w:rsidRDefault="00FE5370" w:rsidP="00FE5370">
      <w:pPr>
        <w:pStyle w:val="Prrafodelista"/>
        <w:spacing w:line="276" w:lineRule="auto"/>
        <w:ind w:right="50"/>
        <w:contextualSpacing/>
        <w:jc w:val="both"/>
        <w:rPr>
          <w:rFonts w:ascii="Arial" w:hAnsi="Arial" w:cs="Arial"/>
          <w:bCs/>
          <w:iCs/>
          <w:color w:val="000000"/>
          <w:sz w:val="21"/>
          <w:szCs w:val="21"/>
        </w:rPr>
      </w:pPr>
    </w:p>
    <w:p w14:paraId="4CB03903" w14:textId="0036D747" w:rsidR="00A23433" w:rsidRDefault="00A23433" w:rsidP="005216E7">
      <w:pPr>
        <w:pStyle w:val="Prrafodelista"/>
        <w:spacing w:line="276" w:lineRule="auto"/>
        <w:ind w:right="50"/>
        <w:contextualSpacing/>
        <w:jc w:val="both"/>
        <w:rPr>
          <w:rFonts w:ascii="Arial" w:hAnsi="Arial" w:cs="Arial"/>
          <w:bCs/>
          <w:iCs/>
          <w:color w:val="000000"/>
          <w:sz w:val="21"/>
          <w:szCs w:val="21"/>
        </w:rPr>
      </w:pPr>
      <w:r w:rsidRPr="00A23433">
        <w:rPr>
          <w:rFonts w:ascii="Arial" w:hAnsi="Arial" w:cs="Arial"/>
          <w:bCs/>
          <w:iCs/>
          <w:color w:val="000000"/>
          <w:sz w:val="21"/>
          <w:szCs w:val="21"/>
        </w:rPr>
        <w:t>CUARTO: Que se condene a la EMPRESA SOCIAL DEL ESTADO SALUD DEL TUNDAMA por los</w:t>
      </w:r>
      <w:r w:rsidR="00FE5370">
        <w:rPr>
          <w:rFonts w:ascii="Arial" w:hAnsi="Arial" w:cs="Arial"/>
          <w:bCs/>
          <w:iCs/>
          <w:color w:val="000000"/>
          <w:sz w:val="21"/>
          <w:szCs w:val="21"/>
        </w:rPr>
        <w:t xml:space="preserve"> </w:t>
      </w:r>
      <w:r w:rsidRPr="00A23433">
        <w:rPr>
          <w:rFonts w:ascii="Arial" w:hAnsi="Arial" w:cs="Arial"/>
          <w:bCs/>
          <w:iCs/>
          <w:color w:val="000000"/>
          <w:sz w:val="21"/>
          <w:szCs w:val="21"/>
        </w:rPr>
        <w:t>perjuicios causados como consecuencia de la p</w:t>
      </w:r>
      <w:r w:rsidR="00FE5370">
        <w:rPr>
          <w:rFonts w:ascii="Arial" w:hAnsi="Arial" w:cs="Arial"/>
          <w:bCs/>
          <w:iCs/>
          <w:color w:val="000000"/>
          <w:sz w:val="21"/>
          <w:szCs w:val="21"/>
        </w:rPr>
        <w:t>é</w:t>
      </w:r>
      <w:r w:rsidRPr="00A23433">
        <w:rPr>
          <w:rFonts w:ascii="Arial" w:hAnsi="Arial" w:cs="Arial"/>
          <w:bCs/>
          <w:iCs/>
          <w:color w:val="000000"/>
          <w:sz w:val="21"/>
          <w:szCs w:val="21"/>
        </w:rPr>
        <w:t>rdida de oportunidad de ejecución del contrato, que reduce</w:t>
      </w:r>
      <w:r w:rsidR="00FE5370">
        <w:rPr>
          <w:rFonts w:ascii="Arial" w:hAnsi="Arial" w:cs="Arial"/>
          <w:bCs/>
          <w:iCs/>
          <w:color w:val="000000"/>
          <w:sz w:val="21"/>
          <w:szCs w:val="21"/>
        </w:rPr>
        <w:t xml:space="preserve"> </w:t>
      </w:r>
      <w:r w:rsidRPr="00A23433">
        <w:rPr>
          <w:rFonts w:ascii="Arial" w:hAnsi="Arial" w:cs="Arial"/>
          <w:bCs/>
          <w:iCs/>
          <w:color w:val="000000"/>
          <w:sz w:val="21"/>
          <w:szCs w:val="21"/>
        </w:rPr>
        <w:t>la capacidad de contratación, y experiencia, en el grupo y especialidad a que se refiere el contrato licitado,</w:t>
      </w:r>
      <w:r w:rsidR="00FE5370">
        <w:rPr>
          <w:rFonts w:ascii="Arial" w:hAnsi="Arial" w:cs="Arial"/>
          <w:bCs/>
          <w:iCs/>
          <w:color w:val="000000"/>
          <w:sz w:val="21"/>
          <w:szCs w:val="21"/>
        </w:rPr>
        <w:t xml:space="preserve"> </w:t>
      </w:r>
      <w:r w:rsidRPr="00A23433">
        <w:rPr>
          <w:rFonts w:ascii="Arial" w:hAnsi="Arial" w:cs="Arial"/>
          <w:bCs/>
          <w:iCs/>
          <w:color w:val="000000"/>
          <w:sz w:val="21"/>
          <w:szCs w:val="21"/>
        </w:rPr>
        <w:t>objeto de la presente acción, y que hace parte del RUP</w:t>
      </w:r>
      <w:r w:rsidR="005216E7">
        <w:rPr>
          <w:rFonts w:ascii="Arial" w:hAnsi="Arial" w:cs="Arial"/>
          <w:bCs/>
          <w:iCs/>
          <w:color w:val="000000"/>
          <w:sz w:val="21"/>
          <w:szCs w:val="21"/>
        </w:rPr>
        <w:t xml:space="preserve"> (…). </w:t>
      </w:r>
    </w:p>
    <w:p w14:paraId="52ED72F2" w14:textId="7A5F8892" w:rsidR="005216E7" w:rsidRDefault="005216E7" w:rsidP="005216E7">
      <w:pPr>
        <w:pStyle w:val="Prrafodelista"/>
        <w:spacing w:line="276" w:lineRule="auto"/>
        <w:ind w:right="50"/>
        <w:contextualSpacing/>
        <w:jc w:val="both"/>
        <w:rPr>
          <w:rFonts w:ascii="Arial" w:hAnsi="Arial" w:cs="Arial"/>
          <w:bCs/>
          <w:iCs/>
          <w:color w:val="000000"/>
          <w:sz w:val="21"/>
          <w:szCs w:val="21"/>
        </w:rPr>
      </w:pPr>
    </w:p>
    <w:p w14:paraId="25CEAFA1" w14:textId="0803A10C" w:rsidR="00A23433" w:rsidRDefault="00A23433" w:rsidP="00A23433">
      <w:pPr>
        <w:pStyle w:val="Prrafodelista"/>
        <w:spacing w:line="276" w:lineRule="auto"/>
        <w:ind w:right="50"/>
        <w:contextualSpacing/>
        <w:jc w:val="both"/>
        <w:rPr>
          <w:rFonts w:ascii="Arial" w:hAnsi="Arial" w:cs="Arial"/>
          <w:bCs/>
          <w:iCs/>
          <w:color w:val="000000"/>
          <w:sz w:val="21"/>
          <w:szCs w:val="21"/>
        </w:rPr>
      </w:pPr>
      <w:r w:rsidRPr="00A23433">
        <w:rPr>
          <w:rFonts w:ascii="Arial" w:hAnsi="Arial" w:cs="Arial"/>
          <w:bCs/>
          <w:iCs/>
          <w:color w:val="000000"/>
          <w:sz w:val="21"/>
          <w:szCs w:val="21"/>
        </w:rPr>
        <w:t xml:space="preserve">QUINTO: </w:t>
      </w:r>
      <w:r w:rsidR="005216E7">
        <w:rPr>
          <w:rFonts w:ascii="Arial" w:hAnsi="Arial" w:cs="Arial"/>
          <w:bCs/>
          <w:iCs/>
          <w:color w:val="000000"/>
          <w:sz w:val="21"/>
          <w:szCs w:val="21"/>
        </w:rPr>
        <w:t>[Q]</w:t>
      </w:r>
      <w:proofErr w:type="spellStart"/>
      <w:r w:rsidRPr="00A23433">
        <w:rPr>
          <w:rFonts w:ascii="Arial" w:hAnsi="Arial" w:cs="Arial"/>
          <w:bCs/>
          <w:iCs/>
          <w:color w:val="000000"/>
          <w:sz w:val="21"/>
          <w:szCs w:val="21"/>
        </w:rPr>
        <w:t>ue</w:t>
      </w:r>
      <w:proofErr w:type="spellEnd"/>
      <w:r w:rsidRPr="00A23433">
        <w:rPr>
          <w:rFonts w:ascii="Arial" w:hAnsi="Arial" w:cs="Arial"/>
          <w:bCs/>
          <w:iCs/>
          <w:color w:val="000000"/>
          <w:sz w:val="21"/>
          <w:szCs w:val="21"/>
        </w:rPr>
        <w:t xml:space="preserve"> se ordene actualizar los valores o sumas de dinero reconocidos en la sentencia a mi favor,</w:t>
      </w:r>
      <w:r w:rsidR="005216E7">
        <w:rPr>
          <w:rFonts w:ascii="Arial" w:hAnsi="Arial" w:cs="Arial"/>
          <w:bCs/>
          <w:iCs/>
          <w:color w:val="000000"/>
          <w:sz w:val="21"/>
          <w:szCs w:val="21"/>
        </w:rPr>
        <w:t xml:space="preserve"> </w:t>
      </w:r>
      <w:r w:rsidRPr="00A23433">
        <w:rPr>
          <w:rFonts w:ascii="Arial" w:hAnsi="Arial" w:cs="Arial"/>
          <w:bCs/>
          <w:iCs/>
          <w:color w:val="000000"/>
          <w:sz w:val="21"/>
          <w:szCs w:val="21"/>
        </w:rPr>
        <w:t xml:space="preserve">teniendo en cuenta la variación del </w:t>
      </w:r>
      <w:r w:rsidR="005216E7">
        <w:rPr>
          <w:rFonts w:ascii="Arial" w:hAnsi="Arial" w:cs="Arial"/>
          <w:bCs/>
          <w:iCs/>
          <w:color w:val="000000"/>
          <w:sz w:val="21"/>
          <w:szCs w:val="21"/>
        </w:rPr>
        <w:t>[í]</w:t>
      </w:r>
      <w:proofErr w:type="spellStart"/>
      <w:r w:rsidR="005216E7" w:rsidRPr="00A23433">
        <w:rPr>
          <w:rFonts w:ascii="Arial" w:hAnsi="Arial" w:cs="Arial"/>
          <w:bCs/>
          <w:iCs/>
          <w:color w:val="000000"/>
          <w:sz w:val="21"/>
          <w:szCs w:val="21"/>
        </w:rPr>
        <w:t>ndice</w:t>
      </w:r>
      <w:proofErr w:type="spellEnd"/>
      <w:r w:rsidRPr="00A23433">
        <w:rPr>
          <w:rFonts w:ascii="Arial" w:hAnsi="Arial" w:cs="Arial"/>
          <w:bCs/>
          <w:iCs/>
          <w:color w:val="000000"/>
          <w:sz w:val="21"/>
          <w:szCs w:val="21"/>
        </w:rPr>
        <w:t xml:space="preserve"> de precios al consumidor en nuestra legislación entre el mes de</w:t>
      </w:r>
      <w:r w:rsidR="005216E7">
        <w:rPr>
          <w:rFonts w:ascii="Arial" w:hAnsi="Arial" w:cs="Arial"/>
          <w:bCs/>
          <w:iCs/>
          <w:color w:val="000000"/>
          <w:sz w:val="21"/>
          <w:szCs w:val="21"/>
        </w:rPr>
        <w:t xml:space="preserve"> m</w:t>
      </w:r>
      <w:r w:rsidRPr="00A23433">
        <w:rPr>
          <w:rFonts w:ascii="Arial" w:hAnsi="Arial" w:cs="Arial"/>
          <w:bCs/>
          <w:iCs/>
          <w:color w:val="000000"/>
          <w:sz w:val="21"/>
          <w:szCs w:val="21"/>
        </w:rPr>
        <w:t>arzo del año en curso hasta cuando se produzca el fallo definitivo y cancelación en la presente acción de</w:t>
      </w:r>
      <w:r w:rsidR="005216E7">
        <w:rPr>
          <w:rFonts w:ascii="Arial" w:hAnsi="Arial" w:cs="Arial"/>
          <w:bCs/>
          <w:iCs/>
          <w:color w:val="000000"/>
          <w:sz w:val="21"/>
          <w:szCs w:val="21"/>
        </w:rPr>
        <w:t xml:space="preserve"> </w:t>
      </w:r>
      <w:r w:rsidRPr="00A23433">
        <w:rPr>
          <w:rFonts w:ascii="Arial" w:hAnsi="Arial" w:cs="Arial"/>
          <w:bCs/>
          <w:iCs/>
          <w:color w:val="000000"/>
          <w:sz w:val="21"/>
          <w:szCs w:val="21"/>
        </w:rPr>
        <w:t>NULIDAD Y RESTABLECIMIENTO DEL DERECHO</w:t>
      </w:r>
      <w:r w:rsidR="005216E7">
        <w:rPr>
          <w:rFonts w:ascii="Arial" w:hAnsi="Arial" w:cs="Arial"/>
          <w:bCs/>
          <w:iCs/>
          <w:color w:val="000000"/>
          <w:sz w:val="21"/>
          <w:szCs w:val="21"/>
        </w:rPr>
        <w:t>.</w:t>
      </w:r>
    </w:p>
    <w:p w14:paraId="0E460DEC" w14:textId="3090D1EE" w:rsidR="005216E7" w:rsidRDefault="005216E7" w:rsidP="00A23433">
      <w:pPr>
        <w:pStyle w:val="Prrafodelista"/>
        <w:spacing w:line="276" w:lineRule="auto"/>
        <w:ind w:right="50"/>
        <w:contextualSpacing/>
        <w:jc w:val="both"/>
        <w:rPr>
          <w:rFonts w:ascii="Arial" w:hAnsi="Arial" w:cs="Arial"/>
          <w:bCs/>
          <w:iCs/>
          <w:color w:val="000000"/>
          <w:sz w:val="21"/>
          <w:szCs w:val="21"/>
        </w:rPr>
      </w:pPr>
    </w:p>
    <w:p w14:paraId="5DC60D11" w14:textId="77777777" w:rsidR="003C62D0" w:rsidRDefault="00A23433" w:rsidP="00A23433">
      <w:pPr>
        <w:pStyle w:val="Prrafodelista"/>
        <w:spacing w:line="276" w:lineRule="auto"/>
        <w:ind w:right="50"/>
        <w:contextualSpacing/>
        <w:jc w:val="both"/>
        <w:rPr>
          <w:rFonts w:ascii="Arial" w:hAnsi="Arial" w:cs="Arial"/>
          <w:bCs/>
          <w:iCs/>
          <w:color w:val="000000"/>
          <w:sz w:val="21"/>
          <w:szCs w:val="21"/>
        </w:rPr>
      </w:pPr>
      <w:r w:rsidRPr="00A23433">
        <w:rPr>
          <w:rFonts w:ascii="Arial" w:hAnsi="Arial" w:cs="Arial"/>
          <w:bCs/>
          <w:iCs/>
          <w:color w:val="000000"/>
          <w:sz w:val="21"/>
          <w:szCs w:val="21"/>
        </w:rPr>
        <w:t>SEXTO: Que la EMPRESA SOCIAL DEL ESTADO SALUD DEL TUNDAMA, quede obligado a dar</w:t>
      </w:r>
      <w:r w:rsidR="005216E7">
        <w:rPr>
          <w:rFonts w:ascii="Arial" w:hAnsi="Arial" w:cs="Arial"/>
          <w:bCs/>
          <w:iCs/>
          <w:color w:val="000000"/>
          <w:sz w:val="21"/>
          <w:szCs w:val="21"/>
        </w:rPr>
        <w:t xml:space="preserve"> </w:t>
      </w:r>
      <w:r w:rsidRPr="00A23433">
        <w:rPr>
          <w:rFonts w:ascii="Arial" w:hAnsi="Arial" w:cs="Arial"/>
          <w:bCs/>
          <w:iCs/>
          <w:color w:val="000000"/>
          <w:sz w:val="21"/>
          <w:szCs w:val="21"/>
        </w:rPr>
        <w:t xml:space="preserve">cumplimiento a la sentencia dentro del término </w:t>
      </w:r>
      <w:r w:rsidR="005216E7">
        <w:rPr>
          <w:rFonts w:ascii="Arial" w:hAnsi="Arial" w:cs="Arial"/>
          <w:bCs/>
          <w:iCs/>
          <w:color w:val="000000"/>
          <w:sz w:val="21"/>
          <w:szCs w:val="21"/>
        </w:rPr>
        <w:t xml:space="preserve">señalado </w:t>
      </w:r>
      <w:r w:rsidRPr="00A23433">
        <w:rPr>
          <w:rFonts w:ascii="Arial" w:hAnsi="Arial" w:cs="Arial"/>
          <w:bCs/>
          <w:iCs/>
          <w:color w:val="000000"/>
          <w:sz w:val="21"/>
          <w:szCs w:val="21"/>
        </w:rPr>
        <w:t>por el Art</w:t>
      </w:r>
      <w:r w:rsidR="005216E7">
        <w:rPr>
          <w:rFonts w:ascii="Arial" w:hAnsi="Arial" w:cs="Arial"/>
          <w:bCs/>
          <w:iCs/>
          <w:color w:val="000000"/>
          <w:sz w:val="21"/>
          <w:szCs w:val="21"/>
        </w:rPr>
        <w:t>.</w:t>
      </w:r>
      <w:r w:rsidRPr="00A23433">
        <w:rPr>
          <w:rFonts w:ascii="Arial" w:hAnsi="Arial" w:cs="Arial"/>
          <w:bCs/>
          <w:iCs/>
          <w:color w:val="000000"/>
          <w:sz w:val="21"/>
          <w:szCs w:val="21"/>
        </w:rPr>
        <w:t xml:space="preserve"> 192, del C.C.A.</w:t>
      </w:r>
      <w:r w:rsidR="005216E7">
        <w:rPr>
          <w:rFonts w:ascii="Arial" w:hAnsi="Arial" w:cs="Arial"/>
          <w:bCs/>
          <w:iCs/>
          <w:color w:val="000000"/>
          <w:sz w:val="21"/>
          <w:szCs w:val="21"/>
        </w:rPr>
        <w:t xml:space="preserve"> (sic)</w:t>
      </w:r>
      <w:r w:rsidRPr="00A23433">
        <w:rPr>
          <w:rFonts w:ascii="Arial" w:hAnsi="Arial" w:cs="Arial"/>
          <w:bCs/>
          <w:iCs/>
          <w:color w:val="000000"/>
          <w:sz w:val="21"/>
          <w:szCs w:val="21"/>
        </w:rPr>
        <w:t>, y que reconocerá los</w:t>
      </w:r>
      <w:r w:rsidR="005216E7">
        <w:rPr>
          <w:rFonts w:ascii="Arial" w:hAnsi="Arial" w:cs="Arial"/>
          <w:bCs/>
          <w:iCs/>
          <w:color w:val="000000"/>
          <w:sz w:val="21"/>
          <w:szCs w:val="21"/>
        </w:rPr>
        <w:t xml:space="preserve"> i</w:t>
      </w:r>
      <w:r w:rsidRPr="00A23433">
        <w:rPr>
          <w:rFonts w:ascii="Arial" w:hAnsi="Arial" w:cs="Arial"/>
          <w:bCs/>
          <w:iCs/>
          <w:color w:val="000000"/>
          <w:sz w:val="21"/>
          <w:szCs w:val="21"/>
        </w:rPr>
        <w:t>ntereses de que trata el Art</w:t>
      </w:r>
      <w:r w:rsidR="005216E7">
        <w:rPr>
          <w:rFonts w:ascii="Arial" w:hAnsi="Arial" w:cs="Arial"/>
          <w:bCs/>
          <w:iCs/>
          <w:color w:val="000000"/>
          <w:sz w:val="21"/>
          <w:szCs w:val="21"/>
        </w:rPr>
        <w:t>.</w:t>
      </w:r>
      <w:r w:rsidRPr="00A23433">
        <w:rPr>
          <w:rFonts w:ascii="Arial" w:hAnsi="Arial" w:cs="Arial"/>
          <w:bCs/>
          <w:iCs/>
          <w:color w:val="000000"/>
          <w:sz w:val="21"/>
          <w:szCs w:val="21"/>
        </w:rPr>
        <w:t xml:space="preserve"> 195 de la ley 1437 de 2011.</w:t>
      </w:r>
    </w:p>
    <w:p w14:paraId="483B1C13" w14:textId="77777777" w:rsidR="003C62D0" w:rsidRDefault="003C62D0" w:rsidP="00A23433">
      <w:pPr>
        <w:pStyle w:val="Prrafodelista"/>
        <w:spacing w:line="276" w:lineRule="auto"/>
        <w:ind w:right="50"/>
        <w:contextualSpacing/>
        <w:jc w:val="both"/>
        <w:rPr>
          <w:rFonts w:ascii="Arial" w:hAnsi="Arial" w:cs="Arial"/>
          <w:bCs/>
          <w:iCs/>
          <w:color w:val="000000"/>
          <w:sz w:val="21"/>
          <w:szCs w:val="21"/>
        </w:rPr>
      </w:pPr>
    </w:p>
    <w:p w14:paraId="52D32B39" w14:textId="5063508E" w:rsidR="0037530E" w:rsidRPr="003B2AEA" w:rsidRDefault="003C62D0" w:rsidP="00C408EF">
      <w:pPr>
        <w:pStyle w:val="Prrafodelista"/>
        <w:spacing w:line="276" w:lineRule="auto"/>
        <w:ind w:right="50"/>
        <w:contextualSpacing/>
        <w:jc w:val="both"/>
        <w:rPr>
          <w:rFonts w:ascii="Arial" w:hAnsi="Arial" w:cs="Arial"/>
          <w:bCs/>
          <w:iCs/>
          <w:color w:val="000000"/>
          <w:sz w:val="21"/>
          <w:szCs w:val="21"/>
        </w:rPr>
      </w:pPr>
      <w:r>
        <w:rPr>
          <w:rFonts w:ascii="Arial" w:hAnsi="Arial" w:cs="Arial"/>
          <w:bCs/>
          <w:iCs/>
          <w:color w:val="000000"/>
          <w:sz w:val="21"/>
          <w:szCs w:val="21"/>
        </w:rPr>
        <w:t>SÉPTIMO: Que se condene en costas a la entidad demandada</w:t>
      </w:r>
      <w:r w:rsidR="0029557E" w:rsidRPr="003B2AEA">
        <w:rPr>
          <w:rFonts w:ascii="Arial" w:hAnsi="Arial" w:cs="Arial"/>
          <w:bCs/>
          <w:iCs/>
          <w:color w:val="000000"/>
          <w:sz w:val="21"/>
          <w:szCs w:val="21"/>
          <w:lang w:val="es-CO"/>
        </w:rPr>
        <w:t>».</w:t>
      </w:r>
      <w:r w:rsidR="001045DA" w:rsidRPr="003B2AEA">
        <w:rPr>
          <w:rFonts w:ascii="Arial" w:hAnsi="Arial" w:cs="Arial"/>
          <w:bCs/>
          <w:iCs/>
          <w:color w:val="000000"/>
          <w:sz w:val="21"/>
          <w:szCs w:val="21"/>
        </w:rPr>
        <w:t xml:space="preserve"> </w:t>
      </w:r>
    </w:p>
    <w:p w14:paraId="232B688C" w14:textId="77777777" w:rsidR="001A5DAB" w:rsidRPr="003B2AEA" w:rsidRDefault="001A5DAB" w:rsidP="00C408EF">
      <w:pPr>
        <w:pStyle w:val="Prrafodelista"/>
        <w:spacing w:line="276" w:lineRule="auto"/>
        <w:ind w:left="0" w:right="50"/>
        <w:contextualSpacing/>
        <w:jc w:val="both"/>
        <w:rPr>
          <w:rFonts w:ascii="Arial" w:hAnsi="Arial" w:cs="Arial"/>
          <w:color w:val="000000"/>
          <w:sz w:val="24"/>
          <w:szCs w:val="24"/>
        </w:rPr>
      </w:pPr>
    </w:p>
    <w:p w14:paraId="53568997" w14:textId="79DEBA12" w:rsidR="001A5DAB" w:rsidRPr="003B2AEA" w:rsidRDefault="001A5DAB"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color w:val="000000"/>
          <w:sz w:val="24"/>
          <w:szCs w:val="24"/>
        </w:rPr>
        <w:t>Lo anterior, al considerar ―</w:t>
      </w:r>
      <w:r w:rsidRPr="003B2AEA">
        <w:rPr>
          <w:rFonts w:ascii="Arial" w:hAnsi="Arial" w:cs="Arial"/>
          <w:i/>
          <w:iCs/>
          <w:color w:val="000000"/>
          <w:sz w:val="24"/>
          <w:szCs w:val="24"/>
        </w:rPr>
        <w:t>grosso modo</w:t>
      </w:r>
      <w:r w:rsidRPr="003B2AEA">
        <w:rPr>
          <w:rFonts w:ascii="Arial" w:hAnsi="Arial" w:cs="Arial"/>
          <w:color w:val="000000"/>
          <w:sz w:val="24"/>
          <w:szCs w:val="24"/>
        </w:rPr>
        <w:t>―</w:t>
      </w:r>
      <w:r w:rsidRPr="003B2AEA">
        <w:rPr>
          <w:rFonts w:ascii="Arial" w:hAnsi="Arial" w:cs="Arial"/>
          <w:i/>
          <w:iCs/>
          <w:color w:val="000000"/>
          <w:sz w:val="24"/>
          <w:szCs w:val="24"/>
        </w:rPr>
        <w:t xml:space="preserve"> </w:t>
      </w:r>
      <w:r w:rsidRPr="003B2AEA">
        <w:rPr>
          <w:rFonts w:ascii="Arial" w:hAnsi="Arial" w:cs="Arial"/>
          <w:color w:val="000000"/>
          <w:sz w:val="24"/>
          <w:szCs w:val="24"/>
        </w:rPr>
        <w:t xml:space="preserve">que dicho acto administrativo </w:t>
      </w:r>
      <w:r w:rsidR="003C62D0">
        <w:rPr>
          <w:rFonts w:ascii="Arial" w:hAnsi="Arial" w:cs="Arial"/>
          <w:color w:val="000000"/>
          <w:sz w:val="24"/>
          <w:szCs w:val="24"/>
        </w:rPr>
        <w:t>era ilegal</w:t>
      </w:r>
      <w:r w:rsidR="00E13912">
        <w:rPr>
          <w:rFonts w:ascii="Arial" w:hAnsi="Arial" w:cs="Arial"/>
          <w:color w:val="000000"/>
          <w:sz w:val="24"/>
          <w:szCs w:val="24"/>
        </w:rPr>
        <w:t xml:space="preserve"> </w:t>
      </w:r>
      <w:r w:rsidR="00713E55">
        <w:rPr>
          <w:rFonts w:ascii="Arial" w:hAnsi="Arial" w:cs="Arial"/>
          <w:color w:val="000000"/>
          <w:sz w:val="24"/>
          <w:szCs w:val="24"/>
        </w:rPr>
        <w:t xml:space="preserve">pues </w:t>
      </w:r>
      <w:r w:rsidR="00E13912">
        <w:rPr>
          <w:rFonts w:ascii="Arial" w:hAnsi="Arial" w:cs="Arial"/>
          <w:color w:val="000000"/>
          <w:sz w:val="24"/>
          <w:szCs w:val="24"/>
        </w:rPr>
        <w:t>se trasgredió el ordenamiento jurídico «al declarar desierta la licitación y no adjudicar el contrato al demandante, pues [este] era [el] que tenía la mejor propuesta y era el mejor precio</w:t>
      </w:r>
      <w:r w:rsidR="00713E55">
        <w:rPr>
          <w:rFonts w:ascii="Arial" w:hAnsi="Arial" w:cs="Arial"/>
          <w:color w:val="000000"/>
          <w:sz w:val="24"/>
          <w:szCs w:val="24"/>
        </w:rPr>
        <w:t>»; lo que desconoció los principios de transparencia, igualdad, moralidad, eficacia, economía, celeridad, imparcialidad y selección objetiv</w:t>
      </w:r>
      <w:r w:rsidR="00A04856">
        <w:rPr>
          <w:rFonts w:ascii="Arial" w:hAnsi="Arial" w:cs="Arial"/>
          <w:color w:val="000000"/>
          <w:sz w:val="24"/>
          <w:szCs w:val="24"/>
        </w:rPr>
        <w:t xml:space="preserve">a. </w:t>
      </w:r>
      <w:r w:rsidR="003C62D0">
        <w:rPr>
          <w:rFonts w:ascii="Arial" w:hAnsi="Arial" w:cs="Arial"/>
          <w:color w:val="000000"/>
          <w:sz w:val="24"/>
          <w:szCs w:val="24"/>
          <w:lang w:val="es-CO"/>
        </w:rPr>
        <w:t xml:space="preserve"> </w:t>
      </w:r>
    </w:p>
    <w:p w14:paraId="2F6B0E84" w14:textId="273378F3" w:rsidR="000305A4" w:rsidRPr="003B2AEA" w:rsidRDefault="000305A4" w:rsidP="00C408EF">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sidRPr="003B2AEA">
        <w:rPr>
          <w:rFonts w:ascii="Arial" w:hAnsi="Arial" w:cs="Arial"/>
          <w:b/>
          <w:bCs/>
          <w:color w:val="000000" w:themeColor="text1"/>
          <w:sz w:val="24"/>
          <w:szCs w:val="24"/>
        </w:rPr>
        <w:t>La providencia controvertida por las partes</w:t>
      </w:r>
      <w:r w:rsidR="00A04856">
        <w:rPr>
          <w:rStyle w:val="Refdenotaalpie"/>
          <w:rFonts w:ascii="Arial" w:hAnsi="Arial" w:cs="Arial"/>
          <w:b/>
          <w:bCs/>
          <w:color w:val="000000" w:themeColor="text1"/>
          <w:sz w:val="24"/>
          <w:szCs w:val="24"/>
        </w:rPr>
        <w:footnoteReference w:id="2"/>
      </w:r>
    </w:p>
    <w:p w14:paraId="65C1CB47" w14:textId="77777777" w:rsidR="000305A4" w:rsidRPr="003B2AEA" w:rsidRDefault="000305A4" w:rsidP="00C408EF">
      <w:pPr>
        <w:pStyle w:val="Prrafodelista"/>
        <w:spacing w:line="276" w:lineRule="auto"/>
        <w:ind w:left="0" w:right="50"/>
        <w:contextualSpacing/>
        <w:jc w:val="both"/>
        <w:rPr>
          <w:rFonts w:ascii="Arial" w:hAnsi="Arial" w:cs="Arial"/>
          <w:color w:val="000000"/>
          <w:sz w:val="24"/>
          <w:szCs w:val="24"/>
        </w:rPr>
      </w:pPr>
    </w:p>
    <w:p w14:paraId="2E62412E" w14:textId="3F211F5F" w:rsidR="00344D46" w:rsidRPr="003B2AEA" w:rsidRDefault="000305A4"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color w:val="000000"/>
          <w:sz w:val="24"/>
          <w:szCs w:val="24"/>
        </w:rPr>
        <w:t xml:space="preserve">Se trata del auto proferido </w:t>
      </w:r>
      <w:r w:rsidR="00344D46" w:rsidRPr="003B2AEA">
        <w:rPr>
          <w:rFonts w:ascii="Arial" w:hAnsi="Arial" w:cs="Arial"/>
          <w:color w:val="000000"/>
          <w:sz w:val="24"/>
          <w:szCs w:val="24"/>
        </w:rPr>
        <w:t xml:space="preserve">por el </w:t>
      </w:r>
      <w:r w:rsidR="00EA26F9">
        <w:rPr>
          <w:rFonts w:ascii="Arial" w:hAnsi="Arial" w:cs="Arial"/>
          <w:color w:val="000000"/>
          <w:sz w:val="24"/>
          <w:szCs w:val="24"/>
        </w:rPr>
        <w:t>Juzgado Segundo Administrativo de Duitama</w:t>
      </w:r>
      <w:r w:rsidR="00344D46" w:rsidRPr="003B2AEA">
        <w:rPr>
          <w:rFonts w:ascii="Arial" w:hAnsi="Arial" w:cs="Arial"/>
          <w:color w:val="000000"/>
          <w:sz w:val="24"/>
          <w:szCs w:val="24"/>
        </w:rPr>
        <w:t xml:space="preserve"> el </w:t>
      </w:r>
      <w:r w:rsidR="006775AB">
        <w:rPr>
          <w:rFonts w:ascii="Arial" w:hAnsi="Arial" w:cs="Arial"/>
          <w:color w:val="000000"/>
          <w:sz w:val="24"/>
          <w:szCs w:val="24"/>
        </w:rPr>
        <w:t>16 de septiembre de 2021</w:t>
      </w:r>
      <w:r w:rsidR="00C65F9D">
        <w:rPr>
          <w:rFonts w:ascii="Arial" w:hAnsi="Arial" w:cs="Arial"/>
          <w:color w:val="000000"/>
          <w:sz w:val="24"/>
          <w:szCs w:val="24"/>
        </w:rPr>
        <w:t>,</w:t>
      </w:r>
      <w:r w:rsidR="00CB10E1" w:rsidRPr="003B2AEA">
        <w:rPr>
          <w:rFonts w:ascii="Arial" w:hAnsi="Arial" w:cs="Arial"/>
          <w:color w:val="000000"/>
          <w:sz w:val="24"/>
          <w:szCs w:val="24"/>
        </w:rPr>
        <w:t xml:space="preserve"> </w:t>
      </w:r>
      <w:r w:rsidR="00C65F9D">
        <w:rPr>
          <w:rFonts w:ascii="Arial" w:hAnsi="Arial" w:cs="Arial"/>
          <w:color w:val="000000"/>
          <w:sz w:val="24"/>
          <w:szCs w:val="24"/>
        </w:rPr>
        <w:t>a través d</w:t>
      </w:r>
      <w:r w:rsidR="00344D46" w:rsidRPr="003B2AEA">
        <w:rPr>
          <w:rFonts w:ascii="Arial" w:hAnsi="Arial" w:cs="Arial"/>
          <w:color w:val="000000"/>
          <w:sz w:val="24"/>
          <w:szCs w:val="24"/>
        </w:rPr>
        <w:t xml:space="preserve">el cual se resolvió </w:t>
      </w:r>
      <w:r w:rsidR="006775AB">
        <w:rPr>
          <w:rFonts w:ascii="Arial" w:hAnsi="Arial" w:cs="Arial"/>
          <w:color w:val="000000"/>
          <w:sz w:val="24"/>
          <w:szCs w:val="24"/>
        </w:rPr>
        <w:t>rechazar la demanda por encontrar que la misma estaba caduca.</w:t>
      </w:r>
      <w:r w:rsidR="00CB10E1" w:rsidRPr="003B2AEA">
        <w:rPr>
          <w:rFonts w:ascii="Arial" w:hAnsi="Arial" w:cs="Arial"/>
          <w:color w:val="000000"/>
          <w:sz w:val="24"/>
          <w:szCs w:val="24"/>
        </w:rPr>
        <w:t xml:space="preserve"> </w:t>
      </w:r>
    </w:p>
    <w:p w14:paraId="5395A28A" w14:textId="77777777" w:rsidR="00344D46" w:rsidRPr="003B2AEA" w:rsidRDefault="00344D46" w:rsidP="00C408EF">
      <w:pPr>
        <w:pStyle w:val="Prrafodelista"/>
        <w:spacing w:line="276" w:lineRule="auto"/>
        <w:ind w:left="0" w:right="50"/>
        <w:contextualSpacing/>
        <w:jc w:val="both"/>
        <w:rPr>
          <w:rFonts w:ascii="Arial" w:hAnsi="Arial" w:cs="Arial"/>
          <w:color w:val="000000"/>
          <w:sz w:val="24"/>
          <w:szCs w:val="24"/>
        </w:rPr>
      </w:pPr>
    </w:p>
    <w:p w14:paraId="6915E0CA" w14:textId="41643543" w:rsidR="008952F5" w:rsidRPr="003B2AEA" w:rsidRDefault="00396C34"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bCs/>
          <w:iCs/>
          <w:color w:val="000000"/>
          <w:sz w:val="24"/>
          <w:szCs w:val="24"/>
        </w:rPr>
        <w:t xml:space="preserve">Para arribar a la anterior conclusión, el </w:t>
      </w:r>
      <w:r w:rsidRPr="003B2AEA">
        <w:rPr>
          <w:rFonts w:ascii="Arial" w:hAnsi="Arial" w:cs="Arial"/>
          <w:bCs/>
          <w:i/>
          <w:color w:val="000000"/>
          <w:sz w:val="24"/>
          <w:szCs w:val="24"/>
        </w:rPr>
        <w:t xml:space="preserve">a quo </w:t>
      </w:r>
      <w:r w:rsidR="00CF6B59" w:rsidRPr="003B2AEA">
        <w:rPr>
          <w:rFonts w:ascii="Arial" w:hAnsi="Arial" w:cs="Arial"/>
          <w:bCs/>
          <w:iCs/>
          <w:color w:val="000000"/>
          <w:sz w:val="24"/>
          <w:szCs w:val="24"/>
        </w:rPr>
        <w:t>partió por evocar</w:t>
      </w:r>
      <w:r w:rsidR="00346B2D">
        <w:rPr>
          <w:rFonts w:ascii="Arial" w:hAnsi="Arial" w:cs="Arial"/>
          <w:bCs/>
          <w:iCs/>
          <w:color w:val="000000"/>
          <w:sz w:val="24"/>
          <w:szCs w:val="24"/>
        </w:rPr>
        <w:t xml:space="preserve"> el contenido del literal c) numeral 2° del artículo 164 del CPACA ―referente al término para interponer la demanda de nulidad y restablecimiento del derecho en contra de «los actos previos a la celebración del </w:t>
      </w:r>
      <w:proofErr w:type="gramStart"/>
      <w:r w:rsidR="00346B2D">
        <w:rPr>
          <w:rFonts w:ascii="Arial" w:hAnsi="Arial" w:cs="Arial"/>
          <w:bCs/>
          <w:iCs/>
          <w:color w:val="000000"/>
          <w:sz w:val="24"/>
          <w:szCs w:val="24"/>
        </w:rPr>
        <w:t>contrato»</w:t>
      </w:r>
      <w:r w:rsidR="00E525DB">
        <w:rPr>
          <w:rFonts w:ascii="Arial" w:hAnsi="Arial" w:cs="Arial"/>
          <w:bCs/>
          <w:iCs/>
          <w:color w:val="000000"/>
          <w:sz w:val="24"/>
          <w:szCs w:val="24"/>
        </w:rPr>
        <w:t>―</w:t>
      </w:r>
      <w:proofErr w:type="gramEnd"/>
      <w:r w:rsidR="00395BA2">
        <w:rPr>
          <w:rFonts w:ascii="Arial" w:hAnsi="Arial" w:cs="Arial"/>
          <w:bCs/>
          <w:iCs/>
          <w:color w:val="000000"/>
          <w:sz w:val="24"/>
          <w:szCs w:val="24"/>
        </w:rPr>
        <w:t xml:space="preserve"> y, posteriormente, </w:t>
      </w:r>
      <w:r w:rsidR="00E525DB">
        <w:rPr>
          <w:rFonts w:ascii="Arial" w:hAnsi="Arial" w:cs="Arial"/>
          <w:bCs/>
          <w:iCs/>
          <w:color w:val="000000"/>
          <w:sz w:val="24"/>
          <w:szCs w:val="24"/>
        </w:rPr>
        <w:t xml:space="preserve">consideró </w:t>
      </w:r>
      <w:r w:rsidR="00395BA2">
        <w:rPr>
          <w:rFonts w:ascii="Arial" w:hAnsi="Arial" w:cs="Arial"/>
          <w:bCs/>
          <w:iCs/>
          <w:color w:val="000000"/>
          <w:sz w:val="24"/>
          <w:szCs w:val="24"/>
        </w:rPr>
        <w:t>lo siguiente</w:t>
      </w:r>
      <w:r w:rsidR="008952F5" w:rsidRPr="003B2AEA">
        <w:rPr>
          <w:rFonts w:ascii="Arial" w:hAnsi="Arial" w:cs="Arial"/>
          <w:bCs/>
          <w:iCs/>
          <w:color w:val="000000"/>
          <w:sz w:val="24"/>
          <w:szCs w:val="24"/>
        </w:rPr>
        <w:t xml:space="preserve">: </w:t>
      </w:r>
    </w:p>
    <w:p w14:paraId="052FBF4A" w14:textId="77777777" w:rsidR="008952F5" w:rsidRPr="003B2AEA" w:rsidRDefault="008952F5" w:rsidP="00C408EF">
      <w:pPr>
        <w:pStyle w:val="Prrafodelista"/>
        <w:spacing w:line="276" w:lineRule="auto"/>
        <w:contextualSpacing/>
        <w:rPr>
          <w:rFonts w:ascii="Arial" w:hAnsi="Arial" w:cs="Arial"/>
          <w:color w:val="000000"/>
          <w:sz w:val="24"/>
          <w:szCs w:val="24"/>
        </w:rPr>
      </w:pPr>
    </w:p>
    <w:p w14:paraId="11DA77B9" w14:textId="462E8776" w:rsidR="008952F5" w:rsidRPr="003B2AEA" w:rsidRDefault="00395BA2" w:rsidP="00C408EF">
      <w:pPr>
        <w:pStyle w:val="Prrafodelista"/>
        <w:spacing w:line="276" w:lineRule="auto"/>
        <w:ind w:right="50"/>
        <w:contextualSpacing/>
        <w:jc w:val="both"/>
        <w:rPr>
          <w:rFonts w:ascii="Arial" w:hAnsi="Arial" w:cs="Arial"/>
          <w:color w:val="000000"/>
          <w:sz w:val="21"/>
          <w:szCs w:val="21"/>
        </w:rPr>
      </w:pPr>
      <w:r w:rsidRPr="26A5AAD8">
        <w:rPr>
          <w:rFonts w:ascii="Arial" w:hAnsi="Arial" w:cs="Arial"/>
          <w:color w:val="000000" w:themeColor="text1"/>
          <w:sz w:val="21"/>
          <w:szCs w:val="21"/>
        </w:rPr>
        <w:lastRenderedPageBreak/>
        <w:t>«</w:t>
      </w:r>
      <w:r w:rsidR="00DC64A2" w:rsidRPr="26A5AAD8">
        <w:rPr>
          <w:rFonts w:ascii="Arial" w:hAnsi="Arial" w:cs="Arial"/>
          <w:color w:val="000000" w:themeColor="text1"/>
          <w:sz w:val="21"/>
          <w:szCs w:val="21"/>
        </w:rPr>
        <w:t>Pues bien, como el acto administrativo demandado fue publicado el 19 de marzo de 2020 (</w:t>
      </w:r>
      <w:proofErr w:type="spellStart"/>
      <w:r w:rsidR="00DC64A2" w:rsidRPr="26A5AAD8">
        <w:rPr>
          <w:rFonts w:ascii="Arial" w:hAnsi="Arial" w:cs="Arial"/>
          <w:color w:val="000000" w:themeColor="text1"/>
          <w:sz w:val="21"/>
          <w:szCs w:val="21"/>
        </w:rPr>
        <w:t>fl</w:t>
      </w:r>
      <w:proofErr w:type="spellEnd"/>
      <w:r w:rsidR="00DC64A2" w:rsidRPr="26A5AAD8">
        <w:rPr>
          <w:rFonts w:ascii="Arial" w:hAnsi="Arial" w:cs="Arial"/>
          <w:color w:val="000000" w:themeColor="text1"/>
          <w:sz w:val="21"/>
          <w:szCs w:val="21"/>
        </w:rPr>
        <w:t>. 211 ítem 001); que entre el 16 de marzo de 2020 y el 30 de junio del mismo año permaneció suspendido el término de caducidad para ejercer medios de control ante la Rama Judicial; que entre el 3 de agosto y el 26 de octubre de 2020, se adelantó el trámite de la conciliación extrajudicial (</w:t>
      </w:r>
      <w:proofErr w:type="spellStart"/>
      <w:r w:rsidR="00DC64A2" w:rsidRPr="26A5AAD8">
        <w:rPr>
          <w:rFonts w:ascii="Arial" w:hAnsi="Arial" w:cs="Arial"/>
          <w:color w:val="000000" w:themeColor="text1"/>
          <w:sz w:val="21"/>
          <w:szCs w:val="21"/>
        </w:rPr>
        <w:t>fls</w:t>
      </w:r>
      <w:proofErr w:type="spellEnd"/>
      <w:r w:rsidR="00DC64A2" w:rsidRPr="26A5AAD8">
        <w:rPr>
          <w:rFonts w:ascii="Arial" w:hAnsi="Arial" w:cs="Arial"/>
          <w:color w:val="000000" w:themeColor="text1"/>
          <w:sz w:val="21"/>
          <w:szCs w:val="21"/>
        </w:rPr>
        <w:t>. 107 a 109 ítem 001); y, la demanda se radicó hasta el</w:t>
      </w:r>
      <w:r w:rsidR="00DC64A2" w:rsidRPr="26A5AAD8">
        <w:rPr>
          <w:rFonts w:ascii="Arial" w:hAnsi="Arial" w:cs="Arial"/>
          <w:b/>
          <w:bCs/>
          <w:color w:val="000000" w:themeColor="text1"/>
          <w:sz w:val="21"/>
          <w:szCs w:val="21"/>
        </w:rPr>
        <w:t xml:space="preserve"> 8 de abril del de 2021</w:t>
      </w:r>
      <w:r w:rsidR="00DC64A2" w:rsidRPr="26A5AAD8">
        <w:rPr>
          <w:rFonts w:ascii="Arial" w:hAnsi="Arial" w:cs="Arial"/>
          <w:color w:val="000000" w:themeColor="text1"/>
          <w:sz w:val="21"/>
          <w:szCs w:val="21"/>
        </w:rPr>
        <w:t xml:space="preserve"> (</w:t>
      </w:r>
      <w:proofErr w:type="spellStart"/>
      <w:r w:rsidR="00DC64A2" w:rsidRPr="26A5AAD8">
        <w:rPr>
          <w:rFonts w:ascii="Arial" w:hAnsi="Arial" w:cs="Arial"/>
          <w:color w:val="000000" w:themeColor="text1"/>
          <w:sz w:val="21"/>
          <w:szCs w:val="21"/>
        </w:rPr>
        <w:t>fl</w:t>
      </w:r>
      <w:proofErr w:type="spellEnd"/>
      <w:r w:rsidR="00DC64A2" w:rsidRPr="26A5AAD8">
        <w:rPr>
          <w:rFonts w:ascii="Arial" w:hAnsi="Arial" w:cs="Arial"/>
          <w:color w:val="000000" w:themeColor="text1"/>
          <w:sz w:val="21"/>
          <w:szCs w:val="21"/>
        </w:rPr>
        <w:t>. 114 ítem 002), la acción se encuentra caducada atendiendo a la norma antes transcrita</w:t>
      </w:r>
      <w:r w:rsidR="008952F5" w:rsidRPr="26A5AAD8">
        <w:rPr>
          <w:rFonts w:ascii="Arial" w:hAnsi="Arial" w:cs="Arial"/>
          <w:color w:val="000000" w:themeColor="text1"/>
          <w:sz w:val="21"/>
          <w:szCs w:val="21"/>
        </w:rPr>
        <w:t>».</w:t>
      </w:r>
    </w:p>
    <w:p w14:paraId="075D987A" w14:textId="77777777" w:rsidR="008952F5" w:rsidRPr="003B2AEA" w:rsidRDefault="008952F5" w:rsidP="00C408EF">
      <w:pPr>
        <w:pStyle w:val="Prrafodelista"/>
        <w:spacing w:line="276" w:lineRule="auto"/>
        <w:contextualSpacing/>
        <w:rPr>
          <w:rFonts w:ascii="Arial" w:hAnsi="Arial" w:cs="Arial"/>
          <w:bCs/>
          <w:iCs/>
          <w:color w:val="000000"/>
          <w:sz w:val="24"/>
          <w:szCs w:val="24"/>
        </w:rPr>
      </w:pPr>
    </w:p>
    <w:p w14:paraId="3F2E4E08" w14:textId="70EF971E" w:rsidR="003775DA" w:rsidRPr="00FB3987" w:rsidRDefault="00DC64A2" w:rsidP="000218F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FB3987">
        <w:rPr>
          <w:rFonts w:ascii="Arial" w:hAnsi="Arial" w:cs="Arial"/>
          <w:bCs/>
          <w:iCs/>
          <w:color w:val="000000"/>
          <w:sz w:val="24"/>
          <w:szCs w:val="24"/>
        </w:rPr>
        <w:t xml:space="preserve">Por lo anterior, el </w:t>
      </w:r>
      <w:r w:rsidRPr="00FB3987">
        <w:rPr>
          <w:rFonts w:ascii="Arial" w:hAnsi="Arial" w:cs="Arial"/>
          <w:bCs/>
          <w:i/>
          <w:color w:val="000000"/>
          <w:sz w:val="24"/>
          <w:szCs w:val="24"/>
        </w:rPr>
        <w:t xml:space="preserve">a quo </w:t>
      </w:r>
      <w:r w:rsidRPr="00FB3987">
        <w:rPr>
          <w:rFonts w:ascii="Arial" w:hAnsi="Arial" w:cs="Arial"/>
          <w:bCs/>
          <w:iCs/>
          <w:color w:val="000000"/>
          <w:sz w:val="24"/>
          <w:szCs w:val="24"/>
        </w:rPr>
        <w:t>concluyó que lo procedente era rechazar la demanda, conforme lo previsto en el numeral 1° del artículo 169 de la Ley 1437 de 2011.</w:t>
      </w:r>
      <w:r w:rsidR="003775DA" w:rsidRPr="00FB3987">
        <w:rPr>
          <w:rFonts w:ascii="Arial" w:hAnsi="Arial" w:cs="Arial"/>
          <w:bCs/>
          <w:iCs/>
          <w:color w:val="000000"/>
          <w:sz w:val="24"/>
          <w:szCs w:val="24"/>
        </w:rPr>
        <w:t xml:space="preserve"> </w:t>
      </w:r>
    </w:p>
    <w:p w14:paraId="28882913" w14:textId="3233975D" w:rsidR="00397050" w:rsidRPr="003B2AEA" w:rsidRDefault="00396C34" w:rsidP="00C408EF">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sidRPr="003B2AEA">
        <w:rPr>
          <w:rFonts w:ascii="Arial" w:hAnsi="Arial" w:cs="Arial"/>
          <w:b/>
          <w:bCs/>
          <w:color w:val="000000" w:themeColor="text1"/>
          <w:sz w:val="24"/>
          <w:szCs w:val="24"/>
        </w:rPr>
        <w:t>El recurso de apelación</w:t>
      </w:r>
      <w:r w:rsidR="00FB3987">
        <w:rPr>
          <w:rStyle w:val="Refdenotaalpie"/>
          <w:rFonts w:ascii="Arial" w:hAnsi="Arial" w:cs="Arial"/>
          <w:b/>
          <w:bCs/>
          <w:color w:val="000000" w:themeColor="text1"/>
          <w:sz w:val="24"/>
          <w:szCs w:val="24"/>
        </w:rPr>
        <w:footnoteReference w:id="3"/>
      </w:r>
    </w:p>
    <w:p w14:paraId="20DF0D68" w14:textId="77777777" w:rsidR="00397050" w:rsidRPr="003B2AEA" w:rsidRDefault="00397050" w:rsidP="00C408EF">
      <w:pPr>
        <w:pStyle w:val="Prrafodelista"/>
        <w:spacing w:line="276" w:lineRule="auto"/>
        <w:ind w:left="0" w:right="50"/>
        <w:contextualSpacing/>
        <w:jc w:val="both"/>
        <w:rPr>
          <w:rFonts w:ascii="Arial" w:hAnsi="Arial" w:cs="Arial"/>
          <w:color w:val="000000"/>
          <w:sz w:val="24"/>
          <w:szCs w:val="24"/>
        </w:rPr>
      </w:pPr>
    </w:p>
    <w:p w14:paraId="2574B66F" w14:textId="6F40B134" w:rsidR="00A6087B" w:rsidRPr="003B2AEA" w:rsidRDefault="007C1601"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color w:val="000000"/>
          <w:sz w:val="24"/>
          <w:szCs w:val="24"/>
        </w:rPr>
        <w:t xml:space="preserve">En el término de ejecutoria del auto proferido el </w:t>
      </w:r>
      <w:r w:rsidR="00725E2C">
        <w:rPr>
          <w:rFonts w:ascii="Arial" w:hAnsi="Arial" w:cs="Arial"/>
          <w:color w:val="000000"/>
          <w:sz w:val="24"/>
          <w:szCs w:val="24"/>
        </w:rPr>
        <w:t>16 de septiembre de 2021</w:t>
      </w:r>
      <w:r w:rsidRPr="003B2AEA">
        <w:rPr>
          <w:rFonts w:ascii="Arial" w:hAnsi="Arial" w:cs="Arial"/>
          <w:color w:val="000000"/>
          <w:sz w:val="24"/>
          <w:szCs w:val="24"/>
        </w:rPr>
        <w:t xml:space="preserve">, el demandante interpuso recurso apelación, a través del cual solicitó </w:t>
      </w:r>
      <w:r w:rsidR="000C1A2D">
        <w:rPr>
          <w:rFonts w:ascii="Arial" w:hAnsi="Arial" w:cs="Arial"/>
          <w:color w:val="000000"/>
          <w:sz w:val="24"/>
          <w:szCs w:val="24"/>
        </w:rPr>
        <w:t xml:space="preserve">que se estudiaran «los tiempos en que el proceso estuvo suspendido </w:t>
      </w:r>
      <w:r w:rsidR="00C46CF7">
        <w:rPr>
          <w:rFonts w:ascii="Arial" w:hAnsi="Arial" w:cs="Arial"/>
          <w:color w:val="000000"/>
          <w:sz w:val="24"/>
          <w:szCs w:val="24"/>
        </w:rPr>
        <w:t xml:space="preserve">(…) tanto por los recursos presentados en vía gubernativa (sic), como los que transcurrieron en la primera presentación de la demanda y que la juez de primera instancia desconocía». Como consecuencia de lo anterior, pidió </w:t>
      </w:r>
      <w:r w:rsidR="00471B43">
        <w:rPr>
          <w:rFonts w:ascii="Arial" w:hAnsi="Arial" w:cs="Arial"/>
          <w:color w:val="000000"/>
          <w:sz w:val="24"/>
          <w:szCs w:val="24"/>
        </w:rPr>
        <w:t>que se revocara el auto que había rechazado la demanda, «teniendo en cuenta que solo ha[</w:t>
      </w:r>
      <w:proofErr w:type="spellStart"/>
      <w:r w:rsidR="00471B43">
        <w:rPr>
          <w:rFonts w:ascii="Arial" w:hAnsi="Arial" w:cs="Arial"/>
          <w:color w:val="000000"/>
          <w:sz w:val="24"/>
          <w:szCs w:val="24"/>
        </w:rPr>
        <w:t>bían</w:t>
      </w:r>
      <w:proofErr w:type="spellEnd"/>
      <w:r w:rsidR="00471B43">
        <w:rPr>
          <w:rFonts w:ascii="Arial" w:hAnsi="Arial" w:cs="Arial"/>
          <w:color w:val="000000"/>
          <w:sz w:val="24"/>
          <w:szCs w:val="24"/>
        </w:rPr>
        <w:t>] transcurrido 68 días, faltando 52 para su caducidad».</w:t>
      </w:r>
    </w:p>
    <w:p w14:paraId="2F0CC378" w14:textId="77777777" w:rsidR="00A6087B" w:rsidRPr="003B2AEA" w:rsidRDefault="00A6087B" w:rsidP="00C408EF">
      <w:pPr>
        <w:pStyle w:val="Prrafodelista"/>
        <w:spacing w:line="276" w:lineRule="auto"/>
        <w:ind w:left="0" w:right="50"/>
        <w:contextualSpacing/>
        <w:jc w:val="both"/>
        <w:rPr>
          <w:rFonts w:ascii="Arial" w:hAnsi="Arial" w:cs="Arial"/>
          <w:color w:val="000000"/>
          <w:sz w:val="24"/>
          <w:szCs w:val="24"/>
        </w:rPr>
      </w:pPr>
    </w:p>
    <w:p w14:paraId="605BAEEA" w14:textId="4E173222" w:rsidR="00252AD4" w:rsidRPr="00252AD4" w:rsidRDefault="00471B43" w:rsidP="005C63B7">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26A5AAD8">
        <w:rPr>
          <w:rFonts w:ascii="Arial" w:hAnsi="Arial" w:cs="Arial"/>
          <w:color w:val="000000" w:themeColor="text1"/>
          <w:sz w:val="24"/>
          <w:szCs w:val="24"/>
        </w:rPr>
        <w:t xml:space="preserve">El demandante </w:t>
      </w:r>
      <w:r w:rsidR="00252AD4" w:rsidRPr="26A5AAD8">
        <w:rPr>
          <w:rFonts w:ascii="Arial" w:hAnsi="Arial" w:cs="Arial"/>
          <w:color w:val="000000" w:themeColor="text1"/>
          <w:sz w:val="24"/>
          <w:szCs w:val="24"/>
        </w:rPr>
        <w:t>adujo que «</w:t>
      </w:r>
      <w:r w:rsidR="00252AD4" w:rsidRPr="26A5AAD8">
        <w:rPr>
          <w:rFonts w:ascii="Arial" w:hAnsi="Arial" w:cs="Arial"/>
          <w:color w:val="000000" w:themeColor="text1"/>
          <w:sz w:val="24"/>
          <w:szCs w:val="24"/>
          <w:lang w:val="es-CO"/>
        </w:rPr>
        <w:t>el acto administrativo de declaratoria de desierta de la invitación pública (…) [había sido] publicado el 19 de marzo de 2020»; que el día 24 de marzo 2020 había interpuesto «recurso de reposición</w:t>
      </w:r>
      <w:r w:rsidR="00347C11" w:rsidRPr="26A5AAD8">
        <w:rPr>
          <w:rFonts w:ascii="Arial" w:hAnsi="Arial" w:cs="Arial"/>
          <w:color w:val="000000" w:themeColor="text1"/>
          <w:sz w:val="24"/>
          <w:szCs w:val="24"/>
          <w:lang w:val="es-CO"/>
        </w:rPr>
        <w:t>»</w:t>
      </w:r>
      <w:r w:rsidR="00252AD4" w:rsidRPr="26A5AAD8">
        <w:rPr>
          <w:rFonts w:ascii="Arial" w:hAnsi="Arial" w:cs="Arial"/>
          <w:color w:val="000000" w:themeColor="text1"/>
          <w:sz w:val="24"/>
          <w:szCs w:val="24"/>
          <w:lang w:val="es-CO"/>
        </w:rPr>
        <w:t xml:space="preserve"> en contra de</w:t>
      </w:r>
      <w:r w:rsidR="00347C11" w:rsidRPr="26A5AAD8">
        <w:rPr>
          <w:rFonts w:ascii="Arial" w:hAnsi="Arial" w:cs="Arial"/>
          <w:color w:val="000000" w:themeColor="text1"/>
          <w:sz w:val="24"/>
          <w:szCs w:val="24"/>
          <w:lang w:val="es-CO"/>
        </w:rPr>
        <w:t xml:space="preserve">l mismo; </w:t>
      </w:r>
      <w:r w:rsidR="00347C11" w:rsidRPr="26A5AAD8">
        <w:rPr>
          <w:rFonts w:ascii="Arial" w:hAnsi="Arial" w:cs="Arial"/>
          <w:b/>
          <w:bCs/>
          <w:color w:val="000000" w:themeColor="text1"/>
          <w:sz w:val="24"/>
          <w:szCs w:val="24"/>
          <w:lang w:val="es-CO"/>
        </w:rPr>
        <w:t xml:space="preserve">y que </w:t>
      </w:r>
      <w:r w:rsidR="00252AD4" w:rsidRPr="26A5AAD8">
        <w:rPr>
          <w:rFonts w:ascii="Arial" w:hAnsi="Arial" w:cs="Arial"/>
          <w:b/>
          <w:bCs/>
          <w:color w:val="000000" w:themeColor="text1"/>
          <w:sz w:val="24"/>
          <w:szCs w:val="24"/>
          <w:lang w:val="es-CO"/>
        </w:rPr>
        <w:t xml:space="preserve">el día 13 de </w:t>
      </w:r>
      <w:r w:rsidR="00347C11" w:rsidRPr="26A5AAD8">
        <w:rPr>
          <w:rFonts w:ascii="Arial" w:hAnsi="Arial" w:cs="Arial"/>
          <w:b/>
          <w:bCs/>
          <w:color w:val="000000" w:themeColor="text1"/>
          <w:sz w:val="24"/>
          <w:szCs w:val="24"/>
          <w:lang w:val="es-CO"/>
        </w:rPr>
        <w:t>a</w:t>
      </w:r>
      <w:r w:rsidR="00252AD4" w:rsidRPr="26A5AAD8">
        <w:rPr>
          <w:rFonts w:ascii="Arial" w:hAnsi="Arial" w:cs="Arial"/>
          <w:b/>
          <w:bCs/>
          <w:color w:val="000000" w:themeColor="text1"/>
          <w:sz w:val="24"/>
          <w:szCs w:val="24"/>
          <w:lang w:val="es-CO"/>
        </w:rPr>
        <w:t xml:space="preserve">bril de 2020 se </w:t>
      </w:r>
      <w:r w:rsidR="00347C11" w:rsidRPr="26A5AAD8">
        <w:rPr>
          <w:rFonts w:ascii="Arial" w:hAnsi="Arial" w:cs="Arial"/>
          <w:b/>
          <w:bCs/>
          <w:color w:val="000000" w:themeColor="text1"/>
          <w:sz w:val="24"/>
          <w:szCs w:val="24"/>
          <w:lang w:val="es-CO"/>
        </w:rPr>
        <w:t>había resuelto el mentado recurso, «r</w:t>
      </w:r>
      <w:r w:rsidR="00252AD4" w:rsidRPr="26A5AAD8">
        <w:rPr>
          <w:rFonts w:ascii="Arial" w:hAnsi="Arial" w:cs="Arial"/>
          <w:b/>
          <w:bCs/>
          <w:color w:val="000000" w:themeColor="text1"/>
          <w:sz w:val="24"/>
          <w:szCs w:val="24"/>
          <w:lang w:val="es-CO"/>
        </w:rPr>
        <w:t>atificando la declaratoria de desierta</w:t>
      </w:r>
      <w:r w:rsidR="00347C11" w:rsidRPr="26A5AAD8">
        <w:rPr>
          <w:rFonts w:ascii="Arial" w:hAnsi="Arial" w:cs="Arial"/>
          <w:color w:val="000000" w:themeColor="text1"/>
          <w:sz w:val="24"/>
          <w:szCs w:val="24"/>
          <w:lang w:val="es-CO"/>
        </w:rPr>
        <w:t>»</w:t>
      </w:r>
      <w:r w:rsidR="00252AD4" w:rsidRPr="26A5AAD8">
        <w:rPr>
          <w:rFonts w:ascii="Arial" w:hAnsi="Arial" w:cs="Arial"/>
          <w:color w:val="000000" w:themeColor="text1"/>
          <w:sz w:val="24"/>
          <w:szCs w:val="24"/>
          <w:lang w:val="es-CO"/>
        </w:rPr>
        <w:t>.</w:t>
      </w:r>
      <w:r w:rsidR="005C63B7" w:rsidRPr="26A5AAD8">
        <w:rPr>
          <w:rFonts w:ascii="Arial" w:hAnsi="Arial" w:cs="Arial"/>
          <w:color w:val="000000" w:themeColor="text1"/>
          <w:sz w:val="24"/>
          <w:szCs w:val="24"/>
          <w:lang w:val="es-CO"/>
        </w:rPr>
        <w:t xml:space="preserve"> Una vez precisado lo anterior, consideró que el </w:t>
      </w:r>
      <w:r w:rsidR="005C63B7" w:rsidRPr="26A5AAD8">
        <w:rPr>
          <w:rFonts w:ascii="Arial" w:hAnsi="Arial" w:cs="Arial"/>
          <w:i/>
          <w:iCs/>
          <w:color w:val="000000" w:themeColor="text1"/>
          <w:sz w:val="24"/>
          <w:szCs w:val="24"/>
          <w:lang w:val="es-CO"/>
        </w:rPr>
        <w:t>a quo</w:t>
      </w:r>
      <w:r w:rsidR="005C63B7" w:rsidRPr="26A5AAD8">
        <w:rPr>
          <w:rFonts w:ascii="Arial" w:hAnsi="Arial" w:cs="Arial"/>
          <w:color w:val="000000" w:themeColor="text1"/>
          <w:sz w:val="24"/>
          <w:szCs w:val="24"/>
          <w:lang w:val="es-CO"/>
        </w:rPr>
        <w:t>, en su providencia, había desconocido «</w:t>
      </w:r>
      <w:r w:rsidR="00252AD4" w:rsidRPr="26A5AAD8">
        <w:rPr>
          <w:rFonts w:ascii="Arial" w:hAnsi="Arial" w:cs="Arial"/>
          <w:color w:val="000000" w:themeColor="text1"/>
          <w:sz w:val="24"/>
          <w:szCs w:val="24"/>
          <w:lang w:val="es-CO"/>
        </w:rPr>
        <w:t>el tiempo transcurrido entre la publicación del acto administrativo</w:t>
      </w:r>
      <w:r w:rsidR="005C63B7" w:rsidRPr="26A5AAD8">
        <w:rPr>
          <w:rFonts w:ascii="Arial" w:hAnsi="Arial" w:cs="Arial"/>
          <w:color w:val="000000" w:themeColor="text1"/>
          <w:sz w:val="24"/>
          <w:szCs w:val="24"/>
          <w:lang w:val="es-CO"/>
        </w:rPr>
        <w:t>» y «</w:t>
      </w:r>
      <w:r w:rsidR="00252AD4" w:rsidRPr="26A5AAD8">
        <w:rPr>
          <w:rFonts w:ascii="Arial" w:hAnsi="Arial" w:cs="Arial"/>
          <w:color w:val="000000" w:themeColor="text1"/>
          <w:sz w:val="24"/>
          <w:szCs w:val="24"/>
          <w:lang w:val="es-CO"/>
        </w:rPr>
        <w:t>la resolución que contest</w:t>
      </w:r>
      <w:r w:rsidR="005C63B7" w:rsidRPr="26A5AAD8">
        <w:rPr>
          <w:rFonts w:ascii="Arial" w:hAnsi="Arial" w:cs="Arial"/>
          <w:color w:val="000000" w:themeColor="text1"/>
          <w:sz w:val="24"/>
          <w:szCs w:val="24"/>
          <w:lang w:val="es-CO"/>
        </w:rPr>
        <w:t>ó (sic)</w:t>
      </w:r>
      <w:r w:rsidR="00252AD4" w:rsidRPr="26A5AAD8">
        <w:rPr>
          <w:rFonts w:ascii="Arial" w:hAnsi="Arial" w:cs="Arial"/>
          <w:color w:val="000000" w:themeColor="text1"/>
          <w:sz w:val="24"/>
          <w:szCs w:val="24"/>
          <w:lang w:val="es-CO"/>
        </w:rPr>
        <w:t xml:space="preserve"> este recurso</w:t>
      </w:r>
      <w:r w:rsidR="005C63B7" w:rsidRPr="26A5AAD8">
        <w:rPr>
          <w:rFonts w:ascii="Arial" w:hAnsi="Arial" w:cs="Arial"/>
          <w:color w:val="000000" w:themeColor="text1"/>
          <w:sz w:val="24"/>
          <w:szCs w:val="24"/>
          <w:lang w:val="es-CO"/>
        </w:rPr>
        <w:t>», indicando que dicho lapso no podía ser contado «</w:t>
      </w:r>
      <w:r w:rsidR="00252AD4" w:rsidRPr="26A5AAD8">
        <w:rPr>
          <w:rFonts w:ascii="Arial" w:hAnsi="Arial" w:cs="Arial"/>
          <w:color w:val="000000" w:themeColor="text1"/>
          <w:sz w:val="24"/>
          <w:szCs w:val="24"/>
          <w:lang w:val="es-CO"/>
        </w:rPr>
        <w:t>en los términos de caducidad</w:t>
      </w:r>
      <w:r w:rsidR="005C63B7" w:rsidRPr="26A5AAD8">
        <w:rPr>
          <w:rFonts w:ascii="Arial" w:hAnsi="Arial" w:cs="Arial"/>
          <w:color w:val="000000" w:themeColor="text1"/>
          <w:sz w:val="24"/>
          <w:szCs w:val="24"/>
          <w:lang w:val="es-CO"/>
        </w:rPr>
        <w:t>»</w:t>
      </w:r>
      <w:r w:rsidR="00252AD4" w:rsidRPr="26A5AAD8">
        <w:rPr>
          <w:rFonts w:ascii="Arial" w:hAnsi="Arial" w:cs="Arial"/>
          <w:color w:val="000000" w:themeColor="text1"/>
          <w:sz w:val="24"/>
          <w:szCs w:val="24"/>
          <w:lang w:val="es-CO"/>
        </w:rPr>
        <w:t>.</w:t>
      </w:r>
    </w:p>
    <w:p w14:paraId="695CD312" w14:textId="77777777" w:rsidR="005C63B7" w:rsidRDefault="005C63B7" w:rsidP="005C63B7">
      <w:pPr>
        <w:pStyle w:val="Prrafodelista"/>
        <w:spacing w:line="276" w:lineRule="auto"/>
        <w:ind w:left="0" w:right="50"/>
        <w:contextualSpacing/>
        <w:jc w:val="both"/>
        <w:rPr>
          <w:rFonts w:ascii="Arial" w:hAnsi="Arial" w:cs="Arial"/>
          <w:color w:val="000000"/>
          <w:sz w:val="24"/>
          <w:szCs w:val="24"/>
          <w:lang w:val="es-CO"/>
        </w:rPr>
      </w:pPr>
    </w:p>
    <w:p w14:paraId="5E3420EA" w14:textId="49C69675" w:rsidR="00D911D5" w:rsidRPr="00D911D5" w:rsidRDefault="00DD43B9" w:rsidP="003A07D4">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De otro lado, r</w:t>
      </w:r>
      <w:r w:rsidR="005C63B7" w:rsidRPr="00815B71">
        <w:rPr>
          <w:rFonts w:ascii="Arial" w:hAnsi="Arial" w:cs="Arial"/>
          <w:color w:val="000000"/>
          <w:sz w:val="24"/>
          <w:szCs w:val="24"/>
          <w:lang w:val="es-CO"/>
        </w:rPr>
        <w:t>efirió que</w:t>
      </w:r>
      <w:r w:rsidR="00A12A0B">
        <w:rPr>
          <w:rFonts w:ascii="Arial" w:hAnsi="Arial" w:cs="Arial"/>
          <w:color w:val="000000"/>
          <w:sz w:val="24"/>
          <w:szCs w:val="24"/>
          <w:lang w:val="es-CO"/>
        </w:rPr>
        <w:t xml:space="preserve"> los términos se habían suspendido </w:t>
      </w:r>
      <w:r w:rsidR="00815B71" w:rsidRPr="00815B71">
        <w:rPr>
          <w:rFonts w:ascii="Arial" w:hAnsi="Arial" w:cs="Arial"/>
          <w:color w:val="000000"/>
          <w:sz w:val="24"/>
          <w:szCs w:val="24"/>
          <w:lang w:val="es-CO"/>
        </w:rPr>
        <w:t xml:space="preserve">del </w:t>
      </w:r>
      <w:r w:rsidR="00252AD4" w:rsidRPr="00252AD4">
        <w:rPr>
          <w:rFonts w:ascii="Arial" w:hAnsi="Arial" w:cs="Arial"/>
          <w:color w:val="000000"/>
          <w:sz w:val="24"/>
          <w:szCs w:val="24"/>
          <w:lang w:val="es-CO"/>
        </w:rPr>
        <w:t>16 de marzo al 30 de junio</w:t>
      </w:r>
      <w:r w:rsidR="00815B71" w:rsidRPr="00815B71">
        <w:rPr>
          <w:rFonts w:ascii="Arial" w:hAnsi="Arial" w:cs="Arial"/>
          <w:color w:val="000000"/>
          <w:sz w:val="24"/>
          <w:szCs w:val="24"/>
          <w:lang w:val="es-CO"/>
        </w:rPr>
        <w:t xml:space="preserve"> </w:t>
      </w:r>
      <w:r w:rsidR="00252AD4" w:rsidRPr="00815B71">
        <w:rPr>
          <w:rFonts w:ascii="Arial" w:hAnsi="Arial" w:cs="Arial"/>
          <w:color w:val="000000"/>
          <w:sz w:val="24"/>
          <w:szCs w:val="24"/>
          <w:lang w:val="es-CO"/>
        </w:rPr>
        <w:t xml:space="preserve">de 2020 </w:t>
      </w:r>
      <w:r>
        <w:rPr>
          <w:rFonts w:ascii="Arial" w:hAnsi="Arial" w:cs="Arial"/>
          <w:color w:val="000000"/>
          <w:sz w:val="24"/>
          <w:szCs w:val="24"/>
          <w:lang w:val="es-CO"/>
        </w:rPr>
        <w:t xml:space="preserve">y </w:t>
      </w:r>
      <w:r w:rsidR="00967F47">
        <w:rPr>
          <w:rFonts w:ascii="Arial" w:hAnsi="Arial" w:cs="Arial"/>
          <w:color w:val="000000"/>
          <w:sz w:val="24"/>
          <w:szCs w:val="24"/>
          <w:lang w:val="es-CO"/>
        </w:rPr>
        <w:t>precis</w:t>
      </w:r>
      <w:r w:rsidR="00A12A0B">
        <w:rPr>
          <w:rFonts w:ascii="Arial" w:hAnsi="Arial" w:cs="Arial"/>
          <w:color w:val="000000"/>
          <w:sz w:val="24"/>
          <w:szCs w:val="24"/>
          <w:lang w:val="es-CO"/>
        </w:rPr>
        <w:t>ó</w:t>
      </w:r>
      <w:r w:rsidR="00967F47">
        <w:rPr>
          <w:rFonts w:ascii="Arial" w:hAnsi="Arial" w:cs="Arial"/>
          <w:color w:val="000000"/>
          <w:sz w:val="24"/>
          <w:szCs w:val="24"/>
          <w:lang w:val="es-CO"/>
        </w:rPr>
        <w:t xml:space="preserve"> </w:t>
      </w:r>
      <w:r>
        <w:rPr>
          <w:rFonts w:ascii="Arial" w:hAnsi="Arial" w:cs="Arial"/>
          <w:color w:val="000000"/>
          <w:sz w:val="24"/>
          <w:szCs w:val="24"/>
          <w:lang w:val="es-CO"/>
        </w:rPr>
        <w:t>el término en que se había adelantado la fase de conciliación ―entre el 3 de agosto y el 26 de octubre de 2020―</w:t>
      </w:r>
      <w:r w:rsidR="002B0B2E" w:rsidRPr="00815B71">
        <w:rPr>
          <w:rFonts w:ascii="Arial" w:hAnsi="Arial" w:cs="Arial"/>
          <w:color w:val="000000"/>
          <w:sz w:val="24"/>
          <w:szCs w:val="24"/>
          <w:lang w:val="es-CO"/>
        </w:rPr>
        <w:t>.</w:t>
      </w:r>
      <w:r w:rsidR="00967F47">
        <w:rPr>
          <w:rFonts w:ascii="Arial" w:hAnsi="Arial" w:cs="Arial"/>
          <w:color w:val="000000"/>
          <w:sz w:val="24"/>
          <w:szCs w:val="24"/>
          <w:lang w:val="es-CO"/>
        </w:rPr>
        <w:t xml:space="preserve"> Con base en lo anterior expuso que el 20 de noviembre de 2020, había radicado </w:t>
      </w:r>
      <w:r w:rsidR="00A12A0B">
        <w:rPr>
          <w:rFonts w:ascii="Arial" w:hAnsi="Arial" w:cs="Arial"/>
          <w:color w:val="000000"/>
          <w:sz w:val="24"/>
          <w:szCs w:val="24"/>
          <w:lang w:val="es-CO"/>
        </w:rPr>
        <w:t xml:space="preserve">una primera demanda </w:t>
      </w:r>
      <w:r w:rsidR="00967F47">
        <w:rPr>
          <w:rFonts w:ascii="Arial" w:hAnsi="Arial" w:cs="Arial"/>
          <w:color w:val="000000"/>
          <w:sz w:val="24"/>
          <w:szCs w:val="24"/>
          <w:lang w:val="es-CO"/>
        </w:rPr>
        <w:t>de nulidad y restablecimiento del derecho, siendo repartida la misma al Juzgado Primero Administrativo de Duitama bajo el radicado 15238-3333-001-2020-00132-00</w:t>
      </w:r>
      <w:r w:rsidR="00D911D5">
        <w:rPr>
          <w:rFonts w:ascii="Arial" w:hAnsi="Arial" w:cs="Arial"/>
          <w:color w:val="000000"/>
          <w:sz w:val="24"/>
          <w:szCs w:val="24"/>
          <w:lang w:val="es-CO"/>
        </w:rPr>
        <w:t xml:space="preserve">, quien había resuelto rechazar la misma «de plano», mediante auto de 5 de febrero de 2021. Sobre este último hecho, el demandante expuso lo siguiente: </w:t>
      </w:r>
    </w:p>
    <w:p w14:paraId="03A44A1C" w14:textId="77777777" w:rsidR="00D911D5" w:rsidRPr="00D911D5" w:rsidRDefault="00D911D5" w:rsidP="00D911D5">
      <w:pPr>
        <w:pStyle w:val="Prrafodelista"/>
        <w:rPr>
          <w:rFonts w:ascii="Arial" w:hAnsi="Arial" w:cs="Arial"/>
          <w:color w:val="000000"/>
          <w:sz w:val="24"/>
          <w:szCs w:val="24"/>
        </w:rPr>
      </w:pPr>
    </w:p>
    <w:p w14:paraId="67D22362" w14:textId="6286D16E" w:rsidR="00D911D5" w:rsidRPr="001B4850" w:rsidRDefault="00D911D5" w:rsidP="001B4850">
      <w:pPr>
        <w:pStyle w:val="Prrafodelista"/>
        <w:spacing w:line="276" w:lineRule="auto"/>
        <w:ind w:right="50"/>
        <w:contextualSpacing/>
        <w:jc w:val="both"/>
        <w:rPr>
          <w:rFonts w:ascii="Arial" w:hAnsi="Arial" w:cs="Arial"/>
          <w:color w:val="000000"/>
          <w:sz w:val="21"/>
          <w:szCs w:val="21"/>
        </w:rPr>
      </w:pPr>
      <w:r w:rsidRPr="001B4850">
        <w:rPr>
          <w:rFonts w:ascii="Arial" w:hAnsi="Arial" w:cs="Arial"/>
          <w:color w:val="000000"/>
          <w:sz w:val="21"/>
          <w:szCs w:val="21"/>
        </w:rPr>
        <w:lastRenderedPageBreak/>
        <w:t>«</w:t>
      </w:r>
      <w:r w:rsidR="001B4850" w:rsidRPr="001B4850">
        <w:rPr>
          <w:rFonts w:ascii="Arial" w:hAnsi="Arial" w:cs="Arial"/>
          <w:color w:val="000000"/>
          <w:sz w:val="21"/>
          <w:szCs w:val="21"/>
        </w:rPr>
        <w:t>(…) [A]l parecer el juez de primera instancia, desconocía que esta demanda había sido presentada en el mes de noviembre de 2020 lo cual hace que se tome todo este tiempo dentro de la caducidad, siendo necesario contar la suspensión de términos desde el 20 de noviembre de 2020 hasta</w:t>
      </w:r>
      <w:r w:rsidR="001B4850">
        <w:rPr>
          <w:rFonts w:ascii="Arial" w:hAnsi="Arial" w:cs="Arial"/>
          <w:color w:val="000000"/>
          <w:sz w:val="21"/>
          <w:szCs w:val="21"/>
        </w:rPr>
        <w:t xml:space="preserve"> </w:t>
      </w:r>
      <w:r w:rsidR="001B4850" w:rsidRPr="001B4850">
        <w:rPr>
          <w:rFonts w:ascii="Arial" w:hAnsi="Arial" w:cs="Arial"/>
          <w:color w:val="000000"/>
          <w:sz w:val="21"/>
          <w:szCs w:val="21"/>
        </w:rPr>
        <w:t>el 5 de febrero de 2021 momento en que se rechazó la demanda, y que equivale a 86 días que no pueden ser contados en los términos de caducidad».</w:t>
      </w:r>
    </w:p>
    <w:p w14:paraId="10DFA394" w14:textId="77777777" w:rsidR="00D911D5" w:rsidRPr="00D911D5" w:rsidRDefault="00D911D5" w:rsidP="00D911D5">
      <w:pPr>
        <w:pStyle w:val="Prrafodelista"/>
        <w:rPr>
          <w:rFonts w:ascii="Arial" w:hAnsi="Arial" w:cs="Arial"/>
          <w:color w:val="000000"/>
          <w:sz w:val="24"/>
          <w:szCs w:val="24"/>
          <w:lang w:val="es-CO"/>
        </w:rPr>
      </w:pPr>
    </w:p>
    <w:p w14:paraId="45B93498" w14:textId="53A202CA" w:rsidR="00D700C4" w:rsidRPr="00D700C4" w:rsidRDefault="008C5384" w:rsidP="003A07D4">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Puntualizó que el 15 de febrero de 2021 había vuelto a radicar la demanda de nulidad y restablecimiento del derecho</w:t>
      </w:r>
      <w:r w:rsidR="005441D6">
        <w:rPr>
          <w:rFonts w:ascii="Arial" w:hAnsi="Arial" w:cs="Arial"/>
          <w:color w:val="000000"/>
          <w:sz w:val="24"/>
          <w:szCs w:val="24"/>
          <w:lang w:val="es-CO"/>
        </w:rPr>
        <w:t>, señalando que «solo hasta el estado de fecha 16 de abril de 2021 [había conocido] de su llegada» al Juzgado Segundo Administrativo de Duitama.</w:t>
      </w:r>
      <w:r w:rsidR="00D700C4">
        <w:rPr>
          <w:rFonts w:ascii="Arial" w:hAnsi="Arial" w:cs="Arial"/>
          <w:color w:val="000000"/>
          <w:sz w:val="24"/>
          <w:szCs w:val="24"/>
          <w:lang w:val="es-CO"/>
        </w:rPr>
        <w:t xml:space="preserve"> Aunado a esto, señaló lo siguiente: </w:t>
      </w:r>
    </w:p>
    <w:p w14:paraId="0951E18B" w14:textId="25464307" w:rsidR="00D700C4" w:rsidRDefault="00D700C4" w:rsidP="00D700C4">
      <w:pPr>
        <w:pStyle w:val="Prrafodelista"/>
        <w:spacing w:line="276" w:lineRule="auto"/>
        <w:ind w:left="0" w:right="50"/>
        <w:contextualSpacing/>
        <w:jc w:val="both"/>
        <w:rPr>
          <w:rFonts w:ascii="Arial" w:hAnsi="Arial" w:cs="Arial"/>
          <w:color w:val="000000"/>
          <w:sz w:val="24"/>
          <w:szCs w:val="24"/>
          <w:lang w:val="es-CO"/>
        </w:rPr>
      </w:pPr>
    </w:p>
    <w:p w14:paraId="1386197F" w14:textId="6BCC8415" w:rsidR="00D700C4" w:rsidRPr="00D700C4" w:rsidRDefault="00D700C4" w:rsidP="00784AAD">
      <w:pPr>
        <w:pStyle w:val="Prrafodelista"/>
        <w:spacing w:line="276" w:lineRule="auto"/>
        <w:ind w:right="50"/>
        <w:contextualSpacing/>
        <w:jc w:val="both"/>
        <w:rPr>
          <w:rFonts w:ascii="Arial" w:hAnsi="Arial" w:cs="Arial"/>
          <w:color w:val="000000"/>
          <w:sz w:val="21"/>
          <w:szCs w:val="21"/>
        </w:rPr>
      </w:pPr>
      <w:r w:rsidRPr="00D700C4">
        <w:rPr>
          <w:rFonts w:ascii="Arial" w:hAnsi="Arial" w:cs="Arial"/>
          <w:color w:val="000000"/>
          <w:sz w:val="21"/>
          <w:szCs w:val="21"/>
          <w:lang w:val="es-CO"/>
        </w:rPr>
        <w:t>«El juez de primera instancia, desconocía que esta demanda había sido presentada nuevamente el 15</w:t>
      </w:r>
      <w:r>
        <w:rPr>
          <w:rFonts w:ascii="Arial" w:hAnsi="Arial" w:cs="Arial"/>
          <w:color w:val="000000"/>
          <w:sz w:val="21"/>
          <w:szCs w:val="21"/>
          <w:lang w:val="es-CO"/>
        </w:rPr>
        <w:t xml:space="preserve"> </w:t>
      </w:r>
      <w:r w:rsidRPr="00D700C4">
        <w:rPr>
          <w:rFonts w:ascii="Arial" w:hAnsi="Arial" w:cs="Arial"/>
          <w:color w:val="000000"/>
          <w:sz w:val="21"/>
          <w:szCs w:val="21"/>
          <w:lang w:val="es-CO"/>
        </w:rPr>
        <w:t>de febrero de 2021 y llegada a su juzgado el día 8 de abril de 2021, por lo anterior se hace necesario</w:t>
      </w:r>
      <w:r>
        <w:rPr>
          <w:rFonts w:ascii="Arial" w:hAnsi="Arial" w:cs="Arial"/>
          <w:color w:val="000000"/>
          <w:sz w:val="21"/>
          <w:szCs w:val="21"/>
          <w:lang w:val="es-CO"/>
        </w:rPr>
        <w:t xml:space="preserve"> </w:t>
      </w:r>
      <w:r w:rsidRPr="00D700C4">
        <w:rPr>
          <w:rFonts w:ascii="Arial" w:hAnsi="Arial" w:cs="Arial"/>
          <w:color w:val="000000"/>
          <w:sz w:val="21"/>
          <w:szCs w:val="21"/>
          <w:lang w:val="es-CO"/>
        </w:rPr>
        <w:t xml:space="preserve">contar la suspensión de términos por 50 días </w:t>
      </w:r>
      <w:r w:rsidR="00784AAD">
        <w:rPr>
          <w:rFonts w:ascii="Arial" w:hAnsi="Arial" w:cs="Arial"/>
          <w:color w:val="000000"/>
          <w:sz w:val="21"/>
          <w:szCs w:val="21"/>
          <w:lang w:val="es-CO"/>
        </w:rPr>
        <w:t>(…)</w:t>
      </w:r>
      <w:r>
        <w:rPr>
          <w:rFonts w:ascii="Arial" w:hAnsi="Arial" w:cs="Arial"/>
          <w:color w:val="000000"/>
          <w:sz w:val="21"/>
          <w:szCs w:val="21"/>
          <w:lang w:val="es-CO"/>
        </w:rPr>
        <w:t>».</w:t>
      </w:r>
    </w:p>
    <w:p w14:paraId="5F10E6B5" w14:textId="77777777" w:rsidR="00D700C4" w:rsidRPr="00D700C4" w:rsidRDefault="00D700C4" w:rsidP="00D700C4">
      <w:pPr>
        <w:pStyle w:val="Prrafodelista"/>
        <w:spacing w:line="276" w:lineRule="auto"/>
        <w:ind w:left="0" w:right="50"/>
        <w:contextualSpacing/>
        <w:jc w:val="both"/>
        <w:rPr>
          <w:rFonts w:ascii="Arial" w:hAnsi="Arial" w:cs="Arial"/>
          <w:color w:val="000000"/>
          <w:sz w:val="24"/>
          <w:szCs w:val="24"/>
        </w:rPr>
      </w:pPr>
    </w:p>
    <w:p w14:paraId="5966493F" w14:textId="69B804EE" w:rsidR="00854A41" w:rsidRPr="00815B71" w:rsidRDefault="00D700C4" w:rsidP="003A07D4">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Con base en lo expuesto, manifestó que, en el presente caso, no se había presentado el fenómeno de la caducidad del medio de control, pues apenas habían transcurrido 68 días de los 4 meses que había previsto el literal c) del numeral 2° del artículo 164 del CPACA.</w:t>
      </w:r>
      <w:r w:rsidR="005441D6">
        <w:rPr>
          <w:rFonts w:ascii="Arial" w:hAnsi="Arial" w:cs="Arial"/>
          <w:color w:val="000000"/>
          <w:sz w:val="24"/>
          <w:szCs w:val="24"/>
          <w:lang w:val="es-CO"/>
        </w:rPr>
        <w:t xml:space="preserve"> </w:t>
      </w:r>
      <w:r w:rsidR="00F026AC" w:rsidRPr="00815B71">
        <w:rPr>
          <w:rFonts w:ascii="Arial" w:hAnsi="Arial" w:cs="Arial"/>
          <w:color w:val="000000"/>
          <w:sz w:val="24"/>
          <w:szCs w:val="24"/>
          <w:lang w:val="es-CO"/>
        </w:rPr>
        <w:t xml:space="preserve"> </w:t>
      </w:r>
      <w:r w:rsidR="00155D55" w:rsidRPr="00815B71">
        <w:rPr>
          <w:rFonts w:ascii="Arial" w:hAnsi="Arial" w:cs="Arial"/>
          <w:color w:val="000000"/>
          <w:sz w:val="24"/>
          <w:szCs w:val="24"/>
        </w:rPr>
        <w:t xml:space="preserve"> </w:t>
      </w:r>
    </w:p>
    <w:p w14:paraId="60AC09DC" w14:textId="28A2A7A0" w:rsidR="00A6087B" w:rsidRPr="003B2AEA" w:rsidRDefault="00A6087B" w:rsidP="00C408EF">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sidRPr="003B2AEA">
        <w:rPr>
          <w:rFonts w:ascii="Arial" w:hAnsi="Arial" w:cs="Arial"/>
          <w:b/>
          <w:bCs/>
          <w:color w:val="000000" w:themeColor="text1"/>
          <w:sz w:val="24"/>
          <w:szCs w:val="24"/>
        </w:rPr>
        <w:t>El traslado del recurso</w:t>
      </w:r>
    </w:p>
    <w:p w14:paraId="430328E5" w14:textId="77777777" w:rsidR="00A6087B" w:rsidRPr="003B2AEA" w:rsidRDefault="00A6087B" w:rsidP="00C408EF">
      <w:pPr>
        <w:pStyle w:val="Prrafodelista"/>
        <w:spacing w:line="276" w:lineRule="auto"/>
        <w:ind w:left="0" w:right="50"/>
        <w:contextualSpacing/>
        <w:jc w:val="both"/>
        <w:rPr>
          <w:rFonts w:ascii="Arial" w:hAnsi="Arial" w:cs="Arial"/>
          <w:color w:val="000000"/>
          <w:sz w:val="24"/>
          <w:szCs w:val="24"/>
        </w:rPr>
      </w:pPr>
    </w:p>
    <w:p w14:paraId="4B2E6DBC" w14:textId="0646024F" w:rsidR="009A2AD6" w:rsidRPr="003B2AEA" w:rsidRDefault="00BA6BA1"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Conforme el segundo acápite del numeral 3° del artículo 244 del CPACA</w:t>
      </w:r>
      <w:r w:rsidR="00540B7D">
        <w:rPr>
          <w:rStyle w:val="Refdenotaalpie"/>
          <w:rFonts w:ascii="Arial" w:hAnsi="Arial" w:cs="Arial"/>
          <w:color w:val="000000"/>
          <w:sz w:val="24"/>
          <w:szCs w:val="24"/>
        </w:rPr>
        <w:footnoteReference w:id="4"/>
      </w:r>
      <w:r>
        <w:rPr>
          <w:rFonts w:ascii="Arial" w:hAnsi="Arial" w:cs="Arial"/>
          <w:color w:val="000000"/>
          <w:sz w:val="24"/>
          <w:szCs w:val="24"/>
        </w:rPr>
        <w:t xml:space="preserve"> ―modificado por el 64 de la Ley 2080 de 2021―, no se surtió el respectivo traslado a la contraparte</w:t>
      </w:r>
      <w:r w:rsidR="00775678">
        <w:rPr>
          <w:rFonts w:ascii="Arial" w:hAnsi="Arial" w:cs="Arial"/>
          <w:color w:val="000000"/>
          <w:sz w:val="24"/>
          <w:szCs w:val="24"/>
        </w:rPr>
        <w:t xml:space="preserve">, sino que se concedió </w:t>
      </w:r>
      <w:r w:rsidR="00D678AA">
        <w:rPr>
          <w:rFonts w:ascii="Arial" w:hAnsi="Arial" w:cs="Arial"/>
          <w:color w:val="000000"/>
          <w:sz w:val="24"/>
          <w:szCs w:val="24"/>
        </w:rPr>
        <w:t xml:space="preserve">directamente </w:t>
      </w:r>
      <w:r w:rsidR="00775678">
        <w:rPr>
          <w:rFonts w:ascii="Arial" w:hAnsi="Arial" w:cs="Arial"/>
          <w:color w:val="000000"/>
          <w:sz w:val="24"/>
          <w:szCs w:val="24"/>
        </w:rPr>
        <w:t>la alzada ante este Tribunal mediante auto proferido el 7 de octubre de 2021</w:t>
      </w:r>
      <w:r w:rsidR="00775678">
        <w:rPr>
          <w:rStyle w:val="Refdenotaalpie"/>
          <w:rFonts w:ascii="Arial" w:hAnsi="Arial" w:cs="Arial"/>
          <w:color w:val="000000"/>
          <w:sz w:val="24"/>
          <w:szCs w:val="24"/>
        </w:rPr>
        <w:footnoteReference w:id="5"/>
      </w:r>
      <w:r w:rsidR="00775678">
        <w:rPr>
          <w:rFonts w:ascii="Arial" w:hAnsi="Arial" w:cs="Arial"/>
          <w:color w:val="000000"/>
          <w:sz w:val="24"/>
          <w:szCs w:val="24"/>
        </w:rPr>
        <w:t>.</w:t>
      </w:r>
      <w:r w:rsidR="00473D34" w:rsidRPr="003B2AEA">
        <w:rPr>
          <w:rFonts w:ascii="Arial" w:hAnsi="Arial" w:cs="Arial"/>
          <w:color w:val="000000"/>
          <w:sz w:val="24"/>
          <w:szCs w:val="24"/>
        </w:rPr>
        <w:t xml:space="preserve"> </w:t>
      </w:r>
    </w:p>
    <w:p w14:paraId="68AD5983" w14:textId="77777777" w:rsidR="00B42798" w:rsidRPr="003B2AEA" w:rsidRDefault="00B42798" w:rsidP="00C408EF">
      <w:pPr>
        <w:spacing w:line="276" w:lineRule="auto"/>
        <w:contextualSpacing/>
        <w:rPr>
          <w:rFonts w:ascii="Arial" w:hAnsi="Arial" w:cs="Arial"/>
          <w:color w:val="000000"/>
          <w:sz w:val="24"/>
          <w:szCs w:val="24"/>
        </w:rPr>
      </w:pPr>
    </w:p>
    <w:p w14:paraId="4F349745" w14:textId="77777777" w:rsidR="009A2AD6" w:rsidRPr="003B2AEA" w:rsidRDefault="009A2AD6" w:rsidP="00C408EF">
      <w:pPr>
        <w:spacing w:line="276" w:lineRule="auto"/>
        <w:ind w:right="50"/>
        <w:contextualSpacing/>
        <w:jc w:val="center"/>
        <w:rPr>
          <w:rFonts w:ascii="Arial" w:hAnsi="Arial" w:cs="Arial"/>
          <w:b/>
          <w:color w:val="000000"/>
          <w:sz w:val="24"/>
          <w:szCs w:val="24"/>
        </w:rPr>
      </w:pPr>
      <w:r w:rsidRPr="003B2AEA">
        <w:rPr>
          <w:rFonts w:ascii="Arial" w:hAnsi="Arial" w:cs="Arial"/>
          <w:b/>
          <w:color w:val="000000"/>
          <w:sz w:val="24"/>
          <w:szCs w:val="24"/>
        </w:rPr>
        <w:t>CONSIDERACIONES</w:t>
      </w:r>
      <w:r w:rsidRPr="003B2AEA">
        <w:rPr>
          <w:rFonts w:ascii="Arial" w:hAnsi="Arial" w:cs="Arial"/>
          <w:color w:val="000000"/>
          <w:sz w:val="24"/>
          <w:szCs w:val="24"/>
        </w:rPr>
        <w:t xml:space="preserve"> </w:t>
      </w:r>
    </w:p>
    <w:p w14:paraId="2F9C00F8" w14:textId="40DA052C" w:rsidR="009A2AD6" w:rsidRPr="003B2AEA" w:rsidRDefault="003E6087" w:rsidP="00C408EF">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sidRPr="003B2AEA">
        <w:rPr>
          <w:rFonts w:ascii="Arial" w:hAnsi="Arial" w:cs="Arial"/>
          <w:b/>
          <w:bCs/>
          <w:color w:val="000000" w:themeColor="text1"/>
          <w:sz w:val="24"/>
          <w:szCs w:val="24"/>
        </w:rPr>
        <w:t>Procedencia y oportunidad del recurso</w:t>
      </w:r>
    </w:p>
    <w:p w14:paraId="07054B85" w14:textId="712EDB52" w:rsidR="003E6087" w:rsidRPr="003B2AEA" w:rsidRDefault="003E6087" w:rsidP="00C408EF">
      <w:pPr>
        <w:spacing w:line="276" w:lineRule="auto"/>
        <w:contextualSpacing/>
        <w:rPr>
          <w:rFonts w:ascii="Arial" w:hAnsi="Arial" w:cs="Arial"/>
        </w:rPr>
      </w:pPr>
    </w:p>
    <w:p w14:paraId="4B38F850" w14:textId="1B0BA8D7" w:rsidR="003E6087" w:rsidRPr="003B2AEA" w:rsidRDefault="00D86796"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color w:val="000000"/>
          <w:sz w:val="24"/>
          <w:szCs w:val="24"/>
        </w:rPr>
        <w:t xml:space="preserve">El numeral </w:t>
      </w:r>
      <w:r w:rsidR="00644304">
        <w:rPr>
          <w:rFonts w:ascii="Arial" w:hAnsi="Arial" w:cs="Arial"/>
          <w:color w:val="000000"/>
          <w:sz w:val="24"/>
          <w:szCs w:val="24"/>
        </w:rPr>
        <w:t>1</w:t>
      </w:r>
      <w:r w:rsidRPr="003B2AEA">
        <w:rPr>
          <w:rFonts w:ascii="Arial" w:hAnsi="Arial" w:cs="Arial"/>
          <w:color w:val="000000"/>
          <w:sz w:val="24"/>
          <w:szCs w:val="24"/>
        </w:rPr>
        <w:t>° del artículo 243 del CPACA ―modificado por el artículo 62 de la Ley 2080 de 2021― prevé que es apelable</w:t>
      </w:r>
      <w:r w:rsidR="00CC269D" w:rsidRPr="003B2AEA">
        <w:rPr>
          <w:rFonts w:ascii="Arial" w:hAnsi="Arial" w:cs="Arial"/>
          <w:color w:val="000000"/>
          <w:sz w:val="24"/>
          <w:szCs w:val="24"/>
        </w:rPr>
        <w:t xml:space="preserve">, en el efecto </w:t>
      </w:r>
      <w:r w:rsidR="00644304">
        <w:rPr>
          <w:rFonts w:ascii="Arial" w:hAnsi="Arial" w:cs="Arial"/>
          <w:color w:val="000000"/>
          <w:sz w:val="24"/>
          <w:szCs w:val="24"/>
        </w:rPr>
        <w:t>suspensivo</w:t>
      </w:r>
      <w:r w:rsidR="00CC269D" w:rsidRPr="003B2AEA">
        <w:rPr>
          <w:rStyle w:val="Refdenotaalpie"/>
          <w:rFonts w:ascii="Arial" w:hAnsi="Arial" w:cs="Arial"/>
          <w:color w:val="000000"/>
          <w:sz w:val="24"/>
          <w:szCs w:val="24"/>
        </w:rPr>
        <w:footnoteReference w:id="6"/>
      </w:r>
      <w:r w:rsidR="00CC269D" w:rsidRPr="003B2AEA">
        <w:rPr>
          <w:rFonts w:ascii="Arial" w:hAnsi="Arial" w:cs="Arial"/>
          <w:color w:val="000000"/>
          <w:sz w:val="24"/>
          <w:szCs w:val="24"/>
        </w:rPr>
        <w:t>,</w:t>
      </w:r>
      <w:r w:rsidRPr="003B2AEA">
        <w:rPr>
          <w:rFonts w:ascii="Arial" w:hAnsi="Arial" w:cs="Arial"/>
          <w:color w:val="000000"/>
          <w:sz w:val="24"/>
          <w:szCs w:val="24"/>
        </w:rPr>
        <w:t xml:space="preserve"> el auto </w:t>
      </w:r>
      <w:r w:rsidR="00644304">
        <w:rPr>
          <w:rFonts w:ascii="Arial" w:hAnsi="Arial" w:cs="Arial"/>
          <w:color w:val="000000"/>
          <w:sz w:val="24"/>
          <w:szCs w:val="24"/>
        </w:rPr>
        <w:t xml:space="preserve">que </w:t>
      </w:r>
      <w:r w:rsidRPr="003B2AEA">
        <w:rPr>
          <w:rFonts w:ascii="Arial" w:hAnsi="Arial" w:cs="Arial"/>
          <w:color w:val="000000"/>
          <w:sz w:val="24"/>
          <w:szCs w:val="24"/>
        </w:rPr>
        <w:t>«</w:t>
      </w:r>
      <w:r w:rsidR="00644304" w:rsidRPr="00644304">
        <w:rPr>
          <w:rFonts w:ascii="Arial" w:hAnsi="Arial" w:cs="Arial"/>
          <w:color w:val="000000"/>
          <w:sz w:val="24"/>
          <w:szCs w:val="24"/>
        </w:rPr>
        <w:t>rechace la demanda o su reforma</w:t>
      </w:r>
      <w:r w:rsidRPr="003B2AEA">
        <w:rPr>
          <w:rFonts w:ascii="Arial" w:hAnsi="Arial" w:cs="Arial"/>
          <w:color w:val="000000"/>
          <w:sz w:val="24"/>
          <w:szCs w:val="24"/>
        </w:rPr>
        <w:t>».</w:t>
      </w:r>
    </w:p>
    <w:p w14:paraId="0CCB368A" w14:textId="77777777" w:rsidR="003E6087" w:rsidRPr="003B2AEA" w:rsidRDefault="003E6087" w:rsidP="00C408EF">
      <w:pPr>
        <w:pStyle w:val="Prrafodelista"/>
        <w:spacing w:line="276" w:lineRule="auto"/>
        <w:ind w:left="0" w:right="50"/>
        <w:contextualSpacing/>
        <w:jc w:val="both"/>
        <w:rPr>
          <w:rFonts w:ascii="Arial" w:hAnsi="Arial" w:cs="Arial"/>
          <w:color w:val="000000"/>
          <w:sz w:val="24"/>
          <w:szCs w:val="24"/>
        </w:rPr>
      </w:pPr>
    </w:p>
    <w:p w14:paraId="53B3D1FE" w14:textId="058EDFED" w:rsidR="006E0B16" w:rsidRPr="003B2AEA" w:rsidRDefault="00B8309D" w:rsidP="00C408EF">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B2AEA">
        <w:rPr>
          <w:rFonts w:ascii="Arial" w:hAnsi="Arial" w:cs="Arial"/>
          <w:color w:val="000000"/>
          <w:sz w:val="24"/>
          <w:szCs w:val="24"/>
        </w:rPr>
        <w:t xml:space="preserve">Por su parte, el artículo 244 </w:t>
      </w:r>
      <w:r w:rsidRPr="003B2AEA">
        <w:rPr>
          <w:rFonts w:ascii="Arial" w:hAnsi="Arial" w:cs="Arial"/>
          <w:i/>
          <w:iCs/>
          <w:color w:val="000000"/>
          <w:sz w:val="24"/>
          <w:szCs w:val="24"/>
        </w:rPr>
        <w:t xml:space="preserve">ibidem </w:t>
      </w:r>
      <w:r w:rsidRPr="003B2AEA">
        <w:rPr>
          <w:rFonts w:ascii="Arial" w:hAnsi="Arial" w:cs="Arial"/>
          <w:color w:val="000000"/>
          <w:sz w:val="24"/>
          <w:szCs w:val="24"/>
        </w:rPr>
        <w:t xml:space="preserve">dispuso que </w:t>
      </w:r>
      <w:r w:rsidR="006E0B16" w:rsidRPr="003B2AEA">
        <w:rPr>
          <w:rFonts w:ascii="Arial" w:hAnsi="Arial" w:cs="Arial"/>
          <w:color w:val="000000"/>
          <w:sz w:val="24"/>
          <w:szCs w:val="24"/>
        </w:rPr>
        <w:t xml:space="preserve">el recurso de apelación podría interponerse directamente, o en subsidio del recurso de reposición. Además, </w:t>
      </w:r>
      <w:r w:rsidR="00C04159" w:rsidRPr="003B2AEA">
        <w:rPr>
          <w:rFonts w:ascii="Arial" w:hAnsi="Arial" w:cs="Arial"/>
          <w:color w:val="000000"/>
          <w:sz w:val="24"/>
          <w:szCs w:val="24"/>
        </w:rPr>
        <w:t xml:space="preserve">la mentada norma prescribió </w:t>
      </w:r>
      <w:proofErr w:type="gramStart"/>
      <w:r w:rsidR="00C04159" w:rsidRPr="003B2AEA">
        <w:rPr>
          <w:rFonts w:ascii="Arial" w:hAnsi="Arial" w:cs="Arial"/>
          <w:color w:val="000000"/>
          <w:sz w:val="24"/>
          <w:szCs w:val="24"/>
        </w:rPr>
        <w:t>que</w:t>
      </w:r>
      <w:proofErr w:type="gramEnd"/>
      <w:r w:rsidR="00C04159" w:rsidRPr="003B2AEA">
        <w:rPr>
          <w:rFonts w:ascii="Arial" w:hAnsi="Arial" w:cs="Arial"/>
          <w:color w:val="000000"/>
          <w:sz w:val="24"/>
          <w:szCs w:val="24"/>
        </w:rPr>
        <w:t xml:space="preserve"> s</w:t>
      </w:r>
      <w:r w:rsidR="006E0B16" w:rsidRPr="003B2AEA">
        <w:rPr>
          <w:rFonts w:ascii="Arial" w:hAnsi="Arial" w:cs="Arial"/>
          <w:color w:val="000000"/>
          <w:sz w:val="24"/>
          <w:szCs w:val="24"/>
          <w:lang w:val="es-CO"/>
        </w:rPr>
        <w:t xml:space="preserve">i el auto se </w:t>
      </w:r>
      <w:r w:rsidR="00C04159" w:rsidRPr="003B2AEA">
        <w:rPr>
          <w:rFonts w:ascii="Arial" w:hAnsi="Arial" w:cs="Arial"/>
          <w:color w:val="000000"/>
          <w:sz w:val="24"/>
          <w:szCs w:val="24"/>
          <w:lang w:val="es-CO"/>
        </w:rPr>
        <w:t xml:space="preserve">profería </w:t>
      </w:r>
      <w:r w:rsidR="006E0B16" w:rsidRPr="003B2AEA">
        <w:rPr>
          <w:rFonts w:ascii="Arial" w:hAnsi="Arial" w:cs="Arial"/>
          <w:color w:val="000000"/>
          <w:sz w:val="24"/>
          <w:szCs w:val="24"/>
          <w:lang w:val="es-CO"/>
        </w:rPr>
        <w:t xml:space="preserve">en audiencia, la apelación </w:t>
      </w:r>
      <w:r w:rsidR="00C04159" w:rsidRPr="003B2AEA">
        <w:rPr>
          <w:rFonts w:ascii="Arial" w:hAnsi="Arial" w:cs="Arial"/>
          <w:color w:val="000000"/>
          <w:sz w:val="24"/>
          <w:szCs w:val="24"/>
          <w:lang w:val="es-CO"/>
        </w:rPr>
        <w:t xml:space="preserve">tendría que </w:t>
      </w:r>
      <w:r w:rsidR="006E0B16" w:rsidRPr="003B2AEA">
        <w:rPr>
          <w:rFonts w:ascii="Arial" w:hAnsi="Arial" w:cs="Arial"/>
          <w:color w:val="000000"/>
          <w:sz w:val="24"/>
          <w:szCs w:val="24"/>
          <w:lang w:val="es-CO"/>
        </w:rPr>
        <w:t xml:space="preserve">interponerse y sustentarse oralmente </w:t>
      </w:r>
      <w:r w:rsidR="00C04159" w:rsidRPr="003B2AEA">
        <w:rPr>
          <w:rFonts w:ascii="Arial" w:hAnsi="Arial" w:cs="Arial"/>
          <w:color w:val="000000"/>
          <w:sz w:val="24"/>
          <w:szCs w:val="24"/>
          <w:lang w:val="es-CO"/>
        </w:rPr>
        <w:t>«</w:t>
      </w:r>
      <w:r w:rsidR="006E0B16" w:rsidRPr="003B2AEA">
        <w:rPr>
          <w:rFonts w:ascii="Arial" w:hAnsi="Arial" w:cs="Arial"/>
          <w:color w:val="000000"/>
          <w:sz w:val="24"/>
          <w:szCs w:val="24"/>
          <w:lang w:val="es-CO"/>
        </w:rPr>
        <w:t xml:space="preserve">a continuación de su notificación </w:t>
      </w:r>
      <w:r w:rsidR="006E0B16" w:rsidRPr="003B2AEA">
        <w:rPr>
          <w:rFonts w:ascii="Arial" w:hAnsi="Arial" w:cs="Arial"/>
          <w:color w:val="000000"/>
          <w:sz w:val="24"/>
          <w:szCs w:val="24"/>
          <w:lang w:val="es-CO"/>
        </w:rPr>
        <w:lastRenderedPageBreak/>
        <w:t>en estrados o de la del auto que niega total o parcialmente la reposición</w:t>
      </w:r>
      <w:r w:rsidR="00C04159" w:rsidRPr="003B2AEA">
        <w:rPr>
          <w:rFonts w:ascii="Arial" w:hAnsi="Arial" w:cs="Arial"/>
          <w:color w:val="000000"/>
          <w:sz w:val="24"/>
          <w:szCs w:val="24"/>
          <w:lang w:val="es-CO"/>
        </w:rPr>
        <w:t>»; mientras que s</w:t>
      </w:r>
      <w:r w:rsidR="006E0B16" w:rsidRPr="006E0B16">
        <w:rPr>
          <w:rFonts w:ascii="Arial" w:hAnsi="Arial" w:cs="Arial"/>
          <w:color w:val="000000"/>
          <w:sz w:val="24"/>
          <w:szCs w:val="24"/>
          <w:lang w:val="es-CO"/>
        </w:rPr>
        <w:t>i el auto se notifica</w:t>
      </w:r>
      <w:r w:rsidR="00C04159" w:rsidRPr="003B2AEA">
        <w:rPr>
          <w:rFonts w:ascii="Arial" w:hAnsi="Arial" w:cs="Arial"/>
          <w:color w:val="000000"/>
          <w:sz w:val="24"/>
          <w:szCs w:val="24"/>
          <w:lang w:val="es-CO"/>
        </w:rPr>
        <w:t>ba</w:t>
      </w:r>
      <w:r w:rsidR="006E0B16" w:rsidRPr="006E0B16">
        <w:rPr>
          <w:rFonts w:ascii="Arial" w:hAnsi="Arial" w:cs="Arial"/>
          <w:color w:val="000000"/>
          <w:sz w:val="24"/>
          <w:szCs w:val="24"/>
          <w:lang w:val="es-CO"/>
        </w:rPr>
        <w:t xml:space="preserve"> por estado, el recurso </w:t>
      </w:r>
      <w:r w:rsidR="00EC280C" w:rsidRPr="003B2AEA">
        <w:rPr>
          <w:rFonts w:ascii="Arial" w:hAnsi="Arial" w:cs="Arial"/>
          <w:color w:val="000000"/>
          <w:sz w:val="24"/>
          <w:szCs w:val="24"/>
          <w:lang w:val="es-CO"/>
        </w:rPr>
        <w:t xml:space="preserve">debería </w:t>
      </w:r>
      <w:r w:rsidR="006E0B16" w:rsidRPr="006E0B16">
        <w:rPr>
          <w:rFonts w:ascii="Arial" w:hAnsi="Arial" w:cs="Arial"/>
          <w:color w:val="000000"/>
          <w:sz w:val="24"/>
          <w:szCs w:val="24"/>
          <w:lang w:val="es-CO"/>
        </w:rPr>
        <w:t xml:space="preserve">interponerse y sustentarse por escrito </w:t>
      </w:r>
      <w:r w:rsidR="00EC280C" w:rsidRPr="003B2AEA">
        <w:rPr>
          <w:rFonts w:ascii="Arial" w:hAnsi="Arial" w:cs="Arial"/>
          <w:color w:val="000000"/>
          <w:sz w:val="24"/>
          <w:szCs w:val="24"/>
          <w:lang w:val="es-CO"/>
        </w:rPr>
        <w:t>«</w:t>
      </w:r>
      <w:r w:rsidR="006E0B16" w:rsidRPr="006E0B16">
        <w:rPr>
          <w:rFonts w:ascii="Arial" w:hAnsi="Arial" w:cs="Arial"/>
          <w:color w:val="000000"/>
          <w:sz w:val="24"/>
          <w:szCs w:val="24"/>
          <w:lang w:val="es-CO"/>
        </w:rPr>
        <w:t>dentro de los tres (3) días siguientes a su notificación o a la del auto que niega total o parcialmente la reposición</w:t>
      </w:r>
      <w:r w:rsidR="00EC280C" w:rsidRPr="003B2AEA">
        <w:rPr>
          <w:rFonts w:ascii="Arial" w:hAnsi="Arial" w:cs="Arial"/>
          <w:color w:val="000000"/>
          <w:sz w:val="24"/>
          <w:szCs w:val="24"/>
          <w:lang w:val="es-CO"/>
        </w:rPr>
        <w:t>»</w:t>
      </w:r>
      <w:r w:rsidR="006E0B16" w:rsidRPr="006E0B16">
        <w:rPr>
          <w:rFonts w:ascii="Arial" w:hAnsi="Arial" w:cs="Arial"/>
          <w:color w:val="000000"/>
          <w:sz w:val="24"/>
          <w:szCs w:val="24"/>
          <w:lang w:val="es-CO"/>
        </w:rPr>
        <w:t>.</w:t>
      </w:r>
    </w:p>
    <w:p w14:paraId="66A21C65" w14:textId="77777777" w:rsidR="002660B2" w:rsidRPr="003B2AEA" w:rsidRDefault="002660B2" w:rsidP="00C408EF">
      <w:pPr>
        <w:pStyle w:val="Prrafodelista"/>
        <w:spacing w:line="276" w:lineRule="auto"/>
        <w:contextualSpacing/>
        <w:rPr>
          <w:rFonts w:ascii="Arial" w:hAnsi="Arial" w:cs="Arial"/>
          <w:color w:val="000000"/>
          <w:sz w:val="24"/>
          <w:szCs w:val="24"/>
          <w:lang w:val="es-CO"/>
        </w:rPr>
      </w:pPr>
    </w:p>
    <w:p w14:paraId="4AE8F8EB" w14:textId="44082BA1" w:rsidR="002660B2" w:rsidRPr="006E0B16" w:rsidRDefault="002660B2" w:rsidP="00C408EF">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5015ABE2">
        <w:rPr>
          <w:rFonts w:ascii="Arial" w:hAnsi="Arial" w:cs="Arial"/>
          <w:color w:val="000000" w:themeColor="text1"/>
          <w:sz w:val="24"/>
          <w:szCs w:val="24"/>
          <w:lang w:val="es-CO"/>
        </w:rPr>
        <w:t xml:space="preserve">En tales casos, el legislador ordenó </w:t>
      </w:r>
      <w:r w:rsidR="002B18E6" w:rsidRPr="5015ABE2">
        <w:rPr>
          <w:rFonts w:ascii="Arial" w:hAnsi="Arial" w:cs="Arial"/>
          <w:color w:val="000000" w:themeColor="text1"/>
          <w:sz w:val="24"/>
          <w:szCs w:val="24"/>
          <w:lang w:val="es-CO"/>
        </w:rPr>
        <w:t>que se daría traslado de la sustentación del recurso a los demás sujetos procesales ―sin necesidad de auto que lo ordenara―</w:t>
      </w:r>
      <w:r w:rsidRPr="5015ABE2">
        <w:rPr>
          <w:rFonts w:ascii="Arial" w:hAnsi="Arial" w:cs="Arial"/>
          <w:color w:val="000000" w:themeColor="text1"/>
          <w:sz w:val="24"/>
          <w:szCs w:val="24"/>
          <w:lang w:val="es-CO"/>
        </w:rPr>
        <w:t xml:space="preserve"> </w:t>
      </w:r>
      <w:r w:rsidR="002B18E6" w:rsidRPr="5015ABE2">
        <w:rPr>
          <w:rFonts w:ascii="Arial" w:hAnsi="Arial" w:cs="Arial"/>
          <w:color w:val="000000" w:themeColor="text1"/>
          <w:sz w:val="24"/>
          <w:szCs w:val="24"/>
          <w:lang w:val="es-CO"/>
        </w:rPr>
        <w:t>«por igual término»</w:t>
      </w:r>
      <w:r w:rsidR="003F54D1" w:rsidRPr="5015ABE2">
        <w:rPr>
          <w:rFonts w:ascii="Arial" w:hAnsi="Arial" w:cs="Arial"/>
          <w:color w:val="000000" w:themeColor="text1"/>
          <w:sz w:val="24"/>
          <w:szCs w:val="24"/>
          <w:lang w:val="es-CO"/>
        </w:rPr>
        <w:t xml:space="preserve">. No obstante, precisó que este traslado no sería procedente cuando la providencia recurrida </w:t>
      </w:r>
      <w:r w:rsidR="00FA3DF9" w:rsidRPr="5015ABE2">
        <w:rPr>
          <w:rFonts w:ascii="Arial" w:hAnsi="Arial" w:cs="Arial"/>
          <w:color w:val="000000" w:themeColor="text1"/>
          <w:sz w:val="24"/>
          <w:szCs w:val="24"/>
          <w:lang w:val="es-CO"/>
        </w:rPr>
        <w:t>hubiera rechazado la demanda o hubiera negado el mandamiento ejecutivo ―total o parcialmente―.</w:t>
      </w:r>
      <w:r w:rsidR="003F54D1" w:rsidRPr="5015ABE2">
        <w:rPr>
          <w:rFonts w:ascii="Arial" w:hAnsi="Arial" w:cs="Arial"/>
          <w:color w:val="000000" w:themeColor="text1"/>
          <w:sz w:val="24"/>
          <w:szCs w:val="24"/>
          <w:lang w:val="es-CO"/>
        </w:rPr>
        <w:t xml:space="preserve"> </w:t>
      </w:r>
    </w:p>
    <w:p w14:paraId="348BE5A6" w14:textId="7EDA6F38" w:rsidR="006E0B16" w:rsidRPr="006E0B16" w:rsidRDefault="006E0B16" w:rsidP="00C408EF">
      <w:pPr>
        <w:pStyle w:val="Prrafodelista"/>
        <w:spacing w:line="276" w:lineRule="auto"/>
        <w:ind w:left="0" w:right="50"/>
        <w:contextualSpacing/>
        <w:jc w:val="both"/>
        <w:rPr>
          <w:rFonts w:ascii="Arial" w:hAnsi="Arial" w:cs="Arial"/>
          <w:color w:val="000000"/>
          <w:sz w:val="24"/>
          <w:szCs w:val="24"/>
          <w:lang w:val="es-CO"/>
        </w:rPr>
      </w:pPr>
    </w:p>
    <w:p w14:paraId="13496477" w14:textId="7CF37C17" w:rsidR="006E0B16" w:rsidRPr="003B2AEA" w:rsidRDefault="00FA3DF9" w:rsidP="00C408EF">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B2AEA">
        <w:rPr>
          <w:rFonts w:ascii="Arial" w:hAnsi="Arial" w:cs="Arial"/>
          <w:color w:val="000000"/>
          <w:sz w:val="24"/>
          <w:szCs w:val="24"/>
          <w:lang w:val="es-CO"/>
        </w:rPr>
        <w:t xml:space="preserve">En el caso de marras, </w:t>
      </w:r>
      <w:r w:rsidR="007C7EC1" w:rsidRPr="003B2AEA">
        <w:rPr>
          <w:rFonts w:ascii="Arial" w:hAnsi="Arial" w:cs="Arial"/>
          <w:color w:val="000000"/>
          <w:sz w:val="24"/>
          <w:szCs w:val="24"/>
          <w:lang w:val="es-CO"/>
        </w:rPr>
        <w:t xml:space="preserve">la providencia controvertida se emitió el </w:t>
      </w:r>
      <w:r w:rsidR="00725E2C">
        <w:rPr>
          <w:rFonts w:ascii="Arial" w:hAnsi="Arial" w:cs="Arial"/>
          <w:color w:val="000000"/>
          <w:sz w:val="24"/>
          <w:szCs w:val="24"/>
          <w:lang w:val="es-CO"/>
        </w:rPr>
        <w:t>16 de septiembre de 2021</w:t>
      </w:r>
      <w:r w:rsidR="001E4DFF">
        <w:rPr>
          <w:rStyle w:val="Refdenotaalpie"/>
          <w:rFonts w:ascii="Arial" w:hAnsi="Arial" w:cs="Arial"/>
          <w:color w:val="000000"/>
          <w:sz w:val="24"/>
          <w:szCs w:val="24"/>
          <w:lang w:val="es-CO"/>
        </w:rPr>
        <w:footnoteReference w:id="7"/>
      </w:r>
      <w:r w:rsidR="007C7EC1" w:rsidRPr="003B2AEA">
        <w:rPr>
          <w:rFonts w:ascii="Arial" w:hAnsi="Arial" w:cs="Arial"/>
          <w:color w:val="000000"/>
          <w:sz w:val="24"/>
          <w:szCs w:val="24"/>
          <w:lang w:val="es-CO"/>
        </w:rPr>
        <w:t xml:space="preserve"> y se publicó en estado del día </w:t>
      </w:r>
      <w:r w:rsidR="009F6759">
        <w:rPr>
          <w:rFonts w:ascii="Arial" w:hAnsi="Arial" w:cs="Arial"/>
          <w:color w:val="000000"/>
          <w:sz w:val="24"/>
          <w:szCs w:val="24"/>
          <w:lang w:val="es-CO"/>
        </w:rPr>
        <w:t xml:space="preserve">17 </w:t>
      </w:r>
      <w:r w:rsidR="007C7EC1" w:rsidRPr="003B2AEA">
        <w:rPr>
          <w:rFonts w:ascii="Arial" w:hAnsi="Arial" w:cs="Arial"/>
          <w:color w:val="000000"/>
          <w:sz w:val="24"/>
          <w:szCs w:val="24"/>
          <w:lang w:val="es-CO"/>
        </w:rPr>
        <w:t>del mismo mes y año</w:t>
      </w:r>
      <w:r w:rsidR="009F6759">
        <w:rPr>
          <w:rStyle w:val="Refdenotaalpie"/>
          <w:rFonts w:ascii="Arial" w:hAnsi="Arial" w:cs="Arial"/>
          <w:color w:val="000000"/>
          <w:sz w:val="24"/>
          <w:szCs w:val="24"/>
          <w:lang w:val="es-CO"/>
        </w:rPr>
        <w:footnoteReference w:id="8"/>
      </w:r>
      <w:r w:rsidR="006E0B16" w:rsidRPr="006E0B16">
        <w:rPr>
          <w:rFonts w:ascii="Arial" w:hAnsi="Arial" w:cs="Arial"/>
          <w:color w:val="000000"/>
          <w:sz w:val="24"/>
          <w:szCs w:val="24"/>
          <w:lang w:val="es-CO"/>
        </w:rPr>
        <w:t>.</w:t>
      </w:r>
    </w:p>
    <w:p w14:paraId="74566D2D" w14:textId="77777777" w:rsidR="007C7EC1" w:rsidRPr="003B2AEA" w:rsidRDefault="007C7EC1" w:rsidP="00C408EF">
      <w:pPr>
        <w:pStyle w:val="Prrafodelista"/>
        <w:spacing w:line="276" w:lineRule="auto"/>
        <w:contextualSpacing/>
        <w:rPr>
          <w:rFonts w:ascii="Arial" w:hAnsi="Arial" w:cs="Arial"/>
          <w:color w:val="000000"/>
          <w:sz w:val="24"/>
          <w:szCs w:val="24"/>
          <w:lang w:val="es-CO"/>
        </w:rPr>
      </w:pPr>
    </w:p>
    <w:p w14:paraId="7CE5ED9E" w14:textId="2696F118" w:rsidR="002A750E" w:rsidRPr="003B2AEA" w:rsidRDefault="007C7EC1" w:rsidP="00C408EF">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B2AEA">
        <w:rPr>
          <w:rFonts w:ascii="Arial" w:hAnsi="Arial" w:cs="Arial"/>
          <w:color w:val="000000"/>
          <w:sz w:val="24"/>
          <w:szCs w:val="24"/>
          <w:lang w:val="es-CO"/>
        </w:rPr>
        <w:t xml:space="preserve">Contra la anterior determinación, </w:t>
      </w:r>
      <w:r w:rsidR="00AE7EC0" w:rsidRPr="003B2AEA">
        <w:rPr>
          <w:rFonts w:ascii="Arial" w:hAnsi="Arial" w:cs="Arial"/>
          <w:color w:val="000000"/>
          <w:sz w:val="24"/>
          <w:szCs w:val="24"/>
          <w:lang w:val="es-CO"/>
        </w:rPr>
        <w:t xml:space="preserve">el demandante interpuso recurso de apelación el </w:t>
      </w:r>
      <w:r w:rsidR="006F69DD">
        <w:rPr>
          <w:rFonts w:ascii="Arial" w:hAnsi="Arial" w:cs="Arial"/>
          <w:color w:val="000000"/>
          <w:sz w:val="24"/>
          <w:szCs w:val="24"/>
          <w:lang w:val="es-CO"/>
        </w:rPr>
        <w:t>24 de septiembre de 2021</w:t>
      </w:r>
      <w:r w:rsidR="006F69DD">
        <w:rPr>
          <w:rStyle w:val="Refdenotaalpie"/>
          <w:rFonts w:ascii="Arial" w:hAnsi="Arial" w:cs="Arial"/>
          <w:color w:val="000000"/>
          <w:sz w:val="24"/>
          <w:szCs w:val="24"/>
          <w:lang w:val="es-CO"/>
        </w:rPr>
        <w:footnoteReference w:id="9"/>
      </w:r>
      <w:r w:rsidR="002A750E" w:rsidRPr="003B2AEA">
        <w:rPr>
          <w:rFonts w:ascii="Arial" w:hAnsi="Arial" w:cs="Arial"/>
          <w:color w:val="000000"/>
          <w:sz w:val="24"/>
          <w:szCs w:val="24"/>
          <w:lang w:val="es-CO"/>
        </w:rPr>
        <w:t xml:space="preserve">. </w:t>
      </w:r>
    </w:p>
    <w:p w14:paraId="1BD9C002" w14:textId="77777777" w:rsidR="002A750E" w:rsidRPr="003B2AEA" w:rsidRDefault="002A750E" w:rsidP="00C408EF">
      <w:pPr>
        <w:pStyle w:val="Prrafodelista"/>
        <w:spacing w:line="276" w:lineRule="auto"/>
        <w:contextualSpacing/>
        <w:rPr>
          <w:rFonts w:ascii="Arial" w:hAnsi="Arial" w:cs="Arial"/>
          <w:color w:val="000000"/>
          <w:sz w:val="24"/>
          <w:szCs w:val="24"/>
          <w:lang w:val="es-CO"/>
        </w:rPr>
      </w:pPr>
    </w:p>
    <w:p w14:paraId="77D2FD90" w14:textId="1EFF1CBC" w:rsidR="007C7EC1" w:rsidRPr="006E0B16" w:rsidRDefault="001D77FA" w:rsidP="00C408EF">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Posteriormente</w:t>
      </w:r>
      <w:r w:rsidR="002A750E" w:rsidRPr="003B2AEA">
        <w:rPr>
          <w:rFonts w:ascii="Arial" w:hAnsi="Arial" w:cs="Arial"/>
          <w:color w:val="000000"/>
          <w:sz w:val="24"/>
          <w:szCs w:val="24"/>
          <w:lang w:val="es-CO"/>
        </w:rPr>
        <w:t xml:space="preserve">, </w:t>
      </w:r>
      <w:r w:rsidR="00833C76" w:rsidRPr="003B2AEA">
        <w:rPr>
          <w:rFonts w:ascii="Arial" w:hAnsi="Arial" w:cs="Arial"/>
          <w:color w:val="000000"/>
          <w:sz w:val="24"/>
          <w:szCs w:val="24"/>
          <w:lang w:val="es-CO"/>
        </w:rPr>
        <w:t xml:space="preserve">a través de providencia emitida el </w:t>
      </w:r>
      <w:r>
        <w:rPr>
          <w:rFonts w:ascii="Arial" w:hAnsi="Arial" w:cs="Arial"/>
          <w:color w:val="000000"/>
          <w:sz w:val="24"/>
          <w:szCs w:val="24"/>
          <w:lang w:val="es-CO"/>
        </w:rPr>
        <w:t>7 de octubre de 2021</w:t>
      </w:r>
      <w:r>
        <w:rPr>
          <w:rStyle w:val="Refdenotaalpie"/>
          <w:rFonts w:ascii="Arial" w:hAnsi="Arial" w:cs="Arial"/>
          <w:color w:val="000000"/>
          <w:sz w:val="24"/>
          <w:szCs w:val="24"/>
        </w:rPr>
        <w:footnoteReference w:id="10"/>
      </w:r>
      <w:r w:rsidR="00B10F22" w:rsidRPr="003B2AEA">
        <w:rPr>
          <w:rFonts w:ascii="Arial" w:hAnsi="Arial" w:cs="Arial"/>
          <w:color w:val="000000"/>
          <w:sz w:val="24"/>
          <w:szCs w:val="24"/>
          <w:lang w:val="es-CO"/>
        </w:rPr>
        <w:t xml:space="preserve">, </w:t>
      </w:r>
      <w:r w:rsidR="00386902" w:rsidRPr="003B2AEA">
        <w:rPr>
          <w:rFonts w:ascii="Arial" w:hAnsi="Arial" w:cs="Arial"/>
          <w:color w:val="000000"/>
          <w:sz w:val="24"/>
          <w:szCs w:val="24"/>
          <w:lang w:val="es-CO"/>
        </w:rPr>
        <w:t xml:space="preserve">el </w:t>
      </w:r>
      <w:r w:rsidR="00386902" w:rsidRPr="003B2AEA">
        <w:rPr>
          <w:rFonts w:ascii="Arial" w:hAnsi="Arial" w:cs="Arial"/>
          <w:i/>
          <w:iCs/>
          <w:color w:val="000000"/>
          <w:sz w:val="24"/>
          <w:szCs w:val="24"/>
          <w:lang w:val="es-CO"/>
        </w:rPr>
        <w:t xml:space="preserve">a quo </w:t>
      </w:r>
      <w:r w:rsidR="00386902" w:rsidRPr="003B2AEA">
        <w:rPr>
          <w:rFonts w:ascii="Arial" w:hAnsi="Arial" w:cs="Arial"/>
          <w:color w:val="000000"/>
          <w:sz w:val="24"/>
          <w:szCs w:val="24"/>
          <w:lang w:val="es-CO"/>
        </w:rPr>
        <w:t xml:space="preserve">concedió la alzada ante esta Corporación judicial ―en el efecto </w:t>
      </w:r>
      <w:r w:rsidR="0091332D">
        <w:rPr>
          <w:rFonts w:ascii="Arial" w:hAnsi="Arial" w:cs="Arial"/>
          <w:color w:val="000000"/>
          <w:sz w:val="24"/>
          <w:szCs w:val="24"/>
          <w:lang w:val="es-CO"/>
        </w:rPr>
        <w:t>suspensivo</w:t>
      </w:r>
      <w:r w:rsidR="00386902" w:rsidRPr="003B2AEA">
        <w:rPr>
          <w:rFonts w:ascii="Arial" w:hAnsi="Arial" w:cs="Arial"/>
          <w:color w:val="000000"/>
          <w:sz w:val="24"/>
          <w:szCs w:val="24"/>
          <w:lang w:val="es-CO"/>
        </w:rPr>
        <w:t>―.</w:t>
      </w:r>
      <w:r w:rsidR="007C7EC1" w:rsidRPr="003B2AEA">
        <w:rPr>
          <w:rFonts w:ascii="Arial" w:hAnsi="Arial" w:cs="Arial"/>
          <w:color w:val="000000"/>
          <w:sz w:val="24"/>
          <w:szCs w:val="24"/>
          <w:lang w:val="es-CO"/>
        </w:rPr>
        <w:t xml:space="preserve"> </w:t>
      </w:r>
    </w:p>
    <w:p w14:paraId="471205CB" w14:textId="77777777" w:rsidR="00D86796" w:rsidRPr="003B2AEA" w:rsidRDefault="00D86796" w:rsidP="00C408EF">
      <w:pPr>
        <w:pStyle w:val="Prrafodelista"/>
        <w:spacing w:line="276" w:lineRule="auto"/>
        <w:contextualSpacing/>
        <w:rPr>
          <w:rFonts w:ascii="Arial" w:hAnsi="Arial" w:cs="Arial"/>
          <w:color w:val="000000"/>
          <w:sz w:val="24"/>
          <w:szCs w:val="24"/>
        </w:rPr>
      </w:pPr>
    </w:p>
    <w:p w14:paraId="77D4B182" w14:textId="30BF218C" w:rsidR="00D86796" w:rsidRPr="003B2AEA" w:rsidRDefault="00386902" w:rsidP="00C408EF">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B2AEA">
        <w:rPr>
          <w:rFonts w:ascii="Arial" w:hAnsi="Arial" w:cs="Arial"/>
          <w:color w:val="000000"/>
          <w:sz w:val="24"/>
          <w:szCs w:val="24"/>
        </w:rPr>
        <w:t xml:space="preserve">Así las cosas, </w:t>
      </w:r>
      <w:r w:rsidR="000C361E" w:rsidRPr="003B2AEA">
        <w:rPr>
          <w:rFonts w:ascii="Arial" w:hAnsi="Arial" w:cs="Arial"/>
          <w:color w:val="000000"/>
          <w:sz w:val="24"/>
          <w:szCs w:val="24"/>
        </w:rPr>
        <w:t xml:space="preserve">al observarse que la providencia controvertida era apelable; y que el recurso se interpuso en término, se procede a decidir de plano </w:t>
      </w:r>
      <w:r w:rsidR="00370F6D" w:rsidRPr="003B2AEA">
        <w:rPr>
          <w:rFonts w:ascii="Arial" w:hAnsi="Arial" w:cs="Arial"/>
          <w:color w:val="000000"/>
          <w:sz w:val="24"/>
          <w:szCs w:val="24"/>
        </w:rPr>
        <w:t>la cuestión puesta en consideración</w:t>
      </w:r>
      <w:r w:rsidR="00025D6C" w:rsidRPr="003B2AEA">
        <w:rPr>
          <w:rFonts w:ascii="Arial" w:hAnsi="Arial" w:cs="Arial"/>
          <w:color w:val="000000"/>
          <w:sz w:val="24"/>
          <w:szCs w:val="24"/>
        </w:rPr>
        <w:t xml:space="preserve"> de este Tribunal</w:t>
      </w:r>
      <w:r w:rsidR="00F60FF6" w:rsidRPr="003B2AEA">
        <w:rPr>
          <w:rFonts w:ascii="Arial" w:hAnsi="Arial" w:cs="Arial"/>
          <w:color w:val="000000"/>
          <w:sz w:val="24"/>
          <w:szCs w:val="24"/>
        </w:rPr>
        <w:t xml:space="preserve">, de </w:t>
      </w:r>
      <w:r w:rsidR="00025D6C" w:rsidRPr="003B2AEA">
        <w:rPr>
          <w:rFonts w:ascii="Arial" w:hAnsi="Arial" w:cs="Arial"/>
          <w:color w:val="000000"/>
          <w:sz w:val="24"/>
          <w:szCs w:val="24"/>
        </w:rPr>
        <w:t xml:space="preserve">conformidad </w:t>
      </w:r>
      <w:r w:rsidR="00F60FF6" w:rsidRPr="003B2AEA">
        <w:rPr>
          <w:rFonts w:ascii="Arial" w:hAnsi="Arial" w:cs="Arial"/>
          <w:color w:val="000000"/>
          <w:sz w:val="24"/>
          <w:szCs w:val="24"/>
        </w:rPr>
        <w:t>con lo normado en el numeral 4° del artículo 243 del CPACA ―modificado por el artículo 64 de la Ley 2080 de 2021―.</w:t>
      </w:r>
    </w:p>
    <w:p w14:paraId="1D75BC60" w14:textId="78BFD85B" w:rsidR="00A13D98" w:rsidRPr="003B2AEA" w:rsidRDefault="00A05931" w:rsidP="00C408EF">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La caducidad del medio de control de nulidad y restablecimiento del derecho contra los actos proferidos antes de la celebración de los contratos</w:t>
      </w:r>
    </w:p>
    <w:p w14:paraId="701D6C1E" w14:textId="77777777" w:rsidR="00A13D98" w:rsidRPr="003B2AEA" w:rsidRDefault="00A13D98" w:rsidP="00C408EF">
      <w:pPr>
        <w:pStyle w:val="Prrafodelista"/>
        <w:spacing w:line="276" w:lineRule="auto"/>
        <w:ind w:left="0"/>
        <w:contextualSpacing/>
        <w:rPr>
          <w:rFonts w:ascii="Arial" w:hAnsi="Arial" w:cs="Arial"/>
        </w:rPr>
      </w:pPr>
    </w:p>
    <w:p w14:paraId="3748C851" w14:textId="60A6A4A2" w:rsidR="00A05931" w:rsidRPr="00457E59" w:rsidRDefault="00A05931" w:rsidP="00A05931">
      <w:pPr>
        <w:pStyle w:val="Prrafodelista"/>
        <w:numPr>
          <w:ilvl w:val="0"/>
          <w:numId w:val="8"/>
        </w:numPr>
        <w:spacing w:line="276" w:lineRule="auto"/>
        <w:ind w:left="0" w:firstLine="0"/>
        <w:contextualSpacing/>
        <w:jc w:val="both"/>
        <w:rPr>
          <w:rFonts w:ascii="Arial" w:hAnsi="Arial" w:cs="Arial"/>
        </w:rPr>
      </w:pPr>
      <w:r w:rsidRPr="5015ABE2">
        <w:rPr>
          <w:rFonts w:ascii="Arial" w:hAnsi="Arial" w:cs="Arial"/>
          <w:color w:val="000000" w:themeColor="text1"/>
          <w:sz w:val="24"/>
          <w:szCs w:val="24"/>
        </w:rPr>
        <w:t>El presente asunto se contrae a determinar si la demanda fue presentada dentro del término legal y, en consecuencia, si se configuró o no el fenómeno de la caducidad en el presente medio de control.</w:t>
      </w:r>
    </w:p>
    <w:p w14:paraId="7E3992E7" w14:textId="77777777" w:rsidR="00A05931" w:rsidRPr="00457E59" w:rsidRDefault="00A05931" w:rsidP="00A05931">
      <w:pPr>
        <w:pStyle w:val="Prrafodelista"/>
        <w:spacing w:line="276" w:lineRule="auto"/>
        <w:ind w:left="0"/>
        <w:contextualSpacing/>
        <w:jc w:val="both"/>
        <w:rPr>
          <w:rFonts w:ascii="Arial" w:hAnsi="Arial" w:cs="Arial"/>
        </w:rPr>
      </w:pPr>
    </w:p>
    <w:p w14:paraId="01C5B310" w14:textId="77777777" w:rsidR="00A05931" w:rsidRPr="00A21143" w:rsidRDefault="00A05931" w:rsidP="00A05931">
      <w:pPr>
        <w:pStyle w:val="Prrafodelista"/>
        <w:numPr>
          <w:ilvl w:val="0"/>
          <w:numId w:val="8"/>
        </w:numPr>
        <w:spacing w:line="276" w:lineRule="auto"/>
        <w:ind w:left="0" w:firstLine="0"/>
        <w:contextualSpacing/>
        <w:jc w:val="both"/>
        <w:rPr>
          <w:rFonts w:ascii="Arial" w:hAnsi="Arial" w:cs="Arial"/>
        </w:rPr>
      </w:pPr>
      <w:r w:rsidRPr="00A21143">
        <w:rPr>
          <w:rFonts w:ascii="Arial" w:hAnsi="Arial" w:cs="Arial"/>
          <w:color w:val="000000"/>
          <w:sz w:val="24"/>
          <w:szCs w:val="24"/>
        </w:rPr>
        <w:t>Como ya se indicó en el acápite de antecedentes de la presente providencia, en el presente caso, la parte actora pretende la declaratoria de nulidad</w:t>
      </w:r>
      <w:r w:rsidRPr="00A21143">
        <w:rPr>
          <w:rFonts w:ascii="Arial" w:hAnsi="Arial" w:cs="Arial"/>
          <w:bCs/>
          <w:iCs/>
          <w:color w:val="000000"/>
          <w:sz w:val="21"/>
          <w:szCs w:val="21"/>
        </w:rPr>
        <w:t xml:space="preserve"> </w:t>
      </w:r>
      <w:r w:rsidRPr="00A21143">
        <w:rPr>
          <w:rFonts w:ascii="Arial" w:hAnsi="Arial" w:cs="Arial"/>
          <w:bCs/>
          <w:iCs/>
          <w:color w:val="000000"/>
          <w:sz w:val="24"/>
          <w:szCs w:val="24"/>
        </w:rPr>
        <w:t xml:space="preserve">la resolución No. 232 de marzo 19 de 2020, proferida por la ESE Salud del Tundama, por medio de la cual se declaró desierto el «proceso de contratación número 007-2020 cuyo objeto [fue el] SUMINISTRO DE ELEMENTOS DE ASEO Y LIMPIEZA HOSPITALARIA PARA la EMPRESA SOCIAL DEL ESTADO SALUD DEL </w:t>
      </w:r>
      <w:r w:rsidRPr="00A21143">
        <w:rPr>
          <w:rFonts w:ascii="Arial" w:hAnsi="Arial" w:cs="Arial"/>
          <w:bCs/>
          <w:iCs/>
          <w:color w:val="000000"/>
          <w:sz w:val="24"/>
          <w:szCs w:val="24"/>
        </w:rPr>
        <w:lastRenderedPageBreak/>
        <w:t xml:space="preserve">TUNDAMA EN EL MUNICIPIO DE DUITAMA DEPARTAMENTO DE BOYACÁ». </w:t>
      </w:r>
      <w:r w:rsidRPr="00A21143">
        <w:rPr>
          <w:rFonts w:ascii="Arial" w:hAnsi="Arial" w:cs="Arial"/>
          <w:color w:val="000000"/>
          <w:sz w:val="24"/>
          <w:szCs w:val="24"/>
        </w:rPr>
        <w:t>Lo anterior, al considerar que en la expedición del citado</w:t>
      </w:r>
      <w:r>
        <w:rPr>
          <w:rFonts w:ascii="Arial" w:hAnsi="Arial" w:cs="Arial"/>
          <w:color w:val="000000"/>
          <w:sz w:val="24"/>
          <w:szCs w:val="24"/>
        </w:rPr>
        <w:t xml:space="preserve"> acto administrativo se trasgredieron los principios que rigen los procesos de selección objetiva previstos por el legislador</w:t>
      </w:r>
      <w:r w:rsidRPr="00A21143">
        <w:rPr>
          <w:rFonts w:ascii="Arial" w:hAnsi="Arial" w:cs="Arial"/>
          <w:color w:val="000000"/>
          <w:sz w:val="24"/>
          <w:szCs w:val="24"/>
        </w:rPr>
        <w:t xml:space="preserve">. </w:t>
      </w:r>
    </w:p>
    <w:p w14:paraId="18732C21" w14:textId="77777777" w:rsidR="00A05931" w:rsidRPr="003B2AEA" w:rsidRDefault="00A05931" w:rsidP="00A05931">
      <w:pPr>
        <w:pStyle w:val="Prrafodelista"/>
        <w:spacing w:line="276" w:lineRule="auto"/>
        <w:ind w:left="0"/>
        <w:contextualSpacing/>
        <w:jc w:val="both"/>
        <w:rPr>
          <w:rFonts w:ascii="Arial" w:hAnsi="Arial" w:cs="Arial"/>
        </w:rPr>
      </w:pPr>
    </w:p>
    <w:p w14:paraId="1570B420" w14:textId="77777777" w:rsidR="00A05931" w:rsidRPr="00022ED4" w:rsidRDefault="00A05931" w:rsidP="00A05931">
      <w:pPr>
        <w:pStyle w:val="Prrafodelista"/>
        <w:numPr>
          <w:ilvl w:val="0"/>
          <w:numId w:val="8"/>
        </w:numPr>
        <w:spacing w:line="276" w:lineRule="auto"/>
        <w:ind w:left="0" w:firstLine="0"/>
        <w:contextualSpacing/>
        <w:jc w:val="both"/>
        <w:rPr>
          <w:rFonts w:ascii="Arial" w:hAnsi="Arial" w:cs="Arial"/>
          <w:color w:val="000000"/>
          <w:sz w:val="24"/>
          <w:szCs w:val="24"/>
        </w:rPr>
      </w:pPr>
      <w:r w:rsidRPr="00022ED4">
        <w:rPr>
          <w:rFonts w:ascii="Arial" w:hAnsi="Arial" w:cs="Arial"/>
          <w:color w:val="000000"/>
          <w:sz w:val="24"/>
          <w:szCs w:val="24"/>
        </w:rPr>
        <w:t xml:space="preserve">Tratándose del control judicial de este tipo de actos a través del medio de control de nulidad y restablecimiento del derecho, el segundo acápite del artículo 141 del CPACA previó que «[l]os actos proferidos antes de la celebración del contrato, con ocasión de la actividad contractual, </w:t>
      </w:r>
      <w:proofErr w:type="spellStart"/>
      <w:r w:rsidRPr="00022ED4">
        <w:rPr>
          <w:rFonts w:ascii="Arial" w:hAnsi="Arial" w:cs="Arial"/>
          <w:color w:val="000000"/>
          <w:sz w:val="24"/>
          <w:szCs w:val="24"/>
        </w:rPr>
        <w:t>podr</w:t>
      </w:r>
      <w:proofErr w:type="spellEnd"/>
      <w:r w:rsidRPr="00022ED4">
        <w:rPr>
          <w:rFonts w:ascii="Arial" w:hAnsi="Arial" w:cs="Arial"/>
          <w:color w:val="000000"/>
          <w:sz w:val="24"/>
          <w:szCs w:val="24"/>
        </w:rPr>
        <w:t>[</w:t>
      </w:r>
      <w:proofErr w:type="spellStart"/>
      <w:r w:rsidRPr="00022ED4">
        <w:rPr>
          <w:rFonts w:ascii="Arial" w:hAnsi="Arial" w:cs="Arial"/>
          <w:color w:val="000000"/>
          <w:sz w:val="24"/>
          <w:szCs w:val="24"/>
        </w:rPr>
        <w:t>ía</w:t>
      </w:r>
      <w:proofErr w:type="spellEnd"/>
      <w:r w:rsidRPr="00022ED4">
        <w:rPr>
          <w:rFonts w:ascii="Arial" w:hAnsi="Arial" w:cs="Arial"/>
          <w:color w:val="000000"/>
          <w:sz w:val="24"/>
          <w:szCs w:val="24"/>
        </w:rPr>
        <w:t xml:space="preserve">]n demandarse en los términos de los artículos 137 y 138 de este Código». </w:t>
      </w:r>
    </w:p>
    <w:p w14:paraId="1FBAFAB5" w14:textId="77777777" w:rsidR="00A05931" w:rsidRPr="008B4297" w:rsidRDefault="00A05931" w:rsidP="00A05931">
      <w:pPr>
        <w:pStyle w:val="Prrafodelista"/>
        <w:rPr>
          <w:rFonts w:ascii="Arial" w:hAnsi="Arial" w:cs="Arial"/>
          <w:color w:val="000000"/>
          <w:sz w:val="24"/>
          <w:szCs w:val="24"/>
        </w:rPr>
      </w:pPr>
    </w:p>
    <w:p w14:paraId="6330A561" w14:textId="77777777" w:rsidR="00A05931" w:rsidRPr="00022ED4" w:rsidRDefault="00A05931" w:rsidP="00A05931">
      <w:pPr>
        <w:pStyle w:val="Prrafodelista"/>
        <w:numPr>
          <w:ilvl w:val="0"/>
          <w:numId w:val="8"/>
        </w:numPr>
        <w:spacing w:line="276" w:lineRule="auto"/>
        <w:ind w:left="0" w:firstLine="0"/>
        <w:contextualSpacing/>
        <w:jc w:val="both"/>
        <w:rPr>
          <w:rFonts w:ascii="Arial" w:hAnsi="Arial" w:cs="Arial"/>
          <w:color w:val="000000"/>
          <w:sz w:val="24"/>
          <w:szCs w:val="24"/>
        </w:rPr>
      </w:pPr>
      <w:r w:rsidRPr="00022ED4">
        <w:rPr>
          <w:rFonts w:ascii="Arial" w:hAnsi="Arial" w:cs="Arial"/>
          <w:color w:val="000000"/>
          <w:sz w:val="24"/>
          <w:szCs w:val="24"/>
        </w:rPr>
        <w:t xml:space="preserve">Por su parte, revisado el artículo 164 de la Ley 1437 de 2011, se tiene que el legislador dispuso lo siguiente, en relación con el término en que debe ser presentada la demanda de nulidad y restablecimiento del derecho: </w:t>
      </w:r>
    </w:p>
    <w:p w14:paraId="5C4559D8" w14:textId="77777777" w:rsidR="00A05931" w:rsidRPr="00022ED4" w:rsidRDefault="00A05931" w:rsidP="00414663">
      <w:pPr>
        <w:pStyle w:val="Prrafodelista"/>
        <w:rPr>
          <w:rFonts w:ascii="Arial" w:hAnsi="Arial" w:cs="Arial"/>
          <w:color w:val="000000"/>
          <w:sz w:val="24"/>
          <w:szCs w:val="24"/>
        </w:rPr>
      </w:pPr>
    </w:p>
    <w:p w14:paraId="6B94AAFA" w14:textId="77777777" w:rsidR="00A05931" w:rsidRPr="00022ED4" w:rsidRDefault="00A05931" w:rsidP="00414663">
      <w:pPr>
        <w:pStyle w:val="Prrafodelista"/>
        <w:contextualSpacing/>
        <w:jc w:val="both"/>
        <w:rPr>
          <w:rFonts w:ascii="Arial" w:hAnsi="Arial" w:cs="Arial"/>
          <w:color w:val="000000"/>
          <w:sz w:val="21"/>
          <w:szCs w:val="21"/>
        </w:rPr>
      </w:pPr>
      <w:r w:rsidRPr="00022ED4">
        <w:rPr>
          <w:rFonts w:ascii="Arial" w:hAnsi="Arial" w:cs="Arial"/>
          <w:color w:val="000000"/>
          <w:sz w:val="21"/>
          <w:szCs w:val="21"/>
        </w:rPr>
        <w:t>«Artículo 164. Oportunidad para presentar la demanda. La demanda deberá ser presentada:</w:t>
      </w:r>
    </w:p>
    <w:p w14:paraId="41702E29" w14:textId="77777777" w:rsidR="00A05931" w:rsidRPr="00022ED4" w:rsidRDefault="00A05931" w:rsidP="00414663">
      <w:pPr>
        <w:pStyle w:val="Prrafodelista"/>
        <w:contextualSpacing/>
        <w:jc w:val="both"/>
        <w:rPr>
          <w:rFonts w:ascii="Arial" w:hAnsi="Arial" w:cs="Arial"/>
          <w:color w:val="000000"/>
          <w:sz w:val="21"/>
          <w:szCs w:val="21"/>
        </w:rPr>
      </w:pPr>
    </w:p>
    <w:p w14:paraId="07A79FC2" w14:textId="77777777" w:rsidR="00A05931" w:rsidRPr="00022ED4" w:rsidRDefault="00A05931" w:rsidP="00414663">
      <w:pPr>
        <w:pStyle w:val="Prrafodelista"/>
        <w:contextualSpacing/>
        <w:jc w:val="both"/>
        <w:rPr>
          <w:rFonts w:ascii="Arial" w:hAnsi="Arial" w:cs="Arial"/>
          <w:color w:val="000000"/>
          <w:sz w:val="21"/>
          <w:szCs w:val="21"/>
        </w:rPr>
      </w:pPr>
      <w:r w:rsidRPr="00022ED4">
        <w:rPr>
          <w:rFonts w:ascii="Arial" w:hAnsi="Arial" w:cs="Arial"/>
          <w:color w:val="000000"/>
          <w:sz w:val="21"/>
          <w:szCs w:val="21"/>
        </w:rPr>
        <w:t xml:space="preserve">(…) </w:t>
      </w:r>
    </w:p>
    <w:p w14:paraId="44A8862E" w14:textId="77777777" w:rsidR="00A05931" w:rsidRPr="00022ED4" w:rsidRDefault="00A05931" w:rsidP="00414663">
      <w:pPr>
        <w:pStyle w:val="Prrafodelista"/>
        <w:contextualSpacing/>
        <w:jc w:val="both"/>
        <w:rPr>
          <w:rFonts w:ascii="Arial" w:hAnsi="Arial" w:cs="Arial"/>
          <w:color w:val="000000"/>
          <w:sz w:val="21"/>
          <w:szCs w:val="21"/>
        </w:rPr>
      </w:pPr>
    </w:p>
    <w:p w14:paraId="10306F1A" w14:textId="77777777" w:rsidR="00A05931" w:rsidRPr="00022ED4" w:rsidRDefault="00A05931" w:rsidP="00414663">
      <w:pPr>
        <w:pStyle w:val="Prrafodelista"/>
        <w:contextualSpacing/>
        <w:jc w:val="both"/>
        <w:rPr>
          <w:rFonts w:ascii="Arial" w:hAnsi="Arial" w:cs="Arial"/>
          <w:color w:val="000000"/>
          <w:sz w:val="21"/>
          <w:szCs w:val="21"/>
        </w:rPr>
      </w:pPr>
      <w:r w:rsidRPr="00022ED4">
        <w:rPr>
          <w:rFonts w:ascii="Arial" w:hAnsi="Arial" w:cs="Arial"/>
          <w:color w:val="000000"/>
          <w:sz w:val="21"/>
          <w:szCs w:val="21"/>
        </w:rPr>
        <w:t>2. En los siguientes términos, so pena de que opere la caducidad:</w:t>
      </w:r>
    </w:p>
    <w:p w14:paraId="2D22EA80" w14:textId="77777777" w:rsidR="00A05931" w:rsidRPr="00022ED4" w:rsidRDefault="00A05931" w:rsidP="00414663">
      <w:pPr>
        <w:pStyle w:val="Prrafodelista"/>
        <w:contextualSpacing/>
        <w:jc w:val="both"/>
        <w:rPr>
          <w:rFonts w:ascii="Arial" w:hAnsi="Arial" w:cs="Arial"/>
          <w:color w:val="000000"/>
          <w:sz w:val="21"/>
          <w:szCs w:val="21"/>
        </w:rPr>
      </w:pPr>
    </w:p>
    <w:p w14:paraId="2F8AF0DD" w14:textId="77777777" w:rsidR="00A05931" w:rsidRPr="00022ED4" w:rsidRDefault="00A05931" w:rsidP="00414663">
      <w:pPr>
        <w:pStyle w:val="Prrafodelista"/>
        <w:contextualSpacing/>
        <w:jc w:val="both"/>
        <w:rPr>
          <w:rFonts w:ascii="Arial" w:hAnsi="Arial" w:cs="Arial"/>
          <w:color w:val="000000"/>
          <w:sz w:val="21"/>
          <w:szCs w:val="21"/>
        </w:rPr>
      </w:pPr>
      <w:r w:rsidRPr="00022ED4">
        <w:rPr>
          <w:rFonts w:ascii="Arial" w:hAnsi="Arial" w:cs="Arial"/>
          <w:color w:val="000000"/>
          <w:sz w:val="21"/>
          <w:szCs w:val="21"/>
        </w:rPr>
        <w:t xml:space="preserve">(…) </w:t>
      </w:r>
    </w:p>
    <w:p w14:paraId="00472941" w14:textId="77777777" w:rsidR="00A05931" w:rsidRPr="00022ED4" w:rsidRDefault="00A05931" w:rsidP="00414663">
      <w:pPr>
        <w:pStyle w:val="Prrafodelista"/>
        <w:contextualSpacing/>
        <w:jc w:val="both"/>
        <w:rPr>
          <w:rFonts w:ascii="Arial" w:hAnsi="Arial" w:cs="Arial"/>
          <w:color w:val="000000"/>
          <w:sz w:val="21"/>
          <w:szCs w:val="21"/>
        </w:rPr>
      </w:pPr>
    </w:p>
    <w:p w14:paraId="4506435B" w14:textId="77777777" w:rsidR="00A05931" w:rsidRDefault="00A05931" w:rsidP="00414663">
      <w:pPr>
        <w:pStyle w:val="Prrafodelista"/>
        <w:contextualSpacing/>
        <w:jc w:val="both"/>
        <w:rPr>
          <w:rFonts w:ascii="Arial" w:hAnsi="Arial" w:cs="Arial"/>
          <w:color w:val="000000"/>
          <w:sz w:val="21"/>
          <w:szCs w:val="21"/>
        </w:rPr>
      </w:pPr>
      <w:r w:rsidRPr="00022ED4">
        <w:rPr>
          <w:rFonts w:ascii="Arial" w:hAnsi="Arial" w:cs="Arial"/>
          <w:b/>
          <w:bCs/>
          <w:color w:val="000000"/>
          <w:sz w:val="21"/>
          <w:szCs w:val="21"/>
        </w:rPr>
        <w:t xml:space="preserve">c) Cuando se pretenda la nulidad o la nulidad y restablecimiento del derecho de los </w:t>
      </w:r>
      <w:r w:rsidRPr="00022ED4">
        <w:rPr>
          <w:rFonts w:ascii="Arial" w:hAnsi="Arial" w:cs="Arial"/>
          <w:b/>
          <w:bCs/>
          <w:color w:val="000000"/>
          <w:sz w:val="21"/>
          <w:szCs w:val="21"/>
          <w:u w:val="single"/>
        </w:rPr>
        <w:t>actos previos a la celebración del contrato</w:t>
      </w:r>
      <w:r w:rsidRPr="00022ED4">
        <w:rPr>
          <w:rFonts w:ascii="Arial" w:hAnsi="Arial" w:cs="Arial"/>
          <w:b/>
          <w:bCs/>
          <w:color w:val="000000"/>
          <w:sz w:val="21"/>
          <w:szCs w:val="21"/>
        </w:rPr>
        <w:t>, el término será de cuatro (4) meses contados a partir del día siguiente a su comunicación, notificación, ejecución o publicación</w:t>
      </w:r>
      <w:r w:rsidRPr="00022ED4">
        <w:rPr>
          <w:rFonts w:ascii="Arial" w:hAnsi="Arial" w:cs="Arial"/>
          <w:color w:val="000000"/>
          <w:sz w:val="21"/>
          <w:szCs w:val="21"/>
        </w:rPr>
        <w:t>, según el caso» (negrillas y subrayas de la Sala).</w:t>
      </w:r>
      <w:r>
        <w:rPr>
          <w:rFonts w:ascii="Arial" w:hAnsi="Arial" w:cs="Arial"/>
          <w:color w:val="000000"/>
          <w:sz w:val="21"/>
          <w:szCs w:val="21"/>
        </w:rPr>
        <w:t xml:space="preserve"> </w:t>
      </w:r>
    </w:p>
    <w:p w14:paraId="1C52E25D"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bookmarkStart w:id="2" w:name="_Hlk95919294"/>
    </w:p>
    <w:p w14:paraId="32C2C5A7" w14:textId="77777777" w:rsidR="00A05931" w:rsidRPr="00022ED4"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022ED4">
        <w:rPr>
          <w:rFonts w:ascii="Arial" w:hAnsi="Arial" w:cs="Arial"/>
          <w:color w:val="000000"/>
          <w:sz w:val="24"/>
          <w:szCs w:val="24"/>
        </w:rPr>
        <w:t>Precisado lo anterior, es del caso señalar que la caducidad es una institución jurídica que impide que las situaciones puedan ser debatidas en cualquier tiempo ante la jurisdicción, pues ello iría en contravía del principio de seguridad jurídica y permitiría la permanencia indefinida de los conflictos en el tiempo</w:t>
      </w:r>
      <w:r w:rsidRPr="00022ED4">
        <w:rPr>
          <w:rStyle w:val="Refdenotaalpie"/>
          <w:rFonts w:ascii="Arial" w:hAnsi="Arial" w:cs="Arial"/>
          <w:color w:val="000000"/>
          <w:sz w:val="24"/>
          <w:szCs w:val="24"/>
        </w:rPr>
        <w:footnoteReference w:id="11"/>
      </w:r>
      <w:r w:rsidRPr="00022ED4">
        <w:rPr>
          <w:rFonts w:ascii="Arial" w:hAnsi="Arial" w:cs="Arial"/>
          <w:color w:val="000000"/>
          <w:sz w:val="24"/>
          <w:szCs w:val="24"/>
        </w:rPr>
        <w:t>.</w:t>
      </w:r>
    </w:p>
    <w:p w14:paraId="75257686" w14:textId="77777777" w:rsidR="00A05931" w:rsidRPr="00022ED4" w:rsidRDefault="00A05931" w:rsidP="00A05931">
      <w:pPr>
        <w:pStyle w:val="Prrafodelista"/>
        <w:spacing w:line="276" w:lineRule="auto"/>
        <w:ind w:left="0" w:right="50"/>
        <w:contextualSpacing/>
        <w:jc w:val="both"/>
        <w:rPr>
          <w:rFonts w:ascii="Arial" w:hAnsi="Arial" w:cs="Arial"/>
          <w:color w:val="000000"/>
          <w:sz w:val="24"/>
          <w:szCs w:val="24"/>
        </w:rPr>
      </w:pPr>
    </w:p>
    <w:p w14:paraId="3940F13C" w14:textId="77777777" w:rsidR="00A05931" w:rsidRPr="00022ED4"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022ED4">
        <w:rPr>
          <w:rFonts w:ascii="Arial" w:hAnsi="Arial" w:cs="Arial"/>
          <w:color w:val="000000"/>
          <w:sz w:val="24"/>
          <w:szCs w:val="24"/>
        </w:rPr>
        <w:t xml:space="preserve">Precisamente, por su carácter de norma de orden público, es posible que su configuración pueda ser declarada a petición de parte o de oficio, ya sea como excepción ―de acuerdo con el numeral 6° del artículo 180 del CPACA― o en la sentencia ―en los términos del artículo 187 </w:t>
      </w:r>
      <w:r w:rsidRPr="00022ED4">
        <w:rPr>
          <w:rFonts w:ascii="Arial" w:hAnsi="Arial" w:cs="Arial"/>
          <w:i/>
          <w:iCs/>
          <w:color w:val="000000"/>
          <w:sz w:val="24"/>
          <w:szCs w:val="24"/>
        </w:rPr>
        <w:t>ibidem―</w:t>
      </w:r>
      <w:r w:rsidRPr="00022ED4">
        <w:rPr>
          <w:rFonts w:ascii="Arial" w:hAnsi="Arial" w:cs="Arial"/>
          <w:color w:val="000000"/>
          <w:sz w:val="24"/>
          <w:szCs w:val="24"/>
        </w:rPr>
        <w:t xml:space="preserve">; esto, en caso de no haber sido advertida al momento de examinar la admisibilidad de la demanda. </w:t>
      </w:r>
    </w:p>
    <w:p w14:paraId="0B735CB2" w14:textId="77777777" w:rsidR="00A05931" w:rsidRPr="00CB44B1" w:rsidRDefault="00A05931" w:rsidP="00A05931">
      <w:pPr>
        <w:pStyle w:val="Prrafodelista"/>
        <w:rPr>
          <w:rFonts w:ascii="Arial" w:hAnsi="Arial" w:cs="Arial"/>
          <w:color w:val="000000"/>
          <w:sz w:val="24"/>
          <w:szCs w:val="24"/>
        </w:rPr>
      </w:pPr>
    </w:p>
    <w:p w14:paraId="63B7E098" w14:textId="77777777" w:rsidR="00A05931"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rPr>
        <w:t xml:space="preserve">Con </w:t>
      </w:r>
      <w:r w:rsidRPr="006C38D2">
        <w:rPr>
          <w:rFonts w:ascii="Arial" w:hAnsi="Arial" w:cs="Arial"/>
          <w:color w:val="000000"/>
          <w:sz w:val="24"/>
          <w:szCs w:val="24"/>
          <w:lang w:val="es-ES_tradnl"/>
        </w:rPr>
        <w:t>el propósito de evitar la parálisis del tráfico jurídico dejando situaciones indefinidas en el tiempo, el legislador</w:t>
      </w:r>
      <w:r>
        <w:rPr>
          <w:rFonts w:ascii="Arial" w:hAnsi="Arial" w:cs="Arial"/>
          <w:color w:val="000000"/>
          <w:sz w:val="24"/>
          <w:szCs w:val="24"/>
          <w:lang w:val="es-ES_tradnl"/>
        </w:rPr>
        <w:t xml:space="preserve"> ―</w:t>
      </w:r>
      <w:r w:rsidRPr="006C38D2">
        <w:rPr>
          <w:rFonts w:ascii="Arial" w:hAnsi="Arial" w:cs="Arial"/>
          <w:color w:val="000000"/>
          <w:sz w:val="24"/>
          <w:szCs w:val="24"/>
          <w:lang w:val="es-ES_tradnl"/>
        </w:rPr>
        <w:t xml:space="preserve">apuntando a la protección del interés </w:t>
      </w:r>
      <w:r w:rsidRPr="006C38D2">
        <w:rPr>
          <w:rFonts w:ascii="Arial" w:hAnsi="Arial" w:cs="Arial"/>
          <w:color w:val="000000"/>
          <w:sz w:val="24"/>
          <w:szCs w:val="24"/>
          <w:lang w:val="es-ES_tradnl"/>
        </w:rPr>
        <w:lastRenderedPageBreak/>
        <w:t>general</w:t>
      </w:r>
      <w:r w:rsidRPr="006C38D2">
        <w:rPr>
          <w:rFonts w:ascii="Arial" w:hAnsi="Arial" w:cs="Arial"/>
          <w:color w:val="000000"/>
          <w:sz w:val="24"/>
          <w:szCs w:val="24"/>
          <w:vertAlign w:val="superscript"/>
          <w:lang w:val="es-ES_tradnl"/>
        </w:rPr>
        <w:footnoteReference w:id="12"/>
      </w:r>
      <w:r>
        <w:rPr>
          <w:rFonts w:ascii="Arial" w:hAnsi="Arial" w:cs="Arial"/>
          <w:color w:val="000000"/>
          <w:sz w:val="24"/>
          <w:szCs w:val="24"/>
          <w:lang w:val="es-ES_tradnl"/>
        </w:rPr>
        <w:t>―</w:t>
      </w:r>
      <w:r w:rsidRPr="006C38D2">
        <w:rPr>
          <w:rFonts w:ascii="Arial" w:hAnsi="Arial" w:cs="Arial"/>
          <w:color w:val="000000"/>
          <w:sz w:val="24"/>
          <w:szCs w:val="24"/>
          <w:lang w:val="es-ES_tradnl"/>
        </w:rPr>
        <w:t>, estableció unos plazos para poder ejercer oportunamente cada uno de los medios de control judicial</w:t>
      </w:r>
      <w:r>
        <w:rPr>
          <w:rFonts w:ascii="Arial" w:hAnsi="Arial" w:cs="Arial"/>
          <w:color w:val="000000"/>
          <w:sz w:val="24"/>
          <w:szCs w:val="24"/>
          <w:lang w:val="es-ES_tradnl"/>
        </w:rPr>
        <w:t xml:space="preserve"> previstos en el CPACA</w:t>
      </w:r>
      <w:r w:rsidRPr="006C38D2">
        <w:rPr>
          <w:rFonts w:ascii="Arial" w:hAnsi="Arial" w:cs="Arial"/>
          <w:color w:val="000000"/>
          <w:sz w:val="24"/>
          <w:szCs w:val="24"/>
          <w:lang w:val="es-ES_tradnl"/>
        </w:rPr>
        <w:t xml:space="preserve">. </w:t>
      </w:r>
    </w:p>
    <w:p w14:paraId="20300F72" w14:textId="77777777" w:rsidR="00A05931" w:rsidRDefault="00A05931" w:rsidP="00A05931">
      <w:pPr>
        <w:pStyle w:val="Prrafodelista"/>
        <w:spacing w:line="276" w:lineRule="auto"/>
        <w:ind w:left="0" w:right="50"/>
        <w:contextualSpacing/>
        <w:jc w:val="both"/>
        <w:rPr>
          <w:rFonts w:ascii="Arial" w:hAnsi="Arial" w:cs="Arial"/>
          <w:color w:val="000000"/>
          <w:sz w:val="24"/>
          <w:szCs w:val="24"/>
          <w:lang w:val="es-ES_tradnl"/>
        </w:rPr>
      </w:pPr>
    </w:p>
    <w:p w14:paraId="6ECD554A" w14:textId="77777777" w:rsidR="00A05931" w:rsidRPr="006C38D2"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sidRPr="006C38D2">
        <w:rPr>
          <w:rFonts w:ascii="Arial" w:hAnsi="Arial" w:cs="Arial"/>
          <w:color w:val="000000"/>
          <w:sz w:val="24"/>
          <w:szCs w:val="24"/>
          <w:lang w:val="es-ES_tradnl"/>
        </w:rPr>
        <w:t>Estos plazos resultan ser</w:t>
      </w:r>
      <w:r>
        <w:rPr>
          <w:rFonts w:ascii="Arial" w:hAnsi="Arial" w:cs="Arial"/>
          <w:color w:val="000000"/>
          <w:sz w:val="24"/>
          <w:szCs w:val="24"/>
          <w:lang w:val="es-ES_tradnl"/>
        </w:rPr>
        <w:t xml:space="preserve"> entonces</w:t>
      </w:r>
      <w:r w:rsidRPr="006C38D2">
        <w:rPr>
          <w:rFonts w:ascii="Arial" w:hAnsi="Arial" w:cs="Arial"/>
          <w:color w:val="000000"/>
          <w:sz w:val="24"/>
          <w:szCs w:val="24"/>
          <w:lang w:val="es-ES_tradnl"/>
        </w:rPr>
        <w:t xml:space="preserve"> razonables, perentorios, preclusivos, improrrogables, irrenunciables y </w:t>
      </w:r>
      <w:r>
        <w:rPr>
          <w:rFonts w:ascii="Arial" w:hAnsi="Arial" w:cs="Arial"/>
          <w:color w:val="000000"/>
          <w:sz w:val="24"/>
          <w:szCs w:val="24"/>
          <w:lang w:val="es-ES_tradnl"/>
        </w:rPr>
        <w:t xml:space="preserve">―se reitera― </w:t>
      </w:r>
      <w:r w:rsidRPr="006C38D2">
        <w:rPr>
          <w:rFonts w:ascii="Arial" w:hAnsi="Arial" w:cs="Arial"/>
          <w:color w:val="000000"/>
          <w:sz w:val="24"/>
          <w:szCs w:val="24"/>
          <w:lang w:val="es-ES_tradnl"/>
        </w:rPr>
        <w:t xml:space="preserve">de orden público, por lo que su vencimiento, sin que el interesado hubiese elevado la solicitud judicial, implica la extinción del derecho de accionar, así como la consolidación de las situaciones que se encontraban pendientes de solución. </w:t>
      </w:r>
      <w:r>
        <w:rPr>
          <w:rFonts w:ascii="Arial" w:hAnsi="Arial" w:cs="Arial"/>
          <w:color w:val="000000"/>
          <w:sz w:val="24"/>
          <w:szCs w:val="24"/>
          <w:lang w:val="es-ES_tradnl"/>
        </w:rPr>
        <w:t>Al respecto, el Consejo de Estado indicó en la sentencia de 16 de diciembre de 2020</w:t>
      </w:r>
      <w:r>
        <w:rPr>
          <w:rStyle w:val="Refdenotaalpie"/>
          <w:rFonts w:ascii="Arial" w:hAnsi="Arial" w:cs="Arial"/>
          <w:color w:val="000000"/>
          <w:sz w:val="24"/>
          <w:szCs w:val="24"/>
          <w:lang w:val="es-ES_tradnl"/>
        </w:rPr>
        <w:footnoteReference w:id="13"/>
      </w:r>
      <w:r>
        <w:rPr>
          <w:rFonts w:ascii="Arial" w:hAnsi="Arial" w:cs="Arial"/>
          <w:color w:val="000000"/>
          <w:sz w:val="24"/>
          <w:szCs w:val="24"/>
          <w:lang w:val="es-ES_tradnl"/>
        </w:rPr>
        <w:t xml:space="preserve"> lo siguiente:</w:t>
      </w:r>
    </w:p>
    <w:p w14:paraId="564DDFA8" w14:textId="77777777" w:rsidR="00A05931" w:rsidRPr="006C38D2" w:rsidRDefault="00A05931" w:rsidP="00A05931">
      <w:pPr>
        <w:pStyle w:val="Prrafodelista"/>
        <w:spacing w:line="276" w:lineRule="auto"/>
        <w:ind w:left="0" w:right="50"/>
        <w:contextualSpacing/>
        <w:jc w:val="both"/>
        <w:rPr>
          <w:rFonts w:ascii="Arial" w:hAnsi="Arial" w:cs="Arial"/>
          <w:color w:val="000000"/>
          <w:sz w:val="24"/>
          <w:szCs w:val="24"/>
          <w:lang w:val="es-ES_tradnl"/>
        </w:rPr>
      </w:pPr>
    </w:p>
    <w:p w14:paraId="048A1FE7" w14:textId="77777777" w:rsidR="00A05931" w:rsidRPr="006D2D0E" w:rsidRDefault="00A05931" w:rsidP="00A05931">
      <w:pPr>
        <w:pStyle w:val="Prrafodelista"/>
        <w:spacing w:line="276" w:lineRule="auto"/>
        <w:ind w:right="50"/>
        <w:contextualSpacing/>
        <w:jc w:val="both"/>
        <w:rPr>
          <w:rFonts w:ascii="Arial" w:hAnsi="Arial" w:cs="Arial"/>
          <w:color w:val="000000"/>
          <w:sz w:val="21"/>
          <w:szCs w:val="21"/>
          <w:lang w:val="es-ES_tradnl"/>
        </w:rPr>
      </w:pPr>
      <w:r w:rsidRPr="006D2D0E">
        <w:rPr>
          <w:rFonts w:ascii="Arial" w:hAnsi="Arial" w:cs="Arial"/>
          <w:color w:val="000000"/>
          <w:sz w:val="21"/>
          <w:szCs w:val="21"/>
          <w:lang w:val="es-ES_tradnl"/>
        </w:rPr>
        <w:t>«El establecimiento de dichas oportunidades legales pretende, además, la racionalización de la utilización del aparato judicial, lograr mayor eficiencia procesal, controlar la libertad del ejercicio del derecho de acción</w:t>
      </w:r>
      <w:r w:rsidRPr="006D2D0E">
        <w:rPr>
          <w:rFonts w:ascii="Arial" w:hAnsi="Arial" w:cs="Arial"/>
          <w:color w:val="000000"/>
          <w:sz w:val="21"/>
          <w:szCs w:val="21"/>
          <w:vertAlign w:val="superscript"/>
          <w:lang w:val="es-ES_tradnl"/>
        </w:rPr>
        <w:footnoteReference w:id="14"/>
      </w:r>
      <w:r w:rsidRPr="006D2D0E">
        <w:rPr>
          <w:rFonts w:ascii="Arial" w:hAnsi="Arial" w:cs="Arial"/>
          <w:color w:val="000000"/>
          <w:sz w:val="21"/>
          <w:szCs w:val="21"/>
          <w:lang w:val="es-ES_tradnl"/>
        </w:rPr>
        <w:t xml:space="preserve">, ofrecer estabilidad del derecho de manera que las situaciones controversiales que requieran solución por los órganos judiciales adquieran firmeza, estabilidad y con ello seguridad, solidificando y concretando el concepto de derechos adquiridos. </w:t>
      </w:r>
    </w:p>
    <w:p w14:paraId="41F69BA9" w14:textId="77777777" w:rsidR="00A05931" w:rsidRPr="006D2D0E" w:rsidRDefault="00A05931" w:rsidP="00A05931">
      <w:pPr>
        <w:pStyle w:val="Prrafodelista"/>
        <w:spacing w:line="276" w:lineRule="auto"/>
        <w:ind w:right="50"/>
        <w:contextualSpacing/>
        <w:jc w:val="both"/>
        <w:rPr>
          <w:rFonts w:ascii="Arial" w:hAnsi="Arial" w:cs="Arial"/>
          <w:color w:val="000000"/>
          <w:sz w:val="21"/>
          <w:szCs w:val="21"/>
          <w:lang w:val="es-ES_tradnl"/>
        </w:rPr>
      </w:pPr>
    </w:p>
    <w:p w14:paraId="2CBE8BD2" w14:textId="77777777" w:rsidR="00A05931" w:rsidRPr="006D2D0E" w:rsidRDefault="00A05931" w:rsidP="00A05931">
      <w:pPr>
        <w:pStyle w:val="Prrafodelista"/>
        <w:spacing w:line="276" w:lineRule="auto"/>
        <w:ind w:right="50"/>
        <w:contextualSpacing/>
        <w:jc w:val="both"/>
        <w:rPr>
          <w:rFonts w:ascii="Arial" w:hAnsi="Arial" w:cs="Arial"/>
          <w:color w:val="000000"/>
          <w:sz w:val="21"/>
          <w:szCs w:val="21"/>
          <w:lang w:val="es-ES_tradnl"/>
        </w:rPr>
      </w:pPr>
      <w:r w:rsidRPr="006D2D0E">
        <w:rPr>
          <w:rFonts w:ascii="Arial" w:hAnsi="Arial" w:cs="Arial"/>
          <w:color w:val="000000"/>
          <w:sz w:val="21"/>
          <w:szCs w:val="21"/>
          <w:lang w:val="es-ES_tradnl"/>
        </w:rPr>
        <w:t xml:space="preserve">Este fenómeno procesal, de carácter bifronte, en tanto se entiende como límite y garantía a la vez, se constituye en un valioso instrumento que busca la salvaguarda y estabilidad de las relaciones jurídicas, en la medida en que su ocurrencia impide que estas puedan ser discutidas indefinidamente. </w:t>
      </w:r>
    </w:p>
    <w:p w14:paraId="2506C092" w14:textId="77777777" w:rsidR="00A05931" w:rsidRPr="006D2D0E" w:rsidRDefault="00A05931" w:rsidP="00A05931">
      <w:pPr>
        <w:pStyle w:val="Prrafodelista"/>
        <w:spacing w:line="276" w:lineRule="auto"/>
        <w:ind w:right="50"/>
        <w:contextualSpacing/>
        <w:jc w:val="both"/>
        <w:rPr>
          <w:rFonts w:ascii="Arial" w:hAnsi="Arial" w:cs="Arial"/>
          <w:color w:val="000000"/>
          <w:sz w:val="21"/>
          <w:szCs w:val="21"/>
          <w:lang w:val="es-ES_tradnl"/>
        </w:rPr>
      </w:pPr>
    </w:p>
    <w:p w14:paraId="0F166D3F" w14:textId="77777777" w:rsidR="00A05931" w:rsidRPr="006D2D0E" w:rsidRDefault="00A05931" w:rsidP="00A05931">
      <w:pPr>
        <w:pStyle w:val="Prrafodelista"/>
        <w:spacing w:line="276" w:lineRule="auto"/>
        <w:ind w:right="50"/>
        <w:contextualSpacing/>
        <w:jc w:val="both"/>
        <w:rPr>
          <w:rFonts w:ascii="Arial" w:hAnsi="Arial" w:cs="Arial"/>
          <w:color w:val="000000"/>
          <w:sz w:val="21"/>
          <w:szCs w:val="21"/>
        </w:rPr>
      </w:pPr>
      <w:r w:rsidRPr="006D2D0E">
        <w:rPr>
          <w:rFonts w:ascii="Arial" w:hAnsi="Arial" w:cs="Arial"/>
          <w:color w:val="000000"/>
          <w:sz w:val="21"/>
          <w:szCs w:val="21"/>
          <w:lang w:val="es-ES_tradnl"/>
        </w:rPr>
        <w:t xml:space="preserve">La caducidad, en la primera de sus manifestaciones, es un mecanismo que brinda certidumbre y seguridad jurídica, pues con su advenimiento de pleno derecho y mediante su reconocimiento judicial obligatorio cuando el operador la encuentre configurada, se consolidan los derechos de los actores jurídicos que discuten alguna situación; sin embargo, en el anverso, la caducidad se entiende también como una limitación de carácter irrenunciable al ejercicio del derecho de acción, resultando como una sanción </w:t>
      </w:r>
      <w:r w:rsidRPr="006D2D0E">
        <w:rPr>
          <w:rFonts w:ascii="Arial" w:hAnsi="Arial" w:cs="Arial"/>
          <w:i/>
          <w:color w:val="000000"/>
          <w:sz w:val="21"/>
          <w:szCs w:val="21"/>
          <w:lang w:val="es-ES_tradnl"/>
        </w:rPr>
        <w:t>ipso iure</w:t>
      </w:r>
      <w:r w:rsidRPr="006D2D0E">
        <w:rPr>
          <w:rFonts w:ascii="Arial" w:hAnsi="Arial" w:cs="Arial"/>
          <w:color w:val="000000"/>
          <w:sz w:val="21"/>
          <w:szCs w:val="21"/>
          <w:vertAlign w:val="superscript"/>
          <w:lang w:val="es-ES_tradnl"/>
        </w:rPr>
        <w:footnoteReference w:id="15"/>
      </w:r>
      <w:r w:rsidRPr="006D2D0E">
        <w:rPr>
          <w:rFonts w:ascii="Arial" w:hAnsi="Arial" w:cs="Arial"/>
          <w:color w:val="000000"/>
          <w:sz w:val="21"/>
          <w:szCs w:val="21"/>
          <w:lang w:val="es-ES_tradnl"/>
        </w:rPr>
        <w:t xml:space="preserve"> que opera por la falta de actividad oportuna en la puesta en </w:t>
      </w:r>
      <w:r w:rsidRPr="006D2D0E">
        <w:rPr>
          <w:rFonts w:ascii="Arial" w:hAnsi="Arial" w:cs="Arial"/>
          <w:color w:val="000000"/>
          <w:sz w:val="21"/>
          <w:szCs w:val="21"/>
          <w:lang w:val="es-ES_tradnl"/>
        </w:rPr>
        <w:lastRenderedPageBreak/>
        <w:t>marcha del aparato judicial para hacer algún reclamo o requerir algún reconocimiento o protección de la justicia</w:t>
      </w:r>
      <w:r w:rsidRPr="006D2D0E">
        <w:rPr>
          <w:rFonts w:ascii="Arial" w:hAnsi="Arial" w:cs="Arial"/>
          <w:color w:val="000000"/>
          <w:sz w:val="21"/>
          <w:szCs w:val="21"/>
          <w:vertAlign w:val="superscript"/>
          <w:lang w:val="es-ES_tradnl"/>
        </w:rPr>
        <w:footnoteReference w:id="16"/>
      </w:r>
      <w:r w:rsidRPr="006D2D0E">
        <w:rPr>
          <w:rFonts w:ascii="Arial" w:hAnsi="Arial" w:cs="Arial"/>
          <w:color w:val="000000"/>
          <w:sz w:val="21"/>
          <w:szCs w:val="21"/>
          <w:lang w:val="es-ES_tradnl"/>
        </w:rPr>
        <w:t>, cuya consecuencia, por demandar más allá del tiempo concedido por la ley procesal, significa la pérdida de la potestad de accionar».</w:t>
      </w:r>
    </w:p>
    <w:p w14:paraId="6A69B2F2"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p>
    <w:p w14:paraId="7402DC6E" w14:textId="50C63B36" w:rsidR="00A05931" w:rsidRPr="00022ED4"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022ED4">
        <w:rPr>
          <w:rFonts w:ascii="Arial" w:hAnsi="Arial" w:cs="Arial"/>
          <w:color w:val="000000"/>
          <w:sz w:val="24"/>
          <w:szCs w:val="24"/>
        </w:rPr>
        <w:t xml:space="preserve">Ahora bien, con el propósito de establecer la forma correcta de contabilizar los términos judiciales, resulta procedente hacer alusión a lo indicado en los artículos 106 y 118 del CGP ―por remisión del artículo 306 del CPACA―, </w:t>
      </w:r>
      <w:r w:rsidR="00CB639C" w:rsidRPr="00022ED4">
        <w:rPr>
          <w:rFonts w:ascii="Arial" w:hAnsi="Arial" w:cs="Arial"/>
          <w:color w:val="000000"/>
          <w:sz w:val="24"/>
          <w:szCs w:val="24"/>
        </w:rPr>
        <w:t>normas que dispusieron lo siguiente</w:t>
      </w:r>
      <w:r w:rsidRPr="00022ED4">
        <w:rPr>
          <w:rFonts w:ascii="Arial" w:hAnsi="Arial" w:cs="Arial"/>
          <w:color w:val="000000"/>
          <w:sz w:val="24"/>
          <w:szCs w:val="24"/>
        </w:rPr>
        <w:t xml:space="preserve">: </w:t>
      </w:r>
    </w:p>
    <w:p w14:paraId="2CCF6518" w14:textId="77777777" w:rsidR="00A05931" w:rsidRPr="00022ED4" w:rsidRDefault="00A05931" w:rsidP="00A05931">
      <w:pPr>
        <w:pStyle w:val="Prrafodelista"/>
        <w:spacing w:line="276" w:lineRule="auto"/>
        <w:ind w:left="0" w:right="50"/>
        <w:contextualSpacing/>
        <w:jc w:val="both"/>
        <w:rPr>
          <w:rFonts w:ascii="Arial" w:hAnsi="Arial" w:cs="Arial"/>
          <w:color w:val="000000"/>
          <w:sz w:val="24"/>
          <w:szCs w:val="24"/>
        </w:rPr>
      </w:pPr>
    </w:p>
    <w:p w14:paraId="2B660A62" w14:textId="77777777" w:rsidR="00A05931" w:rsidRPr="00022ED4" w:rsidRDefault="00A05931" w:rsidP="00414663">
      <w:pPr>
        <w:pStyle w:val="Prrafodelista"/>
        <w:ind w:right="50"/>
        <w:contextualSpacing/>
        <w:jc w:val="both"/>
        <w:rPr>
          <w:rFonts w:ascii="Arial" w:hAnsi="Arial" w:cs="Arial"/>
          <w:color w:val="000000"/>
          <w:sz w:val="21"/>
          <w:szCs w:val="21"/>
        </w:rPr>
      </w:pPr>
      <w:r w:rsidRPr="00022ED4">
        <w:rPr>
          <w:rFonts w:ascii="Arial" w:hAnsi="Arial" w:cs="Arial"/>
          <w:color w:val="000000"/>
          <w:sz w:val="21"/>
          <w:szCs w:val="21"/>
        </w:rPr>
        <w:t xml:space="preserve">«Artículo 106. Actuación judicial. </w:t>
      </w:r>
      <w:r w:rsidRPr="00022ED4">
        <w:rPr>
          <w:rFonts w:ascii="Arial" w:hAnsi="Arial" w:cs="Arial"/>
          <w:b/>
          <w:bCs/>
          <w:color w:val="000000"/>
          <w:sz w:val="21"/>
          <w:szCs w:val="21"/>
        </w:rPr>
        <w:t>Las actuaciones, audiencias y diligencias judiciales se adelantarán en días y horas hábiles</w:t>
      </w:r>
      <w:r w:rsidRPr="00022ED4">
        <w:rPr>
          <w:rFonts w:ascii="Arial" w:hAnsi="Arial" w:cs="Arial"/>
          <w:color w:val="000000"/>
          <w:sz w:val="21"/>
          <w:szCs w:val="21"/>
        </w:rPr>
        <w:t>, sin perjuicio de los casos en que la ley o el juez dispongan realizarlos en horas inhábiles.</w:t>
      </w:r>
    </w:p>
    <w:p w14:paraId="04A92214" w14:textId="77777777" w:rsidR="00A05931" w:rsidRPr="00022ED4" w:rsidRDefault="00A05931" w:rsidP="00414663">
      <w:pPr>
        <w:pStyle w:val="Prrafodelista"/>
        <w:ind w:right="50"/>
        <w:contextualSpacing/>
        <w:jc w:val="both"/>
        <w:rPr>
          <w:rFonts w:ascii="Arial" w:hAnsi="Arial" w:cs="Arial"/>
          <w:color w:val="000000"/>
          <w:sz w:val="21"/>
          <w:szCs w:val="21"/>
        </w:rPr>
      </w:pPr>
    </w:p>
    <w:p w14:paraId="678D0FE3" w14:textId="77777777" w:rsidR="00A05931" w:rsidRPr="00022ED4" w:rsidRDefault="00A05931" w:rsidP="00414663">
      <w:pPr>
        <w:pStyle w:val="Prrafodelista"/>
        <w:ind w:right="50"/>
        <w:contextualSpacing/>
        <w:jc w:val="both"/>
        <w:rPr>
          <w:rFonts w:ascii="Arial" w:hAnsi="Arial" w:cs="Arial"/>
          <w:color w:val="000000"/>
          <w:sz w:val="21"/>
          <w:szCs w:val="21"/>
        </w:rPr>
      </w:pPr>
      <w:r w:rsidRPr="00022ED4">
        <w:rPr>
          <w:rFonts w:ascii="Arial" w:hAnsi="Arial" w:cs="Arial"/>
          <w:color w:val="000000"/>
          <w:sz w:val="21"/>
          <w:szCs w:val="21"/>
        </w:rPr>
        <w:t>Las audiencias y diligencias iniciadas en hora hábil podrán continuarse en horas inhábiles sin necesidad de habilitación expresa.</w:t>
      </w:r>
    </w:p>
    <w:p w14:paraId="29A76144" w14:textId="77777777" w:rsidR="00A05931" w:rsidRPr="00022ED4" w:rsidRDefault="00A05931" w:rsidP="00414663">
      <w:pPr>
        <w:pStyle w:val="Prrafodelista"/>
        <w:ind w:right="50"/>
        <w:contextualSpacing/>
        <w:jc w:val="both"/>
        <w:rPr>
          <w:rFonts w:ascii="Arial" w:hAnsi="Arial" w:cs="Arial"/>
          <w:color w:val="000000"/>
          <w:sz w:val="21"/>
          <w:szCs w:val="21"/>
        </w:rPr>
      </w:pPr>
    </w:p>
    <w:p w14:paraId="154B3377" w14:textId="77777777" w:rsidR="00A05931" w:rsidRPr="00022ED4" w:rsidRDefault="00A05931" w:rsidP="00414663">
      <w:pPr>
        <w:pStyle w:val="Prrafodelista"/>
        <w:ind w:right="50"/>
        <w:contextualSpacing/>
        <w:jc w:val="both"/>
        <w:rPr>
          <w:rFonts w:ascii="Arial" w:hAnsi="Arial" w:cs="Arial"/>
          <w:color w:val="000000"/>
          <w:sz w:val="21"/>
          <w:szCs w:val="21"/>
        </w:rPr>
      </w:pPr>
      <w:r w:rsidRPr="00022ED4">
        <w:rPr>
          <w:rFonts w:ascii="Arial" w:hAnsi="Arial" w:cs="Arial"/>
          <w:color w:val="000000"/>
          <w:sz w:val="21"/>
          <w:szCs w:val="21"/>
        </w:rPr>
        <w:t xml:space="preserve">(…) </w:t>
      </w:r>
    </w:p>
    <w:p w14:paraId="010213D5" w14:textId="77777777" w:rsidR="00A05931" w:rsidRPr="00022ED4" w:rsidRDefault="00A05931" w:rsidP="00414663">
      <w:pPr>
        <w:pStyle w:val="Prrafodelista"/>
        <w:ind w:right="50"/>
        <w:contextualSpacing/>
        <w:jc w:val="both"/>
        <w:rPr>
          <w:rFonts w:ascii="Arial" w:hAnsi="Arial" w:cs="Arial"/>
          <w:color w:val="000000"/>
          <w:sz w:val="21"/>
          <w:szCs w:val="21"/>
        </w:rPr>
      </w:pPr>
    </w:p>
    <w:p w14:paraId="47BF7D50" w14:textId="77777777" w:rsidR="00A05931" w:rsidRPr="00022ED4" w:rsidRDefault="00A05931" w:rsidP="00414663">
      <w:pPr>
        <w:pStyle w:val="Prrafodelista"/>
        <w:ind w:right="50"/>
        <w:contextualSpacing/>
        <w:jc w:val="both"/>
        <w:rPr>
          <w:rFonts w:ascii="Arial" w:hAnsi="Arial" w:cs="Arial"/>
          <w:color w:val="000000"/>
          <w:sz w:val="21"/>
          <w:szCs w:val="21"/>
          <w:lang w:val="es-CO"/>
        </w:rPr>
      </w:pPr>
      <w:r w:rsidRPr="00022ED4">
        <w:rPr>
          <w:rFonts w:ascii="Arial" w:hAnsi="Arial" w:cs="Arial"/>
          <w:color w:val="000000"/>
          <w:sz w:val="21"/>
          <w:szCs w:val="21"/>
          <w:lang w:val="es-CO"/>
        </w:rPr>
        <w:t xml:space="preserve">Artículo 118. Cómputo de términos. (…) </w:t>
      </w:r>
      <w:r w:rsidRPr="00022ED4">
        <w:rPr>
          <w:rFonts w:ascii="Arial" w:hAnsi="Arial" w:cs="Arial"/>
          <w:b/>
          <w:bCs/>
          <w:color w:val="000000"/>
          <w:sz w:val="21"/>
          <w:szCs w:val="21"/>
          <w:lang w:val="es-CO"/>
        </w:rPr>
        <w:t>Cuando el término sea de meses o de años, su vencimiento tendrá lugar el mismo día que empezó a correr del correspondiente mes o año</w:t>
      </w:r>
      <w:r w:rsidRPr="00022ED4">
        <w:rPr>
          <w:rFonts w:ascii="Arial" w:hAnsi="Arial" w:cs="Arial"/>
          <w:color w:val="000000"/>
          <w:sz w:val="21"/>
          <w:szCs w:val="21"/>
          <w:lang w:val="es-CO"/>
        </w:rPr>
        <w:t xml:space="preserve">. Si este no tiene ese día, el término vencerá el último día del respectivo mes o año. </w:t>
      </w:r>
      <w:r w:rsidRPr="00022ED4">
        <w:rPr>
          <w:rFonts w:ascii="Arial" w:hAnsi="Arial" w:cs="Arial"/>
          <w:b/>
          <w:bCs/>
          <w:color w:val="000000"/>
          <w:sz w:val="21"/>
          <w:szCs w:val="21"/>
          <w:lang w:val="es-CO"/>
        </w:rPr>
        <w:t>Si su vencimiento ocurre en día inhábil se extenderá hasta el primer día hábil siguiente</w:t>
      </w:r>
      <w:r w:rsidRPr="00022ED4">
        <w:rPr>
          <w:rFonts w:ascii="Arial" w:hAnsi="Arial" w:cs="Arial"/>
          <w:color w:val="000000"/>
          <w:sz w:val="21"/>
          <w:szCs w:val="21"/>
          <w:lang w:val="es-CO"/>
        </w:rPr>
        <w:t>.</w:t>
      </w:r>
    </w:p>
    <w:p w14:paraId="183742FA" w14:textId="77777777" w:rsidR="00A05931" w:rsidRPr="00022ED4" w:rsidRDefault="00A05931" w:rsidP="00414663">
      <w:pPr>
        <w:pStyle w:val="Prrafodelista"/>
        <w:ind w:right="50"/>
        <w:contextualSpacing/>
        <w:jc w:val="both"/>
        <w:rPr>
          <w:rFonts w:ascii="Arial" w:hAnsi="Arial" w:cs="Arial"/>
          <w:color w:val="000000"/>
          <w:sz w:val="21"/>
          <w:szCs w:val="21"/>
          <w:lang w:val="es-CO"/>
        </w:rPr>
      </w:pPr>
    </w:p>
    <w:p w14:paraId="1B1138C1" w14:textId="77777777" w:rsidR="00A05931" w:rsidRPr="00022ED4" w:rsidRDefault="00A05931" w:rsidP="00414663">
      <w:pPr>
        <w:pStyle w:val="Prrafodelista"/>
        <w:ind w:right="50"/>
        <w:contextualSpacing/>
        <w:jc w:val="both"/>
        <w:rPr>
          <w:rFonts w:ascii="Arial" w:hAnsi="Arial" w:cs="Arial"/>
          <w:color w:val="000000"/>
          <w:sz w:val="21"/>
          <w:szCs w:val="21"/>
          <w:lang w:val="es-CO"/>
        </w:rPr>
      </w:pPr>
      <w:r w:rsidRPr="00022ED4">
        <w:rPr>
          <w:rFonts w:ascii="Arial" w:hAnsi="Arial" w:cs="Arial"/>
          <w:color w:val="000000"/>
          <w:sz w:val="21"/>
          <w:szCs w:val="21"/>
          <w:lang w:val="es-CO"/>
        </w:rPr>
        <w:t xml:space="preserve">En los términos de días </w:t>
      </w:r>
      <w:r w:rsidRPr="00022ED4">
        <w:rPr>
          <w:rFonts w:ascii="Arial" w:hAnsi="Arial" w:cs="Arial"/>
          <w:b/>
          <w:bCs/>
          <w:color w:val="000000"/>
          <w:sz w:val="21"/>
          <w:szCs w:val="21"/>
          <w:lang w:val="es-CO"/>
        </w:rPr>
        <w:t>no se tomarán en cuenta los de vacancia judicial ni aquellos en que por cualquier circunstancia permanezca cerrado el juzgado</w:t>
      </w:r>
      <w:r w:rsidRPr="00022ED4">
        <w:rPr>
          <w:rFonts w:ascii="Arial" w:hAnsi="Arial" w:cs="Arial"/>
          <w:color w:val="000000"/>
          <w:sz w:val="21"/>
          <w:szCs w:val="21"/>
          <w:lang w:val="es-CO"/>
        </w:rPr>
        <w:t>» (negrillas de la Sala).</w:t>
      </w:r>
    </w:p>
    <w:p w14:paraId="7EBB05F9" w14:textId="77777777" w:rsidR="00A05931" w:rsidRPr="00022ED4" w:rsidRDefault="00A05931" w:rsidP="00A05931">
      <w:pPr>
        <w:pStyle w:val="Prrafodelista"/>
        <w:spacing w:line="276" w:lineRule="auto"/>
        <w:ind w:left="0" w:right="50"/>
        <w:contextualSpacing/>
        <w:jc w:val="both"/>
        <w:rPr>
          <w:rFonts w:ascii="Arial" w:hAnsi="Arial" w:cs="Arial"/>
          <w:color w:val="000000"/>
          <w:sz w:val="24"/>
          <w:szCs w:val="24"/>
        </w:rPr>
      </w:pPr>
    </w:p>
    <w:p w14:paraId="67E114B2" w14:textId="45893036" w:rsidR="00A05931" w:rsidRPr="00022ED4"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022ED4">
        <w:rPr>
          <w:rFonts w:ascii="Arial" w:hAnsi="Arial" w:cs="Arial"/>
          <w:color w:val="000000"/>
          <w:sz w:val="24"/>
          <w:szCs w:val="24"/>
        </w:rPr>
        <w:t xml:space="preserve">Sobre este punto, el Consejo de Estado ha </w:t>
      </w:r>
      <w:r w:rsidR="00DB55C5" w:rsidRPr="00022ED4">
        <w:rPr>
          <w:rFonts w:ascii="Arial" w:hAnsi="Arial" w:cs="Arial"/>
          <w:color w:val="000000"/>
          <w:sz w:val="24"/>
          <w:szCs w:val="24"/>
        </w:rPr>
        <w:t xml:space="preserve">explicado </w:t>
      </w:r>
      <w:r w:rsidRPr="00022ED4">
        <w:rPr>
          <w:rFonts w:ascii="Arial" w:hAnsi="Arial" w:cs="Arial"/>
          <w:color w:val="000000"/>
          <w:sz w:val="24"/>
          <w:szCs w:val="24"/>
        </w:rPr>
        <w:t xml:space="preserve">que </w:t>
      </w:r>
      <w:r w:rsidR="00DB55C5" w:rsidRPr="00022ED4">
        <w:rPr>
          <w:rFonts w:ascii="Arial" w:hAnsi="Arial" w:cs="Arial"/>
          <w:color w:val="000000"/>
          <w:sz w:val="24"/>
          <w:szCs w:val="24"/>
        </w:rPr>
        <w:t xml:space="preserve">diferentes </w:t>
      </w:r>
      <w:r w:rsidRPr="00022ED4">
        <w:rPr>
          <w:rFonts w:ascii="Arial" w:hAnsi="Arial" w:cs="Arial"/>
          <w:color w:val="000000"/>
          <w:sz w:val="24"/>
          <w:szCs w:val="24"/>
        </w:rPr>
        <w:t xml:space="preserve">circunstancias </w:t>
      </w:r>
      <w:r w:rsidR="00DB55C5" w:rsidRPr="00022ED4">
        <w:rPr>
          <w:rFonts w:ascii="Arial" w:hAnsi="Arial" w:cs="Arial"/>
          <w:color w:val="000000"/>
          <w:sz w:val="24"/>
          <w:szCs w:val="24"/>
        </w:rPr>
        <w:t xml:space="preserve">externas, </w:t>
      </w:r>
      <w:r w:rsidRPr="00022ED4">
        <w:rPr>
          <w:rFonts w:ascii="Arial" w:hAnsi="Arial" w:cs="Arial"/>
          <w:color w:val="000000"/>
          <w:sz w:val="24"/>
          <w:szCs w:val="24"/>
        </w:rPr>
        <w:t>como la vacancia judicial o los paros</w:t>
      </w:r>
      <w:r w:rsidR="00015A2A" w:rsidRPr="00022ED4">
        <w:rPr>
          <w:rFonts w:ascii="Arial" w:hAnsi="Arial" w:cs="Arial"/>
          <w:color w:val="000000"/>
          <w:sz w:val="24"/>
          <w:szCs w:val="24"/>
        </w:rPr>
        <w:t xml:space="preserve"> ―por ejemplo―</w:t>
      </w:r>
      <w:r w:rsidR="00DB55C5" w:rsidRPr="00022ED4">
        <w:rPr>
          <w:rFonts w:ascii="Arial" w:hAnsi="Arial" w:cs="Arial"/>
          <w:color w:val="000000"/>
          <w:sz w:val="24"/>
          <w:szCs w:val="24"/>
        </w:rPr>
        <w:t>,</w:t>
      </w:r>
      <w:r w:rsidRPr="00022ED4">
        <w:rPr>
          <w:rFonts w:ascii="Arial" w:hAnsi="Arial" w:cs="Arial"/>
          <w:color w:val="000000"/>
          <w:sz w:val="24"/>
          <w:szCs w:val="24"/>
        </w:rPr>
        <w:t xml:space="preserve"> no interrumpen el </w:t>
      </w:r>
      <w:r w:rsidR="00DB55C5" w:rsidRPr="00022ED4">
        <w:rPr>
          <w:rFonts w:ascii="Arial" w:hAnsi="Arial" w:cs="Arial"/>
          <w:color w:val="000000"/>
          <w:sz w:val="24"/>
          <w:szCs w:val="24"/>
        </w:rPr>
        <w:t xml:space="preserve">término </w:t>
      </w:r>
      <w:r w:rsidRPr="00022ED4">
        <w:rPr>
          <w:rFonts w:ascii="Arial" w:hAnsi="Arial" w:cs="Arial"/>
          <w:color w:val="000000"/>
          <w:sz w:val="24"/>
          <w:szCs w:val="24"/>
        </w:rPr>
        <w:t xml:space="preserve">de la caducidad, precisando que, en tales eventos, el </w:t>
      </w:r>
      <w:r w:rsidR="008130A9" w:rsidRPr="00022ED4">
        <w:rPr>
          <w:rFonts w:ascii="Arial" w:hAnsi="Arial" w:cs="Arial"/>
          <w:color w:val="000000"/>
          <w:sz w:val="24"/>
          <w:szCs w:val="24"/>
        </w:rPr>
        <w:t xml:space="preserve">lapso </w:t>
      </w:r>
      <w:r w:rsidRPr="00022ED4">
        <w:rPr>
          <w:rFonts w:ascii="Arial" w:hAnsi="Arial" w:cs="Arial"/>
          <w:color w:val="000000"/>
          <w:sz w:val="24"/>
          <w:szCs w:val="24"/>
        </w:rPr>
        <w:t xml:space="preserve">para interponer la demanda se corre al día hábil siguiente: </w:t>
      </w:r>
    </w:p>
    <w:p w14:paraId="40E3D897"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p>
    <w:p w14:paraId="7FF8F038"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r w:rsidRPr="000B2244">
        <w:rPr>
          <w:rFonts w:ascii="Arial" w:hAnsi="Arial" w:cs="Arial"/>
          <w:color w:val="000000"/>
          <w:sz w:val="21"/>
          <w:szCs w:val="21"/>
        </w:rPr>
        <w:t xml:space="preserve">«(…) </w:t>
      </w:r>
      <w:r w:rsidRPr="008130A9">
        <w:rPr>
          <w:rFonts w:ascii="Arial" w:hAnsi="Arial" w:cs="Arial"/>
          <w:b/>
          <w:bCs/>
          <w:color w:val="000000"/>
          <w:sz w:val="21"/>
          <w:szCs w:val="21"/>
        </w:rPr>
        <w:t>[L]os términos establecidos en meses o años</w:t>
      </w:r>
      <w:r w:rsidRPr="000B2244">
        <w:rPr>
          <w:rFonts w:ascii="Arial" w:hAnsi="Arial" w:cs="Arial"/>
          <w:color w:val="000000"/>
          <w:sz w:val="21"/>
          <w:szCs w:val="21"/>
        </w:rPr>
        <w:t xml:space="preserve">, como en el caso de la caducidad de los medios de control de nulidad y restablecimiento del derecho y de reparación directa, respectivamente, </w:t>
      </w:r>
      <w:r w:rsidRPr="008130A9">
        <w:rPr>
          <w:rFonts w:ascii="Arial" w:hAnsi="Arial" w:cs="Arial"/>
          <w:b/>
          <w:bCs/>
          <w:color w:val="000000"/>
          <w:sz w:val="21"/>
          <w:szCs w:val="21"/>
        </w:rPr>
        <w:t>deben ser contabilizados en días calendarios</w:t>
      </w:r>
      <w:r w:rsidRPr="000B2244">
        <w:rPr>
          <w:rFonts w:ascii="Arial" w:hAnsi="Arial" w:cs="Arial"/>
          <w:color w:val="000000"/>
          <w:sz w:val="21"/>
          <w:szCs w:val="21"/>
        </w:rPr>
        <w:t xml:space="preserve"> o, mejor, en unidades exactas, ya sea de meses o de años, da tal forma que, en principio, no deben excluirse los días no hábiles. Sin embargo, cuando aquel término cae en día no hábil se extiende hasta el primer día hábil siguiente</w:t>
      </w:r>
      <w:r>
        <w:rPr>
          <w:rFonts w:ascii="Arial" w:hAnsi="Arial" w:cs="Arial"/>
          <w:color w:val="000000"/>
          <w:sz w:val="21"/>
          <w:szCs w:val="21"/>
        </w:rPr>
        <w:t>.</w:t>
      </w:r>
    </w:p>
    <w:p w14:paraId="0C248C9B"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p>
    <w:p w14:paraId="7132DE50"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r w:rsidRPr="000B2244">
        <w:rPr>
          <w:rFonts w:ascii="Arial" w:hAnsi="Arial" w:cs="Arial"/>
          <w:color w:val="000000"/>
          <w:sz w:val="21"/>
          <w:szCs w:val="21"/>
        </w:rPr>
        <w:t>(…)</w:t>
      </w:r>
      <w:r>
        <w:rPr>
          <w:rFonts w:ascii="Arial" w:hAnsi="Arial" w:cs="Arial"/>
          <w:color w:val="000000"/>
          <w:sz w:val="21"/>
          <w:szCs w:val="21"/>
        </w:rPr>
        <w:t xml:space="preserve"> </w:t>
      </w:r>
      <w:r w:rsidRPr="000B2244">
        <w:rPr>
          <w:rFonts w:ascii="Arial" w:hAnsi="Arial" w:cs="Arial"/>
          <w:color w:val="000000"/>
          <w:sz w:val="21"/>
          <w:szCs w:val="21"/>
        </w:rPr>
        <w:t xml:space="preserve">Lo anterior indica que </w:t>
      </w:r>
      <w:r w:rsidRPr="008130A9">
        <w:rPr>
          <w:rFonts w:ascii="Arial" w:hAnsi="Arial" w:cs="Arial"/>
          <w:b/>
          <w:bCs/>
          <w:color w:val="000000"/>
          <w:sz w:val="21"/>
          <w:szCs w:val="21"/>
        </w:rPr>
        <w:t>cuando el término contemplado en la norma está expresado en meses, para su contabilización, no deben ser tenidos en cuenta los días de interrupción de vacancia judicial o los que, por cualquier causa, el Despacho deba permanecer cerrado</w:t>
      </w:r>
      <w:r w:rsidRPr="000B2244">
        <w:rPr>
          <w:rFonts w:ascii="Arial" w:hAnsi="Arial" w:cs="Arial"/>
          <w:color w:val="000000"/>
          <w:sz w:val="21"/>
          <w:szCs w:val="21"/>
        </w:rPr>
        <w:t>, como ocurrió en el presente caso, con ocasión del paro judicial.</w:t>
      </w:r>
    </w:p>
    <w:p w14:paraId="47879242"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p>
    <w:p w14:paraId="3702B6BC"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r w:rsidRPr="000B2244">
        <w:rPr>
          <w:rFonts w:ascii="Arial" w:hAnsi="Arial" w:cs="Arial"/>
          <w:color w:val="000000"/>
          <w:sz w:val="21"/>
          <w:szCs w:val="21"/>
        </w:rPr>
        <w:t>Sin embargo, en caso de que el término para presentar la acción se venza en los días en que el Despacho Judicial no se encuentre prestando sus servicios, dicho término se extenderá hasta el primer día hábil siguiente.</w:t>
      </w:r>
    </w:p>
    <w:p w14:paraId="7E290C15"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p>
    <w:p w14:paraId="07C16DE7" w14:textId="77777777" w:rsidR="00A05931" w:rsidRPr="000B2244" w:rsidRDefault="00A05931" w:rsidP="00A05931">
      <w:pPr>
        <w:pStyle w:val="Prrafodelista"/>
        <w:spacing w:line="276" w:lineRule="auto"/>
        <w:ind w:right="50"/>
        <w:contextualSpacing/>
        <w:jc w:val="both"/>
        <w:rPr>
          <w:rFonts w:ascii="Arial" w:hAnsi="Arial" w:cs="Arial"/>
          <w:color w:val="000000"/>
          <w:sz w:val="21"/>
          <w:szCs w:val="21"/>
        </w:rPr>
      </w:pPr>
      <w:r w:rsidRPr="00A43A07">
        <w:rPr>
          <w:rFonts w:ascii="Arial" w:hAnsi="Arial" w:cs="Arial"/>
          <w:b/>
          <w:bCs/>
          <w:color w:val="000000"/>
          <w:sz w:val="21"/>
          <w:szCs w:val="21"/>
        </w:rPr>
        <w:t>Lo anterior, permite concluir que ni el paro, ni la vacancia judicial interrumpen el término de caducidad para presentar la acción, pues tales circunstancias no deben ser tenidas en cuenta, salvo que dicho plazo expire dentro de éstas, caso en el cual, como ya se dijo, la acción caducaría si en el primer día hábil siguiente no se presenta la demanda</w:t>
      </w:r>
      <w:r w:rsidRPr="000B2244">
        <w:rPr>
          <w:rFonts w:ascii="Arial" w:hAnsi="Arial" w:cs="Arial"/>
          <w:color w:val="000000"/>
          <w:sz w:val="21"/>
          <w:szCs w:val="21"/>
        </w:rPr>
        <w:t>»</w:t>
      </w:r>
      <w:r>
        <w:rPr>
          <w:rStyle w:val="Refdenotaalpie"/>
          <w:rFonts w:ascii="Arial" w:hAnsi="Arial" w:cs="Arial"/>
          <w:color w:val="000000"/>
          <w:sz w:val="21"/>
          <w:szCs w:val="21"/>
        </w:rPr>
        <w:footnoteReference w:id="17"/>
      </w:r>
      <w:r>
        <w:rPr>
          <w:rFonts w:ascii="Arial" w:hAnsi="Arial" w:cs="Arial"/>
          <w:color w:val="000000"/>
          <w:sz w:val="21"/>
          <w:szCs w:val="21"/>
        </w:rPr>
        <w:t xml:space="preserve"> (negrillas de la Sala)</w:t>
      </w:r>
      <w:r w:rsidRPr="000B2244">
        <w:rPr>
          <w:rFonts w:ascii="Arial" w:hAnsi="Arial" w:cs="Arial"/>
          <w:color w:val="000000"/>
          <w:sz w:val="21"/>
          <w:szCs w:val="21"/>
        </w:rPr>
        <w:t xml:space="preserve">. </w:t>
      </w:r>
    </w:p>
    <w:p w14:paraId="22A1FC87"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p>
    <w:p w14:paraId="3B619711" w14:textId="77777777" w:rsidR="00A05931" w:rsidRPr="00EA04F0"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EA04F0">
        <w:rPr>
          <w:rFonts w:ascii="Arial" w:hAnsi="Arial" w:cs="Arial"/>
          <w:color w:val="000000"/>
          <w:sz w:val="24"/>
          <w:szCs w:val="24"/>
        </w:rPr>
        <w:t>Por su parte, en la sentencia de 4 de junio de 2021</w:t>
      </w:r>
      <w:r w:rsidRPr="00EA04F0">
        <w:rPr>
          <w:rFonts w:ascii="Arial" w:hAnsi="Arial" w:cs="Arial"/>
          <w:color w:val="000000"/>
          <w:sz w:val="24"/>
          <w:szCs w:val="24"/>
          <w:vertAlign w:val="superscript"/>
        </w:rPr>
        <w:footnoteReference w:id="18"/>
      </w:r>
      <w:r w:rsidRPr="00EA04F0">
        <w:rPr>
          <w:rFonts w:ascii="Arial" w:hAnsi="Arial" w:cs="Arial"/>
          <w:color w:val="000000"/>
          <w:sz w:val="24"/>
          <w:szCs w:val="24"/>
        </w:rPr>
        <w:t xml:space="preserve">, el Máximo Tribunal de lo contencioso-administrativo anotó lo siguiente, en relación con la suspensión del conteo del término de caducidad: </w:t>
      </w:r>
    </w:p>
    <w:p w14:paraId="29ED40B7" w14:textId="77777777" w:rsidR="00A05931" w:rsidRPr="00EA04F0" w:rsidRDefault="00A05931" w:rsidP="00A05931">
      <w:pPr>
        <w:pStyle w:val="Prrafodelista"/>
        <w:spacing w:line="276" w:lineRule="auto"/>
        <w:contextualSpacing/>
        <w:rPr>
          <w:rFonts w:ascii="Arial" w:hAnsi="Arial" w:cs="Arial"/>
          <w:color w:val="000000"/>
          <w:sz w:val="24"/>
          <w:szCs w:val="24"/>
        </w:rPr>
      </w:pPr>
    </w:p>
    <w:p w14:paraId="0DD888A5" w14:textId="77777777" w:rsidR="00A05931" w:rsidRDefault="00A05931" w:rsidP="00A05931">
      <w:pPr>
        <w:pStyle w:val="Prrafodelista"/>
        <w:spacing w:line="276" w:lineRule="auto"/>
        <w:ind w:right="50"/>
        <w:contextualSpacing/>
        <w:jc w:val="both"/>
        <w:rPr>
          <w:rFonts w:ascii="Arial" w:hAnsi="Arial" w:cs="Arial"/>
          <w:color w:val="000000"/>
          <w:sz w:val="24"/>
          <w:szCs w:val="24"/>
        </w:rPr>
      </w:pPr>
      <w:r w:rsidRPr="00EA04F0">
        <w:rPr>
          <w:rFonts w:ascii="Arial" w:hAnsi="Arial" w:cs="Arial"/>
          <w:color w:val="000000"/>
          <w:sz w:val="21"/>
          <w:szCs w:val="21"/>
        </w:rPr>
        <w:t>«Dicha figura no admite suspensión, salvo que se presente solicitud de conciliación extrajudicial en derecho, en concordancia con lo previsto por las Leyes 446 de 1998 y 640 de 2001, así como tampoco admite renuncia y, de encontrarse probada, debe ser declarada de oficio por el juez».</w:t>
      </w:r>
    </w:p>
    <w:p w14:paraId="46FEE574"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p>
    <w:p w14:paraId="3BB55FDE" w14:textId="7DC1CB49" w:rsidR="00A05931" w:rsidRPr="00EA04F0"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sidRPr="00EA04F0">
        <w:rPr>
          <w:rFonts w:ascii="Arial" w:hAnsi="Arial" w:cs="Arial"/>
          <w:color w:val="000000"/>
          <w:sz w:val="24"/>
          <w:szCs w:val="24"/>
        </w:rPr>
        <w:t>Sin perjuicio de lo anterior, en el presente caso, es pertinente evocar que el artículo 1 del Decreto 564 de 2020, «[p]</w:t>
      </w:r>
      <w:proofErr w:type="spellStart"/>
      <w:r w:rsidRPr="00EA04F0">
        <w:rPr>
          <w:rFonts w:ascii="Arial" w:hAnsi="Arial" w:cs="Arial"/>
          <w:color w:val="000000"/>
          <w:sz w:val="24"/>
          <w:szCs w:val="24"/>
        </w:rPr>
        <w:t>or</w:t>
      </w:r>
      <w:proofErr w:type="spellEnd"/>
      <w:r w:rsidRPr="00EA04F0">
        <w:rPr>
          <w:rFonts w:ascii="Arial" w:hAnsi="Arial" w:cs="Arial"/>
          <w:color w:val="000000"/>
          <w:sz w:val="24"/>
          <w:szCs w:val="24"/>
        </w:rPr>
        <w:t xml:space="preserve"> el cual se adoptan medidas para la garantía de los derechos de los usuarios del sistema de justicia, en el marco del Estado de Emergencia Económica, Social y Ecológica</w:t>
      </w:r>
      <w:r w:rsidR="004C1A85" w:rsidRPr="00EA04F0">
        <w:rPr>
          <w:rFonts w:ascii="Arial" w:hAnsi="Arial" w:cs="Arial"/>
          <w:color w:val="000000"/>
          <w:sz w:val="24"/>
          <w:szCs w:val="24"/>
        </w:rPr>
        <w:t>»</w:t>
      </w:r>
      <w:r w:rsidRPr="00EA04F0">
        <w:rPr>
          <w:rFonts w:ascii="Arial" w:hAnsi="Arial" w:cs="Arial"/>
          <w:color w:val="000000"/>
          <w:sz w:val="24"/>
          <w:szCs w:val="24"/>
        </w:rPr>
        <w:t xml:space="preserve">, dispuso ciertas medidas respecto de la suspensión de términos de prescripción y caducidad en el marco de los procesos judiciales de la siguiente manera: </w:t>
      </w:r>
    </w:p>
    <w:p w14:paraId="382BA17D" w14:textId="77777777" w:rsidR="00A05931" w:rsidRPr="0004017E" w:rsidRDefault="00A05931" w:rsidP="00A05931">
      <w:pPr>
        <w:pStyle w:val="Prrafodelista"/>
        <w:rPr>
          <w:rFonts w:ascii="Arial" w:hAnsi="Arial" w:cs="Arial"/>
          <w:color w:val="000000"/>
          <w:sz w:val="24"/>
          <w:szCs w:val="24"/>
        </w:rPr>
      </w:pPr>
    </w:p>
    <w:p w14:paraId="7CDF0A14" w14:textId="77777777" w:rsidR="00A05931" w:rsidRDefault="00A05931" w:rsidP="00A05931">
      <w:pPr>
        <w:pStyle w:val="Prrafodelista"/>
        <w:spacing w:line="276" w:lineRule="auto"/>
        <w:ind w:right="50"/>
        <w:contextualSpacing/>
        <w:jc w:val="both"/>
        <w:rPr>
          <w:rFonts w:ascii="Arial" w:hAnsi="Arial" w:cs="Arial"/>
          <w:color w:val="000000"/>
          <w:sz w:val="21"/>
          <w:szCs w:val="21"/>
        </w:rPr>
      </w:pPr>
      <w:r w:rsidRPr="00B24A44">
        <w:rPr>
          <w:rFonts w:ascii="Arial" w:hAnsi="Arial" w:cs="Arial"/>
          <w:color w:val="000000"/>
          <w:sz w:val="21"/>
          <w:szCs w:val="21"/>
        </w:rPr>
        <w:t xml:space="preserve">«ARTÍCULO 1. Suspensión de términos de prescripción y caducidad. </w:t>
      </w:r>
      <w:r w:rsidRPr="00441E19">
        <w:rPr>
          <w:rFonts w:ascii="Arial" w:hAnsi="Arial" w:cs="Arial"/>
          <w:b/>
          <w:bCs/>
          <w:color w:val="000000"/>
          <w:sz w:val="21"/>
          <w:szCs w:val="21"/>
        </w:rPr>
        <w:t>Los términos de prescripción y de caducidad</w:t>
      </w:r>
      <w:r w:rsidRPr="00B24A44">
        <w:rPr>
          <w:rFonts w:ascii="Arial" w:hAnsi="Arial" w:cs="Arial"/>
          <w:color w:val="000000"/>
          <w:sz w:val="21"/>
          <w:szCs w:val="21"/>
        </w:rPr>
        <w:t xml:space="preserve"> previstos en cualquier norma sustancial o procesal para ejercer derechos, acciones, medios de control o presentar demandas ante la Rama Judicial o ante los tribunales arbitrales, sean de días, meses o años, </w:t>
      </w:r>
      <w:r w:rsidRPr="00441E19">
        <w:rPr>
          <w:rFonts w:ascii="Arial" w:hAnsi="Arial" w:cs="Arial"/>
          <w:b/>
          <w:bCs/>
          <w:color w:val="000000"/>
          <w:sz w:val="21"/>
          <w:szCs w:val="21"/>
        </w:rPr>
        <w:t>se encuentran suspendidos desde el 16 de marzo de 2020 hasta el día que el Consejo Superior de la Judicatura disponga la reanudación de los términos judiciales</w:t>
      </w:r>
      <w:r w:rsidRPr="00B24A44">
        <w:rPr>
          <w:rFonts w:ascii="Arial" w:hAnsi="Arial" w:cs="Arial"/>
          <w:color w:val="000000"/>
          <w:sz w:val="21"/>
          <w:szCs w:val="21"/>
        </w:rPr>
        <w:t>.</w:t>
      </w:r>
    </w:p>
    <w:p w14:paraId="1392A105" w14:textId="77777777" w:rsidR="00A05931" w:rsidRDefault="00A05931" w:rsidP="00A05931">
      <w:pPr>
        <w:pStyle w:val="Prrafodelista"/>
        <w:spacing w:line="276" w:lineRule="auto"/>
        <w:ind w:right="50"/>
        <w:contextualSpacing/>
        <w:jc w:val="both"/>
        <w:rPr>
          <w:rFonts w:ascii="Arial" w:hAnsi="Arial" w:cs="Arial"/>
          <w:color w:val="000000"/>
          <w:sz w:val="21"/>
          <w:szCs w:val="21"/>
        </w:rPr>
      </w:pPr>
    </w:p>
    <w:p w14:paraId="7B380B1D" w14:textId="77777777" w:rsidR="00A05931" w:rsidRDefault="00A05931" w:rsidP="00A05931">
      <w:pPr>
        <w:pStyle w:val="Prrafodelista"/>
        <w:spacing w:line="276" w:lineRule="auto"/>
        <w:ind w:right="50"/>
        <w:contextualSpacing/>
        <w:jc w:val="both"/>
        <w:rPr>
          <w:rFonts w:ascii="Arial" w:hAnsi="Arial" w:cs="Arial"/>
          <w:color w:val="000000"/>
          <w:sz w:val="21"/>
          <w:szCs w:val="21"/>
        </w:rPr>
      </w:pPr>
      <w:r w:rsidRPr="00B24A44">
        <w:rPr>
          <w:rFonts w:ascii="Arial" w:hAnsi="Arial" w:cs="Arial"/>
          <w:color w:val="000000"/>
          <w:sz w:val="21"/>
          <w:szCs w:val="21"/>
        </w:rPr>
        <w:t>El conteo de los términos de prescripción y caducidad se reanudará a partir del día hábil siguiente a la fecha en que cese la suspensión de términos judiciales ordenada por el Consejo Superior de la Judicatura. No obstante, cuando al decretarse la suspensión de términos por dicha Corporación, el plazo que restaba para interrumpir la prescripción o hacer inoperante la caducidad era inferior a treinta (30) días, el interesado tendrá un mes contado a partir del día siguiente al levantamiento de la suspensión, para realizar oportunamente la actuación correspondiente.</w:t>
      </w:r>
    </w:p>
    <w:p w14:paraId="300F509F" w14:textId="77777777" w:rsidR="00A05931" w:rsidRDefault="00A05931" w:rsidP="00A05931">
      <w:pPr>
        <w:pStyle w:val="Prrafodelista"/>
        <w:spacing w:line="276" w:lineRule="auto"/>
        <w:ind w:right="50"/>
        <w:contextualSpacing/>
        <w:jc w:val="both"/>
        <w:rPr>
          <w:rFonts w:ascii="Arial" w:hAnsi="Arial" w:cs="Arial"/>
          <w:color w:val="000000"/>
          <w:sz w:val="21"/>
          <w:szCs w:val="21"/>
        </w:rPr>
      </w:pPr>
    </w:p>
    <w:p w14:paraId="5694AB9E" w14:textId="3502A0F2" w:rsidR="00A05931" w:rsidRPr="00B24A44" w:rsidRDefault="00A05931" w:rsidP="00A05931">
      <w:pPr>
        <w:pStyle w:val="Prrafodelista"/>
        <w:spacing w:line="276" w:lineRule="auto"/>
        <w:ind w:right="50"/>
        <w:contextualSpacing/>
        <w:jc w:val="both"/>
        <w:rPr>
          <w:rFonts w:ascii="Arial" w:hAnsi="Arial" w:cs="Arial"/>
          <w:color w:val="000000"/>
          <w:sz w:val="21"/>
          <w:szCs w:val="21"/>
          <w:lang w:val="es-CO"/>
        </w:rPr>
      </w:pPr>
      <w:r w:rsidRPr="00B24A44">
        <w:rPr>
          <w:rFonts w:ascii="Arial" w:hAnsi="Arial" w:cs="Arial"/>
          <w:color w:val="000000"/>
          <w:sz w:val="21"/>
          <w:szCs w:val="21"/>
        </w:rPr>
        <w:t>PARÁGRAFO. La suspensión de términos de prescripción y caducidad no es aplicable en materia penal</w:t>
      </w:r>
      <w:r>
        <w:rPr>
          <w:rFonts w:ascii="Arial" w:hAnsi="Arial" w:cs="Arial"/>
          <w:color w:val="000000"/>
          <w:sz w:val="21"/>
          <w:szCs w:val="21"/>
        </w:rPr>
        <w:t>»</w:t>
      </w:r>
      <w:r w:rsidR="00441E19">
        <w:rPr>
          <w:rFonts w:ascii="Arial" w:hAnsi="Arial" w:cs="Arial"/>
          <w:color w:val="000000"/>
          <w:sz w:val="21"/>
          <w:szCs w:val="21"/>
        </w:rPr>
        <w:t xml:space="preserve"> (negrillas de la Sala)</w:t>
      </w:r>
      <w:r w:rsidRPr="00B24A44">
        <w:rPr>
          <w:rFonts w:ascii="Arial" w:hAnsi="Arial" w:cs="Arial"/>
          <w:color w:val="000000"/>
          <w:sz w:val="21"/>
          <w:szCs w:val="21"/>
        </w:rPr>
        <w:t>.</w:t>
      </w:r>
    </w:p>
    <w:p w14:paraId="2088ADA8" w14:textId="77777777" w:rsidR="00A05931" w:rsidRDefault="00A05931" w:rsidP="00A05931">
      <w:pPr>
        <w:pStyle w:val="Prrafodelista"/>
        <w:spacing w:line="276" w:lineRule="auto"/>
        <w:ind w:left="0" w:right="50"/>
        <w:contextualSpacing/>
        <w:jc w:val="both"/>
        <w:rPr>
          <w:rFonts w:ascii="Arial" w:hAnsi="Arial" w:cs="Arial"/>
          <w:color w:val="000000"/>
          <w:sz w:val="24"/>
          <w:szCs w:val="24"/>
        </w:rPr>
      </w:pPr>
    </w:p>
    <w:p w14:paraId="367AD708" w14:textId="77777777" w:rsidR="00A05931" w:rsidRPr="00EA04F0" w:rsidRDefault="00A05931" w:rsidP="26A5AAD8">
      <w:pPr>
        <w:pStyle w:val="Prrafodelista"/>
        <w:numPr>
          <w:ilvl w:val="0"/>
          <w:numId w:val="8"/>
        </w:numPr>
        <w:spacing w:line="276" w:lineRule="auto"/>
        <w:ind w:left="0" w:right="50" w:firstLine="0"/>
        <w:contextualSpacing/>
        <w:jc w:val="both"/>
        <w:rPr>
          <w:rFonts w:ascii="Arial" w:hAnsi="Arial" w:cs="Arial"/>
          <w:b/>
          <w:bCs/>
          <w:color w:val="000000"/>
          <w:sz w:val="24"/>
          <w:szCs w:val="24"/>
        </w:rPr>
      </w:pPr>
      <w:r w:rsidRPr="00EA04F0">
        <w:rPr>
          <w:rFonts w:ascii="Arial" w:hAnsi="Arial" w:cs="Arial"/>
          <w:color w:val="000000" w:themeColor="text1"/>
          <w:sz w:val="24"/>
          <w:szCs w:val="24"/>
        </w:rPr>
        <w:lastRenderedPageBreak/>
        <w:t xml:space="preserve">En desarrollo de lo anterior, por motivos de salubridad pública y fuerza mayor con ocasión de la pandemia de la COVID-19, el Consejo Superior de la Judicatura suspendió los términos judiciales a partir del 16 de marzo de 2020 ―mediante Acuerdos PCSJA-11517, PCSJA20-11518, PCSJA-11519, PCSJA-11521, PCSJA20-11526, PCSJA-11527, PCSJA-11528, PCSJA-11529, PCSJA-11532, PCSJA-11546, PCSJA-11549, PCSJA-11556 y PCSJA-11567―. Solamente hasta el 27 de mayo de dicha anualidad, el Consejo Superior de la Judicatura determinó ―mediante el Acuerdo PCSJA-11581 de dicha data― que el levantamiento de términos judiciales sería efectivo a </w:t>
      </w:r>
      <w:r w:rsidRPr="00EA04F0">
        <w:rPr>
          <w:rFonts w:ascii="Arial" w:hAnsi="Arial" w:cs="Arial"/>
          <w:b/>
          <w:bCs/>
          <w:color w:val="000000" w:themeColor="text1"/>
          <w:sz w:val="24"/>
          <w:szCs w:val="24"/>
        </w:rPr>
        <w:t>partir del 1 de julio de 2020.</w:t>
      </w:r>
    </w:p>
    <w:bookmarkEnd w:id="2"/>
    <w:p w14:paraId="21980EF2" w14:textId="77777777" w:rsidR="00A05931" w:rsidRDefault="00A05931" w:rsidP="26A5AAD8">
      <w:pPr>
        <w:pStyle w:val="Prrafodelista"/>
        <w:spacing w:line="276" w:lineRule="auto"/>
        <w:ind w:left="0" w:right="50"/>
        <w:contextualSpacing/>
        <w:jc w:val="both"/>
        <w:rPr>
          <w:rFonts w:ascii="Arial" w:hAnsi="Arial" w:cs="Arial"/>
          <w:b/>
          <w:bCs/>
          <w:color w:val="000000"/>
          <w:sz w:val="24"/>
          <w:szCs w:val="24"/>
        </w:rPr>
      </w:pPr>
    </w:p>
    <w:p w14:paraId="618226DD" w14:textId="77777777" w:rsidR="00A05931" w:rsidRDefault="00A05931" w:rsidP="00A05931">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De conformidad con lo expuesto en líneas previas, la Sala arriba a las siguientes conclusiones que sirven para desatar la controversia propuesta en el recurso de apelación: </w:t>
      </w:r>
    </w:p>
    <w:p w14:paraId="5919DB07" w14:textId="77777777" w:rsidR="00A05931" w:rsidRPr="0054221D" w:rsidRDefault="00A05931" w:rsidP="00A05931">
      <w:pPr>
        <w:pStyle w:val="Prrafodelista"/>
        <w:rPr>
          <w:rFonts w:ascii="Arial" w:hAnsi="Arial" w:cs="Arial"/>
          <w:color w:val="000000"/>
          <w:sz w:val="24"/>
          <w:szCs w:val="24"/>
        </w:rPr>
      </w:pPr>
      <w:bookmarkStart w:id="3" w:name="_Hlk95927226"/>
    </w:p>
    <w:p w14:paraId="4FF48737" w14:textId="77777777" w:rsidR="00A05931" w:rsidRDefault="00A05931"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 xml:space="preserve">La caducidad es una figura jurídica que tiene por propósito evitar que las situaciones jurídicas queden indefinidas en el tiempo. Por tal razón, el legislador estableció plazos </w:t>
      </w:r>
      <w:r w:rsidRPr="006C38D2">
        <w:rPr>
          <w:rFonts w:ascii="Arial" w:hAnsi="Arial" w:cs="Arial"/>
          <w:color w:val="000000"/>
          <w:sz w:val="24"/>
          <w:szCs w:val="24"/>
          <w:lang w:val="es-ES_tradnl"/>
        </w:rPr>
        <w:t>perentorios, preclusivos</w:t>
      </w:r>
      <w:r>
        <w:rPr>
          <w:rFonts w:ascii="Arial" w:hAnsi="Arial" w:cs="Arial"/>
          <w:color w:val="000000"/>
          <w:sz w:val="24"/>
          <w:szCs w:val="24"/>
          <w:lang w:val="es-ES_tradnl"/>
        </w:rPr>
        <w:t xml:space="preserve"> e </w:t>
      </w:r>
      <w:r w:rsidRPr="006C38D2">
        <w:rPr>
          <w:rFonts w:ascii="Arial" w:hAnsi="Arial" w:cs="Arial"/>
          <w:color w:val="000000"/>
          <w:sz w:val="24"/>
          <w:szCs w:val="24"/>
          <w:lang w:val="es-ES_tradnl"/>
        </w:rPr>
        <w:t>improrrogables</w:t>
      </w:r>
      <w:r>
        <w:rPr>
          <w:rFonts w:ascii="Arial" w:hAnsi="Arial" w:cs="Arial"/>
          <w:color w:val="000000"/>
          <w:sz w:val="24"/>
          <w:szCs w:val="24"/>
          <w:lang w:val="es-ES_tradnl"/>
        </w:rPr>
        <w:t xml:space="preserve"> que constituyen normas de </w:t>
      </w:r>
      <w:r w:rsidRPr="006C38D2">
        <w:rPr>
          <w:rFonts w:ascii="Arial" w:hAnsi="Arial" w:cs="Arial"/>
          <w:color w:val="000000"/>
          <w:sz w:val="24"/>
          <w:szCs w:val="24"/>
          <w:lang w:val="es-ES_tradnl"/>
        </w:rPr>
        <w:t>orden público</w:t>
      </w:r>
      <w:r>
        <w:rPr>
          <w:rFonts w:ascii="Arial" w:hAnsi="Arial" w:cs="Arial"/>
          <w:color w:val="000000"/>
          <w:sz w:val="24"/>
          <w:szCs w:val="24"/>
          <w:lang w:val="es-ES_tradnl"/>
        </w:rPr>
        <w:t xml:space="preserve"> para ejercer el derecho de acción, so pena de que el mismo se extinga por el paso del tiempo.</w:t>
      </w:r>
    </w:p>
    <w:p w14:paraId="72F4237E" w14:textId="77777777" w:rsidR="00A05931" w:rsidRDefault="00A05931" w:rsidP="00A05931">
      <w:pPr>
        <w:pStyle w:val="Prrafodelista"/>
        <w:spacing w:line="276" w:lineRule="auto"/>
        <w:ind w:left="567" w:right="50"/>
        <w:contextualSpacing/>
        <w:jc w:val="both"/>
        <w:rPr>
          <w:rFonts w:ascii="Arial" w:hAnsi="Arial" w:cs="Arial"/>
          <w:color w:val="000000"/>
          <w:sz w:val="24"/>
          <w:szCs w:val="24"/>
        </w:rPr>
      </w:pPr>
    </w:p>
    <w:p w14:paraId="1B0282CD" w14:textId="77777777" w:rsidR="00A05931" w:rsidRPr="00987066" w:rsidRDefault="00A05931"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sidRPr="00987066">
        <w:rPr>
          <w:rFonts w:ascii="Arial" w:hAnsi="Arial" w:cs="Arial"/>
          <w:color w:val="000000"/>
          <w:sz w:val="24"/>
          <w:szCs w:val="24"/>
        </w:rPr>
        <w:t>Por regla general, el término de caducidad no se interrumpe por circunstancias externas al proceso ―tales como paros e incluso la misma vacancia judicial―. Por el contrario, dicho término sí puede llegar a ser suspendido legalmente mientras se adelant</w:t>
      </w:r>
      <w:r>
        <w:rPr>
          <w:rFonts w:ascii="Arial" w:hAnsi="Arial" w:cs="Arial"/>
          <w:color w:val="000000"/>
          <w:sz w:val="24"/>
          <w:szCs w:val="24"/>
        </w:rPr>
        <w:t>a</w:t>
      </w:r>
      <w:r w:rsidRPr="00987066">
        <w:rPr>
          <w:rFonts w:ascii="Arial" w:hAnsi="Arial" w:cs="Arial"/>
          <w:color w:val="000000"/>
          <w:sz w:val="24"/>
          <w:szCs w:val="24"/>
        </w:rPr>
        <w:t xml:space="preserve"> el trámite de la conciliación extrajudicial ante la Procuraduría General de la Nación. </w:t>
      </w:r>
    </w:p>
    <w:p w14:paraId="4A60A6D9" w14:textId="77777777" w:rsidR="00A05931" w:rsidRPr="00FF2E9A" w:rsidRDefault="00A05931" w:rsidP="00A05931">
      <w:pPr>
        <w:pStyle w:val="Prrafodelista"/>
        <w:rPr>
          <w:rFonts w:ascii="Arial" w:hAnsi="Arial" w:cs="Arial"/>
          <w:color w:val="000000"/>
          <w:sz w:val="24"/>
          <w:szCs w:val="24"/>
        </w:rPr>
      </w:pPr>
    </w:p>
    <w:p w14:paraId="78EDAB65" w14:textId="024D3BE7" w:rsidR="00A05931" w:rsidRDefault="00A05931"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L</w:t>
      </w:r>
      <w:r w:rsidRPr="00774828">
        <w:rPr>
          <w:rFonts w:ascii="Arial" w:hAnsi="Arial" w:cs="Arial"/>
          <w:color w:val="000000"/>
          <w:sz w:val="24"/>
          <w:szCs w:val="24"/>
        </w:rPr>
        <w:t>os términos establecidos en meses, como e</w:t>
      </w:r>
      <w:r w:rsidR="004C1A85">
        <w:rPr>
          <w:rFonts w:ascii="Arial" w:hAnsi="Arial" w:cs="Arial"/>
          <w:color w:val="000000"/>
          <w:sz w:val="24"/>
          <w:szCs w:val="24"/>
        </w:rPr>
        <w:t>s</w:t>
      </w:r>
      <w:r w:rsidRPr="00774828">
        <w:rPr>
          <w:rFonts w:ascii="Arial" w:hAnsi="Arial" w:cs="Arial"/>
          <w:color w:val="000000"/>
          <w:sz w:val="24"/>
          <w:szCs w:val="24"/>
        </w:rPr>
        <w:t xml:space="preserve"> el caso de la caducidad de</w:t>
      </w:r>
      <w:r>
        <w:rPr>
          <w:rFonts w:ascii="Arial" w:hAnsi="Arial" w:cs="Arial"/>
          <w:color w:val="000000"/>
          <w:sz w:val="24"/>
          <w:szCs w:val="24"/>
        </w:rPr>
        <w:t xml:space="preserve">l medio de control de </w:t>
      </w:r>
      <w:r w:rsidRPr="00774828">
        <w:rPr>
          <w:rFonts w:ascii="Arial" w:hAnsi="Arial" w:cs="Arial"/>
          <w:color w:val="000000"/>
          <w:sz w:val="24"/>
          <w:szCs w:val="24"/>
        </w:rPr>
        <w:t>nulidad y restablecimiento del derecho,</w:t>
      </w:r>
      <w:r w:rsidR="009745B9">
        <w:rPr>
          <w:rFonts w:ascii="Arial" w:hAnsi="Arial" w:cs="Arial"/>
          <w:color w:val="000000"/>
          <w:sz w:val="24"/>
          <w:szCs w:val="24"/>
        </w:rPr>
        <w:t xml:space="preserve"> debe</w:t>
      </w:r>
      <w:r w:rsidR="000221E9">
        <w:rPr>
          <w:rFonts w:ascii="Arial" w:hAnsi="Arial" w:cs="Arial"/>
          <w:color w:val="000000"/>
          <w:sz w:val="24"/>
          <w:szCs w:val="24"/>
        </w:rPr>
        <w:t>n</w:t>
      </w:r>
      <w:r w:rsidR="009745B9">
        <w:rPr>
          <w:rFonts w:ascii="Arial" w:hAnsi="Arial" w:cs="Arial"/>
          <w:color w:val="000000"/>
          <w:sz w:val="24"/>
          <w:szCs w:val="24"/>
        </w:rPr>
        <w:t xml:space="preserve"> </w:t>
      </w:r>
      <w:r w:rsidRPr="00774828">
        <w:rPr>
          <w:rFonts w:ascii="Arial" w:hAnsi="Arial" w:cs="Arial"/>
          <w:color w:val="000000"/>
          <w:sz w:val="24"/>
          <w:szCs w:val="24"/>
        </w:rPr>
        <w:t>ser contabilizados en días calendario</w:t>
      </w:r>
      <w:r w:rsidR="009745B9">
        <w:rPr>
          <w:rFonts w:ascii="Arial" w:hAnsi="Arial" w:cs="Arial"/>
          <w:color w:val="000000"/>
          <w:sz w:val="24"/>
          <w:szCs w:val="24"/>
        </w:rPr>
        <w:t xml:space="preserve"> </w:t>
      </w:r>
      <w:r w:rsidRPr="00774828">
        <w:rPr>
          <w:rFonts w:ascii="Arial" w:hAnsi="Arial" w:cs="Arial"/>
          <w:color w:val="000000"/>
          <w:sz w:val="24"/>
          <w:szCs w:val="24"/>
        </w:rPr>
        <w:t>d</w:t>
      </w:r>
      <w:r w:rsidR="00122B8E">
        <w:rPr>
          <w:rFonts w:ascii="Arial" w:hAnsi="Arial" w:cs="Arial"/>
          <w:color w:val="000000"/>
          <w:sz w:val="24"/>
          <w:szCs w:val="24"/>
        </w:rPr>
        <w:t>e</w:t>
      </w:r>
      <w:r w:rsidRPr="00774828">
        <w:rPr>
          <w:rFonts w:ascii="Arial" w:hAnsi="Arial" w:cs="Arial"/>
          <w:color w:val="000000"/>
          <w:sz w:val="24"/>
          <w:szCs w:val="24"/>
        </w:rPr>
        <w:t xml:space="preserve"> tal forma que, en principio, no deben excluirse los días no hábiles. </w:t>
      </w:r>
      <w:r>
        <w:rPr>
          <w:rFonts w:ascii="Arial" w:hAnsi="Arial" w:cs="Arial"/>
          <w:color w:val="000000"/>
          <w:sz w:val="24"/>
          <w:szCs w:val="24"/>
        </w:rPr>
        <w:t>No obstante</w:t>
      </w:r>
      <w:r w:rsidRPr="00774828">
        <w:rPr>
          <w:rFonts w:ascii="Arial" w:hAnsi="Arial" w:cs="Arial"/>
          <w:color w:val="000000"/>
          <w:sz w:val="24"/>
          <w:szCs w:val="24"/>
        </w:rPr>
        <w:t xml:space="preserve">, cuando aquel término </w:t>
      </w:r>
      <w:r>
        <w:rPr>
          <w:rFonts w:ascii="Arial" w:hAnsi="Arial" w:cs="Arial"/>
          <w:color w:val="000000"/>
          <w:sz w:val="24"/>
          <w:szCs w:val="24"/>
        </w:rPr>
        <w:t xml:space="preserve">fenece </w:t>
      </w:r>
      <w:r w:rsidRPr="00774828">
        <w:rPr>
          <w:rFonts w:ascii="Arial" w:hAnsi="Arial" w:cs="Arial"/>
          <w:color w:val="000000"/>
          <w:sz w:val="24"/>
          <w:szCs w:val="24"/>
        </w:rPr>
        <w:t>en día no hábil</w:t>
      </w:r>
      <w:r>
        <w:rPr>
          <w:rFonts w:ascii="Arial" w:hAnsi="Arial" w:cs="Arial"/>
          <w:color w:val="000000"/>
          <w:sz w:val="24"/>
          <w:szCs w:val="24"/>
        </w:rPr>
        <w:t xml:space="preserve">, este </w:t>
      </w:r>
      <w:r w:rsidRPr="00774828">
        <w:rPr>
          <w:rFonts w:ascii="Arial" w:hAnsi="Arial" w:cs="Arial"/>
          <w:color w:val="000000"/>
          <w:sz w:val="24"/>
          <w:szCs w:val="24"/>
        </w:rPr>
        <w:t>se extiende hasta el primer día hábil siguiente</w:t>
      </w:r>
      <w:r>
        <w:rPr>
          <w:rFonts w:ascii="Arial" w:hAnsi="Arial" w:cs="Arial"/>
          <w:color w:val="000000"/>
          <w:sz w:val="24"/>
          <w:szCs w:val="24"/>
        </w:rPr>
        <w:t xml:space="preserve">. </w:t>
      </w:r>
    </w:p>
    <w:p w14:paraId="50D5365B" w14:textId="77777777" w:rsidR="00A05931" w:rsidRPr="00481625" w:rsidRDefault="00A05931" w:rsidP="00A05931">
      <w:pPr>
        <w:pStyle w:val="Prrafodelista"/>
        <w:rPr>
          <w:rFonts w:ascii="Arial" w:hAnsi="Arial" w:cs="Arial"/>
          <w:color w:val="000000"/>
          <w:sz w:val="24"/>
          <w:szCs w:val="24"/>
        </w:rPr>
      </w:pPr>
    </w:p>
    <w:p w14:paraId="1E9313DB" w14:textId="77777777" w:rsidR="00A05931" w:rsidRDefault="00A05931"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E</w:t>
      </w:r>
      <w:r w:rsidRPr="00481625">
        <w:rPr>
          <w:rFonts w:ascii="Arial" w:hAnsi="Arial" w:cs="Arial"/>
          <w:color w:val="000000"/>
          <w:sz w:val="24"/>
          <w:szCs w:val="24"/>
        </w:rPr>
        <w:t>n el marco del Estado de Emergencia Económica, Social y Ecológica</w:t>
      </w:r>
      <w:r>
        <w:rPr>
          <w:rFonts w:ascii="Arial" w:hAnsi="Arial" w:cs="Arial"/>
          <w:color w:val="000000"/>
          <w:sz w:val="24"/>
          <w:szCs w:val="24"/>
        </w:rPr>
        <w:t xml:space="preserve"> que fue declarado por el Gobierno Nacional, en razón de la pandemia causada por la COVID-19, el legislador extraordinario dispuso que l</w:t>
      </w:r>
      <w:r w:rsidRPr="004746E2">
        <w:rPr>
          <w:rFonts w:ascii="Arial" w:hAnsi="Arial" w:cs="Arial"/>
          <w:color w:val="000000"/>
          <w:sz w:val="24"/>
          <w:szCs w:val="24"/>
        </w:rPr>
        <w:t xml:space="preserve">os términos de prescripción y de caducidad para ejercer derechos, acciones, medios de control o presentar demandas ante la Rama Judicial </w:t>
      </w:r>
      <w:r>
        <w:rPr>
          <w:rFonts w:ascii="Arial" w:hAnsi="Arial" w:cs="Arial"/>
          <w:color w:val="000000"/>
          <w:sz w:val="24"/>
          <w:szCs w:val="24"/>
        </w:rPr>
        <w:t>se suspenderían desde el 16 de marzo, «</w:t>
      </w:r>
      <w:r w:rsidRPr="004746E2">
        <w:rPr>
          <w:rFonts w:ascii="Arial" w:hAnsi="Arial" w:cs="Arial"/>
          <w:color w:val="000000"/>
          <w:sz w:val="24"/>
          <w:szCs w:val="24"/>
        </w:rPr>
        <w:t xml:space="preserve">hasta el día que el Consejo Superior de la Judicatura </w:t>
      </w:r>
      <w:proofErr w:type="spellStart"/>
      <w:r>
        <w:rPr>
          <w:rFonts w:ascii="Arial" w:hAnsi="Arial" w:cs="Arial"/>
          <w:color w:val="000000"/>
          <w:sz w:val="24"/>
          <w:szCs w:val="24"/>
        </w:rPr>
        <w:t>disp</w:t>
      </w:r>
      <w:proofErr w:type="spellEnd"/>
      <w:r>
        <w:rPr>
          <w:rFonts w:ascii="Arial" w:hAnsi="Arial" w:cs="Arial"/>
          <w:color w:val="000000"/>
          <w:sz w:val="24"/>
          <w:szCs w:val="24"/>
        </w:rPr>
        <w:t>[</w:t>
      </w:r>
      <w:proofErr w:type="spellStart"/>
      <w:r>
        <w:rPr>
          <w:rFonts w:ascii="Arial" w:hAnsi="Arial" w:cs="Arial"/>
          <w:color w:val="000000"/>
          <w:sz w:val="24"/>
          <w:szCs w:val="24"/>
        </w:rPr>
        <w:t>usiera</w:t>
      </w:r>
      <w:proofErr w:type="spellEnd"/>
      <w:r>
        <w:rPr>
          <w:rFonts w:ascii="Arial" w:hAnsi="Arial" w:cs="Arial"/>
          <w:color w:val="000000"/>
          <w:sz w:val="24"/>
          <w:szCs w:val="24"/>
        </w:rPr>
        <w:t xml:space="preserve">] </w:t>
      </w:r>
      <w:r w:rsidRPr="004746E2">
        <w:rPr>
          <w:rFonts w:ascii="Arial" w:hAnsi="Arial" w:cs="Arial"/>
          <w:color w:val="000000"/>
          <w:sz w:val="24"/>
          <w:szCs w:val="24"/>
        </w:rPr>
        <w:t>la reanudación de los términos judiciales</w:t>
      </w:r>
      <w:r>
        <w:rPr>
          <w:rFonts w:ascii="Arial" w:hAnsi="Arial" w:cs="Arial"/>
          <w:color w:val="000000"/>
          <w:sz w:val="24"/>
          <w:szCs w:val="24"/>
        </w:rPr>
        <w:t>»</w:t>
      </w:r>
      <w:r w:rsidRPr="004746E2">
        <w:rPr>
          <w:rFonts w:ascii="Arial" w:hAnsi="Arial" w:cs="Arial"/>
          <w:color w:val="000000"/>
          <w:sz w:val="24"/>
          <w:szCs w:val="24"/>
        </w:rPr>
        <w:t>.</w:t>
      </w:r>
    </w:p>
    <w:p w14:paraId="0B6D8763" w14:textId="77777777" w:rsidR="00A05931" w:rsidRPr="00FD2C86" w:rsidRDefault="00A05931" w:rsidP="00A05931">
      <w:pPr>
        <w:pStyle w:val="Prrafodelista"/>
        <w:rPr>
          <w:rFonts w:ascii="Arial" w:hAnsi="Arial" w:cs="Arial"/>
          <w:color w:val="000000"/>
          <w:sz w:val="24"/>
          <w:szCs w:val="24"/>
        </w:rPr>
      </w:pPr>
    </w:p>
    <w:p w14:paraId="769EDFF1" w14:textId="434981F4" w:rsidR="000C109E" w:rsidRPr="00EA04F0" w:rsidRDefault="00A05931"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sidRPr="00EA04F0">
        <w:rPr>
          <w:rFonts w:ascii="Arial" w:hAnsi="Arial" w:cs="Arial"/>
          <w:color w:val="000000"/>
          <w:sz w:val="24"/>
          <w:szCs w:val="24"/>
        </w:rPr>
        <w:t>En virtud de los diferentes acuerdos expedidos por el Consejo Superior de la Judicatura, los términos judiciales estuvieron suspendidos desde el 16 de marzo de 2020 hasta el 30 de junio de 2020, reanudándose los mismos a partir del 1 de julio de dicha anualidad</w:t>
      </w:r>
      <w:r w:rsidR="004B0FF3" w:rsidRPr="00EA04F0">
        <w:rPr>
          <w:rFonts w:ascii="Arial" w:hAnsi="Arial" w:cs="Arial"/>
          <w:color w:val="000000"/>
          <w:sz w:val="24"/>
          <w:szCs w:val="24"/>
        </w:rPr>
        <w:t>.</w:t>
      </w:r>
      <w:r w:rsidR="005B2DAA" w:rsidRPr="00EA04F0">
        <w:rPr>
          <w:rFonts w:ascii="Arial" w:hAnsi="Arial" w:cs="Arial"/>
          <w:color w:val="000000"/>
          <w:sz w:val="24"/>
          <w:szCs w:val="24"/>
        </w:rPr>
        <w:t xml:space="preserve"> </w:t>
      </w:r>
    </w:p>
    <w:p w14:paraId="26BCCE25" w14:textId="77777777" w:rsidR="000221E9" w:rsidRPr="000221E9" w:rsidRDefault="000221E9" w:rsidP="000221E9">
      <w:pPr>
        <w:pStyle w:val="Prrafodelista"/>
        <w:rPr>
          <w:rFonts w:ascii="Arial" w:hAnsi="Arial" w:cs="Arial"/>
          <w:color w:val="000000"/>
          <w:sz w:val="24"/>
          <w:szCs w:val="24"/>
        </w:rPr>
      </w:pPr>
    </w:p>
    <w:p w14:paraId="760B3352" w14:textId="68AAA27A" w:rsidR="000221E9" w:rsidRDefault="000221E9" w:rsidP="00A05931">
      <w:pPr>
        <w:pStyle w:val="Prrafodelista"/>
        <w:numPr>
          <w:ilvl w:val="1"/>
          <w:numId w:val="8"/>
        </w:numPr>
        <w:spacing w:line="276" w:lineRule="auto"/>
        <w:ind w:left="567" w:right="50" w:firstLine="0"/>
        <w:contextualSpacing/>
        <w:jc w:val="both"/>
        <w:rPr>
          <w:rFonts w:ascii="Arial" w:hAnsi="Arial" w:cs="Arial"/>
          <w:color w:val="000000"/>
          <w:sz w:val="24"/>
          <w:szCs w:val="24"/>
        </w:rPr>
      </w:pPr>
      <w:r w:rsidRPr="000221E9">
        <w:rPr>
          <w:rFonts w:ascii="Arial" w:hAnsi="Arial" w:cs="Arial"/>
          <w:color w:val="000000"/>
          <w:sz w:val="24"/>
          <w:szCs w:val="24"/>
        </w:rPr>
        <w:lastRenderedPageBreak/>
        <w:t xml:space="preserve">Cuando se pretenda la nulidad o la nulidad y restablecimiento del derecho de los actos previos a la celebración del contrato, el término </w:t>
      </w:r>
      <w:r w:rsidR="00F85E53">
        <w:rPr>
          <w:rFonts w:ascii="Arial" w:hAnsi="Arial" w:cs="Arial"/>
          <w:color w:val="000000"/>
          <w:sz w:val="24"/>
          <w:szCs w:val="24"/>
        </w:rPr>
        <w:t xml:space="preserve">de caducidad es </w:t>
      </w:r>
      <w:r w:rsidRPr="000221E9">
        <w:rPr>
          <w:rFonts w:ascii="Arial" w:hAnsi="Arial" w:cs="Arial"/>
          <w:color w:val="000000"/>
          <w:sz w:val="24"/>
          <w:szCs w:val="24"/>
        </w:rPr>
        <w:t>de cuatro (4) meses contados a partir del día siguiente a su comunicación, notificación, ejecución o publicación</w:t>
      </w:r>
      <w:r w:rsidR="00F85E53">
        <w:rPr>
          <w:rFonts w:ascii="Arial" w:hAnsi="Arial" w:cs="Arial"/>
          <w:color w:val="000000"/>
          <w:sz w:val="24"/>
          <w:szCs w:val="24"/>
        </w:rPr>
        <w:t xml:space="preserve"> del acto demandado.</w:t>
      </w:r>
    </w:p>
    <w:bookmarkEnd w:id="3"/>
    <w:p w14:paraId="4FB97E71" w14:textId="72A68700" w:rsidR="004B0FF3" w:rsidRPr="009B6798" w:rsidRDefault="004B0FF3" w:rsidP="004B0FF3">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Caso concreto</w:t>
      </w:r>
    </w:p>
    <w:p w14:paraId="1A34A320" w14:textId="77777777" w:rsidR="004B0FF3" w:rsidRPr="009B6798" w:rsidRDefault="004B0FF3" w:rsidP="004B0FF3">
      <w:pPr>
        <w:pStyle w:val="Prrafodelista"/>
        <w:spacing w:line="276" w:lineRule="auto"/>
        <w:ind w:left="0" w:right="50"/>
        <w:contextualSpacing/>
        <w:jc w:val="both"/>
        <w:rPr>
          <w:rFonts w:ascii="Arial" w:hAnsi="Arial" w:cs="Arial"/>
          <w:color w:val="000000"/>
          <w:sz w:val="24"/>
          <w:szCs w:val="24"/>
        </w:rPr>
      </w:pPr>
    </w:p>
    <w:p w14:paraId="5131A671" w14:textId="5E34EEA7" w:rsidR="004B0FF3" w:rsidRDefault="004B0FF3" w:rsidP="004B0FF3">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En el caso de marras, una vez revisado el expediente y efectuadas las consultas del caso en el aplicativo SAMAI, la Sala encuentra acreditado lo siguiente: </w:t>
      </w:r>
    </w:p>
    <w:p w14:paraId="78CB0F05" w14:textId="77777777" w:rsidR="004B0FF3" w:rsidRDefault="004B0FF3" w:rsidP="004B0FF3">
      <w:pPr>
        <w:pStyle w:val="Prrafodelista"/>
        <w:spacing w:line="276" w:lineRule="auto"/>
        <w:ind w:left="0" w:right="50"/>
        <w:contextualSpacing/>
        <w:jc w:val="both"/>
        <w:rPr>
          <w:rFonts w:ascii="Arial" w:hAnsi="Arial" w:cs="Arial"/>
          <w:color w:val="000000"/>
          <w:sz w:val="24"/>
          <w:szCs w:val="24"/>
        </w:rPr>
      </w:pPr>
    </w:p>
    <w:p w14:paraId="210C2815" w14:textId="4B522DF3"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La ESE Salud del Tundama adelantó el proceso de selección No. 007 de 2020 cuyo objeto fue la escogencia de un contratista para el suministro de elementos de aseo y limpieza hospitalaria</w:t>
      </w:r>
      <w:r>
        <w:rPr>
          <w:rStyle w:val="Refdenotaalpie"/>
          <w:rFonts w:ascii="Arial" w:hAnsi="Arial" w:cs="Arial"/>
          <w:color w:val="000000"/>
          <w:sz w:val="24"/>
          <w:szCs w:val="24"/>
        </w:rPr>
        <w:footnoteReference w:id="19"/>
      </w:r>
      <w:r>
        <w:rPr>
          <w:rFonts w:ascii="Arial" w:hAnsi="Arial" w:cs="Arial"/>
          <w:color w:val="000000"/>
          <w:sz w:val="24"/>
          <w:szCs w:val="24"/>
        </w:rPr>
        <w:t>.</w:t>
      </w:r>
    </w:p>
    <w:p w14:paraId="6A6A6B71" w14:textId="77777777" w:rsidR="004B0FF3" w:rsidRDefault="004B0FF3" w:rsidP="004B0FF3">
      <w:pPr>
        <w:pStyle w:val="Prrafodelista"/>
        <w:spacing w:line="276" w:lineRule="auto"/>
        <w:ind w:left="567" w:right="50"/>
        <w:contextualSpacing/>
        <w:jc w:val="both"/>
        <w:rPr>
          <w:rFonts w:ascii="Arial" w:hAnsi="Arial" w:cs="Arial"/>
          <w:color w:val="000000"/>
          <w:sz w:val="24"/>
          <w:szCs w:val="24"/>
        </w:rPr>
      </w:pPr>
    </w:p>
    <w:p w14:paraId="0FA8C8A3"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sidRPr="26A5AAD8">
        <w:rPr>
          <w:rFonts w:ascii="Arial" w:hAnsi="Arial" w:cs="Arial"/>
          <w:b/>
          <w:bCs/>
          <w:color w:val="000000"/>
          <w:sz w:val="24"/>
          <w:szCs w:val="24"/>
        </w:rPr>
        <w:t>El 19 de marzo de 2020</w:t>
      </w:r>
      <w:r>
        <w:rPr>
          <w:rFonts w:ascii="Arial" w:hAnsi="Arial" w:cs="Arial"/>
          <w:color w:val="000000"/>
          <w:sz w:val="24"/>
          <w:szCs w:val="24"/>
        </w:rPr>
        <w:t>, se realizó la audiencia de subasta inversa del proceso de selección No. 007 de 2020 en la cual la entidad contratante resolvió declarar desierto el proceso</w:t>
      </w:r>
      <w:r>
        <w:rPr>
          <w:rStyle w:val="Refdenotaalpie"/>
          <w:rFonts w:ascii="Arial" w:hAnsi="Arial" w:cs="Arial"/>
          <w:color w:val="000000"/>
          <w:sz w:val="24"/>
          <w:szCs w:val="24"/>
        </w:rPr>
        <w:footnoteReference w:id="20"/>
      </w:r>
      <w:r>
        <w:rPr>
          <w:rFonts w:ascii="Arial" w:hAnsi="Arial" w:cs="Arial"/>
          <w:color w:val="000000"/>
          <w:sz w:val="24"/>
          <w:szCs w:val="24"/>
        </w:rPr>
        <w:t>.</w:t>
      </w:r>
    </w:p>
    <w:p w14:paraId="5925CEFC" w14:textId="77777777" w:rsidR="004B0FF3" w:rsidRPr="002F084E" w:rsidRDefault="004B0FF3" w:rsidP="004B0FF3">
      <w:pPr>
        <w:pStyle w:val="Prrafodelista"/>
        <w:rPr>
          <w:rFonts w:ascii="Arial" w:hAnsi="Arial" w:cs="Arial"/>
          <w:color w:val="000000"/>
          <w:sz w:val="24"/>
          <w:szCs w:val="24"/>
        </w:rPr>
      </w:pPr>
    </w:p>
    <w:p w14:paraId="1A82751D"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bookmarkStart w:id="4" w:name="_Hlk95927581"/>
      <w:r>
        <w:rPr>
          <w:rFonts w:ascii="Arial" w:hAnsi="Arial" w:cs="Arial"/>
          <w:color w:val="000000"/>
          <w:sz w:val="24"/>
          <w:szCs w:val="24"/>
        </w:rPr>
        <w:t>El mismo 19 de marzo de 2020, la ESE Salud del Tundama expidió el acto administrativo demandado, a saber, la Resolución No. 232, «POR MEDIO DE LA CUAL SE DECLARA DESIERTA LA SUBASTA INVERSA NO. 007 DE 2020 (…)»</w:t>
      </w:r>
      <w:r>
        <w:rPr>
          <w:rStyle w:val="Refdenotaalpie"/>
          <w:rFonts w:ascii="Arial" w:hAnsi="Arial" w:cs="Arial"/>
          <w:color w:val="000000"/>
          <w:sz w:val="24"/>
          <w:szCs w:val="24"/>
        </w:rPr>
        <w:footnoteReference w:id="21"/>
      </w:r>
      <w:r>
        <w:rPr>
          <w:rFonts w:ascii="Arial" w:hAnsi="Arial" w:cs="Arial"/>
          <w:color w:val="000000"/>
          <w:sz w:val="24"/>
          <w:szCs w:val="24"/>
        </w:rPr>
        <w:t xml:space="preserve">. </w:t>
      </w:r>
    </w:p>
    <w:p w14:paraId="19D38BAA" w14:textId="77777777" w:rsidR="004B0FF3" w:rsidRPr="004D73FD" w:rsidRDefault="004B0FF3" w:rsidP="004B0FF3">
      <w:pPr>
        <w:pStyle w:val="Prrafodelista"/>
        <w:rPr>
          <w:rFonts w:ascii="Arial" w:hAnsi="Arial" w:cs="Arial"/>
          <w:color w:val="000000"/>
          <w:sz w:val="24"/>
          <w:szCs w:val="24"/>
        </w:rPr>
      </w:pPr>
    </w:p>
    <w:p w14:paraId="63A1C016"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Según lo hizo constar la Gerente de la entidad demandada, dicho acto administrativo fue publicado en debida forma el mismo día de su expedición, es decir, el 19 de marzo de 2020</w:t>
      </w:r>
      <w:r>
        <w:rPr>
          <w:rStyle w:val="Refdenotaalpie"/>
          <w:rFonts w:ascii="Arial" w:hAnsi="Arial" w:cs="Arial"/>
          <w:color w:val="000000"/>
          <w:sz w:val="24"/>
          <w:szCs w:val="24"/>
        </w:rPr>
        <w:footnoteReference w:id="22"/>
      </w:r>
      <w:r>
        <w:rPr>
          <w:rFonts w:ascii="Arial" w:hAnsi="Arial" w:cs="Arial"/>
          <w:color w:val="000000"/>
          <w:sz w:val="24"/>
          <w:szCs w:val="24"/>
        </w:rPr>
        <w:t xml:space="preserve">. </w:t>
      </w:r>
    </w:p>
    <w:p w14:paraId="4F530932" w14:textId="77777777" w:rsidR="004B0FF3" w:rsidRPr="00EF79C0" w:rsidRDefault="004B0FF3" w:rsidP="004B0FF3">
      <w:pPr>
        <w:pStyle w:val="Prrafodelista"/>
        <w:rPr>
          <w:rFonts w:ascii="Arial" w:hAnsi="Arial" w:cs="Arial"/>
          <w:color w:val="000000"/>
          <w:sz w:val="24"/>
          <w:szCs w:val="24"/>
        </w:rPr>
      </w:pPr>
    </w:p>
    <w:p w14:paraId="3F94B102"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En contra de la anterior determinación, el señor Gilberto Hernández Merchán interpuso recurso de reposición en el cual solicitó reconsiderar la decisión de declarar desierto el proceso de selección</w:t>
      </w:r>
      <w:r>
        <w:rPr>
          <w:rStyle w:val="Refdenotaalpie"/>
          <w:rFonts w:ascii="Arial" w:hAnsi="Arial" w:cs="Arial"/>
          <w:color w:val="000000"/>
          <w:sz w:val="24"/>
          <w:szCs w:val="24"/>
        </w:rPr>
        <w:footnoteReference w:id="23"/>
      </w:r>
      <w:r>
        <w:rPr>
          <w:rFonts w:ascii="Arial" w:hAnsi="Arial" w:cs="Arial"/>
          <w:color w:val="000000"/>
          <w:sz w:val="24"/>
          <w:szCs w:val="24"/>
        </w:rPr>
        <w:t>.</w:t>
      </w:r>
    </w:p>
    <w:p w14:paraId="46577E81" w14:textId="77777777" w:rsidR="004B0FF3" w:rsidRPr="00CC70B7" w:rsidRDefault="004B0FF3" w:rsidP="004B0FF3">
      <w:pPr>
        <w:pStyle w:val="Prrafodelista"/>
        <w:rPr>
          <w:rFonts w:ascii="Arial" w:hAnsi="Arial" w:cs="Arial"/>
          <w:color w:val="000000"/>
          <w:sz w:val="24"/>
          <w:szCs w:val="24"/>
        </w:rPr>
      </w:pPr>
    </w:p>
    <w:p w14:paraId="259D0078"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 xml:space="preserve">Posteriormente, la ESE Salud del Tundama expidió la Resolución </w:t>
      </w:r>
      <w:r w:rsidRPr="26A5AAD8">
        <w:rPr>
          <w:rFonts w:ascii="Arial" w:hAnsi="Arial" w:cs="Arial"/>
          <w:b/>
          <w:bCs/>
          <w:color w:val="000000"/>
          <w:sz w:val="24"/>
          <w:szCs w:val="24"/>
        </w:rPr>
        <w:t>No. 338 de 13 de abril de 2020</w:t>
      </w:r>
      <w:r>
        <w:rPr>
          <w:rFonts w:ascii="Arial" w:hAnsi="Arial" w:cs="Arial"/>
          <w:color w:val="000000"/>
          <w:sz w:val="24"/>
          <w:szCs w:val="24"/>
        </w:rPr>
        <w:t>, «POR LA CUAL SE RESUELVE EL RECURSO DE REPOSICIÓN INTERPUESTO POR EL SEÑOR GILBERTO HERNÁNDEZ MERCHÁN FRENTE A LA RESOLUCIÓN NO. 232 DE MARZO 19 DE 2020 (…)»; acto administrativo que decidió despachar negativamente el mismo</w:t>
      </w:r>
      <w:r>
        <w:rPr>
          <w:rStyle w:val="Refdenotaalpie"/>
          <w:rFonts w:ascii="Arial" w:hAnsi="Arial" w:cs="Arial"/>
          <w:color w:val="000000"/>
          <w:sz w:val="24"/>
          <w:szCs w:val="24"/>
        </w:rPr>
        <w:footnoteReference w:id="24"/>
      </w:r>
      <w:r>
        <w:rPr>
          <w:rFonts w:ascii="Arial" w:hAnsi="Arial" w:cs="Arial"/>
          <w:color w:val="000000"/>
          <w:sz w:val="24"/>
          <w:szCs w:val="24"/>
        </w:rPr>
        <w:t xml:space="preserve">. </w:t>
      </w:r>
    </w:p>
    <w:bookmarkEnd w:id="4"/>
    <w:p w14:paraId="1327BAC3" w14:textId="77777777" w:rsidR="004B0FF3" w:rsidRPr="00D80D1B" w:rsidRDefault="004B0FF3" w:rsidP="004B0FF3">
      <w:pPr>
        <w:pStyle w:val="Prrafodelista"/>
        <w:rPr>
          <w:rFonts w:ascii="Arial" w:hAnsi="Arial" w:cs="Arial"/>
          <w:color w:val="000000"/>
          <w:sz w:val="24"/>
          <w:szCs w:val="24"/>
        </w:rPr>
      </w:pPr>
    </w:p>
    <w:p w14:paraId="1C923C62" w14:textId="3090C1C8" w:rsidR="007802A2" w:rsidRDefault="007802A2"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lastRenderedPageBreak/>
        <w:t xml:space="preserve">Según constancia suscrita por el Procurador 178 Judicial I para Asuntos Administrativos, el señor </w:t>
      </w:r>
      <w:r w:rsidRPr="26A5AAD8">
        <w:rPr>
          <w:rFonts w:ascii="Arial" w:hAnsi="Arial" w:cs="Arial"/>
          <w:b/>
          <w:bCs/>
          <w:color w:val="000000"/>
          <w:sz w:val="24"/>
          <w:szCs w:val="24"/>
        </w:rPr>
        <w:t>Gilberto Hernández Merchán</w:t>
      </w:r>
      <w:r>
        <w:rPr>
          <w:rFonts w:ascii="Arial" w:hAnsi="Arial" w:cs="Arial"/>
          <w:color w:val="000000"/>
          <w:sz w:val="24"/>
          <w:szCs w:val="24"/>
        </w:rPr>
        <w:t xml:space="preserve"> presentó solicitud de conciliación extrajudicial el </w:t>
      </w:r>
      <w:r w:rsidRPr="26A5AAD8">
        <w:rPr>
          <w:rFonts w:ascii="Arial" w:hAnsi="Arial" w:cs="Arial"/>
          <w:b/>
          <w:bCs/>
          <w:color w:val="000000"/>
          <w:sz w:val="24"/>
          <w:szCs w:val="24"/>
        </w:rPr>
        <w:t>3 de agosto de 2020</w:t>
      </w:r>
      <w:r>
        <w:rPr>
          <w:rFonts w:ascii="Arial" w:hAnsi="Arial" w:cs="Arial"/>
          <w:color w:val="000000"/>
          <w:sz w:val="24"/>
          <w:szCs w:val="24"/>
        </w:rPr>
        <w:t>; convocando</w:t>
      </w:r>
      <w:r w:rsidR="00AC5610">
        <w:rPr>
          <w:rFonts w:ascii="Arial" w:hAnsi="Arial" w:cs="Arial"/>
          <w:color w:val="000000"/>
          <w:sz w:val="24"/>
          <w:szCs w:val="24"/>
        </w:rPr>
        <w:t xml:space="preserve"> </w:t>
      </w:r>
      <w:r>
        <w:rPr>
          <w:rFonts w:ascii="Arial" w:hAnsi="Arial" w:cs="Arial"/>
          <w:color w:val="000000"/>
          <w:sz w:val="24"/>
          <w:szCs w:val="24"/>
        </w:rPr>
        <w:t>a la ESE Salud del Tundama</w:t>
      </w:r>
      <w:r w:rsidR="007A39F9">
        <w:rPr>
          <w:rStyle w:val="Refdenotaalpie"/>
          <w:rFonts w:ascii="Arial" w:hAnsi="Arial" w:cs="Arial"/>
          <w:color w:val="000000"/>
          <w:sz w:val="24"/>
          <w:szCs w:val="24"/>
        </w:rPr>
        <w:footnoteReference w:id="25"/>
      </w:r>
      <w:r w:rsidR="007A39F9">
        <w:rPr>
          <w:rFonts w:ascii="Arial" w:hAnsi="Arial" w:cs="Arial"/>
          <w:color w:val="000000"/>
          <w:sz w:val="24"/>
          <w:szCs w:val="24"/>
        </w:rPr>
        <w:t xml:space="preserve">. El anterior trámite </w:t>
      </w:r>
      <w:r w:rsidR="00AC5610">
        <w:rPr>
          <w:rFonts w:ascii="Arial" w:hAnsi="Arial" w:cs="Arial"/>
          <w:color w:val="000000"/>
          <w:sz w:val="24"/>
          <w:szCs w:val="24"/>
        </w:rPr>
        <w:t xml:space="preserve">se agotó el </w:t>
      </w:r>
      <w:r w:rsidR="00AC5610" w:rsidRPr="26A5AAD8">
        <w:rPr>
          <w:rFonts w:ascii="Arial" w:hAnsi="Arial" w:cs="Arial"/>
          <w:b/>
          <w:bCs/>
          <w:color w:val="000000"/>
          <w:sz w:val="24"/>
          <w:szCs w:val="24"/>
        </w:rPr>
        <w:t>26 de octubre de 2020</w:t>
      </w:r>
      <w:r w:rsidR="00AC5610">
        <w:rPr>
          <w:rFonts w:ascii="Arial" w:hAnsi="Arial" w:cs="Arial"/>
          <w:color w:val="000000"/>
          <w:sz w:val="24"/>
          <w:szCs w:val="24"/>
        </w:rPr>
        <w:t xml:space="preserve">, al no existir ánimo conciliatorio por parte </w:t>
      </w:r>
      <w:r w:rsidR="00D803E9">
        <w:rPr>
          <w:rFonts w:ascii="Arial" w:hAnsi="Arial" w:cs="Arial"/>
          <w:color w:val="000000"/>
          <w:sz w:val="24"/>
          <w:szCs w:val="24"/>
        </w:rPr>
        <w:t>del extremo pasivo de la contienda</w:t>
      </w:r>
      <w:r w:rsidR="00AC5610">
        <w:rPr>
          <w:rFonts w:ascii="Arial" w:hAnsi="Arial" w:cs="Arial"/>
          <w:color w:val="000000"/>
          <w:sz w:val="24"/>
          <w:szCs w:val="24"/>
        </w:rPr>
        <w:t>, agotándose</w:t>
      </w:r>
      <w:r w:rsidR="00D803E9">
        <w:rPr>
          <w:rFonts w:ascii="Arial" w:hAnsi="Arial" w:cs="Arial"/>
          <w:color w:val="000000"/>
          <w:sz w:val="24"/>
          <w:szCs w:val="24"/>
        </w:rPr>
        <w:t xml:space="preserve"> entonces el requisito de procedibilidad y expidiéndose, en la misma data, la respectiva certificación</w:t>
      </w:r>
      <w:r w:rsidR="00D803E9">
        <w:rPr>
          <w:rStyle w:val="Refdenotaalpie"/>
          <w:rFonts w:ascii="Arial" w:hAnsi="Arial" w:cs="Arial"/>
          <w:color w:val="000000"/>
          <w:sz w:val="24"/>
          <w:szCs w:val="24"/>
        </w:rPr>
        <w:footnoteReference w:id="26"/>
      </w:r>
      <w:r w:rsidR="00D803E9">
        <w:rPr>
          <w:rFonts w:ascii="Arial" w:hAnsi="Arial" w:cs="Arial"/>
          <w:color w:val="000000"/>
          <w:sz w:val="24"/>
          <w:szCs w:val="24"/>
        </w:rPr>
        <w:t>.</w:t>
      </w:r>
      <w:r w:rsidR="00AC5610">
        <w:rPr>
          <w:rFonts w:ascii="Arial" w:hAnsi="Arial" w:cs="Arial"/>
          <w:color w:val="000000"/>
          <w:sz w:val="24"/>
          <w:szCs w:val="24"/>
        </w:rPr>
        <w:t xml:space="preserve"> </w:t>
      </w:r>
      <w:r w:rsidR="007A39F9">
        <w:rPr>
          <w:rFonts w:ascii="Arial" w:hAnsi="Arial" w:cs="Arial"/>
          <w:color w:val="000000"/>
          <w:sz w:val="24"/>
          <w:szCs w:val="24"/>
        </w:rPr>
        <w:t xml:space="preserve">  </w:t>
      </w:r>
    </w:p>
    <w:p w14:paraId="31232B09" w14:textId="77777777" w:rsidR="007802A2" w:rsidRPr="007802A2" w:rsidRDefault="007802A2" w:rsidP="007802A2">
      <w:pPr>
        <w:pStyle w:val="Prrafodelista"/>
        <w:rPr>
          <w:rFonts w:ascii="Arial" w:hAnsi="Arial" w:cs="Arial"/>
          <w:color w:val="000000"/>
          <w:sz w:val="24"/>
          <w:szCs w:val="24"/>
        </w:rPr>
      </w:pPr>
    </w:p>
    <w:p w14:paraId="76348308" w14:textId="0205336B"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El 20 de noviembre de 2020, el señor Gilberto Hernández Merchán radicó una primera demanda de nulidad y restablecimiento del derecho en contra de la ESE Salud del Tundama</w:t>
      </w:r>
      <w:r>
        <w:rPr>
          <w:rStyle w:val="Refdenotaalpie"/>
          <w:rFonts w:ascii="Arial" w:hAnsi="Arial" w:cs="Arial"/>
          <w:color w:val="000000"/>
          <w:sz w:val="24"/>
          <w:szCs w:val="24"/>
        </w:rPr>
        <w:footnoteReference w:id="27"/>
      </w:r>
      <w:r>
        <w:rPr>
          <w:rFonts w:ascii="Arial" w:hAnsi="Arial" w:cs="Arial"/>
          <w:color w:val="000000"/>
          <w:sz w:val="24"/>
          <w:szCs w:val="24"/>
        </w:rPr>
        <w:t xml:space="preserve">. La misma fue repartida el día 23 de noviembre de 2020 al Juzgado Primero Administrativo de Duitama bajo el siguiente número: </w:t>
      </w:r>
      <w:r w:rsidRPr="00C835C2">
        <w:rPr>
          <w:rFonts w:ascii="Arial" w:hAnsi="Arial" w:cs="Arial"/>
          <w:color w:val="000000"/>
          <w:sz w:val="24"/>
          <w:szCs w:val="24"/>
        </w:rPr>
        <w:t>15238</w:t>
      </w:r>
      <w:r>
        <w:rPr>
          <w:rFonts w:ascii="Arial" w:hAnsi="Arial" w:cs="Arial"/>
          <w:color w:val="000000"/>
          <w:sz w:val="24"/>
          <w:szCs w:val="24"/>
        </w:rPr>
        <w:t>-</w:t>
      </w:r>
      <w:r w:rsidRPr="00C835C2">
        <w:rPr>
          <w:rFonts w:ascii="Arial" w:hAnsi="Arial" w:cs="Arial"/>
          <w:color w:val="000000"/>
          <w:sz w:val="24"/>
          <w:szCs w:val="24"/>
        </w:rPr>
        <w:t>3333</w:t>
      </w:r>
      <w:r>
        <w:rPr>
          <w:rFonts w:ascii="Arial" w:hAnsi="Arial" w:cs="Arial"/>
          <w:color w:val="000000"/>
          <w:sz w:val="24"/>
          <w:szCs w:val="24"/>
        </w:rPr>
        <w:t>-</w:t>
      </w:r>
      <w:r w:rsidRPr="00C835C2">
        <w:rPr>
          <w:rFonts w:ascii="Arial" w:hAnsi="Arial" w:cs="Arial"/>
          <w:color w:val="000000"/>
          <w:sz w:val="24"/>
          <w:szCs w:val="24"/>
        </w:rPr>
        <w:t>001</w:t>
      </w:r>
      <w:r>
        <w:rPr>
          <w:rFonts w:ascii="Arial" w:hAnsi="Arial" w:cs="Arial"/>
          <w:color w:val="000000"/>
          <w:sz w:val="24"/>
          <w:szCs w:val="24"/>
        </w:rPr>
        <w:t>-</w:t>
      </w:r>
      <w:r w:rsidRPr="00C835C2">
        <w:rPr>
          <w:rFonts w:ascii="Arial" w:hAnsi="Arial" w:cs="Arial"/>
          <w:color w:val="000000"/>
          <w:sz w:val="24"/>
          <w:szCs w:val="24"/>
        </w:rPr>
        <w:t>2020</w:t>
      </w:r>
      <w:r>
        <w:rPr>
          <w:rFonts w:ascii="Arial" w:hAnsi="Arial" w:cs="Arial"/>
          <w:color w:val="000000"/>
          <w:sz w:val="24"/>
          <w:szCs w:val="24"/>
        </w:rPr>
        <w:t>-</w:t>
      </w:r>
      <w:r w:rsidRPr="00C835C2">
        <w:rPr>
          <w:rFonts w:ascii="Arial" w:hAnsi="Arial" w:cs="Arial"/>
          <w:color w:val="000000"/>
          <w:sz w:val="24"/>
          <w:szCs w:val="24"/>
        </w:rPr>
        <w:t>00132</w:t>
      </w:r>
      <w:r>
        <w:rPr>
          <w:rFonts w:ascii="Arial" w:hAnsi="Arial" w:cs="Arial"/>
          <w:color w:val="000000"/>
          <w:sz w:val="24"/>
          <w:szCs w:val="24"/>
        </w:rPr>
        <w:t>-</w:t>
      </w:r>
      <w:r w:rsidRPr="00C835C2">
        <w:rPr>
          <w:rFonts w:ascii="Arial" w:hAnsi="Arial" w:cs="Arial"/>
          <w:color w:val="000000"/>
          <w:sz w:val="24"/>
          <w:szCs w:val="24"/>
        </w:rPr>
        <w:t>00</w:t>
      </w:r>
      <w:r>
        <w:rPr>
          <w:rStyle w:val="Refdenotaalpie"/>
          <w:rFonts w:ascii="Arial" w:hAnsi="Arial" w:cs="Arial"/>
          <w:color w:val="000000"/>
          <w:sz w:val="24"/>
          <w:szCs w:val="24"/>
        </w:rPr>
        <w:footnoteReference w:id="28"/>
      </w:r>
      <w:r>
        <w:rPr>
          <w:rFonts w:ascii="Arial" w:hAnsi="Arial" w:cs="Arial"/>
          <w:color w:val="000000"/>
          <w:sz w:val="24"/>
          <w:szCs w:val="24"/>
        </w:rPr>
        <w:t>.</w:t>
      </w:r>
    </w:p>
    <w:p w14:paraId="5793D2F3" w14:textId="77777777" w:rsidR="004B0FF3" w:rsidRPr="00D80D1B" w:rsidRDefault="004B0FF3" w:rsidP="004B0FF3">
      <w:pPr>
        <w:pStyle w:val="Prrafodelista"/>
        <w:rPr>
          <w:rFonts w:ascii="Arial" w:hAnsi="Arial" w:cs="Arial"/>
          <w:color w:val="000000"/>
          <w:sz w:val="24"/>
          <w:szCs w:val="24"/>
        </w:rPr>
      </w:pPr>
    </w:p>
    <w:p w14:paraId="5D1096A8"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El Juzgado Primero Administrativo de Duitama resolvió inadmitir la demanda mediante auto proferido el 18 de diciembre de 2020</w:t>
      </w:r>
      <w:r>
        <w:rPr>
          <w:rStyle w:val="Refdenotaalpie"/>
          <w:rFonts w:ascii="Arial" w:hAnsi="Arial" w:cs="Arial"/>
          <w:color w:val="000000"/>
          <w:sz w:val="24"/>
          <w:szCs w:val="24"/>
        </w:rPr>
        <w:footnoteReference w:id="29"/>
      </w:r>
      <w:r>
        <w:rPr>
          <w:rFonts w:ascii="Arial" w:hAnsi="Arial" w:cs="Arial"/>
          <w:color w:val="000000"/>
          <w:sz w:val="24"/>
          <w:szCs w:val="24"/>
        </w:rPr>
        <w:t>, el cual fue debidamente notificado</w:t>
      </w:r>
      <w:r>
        <w:rPr>
          <w:rStyle w:val="Refdenotaalpie"/>
          <w:rFonts w:ascii="Arial" w:hAnsi="Arial" w:cs="Arial"/>
          <w:color w:val="000000"/>
          <w:sz w:val="24"/>
          <w:szCs w:val="24"/>
        </w:rPr>
        <w:footnoteReference w:id="30"/>
      </w:r>
      <w:r>
        <w:rPr>
          <w:rFonts w:ascii="Arial" w:hAnsi="Arial" w:cs="Arial"/>
          <w:color w:val="000000"/>
          <w:sz w:val="24"/>
          <w:szCs w:val="24"/>
        </w:rPr>
        <w:t>. Posteriormente, al no haberse subsanado el libelo, el día 5 de febrero de 2021, dicho Despacho judicial resolvió rechazar la demanda que había instaurado el señor Gilberto Hernández Merchán</w:t>
      </w:r>
      <w:r>
        <w:rPr>
          <w:rStyle w:val="Refdenotaalpie"/>
          <w:rFonts w:ascii="Arial" w:hAnsi="Arial" w:cs="Arial"/>
          <w:color w:val="000000"/>
          <w:sz w:val="24"/>
          <w:szCs w:val="24"/>
        </w:rPr>
        <w:footnoteReference w:id="31"/>
      </w:r>
      <w:r>
        <w:rPr>
          <w:rFonts w:ascii="Arial" w:hAnsi="Arial" w:cs="Arial"/>
          <w:color w:val="000000"/>
          <w:sz w:val="24"/>
          <w:szCs w:val="24"/>
        </w:rPr>
        <w:t>.</w:t>
      </w:r>
    </w:p>
    <w:p w14:paraId="607097D3" w14:textId="77777777" w:rsidR="004B0FF3" w:rsidRPr="003D6EF5" w:rsidRDefault="004B0FF3" w:rsidP="004B0FF3">
      <w:pPr>
        <w:pStyle w:val="Prrafodelista"/>
        <w:rPr>
          <w:rFonts w:ascii="Arial" w:hAnsi="Arial" w:cs="Arial"/>
          <w:color w:val="000000"/>
          <w:sz w:val="24"/>
          <w:szCs w:val="24"/>
        </w:rPr>
      </w:pPr>
    </w:p>
    <w:p w14:paraId="5A7D6FF6"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 xml:space="preserve">De forma ulterior, el </w:t>
      </w:r>
      <w:r w:rsidRPr="26A5AAD8">
        <w:rPr>
          <w:rFonts w:ascii="Arial" w:hAnsi="Arial" w:cs="Arial"/>
          <w:b/>
          <w:bCs/>
          <w:color w:val="000000"/>
          <w:sz w:val="24"/>
          <w:szCs w:val="24"/>
        </w:rPr>
        <w:t>15 de febrero de 2021</w:t>
      </w:r>
      <w:r>
        <w:rPr>
          <w:rFonts w:ascii="Arial" w:hAnsi="Arial" w:cs="Arial"/>
          <w:color w:val="000000"/>
          <w:sz w:val="24"/>
          <w:szCs w:val="24"/>
        </w:rPr>
        <w:t>, nuevamente el señor Gilberto Hernández Merchán interpuso medio de control de nulidad y restablecimiento del derecho en contra de la ESE Salud del Tundama</w:t>
      </w:r>
      <w:r>
        <w:rPr>
          <w:rStyle w:val="Refdenotaalpie"/>
          <w:rFonts w:ascii="Arial" w:hAnsi="Arial" w:cs="Arial"/>
          <w:color w:val="000000"/>
          <w:sz w:val="24"/>
          <w:szCs w:val="24"/>
        </w:rPr>
        <w:footnoteReference w:id="32"/>
      </w:r>
      <w:r>
        <w:rPr>
          <w:rFonts w:ascii="Arial" w:hAnsi="Arial" w:cs="Arial"/>
          <w:color w:val="000000"/>
          <w:sz w:val="24"/>
          <w:szCs w:val="24"/>
        </w:rPr>
        <w:t xml:space="preserve">. En esta oportunidad, la demanda fue repartida al Juzgado Segundo Administrativo de Duitama el día 8 de abril de 2021 correspondiéndole el radicado No. </w:t>
      </w:r>
      <w:r w:rsidRPr="00665EF3">
        <w:rPr>
          <w:rFonts w:ascii="Arial" w:hAnsi="Arial" w:cs="Arial"/>
          <w:color w:val="000000"/>
          <w:sz w:val="24"/>
          <w:szCs w:val="24"/>
        </w:rPr>
        <w:t>15238-33-33</w:t>
      </w:r>
      <w:r w:rsidRPr="26A5AAD8">
        <w:rPr>
          <w:rFonts w:ascii="Arial" w:hAnsi="Arial" w:cs="Arial"/>
          <w:b/>
          <w:bCs/>
          <w:color w:val="000000"/>
          <w:sz w:val="24"/>
          <w:szCs w:val="24"/>
        </w:rPr>
        <w:t>-002-2021-00049-01</w:t>
      </w:r>
      <w:r>
        <w:rPr>
          <w:rStyle w:val="Refdenotaalpie"/>
          <w:rFonts w:ascii="Arial" w:hAnsi="Arial" w:cs="Arial"/>
          <w:color w:val="000000"/>
          <w:sz w:val="24"/>
          <w:szCs w:val="24"/>
        </w:rPr>
        <w:footnoteReference w:id="33"/>
      </w:r>
      <w:r>
        <w:rPr>
          <w:rFonts w:ascii="Arial" w:hAnsi="Arial" w:cs="Arial"/>
          <w:color w:val="000000"/>
          <w:sz w:val="24"/>
          <w:szCs w:val="24"/>
        </w:rPr>
        <w:t>.</w:t>
      </w:r>
    </w:p>
    <w:p w14:paraId="193D294E" w14:textId="77777777" w:rsidR="004B0FF3" w:rsidRPr="00F44B13" w:rsidRDefault="004B0FF3" w:rsidP="004B0FF3">
      <w:pPr>
        <w:pStyle w:val="Prrafodelista"/>
        <w:rPr>
          <w:rFonts w:ascii="Arial" w:hAnsi="Arial" w:cs="Arial"/>
          <w:color w:val="000000"/>
          <w:sz w:val="24"/>
          <w:szCs w:val="24"/>
        </w:rPr>
      </w:pPr>
    </w:p>
    <w:p w14:paraId="5A664F41"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La demanda fue inadmitida por el Juzgado Segundo Administrativo de Duitama en dos ocasiones, mediante autos expedidos los días 15 de abril</w:t>
      </w:r>
      <w:r>
        <w:rPr>
          <w:rStyle w:val="Refdenotaalpie"/>
          <w:rFonts w:ascii="Arial" w:hAnsi="Arial" w:cs="Arial"/>
          <w:color w:val="000000"/>
          <w:sz w:val="24"/>
          <w:szCs w:val="24"/>
        </w:rPr>
        <w:footnoteReference w:id="34"/>
      </w:r>
      <w:r>
        <w:rPr>
          <w:rFonts w:ascii="Arial" w:hAnsi="Arial" w:cs="Arial"/>
          <w:color w:val="000000"/>
          <w:sz w:val="24"/>
          <w:szCs w:val="24"/>
        </w:rPr>
        <w:t xml:space="preserve"> y 3 de junio de 2021</w:t>
      </w:r>
      <w:r>
        <w:rPr>
          <w:rStyle w:val="Refdenotaalpie"/>
          <w:rFonts w:ascii="Arial" w:hAnsi="Arial" w:cs="Arial"/>
          <w:color w:val="000000"/>
          <w:sz w:val="24"/>
          <w:szCs w:val="24"/>
        </w:rPr>
        <w:footnoteReference w:id="35"/>
      </w:r>
      <w:r>
        <w:rPr>
          <w:rFonts w:ascii="Arial" w:hAnsi="Arial" w:cs="Arial"/>
          <w:color w:val="000000"/>
          <w:sz w:val="24"/>
          <w:szCs w:val="24"/>
        </w:rPr>
        <w:t>. Asimismo, el libelo fue subsanado la misma cantidad de veces por parte de Gilberto Hernández Merchán</w:t>
      </w:r>
      <w:r>
        <w:rPr>
          <w:rStyle w:val="Refdenotaalpie"/>
          <w:rFonts w:ascii="Arial" w:hAnsi="Arial" w:cs="Arial"/>
          <w:color w:val="000000"/>
          <w:sz w:val="24"/>
          <w:szCs w:val="24"/>
        </w:rPr>
        <w:footnoteReference w:id="36"/>
      </w:r>
      <w:r>
        <w:rPr>
          <w:rFonts w:ascii="Arial" w:hAnsi="Arial" w:cs="Arial"/>
          <w:color w:val="000000"/>
          <w:sz w:val="24"/>
          <w:szCs w:val="24"/>
        </w:rPr>
        <w:t xml:space="preserve">. </w:t>
      </w:r>
    </w:p>
    <w:p w14:paraId="21FB5A1D" w14:textId="77777777" w:rsidR="004B0FF3" w:rsidRPr="007310DC" w:rsidRDefault="004B0FF3" w:rsidP="004B0FF3">
      <w:pPr>
        <w:pStyle w:val="Prrafodelista"/>
        <w:rPr>
          <w:rFonts w:ascii="Arial" w:hAnsi="Arial" w:cs="Arial"/>
          <w:color w:val="000000"/>
          <w:sz w:val="24"/>
          <w:szCs w:val="24"/>
        </w:rPr>
      </w:pPr>
    </w:p>
    <w:p w14:paraId="42BCDAC9" w14:textId="6FD1088F"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lastRenderedPageBreak/>
        <w:t>Luego, el 8 de julio de 2021, el Juzgado Segundo Administrativo de Duitama emitió un auto «previo a resolver sobre la admisión de la demanda», por medio del cual solicitó «aclarar la cuantía (…) atendiendo a que en el libelo introductorio se asignaba un valor por concepto de las pretensiones retiradas»</w:t>
      </w:r>
      <w:r>
        <w:rPr>
          <w:rStyle w:val="Refdenotaalpie"/>
          <w:rFonts w:ascii="Arial" w:hAnsi="Arial" w:cs="Arial"/>
          <w:color w:val="000000"/>
          <w:sz w:val="24"/>
          <w:szCs w:val="24"/>
        </w:rPr>
        <w:footnoteReference w:id="37"/>
      </w:r>
      <w:r>
        <w:rPr>
          <w:rFonts w:ascii="Arial" w:hAnsi="Arial" w:cs="Arial"/>
          <w:color w:val="000000"/>
          <w:sz w:val="24"/>
          <w:szCs w:val="24"/>
        </w:rPr>
        <w:t>. Asimismo, el día 12 de agosto de 2021, dicho Despacho, «previo a resolver sobre la admisión de la demanda», ordenó oficiar a la entidad demandada con el fin de que allegara la constancia de publicación del acto demandado</w:t>
      </w:r>
      <w:r>
        <w:rPr>
          <w:rStyle w:val="Refdenotaalpie"/>
          <w:rFonts w:ascii="Arial" w:hAnsi="Arial" w:cs="Arial"/>
          <w:color w:val="000000"/>
          <w:sz w:val="24"/>
          <w:szCs w:val="24"/>
        </w:rPr>
        <w:footnoteReference w:id="38"/>
      </w:r>
      <w:r>
        <w:rPr>
          <w:rFonts w:ascii="Arial" w:hAnsi="Arial" w:cs="Arial"/>
          <w:color w:val="000000"/>
          <w:sz w:val="24"/>
          <w:szCs w:val="24"/>
        </w:rPr>
        <w:t xml:space="preserve">. Los anteriores requerimientos fueron atendidos en debida forma por las personas </w:t>
      </w:r>
      <w:r w:rsidR="003E1DAF">
        <w:rPr>
          <w:rFonts w:ascii="Arial" w:hAnsi="Arial" w:cs="Arial"/>
          <w:color w:val="000000"/>
          <w:sz w:val="24"/>
          <w:szCs w:val="24"/>
        </w:rPr>
        <w:t xml:space="preserve">―naturales y jurídicas― </w:t>
      </w:r>
      <w:r>
        <w:rPr>
          <w:rFonts w:ascii="Arial" w:hAnsi="Arial" w:cs="Arial"/>
          <w:color w:val="000000"/>
          <w:sz w:val="24"/>
          <w:szCs w:val="24"/>
        </w:rPr>
        <w:t>oficiadas</w:t>
      </w:r>
      <w:r>
        <w:rPr>
          <w:rStyle w:val="Refdenotaalpie"/>
          <w:rFonts w:ascii="Arial" w:hAnsi="Arial" w:cs="Arial"/>
          <w:color w:val="000000"/>
          <w:sz w:val="24"/>
          <w:szCs w:val="24"/>
        </w:rPr>
        <w:footnoteReference w:id="39"/>
      </w:r>
      <w:r>
        <w:rPr>
          <w:rFonts w:ascii="Arial" w:hAnsi="Arial" w:cs="Arial"/>
          <w:color w:val="000000"/>
          <w:sz w:val="24"/>
          <w:szCs w:val="24"/>
        </w:rPr>
        <w:t>.</w:t>
      </w:r>
    </w:p>
    <w:p w14:paraId="62221919" w14:textId="77777777" w:rsidR="004B0FF3" w:rsidRPr="004A2F5D" w:rsidRDefault="004B0FF3" w:rsidP="004B0FF3">
      <w:pPr>
        <w:pStyle w:val="Prrafodelista"/>
        <w:rPr>
          <w:rFonts w:ascii="Arial" w:hAnsi="Arial" w:cs="Arial"/>
          <w:color w:val="000000"/>
          <w:sz w:val="24"/>
          <w:szCs w:val="24"/>
        </w:rPr>
      </w:pPr>
    </w:p>
    <w:p w14:paraId="5129CA3E" w14:textId="77777777" w:rsidR="004B0FF3" w:rsidRDefault="004B0FF3" w:rsidP="004B0FF3">
      <w:pPr>
        <w:pStyle w:val="Prrafodelista"/>
        <w:numPr>
          <w:ilvl w:val="1"/>
          <w:numId w:val="8"/>
        </w:numPr>
        <w:spacing w:line="276" w:lineRule="auto"/>
        <w:ind w:left="567" w:right="50" w:firstLine="0"/>
        <w:contextualSpacing/>
        <w:jc w:val="both"/>
        <w:rPr>
          <w:rFonts w:ascii="Arial" w:hAnsi="Arial" w:cs="Arial"/>
          <w:color w:val="000000"/>
          <w:sz w:val="24"/>
          <w:szCs w:val="24"/>
        </w:rPr>
      </w:pPr>
      <w:r>
        <w:rPr>
          <w:rFonts w:ascii="Arial" w:hAnsi="Arial" w:cs="Arial"/>
          <w:color w:val="000000"/>
          <w:sz w:val="24"/>
          <w:szCs w:val="24"/>
        </w:rPr>
        <w:t>Finalmente, el 16 de septiembre de 2021, el Juzgado Segundo Administrativo de Duitama emitió el auto objeto de apelación, por medio del cual rechazó la demanda al encontrar que la misma había sido radicada después de vencido el término de caducidad del medio de control</w:t>
      </w:r>
      <w:r>
        <w:rPr>
          <w:rStyle w:val="Refdenotaalpie"/>
          <w:rFonts w:ascii="Arial" w:hAnsi="Arial" w:cs="Arial"/>
          <w:color w:val="000000"/>
          <w:sz w:val="24"/>
          <w:szCs w:val="24"/>
        </w:rPr>
        <w:footnoteReference w:id="40"/>
      </w:r>
      <w:r>
        <w:rPr>
          <w:rFonts w:ascii="Arial" w:hAnsi="Arial" w:cs="Arial"/>
          <w:color w:val="000000"/>
          <w:sz w:val="24"/>
          <w:szCs w:val="24"/>
        </w:rPr>
        <w:t>.</w:t>
      </w:r>
    </w:p>
    <w:p w14:paraId="4B409785" w14:textId="77777777" w:rsidR="004B0FF3" w:rsidRDefault="004B0FF3" w:rsidP="004B0FF3">
      <w:pPr>
        <w:pStyle w:val="Prrafodelista"/>
        <w:spacing w:line="276" w:lineRule="auto"/>
        <w:ind w:left="0" w:right="50"/>
        <w:contextualSpacing/>
        <w:jc w:val="both"/>
        <w:rPr>
          <w:rFonts w:ascii="Arial" w:hAnsi="Arial" w:cs="Arial"/>
          <w:color w:val="000000"/>
          <w:sz w:val="24"/>
          <w:szCs w:val="24"/>
        </w:rPr>
      </w:pPr>
    </w:p>
    <w:p w14:paraId="6A2FFD68" w14:textId="060FEAB4" w:rsidR="00BD310B" w:rsidRPr="00BD310B" w:rsidRDefault="0087046C" w:rsidP="26A5AAD8">
      <w:pPr>
        <w:pStyle w:val="Prrafodelista"/>
        <w:numPr>
          <w:ilvl w:val="0"/>
          <w:numId w:val="8"/>
        </w:numPr>
        <w:spacing w:line="276" w:lineRule="auto"/>
        <w:ind w:left="0" w:right="50" w:firstLine="0"/>
        <w:contextualSpacing/>
        <w:jc w:val="both"/>
        <w:rPr>
          <w:rFonts w:ascii="Arial" w:hAnsi="Arial" w:cs="Arial"/>
          <w:b/>
          <w:bCs/>
          <w:color w:val="000000"/>
          <w:sz w:val="24"/>
          <w:szCs w:val="24"/>
        </w:rPr>
      </w:pPr>
      <w:r w:rsidRPr="26A5AAD8">
        <w:rPr>
          <w:rFonts w:ascii="Arial" w:hAnsi="Arial" w:cs="Arial"/>
          <w:color w:val="000000" w:themeColor="text1"/>
          <w:sz w:val="24"/>
          <w:szCs w:val="24"/>
        </w:rPr>
        <w:t xml:space="preserve">Ahora bien, en el recurso de apelación, el señor Gilberto Hernández Merchán </w:t>
      </w:r>
      <w:r w:rsidR="00F64BA3" w:rsidRPr="26A5AAD8">
        <w:rPr>
          <w:rFonts w:ascii="Arial" w:hAnsi="Arial" w:cs="Arial"/>
          <w:color w:val="000000" w:themeColor="text1"/>
          <w:sz w:val="24"/>
          <w:szCs w:val="24"/>
        </w:rPr>
        <w:t xml:space="preserve">señaló </w:t>
      </w:r>
      <w:r w:rsidRPr="26A5AAD8">
        <w:rPr>
          <w:rFonts w:ascii="Arial" w:hAnsi="Arial" w:cs="Arial"/>
          <w:color w:val="000000" w:themeColor="text1"/>
          <w:sz w:val="24"/>
          <w:szCs w:val="24"/>
          <w:lang w:val="es-CO"/>
        </w:rPr>
        <w:t xml:space="preserve">que los términos </w:t>
      </w:r>
      <w:r w:rsidR="00F64BA3" w:rsidRPr="26A5AAD8">
        <w:rPr>
          <w:rFonts w:ascii="Arial" w:hAnsi="Arial" w:cs="Arial"/>
          <w:color w:val="000000" w:themeColor="text1"/>
          <w:sz w:val="24"/>
          <w:szCs w:val="24"/>
          <w:lang w:val="es-CO"/>
        </w:rPr>
        <w:t xml:space="preserve">para interponer la demanda </w:t>
      </w:r>
      <w:r w:rsidR="000A32D2" w:rsidRPr="26A5AAD8">
        <w:rPr>
          <w:rFonts w:ascii="Arial" w:hAnsi="Arial" w:cs="Arial"/>
          <w:color w:val="000000" w:themeColor="text1"/>
          <w:sz w:val="24"/>
          <w:szCs w:val="24"/>
          <w:lang w:val="es-CO"/>
        </w:rPr>
        <w:t xml:space="preserve">de nulidad y restablecimiento del derecho </w:t>
      </w:r>
      <w:r w:rsidRPr="26A5AAD8">
        <w:rPr>
          <w:rFonts w:ascii="Arial" w:hAnsi="Arial" w:cs="Arial"/>
          <w:color w:val="000000" w:themeColor="text1"/>
          <w:sz w:val="24"/>
          <w:szCs w:val="24"/>
          <w:lang w:val="es-CO"/>
        </w:rPr>
        <w:t>se habían suspendido del 1</w:t>
      </w:r>
      <w:r w:rsidRPr="26A5AAD8">
        <w:rPr>
          <w:rFonts w:ascii="Arial" w:hAnsi="Arial" w:cs="Arial"/>
          <w:b/>
          <w:bCs/>
          <w:color w:val="000000" w:themeColor="text1"/>
          <w:sz w:val="24"/>
          <w:szCs w:val="24"/>
          <w:lang w:val="es-CO"/>
        </w:rPr>
        <w:t>6 de marzo al 30 de junio de 2020.</w:t>
      </w:r>
    </w:p>
    <w:p w14:paraId="6F697840" w14:textId="77777777" w:rsidR="00BD310B" w:rsidRPr="00BD310B" w:rsidRDefault="00BD310B" w:rsidP="00BD310B">
      <w:pPr>
        <w:pStyle w:val="Prrafodelista"/>
        <w:spacing w:line="276" w:lineRule="auto"/>
        <w:ind w:left="0" w:right="50"/>
        <w:contextualSpacing/>
        <w:jc w:val="both"/>
        <w:rPr>
          <w:rFonts w:ascii="Arial" w:hAnsi="Arial" w:cs="Arial"/>
          <w:color w:val="000000"/>
          <w:sz w:val="24"/>
          <w:szCs w:val="24"/>
        </w:rPr>
      </w:pPr>
    </w:p>
    <w:p w14:paraId="7C425185" w14:textId="727C61B9" w:rsidR="00F64BA3" w:rsidRDefault="00BD310B" w:rsidP="26A5AAD8">
      <w:pPr>
        <w:pStyle w:val="Prrafodelista"/>
        <w:numPr>
          <w:ilvl w:val="0"/>
          <w:numId w:val="8"/>
        </w:numPr>
        <w:spacing w:line="276" w:lineRule="auto"/>
        <w:ind w:left="0" w:right="50" w:firstLine="0"/>
        <w:contextualSpacing/>
        <w:jc w:val="both"/>
        <w:rPr>
          <w:rFonts w:ascii="Arial" w:hAnsi="Arial" w:cs="Arial"/>
          <w:b/>
          <w:bCs/>
          <w:color w:val="000000"/>
          <w:sz w:val="24"/>
          <w:szCs w:val="24"/>
        </w:rPr>
      </w:pPr>
      <w:r w:rsidRPr="26A5AAD8">
        <w:rPr>
          <w:rFonts w:ascii="Arial" w:hAnsi="Arial" w:cs="Arial"/>
          <w:color w:val="000000" w:themeColor="text1"/>
          <w:sz w:val="24"/>
          <w:szCs w:val="24"/>
          <w:lang w:val="es-CO"/>
        </w:rPr>
        <w:t xml:space="preserve">Sobre el particular, la Sala considera acertada la posición jurídica del demandante pues, según se explicó en líneas previas, </w:t>
      </w:r>
      <w:r w:rsidR="000A32D2" w:rsidRPr="26A5AAD8">
        <w:rPr>
          <w:rFonts w:ascii="Arial" w:hAnsi="Arial" w:cs="Arial"/>
          <w:color w:val="000000" w:themeColor="text1"/>
          <w:sz w:val="24"/>
          <w:szCs w:val="24"/>
          <w:lang w:val="es-CO"/>
        </w:rPr>
        <w:t>por disposición del Gobierno Nacional y el Consejo Superior de la Judicatura</w:t>
      </w:r>
      <w:r w:rsidR="005E3226" w:rsidRPr="26A5AAD8">
        <w:rPr>
          <w:rFonts w:ascii="Arial" w:hAnsi="Arial" w:cs="Arial"/>
          <w:color w:val="000000" w:themeColor="text1"/>
          <w:sz w:val="24"/>
          <w:szCs w:val="24"/>
          <w:lang w:val="es-CO"/>
        </w:rPr>
        <w:t xml:space="preserve">, </w:t>
      </w:r>
      <w:r w:rsidR="005E3226" w:rsidRPr="26A5AAD8">
        <w:rPr>
          <w:rFonts w:ascii="Arial" w:hAnsi="Arial" w:cs="Arial"/>
          <w:color w:val="000000" w:themeColor="text1"/>
          <w:sz w:val="24"/>
          <w:szCs w:val="24"/>
        </w:rPr>
        <w:t xml:space="preserve">el término de caducidad para «ejercer derechos, acciones, medios de control o presentar demandas ante la Rama Judicial» se suspendió, efectivamente, </w:t>
      </w:r>
      <w:r w:rsidR="005E3226" w:rsidRPr="26A5AAD8">
        <w:rPr>
          <w:rFonts w:ascii="Arial" w:hAnsi="Arial" w:cs="Arial"/>
          <w:b/>
          <w:bCs/>
          <w:color w:val="000000" w:themeColor="text1"/>
          <w:sz w:val="24"/>
          <w:szCs w:val="24"/>
        </w:rPr>
        <w:t>entre el 16 de marzo y el 30 de junio de 2020</w:t>
      </w:r>
      <w:r w:rsidR="008912A8" w:rsidRPr="26A5AAD8">
        <w:rPr>
          <w:rFonts w:ascii="Arial" w:hAnsi="Arial" w:cs="Arial"/>
          <w:b/>
          <w:bCs/>
          <w:color w:val="000000" w:themeColor="text1"/>
          <w:sz w:val="24"/>
          <w:szCs w:val="24"/>
        </w:rPr>
        <w:t xml:space="preserve">. </w:t>
      </w:r>
    </w:p>
    <w:p w14:paraId="68813695" w14:textId="77777777" w:rsidR="001F3F40" w:rsidRPr="001F3F40" w:rsidRDefault="001F3F40" w:rsidP="26A5AAD8">
      <w:pPr>
        <w:pStyle w:val="Prrafodelista"/>
        <w:rPr>
          <w:rFonts w:ascii="Arial" w:hAnsi="Arial" w:cs="Arial"/>
          <w:b/>
          <w:bCs/>
          <w:color w:val="000000"/>
          <w:sz w:val="24"/>
          <w:szCs w:val="24"/>
        </w:rPr>
      </w:pPr>
    </w:p>
    <w:p w14:paraId="71AF2DE9" w14:textId="38D2B253" w:rsidR="001F3F40" w:rsidRPr="00CD41A0" w:rsidRDefault="001F3F40" w:rsidP="0087046C">
      <w:pPr>
        <w:pStyle w:val="Prrafodelista"/>
        <w:numPr>
          <w:ilvl w:val="0"/>
          <w:numId w:val="8"/>
        </w:numPr>
        <w:spacing w:line="276" w:lineRule="auto"/>
        <w:ind w:left="0" w:right="50" w:firstLine="0"/>
        <w:contextualSpacing/>
        <w:jc w:val="both"/>
        <w:rPr>
          <w:rFonts w:ascii="Arial" w:hAnsi="Arial" w:cs="Arial"/>
          <w:color w:val="000000"/>
          <w:sz w:val="24"/>
          <w:szCs w:val="24"/>
        </w:rPr>
      </w:pPr>
      <w:r w:rsidRPr="00CD41A0">
        <w:rPr>
          <w:rFonts w:ascii="Arial" w:hAnsi="Arial" w:cs="Arial"/>
          <w:color w:val="000000"/>
          <w:sz w:val="24"/>
          <w:szCs w:val="24"/>
        </w:rPr>
        <w:t xml:space="preserve">Así las cosas, </w:t>
      </w:r>
      <w:r w:rsidR="00EA0BB6" w:rsidRPr="00CD41A0">
        <w:rPr>
          <w:rFonts w:ascii="Arial" w:hAnsi="Arial" w:cs="Arial"/>
          <w:color w:val="000000"/>
          <w:sz w:val="24"/>
          <w:szCs w:val="24"/>
        </w:rPr>
        <w:t xml:space="preserve">en primer lugar, </w:t>
      </w:r>
      <w:r w:rsidR="00585F6B" w:rsidRPr="00CD41A0">
        <w:rPr>
          <w:rFonts w:ascii="Arial" w:hAnsi="Arial" w:cs="Arial"/>
          <w:color w:val="000000"/>
          <w:sz w:val="24"/>
          <w:szCs w:val="24"/>
        </w:rPr>
        <w:t>la Sala llega a la conclusión de que</w:t>
      </w:r>
      <w:r w:rsidR="00E82652" w:rsidRPr="00CD41A0">
        <w:rPr>
          <w:rFonts w:ascii="Arial" w:hAnsi="Arial" w:cs="Arial"/>
          <w:color w:val="000000"/>
          <w:sz w:val="24"/>
          <w:szCs w:val="24"/>
        </w:rPr>
        <w:t>,</w:t>
      </w:r>
      <w:r w:rsidR="00585F6B" w:rsidRPr="00CD41A0">
        <w:rPr>
          <w:rFonts w:ascii="Arial" w:hAnsi="Arial" w:cs="Arial"/>
          <w:color w:val="000000"/>
          <w:sz w:val="24"/>
          <w:szCs w:val="24"/>
        </w:rPr>
        <w:t xml:space="preserve"> en el presente medio de control, el término de caducidad comenzó </w:t>
      </w:r>
      <w:r w:rsidR="00FC084C" w:rsidRPr="00CD41A0">
        <w:rPr>
          <w:rFonts w:ascii="Arial" w:hAnsi="Arial" w:cs="Arial"/>
          <w:color w:val="000000"/>
          <w:sz w:val="24"/>
          <w:szCs w:val="24"/>
        </w:rPr>
        <w:t xml:space="preserve">a correr a partir del día </w:t>
      </w:r>
      <w:r w:rsidR="00FC084C" w:rsidRPr="00CD41A0">
        <w:rPr>
          <w:rFonts w:ascii="Arial" w:hAnsi="Arial" w:cs="Arial"/>
          <w:color w:val="000000"/>
          <w:sz w:val="24"/>
          <w:szCs w:val="24"/>
          <w:u w:val="single"/>
        </w:rPr>
        <w:t>1 de julio de 2020</w:t>
      </w:r>
      <w:r w:rsidR="00FC084C" w:rsidRPr="00CD41A0">
        <w:rPr>
          <w:rFonts w:ascii="Arial" w:hAnsi="Arial" w:cs="Arial"/>
          <w:color w:val="000000"/>
          <w:sz w:val="24"/>
          <w:szCs w:val="24"/>
        </w:rPr>
        <w:t xml:space="preserve">; con independencia de </w:t>
      </w:r>
      <w:r w:rsidRPr="00CD41A0">
        <w:rPr>
          <w:rFonts w:ascii="Arial" w:hAnsi="Arial" w:cs="Arial"/>
          <w:color w:val="000000"/>
          <w:sz w:val="24"/>
          <w:szCs w:val="24"/>
        </w:rPr>
        <w:t xml:space="preserve">que el acto administrativo demandado se </w:t>
      </w:r>
      <w:r w:rsidR="00FC084C" w:rsidRPr="00CD41A0">
        <w:rPr>
          <w:rFonts w:ascii="Arial" w:hAnsi="Arial" w:cs="Arial"/>
          <w:color w:val="000000"/>
          <w:sz w:val="24"/>
          <w:szCs w:val="24"/>
        </w:rPr>
        <w:t xml:space="preserve">haya expedido y publicado </w:t>
      </w:r>
      <w:r w:rsidR="00EA0BB6" w:rsidRPr="00CD41A0">
        <w:rPr>
          <w:rFonts w:ascii="Arial" w:hAnsi="Arial" w:cs="Arial"/>
          <w:color w:val="000000"/>
          <w:sz w:val="24"/>
          <w:szCs w:val="24"/>
        </w:rPr>
        <w:t xml:space="preserve">―en debida forma― </w:t>
      </w:r>
      <w:r w:rsidRPr="00CD41A0">
        <w:rPr>
          <w:rFonts w:ascii="Arial" w:hAnsi="Arial" w:cs="Arial"/>
          <w:color w:val="000000"/>
          <w:sz w:val="24"/>
          <w:szCs w:val="24"/>
        </w:rPr>
        <w:t>el 19 de marzo de 2020; y</w:t>
      </w:r>
      <w:r w:rsidR="00FC084C" w:rsidRPr="00CD41A0">
        <w:rPr>
          <w:rFonts w:ascii="Arial" w:hAnsi="Arial" w:cs="Arial"/>
          <w:color w:val="000000"/>
          <w:sz w:val="24"/>
          <w:szCs w:val="24"/>
        </w:rPr>
        <w:t xml:space="preserve">, sin que se desconozca </w:t>
      </w:r>
      <w:r w:rsidRPr="00CD41A0">
        <w:rPr>
          <w:rFonts w:ascii="Arial" w:hAnsi="Arial" w:cs="Arial"/>
          <w:color w:val="000000"/>
          <w:sz w:val="24"/>
          <w:szCs w:val="24"/>
        </w:rPr>
        <w:t>que la resolución que desató el recurso de reposición y mantuvo la decisión atacada</w:t>
      </w:r>
      <w:r w:rsidR="00FC084C" w:rsidRPr="00CD41A0">
        <w:rPr>
          <w:rFonts w:ascii="Arial" w:hAnsi="Arial" w:cs="Arial"/>
          <w:color w:val="000000"/>
          <w:sz w:val="24"/>
          <w:szCs w:val="24"/>
        </w:rPr>
        <w:t>,</w:t>
      </w:r>
      <w:r w:rsidRPr="00CD41A0">
        <w:rPr>
          <w:rFonts w:ascii="Arial" w:hAnsi="Arial" w:cs="Arial"/>
          <w:color w:val="000000"/>
          <w:sz w:val="24"/>
          <w:szCs w:val="24"/>
        </w:rPr>
        <w:t xml:space="preserve"> </w:t>
      </w:r>
      <w:r w:rsidR="005A4CA5" w:rsidRPr="00CD41A0">
        <w:rPr>
          <w:rFonts w:ascii="Arial" w:hAnsi="Arial" w:cs="Arial"/>
          <w:color w:val="000000"/>
          <w:sz w:val="24"/>
          <w:szCs w:val="24"/>
        </w:rPr>
        <w:t>hoy día</w:t>
      </w:r>
      <w:r w:rsidR="00FC084C" w:rsidRPr="00CD41A0">
        <w:rPr>
          <w:rFonts w:ascii="Arial" w:hAnsi="Arial" w:cs="Arial"/>
          <w:color w:val="000000"/>
          <w:sz w:val="24"/>
          <w:szCs w:val="24"/>
        </w:rPr>
        <w:t>,</w:t>
      </w:r>
      <w:r w:rsidR="005A4CA5" w:rsidRPr="00CD41A0">
        <w:rPr>
          <w:rFonts w:ascii="Arial" w:hAnsi="Arial" w:cs="Arial"/>
          <w:color w:val="000000"/>
          <w:sz w:val="24"/>
          <w:szCs w:val="24"/>
        </w:rPr>
        <w:t xml:space="preserve"> ante la </w:t>
      </w:r>
      <w:r w:rsidRPr="00CD41A0">
        <w:rPr>
          <w:rFonts w:ascii="Arial" w:hAnsi="Arial" w:cs="Arial"/>
          <w:color w:val="000000"/>
          <w:sz w:val="24"/>
          <w:szCs w:val="24"/>
        </w:rPr>
        <w:t>justicia</w:t>
      </w:r>
      <w:r w:rsidR="003449E6" w:rsidRPr="00CD41A0">
        <w:rPr>
          <w:rFonts w:ascii="Arial" w:hAnsi="Arial" w:cs="Arial"/>
          <w:color w:val="000000"/>
          <w:sz w:val="24"/>
          <w:szCs w:val="24"/>
        </w:rPr>
        <w:t>,</w:t>
      </w:r>
      <w:r w:rsidRPr="00CD41A0">
        <w:rPr>
          <w:rFonts w:ascii="Arial" w:hAnsi="Arial" w:cs="Arial"/>
          <w:color w:val="000000"/>
          <w:sz w:val="24"/>
          <w:szCs w:val="24"/>
        </w:rPr>
        <w:t xml:space="preserve"> se </w:t>
      </w:r>
      <w:r w:rsidR="00FC084C" w:rsidRPr="00CD41A0">
        <w:rPr>
          <w:rFonts w:ascii="Arial" w:hAnsi="Arial" w:cs="Arial"/>
          <w:color w:val="000000"/>
          <w:sz w:val="24"/>
          <w:szCs w:val="24"/>
        </w:rPr>
        <w:t xml:space="preserve">emitió </w:t>
      </w:r>
      <w:r w:rsidRPr="00CD41A0">
        <w:rPr>
          <w:rFonts w:ascii="Arial" w:hAnsi="Arial" w:cs="Arial"/>
          <w:color w:val="000000"/>
          <w:sz w:val="24"/>
          <w:szCs w:val="24"/>
        </w:rPr>
        <w:t>el 13 de abril de 2020</w:t>
      </w:r>
      <w:r w:rsidR="005A4CA5" w:rsidRPr="00CD41A0">
        <w:rPr>
          <w:rStyle w:val="Refdenotaalpie"/>
          <w:rFonts w:ascii="Arial" w:hAnsi="Arial" w:cs="Arial"/>
          <w:color w:val="000000"/>
          <w:sz w:val="24"/>
          <w:szCs w:val="24"/>
        </w:rPr>
        <w:footnoteReference w:id="41"/>
      </w:r>
      <w:r w:rsidR="00E82652" w:rsidRPr="00CD41A0">
        <w:rPr>
          <w:rFonts w:ascii="Arial" w:hAnsi="Arial" w:cs="Arial"/>
          <w:color w:val="000000"/>
          <w:sz w:val="24"/>
          <w:szCs w:val="24"/>
        </w:rPr>
        <w:t xml:space="preserve">. </w:t>
      </w:r>
    </w:p>
    <w:p w14:paraId="3BB94F95" w14:textId="77777777" w:rsidR="00E82652" w:rsidRPr="00E82652" w:rsidRDefault="00E82652" w:rsidP="00E82652">
      <w:pPr>
        <w:pStyle w:val="Prrafodelista"/>
        <w:rPr>
          <w:rFonts w:ascii="Arial" w:hAnsi="Arial" w:cs="Arial"/>
          <w:color w:val="000000"/>
          <w:sz w:val="24"/>
          <w:szCs w:val="24"/>
        </w:rPr>
      </w:pPr>
    </w:p>
    <w:p w14:paraId="3FABC535" w14:textId="73D7AEFA" w:rsidR="00E82652" w:rsidRDefault="00E82652" w:rsidP="0087046C">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De otro lado, el demandante, en el recurso de apelación, expuso que el término de caducidad también se suspendió </w:t>
      </w:r>
      <w:r w:rsidR="00754B47">
        <w:rPr>
          <w:rFonts w:ascii="Arial" w:hAnsi="Arial" w:cs="Arial"/>
          <w:color w:val="000000"/>
          <w:sz w:val="24"/>
          <w:szCs w:val="24"/>
        </w:rPr>
        <w:t>mientras se adelantó el trámite de conciliación extrajudicial ante la Procuraduría General de la Nación</w:t>
      </w:r>
      <w:r w:rsidR="00790334">
        <w:rPr>
          <w:rFonts w:ascii="Arial" w:hAnsi="Arial" w:cs="Arial"/>
          <w:color w:val="000000"/>
          <w:sz w:val="24"/>
          <w:szCs w:val="24"/>
        </w:rPr>
        <w:t xml:space="preserve">, entre el 3 de agosto y el 26 de octubre de 2020. </w:t>
      </w:r>
    </w:p>
    <w:p w14:paraId="7C4D8BC0" w14:textId="77777777" w:rsidR="00790334" w:rsidRPr="00790334" w:rsidRDefault="00790334" w:rsidP="00790334">
      <w:pPr>
        <w:pStyle w:val="Prrafodelista"/>
        <w:rPr>
          <w:rFonts w:ascii="Arial" w:hAnsi="Arial" w:cs="Arial"/>
          <w:color w:val="000000"/>
          <w:sz w:val="24"/>
          <w:szCs w:val="24"/>
        </w:rPr>
      </w:pPr>
    </w:p>
    <w:p w14:paraId="4DDCB2A4" w14:textId="77777777" w:rsidR="009B1EC9" w:rsidRDefault="00790334" w:rsidP="0087046C">
      <w:pPr>
        <w:pStyle w:val="Prrafodelista"/>
        <w:numPr>
          <w:ilvl w:val="0"/>
          <w:numId w:val="8"/>
        </w:numPr>
        <w:spacing w:line="276" w:lineRule="auto"/>
        <w:ind w:left="0" w:right="50" w:firstLine="0"/>
        <w:contextualSpacing/>
        <w:jc w:val="both"/>
        <w:rPr>
          <w:rFonts w:ascii="Arial" w:hAnsi="Arial" w:cs="Arial"/>
          <w:color w:val="000000"/>
          <w:sz w:val="24"/>
          <w:szCs w:val="24"/>
        </w:rPr>
      </w:pPr>
      <w:r w:rsidRPr="26A5AAD8">
        <w:rPr>
          <w:rFonts w:ascii="Arial" w:hAnsi="Arial" w:cs="Arial"/>
          <w:color w:val="000000" w:themeColor="text1"/>
          <w:sz w:val="24"/>
          <w:szCs w:val="24"/>
        </w:rPr>
        <w:lastRenderedPageBreak/>
        <w:t xml:space="preserve">Sobre el particular, dicha afirmación </w:t>
      </w:r>
      <w:r w:rsidR="002B044F" w:rsidRPr="26A5AAD8">
        <w:rPr>
          <w:rFonts w:ascii="Arial" w:hAnsi="Arial" w:cs="Arial"/>
          <w:color w:val="000000" w:themeColor="text1"/>
          <w:sz w:val="24"/>
          <w:szCs w:val="24"/>
        </w:rPr>
        <w:t xml:space="preserve">también </w:t>
      </w:r>
      <w:r w:rsidRPr="26A5AAD8">
        <w:rPr>
          <w:rFonts w:ascii="Arial" w:hAnsi="Arial" w:cs="Arial"/>
          <w:color w:val="000000" w:themeColor="text1"/>
          <w:sz w:val="24"/>
          <w:szCs w:val="24"/>
        </w:rPr>
        <w:t xml:space="preserve">se considera certera, pues así se hizo constar por parte del Procurador 178 Judicial I para Asuntos Administrativos, quien certificó que dicho requisito de procedibilidad se </w:t>
      </w:r>
      <w:r w:rsidR="002B044F" w:rsidRPr="26A5AAD8">
        <w:rPr>
          <w:rFonts w:ascii="Arial" w:hAnsi="Arial" w:cs="Arial"/>
          <w:color w:val="000000" w:themeColor="text1"/>
          <w:sz w:val="24"/>
          <w:szCs w:val="24"/>
        </w:rPr>
        <w:t xml:space="preserve">llevó a cabo, en efecto, entre el </w:t>
      </w:r>
      <w:r w:rsidR="002B044F" w:rsidRPr="26A5AAD8">
        <w:rPr>
          <w:rFonts w:ascii="Arial" w:hAnsi="Arial" w:cs="Arial"/>
          <w:b/>
          <w:bCs/>
          <w:color w:val="000000" w:themeColor="text1"/>
          <w:sz w:val="24"/>
          <w:szCs w:val="24"/>
        </w:rPr>
        <w:t>3 de agosto y el 26 de octubre de 2020.</w:t>
      </w:r>
      <w:r w:rsidR="00136B38" w:rsidRPr="26A5AAD8">
        <w:rPr>
          <w:rFonts w:ascii="Arial" w:hAnsi="Arial" w:cs="Arial"/>
          <w:b/>
          <w:bCs/>
          <w:color w:val="000000" w:themeColor="text1"/>
          <w:sz w:val="24"/>
          <w:szCs w:val="24"/>
        </w:rPr>
        <w:t xml:space="preserve"> Al respecto, el artículo 21 de la Ley 640 de 2001</w:t>
      </w:r>
      <w:r w:rsidR="00136B38" w:rsidRPr="26A5AAD8">
        <w:rPr>
          <w:rFonts w:ascii="Arial" w:hAnsi="Arial" w:cs="Arial"/>
          <w:color w:val="000000" w:themeColor="text1"/>
          <w:sz w:val="24"/>
          <w:szCs w:val="24"/>
        </w:rPr>
        <w:t xml:space="preserve"> dispuso lo siguiente: </w:t>
      </w:r>
    </w:p>
    <w:p w14:paraId="26BE2D5F" w14:textId="77777777" w:rsidR="009B1EC9" w:rsidRPr="009B1EC9" w:rsidRDefault="009B1EC9" w:rsidP="009B1EC9">
      <w:pPr>
        <w:pStyle w:val="Prrafodelista"/>
        <w:rPr>
          <w:rFonts w:ascii="Arial" w:hAnsi="Arial" w:cs="Arial"/>
          <w:color w:val="000000"/>
          <w:sz w:val="24"/>
          <w:szCs w:val="24"/>
        </w:rPr>
      </w:pPr>
    </w:p>
    <w:p w14:paraId="3460B005" w14:textId="4F828B71" w:rsidR="00790334" w:rsidRPr="009B1EC9" w:rsidRDefault="009B1EC9" w:rsidP="009B1EC9">
      <w:pPr>
        <w:pStyle w:val="Prrafodelista"/>
        <w:spacing w:line="276" w:lineRule="auto"/>
        <w:ind w:right="50"/>
        <w:contextualSpacing/>
        <w:jc w:val="both"/>
        <w:rPr>
          <w:rFonts w:ascii="Arial" w:hAnsi="Arial" w:cs="Arial"/>
          <w:color w:val="000000"/>
          <w:sz w:val="21"/>
          <w:szCs w:val="21"/>
        </w:rPr>
      </w:pPr>
      <w:r w:rsidRPr="26A5AAD8">
        <w:rPr>
          <w:rFonts w:ascii="Arial" w:hAnsi="Arial" w:cs="Arial"/>
          <w:color w:val="000000" w:themeColor="text1"/>
          <w:sz w:val="21"/>
          <w:szCs w:val="21"/>
        </w:rPr>
        <w:t>«</w:t>
      </w:r>
      <w:r w:rsidRPr="26A5AAD8">
        <w:rPr>
          <w:rFonts w:ascii="Arial" w:hAnsi="Arial" w:cs="Arial"/>
          <w:b/>
          <w:bCs/>
          <w:color w:val="000000" w:themeColor="text1"/>
          <w:sz w:val="21"/>
          <w:szCs w:val="21"/>
        </w:rPr>
        <w:t>ARTICULO 21. SUSPENSIÓN DE LA PRESCRIPCIÓN O DE LA CADUCIDAD</w:t>
      </w:r>
      <w:r w:rsidRPr="26A5AAD8">
        <w:rPr>
          <w:rFonts w:ascii="Arial" w:hAnsi="Arial" w:cs="Arial"/>
          <w:color w:val="000000" w:themeColor="text1"/>
          <w:sz w:val="21"/>
          <w:szCs w:val="21"/>
        </w:rPr>
        <w:t xml:space="preserve">.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 de la presente ley o hasta que se venza el término de tres (3) meses a que se refiere el artículo anterior, lo que ocurra primero. Esta suspensión operará por una sola vez y será improrrogable». </w:t>
      </w:r>
      <w:r w:rsidR="002B044F" w:rsidRPr="26A5AAD8">
        <w:rPr>
          <w:rFonts w:ascii="Arial" w:hAnsi="Arial" w:cs="Arial"/>
          <w:color w:val="000000" w:themeColor="text1"/>
          <w:sz w:val="21"/>
          <w:szCs w:val="21"/>
        </w:rPr>
        <w:t xml:space="preserve"> </w:t>
      </w:r>
    </w:p>
    <w:p w14:paraId="20F9AB8A" w14:textId="77777777" w:rsidR="001F3F40" w:rsidRPr="001F3F40" w:rsidRDefault="001F3F40" w:rsidP="001F3F40">
      <w:pPr>
        <w:pStyle w:val="Prrafodelista"/>
        <w:rPr>
          <w:rFonts w:ascii="Arial" w:hAnsi="Arial" w:cs="Arial"/>
          <w:color w:val="000000"/>
          <w:sz w:val="24"/>
          <w:szCs w:val="24"/>
        </w:rPr>
      </w:pPr>
    </w:p>
    <w:p w14:paraId="20495DC4" w14:textId="24DE5F2F" w:rsidR="00761C02" w:rsidRPr="00CD41A0" w:rsidRDefault="002B044F"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sidRPr="00CD41A0">
        <w:rPr>
          <w:rFonts w:ascii="Arial" w:hAnsi="Arial" w:cs="Arial"/>
          <w:color w:val="000000" w:themeColor="text1"/>
          <w:sz w:val="24"/>
          <w:szCs w:val="24"/>
          <w:lang w:val="es-CO"/>
        </w:rPr>
        <w:t xml:space="preserve">Por último, en la apelación, el señor Gilberto Hernández Merchán indicó que </w:t>
      </w:r>
      <w:r w:rsidR="00761C02" w:rsidRPr="00CD41A0">
        <w:rPr>
          <w:rFonts w:ascii="Arial" w:hAnsi="Arial" w:cs="Arial"/>
          <w:color w:val="000000" w:themeColor="text1"/>
          <w:sz w:val="24"/>
          <w:szCs w:val="24"/>
          <w:lang w:val="es-CO"/>
        </w:rPr>
        <w:t xml:space="preserve">el término de caducidad también se había suspendido mientras </w:t>
      </w:r>
      <w:r w:rsidR="000607A7" w:rsidRPr="00CD41A0">
        <w:rPr>
          <w:rFonts w:ascii="Arial" w:hAnsi="Arial" w:cs="Arial"/>
          <w:color w:val="000000" w:themeColor="text1"/>
          <w:sz w:val="24"/>
          <w:szCs w:val="24"/>
          <w:lang w:val="es-CO"/>
        </w:rPr>
        <w:t xml:space="preserve">cursó la primera demanda que fue repartida al Juzgado Primero Administrativo de Duitama bajo el radicado 15238-3333-001-2020-00132-00; </w:t>
      </w:r>
      <w:r w:rsidR="000607A7" w:rsidRPr="00CD41A0">
        <w:rPr>
          <w:rFonts w:ascii="Arial" w:hAnsi="Arial" w:cs="Arial"/>
          <w:b/>
          <w:bCs/>
          <w:color w:val="000000" w:themeColor="text1"/>
          <w:sz w:val="24"/>
          <w:szCs w:val="24"/>
          <w:lang w:val="es-CO"/>
        </w:rPr>
        <w:t xml:space="preserve">esto es, desde el 20 de noviembre de 2020 </w:t>
      </w:r>
      <w:r w:rsidR="00D055BC" w:rsidRPr="00CD41A0">
        <w:rPr>
          <w:rFonts w:ascii="Arial" w:hAnsi="Arial" w:cs="Arial"/>
          <w:color w:val="000000" w:themeColor="text1"/>
          <w:sz w:val="24"/>
          <w:szCs w:val="24"/>
          <w:lang w:val="es-CO"/>
        </w:rPr>
        <w:t xml:space="preserve">―momento en que se radicó el citado medio de control― </w:t>
      </w:r>
      <w:r w:rsidR="000607A7" w:rsidRPr="00CD41A0">
        <w:rPr>
          <w:rFonts w:ascii="Arial" w:hAnsi="Arial" w:cs="Arial"/>
          <w:color w:val="000000" w:themeColor="text1"/>
          <w:sz w:val="24"/>
          <w:szCs w:val="24"/>
          <w:lang w:val="es-CO"/>
        </w:rPr>
        <w:t xml:space="preserve">y el </w:t>
      </w:r>
      <w:r w:rsidR="000607A7" w:rsidRPr="00CD41A0">
        <w:rPr>
          <w:rFonts w:ascii="Arial" w:hAnsi="Arial" w:cs="Arial"/>
          <w:b/>
          <w:bCs/>
          <w:color w:val="000000" w:themeColor="text1"/>
          <w:sz w:val="24"/>
          <w:szCs w:val="24"/>
          <w:lang w:val="es-CO"/>
        </w:rPr>
        <w:t>5 de febrero de 2021</w:t>
      </w:r>
      <w:r w:rsidR="00D055BC" w:rsidRPr="00CD41A0">
        <w:rPr>
          <w:rFonts w:ascii="Arial" w:hAnsi="Arial" w:cs="Arial"/>
          <w:color w:val="000000" w:themeColor="text1"/>
          <w:sz w:val="24"/>
          <w:szCs w:val="24"/>
          <w:lang w:val="es-CO"/>
        </w:rPr>
        <w:t xml:space="preserve"> ―fecha para la cual se expidió auto que rechazó la demanda por no haberla subsanado―.</w:t>
      </w:r>
      <w:r w:rsidR="000607A7" w:rsidRPr="00CD41A0">
        <w:rPr>
          <w:rFonts w:ascii="Arial" w:hAnsi="Arial" w:cs="Arial"/>
          <w:color w:val="000000" w:themeColor="text1"/>
          <w:sz w:val="24"/>
          <w:szCs w:val="24"/>
          <w:lang w:val="es-CO"/>
        </w:rPr>
        <w:t xml:space="preserve"> </w:t>
      </w:r>
    </w:p>
    <w:p w14:paraId="61AA73F5" w14:textId="77777777" w:rsidR="00B55055" w:rsidRPr="00CD41A0" w:rsidRDefault="00B55055" w:rsidP="00B55055">
      <w:pPr>
        <w:pStyle w:val="Prrafodelista"/>
        <w:rPr>
          <w:rFonts w:ascii="Arial" w:hAnsi="Arial" w:cs="Arial"/>
          <w:color w:val="000000"/>
          <w:sz w:val="24"/>
          <w:szCs w:val="24"/>
        </w:rPr>
      </w:pPr>
    </w:p>
    <w:p w14:paraId="01F651BD" w14:textId="3C197B41" w:rsidR="00B55055" w:rsidRPr="001B75CA" w:rsidRDefault="00B55055"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sidRPr="00CD41A0">
        <w:rPr>
          <w:rFonts w:ascii="Arial" w:hAnsi="Arial" w:cs="Arial"/>
          <w:color w:val="000000"/>
          <w:sz w:val="24"/>
          <w:szCs w:val="24"/>
        </w:rPr>
        <w:t xml:space="preserve">Sobre este punto, la Sala considera que el recurrente no tiene la razón, en la medida </w:t>
      </w:r>
      <w:r w:rsidR="00BD1698" w:rsidRPr="00CD41A0">
        <w:rPr>
          <w:rFonts w:ascii="Arial" w:hAnsi="Arial" w:cs="Arial"/>
          <w:color w:val="000000"/>
          <w:sz w:val="24"/>
          <w:szCs w:val="24"/>
        </w:rPr>
        <w:t xml:space="preserve">que </w:t>
      </w:r>
      <w:r w:rsidR="00BD1698" w:rsidRPr="00CD41A0">
        <w:rPr>
          <w:rFonts w:ascii="Arial" w:hAnsi="Arial" w:cs="Arial"/>
          <w:sz w:val="24"/>
          <w:szCs w:val="24"/>
        </w:rPr>
        <w:t>la presentación anterior de un medio de control que haya culminado con un rechazo no está prevista en la ley como una causal que suspenda el término de caducidad.</w:t>
      </w:r>
      <w:r w:rsidR="00BD1698">
        <w:rPr>
          <w:rFonts w:ascii="Arial" w:hAnsi="Arial" w:cs="Arial"/>
          <w:sz w:val="24"/>
          <w:szCs w:val="24"/>
        </w:rPr>
        <w:t xml:space="preserve"> </w:t>
      </w:r>
      <w:r w:rsidR="001B75CA">
        <w:rPr>
          <w:rFonts w:ascii="Arial" w:hAnsi="Arial" w:cs="Arial"/>
          <w:sz w:val="24"/>
          <w:szCs w:val="24"/>
        </w:rPr>
        <w:t>Sobre este punto en concreto, el Consejo de Estado</w:t>
      </w:r>
      <w:r w:rsidR="00CD547D">
        <w:rPr>
          <w:rFonts w:ascii="Arial" w:hAnsi="Arial" w:cs="Arial"/>
          <w:sz w:val="24"/>
          <w:szCs w:val="24"/>
        </w:rPr>
        <w:t xml:space="preserve">, en un caso con similares contornos fácticos, </w:t>
      </w:r>
      <w:r w:rsidR="001B75CA">
        <w:rPr>
          <w:rFonts w:ascii="Arial" w:hAnsi="Arial" w:cs="Arial"/>
          <w:sz w:val="24"/>
          <w:szCs w:val="24"/>
        </w:rPr>
        <w:t>explicó en providencia de 13 de julio de 2017</w:t>
      </w:r>
      <w:r w:rsidR="001B75CA">
        <w:rPr>
          <w:rStyle w:val="Refdenotaalpie"/>
          <w:rFonts w:ascii="Arial" w:hAnsi="Arial" w:cs="Arial"/>
          <w:sz w:val="24"/>
          <w:szCs w:val="24"/>
        </w:rPr>
        <w:footnoteReference w:id="42"/>
      </w:r>
      <w:r w:rsidR="001B75CA">
        <w:rPr>
          <w:rFonts w:ascii="Arial" w:hAnsi="Arial" w:cs="Arial"/>
          <w:sz w:val="24"/>
          <w:szCs w:val="24"/>
        </w:rPr>
        <w:t xml:space="preserve"> lo siguiente: </w:t>
      </w:r>
    </w:p>
    <w:p w14:paraId="24BD09D4" w14:textId="77777777" w:rsidR="001B75CA" w:rsidRPr="001B75CA" w:rsidRDefault="001B75CA" w:rsidP="001B75CA">
      <w:pPr>
        <w:pStyle w:val="Prrafodelista"/>
        <w:rPr>
          <w:rFonts w:ascii="Arial" w:hAnsi="Arial" w:cs="Arial"/>
          <w:color w:val="000000"/>
          <w:sz w:val="24"/>
          <w:szCs w:val="24"/>
        </w:rPr>
      </w:pPr>
    </w:p>
    <w:p w14:paraId="1DA33A1E" w14:textId="7CF3DCF5" w:rsidR="00CD547D" w:rsidRDefault="001B75CA" w:rsidP="00CD547D">
      <w:pPr>
        <w:pStyle w:val="Prrafodelista"/>
        <w:spacing w:line="276" w:lineRule="auto"/>
        <w:ind w:right="50"/>
        <w:contextualSpacing/>
        <w:jc w:val="both"/>
        <w:rPr>
          <w:rFonts w:ascii="Arial" w:hAnsi="Arial" w:cs="Arial"/>
          <w:color w:val="000000"/>
          <w:sz w:val="21"/>
          <w:szCs w:val="21"/>
          <w:lang w:val="es-CO"/>
        </w:rPr>
      </w:pPr>
      <w:r w:rsidRPr="00CD547D">
        <w:rPr>
          <w:rFonts w:ascii="Arial" w:hAnsi="Arial" w:cs="Arial"/>
          <w:color w:val="000000"/>
          <w:sz w:val="21"/>
          <w:szCs w:val="21"/>
        </w:rPr>
        <w:t>«</w:t>
      </w:r>
      <w:r w:rsidR="00CD547D">
        <w:rPr>
          <w:rFonts w:ascii="Arial" w:hAnsi="Arial" w:cs="Arial"/>
          <w:color w:val="000000"/>
          <w:sz w:val="21"/>
          <w:szCs w:val="21"/>
        </w:rPr>
        <w:t>(…) [E]</w:t>
      </w:r>
      <w:r w:rsidR="00CD547D" w:rsidRPr="00CD547D">
        <w:rPr>
          <w:rFonts w:ascii="Arial" w:hAnsi="Arial" w:cs="Arial"/>
          <w:color w:val="000000"/>
          <w:sz w:val="21"/>
          <w:szCs w:val="21"/>
          <w:lang w:val="es-CO"/>
        </w:rPr>
        <w:t>l demandante presentó inicialmente el medio de control de nulidad y restablecimiento del derecho el 24 de abril de 2015, es decir, dentro del término de caducidad, ante el Tribunal Administrativo de Córdoba, la cual fue inadmitida por vicios de forma y al no ser subsanada, mediante auto de 4 de septiembre de 2015 fue objeto de rechazo, y presentó posteriormente la misma demanda el día 22 de septiembre de 2015 ante la citada corporación judicial.</w:t>
      </w:r>
    </w:p>
    <w:p w14:paraId="3270A1C9" w14:textId="25FB5C63" w:rsidR="00CD547D" w:rsidRDefault="00CD547D" w:rsidP="00CD547D">
      <w:pPr>
        <w:pStyle w:val="Prrafodelista"/>
        <w:spacing w:line="276" w:lineRule="auto"/>
        <w:ind w:right="50"/>
        <w:contextualSpacing/>
        <w:jc w:val="both"/>
        <w:rPr>
          <w:rFonts w:ascii="Arial" w:hAnsi="Arial" w:cs="Arial"/>
          <w:color w:val="000000"/>
          <w:sz w:val="21"/>
          <w:szCs w:val="21"/>
          <w:lang w:val="es-CO"/>
        </w:rPr>
      </w:pPr>
    </w:p>
    <w:p w14:paraId="0E0842C9" w14:textId="3EBC5BFD" w:rsidR="00CD547D" w:rsidRPr="00CD547D" w:rsidRDefault="00CD547D" w:rsidP="00CD547D">
      <w:pPr>
        <w:pStyle w:val="Prrafodelista"/>
        <w:spacing w:line="276" w:lineRule="auto"/>
        <w:ind w:right="50"/>
        <w:contextualSpacing/>
        <w:jc w:val="both"/>
        <w:rPr>
          <w:rFonts w:ascii="Arial" w:hAnsi="Arial" w:cs="Arial"/>
          <w:color w:val="000000"/>
          <w:sz w:val="21"/>
          <w:szCs w:val="21"/>
          <w:lang w:val="es-CO"/>
        </w:rPr>
      </w:pPr>
      <w:r w:rsidRPr="00CD547D">
        <w:rPr>
          <w:rFonts w:ascii="Arial" w:hAnsi="Arial" w:cs="Arial"/>
          <w:color w:val="000000"/>
          <w:sz w:val="21"/>
          <w:szCs w:val="21"/>
          <w:lang w:val="es-CO"/>
        </w:rPr>
        <w:t xml:space="preserve">Atendiendo los hechos y a la regulación legal de </w:t>
      </w:r>
      <w:r w:rsidRPr="00CD547D">
        <w:rPr>
          <w:rFonts w:ascii="Arial" w:hAnsi="Arial" w:cs="Arial"/>
          <w:b/>
          <w:bCs/>
          <w:color w:val="000000"/>
          <w:sz w:val="21"/>
          <w:szCs w:val="21"/>
          <w:lang w:val="es-CO"/>
        </w:rPr>
        <w:t>la caducidad</w:t>
      </w:r>
      <w:r w:rsidRPr="00CD547D">
        <w:rPr>
          <w:rFonts w:ascii="Arial" w:hAnsi="Arial" w:cs="Arial"/>
          <w:color w:val="000000"/>
          <w:sz w:val="21"/>
          <w:szCs w:val="21"/>
          <w:lang w:val="es-CO"/>
        </w:rPr>
        <w:t xml:space="preserve">, para la Sala es claro que, ésta </w:t>
      </w:r>
      <w:r w:rsidRPr="00CD547D">
        <w:rPr>
          <w:rFonts w:ascii="Arial" w:hAnsi="Arial" w:cs="Arial"/>
          <w:b/>
          <w:bCs/>
          <w:color w:val="000000"/>
          <w:sz w:val="21"/>
          <w:szCs w:val="21"/>
          <w:lang w:val="es-CO"/>
        </w:rPr>
        <w:t>tiene un término único que opera de manera directa frente a la decisión administrativa que se pretende demandar a través de un medio de control</w:t>
      </w:r>
      <w:r w:rsidRPr="00CD547D">
        <w:rPr>
          <w:rFonts w:ascii="Arial" w:hAnsi="Arial" w:cs="Arial"/>
          <w:color w:val="000000"/>
          <w:sz w:val="21"/>
          <w:szCs w:val="21"/>
          <w:lang w:val="es-CO"/>
        </w:rPr>
        <w:t xml:space="preserve">, de manera que, si el actor interpuso inicialmente la demanda dentro del término de caducidad y el proceso culminó con un auto de rechazo, debe entenderse que agotó dentro del término procesal la oportunidad para demandar, en consecuencia </w:t>
      </w:r>
      <w:r w:rsidRPr="00CD547D">
        <w:rPr>
          <w:rFonts w:ascii="Arial" w:hAnsi="Arial" w:cs="Arial"/>
          <w:b/>
          <w:bCs/>
          <w:color w:val="000000"/>
          <w:sz w:val="21"/>
          <w:szCs w:val="21"/>
          <w:lang w:val="es-CO"/>
        </w:rPr>
        <w:t>el hecho de que se instaure una nueva demanda no implica que se reviva el término de caducidad</w:t>
      </w:r>
      <w:r w:rsidRPr="00CD547D">
        <w:rPr>
          <w:rFonts w:ascii="Arial" w:hAnsi="Arial" w:cs="Arial"/>
          <w:color w:val="000000"/>
          <w:sz w:val="21"/>
          <w:szCs w:val="21"/>
          <w:lang w:val="es-CO"/>
        </w:rPr>
        <w:t xml:space="preserve">. </w:t>
      </w:r>
    </w:p>
    <w:p w14:paraId="6DF6E452" w14:textId="77777777" w:rsidR="00CD547D" w:rsidRPr="00CD547D" w:rsidRDefault="00CD547D" w:rsidP="00CD547D">
      <w:pPr>
        <w:pStyle w:val="Prrafodelista"/>
        <w:spacing w:line="276" w:lineRule="auto"/>
        <w:ind w:right="50"/>
        <w:contextualSpacing/>
        <w:jc w:val="both"/>
        <w:rPr>
          <w:rFonts w:ascii="Arial" w:hAnsi="Arial" w:cs="Arial"/>
          <w:color w:val="000000"/>
          <w:sz w:val="21"/>
          <w:szCs w:val="21"/>
          <w:lang w:val="es-CO"/>
        </w:rPr>
      </w:pPr>
    </w:p>
    <w:p w14:paraId="33A20CAF" w14:textId="38298941" w:rsidR="00CD547D" w:rsidRPr="00CD547D" w:rsidRDefault="00CD547D" w:rsidP="00CD547D">
      <w:pPr>
        <w:pStyle w:val="Prrafodelista"/>
        <w:spacing w:line="276" w:lineRule="auto"/>
        <w:ind w:right="50"/>
        <w:contextualSpacing/>
        <w:jc w:val="both"/>
        <w:rPr>
          <w:rFonts w:ascii="Arial" w:hAnsi="Arial" w:cs="Arial"/>
          <w:color w:val="000000"/>
          <w:sz w:val="21"/>
          <w:szCs w:val="21"/>
          <w:lang w:val="es-CO"/>
        </w:rPr>
      </w:pPr>
      <w:r w:rsidRPr="00CD547D">
        <w:rPr>
          <w:rFonts w:ascii="Arial" w:hAnsi="Arial" w:cs="Arial"/>
          <w:color w:val="000000"/>
          <w:sz w:val="21"/>
          <w:szCs w:val="21"/>
          <w:lang w:val="es-CO"/>
        </w:rPr>
        <w:lastRenderedPageBreak/>
        <w:t xml:space="preserve">Lo anterior en la medida en que toda demanda exige el cumplimiento de los presupuestos procesales de la acción, entre ellos el término de caducidad, y </w:t>
      </w:r>
      <w:r w:rsidRPr="00CD547D">
        <w:rPr>
          <w:rFonts w:ascii="Arial" w:hAnsi="Arial" w:cs="Arial"/>
          <w:b/>
          <w:bCs/>
          <w:color w:val="000000"/>
          <w:sz w:val="21"/>
          <w:szCs w:val="21"/>
          <w:lang w:val="es-CO"/>
        </w:rPr>
        <w:t xml:space="preserve">la presentación anterior de un medio de control que haya culminado con un rechazo no está consagrada en la normatividad vigente y aplicable al caso como excepción al cumplimiento de ese requisito, más </w:t>
      </w:r>
      <w:r w:rsidR="00E00A1D" w:rsidRPr="00CD547D">
        <w:rPr>
          <w:rFonts w:ascii="Arial" w:hAnsi="Arial" w:cs="Arial"/>
          <w:b/>
          <w:bCs/>
          <w:color w:val="000000"/>
          <w:sz w:val="21"/>
          <w:szCs w:val="21"/>
          <w:lang w:val="es-CO"/>
        </w:rPr>
        <w:t>aún</w:t>
      </w:r>
      <w:r w:rsidRPr="00CD547D">
        <w:rPr>
          <w:rFonts w:ascii="Arial" w:hAnsi="Arial" w:cs="Arial"/>
          <w:b/>
          <w:bCs/>
          <w:color w:val="000000"/>
          <w:sz w:val="21"/>
          <w:szCs w:val="21"/>
          <w:lang w:val="es-CO"/>
        </w:rPr>
        <w:t xml:space="preserve"> cuando la decisión administrativa objeto de la nueva demanda es la misma de la demanda anterior</w:t>
      </w:r>
      <w:r w:rsidRPr="00CD547D">
        <w:rPr>
          <w:rFonts w:ascii="Arial" w:hAnsi="Arial" w:cs="Arial"/>
          <w:color w:val="000000"/>
          <w:sz w:val="21"/>
          <w:szCs w:val="21"/>
          <w:lang w:val="es-CO"/>
        </w:rPr>
        <w:t>.</w:t>
      </w:r>
    </w:p>
    <w:p w14:paraId="6ACD68D1" w14:textId="77777777" w:rsidR="00CD547D" w:rsidRPr="00CD547D" w:rsidRDefault="00CD547D" w:rsidP="00CD547D">
      <w:pPr>
        <w:pStyle w:val="Prrafodelista"/>
        <w:spacing w:line="276" w:lineRule="auto"/>
        <w:ind w:right="50"/>
        <w:contextualSpacing/>
        <w:jc w:val="both"/>
        <w:rPr>
          <w:rFonts w:ascii="Arial" w:hAnsi="Arial" w:cs="Arial"/>
          <w:bCs/>
          <w:color w:val="000000"/>
          <w:sz w:val="21"/>
          <w:szCs w:val="21"/>
          <w:lang w:val="es-CO"/>
        </w:rPr>
      </w:pPr>
    </w:p>
    <w:p w14:paraId="08905943" w14:textId="129922D5" w:rsidR="001B75CA" w:rsidRPr="00CD547D" w:rsidRDefault="002414E3" w:rsidP="00CD547D">
      <w:pPr>
        <w:pStyle w:val="Prrafodelista"/>
        <w:spacing w:line="276" w:lineRule="auto"/>
        <w:ind w:right="50"/>
        <w:contextualSpacing/>
        <w:jc w:val="both"/>
        <w:rPr>
          <w:rFonts w:ascii="Arial" w:hAnsi="Arial" w:cs="Arial"/>
          <w:color w:val="000000"/>
          <w:sz w:val="21"/>
          <w:szCs w:val="21"/>
        </w:rPr>
      </w:pPr>
      <w:r>
        <w:rPr>
          <w:rFonts w:ascii="Arial" w:hAnsi="Arial" w:cs="Arial"/>
          <w:color w:val="000000"/>
          <w:sz w:val="21"/>
          <w:szCs w:val="21"/>
          <w:lang w:val="es-CO"/>
        </w:rPr>
        <w:t xml:space="preserve">(…) </w:t>
      </w:r>
      <w:r w:rsidR="00CD547D" w:rsidRPr="00CD547D">
        <w:rPr>
          <w:rFonts w:ascii="Arial" w:hAnsi="Arial" w:cs="Arial"/>
          <w:color w:val="000000"/>
          <w:sz w:val="21"/>
          <w:szCs w:val="21"/>
          <w:lang w:val="es-CO"/>
        </w:rPr>
        <w:t>En ese orden dado que después de la suspensión del término de caducidad que tuvo lugar por virtud de la solicitud de conciliación extrajudicial la actora tenía como plazo máximo para presentar una nueva demanda el 17 de julio 2015, operó la caducidad del medio de control de nulidad y restablecimiento del derecho presentada el 22 de septiembre de esa misma anualidad, en consecuencia, atendiendo al numeral 1° del artículo 169 del Código de Procedimiento Administrativo y de lo Contencioso Administrativo, ésta debía rechazarse, motivo por el cual la providencia impugnada será confirmada»</w:t>
      </w:r>
      <w:r>
        <w:rPr>
          <w:rFonts w:ascii="Arial" w:hAnsi="Arial" w:cs="Arial"/>
          <w:color w:val="000000"/>
          <w:sz w:val="21"/>
          <w:szCs w:val="21"/>
          <w:lang w:val="es-CO"/>
        </w:rPr>
        <w:t xml:space="preserve"> (negrillas de la Sala)</w:t>
      </w:r>
      <w:r w:rsidR="00CD547D" w:rsidRPr="00CD547D">
        <w:rPr>
          <w:rFonts w:ascii="Arial" w:hAnsi="Arial" w:cs="Arial"/>
          <w:color w:val="000000"/>
          <w:sz w:val="21"/>
          <w:szCs w:val="21"/>
          <w:lang w:val="es-CO"/>
        </w:rPr>
        <w:t>.</w:t>
      </w:r>
    </w:p>
    <w:p w14:paraId="1B20E98F" w14:textId="77777777" w:rsidR="001B75CA" w:rsidRPr="001B75CA" w:rsidRDefault="001B75CA" w:rsidP="001B75CA">
      <w:pPr>
        <w:pStyle w:val="Prrafodelista"/>
        <w:rPr>
          <w:rFonts w:ascii="Arial" w:hAnsi="Arial" w:cs="Arial"/>
          <w:color w:val="000000"/>
          <w:sz w:val="24"/>
          <w:szCs w:val="24"/>
        </w:rPr>
      </w:pPr>
    </w:p>
    <w:p w14:paraId="4D0A31AF" w14:textId="502C1479" w:rsidR="001B75CA" w:rsidRPr="00CD41A0" w:rsidRDefault="00EC33CD" w:rsidP="003E4F05">
      <w:pPr>
        <w:pStyle w:val="Prrafodelista"/>
        <w:numPr>
          <w:ilvl w:val="0"/>
          <w:numId w:val="8"/>
        </w:numPr>
        <w:spacing w:line="276" w:lineRule="auto"/>
        <w:ind w:left="0" w:right="50" w:firstLine="0"/>
        <w:contextualSpacing/>
        <w:jc w:val="both"/>
        <w:rPr>
          <w:rFonts w:ascii="Arial" w:hAnsi="Arial" w:cs="Arial"/>
          <w:color w:val="000000"/>
          <w:sz w:val="24"/>
          <w:szCs w:val="24"/>
        </w:rPr>
      </w:pPr>
      <w:r w:rsidRPr="00CD41A0">
        <w:rPr>
          <w:rFonts w:ascii="Arial" w:hAnsi="Arial" w:cs="Arial"/>
          <w:color w:val="000000"/>
          <w:sz w:val="24"/>
          <w:szCs w:val="24"/>
        </w:rPr>
        <w:t>Es importante resaltar que l</w:t>
      </w:r>
      <w:r w:rsidR="001B75CA" w:rsidRPr="00CD41A0">
        <w:rPr>
          <w:rFonts w:ascii="Arial" w:hAnsi="Arial" w:cs="Arial"/>
          <w:color w:val="000000"/>
          <w:sz w:val="24"/>
          <w:szCs w:val="24"/>
        </w:rPr>
        <w:t xml:space="preserve">a anterior postura se inscribió en la misma </w:t>
      </w:r>
      <w:r w:rsidRPr="00CD41A0">
        <w:rPr>
          <w:rFonts w:ascii="Arial" w:hAnsi="Arial" w:cs="Arial"/>
          <w:color w:val="000000"/>
          <w:sz w:val="24"/>
          <w:szCs w:val="24"/>
        </w:rPr>
        <w:t xml:space="preserve">línea </w:t>
      </w:r>
      <w:r w:rsidR="001B75CA" w:rsidRPr="00CD41A0">
        <w:rPr>
          <w:rFonts w:ascii="Arial" w:hAnsi="Arial" w:cs="Arial"/>
          <w:color w:val="000000"/>
          <w:sz w:val="24"/>
          <w:szCs w:val="24"/>
        </w:rPr>
        <w:t xml:space="preserve">que ya había sido trazada por la providencia emitida el </w:t>
      </w:r>
      <w:r w:rsidR="00FB1EF4" w:rsidRPr="00CD41A0">
        <w:rPr>
          <w:rFonts w:ascii="Arial" w:hAnsi="Arial" w:cs="Arial"/>
          <w:color w:val="000000"/>
          <w:sz w:val="24"/>
          <w:szCs w:val="24"/>
        </w:rPr>
        <w:t>22 de enero de 2015</w:t>
      </w:r>
      <w:r w:rsidR="00833B86" w:rsidRPr="00CD41A0">
        <w:rPr>
          <w:rFonts w:ascii="Arial" w:hAnsi="Arial" w:cs="Arial"/>
          <w:color w:val="000000"/>
          <w:sz w:val="24"/>
          <w:szCs w:val="24"/>
        </w:rPr>
        <w:t>,</w:t>
      </w:r>
      <w:r w:rsidR="00FB1EF4" w:rsidRPr="00CD41A0">
        <w:rPr>
          <w:rFonts w:ascii="Arial" w:hAnsi="Arial" w:cs="Arial"/>
          <w:color w:val="000000"/>
          <w:sz w:val="24"/>
          <w:szCs w:val="24"/>
        </w:rPr>
        <w:t xml:space="preserve"> por parte del Consejo de Estado</w:t>
      </w:r>
      <w:r w:rsidR="00FB1EF4" w:rsidRPr="00CD41A0">
        <w:rPr>
          <w:rStyle w:val="Refdenotaalpie"/>
          <w:rFonts w:ascii="Arial" w:hAnsi="Arial" w:cs="Arial"/>
          <w:color w:val="000000"/>
          <w:sz w:val="24"/>
          <w:szCs w:val="24"/>
        </w:rPr>
        <w:footnoteReference w:id="43"/>
      </w:r>
      <w:r w:rsidR="00833B86" w:rsidRPr="00CD41A0">
        <w:rPr>
          <w:rFonts w:ascii="Arial" w:hAnsi="Arial" w:cs="Arial"/>
          <w:color w:val="000000"/>
          <w:sz w:val="24"/>
          <w:szCs w:val="24"/>
        </w:rPr>
        <w:t>,</w:t>
      </w:r>
      <w:r w:rsidR="00685735" w:rsidRPr="00CD41A0">
        <w:rPr>
          <w:rFonts w:ascii="Arial" w:hAnsi="Arial" w:cs="Arial"/>
          <w:color w:val="000000"/>
          <w:sz w:val="24"/>
          <w:szCs w:val="24"/>
        </w:rPr>
        <w:t xml:space="preserve"> donde se </w:t>
      </w:r>
      <w:r w:rsidR="00833B86" w:rsidRPr="00CD41A0">
        <w:rPr>
          <w:rFonts w:ascii="Arial" w:hAnsi="Arial" w:cs="Arial"/>
          <w:color w:val="000000"/>
          <w:sz w:val="24"/>
          <w:szCs w:val="24"/>
        </w:rPr>
        <w:t xml:space="preserve">dejó claro </w:t>
      </w:r>
      <w:r w:rsidR="00685735" w:rsidRPr="00CD41A0">
        <w:rPr>
          <w:rFonts w:ascii="Arial" w:hAnsi="Arial" w:cs="Arial"/>
          <w:color w:val="000000"/>
          <w:sz w:val="24"/>
          <w:szCs w:val="24"/>
        </w:rPr>
        <w:t xml:space="preserve">que el hecho de que se instaure una nueva demanda no implica </w:t>
      </w:r>
      <w:r w:rsidR="00833B86" w:rsidRPr="00CD41A0">
        <w:rPr>
          <w:rFonts w:ascii="Arial" w:hAnsi="Arial" w:cs="Arial"/>
          <w:i/>
          <w:iCs/>
          <w:color w:val="000000"/>
          <w:sz w:val="24"/>
          <w:szCs w:val="24"/>
        </w:rPr>
        <w:t xml:space="preserve">per </w:t>
      </w:r>
      <w:proofErr w:type="spellStart"/>
      <w:r w:rsidR="00833B86" w:rsidRPr="00CD41A0">
        <w:rPr>
          <w:rFonts w:ascii="Arial" w:hAnsi="Arial" w:cs="Arial"/>
          <w:i/>
          <w:iCs/>
          <w:color w:val="000000"/>
          <w:sz w:val="24"/>
          <w:szCs w:val="24"/>
        </w:rPr>
        <w:t>se</w:t>
      </w:r>
      <w:proofErr w:type="spellEnd"/>
      <w:r w:rsidR="00833B86" w:rsidRPr="00CD41A0">
        <w:rPr>
          <w:rFonts w:ascii="Arial" w:hAnsi="Arial" w:cs="Arial"/>
          <w:i/>
          <w:iCs/>
          <w:color w:val="000000"/>
          <w:sz w:val="24"/>
          <w:szCs w:val="24"/>
        </w:rPr>
        <w:t xml:space="preserve"> </w:t>
      </w:r>
      <w:r w:rsidR="00685735" w:rsidRPr="00CD41A0">
        <w:rPr>
          <w:rFonts w:ascii="Arial" w:hAnsi="Arial" w:cs="Arial"/>
          <w:color w:val="000000"/>
          <w:sz w:val="24"/>
          <w:szCs w:val="24"/>
        </w:rPr>
        <w:t>que se suspenda o se interrumpa el término de caducidad</w:t>
      </w:r>
      <w:r w:rsidR="00833B86" w:rsidRPr="00CD41A0">
        <w:rPr>
          <w:rFonts w:ascii="Arial" w:hAnsi="Arial" w:cs="Arial"/>
          <w:color w:val="000000"/>
          <w:sz w:val="24"/>
          <w:szCs w:val="24"/>
        </w:rPr>
        <w:t xml:space="preserve"> del medio de control</w:t>
      </w:r>
      <w:r w:rsidR="00685735" w:rsidRPr="00CD41A0">
        <w:rPr>
          <w:rFonts w:ascii="Arial" w:hAnsi="Arial" w:cs="Arial"/>
          <w:color w:val="000000"/>
          <w:sz w:val="24"/>
          <w:szCs w:val="24"/>
        </w:rPr>
        <w:t xml:space="preserve">, razón por la cual ello no </w:t>
      </w:r>
      <w:r w:rsidR="00F854DD" w:rsidRPr="00CD41A0">
        <w:rPr>
          <w:rFonts w:ascii="Arial" w:hAnsi="Arial" w:cs="Arial"/>
          <w:color w:val="000000"/>
          <w:sz w:val="24"/>
          <w:szCs w:val="24"/>
        </w:rPr>
        <w:t xml:space="preserve">conlleva a </w:t>
      </w:r>
      <w:r w:rsidR="00685735" w:rsidRPr="00CD41A0">
        <w:rPr>
          <w:rFonts w:ascii="Arial" w:hAnsi="Arial" w:cs="Arial"/>
          <w:color w:val="000000"/>
          <w:sz w:val="24"/>
          <w:szCs w:val="24"/>
        </w:rPr>
        <w:t>que</w:t>
      </w:r>
      <w:r w:rsidR="00F854DD" w:rsidRPr="00CD41A0">
        <w:rPr>
          <w:rFonts w:ascii="Arial" w:hAnsi="Arial" w:cs="Arial"/>
          <w:color w:val="000000"/>
          <w:sz w:val="24"/>
          <w:szCs w:val="24"/>
        </w:rPr>
        <w:t>,</w:t>
      </w:r>
      <w:r w:rsidR="00685735" w:rsidRPr="00CD41A0">
        <w:rPr>
          <w:rFonts w:ascii="Arial" w:hAnsi="Arial" w:cs="Arial"/>
          <w:color w:val="000000"/>
          <w:sz w:val="24"/>
          <w:szCs w:val="24"/>
        </w:rPr>
        <w:t xml:space="preserve"> de esa manera</w:t>
      </w:r>
      <w:r w:rsidR="00F854DD" w:rsidRPr="00CD41A0">
        <w:rPr>
          <w:rFonts w:ascii="Arial" w:hAnsi="Arial" w:cs="Arial"/>
          <w:color w:val="000000"/>
          <w:sz w:val="24"/>
          <w:szCs w:val="24"/>
        </w:rPr>
        <w:t>,</w:t>
      </w:r>
      <w:r w:rsidR="00685735" w:rsidRPr="00CD41A0">
        <w:rPr>
          <w:rFonts w:ascii="Arial" w:hAnsi="Arial" w:cs="Arial"/>
          <w:color w:val="000000"/>
          <w:sz w:val="24"/>
          <w:szCs w:val="24"/>
        </w:rPr>
        <w:t xml:space="preserve"> se </w:t>
      </w:r>
      <w:r w:rsidR="00F854DD" w:rsidRPr="00CD41A0">
        <w:rPr>
          <w:rFonts w:ascii="Arial" w:hAnsi="Arial" w:cs="Arial"/>
          <w:color w:val="000000"/>
          <w:sz w:val="24"/>
          <w:szCs w:val="24"/>
        </w:rPr>
        <w:t xml:space="preserve">puedan </w:t>
      </w:r>
      <w:r w:rsidR="00685735" w:rsidRPr="00CD41A0">
        <w:rPr>
          <w:rFonts w:ascii="Arial" w:hAnsi="Arial" w:cs="Arial"/>
          <w:color w:val="000000"/>
          <w:sz w:val="24"/>
          <w:szCs w:val="24"/>
        </w:rPr>
        <w:t xml:space="preserve">revivir términos </w:t>
      </w:r>
      <w:r w:rsidR="00F854DD" w:rsidRPr="00CD41A0">
        <w:rPr>
          <w:rFonts w:ascii="Arial" w:hAnsi="Arial" w:cs="Arial"/>
          <w:color w:val="000000"/>
          <w:sz w:val="24"/>
          <w:szCs w:val="24"/>
        </w:rPr>
        <w:t xml:space="preserve">ya </w:t>
      </w:r>
      <w:r w:rsidR="00685735" w:rsidRPr="00CD41A0">
        <w:rPr>
          <w:rFonts w:ascii="Arial" w:hAnsi="Arial" w:cs="Arial"/>
          <w:color w:val="000000"/>
          <w:sz w:val="24"/>
          <w:szCs w:val="24"/>
        </w:rPr>
        <w:t xml:space="preserve">fenecidos. </w:t>
      </w:r>
    </w:p>
    <w:p w14:paraId="399EED96" w14:textId="77777777" w:rsidR="00761C02" w:rsidRPr="000607A7" w:rsidRDefault="00761C02" w:rsidP="00761C02">
      <w:pPr>
        <w:pStyle w:val="Prrafodelista"/>
        <w:rPr>
          <w:rFonts w:ascii="Arial" w:hAnsi="Arial" w:cs="Arial"/>
          <w:color w:val="000000"/>
          <w:sz w:val="24"/>
          <w:szCs w:val="24"/>
        </w:rPr>
      </w:pPr>
    </w:p>
    <w:p w14:paraId="39D939EB" w14:textId="284A261E" w:rsidR="003E2B85" w:rsidRPr="003E2B85" w:rsidRDefault="003E2B85"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16D8C">
        <w:rPr>
          <w:rFonts w:ascii="Arial" w:hAnsi="Arial" w:cs="Arial"/>
          <w:color w:val="000000"/>
          <w:sz w:val="24"/>
          <w:szCs w:val="24"/>
          <w:lang w:val="es-CO"/>
        </w:rPr>
        <w:t>Así las cosas, es claro que el término de caducidad del presente medio de control no se suspendió entre el 20 de noviembre de 2020 y el 5 de febrero de 2021.</w:t>
      </w:r>
      <w:r>
        <w:rPr>
          <w:rFonts w:ascii="Arial" w:hAnsi="Arial" w:cs="Arial"/>
          <w:color w:val="000000"/>
          <w:sz w:val="24"/>
          <w:szCs w:val="24"/>
          <w:lang w:val="es-CO"/>
        </w:rPr>
        <w:t xml:space="preserve"> Partiendo de tal premisa, procede a revisarse </w:t>
      </w:r>
      <w:r w:rsidR="007B0703">
        <w:rPr>
          <w:rFonts w:ascii="Arial" w:hAnsi="Arial" w:cs="Arial"/>
          <w:color w:val="000000"/>
          <w:sz w:val="24"/>
          <w:szCs w:val="24"/>
          <w:lang w:val="es-CO"/>
        </w:rPr>
        <w:t>si la presente demanda se instauró</w:t>
      </w:r>
      <w:r w:rsidR="00F854DD">
        <w:rPr>
          <w:rFonts w:ascii="Arial" w:hAnsi="Arial" w:cs="Arial"/>
          <w:color w:val="000000"/>
          <w:sz w:val="24"/>
          <w:szCs w:val="24"/>
          <w:lang w:val="es-CO"/>
        </w:rPr>
        <w:t xml:space="preserve"> en el término previsto por el literal c) del numeral 2° del artículo 164 del CPACA</w:t>
      </w:r>
      <w:r>
        <w:rPr>
          <w:rFonts w:ascii="Arial" w:hAnsi="Arial" w:cs="Arial"/>
          <w:color w:val="000000"/>
          <w:sz w:val="24"/>
          <w:szCs w:val="24"/>
          <w:lang w:val="es-CO"/>
        </w:rPr>
        <w:t>.</w:t>
      </w:r>
    </w:p>
    <w:p w14:paraId="5D8FC0BD" w14:textId="77777777" w:rsidR="003E2B85" w:rsidRPr="003E2B85" w:rsidRDefault="003E2B85" w:rsidP="003E2B85">
      <w:pPr>
        <w:pStyle w:val="Prrafodelista"/>
        <w:rPr>
          <w:rFonts w:ascii="Arial" w:hAnsi="Arial" w:cs="Arial"/>
          <w:color w:val="000000"/>
          <w:sz w:val="24"/>
          <w:szCs w:val="24"/>
          <w:lang w:val="es-CO"/>
        </w:rPr>
      </w:pPr>
    </w:p>
    <w:p w14:paraId="2CEE00DE" w14:textId="77777777" w:rsidR="00C00340" w:rsidRPr="00C00340" w:rsidRDefault="004322A1"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sidRPr="26A5AAD8">
        <w:rPr>
          <w:rFonts w:ascii="Arial" w:hAnsi="Arial" w:cs="Arial"/>
          <w:color w:val="000000" w:themeColor="text1"/>
          <w:sz w:val="24"/>
          <w:szCs w:val="24"/>
          <w:lang w:val="es-CO"/>
        </w:rPr>
        <w:t xml:space="preserve">En el caso bajo estudio, se evidencia que el término de caducidad para demandar la nulidad del acto administrativo atacado ―y el que resolvió el recurso que se interpuso contra el mismo― comenzó a correr a partir del 1 de julio de 2020 y fue suspendido, de forma temporal, </w:t>
      </w:r>
      <w:r w:rsidR="00057571" w:rsidRPr="26A5AAD8">
        <w:rPr>
          <w:rFonts w:ascii="Arial" w:hAnsi="Arial" w:cs="Arial"/>
          <w:color w:val="000000" w:themeColor="text1"/>
          <w:sz w:val="24"/>
          <w:szCs w:val="24"/>
          <w:lang w:val="es-CO"/>
        </w:rPr>
        <w:t xml:space="preserve">el 3 de agosto de 2020, cuando se radicó la solicitud de conciliación extrajudicial ―con el fin de agotar el requisito de procedibilidad previsto en el numeral </w:t>
      </w:r>
      <w:r w:rsidR="00057571" w:rsidRPr="26A5AAD8">
        <w:rPr>
          <w:rFonts w:ascii="Arial" w:hAnsi="Arial" w:cs="Arial"/>
          <w:b/>
          <w:bCs/>
          <w:color w:val="000000" w:themeColor="text1"/>
          <w:sz w:val="24"/>
          <w:szCs w:val="24"/>
          <w:lang w:val="es-CO"/>
        </w:rPr>
        <w:t>1° del artículo 161 del CPACA</w:t>
      </w:r>
      <w:r w:rsidR="00057571" w:rsidRPr="26A5AAD8">
        <w:rPr>
          <w:rFonts w:ascii="Arial" w:hAnsi="Arial" w:cs="Arial"/>
          <w:color w:val="000000" w:themeColor="text1"/>
          <w:sz w:val="24"/>
          <w:szCs w:val="24"/>
          <w:lang w:val="es-CO"/>
        </w:rPr>
        <w:t>―</w:t>
      </w:r>
      <w:r w:rsidR="006B345D" w:rsidRPr="26A5AAD8">
        <w:rPr>
          <w:rFonts w:ascii="Arial" w:hAnsi="Arial" w:cs="Arial"/>
          <w:color w:val="000000" w:themeColor="text1"/>
          <w:sz w:val="24"/>
          <w:szCs w:val="24"/>
          <w:lang w:val="es-CO"/>
        </w:rPr>
        <w:t>.</w:t>
      </w:r>
      <w:r w:rsidR="00C00340" w:rsidRPr="26A5AAD8">
        <w:rPr>
          <w:rFonts w:ascii="Arial" w:hAnsi="Arial" w:cs="Arial"/>
          <w:color w:val="000000" w:themeColor="text1"/>
          <w:sz w:val="24"/>
          <w:szCs w:val="24"/>
          <w:lang w:val="es-CO"/>
        </w:rPr>
        <w:t xml:space="preserve"> </w:t>
      </w:r>
    </w:p>
    <w:p w14:paraId="41A3FE6B" w14:textId="77777777" w:rsidR="00C00340" w:rsidRPr="00C00340" w:rsidRDefault="00C00340" w:rsidP="00C00340">
      <w:pPr>
        <w:pStyle w:val="Prrafodelista"/>
        <w:rPr>
          <w:rFonts w:ascii="Arial" w:hAnsi="Arial" w:cs="Arial"/>
          <w:color w:val="000000"/>
          <w:sz w:val="24"/>
          <w:szCs w:val="24"/>
          <w:lang w:val="es-CO"/>
        </w:rPr>
      </w:pPr>
    </w:p>
    <w:p w14:paraId="62106A7C" w14:textId="77777777" w:rsidR="008537D5" w:rsidRPr="008537D5" w:rsidRDefault="00C00340"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Efectuad</w:t>
      </w:r>
      <w:r w:rsidR="008537D5">
        <w:rPr>
          <w:rFonts w:ascii="Arial" w:hAnsi="Arial" w:cs="Arial"/>
          <w:color w:val="000000"/>
          <w:sz w:val="24"/>
          <w:szCs w:val="24"/>
          <w:lang w:val="es-CO"/>
        </w:rPr>
        <w:t xml:space="preserve">os los cálculos, se tiene que entre una y otra actuación, transcurrieron 1 mes y 2 días. </w:t>
      </w:r>
    </w:p>
    <w:p w14:paraId="2AD21155" w14:textId="77777777" w:rsidR="008537D5" w:rsidRPr="008537D5" w:rsidRDefault="008537D5" w:rsidP="008537D5">
      <w:pPr>
        <w:pStyle w:val="Prrafodelista"/>
        <w:rPr>
          <w:rFonts w:ascii="Arial" w:hAnsi="Arial" w:cs="Arial"/>
          <w:color w:val="000000"/>
          <w:sz w:val="24"/>
          <w:szCs w:val="24"/>
          <w:lang w:val="es-CO"/>
        </w:rPr>
      </w:pPr>
    </w:p>
    <w:p w14:paraId="1C7C116B" w14:textId="77777777" w:rsidR="00A200C0" w:rsidRPr="00A200C0" w:rsidRDefault="008537D5"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 xml:space="preserve">Ahora bien, la constancia a que se refiere el artículo 2 de la Ley 640 de 2001 fue expedida, por </w:t>
      </w:r>
      <w:r w:rsidR="0011308D">
        <w:rPr>
          <w:rFonts w:ascii="Arial" w:hAnsi="Arial" w:cs="Arial"/>
          <w:color w:val="000000"/>
          <w:sz w:val="24"/>
          <w:szCs w:val="24"/>
          <w:lang w:val="es-CO"/>
        </w:rPr>
        <w:t>la Procuraduría General de la Nación, el 26 de octubre de 2020</w:t>
      </w:r>
      <w:r w:rsidR="003D1EE0">
        <w:rPr>
          <w:rFonts w:ascii="Arial" w:hAnsi="Arial" w:cs="Arial"/>
          <w:color w:val="000000"/>
          <w:sz w:val="24"/>
          <w:szCs w:val="24"/>
          <w:lang w:val="es-CO"/>
        </w:rPr>
        <w:t xml:space="preserve">. Por su parte, la presente demanda fue radicada hasta el día 15 de febrero de 2021 ―independientemente del hecho de que la misma se haya repartido hasta el día 8 de abril de dicha anualidad―. </w:t>
      </w:r>
    </w:p>
    <w:p w14:paraId="5EB4EC58" w14:textId="77777777" w:rsidR="00A200C0" w:rsidRPr="00A200C0" w:rsidRDefault="00A200C0" w:rsidP="00A200C0">
      <w:pPr>
        <w:pStyle w:val="Prrafodelista"/>
        <w:rPr>
          <w:rFonts w:ascii="Arial" w:hAnsi="Arial" w:cs="Arial"/>
          <w:color w:val="000000"/>
          <w:sz w:val="24"/>
          <w:szCs w:val="24"/>
          <w:lang w:val="es-CO"/>
        </w:rPr>
      </w:pPr>
    </w:p>
    <w:p w14:paraId="68F271BE" w14:textId="77777777" w:rsidR="00AE18D0" w:rsidRPr="00AE18D0" w:rsidRDefault="003D1EE0"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lastRenderedPageBreak/>
        <w:t xml:space="preserve">Lo </w:t>
      </w:r>
      <w:r w:rsidR="00A200C0">
        <w:rPr>
          <w:rFonts w:ascii="Arial" w:hAnsi="Arial" w:cs="Arial"/>
          <w:color w:val="000000"/>
          <w:sz w:val="24"/>
          <w:szCs w:val="24"/>
          <w:lang w:val="es-CO"/>
        </w:rPr>
        <w:t xml:space="preserve">anterior indica que, a partir del día siguiente </w:t>
      </w:r>
      <w:r w:rsidR="000A5DA9">
        <w:rPr>
          <w:rFonts w:ascii="Arial" w:hAnsi="Arial" w:cs="Arial"/>
          <w:color w:val="000000"/>
          <w:sz w:val="24"/>
          <w:szCs w:val="24"/>
          <w:lang w:val="es-CO"/>
        </w:rPr>
        <w:t xml:space="preserve">al que fue expedida la constancia por parte del </w:t>
      </w:r>
      <w:r w:rsidR="000A5DA9">
        <w:rPr>
          <w:rFonts w:ascii="Arial" w:hAnsi="Arial" w:cs="Arial"/>
          <w:color w:val="000000"/>
          <w:sz w:val="24"/>
          <w:szCs w:val="24"/>
        </w:rPr>
        <w:t xml:space="preserve">Procurador 178 Judicial I para Asuntos Administrativos, hasta que fue radicado el presente medio de control, </w:t>
      </w:r>
      <w:r w:rsidR="00A200C0">
        <w:rPr>
          <w:rFonts w:ascii="Arial" w:hAnsi="Arial" w:cs="Arial"/>
          <w:color w:val="000000"/>
          <w:sz w:val="24"/>
          <w:szCs w:val="24"/>
          <w:lang w:val="es-CO"/>
        </w:rPr>
        <w:t>transcurrió un</w:t>
      </w:r>
      <w:r w:rsidR="00AE18D0">
        <w:rPr>
          <w:rFonts w:ascii="Arial" w:hAnsi="Arial" w:cs="Arial"/>
          <w:color w:val="000000"/>
          <w:sz w:val="24"/>
          <w:szCs w:val="24"/>
          <w:lang w:val="es-CO"/>
        </w:rPr>
        <w:t xml:space="preserve"> total de 3 meses y 26 días. </w:t>
      </w:r>
    </w:p>
    <w:p w14:paraId="38027A50" w14:textId="77777777" w:rsidR="00AE18D0" w:rsidRPr="00AE18D0" w:rsidRDefault="00AE18D0" w:rsidP="00AE18D0">
      <w:pPr>
        <w:pStyle w:val="Prrafodelista"/>
        <w:rPr>
          <w:rFonts w:ascii="Arial" w:hAnsi="Arial" w:cs="Arial"/>
          <w:color w:val="000000"/>
          <w:sz w:val="24"/>
          <w:szCs w:val="24"/>
          <w:lang w:val="es-CO"/>
        </w:rPr>
      </w:pPr>
    </w:p>
    <w:p w14:paraId="2ED0BB6D" w14:textId="77777777" w:rsidR="007B6711" w:rsidRDefault="00AE18D0"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sidRPr="26A5AAD8">
        <w:rPr>
          <w:rFonts w:ascii="Arial" w:hAnsi="Arial" w:cs="Arial"/>
          <w:color w:val="000000" w:themeColor="text1"/>
          <w:sz w:val="24"/>
          <w:szCs w:val="24"/>
          <w:lang w:val="es-CO"/>
        </w:rPr>
        <w:t>De esta manera, se tiene que la demanda fue radicada</w:t>
      </w:r>
      <w:r w:rsidRPr="26A5AAD8">
        <w:rPr>
          <w:rFonts w:ascii="Arial" w:hAnsi="Arial" w:cs="Arial"/>
          <w:b/>
          <w:bCs/>
          <w:color w:val="000000" w:themeColor="text1"/>
          <w:sz w:val="24"/>
          <w:szCs w:val="24"/>
          <w:lang w:val="es-CO"/>
        </w:rPr>
        <w:t xml:space="preserve"> 4 meses y 28 días después</w:t>
      </w:r>
      <w:r w:rsidRPr="26A5AAD8">
        <w:rPr>
          <w:rFonts w:ascii="Arial" w:hAnsi="Arial" w:cs="Arial"/>
          <w:color w:val="000000" w:themeColor="text1"/>
          <w:sz w:val="24"/>
          <w:szCs w:val="24"/>
          <w:lang w:val="es-CO"/>
        </w:rPr>
        <w:t xml:space="preserve"> de que comenzó a contarse el término de caducidad </w:t>
      </w:r>
      <w:r w:rsidR="00D32A03" w:rsidRPr="26A5AAD8">
        <w:rPr>
          <w:rFonts w:ascii="Arial" w:hAnsi="Arial" w:cs="Arial"/>
          <w:color w:val="000000" w:themeColor="text1"/>
          <w:sz w:val="24"/>
          <w:szCs w:val="24"/>
          <w:lang w:val="es-CO"/>
        </w:rPr>
        <w:t xml:space="preserve">previsto por el literal c) del numeral 2° del artículo 164 del CPACA; norma que solo otorgaba cuatro meses para la interposición </w:t>
      </w:r>
      <w:r w:rsidR="007B6711" w:rsidRPr="26A5AAD8">
        <w:rPr>
          <w:rFonts w:ascii="Arial" w:hAnsi="Arial" w:cs="Arial"/>
          <w:color w:val="000000" w:themeColor="text1"/>
          <w:sz w:val="24"/>
          <w:szCs w:val="24"/>
          <w:lang w:val="es-CO"/>
        </w:rPr>
        <w:t>de la demanda en contra «</w:t>
      </w:r>
      <w:r w:rsidR="00D32A03" w:rsidRPr="26A5AAD8">
        <w:rPr>
          <w:rFonts w:ascii="Arial" w:hAnsi="Arial" w:cs="Arial"/>
          <w:color w:val="000000" w:themeColor="text1"/>
          <w:sz w:val="24"/>
          <w:szCs w:val="24"/>
        </w:rPr>
        <w:t>de los actos previos a la celebración del contrato</w:t>
      </w:r>
      <w:r w:rsidR="007B6711" w:rsidRPr="26A5AAD8">
        <w:rPr>
          <w:rFonts w:ascii="Arial" w:hAnsi="Arial" w:cs="Arial"/>
          <w:color w:val="000000" w:themeColor="text1"/>
          <w:sz w:val="24"/>
          <w:szCs w:val="24"/>
        </w:rPr>
        <w:t xml:space="preserve">». </w:t>
      </w:r>
    </w:p>
    <w:p w14:paraId="18B317D9" w14:textId="77777777" w:rsidR="007B6711" w:rsidRPr="007B6711" w:rsidRDefault="007B6711" w:rsidP="007B6711">
      <w:pPr>
        <w:pStyle w:val="Prrafodelista"/>
        <w:rPr>
          <w:rFonts w:ascii="Arial" w:hAnsi="Arial" w:cs="Arial"/>
          <w:color w:val="000000"/>
          <w:sz w:val="24"/>
          <w:szCs w:val="24"/>
        </w:rPr>
      </w:pPr>
    </w:p>
    <w:p w14:paraId="04EB2800" w14:textId="20B87F1E" w:rsidR="007B6711" w:rsidRPr="007B6711" w:rsidRDefault="007B6711" w:rsidP="00EC69B6">
      <w:pPr>
        <w:pStyle w:val="Prrafodelista"/>
        <w:numPr>
          <w:ilvl w:val="0"/>
          <w:numId w:val="8"/>
        </w:numPr>
        <w:spacing w:line="276" w:lineRule="auto"/>
        <w:ind w:left="0" w:right="50" w:firstLine="0"/>
        <w:contextualSpacing/>
        <w:jc w:val="both"/>
        <w:rPr>
          <w:rFonts w:ascii="Arial" w:hAnsi="Arial" w:cs="Arial"/>
          <w:color w:val="000000"/>
          <w:sz w:val="24"/>
          <w:szCs w:val="24"/>
        </w:rPr>
      </w:pPr>
      <w:r w:rsidRPr="26A5AAD8">
        <w:rPr>
          <w:rFonts w:ascii="Arial" w:hAnsi="Arial" w:cs="Arial"/>
          <w:color w:val="000000" w:themeColor="text1"/>
          <w:sz w:val="24"/>
          <w:szCs w:val="24"/>
        </w:rPr>
        <w:t xml:space="preserve">En consecuencia, si bien es cierto que el </w:t>
      </w:r>
      <w:r w:rsidRPr="26A5AAD8">
        <w:rPr>
          <w:rFonts w:ascii="Arial" w:hAnsi="Arial" w:cs="Arial"/>
          <w:i/>
          <w:iCs/>
          <w:color w:val="000000" w:themeColor="text1"/>
          <w:sz w:val="24"/>
          <w:szCs w:val="24"/>
        </w:rPr>
        <w:t xml:space="preserve">a quo </w:t>
      </w:r>
      <w:r w:rsidRPr="26A5AAD8">
        <w:rPr>
          <w:rFonts w:ascii="Arial" w:hAnsi="Arial" w:cs="Arial"/>
          <w:color w:val="000000" w:themeColor="text1"/>
          <w:sz w:val="24"/>
          <w:szCs w:val="24"/>
        </w:rPr>
        <w:t xml:space="preserve">erró al considerar que la demanda se había radicado hasta el 8 de abril del de 2021, lo cierto es que su determinación sí fue acertada ya que, según lo expuesto, al momento de su interposición, el medio de control ya se encontraba </w:t>
      </w:r>
      <w:r w:rsidRPr="26A5AAD8">
        <w:rPr>
          <w:rFonts w:ascii="Arial" w:hAnsi="Arial" w:cs="Arial"/>
          <w:b/>
          <w:bCs/>
          <w:color w:val="000000" w:themeColor="text1"/>
          <w:sz w:val="24"/>
          <w:szCs w:val="24"/>
        </w:rPr>
        <w:t>caduco</w:t>
      </w:r>
      <w:r w:rsidRPr="26A5AAD8">
        <w:rPr>
          <w:rFonts w:ascii="Arial" w:hAnsi="Arial" w:cs="Arial"/>
          <w:color w:val="000000" w:themeColor="text1"/>
          <w:sz w:val="24"/>
          <w:szCs w:val="24"/>
        </w:rPr>
        <w:t xml:space="preserve">. </w:t>
      </w:r>
    </w:p>
    <w:p w14:paraId="280B7707" w14:textId="77777777" w:rsidR="007B6711" w:rsidRDefault="007B6711" w:rsidP="007B6711">
      <w:pPr>
        <w:pStyle w:val="Prrafodelista"/>
        <w:spacing w:line="276" w:lineRule="auto"/>
        <w:ind w:left="0" w:right="50"/>
        <w:contextualSpacing/>
        <w:jc w:val="both"/>
        <w:rPr>
          <w:rFonts w:ascii="Arial" w:hAnsi="Arial" w:cs="Arial"/>
          <w:color w:val="000000"/>
          <w:sz w:val="24"/>
          <w:szCs w:val="24"/>
        </w:rPr>
      </w:pPr>
    </w:p>
    <w:p w14:paraId="2BE9C541" w14:textId="06D1EE25" w:rsidR="0011308D" w:rsidRPr="0011308D" w:rsidRDefault="007B6711" w:rsidP="006B345D">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Por tal razón, la Sala confirmará </w:t>
      </w:r>
      <w:r w:rsidR="00771D42">
        <w:rPr>
          <w:rFonts w:ascii="Arial" w:hAnsi="Arial" w:cs="Arial"/>
          <w:color w:val="000000"/>
          <w:sz w:val="24"/>
          <w:szCs w:val="24"/>
        </w:rPr>
        <w:t>la providencia de 16 de septiembre de 2021 expedida por el Juzgado Segundo Administrativo de Duitama</w:t>
      </w:r>
      <w:r>
        <w:rPr>
          <w:rFonts w:ascii="Arial" w:hAnsi="Arial" w:cs="Arial"/>
          <w:color w:val="000000"/>
          <w:sz w:val="24"/>
          <w:szCs w:val="24"/>
        </w:rPr>
        <w:t xml:space="preserve">, pero por las razones aquí expuestas. </w:t>
      </w:r>
    </w:p>
    <w:p w14:paraId="3C900BF6" w14:textId="3BA54E3D" w:rsidR="006D48A5" w:rsidRPr="0031742B" w:rsidRDefault="00821AB2" w:rsidP="5015ABE2">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sidRPr="0031742B">
        <w:rPr>
          <w:rFonts w:ascii="Arial" w:hAnsi="Arial" w:cs="Arial"/>
          <w:b/>
          <w:bCs/>
          <w:color w:val="000000" w:themeColor="text1"/>
          <w:sz w:val="24"/>
          <w:szCs w:val="24"/>
        </w:rPr>
        <w:t>Costas</w:t>
      </w:r>
      <w:r w:rsidR="009305EA" w:rsidRPr="0031742B">
        <w:rPr>
          <w:rFonts w:ascii="Arial" w:hAnsi="Arial" w:cs="Arial"/>
          <w:b/>
          <w:bCs/>
          <w:color w:val="000000" w:themeColor="text1"/>
          <w:sz w:val="24"/>
          <w:szCs w:val="24"/>
        </w:rPr>
        <w:t xml:space="preserve"> </w:t>
      </w:r>
    </w:p>
    <w:p w14:paraId="7D27BB39" w14:textId="77777777" w:rsidR="006D48A5" w:rsidRPr="0031742B" w:rsidRDefault="006D48A5" w:rsidP="5015ABE2">
      <w:pPr>
        <w:pStyle w:val="Prrafodelista"/>
        <w:spacing w:line="276" w:lineRule="auto"/>
        <w:ind w:left="0" w:right="50"/>
        <w:contextualSpacing/>
        <w:jc w:val="both"/>
        <w:rPr>
          <w:rFonts w:ascii="Arial" w:hAnsi="Arial" w:cs="Arial"/>
          <w:color w:val="000000"/>
          <w:sz w:val="24"/>
          <w:szCs w:val="24"/>
        </w:rPr>
      </w:pPr>
    </w:p>
    <w:p w14:paraId="67AB2E85" w14:textId="72030462" w:rsidR="00821AB2" w:rsidRPr="0031742B" w:rsidRDefault="0031742B" w:rsidP="5015ABE2">
      <w:pPr>
        <w:pStyle w:val="Prrafodelista"/>
        <w:numPr>
          <w:ilvl w:val="0"/>
          <w:numId w:val="8"/>
        </w:numPr>
        <w:spacing w:line="276" w:lineRule="auto"/>
        <w:ind w:left="0" w:right="50" w:firstLine="0"/>
        <w:contextualSpacing/>
        <w:jc w:val="both"/>
        <w:rPr>
          <w:rFonts w:ascii="Arial" w:hAnsi="Arial" w:cs="Arial"/>
          <w:color w:val="000000"/>
          <w:sz w:val="24"/>
          <w:szCs w:val="24"/>
        </w:rPr>
      </w:pPr>
      <w:r w:rsidRPr="0031742B">
        <w:rPr>
          <w:rFonts w:ascii="Arial" w:hAnsi="Arial" w:cs="Arial"/>
          <w:color w:val="000000" w:themeColor="text1"/>
          <w:sz w:val="24"/>
          <w:szCs w:val="24"/>
          <w:lang w:val="es-CO"/>
        </w:rPr>
        <w:t xml:space="preserve">Como quiera que aún no se ha trabado la </w:t>
      </w:r>
      <w:r w:rsidRPr="0031742B">
        <w:rPr>
          <w:rFonts w:ascii="Arial" w:hAnsi="Arial" w:cs="Arial"/>
          <w:i/>
          <w:iCs/>
          <w:color w:val="000000" w:themeColor="text1"/>
          <w:sz w:val="24"/>
          <w:szCs w:val="24"/>
          <w:lang w:val="es-CO"/>
        </w:rPr>
        <w:t>litis</w:t>
      </w:r>
      <w:r w:rsidRPr="0031742B">
        <w:rPr>
          <w:rFonts w:ascii="Arial" w:hAnsi="Arial" w:cs="Arial"/>
          <w:color w:val="000000" w:themeColor="text1"/>
          <w:sz w:val="24"/>
          <w:szCs w:val="24"/>
          <w:lang w:val="es-CO"/>
        </w:rPr>
        <w:t xml:space="preserve">, no se condenará en costas </w:t>
      </w:r>
      <w:r w:rsidR="001C0083">
        <w:rPr>
          <w:rFonts w:ascii="Arial" w:hAnsi="Arial" w:cs="Arial"/>
          <w:color w:val="000000" w:themeColor="text1"/>
          <w:sz w:val="24"/>
          <w:szCs w:val="24"/>
          <w:lang w:val="es-CO"/>
        </w:rPr>
        <w:t>en esta instancia</w:t>
      </w:r>
      <w:r w:rsidR="009B6798" w:rsidRPr="0031742B">
        <w:rPr>
          <w:rFonts w:ascii="Arial" w:hAnsi="Arial" w:cs="Arial"/>
          <w:color w:val="000000" w:themeColor="text1"/>
          <w:sz w:val="24"/>
          <w:szCs w:val="24"/>
        </w:rPr>
        <w:t>.</w:t>
      </w:r>
    </w:p>
    <w:p w14:paraId="7F1CB5AC" w14:textId="77777777" w:rsidR="00821AB2" w:rsidRPr="0031742B" w:rsidRDefault="00821AB2" w:rsidP="5015ABE2">
      <w:pPr>
        <w:pStyle w:val="Prrafodelista"/>
        <w:spacing w:line="276" w:lineRule="auto"/>
        <w:ind w:left="0" w:right="50"/>
        <w:contextualSpacing/>
        <w:jc w:val="both"/>
        <w:rPr>
          <w:rFonts w:ascii="Arial" w:hAnsi="Arial" w:cs="Arial"/>
          <w:color w:val="000000"/>
          <w:sz w:val="24"/>
          <w:szCs w:val="24"/>
        </w:rPr>
      </w:pPr>
    </w:p>
    <w:p w14:paraId="71B9ED18" w14:textId="77777777" w:rsidR="00724ACB" w:rsidRPr="0031742B" w:rsidRDefault="00724ACB" w:rsidP="5015ABE2">
      <w:pPr>
        <w:spacing w:line="276" w:lineRule="auto"/>
        <w:ind w:right="51"/>
        <w:contextualSpacing/>
        <w:jc w:val="both"/>
        <w:rPr>
          <w:rFonts w:ascii="Arial" w:hAnsi="Arial" w:cs="Arial"/>
          <w:sz w:val="24"/>
          <w:szCs w:val="24"/>
        </w:rPr>
      </w:pPr>
      <w:r w:rsidRPr="0031742B">
        <w:rPr>
          <w:rFonts w:ascii="Arial" w:hAnsi="Arial" w:cs="Arial"/>
          <w:sz w:val="24"/>
          <w:szCs w:val="24"/>
        </w:rPr>
        <w:t xml:space="preserve">Por lo anteriormente expuesto, la </w:t>
      </w:r>
      <w:r w:rsidRPr="0031742B">
        <w:rPr>
          <w:rFonts w:ascii="Arial" w:hAnsi="Arial" w:cs="Arial"/>
          <w:sz w:val="24"/>
          <w:szCs w:val="24"/>
          <w:lang w:val="es-CO"/>
        </w:rPr>
        <w:t>Sala</w:t>
      </w:r>
      <w:r w:rsidRPr="0031742B">
        <w:rPr>
          <w:rStyle w:val="Refdenotaalpie"/>
          <w:rFonts w:ascii="Arial" w:hAnsi="Arial" w:cs="Arial"/>
          <w:sz w:val="24"/>
          <w:szCs w:val="24"/>
          <w:lang w:val="es-CO"/>
        </w:rPr>
        <w:footnoteReference w:id="44"/>
      </w:r>
      <w:r w:rsidRPr="0031742B">
        <w:rPr>
          <w:rFonts w:ascii="Arial" w:hAnsi="Arial" w:cs="Arial"/>
          <w:sz w:val="24"/>
          <w:szCs w:val="24"/>
          <w:lang w:val="es-CO"/>
        </w:rPr>
        <w:t xml:space="preserve"> Virtual de Decisión No. 3 del Tribunal Administrativo de Boyacá</w:t>
      </w:r>
    </w:p>
    <w:p w14:paraId="04C9B526" w14:textId="77777777" w:rsidR="00724ACB" w:rsidRPr="0031742B" w:rsidRDefault="00724ACB" w:rsidP="00724ACB">
      <w:pPr>
        <w:spacing w:line="276" w:lineRule="auto"/>
        <w:ind w:right="51"/>
        <w:contextualSpacing/>
        <w:jc w:val="center"/>
        <w:rPr>
          <w:rFonts w:ascii="Arial" w:hAnsi="Arial" w:cs="Arial"/>
          <w:b/>
          <w:iCs/>
          <w:sz w:val="24"/>
          <w:szCs w:val="24"/>
        </w:rPr>
      </w:pPr>
      <w:r w:rsidRPr="0031742B">
        <w:rPr>
          <w:rFonts w:ascii="Arial" w:hAnsi="Arial" w:cs="Arial"/>
          <w:b/>
          <w:iCs/>
          <w:sz w:val="24"/>
          <w:szCs w:val="24"/>
        </w:rPr>
        <w:t>RESUELVE:</w:t>
      </w:r>
    </w:p>
    <w:p w14:paraId="493716FF" w14:textId="77777777" w:rsidR="00724ACB" w:rsidRPr="0031742B" w:rsidRDefault="00724ACB" w:rsidP="00724ACB">
      <w:pPr>
        <w:spacing w:line="276" w:lineRule="auto"/>
        <w:ind w:right="51"/>
        <w:contextualSpacing/>
        <w:jc w:val="both"/>
        <w:rPr>
          <w:rFonts w:ascii="Arial" w:hAnsi="Arial" w:cs="Arial"/>
          <w:iCs/>
          <w:sz w:val="24"/>
          <w:szCs w:val="24"/>
        </w:rPr>
      </w:pPr>
    </w:p>
    <w:p w14:paraId="6462227E" w14:textId="38108149" w:rsidR="007F56A9" w:rsidRPr="0031742B" w:rsidRDefault="007F56A9" w:rsidP="007F56A9">
      <w:pPr>
        <w:pStyle w:val="Prrafodelista"/>
        <w:numPr>
          <w:ilvl w:val="0"/>
          <w:numId w:val="1"/>
        </w:numPr>
        <w:spacing w:line="276" w:lineRule="auto"/>
        <w:ind w:left="0" w:right="50" w:firstLine="0"/>
        <w:contextualSpacing/>
        <w:jc w:val="both"/>
        <w:rPr>
          <w:rFonts w:ascii="Arial" w:hAnsi="Arial" w:cs="Arial"/>
          <w:bCs/>
          <w:iCs/>
          <w:sz w:val="24"/>
          <w:szCs w:val="24"/>
          <w:lang w:val="es-CO"/>
        </w:rPr>
      </w:pPr>
      <w:r w:rsidRPr="0031742B">
        <w:rPr>
          <w:rFonts w:ascii="Arial" w:hAnsi="Arial" w:cs="Arial"/>
          <w:iCs/>
          <w:sz w:val="24"/>
          <w:szCs w:val="24"/>
          <w:lang w:val="es-CO"/>
        </w:rPr>
        <w:t xml:space="preserve">Confirmar el auto de </w:t>
      </w:r>
      <w:r w:rsidRPr="0031742B">
        <w:rPr>
          <w:rFonts w:ascii="Arial" w:hAnsi="Arial" w:cs="Arial"/>
          <w:color w:val="000000"/>
          <w:sz w:val="24"/>
          <w:szCs w:val="24"/>
        </w:rPr>
        <w:t>16 de septiembre de 2021, proferido por el Juzgado Segundo Administrativo de Duitama</w:t>
      </w:r>
      <w:r w:rsidRPr="0031742B">
        <w:rPr>
          <w:rFonts w:ascii="Arial" w:hAnsi="Arial" w:cs="Arial"/>
          <w:iCs/>
          <w:sz w:val="24"/>
          <w:szCs w:val="24"/>
          <w:lang w:val="es-CO"/>
        </w:rPr>
        <w:t xml:space="preserve">, pero </w:t>
      </w:r>
      <w:r w:rsidRPr="0031742B">
        <w:rPr>
          <w:rFonts w:ascii="Arial" w:hAnsi="Arial" w:cs="Arial"/>
          <w:color w:val="000000"/>
          <w:sz w:val="24"/>
          <w:szCs w:val="24"/>
        </w:rPr>
        <w:t xml:space="preserve">por las razones aquí expuestas. </w:t>
      </w:r>
    </w:p>
    <w:p w14:paraId="23D22B32" w14:textId="77777777" w:rsidR="007F56A9" w:rsidRPr="0031742B" w:rsidRDefault="007F56A9" w:rsidP="007F56A9">
      <w:pPr>
        <w:pStyle w:val="Prrafodelista"/>
        <w:spacing w:line="276" w:lineRule="auto"/>
        <w:ind w:left="0" w:right="50"/>
        <w:contextualSpacing/>
        <w:jc w:val="both"/>
        <w:rPr>
          <w:rFonts w:ascii="Arial" w:hAnsi="Arial" w:cs="Arial"/>
          <w:bCs/>
          <w:iCs/>
          <w:sz w:val="24"/>
          <w:szCs w:val="24"/>
          <w:lang w:val="es-CO"/>
        </w:rPr>
      </w:pPr>
    </w:p>
    <w:p w14:paraId="7B95E833" w14:textId="5AB92210" w:rsidR="00724ACB" w:rsidRPr="0031742B" w:rsidRDefault="0031742B" w:rsidP="00C72CE1">
      <w:pPr>
        <w:pStyle w:val="Prrafodelista"/>
        <w:numPr>
          <w:ilvl w:val="0"/>
          <w:numId w:val="1"/>
        </w:numPr>
        <w:spacing w:line="276" w:lineRule="auto"/>
        <w:ind w:left="0" w:right="-233" w:firstLine="0"/>
        <w:contextualSpacing/>
        <w:jc w:val="both"/>
        <w:rPr>
          <w:rFonts w:ascii="Arial" w:hAnsi="Arial" w:cs="Arial"/>
          <w:b/>
          <w:iCs/>
          <w:sz w:val="24"/>
          <w:szCs w:val="24"/>
          <w:lang w:val="es-CO"/>
        </w:rPr>
      </w:pPr>
      <w:r w:rsidRPr="0031742B">
        <w:rPr>
          <w:rFonts w:ascii="Arial" w:hAnsi="Arial" w:cs="Arial"/>
          <w:sz w:val="24"/>
          <w:szCs w:val="24"/>
          <w:lang w:val="es-CO"/>
        </w:rPr>
        <w:t>Sin condena en costas</w:t>
      </w:r>
      <w:r w:rsidR="007F56A9" w:rsidRPr="0031742B">
        <w:rPr>
          <w:rFonts w:ascii="Arial" w:hAnsi="Arial" w:cs="Arial"/>
          <w:sz w:val="24"/>
          <w:szCs w:val="24"/>
          <w:lang w:val="es-CO"/>
        </w:rPr>
        <w:t xml:space="preserve"> </w:t>
      </w:r>
      <w:r w:rsidR="00CE55CE" w:rsidRPr="0031742B">
        <w:rPr>
          <w:rFonts w:ascii="Arial" w:hAnsi="Arial" w:cs="Arial"/>
          <w:sz w:val="24"/>
          <w:szCs w:val="24"/>
          <w:lang w:val="es-CO"/>
        </w:rPr>
        <w:t>atendiendo a lo considerado en la parte motiva</w:t>
      </w:r>
      <w:r w:rsidR="007F56A9" w:rsidRPr="0031742B">
        <w:rPr>
          <w:rFonts w:ascii="Arial" w:hAnsi="Arial" w:cs="Arial"/>
          <w:sz w:val="24"/>
          <w:szCs w:val="24"/>
          <w:lang w:val="es-CO"/>
        </w:rPr>
        <w:t xml:space="preserve">. </w:t>
      </w:r>
    </w:p>
    <w:p w14:paraId="37C1802E" w14:textId="77777777" w:rsidR="0031742B" w:rsidRPr="0031742B" w:rsidRDefault="0031742B" w:rsidP="0031742B">
      <w:pPr>
        <w:pStyle w:val="Prrafodelista"/>
        <w:rPr>
          <w:rFonts w:ascii="Arial" w:hAnsi="Arial" w:cs="Arial"/>
          <w:b/>
          <w:iCs/>
          <w:sz w:val="24"/>
          <w:szCs w:val="24"/>
          <w:lang w:val="es-CO"/>
        </w:rPr>
      </w:pPr>
    </w:p>
    <w:p w14:paraId="40F9F4BF" w14:textId="77777777" w:rsidR="00724ACB" w:rsidRPr="0031742B" w:rsidRDefault="00724ACB" w:rsidP="00724ACB">
      <w:pPr>
        <w:spacing w:line="276" w:lineRule="auto"/>
        <w:ind w:right="50"/>
        <w:contextualSpacing/>
        <w:jc w:val="center"/>
        <w:rPr>
          <w:rFonts w:ascii="Arial" w:hAnsi="Arial" w:cs="Arial"/>
          <w:b/>
          <w:sz w:val="24"/>
          <w:szCs w:val="24"/>
          <w:lang w:val="es-MX"/>
        </w:rPr>
      </w:pPr>
      <w:r w:rsidRPr="0031742B">
        <w:rPr>
          <w:rFonts w:ascii="Arial" w:hAnsi="Arial" w:cs="Arial"/>
          <w:b/>
          <w:sz w:val="24"/>
          <w:szCs w:val="24"/>
          <w:lang w:val="es-MX"/>
        </w:rPr>
        <w:t>NOTIFÍQUESE Y CÚMPLASE</w:t>
      </w:r>
    </w:p>
    <w:p w14:paraId="502F25EB" w14:textId="77777777" w:rsidR="00724ACB" w:rsidRPr="0031742B" w:rsidRDefault="00724ACB" w:rsidP="00724ACB">
      <w:pPr>
        <w:spacing w:line="276" w:lineRule="auto"/>
        <w:ind w:right="50"/>
        <w:contextualSpacing/>
        <w:jc w:val="center"/>
        <w:rPr>
          <w:rFonts w:ascii="Arial" w:hAnsi="Arial" w:cs="Arial"/>
          <w:b/>
          <w:sz w:val="24"/>
          <w:szCs w:val="24"/>
          <w:lang w:val="es-MX"/>
        </w:rPr>
      </w:pPr>
    </w:p>
    <w:p w14:paraId="3BCE7CBE" w14:textId="77777777" w:rsidR="00724ACB" w:rsidRPr="0031742B" w:rsidRDefault="00724ACB" w:rsidP="00724ACB">
      <w:pPr>
        <w:spacing w:line="276" w:lineRule="auto"/>
        <w:ind w:right="50"/>
        <w:contextualSpacing/>
        <w:jc w:val="both"/>
        <w:rPr>
          <w:rFonts w:ascii="Arial" w:hAnsi="Arial" w:cs="Arial"/>
          <w:sz w:val="24"/>
          <w:szCs w:val="24"/>
          <w:lang w:val="es-CO"/>
        </w:rPr>
      </w:pPr>
      <w:r w:rsidRPr="0031742B">
        <w:rPr>
          <w:rFonts w:ascii="Arial" w:hAnsi="Arial" w:cs="Arial"/>
          <w:sz w:val="24"/>
          <w:szCs w:val="24"/>
          <w:lang w:val="es-CO"/>
        </w:rPr>
        <w:t>La anterior providencia fue estudiada y aprobada por la Sala en sesión virtual de la fecha.</w:t>
      </w:r>
    </w:p>
    <w:p w14:paraId="03507542" w14:textId="77777777" w:rsidR="00724ACB" w:rsidRPr="007117AF" w:rsidRDefault="00724ACB" w:rsidP="00414663">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
        <w:contextualSpacing/>
        <w:jc w:val="center"/>
        <w:rPr>
          <w:i/>
          <w:lang w:val="es-CO" w:bidi="he-IL"/>
        </w:rPr>
      </w:pPr>
      <w:r w:rsidRPr="0031742B">
        <w:rPr>
          <w:i/>
          <w:lang w:val="es-CO" w:bidi="he-IL"/>
        </w:rPr>
        <w:t>Firmado electrónicamente</w:t>
      </w:r>
    </w:p>
    <w:p w14:paraId="40AF17DA" w14:textId="77777777" w:rsidR="00724ACB" w:rsidRPr="007117AF" w:rsidRDefault="00724ACB" w:rsidP="00414663">
      <w:pPr>
        <w:ind w:right="50"/>
        <w:contextualSpacing/>
        <w:jc w:val="center"/>
        <w:rPr>
          <w:rFonts w:ascii="Arial" w:hAnsi="Arial" w:cs="Arial"/>
          <w:b/>
          <w:bCs/>
          <w:sz w:val="24"/>
          <w:szCs w:val="24"/>
          <w:lang w:val="es-CO"/>
        </w:rPr>
      </w:pPr>
      <w:r w:rsidRPr="007117AF">
        <w:rPr>
          <w:rFonts w:ascii="Arial" w:hAnsi="Arial" w:cs="Arial"/>
          <w:b/>
          <w:bCs/>
          <w:sz w:val="24"/>
          <w:szCs w:val="24"/>
          <w:lang w:val="es-CO"/>
        </w:rPr>
        <w:t>DAYÁN ALBERTO BLANCO LEGUÍZAMO</w:t>
      </w:r>
    </w:p>
    <w:p w14:paraId="1832ECDA" w14:textId="77777777" w:rsidR="00724ACB" w:rsidRPr="007117AF" w:rsidRDefault="00724ACB" w:rsidP="00414663">
      <w:pPr>
        <w:ind w:right="50"/>
        <w:contextualSpacing/>
        <w:jc w:val="center"/>
        <w:rPr>
          <w:rFonts w:ascii="Arial" w:hAnsi="Arial" w:cs="Arial"/>
          <w:b/>
          <w:bCs/>
          <w:sz w:val="24"/>
          <w:szCs w:val="24"/>
          <w:lang w:val="es-CO"/>
        </w:rPr>
      </w:pPr>
      <w:r w:rsidRPr="007117AF">
        <w:rPr>
          <w:rFonts w:ascii="Arial" w:hAnsi="Arial" w:cs="Arial"/>
          <w:b/>
          <w:bCs/>
          <w:sz w:val="24"/>
          <w:szCs w:val="24"/>
          <w:lang w:val="es-CO"/>
        </w:rPr>
        <w:t>Magistrado</w:t>
      </w:r>
    </w:p>
    <w:p w14:paraId="655F4C8A" w14:textId="77777777" w:rsidR="00724ACB" w:rsidRPr="007117AF" w:rsidRDefault="00724ACB" w:rsidP="00414663">
      <w:pPr>
        <w:ind w:right="50"/>
        <w:contextualSpacing/>
        <w:jc w:val="center"/>
        <w:rPr>
          <w:rFonts w:ascii="Arial" w:hAnsi="Arial" w:cs="Arial"/>
          <w:b/>
          <w:bCs/>
          <w:sz w:val="24"/>
          <w:szCs w:val="24"/>
          <w:lang w:val="es-CO"/>
        </w:rPr>
      </w:pPr>
    </w:p>
    <w:p w14:paraId="140832F6" w14:textId="77777777" w:rsidR="00724ACB" w:rsidRPr="007117AF" w:rsidRDefault="00724ACB" w:rsidP="00414663">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
        <w:contextualSpacing/>
        <w:jc w:val="center"/>
        <w:rPr>
          <w:i/>
          <w:lang w:val="es-CO" w:bidi="he-IL"/>
        </w:rPr>
      </w:pPr>
      <w:r w:rsidRPr="007117AF">
        <w:rPr>
          <w:i/>
          <w:lang w:val="es-CO" w:bidi="he-IL"/>
        </w:rPr>
        <w:t>Firmado electrónicamente</w:t>
      </w:r>
    </w:p>
    <w:p w14:paraId="1997BF44" w14:textId="77777777" w:rsidR="00724ACB" w:rsidRPr="007117AF" w:rsidRDefault="00724ACB" w:rsidP="00414663">
      <w:pPr>
        <w:ind w:right="50"/>
        <w:contextualSpacing/>
        <w:jc w:val="center"/>
        <w:rPr>
          <w:rFonts w:ascii="Arial" w:hAnsi="Arial" w:cs="Arial"/>
          <w:b/>
          <w:bCs/>
          <w:sz w:val="24"/>
          <w:szCs w:val="24"/>
          <w:lang w:val="es-CO"/>
        </w:rPr>
      </w:pPr>
      <w:r>
        <w:rPr>
          <w:rFonts w:ascii="Arial" w:hAnsi="Arial" w:cs="Arial"/>
          <w:b/>
          <w:bCs/>
          <w:sz w:val="24"/>
          <w:szCs w:val="24"/>
          <w:lang w:val="es-CO"/>
        </w:rPr>
        <w:t xml:space="preserve">JOSÉ </w:t>
      </w:r>
      <w:r w:rsidRPr="003E60F6">
        <w:rPr>
          <w:rFonts w:ascii="Arial" w:hAnsi="Arial" w:cs="Arial"/>
          <w:b/>
          <w:bCs/>
          <w:sz w:val="24"/>
          <w:szCs w:val="24"/>
          <w:lang w:val="es-CO"/>
        </w:rPr>
        <w:t>ASCENCI</w:t>
      </w:r>
      <w:r>
        <w:rPr>
          <w:rFonts w:ascii="Arial" w:hAnsi="Arial" w:cs="Arial"/>
          <w:b/>
          <w:bCs/>
          <w:sz w:val="24"/>
          <w:szCs w:val="24"/>
          <w:lang w:val="es-CO"/>
        </w:rPr>
        <w:t>Ó</w:t>
      </w:r>
      <w:r w:rsidRPr="003E60F6">
        <w:rPr>
          <w:rFonts w:ascii="Arial" w:hAnsi="Arial" w:cs="Arial"/>
          <w:b/>
          <w:bCs/>
          <w:sz w:val="24"/>
          <w:szCs w:val="24"/>
          <w:lang w:val="es-CO"/>
        </w:rPr>
        <w:t>N</w:t>
      </w:r>
      <w:r>
        <w:rPr>
          <w:rFonts w:ascii="Arial" w:hAnsi="Arial" w:cs="Arial"/>
          <w:b/>
          <w:bCs/>
          <w:sz w:val="24"/>
          <w:szCs w:val="24"/>
          <w:lang w:val="es-CO"/>
        </w:rPr>
        <w:t xml:space="preserve"> FERNÁNDEZ OSORIO</w:t>
      </w:r>
    </w:p>
    <w:p w14:paraId="6D915A82" w14:textId="77777777" w:rsidR="00724ACB" w:rsidRPr="007117AF" w:rsidRDefault="00724ACB" w:rsidP="00414663">
      <w:pPr>
        <w:ind w:right="50"/>
        <w:contextualSpacing/>
        <w:jc w:val="center"/>
        <w:rPr>
          <w:rFonts w:ascii="Arial" w:hAnsi="Arial" w:cs="Arial"/>
          <w:b/>
          <w:bCs/>
          <w:sz w:val="24"/>
          <w:szCs w:val="24"/>
          <w:lang w:val="es-CO"/>
        </w:rPr>
      </w:pPr>
      <w:r w:rsidRPr="007117AF">
        <w:rPr>
          <w:rFonts w:ascii="Arial" w:hAnsi="Arial" w:cs="Arial"/>
          <w:b/>
          <w:bCs/>
          <w:sz w:val="24"/>
          <w:szCs w:val="24"/>
          <w:lang w:val="es-CO"/>
        </w:rPr>
        <w:t>Magistrado</w:t>
      </w:r>
    </w:p>
    <w:p w14:paraId="42BB1DC8" w14:textId="77777777" w:rsidR="00724ACB" w:rsidRPr="007117AF" w:rsidRDefault="00724ACB" w:rsidP="00414663">
      <w:pPr>
        <w:ind w:right="50"/>
        <w:contextualSpacing/>
        <w:jc w:val="center"/>
        <w:rPr>
          <w:rFonts w:ascii="Arial" w:hAnsi="Arial" w:cs="Arial"/>
          <w:b/>
          <w:bCs/>
          <w:sz w:val="24"/>
          <w:szCs w:val="24"/>
          <w:lang w:val="es-CO"/>
        </w:rPr>
      </w:pPr>
    </w:p>
    <w:p w14:paraId="1F7263E4" w14:textId="77777777" w:rsidR="00724ACB" w:rsidRPr="007117AF" w:rsidRDefault="00724ACB" w:rsidP="00414663">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
        <w:contextualSpacing/>
        <w:jc w:val="center"/>
        <w:rPr>
          <w:i/>
          <w:lang w:val="es-CO" w:bidi="he-IL"/>
        </w:rPr>
      </w:pPr>
      <w:r w:rsidRPr="007117AF">
        <w:rPr>
          <w:i/>
          <w:lang w:val="es-CO" w:bidi="he-IL"/>
        </w:rPr>
        <w:t>Firmado electrónicamente</w:t>
      </w:r>
    </w:p>
    <w:p w14:paraId="026EDA54" w14:textId="77777777" w:rsidR="00724ACB" w:rsidRPr="007117AF" w:rsidRDefault="00724ACB" w:rsidP="00414663">
      <w:pPr>
        <w:ind w:right="50"/>
        <w:contextualSpacing/>
        <w:jc w:val="center"/>
        <w:rPr>
          <w:rFonts w:ascii="Arial" w:hAnsi="Arial" w:cs="Arial"/>
          <w:b/>
          <w:bCs/>
          <w:sz w:val="24"/>
          <w:szCs w:val="24"/>
          <w:lang w:val="es-CO"/>
        </w:rPr>
      </w:pPr>
      <w:r w:rsidRPr="007117AF">
        <w:rPr>
          <w:rFonts w:ascii="Arial" w:hAnsi="Arial" w:cs="Arial"/>
          <w:b/>
          <w:bCs/>
          <w:sz w:val="24"/>
          <w:szCs w:val="24"/>
          <w:lang w:val="es-CO"/>
        </w:rPr>
        <w:t>BEATR</w:t>
      </w:r>
      <w:r>
        <w:rPr>
          <w:rFonts w:ascii="Arial" w:hAnsi="Arial" w:cs="Arial"/>
          <w:b/>
          <w:bCs/>
          <w:sz w:val="24"/>
          <w:szCs w:val="24"/>
          <w:lang w:val="es-CO"/>
        </w:rPr>
        <w:t>I</w:t>
      </w:r>
      <w:r w:rsidRPr="007117AF">
        <w:rPr>
          <w:rFonts w:ascii="Arial" w:hAnsi="Arial" w:cs="Arial"/>
          <w:b/>
          <w:bCs/>
          <w:sz w:val="24"/>
          <w:szCs w:val="24"/>
          <w:lang w:val="es-CO"/>
        </w:rPr>
        <w:t>Z TERESA GALVIS BUSTOS</w:t>
      </w:r>
    </w:p>
    <w:p w14:paraId="19F453CC" w14:textId="6BF012F4" w:rsidR="00724ACB" w:rsidRPr="003E31A9" w:rsidRDefault="00724ACB" w:rsidP="003E31A9">
      <w:pPr>
        <w:spacing w:line="276" w:lineRule="auto"/>
        <w:ind w:right="50"/>
        <w:contextualSpacing/>
        <w:jc w:val="center"/>
        <w:rPr>
          <w:rFonts w:ascii="Arial" w:hAnsi="Arial" w:cs="Arial"/>
          <w:sz w:val="22"/>
          <w:szCs w:val="22"/>
        </w:rPr>
      </w:pPr>
      <w:r w:rsidRPr="38735D91">
        <w:rPr>
          <w:rFonts w:ascii="Arial" w:hAnsi="Arial" w:cs="Arial"/>
          <w:b/>
          <w:bCs/>
          <w:sz w:val="24"/>
          <w:szCs w:val="24"/>
          <w:lang w:val="es-CO"/>
        </w:rPr>
        <w:t>Magistrada</w:t>
      </w:r>
    </w:p>
    <w:p w14:paraId="765214DA" w14:textId="173F1F38" w:rsidR="007D7BC8" w:rsidRPr="003B2AEA" w:rsidRDefault="007D7BC8" w:rsidP="00724ACB">
      <w:pPr>
        <w:pStyle w:val="Prrafodelista"/>
        <w:spacing w:line="276" w:lineRule="auto"/>
        <w:ind w:left="0" w:right="50"/>
        <w:contextualSpacing/>
        <w:jc w:val="both"/>
        <w:rPr>
          <w:rFonts w:ascii="Arial" w:hAnsi="Arial" w:cs="Arial"/>
          <w:sz w:val="24"/>
          <w:szCs w:val="24"/>
        </w:rPr>
      </w:pPr>
    </w:p>
    <w:sectPr w:rsidR="007D7BC8" w:rsidRPr="003B2AEA" w:rsidSect="00482741">
      <w:headerReference w:type="even" r:id="rId11"/>
      <w:headerReference w:type="default" r:id="rId12"/>
      <w:footerReference w:type="default" r:id="rId13"/>
      <w:headerReference w:type="first" r:id="rId14"/>
      <w:footerReference w:type="first" r:id="rId15"/>
      <w:pgSz w:w="12240" w:h="18720" w:code="41"/>
      <w:pgMar w:top="2268" w:right="1701" w:bottom="1701" w:left="1701" w:header="992"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C667" w14:textId="77777777" w:rsidR="00B7597F" w:rsidRDefault="00B7597F" w:rsidP="00614090">
      <w:r>
        <w:separator/>
      </w:r>
    </w:p>
  </w:endnote>
  <w:endnote w:type="continuationSeparator" w:id="0">
    <w:p w14:paraId="43484C1F" w14:textId="77777777" w:rsidR="00B7597F" w:rsidRDefault="00B7597F" w:rsidP="0061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C18B" w14:textId="77777777" w:rsidR="001F7800" w:rsidRDefault="001F7800">
    <w:pPr>
      <w:pStyle w:val="Piedepgina"/>
      <w:jc w:val="center"/>
    </w:pPr>
  </w:p>
  <w:p w14:paraId="691B9BD4" w14:textId="77777777" w:rsidR="001F7800" w:rsidRDefault="001F78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ECB134" w14:paraId="1AC1AE2E" w14:textId="77777777" w:rsidTr="00ECB134">
      <w:tc>
        <w:tcPr>
          <w:tcW w:w="2945" w:type="dxa"/>
        </w:tcPr>
        <w:p w14:paraId="0E36B905" w14:textId="6A7541FD" w:rsidR="00ECB134" w:rsidRDefault="00ECB134" w:rsidP="00ECB134">
          <w:pPr>
            <w:pStyle w:val="Encabezado"/>
            <w:ind w:left="-115"/>
            <w:rPr>
              <w:rFonts w:eastAsia="Calibri"/>
              <w:szCs w:val="24"/>
            </w:rPr>
          </w:pPr>
        </w:p>
      </w:tc>
      <w:tc>
        <w:tcPr>
          <w:tcW w:w="2945" w:type="dxa"/>
        </w:tcPr>
        <w:p w14:paraId="6644808D" w14:textId="77AD51B6" w:rsidR="00ECB134" w:rsidRDefault="00ECB134" w:rsidP="00ECB134">
          <w:pPr>
            <w:pStyle w:val="Encabezado"/>
            <w:jc w:val="center"/>
            <w:rPr>
              <w:rFonts w:eastAsia="Calibri"/>
              <w:szCs w:val="24"/>
            </w:rPr>
          </w:pPr>
        </w:p>
      </w:tc>
      <w:tc>
        <w:tcPr>
          <w:tcW w:w="2945" w:type="dxa"/>
        </w:tcPr>
        <w:p w14:paraId="66402411" w14:textId="33DFF29A" w:rsidR="00ECB134" w:rsidRDefault="00ECB134" w:rsidP="00ECB134">
          <w:pPr>
            <w:pStyle w:val="Encabezado"/>
            <w:ind w:right="-115"/>
            <w:jc w:val="right"/>
            <w:rPr>
              <w:rFonts w:eastAsia="Calibri"/>
              <w:szCs w:val="24"/>
            </w:rPr>
          </w:pPr>
        </w:p>
      </w:tc>
    </w:tr>
  </w:tbl>
  <w:p w14:paraId="17B79BC7" w14:textId="6FB73B7E" w:rsidR="00ECB134" w:rsidRDefault="00ECB134" w:rsidP="00ECB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4A57" w14:textId="77777777" w:rsidR="00B7597F" w:rsidRDefault="00B7597F" w:rsidP="00614090">
      <w:r>
        <w:separator/>
      </w:r>
    </w:p>
  </w:footnote>
  <w:footnote w:type="continuationSeparator" w:id="0">
    <w:p w14:paraId="47BFA290" w14:textId="77777777" w:rsidR="00B7597F" w:rsidRDefault="00B7597F" w:rsidP="00614090">
      <w:r>
        <w:continuationSeparator/>
      </w:r>
    </w:p>
  </w:footnote>
  <w:footnote w:id="1">
    <w:p w14:paraId="6745B4C2" w14:textId="5592D3ED" w:rsidR="004119FA" w:rsidRPr="00015A2A" w:rsidRDefault="004119FA">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FF. 4-15 archivo ‘015. Respuesta a requerimiento apoderado demandante’ contenido en la carpeta ‘1_152383333002202100049001expedientedigi20210905164134’ del expediente de primera instancia.</w:t>
      </w:r>
    </w:p>
  </w:footnote>
  <w:footnote w:id="2">
    <w:p w14:paraId="7CB3D452" w14:textId="20D30D59" w:rsidR="00A04856" w:rsidRPr="00015A2A" w:rsidRDefault="00A04856">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Archivo ‘2_152383333002202100049001autorechazade20210916145756’ del expediente de primera instancia.</w:t>
      </w:r>
    </w:p>
  </w:footnote>
  <w:footnote w:id="3">
    <w:p w14:paraId="0042AB4C" w14:textId="0E2194D5" w:rsidR="00FB3987" w:rsidRPr="00015A2A" w:rsidRDefault="00FB3987">
      <w:pPr>
        <w:pStyle w:val="Textonotapie"/>
        <w:rPr>
          <w:szCs w:val="18"/>
        </w:rPr>
      </w:pPr>
      <w:r w:rsidRPr="00015A2A">
        <w:rPr>
          <w:rStyle w:val="Refdenotaalpie"/>
          <w:szCs w:val="18"/>
        </w:rPr>
        <w:footnoteRef/>
      </w:r>
      <w:r w:rsidRPr="00015A2A">
        <w:rPr>
          <w:szCs w:val="18"/>
        </w:rPr>
        <w:t xml:space="preserve"> Archivo ‘4_152383333002202100049001recepcioncorre20210924175829’ del expediente de primera instancia.</w:t>
      </w:r>
    </w:p>
  </w:footnote>
  <w:footnote w:id="4">
    <w:p w14:paraId="58C3F418" w14:textId="565756C9" w:rsidR="00540B7D" w:rsidRPr="00015A2A" w:rsidRDefault="00540B7D">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 xml:space="preserve">«(…) De la sustentación se dará traslado por secretaría a los demás sujetos procesales por igual término, sin necesidad de auto que así lo ordene. Los términos serán comunes si ambas partes apelaron. </w:t>
      </w:r>
      <w:r w:rsidRPr="00015A2A">
        <w:rPr>
          <w:b/>
          <w:szCs w:val="18"/>
          <w:lang w:val="es-CO"/>
        </w:rPr>
        <w:t>Este traslado no procederá cuando se apele el auto que rechaza la demanda o niega total o parcialmente el mandamiento ejecutivo</w:t>
      </w:r>
      <w:r w:rsidRPr="00015A2A">
        <w:rPr>
          <w:bCs/>
          <w:szCs w:val="18"/>
          <w:lang w:val="es-CO"/>
        </w:rPr>
        <w:t>».</w:t>
      </w:r>
    </w:p>
  </w:footnote>
  <w:footnote w:id="5">
    <w:p w14:paraId="3E6E73AA" w14:textId="76F0FB0C" w:rsidR="00775678" w:rsidRPr="00015A2A" w:rsidRDefault="00775678">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Archivo ‘6_152383333002202100049001autoconcedereconcedere20211007101320’ del expediente de primera instancia.</w:t>
      </w:r>
    </w:p>
  </w:footnote>
  <w:footnote w:id="6">
    <w:p w14:paraId="48130653" w14:textId="45DA5AC9" w:rsidR="00CC269D" w:rsidRPr="00015A2A" w:rsidRDefault="00CC269D">
      <w:pPr>
        <w:pStyle w:val="Textonotapie"/>
        <w:rPr>
          <w:rFonts w:cs="Arial"/>
          <w:szCs w:val="18"/>
          <w:lang w:val="es-CO"/>
        </w:rPr>
      </w:pPr>
      <w:r w:rsidRPr="00015A2A">
        <w:rPr>
          <w:rStyle w:val="Refdenotaalpie"/>
          <w:rFonts w:cs="Arial"/>
          <w:szCs w:val="18"/>
        </w:rPr>
        <w:footnoteRef/>
      </w:r>
      <w:r w:rsidRPr="00015A2A">
        <w:rPr>
          <w:rFonts w:cs="Arial"/>
          <w:szCs w:val="18"/>
        </w:rPr>
        <w:t xml:space="preserve"> </w:t>
      </w:r>
      <w:r w:rsidRPr="00015A2A">
        <w:rPr>
          <w:rFonts w:cs="Arial"/>
          <w:szCs w:val="18"/>
          <w:lang w:val="es-CO"/>
        </w:rPr>
        <w:t>«Parágrafo 1°. El recurso de apelación contra las sentencias y las providencias listadas en los numerales 1 a 4 de este artículo se concederá en el efecto suspensivo. La apelación de las demás providencias se surtirá en el efecto devolutivo, salvo norma expresa en contrario».</w:t>
      </w:r>
    </w:p>
  </w:footnote>
  <w:footnote w:id="7">
    <w:p w14:paraId="2467114B" w14:textId="61B46408" w:rsidR="001E4DFF" w:rsidRPr="00015A2A" w:rsidRDefault="001E4DFF">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Archivo ‘2_152383333002202100049001autorechazade20210916145756’ del expediente de primera instancia.</w:t>
      </w:r>
    </w:p>
  </w:footnote>
  <w:footnote w:id="8">
    <w:p w14:paraId="23EC7425" w14:textId="2C683F59" w:rsidR="009F6759" w:rsidRPr="00015A2A" w:rsidRDefault="009F6759">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 xml:space="preserve">Archivo ‘3_152383333002202100049001notificacionpr20210917122047’ del expediente de primera instancia. </w:t>
      </w:r>
    </w:p>
  </w:footnote>
  <w:footnote w:id="9">
    <w:p w14:paraId="07ABDA66" w14:textId="1ADC84D6" w:rsidR="006F69DD" w:rsidRPr="00015A2A" w:rsidRDefault="006F69DD">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F. 1 archivo ‘4_152383333002202100049001recepcioncorre20210924175829’ del expediente de primera instancia.</w:t>
      </w:r>
    </w:p>
  </w:footnote>
  <w:footnote w:id="10">
    <w:p w14:paraId="0A10DA43" w14:textId="77777777" w:rsidR="001D77FA" w:rsidRPr="00015A2A" w:rsidRDefault="001D77FA" w:rsidP="001D77FA">
      <w:pPr>
        <w:pStyle w:val="Textonotapie"/>
        <w:rPr>
          <w:szCs w:val="18"/>
          <w:lang w:val="es-CO"/>
        </w:rPr>
      </w:pPr>
      <w:r w:rsidRPr="00015A2A">
        <w:rPr>
          <w:rStyle w:val="Refdenotaalpie"/>
          <w:szCs w:val="18"/>
        </w:rPr>
        <w:footnoteRef/>
      </w:r>
      <w:r w:rsidRPr="00015A2A">
        <w:rPr>
          <w:szCs w:val="18"/>
        </w:rPr>
        <w:t xml:space="preserve"> </w:t>
      </w:r>
      <w:r w:rsidRPr="00015A2A">
        <w:rPr>
          <w:szCs w:val="18"/>
          <w:lang w:val="es-CO"/>
        </w:rPr>
        <w:t>Archivo ‘6_152383333002202100049001autoconcedereconcedere20211007101320’ del expediente de primera instancia.</w:t>
      </w:r>
    </w:p>
  </w:footnote>
  <w:footnote w:id="11">
    <w:p w14:paraId="199CFF09" w14:textId="77777777" w:rsidR="00A05931" w:rsidRPr="00015A2A" w:rsidRDefault="00A05931" w:rsidP="00A05931">
      <w:pPr>
        <w:pStyle w:val="Textonotapie"/>
        <w:rPr>
          <w:szCs w:val="18"/>
        </w:rPr>
      </w:pPr>
      <w:r w:rsidRPr="00015A2A">
        <w:rPr>
          <w:rStyle w:val="Refdenotaalpie"/>
          <w:szCs w:val="18"/>
        </w:rPr>
        <w:footnoteRef/>
      </w:r>
      <w:r w:rsidRPr="00015A2A">
        <w:rPr>
          <w:szCs w:val="18"/>
        </w:rPr>
        <w:t xml:space="preserve"> Ver, por ejemplo: CE 3C, 10 </w:t>
      </w:r>
      <w:proofErr w:type="gramStart"/>
      <w:r w:rsidRPr="00015A2A">
        <w:rPr>
          <w:szCs w:val="18"/>
        </w:rPr>
        <w:t>Nov.</w:t>
      </w:r>
      <w:proofErr w:type="gramEnd"/>
      <w:r w:rsidRPr="00015A2A">
        <w:rPr>
          <w:szCs w:val="18"/>
        </w:rPr>
        <w:t xml:space="preserve"> 2016, e68001-23-15-000-1999-02767-01(35424), J. Santofimio</w:t>
      </w:r>
      <w:r w:rsidRPr="00015A2A">
        <w:rPr>
          <w:i/>
          <w:szCs w:val="18"/>
        </w:rPr>
        <w:t xml:space="preserve">: </w:t>
      </w:r>
      <w:r w:rsidRPr="00015A2A">
        <w:rPr>
          <w:iCs/>
          <w:szCs w:val="18"/>
        </w:rPr>
        <w:t>«(…) La justificación de la aplicación de la figura de la caducidad en las acciones contencioso administrativas,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 reclamarse en consideración del interés general. (…)».</w:t>
      </w:r>
    </w:p>
  </w:footnote>
  <w:footnote w:id="12">
    <w:p w14:paraId="36F0B9C9" w14:textId="77777777" w:rsidR="00A05931" w:rsidRPr="00015A2A" w:rsidRDefault="00A05931" w:rsidP="00A05931">
      <w:pPr>
        <w:jc w:val="both"/>
        <w:rPr>
          <w:rFonts w:ascii="Arial" w:hAnsi="Arial" w:cs="Arial"/>
          <w:sz w:val="18"/>
          <w:szCs w:val="18"/>
        </w:rPr>
      </w:pPr>
      <w:r w:rsidRPr="00015A2A">
        <w:rPr>
          <w:rStyle w:val="Refdenotaalpie"/>
          <w:rFonts w:ascii="Arial" w:hAnsi="Arial" w:cs="Arial"/>
          <w:sz w:val="18"/>
          <w:szCs w:val="18"/>
        </w:rPr>
        <w:footnoteRef/>
      </w:r>
      <w:r w:rsidRPr="00015A2A">
        <w:rPr>
          <w:rFonts w:ascii="Arial" w:hAnsi="Arial" w:cs="Arial"/>
          <w:sz w:val="18"/>
          <w:szCs w:val="18"/>
        </w:rPr>
        <w:t xml:space="preserve"> Corte Constitucional. Sentencia C-394 de 2002: «La caducidad es una institución jurídico procesal a través de la cual,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w:t>
      </w:r>
    </w:p>
    <w:p w14:paraId="4C1432BA" w14:textId="77777777" w:rsidR="00A05931" w:rsidRPr="00015A2A" w:rsidRDefault="00A05931" w:rsidP="00A05931">
      <w:pPr>
        <w:jc w:val="both"/>
        <w:rPr>
          <w:rFonts w:ascii="Arial" w:hAnsi="Arial" w:cs="Arial"/>
          <w:sz w:val="18"/>
          <w:szCs w:val="18"/>
        </w:rPr>
      </w:pPr>
      <w:r w:rsidRPr="00015A2A">
        <w:rPr>
          <w:rFonts w:ascii="Arial" w:hAnsi="Arial" w:cs="Arial"/>
          <w:sz w:val="18"/>
          <w:szCs w:val="18"/>
        </w:rPr>
        <w:t>Como claramente se explicó en la sentencia C-832 de 2001 a que se ha hecho reiterada referencia, esta es una figura de orden público lo que explica su carácter irrenunciable, y la posibilidad de ser declarada de oficio por parte del juez, cuando se verifique su ocurrencia».</w:t>
      </w:r>
    </w:p>
  </w:footnote>
  <w:footnote w:id="13">
    <w:p w14:paraId="3DEAFA30" w14:textId="77777777" w:rsidR="00A05931" w:rsidRPr="00015A2A" w:rsidRDefault="00A05931" w:rsidP="00A05931">
      <w:pPr>
        <w:pStyle w:val="Textonotapie"/>
        <w:rPr>
          <w:szCs w:val="18"/>
          <w:lang w:val="es-CO"/>
        </w:rPr>
      </w:pPr>
      <w:r w:rsidRPr="00015A2A">
        <w:rPr>
          <w:rStyle w:val="Refdenotaalpie"/>
          <w:szCs w:val="18"/>
        </w:rPr>
        <w:footnoteRef/>
      </w:r>
      <w:r w:rsidRPr="00015A2A">
        <w:rPr>
          <w:szCs w:val="18"/>
        </w:rPr>
        <w:t xml:space="preserve"> CONSEJO DE ESTADO. SALA DE LO CONTENCIOSO ADMINISTRATIVO - SECCIÓN TERCERA - SUBSECCIÓN C. Consejero ponente: NICOLÁS YEPES CORRALES. Sentencia de dieciséis (16) de diciembre de dos mil veinte (2020). Radicación número: 25000-23-36-000-2018-01172-01(</w:t>
      </w:r>
      <w:proofErr w:type="gramStart"/>
      <w:r w:rsidRPr="00015A2A">
        <w:rPr>
          <w:szCs w:val="18"/>
        </w:rPr>
        <w:t>65635)A.</w:t>
      </w:r>
      <w:proofErr w:type="gramEnd"/>
    </w:p>
  </w:footnote>
  <w:footnote w:id="14">
    <w:p w14:paraId="7A8CDD80" w14:textId="6D5CCAE5" w:rsidR="00A05931" w:rsidRPr="00015A2A" w:rsidRDefault="00A05931" w:rsidP="00A05931">
      <w:pPr>
        <w:pStyle w:val="Textonotapie"/>
        <w:rPr>
          <w:rFonts w:cs="Arial"/>
          <w:szCs w:val="18"/>
        </w:rPr>
      </w:pPr>
      <w:r w:rsidRPr="00015A2A">
        <w:rPr>
          <w:rStyle w:val="Refdenotaalpie"/>
          <w:rFonts w:cs="Arial"/>
          <w:szCs w:val="18"/>
        </w:rPr>
        <w:footnoteRef/>
      </w:r>
      <w:r w:rsidRPr="00015A2A">
        <w:rPr>
          <w:rFonts w:cs="Arial"/>
          <w:szCs w:val="18"/>
        </w:rPr>
        <w:t xml:space="preserve"> Consejo de Estado. Sentencia del 23 de febrero de 2006. </w:t>
      </w:r>
      <w:proofErr w:type="spellStart"/>
      <w:r w:rsidRPr="00015A2A">
        <w:rPr>
          <w:rFonts w:cs="Arial"/>
          <w:szCs w:val="18"/>
        </w:rPr>
        <w:t>Exp</w:t>
      </w:r>
      <w:proofErr w:type="spellEnd"/>
      <w:r w:rsidRPr="00015A2A">
        <w:rPr>
          <w:rFonts w:cs="Arial"/>
          <w:szCs w:val="18"/>
        </w:rPr>
        <w:t xml:space="preserve">. 6871-05: </w:t>
      </w:r>
      <w:r w:rsidR="00015A2A" w:rsidRPr="00015A2A">
        <w:rPr>
          <w:rFonts w:cs="Arial"/>
          <w:szCs w:val="18"/>
        </w:rPr>
        <w:t>«</w:t>
      </w:r>
      <w:r w:rsidRPr="00015A2A">
        <w:rPr>
          <w:rFonts w:cs="Arial"/>
          <w:szCs w:val="18"/>
        </w:rPr>
        <w:t>(...) el derecho al acceso a la administración de justicia no es absoluto, pues puede ser condicionado legalmente a que la promoción de la demanda sea oportuna y las acciones se inicien dentro de los plazos que señala el legislador (…)</w:t>
      </w:r>
      <w:r w:rsidRPr="00015A2A">
        <w:rPr>
          <w:rFonts w:cs="Arial"/>
          <w:b/>
          <w:szCs w:val="18"/>
        </w:rPr>
        <w:t>.</w:t>
      </w:r>
      <w:r w:rsidRPr="00015A2A">
        <w:rPr>
          <w:rFonts w:cs="Arial"/>
          <w:szCs w:val="18"/>
        </w:rPr>
        <w:t xml:space="preserve"> El término de caducidad, tiene entonces como uno de sus objetivos, racionalizar el ejercicio del derecho de acción, y si bien limita o condiciona el acceso a la justicia, es una restricción necesaria para la estabilidad del derecho, lo que impone al interesado el empleo oportuno de las acciones, so pena de que las situaciones adquieran la firmeza necesaria a la seguridad jurídica, para solidificar el concepto de derechos adquiridos</w:t>
      </w:r>
      <w:r w:rsidR="00015A2A" w:rsidRPr="00015A2A">
        <w:rPr>
          <w:rFonts w:cs="Arial"/>
          <w:szCs w:val="18"/>
        </w:rPr>
        <w:t>»</w:t>
      </w:r>
      <w:r w:rsidRPr="00015A2A">
        <w:rPr>
          <w:rFonts w:cs="Arial"/>
          <w:szCs w:val="18"/>
        </w:rPr>
        <w:t>.</w:t>
      </w:r>
    </w:p>
  </w:footnote>
  <w:footnote w:id="15">
    <w:p w14:paraId="091A5E15" w14:textId="2E9BBB0C" w:rsidR="00A05931" w:rsidRPr="00015A2A" w:rsidRDefault="00A05931" w:rsidP="00A05931">
      <w:pPr>
        <w:pStyle w:val="Textonotapie"/>
        <w:rPr>
          <w:rFonts w:cs="Arial"/>
          <w:i/>
          <w:szCs w:val="18"/>
        </w:rPr>
      </w:pPr>
      <w:r w:rsidRPr="00015A2A">
        <w:rPr>
          <w:rStyle w:val="Refdenotaalpie"/>
          <w:rFonts w:cs="Arial"/>
          <w:szCs w:val="18"/>
        </w:rPr>
        <w:footnoteRef/>
      </w:r>
      <w:r w:rsidRPr="00015A2A">
        <w:rPr>
          <w:rStyle w:val="Refdenotaalpie"/>
          <w:rFonts w:cs="Arial"/>
          <w:szCs w:val="18"/>
        </w:rPr>
        <w:t xml:space="preserve"> </w:t>
      </w:r>
      <w:r w:rsidRPr="00015A2A">
        <w:rPr>
          <w:rFonts w:cs="Arial"/>
          <w:szCs w:val="18"/>
        </w:rPr>
        <w:t xml:space="preserve">Consejo de Estado, Sentencia del 30 de enero de 2013: </w:t>
      </w:r>
      <w:r w:rsidR="00015A2A" w:rsidRPr="00015A2A">
        <w:rPr>
          <w:rFonts w:cs="Arial"/>
          <w:szCs w:val="18"/>
        </w:rPr>
        <w:t>«</w:t>
      </w:r>
      <w:r w:rsidRPr="00015A2A">
        <w:rPr>
          <w:rFonts w:cs="Arial"/>
          <w:szCs w:val="18"/>
        </w:rPr>
        <w:t>Para garantizar la seguridad jurídica de los sujetos procesales, el legislador instituyó la figura de la caducidad como una sanción en los eventos en que determinadas acciones judiciales no se ejercen en un término específico. Las partes tienen la carga procesal de impulsar el litigio dentro del plazo fijado por la ley y de no hacerlo en tiempo, perderán la posibilidad de accionar ante la jurisdicción para hacer efectivo su derecho. Es así como el fenómeno procesal de la caducidad opera ipso iure o de pleno derecho, es decir que no admite renuncia, y el juez debe declararla de oficio cuando verifique la conducta inactiva del sujeto procesal llamado a interponer determinada acción judicial</w:t>
      </w:r>
      <w:r w:rsidR="00015A2A" w:rsidRPr="00015A2A">
        <w:rPr>
          <w:rFonts w:cs="Arial"/>
          <w:szCs w:val="18"/>
        </w:rPr>
        <w:t>»</w:t>
      </w:r>
      <w:r w:rsidRPr="00015A2A">
        <w:rPr>
          <w:rFonts w:cs="Arial"/>
          <w:szCs w:val="18"/>
        </w:rPr>
        <w:t>.</w:t>
      </w:r>
    </w:p>
  </w:footnote>
  <w:footnote w:id="16">
    <w:p w14:paraId="5397F25E" w14:textId="7201B11E" w:rsidR="00A05931" w:rsidRPr="00015A2A" w:rsidRDefault="00A05931" w:rsidP="00A05931">
      <w:pPr>
        <w:pStyle w:val="Textonotapie"/>
        <w:rPr>
          <w:rFonts w:cs="Arial"/>
          <w:szCs w:val="18"/>
        </w:rPr>
      </w:pPr>
      <w:r w:rsidRPr="00015A2A">
        <w:rPr>
          <w:rStyle w:val="Refdenotaalpie"/>
          <w:rFonts w:cs="Arial"/>
          <w:szCs w:val="18"/>
        </w:rPr>
        <w:footnoteRef/>
      </w:r>
      <w:r w:rsidRPr="00015A2A">
        <w:rPr>
          <w:rFonts w:cs="Arial"/>
          <w:szCs w:val="18"/>
        </w:rPr>
        <w:t xml:space="preserve"> Corte Constitucional. Sentencia C-574 de 1998: </w:t>
      </w:r>
      <w:r w:rsidR="00015A2A" w:rsidRPr="00015A2A">
        <w:rPr>
          <w:rFonts w:cs="Arial"/>
          <w:szCs w:val="18"/>
        </w:rPr>
        <w:t xml:space="preserve">«(…) </w:t>
      </w:r>
      <w:r w:rsidRPr="00015A2A">
        <w:rPr>
          <w:rFonts w:cs="Arial"/>
          <w:szCs w:val="18"/>
        </w:rPr>
        <w:t>[s]i el actor deja transcurrir los plazos fijados por la ley en forma objetiva, sin presentar la demanda, el mencionado derecho fenece inexorablemente, sin que pueda alegarse excusa alguna para revivirlos.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w:t>
      </w:r>
      <w:r w:rsidR="00015A2A" w:rsidRPr="00015A2A">
        <w:rPr>
          <w:rFonts w:cs="Arial"/>
          <w:szCs w:val="18"/>
        </w:rPr>
        <w:t>»</w:t>
      </w:r>
      <w:r w:rsidRPr="00015A2A">
        <w:rPr>
          <w:rFonts w:cs="Arial"/>
          <w:szCs w:val="18"/>
        </w:rPr>
        <w:t>.</w:t>
      </w:r>
    </w:p>
  </w:footnote>
  <w:footnote w:id="17">
    <w:p w14:paraId="0739D678" w14:textId="77777777" w:rsidR="00A05931" w:rsidRPr="00015A2A" w:rsidRDefault="00A05931" w:rsidP="00A05931">
      <w:pPr>
        <w:pStyle w:val="Textonotapie"/>
        <w:rPr>
          <w:szCs w:val="18"/>
        </w:rPr>
      </w:pPr>
      <w:r w:rsidRPr="00015A2A">
        <w:rPr>
          <w:rStyle w:val="Refdenotaalpie"/>
          <w:szCs w:val="18"/>
        </w:rPr>
        <w:footnoteRef/>
      </w:r>
      <w:r w:rsidRPr="00015A2A">
        <w:rPr>
          <w:szCs w:val="18"/>
        </w:rPr>
        <w:t xml:space="preserve"> Consejo de Estado. Sección Primera. Auto del 31 de agosto de 2015, </w:t>
      </w:r>
      <w:proofErr w:type="spellStart"/>
      <w:r w:rsidRPr="00015A2A">
        <w:rPr>
          <w:szCs w:val="18"/>
        </w:rPr>
        <w:t>Exp</w:t>
      </w:r>
      <w:proofErr w:type="spellEnd"/>
      <w:r w:rsidRPr="00015A2A">
        <w:rPr>
          <w:szCs w:val="18"/>
        </w:rPr>
        <w:t>. No. 2015- 00155-01: Expediente núm. 2009-00093-01. C.P. María Elizabeth García González.</w:t>
      </w:r>
    </w:p>
  </w:footnote>
  <w:footnote w:id="18">
    <w:p w14:paraId="50E576A9" w14:textId="77777777" w:rsidR="00A05931" w:rsidRPr="00015A2A" w:rsidRDefault="00A05931" w:rsidP="00A05931">
      <w:pPr>
        <w:pStyle w:val="Textonotapie"/>
        <w:rPr>
          <w:szCs w:val="18"/>
          <w:lang w:val="es-CO"/>
        </w:rPr>
      </w:pPr>
      <w:r w:rsidRPr="00015A2A">
        <w:rPr>
          <w:rStyle w:val="Refdenotaalpie"/>
          <w:szCs w:val="18"/>
        </w:rPr>
        <w:footnoteRef/>
      </w:r>
      <w:r w:rsidRPr="00015A2A">
        <w:rPr>
          <w:szCs w:val="18"/>
        </w:rPr>
        <w:t xml:space="preserve"> CONSEJO DE ESTADO. SALA DE LO CONTENCIOSO ADMINISTRATIVO - SECCIÓN TERCERA - SUBSECCIÓN A. Consejera ponente: MARTA NUBIA VELÁSQUEZ RICO. Sentencia de cuatro (4) de junio de dos mil veintiuno (2021). Radicación número: 25000-23-26-000-2010-00527-01(51202).</w:t>
      </w:r>
    </w:p>
  </w:footnote>
  <w:footnote w:id="19">
    <w:p w14:paraId="455341DA"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14-40 archivo ‘001. DEMANDA’ contenido en la carpeta ‘1_152383333002202100049001expedientedigi20210905164134’ del expediente de primera instancia. </w:t>
      </w:r>
    </w:p>
  </w:footnote>
  <w:footnote w:id="20">
    <w:p w14:paraId="26121320"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41-44 archivo ‘001. DEMANDA’ contenido en la carpeta ‘1_152383333002202100049001expedientedigi20210905164134’ del expediente de primera instancia</w:t>
      </w:r>
    </w:p>
  </w:footnote>
  <w:footnote w:id="21">
    <w:p w14:paraId="1E747EAE"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45-47 archivo ‘001. DEMANDA’ contenido en la carpeta ‘1_152383333002202100049001expedientedigi20210905164134’ del expediente de primera instancia.</w:t>
      </w:r>
    </w:p>
  </w:footnote>
  <w:footnote w:id="22">
    <w:p w14:paraId="762C9AB2"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‘20. ESE Tundama allega respuesta’ contenido en la carpeta ‘1_152383333002202100049001expedientedigi20210905164134’ del expediente de primera instancia. </w:t>
      </w:r>
    </w:p>
  </w:footnote>
  <w:footnote w:id="23">
    <w:p w14:paraId="2837956D"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48-52 archivo ‘001. DEMANDA’ contenido en la carpeta ‘1_152383333002202100049001expedientedigi20210905164134’ del expediente de primera instancia.</w:t>
      </w:r>
    </w:p>
  </w:footnote>
  <w:footnote w:id="24">
    <w:p w14:paraId="776C4CB0"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56-63 archivo ‘001. DEMANDA’ contenido en la carpeta ‘1_152383333002202100049001expedientedigi20210905164134’ del expediente de primera instancia.</w:t>
      </w:r>
    </w:p>
  </w:footnote>
  <w:footnote w:id="25">
    <w:p w14:paraId="116EF100" w14:textId="00DFBDE5" w:rsidR="007A39F9" w:rsidRPr="00414663" w:rsidRDefault="007A39F9">
      <w:pPr>
        <w:pStyle w:val="Textonotapie"/>
        <w:rPr>
          <w:sz w:val="16"/>
          <w:szCs w:val="16"/>
        </w:rPr>
      </w:pPr>
      <w:r w:rsidRPr="00414663">
        <w:rPr>
          <w:rStyle w:val="Refdenotaalpie"/>
          <w:sz w:val="16"/>
          <w:szCs w:val="16"/>
        </w:rPr>
        <w:footnoteRef/>
      </w:r>
      <w:r w:rsidRPr="00414663">
        <w:rPr>
          <w:sz w:val="16"/>
          <w:szCs w:val="16"/>
        </w:rPr>
        <w:t xml:space="preserve"> FF. 106-109 archivo ‘001. DEMANDA’ contenido en la carpeta ‘1_152383333002202100049001expedientedigi20210905164134’ del expediente de primera instancia.</w:t>
      </w:r>
    </w:p>
  </w:footnote>
  <w:footnote w:id="26">
    <w:p w14:paraId="3C66E24F" w14:textId="542D1A04" w:rsidR="00D803E9" w:rsidRPr="00015A2A" w:rsidRDefault="00D803E9">
      <w:pPr>
        <w:pStyle w:val="Textonotapie"/>
        <w:rPr>
          <w:i/>
          <w:iCs/>
          <w:szCs w:val="18"/>
        </w:rPr>
      </w:pPr>
      <w:r w:rsidRPr="00414663">
        <w:rPr>
          <w:rStyle w:val="Refdenotaalpie"/>
          <w:sz w:val="16"/>
          <w:szCs w:val="16"/>
        </w:rPr>
        <w:footnoteRef/>
      </w:r>
      <w:r w:rsidRPr="00414663">
        <w:rPr>
          <w:sz w:val="16"/>
          <w:szCs w:val="16"/>
        </w:rPr>
        <w:t xml:space="preserve"> </w:t>
      </w:r>
      <w:r w:rsidRPr="00414663">
        <w:rPr>
          <w:i/>
          <w:iCs/>
          <w:sz w:val="16"/>
          <w:szCs w:val="16"/>
        </w:rPr>
        <w:t>Ibidem.</w:t>
      </w:r>
    </w:p>
  </w:footnote>
  <w:footnote w:id="27">
    <w:p w14:paraId="10C6F0D4"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6-7 archivo ‘4_152383333002202100049001recepcioncorre20210924175829’ del expediente de primera instancia. </w:t>
      </w:r>
    </w:p>
  </w:footnote>
  <w:footnote w:id="28">
    <w:p w14:paraId="3B11B647"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‘03.- 2020-0132 (FL.108) ACTA REPARTO’ del expediente No. 15238-3333-001-2020-00132-00 consultado en el aplicativo SAMAI.   </w:t>
      </w:r>
    </w:p>
  </w:footnote>
  <w:footnote w:id="29">
    <w:p w14:paraId="318AA3A7"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‘05.- 2020-0132 (FL110-113) AUTO INADMITE DEMANDA’ del expediente No. 15238-3333-001-2020-00132-00 consultado en el aplicativo SAMAI.</w:t>
      </w:r>
    </w:p>
  </w:footnote>
  <w:footnote w:id="30">
    <w:p w14:paraId="2EB4F9B0"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‘06.- 2020-0132 (FL.114) COMUNICACION ESTADO </w:t>
      </w:r>
      <w:proofErr w:type="spellStart"/>
      <w:r w:rsidRPr="00414663">
        <w:rPr>
          <w:sz w:val="16"/>
          <w:szCs w:val="16"/>
        </w:rPr>
        <w:t>Nº</w:t>
      </w:r>
      <w:proofErr w:type="spellEnd"/>
      <w:r w:rsidRPr="00414663">
        <w:rPr>
          <w:sz w:val="16"/>
          <w:szCs w:val="16"/>
        </w:rPr>
        <w:t xml:space="preserve"> 1 – 2021’ del expediente No. 15238-3333-001-2020-00132-00 consultado en el aplicativo SAMAI. </w:t>
      </w:r>
    </w:p>
  </w:footnote>
  <w:footnote w:id="31">
    <w:p w14:paraId="6FDB9B5E"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‘08.- 2020-0132 (FL.116-117) </w:t>
      </w:r>
      <w:proofErr w:type="gramStart"/>
      <w:r w:rsidRPr="00414663">
        <w:rPr>
          <w:sz w:val="16"/>
          <w:szCs w:val="16"/>
        </w:rPr>
        <w:t>AUTO  RECHAZA</w:t>
      </w:r>
      <w:proofErr w:type="gramEnd"/>
      <w:r w:rsidRPr="00414663">
        <w:rPr>
          <w:sz w:val="16"/>
          <w:szCs w:val="16"/>
        </w:rPr>
        <w:t xml:space="preserve"> DDA.-‘ del expediente No. 15238-3333-001-2020-00132-00 consultado en el aplicativo SAMAI. </w:t>
      </w:r>
    </w:p>
  </w:footnote>
  <w:footnote w:id="32">
    <w:p w14:paraId="56E45B76"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FF. 10-11 archivo ‘4_152383333002202100049001recepcioncorre20210924175829’ del expediente de primera instancia.</w:t>
      </w:r>
    </w:p>
  </w:footnote>
  <w:footnote w:id="33">
    <w:p w14:paraId="11959084"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‘002 ACTA DE REPARTO’ contenido en la carpeta ‘1_152383333002202100049001expedientedigi20210905164134’ del expediente de primera instancia.</w:t>
      </w:r>
    </w:p>
  </w:footnote>
  <w:footnote w:id="34">
    <w:p w14:paraId="31D5D8D8"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‘004. 2021-049 INADMITE DEMANDA’ contenido en la carpeta ‘1_152383333002202100049001expedientedigi20210905164134’ del expediente de primera instancia.</w:t>
      </w:r>
    </w:p>
  </w:footnote>
  <w:footnote w:id="35">
    <w:p w14:paraId="73EC957B"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‘009. 2021-0049 PRETENSIONES’ contenido en la carpeta ‘1_152383333002202100049001expedientedigi20210905164134’ del expediente de primera instancia.</w:t>
      </w:r>
    </w:p>
  </w:footnote>
  <w:footnote w:id="36">
    <w:p w14:paraId="562F86AB"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Archivos ‘006. SUBSANACIÓN DEMANDA’ y ‘011. Escrito de subsanación demanda’ contenidos en la carpeta ‘1_152383333002202100049001expedientedigi20210905164134’ del expediente de primera instancia.</w:t>
      </w:r>
    </w:p>
  </w:footnote>
  <w:footnote w:id="37">
    <w:p w14:paraId="784E390A" w14:textId="77777777" w:rsidR="004B0FF3" w:rsidRPr="00015A2A" w:rsidRDefault="004B0FF3" w:rsidP="004B0FF3">
      <w:pPr>
        <w:pStyle w:val="Textonotapie"/>
        <w:rPr>
          <w:szCs w:val="18"/>
        </w:rPr>
      </w:pPr>
      <w:r w:rsidRPr="00414663">
        <w:rPr>
          <w:rStyle w:val="Refdenotaalpie"/>
          <w:sz w:val="16"/>
          <w:szCs w:val="16"/>
        </w:rPr>
        <w:footnoteRef/>
      </w:r>
      <w:r w:rsidRPr="00414663">
        <w:rPr>
          <w:sz w:val="16"/>
          <w:szCs w:val="16"/>
        </w:rPr>
        <w:t xml:space="preserve"> Archivo ‘013. 2021-0049 REQUIERE ADECUAR DEMANDA’ contenido en la carpeta ‘1_152383333002202100049001expedientedigi20210905164134’ del expediente de primera instancia.</w:t>
      </w:r>
    </w:p>
  </w:footnote>
  <w:footnote w:id="38">
    <w:p w14:paraId="6BEF3C8D"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‘017. 2021-0049 PREVIO ADMITE CONSTANCIA DE EJECUTORIA OSCAR’ contenido en la carpeta ‘1_152383333002202100049001expedientedigi20210905164134’ del expediente de primera instancia.</w:t>
      </w:r>
    </w:p>
  </w:footnote>
  <w:footnote w:id="39">
    <w:p w14:paraId="53F2DA3E"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Archivos ‘015. Respuesta a requerimiento apoderado demandante’, ‘20. ESE Tundama allega respuesta’ y ‘21. ESE </w:t>
      </w:r>
      <w:proofErr w:type="spellStart"/>
      <w:r w:rsidRPr="00414663">
        <w:rPr>
          <w:sz w:val="16"/>
          <w:szCs w:val="16"/>
        </w:rPr>
        <w:t>tundama</w:t>
      </w:r>
      <w:proofErr w:type="spellEnd"/>
      <w:r w:rsidRPr="00414663">
        <w:rPr>
          <w:sz w:val="16"/>
          <w:szCs w:val="16"/>
        </w:rPr>
        <w:t xml:space="preserve"> allega respuesta a oficio’ contenidos en la carpeta ‘1_152383333002202100049001expedientedigi20210905164134’ del expediente de primera instancia.</w:t>
      </w:r>
    </w:p>
  </w:footnote>
  <w:footnote w:id="40">
    <w:p w14:paraId="26AB6174" w14:textId="77777777" w:rsidR="004B0FF3" w:rsidRPr="00414663" w:rsidRDefault="004B0FF3" w:rsidP="004B0FF3">
      <w:pPr>
        <w:pStyle w:val="Textonotapie"/>
        <w:rPr>
          <w:sz w:val="16"/>
          <w:szCs w:val="16"/>
        </w:rPr>
      </w:pPr>
      <w:r w:rsidRPr="00414663">
        <w:rPr>
          <w:rStyle w:val="Refdenotaalpie"/>
          <w:sz w:val="16"/>
          <w:szCs w:val="16"/>
        </w:rPr>
        <w:footnoteRef/>
      </w:r>
      <w:r w:rsidRPr="00414663">
        <w:rPr>
          <w:sz w:val="16"/>
          <w:szCs w:val="16"/>
        </w:rPr>
        <w:t xml:space="preserve"> Archivo ‘2_152383333002202100049001autorechazade20210916145756’ del expediente de primera instancia.</w:t>
      </w:r>
    </w:p>
  </w:footnote>
  <w:footnote w:id="41">
    <w:p w14:paraId="49C0CCC1" w14:textId="5FE7C38B" w:rsidR="005A4CA5" w:rsidRPr="00015A2A" w:rsidRDefault="005A4CA5">
      <w:pPr>
        <w:pStyle w:val="Textonotapie"/>
        <w:rPr>
          <w:szCs w:val="18"/>
          <w:lang w:val="es-CO"/>
        </w:rPr>
      </w:pPr>
      <w:r w:rsidRPr="00414663">
        <w:rPr>
          <w:rStyle w:val="Refdenotaalpie"/>
          <w:sz w:val="16"/>
          <w:szCs w:val="16"/>
        </w:rPr>
        <w:footnoteRef/>
      </w:r>
      <w:r w:rsidRPr="00414663">
        <w:rPr>
          <w:sz w:val="16"/>
          <w:szCs w:val="16"/>
        </w:rPr>
        <w:t xml:space="preserve"> </w:t>
      </w:r>
      <w:r w:rsidRPr="00414663">
        <w:rPr>
          <w:sz w:val="16"/>
          <w:szCs w:val="16"/>
          <w:lang w:val="es-CO"/>
        </w:rPr>
        <w:t>Al respecto, la segunda parte del primer acápite del artículo 163 del CPACA previó: «(…) Cuando se pretenda la nulidad de un acto administrativo este se debe individualizar con toda precisión. Si el acto fue objeto de recursos ante la administración se entenderán demandados los actos que los resolvieron</w:t>
      </w:r>
      <w:r w:rsidR="00EA0BB6" w:rsidRPr="00414663">
        <w:rPr>
          <w:sz w:val="16"/>
          <w:szCs w:val="16"/>
          <w:lang w:val="es-CO"/>
        </w:rPr>
        <w:t>»</w:t>
      </w:r>
      <w:r w:rsidRPr="00414663">
        <w:rPr>
          <w:sz w:val="16"/>
          <w:szCs w:val="16"/>
          <w:lang w:val="es-CO"/>
        </w:rPr>
        <w:t>.</w:t>
      </w:r>
    </w:p>
  </w:footnote>
  <w:footnote w:id="42">
    <w:p w14:paraId="4113A855" w14:textId="147483D0" w:rsidR="001B75CA" w:rsidRPr="00414663" w:rsidRDefault="001B75CA" w:rsidP="001B75CA">
      <w:pPr>
        <w:pStyle w:val="Textonotapie"/>
        <w:rPr>
          <w:sz w:val="16"/>
          <w:szCs w:val="16"/>
        </w:rPr>
      </w:pPr>
      <w:r w:rsidRPr="00414663">
        <w:rPr>
          <w:rStyle w:val="Refdenotaalpie"/>
          <w:sz w:val="16"/>
          <w:szCs w:val="16"/>
        </w:rPr>
        <w:footnoteRef/>
      </w:r>
      <w:r w:rsidRPr="00414663">
        <w:rPr>
          <w:sz w:val="16"/>
          <w:szCs w:val="16"/>
        </w:rPr>
        <w:t xml:space="preserve"> CONSEJO DE ESTADO. SALA DE LO CONTENCIOSO ADMINISTRATIVO - SECCIÓN SEGUNDA - SUBSECCIÓN B. </w:t>
      </w:r>
      <w:proofErr w:type="gramStart"/>
      <w:r w:rsidRPr="00414663">
        <w:rPr>
          <w:sz w:val="16"/>
          <w:szCs w:val="16"/>
        </w:rPr>
        <w:t>Consejera</w:t>
      </w:r>
      <w:proofErr w:type="gramEnd"/>
      <w:r w:rsidRPr="00414663">
        <w:rPr>
          <w:sz w:val="16"/>
          <w:szCs w:val="16"/>
        </w:rPr>
        <w:t xml:space="preserve"> ponente: SANDRA LISSET IBARRA VÉLEZ. Auto de trece (13) de julio de dos mil diecisiete (2017). Radicación número: 23001-23-33-000-2015-00325-00(4586-16).</w:t>
      </w:r>
    </w:p>
  </w:footnote>
  <w:footnote w:id="43">
    <w:p w14:paraId="3A9F18BF" w14:textId="62AC7BEB" w:rsidR="00FB1EF4" w:rsidRPr="00414663" w:rsidRDefault="00FB1EF4" w:rsidP="00FB1EF4">
      <w:pPr>
        <w:pStyle w:val="Textonotapie"/>
        <w:rPr>
          <w:sz w:val="16"/>
          <w:szCs w:val="16"/>
        </w:rPr>
      </w:pPr>
      <w:r w:rsidRPr="00414663">
        <w:rPr>
          <w:rStyle w:val="Refdenotaalpie"/>
          <w:sz w:val="16"/>
          <w:szCs w:val="16"/>
        </w:rPr>
        <w:footnoteRef/>
      </w:r>
      <w:r w:rsidRPr="00414663">
        <w:rPr>
          <w:sz w:val="16"/>
          <w:szCs w:val="16"/>
        </w:rPr>
        <w:t xml:space="preserve"> CONSEJO DE ESTADO. SALA DE LO CONTENCIOSO ADMINISTRATIVO - SECCIÓN SEGUNDA - SUBSECCIÓN B. </w:t>
      </w:r>
      <w:proofErr w:type="gramStart"/>
      <w:r w:rsidRPr="00414663">
        <w:rPr>
          <w:sz w:val="16"/>
          <w:szCs w:val="16"/>
        </w:rPr>
        <w:t>Consejera</w:t>
      </w:r>
      <w:proofErr w:type="gramEnd"/>
      <w:r w:rsidRPr="00414663">
        <w:rPr>
          <w:sz w:val="16"/>
          <w:szCs w:val="16"/>
        </w:rPr>
        <w:t xml:space="preserve"> ponente: SANDRA LISSET IBARRA VELEZ. Auto de veintidós (22) de enero de dos mil quince (2015). Radicación número: 76001-23-33-000-2014-00922-01(4601-14).</w:t>
      </w:r>
    </w:p>
  </w:footnote>
  <w:footnote w:id="44">
    <w:p w14:paraId="4D3F6AC9" w14:textId="77777777" w:rsidR="00724ACB" w:rsidRPr="00414663" w:rsidRDefault="00724ACB" w:rsidP="00724ACB">
      <w:pPr>
        <w:pStyle w:val="Textonotapie"/>
        <w:rPr>
          <w:rFonts w:cs="Arial"/>
          <w:sz w:val="16"/>
          <w:szCs w:val="16"/>
          <w:lang w:val="es-CO"/>
        </w:rPr>
      </w:pPr>
      <w:r w:rsidRPr="00414663">
        <w:rPr>
          <w:rStyle w:val="Refdenotaalpie"/>
          <w:rFonts w:cs="Arial"/>
          <w:sz w:val="16"/>
          <w:szCs w:val="16"/>
        </w:rPr>
        <w:footnoteRef/>
      </w:r>
      <w:r w:rsidRPr="00414663">
        <w:rPr>
          <w:rFonts w:cs="Arial"/>
          <w:sz w:val="16"/>
          <w:szCs w:val="16"/>
        </w:rPr>
        <w:t xml:space="preserve"> Sobre el particular, el CPACA dispone: «Artículo 125. Modificado por el art. 20, Ley 2080 de 2021. De la expedición de providencias. La expedición de las providencias judiciales se sujetará a las siguientes reglas: (…) 2. Las salas, secciones y subsecciones dictarán las sentencias y las siguientes providencias: (…) g) Las enunciadas en los numerales 1 a 3 y 6 del artículo 243 cuando se profieran en primera instancia o decidan el recurso de apelación contra estas». «Artículo 243. Modificado por el art. 62, Ley 2080 de 2021 Apelación. Son apelables las sentencias de primera instancia y los siguientes autos proferidos en la misma instancia: 1. El que rechace la demanda o su reforma, y el que niegue total o parcialmente el mandamiento ejecutivo».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2D0D" w14:textId="77777777" w:rsidR="001F7800" w:rsidRDefault="001F7800" w:rsidP="00BA79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921A2C" w14:textId="77777777" w:rsidR="001F7800" w:rsidRDefault="001F7800" w:rsidP="00BA7953">
    <w:pPr>
      <w:pStyle w:val="Encabezado"/>
      <w:ind w:right="360"/>
    </w:pPr>
  </w:p>
  <w:p w14:paraId="48B8BFF6" w14:textId="77777777" w:rsidR="00457B2E" w:rsidRDefault="00457B2E"/>
  <w:p w14:paraId="1E5FDF13" w14:textId="77777777" w:rsidR="00457B2E" w:rsidRDefault="00457B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2FB9" w14:textId="421C3F69" w:rsidR="001F74CB" w:rsidRPr="001F74CB" w:rsidRDefault="00724ACB" w:rsidP="001F74CB">
    <w:pPr>
      <w:pStyle w:val="Encabezado"/>
      <w:tabs>
        <w:tab w:val="left" w:pos="2366"/>
        <w:tab w:val="right" w:pos="8270"/>
      </w:tabs>
      <w:ind w:left="1701"/>
      <w:rPr>
        <w:sz w:val="20"/>
        <w:szCs w:val="20"/>
      </w:rPr>
    </w:pPr>
    <w:r>
      <w:rPr>
        <w:noProof/>
        <w:lang w:val="es-CO" w:eastAsia="es-CO"/>
      </w:rPr>
      <w:drawing>
        <wp:anchor distT="0" distB="0" distL="114300" distR="114300" simplePos="0" relativeHeight="251662336" behindDoc="0" locked="0" layoutInCell="1" allowOverlap="1" wp14:anchorId="7220D908" wp14:editId="7132F706">
          <wp:simplePos x="0" y="0"/>
          <wp:positionH relativeFrom="page">
            <wp:posOffset>1076325</wp:posOffset>
          </wp:positionH>
          <wp:positionV relativeFrom="page">
            <wp:posOffset>438150</wp:posOffset>
          </wp:positionV>
          <wp:extent cx="710565" cy="793750"/>
          <wp:effectExtent l="0" t="0" r="0" b="6350"/>
          <wp:wrapThrough wrapText="bothSides">
            <wp:wrapPolygon edited="0">
              <wp:start x="0" y="0"/>
              <wp:lineTo x="0" y="21254"/>
              <wp:lineTo x="20847" y="21254"/>
              <wp:lineTo x="2084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30D">
      <w:rPr>
        <w:sz w:val="20"/>
        <w:szCs w:val="20"/>
      </w:rPr>
      <w:t xml:space="preserve"> </w:t>
    </w:r>
    <w:r w:rsidR="001F74CB" w:rsidRPr="001F74CB">
      <w:rPr>
        <w:sz w:val="20"/>
        <w:szCs w:val="20"/>
      </w:rPr>
      <w:t xml:space="preserve">Expediente: </w:t>
    </w:r>
    <w:r w:rsidR="00665EF3" w:rsidRPr="00665EF3">
      <w:rPr>
        <w:sz w:val="20"/>
        <w:szCs w:val="20"/>
      </w:rPr>
      <w:t>15238-33-33-002-2021-00049-01</w:t>
    </w:r>
  </w:p>
  <w:p w14:paraId="5223932A" w14:textId="77777777" w:rsidR="001F74CB" w:rsidRPr="001F74CB" w:rsidRDefault="001F74CB" w:rsidP="001F74CB">
    <w:pPr>
      <w:pStyle w:val="Encabezado"/>
      <w:tabs>
        <w:tab w:val="left" w:pos="2366"/>
        <w:tab w:val="right" w:pos="8270"/>
      </w:tabs>
      <w:ind w:left="1701"/>
      <w:rPr>
        <w:sz w:val="20"/>
        <w:szCs w:val="20"/>
      </w:rPr>
    </w:pPr>
    <w:r w:rsidRPr="001F74CB">
      <w:rPr>
        <w:sz w:val="20"/>
        <w:szCs w:val="20"/>
      </w:rPr>
      <w:t>Demandante: Gilberto Hernández Merchán</w:t>
    </w:r>
  </w:p>
  <w:p w14:paraId="39D18C9F" w14:textId="77777777" w:rsidR="001F74CB" w:rsidRPr="001F74CB" w:rsidRDefault="001F74CB" w:rsidP="001F74CB">
    <w:pPr>
      <w:pStyle w:val="Encabezado"/>
      <w:tabs>
        <w:tab w:val="left" w:pos="2366"/>
        <w:tab w:val="right" w:pos="8270"/>
      </w:tabs>
      <w:ind w:left="1701"/>
      <w:rPr>
        <w:sz w:val="20"/>
        <w:szCs w:val="20"/>
      </w:rPr>
    </w:pPr>
    <w:r w:rsidRPr="001F74CB">
      <w:rPr>
        <w:sz w:val="20"/>
        <w:szCs w:val="20"/>
      </w:rPr>
      <w:t>Demandado: ESE Salud del Tundama</w:t>
    </w:r>
  </w:p>
  <w:p w14:paraId="7BF07B8D" w14:textId="370C8BD9" w:rsidR="001F7800" w:rsidRDefault="001F74CB" w:rsidP="001F74CB">
    <w:pPr>
      <w:pStyle w:val="Encabezado"/>
      <w:tabs>
        <w:tab w:val="left" w:pos="2366"/>
        <w:tab w:val="right" w:pos="8270"/>
      </w:tabs>
      <w:ind w:left="1701"/>
    </w:pPr>
    <w:r w:rsidRPr="001F74CB">
      <w:rPr>
        <w:sz w:val="20"/>
        <w:szCs w:val="20"/>
      </w:rPr>
      <w:t>Medio de control: Nulidad y restablecimiento del derecho</w:t>
    </w:r>
    <w:r w:rsidR="001F7800">
      <w:rPr>
        <w:sz w:val="20"/>
        <w:szCs w:val="20"/>
      </w:rPr>
      <w:tab/>
    </w:r>
    <w:r w:rsidR="001F7800">
      <w:rPr>
        <w:sz w:val="20"/>
        <w:szCs w:val="20"/>
      </w:rPr>
      <w:tab/>
    </w:r>
  </w:p>
  <w:p w14:paraId="53C0D897" w14:textId="77777777" w:rsidR="001F7800" w:rsidRDefault="001F7800" w:rsidP="00BA7953">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72B8" w14:textId="77777777" w:rsidR="001F7800" w:rsidRDefault="001F7800" w:rsidP="00BA7953">
    <w:pPr>
      <w:pStyle w:val="Encabezado"/>
      <w:jc w:val="center"/>
      <w:rPr>
        <w:rFonts w:ascii="Century Schoolbook" w:hAnsi="Century Schoolbook"/>
        <w:b/>
        <w:i/>
        <w:iCs/>
      </w:rPr>
    </w:pPr>
    <w:r>
      <w:rPr>
        <w:noProof/>
        <w:lang w:val="es-CO" w:eastAsia="es-CO"/>
      </w:rPr>
      <w:drawing>
        <wp:anchor distT="0" distB="0" distL="114300" distR="114300" simplePos="0" relativeHeight="251660288" behindDoc="0" locked="0" layoutInCell="1" allowOverlap="1" wp14:anchorId="0E28FC00" wp14:editId="55583ECD">
          <wp:simplePos x="0" y="0"/>
          <wp:positionH relativeFrom="page">
            <wp:posOffset>3532505</wp:posOffset>
          </wp:positionH>
          <wp:positionV relativeFrom="page">
            <wp:posOffset>382270</wp:posOffset>
          </wp:positionV>
          <wp:extent cx="710565" cy="7937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6C3BB" w14:textId="77777777" w:rsidR="001F7800" w:rsidRDefault="001F7800" w:rsidP="00BA7953">
    <w:pPr>
      <w:pStyle w:val="Encabezado"/>
      <w:jc w:val="center"/>
      <w:rPr>
        <w:rFonts w:ascii="Century Schoolbook" w:hAnsi="Century Schoolbook"/>
        <w:b/>
        <w:i/>
        <w:iCs/>
      </w:rPr>
    </w:pPr>
  </w:p>
  <w:p w14:paraId="5A3F89F7" w14:textId="77777777" w:rsidR="001F7800" w:rsidRDefault="001F7800" w:rsidP="00BA7953">
    <w:pPr>
      <w:pStyle w:val="Encabezado"/>
      <w:jc w:val="center"/>
      <w:rPr>
        <w:rFonts w:ascii="Century Schoolbook" w:hAnsi="Century Schoolbook"/>
        <w:b/>
        <w:i/>
        <w:iCs/>
      </w:rPr>
    </w:pPr>
  </w:p>
  <w:p w14:paraId="766B2898" w14:textId="77777777" w:rsidR="00724ACB" w:rsidRDefault="00724ACB" w:rsidP="00724ACB">
    <w:pPr>
      <w:jc w:val="center"/>
      <w:rPr>
        <w:rFonts w:ascii="Arial" w:eastAsiaTheme="minorHAnsi" w:hAnsi="Arial" w:cs="Arial"/>
        <w:b/>
        <w:color w:val="808080" w:themeColor="background1" w:themeShade="80"/>
        <w:kern w:val="28"/>
        <w:sz w:val="24"/>
        <w:szCs w:val="24"/>
        <w:lang w:val="es-ES_tradnl"/>
      </w:rPr>
    </w:pPr>
  </w:p>
  <w:p w14:paraId="3AB191F4" w14:textId="0935F7AC" w:rsidR="00724ACB" w:rsidRPr="00724ACB" w:rsidRDefault="00724ACB" w:rsidP="00724ACB">
    <w:pPr>
      <w:jc w:val="center"/>
      <w:rPr>
        <w:rFonts w:ascii="Arial" w:eastAsiaTheme="minorHAnsi" w:hAnsi="Arial" w:cs="Arial"/>
        <w:b/>
        <w:color w:val="808080" w:themeColor="background1" w:themeShade="80"/>
        <w:kern w:val="28"/>
        <w:sz w:val="24"/>
        <w:szCs w:val="24"/>
        <w:lang w:val="es-ES_tradnl"/>
      </w:rPr>
    </w:pPr>
    <w:r w:rsidRPr="00724ACB">
      <w:rPr>
        <w:rFonts w:ascii="Arial" w:eastAsiaTheme="minorHAnsi" w:hAnsi="Arial" w:cs="Arial"/>
        <w:b/>
        <w:color w:val="808080" w:themeColor="background1" w:themeShade="80"/>
        <w:kern w:val="28"/>
        <w:sz w:val="24"/>
        <w:szCs w:val="24"/>
        <w:lang w:val="es-ES_tradnl"/>
      </w:rPr>
      <w:t>TRIBUNAL ADMINISTRATIVO DE BOYACÁ</w:t>
    </w:r>
  </w:p>
  <w:p w14:paraId="49391754" w14:textId="77777777" w:rsidR="00724ACB" w:rsidRPr="00724ACB" w:rsidRDefault="00724ACB" w:rsidP="00724ACB">
    <w:pPr>
      <w:jc w:val="center"/>
      <w:rPr>
        <w:rFonts w:ascii="Arial" w:eastAsiaTheme="minorHAnsi" w:hAnsi="Arial" w:cs="Arial"/>
        <w:b/>
        <w:color w:val="808080" w:themeColor="background1" w:themeShade="80"/>
        <w:kern w:val="28"/>
        <w:sz w:val="24"/>
        <w:szCs w:val="24"/>
        <w:lang w:val="es-ES_tradnl"/>
      </w:rPr>
    </w:pPr>
    <w:r w:rsidRPr="00724ACB">
      <w:rPr>
        <w:rFonts w:ascii="Arial" w:eastAsiaTheme="minorHAnsi" w:hAnsi="Arial" w:cs="Arial"/>
        <w:b/>
        <w:color w:val="808080" w:themeColor="background1" w:themeShade="80"/>
        <w:kern w:val="28"/>
        <w:sz w:val="24"/>
        <w:szCs w:val="24"/>
        <w:lang w:val="es-ES_tradnl"/>
      </w:rPr>
      <w:t>SALA DE DECISIÓN No. 3</w:t>
    </w:r>
  </w:p>
  <w:p w14:paraId="19252437" w14:textId="2E40DB9E" w:rsidR="001F7800" w:rsidRPr="00086FF7" w:rsidRDefault="00724ACB" w:rsidP="00724ACB">
    <w:pPr>
      <w:jc w:val="center"/>
      <w:rPr>
        <w:rFonts w:ascii="Arial" w:hAnsi="Arial" w:cs="Arial"/>
        <w:b/>
        <w:color w:val="808080" w:themeColor="background1" w:themeShade="80"/>
        <w:spacing w:val="-12"/>
        <w:sz w:val="24"/>
        <w:szCs w:val="24"/>
      </w:rPr>
    </w:pPr>
    <w:r w:rsidRPr="00724ACB">
      <w:rPr>
        <w:rFonts w:ascii="Arial" w:eastAsiaTheme="minorHAnsi" w:hAnsi="Arial" w:cs="Arial"/>
        <w:b/>
        <w:color w:val="808080" w:themeColor="background1" w:themeShade="80"/>
        <w:kern w:val="28"/>
        <w:sz w:val="24"/>
        <w:szCs w:val="24"/>
        <w:lang w:val="es-ES_tradnl"/>
      </w:rPr>
      <w:t>MAGISTRADO PONENTE: DAYÁN ALBERTO BLANCO LEGUÍZAMO</w:t>
    </w:r>
  </w:p>
  <w:p w14:paraId="614A4DA8" w14:textId="77777777" w:rsidR="001F7800" w:rsidRPr="00170D76" w:rsidRDefault="001F7800" w:rsidP="00BA7953">
    <w:pPr>
      <w:jc w:val="center"/>
      <w:rPr>
        <w:rFonts w:ascii="Century Schoolbook" w:hAnsi="Century Schoolbook"/>
        <w:b/>
        <w:i/>
        <w:iCs/>
        <w:color w:val="808080" w:themeColor="background1" w:themeShade="80"/>
        <w:spacing w:val="-1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CA6"/>
    <w:multiLevelType w:val="hybridMultilevel"/>
    <w:tmpl w:val="7F56A526"/>
    <w:lvl w:ilvl="0" w:tplc="13949CA0">
      <w:start w:val="1"/>
      <w:numFmt w:val="decimal"/>
      <w:lvlText w:val="%1."/>
      <w:lvlJc w:val="left"/>
      <w:pPr>
        <w:ind w:left="720" w:hanging="360"/>
      </w:pPr>
      <w:rPr>
        <w:rFonts w:ascii="Century Gothic" w:hAnsi="Century Gothic" w:hint="default"/>
        <w:b w:val="0"/>
        <w:sz w:val="24"/>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4337CD"/>
    <w:multiLevelType w:val="hybridMultilevel"/>
    <w:tmpl w:val="085C165E"/>
    <w:lvl w:ilvl="0" w:tplc="21D8C240">
      <w:start w:val="1"/>
      <w:numFmt w:val="decimal"/>
      <w:lvlText w:val="%1.-"/>
      <w:lvlJc w:val="left"/>
      <w:pPr>
        <w:ind w:left="720" w:hanging="360"/>
      </w:pPr>
      <w:rPr>
        <w:rFonts w:ascii="Arial" w:hAnsi="Arial"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CB6134"/>
    <w:multiLevelType w:val="hybridMultilevel"/>
    <w:tmpl w:val="7AF45EFC"/>
    <w:lvl w:ilvl="0" w:tplc="D5F22C6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5C1914"/>
    <w:multiLevelType w:val="multilevel"/>
    <w:tmpl w:val="CFA6C2F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95A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55E40"/>
    <w:multiLevelType w:val="multilevel"/>
    <w:tmpl w:val="35E4DE20"/>
    <w:lvl w:ilvl="0">
      <w:start w:val="1"/>
      <w:numFmt w:val="upperRoman"/>
      <w:pStyle w:val="Ttulo1"/>
      <w:lvlText w:val="%1."/>
      <w:lvlJc w:val="left"/>
      <w:pPr>
        <w:ind w:left="0" w:firstLine="0"/>
      </w:pPr>
      <w:rPr>
        <w:rFonts w:ascii="Arial" w:hAnsi="Arial" w:cs="Arial" w:hint="default"/>
        <w:color w:val="000000" w:themeColor="text1"/>
        <w:sz w:val="24"/>
        <w:szCs w:val="24"/>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1B594981"/>
    <w:multiLevelType w:val="hybridMultilevel"/>
    <w:tmpl w:val="66BCCD1E"/>
    <w:lvl w:ilvl="0" w:tplc="98E28D1A">
      <w:start w:val="1"/>
      <w:numFmt w:val="ordinalText"/>
      <w:lvlText w:val="%1:"/>
      <w:lvlJc w:val="left"/>
      <w:pPr>
        <w:ind w:left="720" w:hanging="360"/>
      </w:pPr>
      <w:rPr>
        <w:rFonts w:ascii="Arial" w:hAnsi="Arial" w:cs="Arial" w:hint="default"/>
        <w:b/>
        <w:i w:val="0"/>
        <w:caps/>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F40912"/>
    <w:multiLevelType w:val="hybridMultilevel"/>
    <w:tmpl w:val="A23428C2"/>
    <w:lvl w:ilvl="0" w:tplc="422ACB7A">
      <w:start w:val="5"/>
      <w:numFmt w:val="bullet"/>
      <w:lvlText w:val="-"/>
      <w:lvlJc w:val="left"/>
      <w:pPr>
        <w:ind w:left="720" w:hanging="360"/>
      </w:pPr>
      <w:rPr>
        <w:rFonts w:ascii="Arno Pro" w:eastAsia="Times New Roman" w:hAnsi="Arno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EF372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AD3BB2"/>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83065F"/>
    <w:multiLevelType w:val="hybridMultilevel"/>
    <w:tmpl w:val="8190DFB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C93EF4"/>
    <w:multiLevelType w:val="hybridMultilevel"/>
    <w:tmpl w:val="8190DF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612255"/>
    <w:multiLevelType w:val="multilevel"/>
    <w:tmpl w:val="83720BE6"/>
    <w:lvl w:ilvl="0">
      <w:start w:val="1"/>
      <w:numFmt w:val="decimal"/>
      <w:lvlText w:val="%1."/>
      <w:lvlJc w:val="left"/>
      <w:pPr>
        <w:ind w:left="360" w:hanging="360"/>
      </w:pPr>
      <w:rPr>
        <w:rFonts w:ascii="Arial" w:hAnsi="Arial" w:cs="Arial" w:hint="default"/>
        <w:i w:val="0"/>
        <w:iCs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5C7AB8"/>
    <w:multiLevelType w:val="hybridMultilevel"/>
    <w:tmpl w:val="01EC2D38"/>
    <w:lvl w:ilvl="0" w:tplc="11DA6034">
      <w:start w:val="1"/>
      <w:numFmt w:val="bullet"/>
      <w:lvlText w:val="-"/>
      <w:lvlJc w:val="left"/>
      <w:pPr>
        <w:ind w:left="720" w:hanging="360"/>
      </w:pPr>
      <w:rPr>
        <w:rFonts w:ascii="Arno Pro" w:eastAsia="Times New Roman" w:hAnsi="Arno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E14A0E"/>
    <w:multiLevelType w:val="hybridMultilevel"/>
    <w:tmpl w:val="9CDE7E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FC34F0"/>
    <w:multiLevelType w:val="hybridMultilevel"/>
    <w:tmpl w:val="67B0383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788427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C2D49"/>
    <w:multiLevelType w:val="hybridMultilevel"/>
    <w:tmpl w:val="167C0144"/>
    <w:lvl w:ilvl="0" w:tplc="1046B8B6">
      <w:start w:val="22"/>
      <w:numFmt w:val="decimal"/>
      <w:lvlText w:val="%1."/>
      <w:lvlJc w:val="left"/>
      <w:pPr>
        <w:ind w:left="265" w:hanging="708"/>
      </w:pPr>
      <w:rPr>
        <w:rFonts w:ascii="Tahoma" w:eastAsia="Tahoma" w:hAnsi="Tahoma" w:cs="Tahoma" w:hint="default"/>
        <w:b/>
        <w:bCs/>
        <w:spacing w:val="-1"/>
        <w:w w:val="88"/>
        <w:sz w:val="24"/>
        <w:szCs w:val="24"/>
        <w:lang w:val="es-ES" w:eastAsia="en-US" w:bidi="ar-SA"/>
      </w:rPr>
    </w:lvl>
    <w:lvl w:ilvl="1" w:tplc="AA785300">
      <w:numFmt w:val="bullet"/>
      <w:lvlText w:val=""/>
      <w:lvlJc w:val="left"/>
      <w:pPr>
        <w:ind w:left="985" w:hanging="360"/>
      </w:pPr>
      <w:rPr>
        <w:rFonts w:ascii="Wingdings" w:eastAsia="Wingdings" w:hAnsi="Wingdings" w:cs="Wingdings" w:hint="default"/>
        <w:w w:val="100"/>
        <w:sz w:val="24"/>
        <w:szCs w:val="24"/>
        <w:lang w:val="es-ES" w:eastAsia="en-US" w:bidi="ar-SA"/>
      </w:rPr>
    </w:lvl>
    <w:lvl w:ilvl="2" w:tplc="C04E205C">
      <w:numFmt w:val="bullet"/>
      <w:lvlText w:val="•"/>
      <w:lvlJc w:val="left"/>
      <w:pPr>
        <w:ind w:left="1080" w:hanging="360"/>
      </w:pPr>
      <w:rPr>
        <w:rFonts w:hint="default"/>
        <w:lang w:val="es-ES" w:eastAsia="en-US" w:bidi="ar-SA"/>
      </w:rPr>
    </w:lvl>
    <w:lvl w:ilvl="3" w:tplc="E6FCFA82">
      <w:numFmt w:val="bullet"/>
      <w:lvlText w:val="•"/>
      <w:lvlJc w:val="left"/>
      <w:pPr>
        <w:ind w:left="2062" w:hanging="360"/>
      </w:pPr>
      <w:rPr>
        <w:rFonts w:hint="default"/>
        <w:lang w:val="es-ES" w:eastAsia="en-US" w:bidi="ar-SA"/>
      </w:rPr>
    </w:lvl>
    <w:lvl w:ilvl="4" w:tplc="113CAAC6">
      <w:numFmt w:val="bullet"/>
      <w:lvlText w:val="•"/>
      <w:lvlJc w:val="left"/>
      <w:pPr>
        <w:ind w:left="3045" w:hanging="360"/>
      </w:pPr>
      <w:rPr>
        <w:rFonts w:hint="default"/>
        <w:lang w:val="es-ES" w:eastAsia="en-US" w:bidi="ar-SA"/>
      </w:rPr>
    </w:lvl>
    <w:lvl w:ilvl="5" w:tplc="EE9EC6AE">
      <w:numFmt w:val="bullet"/>
      <w:lvlText w:val="•"/>
      <w:lvlJc w:val="left"/>
      <w:pPr>
        <w:ind w:left="4028" w:hanging="360"/>
      </w:pPr>
      <w:rPr>
        <w:rFonts w:hint="default"/>
        <w:lang w:val="es-ES" w:eastAsia="en-US" w:bidi="ar-SA"/>
      </w:rPr>
    </w:lvl>
    <w:lvl w:ilvl="6" w:tplc="93B62FF0">
      <w:numFmt w:val="bullet"/>
      <w:lvlText w:val="•"/>
      <w:lvlJc w:val="left"/>
      <w:pPr>
        <w:ind w:left="5011" w:hanging="360"/>
      </w:pPr>
      <w:rPr>
        <w:rFonts w:hint="default"/>
        <w:lang w:val="es-ES" w:eastAsia="en-US" w:bidi="ar-SA"/>
      </w:rPr>
    </w:lvl>
    <w:lvl w:ilvl="7" w:tplc="56906572">
      <w:numFmt w:val="bullet"/>
      <w:lvlText w:val="•"/>
      <w:lvlJc w:val="left"/>
      <w:pPr>
        <w:ind w:left="5994" w:hanging="360"/>
      </w:pPr>
      <w:rPr>
        <w:rFonts w:hint="default"/>
        <w:lang w:val="es-ES" w:eastAsia="en-US" w:bidi="ar-SA"/>
      </w:rPr>
    </w:lvl>
    <w:lvl w:ilvl="8" w:tplc="592416B0">
      <w:numFmt w:val="bullet"/>
      <w:lvlText w:val="•"/>
      <w:lvlJc w:val="left"/>
      <w:pPr>
        <w:ind w:left="6976" w:hanging="360"/>
      </w:pPr>
      <w:rPr>
        <w:rFonts w:hint="default"/>
        <w:lang w:val="es-ES" w:eastAsia="en-US" w:bidi="ar-SA"/>
      </w:rPr>
    </w:lvl>
  </w:abstractNum>
  <w:num w:numId="1">
    <w:abstractNumId w:val="6"/>
  </w:num>
  <w:num w:numId="2">
    <w:abstractNumId w:val="8"/>
  </w:num>
  <w:num w:numId="3">
    <w:abstractNumId w:val="16"/>
  </w:num>
  <w:num w:numId="4">
    <w:abstractNumId w:val="1"/>
  </w:num>
  <w:num w:numId="5">
    <w:abstractNumId w:val="9"/>
  </w:num>
  <w:num w:numId="6">
    <w:abstractNumId w:val="3"/>
  </w:num>
  <w:num w:numId="7">
    <w:abstractNumId w:val="4"/>
  </w:num>
  <w:num w:numId="8">
    <w:abstractNumId w:val="12"/>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CF"/>
    <w:rsid w:val="00001E14"/>
    <w:rsid w:val="00002B13"/>
    <w:rsid w:val="000045B0"/>
    <w:rsid w:val="000057EC"/>
    <w:rsid w:val="000074E0"/>
    <w:rsid w:val="00007E04"/>
    <w:rsid w:val="000125CC"/>
    <w:rsid w:val="000149D1"/>
    <w:rsid w:val="00015151"/>
    <w:rsid w:val="00015A2A"/>
    <w:rsid w:val="00016588"/>
    <w:rsid w:val="00020963"/>
    <w:rsid w:val="000221E9"/>
    <w:rsid w:val="00022ED4"/>
    <w:rsid w:val="00024741"/>
    <w:rsid w:val="00025D5A"/>
    <w:rsid w:val="00025D6C"/>
    <w:rsid w:val="00026A38"/>
    <w:rsid w:val="000305A4"/>
    <w:rsid w:val="00030605"/>
    <w:rsid w:val="00031B6A"/>
    <w:rsid w:val="000330E9"/>
    <w:rsid w:val="00034FDD"/>
    <w:rsid w:val="00035848"/>
    <w:rsid w:val="00035ADE"/>
    <w:rsid w:val="00036A2F"/>
    <w:rsid w:val="0004017E"/>
    <w:rsid w:val="00041F73"/>
    <w:rsid w:val="000435F3"/>
    <w:rsid w:val="00044715"/>
    <w:rsid w:val="00044AE5"/>
    <w:rsid w:val="00047F34"/>
    <w:rsid w:val="000500CC"/>
    <w:rsid w:val="0005031F"/>
    <w:rsid w:val="00052294"/>
    <w:rsid w:val="0005247C"/>
    <w:rsid w:val="000548EA"/>
    <w:rsid w:val="0005517E"/>
    <w:rsid w:val="00057571"/>
    <w:rsid w:val="0006019D"/>
    <w:rsid w:val="000607A7"/>
    <w:rsid w:val="00060A44"/>
    <w:rsid w:val="0006195F"/>
    <w:rsid w:val="000623A4"/>
    <w:rsid w:val="00064E07"/>
    <w:rsid w:val="00065178"/>
    <w:rsid w:val="000740CF"/>
    <w:rsid w:val="00074754"/>
    <w:rsid w:val="00076B15"/>
    <w:rsid w:val="00082FBF"/>
    <w:rsid w:val="00083AC1"/>
    <w:rsid w:val="00083B69"/>
    <w:rsid w:val="00086FF7"/>
    <w:rsid w:val="00092951"/>
    <w:rsid w:val="00094435"/>
    <w:rsid w:val="00094B9C"/>
    <w:rsid w:val="00095CA1"/>
    <w:rsid w:val="000A0781"/>
    <w:rsid w:val="000A14D4"/>
    <w:rsid w:val="000A1D46"/>
    <w:rsid w:val="000A32D2"/>
    <w:rsid w:val="000A470C"/>
    <w:rsid w:val="000A5DA9"/>
    <w:rsid w:val="000B03AB"/>
    <w:rsid w:val="000B03EA"/>
    <w:rsid w:val="000B221A"/>
    <w:rsid w:val="000B2244"/>
    <w:rsid w:val="000B6A7F"/>
    <w:rsid w:val="000B70AB"/>
    <w:rsid w:val="000C0AD5"/>
    <w:rsid w:val="000C109E"/>
    <w:rsid w:val="000C1A2D"/>
    <w:rsid w:val="000C32C0"/>
    <w:rsid w:val="000C361E"/>
    <w:rsid w:val="000C7DDA"/>
    <w:rsid w:val="000D0A77"/>
    <w:rsid w:val="000D48A1"/>
    <w:rsid w:val="000D5513"/>
    <w:rsid w:val="000D6372"/>
    <w:rsid w:val="000D7900"/>
    <w:rsid w:val="000E3338"/>
    <w:rsid w:val="000E4752"/>
    <w:rsid w:val="000E5AB1"/>
    <w:rsid w:val="000E6898"/>
    <w:rsid w:val="000E70AD"/>
    <w:rsid w:val="000E7C2F"/>
    <w:rsid w:val="000F1879"/>
    <w:rsid w:val="000F291B"/>
    <w:rsid w:val="000F2F3A"/>
    <w:rsid w:val="000F33E7"/>
    <w:rsid w:val="000F3CA0"/>
    <w:rsid w:val="000F4DCA"/>
    <w:rsid w:val="0010166E"/>
    <w:rsid w:val="001019B2"/>
    <w:rsid w:val="001044F6"/>
    <w:rsid w:val="001045DA"/>
    <w:rsid w:val="001118E3"/>
    <w:rsid w:val="00112E1B"/>
    <w:rsid w:val="0011308D"/>
    <w:rsid w:val="00113249"/>
    <w:rsid w:val="00122B8E"/>
    <w:rsid w:val="0012448F"/>
    <w:rsid w:val="00125E54"/>
    <w:rsid w:val="00127E2C"/>
    <w:rsid w:val="0013166E"/>
    <w:rsid w:val="0013381C"/>
    <w:rsid w:val="00134AA6"/>
    <w:rsid w:val="001355D9"/>
    <w:rsid w:val="00135C54"/>
    <w:rsid w:val="00136B38"/>
    <w:rsid w:val="00141838"/>
    <w:rsid w:val="0014585A"/>
    <w:rsid w:val="00145F0F"/>
    <w:rsid w:val="001519C5"/>
    <w:rsid w:val="00152ED3"/>
    <w:rsid w:val="00155D55"/>
    <w:rsid w:val="00156883"/>
    <w:rsid w:val="00157557"/>
    <w:rsid w:val="001609D0"/>
    <w:rsid w:val="00164F60"/>
    <w:rsid w:val="00165106"/>
    <w:rsid w:val="00165E5B"/>
    <w:rsid w:val="001666DD"/>
    <w:rsid w:val="00166831"/>
    <w:rsid w:val="00166D42"/>
    <w:rsid w:val="00167189"/>
    <w:rsid w:val="00167B78"/>
    <w:rsid w:val="00170D76"/>
    <w:rsid w:val="00170E5E"/>
    <w:rsid w:val="00174E54"/>
    <w:rsid w:val="00182F04"/>
    <w:rsid w:val="00183D70"/>
    <w:rsid w:val="00184775"/>
    <w:rsid w:val="00185FD8"/>
    <w:rsid w:val="00187352"/>
    <w:rsid w:val="0018794D"/>
    <w:rsid w:val="001946FA"/>
    <w:rsid w:val="00194E3D"/>
    <w:rsid w:val="001A43B1"/>
    <w:rsid w:val="001A5DAB"/>
    <w:rsid w:val="001A6911"/>
    <w:rsid w:val="001A7E22"/>
    <w:rsid w:val="001B078F"/>
    <w:rsid w:val="001B1893"/>
    <w:rsid w:val="001B316F"/>
    <w:rsid w:val="001B3365"/>
    <w:rsid w:val="001B3CE6"/>
    <w:rsid w:val="001B4850"/>
    <w:rsid w:val="001B75CA"/>
    <w:rsid w:val="001C0083"/>
    <w:rsid w:val="001C00C7"/>
    <w:rsid w:val="001C1B06"/>
    <w:rsid w:val="001C3605"/>
    <w:rsid w:val="001C5B24"/>
    <w:rsid w:val="001C74B1"/>
    <w:rsid w:val="001C760F"/>
    <w:rsid w:val="001D1802"/>
    <w:rsid w:val="001D3976"/>
    <w:rsid w:val="001D46D0"/>
    <w:rsid w:val="001D77FA"/>
    <w:rsid w:val="001E0A8A"/>
    <w:rsid w:val="001E4DFF"/>
    <w:rsid w:val="001E5720"/>
    <w:rsid w:val="001E6AC2"/>
    <w:rsid w:val="001E6FAD"/>
    <w:rsid w:val="001E75C0"/>
    <w:rsid w:val="001E7734"/>
    <w:rsid w:val="001F0C7A"/>
    <w:rsid w:val="001F0D7A"/>
    <w:rsid w:val="001F10C9"/>
    <w:rsid w:val="001F3F40"/>
    <w:rsid w:val="001F74CB"/>
    <w:rsid w:val="001F7800"/>
    <w:rsid w:val="001F7B86"/>
    <w:rsid w:val="002051D9"/>
    <w:rsid w:val="00210FDB"/>
    <w:rsid w:val="00212106"/>
    <w:rsid w:val="0021398F"/>
    <w:rsid w:val="0021525F"/>
    <w:rsid w:val="00217D92"/>
    <w:rsid w:val="00223564"/>
    <w:rsid w:val="00224AA1"/>
    <w:rsid w:val="002264D1"/>
    <w:rsid w:val="00226B49"/>
    <w:rsid w:val="002305FF"/>
    <w:rsid w:val="002308B7"/>
    <w:rsid w:val="00231000"/>
    <w:rsid w:val="00231A3D"/>
    <w:rsid w:val="0023229E"/>
    <w:rsid w:val="002339F2"/>
    <w:rsid w:val="002348DC"/>
    <w:rsid w:val="00235486"/>
    <w:rsid w:val="00240366"/>
    <w:rsid w:val="002414E3"/>
    <w:rsid w:val="00252245"/>
    <w:rsid w:val="00252AD4"/>
    <w:rsid w:val="00252BFE"/>
    <w:rsid w:val="0025704A"/>
    <w:rsid w:val="0026031A"/>
    <w:rsid w:val="0026062A"/>
    <w:rsid w:val="002620F1"/>
    <w:rsid w:val="0026494B"/>
    <w:rsid w:val="0026562F"/>
    <w:rsid w:val="0026569F"/>
    <w:rsid w:val="002660B2"/>
    <w:rsid w:val="00266B5D"/>
    <w:rsid w:val="00266FD6"/>
    <w:rsid w:val="002726D5"/>
    <w:rsid w:val="00274DEB"/>
    <w:rsid w:val="00275783"/>
    <w:rsid w:val="00276B88"/>
    <w:rsid w:val="00282A5B"/>
    <w:rsid w:val="0028484F"/>
    <w:rsid w:val="00284EDA"/>
    <w:rsid w:val="002866D9"/>
    <w:rsid w:val="00292196"/>
    <w:rsid w:val="00294312"/>
    <w:rsid w:val="00294386"/>
    <w:rsid w:val="0029557E"/>
    <w:rsid w:val="00295F0C"/>
    <w:rsid w:val="002A03E0"/>
    <w:rsid w:val="002A3144"/>
    <w:rsid w:val="002A386A"/>
    <w:rsid w:val="002A3899"/>
    <w:rsid w:val="002A3FE0"/>
    <w:rsid w:val="002A71C1"/>
    <w:rsid w:val="002A750E"/>
    <w:rsid w:val="002A7A7B"/>
    <w:rsid w:val="002B044F"/>
    <w:rsid w:val="002B0B2E"/>
    <w:rsid w:val="002B18E6"/>
    <w:rsid w:val="002B2076"/>
    <w:rsid w:val="002B2F6F"/>
    <w:rsid w:val="002B7481"/>
    <w:rsid w:val="002B7557"/>
    <w:rsid w:val="002C01AC"/>
    <w:rsid w:val="002C68EB"/>
    <w:rsid w:val="002E0E6C"/>
    <w:rsid w:val="002E1626"/>
    <w:rsid w:val="002E180A"/>
    <w:rsid w:val="002E501A"/>
    <w:rsid w:val="002E51EF"/>
    <w:rsid w:val="002F084E"/>
    <w:rsid w:val="002F18AD"/>
    <w:rsid w:val="002F4333"/>
    <w:rsid w:val="002F44AB"/>
    <w:rsid w:val="002F5B82"/>
    <w:rsid w:val="002F7B4F"/>
    <w:rsid w:val="003001AC"/>
    <w:rsid w:val="0030299C"/>
    <w:rsid w:val="0030491E"/>
    <w:rsid w:val="0030554B"/>
    <w:rsid w:val="003065E4"/>
    <w:rsid w:val="00311A4F"/>
    <w:rsid w:val="003128D0"/>
    <w:rsid w:val="00312D0E"/>
    <w:rsid w:val="00314723"/>
    <w:rsid w:val="00315516"/>
    <w:rsid w:val="0031677F"/>
    <w:rsid w:val="00316D8C"/>
    <w:rsid w:val="0031742B"/>
    <w:rsid w:val="00323998"/>
    <w:rsid w:val="003247D5"/>
    <w:rsid w:val="00324C96"/>
    <w:rsid w:val="00325133"/>
    <w:rsid w:val="00325B29"/>
    <w:rsid w:val="00326CAF"/>
    <w:rsid w:val="003310C8"/>
    <w:rsid w:val="003317DA"/>
    <w:rsid w:val="003367AF"/>
    <w:rsid w:val="00336D76"/>
    <w:rsid w:val="003372FE"/>
    <w:rsid w:val="00341D06"/>
    <w:rsid w:val="00342D2A"/>
    <w:rsid w:val="003449E6"/>
    <w:rsid w:val="00344D46"/>
    <w:rsid w:val="00346B2D"/>
    <w:rsid w:val="00347C11"/>
    <w:rsid w:val="00347FF7"/>
    <w:rsid w:val="0035079F"/>
    <w:rsid w:val="00350FDA"/>
    <w:rsid w:val="00351E07"/>
    <w:rsid w:val="00355837"/>
    <w:rsid w:val="00361A3C"/>
    <w:rsid w:val="0036204F"/>
    <w:rsid w:val="00364265"/>
    <w:rsid w:val="00364943"/>
    <w:rsid w:val="00365F3E"/>
    <w:rsid w:val="00370E9F"/>
    <w:rsid w:val="00370F6D"/>
    <w:rsid w:val="00371FC7"/>
    <w:rsid w:val="0037229A"/>
    <w:rsid w:val="003746E7"/>
    <w:rsid w:val="0037530E"/>
    <w:rsid w:val="003758F4"/>
    <w:rsid w:val="00375BEB"/>
    <w:rsid w:val="003775DA"/>
    <w:rsid w:val="0038045D"/>
    <w:rsid w:val="00382EAF"/>
    <w:rsid w:val="003830D0"/>
    <w:rsid w:val="003839C9"/>
    <w:rsid w:val="00384438"/>
    <w:rsid w:val="00384458"/>
    <w:rsid w:val="00384829"/>
    <w:rsid w:val="00384893"/>
    <w:rsid w:val="00385399"/>
    <w:rsid w:val="00386902"/>
    <w:rsid w:val="00392326"/>
    <w:rsid w:val="00394584"/>
    <w:rsid w:val="00395BA2"/>
    <w:rsid w:val="00396C34"/>
    <w:rsid w:val="00397050"/>
    <w:rsid w:val="00397259"/>
    <w:rsid w:val="00397AA8"/>
    <w:rsid w:val="003A0079"/>
    <w:rsid w:val="003A2BE4"/>
    <w:rsid w:val="003A6CCF"/>
    <w:rsid w:val="003A74EE"/>
    <w:rsid w:val="003A7945"/>
    <w:rsid w:val="003B2708"/>
    <w:rsid w:val="003B2AEA"/>
    <w:rsid w:val="003B3B39"/>
    <w:rsid w:val="003B4B9D"/>
    <w:rsid w:val="003B7062"/>
    <w:rsid w:val="003C2081"/>
    <w:rsid w:val="003C2374"/>
    <w:rsid w:val="003C3DB0"/>
    <w:rsid w:val="003C62D0"/>
    <w:rsid w:val="003D164C"/>
    <w:rsid w:val="003D1B40"/>
    <w:rsid w:val="003D1EE0"/>
    <w:rsid w:val="003D62C3"/>
    <w:rsid w:val="003D6EF5"/>
    <w:rsid w:val="003E0B40"/>
    <w:rsid w:val="003E1DAF"/>
    <w:rsid w:val="003E2B85"/>
    <w:rsid w:val="003E31A9"/>
    <w:rsid w:val="003E4E3E"/>
    <w:rsid w:val="003E6087"/>
    <w:rsid w:val="003E6727"/>
    <w:rsid w:val="003E79AD"/>
    <w:rsid w:val="003F2439"/>
    <w:rsid w:val="003F2B50"/>
    <w:rsid w:val="003F4790"/>
    <w:rsid w:val="003F49F0"/>
    <w:rsid w:val="003F54D1"/>
    <w:rsid w:val="003F6D5A"/>
    <w:rsid w:val="003F750E"/>
    <w:rsid w:val="003F7D88"/>
    <w:rsid w:val="00401551"/>
    <w:rsid w:val="00402A3B"/>
    <w:rsid w:val="00402C08"/>
    <w:rsid w:val="00404585"/>
    <w:rsid w:val="00407D79"/>
    <w:rsid w:val="004119FA"/>
    <w:rsid w:val="004125C5"/>
    <w:rsid w:val="00414663"/>
    <w:rsid w:val="0041570A"/>
    <w:rsid w:val="00417AA6"/>
    <w:rsid w:val="004212C6"/>
    <w:rsid w:val="0042289D"/>
    <w:rsid w:val="0042593E"/>
    <w:rsid w:val="004266B1"/>
    <w:rsid w:val="00427DA4"/>
    <w:rsid w:val="00430BB0"/>
    <w:rsid w:val="004315FB"/>
    <w:rsid w:val="00431E77"/>
    <w:rsid w:val="004322A1"/>
    <w:rsid w:val="00432BB8"/>
    <w:rsid w:val="00432FA0"/>
    <w:rsid w:val="0043599D"/>
    <w:rsid w:val="00436A71"/>
    <w:rsid w:val="00440AA8"/>
    <w:rsid w:val="0044192D"/>
    <w:rsid w:val="00441E19"/>
    <w:rsid w:val="0044283A"/>
    <w:rsid w:val="004433AC"/>
    <w:rsid w:val="00445F3F"/>
    <w:rsid w:val="004478DD"/>
    <w:rsid w:val="00450D93"/>
    <w:rsid w:val="00451621"/>
    <w:rsid w:val="004553D3"/>
    <w:rsid w:val="00456505"/>
    <w:rsid w:val="0045652E"/>
    <w:rsid w:val="004565E4"/>
    <w:rsid w:val="004568F4"/>
    <w:rsid w:val="00457B2E"/>
    <w:rsid w:val="00457E59"/>
    <w:rsid w:val="00460AF4"/>
    <w:rsid w:val="00461C77"/>
    <w:rsid w:val="00463157"/>
    <w:rsid w:val="00467DAD"/>
    <w:rsid w:val="00471B43"/>
    <w:rsid w:val="00472CFE"/>
    <w:rsid w:val="00473D34"/>
    <w:rsid w:val="0047417B"/>
    <w:rsid w:val="004746E2"/>
    <w:rsid w:val="00474A96"/>
    <w:rsid w:val="00474B03"/>
    <w:rsid w:val="004761F5"/>
    <w:rsid w:val="00476843"/>
    <w:rsid w:val="00481625"/>
    <w:rsid w:val="00482741"/>
    <w:rsid w:val="00483819"/>
    <w:rsid w:val="0048507A"/>
    <w:rsid w:val="004854EE"/>
    <w:rsid w:val="00490757"/>
    <w:rsid w:val="00490D03"/>
    <w:rsid w:val="0049160A"/>
    <w:rsid w:val="00493FB5"/>
    <w:rsid w:val="00496C4E"/>
    <w:rsid w:val="004975C5"/>
    <w:rsid w:val="004A2F5D"/>
    <w:rsid w:val="004A343C"/>
    <w:rsid w:val="004A400F"/>
    <w:rsid w:val="004A4AC9"/>
    <w:rsid w:val="004A50B5"/>
    <w:rsid w:val="004A5115"/>
    <w:rsid w:val="004B0B56"/>
    <w:rsid w:val="004B0FF3"/>
    <w:rsid w:val="004B1D85"/>
    <w:rsid w:val="004B685E"/>
    <w:rsid w:val="004B70DB"/>
    <w:rsid w:val="004B7258"/>
    <w:rsid w:val="004B7BBF"/>
    <w:rsid w:val="004C0177"/>
    <w:rsid w:val="004C073A"/>
    <w:rsid w:val="004C1A85"/>
    <w:rsid w:val="004C2360"/>
    <w:rsid w:val="004C5349"/>
    <w:rsid w:val="004C5E3C"/>
    <w:rsid w:val="004C7AE1"/>
    <w:rsid w:val="004C7FB9"/>
    <w:rsid w:val="004D0C08"/>
    <w:rsid w:val="004D3150"/>
    <w:rsid w:val="004D631F"/>
    <w:rsid w:val="004D6D03"/>
    <w:rsid w:val="004D73FD"/>
    <w:rsid w:val="004D7F15"/>
    <w:rsid w:val="004E2C97"/>
    <w:rsid w:val="004E4A9E"/>
    <w:rsid w:val="004E4B42"/>
    <w:rsid w:val="004E7CEB"/>
    <w:rsid w:val="004F0633"/>
    <w:rsid w:val="004F12D0"/>
    <w:rsid w:val="004F2F64"/>
    <w:rsid w:val="004F38E8"/>
    <w:rsid w:val="004F6488"/>
    <w:rsid w:val="005001E5"/>
    <w:rsid w:val="00503A80"/>
    <w:rsid w:val="00507468"/>
    <w:rsid w:val="00512092"/>
    <w:rsid w:val="0051381D"/>
    <w:rsid w:val="00513C96"/>
    <w:rsid w:val="005162E6"/>
    <w:rsid w:val="00516818"/>
    <w:rsid w:val="0051712E"/>
    <w:rsid w:val="00517B46"/>
    <w:rsid w:val="005201F3"/>
    <w:rsid w:val="005213BA"/>
    <w:rsid w:val="005216E7"/>
    <w:rsid w:val="005221EA"/>
    <w:rsid w:val="00527A2D"/>
    <w:rsid w:val="005303A0"/>
    <w:rsid w:val="0053116E"/>
    <w:rsid w:val="00532FF5"/>
    <w:rsid w:val="00533020"/>
    <w:rsid w:val="005343E4"/>
    <w:rsid w:val="00534666"/>
    <w:rsid w:val="00536BF4"/>
    <w:rsid w:val="0054058D"/>
    <w:rsid w:val="00540B7D"/>
    <w:rsid w:val="00541B3D"/>
    <w:rsid w:val="0054221D"/>
    <w:rsid w:val="00542260"/>
    <w:rsid w:val="005441D6"/>
    <w:rsid w:val="0054464D"/>
    <w:rsid w:val="0054468E"/>
    <w:rsid w:val="00544958"/>
    <w:rsid w:val="00545A41"/>
    <w:rsid w:val="005471EE"/>
    <w:rsid w:val="0055078A"/>
    <w:rsid w:val="005507B7"/>
    <w:rsid w:val="00551E4F"/>
    <w:rsid w:val="0055416C"/>
    <w:rsid w:val="005552CC"/>
    <w:rsid w:val="00557131"/>
    <w:rsid w:val="00560107"/>
    <w:rsid w:val="005612B3"/>
    <w:rsid w:val="005751F3"/>
    <w:rsid w:val="005757F5"/>
    <w:rsid w:val="00575A81"/>
    <w:rsid w:val="00582235"/>
    <w:rsid w:val="00583CC8"/>
    <w:rsid w:val="005843C1"/>
    <w:rsid w:val="00585B7D"/>
    <w:rsid w:val="00585F6B"/>
    <w:rsid w:val="005861F0"/>
    <w:rsid w:val="0059229A"/>
    <w:rsid w:val="00594609"/>
    <w:rsid w:val="005959E3"/>
    <w:rsid w:val="00596019"/>
    <w:rsid w:val="00596FAB"/>
    <w:rsid w:val="005A11CB"/>
    <w:rsid w:val="005A163D"/>
    <w:rsid w:val="005A2185"/>
    <w:rsid w:val="005A25B5"/>
    <w:rsid w:val="005A4CA5"/>
    <w:rsid w:val="005A50CC"/>
    <w:rsid w:val="005A5536"/>
    <w:rsid w:val="005A676A"/>
    <w:rsid w:val="005B1EF1"/>
    <w:rsid w:val="005B2254"/>
    <w:rsid w:val="005B2DAA"/>
    <w:rsid w:val="005B4C5F"/>
    <w:rsid w:val="005B7EDF"/>
    <w:rsid w:val="005C2D3F"/>
    <w:rsid w:val="005C331A"/>
    <w:rsid w:val="005C415B"/>
    <w:rsid w:val="005C5C6F"/>
    <w:rsid w:val="005C63B7"/>
    <w:rsid w:val="005D0308"/>
    <w:rsid w:val="005D17F6"/>
    <w:rsid w:val="005D18C7"/>
    <w:rsid w:val="005D3C6B"/>
    <w:rsid w:val="005D75EF"/>
    <w:rsid w:val="005D7A36"/>
    <w:rsid w:val="005E02C7"/>
    <w:rsid w:val="005E0A98"/>
    <w:rsid w:val="005E3226"/>
    <w:rsid w:val="005E3FE1"/>
    <w:rsid w:val="005E4313"/>
    <w:rsid w:val="005E493F"/>
    <w:rsid w:val="005E6679"/>
    <w:rsid w:val="005E75E1"/>
    <w:rsid w:val="005F058C"/>
    <w:rsid w:val="005F17A2"/>
    <w:rsid w:val="005F3C3F"/>
    <w:rsid w:val="005F6944"/>
    <w:rsid w:val="005F6CF6"/>
    <w:rsid w:val="00600BDA"/>
    <w:rsid w:val="0060433B"/>
    <w:rsid w:val="0060718E"/>
    <w:rsid w:val="0061124A"/>
    <w:rsid w:val="00611719"/>
    <w:rsid w:val="0061213D"/>
    <w:rsid w:val="00614090"/>
    <w:rsid w:val="0061449B"/>
    <w:rsid w:val="00621583"/>
    <w:rsid w:val="00622D5A"/>
    <w:rsid w:val="00631D00"/>
    <w:rsid w:val="00631D0B"/>
    <w:rsid w:val="00635382"/>
    <w:rsid w:val="006353BC"/>
    <w:rsid w:val="006361B0"/>
    <w:rsid w:val="00640445"/>
    <w:rsid w:val="006421F2"/>
    <w:rsid w:val="00644304"/>
    <w:rsid w:val="00645AD8"/>
    <w:rsid w:val="00645DAA"/>
    <w:rsid w:val="00646E1B"/>
    <w:rsid w:val="00650AE5"/>
    <w:rsid w:val="00654FB6"/>
    <w:rsid w:val="00656BCA"/>
    <w:rsid w:val="006610E4"/>
    <w:rsid w:val="00664460"/>
    <w:rsid w:val="00664CE1"/>
    <w:rsid w:val="00665EF3"/>
    <w:rsid w:val="0067083F"/>
    <w:rsid w:val="00672767"/>
    <w:rsid w:val="0067406E"/>
    <w:rsid w:val="006756E6"/>
    <w:rsid w:val="00676948"/>
    <w:rsid w:val="006775AB"/>
    <w:rsid w:val="00685462"/>
    <w:rsid w:val="00685735"/>
    <w:rsid w:val="006862B2"/>
    <w:rsid w:val="00686F6E"/>
    <w:rsid w:val="0069485D"/>
    <w:rsid w:val="0069486C"/>
    <w:rsid w:val="006956C3"/>
    <w:rsid w:val="006A10F5"/>
    <w:rsid w:val="006A15B3"/>
    <w:rsid w:val="006A16B6"/>
    <w:rsid w:val="006A1FDA"/>
    <w:rsid w:val="006A395D"/>
    <w:rsid w:val="006A489C"/>
    <w:rsid w:val="006A4DDA"/>
    <w:rsid w:val="006A631F"/>
    <w:rsid w:val="006A650D"/>
    <w:rsid w:val="006A6683"/>
    <w:rsid w:val="006A6F7C"/>
    <w:rsid w:val="006A75E6"/>
    <w:rsid w:val="006B08EB"/>
    <w:rsid w:val="006B17E9"/>
    <w:rsid w:val="006B227D"/>
    <w:rsid w:val="006B28B1"/>
    <w:rsid w:val="006B345D"/>
    <w:rsid w:val="006B4D98"/>
    <w:rsid w:val="006B5F88"/>
    <w:rsid w:val="006B61EC"/>
    <w:rsid w:val="006B7C0C"/>
    <w:rsid w:val="006B7DBA"/>
    <w:rsid w:val="006C1B79"/>
    <w:rsid w:val="006C4A83"/>
    <w:rsid w:val="006C4E48"/>
    <w:rsid w:val="006D27B0"/>
    <w:rsid w:val="006D3CB0"/>
    <w:rsid w:val="006D4416"/>
    <w:rsid w:val="006D48A5"/>
    <w:rsid w:val="006D6ACF"/>
    <w:rsid w:val="006D79FB"/>
    <w:rsid w:val="006E02CF"/>
    <w:rsid w:val="006E0B16"/>
    <w:rsid w:val="006E0E14"/>
    <w:rsid w:val="006E0F0F"/>
    <w:rsid w:val="006E3B20"/>
    <w:rsid w:val="006E3BBA"/>
    <w:rsid w:val="006E4C89"/>
    <w:rsid w:val="006E5B5A"/>
    <w:rsid w:val="006E7289"/>
    <w:rsid w:val="006F3838"/>
    <w:rsid w:val="006F45AF"/>
    <w:rsid w:val="006F69DD"/>
    <w:rsid w:val="006F6D4E"/>
    <w:rsid w:val="006F7D00"/>
    <w:rsid w:val="007002E9"/>
    <w:rsid w:val="00703D44"/>
    <w:rsid w:val="007050DC"/>
    <w:rsid w:val="00710170"/>
    <w:rsid w:val="007104DB"/>
    <w:rsid w:val="00710B62"/>
    <w:rsid w:val="00711A83"/>
    <w:rsid w:val="00711C95"/>
    <w:rsid w:val="0071253A"/>
    <w:rsid w:val="007132B0"/>
    <w:rsid w:val="00713AC8"/>
    <w:rsid w:val="00713BD7"/>
    <w:rsid w:val="00713E55"/>
    <w:rsid w:val="007142EE"/>
    <w:rsid w:val="007172C7"/>
    <w:rsid w:val="00724ACB"/>
    <w:rsid w:val="00725916"/>
    <w:rsid w:val="00725E2C"/>
    <w:rsid w:val="00727EFE"/>
    <w:rsid w:val="007310DC"/>
    <w:rsid w:val="00731AA3"/>
    <w:rsid w:val="007369EE"/>
    <w:rsid w:val="00737232"/>
    <w:rsid w:val="0073761B"/>
    <w:rsid w:val="007404FF"/>
    <w:rsid w:val="00740741"/>
    <w:rsid w:val="00743B34"/>
    <w:rsid w:val="00743F25"/>
    <w:rsid w:val="00744E09"/>
    <w:rsid w:val="00746573"/>
    <w:rsid w:val="00746A64"/>
    <w:rsid w:val="007525CC"/>
    <w:rsid w:val="0075392A"/>
    <w:rsid w:val="00754B47"/>
    <w:rsid w:val="00755E04"/>
    <w:rsid w:val="00761C02"/>
    <w:rsid w:val="0076259E"/>
    <w:rsid w:val="0077088F"/>
    <w:rsid w:val="00771499"/>
    <w:rsid w:val="00771AD4"/>
    <w:rsid w:val="00771B11"/>
    <w:rsid w:val="00771D42"/>
    <w:rsid w:val="007732AE"/>
    <w:rsid w:val="00774828"/>
    <w:rsid w:val="00775678"/>
    <w:rsid w:val="00775B0B"/>
    <w:rsid w:val="007768C0"/>
    <w:rsid w:val="0077759F"/>
    <w:rsid w:val="007777BF"/>
    <w:rsid w:val="0078027C"/>
    <w:rsid w:val="007802A2"/>
    <w:rsid w:val="00784AAD"/>
    <w:rsid w:val="00790334"/>
    <w:rsid w:val="007917E6"/>
    <w:rsid w:val="00791CC8"/>
    <w:rsid w:val="00797BEB"/>
    <w:rsid w:val="007A06F8"/>
    <w:rsid w:val="007A339D"/>
    <w:rsid w:val="007A39F9"/>
    <w:rsid w:val="007A3D9D"/>
    <w:rsid w:val="007A5097"/>
    <w:rsid w:val="007A7AC0"/>
    <w:rsid w:val="007A7EE4"/>
    <w:rsid w:val="007B0703"/>
    <w:rsid w:val="007B1193"/>
    <w:rsid w:val="007B12CD"/>
    <w:rsid w:val="007B2136"/>
    <w:rsid w:val="007B31B0"/>
    <w:rsid w:val="007B3CCE"/>
    <w:rsid w:val="007B4297"/>
    <w:rsid w:val="007B5FAF"/>
    <w:rsid w:val="007B6711"/>
    <w:rsid w:val="007B6EBC"/>
    <w:rsid w:val="007B77E8"/>
    <w:rsid w:val="007C0A02"/>
    <w:rsid w:val="007C1601"/>
    <w:rsid w:val="007C18CF"/>
    <w:rsid w:val="007C3CD0"/>
    <w:rsid w:val="007C4F99"/>
    <w:rsid w:val="007C6FBB"/>
    <w:rsid w:val="007C76B5"/>
    <w:rsid w:val="007C7EC1"/>
    <w:rsid w:val="007D07A2"/>
    <w:rsid w:val="007D1DCB"/>
    <w:rsid w:val="007D239C"/>
    <w:rsid w:val="007D3E3F"/>
    <w:rsid w:val="007D49B6"/>
    <w:rsid w:val="007D508E"/>
    <w:rsid w:val="007D621B"/>
    <w:rsid w:val="007D6424"/>
    <w:rsid w:val="007D7BC8"/>
    <w:rsid w:val="007E3BB2"/>
    <w:rsid w:val="007E4539"/>
    <w:rsid w:val="007E566F"/>
    <w:rsid w:val="007E7062"/>
    <w:rsid w:val="007E73F2"/>
    <w:rsid w:val="007E7A93"/>
    <w:rsid w:val="007F159B"/>
    <w:rsid w:val="007F2015"/>
    <w:rsid w:val="007F56A9"/>
    <w:rsid w:val="007F5750"/>
    <w:rsid w:val="007F72B7"/>
    <w:rsid w:val="008007BE"/>
    <w:rsid w:val="0080119F"/>
    <w:rsid w:val="00802889"/>
    <w:rsid w:val="0080567D"/>
    <w:rsid w:val="00805ACA"/>
    <w:rsid w:val="00807E96"/>
    <w:rsid w:val="00811CDF"/>
    <w:rsid w:val="00812AA8"/>
    <w:rsid w:val="00812B5D"/>
    <w:rsid w:val="008130A9"/>
    <w:rsid w:val="008132F4"/>
    <w:rsid w:val="008139CA"/>
    <w:rsid w:val="008140F1"/>
    <w:rsid w:val="00814995"/>
    <w:rsid w:val="0081519E"/>
    <w:rsid w:val="00815B71"/>
    <w:rsid w:val="0082013D"/>
    <w:rsid w:val="00820AE2"/>
    <w:rsid w:val="00821AB2"/>
    <w:rsid w:val="00821D83"/>
    <w:rsid w:val="0082263E"/>
    <w:rsid w:val="008240DB"/>
    <w:rsid w:val="00824CE5"/>
    <w:rsid w:val="00830A1D"/>
    <w:rsid w:val="00831923"/>
    <w:rsid w:val="00833B86"/>
    <w:rsid w:val="00833C76"/>
    <w:rsid w:val="00833F00"/>
    <w:rsid w:val="008378A6"/>
    <w:rsid w:val="008423D2"/>
    <w:rsid w:val="008463F5"/>
    <w:rsid w:val="0085072C"/>
    <w:rsid w:val="00850958"/>
    <w:rsid w:val="00851AE9"/>
    <w:rsid w:val="00851B87"/>
    <w:rsid w:val="008537D5"/>
    <w:rsid w:val="00854A41"/>
    <w:rsid w:val="008553D2"/>
    <w:rsid w:val="008574D5"/>
    <w:rsid w:val="00860185"/>
    <w:rsid w:val="00861F05"/>
    <w:rsid w:val="0086235F"/>
    <w:rsid w:val="0086463D"/>
    <w:rsid w:val="0086568D"/>
    <w:rsid w:val="00865C7F"/>
    <w:rsid w:val="0086762A"/>
    <w:rsid w:val="00867AD2"/>
    <w:rsid w:val="0087046C"/>
    <w:rsid w:val="00872A11"/>
    <w:rsid w:val="00872E0E"/>
    <w:rsid w:val="0087458F"/>
    <w:rsid w:val="00874899"/>
    <w:rsid w:val="00883A62"/>
    <w:rsid w:val="008871C0"/>
    <w:rsid w:val="008874E2"/>
    <w:rsid w:val="00887C0E"/>
    <w:rsid w:val="00887E2A"/>
    <w:rsid w:val="0089024E"/>
    <w:rsid w:val="00890547"/>
    <w:rsid w:val="008912A8"/>
    <w:rsid w:val="008928E1"/>
    <w:rsid w:val="00894BC6"/>
    <w:rsid w:val="008952F5"/>
    <w:rsid w:val="00897CF2"/>
    <w:rsid w:val="008A0D65"/>
    <w:rsid w:val="008A32ED"/>
    <w:rsid w:val="008A5669"/>
    <w:rsid w:val="008A5E1A"/>
    <w:rsid w:val="008B0B94"/>
    <w:rsid w:val="008B0BF2"/>
    <w:rsid w:val="008B0F45"/>
    <w:rsid w:val="008B1BAE"/>
    <w:rsid w:val="008B1D49"/>
    <w:rsid w:val="008B4297"/>
    <w:rsid w:val="008B657A"/>
    <w:rsid w:val="008C0C56"/>
    <w:rsid w:val="008C1792"/>
    <w:rsid w:val="008C1A4A"/>
    <w:rsid w:val="008C1C19"/>
    <w:rsid w:val="008C29AB"/>
    <w:rsid w:val="008C2C62"/>
    <w:rsid w:val="008C5252"/>
    <w:rsid w:val="008C5384"/>
    <w:rsid w:val="008C5F92"/>
    <w:rsid w:val="008C6B6F"/>
    <w:rsid w:val="008C7FBD"/>
    <w:rsid w:val="008D0FCA"/>
    <w:rsid w:val="008D261F"/>
    <w:rsid w:val="008D2936"/>
    <w:rsid w:val="008D5C7C"/>
    <w:rsid w:val="008D7BC4"/>
    <w:rsid w:val="008E0226"/>
    <w:rsid w:val="008E0320"/>
    <w:rsid w:val="008E09A6"/>
    <w:rsid w:val="008E4856"/>
    <w:rsid w:val="008E54C6"/>
    <w:rsid w:val="008F3A0D"/>
    <w:rsid w:val="008F53DF"/>
    <w:rsid w:val="008F5B05"/>
    <w:rsid w:val="008F6065"/>
    <w:rsid w:val="008F7532"/>
    <w:rsid w:val="008F766B"/>
    <w:rsid w:val="009006A0"/>
    <w:rsid w:val="00900DA7"/>
    <w:rsid w:val="009022DA"/>
    <w:rsid w:val="00903FBA"/>
    <w:rsid w:val="00905121"/>
    <w:rsid w:val="00905A8B"/>
    <w:rsid w:val="00910CE8"/>
    <w:rsid w:val="00910CFA"/>
    <w:rsid w:val="00911614"/>
    <w:rsid w:val="0091332D"/>
    <w:rsid w:val="00915629"/>
    <w:rsid w:val="0091644B"/>
    <w:rsid w:val="00916A39"/>
    <w:rsid w:val="00917641"/>
    <w:rsid w:val="00926365"/>
    <w:rsid w:val="00926693"/>
    <w:rsid w:val="00926723"/>
    <w:rsid w:val="009274EB"/>
    <w:rsid w:val="009305EA"/>
    <w:rsid w:val="009326C8"/>
    <w:rsid w:val="00932A7D"/>
    <w:rsid w:val="0093309F"/>
    <w:rsid w:val="0093361A"/>
    <w:rsid w:val="00934F3C"/>
    <w:rsid w:val="00936C8E"/>
    <w:rsid w:val="009370EE"/>
    <w:rsid w:val="00937ABE"/>
    <w:rsid w:val="00940545"/>
    <w:rsid w:val="0094077F"/>
    <w:rsid w:val="0094168C"/>
    <w:rsid w:val="0094199F"/>
    <w:rsid w:val="00942351"/>
    <w:rsid w:val="00943245"/>
    <w:rsid w:val="00944625"/>
    <w:rsid w:val="0094639F"/>
    <w:rsid w:val="00946E57"/>
    <w:rsid w:val="00952869"/>
    <w:rsid w:val="00953446"/>
    <w:rsid w:val="009552EC"/>
    <w:rsid w:val="00961D3E"/>
    <w:rsid w:val="00961D6C"/>
    <w:rsid w:val="009624D1"/>
    <w:rsid w:val="009627A7"/>
    <w:rsid w:val="00962D4B"/>
    <w:rsid w:val="00967F47"/>
    <w:rsid w:val="00970706"/>
    <w:rsid w:val="009707EB"/>
    <w:rsid w:val="009742E4"/>
    <w:rsid w:val="009745B9"/>
    <w:rsid w:val="009829F3"/>
    <w:rsid w:val="00984A84"/>
    <w:rsid w:val="00984AB6"/>
    <w:rsid w:val="00987066"/>
    <w:rsid w:val="009901AE"/>
    <w:rsid w:val="009919E2"/>
    <w:rsid w:val="00991C38"/>
    <w:rsid w:val="00995554"/>
    <w:rsid w:val="009959F6"/>
    <w:rsid w:val="00995BF8"/>
    <w:rsid w:val="009961A3"/>
    <w:rsid w:val="009A2AD6"/>
    <w:rsid w:val="009A428C"/>
    <w:rsid w:val="009A4982"/>
    <w:rsid w:val="009A52CD"/>
    <w:rsid w:val="009A597C"/>
    <w:rsid w:val="009A689D"/>
    <w:rsid w:val="009A73DE"/>
    <w:rsid w:val="009A7589"/>
    <w:rsid w:val="009B1EC9"/>
    <w:rsid w:val="009B2BE0"/>
    <w:rsid w:val="009B2C40"/>
    <w:rsid w:val="009B6798"/>
    <w:rsid w:val="009C2C52"/>
    <w:rsid w:val="009C59C1"/>
    <w:rsid w:val="009C7D28"/>
    <w:rsid w:val="009D2C37"/>
    <w:rsid w:val="009D6D6C"/>
    <w:rsid w:val="009D6FF0"/>
    <w:rsid w:val="009E4B56"/>
    <w:rsid w:val="009E60AF"/>
    <w:rsid w:val="009E63FE"/>
    <w:rsid w:val="009E7E8C"/>
    <w:rsid w:val="009F1564"/>
    <w:rsid w:val="009F1D04"/>
    <w:rsid w:val="009F596C"/>
    <w:rsid w:val="009F6759"/>
    <w:rsid w:val="009F695D"/>
    <w:rsid w:val="009F7D43"/>
    <w:rsid w:val="009F7E4B"/>
    <w:rsid w:val="00A00D08"/>
    <w:rsid w:val="00A0374D"/>
    <w:rsid w:val="00A04856"/>
    <w:rsid w:val="00A05931"/>
    <w:rsid w:val="00A079C8"/>
    <w:rsid w:val="00A10C2A"/>
    <w:rsid w:val="00A110E2"/>
    <w:rsid w:val="00A1178A"/>
    <w:rsid w:val="00A1235E"/>
    <w:rsid w:val="00A12A0B"/>
    <w:rsid w:val="00A13D98"/>
    <w:rsid w:val="00A14BDC"/>
    <w:rsid w:val="00A14CE7"/>
    <w:rsid w:val="00A155A9"/>
    <w:rsid w:val="00A16F08"/>
    <w:rsid w:val="00A200C0"/>
    <w:rsid w:val="00A21143"/>
    <w:rsid w:val="00A23433"/>
    <w:rsid w:val="00A241E4"/>
    <w:rsid w:val="00A24625"/>
    <w:rsid w:val="00A262BD"/>
    <w:rsid w:val="00A270BB"/>
    <w:rsid w:val="00A3126A"/>
    <w:rsid w:val="00A342AD"/>
    <w:rsid w:val="00A35AE1"/>
    <w:rsid w:val="00A41BA4"/>
    <w:rsid w:val="00A43A07"/>
    <w:rsid w:val="00A45019"/>
    <w:rsid w:val="00A474F9"/>
    <w:rsid w:val="00A527BD"/>
    <w:rsid w:val="00A55C0E"/>
    <w:rsid w:val="00A56177"/>
    <w:rsid w:val="00A601ED"/>
    <w:rsid w:val="00A6087B"/>
    <w:rsid w:val="00A60D81"/>
    <w:rsid w:val="00A612A5"/>
    <w:rsid w:val="00A627B9"/>
    <w:rsid w:val="00A63BD3"/>
    <w:rsid w:val="00A64B46"/>
    <w:rsid w:val="00A66CBD"/>
    <w:rsid w:val="00A67044"/>
    <w:rsid w:val="00A67E4C"/>
    <w:rsid w:val="00A70155"/>
    <w:rsid w:val="00A702D7"/>
    <w:rsid w:val="00A7131C"/>
    <w:rsid w:val="00A82208"/>
    <w:rsid w:val="00A82A5F"/>
    <w:rsid w:val="00A8682A"/>
    <w:rsid w:val="00AA0DBB"/>
    <w:rsid w:val="00AA1C34"/>
    <w:rsid w:val="00AA51C9"/>
    <w:rsid w:val="00AA65AE"/>
    <w:rsid w:val="00AA676F"/>
    <w:rsid w:val="00AA6C3E"/>
    <w:rsid w:val="00AA7541"/>
    <w:rsid w:val="00AB25C9"/>
    <w:rsid w:val="00AB5F47"/>
    <w:rsid w:val="00AC16AC"/>
    <w:rsid w:val="00AC218A"/>
    <w:rsid w:val="00AC2D14"/>
    <w:rsid w:val="00AC37D8"/>
    <w:rsid w:val="00AC39E4"/>
    <w:rsid w:val="00AC49B9"/>
    <w:rsid w:val="00AC53CE"/>
    <w:rsid w:val="00AC5610"/>
    <w:rsid w:val="00AC7459"/>
    <w:rsid w:val="00AD6316"/>
    <w:rsid w:val="00AD65E9"/>
    <w:rsid w:val="00AD7BA1"/>
    <w:rsid w:val="00AE0B78"/>
    <w:rsid w:val="00AE110B"/>
    <w:rsid w:val="00AE18D0"/>
    <w:rsid w:val="00AE2C29"/>
    <w:rsid w:val="00AE46A3"/>
    <w:rsid w:val="00AE7BC3"/>
    <w:rsid w:val="00AE7EC0"/>
    <w:rsid w:val="00AF0369"/>
    <w:rsid w:val="00AF2C22"/>
    <w:rsid w:val="00AF6275"/>
    <w:rsid w:val="00AF6641"/>
    <w:rsid w:val="00AF6B1A"/>
    <w:rsid w:val="00AF6D9F"/>
    <w:rsid w:val="00AF724D"/>
    <w:rsid w:val="00AF7588"/>
    <w:rsid w:val="00AF775C"/>
    <w:rsid w:val="00B00126"/>
    <w:rsid w:val="00B00D0D"/>
    <w:rsid w:val="00B01456"/>
    <w:rsid w:val="00B016BF"/>
    <w:rsid w:val="00B025BF"/>
    <w:rsid w:val="00B07CC8"/>
    <w:rsid w:val="00B10F22"/>
    <w:rsid w:val="00B142A2"/>
    <w:rsid w:val="00B2055A"/>
    <w:rsid w:val="00B206ED"/>
    <w:rsid w:val="00B2191F"/>
    <w:rsid w:val="00B21ED6"/>
    <w:rsid w:val="00B24A44"/>
    <w:rsid w:val="00B24E3A"/>
    <w:rsid w:val="00B261F2"/>
    <w:rsid w:val="00B2628B"/>
    <w:rsid w:val="00B30464"/>
    <w:rsid w:val="00B308AE"/>
    <w:rsid w:val="00B31040"/>
    <w:rsid w:val="00B31120"/>
    <w:rsid w:val="00B3204A"/>
    <w:rsid w:val="00B35D0B"/>
    <w:rsid w:val="00B40728"/>
    <w:rsid w:val="00B410AE"/>
    <w:rsid w:val="00B42798"/>
    <w:rsid w:val="00B44936"/>
    <w:rsid w:val="00B44F27"/>
    <w:rsid w:val="00B460CE"/>
    <w:rsid w:val="00B50875"/>
    <w:rsid w:val="00B50D8A"/>
    <w:rsid w:val="00B51F56"/>
    <w:rsid w:val="00B53899"/>
    <w:rsid w:val="00B54662"/>
    <w:rsid w:val="00B55055"/>
    <w:rsid w:val="00B6205C"/>
    <w:rsid w:val="00B62E9B"/>
    <w:rsid w:val="00B63993"/>
    <w:rsid w:val="00B649AF"/>
    <w:rsid w:val="00B664C1"/>
    <w:rsid w:val="00B715A1"/>
    <w:rsid w:val="00B7274D"/>
    <w:rsid w:val="00B7597F"/>
    <w:rsid w:val="00B76882"/>
    <w:rsid w:val="00B77E48"/>
    <w:rsid w:val="00B805F9"/>
    <w:rsid w:val="00B8218F"/>
    <w:rsid w:val="00B8309D"/>
    <w:rsid w:val="00B831D3"/>
    <w:rsid w:val="00B84273"/>
    <w:rsid w:val="00B84753"/>
    <w:rsid w:val="00B87561"/>
    <w:rsid w:val="00B9138B"/>
    <w:rsid w:val="00B92F49"/>
    <w:rsid w:val="00B9328A"/>
    <w:rsid w:val="00B94025"/>
    <w:rsid w:val="00B959EC"/>
    <w:rsid w:val="00BA1A8C"/>
    <w:rsid w:val="00BA2F0E"/>
    <w:rsid w:val="00BA3B3E"/>
    <w:rsid w:val="00BA6BA1"/>
    <w:rsid w:val="00BA7953"/>
    <w:rsid w:val="00BB1FA4"/>
    <w:rsid w:val="00BB3DE0"/>
    <w:rsid w:val="00BB4B81"/>
    <w:rsid w:val="00BB6EFB"/>
    <w:rsid w:val="00BB6F4E"/>
    <w:rsid w:val="00BB7F8A"/>
    <w:rsid w:val="00BC221D"/>
    <w:rsid w:val="00BC2A8A"/>
    <w:rsid w:val="00BC543A"/>
    <w:rsid w:val="00BC764F"/>
    <w:rsid w:val="00BD0F42"/>
    <w:rsid w:val="00BD1698"/>
    <w:rsid w:val="00BD310B"/>
    <w:rsid w:val="00BD31A5"/>
    <w:rsid w:val="00BD408F"/>
    <w:rsid w:val="00BE1EA6"/>
    <w:rsid w:val="00BE2C08"/>
    <w:rsid w:val="00BE653E"/>
    <w:rsid w:val="00BF3B99"/>
    <w:rsid w:val="00BF4A87"/>
    <w:rsid w:val="00BF5D48"/>
    <w:rsid w:val="00BF60DA"/>
    <w:rsid w:val="00BF6ED1"/>
    <w:rsid w:val="00BF7329"/>
    <w:rsid w:val="00C00340"/>
    <w:rsid w:val="00C026E9"/>
    <w:rsid w:val="00C032B3"/>
    <w:rsid w:val="00C04159"/>
    <w:rsid w:val="00C047D6"/>
    <w:rsid w:val="00C14063"/>
    <w:rsid w:val="00C15234"/>
    <w:rsid w:val="00C2443E"/>
    <w:rsid w:val="00C27446"/>
    <w:rsid w:val="00C30E44"/>
    <w:rsid w:val="00C321C9"/>
    <w:rsid w:val="00C35646"/>
    <w:rsid w:val="00C408EF"/>
    <w:rsid w:val="00C421C8"/>
    <w:rsid w:val="00C42DEF"/>
    <w:rsid w:val="00C43F71"/>
    <w:rsid w:val="00C4524A"/>
    <w:rsid w:val="00C46CF7"/>
    <w:rsid w:val="00C46FAE"/>
    <w:rsid w:val="00C4726A"/>
    <w:rsid w:val="00C50167"/>
    <w:rsid w:val="00C501EF"/>
    <w:rsid w:val="00C50EAA"/>
    <w:rsid w:val="00C557C1"/>
    <w:rsid w:val="00C56964"/>
    <w:rsid w:val="00C56DC8"/>
    <w:rsid w:val="00C60A0E"/>
    <w:rsid w:val="00C60FF2"/>
    <w:rsid w:val="00C61733"/>
    <w:rsid w:val="00C6278D"/>
    <w:rsid w:val="00C62A27"/>
    <w:rsid w:val="00C6307F"/>
    <w:rsid w:val="00C642E9"/>
    <w:rsid w:val="00C65F9D"/>
    <w:rsid w:val="00C73241"/>
    <w:rsid w:val="00C73C7C"/>
    <w:rsid w:val="00C74317"/>
    <w:rsid w:val="00C74F1E"/>
    <w:rsid w:val="00C77A17"/>
    <w:rsid w:val="00C803B6"/>
    <w:rsid w:val="00C81E16"/>
    <w:rsid w:val="00C82F53"/>
    <w:rsid w:val="00C835C2"/>
    <w:rsid w:val="00C868E7"/>
    <w:rsid w:val="00C86D2E"/>
    <w:rsid w:val="00C915F7"/>
    <w:rsid w:val="00C93338"/>
    <w:rsid w:val="00C9683F"/>
    <w:rsid w:val="00C96B30"/>
    <w:rsid w:val="00C976C1"/>
    <w:rsid w:val="00C97F20"/>
    <w:rsid w:val="00CA01ED"/>
    <w:rsid w:val="00CA08D9"/>
    <w:rsid w:val="00CA11FA"/>
    <w:rsid w:val="00CA21B5"/>
    <w:rsid w:val="00CA3005"/>
    <w:rsid w:val="00CB10E1"/>
    <w:rsid w:val="00CB2B1A"/>
    <w:rsid w:val="00CB44B1"/>
    <w:rsid w:val="00CB4766"/>
    <w:rsid w:val="00CB4C18"/>
    <w:rsid w:val="00CB54D5"/>
    <w:rsid w:val="00CB5BDE"/>
    <w:rsid w:val="00CB639C"/>
    <w:rsid w:val="00CC0174"/>
    <w:rsid w:val="00CC0742"/>
    <w:rsid w:val="00CC269D"/>
    <w:rsid w:val="00CC5D42"/>
    <w:rsid w:val="00CC70B7"/>
    <w:rsid w:val="00CD41A0"/>
    <w:rsid w:val="00CD547D"/>
    <w:rsid w:val="00CE1E4C"/>
    <w:rsid w:val="00CE3EC3"/>
    <w:rsid w:val="00CE55CE"/>
    <w:rsid w:val="00CE5BA9"/>
    <w:rsid w:val="00CE6906"/>
    <w:rsid w:val="00CF06AA"/>
    <w:rsid w:val="00CF0DAB"/>
    <w:rsid w:val="00CF0F33"/>
    <w:rsid w:val="00CF2327"/>
    <w:rsid w:val="00CF585D"/>
    <w:rsid w:val="00CF6B59"/>
    <w:rsid w:val="00D00782"/>
    <w:rsid w:val="00D03AA4"/>
    <w:rsid w:val="00D055BC"/>
    <w:rsid w:val="00D07879"/>
    <w:rsid w:val="00D13B5D"/>
    <w:rsid w:val="00D143C2"/>
    <w:rsid w:val="00D16D4F"/>
    <w:rsid w:val="00D1729A"/>
    <w:rsid w:val="00D202A8"/>
    <w:rsid w:val="00D2236A"/>
    <w:rsid w:val="00D27D5F"/>
    <w:rsid w:val="00D32A03"/>
    <w:rsid w:val="00D33323"/>
    <w:rsid w:val="00D35378"/>
    <w:rsid w:val="00D37D1D"/>
    <w:rsid w:val="00D4109D"/>
    <w:rsid w:val="00D419BF"/>
    <w:rsid w:val="00D436E8"/>
    <w:rsid w:val="00D461DE"/>
    <w:rsid w:val="00D4641E"/>
    <w:rsid w:val="00D46665"/>
    <w:rsid w:val="00D479D8"/>
    <w:rsid w:val="00D501B7"/>
    <w:rsid w:val="00D51F14"/>
    <w:rsid w:val="00D526F5"/>
    <w:rsid w:val="00D53B53"/>
    <w:rsid w:val="00D542E7"/>
    <w:rsid w:val="00D5647F"/>
    <w:rsid w:val="00D5655B"/>
    <w:rsid w:val="00D66B4F"/>
    <w:rsid w:val="00D672D9"/>
    <w:rsid w:val="00D678AA"/>
    <w:rsid w:val="00D700C4"/>
    <w:rsid w:val="00D71021"/>
    <w:rsid w:val="00D74C01"/>
    <w:rsid w:val="00D75F3E"/>
    <w:rsid w:val="00D76CD0"/>
    <w:rsid w:val="00D773D6"/>
    <w:rsid w:val="00D803E9"/>
    <w:rsid w:val="00D80D1B"/>
    <w:rsid w:val="00D8377C"/>
    <w:rsid w:val="00D85603"/>
    <w:rsid w:val="00D86796"/>
    <w:rsid w:val="00D86B6C"/>
    <w:rsid w:val="00D87583"/>
    <w:rsid w:val="00D87A63"/>
    <w:rsid w:val="00D911D5"/>
    <w:rsid w:val="00D91EF1"/>
    <w:rsid w:val="00D9212D"/>
    <w:rsid w:val="00D95457"/>
    <w:rsid w:val="00D960A7"/>
    <w:rsid w:val="00D96D22"/>
    <w:rsid w:val="00D978EB"/>
    <w:rsid w:val="00DA0B8A"/>
    <w:rsid w:val="00DA1157"/>
    <w:rsid w:val="00DA35C9"/>
    <w:rsid w:val="00DA53F1"/>
    <w:rsid w:val="00DA5528"/>
    <w:rsid w:val="00DA6901"/>
    <w:rsid w:val="00DB0463"/>
    <w:rsid w:val="00DB0EE9"/>
    <w:rsid w:val="00DB16E1"/>
    <w:rsid w:val="00DB1E1C"/>
    <w:rsid w:val="00DB279F"/>
    <w:rsid w:val="00DB55C5"/>
    <w:rsid w:val="00DB62CB"/>
    <w:rsid w:val="00DC6338"/>
    <w:rsid w:val="00DC64A2"/>
    <w:rsid w:val="00DD2144"/>
    <w:rsid w:val="00DD391A"/>
    <w:rsid w:val="00DD43B9"/>
    <w:rsid w:val="00DD4C10"/>
    <w:rsid w:val="00DD56CC"/>
    <w:rsid w:val="00DE265F"/>
    <w:rsid w:val="00DE29FB"/>
    <w:rsid w:val="00DE543C"/>
    <w:rsid w:val="00DE547F"/>
    <w:rsid w:val="00DE6129"/>
    <w:rsid w:val="00DE7CFE"/>
    <w:rsid w:val="00DF0973"/>
    <w:rsid w:val="00DF3DA8"/>
    <w:rsid w:val="00DF5050"/>
    <w:rsid w:val="00DF5120"/>
    <w:rsid w:val="00E00A1D"/>
    <w:rsid w:val="00E01377"/>
    <w:rsid w:val="00E06A11"/>
    <w:rsid w:val="00E12B1A"/>
    <w:rsid w:val="00E13912"/>
    <w:rsid w:val="00E15180"/>
    <w:rsid w:val="00E24176"/>
    <w:rsid w:val="00E2559F"/>
    <w:rsid w:val="00E269E8"/>
    <w:rsid w:val="00E305DB"/>
    <w:rsid w:val="00E3079A"/>
    <w:rsid w:val="00E307FC"/>
    <w:rsid w:val="00E30CFD"/>
    <w:rsid w:val="00E34183"/>
    <w:rsid w:val="00E34236"/>
    <w:rsid w:val="00E42175"/>
    <w:rsid w:val="00E441F8"/>
    <w:rsid w:val="00E4442B"/>
    <w:rsid w:val="00E46C65"/>
    <w:rsid w:val="00E47BFE"/>
    <w:rsid w:val="00E47DF5"/>
    <w:rsid w:val="00E509BE"/>
    <w:rsid w:val="00E50EA9"/>
    <w:rsid w:val="00E52258"/>
    <w:rsid w:val="00E524A4"/>
    <w:rsid w:val="00E525DB"/>
    <w:rsid w:val="00E5312C"/>
    <w:rsid w:val="00E53FEE"/>
    <w:rsid w:val="00E62068"/>
    <w:rsid w:val="00E63378"/>
    <w:rsid w:val="00E65C92"/>
    <w:rsid w:val="00E66286"/>
    <w:rsid w:val="00E67162"/>
    <w:rsid w:val="00E718CD"/>
    <w:rsid w:val="00E72511"/>
    <w:rsid w:val="00E739E6"/>
    <w:rsid w:val="00E765C3"/>
    <w:rsid w:val="00E80ABD"/>
    <w:rsid w:val="00E818B0"/>
    <w:rsid w:val="00E824F2"/>
    <w:rsid w:val="00E82652"/>
    <w:rsid w:val="00E8322B"/>
    <w:rsid w:val="00E83B16"/>
    <w:rsid w:val="00E87542"/>
    <w:rsid w:val="00E90A99"/>
    <w:rsid w:val="00E90B03"/>
    <w:rsid w:val="00E91204"/>
    <w:rsid w:val="00E9241F"/>
    <w:rsid w:val="00E94375"/>
    <w:rsid w:val="00E95254"/>
    <w:rsid w:val="00E95B7D"/>
    <w:rsid w:val="00E96A42"/>
    <w:rsid w:val="00EA04F0"/>
    <w:rsid w:val="00EA0BB6"/>
    <w:rsid w:val="00EA26F9"/>
    <w:rsid w:val="00EA3034"/>
    <w:rsid w:val="00EA4642"/>
    <w:rsid w:val="00EA73B8"/>
    <w:rsid w:val="00EA771A"/>
    <w:rsid w:val="00EB0D28"/>
    <w:rsid w:val="00EB162D"/>
    <w:rsid w:val="00EB358F"/>
    <w:rsid w:val="00EB397B"/>
    <w:rsid w:val="00EB7651"/>
    <w:rsid w:val="00EC181A"/>
    <w:rsid w:val="00EC280C"/>
    <w:rsid w:val="00EC33CD"/>
    <w:rsid w:val="00EC6345"/>
    <w:rsid w:val="00ECB134"/>
    <w:rsid w:val="00ED191B"/>
    <w:rsid w:val="00ED1AEF"/>
    <w:rsid w:val="00ED2D79"/>
    <w:rsid w:val="00ED68F9"/>
    <w:rsid w:val="00ED717C"/>
    <w:rsid w:val="00ED7E52"/>
    <w:rsid w:val="00EE184C"/>
    <w:rsid w:val="00EE270D"/>
    <w:rsid w:val="00EE4D5C"/>
    <w:rsid w:val="00EE5ED0"/>
    <w:rsid w:val="00EE63BD"/>
    <w:rsid w:val="00EE7EEB"/>
    <w:rsid w:val="00EF38A8"/>
    <w:rsid w:val="00EF3B17"/>
    <w:rsid w:val="00EF61BC"/>
    <w:rsid w:val="00EF6BFA"/>
    <w:rsid w:val="00EF6EBE"/>
    <w:rsid w:val="00EF79C0"/>
    <w:rsid w:val="00F00E2E"/>
    <w:rsid w:val="00F026AC"/>
    <w:rsid w:val="00F05D14"/>
    <w:rsid w:val="00F0680B"/>
    <w:rsid w:val="00F1155D"/>
    <w:rsid w:val="00F14778"/>
    <w:rsid w:val="00F17B35"/>
    <w:rsid w:val="00F26F49"/>
    <w:rsid w:val="00F307E1"/>
    <w:rsid w:val="00F31D29"/>
    <w:rsid w:val="00F325A2"/>
    <w:rsid w:val="00F326DD"/>
    <w:rsid w:val="00F35495"/>
    <w:rsid w:val="00F36EBD"/>
    <w:rsid w:val="00F371C5"/>
    <w:rsid w:val="00F42222"/>
    <w:rsid w:val="00F43E32"/>
    <w:rsid w:val="00F44B13"/>
    <w:rsid w:val="00F4658C"/>
    <w:rsid w:val="00F51ADB"/>
    <w:rsid w:val="00F535EC"/>
    <w:rsid w:val="00F55FBC"/>
    <w:rsid w:val="00F565BF"/>
    <w:rsid w:val="00F56A9E"/>
    <w:rsid w:val="00F57FCA"/>
    <w:rsid w:val="00F60D4D"/>
    <w:rsid w:val="00F60F0A"/>
    <w:rsid w:val="00F60FE8"/>
    <w:rsid w:val="00F60FF6"/>
    <w:rsid w:val="00F6124C"/>
    <w:rsid w:val="00F61C22"/>
    <w:rsid w:val="00F64BA3"/>
    <w:rsid w:val="00F64D64"/>
    <w:rsid w:val="00F64FF1"/>
    <w:rsid w:val="00F7443A"/>
    <w:rsid w:val="00F75816"/>
    <w:rsid w:val="00F818E4"/>
    <w:rsid w:val="00F823C6"/>
    <w:rsid w:val="00F82F9E"/>
    <w:rsid w:val="00F854DD"/>
    <w:rsid w:val="00F85E53"/>
    <w:rsid w:val="00F85F0A"/>
    <w:rsid w:val="00F86413"/>
    <w:rsid w:val="00F868BE"/>
    <w:rsid w:val="00F86AC8"/>
    <w:rsid w:val="00F8734E"/>
    <w:rsid w:val="00F91918"/>
    <w:rsid w:val="00F91EAD"/>
    <w:rsid w:val="00F922D3"/>
    <w:rsid w:val="00F92AF4"/>
    <w:rsid w:val="00F93E9C"/>
    <w:rsid w:val="00F95FFC"/>
    <w:rsid w:val="00F97418"/>
    <w:rsid w:val="00FA0EC4"/>
    <w:rsid w:val="00FA20D6"/>
    <w:rsid w:val="00FA2384"/>
    <w:rsid w:val="00FA30D8"/>
    <w:rsid w:val="00FA3DF9"/>
    <w:rsid w:val="00FA7560"/>
    <w:rsid w:val="00FB1692"/>
    <w:rsid w:val="00FB19F0"/>
    <w:rsid w:val="00FB1EF4"/>
    <w:rsid w:val="00FB3987"/>
    <w:rsid w:val="00FB4EFC"/>
    <w:rsid w:val="00FB559A"/>
    <w:rsid w:val="00FC084C"/>
    <w:rsid w:val="00FC3E18"/>
    <w:rsid w:val="00FC4A0E"/>
    <w:rsid w:val="00FC59E4"/>
    <w:rsid w:val="00FC5E06"/>
    <w:rsid w:val="00FC737A"/>
    <w:rsid w:val="00FC7CDD"/>
    <w:rsid w:val="00FD2C86"/>
    <w:rsid w:val="00FD3C72"/>
    <w:rsid w:val="00FD4C17"/>
    <w:rsid w:val="00FE3635"/>
    <w:rsid w:val="00FE5370"/>
    <w:rsid w:val="00FE5419"/>
    <w:rsid w:val="00FE7C21"/>
    <w:rsid w:val="00FF02BA"/>
    <w:rsid w:val="00FF07AF"/>
    <w:rsid w:val="00FF1EF7"/>
    <w:rsid w:val="00FF2E9A"/>
    <w:rsid w:val="00FF4D54"/>
    <w:rsid w:val="00FF5A1D"/>
    <w:rsid w:val="0B548F1C"/>
    <w:rsid w:val="14A0149D"/>
    <w:rsid w:val="1CF3B3DE"/>
    <w:rsid w:val="26A5AAD8"/>
    <w:rsid w:val="29786EB3"/>
    <w:rsid w:val="2C001481"/>
    <w:rsid w:val="336318F8"/>
    <w:rsid w:val="369AB9BA"/>
    <w:rsid w:val="3850C979"/>
    <w:rsid w:val="3E05AABC"/>
    <w:rsid w:val="3F998E92"/>
    <w:rsid w:val="4747B01B"/>
    <w:rsid w:val="4E0D4CEC"/>
    <w:rsid w:val="4F7AE7D4"/>
    <w:rsid w:val="5015ABE2"/>
    <w:rsid w:val="59F6A334"/>
    <w:rsid w:val="5CF2310E"/>
    <w:rsid w:val="62D099E6"/>
    <w:rsid w:val="6623DCD3"/>
    <w:rsid w:val="6A81353D"/>
    <w:rsid w:val="6ECDADDA"/>
    <w:rsid w:val="7578CAD2"/>
    <w:rsid w:val="7A328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5220"/>
  <w15:chartTrackingRefBased/>
  <w15:docId w15:val="{79871DF7-096C-47F2-9F57-7A22E8AC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C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B0F45"/>
    <w:pPr>
      <w:keepNext/>
      <w:keepLines/>
      <w:numPr>
        <w:numId w:val="12"/>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B0F45"/>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B0F45"/>
    <w:pPr>
      <w:keepNext/>
      <w:keepLines/>
      <w:numPr>
        <w:ilvl w:val="2"/>
        <w:numId w:val="12"/>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B0F45"/>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B0F45"/>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B0F45"/>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B0F4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B0F4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B0F4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0740CF"/>
    <w:rPr>
      <w:rFonts w:ascii="Arial" w:hAnsi="Arial"/>
      <w:kern w:val="28"/>
      <w:sz w:val="24"/>
      <w:lang w:val="es-ES_tradnl" w:eastAsia="es-ES"/>
    </w:rPr>
  </w:style>
  <w:style w:type="paragraph" w:styleId="Encabezado">
    <w:name w:val="header"/>
    <w:basedOn w:val="Normal"/>
    <w:link w:val="EncabezadoCar"/>
    <w:rsid w:val="000740CF"/>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0740C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40CF"/>
  </w:style>
  <w:style w:type="paragraph" w:styleId="Piedepgina">
    <w:name w:val="footer"/>
    <w:basedOn w:val="Normal"/>
    <w:link w:val="PiedepginaCar"/>
    <w:uiPriority w:val="99"/>
    <w:unhideWhenUsed/>
    <w:rsid w:val="000740CF"/>
    <w:pPr>
      <w:tabs>
        <w:tab w:val="center" w:pos="4252"/>
        <w:tab w:val="right" w:pos="8504"/>
      </w:tabs>
    </w:pPr>
  </w:style>
  <w:style w:type="character" w:customStyle="1" w:styleId="PiedepginaCar">
    <w:name w:val="Pie de página Car"/>
    <w:basedOn w:val="Fuentedeprrafopredeter"/>
    <w:link w:val="Piedepgina"/>
    <w:uiPriority w:val="99"/>
    <w:rsid w:val="000740C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0740CF"/>
    <w:pPr>
      <w:spacing w:after="120"/>
      <w:ind w:left="283"/>
    </w:pPr>
  </w:style>
  <w:style w:type="character" w:customStyle="1" w:styleId="SangradetextonormalCar">
    <w:name w:val="Sangría de texto normal Car"/>
    <w:basedOn w:val="Fuentedeprrafopredeter"/>
    <w:link w:val="Sangradetextonormal"/>
    <w:uiPriority w:val="99"/>
    <w:rsid w:val="000740C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nhideWhenUsed/>
    <w:rsid w:val="00F86AC8"/>
    <w:rPr>
      <w:rFonts w:ascii="Segoe UI" w:hAnsi="Segoe UI" w:cs="Segoe UI"/>
      <w:sz w:val="18"/>
      <w:szCs w:val="18"/>
    </w:rPr>
  </w:style>
  <w:style w:type="character" w:customStyle="1" w:styleId="TextodegloboCar">
    <w:name w:val="Texto de globo Car"/>
    <w:basedOn w:val="Fuentedeprrafopredeter"/>
    <w:link w:val="Textodeglobo"/>
    <w:rsid w:val="00F86AC8"/>
    <w:rPr>
      <w:rFonts w:ascii="Segoe UI" w:eastAsia="Times New Roman" w:hAnsi="Segoe UI" w:cs="Segoe UI"/>
      <w:sz w:val="18"/>
      <w:szCs w:val="1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C56DC8"/>
    <w:pPr>
      <w:jc w:val="both"/>
    </w:pPr>
    <w:rPr>
      <w:rFonts w:ascii="Arial" w:hAnsi="Arial"/>
      <w:sz w:val="18"/>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C56DC8"/>
    <w:rPr>
      <w:rFonts w:ascii="Arial" w:eastAsia="Times New Roman" w:hAnsi="Arial" w:cs="Times New Roman"/>
      <w:sz w:val="18"/>
      <w:szCs w:val="20"/>
      <w:lang w:val="es-ES"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unhideWhenUsed/>
    <w:qFormat/>
    <w:rsid w:val="00276B88"/>
    <w:rPr>
      <w:vertAlign w:val="superscript"/>
    </w:rPr>
  </w:style>
  <w:style w:type="paragraph" w:styleId="Prrafodelista">
    <w:name w:val="List Paragraph"/>
    <w:basedOn w:val="Normal"/>
    <w:uiPriority w:val="34"/>
    <w:qFormat/>
    <w:rsid w:val="007132B0"/>
    <w:pPr>
      <w:overflowPunct w:val="0"/>
      <w:autoSpaceDE w:val="0"/>
      <w:autoSpaceDN w:val="0"/>
      <w:adjustRightInd w:val="0"/>
      <w:ind w:left="708"/>
      <w:textAlignment w:val="baseline"/>
    </w:pPr>
  </w:style>
  <w:style w:type="paragraph" w:styleId="NormalWeb">
    <w:name w:val="Normal (Web)"/>
    <w:basedOn w:val="Normal"/>
    <w:uiPriority w:val="99"/>
    <w:semiHidden/>
    <w:unhideWhenUsed/>
    <w:rsid w:val="008D0FCA"/>
    <w:rPr>
      <w:sz w:val="24"/>
      <w:szCs w:val="24"/>
    </w:rPr>
  </w:style>
  <w:style w:type="paragraph" w:styleId="Textoindependiente3">
    <w:name w:val="Body Text 3"/>
    <w:basedOn w:val="Normal"/>
    <w:link w:val="Textoindependiente3Car"/>
    <w:uiPriority w:val="99"/>
    <w:semiHidden/>
    <w:unhideWhenUsed/>
    <w:rsid w:val="007A509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A5097"/>
    <w:rPr>
      <w:rFonts w:ascii="Times New Roman" w:eastAsia="Times New Roman" w:hAnsi="Times New Roman" w:cs="Times New Roman"/>
      <w:sz w:val="16"/>
      <w:szCs w:val="16"/>
      <w:lang w:val="es-ES" w:eastAsia="es-ES"/>
    </w:rPr>
  </w:style>
  <w:style w:type="paragraph" w:styleId="Sinespaciado">
    <w:name w:val="No Spacing"/>
    <w:uiPriority w:val="1"/>
    <w:qFormat/>
    <w:rsid w:val="00B62E9B"/>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B0F45"/>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semiHidden/>
    <w:rsid w:val="008B0F4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B0F45"/>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8B0F45"/>
    <w:rPr>
      <w:rFonts w:asciiTheme="majorHAnsi" w:eastAsiaTheme="majorEastAsia" w:hAnsiTheme="majorHAnsi" w:cstheme="majorBidi"/>
      <w:i/>
      <w:iCs/>
      <w:color w:val="2E74B5" w:themeColor="accent1" w:themeShade="BF"/>
      <w:sz w:val="20"/>
      <w:szCs w:val="20"/>
      <w:lang w:val="es-ES" w:eastAsia="es-ES"/>
    </w:rPr>
  </w:style>
  <w:style w:type="character" w:customStyle="1" w:styleId="Ttulo5Car">
    <w:name w:val="Título 5 Car"/>
    <w:basedOn w:val="Fuentedeprrafopredeter"/>
    <w:link w:val="Ttulo5"/>
    <w:uiPriority w:val="9"/>
    <w:semiHidden/>
    <w:rsid w:val="008B0F45"/>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8B0F45"/>
    <w:rPr>
      <w:rFonts w:asciiTheme="majorHAnsi" w:eastAsiaTheme="majorEastAsia" w:hAnsiTheme="majorHAnsi" w:cstheme="majorBidi"/>
      <w:color w:val="1F4D78" w:themeColor="accent1" w:themeShade="7F"/>
      <w:sz w:val="20"/>
      <w:szCs w:val="20"/>
      <w:lang w:val="es-ES" w:eastAsia="es-ES"/>
    </w:rPr>
  </w:style>
  <w:style w:type="character" w:customStyle="1" w:styleId="Ttulo7Car">
    <w:name w:val="Título 7 Car"/>
    <w:basedOn w:val="Fuentedeprrafopredeter"/>
    <w:link w:val="Ttulo7"/>
    <w:uiPriority w:val="9"/>
    <w:semiHidden/>
    <w:rsid w:val="008B0F45"/>
    <w:rPr>
      <w:rFonts w:asciiTheme="majorHAnsi" w:eastAsiaTheme="majorEastAsia" w:hAnsiTheme="majorHAnsi" w:cstheme="majorBidi"/>
      <w:i/>
      <w:iCs/>
      <w:color w:val="1F4D78" w:themeColor="accent1" w:themeShade="7F"/>
      <w:sz w:val="20"/>
      <w:szCs w:val="20"/>
      <w:lang w:val="es-ES" w:eastAsia="es-ES"/>
    </w:rPr>
  </w:style>
  <w:style w:type="character" w:customStyle="1" w:styleId="Ttulo8Car">
    <w:name w:val="Título 8 Car"/>
    <w:basedOn w:val="Fuentedeprrafopredeter"/>
    <w:link w:val="Ttulo8"/>
    <w:uiPriority w:val="9"/>
    <w:semiHidden/>
    <w:rsid w:val="008B0F45"/>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8B0F45"/>
    <w:rPr>
      <w:rFonts w:asciiTheme="majorHAnsi" w:eastAsiaTheme="majorEastAsia" w:hAnsiTheme="majorHAnsi" w:cstheme="majorBidi"/>
      <w:i/>
      <w:iCs/>
      <w:color w:val="272727" w:themeColor="text1" w:themeTint="D8"/>
      <w:sz w:val="21"/>
      <w:szCs w:val="21"/>
      <w:lang w:val="es-ES" w:eastAsia="es-ES"/>
    </w:rPr>
  </w:style>
  <w:style w:type="paragraph" w:styleId="Textoindependiente">
    <w:name w:val="Body Text"/>
    <w:basedOn w:val="Normal"/>
    <w:link w:val="TextoindependienteCar"/>
    <w:uiPriority w:val="99"/>
    <w:unhideWhenUsed/>
    <w:rsid w:val="006F3838"/>
    <w:pPr>
      <w:spacing w:after="120"/>
    </w:pPr>
  </w:style>
  <w:style w:type="character" w:customStyle="1" w:styleId="TextoindependienteCar">
    <w:name w:val="Texto independiente Car"/>
    <w:basedOn w:val="Fuentedeprrafopredeter"/>
    <w:link w:val="Textoindependiente"/>
    <w:uiPriority w:val="99"/>
    <w:rsid w:val="006F3838"/>
    <w:rPr>
      <w:rFonts w:ascii="Times New Roman" w:eastAsia="Times New Roman" w:hAnsi="Times New Roman" w:cs="Times New Roman"/>
      <w:sz w:val="20"/>
      <w:szCs w:val="20"/>
      <w:lang w:val="es-ES" w:eastAsia="es-ES"/>
    </w:rPr>
  </w:style>
  <w:style w:type="paragraph" w:customStyle="1" w:styleId="Textoindependiente22">
    <w:name w:val="Texto independiente 22"/>
    <w:basedOn w:val="Normal"/>
    <w:uiPriority w:val="99"/>
    <w:rsid w:val="00E72511"/>
    <w:pPr>
      <w:overflowPunct w:val="0"/>
      <w:autoSpaceDE w:val="0"/>
      <w:autoSpaceDN w:val="0"/>
      <w:adjustRightInd w:val="0"/>
      <w:spacing w:line="360" w:lineRule="auto"/>
      <w:jc w:val="both"/>
    </w:pPr>
    <w:rPr>
      <w:rFonts w:ascii="Arial" w:hAnsi="Arial" w:cs="Arial"/>
      <w:sz w:val="22"/>
      <w:szCs w:val="22"/>
      <w:lang w:eastAsia="en-US"/>
    </w:rPr>
  </w:style>
  <w:style w:type="character" w:customStyle="1" w:styleId="apple-converted-space">
    <w:name w:val="apple-converted-space"/>
    <w:rsid w:val="00E72511"/>
  </w:style>
  <w:style w:type="paragraph" w:customStyle="1" w:styleId="Estilo">
    <w:name w:val="Estilo"/>
    <w:uiPriority w:val="99"/>
    <w:rsid w:val="00711C9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820AE2"/>
    <w:rPr>
      <w:sz w:val="16"/>
      <w:szCs w:val="16"/>
    </w:rPr>
  </w:style>
  <w:style w:type="paragraph" w:styleId="Textocomentario">
    <w:name w:val="annotation text"/>
    <w:basedOn w:val="Normal"/>
    <w:link w:val="TextocomentarioCar"/>
    <w:uiPriority w:val="99"/>
    <w:semiHidden/>
    <w:unhideWhenUsed/>
    <w:rsid w:val="00820AE2"/>
  </w:style>
  <w:style w:type="character" w:customStyle="1" w:styleId="TextocomentarioCar">
    <w:name w:val="Texto comentario Car"/>
    <w:basedOn w:val="Fuentedeprrafopredeter"/>
    <w:link w:val="Textocomentario"/>
    <w:uiPriority w:val="99"/>
    <w:semiHidden/>
    <w:rsid w:val="00820AE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20AE2"/>
    <w:rPr>
      <w:b/>
      <w:bCs/>
    </w:rPr>
  </w:style>
  <w:style w:type="character" w:customStyle="1" w:styleId="AsuntodelcomentarioCar">
    <w:name w:val="Asunto del comentario Car"/>
    <w:basedOn w:val="TextocomentarioCar"/>
    <w:link w:val="Asuntodelcomentario"/>
    <w:uiPriority w:val="99"/>
    <w:semiHidden/>
    <w:rsid w:val="00820AE2"/>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301">
      <w:bodyDiv w:val="1"/>
      <w:marLeft w:val="0"/>
      <w:marRight w:val="0"/>
      <w:marTop w:val="0"/>
      <w:marBottom w:val="0"/>
      <w:divBdr>
        <w:top w:val="none" w:sz="0" w:space="0" w:color="auto"/>
        <w:left w:val="none" w:sz="0" w:space="0" w:color="auto"/>
        <w:bottom w:val="none" w:sz="0" w:space="0" w:color="auto"/>
        <w:right w:val="none" w:sz="0" w:space="0" w:color="auto"/>
      </w:divBdr>
    </w:div>
    <w:div w:id="79834315">
      <w:bodyDiv w:val="1"/>
      <w:marLeft w:val="0"/>
      <w:marRight w:val="0"/>
      <w:marTop w:val="0"/>
      <w:marBottom w:val="0"/>
      <w:divBdr>
        <w:top w:val="none" w:sz="0" w:space="0" w:color="auto"/>
        <w:left w:val="none" w:sz="0" w:space="0" w:color="auto"/>
        <w:bottom w:val="none" w:sz="0" w:space="0" w:color="auto"/>
        <w:right w:val="none" w:sz="0" w:space="0" w:color="auto"/>
      </w:divBdr>
    </w:div>
    <w:div w:id="152449418">
      <w:bodyDiv w:val="1"/>
      <w:marLeft w:val="0"/>
      <w:marRight w:val="0"/>
      <w:marTop w:val="0"/>
      <w:marBottom w:val="0"/>
      <w:divBdr>
        <w:top w:val="none" w:sz="0" w:space="0" w:color="auto"/>
        <w:left w:val="none" w:sz="0" w:space="0" w:color="auto"/>
        <w:bottom w:val="none" w:sz="0" w:space="0" w:color="auto"/>
        <w:right w:val="none" w:sz="0" w:space="0" w:color="auto"/>
      </w:divBdr>
    </w:div>
    <w:div w:id="166872401">
      <w:bodyDiv w:val="1"/>
      <w:marLeft w:val="0"/>
      <w:marRight w:val="0"/>
      <w:marTop w:val="0"/>
      <w:marBottom w:val="0"/>
      <w:divBdr>
        <w:top w:val="none" w:sz="0" w:space="0" w:color="auto"/>
        <w:left w:val="none" w:sz="0" w:space="0" w:color="auto"/>
        <w:bottom w:val="none" w:sz="0" w:space="0" w:color="auto"/>
        <w:right w:val="none" w:sz="0" w:space="0" w:color="auto"/>
      </w:divBdr>
    </w:div>
    <w:div w:id="209263888">
      <w:bodyDiv w:val="1"/>
      <w:marLeft w:val="0"/>
      <w:marRight w:val="0"/>
      <w:marTop w:val="0"/>
      <w:marBottom w:val="0"/>
      <w:divBdr>
        <w:top w:val="none" w:sz="0" w:space="0" w:color="auto"/>
        <w:left w:val="none" w:sz="0" w:space="0" w:color="auto"/>
        <w:bottom w:val="none" w:sz="0" w:space="0" w:color="auto"/>
        <w:right w:val="none" w:sz="0" w:space="0" w:color="auto"/>
      </w:divBdr>
    </w:div>
    <w:div w:id="223495718">
      <w:bodyDiv w:val="1"/>
      <w:marLeft w:val="0"/>
      <w:marRight w:val="0"/>
      <w:marTop w:val="0"/>
      <w:marBottom w:val="0"/>
      <w:divBdr>
        <w:top w:val="none" w:sz="0" w:space="0" w:color="auto"/>
        <w:left w:val="none" w:sz="0" w:space="0" w:color="auto"/>
        <w:bottom w:val="none" w:sz="0" w:space="0" w:color="auto"/>
        <w:right w:val="none" w:sz="0" w:space="0" w:color="auto"/>
      </w:divBdr>
    </w:div>
    <w:div w:id="238104768">
      <w:bodyDiv w:val="1"/>
      <w:marLeft w:val="0"/>
      <w:marRight w:val="0"/>
      <w:marTop w:val="0"/>
      <w:marBottom w:val="0"/>
      <w:divBdr>
        <w:top w:val="none" w:sz="0" w:space="0" w:color="auto"/>
        <w:left w:val="none" w:sz="0" w:space="0" w:color="auto"/>
        <w:bottom w:val="none" w:sz="0" w:space="0" w:color="auto"/>
        <w:right w:val="none" w:sz="0" w:space="0" w:color="auto"/>
      </w:divBdr>
    </w:div>
    <w:div w:id="250509497">
      <w:bodyDiv w:val="1"/>
      <w:marLeft w:val="0"/>
      <w:marRight w:val="0"/>
      <w:marTop w:val="0"/>
      <w:marBottom w:val="0"/>
      <w:divBdr>
        <w:top w:val="none" w:sz="0" w:space="0" w:color="auto"/>
        <w:left w:val="none" w:sz="0" w:space="0" w:color="auto"/>
        <w:bottom w:val="none" w:sz="0" w:space="0" w:color="auto"/>
        <w:right w:val="none" w:sz="0" w:space="0" w:color="auto"/>
      </w:divBdr>
    </w:div>
    <w:div w:id="275913829">
      <w:bodyDiv w:val="1"/>
      <w:marLeft w:val="0"/>
      <w:marRight w:val="0"/>
      <w:marTop w:val="0"/>
      <w:marBottom w:val="0"/>
      <w:divBdr>
        <w:top w:val="none" w:sz="0" w:space="0" w:color="auto"/>
        <w:left w:val="none" w:sz="0" w:space="0" w:color="auto"/>
        <w:bottom w:val="none" w:sz="0" w:space="0" w:color="auto"/>
        <w:right w:val="none" w:sz="0" w:space="0" w:color="auto"/>
      </w:divBdr>
    </w:div>
    <w:div w:id="281771748">
      <w:bodyDiv w:val="1"/>
      <w:marLeft w:val="0"/>
      <w:marRight w:val="0"/>
      <w:marTop w:val="0"/>
      <w:marBottom w:val="0"/>
      <w:divBdr>
        <w:top w:val="none" w:sz="0" w:space="0" w:color="auto"/>
        <w:left w:val="none" w:sz="0" w:space="0" w:color="auto"/>
        <w:bottom w:val="none" w:sz="0" w:space="0" w:color="auto"/>
        <w:right w:val="none" w:sz="0" w:space="0" w:color="auto"/>
      </w:divBdr>
    </w:div>
    <w:div w:id="282272898">
      <w:bodyDiv w:val="1"/>
      <w:marLeft w:val="0"/>
      <w:marRight w:val="0"/>
      <w:marTop w:val="0"/>
      <w:marBottom w:val="0"/>
      <w:divBdr>
        <w:top w:val="none" w:sz="0" w:space="0" w:color="auto"/>
        <w:left w:val="none" w:sz="0" w:space="0" w:color="auto"/>
        <w:bottom w:val="none" w:sz="0" w:space="0" w:color="auto"/>
        <w:right w:val="none" w:sz="0" w:space="0" w:color="auto"/>
      </w:divBdr>
    </w:div>
    <w:div w:id="314378593">
      <w:bodyDiv w:val="1"/>
      <w:marLeft w:val="0"/>
      <w:marRight w:val="0"/>
      <w:marTop w:val="0"/>
      <w:marBottom w:val="0"/>
      <w:divBdr>
        <w:top w:val="none" w:sz="0" w:space="0" w:color="auto"/>
        <w:left w:val="none" w:sz="0" w:space="0" w:color="auto"/>
        <w:bottom w:val="none" w:sz="0" w:space="0" w:color="auto"/>
        <w:right w:val="none" w:sz="0" w:space="0" w:color="auto"/>
      </w:divBdr>
    </w:div>
    <w:div w:id="328019337">
      <w:bodyDiv w:val="1"/>
      <w:marLeft w:val="0"/>
      <w:marRight w:val="0"/>
      <w:marTop w:val="0"/>
      <w:marBottom w:val="0"/>
      <w:divBdr>
        <w:top w:val="none" w:sz="0" w:space="0" w:color="auto"/>
        <w:left w:val="none" w:sz="0" w:space="0" w:color="auto"/>
        <w:bottom w:val="none" w:sz="0" w:space="0" w:color="auto"/>
        <w:right w:val="none" w:sz="0" w:space="0" w:color="auto"/>
      </w:divBdr>
    </w:div>
    <w:div w:id="343283679">
      <w:bodyDiv w:val="1"/>
      <w:marLeft w:val="0"/>
      <w:marRight w:val="0"/>
      <w:marTop w:val="0"/>
      <w:marBottom w:val="0"/>
      <w:divBdr>
        <w:top w:val="none" w:sz="0" w:space="0" w:color="auto"/>
        <w:left w:val="none" w:sz="0" w:space="0" w:color="auto"/>
        <w:bottom w:val="none" w:sz="0" w:space="0" w:color="auto"/>
        <w:right w:val="none" w:sz="0" w:space="0" w:color="auto"/>
      </w:divBdr>
    </w:div>
    <w:div w:id="374817911">
      <w:bodyDiv w:val="1"/>
      <w:marLeft w:val="0"/>
      <w:marRight w:val="0"/>
      <w:marTop w:val="0"/>
      <w:marBottom w:val="0"/>
      <w:divBdr>
        <w:top w:val="none" w:sz="0" w:space="0" w:color="auto"/>
        <w:left w:val="none" w:sz="0" w:space="0" w:color="auto"/>
        <w:bottom w:val="none" w:sz="0" w:space="0" w:color="auto"/>
        <w:right w:val="none" w:sz="0" w:space="0" w:color="auto"/>
      </w:divBdr>
    </w:div>
    <w:div w:id="432285601">
      <w:bodyDiv w:val="1"/>
      <w:marLeft w:val="0"/>
      <w:marRight w:val="0"/>
      <w:marTop w:val="0"/>
      <w:marBottom w:val="0"/>
      <w:divBdr>
        <w:top w:val="none" w:sz="0" w:space="0" w:color="auto"/>
        <w:left w:val="none" w:sz="0" w:space="0" w:color="auto"/>
        <w:bottom w:val="none" w:sz="0" w:space="0" w:color="auto"/>
        <w:right w:val="none" w:sz="0" w:space="0" w:color="auto"/>
      </w:divBdr>
    </w:div>
    <w:div w:id="458039474">
      <w:bodyDiv w:val="1"/>
      <w:marLeft w:val="0"/>
      <w:marRight w:val="0"/>
      <w:marTop w:val="0"/>
      <w:marBottom w:val="0"/>
      <w:divBdr>
        <w:top w:val="none" w:sz="0" w:space="0" w:color="auto"/>
        <w:left w:val="none" w:sz="0" w:space="0" w:color="auto"/>
        <w:bottom w:val="none" w:sz="0" w:space="0" w:color="auto"/>
        <w:right w:val="none" w:sz="0" w:space="0" w:color="auto"/>
      </w:divBdr>
    </w:div>
    <w:div w:id="493688344">
      <w:bodyDiv w:val="1"/>
      <w:marLeft w:val="0"/>
      <w:marRight w:val="0"/>
      <w:marTop w:val="0"/>
      <w:marBottom w:val="0"/>
      <w:divBdr>
        <w:top w:val="none" w:sz="0" w:space="0" w:color="auto"/>
        <w:left w:val="none" w:sz="0" w:space="0" w:color="auto"/>
        <w:bottom w:val="none" w:sz="0" w:space="0" w:color="auto"/>
        <w:right w:val="none" w:sz="0" w:space="0" w:color="auto"/>
      </w:divBdr>
    </w:div>
    <w:div w:id="551043589">
      <w:bodyDiv w:val="1"/>
      <w:marLeft w:val="0"/>
      <w:marRight w:val="0"/>
      <w:marTop w:val="0"/>
      <w:marBottom w:val="0"/>
      <w:divBdr>
        <w:top w:val="none" w:sz="0" w:space="0" w:color="auto"/>
        <w:left w:val="none" w:sz="0" w:space="0" w:color="auto"/>
        <w:bottom w:val="none" w:sz="0" w:space="0" w:color="auto"/>
        <w:right w:val="none" w:sz="0" w:space="0" w:color="auto"/>
      </w:divBdr>
    </w:div>
    <w:div w:id="561406065">
      <w:bodyDiv w:val="1"/>
      <w:marLeft w:val="0"/>
      <w:marRight w:val="0"/>
      <w:marTop w:val="0"/>
      <w:marBottom w:val="0"/>
      <w:divBdr>
        <w:top w:val="none" w:sz="0" w:space="0" w:color="auto"/>
        <w:left w:val="none" w:sz="0" w:space="0" w:color="auto"/>
        <w:bottom w:val="none" w:sz="0" w:space="0" w:color="auto"/>
        <w:right w:val="none" w:sz="0" w:space="0" w:color="auto"/>
      </w:divBdr>
    </w:div>
    <w:div w:id="598484229">
      <w:bodyDiv w:val="1"/>
      <w:marLeft w:val="0"/>
      <w:marRight w:val="0"/>
      <w:marTop w:val="0"/>
      <w:marBottom w:val="0"/>
      <w:divBdr>
        <w:top w:val="none" w:sz="0" w:space="0" w:color="auto"/>
        <w:left w:val="none" w:sz="0" w:space="0" w:color="auto"/>
        <w:bottom w:val="none" w:sz="0" w:space="0" w:color="auto"/>
        <w:right w:val="none" w:sz="0" w:space="0" w:color="auto"/>
      </w:divBdr>
    </w:div>
    <w:div w:id="602996895">
      <w:bodyDiv w:val="1"/>
      <w:marLeft w:val="0"/>
      <w:marRight w:val="0"/>
      <w:marTop w:val="0"/>
      <w:marBottom w:val="0"/>
      <w:divBdr>
        <w:top w:val="none" w:sz="0" w:space="0" w:color="auto"/>
        <w:left w:val="none" w:sz="0" w:space="0" w:color="auto"/>
        <w:bottom w:val="none" w:sz="0" w:space="0" w:color="auto"/>
        <w:right w:val="none" w:sz="0" w:space="0" w:color="auto"/>
      </w:divBdr>
    </w:div>
    <w:div w:id="647174480">
      <w:bodyDiv w:val="1"/>
      <w:marLeft w:val="0"/>
      <w:marRight w:val="0"/>
      <w:marTop w:val="0"/>
      <w:marBottom w:val="0"/>
      <w:divBdr>
        <w:top w:val="none" w:sz="0" w:space="0" w:color="auto"/>
        <w:left w:val="none" w:sz="0" w:space="0" w:color="auto"/>
        <w:bottom w:val="none" w:sz="0" w:space="0" w:color="auto"/>
        <w:right w:val="none" w:sz="0" w:space="0" w:color="auto"/>
      </w:divBdr>
    </w:div>
    <w:div w:id="698507342">
      <w:bodyDiv w:val="1"/>
      <w:marLeft w:val="0"/>
      <w:marRight w:val="0"/>
      <w:marTop w:val="0"/>
      <w:marBottom w:val="0"/>
      <w:divBdr>
        <w:top w:val="none" w:sz="0" w:space="0" w:color="auto"/>
        <w:left w:val="none" w:sz="0" w:space="0" w:color="auto"/>
        <w:bottom w:val="none" w:sz="0" w:space="0" w:color="auto"/>
        <w:right w:val="none" w:sz="0" w:space="0" w:color="auto"/>
      </w:divBdr>
    </w:div>
    <w:div w:id="742876790">
      <w:bodyDiv w:val="1"/>
      <w:marLeft w:val="0"/>
      <w:marRight w:val="0"/>
      <w:marTop w:val="0"/>
      <w:marBottom w:val="0"/>
      <w:divBdr>
        <w:top w:val="none" w:sz="0" w:space="0" w:color="auto"/>
        <w:left w:val="none" w:sz="0" w:space="0" w:color="auto"/>
        <w:bottom w:val="none" w:sz="0" w:space="0" w:color="auto"/>
        <w:right w:val="none" w:sz="0" w:space="0" w:color="auto"/>
      </w:divBdr>
    </w:div>
    <w:div w:id="774250890">
      <w:bodyDiv w:val="1"/>
      <w:marLeft w:val="0"/>
      <w:marRight w:val="0"/>
      <w:marTop w:val="0"/>
      <w:marBottom w:val="0"/>
      <w:divBdr>
        <w:top w:val="none" w:sz="0" w:space="0" w:color="auto"/>
        <w:left w:val="none" w:sz="0" w:space="0" w:color="auto"/>
        <w:bottom w:val="none" w:sz="0" w:space="0" w:color="auto"/>
        <w:right w:val="none" w:sz="0" w:space="0" w:color="auto"/>
      </w:divBdr>
    </w:div>
    <w:div w:id="810557538">
      <w:bodyDiv w:val="1"/>
      <w:marLeft w:val="0"/>
      <w:marRight w:val="0"/>
      <w:marTop w:val="0"/>
      <w:marBottom w:val="0"/>
      <w:divBdr>
        <w:top w:val="none" w:sz="0" w:space="0" w:color="auto"/>
        <w:left w:val="none" w:sz="0" w:space="0" w:color="auto"/>
        <w:bottom w:val="none" w:sz="0" w:space="0" w:color="auto"/>
        <w:right w:val="none" w:sz="0" w:space="0" w:color="auto"/>
      </w:divBdr>
    </w:div>
    <w:div w:id="835072217">
      <w:bodyDiv w:val="1"/>
      <w:marLeft w:val="0"/>
      <w:marRight w:val="0"/>
      <w:marTop w:val="0"/>
      <w:marBottom w:val="0"/>
      <w:divBdr>
        <w:top w:val="none" w:sz="0" w:space="0" w:color="auto"/>
        <w:left w:val="none" w:sz="0" w:space="0" w:color="auto"/>
        <w:bottom w:val="none" w:sz="0" w:space="0" w:color="auto"/>
        <w:right w:val="none" w:sz="0" w:space="0" w:color="auto"/>
      </w:divBdr>
    </w:div>
    <w:div w:id="846865107">
      <w:bodyDiv w:val="1"/>
      <w:marLeft w:val="0"/>
      <w:marRight w:val="0"/>
      <w:marTop w:val="0"/>
      <w:marBottom w:val="0"/>
      <w:divBdr>
        <w:top w:val="none" w:sz="0" w:space="0" w:color="auto"/>
        <w:left w:val="none" w:sz="0" w:space="0" w:color="auto"/>
        <w:bottom w:val="none" w:sz="0" w:space="0" w:color="auto"/>
        <w:right w:val="none" w:sz="0" w:space="0" w:color="auto"/>
      </w:divBdr>
    </w:div>
    <w:div w:id="847063231">
      <w:bodyDiv w:val="1"/>
      <w:marLeft w:val="0"/>
      <w:marRight w:val="0"/>
      <w:marTop w:val="0"/>
      <w:marBottom w:val="0"/>
      <w:divBdr>
        <w:top w:val="none" w:sz="0" w:space="0" w:color="auto"/>
        <w:left w:val="none" w:sz="0" w:space="0" w:color="auto"/>
        <w:bottom w:val="none" w:sz="0" w:space="0" w:color="auto"/>
        <w:right w:val="none" w:sz="0" w:space="0" w:color="auto"/>
      </w:divBdr>
    </w:div>
    <w:div w:id="894972816">
      <w:bodyDiv w:val="1"/>
      <w:marLeft w:val="0"/>
      <w:marRight w:val="0"/>
      <w:marTop w:val="0"/>
      <w:marBottom w:val="0"/>
      <w:divBdr>
        <w:top w:val="none" w:sz="0" w:space="0" w:color="auto"/>
        <w:left w:val="none" w:sz="0" w:space="0" w:color="auto"/>
        <w:bottom w:val="none" w:sz="0" w:space="0" w:color="auto"/>
        <w:right w:val="none" w:sz="0" w:space="0" w:color="auto"/>
      </w:divBdr>
    </w:div>
    <w:div w:id="941188938">
      <w:bodyDiv w:val="1"/>
      <w:marLeft w:val="0"/>
      <w:marRight w:val="0"/>
      <w:marTop w:val="0"/>
      <w:marBottom w:val="0"/>
      <w:divBdr>
        <w:top w:val="none" w:sz="0" w:space="0" w:color="auto"/>
        <w:left w:val="none" w:sz="0" w:space="0" w:color="auto"/>
        <w:bottom w:val="none" w:sz="0" w:space="0" w:color="auto"/>
        <w:right w:val="none" w:sz="0" w:space="0" w:color="auto"/>
      </w:divBdr>
    </w:div>
    <w:div w:id="953288167">
      <w:bodyDiv w:val="1"/>
      <w:marLeft w:val="0"/>
      <w:marRight w:val="0"/>
      <w:marTop w:val="0"/>
      <w:marBottom w:val="0"/>
      <w:divBdr>
        <w:top w:val="none" w:sz="0" w:space="0" w:color="auto"/>
        <w:left w:val="none" w:sz="0" w:space="0" w:color="auto"/>
        <w:bottom w:val="none" w:sz="0" w:space="0" w:color="auto"/>
        <w:right w:val="none" w:sz="0" w:space="0" w:color="auto"/>
      </w:divBdr>
    </w:div>
    <w:div w:id="954362661">
      <w:bodyDiv w:val="1"/>
      <w:marLeft w:val="0"/>
      <w:marRight w:val="0"/>
      <w:marTop w:val="0"/>
      <w:marBottom w:val="0"/>
      <w:divBdr>
        <w:top w:val="none" w:sz="0" w:space="0" w:color="auto"/>
        <w:left w:val="none" w:sz="0" w:space="0" w:color="auto"/>
        <w:bottom w:val="none" w:sz="0" w:space="0" w:color="auto"/>
        <w:right w:val="none" w:sz="0" w:space="0" w:color="auto"/>
      </w:divBdr>
    </w:div>
    <w:div w:id="966279897">
      <w:bodyDiv w:val="1"/>
      <w:marLeft w:val="0"/>
      <w:marRight w:val="0"/>
      <w:marTop w:val="0"/>
      <w:marBottom w:val="0"/>
      <w:divBdr>
        <w:top w:val="none" w:sz="0" w:space="0" w:color="auto"/>
        <w:left w:val="none" w:sz="0" w:space="0" w:color="auto"/>
        <w:bottom w:val="none" w:sz="0" w:space="0" w:color="auto"/>
        <w:right w:val="none" w:sz="0" w:space="0" w:color="auto"/>
      </w:divBdr>
    </w:div>
    <w:div w:id="971446701">
      <w:bodyDiv w:val="1"/>
      <w:marLeft w:val="0"/>
      <w:marRight w:val="0"/>
      <w:marTop w:val="0"/>
      <w:marBottom w:val="0"/>
      <w:divBdr>
        <w:top w:val="none" w:sz="0" w:space="0" w:color="auto"/>
        <w:left w:val="none" w:sz="0" w:space="0" w:color="auto"/>
        <w:bottom w:val="none" w:sz="0" w:space="0" w:color="auto"/>
        <w:right w:val="none" w:sz="0" w:space="0" w:color="auto"/>
      </w:divBdr>
    </w:div>
    <w:div w:id="977225170">
      <w:bodyDiv w:val="1"/>
      <w:marLeft w:val="0"/>
      <w:marRight w:val="0"/>
      <w:marTop w:val="0"/>
      <w:marBottom w:val="0"/>
      <w:divBdr>
        <w:top w:val="none" w:sz="0" w:space="0" w:color="auto"/>
        <w:left w:val="none" w:sz="0" w:space="0" w:color="auto"/>
        <w:bottom w:val="none" w:sz="0" w:space="0" w:color="auto"/>
        <w:right w:val="none" w:sz="0" w:space="0" w:color="auto"/>
      </w:divBdr>
    </w:div>
    <w:div w:id="1003047990">
      <w:bodyDiv w:val="1"/>
      <w:marLeft w:val="0"/>
      <w:marRight w:val="0"/>
      <w:marTop w:val="0"/>
      <w:marBottom w:val="0"/>
      <w:divBdr>
        <w:top w:val="none" w:sz="0" w:space="0" w:color="auto"/>
        <w:left w:val="none" w:sz="0" w:space="0" w:color="auto"/>
        <w:bottom w:val="none" w:sz="0" w:space="0" w:color="auto"/>
        <w:right w:val="none" w:sz="0" w:space="0" w:color="auto"/>
      </w:divBdr>
    </w:div>
    <w:div w:id="1011251689">
      <w:bodyDiv w:val="1"/>
      <w:marLeft w:val="0"/>
      <w:marRight w:val="0"/>
      <w:marTop w:val="0"/>
      <w:marBottom w:val="0"/>
      <w:divBdr>
        <w:top w:val="none" w:sz="0" w:space="0" w:color="auto"/>
        <w:left w:val="none" w:sz="0" w:space="0" w:color="auto"/>
        <w:bottom w:val="none" w:sz="0" w:space="0" w:color="auto"/>
        <w:right w:val="none" w:sz="0" w:space="0" w:color="auto"/>
      </w:divBdr>
    </w:div>
    <w:div w:id="1050809713">
      <w:bodyDiv w:val="1"/>
      <w:marLeft w:val="0"/>
      <w:marRight w:val="0"/>
      <w:marTop w:val="0"/>
      <w:marBottom w:val="0"/>
      <w:divBdr>
        <w:top w:val="none" w:sz="0" w:space="0" w:color="auto"/>
        <w:left w:val="none" w:sz="0" w:space="0" w:color="auto"/>
        <w:bottom w:val="none" w:sz="0" w:space="0" w:color="auto"/>
        <w:right w:val="none" w:sz="0" w:space="0" w:color="auto"/>
      </w:divBdr>
    </w:div>
    <w:div w:id="1078019040">
      <w:bodyDiv w:val="1"/>
      <w:marLeft w:val="0"/>
      <w:marRight w:val="0"/>
      <w:marTop w:val="0"/>
      <w:marBottom w:val="0"/>
      <w:divBdr>
        <w:top w:val="none" w:sz="0" w:space="0" w:color="auto"/>
        <w:left w:val="none" w:sz="0" w:space="0" w:color="auto"/>
        <w:bottom w:val="none" w:sz="0" w:space="0" w:color="auto"/>
        <w:right w:val="none" w:sz="0" w:space="0" w:color="auto"/>
      </w:divBdr>
    </w:div>
    <w:div w:id="1157266058">
      <w:bodyDiv w:val="1"/>
      <w:marLeft w:val="0"/>
      <w:marRight w:val="0"/>
      <w:marTop w:val="0"/>
      <w:marBottom w:val="0"/>
      <w:divBdr>
        <w:top w:val="none" w:sz="0" w:space="0" w:color="auto"/>
        <w:left w:val="none" w:sz="0" w:space="0" w:color="auto"/>
        <w:bottom w:val="none" w:sz="0" w:space="0" w:color="auto"/>
        <w:right w:val="none" w:sz="0" w:space="0" w:color="auto"/>
      </w:divBdr>
    </w:div>
    <w:div w:id="1176579725">
      <w:bodyDiv w:val="1"/>
      <w:marLeft w:val="0"/>
      <w:marRight w:val="0"/>
      <w:marTop w:val="0"/>
      <w:marBottom w:val="0"/>
      <w:divBdr>
        <w:top w:val="none" w:sz="0" w:space="0" w:color="auto"/>
        <w:left w:val="none" w:sz="0" w:space="0" w:color="auto"/>
        <w:bottom w:val="none" w:sz="0" w:space="0" w:color="auto"/>
        <w:right w:val="none" w:sz="0" w:space="0" w:color="auto"/>
      </w:divBdr>
    </w:div>
    <w:div w:id="1178040509">
      <w:bodyDiv w:val="1"/>
      <w:marLeft w:val="0"/>
      <w:marRight w:val="0"/>
      <w:marTop w:val="0"/>
      <w:marBottom w:val="0"/>
      <w:divBdr>
        <w:top w:val="none" w:sz="0" w:space="0" w:color="auto"/>
        <w:left w:val="none" w:sz="0" w:space="0" w:color="auto"/>
        <w:bottom w:val="none" w:sz="0" w:space="0" w:color="auto"/>
        <w:right w:val="none" w:sz="0" w:space="0" w:color="auto"/>
      </w:divBdr>
    </w:div>
    <w:div w:id="1227106481">
      <w:bodyDiv w:val="1"/>
      <w:marLeft w:val="0"/>
      <w:marRight w:val="0"/>
      <w:marTop w:val="0"/>
      <w:marBottom w:val="0"/>
      <w:divBdr>
        <w:top w:val="none" w:sz="0" w:space="0" w:color="auto"/>
        <w:left w:val="none" w:sz="0" w:space="0" w:color="auto"/>
        <w:bottom w:val="none" w:sz="0" w:space="0" w:color="auto"/>
        <w:right w:val="none" w:sz="0" w:space="0" w:color="auto"/>
      </w:divBdr>
    </w:div>
    <w:div w:id="1310011227">
      <w:bodyDiv w:val="1"/>
      <w:marLeft w:val="0"/>
      <w:marRight w:val="0"/>
      <w:marTop w:val="0"/>
      <w:marBottom w:val="0"/>
      <w:divBdr>
        <w:top w:val="none" w:sz="0" w:space="0" w:color="auto"/>
        <w:left w:val="none" w:sz="0" w:space="0" w:color="auto"/>
        <w:bottom w:val="none" w:sz="0" w:space="0" w:color="auto"/>
        <w:right w:val="none" w:sz="0" w:space="0" w:color="auto"/>
      </w:divBdr>
    </w:div>
    <w:div w:id="1313755249">
      <w:bodyDiv w:val="1"/>
      <w:marLeft w:val="0"/>
      <w:marRight w:val="0"/>
      <w:marTop w:val="0"/>
      <w:marBottom w:val="0"/>
      <w:divBdr>
        <w:top w:val="none" w:sz="0" w:space="0" w:color="auto"/>
        <w:left w:val="none" w:sz="0" w:space="0" w:color="auto"/>
        <w:bottom w:val="none" w:sz="0" w:space="0" w:color="auto"/>
        <w:right w:val="none" w:sz="0" w:space="0" w:color="auto"/>
      </w:divBdr>
    </w:div>
    <w:div w:id="1335573525">
      <w:bodyDiv w:val="1"/>
      <w:marLeft w:val="0"/>
      <w:marRight w:val="0"/>
      <w:marTop w:val="0"/>
      <w:marBottom w:val="0"/>
      <w:divBdr>
        <w:top w:val="none" w:sz="0" w:space="0" w:color="auto"/>
        <w:left w:val="none" w:sz="0" w:space="0" w:color="auto"/>
        <w:bottom w:val="none" w:sz="0" w:space="0" w:color="auto"/>
        <w:right w:val="none" w:sz="0" w:space="0" w:color="auto"/>
      </w:divBdr>
    </w:div>
    <w:div w:id="1400471371">
      <w:bodyDiv w:val="1"/>
      <w:marLeft w:val="0"/>
      <w:marRight w:val="0"/>
      <w:marTop w:val="0"/>
      <w:marBottom w:val="0"/>
      <w:divBdr>
        <w:top w:val="none" w:sz="0" w:space="0" w:color="auto"/>
        <w:left w:val="none" w:sz="0" w:space="0" w:color="auto"/>
        <w:bottom w:val="none" w:sz="0" w:space="0" w:color="auto"/>
        <w:right w:val="none" w:sz="0" w:space="0" w:color="auto"/>
      </w:divBdr>
    </w:div>
    <w:div w:id="1425882454">
      <w:bodyDiv w:val="1"/>
      <w:marLeft w:val="0"/>
      <w:marRight w:val="0"/>
      <w:marTop w:val="0"/>
      <w:marBottom w:val="0"/>
      <w:divBdr>
        <w:top w:val="none" w:sz="0" w:space="0" w:color="auto"/>
        <w:left w:val="none" w:sz="0" w:space="0" w:color="auto"/>
        <w:bottom w:val="none" w:sz="0" w:space="0" w:color="auto"/>
        <w:right w:val="none" w:sz="0" w:space="0" w:color="auto"/>
      </w:divBdr>
    </w:div>
    <w:div w:id="1511795466">
      <w:bodyDiv w:val="1"/>
      <w:marLeft w:val="0"/>
      <w:marRight w:val="0"/>
      <w:marTop w:val="0"/>
      <w:marBottom w:val="0"/>
      <w:divBdr>
        <w:top w:val="none" w:sz="0" w:space="0" w:color="auto"/>
        <w:left w:val="none" w:sz="0" w:space="0" w:color="auto"/>
        <w:bottom w:val="none" w:sz="0" w:space="0" w:color="auto"/>
        <w:right w:val="none" w:sz="0" w:space="0" w:color="auto"/>
      </w:divBdr>
    </w:div>
    <w:div w:id="1555770644">
      <w:bodyDiv w:val="1"/>
      <w:marLeft w:val="0"/>
      <w:marRight w:val="0"/>
      <w:marTop w:val="0"/>
      <w:marBottom w:val="0"/>
      <w:divBdr>
        <w:top w:val="none" w:sz="0" w:space="0" w:color="auto"/>
        <w:left w:val="none" w:sz="0" w:space="0" w:color="auto"/>
        <w:bottom w:val="none" w:sz="0" w:space="0" w:color="auto"/>
        <w:right w:val="none" w:sz="0" w:space="0" w:color="auto"/>
      </w:divBdr>
    </w:div>
    <w:div w:id="1559852808">
      <w:bodyDiv w:val="1"/>
      <w:marLeft w:val="0"/>
      <w:marRight w:val="0"/>
      <w:marTop w:val="0"/>
      <w:marBottom w:val="0"/>
      <w:divBdr>
        <w:top w:val="none" w:sz="0" w:space="0" w:color="auto"/>
        <w:left w:val="none" w:sz="0" w:space="0" w:color="auto"/>
        <w:bottom w:val="none" w:sz="0" w:space="0" w:color="auto"/>
        <w:right w:val="none" w:sz="0" w:space="0" w:color="auto"/>
      </w:divBdr>
    </w:div>
    <w:div w:id="1565487233">
      <w:bodyDiv w:val="1"/>
      <w:marLeft w:val="0"/>
      <w:marRight w:val="0"/>
      <w:marTop w:val="0"/>
      <w:marBottom w:val="0"/>
      <w:divBdr>
        <w:top w:val="none" w:sz="0" w:space="0" w:color="auto"/>
        <w:left w:val="none" w:sz="0" w:space="0" w:color="auto"/>
        <w:bottom w:val="none" w:sz="0" w:space="0" w:color="auto"/>
        <w:right w:val="none" w:sz="0" w:space="0" w:color="auto"/>
      </w:divBdr>
    </w:div>
    <w:div w:id="1585140030">
      <w:bodyDiv w:val="1"/>
      <w:marLeft w:val="0"/>
      <w:marRight w:val="0"/>
      <w:marTop w:val="0"/>
      <w:marBottom w:val="0"/>
      <w:divBdr>
        <w:top w:val="none" w:sz="0" w:space="0" w:color="auto"/>
        <w:left w:val="none" w:sz="0" w:space="0" w:color="auto"/>
        <w:bottom w:val="none" w:sz="0" w:space="0" w:color="auto"/>
        <w:right w:val="none" w:sz="0" w:space="0" w:color="auto"/>
      </w:divBdr>
    </w:div>
    <w:div w:id="1613781121">
      <w:bodyDiv w:val="1"/>
      <w:marLeft w:val="0"/>
      <w:marRight w:val="0"/>
      <w:marTop w:val="0"/>
      <w:marBottom w:val="0"/>
      <w:divBdr>
        <w:top w:val="none" w:sz="0" w:space="0" w:color="auto"/>
        <w:left w:val="none" w:sz="0" w:space="0" w:color="auto"/>
        <w:bottom w:val="none" w:sz="0" w:space="0" w:color="auto"/>
        <w:right w:val="none" w:sz="0" w:space="0" w:color="auto"/>
      </w:divBdr>
    </w:div>
    <w:div w:id="1667589992">
      <w:bodyDiv w:val="1"/>
      <w:marLeft w:val="0"/>
      <w:marRight w:val="0"/>
      <w:marTop w:val="0"/>
      <w:marBottom w:val="0"/>
      <w:divBdr>
        <w:top w:val="none" w:sz="0" w:space="0" w:color="auto"/>
        <w:left w:val="none" w:sz="0" w:space="0" w:color="auto"/>
        <w:bottom w:val="none" w:sz="0" w:space="0" w:color="auto"/>
        <w:right w:val="none" w:sz="0" w:space="0" w:color="auto"/>
      </w:divBdr>
    </w:div>
    <w:div w:id="1680765712">
      <w:bodyDiv w:val="1"/>
      <w:marLeft w:val="0"/>
      <w:marRight w:val="0"/>
      <w:marTop w:val="0"/>
      <w:marBottom w:val="0"/>
      <w:divBdr>
        <w:top w:val="none" w:sz="0" w:space="0" w:color="auto"/>
        <w:left w:val="none" w:sz="0" w:space="0" w:color="auto"/>
        <w:bottom w:val="none" w:sz="0" w:space="0" w:color="auto"/>
        <w:right w:val="none" w:sz="0" w:space="0" w:color="auto"/>
      </w:divBdr>
    </w:div>
    <w:div w:id="1724014250">
      <w:bodyDiv w:val="1"/>
      <w:marLeft w:val="0"/>
      <w:marRight w:val="0"/>
      <w:marTop w:val="0"/>
      <w:marBottom w:val="0"/>
      <w:divBdr>
        <w:top w:val="none" w:sz="0" w:space="0" w:color="auto"/>
        <w:left w:val="none" w:sz="0" w:space="0" w:color="auto"/>
        <w:bottom w:val="none" w:sz="0" w:space="0" w:color="auto"/>
        <w:right w:val="none" w:sz="0" w:space="0" w:color="auto"/>
      </w:divBdr>
    </w:div>
    <w:div w:id="1766419789">
      <w:bodyDiv w:val="1"/>
      <w:marLeft w:val="0"/>
      <w:marRight w:val="0"/>
      <w:marTop w:val="0"/>
      <w:marBottom w:val="0"/>
      <w:divBdr>
        <w:top w:val="none" w:sz="0" w:space="0" w:color="auto"/>
        <w:left w:val="none" w:sz="0" w:space="0" w:color="auto"/>
        <w:bottom w:val="none" w:sz="0" w:space="0" w:color="auto"/>
        <w:right w:val="none" w:sz="0" w:space="0" w:color="auto"/>
      </w:divBdr>
    </w:div>
    <w:div w:id="1826121730">
      <w:bodyDiv w:val="1"/>
      <w:marLeft w:val="0"/>
      <w:marRight w:val="0"/>
      <w:marTop w:val="0"/>
      <w:marBottom w:val="0"/>
      <w:divBdr>
        <w:top w:val="none" w:sz="0" w:space="0" w:color="auto"/>
        <w:left w:val="none" w:sz="0" w:space="0" w:color="auto"/>
        <w:bottom w:val="none" w:sz="0" w:space="0" w:color="auto"/>
        <w:right w:val="none" w:sz="0" w:space="0" w:color="auto"/>
      </w:divBdr>
    </w:div>
    <w:div w:id="1837183597">
      <w:bodyDiv w:val="1"/>
      <w:marLeft w:val="0"/>
      <w:marRight w:val="0"/>
      <w:marTop w:val="0"/>
      <w:marBottom w:val="0"/>
      <w:divBdr>
        <w:top w:val="none" w:sz="0" w:space="0" w:color="auto"/>
        <w:left w:val="none" w:sz="0" w:space="0" w:color="auto"/>
        <w:bottom w:val="none" w:sz="0" w:space="0" w:color="auto"/>
        <w:right w:val="none" w:sz="0" w:space="0" w:color="auto"/>
      </w:divBdr>
    </w:div>
    <w:div w:id="1858035135">
      <w:bodyDiv w:val="1"/>
      <w:marLeft w:val="0"/>
      <w:marRight w:val="0"/>
      <w:marTop w:val="0"/>
      <w:marBottom w:val="0"/>
      <w:divBdr>
        <w:top w:val="none" w:sz="0" w:space="0" w:color="auto"/>
        <w:left w:val="none" w:sz="0" w:space="0" w:color="auto"/>
        <w:bottom w:val="none" w:sz="0" w:space="0" w:color="auto"/>
        <w:right w:val="none" w:sz="0" w:space="0" w:color="auto"/>
      </w:divBdr>
    </w:div>
    <w:div w:id="1875458041">
      <w:bodyDiv w:val="1"/>
      <w:marLeft w:val="0"/>
      <w:marRight w:val="0"/>
      <w:marTop w:val="0"/>
      <w:marBottom w:val="0"/>
      <w:divBdr>
        <w:top w:val="none" w:sz="0" w:space="0" w:color="auto"/>
        <w:left w:val="none" w:sz="0" w:space="0" w:color="auto"/>
        <w:bottom w:val="none" w:sz="0" w:space="0" w:color="auto"/>
        <w:right w:val="none" w:sz="0" w:space="0" w:color="auto"/>
      </w:divBdr>
    </w:div>
    <w:div w:id="1883593475">
      <w:bodyDiv w:val="1"/>
      <w:marLeft w:val="0"/>
      <w:marRight w:val="0"/>
      <w:marTop w:val="0"/>
      <w:marBottom w:val="0"/>
      <w:divBdr>
        <w:top w:val="none" w:sz="0" w:space="0" w:color="auto"/>
        <w:left w:val="none" w:sz="0" w:space="0" w:color="auto"/>
        <w:bottom w:val="none" w:sz="0" w:space="0" w:color="auto"/>
        <w:right w:val="none" w:sz="0" w:space="0" w:color="auto"/>
      </w:divBdr>
    </w:div>
    <w:div w:id="1889292568">
      <w:bodyDiv w:val="1"/>
      <w:marLeft w:val="0"/>
      <w:marRight w:val="0"/>
      <w:marTop w:val="0"/>
      <w:marBottom w:val="0"/>
      <w:divBdr>
        <w:top w:val="none" w:sz="0" w:space="0" w:color="auto"/>
        <w:left w:val="none" w:sz="0" w:space="0" w:color="auto"/>
        <w:bottom w:val="none" w:sz="0" w:space="0" w:color="auto"/>
        <w:right w:val="none" w:sz="0" w:space="0" w:color="auto"/>
      </w:divBdr>
    </w:div>
    <w:div w:id="1911964762">
      <w:bodyDiv w:val="1"/>
      <w:marLeft w:val="0"/>
      <w:marRight w:val="0"/>
      <w:marTop w:val="0"/>
      <w:marBottom w:val="0"/>
      <w:divBdr>
        <w:top w:val="none" w:sz="0" w:space="0" w:color="auto"/>
        <w:left w:val="none" w:sz="0" w:space="0" w:color="auto"/>
        <w:bottom w:val="none" w:sz="0" w:space="0" w:color="auto"/>
        <w:right w:val="none" w:sz="0" w:space="0" w:color="auto"/>
      </w:divBdr>
    </w:div>
    <w:div w:id="1919904825">
      <w:bodyDiv w:val="1"/>
      <w:marLeft w:val="0"/>
      <w:marRight w:val="0"/>
      <w:marTop w:val="0"/>
      <w:marBottom w:val="0"/>
      <w:divBdr>
        <w:top w:val="none" w:sz="0" w:space="0" w:color="auto"/>
        <w:left w:val="none" w:sz="0" w:space="0" w:color="auto"/>
        <w:bottom w:val="none" w:sz="0" w:space="0" w:color="auto"/>
        <w:right w:val="none" w:sz="0" w:space="0" w:color="auto"/>
      </w:divBdr>
    </w:div>
    <w:div w:id="1961691970">
      <w:bodyDiv w:val="1"/>
      <w:marLeft w:val="0"/>
      <w:marRight w:val="0"/>
      <w:marTop w:val="0"/>
      <w:marBottom w:val="0"/>
      <w:divBdr>
        <w:top w:val="none" w:sz="0" w:space="0" w:color="auto"/>
        <w:left w:val="none" w:sz="0" w:space="0" w:color="auto"/>
        <w:bottom w:val="none" w:sz="0" w:space="0" w:color="auto"/>
        <w:right w:val="none" w:sz="0" w:space="0" w:color="auto"/>
      </w:divBdr>
    </w:div>
    <w:div w:id="1990206953">
      <w:bodyDiv w:val="1"/>
      <w:marLeft w:val="0"/>
      <w:marRight w:val="0"/>
      <w:marTop w:val="0"/>
      <w:marBottom w:val="0"/>
      <w:divBdr>
        <w:top w:val="none" w:sz="0" w:space="0" w:color="auto"/>
        <w:left w:val="none" w:sz="0" w:space="0" w:color="auto"/>
        <w:bottom w:val="none" w:sz="0" w:space="0" w:color="auto"/>
        <w:right w:val="none" w:sz="0" w:space="0" w:color="auto"/>
      </w:divBdr>
    </w:div>
    <w:div w:id="2001421515">
      <w:bodyDiv w:val="1"/>
      <w:marLeft w:val="0"/>
      <w:marRight w:val="0"/>
      <w:marTop w:val="0"/>
      <w:marBottom w:val="0"/>
      <w:divBdr>
        <w:top w:val="none" w:sz="0" w:space="0" w:color="auto"/>
        <w:left w:val="none" w:sz="0" w:space="0" w:color="auto"/>
        <w:bottom w:val="none" w:sz="0" w:space="0" w:color="auto"/>
        <w:right w:val="none" w:sz="0" w:space="0" w:color="auto"/>
      </w:divBdr>
    </w:div>
    <w:div w:id="2032103588">
      <w:bodyDiv w:val="1"/>
      <w:marLeft w:val="0"/>
      <w:marRight w:val="0"/>
      <w:marTop w:val="0"/>
      <w:marBottom w:val="0"/>
      <w:divBdr>
        <w:top w:val="none" w:sz="0" w:space="0" w:color="auto"/>
        <w:left w:val="none" w:sz="0" w:space="0" w:color="auto"/>
        <w:bottom w:val="none" w:sz="0" w:space="0" w:color="auto"/>
        <w:right w:val="none" w:sz="0" w:space="0" w:color="auto"/>
      </w:divBdr>
    </w:div>
    <w:div w:id="2051300812">
      <w:bodyDiv w:val="1"/>
      <w:marLeft w:val="0"/>
      <w:marRight w:val="0"/>
      <w:marTop w:val="0"/>
      <w:marBottom w:val="0"/>
      <w:divBdr>
        <w:top w:val="none" w:sz="0" w:space="0" w:color="auto"/>
        <w:left w:val="none" w:sz="0" w:space="0" w:color="auto"/>
        <w:bottom w:val="none" w:sz="0" w:space="0" w:color="auto"/>
        <w:right w:val="none" w:sz="0" w:space="0" w:color="auto"/>
      </w:divBdr>
    </w:div>
    <w:div w:id="2075885305">
      <w:bodyDiv w:val="1"/>
      <w:marLeft w:val="0"/>
      <w:marRight w:val="0"/>
      <w:marTop w:val="0"/>
      <w:marBottom w:val="0"/>
      <w:divBdr>
        <w:top w:val="none" w:sz="0" w:space="0" w:color="auto"/>
        <w:left w:val="none" w:sz="0" w:space="0" w:color="auto"/>
        <w:bottom w:val="none" w:sz="0" w:space="0" w:color="auto"/>
        <w:right w:val="none" w:sz="0" w:space="0" w:color="auto"/>
      </w:divBdr>
    </w:div>
    <w:div w:id="2081635374">
      <w:bodyDiv w:val="1"/>
      <w:marLeft w:val="0"/>
      <w:marRight w:val="0"/>
      <w:marTop w:val="0"/>
      <w:marBottom w:val="0"/>
      <w:divBdr>
        <w:top w:val="none" w:sz="0" w:space="0" w:color="auto"/>
        <w:left w:val="none" w:sz="0" w:space="0" w:color="auto"/>
        <w:bottom w:val="none" w:sz="0" w:space="0" w:color="auto"/>
        <w:right w:val="none" w:sz="0" w:space="0" w:color="auto"/>
      </w:divBdr>
    </w:div>
    <w:div w:id="2101414181">
      <w:bodyDiv w:val="1"/>
      <w:marLeft w:val="0"/>
      <w:marRight w:val="0"/>
      <w:marTop w:val="0"/>
      <w:marBottom w:val="0"/>
      <w:divBdr>
        <w:top w:val="none" w:sz="0" w:space="0" w:color="auto"/>
        <w:left w:val="none" w:sz="0" w:space="0" w:color="auto"/>
        <w:bottom w:val="none" w:sz="0" w:space="0" w:color="auto"/>
        <w:right w:val="none" w:sz="0" w:space="0" w:color="auto"/>
      </w:divBdr>
    </w:div>
    <w:div w:id="2134057458">
      <w:bodyDiv w:val="1"/>
      <w:marLeft w:val="0"/>
      <w:marRight w:val="0"/>
      <w:marTop w:val="0"/>
      <w:marBottom w:val="0"/>
      <w:divBdr>
        <w:top w:val="none" w:sz="0" w:space="0" w:color="auto"/>
        <w:left w:val="none" w:sz="0" w:space="0" w:color="auto"/>
        <w:bottom w:val="none" w:sz="0" w:space="0" w:color="auto"/>
        <w:right w:val="none" w:sz="0" w:space="0" w:color="auto"/>
      </w:divBdr>
    </w:div>
    <w:div w:id="21372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8" ma:contentTypeDescription="Crear nuevo documento." ma:contentTypeScope="" ma:versionID="b48368063c907295af4e613212447acc">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6e9cc160ca439b8e4df6219347eba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4B5B-74E4-4F86-8828-8B9F8F269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0419D-9EB0-4384-A30D-2060612CACFF}">
  <ds:schemaRefs>
    <ds:schemaRef ds:uri="http://schemas.microsoft.com/sharepoint/v3/contenttype/forms"/>
  </ds:schemaRefs>
</ds:datastoreItem>
</file>

<file path=customXml/itemProps3.xml><?xml version="1.0" encoding="utf-8"?>
<ds:datastoreItem xmlns:ds="http://schemas.openxmlformats.org/officeDocument/2006/customXml" ds:itemID="{729F437A-74C8-41CF-9DAA-2BB165FDB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5C74-29B6-408F-85CB-06574FEC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7156</Words>
  <Characters>39362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Relatoria Tribunal Administrativo - Boyaca - Seccional Tunja</cp:lastModifiedBy>
  <cp:revision>357</cp:revision>
  <cp:lastPrinted>2019-12-18T14:54:00Z</cp:lastPrinted>
  <dcterms:created xsi:type="dcterms:W3CDTF">2019-12-18T14:41:00Z</dcterms:created>
  <dcterms:modified xsi:type="dcterms:W3CDTF">2022-02-28T15:25:00Z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