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92AFB" w14:textId="6A3AB5E3" w:rsidR="002B12E8" w:rsidRPr="00635B67" w:rsidRDefault="00F90889" w:rsidP="002B12E8">
      <w:pPr>
        <w:pStyle w:val="Ttulo1"/>
        <w:spacing w:line="240" w:lineRule="auto"/>
        <w:ind w:right="-81" w:firstLine="0"/>
        <w:rPr>
          <w:rFonts w:ascii="Arial" w:hAnsi="Arial" w:cs="Arial"/>
          <w:bCs/>
          <w:sz w:val="24"/>
          <w:szCs w:val="24"/>
        </w:rPr>
      </w:pPr>
      <w:r w:rsidRPr="00635B67">
        <w:rPr>
          <w:rFonts w:ascii="Arial" w:hAnsi="Arial" w:cs="Arial"/>
          <w:bCs/>
          <w:sz w:val="24"/>
          <w:szCs w:val="24"/>
        </w:rPr>
        <w:t>RESPONSABILIDAD EXTRACONTRACTUAL DEL ESTADO / Falla del servicio / Título jurídico de imputación por excelencia / Requisitos para su configuración.</w:t>
      </w:r>
    </w:p>
    <w:p w14:paraId="5F85FA64" w14:textId="31E3C65D" w:rsidR="00F90889" w:rsidRPr="00635B67" w:rsidRDefault="00F90889" w:rsidP="00F90889">
      <w:pPr>
        <w:jc w:val="both"/>
        <w:rPr>
          <w:rFonts w:ascii="Arial" w:hAnsi="Arial" w:cs="Arial"/>
          <w:sz w:val="24"/>
          <w:szCs w:val="24"/>
        </w:rPr>
      </w:pPr>
    </w:p>
    <w:p w14:paraId="0A3DB72E" w14:textId="2B748AF9" w:rsidR="00F90889" w:rsidRPr="00635B67" w:rsidRDefault="00F90889" w:rsidP="00F90889">
      <w:pPr>
        <w:jc w:val="both"/>
        <w:rPr>
          <w:rFonts w:ascii="Arial" w:hAnsi="Arial" w:cs="Arial"/>
          <w:sz w:val="24"/>
          <w:szCs w:val="24"/>
        </w:rPr>
      </w:pPr>
      <w:r w:rsidRPr="00635B67">
        <w:rPr>
          <w:rFonts w:ascii="Arial" w:hAnsi="Arial" w:cs="Arial"/>
          <w:sz w:val="24"/>
          <w:szCs w:val="24"/>
        </w:rPr>
        <w:t>Puede colegirse entonces de los pronunciamientos citados, que la falla del servicio ha sido, y continua siendo, el título jurídico de imputación por excelencia para desencadenar la obligación indemnizatoria del Estado; en efecto, si al Juez Administrativo le compete una labor de control de la acción administrativa del Estado y si la falla del servicio tiene el contenido final del incumplimiento de una obligación a su cargo, no hay duda de que es ella el mecanismo más idóneo para asentar la responsabilidad patrimonial de naturaleza extracontractual.  Ahora bien, el Consejo de Estado ha señalado que la responsabilidad del Estado se ve comprometida cuando se encuentren acreditados los siguientes requisitos: a) la existencia de una obligación legal o reglamentaria a cargo de la entidad demandada de realizar la acción con la cual se habrían evitado los perjuicios ; b) la omisión de poner en funcionamiento los recursos de que se dispone para el adecuado cumplimiento del deber legal, atendidas las circunstancias particulares del caso; c) un daño antijurídico, y d) la relación causal entre la omisión y el daño.  Frente a este último aspecto, con apoyo en la doctrina, precisa la jurisprudencia que en este tipo de eventos lo decisivo no es la existencia efectiva de una relación causal entre la omisión y el resultado, sino la omisión de la conducta debida, que de haberse realizado habría interrumpido el proceso causal impidiendo la producción de la lesión.</w:t>
      </w:r>
    </w:p>
    <w:p w14:paraId="31042C01" w14:textId="0818E906" w:rsidR="00123147" w:rsidRPr="00635B67" w:rsidRDefault="00123147" w:rsidP="00F90889">
      <w:pPr>
        <w:jc w:val="both"/>
        <w:rPr>
          <w:rFonts w:ascii="Arial" w:hAnsi="Arial" w:cs="Arial"/>
          <w:sz w:val="24"/>
          <w:szCs w:val="24"/>
        </w:rPr>
      </w:pPr>
    </w:p>
    <w:p w14:paraId="3EB049AC" w14:textId="07807345" w:rsidR="00123147" w:rsidRPr="00635B67" w:rsidRDefault="00123147" w:rsidP="00F90889">
      <w:pPr>
        <w:jc w:val="both"/>
        <w:rPr>
          <w:rFonts w:ascii="Arial" w:hAnsi="Arial" w:cs="Arial"/>
          <w:b/>
          <w:sz w:val="24"/>
          <w:szCs w:val="24"/>
        </w:rPr>
      </w:pPr>
      <w:r w:rsidRPr="00635B67">
        <w:rPr>
          <w:rFonts w:ascii="Arial" w:hAnsi="Arial" w:cs="Arial"/>
          <w:b/>
          <w:sz w:val="24"/>
          <w:szCs w:val="24"/>
        </w:rPr>
        <w:t>RESPONSABILIDAD EXTRACONTRACTUAL DEL ESTADO / Falla en el servicio / Servicio notarial / Labor del notario se circunscribe a la constatación de los elementos descritos en las normas vigentes y no a la verificación de su autenticidad / Verificación de autenticidad corresponde a autoridades judiciales.</w:t>
      </w:r>
    </w:p>
    <w:p w14:paraId="00419E67" w14:textId="706683A5" w:rsidR="00F90889" w:rsidRPr="00635B67" w:rsidRDefault="00F90889" w:rsidP="00F90889">
      <w:pPr>
        <w:jc w:val="both"/>
        <w:rPr>
          <w:rFonts w:ascii="Arial" w:hAnsi="Arial" w:cs="Arial"/>
          <w:sz w:val="24"/>
          <w:szCs w:val="24"/>
        </w:rPr>
      </w:pPr>
    </w:p>
    <w:p w14:paraId="27D553EB" w14:textId="7F69FA46" w:rsidR="00F90889" w:rsidRPr="00635B67" w:rsidRDefault="00F90889" w:rsidP="00F90889">
      <w:pPr>
        <w:jc w:val="both"/>
        <w:rPr>
          <w:rFonts w:ascii="Arial" w:hAnsi="Arial" w:cs="Arial"/>
          <w:sz w:val="24"/>
          <w:szCs w:val="24"/>
        </w:rPr>
      </w:pPr>
      <w:r w:rsidRPr="00635B67">
        <w:rPr>
          <w:rFonts w:ascii="Arial" w:hAnsi="Arial" w:cs="Arial"/>
          <w:sz w:val="24"/>
          <w:szCs w:val="24"/>
        </w:rPr>
        <w:t xml:space="preserve">Conforme con las pruebas reseñadas, y teniendo en cuenta que la apelante atribuye la responsabilidad de la declaratoria de nulidad de la escritura pública No. 0134 del 5 de febrero de 2010, a falla del servicio de la SUPERINTENDENCIA DE NOTARIADO Y REGISTRO ante la supuesta omisión de sus funciones legales de inspección vigilancia y control del servicio notarial prestado por la NOTARÍA PRIMERA DEL CIRCULO DE SOGAMOSO, quien presuntamente omitió verificar la identidad de quien se presentó en calidad de deudora y propietaria del inmueble a hipotecar, esto es, ROSALBA ALARCÓN CORREA, con medios distintos al de la identificación biométrica (sic). Sin embargo, conforme a la Jurisprudencia del Consejo de Estado, teniendo en cuenta que las normas vigentes de la actividad notarial para la fecha de ocurrencia de los hechos – 5 de febrero de 2010, era el Decreto No. 2148 del 1º de agosto de 1983, por medio del cual reglamentó el Decreto 960 de 1970, el que en sus artículos 18 a 23 estableció los requisitos de forma que deben reunir las escrituras públicas y los pasos que deben ser observados, a saber, recepción de los documentos, extensión, otorgamiento y la autorización, fase en que el notario da fe pública al instrumento, cuando se han cumplido los requisitos exigidos, consideró el Alto Tribunal que se entiende que en esta labor el notario se circunscribe a la constatación de dichos elementos y no se le exige que llegue hasta verificar la autenticidad de aquellos que soportan el trámite de protocolización puesto que esta labor el ordenamiento jurídico la ha deferido a las autoridades judiciales quienes son las competentes para declarar la falsedad de los documentos  (sic). Adujo el Consejo de Estado que lo anterior es relevante porque cuando se predica la existencia de una falla por omisión, debe establecerse previamente cuáles son las funciones que la ley le asigna y si hubo incumplimiento </w:t>
      </w:r>
      <w:r w:rsidRPr="00635B67">
        <w:rPr>
          <w:rFonts w:ascii="Arial" w:hAnsi="Arial" w:cs="Arial"/>
          <w:sz w:val="24"/>
          <w:szCs w:val="24"/>
        </w:rPr>
        <w:lastRenderedPageBreak/>
        <w:t>de los deberes funcionales por parte del agente o funcionario de la administración.</w:t>
      </w:r>
      <w:r w:rsidR="00123147" w:rsidRPr="00635B67">
        <w:rPr>
          <w:rFonts w:ascii="Arial" w:hAnsi="Arial" w:cs="Arial"/>
          <w:sz w:val="24"/>
          <w:szCs w:val="24"/>
        </w:rPr>
        <w:t xml:space="preserve"> Y por tanto, el señalamiento de los deberes exigibles a los notarios de cara a la labor de escrituración, resulta importante porque en el caso bajo estudio, el problema se presentó por suplantación de la señora ROSALBA ALARCÓN CORREA, tal y como se comprobó en los procesos civil de nulidad de la escritura pública No. 2011-106 y penal No. 15759310900220150078, circunstancia que escapaba a la verificación y control del notario, quien al no tener conocimiento anterior de la otorgante, no podía determinar que se trataba de una persona diferente y tampoco pudo detectarlo en la firma utilizada por la defraudadora puesto que, como se informó en precedencia, en las decisiones de orden civil y penal, tuvieron que recurrir a expertos grafólogos para determinar la falsedad de la misma, razón por la cual esta falacia no pudo ser detectada por quienes la autorizaron.</w:t>
      </w:r>
    </w:p>
    <w:p w14:paraId="1FB3540E" w14:textId="3DAC640B" w:rsidR="00123147" w:rsidRPr="00635B67" w:rsidRDefault="00123147" w:rsidP="00F90889">
      <w:pPr>
        <w:jc w:val="both"/>
        <w:rPr>
          <w:rFonts w:ascii="Arial" w:hAnsi="Arial" w:cs="Arial"/>
          <w:sz w:val="24"/>
          <w:szCs w:val="24"/>
        </w:rPr>
      </w:pPr>
    </w:p>
    <w:p w14:paraId="1986D45D" w14:textId="4D46D899" w:rsidR="00123147" w:rsidRPr="00635B67" w:rsidRDefault="00123147" w:rsidP="00F90889">
      <w:pPr>
        <w:jc w:val="both"/>
        <w:rPr>
          <w:rFonts w:ascii="Arial" w:hAnsi="Arial" w:cs="Arial"/>
          <w:sz w:val="24"/>
          <w:szCs w:val="24"/>
        </w:rPr>
      </w:pPr>
      <w:r w:rsidRPr="00635B67">
        <w:rPr>
          <w:rFonts w:ascii="Arial" w:hAnsi="Arial" w:cs="Arial"/>
          <w:b/>
          <w:sz w:val="24"/>
          <w:szCs w:val="24"/>
        </w:rPr>
        <w:t>RESPONSABILIDAD EXTRACONTRACTUAL DEL ESTADO / Falla en el servicio / Servicio notarial / Daños ocasionados por la adulteración de documentos son imputables a quienes efectuaron la adulteración / Falla del servicio ocurriría ante la ausencia de verificación de requisitos formales exigidos para el otorgamiento de escrituras.</w:t>
      </w:r>
    </w:p>
    <w:p w14:paraId="588FE779" w14:textId="7FD29DF4" w:rsidR="00123147" w:rsidRPr="00635B67" w:rsidRDefault="00123147" w:rsidP="00F90889">
      <w:pPr>
        <w:jc w:val="both"/>
        <w:rPr>
          <w:rFonts w:ascii="Arial" w:hAnsi="Arial" w:cs="Arial"/>
          <w:sz w:val="24"/>
          <w:szCs w:val="24"/>
        </w:rPr>
      </w:pPr>
    </w:p>
    <w:p w14:paraId="4E028F81" w14:textId="60BDAB7D" w:rsidR="00123147" w:rsidRPr="00635B67" w:rsidRDefault="00123147" w:rsidP="00123147">
      <w:pPr>
        <w:jc w:val="both"/>
        <w:rPr>
          <w:rFonts w:ascii="Arial" w:hAnsi="Arial" w:cs="Arial"/>
          <w:sz w:val="24"/>
          <w:szCs w:val="24"/>
        </w:rPr>
      </w:pPr>
      <w:r w:rsidRPr="00635B67">
        <w:rPr>
          <w:rFonts w:ascii="Arial" w:hAnsi="Arial" w:cs="Arial"/>
          <w:sz w:val="24"/>
          <w:szCs w:val="24"/>
        </w:rPr>
        <w:t>Los daños ocurridos por la falsificación de documentos en principio resultan imputables a quienes efectuaron la adulteración de los instrumentos, sobre todo cuando las falsedades pueden resultar imperceptibles para la administración, pero si se demuestra que no se verifican los elementos formales exigidos para el otorgamiento de escrituras, si puede configurarse una falla del servicio. Al respecto es claro que en el presente asunto no se allegó prueba alguna que demuestre la omisión por parte de la NOTARIA PRIMERA DEL CIRCULO DE SOGAMOSO, y particularmente de la SUPERINTENDENCIA DE NOTARIADO Y REGISTRO, quien conforme a sentencia reciente del Consejo de Estado , es la entidad que debe asumir los riesgos derivados de la función notarial, en la verificación de los elementos formales exigidos por ley para el otorgamiento de la escritura de hipoteca objeto de estudio, esto es la presentación del documento de identificación de los otorgantes de la misma, pues contrario a lo planteado en la demanda, la identificación por medios biométricos en los asuntos notariales surgió con posterioridad a la suscripción de la escritura pública No. 0134 de 2010, con ocasión de la expedición de la Ley 019 de 2012. En definitiva, teniendo en cuenta un caso de similares contornos, y conforme lo precisó la Sección Tercera del Consejo de Estado, cuando la fuente del daño se incardina en la suplantación y falsificación, y no se evidencia participación u omisión de la administración pública, no puede concluirse nada distinto a que el hecho lesivo proviene del actuar de terceros.</w:t>
      </w:r>
    </w:p>
    <w:p w14:paraId="6768CDB9" w14:textId="3AA920F4" w:rsidR="00123147" w:rsidRPr="00635B67" w:rsidRDefault="00123147" w:rsidP="00123147">
      <w:pPr>
        <w:jc w:val="both"/>
        <w:rPr>
          <w:rFonts w:ascii="Arial" w:hAnsi="Arial" w:cs="Arial"/>
          <w:sz w:val="24"/>
          <w:szCs w:val="24"/>
        </w:rPr>
      </w:pPr>
    </w:p>
    <w:p w14:paraId="0561F5F4" w14:textId="6D731031" w:rsidR="00123147" w:rsidRPr="00635B67" w:rsidRDefault="00123147" w:rsidP="00123147">
      <w:pPr>
        <w:jc w:val="both"/>
        <w:rPr>
          <w:rFonts w:ascii="Arial" w:hAnsi="Arial" w:cs="Arial"/>
          <w:sz w:val="24"/>
          <w:szCs w:val="24"/>
        </w:rPr>
      </w:pPr>
      <w:r w:rsidRPr="00635B67">
        <w:rPr>
          <w:rFonts w:ascii="Arial" w:hAnsi="Arial" w:cs="Arial"/>
          <w:b/>
          <w:sz w:val="24"/>
          <w:szCs w:val="24"/>
        </w:rPr>
        <w:t>NOTA DE RELATORÍA:</w:t>
      </w:r>
      <w:r w:rsidRPr="00635B67">
        <w:rPr>
          <w:rFonts w:ascii="Arial" w:hAnsi="Arial" w:cs="Arial"/>
          <w:sz w:val="24"/>
          <w:szCs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2FBCE032" w14:textId="77777777" w:rsidR="00123147" w:rsidRPr="00635B67" w:rsidRDefault="00123147" w:rsidP="00F90889">
      <w:pPr>
        <w:jc w:val="both"/>
        <w:rPr>
          <w:rFonts w:ascii="Arial" w:hAnsi="Arial" w:cs="Arial"/>
          <w:sz w:val="24"/>
          <w:szCs w:val="24"/>
        </w:rPr>
      </w:pPr>
    </w:p>
    <w:p w14:paraId="6B7FF0E1" w14:textId="5BAC3D51" w:rsidR="00736E30" w:rsidRPr="00635B67" w:rsidRDefault="00736E30" w:rsidP="007E2035">
      <w:pPr>
        <w:pStyle w:val="Ttulo1"/>
        <w:spacing w:line="360" w:lineRule="auto"/>
        <w:ind w:right="-81" w:firstLine="708"/>
        <w:jc w:val="center"/>
        <w:rPr>
          <w:rFonts w:ascii="Verdana" w:hAnsi="Verdana" w:cs="Arial"/>
          <w:sz w:val="22"/>
          <w:szCs w:val="22"/>
        </w:rPr>
      </w:pPr>
      <w:r w:rsidRPr="00635B67">
        <w:rPr>
          <w:rFonts w:ascii="Verdana" w:hAnsi="Verdana" w:cs="Arial"/>
          <w:bCs/>
          <w:sz w:val="22"/>
          <w:szCs w:val="22"/>
        </w:rPr>
        <w:t>REPÚBLICA DE COLOMBIA</w:t>
      </w:r>
    </w:p>
    <w:p w14:paraId="672A6659" w14:textId="77777777" w:rsidR="00736E30" w:rsidRPr="00635B67" w:rsidRDefault="00736E30" w:rsidP="007E2035">
      <w:pPr>
        <w:spacing w:line="360" w:lineRule="auto"/>
        <w:ind w:left="-540" w:right="-880"/>
        <w:jc w:val="center"/>
        <w:rPr>
          <w:rFonts w:ascii="Verdana" w:hAnsi="Verdana" w:cs="Arial"/>
          <w:sz w:val="22"/>
          <w:szCs w:val="22"/>
        </w:rPr>
      </w:pPr>
      <w:r w:rsidRPr="00635B67">
        <w:rPr>
          <w:rFonts w:ascii="Verdana" w:hAnsi="Verdana"/>
          <w:noProof/>
          <w:sz w:val="22"/>
          <w:szCs w:val="22"/>
          <w:lang w:val="es-MX" w:eastAsia="es-MX"/>
        </w:rPr>
        <w:drawing>
          <wp:inline distT="0" distB="0" distL="0" distR="0" wp14:anchorId="2F2B2C10" wp14:editId="19F6D155">
            <wp:extent cx="676281" cy="648269"/>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76281" cy="648269"/>
                    </a:xfrm>
                    <a:prstGeom prst="rect">
                      <a:avLst/>
                    </a:prstGeom>
                  </pic:spPr>
                </pic:pic>
              </a:graphicData>
            </a:graphic>
          </wp:inline>
        </w:drawing>
      </w:r>
    </w:p>
    <w:p w14:paraId="78CA13AD" w14:textId="77777777" w:rsidR="00736E30" w:rsidRPr="00635B67" w:rsidRDefault="00736E30" w:rsidP="007E2035">
      <w:pPr>
        <w:pStyle w:val="Ttulo1"/>
        <w:spacing w:line="360" w:lineRule="auto"/>
        <w:ind w:right="-81" w:firstLine="0"/>
        <w:jc w:val="center"/>
        <w:rPr>
          <w:rFonts w:ascii="Verdana" w:hAnsi="Verdana" w:cs="Arial"/>
          <w:sz w:val="22"/>
          <w:szCs w:val="22"/>
        </w:rPr>
      </w:pPr>
      <w:r w:rsidRPr="00635B67">
        <w:rPr>
          <w:rFonts w:ascii="Verdana" w:hAnsi="Verdana" w:cs="Arial"/>
          <w:sz w:val="22"/>
          <w:szCs w:val="22"/>
        </w:rPr>
        <w:lastRenderedPageBreak/>
        <w:t>TRIBUNAL ADMINISTRATIVO DE BOYACA</w:t>
      </w:r>
    </w:p>
    <w:p w14:paraId="6E55C488" w14:textId="77777777" w:rsidR="00736E30" w:rsidRPr="00635B67" w:rsidRDefault="002D736E" w:rsidP="007E2035">
      <w:pPr>
        <w:spacing w:line="360" w:lineRule="auto"/>
        <w:ind w:right="-81"/>
        <w:jc w:val="center"/>
        <w:rPr>
          <w:rFonts w:ascii="Verdana" w:hAnsi="Verdana" w:cs="Arial"/>
          <w:b/>
          <w:sz w:val="22"/>
          <w:szCs w:val="22"/>
        </w:rPr>
      </w:pPr>
      <w:r w:rsidRPr="00635B67">
        <w:rPr>
          <w:rFonts w:ascii="Verdana" w:hAnsi="Verdana" w:cs="Arial"/>
          <w:b/>
          <w:sz w:val="22"/>
          <w:szCs w:val="22"/>
        </w:rPr>
        <w:t>SALA DE DECISION No. 6</w:t>
      </w:r>
    </w:p>
    <w:p w14:paraId="0A37501D" w14:textId="77777777" w:rsidR="00736E30" w:rsidRPr="00635B67" w:rsidRDefault="00736E30" w:rsidP="007E2035">
      <w:pPr>
        <w:spacing w:line="360" w:lineRule="auto"/>
        <w:ind w:right="-81"/>
        <w:jc w:val="center"/>
        <w:rPr>
          <w:rFonts w:ascii="Verdana" w:hAnsi="Verdana" w:cs="Arial"/>
          <w:b/>
          <w:sz w:val="22"/>
          <w:szCs w:val="22"/>
        </w:rPr>
      </w:pPr>
    </w:p>
    <w:p w14:paraId="06990909" w14:textId="77777777" w:rsidR="00736E30" w:rsidRPr="00635B67" w:rsidRDefault="00736E30" w:rsidP="007E2035">
      <w:pPr>
        <w:spacing w:line="360" w:lineRule="auto"/>
        <w:ind w:right="-81"/>
        <w:jc w:val="center"/>
        <w:rPr>
          <w:rFonts w:ascii="Verdana" w:hAnsi="Verdana" w:cs="Arial"/>
          <w:b/>
          <w:sz w:val="22"/>
          <w:szCs w:val="22"/>
        </w:rPr>
      </w:pPr>
      <w:r w:rsidRPr="00635B67">
        <w:rPr>
          <w:rFonts w:ascii="Verdana" w:hAnsi="Verdana" w:cs="Arial"/>
          <w:b/>
          <w:sz w:val="22"/>
          <w:szCs w:val="22"/>
        </w:rPr>
        <w:t>MAGISTRADO PONENTE: FELIX ALBERTO RODRIGUEZ RIVEROS</w:t>
      </w:r>
    </w:p>
    <w:p w14:paraId="5DAB6C7B" w14:textId="77777777" w:rsidR="00736E30" w:rsidRPr="00635B67" w:rsidRDefault="00736E30" w:rsidP="007E2035">
      <w:pPr>
        <w:spacing w:line="360" w:lineRule="auto"/>
        <w:ind w:right="-81"/>
        <w:jc w:val="both"/>
        <w:rPr>
          <w:rFonts w:ascii="Verdana" w:hAnsi="Verdana" w:cs="Arial"/>
          <w:sz w:val="22"/>
          <w:szCs w:val="22"/>
        </w:rPr>
      </w:pPr>
    </w:p>
    <w:p w14:paraId="66D150A4" w14:textId="13E4B166" w:rsidR="00736E30" w:rsidRPr="00635B67" w:rsidRDefault="00736E30" w:rsidP="007E2035">
      <w:pPr>
        <w:spacing w:line="360" w:lineRule="auto"/>
        <w:ind w:right="-81"/>
        <w:jc w:val="both"/>
        <w:rPr>
          <w:rFonts w:ascii="Verdana" w:hAnsi="Verdana" w:cs="Arial"/>
          <w:b/>
          <w:sz w:val="22"/>
          <w:szCs w:val="22"/>
        </w:rPr>
      </w:pPr>
      <w:r w:rsidRPr="00635B67">
        <w:rPr>
          <w:rFonts w:ascii="Verdana" w:hAnsi="Verdana" w:cs="Arial"/>
          <w:b/>
          <w:sz w:val="22"/>
          <w:szCs w:val="22"/>
        </w:rPr>
        <w:t xml:space="preserve">Tunja, </w:t>
      </w:r>
      <w:r w:rsidR="00E20E31" w:rsidRPr="00635B67">
        <w:rPr>
          <w:rFonts w:ascii="Verdana" w:hAnsi="Verdana" w:cs="Arial"/>
          <w:b/>
          <w:sz w:val="22"/>
          <w:szCs w:val="22"/>
        </w:rPr>
        <w:t xml:space="preserve">27 de enero de 2022 </w:t>
      </w:r>
    </w:p>
    <w:p w14:paraId="02EB378F" w14:textId="77777777" w:rsidR="00736E30" w:rsidRPr="00635B67" w:rsidRDefault="00736E30" w:rsidP="007E2035">
      <w:pPr>
        <w:tabs>
          <w:tab w:val="left" w:pos="5445"/>
        </w:tabs>
        <w:spacing w:line="360" w:lineRule="auto"/>
        <w:ind w:right="-81"/>
        <w:jc w:val="both"/>
        <w:rPr>
          <w:rFonts w:ascii="Verdana" w:hAnsi="Verdana" w:cs="Arial"/>
          <w:b/>
          <w:sz w:val="22"/>
          <w:szCs w:val="22"/>
        </w:rPr>
      </w:pPr>
      <w:r w:rsidRPr="00635B67">
        <w:rPr>
          <w:rFonts w:ascii="Verdana" w:hAnsi="Verdana" w:cs="Arial"/>
          <w:b/>
          <w:sz w:val="22"/>
          <w:szCs w:val="22"/>
        </w:rPr>
        <w:tab/>
      </w:r>
      <w:r w:rsidRPr="00635B67">
        <w:rPr>
          <w:rFonts w:ascii="Verdana" w:hAnsi="Verdana" w:cs="Arial"/>
          <w:b/>
          <w:sz w:val="22"/>
          <w:szCs w:val="22"/>
        </w:rPr>
        <w:tab/>
      </w:r>
    </w:p>
    <w:p w14:paraId="78FFF783" w14:textId="77777777" w:rsidR="00736E30" w:rsidRPr="00635B67" w:rsidRDefault="00736E30" w:rsidP="007E2035">
      <w:pPr>
        <w:spacing w:line="360" w:lineRule="auto"/>
        <w:ind w:left="4245" w:right="-81" w:hanging="3540"/>
        <w:jc w:val="both"/>
        <w:rPr>
          <w:rFonts w:ascii="Verdana" w:hAnsi="Verdana" w:cs="Arial"/>
          <w:b/>
          <w:sz w:val="22"/>
          <w:szCs w:val="22"/>
        </w:rPr>
      </w:pPr>
      <w:r w:rsidRPr="00635B67">
        <w:rPr>
          <w:rFonts w:ascii="Verdana" w:hAnsi="Verdana" w:cs="Arial"/>
          <w:b/>
          <w:sz w:val="22"/>
          <w:szCs w:val="22"/>
        </w:rPr>
        <w:t>MEDIO DE CONTROL: REPARACION DIRECTA</w:t>
      </w:r>
      <w:r w:rsidRPr="00635B67">
        <w:rPr>
          <w:rFonts w:ascii="Verdana" w:hAnsi="Verdana" w:cs="Arial"/>
          <w:b/>
          <w:sz w:val="22"/>
          <w:szCs w:val="22"/>
        </w:rPr>
        <w:tab/>
      </w:r>
      <w:r w:rsidRPr="00635B67">
        <w:rPr>
          <w:rFonts w:ascii="Verdana" w:hAnsi="Verdana" w:cs="Arial"/>
          <w:b/>
          <w:sz w:val="22"/>
          <w:szCs w:val="22"/>
        </w:rPr>
        <w:tab/>
      </w:r>
    </w:p>
    <w:p w14:paraId="04CE35FC" w14:textId="4447607F" w:rsidR="00736E30" w:rsidRPr="00635B67" w:rsidRDefault="00736E30" w:rsidP="007E2035">
      <w:pPr>
        <w:spacing w:line="360" w:lineRule="auto"/>
        <w:ind w:left="4245" w:right="-81" w:hanging="3510"/>
        <w:jc w:val="both"/>
        <w:rPr>
          <w:rFonts w:ascii="Verdana" w:hAnsi="Verdana" w:cs="Arial"/>
          <w:b/>
          <w:sz w:val="22"/>
          <w:szCs w:val="22"/>
        </w:rPr>
      </w:pPr>
      <w:r w:rsidRPr="00635B67">
        <w:rPr>
          <w:rFonts w:ascii="Verdana" w:hAnsi="Verdana" w:cs="Arial"/>
          <w:b/>
          <w:sz w:val="22"/>
          <w:szCs w:val="22"/>
        </w:rPr>
        <w:t xml:space="preserve">DEMANDANTE: </w:t>
      </w:r>
      <w:r w:rsidR="00E20E31" w:rsidRPr="00635B67">
        <w:rPr>
          <w:rFonts w:ascii="Verdana" w:hAnsi="Verdana" w:cs="Arial"/>
          <w:b/>
          <w:sz w:val="22"/>
          <w:szCs w:val="22"/>
        </w:rPr>
        <w:t xml:space="preserve">RODOLFO CONCISIÓN GARCÍA </w:t>
      </w:r>
    </w:p>
    <w:p w14:paraId="351331F3" w14:textId="2621E460" w:rsidR="00736E30" w:rsidRPr="00635B67" w:rsidRDefault="00736E30" w:rsidP="007E2035">
      <w:pPr>
        <w:pStyle w:val="Sangra3detindependiente"/>
        <w:spacing w:line="360" w:lineRule="auto"/>
        <w:ind w:left="708" w:right="-81"/>
        <w:rPr>
          <w:rFonts w:ascii="Verdana" w:hAnsi="Verdana" w:cs="Arial"/>
          <w:sz w:val="22"/>
          <w:szCs w:val="22"/>
        </w:rPr>
      </w:pPr>
      <w:r w:rsidRPr="00635B67">
        <w:rPr>
          <w:rFonts w:ascii="Verdana" w:hAnsi="Verdana" w:cs="Arial"/>
          <w:sz w:val="22"/>
          <w:szCs w:val="22"/>
        </w:rPr>
        <w:t xml:space="preserve">DEMANDADO: </w:t>
      </w:r>
      <w:r w:rsidR="00E20E31" w:rsidRPr="00635B67">
        <w:rPr>
          <w:rFonts w:ascii="Verdana" w:hAnsi="Verdana" w:cs="Arial"/>
          <w:sz w:val="22"/>
          <w:szCs w:val="22"/>
        </w:rPr>
        <w:t xml:space="preserve">SUPERINTENDENCIA DE NOTARIADO Y REGISTRO Y OTROS </w:t>
      </w:r>
    </w:p>
    <w:p w14:paraId="1527766F" w14:textId="278E0757" w:rsidR="00736E30" w:rsidRPr="00635B67" w:rsidRDefault="00736E30" w:rsidP="007E2035">
      <w:pPr>
        <w:spacing w:line="360" w:lineRule="auto"/>
        <w:ind w:right="-81"/>
        <w:jc w:val="both"/>
        <w:rPr>
          <w:rFonts w:ascii="Verdana" w:hAnsi="Verdana" w:cs="Arial"/>
          <w:b/>
          <w:sz w:val="22"/>
          <w:szCs w:val="22"/>
        </w:rPr>
      </w:pPr>
      <w:r w:rsidRPr="00635B67">
        <w:rPr>
          <w:rFonts w:ascii="Verdana" w:hAnsi="Verdana" w:cs="Arial"/>
          <w:b/>
          <w:sz w:val="22"/>
          <w:szCs w:val="22"/>
        </w:rPr>
        <w:tab/>
        <w:t xml:space="preserve">RADICADO: </w:t>
      </w:r>
      <w:r w:rsidR="00E20E31" w:rsidRPr="00635B67">
        <w:rPr>
          <w:rFonts w:ascii="Verdana" w:hAnsi="Verdana" w:cs="Arial"/>
          <w:b/>
          <w:sz w:val="22"/>
          <w:szCs w:val="22"/>
        </w:rPr>
        <w:t xml:space="preserve">152383339752 201500132 02 </w:t>
      </w:r>
      <w:r w:rsidR="00081392" w:rsidRPr="00635B67">
        <w:rPr>
          <w:rFonts w:ascii="Verdana" w:hAnsi="Verdana" w:cs="Arial"/>
          <w:b/>
          <w:sz w:val="22"/>
          <w:szCs w:val="22"/>
        </w:rPr>
        <w:t xml:space="preserve"> </w:t>
      </w:r>
      <w:r w:rsidR="00077EF3" w:rsidRPr="00635B67">
        <w:rPr>
          <w:rFonts w:ascii="Verdana" w:hAnsi="Verdana" w:cs="Arial"/>
          <w:b/>
          <w:sz w:val="22"/>
          <w:szCs w:val="22"/>
        </w:rPr>
        <w:t xml:space="preserve"> </w:t>
      </w:r>
    </w:p>
    <w:p w14:paraId="6A05A809" w14:textId="77777777" w:rsidR="00077EF3" w:rsidRPr="00635B67" w:rsidRDefault="00077EF3" w:rsidP="007E2035">
      <w:pPr>
        <w:spacing w:line="360" w:lineRule="auto"/>
        <w:ind w:right="-81"/>
        <w:jc w:val="both"/>
        <w:rPr>
          <w:rFonts w:ascii="Verdana" w:hAnsi="Verdana" w:cs="Arial"/>
          <w:b/>
          <w:sz w:val="22"/>
          <w:szCs w:val="22"/>
        </w:rPr>
      </w:pPr>
    </w:p>
    <w:p w14:paraId="58FE116D" w14:textId="77777777" w:rsidR="00736E30" w:rsidRPr="00635B67" w:rsidRDefault="00736E30" w:rsidP="007E2035">
      <w:pPr>
        <w:numPr>
          <w:ilvl w:val="0"/>
          <w:numId w:val="1"/>
        </w:numPr>
        <w:spacing w:line="360" w:lineRule="auto"/>
        <w:ind w:right="-81"/>
        <w:jc w:val="center"/>
        <w:rPr>
          <w:rFonts w:ascii="Verdana" w:hAnsi="Verdana" w:cs="Arial"/>
          <w:b/>
          <w:sz w:val="22"/>
          <w:szCs w:val="22"/>
        </w:rPr>
      </w:pPr>
      <w:r w:rsidRPr="00635B67">
        <w:rPr>
          <w:rFonts w:ascii="Verdana" w:hAnsi="Verdana" w:cs="Arial"/>
          <w:b/>
          <w:sz w:val="22"/>
          <w:szCs w:val="22"/>
        </w:rPr>
        <w:t>ASUNTO A RESOLVER:</w:t>
      </w:r>
    </w:p>
    <w:p w14:paraId="5A39BBE3" w14:textId="77777777" w:rsidR="00736E30" w:rsidRPr="00635B67" w:rsidRDefault="00736E30" w:rsidP="007E2035">
      <w:pPr>
        <w:autoSpaceDE w:val="0"/>
        <w:autoSpaceDN w:val="0"/>
        <w:adjustRightInd w:val="0"/>
        <w:spacing w:line="360" w:lineRule="auto"/>
        <w:ind w:right="-81"/>
        <w:jc w:val="both"/>
        <w:rPr>
          <w:rFonts w:ascii="Verdana" w:hAnsi="Verdana" w:cs="Arial"/>
          <w:b/>
          <w:sz w:val="22"/>
          <w:szCs w:val="22"/>
        </w:rPr>
      </w:pPr>
    </w:p>
    <w:p w14:paraId="09B59B5B" w14:textId="5F86F2B7" w:rsidR="00736E30" w:rsidRPr="00635B67" w:rsidRDefault="00736E30" w:rsidP="007E2035">
      <w:pPr>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Procede la Sala a resolver</w:t>
      </w:r>
      <w:r w:rsidR="00020139" w:rsidRPr="00635B67">
        <w:rPr>
          <w:rFonts w:ascii="Verdana" w:hAnsi="Verdana" w:cs="Arial"/>
          <w:sz w:val="22"/>
          <w:szCs w:val="22"/>
        </w:rPr>
        <w:t xml:space="preserve"> el recurso de apelación </w:t>
      </w:r>
      <w:r w:rsidRPr="00635B67">
        <w:rPr>
          <w:rFonts w:ascii="Verdana" w:hAnsi="Verdana" w:cs="Arial"/>
          <w:sz w:val="22"/>
          <w:szCs w:val="22"/>
        </w:rPr>
        <w:t>interpuesto por la</w:t>
      </w:r>
      <w:r w:rsidR="00F518AA" w:rsidRPr="00635B67">
        <w:rPr>
          <w:rFonts w:ascii="Verdana" w:hAnsi="Verdana" w:cs="Arial"/>
          <w:sz w:val="22"/>
          <w:szCs w:val="22"/>
        </w:rPr>
        <w:t xml:space="preserve"> </w:t>
      </w:r>
      <w:r w:rsidRPr="00635B67">
        <w:rPr>
          <w:rFonts w:ascii="Verdana" w:hAnsi="Verdana" w:cs="Arial"/>
          <w:sz w:val="22"/>
          <w:szCs w:val="22"/>
        </w:rPr>
        <w:t>parte</w:t>
      </w:r>
      <w:r w:rsidR="005D7E9A" w:rsidRPr="00635B67">
        <w:rPr>
          <w:rFonts w:ascii="Verdana" w:hAnsi="Verdana" w:cs="Arial"/>
          <w:sz w:val="22"/>
          <w:szCs w:val="22"/>
        </w:rPr>
        <w:t xml:space="preserve"> actora</w:t>
      </w:r>
      <w:r w:rsidRPr="00635B67">
        <w:rPr>
          <w:rFonts w:ascii="Verdana" w:hAnsi="Verdana" w:cs="Arial"/>
          <w:sz w:val="22"/>
          <w:szCs w:val="22"/>
        </w:rPr>
        <w:t xml:space="preserve"> contra </w:t>
      </w:r>
      <w:r w:rsidR="00F518AA" w:rsidRPr="00635B67">
        <w:rPr>
          <w:rFonts w:ascii="Verdana" w:hAnsi="Verdana" w:cs="Arial"/>
          <w:sz w:val="22"/>
          <w:szCs w:val="22"/>
        </w:rPr>
        <w:t>la sentencia</w:t>
      </w:r>
      <w:r w:rsidR="00081392" w:rsidRPr="00635B67">
        <w:rPr>
          <w:rFonts w:ascii="Verdana" w:hAnsi="Verdana" w:cs="Arial"/>
          <w:sz w:val="22"/>
          <w:szCs w:val="22"/>
        </w:rPr>
        <w:t xml:space="preserve"> proferida el </w:t>
      </w:r>
      <w:r w:rsidR="003B58F8" w:rsidRPr="00635B67">
        <w:rPr>
          <w:rFonts w:ascii="Verdana" w:hAnsi="Verdana" w:cs="Arial"/>
          <w:sz w:val="22"/>
          <w:szCs w:val="22"/>
        </w:rPr>
        <w:t xml:space="preserve">31 de octubre de 2019 </w:t>
      </w:r>
      <w:r w:rsidR="007056E2" w:rsidRPr="00635B67">
        <w:rPr>
          <w:rFonts w:ascii="Verdana" w:hAnsi="Verdana" w:cs="Arial"/>
          <w:sz w:val="22"/>
          <w:szCs w:val="22"/>
        </w:rPr>
        <w:t xml:space="preserve">por el </w:t>
      </w:r>
      <w:r w:rsidR="00081392" w:rsidRPr="00635B67">
        <w:rPr>
          <w:rFonts w:ascii="Verdana" w:hAnsi="Verdana" w:cs="Arial"/>
          <w:sz w:val="22"/>
          <w:szCs w:val="22"/>
        </w:rPr>
        <w:t xml:space="preserve">JUZGADO </w:t>
      </w:r>
      <w:r w:rsidR="003B58F8" w:rsidRPr="00635B67">
        <w:rPr>
          <w:rFonts w:ascii="Verdana" w:hAnsi="Verdana" w:cs="Arial"/>
          <w:sz w:val="22"/>
          <w:szCs w:val="22"/>
        </w:rPr>
        <w:t>SEGUND</w:t>
      </w:r>
      <w:r w:rsidR="00081392" w:rsidRPr="00635B67">
        <w:rPr>
          <w:rFonts w:ascii="Verdana" w:hAnsi="Verdana" w:cs="Arial"/>
          <w:sz w:val="22"/>
          <w:szCs w:val="22"/>
        </w:rPr>
        <w:t>O</w:t>
      </w:r>
      <w:r w:rsidR="003B58F8" w:rsidRPr="00635B67">
        <w:rPr>
          <w:rFonts w:ascii="Verdana" w:hAnsi="Verdana" w:cs="Arial"/>
          <w:sz w:val="22"/>
          <w:szCs w:val="22"/>
        </w:rPr>
        <w:t xml:space="preserve"> ADMINISTRATIVO ORAL DEL </w:t>
      </w:r>
      <w:r w:rsidR="00081392" w:rsidRPr="00635B67">
        <w:rPr>
          <w:rFonts w:ascii="Verdana" w:hAnsi="Verdana" w:cs="Arial"/>
          <w:sz w:val="22"/>
          <w:szCs w:val="22"/>
        </w:rPr>
        <w:t>CIRCUITO JUDICIAL DE</w:t>
      </w:r>
      <w:r w:rsidR="003B58F8" w:rsidRPr="00635B67">
        <w:rPr>
          <w:rFonts w:ascii="Verdana" w:hAnsi="Verdana" w:cs="Arial"/>
          <w:sz w:val="22"/>
          <w:szCs w:val="22"/>
        </w:rPr>
        <w:t xml:space="preserve"> SOGAMOSO</w:t>
      </w:r>
      <w:r w:rsidRPr="00635B67">
        <w:rPr>
          <w:rFonts w:ascii="Verdana" w:hAnsi="Verdana" w:cs="Arial"/>
          <w:sz w:val="22"/>
          <w:szCs w:val="22"/>
        </w:rPr>
        <w:t>,</w:t>
      </w:r>
      <w:r w:rsidR="005D7E9A" w:rsidRPr="00635B67">
        <w:rPr>
          <w:rFonts w:ascii="Verdana" w:hAnsi="Verdana" w:cs="Arial"/>
          <w:sz w:val="22"/>
          <w:szCs w:val="22"/>
        </w:rPr>
        <w:t xml:space="preserve"> por medio de la cual se denegaron las pretensiones de la demanda</w:t>
      </w:r>
      <w:r w:rsidR="000D193F" w:rsidRPr="00635B67">
        <w:rPr>
          <w:rFonts w:ascii="Verdana" w:hAnsi="Verdana" w:cs="Arial"/>
          <w:sz w:val="22"/>
          <w:szCs w:val="22"/>
        </w:rPr>
        <w:t xml:space="preserve">. </w:t>
      </w:r>
    </w:p>
    <w:p w14:paraId="41C8F396" w14:textId="77777777" w:rsidR="000D193F" w:rsidRPr="00635B67" w:rsidRDefault="000D193F" w:rsidP="007E2035">
      <w:pPr>
        <w:autoSpaceDE w:val="0"/>
        <w:autoSpaceDN w:val="0"/>
        <w:adjustRightInd w:val="0"/>
        <w:spacing w:line="360" w:lineRule="auto"/>
        <w:ind w:right="-81"/>
        <w:jc w:val="both"/>
        <w:rPr>
          <w:rFonts w:ascii="Verdana" w:hAnsi="Verdana" w:cs="Arial"/>
          <w:b/>
          <w:sz w:val="22"/>
          <w:szCs w:val="22"/>
        </w:rPr>
      </w:pPr>
    </w:p>
    <w:p w14:paraId="2B133F43" w14:textId="77777777" w:rsidR="00736E30" w:rsidRPr="00635B67" w:rsidRDefault="00736E30" w:rsidP="007E2035">
      <w:pPr>
        <w:pStyle w:val="Prrafodelista"/>
        <w:numPr>
          <w:ilvl w:val="0"/>
          <w:numId w:val="1"/>
        </w:numPr>
        <w:spacing w:line="360" w:lineRule="auto"/>
        <w:ind w:right="-81"/>
        <w:jc w:val="center"/>
        <w:rPr>
          <w:rFonts w:ascii="Verdana" w:hAnsi="Verdana" w:cs="Arial"/>
          <w:b/>
          <w:sz w:val="22"/>
          <w:szCs w:val="22"/>
        </w:rPr>
      </w:pPr>
      <w:r w:rsidRPr="00635B67">
        <w:rPr>
          <w:rFonts w:ascii="Verdana" w:hAnsi="Verdana" w:cs="Arial"/>
          <w:b/>
          <w:sz w:val="22"/>
          <w:szCs w:val="22"/>
        </w:rPr>
        <w:t>ANTECEDENTES:</w:t>
      </w:r>
    </w:p>
    <w:p w14:paraId="0DFAE634" w14:textId="77777777" w:rsidR="00736E30" w:rsidRPr="00635B67" w:rsidRDefault="003064CC" w:rsidP="007E2035">
      <w:pPr>
        <w:widowControl w:val="0"/>
        <w:autoSpaceDE w:val="0"/>
        <w:autoSpaceDN w:val="0"/>
        <w:adjustRightInd w:val="0"/>
        <w:spacing w:line="360" w:lineRule="auto"/>
        <w:ind w:right="-81"/>
        <w:jc w:val="both"/>
        <w:rPr>
          <w:rFonts w:ascii="Verdana" w:hAnsi="Verdana" w:cs="Arial"/>
          <w:b/>
          <w:sz w:val="22"/>
          <w:szCs w:val="22"/>
          <w:u w:val="single"/>
        </w:rPr>
      </w:pPr>
      <w:r w:rsidRPr="00635B67">
        <w:rPr>
          <w:rFonts w:ascii="Verdana" w:hAnsi="Verdana" w:cs="Arial"/>
          <w:b/>
          <w:sz w:val="22"/>
          <w:szCs w:val="22"/>
          <w:u w:val="single"/>
        </w:rPr>
        <w:t xml:space="preserve">  </w:t>
      </w:r>
    </w:p>
    <w:p w14:paraId="53013103" w14:textId="57845C69" w:rsidR="00350611" w:rsidRPr="00635B67" w:rsidRDefault="00736E30" w:rsidP="007E2035">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b/>
          <w:i/>
          <w:sz w:val="22"/>
          <w:szCs w:val="22"/>
          <w:u w:val="single"/>
        </w:rPr>
        <w:t>2.1. LA DEMANDA</w:t>
      </w:r>
      <w:r w:rsidRPr="00635B67">
        <w:rPr>
          <w:rFonts w:ascii="Verdana" w:hAnsi="Verdana" w:cs="Arial"/>
          <w:b/>
          <w:sz w:val="22"/>
          <w:szCs w:val="22"/>
        </w:rPr>
        <w:t>:</w:t>
      </w:r>
      <w:r w:rsidRPr="00635B67">
        <w:rPr>
          <w:rFonts w:ascii="Verdana" w:hAnsi="Verdana" w:cs="Arial"/>
          <w:sz w:val="22"/>
          <w:szCs w:val="22"/>
        </w:rPr>
        <w:t xml:space="preserve"> Por conducto de apoderad</w:t>
      </w:r>
      <w:r w:rsidR="00350611" w:rsidRPr="00635B67">
        <w:rPr>
          <w:rFonts w:ascii="Verdana" w:hAnsi="Verdana" w:cs="Arial"/>
          <w:sz w:val="22"/>
          <w:szCs w:val="22"/>
        </w:rPr>
        <w:t>a</w:t>
      </w:r>
      <w:r w:rsidRPr="00635B67">
        <w:rPr>
          <w:rFonts w:ascii="Verdana" w:hAnsi="Verdana" w:cs="Arial"/>
          <w:sz w:val="22"/>
          <w:szCs w:val="22"/>
        </w:rPr>
        <w:t xml:space="preserve"> judicial</w:t>
      </w:r>
      <w:r w:rsidR="006C610F" w:rsidRPr="00635B67">
        <w:rPr>
          <w:rFonts w:ascii="Verdana" w:hAnsi="Verdana" w:cs="Arial"/>
          <w:sz w:val="22"/>
          <w:szCs w:val="22"/>
        </w:rPr>
        <w:t xml:space="preserve"> constituido</w:t>
      </w:r>
      <w:r w:rsidRPr="00635B67">
        <w:rPr>
          <w:rFonts w:ascii="Verdana" w:hAnsi="Verdana" w:cs="Arial"/>
          <w:sz w:val="22"/>
          <w:szCs w:val="22"/>
        </w:rPr>
        <w:t xml:space="preserve"> al efecto y en ejercicio del medio de control de reparación directa </w:t>
      </w:r>
      <w:r w:rsidR="00350611" w:rsidRPr="00635B67">
        <w:rPr>
          <w:rFonts w:ascii="Verdana" w:hAnsi="Verdana" w:cs="Arial"/>
          <w:sz w:val="22"/>
          <w:szCs w:val="22"/>
        </w:rPr>
        <w:t xml:space="preserve">RODOLFO CONCISIÓN GARCÍA, quien actúa en nombre propio, presenta </w:t>
      </w:r>
      <w:r w:rsidR="00475F91" w:rsidRPr="00635B67">
        <w:rPr>
          <w:rFonts w:ascii="Verdana" w:hAnsi="Verdana" w:cs="Arial"/>
          <w:sz w:val="22"/>
          <w:szCs w:val="22"/>
        </w:rPr>
        <w:t>demanda en contra de</w:t>
      </w:r>
      <w:r w:rsidR="00350611" w:rsidRPr="00635B67">
        <w:rPr>
          <w:rFonts w:ascii="Verdana" w:hAnsi="Verdana" w:cs="Arial"/>
          <w:sz w:val="22"/>
          <w:szCs w:val="22"/>
        </w:rPr>
        <w:t xml:space="preserve"> </w:t>
      </w:r>
      <w:r w:rsidR="00475F91" w:rsidRPr="00635B67">
        <w:rPr>
          <w:rFonts w:ascii="Verdana" w:hAnsi="Verdana" w:cs="Arial"/>
          <w:sz w:val="22"/>
          <w:szCs w:val="22"/>
        </w:rPr>
        <w:t>l</w:t>
      </w:r>
      <w:r w:rsidR="00350611" w:rsidRPr="00635B67">
        <w:rPr>
          <w:rFonts w:ascii="Verdana" w:hAnsi="Verdana" w:cs="Arial"/>
          <w:sz w:val="22"/>
          <w:szCs w:val="22"/>
        </w:rPr>
        <w:t>a</w:t>
      </w:r>
      <w:r w:rsidR="00081392" w:rsidRPr="00635B67">
        <w:rPr>
          <w:rFonts w:ascii="Verdana" w:hAnsi="Verdana" w:cs="Arial"/>
          <w:sz w:val="22"/>
          <w:szCs w:val="22"/>
        </w:rPr>
        <w:t xml:space="preserve"> </w:t>
      </w:r>
      <w:r w:rsidR="00350611" w:rsidRPr="00635B67">
        <w:rPr>
          <w:rFonts w:ascii="Verdana" w:hAnsi="Verdana" w:cs="Arial"/>
          <w:sz w:val="22"/>
          <w:szCs w:val="22"/>
        </w:rPr>
        <w:t>SUPERINTENDENCIA DE NOTARIADO</w:t>
      </w:r>
      <w:r w:rsidR="00F1333F" w:rsidRPr="00635B67">
        <w:rPr>
          <w:rFonts w:ascii="Verdana" w:hAnsi="Verdana" w:cs="Arial"/>
          <w:sz w:val="22"/>
          <w:szCs w:val="22"/>
        </w:rPr>
        <w:t xml:space="preserve"> Y REGISTRO, de la señora ROSALB</w:t>
      </w:r>
      <w:r w:rsidR="00350611" w:rsidRPr="00635B67">
        <w:rPr>
          <w:rFonts w:ascii="Verdana" w:hAnsi="Verdana" w:cs="Arial"/>
          <w:sz w:val="22"/>
          <w:szCs w:val="22"/>
        </w:rPr>
        <w:t>A ALARCÓN CORREA y de la FISCALÍA GENERAL DE LA NACIÓN</w:t>
      </w:r>
      <w:r w:rsidR="008F30C4" w:rsidRPr="00635B67">
        <w:rPr>
          <w:rFonts w:ascii="Verdana" w:hAnsi="Verdana" w:cs="Arial"/>
          <w:sz w:val="22"/>
          <w:szCs w:val="22"/>
        </w:rPr>
        <w:t>, con el fin de que se le</w:t>
      </w:r>
      <w:r w:rsidR="00350611" w:rsidRPr="00635B67">
        <w:rPr>
          <w:rFonts w:ascii="Verdana" w:hAnsi="Verdana" w:cs="Arial"/>
          <w:sz w:val="22"/>
          <w:szCs w:val="22"/>
        </w:rPr>
        <w:t>s</w:t>
      </w:r>
      <w:r w:rsidR="008F30C4" w:rsidRPr="00635B67">
        <w:rPr>
          <w:rFonts w:ascii="Verdana" w:hAnsi="Verdana" w:cs="Arial"/>
          <w:sz w:val="22"/>
          <w:szCs w:val="22"/>
        </w:rPr>
        <w:t xml:space="preserve"> declare responsable</w:t>
      </w:r>
      <w:r w:rsidR="00350611" w:rsidRPr="00635B67">
        <w:rPr>
          <w:rFonts w:ascii="Verdana" w:hAnsi="Verdana" w:cs="Arial"/>
          <w:sz w:val="22"/>
          <w:szCs w:val="22"/>
        </w:rPr>
        <w:t>s</w:t>
      </w:r>
      <w:r w:rsidR="008F30C4" w:rsidRPr="00635B67">
        <w:rPr>
          <w:rFonts w:ascii="Verdana" w:hAnsi="Verdana" w:cs="Arial"/>
          <w:sz w:val="22"/>
          <w:szCs w:val="22"/>
        </w:rPr>
        <w:t xml:space="preserve"> </w:t>
      </w:r>
      <w:r w:rsidR="00081392" w:rsidRPr="00635B67">
        <w:rPr>
          <w:rFonts w:ascii="Verdana" w:hAnsi="Verdana" w:cs="Arial"/>
          <w:sz w:val="22"/>
          <w:szCs w:val="22"/>
        </w:rPr>
        <w:t>administrativa y patrimonialmente por l</w:t>
      </w:r>
      <w:r w:rsidR="008F30C4" w:rsidRPr="00635B67">
        <w:rPr>
          <w:rFonts w:ascii="Verdana" w:hAnsi="Verdana" w:cs="Arial"/>
          <w:sz w:val="22"/>
          <w:szCs w:val="22"/>
        </w:rPr>
        <w:t>os</w:t>
      </w:r>
      <w:r w:rsidR="00350611" w:rsidRPr="00635B67">
        <w:rPr>
          <w:rFonts w:ascii="Verdana" w:hAnsi="Verdana" w:cs="Arial"/>
          <w:sz w:val="22"/>
          <w:szCs w:val="22"/>
        </w:rPr>
        <w:t xml:space="preserve"> daños y</w:t>
      </w:r>
      <w:r w:rsidR="008F30C4" w:rsidRPr="00635B67">
        <w:rPr>
          <w:rFonts w:ascii="Verdana" w:hAnsi="Verdana" w:cs="Arial"/>
          <w:sz w:val="22"/>
          <w:szCs w:val="22"/>
        </w:rPr>
        <w:t xml:space="preserve"> perjuicios </w:t>
      </w:r>
      <w:r w:rsidR="0054683C" w:rsidRPr="00635B67">
        <w:rPr>
          <w:rFonts w:ascii="Verdana" w:hAnsi="Verdana" w:cs="Arial"/>
          <w:sz w:val="22"/>
          <w:szCs w:val="22"/>
        </w:rPr>
        <w:t>causados</w:t>
      </w:r>
      <w:r w:rsidR="00081392" w:rsidRPr="00635B67">
        <w:rPr>
          <w:rFonts w:ascii="Verdana" w:hAnsi="Verdana" w:cs="Arial"/>
          <w:sz w:val="22"/>
          <w:szCs w:val="22"/>
        </w:rPr>
        <w:t xml:space="preserve"> </w:t>
      </w:r>
      <w:r w:rsidR="00350611" w:rsidRPr="00635B67">
        <w:rPr>
          <w:rFonts w:ascii="Verdana" w:hAnsi="Verdana" w:cs="Arial"/>
          <w:sz w:val="22"/>
          <w:szCs w:val="22"/>
        </w:rPr>
        <w:t xml:space="preserve">al demandante, </w:t>
      </w:r>
      <w:r w:rsidR="00081392" w:rsidRPr="00635B67">
        <w:rPr>
          <w:rFonts w:ascii="Verdana" w:hAnsi="Verdana" w:cs="Arial"/>
          <w:sz w:val="22"/>
          <w:szCs w:val="22"/>
        </w:rPr>
        <w:t>con ocasión de</w:t>
      </w:r>
      <w:r w:rsidR="00350611" w:rsidRPr="00635B67">
        <w:rPr>
          <w:rFonts w:ascii="Verdana" w:hAnsi="Verdana" w:cs="Arial"/>
          <w:sz w:val="22"/>
          <w:szCs w:val="22"/>
        </w:rPr>
        <w:t xml:space="preserve"> su actuar negligente, que dio lugar a la declaratoria de nulidad de la escritura pública de hipoteca No. 0134 del 5 de febrero de 2010 constituida en la Notaría Primera del Círculo de Sogamoso.   </w:t>
      </w:r>
    </w:p>
    <w:p w14:paraId="06523B27" w14:textId="77777777" w:rsidR="00350611" w:rsidRPr="00635B67" w:rsidRDefault="00350611" w:rsidP="007E2035">
      <w:pPr>
        <w:widowControl w:val="0"/>
        <w:autoSpaceDE w:val="0"/>
        <w:autoSpaceDN w:val="0"/>
        <w:adjustRightInd w:val="0"/>
        <w:spacing w:line="360" w:lineRule="auto"/>
        <w:ind w:right="-81"/>
        <w:jc w:val="both"/>
        <w:rPr>
          <w:rFonts w:ascii="Verdana" w:hAnsi="Verdana" w:cs="Arial"/>
          <w:sz w:val="22"/>
          <w:szCs w:val="22"/>
        </w:rPr>
      </w:pPr>
    </w:p>
    <w:p w14:paraId="1C40E679" w14:textId="7B3663FA" w:rsidR="006240A3" w:rsidRPr="00635B67" w:rsidRDefault="00FC7E57" w:rsidP="007E2035">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 xml:space="preserve">Como consecuencia de la </w:t>
      </w:r>
      <w:r w:rsidR="00AB2E11" w:rsidRPr="00635B67">
        <w:rPr>
          <w:rFonts w:ascii="Verdana" w:hAnsi="Verdana" w:cs="Arial"/>
          <w:sz w:val="22"/>
          <w:szCs w:val="22"/>
        </w:rPr>
        <w:t>anterior declaración</w:t>
      </w:r>
      <w:r w:rsidRPr="00635B67">
        <w:rPr>
          <w:rFonts w:ascii="Verdana" w:hAnsi="Verdana" w:cs="Arial"/>
          <w:sz w:val="22"/>
          <w:szCs w:val="22"/>
        </w:rPr>
        <w:t xml:space="preserve">, solicitó </w:t>
      </w:r>
      <w:r w:rsidR="00731769" w:rsidRPr="00635B67">
        <w:rPr>
          <w:rFonts w:ascii="Verdana" w:hAnsi="Verdana" w:cs="Arial"/>
          <w:sz w:val="22"/>
          <w:szCs w:val="22"/>
        </w:rPr>
        <w:t>la condena a la</w:t>
      </w:r>
      <w:r w:rsidR="00350611" w:rsidRPr="00635B67">
        <w:rPr>
          <w:rFonts w:ascii="Verdana" w:hAnsi="Verdana" w:cs="Arial"/>
          <w:sz w:val="22"/>
          <w:szCs w:val="22"/>
        </w:rPr>
        <w:t>s</w:t>
      </w:r>
      <w:r w:rsidR="00731769" w:rsidRPr="00635B67">
        <w:rPr>
          <w:rFonts w:ascii="Verdana" w:hAnsi="Verdana" w:cs="Arial"/>
          <w:sz w:val="22"/>
          <w:szCs w:val="22"/>
        </w:rPr>
        <w:t xml:space="preserve"> demandad</w:t>
      </w:r>
      <w:r w:rsidR="00081392" w:rsidRPr="00635B67">
        <w:rPr>
          <w:rFonts w:ascii="Verdana" w:hAnsi="Verdana" w:cs="Arial"/>
          <w:sz w:val="22"/>
          <w:szCs w:val="22"/>
        </w:rPr>
        <w:t>a</w:t>
      </w:r>
      <w:r w:rsidR="00350611" w:rsidRPr="00635B67">
        <w:rPr>
          <w:rFonts w:ascii="Verdana" w:hAnsi="Verdana" w:cs="Arial"/>
          <w:sz w:val="22"/>
          <w:szCs w:val="22"/>
        </w:rPr>
        <w:t>s</w:t>
      </w:r>
      <w:r w:rsidR="00081392" w:rsidRPr="00635B67">
        <w:rPr>
          <w:rFonts w:ascii="Verdana" w:hAnsi="Verdana" w:cs="Arial"/>
          <w:sz w:val="22"/>
          <w:szCs w:val="22"/>
        </w:rPr>
        <w:t xml:space="preserve"> por los perjuicios materiales a t</w:t>
      </w:r>
      <w:r w:rsidR="006240A3" w:rsidRPr="00635B67">
        <w:rPr>
          <w:rFonts w:ascii="Verdana" w:hAnsi="Verdana" w:cs="Arial"/>
          <w:sz w:val="22"/>
          <w:szCs w:val="22"/>
        </w:rPr>
        <w:t xml:space="preserve">ítulo de </w:t>
      </w:r>
      <w:r w:rsidR="00350611" w:rsidRPr="00635B67">
        <w:rPr>
          <w:rFonts w:ascii="Verdana" w:hAnsi="Verdana" w:cs="Arial"/>
          <w:sz w:val="22"/>
          <w:szCs w:val="22"/>
        </w:rPr>
        <w:t xml:space="preserve">daño emergente y </w:t>
      </w:r>
      <w:r w:rsidR="006240A3" w:rsidRPr="00635B67">
        <w:rPr>
          <w:rFonts w:ascii="Verdana" w:hAnsi="Verdana" w:cs="Arial"/>
          <w:sz w:val="22"/>
          <w:szCs w:val="22"/>
        </w:rPr>
        <w:t>lucro cesante</w:t>
      </w:r>
      <w:r w:rsidR="6AF1719B" w:rsidRPr="00635B67">
        <w:rPr>
          <w:rFonts w:ascii="Verdana" w:hAnsi="Verdana" w:cs="Arial"/>
          <w:sz w:val="22"/>
          <w:szCs w:val="22"/>
        </w:rPr>
        <w:t xml:space="preserve"> y por los perjuicios</w:t>
      </w:r>
      <w:r w:rsidR="006C610F" w:rsidRPr="00635B67">
        <w:rPr>
          <w:rFonts w:ascii="Verdana" w:hAnsi="Verdana" w:cs="Arial"/>
          <w:sz w:val="22"/>
          <w:szCs w:val="22"/>
        </w:rPr>
        <w:t xml:space="preserve"> inmateriales</w:t>
      </w:r>
      <w:r w:rsidR="006240A3" w:rsidRPr="00635B67">
        <w:rPr>
          <w:rFonts w:ascii="Verdana" w:hAnsi="Verdana" w:cs="Arial"/>
          <w:sz w:val="22"/>
          <w:szCs w:val="22"/>
        </w:rPr>
        <w:t>, por daño moral</w:t>
      </w:r>
      <w:r w:rsidR="384655CB" w:rsidRPr="00635B67">
        <w:rPr>
          <w:rFonts w:ascii="Verdana" w:hAnsi="Verdana" w:cs="Arial"/>
          <w:sz w:val="22"/>
          <w:szCs w:val="22"/>
        </w:rPr>
        <w:t>, solicitando, además,</w:t>
      </w:r>
      <w:r w:rsidR="000A6E01" w:rsidRPr="00635B67">
        <w:rPr>
          <w:rFonts w:ascii="Verdana" w:hAnsi="Verdana" w:cs="Arial"/>
          <w:sz w:val="22"/>
          <w:szCs w:val="22"/>
        </w:rPr>
        <w:t xml:space="preserve"> la indexación de las sumas reconocidas por dichos conceptos.  </w:t>
      </w:r>
    </w:p>
    <w:p w14:paraId="7D605AD7" w14:textId="2336A783" w:rsidR="000A6E01" w:rsidRPr="00635B67" w:rsidRDefault="000A6E01" w:rsidP="007E2035">
      <w:pPr>
        <w:widowControl w:val="0"/>
        <w:autoSpaceDE w:val="0"/>
        <w:autoSpaceDN w:val="0"/>
        <w:adjustRightInd w:val="0"/>
        <w:spacing w:line="360" w:lineRule="auto"/>
        <w:ind w:right="-81"/>
        <w:jc w:val="both"/>
        <w:rPr>
          <w:rFonts w:ascii="Verdana" w:hAnsi="Verdana" w:cs="Arial"/>
          <w:sz w:val="22"/>
          <w:szCs w:val="22"/>
        </w:rPr>
      </w:pPr>
    </w:p>
    <w:p w14:paraId="5FB8D80B" w14:textId="56A175D6" w:rsidR="00A3345A" w:rsidRPr="00635B67" w:rsidRDefault="00736E30" w:rsidP="000A6E01">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lastRenderedPageBreak/>
        <w:t>En síntesis, los presupuestos fácticos que sustentan la demanda</w:t>
      </w:r>
      <w:r w:rsidR="00157409" w:rsidRPr="00635B67">
        <w:rPr>
          <w:rFonts w:ascii="Verdana" w:hAnsi="Verdana" w:cs="Arial"/>
          <w:sz w:val="22"/>
          <w:szCs w:val="22"/>
        </w:rPr>
        <w:t xml:space="preserve"> indican </w:t>
      </w:r>
      <w:r w:rsidR="007A564E" w:rsidRPr="00635B67">
        <w:rPr>
          <w:rFonts w:ascii="Verdana" w:hAnsi="Verdana" w:cs="Arial"/>
          <w:sz w:val="22"/>
          <w:szCs w:val="22"/>
        </w:rPr>
        <w:t>que</w:t>
      </w:r>
      <w:r w:rsidR="00790196" w:rsidRPr="00635B67">
        <w:rPr>
          <w:rFonts w:ascii="Verdana" w:hAnsi="Verdana" w:cs="Arial"/>
          <w:sz w:val="22"/>
          <w:szCs w:val="22"/>
        </w:rPr>
        <w:t xml:space="preserve"> </w:t>
      </w:r>
      <w:r w:rsidR="000A6E01" w:rsidRPr="00635B67">
        <w:rPr>
          <w:rFonts w:ascii="Verdana" w:hAnsi="Verdana" w:cs="Arial"/>
          <w:sz w:val="22"/>
          <w:szCs w:val="22"/>
        </w:rPr>
        <w:t>el 5 de febrero</w:t>
      </w:r>
      <w:r w:rsidR="00F1333F" w:rsidRPr="00635B67">
        <w:rPr>
          <w:rFonts w:ascii="Verdana" w:hAnsi="Verdana" w:cs="Arial"/>
          <w:sz w:val="22"/>
          <w:szCs w:val="22"/>
        </w:rPr>
        <w:t xml:space="preserve"> de 2010</w:t>
      </w:r>
      <w:r w:rsidR="0C6CA2FC" w:rsidRPr="00635B67">
        <w:rPr>
          <w:rFonts w:ascii="Verdana" w:hAnsi="Verdana" w:cs="Arial"/>
          <w:sz w:val="22"/>
          <w:szCs w:val="22"/>
        </w:rPr>
        <w:t>,</w:t>
      </w:r>
      <w:r w:rsidR="00F1333F" w:rsidRPr="00635B67">
        <w:rPr>
          <w:rFonts w:ascii="Verdana" w:hAnsi="Verdana" w:cs="Arial"/>
          <w:sz w:val="22"/>
          <w:szCs w:val="22"/>
        </w:rPr>
        <w:t xml:space="preserve"> ante la Notaría Primera</w:t>
      </w:r>
      <w:r w:rsidR="000A6E01" w:rsidRPr="00635B67">
        <w:rPr>
          <w:rFonts w:ascii="Verdana" w:hAnsi="Verdana" w:cs="Arial"/>
          <w:sz w:val="22"/>
          <w:szCs w:val="22"/>
        </w:rPr>
        <w:t xml:space="preserve"> del </w:t>
      </w:r>
      <w:r w:rsidR="3D1B39DA" w:rsidRPr="00635B67">
        <w:rPr>
          <w:rFonts w:ascii="Verdana" w:hAnsi="Verdana" w:cs="Arial"/>
          <w:sz w:val="22"/>
          <w:szCs w:val="22"/>
        </w:rPr>
        <w:t>Círculo</w:t>
      </w:r>
      <w:r w:rsidR="000A6E01" w:rsidRPr="00635B67">
        <w:rPr>
          <w:rFonts w:ascii="Verdana" w:hAnsi="Verdana" w:cs="Arial"/>
          <w:sz w:val="22"/>
          <w:szCs w:val="22"/>
        </w:rPr>
        <w:t xml:space="preserve"> de Sogamoso comparecieron los señores ROSALBA ALARCÓN CORREA y RODOLFO CONCISIÓN GARCÍA, y suscribieron la escritura pública de hipoteca No. 0134, mediante la cual la señora ROSALBA ALARCÓN CORREA se constituyó en deudora del señor RODOLFO CONCISIÓN GARCÍA, por la suma de $30.000.000. La hipoteca se constituyó a favor del acreedor sobre el inmueble </w:t>
      </w:r>
      <w:r w:rsidR="00A3345A" w:rsidRPr="00635B67">
        <w:rPr>
          <w:rFonts w:ascii="Verdana" w:hAnsi="Verdana" w:cs="Arial"/>
          <w:sz w:val="22"/>
          <w:szCs w:val="22"/>
        </w:rPr>
        <w:t>distinguido con cédula catastral No. 0101-0345-0175-000, correspondiente al lote de terreno No. 25 de la Urbanización Versalles ubicado en la Calle 2B Sur No. 17-20 de Sogamoso, cuya extensión es de 76.89 mts</w:t>
      </w:r>
      <w:r w:rsidR="00A3345A" w:rsidRPr="00635B67">
        <w:rPr>
          <w:rFonts w:ascii="Verdana" w:hAnsi="Verdana" w:cs="Arial"/>
          <w:sz w:val="22"/>
          <w:szCs w:val="22"/>
          <w:vertAlign w:val="superscript"/>
        </w:rPr>
        <w:t>2</w:t>
      </w:r>
      <w:r w:rsidR="00A3345A" w:rsidRPr="00635B67">
        <w:rPr>
          <w:rFonts w:ascii="Verdana" w:hAnsi="Verdana" w:cs="Arial"/>
          <w:sz w:val="22"/>
          <w:szCs w:val="22"/>
        </w:rPr>
        <w:t xml:space="preserve">, sobre el cual está construida una casa de dos plantas. </w:t>
      </w:r>
    </w:p>
    <w:p w14:paraId="15A975AE" w14:textId="74D21AFC" w:rsidR="00A3345A" w:rsidRPr="00635B67" w:rsidRDefault="00A3345A" w:rsidP="000A6E01">
      <w:pPr>
        <w:widowControl w:val="0"/>
        <w:autoSpaceDE w:val="0"/>
        <w:autoSpaceDN w:val="0"/>
        <w:adjustRightInd w:val="0"/>
        <w:spacing w:line="360" w:lineRule="auto"/>
        <w:ind w:right="-81"/>
        <w:jc w:val="both"/>
        <w:rPr>
          <w:rFonts w:ascii="Verdana" w:hAnsi="Verdana" w:cs="Arial"/>
          <w:sz w:val="22"/>
          <w:szCs w:val="22"/>
        </w:rPr>
      </w:pPr>
    </w:p>
    <w:p w14:paraId="3B6222DE" w14:textId="65A3B130" w:rsidR="00A3345A" w:rsidRPr="00635B67" w:rsidRDefault="00A3345A" w:rsidP="000A6E01">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 xml:space="preserve">Afirma el actor que en la Notaría Primera del Círculo de Sogamoso no se procedió a identificar debidamente a los comparecientes, pues carece de instrumentos de identificación biométrica que permitieran la caracterización plena de las partes (sic). </w:t>
      </w:r>
    </w:p>
    <w:p w14:paraId="672941F8" w14:textId="77777777" w:rsidR="00A3345A" w:rsidRPr="00635B67" w:rsidRDefault="00A3345A" w:rsidP="000A6E01">
      <w:pPr>
        <w:widowControl w:val="0"/>
        <w:autoSpaceDE w:val="0"/>
        <w:autoSpaceDN w:val="0"/>
        <w:adjustRightInd w:val="0"/>
        <w:spacing w:line="360" w:lineRule="auto"/>
        <w:ind w:right="-81"/>
        <w:jc w:val="both"/>
        <w:rPr>
          <w:rFonts w:ascii="Verdana" w:hAnsi="Verdana" w:cs="Arial"/>
          <w:sz w:val="22"/>
          <w:szCs w:val="22"/>
        </w:rPr>
      </w:pPr>
    </w:p>
    <w:p w14:paraId="35CA3585" w14:textId="34FCF3FF" w:rsidR="00A3345A" w:rsidRPr="00635B67" w:rsidRDefault="00A3345A" w:rsidP="000A6E01">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 xml:space="preserve">La escritura pública de hipoteca fue registrada en el folio de matrícula inmobiliaria del inmueble No. 095-81166, en la anotación No. 5 del 9 de febrero de 2010.  </w:t>
      </w:r>
    </w:p>
    <w:p w14:paraId="1DF3C9E8" w14:textId="53B2B37F" w:rsidR="00A3345A" w:rsidRPr="00635B67" w:rsidRDefault="00A3345A" w:rsidP="000A6E01">
      <w:pPr>
        <w:widowControl w:val="0"/>
        <w:autoSpaceDE w:val="0"/>
        <w:autoSpaceDN w:val="0"/>
        <w:adjustRightInd w:val="0"/>
        <w:spacing w:line="360" w:lineRule="auto"/>
        <w:ind w:right="-81"/>
        <w:jc w:val="both"/>
        <w:rPr>
          <w:rFonts w:ascii="Verdana" w:hAnsi="Verdana" w:cs="Arial"/>
          <w:sz w:val="22"/>
          <w:szCs w:val="22"/>
        </w:rPr>
      </w:pPr>
    </w:p>
    <w:p w14:paraId="1CABB1B0" w14:textId="706D841A" w:rsidR="00DA7018" w:rsidRPr="00635B67" w:rsidRDefault="00A3345A" w:rsidP="000A6E01">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Señala el actor que posteriormente fue demandado por la señora ROSALBA ALARCÓN CORREA, en proceso tramitado por el Juzgado Tercer</w:t>
      </w:r>
      <w:r w:rsidR="00DA7018" w:rsidRPr="00635B67">
        <w:rPr>
          <w:rFonts w:ascii="Verdana" w:hAnsi="Verdana" w:cs="Arial"/>
          <w:sz w:val="22"/>
          <w:szCs w:val="22"/>
        </w:rPr>
        <w:t>o</w:t>
      </w:r>
      <w:r w:rsidRPr="00635B67">
        <w:rPr>
          <w:rFonts w:ascii="Verdana" w:hAnsi="Verdana" w:cs="Arial"/>
          <w:sz w:val="22"/>
          <w:szCs w:val="22"/>
        </w:rPr>
        <w:t xml:space="preserve"> Civil del Circuito de Sogamoso</w:t>
      </w:r>
      <w:r w:rsidR="00DA7018" w:rsidRPr="00635B67">
        <w:rPr>
          <w:rFonts w:ascii="Verdana" w:hAnsi="Verdana" w:cs="Arial"/>
          <w:sz w:val="22"/>
          <w:szCs w:val="22"/>
        </w:rPr>
        <w:t xml:space="preserve">, que </w:t>
      </w:r>
      <w:r w:rsidR="7CB93ACE" w:rsidRPr="00635B67">
        <w:rPr>
          <w:rFonts w:ascii="Verdana" w:hAnsi="Verdana" w:cs="Arial"/>
          <w:sz w:val="22"/>
          <w:szCs w:val="22"/>
        </w:rPr>
        <w:t>en</w:t>
      </w:r>
      <w:r w:rsidR="00DA7018" w:rsidRPr="00635B67">
        <w:rPr>
          <w:rFonts w:ascii="Verdana" w:hAnsi="Verdana" w:cs="Arial"/>
          <w:sz w:val="22"/>
          <w:szCs w:val="22"/>
        </w:rPr>
        <w:t xml:space="preserve"> sentencia proferida el 10 de mayo de 2013 declaró la nulidad de la escritura pública de hipoteca No. 0134 del 5 de febrero de 2010 y condenó en costas al hoy demandante por la suma de $10.700.000 y embargó y secuestró su vivienda, por suplantación personal de la propietaria del inmueble identificado con folio de matrícula inmobiliaria No. 095-81166. Decisión que fue tomada teniendo en cuenta el dictamen grafológico proferido por el Instituto Nacional de Medicina Legal y Ciencias Forenses del 7 de diciembre de 2012, quien conceptuó que la firma obrante en la escritura pública no correspondía a la de la señora ROSALBA ALARCÓN CORREA.</w:t>
      </w:r>
    </w:p>
    <w:p w14:paraId="14884CE1" w14:textId="77777777" w:rsidR="00DA7018" w:rsidRPr="00635B67" w:rsidRDefault="00DA7018" w:rsidP="000A6E01">
      <w:pPr>
        <w:widowControl w:val="0"/>
        <w:autoSpaceDE w:val="0"/>
        <w:autoSpaceDN w:val="0"/>
        <w:adjustRightInd w:val="0"/>
        <w:spacing w:line="360" w:lineRule="auto"/>
        <w:ind w:right="-81"/>
        <w:jc w:val="both"/>
        <w:rPr>
          <w:rFonts w:ascii="Verdana" w:hAnsi="Verdana" w:cs="Arial"/>
          <w:sz w:val="22"/>
          <w:szCs w:val="22"/>
        </w:rPr>
      </w:pPr>
    </w:p>
    <w:p w14:paraId="099CE5FB" w14:textId="295968BA" w:rsidR="00A3345A" w:rsidRPr="00635B67" w:rsidRDefault="00DA7018" w:rsidP="000A6E01">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 xml:space="preserve">Refiere </w:t>
      </w:r>
      <w:proofErr w:type="gramStart"/>
      <w:r w:rsidRPr="00635B67">
        <w:rPr>
          <w:rFonts w:ascii="Verdana" w:hAnsi="Verdana" w:cs="Arial"/>
          <w:sz w:val="22"/>
          <w:szCs w:val="22"/>
        </w:rPr>
        <w:t>que</w:t>
      </w:r>
      <w:proofErr w:type="gramEnd"/>
      <w:r w:rsidRPr="00635B67">
        <w:rPr>
          <w:rFonts w:ascii="Verdana" w:hAnsi="Verdana" w:cs="Arial"/>
          <w:sz w:val="22"/>
          <w:szCs w:val="22"/>
        </w:rPr>
        <w:t xml:space="preserve"> ante el descubrimiento del fraude</w:t>
      </w:r>
      <w:r w:rsidR="5F461526" w:rsidRPr="00635B67">
        <w:rPr>
          <w:rFonts w:ascii="Verdana" w:hAnsi="Verdana" w:cs="Arial"/>
          <w:sz w:val="22"/>
          <w:szCs w:val="22"/>
        </w:rPr>
        <w:t>,</w:t>
      </w:r>
      <w:r w:rsidRPr="00635B67">
        <w:rPr>
          <w:rFonts w:ascii="Verdana" w:hAnsi="Verdana" w:cs="Arial"/>
          <w:sz w:val="22"/>
          <w:szCs w:val="22"/>
        </w:rPr>
        <w:t xml:space="preserve"> el hoy demandante formuló denuncia ante la Fiscalía, correspondiente el conocimiento a la Fiscalía 24 seccional de Sogamoso, quien considera carece de diligencia y eficacia, por cuanto a pesar de tener elementos probatorios no ha dado celeridad a la investigación y en varias ocasiones ha estado por cerrarla (sic).     </w:t>
      </w:r>
      <w:r w:rsidR="00A3345A" w:rsidRPr="00635B67">
        <w:rPr>
          <w:rFonts w:ascii="Verdana" w:hAnsi="Verdana" w:cs="Arial"/>
          <w:sz w:val="22"/>
          <w:szCs w:val="22"/>
        </w:rPr>
        <w:t xml:space="preserve">   </w:t>
      </w:r>
    </w:p>
    <w:p w14:paraId="0B54D781" w14:textId="2479C2CC" w:rsidR="00A3345A" w:rsidRPr="00635B67" w:rsidRDefault="00A3345A" w:rsidP="000A6E01">
      <w:pPr>
        <w:widowControl w:val="0"/>
        <w:autoSpaceDE w:val="0"/>
        <w:autoSpaceDN w:val="0"/>
        <w:adjustRightInd w:val="0"/>
        <w:spacing w:line="360" w:lineRule="auto"/>
        <w:ind w:right="-81"/>
        <w:jc w:val="both"/>
        <w:rPr>
          <w:rFonts w:ascii="Verdana" w:hAnsi="Verdana" w:cs="Arial"/>
          <w:sz w:val="22"/>
          <w:szCs w:val="22"/>
        </w:rPr>
      </w:pPr>
    </w:p>
    <w:p w14:paraId="3E64935C" w14:textId="10944869" w:rsidR="00EB0DC7" w:rsidRPr="00635B67" w:rsidRDefault="00653544" w:rsidP="007E2035">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lastRenderedPageBreak/>
        <w:t>Considera el actor que las accionadas incurrieron en responsabilidad por falla en el servicio y riesgo excepcional, como quiera que, en el caso de la SUPERINTENDENCIA DE NOTARIADO Y REGISTRO omitió sus deberes de vigilancia y control y la exigencia de implementación de mecanismos biométricos u otras herramientas para evitar la suplantación y el fraude en el trámite notarial (sic). Adujo que en relación con la FISCALÍA GENERAL DE LA NACIÓN incurrió en responsabilidad del daño por la falta de diligencia en la búsqueda de los responsables del ilícito del que fue víctima el hoy actor, a pesar de las evidencias probatoria</w:t>
      </w:r>
      <w:r w:rsidR="403D6D1F" w:rsidRPr="00635B67">
        <w:rPr>
          <w:rFonts w:ascii="Verdana" w:hAnsi="Verdana" w:cs="Arial"/>
          <w:sz w:val="22"/>
          <w:szCs w:val="22"/>
        </w:rPr>
        <w:t>s</w:t>
      </w:r>
      <w:r w:rsidRPr="00635B67">
        <w:rPr>
          <w:rFonts w:ascii="Verdana" w:hAnsi="Verdana" w:cs="Arial"/>
          <w:sz w:val="22"/>
          <w:szCs w:val="22"/>
        </w:rPr>
        <w:t xml:space="preserve"> que permitían individualizar a los responsables (sic)</w:t>
      </w:r>
      <w:r w:rsidR="005E190C" w:rsidRPr="00635B67">
        <w:rPr>
          <w:rFonts w:ascii="Verdana" w:hAnsi="Verdana" w:cs="Arial"/>
          <w:sz w:val="22"/>
          <w:szCs w:val="22"/>
        </w:rPr>
        <w:t xml:space="preserve"> (</w:t>
      </w:r>
      <w:proofErr w:type="spellStart"/>
      <w:r w:rsidR="005E190C" w:rsidRPr="00635B67">
        <w:rPr>
          <w:rFonts w:ascii="Verdana" w:hAnsi="Verdana" w:cs="Arial"/>
          <w:sz w:val="22"/>
          <w:szCs w:val="22"/>
        </w:rPr>
        <w:t>fl</w:t>
      </w:r>
      <w:proofErr w:type="spellEnd"/>
      <w:r w:rsidR="005E190C" w:rsidRPr="00635B67">
        <w:rPr>
          <w:rFonts w:ascii="Verdana" w:hAnsi="Verdana" w:cs="Arial"/>
          <w:sz w:val="22"/>
          <w:szCs w:val="22"/>
        </w:rPr>
        <w:t>. 60-67)</w:t>
      </w:r>
      <w:r w:rsidRPr="00635B67">
        <w:rPr>
          <w:rFonts w:ascii="Verdana" w:hAnsi="Verdana" w:cs="Arial"/>
          <w:sz w:val="22"/>
          <w:szCs w:val="22"/>
        </w:rPr>
        <w:t xml:space="preserve">.  </w:t>
      </w:r>
    </w:p>
    <w:p w14:paraId="44DD6FAD" w14:textId="77777777" w:rsidR="00EB0DC7" w:rsidRPr="00635B67" w:rsidRDefault="00EB0DC7" w:rsidP="007E2035">
      <w:pPr>
        <w:widowControl w:val="0"/>
        <w:autoSpaceDE w:val="0"/>
        <w:autoSpaceDN w:val="0"/>
        <w:adjustRightInd w:val="0"/>
        <w:spacing w:line="360" w:lineRule="auto"/>
        <w:ind w:right="-81"/>
        <w:jc w:val="both"/>
        <w:rPr>
          <w:rFonts w:ascii="Verdana" w:hAnsi="Verdana" w:cs="Arial"/>
          <w:sz w:val="22"/>
          <w:szCs w:val="22"/>
        </w:rPr>
      </w:pPr>
    </w:p>
    <w:p w14:paraId="2D82BCDD" w14:textId="4C5ED7DA" w:rsidR="00555BEE" w:rsidRPr="00635B67" w:rsidRDefault="004B32C8" w:rsidP="007E2035">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b/>
          <w:bCs/>
          <w:i/>
          <w:iCs/>
          <w:sz w:val="22"/>
          <w:szCs w:val="22"/>
          <w:u w:val="single"/>
        </w:rPr>
        <w:t>2.2</w:t>
      </w:r>
      <w:r w:rsidR="00E50707" w:rsidRPr="00635B67">
        <w:rPr>
          <w:rFonts w:ascii="Verdana" w:hAnsi="Verdana" w:cs="Arial"/>
          <w:b/>
          <w:bCs/>
          <w:i/>
          <w:iCs/>
          <w:sz w:val="22"/>
          <w:szCs w:val="22"/>
          <w:u w:val="single"/>
        </w:rPr>
        <w:t>.</w:t>
      </w:r>
      <w:r w:rsidR="00EB0DC7" w:rsidRPr="00635B67">
        <w:rPr>
          <w:rFonts w:ascii="Verdana" w:hAnsi="Verdana" w:cs="Arial"/>
          <w:b/>
          <w:bCs/>
          <w:i/>
          <w:iCs/>
          <w:sz w:val="22"/>
          <w:szCs w:val="22"/>
          <w:u w:val="single"/>
        </w:rPr>
        <w:t xml:space="preserve"> </w:t>
      </w:r>
      <w:r w:rsidR="00E50707" w:rsidRPr="00635B67">
        <w:rPr>
          <w:rFonts w:ascii="Verdana" w:hAnsi="Verdana" w:cs="Arial"/>
          <w:b/>
          <w:bCs/>
          <w:i/>
          <w:iCs/>
          <w:sz w:val="22"/>
          <w:szCs w:val="22"/>
          <w:u w:val="single"/>
        </w:rPr>
        <w:t>SE</w:t>
      </w:r>
      <w:r w:rsidR="00736E30" w:rsidRPr="00635B67">
        <w:rPr>
          <w:rFonts w:ascii="Verdana" w:hAnsi="Verdana" w:cs="Arial"/>
          <w:b/>
          <w:bCs/>
          <w:i/>
          <w:iCs/>
          <w:sz w:val="22"/>
          <w:szCs w:val="22"/>
          <w:u w:val="single"/>
        </w:rPr>
        <w:t>NTENCIA IMPUGNADA:</w:t>
      </w:r>
      <w:r w:rsidR="00736E30" w:rsidRPr="00635B67">
        <w:rPr>
          <w:rFonts w:ascii="Verdana" w:hAnsi="Verdana" w:cs="Arial"/>
          <w:b/>
          <w:bCs/>
          <w:sz w:val="22"/>
          <w:szCs w:val="22"/>
        </w:rPr>
        <w:t xml:space="preserve"> </w:t>
      </w:r>
      <w:r w:rsidR="00736E30" w:rsidRPr="00635B67">
        <w:rPr>
          <w:rFonts w:ascii="Verdana" w:hAnsi="Verdana" w:cs="Arial"/>
          <w:sz w:val="22"/>
          <w:szCs w:val="22"/>
        </w:rPr>
        <w:t xml:space="preserve">Surtidas las ritualidades legales del trámite procesal en primera instancia, el </w:t>
      </w:r>
      <w:r w:rsidR="002B244D" w:rsidRPr="00635B67">
        <w:rPr>
          <w:rFonts w:ascii="Verdana" w:hAnsi="Verdana" w:cs="Arial"/>
          <w:sz w:val="22"/>
          <w:szCs w:val="22"/>
        </w:rPr>
        <w:t xml:space="preserve">JUZGADO </w:t>
      </w:r>
      <w:r w:rsidR="00427E4B" w:rsidRPr="00635B67">
        <w:rPr>
          <w:rFonts w:ascii="Verdana" w:hAnsi="Verdana" w:cs="Arial"/>
          <w:sz w:val="22"/>
          <w:szCs w:val="22"/>
        </w:rPr>
        <w:t>SEGUNDO</w:t>
      </w:r>
      <w:r w:rsidR="002B244D" w:rsidRPr="00635B67">
        <w:rPr>
          <w:rFonts w:ascii="Verdana" w:hAnsi="Verdana" w:cs="Arial"/>
          <w:sz w:val="22"/>
          <w:szCs w:val="22"/>
        </w:rPr>
        <w:t xml:space="preserve"> ADMINISTRATIVO ORAL DEL CIRCUITO JUDICIAL DE</w:t>
      </w:r>
      <w:r w:rsidR="00427E4B" w:rsidRPr="00635B67">
        <w:rPr>
          <w:rFonts w:ascii="Verdana" w:hAnsi="Verdana" w:cs="Arial"/>
          <w:sz w:val="22"/>
          <w:szCs w:val="22"/>
        </w:rPr>
        <w:t xml:space="preserve"> SOGAMOSO </w:t>
      </w:r>
      <w:r w:rsidR="00F64F07" w:rsidRPr="00635B67">
        <w:rPr>
          <w:rFonts w:ascii="Verdana" w:hAnsi="Verdana" w:cs="Arial"/>
          <w:sz w:val="22"/>
          <w:szCs w:val="22"/>
        </w:rPr>
        <w:t xml:space="preserve">profirió </w:t>
      </w:r>
      <w:r w:rsidR="00B530F7" w:rsidRPr="00635B67">
        <w:rPr>
          <w:rFonts w:ascii="Verdana" w:hAnsi="Verdana" w:cs="Arial"/>
          <w:sz w:val="22"/>
          <w:szCs w:val="22"/>
        </w:rPr>
        <w:t xml:space="preserve">sentencia </w:t>
      </w:r>
      <w:r w:rsidR="00736E30" w:rsidRPr="00635B67">
        <w:rPr>
          <w:rFonts w:ascii="Verdana" w:hAnsi="Verdana" w:cs="Arial"/>
          <w:sz w:val="22"/>
          <w:szCs w:val="22"/>
        </w:rPr>
        <w:t>de primera instancia</w:t>
      </w:r>
      <w:r w:rsidR="00653579" w:rsidRPr="00635B67">
        <w:rPr>
          <w:rFonts w:ascii="Verdana" w:hAnsi="Verdana" w:cs="Arial"/>
          <w:sz w:val="22"/>
          <w:szCs w:val="22"/>
        </w:rPr>
        <w:t xml:space="preserve"> el </w:t>
      </w:r>
      <w:r w:rsidR="00427E4B" w:rsidRPr="00635B67">
        <w:rPr>
          <w:rFonts w:ascii="Verdana" w:hAnsi="Verdana" w:cs="Arial"/>
          <w:sz w:val="22"/>
          <w:szCs w:val="22"/>
        </w:rPr>
        <w:t>31</w:t>
      </w:r>
      <w:r w:rsidR="002B244D" w:rsidRPr="00635B67">
        <w:rPr>
          <w:rFonts w:ascii="Verdana" w:hAnsi="Verdana" w:cs="Arial"/>
          <w:sz w:val="22"/>
          <w:szCs w:val="22"/>
        </w:rPr>
        <w:t xml:space="preserve"> de </w:t>
      </w:r>
      <w:r w:rsidR="00427E4B" w:rsidRPr="00635B67">
        <w:rPr>
          <w:rFonts w:ascii="Verdana" w:hAnsi="Verdana" w:cs="Arial"/>
          <w:sz w:val="22"/>
          <w:szCs w:val="22"/>
        </w:rPr>
        <w:t>octu</w:t>
      </w:r>
      <w:r w:rsidR="002B244D" w:rsidRPr="00635B67">
        <w:rPr>
          <w:rFonts w:ascii="Verdana" w:hAnsi="Verdana" w:cs="Arial"/>
          <w:sz w:val="22"/>
          <w:szCs w:val="22"/>
        </w:rPr>
        <w:t>bre de 2019</w:t>
      </w:r>
      <w:r w:rsidR="00B530F7" w:rsidRPr="00635B67">
        <w:rPr>
          <w:rFonts w:ascii="Verdana" w:hAnsi="Verdana" w:cs="Arial"/>
          <w:sz w:val="22"/>
          <w:szCs w:val="22"/>
        </w:rPr>
        <w:t xml:space="preserve">, mediante la cual </w:t>
      </w:r>
      <w:r w:rsidR="00427E4B" w:rsidRPr="00635B67">
        <w:rPr>
          <w:rFonts w:ascii="Verdana" w:hAnsi="Verdana" w:cs="Arial"/>
          <w:sz w:val="22"/>
          <w:szCs w:val="22"/>
        </w:rPr>
        <w:t xml:space="preserve">declaró probadas las excepciones formuladas por las entidades demandadas y </w:t>
      </w:r>
      <w:r w:rsidR="00653579" w:rsidRPr="00635B67">
        <w:rPr>
          <w:rFonts w:ascii="Verdana" w:hAnsi="Verdana" w:cs="Arial"/>
          <w:sz w:val="22"/>
          <w:szCs w:val="22"/>
        </w:rPr>
        <w:t>negó</w:t>
      </w:r>
      <w:r w:rsidR="005B0E0C" w:rsidRPr="00635B67">
        <w:rPr>
          <w:rFonts w:ascii="Verdana" w:hAnsi="Verdana" w:cs="Arial"/>
          <w:sz w:val="22"/>
          <w:szCs w:val="22"/>
        </w:rPr>
        <w:t xml:space="preserve"> las pretensiones de la demanda</w:t>
      </w:r>
      <w:r w:rsidR="00653579" w:rsidRPr="00635B67">
        <w:rPr>
          <w:rFonts w:ascii="Verdana" w:hAnsi="Verdana" w:cs="Arial"/>
          <w:sz w:val="22"/>
          <w:szCs w:val="22"/>
        </w:rPr>
        <w:t>.</w:t>
      </w:r>
    </w:p>
    <w:p w14:paraId="049F31CB" w14:textId="11B41CF4" w:rsidR="00555BEE" w:rsidRPr="00635B67" w:rsidRDefault="00555BEE" w:rsidP="007E2035">
      <w:pPr>
        <w:widowControl w:val="0"/>
        <w:autoSpaceDE w:val="0"/>
        <w:autoSpaceDN w:val="0"/>
        <w:adjustRightInd w:val="0"/>
        <w:spacing w:line="360" w:lineRule="auto"/>
        <w:ind w:right="-81"/>
        <w:jc w:val="both"/>
        <w:rPr>
          <w:rFonts w:ascii="Verdana" w:hAnsi="Verdana" w:cs="Arial"/>
          <w:sz w:val="22"/>
          <w:szCs w:val="22"/>
        </w:rPr>
      </w:pPr>
    </w:p>
    <w:p w14:paraId="5B94B50E" w14:textId="0CD19E8D" w:rsidR="00E30DAB" w:rsidRPr="00635B67" w:rsidRDefault="00555BEE" w:rsidP="007E2035">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 xml:space="preserve">Como fundamento de su decisión, el </w:t>
      </w:r>
      <w:r w:rsidRPr="00635B67">
        <w:rPr>
          <w:rFonts w:ascii="Verdana" w:hAnsi="Verdana" w:cs="Arial"/>
          <w:i/>
          <w:iCs/>
          <w:sz w:val="22"/>
          <w:szCs w:val="22"/>
        </w:rPr>
        <w:t>a quo</w:t>
      </w:r>
      <w:r w:rsidR="008B42D1" w:rsidRPr="00635B67">
        <w:rPr>
          <w:rFonts w:ascii="Verdana" w:hAnsi="Verdana" w:cs="Arial"/>
          <w:sz w:val="22"/>
          <w:szCs w:val="22"/>
        </w:rPr>
        <w:t xml:space="preserve">, </w:t>
      </w:r>
      <w:r w:rsidR="002B244D" w:rsidRPr="00635B67">
        <w:rPr>
          <w:rFonts w:ascii="Verdana" w:hAnsi="Verdana" w:cs="Arial"/>
          <w:sz w:val="22"/>
          <w:szCs w:val="22"/>
        </w:rPr>
        <w:t>consideró que</w:t>
      </w:r>
      <w:r w:rsidR="00E30DAB" w:rsidRPr="00635B67">
        <w:rPr>
          <w:rFonts w:ascii="Verdana" w:hAnsi="Verdana" w:cs="Arial"/>
          <w:sz w:val="22"/>
          <w:szCs w:val="22"/>
        </w:rPr>
        <w:t xml:space="preserve"> el problema jurídico a resolver consistía en determinar si era procedente la declaratoria de responsabilidad por los daños ocasionado al actor </w:t>
      </w:r>
      <w:r w:rsidR="40CCF1DA" w:rsidRPr="00635B67">
        <w:rPr>
          <w:rFonts w:ascii="Verdana" w:hAnsi="Verdana" w:cs="Arial"/>
          <w:sz w:val="22"/>
          <w:szCs w:val="22"/>
        </w:rPr>
        <w:t>por</w:t>
      </w:r>
      <w:r w:rsidR="00E30DAB" w:rsidRPr="00635B67">
        <w:rPr>
          <w:rFonts w:ascii="Verdana" w:hAnsi="Verdana" w:cs="Arial"/>
          <w:sz w:val="22"/>
          <w:szCs w:val="22"/>
        </w:rPr>
        <w:t xml:space="preserve"> la SUPERINTENDENCIA DE NOTARIADO Y REGISTRO ante la presunta conducta omisiva de la entidad en el cumplimiento de sus deberes de inspección, vigilancia y control y por la falta de implementación de sistemas biométricos de identificación en la Notaría (sic), y en relación con la FISCALÍA GENERAL DE LA NACIÓN ante la presunta falta de celeridad y decisión en la noticia criminal por el fraude y suplantación que generó l</w:t>
      </w:r>
      <w:r w:rsidR="6D33F52C" w:rsidRPr="00635B67">
        <w:rPr>
          <w:rFonts w:ascii="Verdana" w:hAnsi="Verdana" w:cs="Arial"/>
          <w:sz w:val="22"/>
          <w:szCs w:val="22"/>
        </w:rPr>
        <w:t>a</w:t>
      </w:r>
      <w:r w:rsidR="00E30DAB" w:rsidRPr="00635B67">
        <w:rPr>
          <w:rFonts w:ascii="Verdana" w:hAnsi="Verdana" w:cs="Arial"/>
          <w:sz w:val="22"/>
          <w:szCs w:val="22"/>
        </w:rPr>
        <w:t xml:space="preserve"> nulidad de la escritura pública (sic). </w:t>
      </w:r>
    </w:p>
    <w:p w14:paraId="54E9424E" w14:textId="77777777" w:rsidR="002876B1" w:rsidRPr="00635B67" w:rsidRDefault="002876B1" w:rsidP="007E2035">
      <w:pPr>
        <w:widowControl w:val="0"/>
        <w:autoSpaceDE w:val="0"/>
        <w:autoSpaceDN w:val="0"/>
        <w:adjustRightInd w:val="0"/>
        <w:spacing w:line="360" w:lineRule="auto"/>
        <w:ind w:right="-81"/>
        <w:jc w:val="both"/>
        <w:rPr>
          <w:rFonts w:ascii="Verdana" w:hAnsi="Verdana" w:cs="Arial"/>
          <w:sz w:val="22"/>
          <w:szCs w:val="22"/>
        </w:rPr>
      </w:pPr>
    </w:p>
    <w:p w14:paraId="7A1DB9D5" w14:textId="748302A4" w:rsidR="00D95244" w:rsidRPr="00635B67" w:rsidRDefault="002876B1" w:rsidP="007E2035">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Consideró el fallador que con la</w:t>
      </w:r>
      <w:r w:rsidR="001D5DDE" w:rsidRPr="00635B67">
        <w:rPr>
          <w:rFonts w:ascii="Verdana" w:hAnsi="Verdana" w:cs="Arial"/>
          <w:sz w:val="22"/>
          <w:szCs w:val="22"/>
        </w:rPr>
        <w:t xml:space="preserve">s pruebas aportadas al proceso se logró establecer el daño </w:t>
      </w:r>
      <w:r w:rsidR="00D95244" w:rsidRPr="00635B67">
        <w:rPr>
          <w:rFonts w:ascii="Verdana" w:hAnsi="Verdana" w:cs="Arial"/>
          <w:sz w:val="22"/>
          <w:szCs w:val="22"/>
        </w:rPr>
        <w:t xml:space="preserve">patrimonial y </w:t>
      </w:r>
      <w:r w:rsidR="001D5DDE" w:rsidRPr="00635B67">
        <w:rPr>
          <w:rFonts w:ascii="Verdana" w:hAnsi="Verdana" w:cs="Arial"/>
          <w:sz w:val="22"/>
          <w:szCs w:val="22"/>
        </w:rPr>
        <w:t>antijurídico sufrido por el demandante RODOLFO CONCISIÓN GARCÍA,</w:t>
      </w:r>
      <w:r w:rsidR="00D95244" w:rsidRPr="00635B67">
        <w:rPr>
          <w:rFonts w:ascii="Verdana" w:hAnsi="Verdana" w:cs="Arial"/>
          <w:sz w:val="22"/>
          <w:szCs w:val="22"/>
        </w:rPr>
        <w:t xml:space="preserve"> el cual se representa en la pérdida del dinero no recuperado por valor de $25.000.000, entregados por él a título de mutuo respaldado con garantía real que posteriormente fue declarada nula por falsedad material de la escritura pública No. 134 del 5 de febrero de 2010 suscrita </w:t>
      </w:r>
      <w:r w:rsidR="55A333C6" w:rsidRPr="00635B67">
        <w:rPr>
          <w:rFonts w:ascii="Verdana" w:hAnsi="Verdana" w:cs="Arial"/>
          <w:sz w:val="22"/>
          <w:szCs w:val="22"/>
        </w:rPr>
        <w:t>por</w:t>
      </w:r>
      <w:r w:rsidR="00D95244" w:rsidRPr="00635B67">
        <w:rPr>
          <w:rFonts w:ascii="Verdana" w:hAnsi="Verdana" w:cs="Arial"/>
          <w:sz w:val="22"/>
          <w:szCs w:val="22"/>
        </w:rPr>
        <w:t xml:space="preserve"> quien dijo llamarse Rosalba Alarcón Correa (sic). </w:t>
      </w:r>
    </w:p>
    <w:p w14:paraId="179F3D06" w14:textId="77777777" w:rsidR="00D95244" w:rsidRPr="00635B67" w:rsidRDefault="00D95244" w:rsidP="007E2035">
      <w:pPr>
        <w:widowControl w:val="0"/>
        <w:autoSpaceDE w:val="0"/>
        <w:autoSpaceDN w:val="0"/>
        <w:adjustRightInd w:val="0"/>
        <w:spacing w:line="360" w:lineRule="auto"/>
        <w:ind w:right="-81"/>
        <w:jc w:val="both"/>
        <w:rPr>
          <w:rFonts w:ascii="Verdana" w:hAnsi="Verdana" w:cs="Arial"/>
          <w:sz w:val="22"/>
          <w:szCs w:val="22"/>
        </w:rPr>
      </w:pPr>
    </w:p>
    <w:p w14:paraId="54CC45A1" w14:textId="791F3887" w:rsidR="004B7FD9" w:rsidRPr="00635B67" w:rsidRDefault="002876B1" w:rsidP="007E2035">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Sin embargo, consider</w:t>
      </w:r>
      <w:r w:rsidR="3752E2AF" w:rsidRPr="00635B67">
        <w:rPr>
          <w:rFonts w:ascii="Verdana" w:hAnsi="Verdana" w:cs="Arial"/>
          <w:sz w:val="22"/>
          <w:szCs w:val="22"/>
        </w:rPr>
        <w:t>ó</w:t>
      </w:r>
      <w:r w:rsidRPr="00635B67">
        <w:rPr>
          <w:rFonts w:ascii="Verdana" w:hAnsi="Verdana" w:cs="Arial"/>
          <w:sz w:val="22"/>
          <w:szCs w:val="22"/>
        </w:rPr>
        <w:t xml:space="preserve"> que el </w:t>
      </w:r>
      <w:r w:rsidR="00D95244" w:rsidRPr="00635B67">
        <w:rPr>
          <w:rFonts w:ascii="Verdana" w:hAnsi="Verdana" w:cs="Arial"/>
          <w:sz w:val="22"/>
          <w:szCs w:val="22"/>
        </w:rPr>
        <w:t xml:space="preserve">daño ocasionado por el supuesto retardo injustificado en la investigación penal adelantada por la FISCALÍA GENERAL DE </w:t>
      </w:r>
      <w:r w:rsidR="00D95244" w:rsidRPr="00635B67">
        <w:rPr>
          <w:rFonts w:ascii="Verdana" w:hAnsi="Verdana" w:cs="Arial"/>
          <w:sz w:val="22"/>
          <w:szCs w:val="22"/>
        </w:rPr>
        <w:lastRenderedPageBreak/>
        <w:t>LA NACIÓN por los punibles de falsedad material en documento público en concurso con falsedad personal, fraude procesal y estafa, señal</w:t>
      </w:r>
      <w:r w:rsidR="7650C12D" w:rsidRPr="00635B67">
        <w:rPr>
          <w:rFonts w:ascii="Verdana" w:hAnsi="Verdana" w:cs="Arial"/>
          <w:sz w:val="22"/>
          <w:szCs w:val="22"/>
        </w:rPr>
        <w:t>ó</w:t>
      </w:r>
      <w:r w:rsidR="00D95244" w:rsidRPr="00635B67">
        <w:rPr>
          <w:rFonts w:ascii="Verdana" w:hAnsi="Verdana" w:cs="Arial"/>
          <w:sz w:val="22"/>
          <w:szCs w:val="22"/>
        </w:rPr>
        <w:t xml:space="preserve"> que analizadas las pruebas aportadas no se evidencia el acaecimiento del daño que pretende el actor sea indemnizado</w:t>
      </w:r>
      <w:r w:rsidR="00EE0EC6" w:rsidRPr="00635B67">
        <w:rPr>
          <w:rFonts w:ascii="Verdana" w:hAnsi="Verdana" w:cs="Arial"/>
          <w:sz w:val="22"/>
          <w:szCs w:val="22"/>
        </w:rPr>
        <w:t xml:space="preserve">, toda vez que a juicio del </w:t>
      </w:r>
      <w:r w:rsidR="00EE0EC6" w:rsidRPr="00635B67">
        <w:rPr>
          <w:rFonts w:ascii="Verdana" w:hAnsi="Verdana" w:cs="Arial"/>
          <w:i/>
          <w:iCs/>
          <w:sz w:val="22"/>
          <w:szCs w:val="22"/>
        </w:rPr>
        <w:t xml:space="preserve">a quo </w:t>
      </w:r>
      <w:r w:rsidR="00EE0EC6" w:rsidRPr="00635B67">
        <w:rPr>
          <w:rFonts w:ascii="Verdana" w:hAnsi="Verdana" w:cs="Arial"/>
          <w:sz w:val="22"/>
          <w:szCs w:val="22"/>
        </w:rPr>
        <w:t>el ente investigador efectuó las labores para dar trámite a la noticia criminal, precisando que no hay prueba de la fecha exacta de la presentación de la misma y de las actuaciones anteriores al 2014, elementos probatorios que han debido ser aportados por el demandante, a fin de demostrar la dilación injustificada en el trámite</w:t>
      </w:r>
      <w:r w:rsidR="004B7FD9" w:rsidRPr="00635B67">
        <w:rPr>
          <w:rFonts w:ascii="Verdana" w:hAnsi="Verdana" w:cs="Arial"/>
          <w:sz w:val="22"/>
          <w:szCs w:val="22"/>
        </w:rPr>
        <w:t xml:space="preserve">. Por lo que considera que no se demostró el hecho generador del daño, no configurándose el defectuoso funcionamiento de la administración de justicia. </w:t>
      </w:r>
    </w:p>
    <w:p w14:paraId="1CE48E01" w14:textId="77777777" w:rsidR="002876B1" w:rsidRPr="00635B67" w:rsidRDefault="002876B1" w:rsidP="007E2035">
      <w:pPr>
        <w:widowControl w:val="0"/>
        <w:autoSpaceDE w:val="0"/>
        <w:autoSpaceDN w:val="0"/>
        <w:adjustRightInd w:val="0"/>
        <w:spacing w:line="360" w:lineRule="auto"/>
        <w:ind w:right="-81"/>
        <w:jc w:val="both"/>
        <w:rPr>
          <w:rFonts w:ascii="Verdana" w:hAnsi="Verdana" w:cs="Arial"/>
          <w:sz w:val="22"/>
          <w:szCs w:val="22"/>
        </w:rPr>
      </w:pPr>
    </w:p>
    <w:p w14:paraId="022ED26D" w14:textId="018D3299" w:rsidR="002876B1" w:rsidRPr="00635B67" w:rsidRDefault="002876B1" w:rsidP="002876B1">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Ahora bien, e</w:t>
      </w:r>
      <w:r w:rsidR="004B7FD9" w:rsidRPr="00635B67">
        <w:rPr>
          <w:rFonts w:ascii="Verdana" w:hAnsi="Verdana" w:cs="Arial"/>
          <w:sz w:val="22"/>
          <w:szCs w:val="22"/>
        </w:rPr>
        <w:t xml:space="preserve">n cuanto a la imputación del daño a la SUPERINTENDENCIA DE NOTARIADO Y REGISTRO </w:t>
      </w:r>
      <w:r w:rsidRPr="00635B67">
        <w:rPr>
          <w:rFonts w:ascii="Verdana" w:hAnsi="Verdana" w:cs="Arial"/>
          <w:sz w:val="22"/>
          <w:szCs w:val="22"/>
        </w:rPr>
        <w:t>p</w:t>
      </w:r>
      <w:r w:rsidR="004B7FD9" w:rsidRPr="00635B67">
        <w:rPr>
          <w:rFonts w:ascii="Verdana" w:hAnsi="Verdana" w:cs="Arial"/>
          <w:sz w:val="22"/>
          <w:szCs w:val="22"/>
        </w:rPr>
        <w:t xml:space="preserve">or la supuesta actitud negligente por parte de la entidad en mención en relación con las funciones de inspección, vigilancia y control en torno a las actividades llevadas a cabo por la Notaria Primera del </w:t>
      </w:r>
      <w:r w:rsidR="31C977BA" w:rsidRPr="00635B67">
        <w:rPr>
          <w:rFonts w:ascii="Verdana" w:hAnsi="Verdana" w:cs="Arial"/>
          <w:sz w:val="22"/>
          <w:szCs w:val="22"/>
        </w:rPr>
        <w:t>Círculo</w:t>
      </w:r>
      <w:r w:rsidR="004B7FD9" w:rsidRPr="00635B67">
        <w:rPr>
          <w:rFonts w:ascii="Verdana" w:hAnsi="Verdana" w:cs="Arial"/>
          <w:sz w:val="22"/>
          <w:szCs w:val="22"/>
        </w:rPr>
        <w:t xml:space="preserve"> de Sogamoso en cuanto a la plena identificación de los suscriptores de la escritura pública</w:t>
      </w:r>
      <w:r w:rsidRPr="00635B67">
        <w:rPr>
          <w:rFonts w:ascii="Verdana" w:hAnsi="Verdana" w:cs="Arial"/>
          <w:sz w:val="22"/>
          <w:szCs w:val="22"/>
        </w:rPr>
        <w:t xml:space="preserve">, indicó que fue con ocasión de la Ley 019 de 2012 que se impuso la obligación de hacer la identificación de las personas que acudían a realizar trámites administrativos con imposición de huella dactilar o identificación biométrica. Por tanto, antes de la fecha en que entró en vigencia dicha ley no existía la obligación por parte de las Notarías de implementar el sistema de identificación biométrica y tampoco era dable exigir a la Superintendencia de Notariado y Registro hacer la inspección, vigilancia y control en relación con dicha obligación (sic).  </w:t>
      </w:r>
    </w:p>
    <w:p w14:paraId="594B4F67" w14:textId="6988AC8E" w:rsidR="002876B1" w:rsidRPr="00635B67" w:rsidRDefault="002876B1" w:rsidP="002876B1">
      <w:pPr>
        <w:widowControl w:val="0"/>
        <w:autoSpaceDE w:val="0"/>
        <w:autoSpaceDN w:val="0"/>
        <w:adjustRightInd w:val="0"/>
        <w:spacing w:line="360" w:lineRule="auto"/>
        <w:ind w:right="-81"/>
        <w:jc w:val="both"/>
        <w:rPr>
          <w:rFonts w:ascii="Verdana" w:hAnsi="Verdana" w:cs="Arial"/>
          <w:sz w:val="22"/>
          <w:szCs w:val="22"/>
        </w:rPr>
      </w:pPr>
    </w:p>
    <w:p w14:paraId="6972DCE9" w14:textId="5ACD01A9" w:rsidR="002876B1" w:rsidRPr="00635B67" w:rsidRDefault="002876B1" w:rsidP="002876B1">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 xml:space="preserve">Por lo anterior, adujo el </w:t>
      </w:r>
      <w:r w:rsidRPr="00635B67">
        <w:rPr>
          <w:rFonts w:ascii="Verdana" w:hAnsi="Verdana" w:cs="Arial"/>
          <w:i/>
          <w:iCs/>
          <w:sz w:val="22"/>
          <w:szCs w:val="22"/>
        </w:rPr>
        <w:t xml:space="preserve">a quo </w:t>
      </w:r>
      <w:r w:rsidRPr="00635B67">
        <w:rPr>
          <w:rFonts w:ascii="Verdana" w:hAnsi="Verdana" w:cs="Arial"/>
          <w:sz w:val="22"/>
          <w:szCs w:val="22"/>
        </w:rPr>
        <w:t xml:space="preserve">que para la fecha de otorgamiento de la escritura pública No. 134 del 5 de febrero de 2010, no había surgido la obligación legal relacionada con l implementación del sistema biométrico de identificación, por lo que no era exigible a la Notaría Primera del </w:t>
      </w:r>
      <w:r w:rsidR="1097B831" w:rsidRPr="00635B67">
        <w:rPr>
          <w:rFonts w:ascii="Verdana" w:hAnsi="Verdana" w:cs="Arial"/>
          <w:sz w:val="22"/>
          <w:szCs w:val="22"/>
        </w:rPr>
        <w:t>Círculo</w:t>
      </w:r>
      <w:r w:rsidRPr="00635B67">
        <w:rPr>
          <w:rFonts w:ascii="Verdana" w:hAnsi="Verdana" w:cs="Arial"/>
          <w:sz w:val="22"/>
          <w:szCs w:val="22"/>
        </w:rPr>
        <w:t xml:space="preserve"> de Sogamoso contar con los sistemas de obtención electrónica remota de la huella dactilar (sic), y por lo mismo no se advierte que el ente de control haya omitido sus deberes legales de inspección, vigilancia y control</w:t>
      </w:r>
      <w:r w:rsidR="24FC4AF2" w:rsidRPr="00635B67">
        <w:rPr>
          <w:rFonts w:ascii="Verdana" w:hAnsi="Verdana" w:cs="Arial"/>
          <w:sz w:val="22"/>
          <w:szCs w:val="22"/>
        </w:rPr>
        <w:t xml:space="preserve">, por </w:t>
      </w:r>
      <w:r w:rsidRPr="00635B67">
        <w:rPr>
          <w:rFonts w:ascii="Verdana" w:hAnsi="Verdana" w:cs="Arial"/>
          <w:sz w:val="22"/>
          <w:szCs w:val="22"/>
        </w:rPr>
        <w:t>lo que concluyo que si bien se acreditó el daño antijurídico sufrido por el demandante con ocasión de la suscripción de la escritura pública No. 134 del 5 de febrero de 2010, el mismo no es atribuible a una falla del servicio por omisión por parte de la SUPERINTENDENCIA DE NOTARIADO Y REGISTRO, al no existir relación alguna entre el daño y el cumplimiento de sus funciones</w:t>
      </w:r>
      <w:r w:rsidR="008E56E4" w:rsidRPr="00635B67">
        <w:rPr>
          <w:rFonts w:ascii="Verdana" w:hAnsi="Verdana" w:cs="Arial"/>
          <w:sz w:val="22"/>
          <w:szCs w:val="22"/>
        </w:rPr>
        <w:t xml:space="preserve"> legales. </w:t>
      </w:r>
      <w:r w:rsidRPr="00635B67">
        <w:rPr>
          <w:rFonts w:ascii="Verdana" w:hAnsi="Verdana" w:cs="Arial"/>
          <w:sz w:val="22"/>
          <w:szCs w:val="22"/>
        </w:rPr>
        <w:t xml:space="preserve">  </w:t>
      </w:r>
    </w:p>
    <w:p w14:paraId="4EDCF6A8" w14:textId="343C3D7B" w:rsidR="008905FE" w:rsidRPr="00635B67" w:rsidRDefault="008905FE" w:rsidP="002876B1">
      <w:pPr>
        <w:widowControl w:val="0"/>
        <w:autoSpaceDE w:val="0"/>
        <w:autoSpaceDN w:val="0"/>
        <w:adjustRightInd w:val="0"/>
        <w:spacing w:line="360" w:lineRule="auto"/>
        <w:ind w:right="-81"/>
        <w:jc w:val="both"/>
        <w:rPr>
          <w:rFonts w:ascii="Verdana" w:hAnsi="Verdana" w:cs="Arial"/>
          <w:sz w:val="22"/>
          <w:szCs w:val="22"/>
        </w:rPr>
      </w:pPr>
    </w:p>
    <w:p w14:paraId="1BB93F43" w14:textId="19E1C284" w:rsidR="007F7AAE" w:rsidRPr="00635B67" w:rsidRDefault="008905FE" w:rsidP="002876B1">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Finalmente</w:t>
      </w:r>
      <w:r w:rsidR="007F7AAE" w:rsidRPr="00635B67">
        <w:rPr>
          <w:rFonts w:ascii="Verdana" w:hAnsi="Verdana" w:cs="Arial"/>
          <w:sz w:val="22"/>
          <w:szCs w:val="22"/>
        </w:rPr>
        <w:t>,</w:t>
      </w:r>
      <w:r w:rsidRPr="00635B67">
        <w:rPr>
          <w:rFonts w:ascii="Verdana" w:hAnsi="Verdana" w:cs="Arial"/>
          <w:sz w:val="22"/>
          <w:szCs w:val="22"/>
        </w:rPr>
        <w:t xml:space="preserve"> el </w:t>
      </w:r>
      <w:r w:rsidRPr="00635B67">
        <w:rPr>
          <w:rFonts w:ascii="Verdana" w:hAnsi="Verdana" w:cs="Arial"/>
          <w:i/>
          <w:iCs/>
          <w:sz w:val="22"/>
          <w:szCs w:val="22"/>
        </w:rPr>
        <w:t xml:space="preserve">a quo </w:t>
      </w:r>
      <w:r w:rsidRPr="00635B67">
        <w:rPr>
          <w:rFonts w:ascii="Verdana" w:hAnsi="Verdana" w:cs="Arial"/>
          <w:sz w:val="22"/>
          <w:szCs w:val="22"/>
        </w:rPr>
        <w:t xml:space="preserve">declaró probadas las excepciones de </w:t>
      </w:r>
      <w:r w:rsidRPr="00635B67">
        <w:rPr>
          <w:rFonts w:ascii="Verdana" w:hAnsi="Verdana" w:cs="Arial"/>
          <w:i/>
          <w:iCs/>
          <w:sz w:val="22"/>
          <w:szCs w:val="22"/>
        </w:rPr>
        <w:t xml:space="preserve">falta de legitimación en la causa por </w:t>
      </w:r>
      <w:r w:rsidR="45A9D859" w:rsidRPr="00635B67">
        <w:rPr>
          <w:rFonts w:ascii="Verdana" w:hAnsi="Verdana" w:cs="Arial"/>
          <w:i/>
          <w:iCs/>
          <w:sz w:val="22"/>
          <w:szCs w:val="22"/>
        </w:rPr>
        <w:t>pasivo material</w:t>
      </w:r>
      <w:r w:rsidRPr="00635B67">
        <w:rPr>
          <w:rFonts w:ascii="Verdana" w:hAnsi="Verdana" w:cs="Arial"/>
          <w:sz w:val="22"/>
          <w:szCs w:val="22"/>
        </w:rPr>
        <w:t>, propuestas por las entidades, al considerar que en relación con la FISCALÍA no se comprobó el daño alegado por el actor</w:t>
      </w:r>
      <w:r w:rsidR="007F7AAE" w:rsidRPr="00635B67">
        <w:rPr>
          <w:rFonts w:ascii="Verdana" w:hAnsi="Verdana" w:cs="Arial"/>
          <w:sz w:val="22"/>
          <w:szCs w:val="22"/>
        </w:rPr>
        <w:t>, y en cuanto a la SUPERITENDENCIA n</w:t>
      </w:r>
      <w:r w:rsidR="00002D90" w:rsidRPr="00635B67">
        <w:rPr>
          <w:rFonts w:ascii="Verdana" w:hAnsi="Verdana" w:cs="Arial"/>
          <w:sz w:val="22"/>
          <w:szCs w:val="22"/>
        </w:rPr>
        <w:t>o se logró imputar el mismo, toda vez que</w:t>
      </w:r>
      <w:r w:rsidR="007F7AAE" w:rsidRPr="00635B67">
        <w:rPr>
          <w:rFonts w:ascii="Verdana" w:hAnsi="Verdana" w:cs="Arial"/>
          <w:sz w:val="22"/>
          <w:szCs w:val="22"/>
        </w:rPr>
        <w:t xml:space="preserve"> no se demostró el incumplimiento de sus funciones de inspección, vigilancia y control. Así mismo, en el fallo de primera instancia se declararon probadas las excepciones de </w:t>
      </w:r>
      <w:r w:rsidR="007F7AAE" w:rsidRPr="00635B67">
        <w:rPr>
          <w:rFonts w:ascii="Verdana" w:hAnsi="Verdana" w:cs="Arial"/>
          <w:i/>
          <w:iCs/>
          <w:sz w:val="22"/>
          <w:szCs w:val="22"/>
        </w:rPr>
        <w:t xml:space="preserve">Culpa exclusiva de un tercero </w:t>
      </w:r>
      <w:r w:rsidR="007F7AAE" w:rsidRPr="00635B67">
        <w:rPr>
          <w:rFonts w:ascii="Verdana" w:hAnsi="Verdana" w:cs="Arial"/>
          <w:sz w:val="22"/>
          <w:szCs w:val="22"/>
        </w:rPr>
        <w:t xml:space="preserve">y </w:t>
      </w:r>
      <w:r w:rsidR="007F7AAE" w:rsidRPr="00635B67">
        <w:rPr>
          <w:rFonts w:ascii="Verdana" w:hAnsi="Verdana" w:cs="Arial"/>
          <w:i/>
          <w:iCs/>
          <w:sz w:val="22"/>
          <w:szCs w:val="22"/>
        </w:rPr>
        <w:t xml:space="preserve">Ausencia de responsabilidad </w:t>
      </w:r>
      <w:r w:rsidR="007F7AAE" w:rsidRPr="00635B67">
        <w:rPr>
          <w:rFonts w:ascii="Verdana" w:hAnsi="Verdana" w:cs="Arial"/>
          <w:sz w:val="22"/>
          <w:szCs w:val="22"/>
        </w:rPr>
        <w:t xml:space="preserve">propuestas por la FISCALÍA, por la sencilla razón de que frente a esta parte no se acreditó el daño antijurídico alegado por el actor. Y se declaró probada la excepción consistente en que </w:t>
      </w:r>
      <w:r w:rsidR="007F7AAE" w:rsidRPr="00635B67">
        <w:rPr>
          <w:rFonts w:ascii="Verdana" w:hAnsi="Verdana" w:cs="Arial"/>
          <w:i/>
          <w:iCs/>
          <w:sz w:val="22"/>
          <w:szCs w:val="22"/>
        </w:rPr>
        <w:t xml:space="preserve">No se cumplen los requisitos para derivar responsabilidades por presunta falla o falta en el servicio </w:t>
      </w:r>
      <w:r w:rsidR="007F7AAE" w:rsidRPr="00635B67">
        <w:rPr>
          <w:rFonts w:ascii="Verdana" w:hAnsi="Verdana" w:cs="Arial"/>
          <w:sz w:val="22"/>
          <w:szCs w:val="22"/>
        </w:rPr>
        <w:t>propuesta por la SUPERINTENDENCIA, en razón a que para la época de los hechos no existía la obligación por parte de las Notarías de implementar el sistema de identificación biométrico, y por tanto, la demandada no estaba en la obligación de vigilar, inspeccionar y controlar dicha función y porque no se demostró que el daño</w:t>
      </w:r>
      <w:r w:rsidR="00E73993" w:rsidRPr="00635B67">
        <w:rPr>
          <w:rFonts w:ascii="Verdana" w:hAnsi="Verdana" w:cs="Arial"/>
          <w:sz w:val="22"/>
          <w:szCs w:val="22"/>
        </w:rPr>
        <w:t xml:space="preserve"> fuera atribuible a la entidad (</w:t>
      </w:r>
      <w:proofErr w:type="spellStart"/>
      <w:r w:rsidR="00E73993" w:rsidRPr="00635B67">
        <w:rPr>
          <w:rFonts w:ascii="Verdana" w:hAnsi="Verdana" w:cs="Arial"/>
          <w:sz w:val="22"/>
          <w:szCs w:val="22"/>
        </w:rPr>
        <w:t>fl</w:t>
      </w:r>
      <w:proofErr w:type="spellEnd"/>
      <w:r w:rsidR="00E73993" w:rsidRPr="00635B67">
        <w:rPr>
          <w:rFonts w:ascii="Verdana" w:hAnsi="Verdana" w:cs="Arial"/>
          <w:sz w:val="22"/>
          <w:szCs w:val="22"/>
        </w:rPr>
        <w:t xml:space="preserve">. 601-612). </w:t>
      </w:r>
    </w:p>
    <w:p w14:paraId="74A32E4B" w14:textId="4329C9BA" w:rsidR="00E30DAB" w:rsidRPr="00635B67" w:rsidRDefault="00E30DAB" w:rsidP="007E2035">
      <w:pPr>
        <w:widowControl w:val="0"/>
        <w:autoSpaceDE w:val="0"/>
        <w:autoSpaceDN w:val="0"/>
        <w:adjustRightInd w:val="0"/>
        <w:spacing w:line="360" w:lineRule="auto"/>
        <w:ind w:right="-81"/>
        <w:jc w:val="both"/>
        <w:rPr>
          <w:rFonts w:ascii="Verdana" w:hAnsi="Verdana" w:cs="Arial"/>
          <w:sz w:val="22"/>
          <w:szCs w:val="22"/>
        </w:rPr>
      </w:pPr>
    </w:p>
    <w:p w14:paraId="1FB6FEDB" w14:textId="7AFA8850" w:rsidR="00DB5350" w:rsidRPr="00635B67" w:rsidRDefault="007019C4"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635B67">
        <w:rPr>
          <w:rFonts w:ascii="Verdana" w:hAnsi="Verdana" w:cs="Arial"/>
          <w:b/>
          <w:bCs/>
          <w:i/>
          <w:sz w:val="22"/>
          <w:szCs w:val="22"/>
          <w:u w:val="single"/>
        </w:rPr>
        <w:t>2.3</w:t>
      </w:r>
      <w:r w:rsidR="00736E30" w:rsidRPr="00635B67">
        <w:rPr>
          <w:rFonts w:ascii="Verdana" w:hAnsi="Verdana" w:cs="Arial"/>
          <w:b/>
          <w:bCs/>
          <w:i/>
          <w:sz w:val="22"/>
          <w:szCs w:val="22"/>
          <w:u w:val="single"/>
        </w:rPr>
        <w:t xml:space="preserve">.- </w:t>
      </w:r>
      <w:r w:rsidR="00736E30" w:rsidRPr="00635B67">
        <w:rPr>
          <w:rFonts w:ascii="Verdana" w:hAnsi="Verdana" w:cs="Arial"/>
          <w:b/>
          <w:bCs/>
          <w:i/>
          <w:iCs/>
          <w:sz w:val="22"/>
          <w:szCs w:val="22"/>
          <w:u w:val="single"/>
        </w:rPr>
        <w:t>RECURSO DE APELACIÓN</w:t>
      </w:r>
      <w:r w:rsidR="00736E30" w:rsidRPr="00635B67">
        <w:rPr>
          <w:rFonts w:ascii="Verdana" w:hAnsi="Verdana" w:cs="Arial"/>
          <w:b/>
          <w:bCs/>
          <w:i/>
          <w:sz w:val="22"/>
          <w:szCs w:val="22"/>
          <w:u w:val="single"/>
        </w:rPr>
        <w:t>:</w:t>
      </w:r>
      <w:r w:rsidR="002C4F2D" w:rsidRPr="00635B67">
        <w:rPr>
          <w:rFonts w:ascii="Verdana" w:hAnsi="Verdana" w:cs="Arial"/>
          <w:sz w:val="22"/>
          <w:szCs w:val="22"/>
        </w:rPr>
        <w:t xml:space="preserve"> Inconforme con la </w:t>
      </w:r>
      <w:r w:rsidR="00DB5350" w:rsidRPr="00635B67">
        <w:rPr>
          <w:rFonts w:ascii="Verdana" w:hAnsi="Verdana" w:cs="Arial"/>
          <w:sz w:val="22"/>
          <w:szCs w:val="22"/>
        </w:rPr>
        <w:t xml:space="preserve">sentencia de primera instancia </w:t>
      </w:r>
      <w:r w:rsidR="00396779" w:rsidRPr="00635B67">
        <w:rPr>
          <w:rFonts w:ascii="Verdana" w:hAnsi="Verdana" w:cs="Arial"/>
          <w:sz w:val="22"/>
          <w:szCs w:val="22"/>
        </w:rPr>
        <w:t xml:space="preserve">la </w:t>
      </w:r>
      <w:r w:rsidR="006B0B3A" w:rsidRPr="00635B67">
        <w:rPr>
          <w:rFonts w:ascii="Verdana" w:hAnsi="Verdana" w:cs="Arial"/>
          <w:sz w:val="22"/>
          <w:szCs w:val="22"/>
        </w:rPr>
        <w:t>parte actora interpuso</w:t>
      </w:r>
      <w:r w:rsidR="00396779" w:rsidRPr="00635B67">
        <w:rPr>
          <w:rFonts w:ascii="Verdana" w:hAnsi="Verdana" w:cs="Arial"/>
          <w:sz w:val="22"/>
          <w:szCs w:val="22"/>
        </w:rPr>
        <w:t xml:space="preserve"> recurso de apelaci</w:t>
      </w:r>
      <w:r w:rsidR="00CB52EB" w:rsidRPr="00635B67">
        <w:rPr>
          <w:rFonts w:ascii="Verdana" w:hAnsi="Verdana" w:cs="Arial"/>
          <w:sz w:val="22"/>
          <w:szCs w:val="22"/>
        </w:rPr>
        <w:t>ón</w:t>
      </w:r>
      <w:r w:rsidR="00E511C3" w:rsidRPr="00635B67">
        <w:rPr>
          <w:rFonts w:ascii="Verdana" w:hAnsi="Verdana" w:cs="Arial"/>
          <w:sz w:val="22"/>
          <w:szCs w:val="22"/>
        </w:rPr>
        <w:t xml:space="preserve"> </w:t>
      </w:r>
      <w:r w:rsidR="00DB5350" w:rsidRPr="00635B67">
        <w:rPr>
          <w:rFonts w:ascii="Verdana" w:hAnsi="Verdana" w:cs="Arial"/>
          <w:sz w:val="22"/>
          <w:szCs w:val="22"/>
        </w:rPr>
        <w:t xml:space="preserve">solicitando la revocatoria y que en consecuencia se acceda a las pretensiones de la demanda. </w:t>
      </w:r>
    </w:p>
    <w:p w14:paraId="1E54778F" w14:textId="77777777" w:rsidR="0099766E" w:rsidRPr="00635B67" w:rsidRDefault="0099766E" w:rsidP="0099766E">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1F9EF329" w14:textId="16EFF761" w:rsidR="0099766E" w:rsidRPr="00635B67" w:rsidRDefault="0099766E" w:rsidP="0099766E">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635B67">
        <w:rPr>
          <w:rFonts w:ascii="Verdana" w:hAnsi="Verdana" w:cs="Arial"/>
          <w:sz w:val="22"/>
          <w:szCs w:val="22"/>
        </w:rPr>
        <w:t>Plantea la apelante</w:t>
      </w:r>
      <w:r w:rsidR="45D2E286" w:rsidRPr="00635B67">
        <w:rPr>
          <w:rFonts w:ascii="Verdana" w:hAnsi="Verdana" w:cs="Arial"/>
          <w:sz w:val="22"/>
          <w:szCs w:val="22"/>
        </w:rPr>
        <w:t>,</w:t>
      </w:r>
      <w:r w:rsidRPr="00635B67">
        <w:rPr>
          <w:rFonts w:ascii="Verdana" w:hAnsi="Verdana" w:cs="Arial"/>
          <w:sz w:val="22"/>
          <w:szCs w:val="22"/>
        </w:rPr>
        <w:t xml:space="preserve"> en primera medida</w:t>
      </w:r>
      <w:r w:rsidR="77989327" w:rsidRPr="00635B67">
        <w:rPr>
          <w:rFonts w:ascii="Verdana" w:hAnsi="Verdana" w:cs="Arial"/>
          <w:sz w:val="22"/>
          <w:szCs w:val="22"/>
        </w:rPr>
        <w:t>,</w:t>
      </w:r>
      <w:r w:rsidRPr="00635B67">
        <w:rPr>
          <w:rFonts w:ascii="Verdana" w:hAnsi="Verdana" w:cs="Arial"/>
          <w:sz w:val="22"/>
          <w:szCs w:val="22"/>
        </w:rPr>
        <w:t xml:space="preserve"> que no era dable declarar probadas las excepciones de falta de legitimación en la causa por pasiva y culpa exclusiva de un tercero. </w:t>
      </w:r>
    </w:p>
    <w:p w14:paraId="3F0977A4" w14:textId="77777777" w:rsidR="0099766E" w:rsidRPr="00635B67" w:rsidRDefault="0099766E"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4B36F0A4" w14:textId="2ED505F4" w:rsidR="00EB1E0A" w:rsidRPr="00635B67" w:rsidRDefault="00DB5350"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635B67">
        <w:rPr>
          <w:rFonts w:ascii="Verdana" w:hAnsi="Verdana" w:cs="Arial"/>
          <w:sz w:val="22"/>
          <w:szCs w:val="22"/>
        </w:rPr>
        <w:t>Dentro de los motivos de inconformidad,</w:t>
      </w:r>
      <w:r w:rsidR="0099766E" w:rsidRPr="00635B67">
        <w:rPr>
          <w:rFonts w:ascii="Verdana" w:hAnsi="Verdana" w:cs="Arial"/>
          <w:sz w:val="22"/>
          <w:szCs w:val="22"/>
        </w:rPr>
        <w:t xml:space="preserve"> afirmó que hubo un defectuoso funcionamiento en el servicio público notarial y la actividad de supervisión de la SUPERINTENDENCIA DE NOTARIADO Y REGISTRO</w:t>
      </w:r>
      <w:r w:rsidR="009615F1" w:rsidRPr="00635B67">
        <w:rPr>
          <w:rFonts w:ascii="Verdana" w:hAnsi="Verdana" w:cs="Arial"/>
          <w:sz w:val="22"/>
          <w:szCs w:val="22"/>
        </w:rPr>
        <w:t>, en tanto que, a su juicio, el 5 de febrero de 2010, fecha en que el hoy demandante RODOLFO CONCISIÓN GARCÍA y la</w:t>
      </w:r>
      <w:r w:rsidR="00002D90" w:rsidRPr="00635B67">
        <w:rPr>
          <w:rFonts w:ascii="Verdana" w:hAnsi="Verdana" w:cs="Arial"/>
          <w:sz w:val="22"/>
          <w:szCs w:val="22"/>
        </w:rPr>
        <w:t xml:space="preserve"> supuesta ROSALBA ALARCÓN CORREA</w:t>
      </w:r>
      <w:r w:rsidR="009615F1" w:rsidRPr="00635B67">
        <w:rPr>
          <w:rFonts w:ascii="Verdana" w:hAnsi="Verdana" w:cs="Arial"/>
          <w:sz w:val="22"/>
          <w:szCs w:val="22"/>
        </w:rPr>
        <w:t xml:space="preserve"> suscribieron la escritura pública de hipoteca No. 0134 sobre el inmueble No. 095-81166, se ejecutó una prestación del servicio público de notariado defectuosa, se configuró una irregularidad en el funcionamiento del aparato estatal a través de la actividad desarrollada por la Notaría Primera del Circulo de Sogamoso</w:t>
      </w:r>
      <w:r w:rsidR="0099766E" w:rsidRPr="00635B67">
        <w:rPr>
          <w:rFonts w:ascii="Verdana" w:hAnsi="Verdana" w:cs="Arial"/>
          <w:sz w:val="22"/>
          <w:szCs w:val="22"/>
        </w:rPr>
        <w:t xml:space="preserve"> (sic)</w:t>
      </w:r>
      <w:r w:rsidR="009615F1" w:rsidRPr="00635B67">
        <w:rPr>
          <w:rFonts w:ascii="Verdana" w:hAnsi="Verdana" w:cs="Arial"/>
          <w:sz w:val="22"/>
          <w:szCs w:val="22"/>
        </w:rPr>
        <w:t xml:space="preserve">, como quiera que esta debió, en su calidad de garante de la fe pública, verificar sin lugar a equivoco la identidad de la persona que se presentó en su momento como ROSALBA ALARCÓN CORREA (sic). </w:t>
      </w:r>
      <w:r w:rsidR="009615F1" w:rsidRPr="00635B67">
        <w:rPr>
          <w:rFonts w:ascii="Verdana" w:hAnsi="Verdana" w:cs="Arial"/>
          <w:sz w:val="22"/>
          <w:szCs w:val="22"/>
        </w:rPr>
        <w:lastRenderedPageBreak/>
        <w:t>Adujo que el aquí demandante depositó su confianza en la Notaría, y es en esa omisión de identificación plena de la persona que comparece a suscribir la escritura en donde radica la falla del servicio público, lo que conllev</w:t>
      </w:r>
      <w:r w:rsidR="6A873D3C" w:rsidRPr="00635B67">
        <w:rPr>
          <w:rFonts w:ascii="Verdana" w:hAnsi="Verdana" w:cs="Arial"/>
          <w:sz w:val="22"/>
          <w:szCs w:val="22"/>
        </w:rPr>
        <w:t>ó</w:t>
      </w:r>
      <w:r w:rsidR="009615F1" w:rsidRPr="00635B67">
        <w:rPr>
          <w:rFonts w:ascii="Verdana" w:hAnsi="Verdana" w:cs="Arial"/>
          <w:sz w:val="22"/>
          <w:szCs w:val="22"/>
        </w:rPr>
        <w:t xml:space="preserve"> a ocasionar un daño </w:t>
      </w:r>
      <w:r w:rsidR="00EB1E0A" w:rsidRPr="00635B67">
        <w:rPr>
          <w:rFonts w:ascii="Verdana" w:hAnsi="Verdana" w:cs="Arial"/>
          <w:sz w:val="22"/>
          <w:szCs w:val="22"/>
        </w:rPr>
        <w:t xml:space="preserve">al actor, pues este confió plenamente en los actos notariales de verificación de identidad de la señora ROSALBA ALARCÓN CORREA, y es así que de buena fe suscribió la escritura pública (sic). </w:t>
      </w:r>
    </w:p>
    <w:p w14:paraId="503ECB91" w14:textId="7FE01173" w:rsidR="00EB1E0A" w:rsidRPr="00635B67" w:rsidRDefault="00EB1E0A"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635B67">
        <w:rPr>
          <w:rFonts w:ascii="Verdana" w:hAnsi="Verdana" w:cs="Arial"/>
          <w:sz w:val="22"/>
          <w:szCs w:val="22"/>
        </w:rPr>
        <w:br/>
        <w:t>Adujo que la actividad notarial y el servicio público que prestan las Notarías de otorgamiento de la fe pública genera en los usuarios seguridad en cuanto a la realización de los negocios jurídicos, hecho este que fue aceptado por el Juez de instancia (sic), y</w:t>
      </w:r>
      <w:r w:rsidR="00E60084" w:rsidRPr="00635B67">
        <w:rPr>
          <w:rFonts w:ascii="Verdana" w:hAnsi="Verdana" w:cs="Arial"/>
          <w:sz w:val="22"/>
          <w:szCs w:val="22"/>
        </w:rPr>
        <w:t>,</w:t>
      </w:r>
      <w:r w:rsidRPr="00635B67">
        <w:rPr>
          <w:rFonts w:ascii="Verdana" w:hAnsi="Verdana" w:cs="Arial"/>
          <w:sz w:val="22"/>
          <w:szCs w:val="22"/>
        </w:rPr>
        <w:t xml:space="preserve"> por tanto, considera que las Notarías deben desarrollar la función con especial y objetivo cuidado (sic).</w:t>
      </w:r>
    </w:p>
    <w:p w14:paraId="466D094C" w14:textId="77777777" w:rsidR="00EB1E0A" w:rsidRPr="00635B67" w:rsidRDefault="00EB1E0A"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6C98C2CE" w14:textId="27974ACB" w:rsidR="00C3566A" w:rsidRPr="00635B67" w:rsidRDefault="00EB1E0A"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635B67">
        <w:rPr>
          <w:rFonts w:ascii="Verdana" w:hAnsi="Verdana" w:cs="Arial"/>
          <w:sz w:val="22"/>
          <w:szCs w:val="22"/>
        </w:rPr>
        <w:t>Afirma que, contrario a lo considerado por el fallador, en el presente asunto la falla en el servicio notarial se produjo por tanto no se verificó y corroboró</w:t>
      </w:r>
      <w:r w:rsidR="00C3566A" w:rsidRPr="00635B67">
        <w:rPr>
          <w:rFonts w:ascii="Verdana" w:hAnsi="Verdana" w:cs="Arial"/>
          <w:sz w:val="22"/>
          <w:szCs w:val="22"/>
        </w:rPr>
        <w:t>,</w:t>
      </w:r>
      <w:r w:rsidRPr="00635B67">
        <w:rPr>
          <w:rFonts w:ascii="Verdana" w:hAnsi="Verdana" w:cs="Arial"/>
          <w:sz w:val="22"/>
          <w:szCs w:val="22"/>
        </w:rPr>
        <w:t xml:space="preserve"> por otros medios distintos al de la identificación biométrica</w:t>
      </w:r>
      <w:r w:rsidR="00C3566A" w:rsidRPr="00635B67">
        <w:rPr>
          <w:rFonts w:ascii="Verdana" w:hAnsi="Verdana" w:cs="Arial"/>
          <w:sz w:val="22"/>
          <w:szCs w:val="22"/>
        </w:rPr>
        <w:t>,</w:t>
      </w:r>
      <w:r w:rsidRPr="00635B67">
        <w:rPr>
          <w:rFonts w:ascii="Verdana" w:hAnsi="Verdana" w:cs="Arial"/>
          <w:sz w:val="22"/>
          <w:szCs w:val="22"/>
        </w:rPr>
        <w:t xml:space="preserve"> la identidad de quien se presentó como ROSALBA ALARCÓN CORREA, quien suscribió la escritura pública de hipoteca No. 0134</w:t>
      </w:r>
      <w:r w:rsidR="00C3566A" w:rsidRPr="00635B67">
        <w:rPr>
          <w:rFonts w:ascii="Verdana" w:hAnsi="Verdana" w:cs="Arial"/>
          <w:sz w:val="22"/>
          <w:szCs w:val="22"/>
        </w:rPr>
        <w:t xml:space="preserve">, pues es deber jurídico evitar un resultado lesivo dada la calidad de garante (sic). </w:t>
      </w:r>
    </w:p>
    <w:p w14:paraId="0F4D210D" w14:textId="77777777" w:rsidR="00C3566A" w:rsidRPr="00635B67" w:rsidRDefault="00C3566A"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53E203B1" w14:textId="79668958" w:rsidR="00347D1C" w:rsidRPr="00635B67" w:rsidRDefault="00C3566A" w:rsidP="00347D1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635B67">
        <w:rPr>
          <w:rFonts w:ascii="Verdana" w:hAnsi="Verdana" w:cs="Arial"/>
          <w:sz w:val="22"/>
          <w:szCs w:val="22"/>
        </w:rPr>
        <w:t xml:space="preserve">Adujo que la falla del servicio por parte de la SUPERINTENDENCIA DE NOTARIADO Y REGISTRO radica en que, a juicio de la apelante, </w:t>
      </w:r>
      <w:r w:rsidR="04CE3440" w:rsidRPr="00635B67">
        <w:rPr>
          <w:rFonts w:ascii="Verdana" w:hAnsi="Verdana" w:cs="Arial"/>
          <w:sz w:val="22"/>
          <w:szCs w:val="22"/>
        </w:rPr>
        <w:t>é</w:t>
      </w:r>
      <w:r w:rsidR="00347D1C" w:rsidRPr="00635B67">
        <w:rPr>
          <w:rFonts w:ascii="Verdana" w:hAnsi="Verdana" w:cs="Arial"/>
          <w:sz w:val="22"/>
          <w:szCs w:val="22"/>
        </w:rPr>
        <w:t xml:space="preserve">sta como garante del servicio notarial presentó falla en su gestión y servicio de inspección y control, pues permitió que la Notaría Primera del Círculo de Sogamoso prestara un servicio ineficiente, pues dio fe erróneamente frente a la identificación de una persona (sic), y por tanto considera que dicha entidad si está legitimada en la causa por pasiva, pues tiene el deber de satisfacer el derecho reclamado por los daños y perjuicios ocasionados al actor, pues no cumplió su función de control y regulación de la actividad notarial (sic). </w:t>
      </w:r>
    </w:p>
    <w:p w14:paraId="6E9C9F80" w14:textId="5CAEC2F6" w:rsidR="00347D1C" w:rsidRPr="00635B67" w:rsidRDefault="00347D1C" w:rsidP="00347D1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377A51CD" w14:textId="611E5B87" w:rsidR="00347D1C" w:rsidRPr="00635B67" w:rsidRDefault="00347D1C" w:rsidP="00347D1C">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635B67">
        <w:rPr>
          <w:rFonts w:ascii="Verdana" w:hAnsi="Verdana" w:cs="Arial"/>
          <w:sz w:val="22"/>
          <w:szCs w:val="22"/>
        </w:rPr>
        <w:t xml:space="preserve">Adujo que en el presente asunto se configuran los elementos para la declaratoria de responsabilidad administrativa, toda vez que se acreditó el daño antijurídico, el cual fue aceptado por el </w:t>
      </w:r>
      <w:r w:rsidRPr="00635B67">
        <w:rPr>
          <w:rFonts w:ascii="Verdana" w:hAnsi="Verdana" w:cs="Arial"/>
          <w:i/>
          <w:iCs/>
          <w:sz w:val="22"/>
          <w:szCs w:val="22"/>
        </w:rPr>
        <w:t>a quo</w:t>
      </w:r>
      <w:r w:rsidRPr="00635B67">
        <w:rPr>
          <w:rFonts w:ascii="Verdana" w:hAnsi="Verdana" w:cs="Arial"/>
          <w:sz w:val="22"/>
          <w:szCs w:val="22"/>
        </w:rPr>
        <w:t>, existe un hecho generador del daño, que se configura en el momento en que la Notaría Primera del Circulo de Sogamoso</w:t>
      </w:r>
      <w:r w:rsidR="1E515B95" w:rsidRPr="00635B67">
        <w:rPr>
          <w:rFonts w:ascii="Verdana" w:hAnsi="Verdana" w:cs="Arial"/>
          <w:sz w:val="22"/>
          <w:szCs w:val="22"/>
        </w:rPr>
        <w:t>,</w:t>
      </w:r>
      <w:r w:rsidRPr="00635B67">
        <w:rPr>
          <w:rFonts w:ascii="Verdana" w:hAnsi="Verdana" w:cs="Arial"/>
          <w:sz w:val="22"/>
          <w:szCs w:val="22"/>
        </w:rPr>
        <w:t xml:space="preserve"> el 5 de febrero de 2010</w:t>
      </w:r>
      <w:r w:rsidR="1BB9D286" w:rsidRPr="00635B67">
        <w:rPr>
          <w:rFonts w:ascii="Verdana" w:hAnsi="Verdana" w:cs="Arial"/>
          <w:sz w:val="22"/>
          <w:szCs w:val="22"/>
        </w:rPr>
        <w:t>,</w:t>
      </w:r>
      <w:r w:rsidRPr="00635B67">
        <w:rPr>
          <w:rFonts w:ascii="Verdana" w:hAnsi="Verdana" w:cs="Arial"/>
          <w:sz w:val="22"/>
          <w:szCs w:val="22"/>
        </w:rPr>
        <w:t xml:space="preserve"> prestó el servicio notarial de manera irregular y defectuosa, sin corroborar la identidad e identificación </w:t>
      </w:r>
      <w:r w:rsidR="009310D9" w:rsidRPr="00635B67">
        <w:rPr>
          <w:rFonts w:ascii="Verdana" w:hAnsi="Verdana" w:cs="Arial"/>
          <w:sz w:val="22"/>
          <w:szCs w:val="22"/>
        </w:rPr>
        <w:t xml:space="preserve">de quien con maniobras fraudulentas se presentó como ROSALBA ALARCÓN CORREA, al suscribir la escritura pública No. </w:t>
      </w:r>
      <w:r w:rsidR="009310D9" w:rsidRPr="00635B67">
        <w:rPr>
          <w:rFonts w:ascii="Verdana" w:hAnsi="Verdana" w:cs="Arial"/>
          <w:sz w:val="22"/>
          <w:szCs w:val="22"/>
        </w:rPr>
        <w:lastRenderedPageBreak/>
        <w:t>0134. Y finalmente existe el nexo causal, pues el daño causado al actor tiene su origen en la actuación deficiente e irregular que prestó la NOTARÍA PRIMERA DEL CÍRCULO DE SOGAMOSO y la SUPERINTE</w:t>
      </w:r>
      <w:r w:rsidR="008B0EF1" w:rsidRPr="00635B67">
        <w:rPr>
          <w:rFonts w:ascii="Verdana" w:hAnsi="Verdana" w:cs="Arial"/>
          <w:sz w:val="22"/>
          <w:szCs w:val="22"/>
        </w:rPr>
        <w:t>NDENCIA DE NOTARIADO Y REGISTRO (</w:t>
      </w:r>
      <w:proofErr w:type="spellStart"/>
      <w:r w:rsidR="008B0EF1" w:rsidRPr="00635B67">
        <w:rPr>
          <w:rFonts w:ascii="Verdana" w:hAnsi="Verdana" w:cs="Arial"/>
          <w:sz w:val="22"/>
          <w:szCs w:val="22"/>
        </w:rPr>
        <w:t>fl</w:t>
      </w:r>
      <w:proofErr w:type="spellEnd"/>
      <w:r w:rsidR="008B0EF1" w:rsidRPr="00635B67">
        <w:rPr>
          <w:rFonts w:ascii="Verdana" w:hAnsi="Verdana" w:cs="Arial"/>
          <w:sz w:val="22"/>
          <w:szCs w:val="22"/>
        </w:rPr>
        <w:t xml:space="preserve">. 617-626). </w:t>
      </w:r>
      <w:r w:rsidR="009310D9" w:rsidRPr="00635B67">
        <w:rPr>
          <w:rFonts w:ascii="Verdana" w:hAnsi="Verdana" w:cs="Arial"/>
          <w:sz w:val="22"/>
          <w:szCs w:val="22"/>
        </w:rPr>
        <w:t xml:space="preserve"> </w:t>
      </w:r>
      <w:r w:rsidRPr="00635B67">
        <w:rPr>
          <w:rFonts w:ascii="Verdana" w:hAnsi="Verdana" w:cs="Arial"/>
          <w:sz w:val="22"/>
          <w:szCs w:val="22"/>
        </w:rPr>
        <w:t xml:space="preserve">  </w:t>
      </w:r>
    </w:p>
    <w:p w14:paraId="123D7A35" w14:textId="77777777" w:rsidR="00347D1C" w:rsidRPr="00635B67" w:rsidRDefault="00347D1C" w:rsidP="00347D1C">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6D98A12B" w14:textId="4B2909D5" w:rsidR="0053049D" w:rsidRPr="00635B67" w:rsidRDefault="00911438" w:rsidP="6DAD1D68">
      <w:pPr>
        <w:tabs>
          <w:tab w:val="left" w:pos="144"/>
          <w:tab w:val="left" w:pos="540"/>
        </w:tabs>
        <w:autoSpaceDE w:val="0"/>
        <w:autoSpaceDN w:val="0"/>
        <w:adjustRightInd w:val="0"/>
        <w:spacing w:line="360" w:lineRule="auto"/>
        <w:ind w:right="-81"/>
        <w:jc w:val="both"/>
        <w:rPr>
          <w:rFonts w:ascii="Verdana" w:hAnsi="Verdana" w:cs="Arial"/>
          <w:sz w:val="22"/>
          <w:szCs w:val="22"/>
        </w:rPr>
      </w:pPr>
      <w:r w:rsidRPr="00635B67">
        <w:rPr>
          <w:rFonts w:ascii="Verdana" w:hAnsi="Verdana" w:cs="Arial"/>
          <w:b/>
          <w:bCs/>
          <w:i/>
          <w:iCs/>
          <w:sz w:val="22"/>
          <w:szCs w:val="22"/>
          <w:u w:val="single"/>
        </w:rPr>
        <w:t>2.4</w:t>
      </w:r>
      <w:r w:rsidR="00736E30" w:rsidRPr="00635B67">
        <w:rPr>
          <w:rFonts w:ascii="Verdana" w:hAnsi="Verdana" w:cs="Arial"/>
          <w:b/>
          <w:bCs/>
          <w:i/>
          <w:iCs/>
          <w:sz w:val="22"/>
          <w:szCs w:val="22"/>
          <w:u w:val="single"/>
        </w:rPr>
        <w:t xml:space="preserve">.- </w:t>
      </w:r>
      <w:r w:rsidRPr="00635B67">
        <w:rPr>
          <w:rFonts w:ascii="Verdana" w:hAnsi="Verdana" w:cs="Arial"/>
          <w:b/>
          <w:bCs/>
          <w:i/>
          <w:iCs/>
          <w:sz w:val="22"/>
          <w:szCs w:val="22"/>
          <w:u w:val="single"/>
        </w:rPr>
        <w:t>TRÁMITE SURTIDO EN LA SEGUNDA INSTANCIA</w:t>
      </w:r>
      <w:r w:rsidR="00736E30" w:rsidRPr="00635B67">
        <w:rPr>
          <w:rFonts w:ascii="Verdana" w:hAnsi="Verdana" w:cs="Arial"/>
          <w:b/>
          <w:bCs/>
          <w:i/>
          <w:iCs/>
          <w:sz w:val="22"/>
          <w:szCs w:val="22"/>
          <w:u w:val="single"/>
        </w:rPr>
        <w:t>:</w:t>
      </w:r>
      <w:r w:rsidR="00736E30" w:rsidRPr="00635B67">
        <w:rPr>
          <w:rFonts w:ascii="Verdana" w:hAnsi="Verdana" w:cs="Arial"/>
          <w:b/>
          <w:bCs/>
          <w:sz w:val="22"/>
          <w:szCs w:val="22"/>
        </w:rPr>
        <w:t xml:space="preserve"> </w:t>
      </w:r>
      <w:r w:rsidR="00736E30" w:rsidRPr="00635B67">
        <w:rPr>
          <w:rFonts w:ascii="Verdana" w:hAnsi="Verdana" w:cs="Arial"/>
          <w:sz w:val="22"/>
          <w:szCs w:val="22"/>
        </w:rPr>
        <w:t xml:space="preserve">Una vez concedido en la primera instancia </w:t>
      </w:r>
      <w:r w:rsidR="006934E2" w:rsidRPr="00635B67">
        <w:rPr>
          <w:rFonts w:ascii="Verdana" w:hAnsi="Verdana" w:cs="Arial"/>
          <w:sz w:val="22"/>
          <w:szCs w:val="22"/>
        </w:rPr>
        <w:t>el recurso de apelación interpuesto por la parte actora</w:t>
      </w:r>
      <w:r w:rsidR="00736E30" w:rsidRPr="00635B67">
        <w:rPr>
          <w:rFonts w:ascii="Verdana" w:hAnsi="Verdana" w:cs="Arial"/>
          <w:sz w:val="22"/>
          <w:szCs w:val="22"/>
        </w:rPr>
        <w:t xml:space="preserve"> (</w:t>
      </w:r>
      <w:proofErr w:type="spellStart"/>
      <w:r w:rsidR="00736E30" w:rsidRPr="00635B67">
        <w:rPr>
          <w:rFonts w:ascii="Verdana" w:hAnsi="Verdana" w:cs="Arial"/>
          <w:sz w:val="22"/>
          <w:szCs w:val="22"/>
        </w:rPr>
        <w:t>fl</w:t>
      </w:r>
      <w:proofErr w:type="spellEnd"/>
      <w:r w:rsidR="00736E30" w:rsidRPr="00635B67">
        <w:rPr>
          <w:rFonts w:ascii="Verdana" w:hAnsi="Verdana" w:cs="Arial"/>
          <w:sz w:val="22"/>
          <w:szCs w:val="22"/>
        </w:rPr>
        <w:t xml:space="preserve">. </w:t>
      </w:r>
      <w:r w:rsidR="009310D9" w:rsidRPr="00635B67">
        <w:rPr>
          <w:rFonts w:ascii="Verdana" w:hAnsi="Verdana" w:cs="Arial"/>
          <w:sz w:val="22"/>
          <w:szCs w:val="22"/>
        </w:rPr>
        <w:t>628</w:t>
      </w:r>
      <w:r w:rsidR="00736E30" w:rsidRPr="00635B67">
        <w:rPr>
          <w:rFonts w:ascii="Verdana" w:hAnsi="Verdana" w:cs="Arial"/>
          <w:sz w:val="22"/>
          <w:szCs w:val="22"/>
        </w:rPr>
        <w:t xml:space="preserve">), esta Corporación dispuso su admisión, </w:t>
      </w:r>
      <w:r w:rsidR="00EE4DD1" w:rsidRPr="00635B67">
        <w:rPr>
          <w:rFonts w:ascii="Verdana" w:hAnsi="Verdana" w:cs="Arial"/>
          <w:sz w:val="22"/>
          <w:szCs w:val="22"/>
        </w:rPr>
        <w:t>y ordenó</w:t>
      </w:r>
      <w:r w:rsidR="00736E30" w:rsidRPr="00635B67">
        <w:rPr>
          <w:rFonts w:ascii="Verdana" w:hAnsi="Verdana" w:cs="Arial"/>
          <w:sz w:val="22"/>
          <w:szCs w:val="22"/>
        </w:rPr>
        <w:t xml:space="preserve"> notificar personalmente dicha decisión al Agente del Ministerio Público (</w:t>
      </w:r>
      <w:proofErr w:type="spellStart"/>
      <w:r w:rsidR="00736E30" w:rsidRPr="00635B67">
        <w:rPr>
          <w:rFonts w:ascii="Verdana" w:hAnsi="Verdana" w:cs="Arial"/>
          <w:sz w:val="22"/>
          <w:szCs w:val="22"/>
        </w:rPr>
        <w:t>fl</w:t>
      </w:r>
      <w:proofErr w:type="spellEnd"/>
      <w:r w:rsidR="00736E30" w:rsidRPr="00635B67">
        <w:rPr>
          <w:rFonts w:ascii="Verdana" w:hAnsi="Verdana" w:cs="Arial"/>
          <w:sz w:val="22"/>
          <w:szCs w:val="22"/>
        </w:rPr>
        <w:t>.</w:t>
      </w:r>
      <w:r w:rsidR="006934E2" w:rsidRPr="00635B67">
        <w:rPr>
          <w:rFonts w:ascii="Verdana" w:hAnsi="Verdana" w:cs="Arial"/>
          <w:sz w:val="22"/>
          <w:szCs w:val="22"/>
        </w:rPr>
        <w:t xml:space="preserve"> </w:t>
      </w:r>
      <w:r w:rsidR="009310D9" w:rsidRPr="00635B67">
        <w:rPr>
          <w:rFonts w:ascii="Verdana" w:hAnsi="Verdana" w:cs="Arial"/>
          <w:sz w:val="22"/>
          <w:szCs w:val="22"/>
        </w:rPr>
        <w:t>638</w:t>
      </w:r>
      <w:r w:rsidR="00736E30" w:rsidRPr="00635B67">
        <w:rPr>
          <w:rFonts w:ascii="Verdana" w:hAnsi="Verdana" w:cs="Arial"/>
          <w:sz w:val="22"/>
          <w:szCs w:val="22"/>
        </w:rPr>
        <w:t>); seguidamente, se ordenó la presentación de alegatos de conclusión por escrito, dentro de los diez días siguientes a la notificación de esa providencia (</w:t>
      </w:r>
      <w:proofErr w:type="spellStart"/>
      <w:r w:rsidR="00736E30" w:rsidRPr="00635B67">
        <w:rPr>
          <w:rFonts w:ascii="Verdana" w:hAnsi="Verdana" w:cs="Arial"/>
          <w:sz w:val="22"/>
          <w:szCs w:val="22"/>
        </w:rPr>
        <w:t>fl</w:t>
      </w:r>
      <w:proofErr w:type="spellEnd"/>
      <w:r w:rsidR="00736E30" w:rsidRPr="00635B67">
        <w:rPr>
          <w:rFonts w:ascii="Verdana" w:hAnsi="Verdana" w:cs="Arial"/>
          <w:sz w:val="22"/>
          <w:szCs w:val="22"/>
        </w:rPr>
        <w:t xml:space="preserve">. </w:t>
      </w:r>
      <w:r w:rsidR="009310D9" w:rsidRPr="00635B67">
        <w:rPr>
          <w:rFonts w:ascii="Verdana" w:hAnsi="Verdana" w:cs="Arial"/>
          <w:sz w:val="22"/>
          <w:szCs w:val="22"/>
        </w:rPr>
        <w:t>642</w:t>
      </w:r>
      <w:r w:rsidR="00736E30" w:rsidRPr="00635B67">
        <w:rPr>
          <w:rFonts w:ascii="Verdana" w:hAnsi="Verdana" w:cs="Arial"/>
          <w:sz w:val="22"/>
          <w:szCs w:val="22"/>
        </w:rPr>
        <w:t>)</w:t>
      </w:r>
      <w:r w:rsidR="00EE4DD1" w:rsidRPr="00635B67">
        <w:rPr>
          <w:rFonts w:ascii="Verdana" w:hAnsi="Verdana" w:cs="Arial"/>
          <w:sz w:val="22"/>
          <w:szCs w:val="22"/>
        </w:rPr>
        <w:t xml:space="preserve">, término dentro del cual </w:t>
      </w:r>
      <w:r w:rsidR="0053049D" w:rsidRPr="00635B67">
        <w:rPr>
          <w:rFonts w:ascii="Verdana" w:hAnsi="Verdana" w:cs="Arial"/>
          <w:sz w:val="22"/>
          <w:szCs w:val="22"/>
        </w:rPr>
        <w:t>el</w:t>
      </w:r>
      <w:r w:rsidR="009310D9" w:rsidRPr="00635B67">
        <w:rPr>
          <w:rFonts w:ascii="Verdana" w:hAnsi="Verdana" w:cs="Arial"/>
          <w:sz w:val="22"/>
          <w:szCs w:val="22"/>
        </w:rPr>
        <w:t xml:space="preserve"> Delegado del Ministerio Público rindió su concepto (</w:t>
      </w:r>
      <w:proofErr w:type="spellStart"/>
      <w:r w:rsidR="009310D9" w:rsidRPr="00635B67">
        <w:rPr>
          <w:rFonts w:ascii="Verdana" w:hAnsi="Verdana" w:cs="Arial"/>
          <w:sz w:val="22"/>
          <w:szCs w:val="22"/>
        </w:rPr>
        <w:t>fl</w:t>
      </w:r>
      <w:proofErr w:type="spellEnd"/>
      <w:r w:rsidR="009310D9" w:rsidRPr="00635B67">
        <w:rPr>
          <w:rFonts w:ascii="Verdana" w:hAnsi="Verdana" w:cs="Arial"/>
          <w:sz w:val="22"/>
          <w:szCs w:val="22"/>
        </w:rPr>
        <w:t>. 646-</w:t>
      </w:r>
      <w:r w:rsidR="00505A08" w:rsidRPr="00635B67">
        <w:rPr>
          <w:rFonts w:ascii="Verdana" w:hAnsi="Verdana" w:cs="Arial"/>
          <w:sz w:val="22"/>
          <w:szCs w:val="22"/>
        </w:rPr>
        <w:t>650)</w:t>
      </w:r>
      <w:r w:rsidR="32B5EE56" w:rsidRPr="00635B67">
        <w:rPr>
          <w:rFonts w:ascii="Verdana" w:hAnsi="Verdana" w:cs="Arial"/>
          <w:sz w:val="22"/>
          <w:szCs w:val="22"/>
        </w:rPr>
        <w:t>. L</w:t>
      </w:r>
      <w:r w:rsidR="00505A08" w:rsidRPr="00635B67">
        <w:rPr>
          <w:rFonts w:ascii="Verdana" w:hAnsi="Verdana" w:cs="Arial"/>
          <w:sz w:val="22"/>
          <w:szCs w:val="22"/>
        </w:rPr>
        <w:t>a apoderada judicial del actor presentó alegatos de segunda instancia (</w:t>
      </w:r>
      <w:proofErr w:type="spellStart"/>
      <w:r w:rsidR="00505A08" w:rsidRPr="00635B67">
        <w:rPr>
          <w:rFonts w:ascii="Verdana" w:hAnsi="Verdana" w:cs="Arial"/>
          <w:sz w:val="22"/>
          <w:szCs w:val="22"/>
        </w:rPr>
        <w:t>fl</w:t>
      </w:r>
      <w:proofErr w:type="spellEnd"/>
      <w:r w:rsidR="00505A08" w:rsidRPr="00635B67">
        <w:rPr>
          <w:rFonts w:ascii="Verdana" w:hAnsi="Verdana" w:cs="Arial"/>
          <w:sz w:val="22"/>
          <w:szCs w:val="22"/>
        </w:rPr>
        <w:t xml:space="preserve">. 652-654). </w:t>
      </w:r>
    </w:p>
    <w:p w14:paraId="1941425D" w14:textId="77777777" w:rsidR="00505A08" w:rsidRPr="00635B67" w:rsidRDefault="00505A08" w:rsidP="007E2035">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23DEBE3D" w14:textId="7C420E52" w:rsidR="0053049D" w:rsidRPr="00635B67" w:rsidRDefault="0053049D"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Por su parte el apoderado judicial de la demandada</w:t>
      </w:r>
      <w:r w:rsidR="00505A08" w:rsidRPr="00635B67">
        <w:rPr>
          <w:rFonts w:ascii="Verdana" w:hAnsi="Verdana" w:cs="Arial"/>
          <w:sz w:val="22"/>
          <w:szCs w:val="22"/>
        </w:rPr>
        <w:t xml:space="preserve"> guardó silencio </w:t>
      </w:r>
      <w:r w:rsidRPr="00635B67">
        <w:rPr>
          <w:rFonts w:ascii="Verdana" w:hAnsi="Verdana" w:cs="Arial"/>
          <w:sz w:val="22"/>
          <w:szCs w:val="22"/>
        </w:rPr>
        <w:t>(</w:t>
      </w:r>
      <w:proofErr w:type="spellStart"/>
      <w:r w:rsidRPr="00635B67">
        <w:rPr>
          <w:rFonts w:ascii="Verdana" w:hAnsi="Verdana" w:cs="Arial"/>
          <w:sz w:val="22"/>
          <w:szCs w:val="22"/>
        </w:rPr>
        <w:t>fl</w:t>
      </w:r>
      <w:proofErr w:type="spellEnd"/>
      <w:r w:rsidRPr="00635B67">
        <w:rPr>
          <w:rFonts w:ascii="Verdana" w:hAnsi="Verdana" w:cs="Arial"/>
          <w:sz w:val="22"/>
          <w:szCs w:val="22"/>
        </w:rPr>
        <w:t xml:space="preserve">. </w:t>
      </w:r>
      <w:r w:rsidR="00505A08" w:rsidRPr="00635B67">
        <w:rPr>
          <w:rFonts w:ascii="Verdana" w:hAnsi="Verdana" w:cs="Arial"/>
          <w:sz w:val="22"/>
          <w:szCs w:val="22"/>
        </w:rPr>
        <w:t xml:space="preserve">655). </w:t>
      </w:r>
    </w:p>
    <w:p w14:paraId="2946DB82" w14:textId="77777777" w:rsidR="0053049D" w:rsidRPr="00635B67" w:rsidRDefault="0053049D" w:rsidP="007E2035">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175EFE07" w14:textId="3EA868AA" w:rsidR="00332BF4" w:rsidRPr="00635B67" w:rsidRDefault="000C4313"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r w:rsidRPr="00635B67">
        <w:rPr>
          <w:rFonts w:ascii="Verdana" w:hAnsi="Verdana" w:cs="Arial"/>
          <w:b/>
          <w:bCs/>
          <w:i/>
          <w:iCs/>
          <w:sz w:val="22"/>
          <w:szCs w:val="22"/>
          <w:u w:val="single"/>
        </w:rPr>
        <w:t>2.5.- ALEGATOS EN SEGUNDA INSTANCIA:</w:t>
      </w:r>
      <w:r w:rsidR="007751A7" w:rsidRPr="00635B67">
        <w:rPr>
          <w:rFonts w:ascii="Verdana" w:hAnsi="Verdana" w:cs="Arial"/>
          <w:sz w:val="22"/>
          <w:szCs w:val="22"/>
        </w:rPr>
        <w:t xml:space="preserve"> El</w:t>
      </w:r>
      <w:r w:rsidR="00E60084" w:rsidRPr="00635B67">
        <w:rPr>
          <w:rFonts w:ascii="Verdana" w:hAnsi="Verdana" w:cs="Arial"/>
          <w:sz w:val="22"/>
          <w:szCs w:val="22"/>
        </w:rPr>
        <w:t xml:space="preserve"> Procurador 45 Judicial II de Asuntos administrativos, como delegado del Ministerio Público rindió su concepto en el presente asunto, solicitando la confirmación del fallo de primera grado por cuanto considera que aun cuando existió un daño antijurídico entendido </w:t>
      </w:r>
      <w:r w:rsidR="06C09A2F" w:rsidRPr="00635B67">
        <w:rPr>
          <w:rFonts w:ascii="Verdana" w:hAnsi="Verdana" w:cs="Arial"/>
          <w:sz w:val="22"/>
          <w:szCs w:val="22"/>
        </w:rPr>
        <w:t>como</w:t>
      </w:r>
      <w:r w:rsidR="00E60084" w:rsidRPr="00635B67">
        <w:rPr>
          <w:rFonts w:ascii="Verdana" w:hAnsi="Verdana" w:cs="Arial"/>
          <w:sz w:val="22"/>
          <w:szCs w:val="22"/>
        </w:rPr>
        <w:t xml:space="preserve"> el detrimento patrimonial padecido por el actor ante la pérdida del dinero no recuperado, entregado a título de mutuo respaldado con garantía real que posteriormente fue declarada nula por falsedad material de la escritura pública No. 134 del 5 de febrero de 2010</w:t>
      </w:r>
      <w:r w:rsidR="00332BF4" w:rsidRPr="00635B67">
        <w:rPr>
          <w:rFonts w:ascii="Verdana" w:hAnsi="Verdana" w:cs="Arial"/>
          <w:sz w:val="22"/>
          <w:szCs w:val="22"/>
        </w:rPr>
        <w:t xml:space="preserve"> suscrita por quien dijo llamarse ROSALBA ALARCÓN CORREA, constituyéndose el demandante en víctima del delito de estafa, dicho daño no es imputable al Estado pues la conducta fraudulenta fue realizada por un tercero, quien mediante maniobras engañosas de suplantación personal falsificó la identidad de otra persona. </w:t>
      </w:r>
    </w:p>
    <w:p w14:paraId="4B83963A" w14:textId="77777777" w:rsidR="00332BF4" w:rsidRPr="00635B67" w:rsidRDefault="00332BF4"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p>
    <w:p w14:paraId="64B45C79" w14:textId="41B7DE6B" w:rsidR="008A735D" w:rsidRPr="00635B67" w:rsidRDefault="00332BF4"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Aduce que, teniendo en cuenta que la atribución de responsabilidad que hace el actor es por la presunta falta de verificación y corroboración por medios distintos al de la identificación biométrica, sin señalar cuales medios, para la época de los hechos, conforme al Decreto No. 2148 de 1983, el único medio de identificación idóneo era la exhibición del documento oficial de identificación, y por tanto, cuando el daño se produce por la suplantación y falsificación y no se evidencia la participación u omisión de la administración pública, debe concluirse que el hecho proviene del actuar de terceros</w:t>
      </w:r>
      <w:r w:rsidR="00FA5D6E" w:rsidRPr="00635B67">
        <w:rPr>
          <w:rFonts w:ascii="Verdana" w:hAnsi="Verdana" w:cs="Arial"/>
          <w:sz w:val="22"/>
          <w:szCs w:val="22"/>
        </w:rPr>
        <w:t xml:space="preserve"> (sic)</w:t>
      </w:r>
      <w:r w:rsidR="008A735D" w:rsidRPr="00635B67">
        <w:rPr>
          <w:rFonts w:ascii="Verdana" w:hAnsi="Verdana" w:cs="Arial"/>
          <w:sz w:val="22"/>
          <w:szCs w:val="22"/>
        </w:rPr>
        <w:t xml:space="preserve"> (</w:t>
      </w:r>
      <w:proofErr w:type="spellStart"/>
      <w:r w:rsidR="008A735D" w:rsidRPr="00635B67">
        <w:rPr>
          <w:rFonts w:ascii="Verdana" w:hAnsi="Verdana" w:cs="Arial"/>
          <w:sz w:val="22"/>
          <w:szCs w:val="22"/>
        </w:rPr>
        <w:t>fl</w:t>
      </w:r>
      <w:proofErr w:type="spellEnd"/>
      <w:r w:rsidR="008A735D" w:rsidRPr="00635B67">
        <w:rPr>
          <w:rFonts w:ascii="Verdana" w:hAnsi="Verdana" w:cs="Arial"/>
          <w:sz w:val="22"/>
          <w:szCs w:val="22"/>
        </w:rPr>
        <w:t>. 646-650)</w:t>
      </w:r>
      <w:r w:rsidRPr="00635B67">
        <w:rPr>
          <w:rFonts w:ascii="Verdana" w:hAnsi="Verdana" w:cs="Arial"/>
          <w:sz w:val="22"/>
          <w:szCs w:val="22"/>
        </w:rPr>
        <w:t>.</w:t>
      </w:r>
    </w:p>
    <w:p w14:paraId="45DC76A7" w14:textId="7A75C3DD" w:rsidR="008A735D" w:rsidRPr="00635B67" w:rsidRDefault="008A735D"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p>
    <w:p w14:paraId="12E7F99D" w14:textId="1CA857ED" w:rsidR="008A735D" w:rsidRPr="00635B67" w:rsidRDefault="00AE05C2"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Por su parte la apoderada judicial de la parte actora alegó de conclusión reiterando los argumentos de la demanda y del recurso de apelación, aduciendo que la SUPERINTENDENCIA es responsable administrativa y extracontractualmente por el hecho ajeno, al no desplegar actuaciones de vigilancia suficientes, en cuanto a los métodos de identificación de las personas que acuden a las notarías a fin de evitar suplantaciones (</w:t>
      </w:r>
      <w:proofErr w:type="spellStart"/>
      <w:r w:rsidRPr="00635B67">
        <w:rPr>
          <w:rFonts w:ascii="Verdana" w:hAnsi="Verdana" w:cs="Arial"/>
          <w:sz w:val="22"/>
          <w:szCs w:val="22"/>
        </w:rPr>
        <w:t>fl</w:t>
      </w:r>
      <w:proofErr w:type="spellEnd"/>
      <w:r w:rsidRPr="00635B67">
        <w:rPr>
          <w:rFonts w:ascii="Verdana" w:hAnsi="Verdana" w:cs="Arial"/>
          <w:sz w:val="22"/>
          <w:szCs w:val="22"/>
        </w:rPr>
        <w:t xml:space="preserve">. 652-655).  </w:t>
      </w:r>
    </w:p>
    <w:p w14:paraId="45320926" w14:textId="77777777" w:rsidR="00AD7EC3" w:rsidRPr="00635B67" w:rsidRDefault="00AD7EC3" w:rsidP="007E2035">
      <w:pPr>
        <w:spacing w:line="360" w:lineRule="auto"/>
        <w:ind w:right="-81"/>
        <w:jc w:val="center"/>
        <w:rPr>
          <w:rFonts w:ascii="Verdana" w:hAnsi="Verdana" w:cs="Arial"/>
          <w:b/>
          <w:bCs/>
          <w:sz w:val="22"/>
          <w:szCs w:val="22"/>
        </w:rPr>
      </w:pPr>
    </w:p>
    <w:p w14:paraId="72BDCB26" w14:textId="3E6BB601" w:rsidR="00736E30" w:rsidRPr="00635B67" w:rsidRDefault="00D9647F" w:rsidP="007E2035">
      <w:pPr>
        <w:spacing w:line="360" w:lineRule="auto"/>
        <w:ind w:right="-81"/>
        <w:jc w:val="center"/>
        <w:rPr>
          <w:rFonts w:ascii="Verdana" w:hAnsi="Verdana" w:cs="Arial"/>
          <w:b/>
          <w:bCs/>
          <w:sz w:val="22"/>
          <w:szCs w:val="22"/>
        </w:rPr>
      </w:pPr>
      <w:r w:rsidRPr="00635B67">
        <w:rPr>
          <w:rFonts w:ascii="Verdana" w:hAnsi="Verdana" w:cs="Arial"/>
          <w:b/>
          <w:bCs/>
          <w:sz w:val="22"/>
          <w:szCs w:val="22"/>
        </w:rPr>
        <w:t xml:space="preserve">III. </w:t>
      </w:r>
      <w:r w:rsidR="00736E30" w:rsidRPr="00635B67">
        <w:rPr>
          <w:rFonts w:ascii="Verdana" w:hAnsi="Verdana" w:cs="Arial"/>
          <w:b/>
          <w:bCs/>
          <w:sz w:val="22"/>
          <w:szCs w:val="22"/>
        </w:rPr>
        <w:t>C O N S I D E R A C I O N E S</w:t>
      </w:r>
      <w:r w:rsidR="0011535B" w:rsidRPr="00635B67">
        <w:rPr>
          <w:rFonts w:ascii="Verdana" w:hAnsi="Verdana" w:cs="Arial"/>
          <w:b/>
          <w:bCs/>
          <w:sz w:val="22"/>
          <w:szCs w:val="22"/>
        </w:rPr>
        <w:t>:</w:t>
      </w:r>
    </w:p>
    <w:p w14:paraId="1F72F646" w14:textId="77777777" w:rsidR="00D9647F" w:rsidRPr="00635B67" w:rsidRDefault="00D9647F" w:rsidP="007E2035">
      <w:pPr>
        <w:spacing w:line="360" w:lineRule="auto"/>
        <w:ind w:right="-81"/>
        <w:jc w:val="center"/>
        <w:rPr>
          <w:rFonts w:ascii="Verdana" w:hAnsi="Verdana" w:cs="Arial"/>
          <w:b/>
          <w:bCs/>
          <w:sz w:val="22"/>
          <w:szCs w:val="22"/>
        </w:rPr>
      </w:pPr>
    </w:p>
    <w:p w14:paraId="4F78903D" w14:textId="77777777" w:rsidR="00736E30" w:rsidRPr="00635B67" w:rsidRDefault="00736E30" w:rsidP="007E2035">
      <w:pPr>
        <w:pStyle w:val="Textoindependiente"/>
        <w:spacing w:line="360" w:lineRule="auto"/>
        <w:ind w:firstLine="708"/>
        <w:rPr>
          <w:rFonts w:ascii="Verdana" w:hAnsi="Verdana" w:cs="Arial"/>
          <w:b/>
          <w:sz w:val="22"/>
          <w:szCs w:val="22"/>
        </w:rPr>
      </w:pPr>
      <w:r w:rsidRPr="00635B67">
        <w:rPr>
          <w:rFonts w:ascii="Verdana" w:hAnsi="Verdana" w:cs="Arial"/>
          <w:b/>
          <w:sz w:val="22"/>
          <w:szCs w:val="22"/>
        </w:rPr>
        <w:t xml:space="preserve">3.1.- </w:t>
      </w:r>
      <w:r w:rsidR="00E771EB" w:rsidRPr="00635B67">
        <w:rPr>
          <w:rFonts w:ascii="Verdana" w:hAnsi="Verdana" w:cs="Arial"/>
          <w:b/>
          <w:sz w:val="22"/>
          <w:szCs w:val="22"/>
        </w:rPr>
        <w:t>COMPETENCIA</w:t>
      </w:r>
      <w:r w:rsidRPr="00635B67">
        <w:rPr>
          <w:rFonts w:ascii="Verdana" w:hAnsi="Verdana" w:cs="Arial"/>
          <w:b/>
          <w:sz w:val="22"/>
          <w:szCs w:val="22"/>
        </w:rPr>
        <w:t>:</w:t>
      </w:r>
    </w:p>
    <w:p w14:paraId="08CE6F91" w14:textId="77777777" w:rsidR="00736E30" w:rsidRPr="00635B67" w:rsidRDefault="00736E30" w:rsidP="007E2035">
      <w:pPr>
        <w:pStyle w:val="Textoindependiente"/>
        <w:spacing w:line="360" w:lineRule="auto"/>
        <w:ind w:firstLine="708"/>
        <w:rPr>
          <w:rFonts w:ascii="Verdana" w:hAnsi="Verdana" w:cs="Arial"/>
          <w:b/>
          <w:sz w:val="22"/>
          <w:szCs w:val="22"/>
        </w:rPr>
      </w:pPr>
    </w:p>
    <w:p w14:paraId="285D05BE" w14:textId="3AB326C3" w:rsidR="004541A7" w:rsidRPr="00635B67" w:rsidRDefault="00736E30" w:rsidP="6DAD1D68">
      <w:pPr>
        <w:pStyle w:val="Textoindependiente"/>
        <w:spacing w:line="360" w:lineRule="auto"/>
        <w:rPr>
          <w:rFonts w:ascii="Verdana" w:eastAsiaTheme="minorEastAsia" w:hAnsi="Verdana" w:cs="Arial"/>
          <w:sz w:val="22"/>
          <w:szCs w:val="22"/>
          <w:lang w:val="es-CO" w:eastAsia="en-US"/>
        </w:rPr>
      </w:pPr>
      <w:r w:rsidRPr="00635B67">
        <w:rPr>
          <w:rFonts w:ascii="Verdana" w:hAnsi="Verdana" w:cs="Arial"/>
          <w:sz w:val="22"/>
          <w:szCs w:val="22"/>
        </w:rPr>
        <w:t xml:space="preserve">Esta Corporación es competente para conocer </w:t>
      </w:r>
      <w:r w:rsidR="00EC2E7C" w:rsidRPr="00635B67">
        <w:rPr>
          <w:rFonts w:ascii="Verdana" w:hAnsi="Verdana" w:cs="Arial"/>
          <w:sz w:val="22"/>
          <w:szCs w:val="22"/>
        </w:rPr>
        <w:t>del asunto en segunda instancia</w:t>
      </w:r>
      <w:r w:rsidRPr="00635B67">
        <w:rPr>
          <w:rFonts w:ascii="Verdana" w:hAnsi="Verdana" w:cs="Arial"/>
          <w:sz w:val="22"/>
          <w:szCs w:val="22"/>
        </w:rPr>
        <w:t xml:space="preserve"> en razón a</w:t>
      </w:r>
      <w:r w:rsidR="0011535B" w:rsidRPr="00635B67">
        <w:rPr>
          <w:rFonts w:ascii="Verdana" w:hAnsi="Verdana" w:cs="Arial"/>
          <w:sz w:val="22"/>
          <w:szCs w:val="22"/>
        </w:rPr>
        <w:t xml:space="preserve">l recurso de apelación </w:t>
      </w:r>
      <w:r w:rsidRPr="00635B67">
        <w:rPr>
          <w:rFonts w:ascii="Verdana" w:hAnsi="Verdana" w:cs="Arial"/>
          <w:sz w:val="22"/>
          <w:szCs w:val="22"/>
        </w:rPr>
        <w:t>interpuesto</w:t>
      </w:r>
      <w:r w:rsidR="0011535B" w:rsidRPr="00635B67">
        <w:rPr>
          <w:rFonts w:ascii="Verdana" w:hAnsi="Verdana" w:cs="Arial"/>
          <w:sz w:val="22"/>
          <w:szCs w:val="22"/>
        </w:rPr>
        <w:t xml:space="preserve"> por la</w:t>
      </w:r>
      <w:r w:rsidR="00EC2E7C" w:rsidRPr="00635B67">
        <w:rPr>
          <w:rFonts w:ascii="Verdana" w:hAnsi="Verdana" w:cs="Arial"/>
          <w:sz w:val="22"/>
          <w:szCs w:val="22"/>
        </w:rPr>
        <w:t xml:space="preserve"> parte actora</w:t>
      </w:r>
      <w:r w:rsidRPr="00635B67">
        <w:rPr>
          <w:rFonts w:ascii="Verdana" w:hAnsi="Verdana" w:cs="Arial"/>
          <w:sz w:val="22"/>
          <w:szCs w:val="22"/>
        </w:rPr>
        <w:t xml:space="preserve"> con fundamento en lo dispuesto en el art. 153 de la Ley 1437 de 2011</w:t>
      </w:r>
      <w:r w:rsidRPr="00635B67">
        <w:rPr>
          <w:rStyle w:val="Refdenotaalpie"/>
          <w:rFonts w:ascii="Verdana" w:hAnsi="Verdana"/>
          <w:sz w:val="22"/>
          <w:szCs w:val="22"/>
        </w:rPr>
        <w:footnoteReference w:id="1"/>
      </w:r>
      <w:r w:rsidR="7551DA96" w:rsidRPr="00635B67">
        <w:rPr>
          <w:rFonts w:ascii="Verdana" w:hAnsi="Verdana" w:cs="Arial"/>
          <w:sz w:val="22"/>
          <w:szCs w:val="22"/>
        </w:rPr>
        <w:t>;</w:t>
      </w:r>
      <w:r w:rsidRPr="00635B67">
        <w:rPr>
          <w:rFonts w:ascii="Verdana" w:hAnsi="Verdana" w:cs="Arial"/>
          <w:sz w:val="22"/>
          <w:szCs w:val="22"/>
        </w:rPr>
        <w:t xml:space="preserve"> disposición que prevé </w:t>
      </w:r>
      <w:r w:rsidRPr="00635B67">
        <w:rPr>
          <w:rFonts w:ascii="Verdana" w:eastAsiaTheme="minorEastAsia" w:hAnsi="Verdana" w:cs="Arial"/>
          <w:sz w:val="22"/>
          <w:szCs w:val="22"/>
          <w:lang w:val="es-CO" w:eastAsia="en-US"/>
        </w:rPr>
        <w:t xml:space="preserve">que los Tribunales Administrativos conocerán en segunda instancia de las apelaciones de las sentencias dictadas en primera instancia por los jueces administrativos.  </w:t>
      </w:r>
    </w:p>
    <w:p w14:paraId="61CDCEAD" w14:textId="05E5C3B5" w:rsidR="004541A7" w:rsidRPr="00635B67" w:rsidRDefault="004541A7" w:rsidP="00F1333F">
      <w:pPr>
        <w:pStyle w:val="Textoindependiente"/>
        <w:spacing w:line="360" w:lineRule="auto"/>
        <w:rPr>
          <w:rFonts w:ascii="Verdana" w:hAnsi="Verdana" w:cs="Arial"/>
          <w:b/>
          <w:sz w:val="22"/>
          <w:szCs w:val="22"/>
        </w:rPr>
      </w:pPr>
    </w:p>
    <w:p w14:paraId="099EFBC7" w14:textId="77777777" w:rsidR="00F1333F" w:rsidRPr="00635B67" w:rsidRDefault="00F1333F" w:rsidP="00F1333F">
      <w:pPr>
        <w:pStyle w:val="Textoindependiente"/>
        <w:spacing w:line="360" w:lineRule="auto"/>
        <w:rPr>
          <w:rFonts w:ascii="Verdana" w:eastAsiaTheme="minorHAnsi" w:hAnsi="Verdana" w:cs="Arial"/>
          <w:bCs/>
          <w:sz w:val="22"/>
          <w:szCs w:val="22"/>
          <w:lang w:val="es-CO" w:eastAsia="en-US"/>
        </w:rPr>
      </w:pPr>
      <w:r w:rsidRPr="00635B67">
        <w:rPr>
          <w:rFonts w:ascii="Verdana" w:eastAsiaTheme="minorHAnsi" w:hAnsi="Verdana" w:cs="Arial"/>
          <w:bCs/>
          <w:sz w:val="22"/>
          <w:szCs w:val="22"/>
          <w:lang w:val="es-CO" w:eastAsia="en-US"/>
        </w:rPr>
        <w:t xml:space="preserve">Así mismo, de conformidad con el artículo 328 del C.G.P., aplicable por remisión expresa del artículo 306 del C.P.A.C.A., señala la Sala que la competencia de esta Corporación en segunda instancia se restringe a lo relacionado con los argumentos expuestos por el apelante.  </w:t>
      </w:r>
    </w:p>
    <w:p w14:paraId="5A91B821" w14:textId="77777777" w:rsidR="00F1333F" w:rsidRPr="00635B67" w:rsidRDefault="00F1333F" w:rsidP="00F1333F">
      <w:pPr>
        <w:pStyle w:val="Textoindependiente"/>
        <w:spacing w:line="360" w:lineRule="auto"/>
        <w:rPr>
          <w:rFonts w:ascii="Verdana" w:hAnsi="Verdana" w:cs="Arial"/>
          <w:b/>
          <w:sz w:val="22"/>
          <w:szCs w:val="22"/>
          <w:lang w:val="es-CO"/>
        </w:rPr>
      </w:pPr>
    </w:p>
    <w:p w14:paraId="05444E54" w14:textId="77777777" w:rsidR="004541A7" w:rsidRPr="00635B67" w:rsidRDefault="00E91CB0" w:rsidP="007E2035">
      <w:pPr>
        <w:pStyle w:val="Textoindependiente"/>
        <w:spacing w:line="360" w:lineRule="auto"/>
        <w:ind w:firstLine="708"/>
        <w:rPr>
          <w:rFonts w:ascii="Verdana" w:hAnsi="Verdana" w:cs="Arial"/>
          <w:b/>
          <w:sz w:val="22"/>
          <w:szCs w:val="22"/>
        </w:rPr>
      </w:pPr>
      <w:r w:rsidRPr="00635B67">
        <w:rPr>
          <w:rFonts w:ascii="Verdana" w:hAnsi="Verdana" w:cs="Arial"/>
          <w:b/>
          <w:sz w:val="22"/>
          <w:szCs w:val="22"/>
        </w:rPr>
        <w:t>3.2.</w:t>
      </w:r>
      <w:r w:rsidR="004541A7" w:rsidRPr="00635B67">
        <w:rPr>
          <w:rFonts w:ascii="Verdana" w:hAnsi="Verdana" w:cs="Arial"/>
          <w:b/>
          <w:sz w:val="22"/>
          <w:szCs w:val="22"/>
        </w:rPr>
        <w:t xml:space="preserve">- </w:t>
      </w:r>
      <w:r w:rsidR="00E771EB" w:rsidRPr="00635B67">
        <w:rPr>
          <w:rFonts w:ascii="Verdana" w:hAnsi="Verdana" w:cs="Arial"/>
          <w:b/>
          <w:sz w:val="22"/>
          <w:szCs w:val="22"/>
        </w:rPr>
        <w:t>PROBLEMA JURÍDICO</w:t>
      </w:r>
      <w:r w:rsidRPr="00635B67">
        <w:rPr>
          <w:rFonts w:ascii="Verdana" w:hAnsi="Verdana" w:cs="Arial"/>
          <w:b/>
          <w:sz w:val="22"/>
          <w:szCs w:val="22"/>
        </w:rPr>
        <w:t>:</w:t>
      </w:r>
    </w:p>
    <w:p w14:paraId="457ABA5A" w14:textId="77777777" w:rsidR="0001401E" w:rsidRPr="00635B67" w:rsidRDefault="0001401E" w:rsidP="007E2035">
      <w:pPr>
        <w:pStyle w:val="Textoindependiente"/>
        <w:spacing w:line="360" w:lineRule="auto"/>
        <w:rPr>
          <w:rFonts w:ascii="Verdana" w:hAnsi="Verdana" w:cs="Arial"/>
          <w:color w:val="FF0000"/>
          <w:sz w:val="22"/>
          <w:szCs w:val="22"/>
          <w:lang w:val="es-ES"/>
        </w:rPr>
      </w:pPr>
    </w:p>
    <w:p w14:paraId="3B76A6C1" w14:textId="18513EB8" w:rsidR="00DF5E32" w:rsidRPr="00635B67" w:rsidRDefault="00F1333F" w:rsidP="007E2035">
      <w:pPr>
        <w:spacing w:line="360" w:lineRule="auto"/>
        <w:jc w:val="both"/>
        <w:rPr>
          <w:rFonts w:ascii="Verdana" w:hAnsi="Verdana" w:cs="Arial"/>
          <w:sz w:val="22"/>
          <w:szCs w:val="22"/>
        </w:rPr>
      </w:pPr>
      <w:r w:rsidRPr="00635B67">
        <w:rPr>
          <w:rFonts w:ascii="Verdana" w:eastAsia="Verdana" w:hAnsi="Verdana" w:cs="Verdana"/>
          <w:sz w:val="22"/>
          <w:szCs w:val="22"/>
        </w:rPr>
        <w:t>De conformidad con los argumentos de la apelación</w:t>
      </w:r>
      <w:r w:rsidR="09B66D58" w:rsidRPr="00635B67">
        <w:rPr>
          <w:rFonts w:ascii="Verdana" w:eastAsia="Verdana" w:hAnsi="Verdana" w:cs="Verdana"/>
          <w:sz w:val="22"/>
          <w:szCs w:val="22"/>
        </w:rPr>
        <w:t>,</w:t>
      </w:r>
      <w:r w:rsidRPr="00635B67">
        <w:rPr>
          <w:rFonts w:ascii="Verdana" w:eastAsia="Verdana" w:hAnsi="Verdana" w:cs="Verdana"/>
          <w:sz w:val="22"/>
          <w:szCs w:val="22"/>
        </w:rPr>
        <w:t xml:space="preserve"> en esta oportunidad</w:t>
      </w:r>
      <w:r w:rsidR="2BF43BE6" w:rsidRPr="00635B67">
        <w:rPr>
          <w:rFonts w:ascii="Verdana" w:eastAsia="Verdana" w:hAnsi="Verdana" w:cs="Verdana"/>
          <w:sz w:val="22"/>
          <w:szCs w:val="22"/>
        </w:rPr>
        <w:t>,</w:t>
      </w:r>
      <w:r w:rsidRPr="00635B67">
        <w:rPr>
          <w:rFonts w:ascii="Verdana" w:eastAsia="Verdana" w:hAnsi="Verdana" w:cs="Verdana"/>
          <w:sz w:val="22"/>
          <w:szCs w:val="22"/>
        </w:rPr>
        <w:t xml:space="preserve"> la Sala entrará a determinar si el daño antijurídico, </w:t>
      </w:r>
      <w:r w:rsidRPr="00635B67">
        <w:rPr>
          <w:rFonts w:ascii="Verdana" w:hAnsi="Verdana" w:cs="Arial"/>
          <w:sz w:val="22"/>
          <w:szCs w:val="22"/>
        </w:rPr>
        <w:t>derivado de la declaratoria de nulidad de la Escritura Pública</w:t>
      </w:r>
      <w:r w:rsidR="00CB2E89" w:rsidRPr="00635B67">
        <w:rPr>
          <w:rFonts w:ascii="Verdana" w:hAnsi="Verdana" w:cs="Arial"/>
          <w:sz w:val="22"/>
          <w:szCs w:val="22"/>
        </w:rPr>
        <w:t xml:space="preserve"> de constitución de hipoteca</w:t>
      </w:r>
      <w:r w:rsidRPr="00635B67">
        <w:rPr>
          <w:rFonts w:ascii="Verdana" w:hAnsi="Verdana" w:cs="Arial"/>
          <w:sz w:val="22"/>
          <w:szCs w:val="22"/>
        </w:rPr>
        <w:t xml:space="preserve"> No. 134 del 5 de febrero de 2010</w:t>
      </w:r>
      <w:r w:rsidR="53A38619" w:rsidRPr="00635B67">
        <w:rPr>
          <w:rFonts w:ascii="Verdana" w:hAnsi="Verdana" w:cs="Arial"/>
          <w:sz w:val="22"/>
          <w:szCs w:val="22"/>
        </w:rPr>
        <w:t>,</w:t>
      </w:r>
      <w:r w:rsidRPr="00635B67">
        <w:rPr>
          <w:rFonts w:ascii="Verdana" w:hAnsi="Verdana" w:cs="Arial"/>
          <w:sz w:val="22"/>
          <w:szCs w:val="22"/>
        </w:rPr>
        <w:t xml:space="preserve"> otorgada en la Notaría Primera del Círculo de Sogamoso,</w:t>
      </w:r>
      <w:r w:rsidRPr="00635B67">
        <w:rPr>
          <w:rFonts w:ascii="Verdana" w:eastAsia="Verdana" w:hAnsi="Verdana" w:cs="Verdana"/>
          <w:sz w:val="22"/>
          <w:szCs w:val="22"/>
        </w:rPr>
        <w:t xml:space="preserve"> ocasionado al señor </w:t>
      </w:r>
      <w:r w:rsidRPr="00635B67">
        <w:rPr>
          <w:rFonts w:ascii="Verdana" w:hAnsi="Verdana" w:cs="Arial"/>
          <w:sz w:val="22"/>
          <w:szCs w:val="22"/>
        </w:rPr>
        <w:t xml:space="preserve">RODOLFO CONCISIÓN GARCÍA es imputable a la SUPERINTENDENCIA DE NOTARIADO Y REGISTRO, </w:t>
      </w:r>
      <w:r w:rsidR="002F2AE0" w:rsidRPr="00635B67">
        <w:rPr>
          <w:rFonts w:ascii="Verdana" w:hAnsi="Verdana" w:cs="Arial"/>
          <w:sz w:val="22"/>
          <w:szCs w:val="22"/>
        </w:rPr>
        <w:t xml:space="preserve">por la presunta omisión en el cumplimiento de las funciones de inspección, vigilancia y control de la actividad notarial, </w:t>
      </w:r>
      <w:r w:rsidR="00DF5E32" w:rsidRPr="00635B67">
        <w:rPr>
          <w:rFonts w:ascii="Verdana" w:hAnsi="Verdana" w:cs="Arial"/>
          <w:sz w:val="22"/>
          <w:szCs w:val="22"/>
        </w:rPr>
        <w:t>específicamente en relación con la</w:t>
      </w:r>
      <w:r w:rsidRPr="00635B67">
        <w:rPr>
          <w:rFonts w:ascii="Verdana" w:hAnsi="Verdana" w:cs="Arial"/>
          <w:sz w:val="22"/>
          <w:szCs w:val="22"/>
        </w:rPr>
        <w:t xml:space="preserve"> falta de identificación plena de quien </w:t>
      </w:r>
      <w:r w:rsidR="00A5147A" w:rsidRPr="00635B67">
        <w:rPr>
          <w:rFonts w:ascii="Verdana" w:hAnsi="Verdana" w:cs="Arial"/>
          <w:sz w:val="22"/>
          <w:szCs w:val="22"/>
        </w:rPr>
        <w:t>compareció a</w:t>
      </w:r>
      <w:r w:rsidR="00DF5E32" w:rsidRPr="00635B67">
        <w:rPr>
          <w:rFonts w:ascii="Verdana" w:hAnsi="Verdana" w:cs="Arial"/>
          <w:sz w:val="22"/>
          <w:szCs w:val="22"/>
        </w:rPr>
        <w:t xml:space="preserve"> suscribir</w:t>
      </w:r>
      <w:r w:rsidR="00A5147A" w:rsidRPr="00635B67">
        <w:rPr>
          <w:rFonts w:ascii="Verdana" w:hAnsi="Verdana" w:cs="Arial"/>
          <w:sz w:val="22"/>
          <w:szCs w:val="22"/>
        </w:rPr>
        <w:t xml:space="preserve"> la escritura pública en calidad de deudor, </w:t>
      </w:r>
      <w:r w:rsidR="00A5147A" w:rsidRPr="00635B67">
        <w:rPr>
          <w:rFonts w:ascii="Verdana" w:hAnsi="Verdana" w:cs="Arial"/>
          <w:sz w:val="22"/>
          <w:szCs w:val="22"/>
        </w:rPr>
        <w:lastRenderedPageBreak/>
        <w:t>impidiendo así la suplantación</w:t>
      </w:r>
      <w:r w:rsidR="00CB2E89" w:rsidRPr="00635B67">
        <w:rPr>
          <w:rFonts w:ascii="Verdana" w:hAnsi="Verdana" w:cs="Arial"/>
          <w:sz w:val="22"/>
          <w:szCs w:val="22"/>
        </w:rPr>
        <w:t xml:space="preserve"> personal de la</w:t>
      </w:r>
      <w:r w:rsidR="00A5147A" w:rsidRPr="00635B67">
        <w:rPr>
          <w:rFonts w:ascii="Verdana" w:hAnsi="Verdana" w:cs="Arial"/>
          <w:sz w:val="22"/>
          <w:szCs w:val="22"/>
        </w:rPr>
        <w:t xml:space="preserve"> </w:t>
      </w:r>
      <w:r w:rsidR="00CB2E89" w:rsidRPr="00635B67">
        <w:rPr>
          <w:rFonts w:ascii="Verdana" w:hAnsi="Verdana" w:cs="Arial"/>
          <w:sz w:val="22"/>
          <w:szCs w:val="22"/>
        </w:rPr>
        <w:t>propietaria del inmueble a hipotecar, se</w:t>
      </w:r>
      <w:r w:rsidR="00A5147A" w:rsidRPr="00635B67">
        <w:rPr>
          <w:rFonts w:ascii="Verdana" w:hAnsi="Verdana" w:cs="Arial"/>
          <w:sz w:val="22"/>
          <w:szCs w:val="22"/>
        </w:rPr>
        <w:t xml:space="preserve">ñora </w:t>
      </w:r>
      <w:r w:rsidR="00DF5E32" w:rsidRPr="00635B67">
        <w:rPr>
          <w:rFonts w:ascii="Verdana" w:hAnsi="Verdana" w:cs="Arial"/>
          <w:sz w:val="22"/>
          <w:szCs w:val="22"/>
        </w:rPr>
        <w:t xml:space="preserve">ROSALBA ALARCÓN CORREA. </w:t>
      </w:r>
    </w:p>
    <w:p w14:paraId="501B79FA" w14:textId="77777777" w:rsidR="00DF5E32" w:rsidRPr="00635B67" w:rsidRDefault="00DF5E32" w:rsidP="32495376">
      <w:pPr>
        <w:pStyle w:val="Textoindependiente"/>
        <w:spacing w:line="360" w:lineRule="auto"/>
        <w:rPr>
          <w:rFonts w:ascii="Verdana" w:hAnsi="Verdana"/>
          <w:b/>
          <w:bCs/>
          <w:sz w:val="22"/>
          <w:szCs w:val="22"/>
        </w:rPr>
      </w:pPr>
    </w:p>
    <w:p w14:paraId="2BF5A5CB" w14:textId="77777777" w:rsidR="00D13AA7" w:rsidRPr="00635B67" w:rsidRDefault="00E771EB" w:rsidP="00D13AA7">
      <w:pPr>
        <w:pStyle w:val="Textoindependiente"/>
        <w:spacing w:line="360" w:lineRule="auto"/>
        <w:ind w:left="360"/>
        <w:rPr>
          <w:rFonts w:ascii="Verdana" w:hAnsi="Verdana"/>
          <w:b/>
          <w:sz w:val="22"/>
          <w:szCs w:val="22"/>
        </w:rPr>
      </w:pPr>
      <w:r w:rsidRPr="00635B67">
        <w:rPr>
          <w:rFonts w:ascii="Verdana" w:hAnsi="Verdana"/>
          <w:b/>
          <w:sz w:val="22"/>
          <w:szCs w:val="22"/>
        </w:rPr>
        <w:tab/>
      </w:r>
      <w:r w:rsidR="00D13AA7" w:rsidRPr="00635B67">
        <w:rPr>
          <w:rFonts w:ascii="Verdana" w:hAnsi="Verdana"/>
          <w:b/>
          <w:sz w:val="22"/>
          <w:szCs w:val="22"/>
        </w:rPr>
        <w:t xml:space="preserve">3.3.- MARCO NORMATIVO Y JURISPRUEDENCIAL </w:t>
      </w:r>
    </w:p>
    <w:p w14:paraId="4D44660D" w14:textId="77777777" w:rsidR="00D13AA7" w:rsidRPr="00635B67" w:rsidRDefault="00D13AA7" w:rsidP="00D13AA7">
      <w:pPr>
        <w:pStyle w:val="Textoindependiente"/>
        <w:spacing w:line="360" w:lineRule="auto"/>
        <w:rPr>
          <w:rFonts w:ascii="Verdana" w:hAnsi="Verdana"/>
          <w:b/>
          <w:sz w:val="22"/>
          <w:szCs w:val="22"/>
        </w:rPr>
      </w:pPr>
    </w:p>
    <w:p w14:paraId="24A3A7CC" w14:textId="61E7DFF7" w:rsidR="00D13AA7" w:rsidRPr="00635B67" w:rsidRDefault="00D13AA7" w:rsidP="00D13AA7">
      <w:pPr>
        <w:pStyle w:val="Textoindependiente"/>
        <w:spacing w:line="360" w:lineRule="auto"/>
        <w:rPr>
          <w:rFonts w:ascii="Verdana" w:hAnsi="Verdana"/>
          <w:b/>
          <w:sz w:val="22"/>
          <w:szCs w:val="22"/>
        </w:rPr>
      </w:pPr>
      <w:r w:rsidRPr="00635B67">
        <w:rPr>
          <w:rFonts w:ascii="Verdana" w:hAnsi="Verdana" w:cs="Arial"/>
          <w:b/>
          <w:sz w:val="22"/>
          <w:szCs w:val="22"/>
        </w:rPr>
        <w:t xml:space="preserve">3.3.1. Fundamento Constitucional de la </w:t>
      </w:r>
      <w:r w:rsidRPr="00635B67">
        <w:rPr>
          <w:rFonts w:ascii="Verdana" w:hAnsi="Verdana"/>
          <w:b/>
          <w:sz w:val="22"/>
          <w:szCs w:val="22"/>
        </w:rPr>
        <w:t>responsabilidad patrimonial del Estado.</w:t>
      </w:r>
    </w:p>
    <w:p w14:paraId="356902DE" w14:textId="77777777" w:rsidR="00D13AA7" w:rsidRPr="00635B67" w:rsidRDefault="00D13AA7" w:rsidP="00D13AA7">
      <w:pPr>
        <w:spacing w:line="360" w:lineRule="auto"/>
        <w:jc w:val="both"/>
        <w:rPr>
          <w:rFonts w:ascii="Verdana" w:hAnsi="Verdana"/>
          <w:sz w:val="22"/>
          <w:szCs w:val="22"/>
        </w:rPr>
      </w:pPr>
    </w:p>
    <w:p w14:paraId="189FDC9C" w14:textId="77777777" w:rsidR="00D13AA7" w:rsidRPr="00635B67" w:rsidRDefault="00D13AA7" w:rsidP="00D13AA7">
      <w:pPr>
        <w:spacing w:line="360" w:lineRule="auto"/>
        <w:jc w:val="both"/>
        <w:rPr>
          <w:rFonts w:ascii="Verdana" w:hAnsi="Verdana" w:cs="Arial"/>
          <w:bCs/>
          <w:iCs/>
          <w:sz w:val="22"/>
          <w:szCs w:val="22"/>
        </w:rPr>
      </w:pPr>
      <w:r w:rsidRPr="00635B67">
        <w:rPr>
          <w:rFonts w:ascii="Verdana" w:hAnsi="Verdana" w:cs="Arial"/>
          <w:bCs/>
          <w:iCs/>
          <w:sz w:val="22"/>
          <w:szCs w:val="22"/>
        </w:rPr>
        <w:t xml:space="preserve">Como es bien sabido, el principio general de responsabilidad del Estado se encuentra previsto en el art. 90 Superior, cuyo tenor es el siguiente: </w:t>
      </w:r>
    </w:p>
    <w:p w14:paraId="47DF1DF8" w14:textId="77777777" w:rsidR="00D13AA7" w:rsidRPr="00635B67" w:rsidRDefault="00D13AA7" w:rsidP="00D13AA7">
      <w:pPr>
        <w:spacing w:line="360" w:lineRule="auto"/>
        <w:jc w:val="both"/>
        <w:rPr>
          <w:rFonts w:ascii="Verdana" w:hAnsi="Verdana" w:cs="Arial"/>
          <w:bCs/>
          <w:iCs/>
          <w:sz w:val="22"/>
          <w:szCs w:val="22"/>
        </w:rPr>
      </w:pPr>
    </w:p>
    <w:p w14:paraId="558D9001" w14:textId="77777777" w:rsidR="00D13AA7" w:rsidRPr="00635B67" w:rsidRDefault="00D13AA7" w:rsidP="00D13AA7">
      <w:pPr>
        <w:ind w:left="567" w:right="618"/>
        <w:jc w:val="both"/>
        <w:rPr>
          <w:rFonts w:ascii="Verdana" w:hAnsi="Verdana" w:cs="Arial"/>
          <w:bCs/>
          <w:iCs/>
        </w:rPr>
      </w:pPr>
      <w:r w:rsidRPr="00635B67">
        <w:rPr>
          <w:rFonts w:ascii="Verdana" w:hAnsi="Verdana" w:cs="Arial"/>
          <w:b/>
          <w:bCs/>
          <w:iCs/>
        </w:rPr>
        <w:t xml:space="preserve">“Artículo 90. </w:t>
      </w:r>
      <w:r w:rsidRPr="00635B67">
        <w:rPr>
          <w:rFonts w:ascii="Verdana" w:hAnsi="Verdana" w:cs="Arial"/>
          <w:bCs/>
          <w:iCs/>
        </w:rPr>
        <w:t xml:space="preserve">El Estado responderá patrimonialmente por los daños antijurídicos que le sean imputables, causados por la acción o la omisión de las autoridades públicas. </w:t>
      </w:r>
    </w:p>
    <w:p w14:paraId="32DA5932" w14:textId="77777777" w:rsidR="00D13AA7" w:rsidRPr="00635B67" w:rsidRDefault="00D13AA7" w:rsidP="00D13AA7">
      <w:pPr>
        <w:ind w:left="567" w:right="618"/>
        <w:jc w:val="both"/>
        <w:rPr>
          <w:rFonts w:ascii="Verdana" w:hAnsi="Verdana" w:cs="Arial"/>
          <w:bCs/>
          <w:iCs/>
        </w:rPr>
      </w:pPr>
    </w:p>
    <w:p w14:paraId="7D9C9D0A" w14:textId="77777777" w:rsidR="00D13AA7" w:rsidRPr="00635B67" w:rsidRDefault="00D13AA7" w:rsidP="00D13AA7">
      <w:pPr>
        <w:ind w:left="567" w:right="618"/>
        <w:jc w:val="both"/>
        <w:rPr>
          <w:rFonts w:ascii="Verdana" w:hAnsi="Verdana" w:cs="Arial"/>
          <w:bCs/>
          <w:i/>
          <w:iCs/>
          <w:sz w:val="22"/>
          <w:szCs w:val="22"/>
        </w:rPr>
      </w:pPr>
      <w:r w:rsidRPr="00635B67">
        <w:rPr>
          <w:rFonts w:ascii="Verdana" w:hAnsi="Verdana" w:cs="Arial"/>
          <w:bCs/>
          <w:iCs/>
        </w:rPr>
        <w:t>En el evento de ser condenado el Estado a la reparación patrimonial de uno de tales daños, que haya sido consecuencia de la conducta dolosa o gravemente culposa de un agente suyo, aquél deberá repetir contra éste.”</w:t>
      </w:r>
      <w:r w:rsidRPr="00635B67">
        <w:rPr>
          <w:rFonts w:ascii="Verdana" w:hAnsi="Verdana" w:cs="Arial"/>
          <w:bCs/>
          <w:i/>
          <w:iCs/>
          <w:sz w:val="22"/>
          <w:szCs w:val="22"/>
        </w:rPr>
        <w:t xml:space="preserve">  </w:t>
      </w:r>
    </w:p>
    <w:p w14:paraId="7C418C94" w14:textId="77777777" w:rsidR="00D13AA7" w:rsidRPr="00635B67" w:rsidRDefault="00D13AA7" w:rsidP="00D13AA7">
      <w:pPr>
        <w:tabs>
          <w:tab w:val="left" w:pos="-720"/>
        </w:tabs>
        <w:suppressAutoHyphens/>
        <w:spacing w:line="360" w:lineRule="auto"/>
        <w:jc w:val="both"/>
        <w:rPr>
          <w:rFonts w:ascii="Verdana" w:hAnsi="Verdana" w:cs="Arial"/>
          <w:i/>
          <w:iCs/>
          <w:sz w:val="22"/>
          <w:szCs w:val="22"/>
        </w:rPr>
      </w:pPr>
    </w:p>
    <w:p w14:paraId="79BB0505" w14:textId="77777777" w:rsidR="00D13AA7" w:rsidRPr="00635B67" w:rsidRDefault="00D13AA7" w:rsidP="00D13AA7">
      <w:pPr>
        <w:spacing w:line="360" w:lineRule="auto"/>
        <w:jc w:val="both"/>
        <w:rPr>
          <w:rFonts w:ascii="Verdana" w:hAnsi="Verdana" w:cs="Tahoma"/>
          <w:bCs/>
          <w:iCs/>
          <w:sz w:val="22"/>
          <w:szCs w:val="22"/>
        </w:rPr>
      </w:pPr>
      <w:r w:rsidRPr="00635B67">
        <w:rPr>
          <w:rFonts w:ascii="Verdana" w:hAnsi="Verdana" w:cs="Tahoma"/>
          <w:bCs/>
          <w:iCs/>
          <w:sz w:val="22"/>
          <w:szCs w:val="22"/>
        </w:rPr>
        <w:t xml:space="preserve">La responsabilidad del Estado en materia extracontractual está basada en tres pilares fundamentales; un </w:t>
      </w:r>
      <w:r w:rsidRPr="00635B67">
        <w:rPr>
          <w:rFonts w:ascii="Verdana" w:hAnsi="Verdana" w:cs="Tahoma"/>
          <w:b/>
          <w:bCs/>
          <w:iCs/>
          <w:sz w:val="22"/>
          <w:szCs w:val="22"/>
        </w:rPr>
        <w:t>hecho dañoso</w:t>
      </w:r>
      <w:r w:rsidRPr="00635B67">
        <w:rPr>
          <w:rFonts w:ascii="Verdana" w:hAnsi="Verdana" w:cs="Tahoma"/>
          <w:bCs/>
          <w:iCs/>
          <w:sz w:val="22"/>
          <w:szCs w:val="22"/>
        </w:rPr>
        <w:t xml:space="preserve"> o perjuicio antijurídico, una </w:t>
      </w:r>
      <w:r w:rsidRPr="00635B67">
        <w:rPr>
          <w:rFonts w:ascii="Verdana" w:hAnsi="Verdana" w:cs="Tahoma"/>
          <w:b/>
          <w:bCs/>
          <w:iCs/>
          <w:sz w:val="22"/>
          <w:szCs w:val="22"/>
        </w:rPr>
        <w:t>acción imputada a la persona</w:t>
      </w:r>
      <w:r w:rsidRPr="00635B67">
        <w:rPr>
          <w:rFonts w:ascii="Verdana" w:hAnsi="Verdana" w:cs="Tahoma"/>
          <w:bCs/>
          <w:iCs/>
          <w:sz w:val="22"/>
          <w:szCs w:val="22"/>
        </w:rPr>
        <w:t xml:space="preserve"> o entidad convocada a responder y una </w:t>
      </w:r>
      <w:r w:rsidRPr="00635B67">
        <w:rPr>
          <w:rFonts w:ascii="Verdana" w:hAnsi="Verdana" w:cs="Tahoma"/>
          <w:b/>
          <w:bCs/>
          <w:iCs/>
          <w:sz w:val="22"/>
          <w:szCs w:val="22"/>
        </w:rPr>
        <w:t>relación de causalidad</w:t>
      </w:r>
      <w:r w:rsidRPr="00635B67">
        <w:rPr>
          <w:rFonts w:ascii="Verdana" w:hAnsi="Verdana" w:cs="Tahoma"/>
          <w:bCs/>
          <w:iCs/>
          <w:sz w:val="22"/>
          <w:szCs w:val="22"/>
        </w:rPr>
        <w:t xml:space="preserve"> entre las dos anteriores.</w:t>
      </w:r>
    </w:p>
    <w:p w14:paraId="16BC8961" w14:textId="77777777" w:rsidR="00D13AA7" w:rsidRPr="00635B67" w:rsidRDefault="00D13AA7" w:rsidP="00D13AA7">
      <w:pPr>
        <w:spacing w:line="360" w:lineRule="auto"/>
        <w:jc w:val="both"/>
        <w:rPr>
          <w:rFonts w:ascii="Verdana" w:hAnsi="Verdana" w:cs="Tahoma"/>
          <w:bCs/>
          <w:i/>
          <w:iCs/>
          <w:sz w:val="22"/>
          <w:szCs w:val="22"/>
        </w:rPr>
      </w:pPr>
    </w:p>
    <w:p w14:paraId="59EF0BC1" w14:textId="77777777" w:rsidR="00D13AA7" w:rsidRPr="00635B67" w:rsidRDefault="00D13AA7" w:rsidP="00D13AA7">
      <w:pPr>
        <w:spacing w:line="360" w:lineRule="auto"/>
        <w:jc w:val="both"/>
        <w:rPr>
          <w:rFonts w:ascii="Verdana" w:hAnsi="Verdana" w:cs="Tahoma"/>
          <w:bCs/>
          <w:iCs/>
          <w:sz w:val="22"/>
          <w:szCs w:val="22"/>
        </w:rPr>
      </w:pPr>
      <w:r w:rsidRPr="00635B67">
        <w:rPr>
          <w:rFonts w:ascii="Verdana" w:hAnsi="Verdana" w:cs="Tahoma"/>
          <w:bCs/>
          <w:iCs/>
          <w:sz w:val="22"/>
          <w:szCs w:val="22"/>
        </w:rPr>
        <w:t xml:space="preserve">La jurisprudencia se ha pronunciado, en consideración a las variadas hipótesis y formas en que tienen ocurrencia los daños, y las teorías y regímenes para resolver las controversias que a diario se plantean, de manera que corresponde determinar sobre cuál o cuáles regímenes y títulos de imputación, es posible resolver el asunto sometido a consideración de la Sala.  </w:t>
      </w:r>
    </w:p>
    <w:p w14:paraId="42A2C9D3" w14:textId="77777777" w:rsidR="00D13AA7" w:rsidRPr="00635B67" w:rsidRDefault="00D13AA7" w:rsidP="00D13AA7">
      <w:pPr>
        <w:spacing w:line="360" w:lineRule="auto"/>
        <w:jc w:val="both"/>
        <w:rPr>
          <w:rFonts w:ascii="Verdana" w:hAnsi="Verdana" w:cs="Tahoma"/>
          <w:b/>
          <w:bCs/>
          <w:i/>
          <w:iCs/>
          <w:sz w:val="22"/>
          <w:szCs w:val="22"/>
        </w:rPr>
      </w:pPr>
    </w:p>
    <w:p w14:paraId="7A256DE7" w14:textId="77777777" w:rsidR="00D13AA7" w:rsidRPr="00635B67" w:rsidRDefault="00D13AA7" w:rsidP="00D13AA7">
      <w:pPr>
        <w:spacing w:line="360" w:lineRule="auto"/>
        <w:jc w:val="both"/>
        <w:rPr>
          <w:rFonts w:ascii="Verdana" w:hAnsi="Verdana" w:cs="Tahoma"/>
          <w:bCs/>
          <w:iCs/>
          <w:sz w:val="22"/>
          <w:szCs w:val="22"/>
        </w:rPr>
      </w:pPr>
      <w:r w:rsidRPr="00635B67">
        <w:rPr>
          <w:rFonts w:ascii="Verdana" w:hAnsi="Verdana" w:cs="Tahoma"/>
          <w:bCs/>
          <w:iCs/>
          <w:sz w:val="22"/>
          <w:szCs w:val="22"/>
        </w:rPr>
        <w:t>Para definir el régimen de responsabilidad aplicable al caso concreto, es necesario remitirse al texto de la demanda y a la manera en la cual se estructuraron en aquella, las imputaciones relacionadas con la responsabilidad extracontractual de la Administración.</w:t>
      </w:r>
    </w:p>
    <w:p w14:paraId="08F63759" w14:textId="77777777" w:rsidR="00D13AA7" w:rsidRPr="00635B67" w:rsidRDefault="00D13AA7" w:rsidP="00D13AA7">
      <w:pPr>
        <w:spacing w:line="360" w:lineRule="auto"/>
        <w:jc w:val="both"/>
        <w:rPr>
          <w:rFonts w:ascii="Verdana" w:hAnsi="Verdana" w:cs="Tahoma"/>
          <w:bCs/>
          <w:i/>
          <w:iCs/>
          <w:sz w:val="22"/>
          <w:szCs w:val="22"/>
        </w:rPr>
      </w:pPr>
    </w:p>
    <w:p w14:paraId="68B611B1" w14:textId="77777777" w:rsidR="00D13AA7" w:rsidRPr="00635B67" w:rsidRDefault="00D13AA7" w:rsidP="00D13AA7">
      <w:pPr>
        <w:spacing w:line="360" w:lineRule="auto"/>
        <w:jc w:val="both"/>
        <w:rPr>
          <w:rFonts w:ascii="Verdana" w:hAnsi="Verdana" w:cs="Tahoma"/>
          <w:bCs/>
          <w:iCs/>
          <w:sz w:val="22"/>
          <w:szCs w:val="22"/>
        </w:rPr>
      </w:pPr>
      <w:r w:rsidRPr="00635B67">
        <w:rPr>
          <w:rFonts w:ascii="Verdana" w:hAnsi="Verdana" w:cs="Tahoma"/>
          <w:bCs/>
          <w:iCs/>
          <w:sz w:val="22"/>
          <w:szCs w:val="22"/>
        </w:rPr>
        <w:t xml:space="preserve">A partir de esa causa </w:t>
      </w:r>
      <w:r w:rsidRPr="00635B67">
        <w:rPr>
          <w:rFonts w:ascii="Verdana" w:hAnsi="Verdana" w:cs="Tahoma"/>
          <w:bCs/>
          <w:i/>
          <w:iCs/>
          <w:sz w:val="22"/>
          <w:szCs w:val="22"/>
        </w:rPr>
        <w:t>petendi</w:t>
      </w:r>
      <w:r w:rsidRPr="00635B67">
        <w:rPr>
          <w:rFonts w:ascii="Verdana" w:hAnsi="Verdana" w:cs="Tahoma"/>
          <w:bCs/>
          <w:iCs/>
          <w:sz w:val="22"/>
          <w:szCs w:val="22"/>
        </w:rPr>
        <w:t xml:space="preserve">, como resulta evidente, la parte demandante estructuró su argumentación apuntando a la configuración de una falla del servicio, régimen que invocó para la prosperidad de las pretensiones de la demanda. </w:t>
      </w:r>
    </w:p>
    <w:p w14:paraId="2BD1B4A1" w14:textId="77777777" w:rsidR="00D13AA7" w:rsidRPr="00635B67" w:rsidRDefault="00D13AA7" w:rsidP="00D13AA7">
      <w:pPr>
        <w:spacing w:line="360" w:lineRule="auto"/>
        <w:jc w:val="both"/>
        <w:rPr>
          <w:rFonts w:ascii="Verdana" w:hAnsi="Verdana" w:cs="Arial"/>
          <w:bCs/>
          <w:i/>
          <w:iCs/>
          <w:sz w:val="22"/>
          <w:szCs w:val="22"/>
        </w:rPr>
      </w:pPr>
    </w:p>
    <w:p w14:paraId="270B4B99" w14:textId="77777777" w:rsidR="00D13AA7" w:rsidRPr="00635B67" w:rsidRDefault="00D13AA7" w:rsidP="00D13AA7">
      <w:pPr>
        <w:spacing w:line="360" w:lineRule="auto"/>
        <w:jc w:val="both"/>
        <w:rPr>
          <w:rFonts w:ascii="Verdana" w:hAnsi="Verdana" w:cs="Tahoma"/>
          <w:bCs/>
          <w:iCs/>
          <w:sz w:val="22"/>
          <w:szCs w:val="22"/>
        </w:rPr>
      </w:pPr>
      <w:r w:rsidRPr="00635B67">
        <w:rPr>
          <w:rFonts w:ascii="Verdana" w:hAnsi="Verdana" w:cs="Tahoma"/>
          <w:bCs/>
          <w:iCs/>
          <w:sz w:val="22"/>
          <w:szCs w:val="22"/>
        </w:rPr>
        <w:t xml:space="preserve">En consecuencia, </w:t>
      </w:r>
      <w:r w:rsidRPr="00635B67">
        <w:rPr>
          <w:rFonts w:ascii="Verdana" w:hAnsi="Verdana" w:cs="Tahoma"/>
          <w:b/>
          <w:bCs/>
          <w:iCs/>
          <w:sz w:val="22"/>
          <w:szCs w:val="22"/>
        </w:rPr>
        <w:t xml:space="preserve">el régimen de responsabilidad para analizar el caso </w:t>
      </w:r>
      <w:r w:rsidRPr="00635B67">
        <w:rPr>
          <w:rFonts w:ascii="Verdana" w:hAnsi="Verdana" w:cs="Tahoma"/>
          <w:b/>
          <w:bCs/>
          <w:i/>
          <w:iCs/>
          <w:sz w:val="22"/>
          <w:szCs w:val="22"/>
        </w:rPr>
        <w:t>sub lite</w:t>
      </w:r>
      <w:r w:rsidRPr="00635B67">
        <w:rPr>
          <w:rFonts w:ascii="Verdana" w:hAnsi="Verdana" w:cs="Tahoma"/>
          <w:b/>
          <w:bCs/>
          <w:iCs/>
          <w:sz w:val="22"/>
          <w:szCs w:val="22"/>
        </w:rPr>
        <w:t>, es el subjetivo bajo el título de imputación de falla del servicio</w:t>
      </w:r>
      <w:r w:rsidRPr="00635B67">
        <w:rPr>
          <w:rFonts w:ascii="Verdana" w:hAnsi="Verdana" w:cs="Tahoma"/>
          <w:bCs/>
          <w:iCs/>
          <w:sz w:val="22"/>
          <w:szCs w:val="22"/>
          <w:vertAlign w:val="superscript"/>
        </w:rPr>
        <w:footnoteReference w:id="2"/>
      </w:r>
      <w:r w:rsidRPr="00635B67">
        <w:rPr>
          <w:rFonts w:ascii="Verdana" w:hAnsi="Verdana" w:cs="Tahoma"/>
          <w:bCs/>
          <w:iCs/>
          <w:sz w:val="22"/>
          <w:szCs w:val="22"/>
        </w:rPr>
        <w:t>; tradicionalmente utilizado para decidir la responsabilidad del Estado ante la inexistencia de un título jurídico particular de imputación</w:t>
      </w:r>
      <w:r w:rsidRPr="00635B67">
        <w:rPr>
          <w:rFonts w:ascii="Verdana" w:hAnsi="Verdana" w:cs="Tahoma"/>
          <w:bCs/>
          <w:iCs/>
          <w:sz w:val="22"/>
          <w:szCs w:val="22"/>
          <w:vertAlign w:val="superscript"/>
        </w:rPr>
        <w:footnoteReference w:id="3"/>
      </w:r>
      <w:r w:rsidRPr="00635B67">
        <w:rPr>
          <w:rFonts w:ascii="Verdana" w:hAnsi="Verdana" w:cs="Tahoma"/>
          <w:bCs/>
          <w:iCs/>
          <w:sz w:val="22"/>
          <w:szCs w:val="22"/>
        </w:rPr>
        <w:t>:</w:t>
      </w:r>
    </w:p>
    <w:p w14:paraId="775FEE84" w14:textId="77777777" w:rsidR="00D13AA7" w:rsidRPr="00635B67" w:rsidRDefault="00D13AA7" w:rsidP="00D13AA7">
      <w:pPr>
        <w:jc w:val="both"/>
        <w:rPr>
          <w:rFonts w:ascii="Verdana" w:hAnsi="Verdana" w:cs="Tahoma"/>
          <w:bCs/>
          <w:iCs/>
          <w:sz w:val="22"/>
          <w:szCs w:val="22"/>
        </w:rPr>
      </w:pPr>
    </w:p>
    <w:p w14:paraId="364E3829" w14:textId="77777777" w:rsidR="00D13AA7" w:rsidRPr="00635B67" w:rsidRDefault="00D13AA7" w:rsidP="00D13AA7">
      <w:pPr>
        <w:ind w:left="567" w:right="617"/>
        <w:jc w:val="both"/>
        <w:rPr>
          <w:rFonts w:ascii="Verdana" w:hAnsi="Verdana" w:cs="Tahoma"/>
          <w:bCs/>
        </w:rPr>
      </w:pPr>
      <w:r w:rsidRPr="00635B67">
        <w:rPr>
          <w:rFonts w:ascii="Verdana" w:hAnsi="Verdana" w:cs="Tahoma"/>
          <w:bCs/>
        </w:rPr>
        <w:t>“… De conformidad con lo dispuesto por el artículo 90 de la Constitución Política, el Estado tiene el deber de responder patrimonialmente por los daños antijurídicos que le sean imputables, causados por la acción o la omisión de las autoridades públicas, norma que le sirve de fundamento al artículo 86 del Código Contencioso Administrativo que consagra la acción de reparación directa, cuyo ejercicio dio origen al presente proceso y que establece la posibilidad que tiene el interesado de demandar la reparación del daño cuando su causa sea un hecho, una omisión, una operación administrativa o la ocupación temporal o permanente de un inmueble por causa de trabajos públicos o por cualquier otra causa.</w:t>
      </w:r>
    </w:p>
    <w:p w14:paraId="71CD609F" w14:textId="77777777" w:rsidR="00D13AA7" w:rsidRPr="00635B67" w:rsidRDefault="00D13AA7" w:rsidP="00D13AA7">
      <w:pPr>
        <w:ind w:left="567" w:right="617"/>
        <w:jc w:val="both"/>
        <w:rPr>
          <w:rFonts w:ascii="Verdana" w:hAnsi="Verdana" w:cs="Tahoma"/>
          <w:bCs/>
        </w:rPr>
      </w:pPr>
    </w:p>
    <w:p w14:paraId="6F00AAE5" w14:textId="77777777" w:rsidR="00D13AA7" w:rsidRPr="00635B67" w:rsidRDefault="00D13AA7" w:rsidP="00D13AA7">
      <w:pPr>
        <w:ind w:left="567" w:right="617"/>
        <w:jc w:val="both"/>
        <w:rPr>
          <w:rFonts w:ascii="Verdana" w:hAnsi="Verdana" w:cs="Tahoma"/>
          <w:bCs/>
          <w:sz w:val="22"/>
          <w:szCs w:val="22"/>
        </w:rPr>
      </w:pPr>
      <w:r w:rsidRPr="00635B67">
        <w:rPr>
          <w:rFonts w:ascii="Verdana" w:hAnsi="Verdana" w:cs="Tahoma"/>
          <w:bCs/>
        </w:rPr>
        <w:t xml:space="preserve">No obstante que la norma constitucional hace énfasis en la existencia del daño antijurídico como fuente del derecho a obtener la reparación de perjuicios siempre que el mismo le sea imputable a una entidad estatal, dejando de lado el análisis de la conducta productora del hecho dañoso y su calificación como culposa o no, </w:t>
      </w:r>
      <w:r w:rsidRPr="00635B67">
        <w:rPr>
          <w:rFonts w:ascii="Verdana" w:hAnsi="Verdana" w:cs="Tahoma"/>
          <w:b/>
          <w:bCs/>
        </w:rPr>
        <w:t>ello no significa que la responsabilidad patrimonial del Estado se haya tornado objetiva en términos absolutos</w:t>
      </w:r>
      <w:r w:rsidRPr="00635B67">
        <w:rPr>
          <w:rFonts w:ascii="Verdana" w:hAnsi="Verdana" w:cs="Tahoma"/>
          <w:bCs/>
        </w:rPr>
        <w:t xml:space="preserve">, puesto que </w:t>
      </w:r>
      <w:r w:rsidRPr="00635B67">
        <w:rPr>
          <w:rFonts w:ascii="Verdana" w:hAnsi="Verdana" w:cs="Tahoma"/>
          <w:b/>
          <w:bCs/>
        </w:rPr>
        <w:t>subsisten los diferentes regímenes de imputación de responsabilidad al Estado que de tiempo atrás han elaborado tanto la doctrina como la jurisprudencia, entre ellos el de la tradicional falla del servicio</w:t>
      </w:r>
      <w:r w:rsidRPr="00635B67">
        <w:rPr>
          <w:rFonts w:ascii="Verdana" w:hAnsi="Verdana" w:cs="Tahoma"/>
          <w:bCs/>
        </w:rPr>
        <w:t>, dentro del cual la responsabilidad surge a partir de la comprobación de la existencia de tres elementos fundamentales: el daño antijurídico sufrido por el interesado, el deficiente funcionamiento del servicio, porque no funcionó cuando ha debido hacerlo, o lo hizo de manera tardía o equivocada, y finalmente, una relación de causalidad entre este último y el primero, es decir, la comprobación de que el daño se produjo como consecuencia de la falla del servicio.</w:t>
      </w:r>
      <w:r w:rsidRPr="00635B67">
        <w:rPr>
          <w:rFonts w:ascii="Verdana" w:hAnsi="Verdana" w:cs="Tahoma"/>
          <w:bCs/>
          <w:sz w:val="22"/>
          <w:szCs w:val="22"/>
        </w:rPr>
        <w:t>(Resaltado de la Sala).</w:t>
      </w:r>
    </w:p>
    <w:p w14:paraId="07A90C34" w14:textId="77777777" w:rsidR="00D13AA7" w:rsidRPr="00635B67" w:rsidRDefault="00D13AA7" w:rsidP="00D13AA7">
      <w:pPr>
        <w:jc w:val="both"/>
        <w:rPr>
          <w:rFonts w:ascii="Verdana" w:hAnsi="Verdana" w:cs="Tahoma"/>
          <w:bCs/>
          <w:i/>
          <w:sz w:val="22"/>
          <w:szCs w:val="22"/>
        </w:rPr>
      </w:pPr>
    </w:p>
    <w:p w14:paraId="7B45E7DA" w14:textId="77777777" w:rsidR="00D13AA7" w:rsidRPr="00635B67" w:rsidRDefault="00D13AA7" w:rsidP="00D13AA7">
      <w:pPr>
        <w:spacing w:line="360" w:lineRule="auto"/>
        <w:jc w:val="both"/>
        <w:rPr>
          <w:rFonts w:ascii="Verdana" w:hAnsi="Verdana" w:cs="Tahoma"/>
          <w:bCs/>
          <w:sz w:val="22"/>
          <w:szCs w:val="22"/>
        </w:rPr>
      </w:pPr>
    </w:p>
    <w:p w14:paraId="43DC828B" w14:textId="77777777" w:rsidR="00D13AA7" w:rsidRPr="00635B67" w:rsidRDefault="00D13AA7" w:rsidP="00D13AA7">
      <w:pPr>
        <w:spacing w:line="360" w:lineRule="auto"/>
        <w:jc w:val="both"/>
        <w:rPr>
          <w:rFonts w:ascii="Verdana" w:hAnsi="Verdana" w:cs="Tahoma"/>
          <w:bCs/>
          <w:sz w:val="22"/>
          <w:szCs w:val="22"/>
        </w:rPr>
      </w:pPr>
      <w:r w:rsidRPr="00635B67">
        <w:rPr>
          <w:rFonts w:ascii="Verdana" w:hAnsi="Verdana" w:cs="Tahoma"/>
          <w:bCs/>
          <w:sz w:val="22"/>
          <w:szCs w:val="22"/>
        </w:rPr>
        <w:t xml:space="preserve">Del mismo modo, en sentencia de 18 de octubre de 2007, el Consejo de Estado, Sección Tercera, siendo Consejero Ponente el doctor Mauricio Fajardo Gómez, dentro del expediente: 68001-23-15-000-1995-00940-01(15528), reiteró: </w:t>
      </w:r>
    </w:p>
    <w:p w14:paraId="7D88DB25" w14:textId="77777777" w:rsidR="00D13AA7" w:rsidRPr="00635B67" w:rsidRDefault="00D13AA7" w:rsidP="00D13AA7">
      <w:pPr>
        <w:jc w:val="both"/>
        <w:rPr>
          <w:rFonts w:ascii="Verdana" w:hAnsi="Verdana" w:cs="Tahoma"/>
          <w:bCs/>
          <w:i/>
          <w:sz w:val="22"/>
          <w:szCs w:val="22"/>
        </w:rPr>
      </w:pPr>
    </w:p>
    <w:p w14:paraId="064C13AE" w14:textId="77777777" w:rsidR="00D13AA7" w:rsidRPr="00635B67" w:rsidRDefault="00D13AA7" w:rsidP="00D13AA7">
      <w:pPr>
        <w:ind w:left="567" w:right="617"/>
        <w:jc w:val="both"/>
        <w:rPr>
          <w:rFonts w:ascii="Verdana" w:hAnsi="Verdana" w:cs="Tahoma"/>
          <w:bCs/>
          <w:iCs/>
        </w:rPr>
      </w:pPr>
      <w:r w:rsidRPr="00635B67">
        <w:rPr>
          <w:rFonts w:ascii="Verdana" w:hAnsi="Verdana" w:cs="Tahoma"/>
          <w:bCs/>
          <w:iCs/>
        </w:rPr>
        <w:t>“…La Sala, de tiempo atrás, ha dicho que la falla del servicio ha sido en nuestro derecho y continúa siendo el título jurídico de imputación por excelencia para desencadenar la obligación indemnizatoria del Estado; en efecto, si al Juez Administrativo le compete - por principio - una labor de control de la acción administrativa del Estado y si la falla del servicio tiene el contenido final del incumplimiento de una obligación a su cargo, no hay duda que es ella el mecanismo más idóneo para asentar la responsabilidad…extracontractual….”</w:t>
      </w:r>
    </w:p>
    <w:p w14:paraId="2F9BA9CB" w14:textId="77777777" w:rsidR="00D13AA7" w:rsidRPr="00635B67" w:rsidRDefault="00D13AA7" w:rsidP="00D13AA7">
      <w:pPr>
        <w:jc w:val="both"/>
        <w:rPr>
          <w:rFonts w:ascii="Verdana" w:hAnsi="Verdana" w:cs="Tahoma"/>
          <w:bCs/>
          <w:i/>
          <w:iCs/>
          <w:sz w:val="22"/>
          <w:szCs w:val="22"/>
        </w:rPr>
      </w:pPr>
    </w:p>
    <w:p w14:paraId="464D59BF" w14:textId="77777777" w:rsidR="00D13AA7" w:rsidRPr="00635B67" w:rsidRDefault="00D13AA7" w:rsidP="00D13AA7">
      <w:pPr>
        <w:spacing w:line="360" w:lineRule="auto"/>
        <w:jc w:val="both"/>
        <w:rPr>
          <w:rFonts w:ascii="Verdana" w:hAnsi="Verdana" w:cs="Tahoma"/>
          <w:bCs/>
          <w:iCs/>
          <w:sz w:val="22"/>
          <w:szCs w:val="22"/>
        </w:rPr>
      </w:pPr>
      <w:r w:rsidRPr="00635B67">
        <w:rPr>
          <w:rFonts w:ascii="Verdana" w:hAnsi="Verdana" w:cs="Tahoma"/>
          <w:bCs/>
          <w:iCs/>
          <w:sz w:val="22"/>
          <w:szCs w:val="22"/>
        </w:rPr>
        <w:lastRenderedPageBreak/>
        <w:t>No sobra entonces, memorar los elementos que desde antaño ha precisado el Contencioso Administrativo, y que constituyen ingrediente de este sistema de responsabilidad</w:t>
      </w:r>
      <w:r w:rsidRPr="00635B67">
        <w:rPr>
          <w:rFonts w:ascii="Verdana" w:hAnsi="Verdana" w:cs="Tahoma"/>
          <w:bCs/>
          <w:iCs/>
          <w:sz w:val="22"/>
          <w:szCs w:val="22"/>
          <w:vertAlign w:val="superscript"/>
        </w:rPr>
        <w:footnoteReference w:id="4"/>
      </w:r>
      <w:r w:rsidRPr="00635B67">
        <w:rPr>
          <w:rFonts w:ascii="Verdana" w:hAnsi="Verdana" w:cs="Tahoma"/>
          <w:bCs/>
          <w:iCs/>
          <w:sz w:val="22"/>
          <w:szCs w:val="22"/>
        </w:rPr>
        <w:t>:</w:t>
      </w:r>
    </w:p>
    <w:p w14:paraId="2078D580" w14:textId="77777777" w:rsidR="00D13AA7" w:rsidRPr="00635B67" w:rsidRDefault="00D13AA7" w:rsidP="00D13AA7">
      <w:pPr>
        <w:jc w:val="both"/>
        <w:rPr>
          <w:rFonts w:ascii="Verdana" w:hAnsi="Verdana" w:cs="Tahoma"/>
          <w:bCs/>
          <w:i/>
          <w:iCs/>
          <w:sz w:val="22"/>
          <w:szCs w:val="22"/>
        </w:rPr>
      </w:pPr>
    </w:p>
    <w:p w14:paraId="56A34333" w14:textId="77777777" w:rsidR="00D13AA7" w:rsidRPr="00635B67" w:rsidRDefault="00D13AA7" w:rsidP="00D13AA7">
      <w:pPr>
        <w:ind w:left="567" w:right="617"/>
        <w:jc w:val="both"/>
        <w:rPr>
          <w:rFonts w:ascii="Verdana" w:hAnsi="Verdana" w:cs="Tahoma"/>
          <w:bCs/>
          <w:i/>
          <w:sz w:val="22"/>
          <w:szCs w:val="22"/>
        </w:rPr>
      </w:pPr>
      <w:r w:rsidRPr="00635B67">
        <w:rPr>
          <w:rFonts w:ascii="Verdana" w:hAnsi="Verdana" w:cs="Tahoma"/>
          <w:bCs/>
        </w:rPr>
        <w:t xml:space="preserve">“…La responsabilidad patrimonial por falla del servicio, como se ha manifestado por la Corporación de tiempo atrás, se configura por los siguientes elementos: “a) </w:t>
      </w:r>
      <w:r w:rsidRPr="00635B67">
        <w:rPr>
          <w:rFonts w:ascii="Verdana" w:hAnsi="Verdana" w:cs="Tahoma"/>
          <w:b/>
          <w:bCs/>
        </w:rPr>
        <w:t>Una falta o falla del servicio</w:t>
      </w:r>
      <w:r w:rsidRPr="00635B67">
        <w:rPr>
          <w:rFonts w:ascii="Verdana" w:hAnsi="Verdana" w:cs="Tahoma"/>
          <w:bCs/>
        </w:rPr>
        <w:t xml:space="preserve"> o de la administración, por omisión, retardo, irregularidad, ineficiencia o ausencia del servicio. La falta o falla de que se trata, no</w:t>
      </w:r>
      <w:r w:rsidRPr="00635B67">
        <w:rPr>
          <w:rFonts w:ascii="Verdana" w:hAnsi="Verdana" w:cs="Tahoma"/>
          <w:bCs/>
          <w:iCs/>
        </w:rPr>
        <w:t xml:space="preserve"> </w:t>
      </w:r>
      <w:r w:rsidRPr="00635B67">
        <w:rPr>
          <w:rFonts w:ascii="Verdana" w:hAnsi="Verdana" w:cs="Tahoma"/>
          <w:bCs/>
        </w:rPr>
        <w:t>es la personal del agente ad</w:t>
      </w:r>
      <w:r w:rsidRPr="00635B67">
        <w:rPr>
          <w:rFonts w:ascii="Verdana" w:hAnsi="Verdana" w:cs="Tahoma"/>
          <w:bCs/>
        </w:rPr>
        <w:softHyphen/>
        <w:t xml:space="preserve">ministrativo, sino la del servicio o anónima de la administración; “b) Lo anterior implica que la administración ha actuado o ha dejado de actuar, por lo que se excluyen los actos del agente, ajenos al servicio, ejecutados como simple </w:t>
      </w:r>
      <w:proofErr w:type="spellStart"/>
      <w:r w:rsidRPr="00635B67">
        <w:rPr>
          <w:rFonts w:ascii="Verdana" w:hAnsi="Verdana" w:cs="Tahoma"/>
          <w:bCs/>
        </w:rPr>
        <w:t>ciudadano;“c</w:t>
      </w:r>
      <w:proofErr w:type="spellEnd"/>
      <w:r w:rsidRPr="00635B67">
        <w:rPr>
          <w:rFonts w:ascii="Verdana" w:hAnsi="Verdana" w:cs="Tahoma"/>
          <w:bCs/>
        </w:rPr>
        <w:t xml:space="preserve">) </w:t>
      </w:r>
      <w:r w:rsidRPr="00635B67">
        <w:rPr>
          <w:rFonts w:ascii="Verdana" w:hAnsi="Verdana" w:cs="Tahoma"/>
          <w:b/>
          <w:bCs/>
        </w:rPr>
        <w:t>Un daño</w:t>
      </w:r>
      <w:r w:rsidRPr="00635B67">
        <w:rPr>
          <w:rFonts w:ascii="Verdana" w:hAnsi="Verdana" w:cs="Tahoma"/>
          <w:bCs/>
        </w:rPr>
        <w:t xml:space="preserve"> que, implica la lesión o perturbación de un bien protegido por el derecho, bien sea civil, administrativo, etc., con</w:t>
      </w:r>
      <w:r w:rsidRPr="00635B67">
        <w:rPr>
          <w:rFonts w:ascii="Verdana" w:hAnsi="Verdana" w:cs="Tahoma"/>
          <w:bCs/>
          <w:iCs/>
        </w:rPr>
        <w:t xml:space="preserve"> </w:t>
      </w:r>
      <w:r w:rsidRPr="00635B67">
        <w:rPr>
          <w:rFonts w:ascii="Verdana" w:hAnsi="Verdana" w:cs="Tahoma"/>
          <w:bCs/>
        </w:rPr>
        <w:softHyphen/>
        <w:t>las características generales predicadas en el derecho privado para el daño indemnizable, como de que sea cierto, determinado o de</w:t>
      </w:r>
      <w:r w:rsidRPr="00635B67">
        <w:rPr>
          <w:rFonts w:ascii="Verdana" w:hAnsi="Verdana" w:cs="Tahoma"/>
          <w:bCs/>
        </w:rPr>
        <w:softHyphen/>
        <w:t xml:space="preserve">terminable, etc.; “d) </w:t>
      </w:r>
      <w:r w:rsidRPr="00635B67">
        <w:rPr>
          <w:rFonts w:ascii="Verdana" w:hAnsi="Verdana" w:cs="Tahoma"/>
          <w:b/>
          <w:bCs/>
        </w:rPr>
        <w:t>Una relación de causalidad</w:t>
      </w:r>
      <w:r w:rsidRPr="00635B67">
        <w:rPr>
          <w:rFonts w:ascii="Verdana" w:hAnsi="Verdana" w:cs="Tahoma"/>
          <w:bCs/>
        </w:rPr>
        <w:t xml:space="preserve">  entre la falta o falla de la ad</w:t>
      </w:r>
      <w:r w:rsidRPr="00635B67">
        <w:rPr>
          <w:rFonts w:ascii="Verdana" w:hAnsi="Verdana" w:cs="Tahoma"/>
          <w:bCs/>
        </w:rPr>
        <w:softHyphen/>
        <w:t>ministración y el daño, sin la cual aún demostrada la falta o falla del servicio, no</w:t>
      </w:r>
      <w:r w:rsidRPr="00635B67">
        <w:rPr>
          <w:rFonts w:ascii="Verdana" w:hAnsi="Verdana" w:cs="Tahoma"/>
          <w:bCs/>
          <w:iCs/>
        </w:rPr>
        <w:t xml:space="preserve"> </w:t>
      </w:r>
      <w:r w:rsidRPr="00635B67">
        <w:rPr>
          <w:rFonts w:ascii="Verdana" w:hAnsi="Verdana" w:cs="Tahoma"/>
          <w:bCs/>
        </w:rPr>
        <w:t>habrá lugar a la indemnización….”</w:t>
      </w:r>
      <w:r w:rsidRPr="00635B67">
        <w:rPr>
          <w:rFonts w:ascii="Verdana" w:hAnsi="Verdana" w:cs="Tahoma"/>
          <w:bCs/>
          <w:sz w:val="22"/>
          <w:szCs w:val="22"/>
        </w:rPr>
        <w:t>(Resaltado de la Sala)</w:t>
      </w:r>
      <w:r w:rsidRPr="00635B67">
        <w:rPr>
          <w:rFonts w:ascii="Verdana" w:hAnsi="Verdana" w:cs="Tahoma"/>
          <w:bCs/>
          <w:i/>
          <w:sz w:val="22"/>
          <w:szCs w:val="22"/>
        </w:rPr>
        <w:t>.</w:t>
      </w:r>
    </w:p>
    <w:p w14:paraId="5055E21A" w14:textId="77777777" w:rsidR="00D13AA7" w:rsidRPr="00635B67" w:rsidRDefault="00D13AA7" w:rsidP="00D13AA7">
      <w:pPr>
        <w:jc w:val="both"/>
        <w:rPr>
          <w:rFonts w:ascii="Verdana" w:hAnsi="Verdana" w:cs="Tahoma"/>
          <w:bCs/>
          <w:sz w:val="22"/>
          <w:szCs w:val="22"/>
        </w:rPr>
      </w:pPr>
    </w:p>
    <w:p w14:paraId="09CFF2D7" w14:textId="77777777" w:rsidR="00D13AA7" w:rsidRPr="00635B67" w:rsidRDefault="00D13AA7" w:rsidP="00D13AA7">
      <w:pPr>
        <w:jc w:val="both"/>
        <w:rPr>
          <w:rFonts w:ascii="Verdana" w:hAnsi="Verdana" w:cs="Tahoma"/>
          <w:bCs/>
          <w:i/>
          <w:iCs/>
          <w:sz w:val="22"/>
          <w:szCs w:val="22"/>
        </w:rPr>
      </w:pPr>
    </w:p>
    <w:p w14:paraId="09A3CB18" w14:textId="77777777" w:rsidR="00D13AA7" w:rsidRPr="00635B67" w:rsidRDefault="00D13AA7" w:rsidP="00D13AA7">
      <w:pPr>
        <w:spacing w:line="360" w:lineRule="auto"/>
        <w:jc w:val="both"/>
        <w:rPr>
          <w:rFonts w:ascii="Verdana" w:hAnsi="Verdana" w:cs="Tahoma"/>
          <w:bCs/>
          <w:iCs/>
          <w:sz w:val="22"/>
          <w:szCs w:val="22"/>
        </w:rPr>
      </w:pPr>
      <w:r w:rsidRPr="00635B67">
        <w:rPr>
          <w:rFonts w:ascii="Verdana" w:hAnsi="Verdana" w:cs="Tahoma"/>
          <w:bCs/>
          <w:iCs/>
          <w:sz w:val="22"/>
          <w:szCs w:val="22"/>
        </w:rPr>
        <w:t>Puede colegirse entonces de los pronunciamientos citados, que la falla del servicio ha sido, y continua siendo, el título jurídico de imputación por excelencia para desencadenar la obligación indemnizatoria del Estado; en efecto, si al Juez Administrativo le compete una labor de control de la acción administrativa del Estado y si la falla del servicio tiene el contenido final del incumplimiento de una obligación a su cargo, no hay duda de que es ella el mecanismo más idóneo para asentar la responsabilidad patrimonial de naturaleza extracontractual.</w:t>
      </w:r>
      <w:r w:rsidRPr="00635B67">
        <w:rPr>
          <w:rFonts w:ascii="Verdana" w:hAnsi="Verdana" w:cs="Tahoma"/>
          <w:bCs/>
          <w:iCs/>
          <w:sz w:val="22"/>
          <w:szCs w:val="22"/>
          <w:vertAlign w:val="superscript"/>
        </w:rPr>
        <w:footnoteReference w:id="5"/>
      </w:r>
      <w:r w:rsidRPr="00635B67">
        <w:rPr>
          <w:rFonts w:ascii="Verdana" w:hAnsi="Verdana" w:cs="Tahoma"/>
          <w:bCs/>
          <w:iCs/>
          <w:sz w:val="22"/>
          <w:szCs w:val="22"/>
        </w:rPr>
        <w:t xml:space="preserve"> </w:t>
      </w:r>
    </w:p>
    <w:p w14:paraId="6BB318E7" w14:textId="77777777" w:rsidR="00D13AA7" w:rsidRPr="00635B67" w:rsidRDefault="00D13AA7" w:rsidP="00D13AA7">
      <w:pPr>
        <w:jc w:val="both"/>
        <w:rPr>
          <w:rFonts w:ascii="Verdana" w:hAnsi="Verdana" w:cs="Tahoma"/>
          <w:bCs/>
          <w:i/>
          <w:iCs/>
          <w:sz w:val="22"/>
          <w:szCs w:val="22"/>
        </w:rPr>
      </w:pPr>
    </w:p>
    <w:p w14:paraId="3F31B88E" w14:textId="21FA7E38" w:rsidR="00D13AA7" w:rsidRPr="00635B67" w:rsidRDefault="00D13AA7" w:rsidP="00D13AA7">
      <w:pPr>
        <w:spacing w:line="360" w:lineRule="auto"/>
        <w:jc w:val="both"/>
        <w:rPr>
          <w:rFonts w:ascii="Verdana" w:hAnsi="Verdana" w:cs="Tahoma"/>
          <w:bCs/>
          <w:sz w:val="22"/>
          <w:szCs w:val="22"/>
        </w:rPr>
      </w:pPr>
      <w:r w:rsidRPr="00635B67">
        <w:rPr>
          <w:rFonts w:ascii="Verdana" w:hAnsi="Verdana" w:cs="Tahoma"/>
          <w:bCs/>
          <w:sz w:val="22"/>
          <w:szCs w:val="22"/>
        </w:rPr>
        <w:t xml:space="preserve">Ahora bien, el Consejo de Estado ha señalado que la responsabilidad del Estado se ve comprometida cuando se encuentren acreditados los siguientes requisitos: </w:t>
      </w:r>
      <w:r w:rsidRPr="00635B67">
        <w:rPr>
          <w:rFonts w:ascii="Verdana" w:hAnsi="Verdana" w:cs="Tahoma"/>
          <w:b/>
          <w:bCs/>
          <w:sz w:val="22"/>
          <w:szCs w:val="22"/>
        </w:rPr>
        <w:t>a) la existencia de una obligación legal o reglamentaria a cargo de la entidad demandada de realizar la acción con la cual se habrían evitado los perjuicios</w:t>
      </w:r>
      <w:r w:rsidRPr="00635B67">
        <w:rPr>
          <w:rFonts w:ascii="Verdana" w:hAnsi="Verdana" w:cs="Tahoma"/>
          <w:b/>
          <w:bCs/>
          <w:sz w:val="22"/>
          <w:szCs w:val="22"/>
          <w:vertAlign w:val="superscript"/>
        </w:rPr>
        <w:footnoteReference w:id="6"/>
      </w:r>
      <w:r w:rsidRPr="00635B67">
        <w:rPr>
          <w:rFonts w:ascii="Verdana" w:hAnsi="Verdana" w:cs="Tahoma"/>
          <w:b/>
          <w:bCs/>
          <w:sz w:val="22"/>
          <w:szCs w:val="22"/>
        </w:rPr>
        <w:t>; b) la omisión de poner en funcionamiento los recursos de que se dispone para el adecuado cumplimiento del deber legal, atendidas las circunstancias particulares del caso</w:t>
      </w:r>
      <w:r w:rsidRPr="00635B67">
        <w:rPr>
          <w:rFonts w:ascii="Verdana" w:hAnsi="Verdana" w:cs="Tahoma"/>
          <w:bCs/>
          <w:sz w:val="22"/>
          <w:szCs w:val="22"/>
        </w:rPr>
        <w:t>; c) un daño antijurídico, y d) la relación causal entre la omisión y el daño</w:t>
      </w:r>
      <w:r w:rsidRPr="00635B67">
        <w:rPr>
          <w:rFonts w:ascii="Verdana" w:hAnsi="Verdana" w:cs="Tahoma"/>
          <w:bCs/>
          <w:sz w:val="22"/>
          <w:szCs w:val="22"/>
          <w:vertAlign w:val="superscript"/>
        </w:rPr>
        <w:footnoteReference w:id="7"/>
      </w:r>
      <w:r w:rsidRPr="00635B67">
        <w:rPr>
          <w:rFonts w:ascii="Verdana" w:hAnsi="Verdana" w:cs="Tahoma"/>
          <w:bCs/>
          <w:sz w:val="22"/>
          <w:szCs w:val="22"/>
        </w:rPr>
        <w:t xml:space="preserve">. </w:t>
      </w:r>
    </w:p>
    <w:p w14:paraId="7181EEEF" w14:textId="77777777" w:rsidR="00D13AA7" w:rsidRPr="00635B67" w:rsidRDefault="00D13AA7" w:rsidP="00D13AA7">
      <w:pPr>
        <w:jc w:val="both"/>
        <w:rPr>
          <w:rFonts w:ascii="Verdana" w:hAnsi="Verdana" w:cs="Tahoma"/>
          <w:bCs/>
          <w:i/>
          <w:sz w:val="22"/>
          <w:szCs w:val="22"/>
        </w:rPr>
      </w:pPr>
    </w:p>
    <w:p w14:paraId="20B82E61" w14:textId="77777777" w:rsidR="00D13AA7" w:rsidRPr="00635B67" w:rsidRDefault="00D13AA7" w:rsidP="00D13AA7">
      <w:pPr>
        <w:spacing w:line="360" w:lineRule="auto"/>
        <w:jc w:val="both"/>
        <w:rPr>
          <w:rFonts w:ascii="Verdana" w:hAnsi="Verdana" w:cs="Tahoma"/>
          <w:b/>
          <w:bCs/>
          <w:sz w:val="22"/>
          <w:szCs w:val="22"/>
        </w:rPr>
      </w:pPr>
      <w:r w:rsidRPr="00635B67">
        <w:rPr>
          <w:rFonts w:ascii="Verdana" w:hAnsi="Verdana" w:cs="Tahoma"/>
          <w:bCs/>
          <w:sz w:val="22"/>
          <w:szCs w:val="22"/>
        </w:rPr>
        <w:lastRenderedPageBreak/>
        <w:t xml:space="preserve">Frente a este último aspecto, con apoyo en la doctrina, precisa la jurisprudencia que en este tipo de eventos </w:t>
      </w:r>
      <w:r w:rsidRPr="00635B67">
        <w:rPr>
          <w:rFonts w:ascii="Verdana" w:hAnsi="Verdana" w:cs="Tahoma"/>
          <w:b/>
          <w:bCs/>
          <w:sz w:val="22"/>
          <w:szCs w:val="22"/>
        </w:rPr>
        <w:t>lo decisivo</w:t>
      </w:r>
      <w:r w:rsidRPr="00635B67">
        <w:rPr>
          <w:rFonts w:ascii="Verdana" w:hAnsi="Verdana" w:cs="Tahoma"/>
          <w:bCs/>
          <w:sz w:val="22"/>
          <w:szCs w:val="22"/>
        </w:rPr>
        <w:t xml:space="preserve"> no es la existencia efectiva de una relación causal entre la omisión y el resultado, sino</w:t>
      </w:r>
      <w:r w:rsidRPr="00635B67">
        <w:rPr>
          <w:rFonts w:ascii="Verdana" w:hAnsi="Verdana" w:cs="Tahoma"/>
          <w:b/>
          <w:bCs/>
          <w:sz w:val="22"/>
          <w:szCs w:val="22"/>
        </w:rPr>
        <w:t xml:space="preserve"> la omisión de la conducta debida, que de haberse realizado habría interrumpido el proceso causal impidiendo la producción de la lesión</w:t>
      </w:r>
      <w:r w:rsidRPr="00635B67">
        <w:rPr>
          <w:rFonts w:ascii="Verdana" w:hAnsi="Verdana" w:cs="Tahoma"/>
          <w:b/>
          <w:bCs/>
          <w:sz w:val="22"/>
          <w:szCs w:val="22"/>
          <w:vertAlign w:val="superscript"/>
        </w:rPr>
        <w:footnoteReference w:id="8"/>
      </w:r>
      <w:r w:rsidRPr="00635B67">
        <w:rPr>
          <w:rFonts w:ascii="Verdana" w:hAnsi="Verdana" w:cs="Tahoma"/>
          <w:b/>
          <w:bCs/>
          <w:sz w:val="22"/>
          <w:szCs w:val="22"/>
        </w:rPr>
        <w:t>.</w:t>
      </w:r>
    </w:p>
    <w:p w14:paraId="54D7F3E9" w14:textId="77777777" w:rsidR="00D13AA7" w:rsidRPr="00635B67" w:rsidRDefault="00D13AA7" w:rsidP="00D13AA7">
      <w:pPr>
        <w:jc w:val="both"/>
        <w:rPr>
          <w:rFonts w:ascii="Verdana" w:hAnsi="Verdana" w:cs="Tahoma"/>
          <w:b/>
          <w:bCs/>
          <w:i/>
          <w:sz w:val="22"/>
          <w:szCs w:val="22"/>
        </w:rPr>
      </w:pPr>
    </w:p>
    <w:p w14:paraId="5B84F16A" w14:textId="77777777" w:rsidR="00D13AA7" w:rsidRPr="00635B67" w:rsidRDefault="00D13AA7" w:rsidP="00D13AA7">
      <w:pPr>
        <w:jc w:val="both"/>
        <w:rPr>
          <w:rFonts w:ascii="Verdana" w:hAnsi="Verdana" w:cs="Tahoma"/>
          <w:bCs/>
          <w:i/>
          <w:iCs/>
          <w:sz w:val="22"/>
          <w:szCs w:val="22"/>
        </w:rPr>
      </w:pPr>
    </w:p>
    <w:p w14:paraId="0E5B4CE8" w14:textId="65CEE0B0" w:rsidR="00714525" w:rsidRPr="00635B67" w:rsidRDefault="00D13AA7" w:rsidP="6DAD1D68">
      <w:pPr>
        <w:spacing w:line="360" w:lineRule="auto"/>
        <w:jc w:val="both"/>
        <w:rPr>
          <w:rFonts w:ascii="Verdana" w:hAnsi="Verdana" w:cs="Tahoma"/>
          <w:sz w:val="22"/>
          <w:szCs w:val="22"/>
        </w:rPr>
      </w:pPr>
      <w:r w:rsidRPr="00635B67">
        <w:rPr>
          <w:rFonts w:ascii="Verdana" w:hAnsi="Verdana" w:cs="Tahoma"/>
          <w:sz w:val="22"/>
          <w:szCs w:val="22"/>
        </w:rPr>
        <w:t>Así las cosas, el título de imputación en este asunto corresponde al de la falla del servicio por la presunta omisión del</w:t>
      </w:r>
      <w:r w:rsidR="00896393" w:rsidRPr="00635B67">
        <w:rPr>
          <w:rFonts w:ascii="Verdana" w:hAnsi="Verdana" w:cs="Tahoma"/>
          <w:sz w:val="22"/>
          <w:szCs w:val="22"/>
        </w:rPr>
        <w:t xml:space="preserve"> deber del Estado, en cabeza de la SUPERINTENDENCIA DE NOTARIADO Y REGISTRO de </w:t>
      </w:r>
      <w:r w:rsidR="00714525" w:rsidRPr="00635B67">
        <w:rPr>
          <w:rFonts w:ascii="Verdana" w:hAnsi="Verdana" w:cs="Tahoma"/>
          <w:sz w:val="22"/>
          <w:szCs w:val="22"/>
        </w:rPr>
        <w:t xml:space="preserve">inspección, vigilancia y control de la función pública notarial, por la </w:t>
      </w:r>
      <w:r w:rsidR="001732E7" w:rsidRPr="00635B67">
        <w:rPr>
          <w:rFonts w:ascii="Verdana" w:hAnsi="Verdana" w:cs="Tahoma"/>
          <w:sz w:val="22"/>
          <w:szCs w:val="22"/>
        </w:rPr>
        <w:t xml:space="preserve">supuesta </w:t>
      </w:r>
      <w:r w:rsidR="00714525" w:rsidRPr="00635B67">
        <w:rPr>
          <w:rFonts w:ascii="Verdana" w:hAnsi="Verdana" w:cs="Tahoma"/>
          <w:sz w:val="22"/>
          <w:szCs w:val="22"/>
        </w:rPr>
        <w:t>prestación del servicio ineficiente de la Notaría</w:t>
      </w:r>
      <w:r w:rsidR="00714525" w:rsidRPr="00635B67">
        <w:rPr>
          <w:rFonts w:ascii="Verdana" w:hAnsi="Verdana" w:cs="Arial"/>
          <w:sz w:val="22"/>
          <w:szCs w:val="22"/>
        </w:rPr>
        <w:t xml:space="preserve"> Primera del Círculo de Sogamoso</w:t>
      </w:r>
      <w:r w:rsidR="00714525" w:rsidRPr="00635B67">
        <w:rPr>
          <w:rFonts w:ascii="Verdana" w:hAnsi="Verdana" w:cs="Tahoma"/>
          <w:sz w:val="22"/>
          <w:szCs w:val="22"/>
        </w:rPr>
        <w:t xml:space="preserve"> ante la omisión de identificar plenamente a quien compareció en calidad de hipotecante a suscribir la Escritura Pública No. 0134 del 5 de febrero de 2010. </w:t>
      </w:r>
    </w:p>
    <w:p w14:paraId="2E2E9181" w14:textId="77777777" w:rsidR="00714525" w:rsidRPr="00635B67" w:rsidRDefault="00714525" w:rsidP="00D13AA7">
      <w:pPr>
        <w:spacing w:line="360" w:lineRule="auto"/>
        <w:jc w:val="both"/>
        <w:rPr>
          <w:rFonts w:ascii="Verdana" w:hAnsi="Verdana" w:cs="Tahoma"/>
          <w:bCs/>
          <w:sz w:val="22"/>
          <w:szCs w:val="22"/>
        </w:rPr>
      </w:pPr>
    </w:p>
    <w:p w14:paraId="492F42F7" w14:textId="72C8B45A" w:rsidR="00D7167D" w:rsidRPr="00635B67" w:rsidRDefault="00D7167D" w:rsidP="00D13AA7">
      <w:pPr>
        <w:pStyle w:val="Textoindependiente"/>
        <w:spacing w:line="360" w:lineRule="auto"/>
        <w:ind w:left="360"/>
        <w:rPr>
          <w:rFonts w:ascii="Verdana" w:hAnsi="Verdana"/>
          <w:b/>
          <w:sz w:val="22"/>
          <w:szCs w:val="22"/>
        </w:rPr>
      </w:pPr>
      <w:r w:rsidRPr="00635B67">
        <w:rPr>
          <w:rFonts w:ascii="Verdana" w:hAnsi="Verdana"/>
          <w:b/>
          <w:sz w:val="22"/>
          <w:szCs w:val="22"/>
        </w:rPr>
        <w:t xml:space="preserve">3.4.- CASO CONCRETO: </w:t>
      </w:r>
    </w:p>
    <w:p w14:paraId="3798A169" w14:textId="0F307E86" w:rsidR="00440DDB" w:rsidRPr="00635B67" w:rsidRDefault="00440DDB" w:rsidP="007E2035">
      <w:pPr>
        <w:pStyle w:val="Textoindependiente"/>
        <w:spacing w:line="360" w:lineRule="auto"/>
        <w:ind w:left="360"/>
        <w:rPr>
          <w:rFonts w:ascii="Verdana" w:hAnsi="Verdana"/>
          <w:b/>
          <w:sz w:val="22"/>
          <w:szCs w:val="22"/>
        </w:rPr>
      </w:pPr>
    </w:p>
    <w:p w14:paraId="30FBEAFD" w14:textId="6E618680" w:rsidR="00A743E6" w:rsidRPr="00635B67" w:rsidRDefault="00440DDB" w:rsidP="00A743E6">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 xml:space="preserve">Al descender al caso concreto encuentra la Sala que lo pretendido por </w:t>
      </w:r>
      <w:r w:rsidR="00A743E6" w:rsidRPr="00635B67">
        <w:rPr>
          <w:rFonts w:ascii="Verdana" w:hAnsi="Verdana" w:cs="Arial"/>
          <w:sz w:val="22"/>
          <w:szCs w:val="22"/>
        </w:rPr>
        <w:t xml:space="preserve">el señor RODOLFO CONCISIÓN GARCÍA </w:t>
      </w:r>
      <w:r w:rsidRPr="00635B67">
        <w:rPr>
          <w:rFonts w:ascii="Verdana" w:hAnsi="Verdana" w:cs="Arial"/>
          <w:sz w:val="22"/>
          <w:szCs w:val="22"/>
        </w:rPr>
        <w:t>es que se declare la res</w:t>
      </w:r>
      <w:r w:rsidR="00A743E6" w:rsidRPr="00635B67">
        <w:rPr>
          <w:rFonts w:ascii="Verdana" w:hAnsi="Verdana" w:cs="Arial"/>
          <w:sz w:val="22"/>
          <w:szCs w:val="22"/>
        </w:rPr>
        <w:t>ponsabilidad extracontractual de la SUPERINTENDENCIA DE NOTARIADO</w:t>
      </w:r>
      <w:r w:rsidR="00460D8F" w:rsidRPr="00635B67">
        <w:rPr>
          <w:rFonts w:ascii="Verdana" w:hAnsi="Verdana" w:cs="Arial"/>
          <w:sz w:val="22"/>
          <w:szCs w:val="22"/>
        </w:rPr>
        <w:t xml:space="preserve"> Y REGISTRO, de la señora ROSALB</w:t>
      </w:r>
      <w:r w:rsidR="00A743E6" w:rsidRPr="00635B67">
        <w:rPr>
          <w:rFonts w:ascii="Verdana" w:hAnsi="Verdana" w:cs="Arial"/>
          <w:sz w:val="22"/>
          <w:szCs w:val="22"/>
        </w:rPr>
        <w:t>A ALARCÓN CORREA y de la FISCALÍA GENERAL DE LA NACIÓN</w:t>
      </w:r>
      <w:r w:rsidRPr="00635B67">
        <w:rPr>
          <w:rFonts w:ascii="Verdana" w:hAnsi="Verdana" w:cs="Arial"/>
          <w:sz w:val="22"/>
          <w:szCs w:val="22"/>
        </w:rPr>
        <w:t>, y en consecuencia se le</w:t>
      </w:r>
      <w:r w:rsidR="00A743E6" w:rsidRPr="00635B67">
        <w:rPr>
          <w:rFonts w:ascii="Verdana" w:hAnsi="Verdana" w:cs="Arial"/>
          <w:sz w:val="22"/>
          <w:szCs w:val="22"/>
        </w:rPr>
        <w:t>s</w:t>
      </w:r>
      <w:r w:rsidRPr="00635B67">
        <w:rPr>
          <w:rFonts w:ascii="Verdana" w:hAnsi="Verdana" w:cs="Arial"/>
          <w:sz w:val="22"/>
          <w:szCs w:val="22"/>
        </w:rPr>
        <w:t xml:space="preserve"> condene a pagar indemnizació</w:t>
      </w:r>
      <w:r w:rsidR="00B4751D" w:rsidRPr="00635B67">
        <w:rPr>
          <w:rFonts w:ascii="Verdana" w:hAnsi="Verdana" w:cs="Arial"/>
          <w:sz w:val="22"/>
          <w:szCs w:val="22"/>
        </w:rPr>
        <w:t xml:space="preserve">n </w:t>
      </w:r>
      <w:r w:rsidR="00A743E6" w:rsidRPr="00635B67">
        <w:rPr>
          <w:rFonts w:ascii="Verdana" w:hAnsi="Verdana" w:cs="Arial"/>
          <w:sz w:val="22"/>
          <w:szCs w:val="22"/>
        </w:rPr>
        <w:t xml:space="preserve">por </w:t>
      </w:r>
      <w:r w:rsidR="00B4751D" w:rsidRPr="00635B67">
        <w:rPr>
          <w:rFonts w:ascii="Verdana" w:hAnsi="Verdana" w:cs="Arial"/>
          <w:sz w:val="22"/>
          <w:szCs w:val="22"/>
        </w:rPr>
        <w:t xml:space="preserve">los perjuicios materiales e </w:t>
      </w:r>
      <w:r w:rsidRPr="00635B67">
        <w:rPr>
          <w:rFonts w:ascii="Verdana" w:hAnsi="Verdana" w:cs="Arial"/>
          <w:sz w:val="22"/>
          <w:szCs w:val="22"/>
        </w:rPr>
        <w:t xml:space="preserve">inmateriales por el daño antijurídico </w:t>
      </w:r>
      <w:r w:rsidR="00A743E6" w:rsidRPr="00635B67">
        <w:rPr>
          <w:rFonts w:ascii="Verdana" w:hAnsi="Verdana" w:cs="Arial"/>
          <w:sz w:val="22"/>
          <w:szCs w:val="22"/>
        </w:rPr>
        <w:t xml:space="preserve">a él </w:t>
      </w:r>
      <w:r w:rsidRPr="00635B67">
        <w:rPr>
          <w:rFonts w:ascii="Verdana" w:hAnsi="Verdana" w:cs="Arial"/>
          <w:sz w:val="22"/>
          <w:szCs w:val="22"/>
        </w:rPr>
        <w:t xml:space="preserve">ocasionado </w:t>
      </w:r>
      <w:r w:rsidR="00A743E6" w:rsidRPr="00635B67">
        <w:rPr>
          <w:rFonts w:ascii="Verdana" w:hAnsi="Verdana" w:cs="Arial"/>
          <w:sz w:val="22"/>
          <w:szCs w:val="22"/>
        </w:rPr>
        <w:t xml:space="preserve">por su actuar negligente, que dio lugar a la declaratoria de nulidad de la escritura pública de hipoteca No. 0134 del 5 de febrero de 2010 constituida en la Notaría </w:t>
      </w:r>
      <w:r w:rsidR="004C5B70" w:rsidRPr="00635B67">
        <w:rPr>
          <w:rFonts w:ascii="Verdana" w:hAnsi="Verdana" w:cs="Arial"/>
          <w:sz w:val="22"/>
          <w:szCs w:val="22"/>
        </w:rPr>
        <w:t xml:space="preserve">Primera del Círculo de Sogamoso, </w:t>
      </w:r>
      <w:r w:rsidR="00A743E6" w:rsidRPr="00635B67">
        <w:rPr>
          <w:rFonts w:ascii="Verdana" w:hAnsi="Verdana" w:cs="Arial"/>
          <w:sz w:val="22"/>
          <w:szCs w:val="22"/>
        </w:rPr>
        <w:t xml:space="preserve">por suplantación personal de la propietaria del inmueble identificado con folio de matrícula inmobiliaria No. 095-81166. </w:t>
      </w:r>
    </w:p>
    <w:p w14:paraId="0BC37BCB" w14:textId="4F48A3A3" w:rsidR="004C5B70" w:rsidRPr="00635B67" w:rsidRDefault="004C5B70" w:rsidP="00A743E6">
      <w:pPr>
        <w:widowControl w:val="0"/>
        <w:autoSpaceDE w:val="0"/>
        <w:autoSpaceDN w:val="0"/>
        <w:adjustRightInd w:val="0"/>
        <w:spacing w:line="360" w:lineRule="auto"/>
        <w:ind w:right="-81"/>
        <w:jc w:val="both"/>
        <w:rPr>
          <w:rFonts w:ascii="Verdana" w:hAnsi="Verdana" w:cs="Arial"/>
          <w:sz w:val="22"/>
          <w:szCs w:val="22"/>
        </w:rPr>
      </w:pPr>
    </w:p>
    <w:p w14:paraId="74FBD71A" w14:textId="539CCAE6" w:rsidR="00B10344" w:rsidRPr="00635B67" w:rsidRDefault="005A5B38" w:rsidP="00B10344">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olor w:val="000000" w:themeColor="text1"/>
          <w:sz w:val="22"/>
          <w:szCs w:val="22"/>
          <w:shd w:val="clear" w:color="auto" w:fill="FFFFFF"/>
        </w:rPr>
        <w:t>Surtido el trámite del proceso en primera instancia</w:t>
      </w:r>
      <w:r w:rsidR="0A54397E" w:rsidRPr="00635B67">
        <w:rPr>
          <w:rFonts w:ascii="Verdana" w:hAnsi="Verdana"/>
          <w:color w:val="000000" w:themeColor="text1"/>
          <w:sz w:val="22"/>
          <w:szCs w:val="22"/>
          <w:shd w:val="clear" w:color="auto" w:fill="FFFFFF"/>
        </w:rPr>
        <w:t>,</w:t>
      </w:r>
      <w:r w:rsidRPr="00635B67">
        <w:rPr>
          <w:rFonts w:ascii="Verdana" w:hAnsi="Verdana"/>
          <w:color w:val="000000" w:themeColor="text1"/>
          <w:sz w:val="22"/>
          <w:szCs w:val="22"/>
          <w:shd w:val="clear" w:color="auto" w:fill="FFFFFF"/>
        </w:rPr>
        <w:t xml:space="preserve"> mediante sentencia fechada el </w:t>
      </w:r>
      <w:r w:rsidR="00B10344" w:rsidRPr="00635B67">
        <w:rPr>
          <w:rFonts w:ascii="Verdana" w:hAnsi="Verdana"/>
          <w:color w:val="000000" w:themeColor="text1"/>
          <w:sz w:val="22"/>
          <w:szCs w:val="22"/>
          <w:shd w:val="clear" w:color="auto" w:fill="FFFFFF"/>
        </w:rPr>
        <w:t xml:space="preserve">31 de octubre de </w:t>
      </w:r>
      <w:r w:rsidRPr="00635B67">
        <w:rPr>
          <w:rFonts w:ascii="Verdana" w:hAnsi="Verdana"/>
          <w:color w:val="000000" w:themeColor="text1"/>
          <w:sz w:val="22"/>
          <w:szCs w:val="22"/>
          <w:shd w:val="clear" w:color="auto" w:fill="FFFFFF"/>
        </w:rPr>
        <w:t>2019</w:t>
      </w:r>
      <w:r w:rsidR="6B9D016C" w:rsidRPr="00635B67">
        <w:rPr>
          <w:rFonts w:ascii="Verdana" w:hAnsi="Verdana"/>
          <w:color w:val="000000" w:themeColor="text1"/>
          <w:sz w:val="22"/>
          <w:szCs w:val="22"/>
          <w:shd w:val="clear" w:color="auto" w:fill="FFFFFF"/>
        </w:rPr>
        <w:t>,</w:t>
      </w:r>
      <w:r w:rsidRPr="00635B67">
        <w:rPr>
          <w:rFonts w:ascii="Verdana" w:hAnsi="Verdana"/>
          <w:color w:val="000000" w:themeColor="text1"/>
          <w:sz w:val="22"/>
          <w:szCs w:val="22"/>
          <w:shd w:val="clear" w:color="auto" w:fill="FFFFFF"/>
        </w:rPr>
        <w:t xml:space="preserve"> el Juzgado </w:t>
      </w:r>
      <w:r w:rsidR="00B10344" w:rsidRPr="00635B67">
        <w:rPr>
          <w:rFonts w:ascii="Verdana" w:hAnsi="Verdana"/>
          <w:color w:val="000000" w:themeColor="text1"/>
          <w:sz w:val="22"/>
          <w:szCs w:val="22"/>
          <w:shd w:val="clear" w:color="auto" w:fill="FFFFFF"/>
        </w:rPr>
        <w:t xml:space="preserve">Segundo </w:t>
      </w:r>
      <w:r w:rsidRPr="00635B67">
        <w:rPr>
          <w:rFonts w:ascii="Verdana" w:hAnsi="Verdana" w:cs="Arial"/>
          <w:sz w:val="22"/>
          <w:szCs w:val="22"/>
        </w:rPr>
        <w:t xml:space="preserve">Administrativo Oral del Circuito Judicial de </w:t>
      </w:r>
      <w:r w:rsidR="00B10344" w:rsidRPr="00635B67">
        <w:rPr>
          <w:rFonts w:ascii="Verdana" w:hAnsi="Verdana" w:cs="Arial"/>
          <w:sz w:val="22"/>
          <w:szCs w:val="22"/>
        </w:rPr>
        <w:t xml:space="preserve">Sogamoso </w:t>
      </w:r>
      <w:r w:rsidRPr="00635B67">
        <w:rPr>
          <w:rFonts w:ascii="Verdana" w:hAnsi="Verdana" w:cs="Arial"/>
          <w:sz w:val="22"/>
          <w:szCs w:val="22"/>
        </w:rPr>
        <w:t>negó las pretensiones</w:t>
      </w:r>
      <w:r w:rsidR="001229A4" w:rsidRPr="00635B67">
        <w:rPr>
          <w:rFonts w:ascii="Verdana" w:hAnsi="Verdana" w:cs="Arial"/>
          <w:sz w:val="22"/>
          <w:szCs w:val="22"/>
        </w:rPr>
        <w:t xml:space="preserve"> de la demanda</w:t>
      </w:r>
      <w:r w:rsidRPr="00635B67">
        <w:rPr>
          <w:rFonts w:ascii="Verdana" w:hAnsi="Verdana" w:cs="Arial"/>
          <w:sz w:val="22"/>
          <w:szCs w:val="22"/>
        </w:rPr>
        <w:t xml:space="preserve"> al encontrar que</w:t>
      </w:r>
      <w:r w:rsidR="00B10344" w:rsidRPr="00635B67">
        <w:rPr>
          <w:rFonts w:ascii="Verdana" w:hAnsi="Verdana" w:cs="Arial"/>
          <w:sz w:val="22"/>
          <w:szCs w:val="22"/>
        </w:rPr>
        <w:t xml:space="preserve"> en </w:t>
      </w:r>
      <w:r w:rsidR="00B10344" w:rsidRPr="00635B67">
        <w:rPr>
          <w:rFonts w:ascii="Verdana" w:hAnsi="Verdana" w:cs="Arial"/>
          <w:sz w:val="22"/>
          <w:szCs w:val="22"/>
        </w:rPr>
        <w:lastRenderedPageBreak/>
        <w:t>relación con la FISCALÍA GENERAL DE LA NACIÓN</w:t>
      </w:r>
      <w:r w:rsidRPr="00635B67">
        <w:rPr>
          <w:rFonts w:ascii="Verdana" w:hAnsi="Verdana" w:cs="Arial"/>
          <w:sz w:val="22"/>
          <w:szCs w:val="22"/>
        </w:rPr>
        <w:t xml:space="preserve"> no se había demostrado el daño antijurídico</w:t>
      </w:r>
      <w:r w:rsidR="00B10344" w:rsidRPr="00635B67">
        <w:rPr>
          <w:rFonts w:ascii="Verdana" w:hAnsi="Verdana" w:cs="Arial"/>
          <w:sz w:val="22"/>
          <w:szCs w:val="22"/>
        </w:rPr>
        <w:t xml:space="preserve"> toda vez que dicha entidad realizó las actuaciones que le correspondieron ante la noticia criminal por los punibles de falsedad material en documentos público en concurso con falsedad personal, fraude procesal y estafa. Y en cuanto a la SUPERINTENDENCIA DE NOTARIADO Y REGISTRO consideró que si bien se había probado el daño antijurídico por el detrimento patrimonial del actor con la declaratoria de nulidad de la escritura pública No. 134 del 5 de</w:t>
      </w:r>
      <w:r w:rsidR="00460D8F" w:rsidRPr="00635B67">
        <w:rPr>
          <w:rFonts w:ascii="Verdana" w:hAnsi="Verdana" w:cs="Arial"/>
          <w:sz w:val="22"/>
          <w:szCs w:val="22"/>
        </w:rPr>
        <w:t xml:space="preserve"> febrero de 2010, no se acreditó</w:t>
      </w:r>
      <w:r w:rsidR="00B10344" w:rsidRPr="00635B67">
        <w:rPr>
          <w:rFonts w:ascii="Verdana" w:hAnsi="Verdana" w:cs="Arial"/>
          <w:sz w:val="22"/>
          <w:szCs w:val="22"/>
        </w:rPr>
        <w:t xml:space="preserve"> que el mismo fuera imputable al Estado, teniendo en cuenta que a la fecha de suscripción de la escritura no existía la obligación legal de implementar el sistema biométrico de identificación de las personas, y por tanto no se desconoció los deberes legales de inspección, vigilancia y control.</w:t>
      </w:r>
    </w:p>
    <w:p w14:paraId="22A3D34B" w14:textId="7D1AB9F6" w:rsidR="00B10344" w:rsidRPr="00635B67" w:rsidRDefault="00B10344" w:rsidP="00B10344">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 xml:space="preserve">   </w:t>
      </w:r>
    </w:p>
    <w:p w14:paraId="592CDD78" w14:textId="1676A717" w:rsidR="006A74E8" w:rsidRPr="00635B67" w:rsidRDefault="005A5B38" w:rsidP="007E2035">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Inconforme con la decisión</w:t>
      </w:r>
      <w:r w:rsidR="3F6659A6" w:rsidRPr="00635B67">
        <w:rPr>
          <w:rFonts w:ascii="Verdana" w:hAnsi="Verdana" w:cs="Arial"/>
          <w:sz w:val="22"/>
          <w:szCs w:val="22"/>
        </w:rPr>
        <w:t>,</w:t>
      </w:r>
      <w:r w:rsidRPr="00635B67">
        <w:rPr>
          <w:rFonts w:ascii="Verdana" w:hAnsi="Verdana" w:cs="Arial"/>
          <w:sz w:val="22"/>
          <w:szCs w:val="22"/>
        </w:rPr>
        <w:t xml:space="preserve"> la parte actora interpuso recurso de apelación</w:t>
      </w:r>
      <w:r w:rsidR="00E37F6C" w:rsidRPr="00635B67">
        <w:rPr>
          <w:rFonts w:ascii="Verdana" w:hAnsi="Verdana" w:cs="Arial"/>
          <w:sz w:val="22"/>
          <w:szCs w:val="22"/>
        </w:rPr>
        <w:t xml:space="preserve"> </w:t>
      </w:r>
      <w:r w:rsidRPr="00635B67">
        <w:rPr>
          <w:rFonts w:ascii="Verdana" w:hAnsi="Verdana" w:cs="Arial"/>
          <w:sz w:val="22"/>
          <w:szCs w:val="22"/>
        </w:rPr>
        <w:t xml:space="preserve">solicitando la revocatoria de la sentencia y que en su lugar se acceda a las pretensiones, considerando que </w:t>
      </w:r>
      <w:r w:rsidR="006A74E8" w:rsidRPr="00635B67">
        <w:rPr>
          <w:rFonts w:ascii="Verdana" w:hAnsi="Verdana" w:cs="Arial"/>
          <w:sz w:val="22"/>
          <w:szCs w:val="22"/>
        </w:rPr>
        <w:t>el daño antijurídico si es imputable a la SUPERI</w:t>
      </w:r>
      <w:r w:rsidR="001229A4" w:rsidRPr="00635B67">
        <w:rPr>
          <w:rFonts w:ascii="Verdana" w:hAnsi="Verdana" w:cs="Arial"/>
          <w:sz w:val="22"/>
          <w:szCs w:val="22"/>
        </w:rPr>
        <w:t>N</w:t>
      </w:r>
      <w:r w:rsidR="006A74E8" w:rsidRPr="00635B67">
        <w:rPr>
          <w:rFonts w:ascii="Verdana" w:hAnsi="Verdana" w:cs="Arial"/>
          <w:sz w:val="22"/>
          <w:szCs w:val="22"/>
        </w:rPr>
        <w:t>TENDENCIA DE NOTARIADO Y REGISTRO pues incurrió en una falla de</w:t>
      </w:r>
      <w:r w:rsidR="00460D8F" w:rsidRPr="00635B67">
        <w:rPr>
          <w:rFonts w:ascii="Verdana" w:hAnsi="Verdana" w:cs="Arial"/>
          <w:sz w:val="22"/>
          <w:szCs w:val="22"/>
        </w:rPr>
        <w:t xml:space="preserve"> </w:t>
      </w:r>
      <w:r w:rsidR="006A74E8" w:rsidRPr="00635B67">
        <w:rPr>
          <w:rFonts w:ascii="Verdana" w:hAnsi="Verdana" w:cs="Arial"/>
          <w:sz w:val="22"/>
          <w:szCs w:val="22"/>
        </w:rPr>
        <w:t>l</w:t>
      </w:r>
      <w:r w:rsidR="00460D8F" w:rsidRPr="00635B67">
        <w:rPr>
          <w:rFonts w:ascii="Verdana" w:hAnsi="Verdana" w:cs="Arial"/>
          <w:sz w:val="22"/>
          <w:szCs w:val="22"/>
        </w:rPr>
        <w:t>a</w:t>
      </w:r>
      <w:r w:rsidR="006A74E8" w:rsidRPr="00635B67">
        <w:rPr>
          <w:rFonts w:ascii="Verdana" w:hAnsi="Verdana" w:cs="Arial"/>
          <w:sz w:val="22"/>
          <w:szCs w:val="22"/>
        </w:rPr>
        <w:t xml:space="preserve"> </w:t>
      </w:r>
      <w:r w:rsidR="00460D8F" w:rsidRPr="00635B67">
        <w:rPr>
          <w:rFonts w:ascii="Verdana" w:hAnsi="Verdana" w:cs="Arial"/>
          <w:sz w:val="22"/>
          <w:szCs w:val="22"/>
        </w:rPr>
        <w:t>actividad</w:t>
      </w:r>
      <w:r w:rsidR="006A74E8" w:rsidRPr="00635B67">
        <w:rPr>
          <w:rFonts w:ascii="Verdana" w:hAnsi="Verdana" w:cs="Arial"/>
          <w:sz w:val="22"/>
          <w:szCs w:val="22"/>
        </w:rPr>
        <w:t xml:space="preserve"> notarial al omitir sus deberes legales de inspección, vigilan</w:t>
      </w:r>
      <w:r w:rsidR="001229A4" w:rsidRPr="00635B67">
        <w:rPr>
          <w:rFonts w:ascii="Verdana" w:hAnsi="Verdana" w:cs="Arial"/>
          <w:sz w:val="22"/>
          <w:szCs w:val="22"/>
        </w:rPr>
        <w:t xml:space="preserve">cia </w:t>
      </w:r>
      <w:r w:rsidR="006A74E8" w:rsidRPr="00635B67">
        <w:rPr>
          <w:rFonts w:ascii="Verdana" w:hAnsi="Verdana" w:cs="Arial"/>
          <w:sz w:val="22"/>
          <w:szCs w:val="22"/>
        </w:rPr>
        <w:t>y co</w:t>
      </w:r>
      <w:r w:rsidR="001229A4" w:rsidRPr="00635B67">
        <w:rPr>
          <w:rFonts w:ascii="Verdana" w:hAnsi="Verdana" w:cs="Arial"/>
          <w:sz w:val="22"/>
          <w:szCs w:val="22"/>
        </w:rPr>
        <w:t>ntrol de</w:t>
      </w:r>
      <w:r w:rsidR="00460D8F" w:rsidRPr="00635B67">
        <w:rPr>
          <w:rFonts w:ascii="Verdana" w:hAnsi="Verdana" w:cs="Arial"/>
          <w:sz w:val="22"/>
          <w:szCs w:val="22"/>
        </w:rPr>
        <w:t xml:space="preserve"> dicha función pública</w:t>
      </w:r>
      <w:r w:rsidR="006A74E8" w:rsidRPr="00635B67">
        <w:rPr>
          <w:rFonts w:ascii="Verdana" w:hAnsi="Verdana" w:cs="Arial"/>
          <w:sz w:val="22"/>
          <w:szCs w:val="22"/>
        </w:rPr>
        <w:t xml:space="preserve">, y permitió que dicho servicio se prestara de forma ineficiente, como quiera que la Notaría Primera del </w:t>
      </w:r>
      <w:r w:rsidR="6013E70D" w:rsidRPr="00635B67">
        <w:rPr>
          <w:rFonts w:ascii="Verdana" w:hAnsi="Verdana" w:cs="Arial"/>
          <w:sz w:val="22"/>
          <w:szCs w:val="22"/>
        </w:rPr>
        <w:t>Círculo</w:t>
      </w:r>
      <w:r w:rsidR="006A74E8" w:rsidRPr="00635B67">
        <w:rPr>
          <w:rFonts w:ascii="Verdana" w:hAnsi="Verdana" w:cs="Arial"/>
          <w:sz w:val="22"/>
          <w:szCs w:val="22"/>
        </w:rPr>
        <w:t xml:space="preserve"> de Sogamoso omitió verificar, por medios distintos al de la identificación biométrica de la persona que junto con el demandante acudió a la Notaría a la suscripción de la Escritura Pública No. 0134 del 5 de febrero de 2010. </w:t>
      </w:r>
    </w:p>
    <w:p w14:paraId="1C347E35" w14:textId="506E5F91" w:rsidR="001229A4" w:rsidRPr="00635B67" w:rsidRDefault="001229A4" w:rsidP="007E2035">
      <w:pPr>
        <w:widowControl w:val="0"/>
        <w:autoSpaceDE w:val="0"/>
        <w:autoSpaceDN w:val="0"/>
        <w:adjustRightInd w:val="0"/>
        <w:spacing w:line="360" w:lineRule="auto"/>
        <w:ind w:right="-81"/>
        <w:jc w:val="both"/>
        <w:rPr>
          <w:rFonts w:ascii="Verdana" w:hAnsi="Verdana" w:cs="Arial"/>
          <w:sz w:val="22"/>
          <w:szCs w:val="22"/>
        </w:rPr>
      </w:pPr>
    </w:p>
    <w:p w14:paraId="3C5573DF" w14:textId="6A447DF5" w:rsidR="002460A0" w:rsidRPr="00635B67" w:rsidRDefault="001229A4" w:rsidP="007E2035">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Pues bien, atendiendo los motivos de inconformidad planteados por la parte apelante, es preciso indicar que ese extremo proces</w:t>
      </w:r>
      <w:r w:rsidR="002460A0" w:rsidRPr="00635B67">
        <w:rPr>
          <w:rFonts w:ascii="Verdana" w:hAnsi="Verdana" w:cs="Arial"/>
          <w:sz w:val="22"/>
          <w:szCs w:val="22"/>
        </w:rPr>
        <w:t>al comparte la consideración del fallador de primera instancia relacionada con la ausencia de</w:t>
      </w:r>
      <w:r w:rsidR="00140C1F" w:rsidRPr="00635B67">
        <w:rPr>
          <w:rFonts w:ascii="Verdana" w:hAnsi="Verdana" w:cs="Arial"/>
          <w:sz w:val="22"/>
          <w:szCs w:val="22"/>
        </w:rPr>
        <w:t>l</w:t>
      </w:r>
      <w:r w:rsidR="002460A0" w:rsidRPr="00635B67">
        <w:rPr>
          <w:rFonts w:ascii="Verdana" w:hAnsi="Verdana" w:cs="Arial"/>
          <w:sz w:val="22"/>
          <w:szCs w:val="22"/>
        </w:rPr>
        <w:t xml:space="preserve"> daño antijurídico respecto de la demandada FISCALÍA GENERAL DE LA NACIÓN, pues frente a esta no manifestó oposición. </w:t>
      </w:r>
    </w:p>
    <w:p w14:paraId="6A5CBF38" w14:textId="77777777" w:rsidR="002460A0" w:rsidRPr="00635B67" w:rsidRDefault="002460A0" w:rsidP="007E2035">
      <w:pPr>
        <w:widowControl w:val="0"/>
        <w:autoSpaceDE w:val="0"/>
        <w:autoSpaceDN w:val="0"/>
        <w:adjustRightInd w:val="0"/>
        <w:spacing w:line="360" w:lineRule="auto"/>
        <w:ind w:right="-81"/>
        <w:jc w:val="both"/>
        <w:rPr>
          <w:rFonts w:ascii="Verdana" w:hAnsi="Verdana" w:cs="Arial"/>
          <w:sz w:val="22"/>
          <w:szCs w:val="22"/>
        </w:rPr>
      </w:pPr>
    </w:p>
    <w:p w14:paraId="57D1C58C" w14:textId="0F203CB5" w:rsidR="00A0750D" w:rsidRPr="00635B67" w:rsidRDefault="002460A0" w:rsidP="001229A4">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Del mismo modo no hubo oposición del apelante en relación con el daño antijurídico que encontró probado</w:t>
      </w:r>
      <w:r w:rsidR="00140C1F" w:rsidRPr="00635B67">
        <w:rPr>
          <w:rFonts w:ascii="Verdana" w:hAnsi="Verdana" w:cs="Arial"/>
          <w:sz w:val="22"/>
          <w:szCs w:val="22"/>
        </w:rPr>
        <w:t xml:space="preserve"> el </w:t>
      </w:r>
      <w:r w:rsidR="00140C1F" w:rsidRPr="00635B67">
        <w:rPr>
          <w:rFonts w:ascii="Verdana" w:hAnsi="Verdana" w:cs="Arial"/>
          <w:i/>
          <w:sz w:val="22"/>
          <w:szCs w:val="22"/>
        </w:rPr>
        <w:t>a quo</w:t>
      </w:r>
      <w:r w:rsidR="00140C1F" w:rsidRPr="00635B67">
        <w:rPr>
          <w:rFonts w:ascii="Verdana" w:hAnsi="Verdana" w:cs="Arial"/>
          <w:sz w:val="22"/>
          <w:szCs w:val="22"/>
        </w:rPr>
        <w:t xml:space="preserve">, que le fue ocasionado al señor </w:t>
      </w:r>
      <w:r w:rsidR="001229A4" w:rsidRPr="00635B67">
        <w:rPr>
          <w:rFonts w:ascii="Verdana" w:hAnsi="Verdana" w:cs="Arial"/>
          <w:sz w:val="22"/>
          <w:szCs w:val="22"/>
        </w:rPr>
        <w:t>RODOLFO CONCISIÓN GARC</w:t>
      </w:r>
      <w:r w:rsidR="00140C1F" w:rsidRPr="00635B67">
        <w:rPr>
          <w:rFonts w:ascii="Verdana" w:hAnsi="Verdana" w:cs="Arial"/>
          <w:sz w:val="22"/>
          <w:szCs w:val="22"/>
        </w:rPr>
        <w:t xml:space="preserve">ÍA y que se concretó en la </w:t>
      </w:r>
      <w:r w:rsidR="001229A4" w:rsidRPr="00635B67">
        <w:rPr>
          <w:rFonts w:ascii="Verdana" w:hAnsi="Verdana" w:cs="Arial"/>
          <w:sz w:val="22"/>
          <w:szCs w:val="22"/>
        </w:rPr>
        <w:t>pérdida del dinero no recuperado</w:t>
      </w:r>
      <w:r w:rsidR="00140C1F" w:rsidRPr="00635B67">
        <w:rPr>
          <w:rFonts w:ascii="Verdana" w:hAnsi="Verdana" w:cs="Arial"/>
          <w:sz w:val="22"/>
          <w:szCs w:val="22"/>
        </w:rPr>
        <w:t>,</w:t>
      </w:r>
      <w:r w:rsidR="001229A4" w:rsidRPr="00635B67">
        <w:rPr>
          <w:rFonts w:ascii="Verdana" w:hAnsi="Verdana" w:cs="Arial"/>
          <w:sz w:val="22"/>
          <w:szCs w:val="22"/>
        </w:rPr>
        <w:t xml:space="preserve"> </w:t>
      </w:r>
      <w:r w:rsidR="00140C1F" w:rsidRPr="00635B67">
        <w:rPr>
          <w:rFonts w:ascii="Verdana" w:hAnsi="Verdana" w:cs="Arial"/>
          <w:sz w:val="22"/>
          <w:szCs w:val="22"/>
        </w:rPr>
        <w:t>entregado</w:t>
      </w:r>
      <w:r w:rsidR="001229A4" w:rsidRPr="00635B67">
        <w:rPr>
          <w:rFonts w:ascii="Verdana" w:hAnsi="Verdana" w:cs="Arial"/>
          <w:sz w:val="22"/>
          <w:szCs w:val="22"/>
        </w:rPr>
        <w:t xml:space="preserve"> por él a título de mutuo</w:t>
      </w:r>
      <w:r w:rsidR="00140C1F" w:rsidRPr="00635B67">
        <w:rPr>
          <w:rFonts w:ascii="Verdana" w:hAnsi="Verdana" w:cs="Arial"/>
          <w:sz w:val="22"/>
          <w:szCs w:val="22"/>
        </w:rPr>
        <w:t>,</w:t>
      </w:r>
      <w:r w:rsidR="00A0750D" w:rsidRPr="00635B67">
        <w:rPr>
          <w:rFonts w:ascii="Verdana" w:hAnsi="Verdana" w:cs="Arial"/>
          <w:sz w:val="22"/>
          <w:szCs w:val="22"/>
        </w:rPr>
        <w:t xml:space="preserve"> respaldado con garantía real que posteriormente fue declarada nula por falsedad material de la escritura pública No. 134 del 5 de febrero de 2010, suscrita por quien dijo llamarse ROSALBA ALARCÓN CORREA, constituyéndose el demandante en víctima del delito de estafa (sic). </w:t>
      </w:r>
    </w:p>
    <w:p w14:paraId="62C5AB5E" w14:textId="56D5BEC0" w:rsidR="00A0750D" w:rsidRPr="00635B67" w:rsidRDefault="00A0750D" w:rsidP="001229A4">
      <w:pPr>
        <w:widowControl w:val="0"/>
        <w:autoSpaceDE w:val="0"/>
        <w:autoSpaceDN w:val="0"/>
        <w:adjustRightInd w:val="0"/>
        <w:spacing w:line="360" w:lineRule="auto"/>
        <w:ind w:right="-81"/>
        <w:jc w:val="both"/>
        <w:rPr>
          <w:rFonts w:ascii="Verdana" w:hAnsi="Verdana" w:cs="Arial"/>
          <w:sz w:val="22"/>
          <w:szCs w:val="22"/>
        </w:rPr>
      </w:pPr>
    </w:p>
    <w:p w14:paraId="77E46FCF" w14:textId="0094F0B7" w:rsidR="00623EFB" w:rsidRPr="00635B67" w:rsidRDefault="00A0750D" w:rsidP="00A0750D">
      <w:pPr>
        <w:widowControl w:val="0"/>
        <w:autoSpaceDE w:val="0"/>
        <w:autoSpaceDN w:val="0"/>
        <w:adjustRightInd w:val="0"/>
        <w:spacing w:line="360" w:lineRule="auto"/>
        <w:ind w:right="-81"/>
        <w:jc w:val="both"/>
        <w:rPr>
          <w:rFonts w:ascii="Verdana" w:hAnsi="Verdana" w:cs="Arial"/>
          <w:sz w:val="22"/>
          <w:szCs w:val="22"/>
        </w:rPr>
      </w:pPr>
      <w:r w:rsidRPr="00635B67">
        <w:rPr>
          <w:rFonts w:ascii="Verdana" w:hAnsi="Verdana" w:cs="Arial"/>
          <w:sz w:val="22"/>
          <w:szCs w:val="22"/>
        </w:rPr>
        <w:t>Así las cosas,</w:t>
      </w:r>
      <w:r w:rsidR="00460D8F" w:rsidRPr="00635B67">
        <w:rPr>
          <w:rFonts w:ascii="Verdana" w:hAnsi="Verdana" w:cs="Arial"/>
          <w:sz w:val="22"/>
          <w:szCs w:val="22"/>
        </w:rPr>
        <w:t xml:space="preserve"> teniendo en cuenta el problema jurídico planteado en esta instancia, y,</w:t>
      </w:r>
      <w:r w:rsidRPr="00635B67">
        <w:rPr>
          <w:rFonts w:ascii="Verdana" w:hAnsi="Verdana" w:cs="Arial"/>
          <w:sz w:val="22"/>
          <w:szCs w:val="22"/>
        </w:rPr>
        <w:t xml:space="preserve"> a</w:t>
      </w:r>
      <w:r w:rsidR="00623EFB" w:rsidRPr="00635B67">
        <w:rPr>
          <w:rFonts w:ascii="Verdana" w:hAnsi="Verdana" w:cs="Arial"/>
          <w:sz w:val="22"/>
          <w:szCs w:val="22"/>
        </w:rPr>
        <w:t>nalizadas las pruebas aportadas al proceso</w:t>
      </w:r>
      <w:r w:rsidR="00460D8F" w:rsidRPr="00635B67">
        <w:rPr>
          <w:rFonts w:ascii="Verdana" w:hAnsi="Verdana" w:cs="Arial"/>
          <w:sz w:val="22"/>
          <w:szCs w:val="22"/>
        </w:rPr>
        <w:t>,</w:t>
      </w:r>
      <w:r w:rsidR="00623EFB" w:rsidRPr="00635B67">
        <w:rPr>
          <w:rFonts w:ascii="Verdana" w:hAnsi="Verdana" w:cs="Arial"/>
          <w:sz w:val="22"/>
          <w:szCs w:val="22"/>
        </w:rPr>
        <w:t xml:space="preserve"> encuentra la Sala que, contrario a lo considerado por</w:t>
      </w:r>
      <w:r w:rsidR="00663EB1" w:rsidRPr="00635B67">
        <w:rPr>
          <w:rFonts w:ascii="Verdana" w:hAnsi="Verdana" w:cs="Arial"/>
          <w:sz w:val="22"/>
          <w:szCs w:val="22"/>
        </w:rPr>
        <w:t xml:space="preserve"> </w:t>
      </w:r>
      <w:r w:rsidR="00460D8F" w:rsidRPr="00635B67">
        <w:rPr>
          <w:rFonts w:ascii="Verdana" w:hAnsi="Verdana" w:cs="Arial"/>
          <w:sz w:val="22"/>
          <w:szCs w:val="22"/>
        </w:rPr>
        <w:t>el</w:t>
      </w:r>
      <w:r w:rsidR="00663EB1" w:rsidRPr="00635B67">
        <w:rPr>
          <w:rFonts w:ascii="Verdana" w:hAnsi="Verdana" w:cs="Arial"/>
          <w:sz w:val="22"/>
          <w:szCs w:val="22"/>
        </w:rPr>
        <w:t xml:space="preserve"> apelante</w:t>
      </w:r>
      <w:r w:rsidRPr="00635B67">
        <w:rPr>
          <w:rFonts w:ascii="Verdana" w:hAnsi="Verdana" w:cs="Arial"/>
          <w:sz w:val="22"/>
          <w:szCs w:val="22"/>
        </w:rPr>
        <w:t xml:space="preserve">, </w:t>
      </w:r>
      <w:r w:rsidR="00623EFB" w:rsidRPr="00635B67">
        <w:rPr>
          <w:rFonts w:ascii="Verdana" w:hAnsi="Verdana" w:cs="Arial"/>
          <w:sz w:val="22"/>
          <w:szCs w:val="22"/>
        </w:rPr>
        <w:t xml:space="preserve">en el presente asunto no hay razón para declarar la responsabilidad </w:t>
      </w:r>
      <w:r w:rsidR="001F58E3" w:rsidRPr="00635B67">
        <w:rPr>
          <w:rFonts w:ascii="Verdana" w:hAnsi="Verdana" w:cs="Arial"/>
          <w:sz w:val="22"/>
          <w:szCs w:val="22"/>
        </w:rPr>
        <w:t>patrimonial y extracontractual de</w:t>
      </w:r>
      <w:r w:rsidR="006A74E8" w:rsidRPr="00635B67">
        <w:rPr>
          <w:rFonts w:ascii="Verdana" w:hAnsi="Verdana" w:cs="Arial"/>
          <w:sz w:val="22"/>
          <w:szCs w:val="22"/>
        </w:rPr>
        <w:t xml:space="preserve"> </w:t>
      </w:r>
      <w:r w:rsidR="001F58E3" w:rsidRPr="00635B67">
        <w:rPr>
          <w:rFonts w:ascii="Verdana" w:hAnsi="Verdana" w:cs="Arial"/>
          <w:sz w:val="22"/>
          <w:szCs w:val="22"/>
        </w:rPr>
        <w:t>l</w:t>
      </w:r>
      <w:r w:rsidR="006A74E8" w:rsidRPr="00635B67">
        <w:rPr>
          <w:rFonts w:ascii="Verdana" w:hAnsi="Verdana" w:cs="Arial"/>
          <w:sz w:val="22"/>
          <w:szCs w:val="22"/>
        </w:rPr>
        <w:t>a</w:t>
      </w:r>
      <w:r w:rsidR="001F58E3" w:rsidRPr="00635B67">
        <w:rPr>
          <w:rFonts w:ascii="Verdana" w:hAnsi="Verdana" w:cs="Arial"/>
          <w:sz w:val="22"/>
          <w:szCs w:val="22"/>
        </w:rPr>
        <w:t xml:space="preserve"> </w:t>
      </w:r>
      <w:r w:rsidR="006A74E8" w:rsidRPr="00635B67">
        <w:rPr>
          <w:rFonts w:ascii="Verdana" w:hAnsi="Verdana" w:cs="Arial"/>
          <w:sz w:val="22"/>
          <w:szCs w:val="22"/>
        </w:rPr>
        <w:t>SUPERINTENDENCIA DE NOTARIADO Y REGISTRO</w:t>
      </w:r>
      <w:r w:rsidR="00623EFB" w:rsidRPr="00635B67">
        <w:rPr>
          <w:rFonts w:ascii="Verdana" w:hAnsi="Verdana" w:cs="Arial"/>
          <w:sz w:val="22"/>
          <w:szCs w:val="22"/>
        </w:rPr>
        <w:t>, teniendo en cuenta que</w:t>
      </w:r>
      <w:r w:rsidR="001F58E3" w:rsidRPr="00635B67">
        <w:rPr>
          <w:rFonts w:ascii="Verdana" w:hAnsi="Verdana" w:cs="Arial"/>
          <w:sz w:val="22"/>
          <w:szCs w:val="22"/>
        </w:rPr>
        <w:t xml:space="preserve"> </w:t>
      </w:r>
      <w:r w:rsidR="006A74E8" w:rsidRPr="00635B67">
        <w:rPr>
          <w:rFonts w:ascii="Verdana" w:hAnsi="Verdana" w:cs="Arial"/>
          <w:sz w:val="22"/>
          <w:szCs w:val="22"/>
        </w:rPr>
        <w:t xml:space="preserve">el </w:t>
      </w:r>
      <w:r w:rsidR="001F58E3" w:rsidRPr="00635B67">
        <w:rPr>
          <w:rFonts w:ascii="Verdana" w:hAnsi="Verdana" w:cs="Arial"/>
          <w:sz w:val="22"/>
          <w:szCs w:val="22"/>
        </w:rPr>
        <w:t>daño</w:t>
      </w:r>
      <w:r w:rsidR="006A74E8" w:rsidRPr="00635B67">
        <w:rPr>
          <w:rFonts w:ascii="Verdana" w:hAnsi="Verdana" w:cs="Arial"/>
          <w:sz w:val="22"/>
          <w:szCs w:val="22"/>
        </w:rPr>
        <w:t xml:space="preserve"> antijurídico no le es imputable</w:t>
      </w:r>
      <w:r w:rsidR="00623EFB" w:rsidRPr="00635B67">
        <w:rPr>
          <w:rFonts w:ascii="Verdana" w:hAnsi="Verdana" w:cs="Arial"/>
          <w:sz w:val="22"/>
          <w:szCs w:val="22"/>
        </w:rPr>
        <w:t xml:space="preserve">, por las razones que pasan a exponerse: </w:t>
      </w:r>
    </w:p>
    <w:p w14:paraId="2DC18CDD" w14:textId="3F87899A" w:rsidR="00796D81" w:rsidRPr="00635B67" w:rsidRDefault="00796D81" w:rsidP="007E2035">
      <w:pPr>
        <w:pStyle w:val="Textoindependiente"/>
        <w:spacing w:line="360" w:lineRule="auto"/>
        <w:rPr>
          <w:rFonts w:ascii="Verdana" w:hAnsi="Verdana" w:cs="Arial"/>
          <w:i/>
          <w:sz w:val="22"/>
          <w:szCs w:val="22"/>
        </w:rPr>
      </w:pPr>
    </w:p>
    <w:p w14:paraId="187C0BBC" w14:textId="1143988E" w:rsidR="00711AAA" w:rsidRPr="00635B67" w:rsidRDefault="00002D90" w:rsidP="6DAD1D68">
      <w:pPr>
        <w:suppressAutoHyphens/>
        <w:spacing w:line="360" w:lineRule="auto"/>
        <w:jc w:val="both"/>
        <w:rPr>
          <w:rFonts w:ascii="Verdana" w:hAnsi="Verdana" w:cs="Arial"/>
          <w:color w:val="000000" w:themeColor="text1"/>
          <w:sz w:val="22"/>
          <w:szCs w:val="22"/>
        </w:rPr>
      </w:pPr>
      <w:r w:rsidRPr="00635B67">
        <w:rPr>
          <w:rFonts w:ascii="Verdana" w:hAnsi="Verdana" w:cs="Arial"/>
          <w:color w:val="000000" w:themeColor="text1"/>
          <w:sz w:val="22"/>
          <w:szCs w:val="22"/>
        </w:rPr>
        <w:t>De acuerdo con el material probatorio recaudado, se encuentra acreditado que mediante Escritura Pública No.</w:t>
      </w:r>
      <w:r w:rsidR="001732E7" w:rsidRPr="00635B67">
        <w:rPr>
          <w:rFonts w:ascii="Verdana" w:hAnsi="Verdana" w:cs="Arial"/>
          <w:color w:val="000000" w:themeColor="text1"/>
          <w:sz w:val="22"/>
          <w:szCs w:val="22"/>
        </w:rPr>
        <w:t xml:space="preserve"> 0134 del 5 de febrero de 2010</w:t>
      </w:r>
      <w:r w:rsidRPr="00635B67">
        <w:rPr>
          <w:rFonts w:ascii="Verdana" w:hAnsi="Verdana" w:cs="Arial"/>
          <w:color w:val="000000" w:themeColor="text1"/>
          <w:sz w:val="22"/>
          <w:szCs w:val="22"/>
        </w:rPr>
        <w:t xml:space="preserve">, emanada de la Notaría </w:t>
      </w:r>
      <w:r w:rsidR="00645F4C" w:rsidRPr="00635B67">
        <w:rPr>
          <w:rFonts w:ascii="Verdana" w:hAnsi="Verdana" w:cs="Arial"/>
          <w:color w:val="000000" w:themeColor="text1"/>
          <w:sz w:val="22"/>
          <w:szCs w:val="22"/>
        </w:rPr>
        <w:t>Primera de Sogamoso</w:t>
      </w:r>
      <w:r w:rsidR="3C7CF6D4" w:rsidRPr="00635B67">
        <w:rPr>
          <w:rFonts w:ascii="Verdana" w:hAnsi="Verdana" w:cs="Arial"/>
          <w:color w:val="000000" w:themeColor="text1"/>
          <w:sz w:val="22"/>
          <w:szCs w:val="22"/>
        </w:rPr>
        <w:t>,</w:t>
      </w:r>
      <w:r w:rsidR="00645F4C" w:rsidRPr="00635B67">
        <w:rPr>
          <w:rFonts w:ascii="Verdana" w:hAnsi="Verdana" w:cs="Arial"/>
          <w:color w:val="000000" w:themeColor="text1"/>
          <w:sz w:val="22"/>
          <w:szCs w:val="22"/>
        </w:rPr>
        <w:t xml:space="preserve"> </w:t>
      </w:r>
      <w:r w:rsidRPr="00635B67">
        <w:rPr>
          <w:rFonts w:ascii="Verdana" w:hAnsi="Verdana" w:cs="Arial"/>
          <w:color w:val="000000" w:themeColor="text1"/>
          <w:sz w:val="22"/>
          <w:szCs w:val="22"/>
        </w:rPr>
        <w:t xml:space="preserve">se protocolizó la </w:t>
      </w:r>
      <w:r w:rsidR="00645F4C" w:rsidRPr="00635B67">
        <w:rPr>
          <w:rFonts w:ascii="Verdana" w:hAnsi="Verdana" w:cs="Arial"/>
          <w:color w:val="000000" w:themeColor="text1"/>
          <w:sz w:val="22"/>
          <w:szCs w:val="22"/>
        </w:rPr>
        <w:t xml:space="preserve">hipoteca </w:t>
      </w:r>
      <w:r w:rsidRPr="00635B67">
        <w:rPr>
          <w:rFonts w:ascii="Verdana" w:hAnsi="Verdana" w:cs="Arial"/>
          <w:color w:val="000000" w:themeColor="text1"/>
          <w:sz w:val="22"/>
          <w:szCs w:val="22"/>
        </w:rPr>
        <w:t>de</w:t>
      </w:r>
      <w:r w:rsidR="00645F4C" w:rsidRPr="00635B67">
        <w:rPr>
          <w:rFonts w:ascii="Verdana" w:hAnsi="Verdana" w:cs="Arial"/>
          <w:color w:val="000000" w:themeColor="text1"/>
          <w:sz w:val="22"/>
          <w:szCs w:val="22"/>
        </w:rPr>
        <w:t>l inmueble identificado con folio de matrícula inmobiliaria No. 095-81166 y código catastral No. 0101-0345-0175-000, que se encuentra ubicado en la Calle 2B Sur No. 17-20. En la misma se constituyó como deudora la señora ROSALBA ALARCON CORRERA y como acreedor el hoy demandante RODOLFO CONCISIÓN GARCÍA, por el mutuo o préstamo de consumo por valor de $30.000.000 con intereses (</w:t>
      </w:r>
      <w:proofErr w:type="spellStart"/>
      <w:r w:rsidR="00645F4C" w:rsidRPr="00635B67">
        <w:rPr>
          <w:rFonts w:ascii="Verdana" w:hAnsi="Verdana" w:cs="Arial"/>
          <w:color w:val="000000" w:themeColor="text1"/>
          <w:sz w:val="22"/>
          <w:szCs w:val="22"/>
        </w:rPr>
        <w:t>fl</w:t>
      </w:r>
      <w:proofErr w:type="spellEnd"/>
      <w:r w:rsidR="00645F4C" w:rsidRPr="00635B67">
        <w:rPr>
          <w:rFonts w:ascii="Verdana" w:hAnsi="Verdana" w:cs="Arial"/>
          <w:color w:val="000000" w:themeColor="text1"/>
          <w:sz w:val="22"/>
          <w:szCs w:val="22"/>
        </w:rPr>
        <w:t xml:space="preserve"> 4-6). La anterior escritura fue registrada como consta en la anotación No. 5 del folio de matrícula inmobiliaria referido (fl.</w:t>
      </w:r>
      <w:r w:rsidR="00711AAA" w:rsidRPr="00635B67">
        <w:rPr>
          <w:rFonts w:ascii="Verdana" w:hAnsi="Verdana" w:cs="Arial"/>
          <w:color w:val="000000" w:themeColor="text1"/>
          <w:sz w:val="22"/>
          <w:szCs w:val="22"/>
        </w:rPr>
        <w:t>8</w:t>
      </w:r>
      <w:r w:rsidR="00645F4C" w:rsidRPr="00635B67">
        <w:rPr>
          <w:rFonts w:ascii="Verdana" w:hAnsi="Verdana" w:cs="Arial"/>
          <w:color w:val="000000" w:themeColor="text1"/>
          <w:sz w:val="22"/>
          <w:szCs w:val="22"/>
        </w:rPr>
        <w:t>-</w:t>
      </w:r>
      <w:r w:rsidR="00711AAA" w:rsidRPr="00635B67">
        <w:rPr>
          <w:rFonts w:ascii="Verdana" w:hAnsi="Verdana" w:cs="Arial"/>
          <w:color w:val="000000" w:themeColor="text1"/>
          <w:sz w:val="22"/>
          <w:szCs w:val="22"/>
        </w:rPr>
        <w:t>9</w:t>
      </w:r>
      <w:r w:rsidR="00645F4C" w:rsidRPr="00635B67">
        <w:rPr>
          <w:rFonts w:ascii="Verdana" w:hAnsi="Verdana" w:cs="Arial"/>
          <w:color w:val="000000" w:themeColor="text1"/>
          <w:sz w:val="22"/>
          <w:szCs w:val="22"/>
        </w:rPr>
        <w:t>).</w:t>
      </w:r>
    </w:p>
    <w:p w14:paraId="276430BF" w14:textId="77777777" w:rsidR="00711AAA" w:rsidRPr="00635B67" w:rsidRDefault="00711AAA" w:rsidP="00002D90">
      <w:pPr>
        <w:tabs>
          <w:tab w:val="left" w:pos="-720"/>
          <w:tab w:val="left" w:pos="0"/>
        </w:tabs>
        <w:suppressAutoHyphens/>
        <w:spacing w:line="360" w:lineRule="auto"/>
        <w:jc w:val="both"/>
        <w:rPr>
          <w:rFonts w:ascii="Verdana" w:hAnsi="Verdana" w:cs="Arial"/>
          <w:bCs/>
          <w:color w:val="000000" w:themeColor="text1"/>
          <w:sz w:val="22"/>
          <w:szCs w:val="22"/>
        </w:rPr>
      </w:pPr>
    </w:p>
    <w:p w14:paraId="7811D563" w14:textId="32BBAB89" w:rsidR="00792251" w:rsidRPr="00635B67" w:rsidRDefault="007941E4" w:rsidP="00711AAA">
      <w:pPr>
        <w:tabs>
          <w:tab w:val="left" w:pos="-720"/>
          <w:tab w:val="left" w:pos="0"/>
        </w:tabs>
        <w:suppressAutoHyphens/>
        <w:spacing w:line="360" w:lineRule="auto"/>
        <w:jc w:val="both"/>
        <w:rPr>
          <w:rFonts w:ascii="Verdana" w:hAnsi="Verdana" w:cs="Arial"/>
          <w:bCs/>
          <w:color w:val="000000" w:themeColor="text1"/>
          <w:sz w:val="22"/>
          <w:szCs w:val="22"/>
        </w:rPr>
      </w:pPr>
      <w:r w:rsidRPr="00635B67">
        <w:rPr>
          <w:rFonts w:ascii="Verdana" w:hAnsi="Verdana" w:cs="Arial"/>
          <w:bCs/>
          <w:color w:val="000000" w:themeColor="text1"/>
          <w:sz w:val="22"/>
          <w:szCs w:val="22"/>
        </w:rPr>
        <w:t>Se allegó a</w:t>
      </w:r>
      <w:r w:rsidR="00711AAA" w:rsidRPr="00635B67">
        <w:rPr>
          <w:rFonts w:ascii="Verdana" w:hAnsi="Verdana" w:cs="Arial"/>
          <w:bCs/>
          <w:color w:val="000000" w:themeColor="text1"/>
          <w:sz w:val="22"/>
          <w:szCs w:val="22"/>
        </w:rPr>
        <w:t xml:space="preserve">l expediente el documento identificado como </w:t>
      </w:r>
      <w:proofErr w:type="spellStart"/>
      <w:r w:rsidR="00711AAA" w:rsidRPr="00635B67">
        <w:rPr>
          <w:rFonts w:ascii="Verdana" w:hAnsi="Verdana" w:cs="Arial"/>
          <w:bCs/>
          <w:i/>
          <w:color w:val="000000" w:themeColor="text1"/>
          <w:sz w:val="22"/>
          <w:szCs w:val="22"/>
        </w:rPr>
        <w:t>Doc.Tec</w:t>
      </w:r>
      <w:proofErr w:type="spellEnd"/>
      <w:r w:rsidR="00711AAA" w:rsidRPr="00635B67">
        <w:rPr>
          <w:rFonts w:ascii="Verdana" w:hAnsi="Verdana" w:cs="Arial"/>
          <w:bCs/>
          <w:i/>
          <w:color w:val="000000" w:themeColor="text1"/>
          <w:sz w:val="22"/>
          <w:szCs w:val="22"/>
        </w:rPr>
        <w:t>. No. 282043</w:t>
      </w:r>
      <w:r w:rsidR="00711AAA" w:rsidRPr="00635B67">
        <w:rPr>
          <w:rFonts w:ascii="Verdana" w:hAnsi="Verdana" w:cs="Arial"/>
          <w:bCs/>
          <w:color w:val="000000" w:themeColor="text1"/>
          <w:sz w:val="22"/>
          <w:szCs w:val="22"/>
        </w:rPr>
        <w:t xml:space="preserve"> del 7 de diciembre de 2012 mediante el cual el Laboratorio de Documentología y Grafología del Instituto Nacional de Medicina Legal y Ciencias Forenses rindió dictamen técnico dentro del Proceso No. 2011-106, en el que se concluyó lo siguiente: “</w:t>
      </w:r>
      <w:r w:rsidR="00711AAA" w:rsidRPr="00635B67">
        <w:rPr>
          <w:rFonts w:ascii="Verdana" w:hAnsi="Verdana" w:cs="Arial"/>
          <w:bCs/>
          <w:i/>
          <w:color w:val="000000" w:themeColor="text1"/>
          <w:sz w:val="22"/>
          <w:szCs w:val="22"/>
        </w:rPr>
        <w:t xml:space="preserve">Los hallazgos anteriormente mencionados, permiten deducir que </w:t>
      </w:r>
      <w:r w:rsidR="00711AAA" w:rsidRPr="00635B67">
        <w:rPr>
          <w:rFonts w:ascii="Verdana" w:hAnsi="Verdana" w:cs="Arial"/>
          <w:b/>
          <w:bCs/>
          <w:i/>
          <w:color w:val="000000" w:themeColor="text1"/>
          <w:sz w:val="22"/>
          <w:szCs w:val="22"/>
        </w:rPr>
        <w:t>la firma obrante en la escritura No. 0134 del 5 de febrero de 2010, protocolizada en la Notaría 1ª de Sogamoso (Boyacá), no guarda identidad gráfica con respecto a las signaturas indubitadas de la señora Rosalba Alarcón Correa allegadas para estudio</w:t>
      </w:r>
      <w:r w:rsidR="00711AAA" w:rsidRPr="00635B67">
        <w:rPr>
          <w:rFonts w:ascii="Verdana" w:hAnsi="Verdana" w:cs="Arial"/>
          <w:bCs/>
          <w:i/>
          <w:color w:val="000000" w:themeColor="text1"/>
          <w:sz w:val="22"/>
          <w:szCs w:val="22"/>
        </w:rPr>
        <w:t>”</w:t>
      </w:r>
      <w:r w:rsidRPr="00635B67">
        <w:rPr>
          <w:rFonts w:ascii="Verdana" w:hAnsi="Verdana" w:cs="Arial"/>
          <w:bCs/>
          <w:color w:val="000000" w:themeColor="text1"/>
          <w:sz w:val="22"/>
          <w:szCs w:val="22"/>
        </w:rPr>
        <w:t>.</w:t>
      </w:r>
      <w:r w:rsidR="0082388B" w:rsidRPr="00635B67">
        <w:rPr>
          <w:rFonts w:ascii="Verdana" w:hAnsi="Verdana" w:cs="Arial"/>
          <w:bCs/>
          <w:color w:val="000000" w:themeColor="text1"/>
          <w:sz w:val="22"/>
          <w:szCs w:val="22"/>
        </w:rPr>
        <w:t xml:space="preserve"> (</w:t>
      </w:r>
      <w:proofErr w:type="spellStart"/>
      <w:r w:rsidR="0082388B" w:rsidRPr="00635B67">
        <w:rPr>
          <w:rFonts w:ascii="Verdana" w:hAnsi="Verdana" w:cs="Arial"/>
          <w:bCs/>
          <w:color w:val="000000" w:themeColor="text1"/>
          <w:sz w:val="22"/>
          <w:szCs w:val="22"/>
        </w:rPr>
        <w:t>fl</w:t>
      </w:r>
      <w:proofErr w:type="spellEnd"/>
      <w:r w:rsidR="0082388B" w:rsidRPr="00635B67">
        <w:rPr>
          <w:rFonts w:ascii="Verdana" w:hAnsi="Verdana" w:cs="Arial"/>
          <w:bCs/>
          <w:color w:val="000000" w:themeColor="text1"/>
          <w:sz w:val="22"/>
          <w:szCs w:val="22"/>
        </w:rPr>
        <w:t xml:space="preserve">. 10-14). </w:t>
      </w:r>
    </w:p>
    <w:p w14:paraId="2CBBD8B9" w14:textId="77777777" w:rsidR="00792251" w:rsidRPr="00635B67" w:rsidRDefault="00792251" w:rsidP="00711AAA">
      <w:pPr>
        <w:tabs>
          <w:tab w:val="left" w:pos="-720"/>
          <w:tab w:val="left" w:pos="0"/>
        </w:tabs>
        <w:suppressAutoHyphens/>
        <w:spacing w:line="360" w:lineRule="auto"/>
        <w:jc w:val="both"/>
        <w:rPr>
          <w:rFonts w:ascii="Verdana" w:hAnsi="Verdana" w:cs="Arial"/>
          <w:bCs/>
          <w:color w:val="000000" w:themeColor="text1"/>
          <w:sz w:val="22"/>
          <w:szCs w:val="22"/>
        </w:rPr>
      </w:pPr>
    </w:p>
    <w:p w14:paraId="2C086C57" w14:textId="2B302042" w:rsidR="000750B9" w:rsidRPr="00635B67" w:rsidRDefault="00792251" w:rsidP="6DAD1D68">
      <w:pPr>
        <w:suppressAutoHyphens/>
        <w:spacing w:line="360" w:lineRule="auto"/>
        <w:jc w:val="both"/>
        <w:rPr>
          <w:rFonts w:ascii="Verdana" w:hAnsi="Verdana" w:cs="Arial"/>
          <w:color w:val="000000" w:themeColor="text1"/>
          <w:sz w:val="22"/>
          <w:szCs w:val="22"/>
        </w:rPr>
      </w:pPr>
      <w:r w:rsidRPr="00635B67">
        <w:rPr>
          <w:rFonts w:ascii="Verdana" w:hAnsi="Verdana" w:cs="Arial"/>
          <w:color w:val="000000" w:themeColor="text1"/>
          <w:sz w:val="22"/>
          <w:szCs w:val="22"/>
        </w:rPr>
        <w:t>A folios 15 a 34 obra sentencia No. 17 proferida el 10 de mayo de 2013 por el Juzgado Tercero Civil del Circuito de Sogamoso, dentro del proceso ordinario de Nulidad de escritura pública No. 2011-106, adelantado por la señora ROSALBA ALARCÓN CORRERA contra el aquí demandante</w:t>
      </w:r>
      <w:r w:rsidR="64857AEF" w:rsidRPr="00635B67">
        <w:rPr>
          <w:rFonts w:ascii="Verdana" w:hAnsi="Verdana" w:cs="Arial"/>
          <w:color w:val="000000" w:themeColor="text1"/>
          <w:sz w:val="22"/>
          <w:szCs w:val="22"/>
        </w:rPr>
        <w:t>,</w:t>
      </w:r>
      <w:r w:rsidRPr="00635B67">
        <w:rPr>
          <w:rFonts w:ascii="Verdana" w:hAnsi="Verdana" w:cs="Arial"/>
          <w:color w:val="000000" w:themeColor="text1"/>
          <w:sz w:val="22"/>
          <w:szCs w:val="22"/>
        </w:rPr>
        <w:t xml:space="preserve"> señor RODOLFO CONCISIÓN GARCÍA, en la que se resolvió </w:t>
      </w:r>
      <w:r w:rsidRPr="00635B67">
        <w:rPr>
          <w:rFonts w:ascii="Verdana" w:hAnsi="Verdana" w:cs="Arial"/>
          <w:i/>
          <w:iCs/>
          <w:color w:val="000000" w:themeColor="text1"/>
          <w:sz w:val="22"/>
          <w:szCs w:val="22"/>
        </w:rPr>
        <w:t>“</w:t>
      </w:r>
      <w:r w:rsidRPr="00635B67">
        <w:rPr>
          <w:rFonts w:ascii="Verdana" w:hAnsi="Verdana" w:cs="Arial"/>
          <w:b/>
          <w:bCs/>
          <w:i/>
          <w:iCs/>
          <w:color w:val="000000" w:themeColor="text1"/>
          <w:sz w:val="22"/>
          <w:szCs w:val="22"/>
        </w:rPr>
        <w:t xml:space="preserve">Decretar la NULIDAD de la escritura pública de Hipoteca No. 0134 de fecha 05 de febrero de 2010 otorgada ante la Notaría Primera del </w:t>
      </w:r>
      <w:r w:rsidR="17AB3448" w:rsidRPr="00635B67">
        <w:rPr>
          <w:rFonts w:ascii="Verdana" w:hAnsi="Verdana" w:cs="Arial"/>
          <w:b/>
          <w:bCs/>
          <w:i/>
          <w:iCs/>
          <w:color w:val="000000" w:themeColor="text1"/>
          <w:sz w:val="22"/>
          <w:szCs w:val="22"/>
        </w:rPr>
        <w:t>Círculo</w:t>
      </w:r>
      <w:r w:rsidRPr="00635B67">
        <w:rPr>
          <w:rFonts w:ascii="Verdana" w:hAnsi="Verdana" w:cs="Arial"/>
          <w:b/>
          <w:bCs/>
          <w:i/>
          <w:iCs/>
          <w:color w:val="000000" w:themeColor="text1"/>
          <w:sz w:val="22"/>
          <w:szCs w:val="22"/>
        </w:rPr>
        <w:t xml:space="preserve"> de Sogamoso</w:t>
      </w:r>
      <w:r w:rsidRPr="00635B67">
        <w:rPr>
          <w:rFonts w:ascii="Verdana" w:hAnsi="Verdana" w:cs="Arial"/>
          <w:i/>
          <w:iCs/>
          <w:color w:val="000000" w:themeColor="text1"/>
          <w:sz w:val="22"/>
          <w:szCs w:val="22"/>
        </w:rPr>
        <w:t xml:space="preserve">, registrada el día 09 de febrero de 2010, bajo el </w:t>
      </w:r>
      <w:r w:rsidRPr="00635B67">
        <w:rPr>
          <w:rFonts w:ascii="Verdana" w:hAnsi="Verdana" w:cs="Arial"/>
          <w:b/>
          <w:bCs/>
          <w:i/>
          <w:iCs/>
          <w:color w:val="000000" w:themeColor="text1"/>
          <w:sz w:val="22"/>
          <w:szCs w:val="22"/>
        </w:rPr>
        <w:t xml:space="preserve">folio de </w:t>
      </w:r>
      <w:r w:rsidR="000750B9" w:rsidRPr="00635B67">
        <w:rPr>
          <w:rFonts w:ascii="Verdana" w:hAnsi="Verdana" w:cs="Arial"/>
          <w:b/>
          <w:bCs/>
          <w:i/>
          <w:iCs/>
          <w:color w:val="000000" w:themeColor="text1"/>
          <w:sz w:val="22"/>
          <w:szCs w:val="22"/>
        </w:rPr>
        <w:t>matrícula</w:t>
      </w:r>
      <w:r w:rsidRPr="00635B67">
        <w:rPr>
          <w:rFonts w:ascii="Verdana" w:hAnsi="Verdana" w:cs="Arial"/>
          <w:b/>
          <w:bCs/>
          <w:i/>
          <w:iCs/>
          <w:color w:val="000000" w:themeColor="text1"/>
          <w:sz w:val="22"/>
          <w:szCs w:val="22"/>
        </w:rPr>
        <w:t xml:space="preserve"> inmobiliaria No. 095-81166</w:t>
      </w:r>
      <w:r w:rsidRPr="00635B67">
        <w:rPr>
          <w:rFonts w:ascii="Verdana" w:hAnsi="Verdana" w:cs="Arial"/>
          <w:i/>
          <w:iCs/>
          <w:color w:val="000000" w:themeColor="text1"/>
          <w:sz w:val="22"/>
          <w:szCs w:val="22"/>
        </w:rPr>
        <w:t xml:space="preserve"> de la Oficina </w:t>
      </w:r>
      <w:r w:rsidRPr="00635B67">
        <w:rPr>
          <w:rFonts w:ascii="Verdana" w:hAnsi="Verdana" w:cs="Arial"/>
          <w:i/>
          <w:iCs/>
          <w:color w:val="000000" w:themeColor="text1"/>
          <w:sz w:val="22"/>
          <w:szCs w:val="22"/>
        </w:rPr>
        <w:lastRenderedPageBreak/>
        <w:t xml:space="preserve">de Registro de Instrumentos Públicos de Sogamoso, </w:t>
      </w:r>
      <w:r w:rsidRPr="00635B67">
        <w:rPr>
          <w:rFonts w:ascii="Verdana" w:hAnsi="Verdana" w:cs="Arial"/>
          <w:b/>
          <w:bCs/>
          <w:i/>
          <w:iCs/>
          <w:color w:val="000000" w:themeColor="text1"/>
          <w:sz w:val="22"/>
          <w:szCs w:val="22"/>
        </w:rPr>
        <w:t>celebrada entre la supuesta ROSALBA ALARCÓN CORREA Y RODOLFO CONCISIÓN GARCÍA</w:t>
      </w:r>
      <w:r w:rsidRPr="00635B67">
        <w:rPr>
          <w:rFonts w:ascii="Verdana" w:hAnsi="Verdana" w:cs="Arial"/>
          <w:i/>
          <w:iCs/>
          <w:color w:val="000000" w:themeColor="text1"/>
          <w:sz w:val="22"/>
          <w:szCs w:val="22"/>
        </w:rPr>
        <w:t>”</w:t>
      </w:r>
      <w:r w:rsidRPr="00635B67">
        <w:rPr>
          <w:rFonts w:ascii="Verdana" w:hAnsi="Verdana" w:cs="Arial"/>
          <w:color w:val="000000" w:themeColor="text1"/>
          <w:sz w:val="22"/>
          <w:szCs w:val="22"/>
        </w:rPr>
        <w:t>, entre otras ordenaciones.</w:t>
      </w:r>
      <w:r w:rsidR="000750B9" w:rsidRPr="00635B67">
        <w:rPr>
          <w:rFonts w:ascii="Verdana" w:hAnsi="Verdana" w:cs="Arial"/>
          <w:color w:val="000000" w:themeColor="text1"/>
          <w:sz w:val="22"/>
          <w:szCs w:val="22"/>
        </w:rPr>
        <w:t xml:space="preserve"> La anterior decisión se tomó teniendo en cuenta los siguiente: </w:t>
      </w:r>
    </w:p>
    <w:p w14:paraId="5FA48A8A" w14:textId="77777777" w:rsidR="000750B9" w:rsidRPr="00635B67" w:rsidRDefault="000750B9" w:rsidP="00711AAA">
      <w:pPr>
        <w:tabs>
          <w:tab w:val="left" w:pos="-720"/>
          <w:tab w:val="left" w:pos="0"/>
        </w:tabs>
        <w:suppressAutoHyphens/>
        <w:spacing w:line="360" w:lineRule="auto"/>
        <w:jc w:val="both"/>
        <w:rPr>
          <w:rFonts w:ascii="Verdana" w:hAnsi="Verdana" w:cs="Arial"/>
          <w:bCs/>
          <w:color w:val="000000" w:themeColor="text1"/>
          <w:sz w:val="22"/>
          <w:szCs w:val="22"/>
        </w:rPr>
      </w:pPr>
    </w:p>
    <w:p w14:paraId="02C11C98" w14:textId="555EE4A6" w:rsidR="00711AAA" w:rsidRPr="00635B67" w:rsidRDefault="000750B9" w:rsidP="00123FB7">
      <w:pPr>
        <w:tabs>
          <w:tab w:val="left" w:pos="-720"/>
          <w:tab w:val="left" w:pos="0"/>
        </w:tabs>
        <w:suppressAutoHyphens/>
        <w:ind w:left="709"/>
        <w:jc w:val="both"/>
        <w:rPr>
          <w:rFonts w:ascii="Verdana" w:hAnsi="Verdana" w:cs="Arial"/>
          <w:bCs/>
          <w:i/>
          <w:color w:val="000000" w:themeColor="text1"/>
        </w:rPr>
      </w:pPr>
      <w:r w:rsidRPr="00635B67">
        <w:rPr>
          <w:rFonts w:ascii="Verdana" w:hAnsi="Verdana" w:cs="Arial"/>
          <w:bCs/>
          <w:color w:val="000000" w:themeColor="text1"/>
        </w:rPr>
        <w:t>“</w:t>
      </w:r>
      <w:r w:rsidR="00C4207F" w:rsidRPr="00635B67">
        <w:rPr>
          <w:rFonts w:ascii="Verdana" w:hAnsi="Verdana" w:cs="Arial"/>
          <w:bCs/>
          <w:color w:val="000000" w:themeColor="text1"/>
        </w:rPr>
        <w:t xml:space="preserve">(…) analizado el acervo probatorio, específicamente el testimonio </w:t>
      </w:r>
      <w:proofErr w:type="spellStart"/>
      <w:r w:rsidR="00C4207F" w:rsidRPr="00635B67">
        <w:rPr>
          <w:rFonts w:ascii="Verdana" w:hAnsi="Verdana" w:cs="Arial"/>
          <w:bCs/>
          <w:color w:val="000000" w:themeColor="text1"/>
        </w:rPr>
        <w:t>recepcion</w:t>
      </w:r>
      <w:r w:rsidR="00733C46" w:rsidRPr="00635B67">
        <w:rPr>
          <w:rFonts w:ascii="Verdana" w:hAnsi="Verdana" w:cs="Arial"/>
          <w:bCs/>
          <w:color w:val="000000" w:themeColor="text1"/>
        </w:rPr>
        <w:t>ado</w:t>
      </w:r>
      <w:proofErr w:type="spellEnd"/>
      <w:r w:rsidR="00733C46" w:rsidRPr="00635B67">
        <w:rPr>
          <w:rFonts w:ascii="Verdana" w:hAnsi="Verdana" w:cs="Arial"/>
          <w:bCs/>
          <w:color w:val="000000" w:themeColor="text1"/>
        </w:rPr>
        <w:t xml:space="preserve"> a la señora ELIZABETH ALVAR</w:t>
      </w:r>
      <w:r w:rsidR="00C4207F" w:rsidRPr="00635B67">
        <w:rPr>
          <w:rFonts w:ascii="Verdana" w:hAnsi="Verdana" w:cs="Arial"/>
          <w:bCs/>
          <w:color w:val="000000" w:themeColor="text1"/>
        </w:rPr>
        <w:t xml:space="preserve">ADO y los dictámenes periciales practicados por el Instituto de Medicina Legal, los cuales son la prueba grafológica y cotejo de firmas, con los cuales </w:t>
      </w:r>
      <w:r w:rsidR="00C4207F" w:rsidRPr="00635B67">
        <w:rPr>
          <w:rFonts w:ascii="Verdana" w:hAnsi="Verdana" w:cs="Arial"/>
          <w:b/>
          <w:bCs/>
          <w:color w:val="000000" w:themeColor="text1"/>
        </w:rPr>
        <w:t>queda plenamente demostrada la falsedad de la escritura p</w:t>
      </w:r>
      <w:r w:rsidR="00225243" w:rsidRPr="00635B67">
        <w:rPr>
          <w:rFonts w:ascii="Verdana" w:hAnsi="Verdana" w:cs="Arial"/>
          <w:b/>
          <w:bCs/>
          <w:color w:val="000000" w:themeColor="text1"/>
        </w:rPr>
        <w:t>úbl</w:t>
      </w:r>
      <w:r w:rsidR="00C4207F" w:rsidRPr="00635B67">
        <w:rPr>
          <w:rFonts w:ascii="Verdana" w:hAnsi="Verdana" w:cs="Arial"/>
          <w:b/>
          <w:bCs/>
          <w:color w:val="000000" w:themeColor="text1"/>
        </w:rPr>
        <w:t>i</w:t>
      </w:r>
      <w:r w:rsidR="00225243" w:rsidRPr="00635B67">
        <w:rPr>
          <w:rFonts w:ascii="Verdana" w:hAnsi="Verdana" w:cs="Arial"/>
          <w:b/>
          <w:bCs/>
          <w:color w:val="000000" w:themeColor="text1"/>
        </w:rPr>
        <w:t>c</w:t>
      </w:r>
      <w:r w:rsidR="00C4207F" w:rsidRPr="00635B67">
        <w:rPr>
          <w:rFonts w:ascii="Verdana" w:hAnsi="Verdana" w:cs="Arial"/>
          <w:b/>
          <w:bCs/>
          <w:color w:val="000000" w:themeColor="text1"/>
        </w:rPr>
        <w:t>a No- 134</w:t>
      </w:r>
      <w:r w:rsidR="00225243" w:rsidRPr="00635B67">
        <w:rPr>
          <w:rFonts w:ascii="Verdana" w:hAnsi="Verdana" w:cs="Arial"/>
          <w:b/>
          <w:bCs/>
          <w:color w:val="000000" w:themeColor="text1"/>
        </w:rPr>
        <w:t>, (…), se comprobó que la huella digital y firma plasmadas en la escritura No. 0134 de fecha 05 de febrero de 2010, de la Notaría Primera de Sogamoso, no corresponden a la señora demandante ROSALBA ALARCÓN CORREA, sino a otra persona, lo que trae como consecuencia decretar la nulidad de la Escritura No. 0134 objeto del presente proceso</w:t>
      </w:r>
      <w:r w:rsidR="00225243" w:rsidRPr="00635B67">
        <w:rPr>
          <w:rFonts w:ascii="Verdana" w:hAnsi="Verdana" w:cs="Arial"/>
          <w:bCs/>
          <w:color w:val="000000" w:themeColor="text1"/>
        </w:rPr>
        <w:t xml:space="preserve"> (…), en razón a que la firma y huella plasmadas en dicha escritura se encuentra viciada de nulidad, dado que en el citada escritura pública se falsificó la firma y huella de la persona que la otorgó, alterando la realidad respecto de la identificación de la persona que la otorgó”. </w:t>
      </w:r>
      <w:r w:rsidR="00792251" w:rsidRPr="00635B67">
        <w:rPr>
          <w:rFonts w:ascii="Verdana" w:hAnsi="Verdana" w:cs="Arial"/>
          <w:bCs/>
          <w:color w:val="000000" w:themeColor="text1"/>
        </w:rPr>
        <w:t xml:space="preserve"> </w:t>
      </w:r>
      <w:r w:rsidR="00711AAA" w:rsidRPr="00635B67">
        <w:rPr>
          <w:rFonts w:ascii="Verdana" w:hAnsi="Verdana" w:cs="Arial"/>
          <w:bCs/>
          <w:i/>
          <w:color w:val="000000" w:themeColor="text1"/>
        </w:rPr>
        <w:t xml:space="preserve"> </w:t>
      </w:r>
    </w:p>
    <w:p w14:paraId="5D6489D6" w14:textId="77777777" w:rsidR="0082388B" w:rsidRPr="00635B67" w:rsidRDefault="0082388B" w:rsidP="00002D90">
      <w:pPr>
        <w:tabs>
          <w:tab w:val="left" w:pos="-720"/>
          <w:tab w:val="left" w:pos="0"/>
        </w:tabs>
        <w:suppressAutoHyphens/>
        <w:spacing w:line="360" w:lineRule="auto"/>
        <w:jc w:val="both"/>
        <w:rPr>
          <w:rFonts w:ascii="Verdana" w:hAnsi="Verdana" w:cs="Arial"/>
          <w:bCs/>
          <w:i/>
          <w:color w:val="000000" w:themeColor="text1"/>
          <w:sz w:val="22"/>
          <w:szCs w:val="22"/>
        </w:rPr>
      </w:pPr>
    </w:p>
    <w:p w14:paraId="79A4806B" w14:textId="53CC278E" w:rsidR="0082388B" w:rsidRPr="00635B67" w:rsidRDefault="008A7E80" w:rsidP="00002D90">
      <w:pPr>
        <w:tabs>
          <w:tab w:val="left" w:pos="-720"/>
          <w:tab w:val="left" w:pos="0"/>
        </w:tabs>
        <w:suppressAutoHyphens/>
        <w:spacing w:line="360" w:lineRule="auto"/>
        <w:jc w:val="both"/>
        <w:rPr>
          <w:rFonts w:ascii="Verdana" w:hAnsi="Verdana" w:cs="Arial"/>
          <w:bCs/>
          <w:color w:val="000000" w:themeColor="text1"/>
          <w:sz w:val="22"/>
          <w:szCs w:val="22"/>
        </w:rPr>
      </w:pPr>
      <w:r w:rsidRPr="00635B67">
        <w:rPr>
          <w:rFonts w:ascii="Verdana" w:hAnsi="Verdana" w:cs="Arial"/>
          <w:bCs/>
          <w:color w:val="000000" w:themeColor="text1"/>
          <w:sz w:val="22"/>
          <w:szCs w:val="22"/>
        </w:rPr>
        <w:t xml:space="preserve">Quedó demostrado que la anterior decisión fue confirmada en segunda instancia mediante sentencia proferida el 4 de febrero de 2014 por el Tribunal Superior del Distrito Judicial de Santa Rosa de Viterbo – Sala Civil Familia Laboral de Decisión, siendo magistrado ponente el Doctor Hernando Vargas </w:t>
      </w:r>
      <w:proofErr w:type="spellStart"/>
      <w:r w:rsidRPr="00635B67">
        <w:rPr>
          <w:rFonts w:ascii="Verdana" w:hAnsi="Verdana" w:cs="Arial"/>
          <w:bCs/>
          <w:color w:val="000000" w:themeColor="text1"/>
          <w:sz w:val="22"/>
          <w:szCs w:val="22"/>
        </w:rPr>
        <w:t>Cipamocha</w:t>
      </w:r>
      <w:proofErr w:type="spellEnd"/>
      <w:r w:rsidRPr="00635B67">
        <w:rPr>
          <w:rFonts w:ascii="Verdana" w:hAnsi="Verdana" w:cs="Arial"/>
          <w:bCs/>
          <w:color w:val="000000" w:themeColor="text1"/>
          <w:sz w:val="22"/>
          <w:szCs w:val="22"/>
        </w:rPr>
        <w:t xml:space="preserve"> (</w:t>
      </w:r>
      <w:proofErr w:type="spellStart"/>
      <w:r w:rsidRPr="00635B67">
        <w:rPr>
          <w:rFonts w:ascii="Verdana" w:hAnsi="Verdana" w:cs="Arial"/>
          <w:bCs/>
          <w:color w:val="000000" w:themeColor="text1"/>
          <w:sz w:val="22"/>
          <w:szCs w:val="22"/>
        </w:rPr>
        <w:t>fl</w:t>
      </w:r>
      <w:proofErr w:type="spellEnd"/>
      <w:r w:rsidRPr="00635B67">
        <w:rPr>
          <w:rFonts w:ascii="Verdana" w:hAnsi="Verdana" w:cs="Arial"/>
          <w:bCs/>
          <w:color w:val="000000" w:themeColor="text1"/>
          <w:sz w:val="22"/>
          <w:szCs w:val="22"/>
        </w:rPr>
        <w:t xml:space="preserve">. 38-49). </w:t>
      </w:r>
    </w:p>
    <w:p w14:paraId="5A1643F5" w14:textId="48273F37" w:rsidR="008A7E80" w:rsidRPr="00635B67" w:rsidRDefault="008A7E80" w:rsidP="00002D90">
      <w:pPr>
        <w:tabs>
          <w:tab w:val="left" w:pos="-720"/>
          <w:tab w:val="left" w:pos="0"/>
        </w:tabs>
        <w:suppressAutoHyphens/>
        <w:spacing w:line="360" w:lineRule="auto"/>
        <w:jc w:val="both"/>
        <w:rPr>
          <w:rFonts w:ascii="Verdana" w:hAnsi="Verdana" w:cs="Arial"/>
          <w:bCs/>
          <w:color w:val="000000" w:themeColor="text1"/>
          <w:sz w:val="22"/>
          <w:szCs w:val="22"/>
        </w:rPr>
      </w:pPr>
    </w:p>
    <w:p w14:paraId="03F71467" w14:textId="3C79BACC" w:rsidR="00CE06DE" w:rsidRPr="00635B67" w:rsidRDefault="00733C46" w:rsidP="6DAD1D68">
      <w:pPr>
        <w:suppressAutoHyphens/>
        <w:spacing w:line="360" w:lineRule="auto"/>
        <w:jc w:val="both"/>
        <w:rPr>
          <w:rFonts w:ascii="Verdana" w:hAnsi="Verdana" w:cs="Arial"/>
          <w:color w:val="000000" w:themeColor="text1"/>
          <w:sz w:val="22"/>
          <w:szCs w:val="22"/>
        </w:rPr>
      </w:pPr>
      <w:r w:rsidRPr="00635B67">
        <w:rPr>
          <w:rFonts w:ascii="Verdana" w:hAnsi="Verdana" w:cs="Arial"/>
          <w:color w:val="000000" w:themeColor="text1"/>
          <w:sz w:val="22"/>
          <w:szCs w:val="22"/>
        </w:rPr>
        <w:t xml:space="preserve">Así mismo, obra como prueba </w:t>
      </w:r>
      <w:r w:rsidR="00CE06DE" w:rsidRPr="00635B67">
        <w:rPr>
          <w:rFonts w:ascii="Verdana" w:hAnsi="Verdana" w:cs="Arial"/>
          <w:color w:val="000000" w:themeColor="text1"/>
          <w:sz w:val="22"/>
          <w:szCs w:val="22"/>
        </w:rPr>
        <w:t>copia del proceso penal No. 157</w:t>
      </w:r>
      <w:r w:rsidRPr="00635B67">
        <w:rPr>
          <w:rFonts w:ascii="Verdana" w:hAnsi="Verdana" w:cs="Arial"/>
          <w:color w:val="000000" w:themeColor="text1"/>
          <w:sz w:val="22"/>
          <w:szCs w:val="22"/>
        </w:rPr>
        <w:t>59310900220150078 (</w:t>
      </w:r>
      <w:proofErr w:type="spellStart"/>
      <w:r w:rsidRPr="00635B67">
        <w:rPr>
          <w:rFonts w:ascii="Verdana" w:hAnsi="Verdana" w:cs="Arial"/>
          <w:color w:val="000000" w:themeColor="text1"/>
          <w:sz w:val="22"/>
          <w:szCs w:val="22"/>
        </w:rPr>
        <w:t>fl</w:t>
      </w:r>
      <w:proofErr w:type="spellEnd"/>
      <w:r w:rsidRPr="00635B67">
        <w:rPr>
          <w:rFonts w:ascii="Verdana" w:hAnsi="Verdana" w:cs="Arial"/>
          <w:color w:val="000000" w:themeColor="text1"/>
          <w:sz w:val="22"/>
          <w:szCs w:val="22"/>
        </w:rPr>
        <w:t>. 419-574</w:t>
      </w:r>
      <w:r w:rsidR="00CE06DE" w:rsidRPr="00635B67">
        <w:rPr>
          <w:rFonts w:ascii="Verdana" w:hAnsi="Verdana" w:cs="Arial"/>
          <w:color w:val="000000" w:themeColor="text1"/>
          <w:sz w:val="22"/>
          <w:szCs w:val="22"/>
        </w:rPr>
        <w:t xml:space="preserve">), por los punibles de falsedad material en documento público en concurso con fraude procesal, estafa y falsedad personal, en el que </w:t>
      </w:r>
      <w:r w:rsidR="00682ADB" w:rsidRPr="00635B67">
        <w:rPr>
          <w:rFonts w:ascii="Verdana" w:hAnsi="Verdana" w:cs="Arial"/>
          <w:color w:val="000000" w:themeColor="text1"/>
          <w:sz w:val="22"/>
          <w:szCs w:val="22"/>
        </w:rPr>
        <w:t>el Juzgado Segundo Penal del Circuito de Sogamoso</w:t>
      </w:r>
      <w:r w:rsidR="00CE06DE" w:rsidRPr="00635B67">
        <w:rPr>
          <w:rFonts w:ascii="Verdana" w:hAnsi="Verdana" w:cs="Arial"/>
          <w:color w:val="000000" w:themeColor="text1"/>
          <w:sz w:val="22"/>
          <w:szCs w:val="22"/>
        </w:rPr>
        <w:t xml:space="preserve"> dictó sentencia condenatoria el 18 de marzo de 2016</w:t>
      </w:r>
      <w:r w:rsidR="00682ADB" w:rsidRPr="00635B67">
        <w:rPr>
          <w:rFonts w:ascii="Verdana" w:hAnsi="Verdana" w:cs="Arial"/>
          <w:color w:val="000000" w:themeColor="text1"/>
          <w:sz w:val="22"/>
          <w:szCs w:val="22"/>
        </w:rPr>
        <w:t xml:space="preserve"> (</w:t>
      </w:r>
      <w:proofErr w:type="spellStart"/>
      <w:r w:rsidR="00682ADB" w:rsidRPr="00635B67">
        <w:rPr>
          <w:rFonts w:ascii="Verdana" w:hAnsi="Verdana" w:cs="Arial"/>
          <w:color w:val="000000" w:themeColor="text1"/>
          <w:sz w:val="22"/>
          <w:szCs w:val="22"/>
        </w:rPr>
        <w:t>fl</w:t>
      </w:r>
      <w:proofErr w:type="spellEnd"/>
      <w:r w:rsidR="00682ADB" w:rsidRPr="00635B67">
        <w:rPr>
          <w:rFonts w:ascii="Verdana" w:hAnsi="Verdana" w:cs="Arial"/>
          <w:color w:val="000000" w:themeColor="text1"/>
          <w:sz w:val="22"/>
          <w:szCs w:val="22"/>
        </w:rPr>
        <w:t>. 488-504)</w:t>
      </w:r>
      <w:r w:rsidR="00CE06DE" w:rsidRPr="00635B67">
        <w:rPr>
          <w:rFonts w:ascii="Verdana" w:hAnsi="Verdana" w:cs="Arial"/>
          <w:color w:val="000000" w:themeColor="text1"/>
          <w:sz w:val="22"/>
          <w:szCs w:val="22"/>
        </w:rPr>
        <w:t xml:space="preserve">, declarando penalmente responsable en calidad de coautora a título de dolo a la señora CLAUDIA PATRICIA VELEZ VARGAS, en la que se tuvo como consideraciones las siguientes: </w:t>
      </w:r>
    </w:p>
    <w:p w14:paraId="2C09F709" w14:textId="6136A20F" w:rsidR="00F348C5" w:rsidRPr="00635B67" w:rsidRDefault="00F348C5" w:rsidP="00002D90">
      <w:pPr>
        <w:tabs>
          <w:tab w:val="left" w:pos="-720"/>
          <w:tab w:val="left" w:pos="0"/>
        </w:tabs>
        <w:suppressAutoHyphens/>
        <w:spacing w:line="360" w:lineRule="auto"/>
        <w:jc w:val="both"/>
        <w:rPr>
          <w:rFonts w:ascii="Verdana" w:hAnsi="Verdana" w:cs="Arial"/>
          <w:bCs/>
          <w:color w:val="000000" w:themeColor="text1"/>
          <w:sz w:val="22"/>
          <w:szCs w:val="22"/>
        </w:rPr>
      </w:pPr>
    </w:p>
    <w:p w14:paraId="07F3FADC" w14:textId="47D553C2" w:rsidR="00E56617" w:rsidRPr="00635B67" w:rsidRDefault="00F348C5" w:rsidP="6DAD1D68">
      <w:pPr>
        <w:suppressAutoHyphens/>
        <w:ind w:left="708"/>
        <w:jc w:val="both"/>
        <w:rPr>
          <w:rFonts w:ascii="Verdana" w:hAnsi="Verdana" w:cs="Arial"/>
          <w:b/>
          <w:bCs/>
          <w:color w:val="000000" w:themeColor="text1"/>
        </w:rPr>
      </w:pPr>
      <w:r w:rsidRPr="00635B67">
        <w:rPr>
          <w:rFonts w:ascii="Verdana" w:hAnsi="Verdana" w:cs="Arial"/>
          <w:color w:val="000000" w:themeColor="text1"/>
        </w:rPr>
        <w:t xml:space="preserve">“(…) Pues con fundamento a </w:t>
      </w:r>
      <w:r w:rsidRPr="00635B67">
        <w:rPr>
          <w:rFonts w:ascii="Verdana" w:hAnsi="Verdana" w:cs="Arial"/>
          <w:b/>
          <w:bCs/>
          <w:color w:val="000000" w:themeColor="text1"/>
        </w:rPr>
        <w:t>la huella dejadas por CLAUDIA PATRICIA en la escritura 134</w:t>
      </w:r>
      <w:r w:rsidRPr="00635B67">
        <w:rPr>
          <w:rFonts w:ascii="Verdana" w:hAnsi="Verdana" w:cs="Arial"/>
          <w:color w:val="000000" w:themeColor="text1"/>
        </w:rPr>
        <w:t xml:space="preserve">, haciendo la confrontación dactilar con las huellas que se dejaron en la tarjeta de reseña, se pudo establecer, que la impresión dactilar obrante en el documento relacionado en el numeral 3, inciso 3 – 1 (folio de la </w:t>
      </w:r>
      <w:r w:rsidR="1AF11EC3" w:rsidRPr="00635B67">
        <w:rPr>
          <w:rFonts w:ascii="Verdana" w:hAnsi="Verdana" w:cs="Arial"/>
          <w:color w:val="000000" w:themeColor="text1"/>
        </w:rPr>
        <w:t>notaría</w:t>
      </w:r>
      <w:r w:rsidRPr="00635B67">
        <w:rPr>
          <w:rFonts w:ascii="Verdana" w:hAnsi="Verdana" w:cs="Arial"/>
          <w:color w:val="000000" w:themeColor="text1"/>
        </w:rPr>
        <w:t xml:space="preserve"> primera de Sogamoso) a nombre de ROSALBA ALARCÓN CORREA con su similar impresión dactilar obrante en el documento relacionado en el numeral 3 inciso 3 – 2 (Tarjeta de Reseña) </w:t>
      </w:r>
      <w:r w:rsidRPr="00635B67">
        <w:rPr>
          <w:rFonts w:ascii="Verdana" w:hAnsi="Verdana" w:cs="Arial"/>
          <w:b/>
          <w:bCs/>
          <w:color w:val="000000" w:themeColor="text1"/>
        </w:rPr>
        <w:t xml:space="preserve">a nombre de ROSALBA ALARCÓN CORREA se estableció, que no se relacionan entre </w:t>
      </w:r>
      <w:r w:rsidR="3D11A10B" w:rsidRPr="00635B67">
        <w:rPr>
          <w:rFonts w:ascii="Verdana" w:hAnsi="Verdana" w:cs="Arial"/>
          <w:b/>
          <w:bCs/>
          <w:color w:val="000000" w:themeColor="text1"/>
        </w:rPr>
        <w:t>sí</w:t>
      </w:r>
      <w:r w:rsidRPr="00635B67">
        <w:rPr>
          <w:rFonts w:ascii="Verdana" w:hAnsi="Verdana" w:cs="Arial"/>
          <w:b/>
          <w:bCs/>
          <w:color w:val="000000" w:themeColor="text1"/>
        </w:rPr>
        <w:t>, debido a la no igualdad en su morfología, topografía y distribución de sus puntos característicos</w:t>
      </w:r>
      <w:r w:rsidRPr="00635B67">
        <w:rPr>
          <w:rFonts w:ascii="Verdana" w:hAnsi="Verdana" w:cs="Arial"/>
          <w:color w:val="000000" w:themeColor="text1"/>
        </w:rPr>
        <w:t xml:space="preserve">, determinándose al unísono en el informe de investigador de laboratorio de fecha 27 de enero de 2014, en donde se solicitaba el cotejo con la base de datos del sistema AIFS y el enlace de la Registraduría Nacional, de la impresión dactilar… establecer la identidad de la persona…”, </w:t>
      </w:r>
      <w:r w:rsidRPr="00635B67">
        <w:rPr>
          <w:rFonts w:ascii="Verdana" w:hAnsi="Verdana" w:cs="Arial"/>
          <w:b/>
          <w:bCs/>
          <w:color w:val="000000" w:themeColor="text1"/>
        </w:rPr>
        <w:t xml:space="preserve">se concluyó que una vez realizado el estudio de </w:t>
      </w:r>
      <w:r w:rsidRPr="00635B67">
        <w:rPr>
          <w:rFonts w:ascii="Verdana" w:hAnsi="Verdana" w:cs="Arial"/>
          <w:b/>
          <w:bCs/>
          <w:color w:val="000000" w:themeColor="text1"/>
        </w:rPr>
        <w:lastRenderedPageBreak/>
        <w:t>orden técnico al material allegado, se determinó, que se verifica que la identidad de la persona a quien corresponden las impresiones dactilares que obran en el documento de imágenes descritas en los ítem 3-1 reverso del folio 417 junto al texto “ROSALBA ALARCÓN CORREA”, 3.3. y 3.4.</w:t>
      </w:r>
      <w:r w:rsidR="00E56617" w:rsidRPr="00635B67">
        <w:rPr>
          <w:rFonts w:ascii="Verdana" w:hAnsi="Verdana" w:cs="Arial"/>
          <w:b/>
          <w:bCs/>
          <w:color w:val="000000" w:themeColor="text1"/>
        </w:rPr>
        <w:t>, es VELEZ VARGAS CLAUDIA PATRICIA (…) determinándose así que efectivamente la precitada suplantó en el respectivo negocio jurídico a la señora ROSALBA ALARCÓN CORREA (…)</w:t>
      </w:r>
      <w:r w:rsidR="00E56617" w:rsidRPr="00635B67">
        <w:rPr>
          <w:rFonts w:ascii="Verdana" w:hAnsi="Verdana" w:cs="Arial"/>
          <w:color w:val="000000" w:themeColor="text1"/>
        </w:rPr>
        <w:t>”</w:t>
      </w:r>
      <w:r w:rsidR="00733C46" w:rsidRPr="00635B67">
        <w:rPr>
          <w:rFonts w:ascii="Verdana" w:hAnsi="Verdana" w:cs="Arial"/>
          <w:color w:val="000000" w:themeColor="text1"/>
          <w:sz w:val="22"/>
          <w:szCs w:val="22"/>
        </w:rPr>
        <w:t xml:space="preserve"> (Negrilla fuera de texto)</w:t>
      </w:r>
      <w:r w:rsidR="00E56617" w:rsidRPr="00635B67">
        <w:rPr>
          <w:rFonts w:ascii="Verdana" w:hAnsi="Verdana" w:cs="Arial"/>
          <w:color w:val="000000" w:themeColor="text1"/>
          <w:sz w:val="22"/>
          <w:szCs w:val="22"/>
        </w:rPr>
        <w:t>.</w:t>
      </w:r>
      <w:r w:rsidR="00E56617" w:rsidRPr="00635B67">
        <w:rPr>
          <w:rFonts w:ascii="Verdana" w:hAnsi="Verdana" w:cs="Arial"/>
          <w:color w:val="000000" w:themeColor="text1"/>
        </w:rPr>
        <w:t xml:space="preserve"> </w:t>
      </w:r>
    </w:p>
    <w:p w14:paraId="64095CF7" w14:textId="2C8649A1" w:rsidR="00CE06DE" w:rsidRPr="00635B67" w:rsidRDefault="00CE06DE" w:rsidP="00EF2C32">
      <w:pPr>
        <w:tabs>
          <w:tab w:val="left" w:pos="-720"/>
          <w:tab w:val="left" w:pos="0"/>
        </w:tabs>
        <w:suppressAutoHyphens/>
        <w:spacing w:line="360" w:lineRule="auto"/>
        <w:jc w:val="both"/>
        <w:rPr>
          <w:rFonts w:ascii="Verdana" w:hAnsi="Verdana" w:cs="Arial"/>
          <w:bCs/>
          <w:color w:val="000000" w:themeColor="text1"/>
          <w:sz w:val="22"/>
          <w:szCs w:val="22"/>
        </w:rPr>
      </w:pPr>
    </w:p>
    <w:p w14:paraId="3A2D0FD5" w14:textId="0618E61F" w:rsidR="00CE06DE" w:rsidRPr="00635B67" w:rsidRDefault="00460D8F" w:rsidP="00EF2C32">
      <w:pPr>
        <w:tabs>
          <w:tab w:val="left" w:pos="-720"/>
          <w:tab w:val="left" w:pos="0"/>
        </w:tabs>
        <w:suppressAutoHyphens/>
        <w:spacing w:line="360" w:lineRule="auto"/>
        <w:jc w:val="both"/>
        <w:rPr>
          <w:rFonts w:ascii="Verdana" w:hAnsi="Verdana" w:cs="Arial"/>
          <w:bCs/>
          <w:color w:val="000000" w:themeColor="text1"/>
          <w:sz w:val="22"/>
          <w:szCs w:val="22"/>
        </w:rPr>
      </w:pPr>
      <w:r w:rsidRPr="00635B67">
        <w:rPr>
          <w:rFonts w:ascii="Verdana" w:hAnsi="Verdana" w:cs="Arial"/>
          <w:bCs/>
          <w:color w:val="000000" w:themeColor="text1"/>
          <w:sz w:val="22"/>
          <w:szCs w:val="22"/>
        </w:rPr>
        <w:t>La anterior decisión fue confirmada en segunda instancia por la Sala Única del Tribunal Superior del Distrito Judicial de Santa Rosa de Viterbo mediante sentencia fechada el 16 de agosto de 2016 (</w:t>
      </w:r>
      <w:proofErr w:type="spellStart"/>
      <w:r w:rsidRPr="00635B67">
        <w:rPr>
          <w:rFonts w:ascii="Verdana" w:hAnsi="Verdana" w:cs="Arial"/>
          <w:bCs/>
          <w:color w:val="000000" w:themeColor="text1"/>
          <w:sz w:val="22"/>
          <w:szCs w:val="22"/>
        </w:rPr>
        <w:t>fl</w:t>
      </w:r>
      <w:proofErr w:type="spellEnd"/>
      <w:r w:rsidRPr="00635B67">
        <w:rPr>
          <w:rFonts w:ascii="Verdana" w:hAnsi="Verdana" w:cs="Arial"/>
          <w:bCs/>
          <w:color w:val="000000" w:themeColor="text1"/>
          <w:sz w:val="22"/>
          <w:szCs w:val="22"/>
        </w:rPr>
        <w:t xml:space="preserve">. 546-557). </w:t>
      </w:r>
    </w:p>
    <w:p w14:paraId="6D5BF095" w14:textId="77777777" w:rsidR="00CE06DE" w:rsidRPr="00635B67" w:rsidRDefault="00CE06DE" w:rsidP="00EF2C32">
      <w:pPr>
        <w:tabs>
          <w:tab w:val="left" w:pos="-720"/>
          <w:tab w:val="left" w:pos="0"/>
        </w:tabs>
        <w:suppressAutoHyphens/>
        <w:spacing w:line="360" w:lineRule="auto"/>
        <w:jc w:val="both"/>
        <w:rPr>
          <w:rFonts w:ascii="Verdana" w:hAnsi="Verdana" w:cs="Arial"/>
          <w:bCs/>
          <w:color w:val="000000" w:themeColor="text1"/>
          <w:sz w:val="22"/>
          <w:szCs w:val="22"/>
        </w:rPr>
      </w:pPr>
    </w:p>
    <w:p w14:paraId="0895DC9D" w14:textId="1DDC8EB8" w:rsidR="00C82C12" w:rsidRPr="00635B67" w:rsidRDefault="007F68A0" w:rsidP="6DAD1D68">
      <w:pPr>
        <w:suppressAutoHyphens/>
        <w:spacing w:line="360" w:lineRule="auto"/>
        <w:jc w:val="both"/>
        <w:rPr>
          <w:rFonts w:ascii="Verdana" w:hAnsi="Verdana" w:cs="Arial"/>
          <w:sz w:val="22"/>
          <w:szCs w:val="22"/>
        </w:rPr>
      </w:pPr>
      <w:r w:rsidRPr="00635B67">
        <w:rPr>
          <w:rFonts w:ascii="Verdana" w:hAnsi="Verdana" w:cs="Arial"/>
          <w:color w:val="000000" w:themeColor="text1"/>
          <w:sz w:val="22"/>
          <w:szCs w:val="22"/>
        </w:rPr>
        <w:t xml:space="preserve">Conforme con las pruebas reseñadas, </w:t>
      </w:r>
      <w:r w:rsidR="00CF66FA" w:rsidRPr="00635B67">
        <w:rPr>
          <w:rFonts w:ascii="Verdana" w:hAnsi="Verdana" w:cs="Arial"/>
          <w:color w:val="000000" w:themeColor="text1"/>
          <w:sz w:val="22"/>
          <w:szCs w:val="22"/>
        </w:rPr>
        <w:t xml:space="preserve">y </w:t>
      </w:r>
      <w:r w:rsidRPr="00635B67">
        <w:rPr>
          <w:rFonts w:ascii="Verdana" w:hAnsi="Verdana" w:cs="Arial"/>
          <w:color w:val="000000" w:themeColor="text1"/>
          <w:sz w:val="22"/>
          <w:szCs w:val="22"/>
        </w:rPr>
        <w:t>teniendo en cuenta que la apelante atribuye la responsabilidad de la declaratoria de nulidad de la escritura pública No. 0134 del 5 de febrero de 2010</w:t>
      </w:r>
      <w:r w:rsidR="00CF66FA" w:rsidRPr="00635B67">
        <w:rPr>
          <w:rFonts w:ascii="Verdana" w:hAnsi="Verdana" w:cs="Arial"/>
          <w:color w:val="000000" w:themeColor="text1"/>
          <w:sz w:val="22"/>
          <w:szCs w:val="22"/>
        </w:rPr>
        <w:t xml:space="preserve">, </w:t>
      </w:r>
      <w:r w:rsidR="21186DB2" w:rsidRPr="00635B67">
        <w:rPr>
          <w:rFonts w:ascii="Verdana" w:hAnsi="Verdana" w:cs="Arial"/>
          <w:color w:val="000000" w:themeColor="text1"/>
          <w:sz w:val="22"/>
          <w:szCs w:val="22"/>
        </w:rPr>
        <w:t>a</w:t>
      </w:r>
      <w:r w:rsidR="00CF66FA" w:rsidRPr="00635B67">
        <w:rPr>
          <w:rFonts w:ascii="Verdana" w:hAnsi="Verdana" w:cs="Arial"/>
          <w:color w:val="000000" w:themeColor="text1"/>
          <w:sz w:val="22"/>
          <w:szCs w:val="22"/>
        </w:rPr>
        <w:t xml:space="preserve"> falla del servicio de la </w:t>
      </w:r>
      <w:r w:rsidRPr="00635B67">
        <w:rPr>
          <w:rFonts w:ascii="Verdana" w:hAnsi="Verdana" w:cs="Arial"/>
          <w:color w:val="000000" w:themeColor="text1"/>
          <w:sz w:val="22"/>
          <w:szCs w:val="22"/>
        </w:rPr>
        <w:t>SUPERINTENDENCIA DE NOTARIADO Y REGISTRO</w:t>
      </w:r>
      <w:r w:rsidR="00BA2E51" w:rsidRPr="00635B67">
        <w:rPr>
          <w:rFonts w:ascii="Verdana" w:hAnsi="Verdana" w:cs="Arial"/>
          <w:color w:val="000000" w:themeColor="text1"/>
          <w:sz w:val="22"/>
          <w:szCs w:val="22"/>
        </w:rPr>
        <w:t xml:space="preserve"> </w:t>
      </w:r>
      <w:r w:rsidR="00CF66FA" w:rsidRPr="00635B67">
        <w:rPr>
          <w:rFonts w:ascii="Verdana" w:hAnsi="Verdana" w:cs="Arial"/>
          <w:color w:val="000000" w:themeColor="text1"/>
          <w:sz w:val="22"/>
          <w:szCs w:val="22"/>
        </w:rPr>
        <w:t>ante la supuesta</w:t>
      </w:r>
      <w:r w:rsidR="00BA2E51" w:rsidRPr="00635B67">
        <w:rPr>
          <w:rFonts w:ascii="Verdana" w:hAnsi="Verdana" w:cs="Arial"/>
          <w:color w:val="000000" w:themeColor="text1"/>
          <w:sz w:val="22"/>
          <w:szCs w:val="22"/>
        </w:rPr>
        <w:t xml:space="preserve"> omisión de sus funciones legales de inspección vigilancia y control del servicio notarial prestado por la NOTARÍA PRIMERA DEL CIRCULO DE SOGAMOS</w:t>
      </w:r>
      <w:r w:rsidR="00CF66FA" w:rsidRPr="00635B67">
        <w:rPr>
          <w:rFonts w:ascii="Verdana" w:hAnsi="Verdana" w:cs="Arial"/>
          <w:color w:val="000000" w:themeColor="text1"/>
          <w:sz w:val="22"/>
          <w:szCs w:val="22"/>
        </w:rPr>
        <w:t>O</w:t>
      </w:r>
      <w:r w:rsidR="00BA2E51" w:rsidRPr="00635B67">
        <w:rPr>
          <w:rFonts w:ascii="Verdana" w:hAnsi="Verdana" w:cs="Arial"/>
          <w:color w:val="000000" w:themeColor="text1"/>
          <w:sz w:val="22"/>
          <w:szCs w:val="22"/>
        </w:rPr>
        <w:t xml:space="preserve">, quien presuntamente omitió verificar la identidad de quien se presentó en calidad de deudora y propietaria del inmueble a hipotecar, esto es, ROSALBA ALARCÓN CORREA, con medios </w:t>
      </w:r>
      <w:r w:rsidR="00BA2E51" w:rsidRPr="00635B67">
        <w:rPr>
          <w:rFonts w:ascii="Verdana" w:hAnsi="Verdana" w:cs="Arial"/>
          <w:sz w:val="22"/>
          <w:szCs w:val="22"/>
        </w:rPr>
        <w:t>distintos al de la identificación biométrica (sic).</w:t>
      </w:r>
    </w:p>
    <w:p w14:paraId="0D4F6DD9" w14:textId="77777777" w:rsidR="00C82C12" w:rsidRPr="00635B67" w:rsidRDefault="00C82C12" w:rsidP="00EF2C32">
      <w:pPr>
        <w:tabs>
          <w:tab w:val="left" w:pos="-720"/>
          <w:tab w:val="left" w:pos="0"/>
        </w:tabs>
        <w:suppressAutoHyphens/>
        <w:spacing w:line="360" w:lineRule="auto"/>
        <w:jc w:val="both"/>
        <w:rPr>
          <w:rFonts w:ascii="Verdana" w:hAnsi="Verdana" w:cs="Arial"/>
          <w:sz w:val="22"/>
          <w:szCs w:val="22"/>
        </w:rPr>
      </w:pPr>
    </w:p>
    <w:p w14:paraId="4631DF02" w14:textId="77777777" w:rsidR="00DD5E74" w:rsidRPr="00635B67" w:rsidRDefault="00C82C12" w:rsidP="00EF2C32">
      <w:pPr>
        <w:tabs>
          <w:tab w:val="left" w:pos="-720"/>
          <w:tab w:val="left" w:pos="0"/>
        </w:tabs>
        <w:suppressAutoHyphens/>
        <w:spacing w:line="360" w:lineRule="auto"/>
        <w:jc w:val="both"/>
        <w:rPr>
          <w:rFonts w:ascii="Verdana" w:hAnsi="Verdana" w:cs="Arial"/>
          <w:iCs/>
          <w:color w:val="000000"/>
          <w:sz w:val="22"/>
          <w:szCs w:val="22"/>
        </w:rPr>
      </w:pPr>
      <w:r w:rsidRPr="00635B67">
        <w:rPr>
          <w:rFonts w:ascii="Verdana" w:hAnsi="Verdana" w:cs="Arial"/>
          <w:sz w:val="22"/>
          <w:szCs w:val="22"/>
        </w:rPr>
        <w:t>Sin embargo,</w:t>
      </w:r>
      <w:r w:rsidR="00584724" w:rsidRPr="00635B67">
        <w:rPr>
          <w:rFonts w:ascii="Verdana" w:hAnsi="Verdana" w:cs="Arial"/>
          <w:sz w:val="22"/>
          <w:szCs w:val="22"/>
        </w:rPr>
        <w:t xml:space="preserve"> conforme a la Jurisprudencia del Consejo de E</w:t>
      </w:r>
      <w:r w:rsidR="00BD711D" w:rsidRPr="00635B67">
        <w:rPr>
          <w:rFonts w:ascii="Verdana" w:hAnsi="Verdana" w:cs="Arial"/>
          <w:sz w:val="22"/>
          <w:szCs w:val="22"/>
        </w:rPr>
        <w:t>stado,</w:t>
      </w:r>
      <w:r w:rsidR="00584724" w:rsidRPr="00635B67">
        <w:rPr>
          <w:rFonts w:ascii="Verdana" w:hAnsi="Verdana" w:cs="Arial"/>
          <w:sz w:val="22"/>
          <w:szCs w:val="22"/>
        </w:rPr>
        <w:t xml:space="preserve"> teniendo en cuenta</w:t>
      </w:r>
      <w:r w:rsidR="00BD711D" w:rsidRPr="00635B67">
        <w:rPr>
          <w:rFonts w:ascii="Verdana" w:hAnsi="Verdana" w:cs="Arial"/>
          <w:sz w:val="22"/>
          <w:szCs w:val="22"/>
        </w:rPr>
        <w:t xml:space="preserve"> que</w:t>
      </w:r>
      <w:r w:rsidR="00584724" w:rsidRPr="00635B67">
        <w:rPr>
          <w:rFonts w:ascii="Verdana" w:hAnsi="Verdana" w:cs="Arial"/>
          <w:sz w:val="22"/>
          <w:szCs w:val="22"/>
        </w:rPr>
        <w:t xml:space="preserve"> </w:t>
      </w:r>
      <w:r w:rsidRPr="00635B67">
        <w:rPr>
          <w:rFonts w:ascii="Verdana" w:hAnsi="Verdana" w:cs="Arial"/>
          <w:sz w:val="22"/>
          <w:szCs w:val="22"/>
        </w:rPr>
        <w:t>las normas vigentes de la actividad notarial</w:t>
      </w:r>
      <w:r w:rsidR="00584724" w:rsidRPr="00635B67">
        <w:rPr>
          <w:rFonts w:ascii="Verdana" w:hAnsi="Verdana" w:cs="Arial"/>
          <w:sz w:val="22"/>
          <w:szCs w:val="22"/>
        </w:rPr>
        <w:t xml:space="preserve"> </w:t>
      </w:r>
      <w:r w:rsidRPr="00635B67">
        <w:rPr>
          <w:rFonts w:ascii="Verdana" w:hAnsi="Verdana" w:cs="Arial"/>
          <w:sz w:val="22"/>
          <w:szCs w:val="22"/>
        </w:rPr>
        <w:t>para la fecha de ocurrencia de los hecho</w:t>
      </w:r>
      <w:r w:rsidR="00584724" w:rsidRPr="00635B67">
        <w:rPr>
          <w:rFonts w:ascii="Verdana" w:hAnsi="Verdana" w:cs="Arial"/>
          <w:sz w:val="22"/>
          <w:szCs w:val="22"/>
        </w:rPr>
        <w:t>s</w:t>
      </w:r>
      <w:r w:rsidRPr="00635B67">
        <w:rPr>
          <w:rFonts w:ascii="Verdana" w:hAnsi="Verdana" w:cs="Arial"/>
          <w:sz w:val="22"/>
          <w:szCs w:val="22"/>
        </w:rPr>
        <w:t xml:space="preserve"> – 5 de febrero de 2010,</w:t>
      </w:r>
      <w:r w:rsidR="00BD711D" w:rsidRPr="00635B67">
        <w:rPr>
          <w:rFonts w:ascii="Verdana" w:hAnsi="Verdana" w:cs="Arial"/>
          <w:sz w:val="22"/>
          <w:szCs w:val="22"/>
        </w:rPr>
        <w:t xml:space="preserve"> era</w:t>
      </w:r>
      <w:r w:rsidR="00584724" w:rsidRPr="00635B67">
        <w:rPr>
          <w:rFonts w:ascii="Verdana" w:hAnsi="Verdana" w:cs="Arial"/>
          <w:sz w:val="22"/>
          <w:szCs w:val="22"/>
        </w:rPr>
        <w:t xml:space="preserve"> el </w:t>
      </w:r>
      <w:r w:rsidRPr="00635B67">
        <w:rPr>
          <w:rFonts w:ascii="Verdana" w:hAnsi="Verdana" w:cs="Arial"/>
          <w:sz w:val="22"/>
          <w:szCs w:val="22"/>
        </w:rPr>
        <w:t>De</w:t>
      </w:r>
      <w:r w:rsidR="00584724" w:rsidRPr="00635B67">
        <w:rPr>
          <w:rFonts w:ascii="Verdana" w:hAnsi="Verdana" w:cs="Arial"/>
          <w:sz w:val="22"/>
          <w:szCs w:val="22"/>
        </w:rPr>
        <w:t>creto</w:t>
      </w:r>
      <w:r w:rsidRPr="00635B67">
        <w:rPr>
          <w:rFonts w:ascii="Verdana" w:hAnsi="Verdana" w:cs="Arial"/>
          <w:sz w:val="22"/>
          <w:szCs w:val="22"/>
        </w:rPr>
        <w:t xml:space="preserve"> No. 2148 del 1º de agosto de 1983, por medio del cual reglamentó el </w:t>
      </w:r>
      <w:r w:rsidR="00CF66FA" w:rsidRPr="00635B67">
        <w:rPr>
          <w:rFonts w:ascii="Verdana" w:hAnsi="Verdana" w:cs="Arial"/>
          <w:iCs/>
          <w:color w:val="000000"/>
          <w:sz w:val="22"/>
          <w:szCs w:val="22"/>
        </w:rPr>
        <w:t xml:space="preserve">Decreto 960 de 1970, </w:t>
      </w:r>
      <w:r w:rsidRPr="00635B67">
        <w:rPr>
          <w:rFonts w:ascii="Verdana" w:hAnsi="Verdana" w:cs="Arial"/>
          <w:iCs/>
          <w:color w:val="000000"/>
          <w:sz w:val="22"/>
          <w:szCs w:val="22"/>
        </w:rPr>
        <w:t>el que en s</w:t>
      </w:r>
      <w:r w:rsidR="00CF66FA" w:rsidRPr="00635B67">
        <w:rPr>
          <w:rFonts w:ascii="Verdana" w:hAnsi="Verdana" w:cs="Arial"/>
          <w:iCs/>
          <w:color w:val="000000"/>
          <w:sz w:val="22"/>
          <w:szCs w:val="22"/>
        </w:rPr>
        <w:t xml:space="preserve">us artículos 18 a 23 </w:t>
      </w:r>
      <w:r w:rsidRPr="00635B67">
        <w:rPr>
          <w:rFonts w:ascii="Verdana" w:hAnsi="Verdana" w:cs="Arial"/>
          <w:iCs/>
          <w:color w:val="000000"/>
          <w:sz w:val="22"/>
          <w:szCs w:val="22"/>
        </w:rPr>
        <w:t>establec</w:t>
      </w:r>
      <w:r w:rsidR="00584724" w:rsidRPr="00635B67">
        <w:rPr>
          <w:rFonts w:ascii="Verdana" w:hAnsi="Verdana" w:cs="Arial"/>
          <w:iCs/>
          <w:color w:val="000000"/>
          <w:sz w:val="22"/>
          <w:szCs w:val="22"/>
        </w:rPr>
        <w:t>ió</w:t>
      </w:r>
      <w:r w:rsidR="00CF66FA" w:rsidRPr="00635B67">
        <w:rPr>
          <w:rFonts w:ascii="Verdana" w:hAnsi="Verdana" w:cs="Arial"/>
          <w:iCs/>
          <w:color w:val="000000"/>
          <w:sz w:val="22"/>
          <w:szCs w:val="22"/>
        </w:rPr>
        <w:t xml:space="preserve"> los requisitos de forma que deben reunir las escrituras públicas y los pasos que deben ser observados, a saber, recepción de los documentos, extensión, otorgamiento y la autorización, fase en que el notario da fe pública al instrumento, cuando se han cumplido los requisitos exigidos,</w:t>
      </w:r>
      <w:r w:rsidR="00584724" w:rsidRPr="00635B67">
        <w:rPr>
          <w:rFonts w:ascii="Verdana" w:hAnsi="Verdana" w:cs="Arial"/>
          <w:iCs/>
          <w:color w:val="000000"/>
          <w:sz w:val="22"/>
          <w:szCs w:val="22"/>
        </w:rPr>
        <w:t xml:space="preserve"> consideró el Alto Tribunal que </w:t>
      </w:r>
      <w:r w:rsidR="00CF66FA" w:rsidRPr="00635B67">
        <w:rPr>
          <w:rFonts w:ascii="Verdana" w:hAnsi="Verdana" w:cs="Arial"/>
          <w:iCs/>
          <w:color w:val="000000"/>
          <w:sz w:val="22"/>
          <w:szCs w:val="22"/>
        </w:rPr>
        <w:t xml:space="preserve">se entiende que </w:t>
      </w:r>
      <w:r w:rsidR="00CF66FA" w:rsidRPr="00635B67">
        <w:rPr>
          <w:rFonts w:ascii="Verdana" w:hAnsi="Verdana" w:cs="Arial"/>
          <w:b/>
          <w:iCs/>
          <w:color w:val="000000"/>
          <w:sz w:val="22"/>
          <w:szCs w:val="22"/>
        </w:rPr>
        <w:t>en esta labor el notario se circunscribe a la constatación de dichos elementos y no se le exige que llegue hasta verificar la autenticidad de aquellos que soportan el trámite de protocolización puesto que esta labor el ordenamiento jurídico la ha deferido a las autoridades judiciales quienes son las competentes para declarar la falsedad de los documentos</w:t>
      </w:r>
      <w:r w:rsidR="00584724" w:rsidRPr="00635B67">
        <w:rPr>
          <w:rStyle w:val="Refdenotaalpie"/>
          <w:rFonts w:ascii="Verdana" w:hAnsi="Verdana"/>
          <w:iCs/>
          <w:color w:val="000000"/>
          <w:sz w:val="22"/>
          <w:szCs w:val="22"/>
        </w:rPr>
        <w:footnoteReference w:id="9"/>
      </w:r>
      <w:r w:rsidR="00584724" w:rsidRPr="00635B67">
        <w:rPr>
          <w:rFonts w:ascii="Verdana" w:hAnsi="Verdana" w:cs="Arial"/>
          <w:b/>
          <w:iCs/>
          <w:color w:val="000000"/>
          <w:sz w:val="22"/>
          <w:szCs w:val="22"/>
        </w:rPr>
        <w:t xml:space="preserve"> </w:t>
      </w:r>
      <w:r w:rsidR="00584724" w:rsidRPr="00635B67">
        <w:rPr>
          <w:rFonts w:ascii="Verdana" w:hAnsi="Verdana" w:cs="Arial"/>
          <w:iCs/>
          <w:color w:val="000000"/>
          <w:sz w:val="22"/>
          <w:szCs w:val="22"/>
        </w:rPr>
        <w:t>(sic).</w:t>
      </w:r>
    </w:p>
    <w:p w14:paraId="01BD41C6" w14:textId="77777777" w:rsidR="00DD5E74" w:rsidRPr="00635B67" w:rsidRDefault="00DD5E74" w:rsidP="00EF2C32">
      <w:pPr>
        <w:tabs>
          <w:tab w:val="left" w:pos="-720"/>
          <w:tab w:val="left" w:pos="0"/>
        </w:tabs>
        <w:suppressAutoHyphens/>
        <w:spacing w:line="360" w:lineRule="auto"/>
        <w:jc w:val="both"/>
        <w:rPr>
          <w:rFonts w:ascii="Verdana" w:hAnsi="Verdana" w:cs="Arial"/>
          <w:iCs/>
          <w:color w:val="000000"/>
          <w:sz w:val="22"/>
          <w:szCs w:val="22"/>
        </w:rPr>
      </w:pPr>
    </w:p>
    <w:p w14:paraId="4A851382" w14:textId="77777777" w:rsidR="008275F0" w:rsidRPr="00635B67" w:rsidRDefault="00DD5E74" w:rsidP="00EF2C32">
      <w:pPr>
        <w:tabs>
          <w:tab w:val="left" w:pos="-720"/>
          <w:tab w:val="left" w:pos="0"/>
        </w:tabs>
        <w:suppressAutoHyphens/>
        <w:spacing w:line="360" w:lineRule="auto"/>
        <w:jc w:val="both"/>
        <w:rPr>
          <w:rFonts w:ascii="Verdana" w:hAnsi="Verdana" w:cs="Arial"/>
          <w:iCs/>
          <w:color w:val="000000"/>
          <w:sz w:val="22"/>
          <w:szCs w:val="22"/>
        </w:rPr>
      </w:pPr>
      <w:r w:rsidRPr="00635B67">
        <w:rPr>
          <w:rFonts w:ascii="Verdana" w:hAnsi="Verdana" w:cs="Arial"/>
          <w:iCs/>
          <w:color w:val="000000"/>
          <w:sz w:val="22"/>
          <w:szCs w:val="22"/>
        </w:rPr>
        <w:lastRenderedPageBreak/>
        <w:t>Adujo el Consejo de Estado que l</w:t>
      </w:r>
      <w:r w:rsidR="00584724" w:rsidRPr="00635B67">
        <w:rPr>
          <w:rFonts w:ascii="Verdana" w:hAnsi="Verdana" w:cs="Arial"/>
          <w:iCs/>
          <w:color w:val="000000"/>
          <w:sz w:val="22"/>
          <w:szCs w:val="22"/>
        </w:rPr>
        <w:t xml:space="preserve">o </w:t>
      </w:r>
      <w:r w:rsidRPr="00635B67">
        <w:rPr>
          <w:rFonts w:ascii="Verdana" w:hAnsi="Verdana" w:cs="Arial"/>
          <w:iCs/>
          <w:color w:val="000000"/>
          <w:sz w:val="22"/>
          <w:szCs w:val="22"/>
        </w:rPr>
        <w:t>anterior</w:t>
      </w:r>
      <w:r w:rsidR="00584724" w:rsidRPr="00635B67">
        <w:rPr>
          <w:rFonts w:ascii="Verdana" w:hAnsi="Verdana" w:cs="Arial"/>
          <w:iCs/>
          <w:color w:val="000000"/>
          <w:sz w:val="22"/>
          <w:szCs w:val="22"/>
        </w:rPr>
        <w:t xml:space="preserve"> es relevante porque cuando se predica la existencia de una </w:t>
      </w:r>
      <w:r w:rsidR="00584724" w:rsidRPr="00635B67">
        <w:rPr>
          <w:rFonts w:ascii="Verdana" w:hAnsi="Verdana" w:cs="Arial"/>
          <w:b/>
          <w:iCs/>
          <w:color w:val="000000"/>
          <w:sz w:val="22"/>
          <w:szCs w:val="22"/>
        </w:rPr>
        <w:t>falla por omisión</w:t>
      </w:r>
      <w:r w:rsidR="00584724" w:rsidRPr="00635B67">
        <w:rPr>
          <w:rFonts w:ascii="Verdana" w:hAnsi="Verdana" w:cs="Arial"/>
          <w:iCs/>
          <w:color w:val="000000"/>
          <w:sz w:val="22"/>
          <w:szCs w:val="22"/>
        </w:rPr>
        <w:t>, debe establecerse previamente cuáles son las funciones que la ley le asigna y si hubo incumplimiento de los deberes funcionales por parte del agente o funcionario de la administración</w:t>
      </w:r>
      <w:r w:rsidRPr="00635B67">
        <w:rPr>
          <w:rStyle w:val="Refdenotaalpie"/>
          <w:rFonts w:ascii="Verdana" w:hAnsi="Verdana"/>
          <w:iCs/>
          <w:color w:val="000000"/>
          <w:sz w:val="22"/>
          <w:szCs w:val="22"/>
        </w:rPr>
        <w:footnoteReference w:id="10"/>
      </w:r>
      <w:r w:rsidR="008275F0" w:rsidRPr="00635B67">
        <w:rPr>
          <w:rFonts w:ascii="Verdana" w:hAnsi="Verdana" w:cs="Arial"/>
          <w:iCs/>
          <w:color w:val="000000"/>
          <w:sz w:val="22"/>
          <w:szCs w:val="22"/>
        </w:rPr>
        <w:t xml:space="preserve"> </w:t>
      </w:r>
      <w:r w:rsidRPr="00635B67">
        <w:rPr>
          <w:rFonts w:ascii="Verdana" w:hAnsi="Verdana" w:cs="Arial"/>
          <w:iCs/>
          <w:color w:val="000000"/>
          <w:sz w:val="22"/>
          <w:szCs w:val="22"/>
        </w:rPr>
        <w:t xml:space="preserve">(sic).  </w:t>
      </w:r>
    </w:p>
    <w:p w14:paraId="7A2E5FDE" w14:textId="77777777" w:rsidR="008275F0" w:rsidRPr="00635B67" w:rsidRDefault="008275F0" w:rsidP="00EF2C32">
      <w:pPr>
        <w:tabs>
          <w:tab w:val="left" w:pos="-720"/>
          <w:tab w:val="left" w:pos="0"/>
        </w:tabs>
        <w:suppressAutoHyphens/>
        <w:spacing w:line="360" w:lineRule="auto"/>
        <w:jc w:val="both"/>
        <w:rPr>
          <w:rFonts w:ascii="Verdana" w:hAnsi="Verdana" w:cs="Arial"/>
          <w:iCs/>
          <w:color w:val="000000"/>
          <w:sz w:val="22"/>
          <w:szCs w:val="22"/>
        </w:rPr>
      </w:pPr>
    </w:p>
    <w:p w14:paraId="40F5CF4F" w14:textId="71B543A1" w:rsidR="008275F0" w:rsidRPr="00635B67" w:rsidRDefault="008275F0" w:rsidP="6DAD1D68">
      <w:pPr>
        <w:suppressAutoHyphens/>
        <w:spacing w:line="360" w:lineRule="auto"/>
        <w:jc w:val="both"/>
        <w:rPr>
          <w:rFonts w:ascii="Verdana" w:hAnsi="Verdana" w:cs="Arial"/>
          <w:color w:val="000000"/>
          <w:sz w:val="22"/>
          <w:szCs w:val="22"/>
        </w:rPr>
      </w:pPr>
      <w:r w:rsidRPr="00635B67">
        <w:rPr>
          <w:rFonts w:ascii="Verdana" w:hAnsi="Verdana" w:cs="Arial"/>
          <w:color w:val="000000" w:themeColor="text1"/>
          <w:sz w:val="22"/>
          <w:szCs w:val="22"/>
        </w:rPr>
        <w:t xml:space="preserve">Y por tanto, el señalamiento de los deberes exigibles a los notarios de cara a la labor </w:t>
      </w:r>
      <w:r w:rsidR="01FE99E7" w:rsidRPr="00635B67">
        <w:rPr>
          <w:rFonts w:ascii="Verdana" w:hAnsi="Verdana" w:cs="Arial"/>
          <w:color w:val="000000" w:themeColor="text1"/>
          <w:sz w:val="22"/>
          <w:szCs w:val="22"/>
        </w:rPr>
        <w:t xml:space="preserve">de </w:t>
      </w:r>
      <w:r w:rsidRPr="00635B67">
        <w:rPr>
          <w:rFonts w:ascii="Verdana" w:hAnsi="Verdana" w:cs="Arial"/>
          <w:color w:val="000000" w:themeColor="text1"/>
          <w:sz w:val="22"/>
          <w:szCs w:val="22"/>
        </w:rPr>
        <w:t>escrituración, resulta importante porque en el caso bajo estudio, el problema se presentó</w:t>
      </w:r>
      <w:r w:rsidR="00577CD2" w:rsidRPr="00635B67">
        <w:rPr>
          <w:rFonts w:ascii="Verdana" w:hAnsi="Verdana" w:cs="Arial"/>
          <w:color w:val="000000" w:themeColor="text1"/>
          <w:sz w:val="22"/>
          <w:szCs w:val="22"/>
        </w:rPr>
        <w:t xml:space="preserve"> por suplantación de la </w:t>
      </w:r>
      <w:r w:rsidRPr="00635B67">
        <w:rPr>
          <w:rFonts w:ascii="Verdana" w:hAnsi="Verdana" w:cs="Arial"/>
          <w:color w:val="000000" w:themeColor="text1"/>
          <w:sz w:val="22"/>
          <w:szCs w:val="22"/>
        </w:rPr>
        <w:t>señora ROSALBA ALARC</w:t>
      </w:r>
      <w:r w:rsidR="00577CD2" w:rsidRPr="00635B67">
        <w:rPr>
          <w:rFonts w:ascii="Verdana" w:hAnsi="Verdana" w:cs="Arial"/>
          <w:color w:val="000000" w:themeColor="text1"/>
          <w:sz w:val="22"/>
          <w:szCs w:val="22"/>
        </w:rPr>
        <w:t>ÓN CORREA, tal y como se comprob</w:t>
      </w:r>
      <w:r w:rsidR="00705A14" w:rsidRPr="00635B67">
        <w:rPr>
          <w:rFonts w:ascii="Verdana" w:hAnsi="Verdana" w:cs="Arial"/>
          <w:color w:val="000000" w:themeColor="text1"/>
          <w:sz w:val="22"/>
          <w:szCs w:val="22"/>
        </w:rPr>
        <w:t xml:space="preserve">ó en </w:t>
      </w:r>
      <w:r w:rsidR="00577CD2" w:rsidRPr="00635B67">
        <w:rPr>
          <w:rFonts w:ascii="Verdana" w:hAnsi="Verdana" w:cs="Arial"/>
          <w:color w:val="000000" w:themeColor="text1"/>
          <w:sz w:val="22"/>
          <w:szCs w:val="22"/>
        </w:rPr>
        <w:t>l</w:t>
      </w:r>
      <w:r w:rsidR="00705A14" w:rsidRPr="00635B67">
        <w:rPr>
          <w:rFonts w:ascii="Verdana" w:hAnsi="Verdana" w:cs="Arial"/>
          <w:color w:val="000000" w:themeColor="text1"/>
          <w:sz w:val="22"/>
          <w:szCs w:val="22"/>
        </w:rPr>
        <w:t>os</w:t>
      </w:r>
      <w:r w:rsidR="00577CD2" w:rsidRPr="00635B67">
        <w:rPr>
          <w:rFonts w:ascii="Verdana" w:hAnsi="Verdana" w:cs="Arial"/>
          <w:color w:val="000000" w:themeColor="text1"/>
          <w:sz w:val="22"/>
          <w:szCs w:val="22"/>
        </w:rPr>
        <w:t xml:space="preserve"> proceso</w:t>
      </w:r>
      <w:r w:rsidR="00705A14" w:rsidRPr="00635B67">
        <w:rPr>
          <w:rFonts w:ascii="Verdana" w:hAnsi="Verdana" w:cs="Arial"/>
          <w:color w:val="000000" w:themeColor="text1"/>
          <w:sz w:val="22"/>
          <w:szCs w:val="22"/>
        </w:rPr>
        <w:t>s</w:t>
      </w:r>
      <w:r w:rsidR="00577CD2" w:rsidRPr="00635B67">
        <w:rPr>
          <w:rFonts w:ascii="Verdana" w:hAnsi="Verdana" w:cs="Arial"/>
          <w:color w:val="000000" w:themeColor="text1"/>
          <w:sz w:val="22"/>
          <w:szCs w:val="22"/>
        </w:rPr>
        <w:t xml:space="preserve"> civil de nulidad de la escritura pública No. 2011-106 y penal</w:t>
      </w:r>
      <w:r w:rsidR="00705A14" w:rsidRPr="00635B67">
        <w:rPr>
          <w:rFonts w:ascii="Verdana" w:hAnsi="Verdana" w:cs="Arial"/>
          <w:color w:val="000000" w:themeColor="text1"/>
          <w:sz w:val="22"/>
          <w:szCs w:val="22"/>
        </w:rPr>
        <w:t xml:space="preserve"> No. 15759310900220150078</w:t>
      </w:r>
      <w:r w:rsidRPr="00635B67">
        <w:rPr>
          <w:rFonts w:ascii="Verdana" w:hAnsi="Verdana" w:cs="Arial"/>
          <w:color w:val="000000" w:themeColor="text1"/>
          <w:sz w:val="22"/>
          <w:szCs w:val="22"/>
        </w:rPr>
        <w:t xml:space="preserve">, circunstancia que escapaba a la verificación y control del notario, quien al no tener conocimiento anterior de la otorgante, no podía determinar que se trataba de una persona diferente y tampoco pudo detectarlo en la firma utilizada por la </w:t>
      </w:r>
      <w:r w:rsidR="00705A14" w:rsidRPr="00635B67">
        <w:rPr>
          <w:rFonts w:ascii="Verdana" w:hAnsi="Verdana" w:cs="Arial"/>
          <w:color w:val="000000" w:themeColor="text1"/>
          <w:sz w:val="22"/>
          <w:szCs w:val="22"/>
        </w:rPr>
        <w:t>defraudadora</w:t>
      </w:r>
      <w:r w:rsidRPr="00635B67">
        <w:rPr>
          <w:rFonts w:ascii="Verdana" w:hAnsi="Verdana" w:cs="Arial"/>
          <w:color w:val="000000" w:themeColor="text1"/>
          <w:sz w:val="22"/>
          <w:szCs w:val="22"/>
        </w:rPr>
        <w:t xml:space="preserve"> puesto que, como se </w:t>
      </w:r>
      <w:r w:rsidR="00705A14" w:rsidRPr="00635B67">
        <w:rPr>
          <w:rFonts w:ascii="Verdana" w:hAnsi="Verdana" w:cs="Arial"/>
          <w:color w:val="000000" w:themeColor="text1"/>
          <w:sz w:val="22"/>
          <w:szCs w:val="22"/>
        </w:rPr>
        <w:t xml:space="preserve">informó en precedencia, en las decisiones de orden civil y penal, tuvieron que </w:t>
      </w:r>
      <w:r w:rsidRPr="00635B67">
        <w:rPr>
          <w:rFonts w:ascii="Verdana" w:hAnsi="Verdana" w:cs="Arial"/>
          <w:color w:val="000000" w:themeColor="text1"/>
          <w:sz w:val="22"/>
          <w:szCs w:val="22"/>
        </w:rPr>
        <w:t>recurrir a expertos grafólogos para determinar la falsedad de la misma, razón por la cual esta falacia no pudo ser detectada por quienes la autorizaron.</w:t>
      </w:r>
    </w:p>
    <w:p w14:paraId="7EBC4E65" w14:textId="261B845B" w:rsidR="004B3BB1" w:rsidRPr="00635B67" w:rsidRDefault="004B3BB1" w:rsidP="00EF2C32">
      <w:pPr>
        <w:tabs>
          <w:tab w:val="left" w:pos="-720"/>
          <w:tab w:val="left" w:pos="0"/>
        </w:tabs>
        <w:suppressAutoHyphens/>
        <w:spacing w:line="360" w:lineRule="auto"/>
        <w:jc w:val="both"/>
        <w:rPr>
          <w:rFonts w:ascii="Verdana" w:hAnsi="Verdana" w:cs="Arial"/>
          <w:iCs/>
          <w:color w:val="000000"/>
          <w:sz w:val="22"/>
          <w:szCs w:val="22"/>
        </w:rPr>
      </w:pPr>
    </w:p>
    <w:p w14:paraId="4C18670C" w14:textId="77777777" w:rsidR="00246F88" w:rsidRPr="00635B67" w:rsidRDefault="004B3BB1" w:rsidP="00EF2C32">
      <w:pPr>
        <w:tabs>
          <w:tab w:val="left" w:pos="-720"/>
          <w:tab w:val="left" w:pos="0"/>
        </w:tabs>
        <w:suppressAutoHyphens/>
        <w:spacing w:line="360" w:lineRule="auto"/>
        <w:jc w:val="both"/>
        <w:rPr>
          <w:rFonts w:ascii="Verdana" w:hAnsi="Verdana" w:cs="Arial"/>
          <w:iCs/>
          <w:color w:val="000000"/>
          <w:sz w:val="22"/>
          <w:szCs w:val="22"/>
        </w:rPr>
      </w:pPr>
      <w:r w:rsidRPr="00635B67">
        <w:rPr>
          <w:rFonts w:ascii="Verdana" w:hAnsi="Verdana" w:cs="Arial"/>
          <w:iCs/>
          <w:color w:val="000000"/>
          <w:sz w:val="22"/>
          <w:szCs w:val="22"/>
        </w:rPr>
        <w:t>Por tanto, conforme al precedente Jurisprudencial del Consejo de Estado</w:t>
      </w:r>
      <w:r w:rsidRPr="00635B67">
        <w:rPr>
          <w:rStyle w:val="Refdenotaalpie"/>
          <w:rFonts w:ascii="Verdana" w:hAnsi="Verdana"/>
          <w:iCs/>
          <w:color w:val="000000"/>
          <w:sz w:val="22"/>
          <w:szCs w:val="22"/>
        </w:rPr>
        <w:footnoteReference w:id="11"/>
      </w:r>
      <w:r w:rsidRPr="00635B67">
        <w:rPr>
          <w:rFonts w:ascii="Verdana" w:hAnsi="Verdana" w:cs="Arial"/>
          <w:iCs/>
          <w:color w:val="000000"/>
          <w:sz w:val="22"/>
          <w:szCs w:val="22"/>
        </w:rPr>
        <w:t xml:space="preserve">, </w:t>
      </w:r>
      <w:r w:rsidR="008275F0" w:rsidRPr="00635B67">
        <w:rPr>
          <w:rFonts w:ascii="Verdana" w:hAnsi="Verdana" w:cs="Arial"/>
          <w:iCs/>
          <w:color w:val="000000"/>
          <w:sz w:val="22"/>
          <w:szCs w:val="22"/>
        </w:rPr>
        <w:t>los daños ocurridos por la falsificación de documentos en principio resultan imputables a quienes efectuaron la adulteración de los instrumentos, sobre todo cuando las falsedades pueden resultar imperceptibles para la administración, pero si se demuestra que no se verifican los elementos formales exigidos para el otorgamiento de escrituras, si puede configurarse una falla del servicio</w:t>
      </w:r>
      <w:r w:rsidRPr="00635B67">
        <w:rPr>
          <w:rFonts w:ascii="Verdana" w:hAnsi="Verdana" w:cs="Arial"/>
          <w:iCs/>
          <w:color w:val="000000"/>
          <w:sz w:val="22"/>
          <w:szCs w:val="22"/>
        </w:rPr>
        <w:t>.</w:t>
      </w:r>
    </w:p>
    <w:p w14:paraId="4B92CE0C" w14:textId="025D3073" w:rsidR="00246F88" w:rsidRPr="00635B67" w:rsidRDefault="004B3BB1" w:rsidP="00EF2C32">
      <w:pPr>
        <w:tabs>
          <w:tab w:val="left" w:pos="-720"/>
          <w:tab w:val="left" w:pos="0"/>
        </w:tabs>
        <w:suppressAutoHyphens/>
        <w:spacing w:line="360" w:lineRule="auto"/>
        <w:jc w:val="both"/>
        <w:rPr>
          <w:rFonts w:ascii="Verdana" w:hAnsi="Verdana" w:cs="Arial"/>
          <w:iCs/>
          <w:color w:val="000000"/>
          <w:sz w:val="22"/>
          <w:szCs w:val="22"/>
        </w:rPr>
      </w:pPr>
      <w:r w:rsidRPr="00635B67">
        <w:rPr>
          <w:rFonts w:ascii="Verdana" w:hAnsi="Verdana" w:cs="Arial"/>
          <w:iCs/>
          <w:color w:val="000000"/>
          <w:sz w:val="22"/>
          <w:szCs w:val="22"/>
        </w:rPr>
        <w:t xml:space="preserve"> </w:t>
      </w:r>
    </w:p>
    <w:p w14:paraId="79118FB6" w14:textId="07BD44EC" w:rsidR="00E61CF6" w:rsidRPr="00635B67" w:rsidRDefault="005B5959" w:rsidP="00EF2C32">
      <w:pPr>
        <w:tabs>
          <w:tab w:val="left" w:pos="-720"/>
          <w:tab w:val="left" w:pos="0"/>
        </w:tabs>
        <w:suppressAutoHyphens/>
        <w:spacing w:line="360" w:lineRule="auto"/>
        <w:jc w:val="both"/>
        <w:rPr>
          <w:rFonts w:ascii="Verdana" w:hAnsi="Verdana" w:cs="Arial"/>
          <w:iCs/>
          <w:color w:val="000000"/>
          <w:sz w:val="22"/>
          <w:szCs w:val="22"/>
        </w:rPr>
      </w:pPr>
      <w:r w:rsidRPr="00635B67">
        <w:rPr>
          <w:rFonts w:ascii="Verdana" w:hAnsi="Verdana" w:cs="Arial"/>
          <w:iCs/>
          <w:color w:val="000000"/>
          <w:sz w:val="22"/>
          <w:szCs w:val="22"/>
        </w:rPr>
        <w:t>Al respecto es</w:t>
      </w:r>
      <w:r w:rsidR="004B3BB1" w:rsidRPr="00635B67">
        <w:rPr>
          <w:rFonts w:ascii="Verdana" w:hAnsi="Verdana" w:cs="Arial"/>
          <w:iCs/>
          <w:color w:val="000000"/>
          <w:sz w:val="22"/>
          <w:szCs w:val="22"/>
        </w:rPr>
        <w:t xml:space="preserve"> claro que en el presente asunto no se alleg</w:t>
      </w:r>
      <w:r w:rsidR="00325644" w:rsidRPr="00635B67">
        <w:rPr>
          <w:rFonts w:ascii="Verdana" w:hAnsi="Verdana" w:cs="Arial"/>
          <w:iCs/>
          <w:color w:val="000000"/>
          <w:sz w:val="22"/>
          <w:szCs w:val="22"/>
        </w:rPr>
        <w:t>ó prueba alguna que dem</w:t>
      </w:r>
      <w:r w:rsidRPr="00635B67">
        <w:rPr>
          <w:rFonts w:ascii="Verdana" w:hAnsi="Verdana" w:cs="Arial"/>
          <w:iCs/>
          <w:color w:val="000000"/>
          <w:sz w:val="22"/>
          <w:szCs w:val="22"/>
        </w:rPr>
        <w:t xml:space="preserve">uestre </w:t>
      </w:r>
      <w:r w:rsidR="004B3BB1" w:rsidRPr="00635B67">
        <w:rPr>
          <w:rFonts w:ascii="Verdana" w:hAnsi="Verdana" w:cs="Arial"/>
          <w:iCs/>
          <w:color w:val="000000"/>
          <w:sz w:val="22"/>
          <w:szCs w:val="22"/>
        </w:rPr>
        <w:t xml:space="preserve">la omisión </w:t>
      </w:r>
      <w:r w:rsidR="00246F88" w:rsidRPr="00635B67">
        <w:rPr>
          <w:rFonts w:ascii="Verdana" w:hAnsi="Verdana" w:cs="Arial"/>
          <w:iCs/>
          <w:color w:val="000000"/>
          <w:sz w:val="22"/>
          <w:szCs w:val="22"/>
        </w:rPr>
        <w:t xml:space="preserve">por parte de la </w:t>
      </w:r>
      <w:r w:rsidR="00325644" w:rsidRPr="00635B67">
        <w:rPr>
          <w:rFonts w:ascii="Verdana" w:hAnsi="Verdana" w:cs="Arial"/>
          <w:iCs/>
          <w:color w:val="000000"/>
          <w:sz w:val="22"/>
          <w:szCs w:val="22"/>
        </w:rPr>
        <w:t>NOTARIA PRIMERA DEL CIRCULO DE SOGAMOSO</w:t>
      </w:r>
      <w:r w:rsidR="00E61CF6" w:rsidRPr="00635B67">
        <w:rPr>
          <w:rFonts w:ascii="Verdana" w:hAnsi="Verdana" w:cs="Arial"/>
          <w:iCs/>
          <w:color w:val="000000"/>
          <w:sz w:val="22"/>
          <w:szCs w:val="22"/>
        </w:rPr>
        <w:t>, y particularmente de la SUPERINTENDENCIA DE NOTARIADO Y REGISTRO, quien conforme a sentencia reciente del Consejo de Estado</w:t>
      </w:r>
      <w:r w:rsidR="00E61CF6" w:rsidRPr="00635B67">
        <w:rPr>
          <w:rStyle w:val="Refdenotaalpie"/>
          <w:rFonts w:ascii="Verdana" w:hAnsi="Verdana"/>
          <w:iCs/>
          <w:color w:val="000000"/>
          <w:sz w:val="22"/>
          <w:szCs w:val="22"/>
        </w:rPr>
        <w:footnoteReference w:id="12"/>
      </w:r>
      <w:r w:rsidR="00E61CF6" w:rsidRPr="00635B67">
        <w:rPr>
          <w:rFonts w:ascii="Verdana" w:hAnsi="Verdana" w:cs="Arial"/>
          <w:iCs/>
          <w:color w:val="000000"/>
          <w:sz w:val="22"/>
          <w:szCs w:val="22"/>
        </w:rPr>
        <w:t xml:space="preserve">, es la entidad que debe asumir los riesgos derivados de la función notarial, </w:t>
      </w:r>
      <w:r w:rsidR="004B3BB1" w:rsidRPr="00635B67">
        <w:rPr>
          <w:rFonts w:ascii="Verdana" w:hAnsi="Verdana" w:cs="Arial"/>
          <w:iCs/>
          <w:color w:val="000000"/>
          <w:sz w:val="22"/>
          <w:szCs w:val="22"/>
        </w:rPr>
        <w:t xml:space="preserve">en la verificación de </w:t>
      </w:r>
      <w:r w:rsidR="00E61CF6" w:rsidRPr="00635B67">
        <w:rPr>
          <w:rFonts w:ascii="Verdana" w:hAnsi="Verdana" w:cs="Arial"/>
          <w:iCs/>
          <w:color w:val="000000"/>
          <w:sz w:val="22"/>
          <w:szCs w:val="22"/>
        </w:rPr>
        <w:t xml:space="preserve">los </w:t>
      </w:r>
      <w:r w:rsidR="004B3BB1" w:rsidRPr="00635B67">
        <w:rPr>
          <w:rFonts w:ascii="Verdana" w:hAnsi="Verdana" w:cs="Arial"/>
          <w:iCs/>
          <w:color w:val="000000"/>
          <w:sz w:val="22"/>
          <w:szCs w:val="22"/>
        </w:rPr>
        <w:t xml:space="preserve">elementos formales </w:t>
      </w:r>
      <w:r w:rsidR="00E61CF6" w:rsidRPr="00635B67">
        <w:rPr>
          <w:rFonts w:ascii="Verdana" w:hAnsi="Verdana" w:cs="Arial"/>
          <w:iCs/>
          <w:color w:val="000000"/>
          <w:sz w:val="22"/>
          <w:szCs w:val="22"/>
        </w:rPr>
        <w:t xml:space="preserve">exigidos por ley </w:t>
      </w:r>
      <w:r w:rsidR="004B3BB1" w:rsidRPr="00635B67">
        <w:rPr>
          <w:rFonts w:ascii="Verdana" w:hAnsi="Verdana" w:cs="Arial"/>
          <w:iCs/>
          <w:color w:val="000000"/>
          <w:sz w:val="22"/>
          <w:szCs w:val="22"/>
        </w:rPr>
        <w:t>para el otorgamiento de la escritura</w:t>
      </w:r>
      <w:r w:rsidR="00246F88" w:rsidRPr="00635B67">
        <w:rPr>
          <w:rFonts w:ascii="Verdana" w:hAnsi="Verdana" w:cs="Arial"/>
          <w:iCs/>
          <w:color w:val="000000"/>
          <w:sz w:val="22"/>
          <w:szCs w:val="22"/>
        </w:rPr>
        <w:t xml:space="preserve"> de hipoteca objeto de estudio</w:t>
      </w:r>
      <w:r w:rsidR="00E61CF6" w:rsidRPr="00635B67">
        <w:rPr>
          <w:rFonts w:ascii="Verdana" w:hAnsi="Verdana" w:cs="Arial"/>
          <w:iCs/>
          <w:color w:val="000000"/>
          <w:sz w:val="22"/>
          <w:szCs w:val="22"/>
        </w:rPr>
        <w:t xml:space="preserve">, esto es la presentación del documento </w:t>
      </w:r>
      <w:r w:rsidR="00E61CF6" w:rsidRPr="00635B67">
        <w:rPr>
          <w:rFonts w:ascii="Verdana" w:hAnsi="Verdana" w:cs="Arial"/>
          <w:iCs/>
          <w:color w:val="000000"/>
          <w:sz w:val="22"/>
          <w:szCs w:val="22"/>
        </w:rPr>
        <w:lastRenderedPageBreak/>
        <w:t xml:space="preserve">de identificación de los otorgantes de la misma, pues contrario a lo planteado en la demanda, la identificación por medios biométricos en los asuntos notariales surgió con posterioridad a la suscripción de la escritura pública No. 0134 de 2010, con ocasión de la expedición de la Ley 019 de 2012. </w:t>
      </w:r>
    </w:p>
    <w:p w14:paraId="1C7555D1" w14:textId="77777777" w:rsidR="00E61CF6" w:rsidRPr="00635B67" w:rsidRDefault="00E61CF6" w:rsidP="00EF2C32">
      <w:pPr>
        <w:tabs>
          <w:tab w:val="left" w:pos="-720"/>
          <w:tab w:val="left" w:pos="0"/>
        </w:tabs>
        <w:suppressAutoHyphens/>
        <w:spacing w:line="360" w:lineRule="auto"/>
        <w:jc w:val="both"/>
        <w:rPr>
          <w:rFonts w:ascii="Verdana" w:hAnsi="Verdana" w:cs="Arial"/>
          <w:iCs/>
          <w:color w:val="000000" w:themeColor="text1"/>
          <w:sz w:val="22"/>
          <w:szCs w:val="22"/>
        </w:rPr>
      </w:pPr>
    </w:p>
    <w:p w14:paraId="73973AFE" w14:textId="4C56E5B6" w:rsidR="00002D90" w:rsidRPr="00635B67" w:rsidRDefault="00E61CF6" w:rsidP="00EF2C32">
      <w:pPr>
        <w:tabs>
          <w:tab w:val="left" w:pos="-720"/>
          <w:tab w:val="left" w:pos="0"/>
        </w:tabs>
        <w:suppressAutoHyphens/>
        <w:spacing w:line="360" w:lineRule="auto"/>
        <w:jc w:val="both"/>
        <w:rPr>
          <w:rFonts w:ascii="Verdana" w:hAnsi="Verdana" w:cs="Arial"/>
          <w:color w:val="000000" w:themeColor="text1"/>
          <w:sz w:val="22"/>
          <w:szCs w:val="22"/>
        </w:rPr>
      </w:pPr>
      <w:r w:rsidRPr="00635B67">
        <w:rPr>
          <w:rFonts w:ascii="Verdana" w:hAnsi="Verdana" w:cs="Arial"/>
          <w:iCs/>
          <w:color w:val="000000" w:themeColor="text1"/>
          <w:sz w:val="22"/>
          <w:szCs w:val="22"/>
        </w:rPr>
        <w:t>En definitiva, teniendo en cuenta un caso de s</w:t>
      </w:r>
      <w:r w:rsidR="00002D90" w:rsidRPr="00635B67">
        <w:rPr>
          <w:rFonts w:ascii="Verdana" w:hAnsi="Verdana" w:cs="Arial"/>
          <w:color w:val="000000" w:themeColor="text1"/>
          <w:sz w:val="22"/>
          <w:szCs w:val="22"/>
        </w:rPr>
        <w:t>imilares contornos,</w:t>
      </w:r>
      <w:r w:rsidRPr="00635B67">
        <w:rPr>
          <w:rFonts w:ascii="Verdana" w:hAnsi="Verdana" w:cs="Arial"/>
          <w:color w:val="000000" w:themeColor="text1"/>
          <w:sz w:val="22"/>
          <w:szCs w:val="22"/>
        </w:rPr>
        <w:t xml:space="preserve"> y conforme lo precisó</w:t>
      </w:r>
      <w:r w:rsidR="00002D90" w:rsidRPr="00635B67">
        <w:rPr>
          <w:rFonts w:ascii="Verdana" w:hAnsi="Verdana" w:cs="Arial"/>
          <w:color w:val="000000" w:themeColor="text1"/>
          <w:sz w:val="22"/>
          <w:szCs w:val="22"/>
        </w:rPr>
        <w:t xml:space="preserve"> la Sección Tercera del Consejo de Estado</w:t>
      </w:r>
      <w:r w:rsidRPr="00635B67">
        <w:rPr>
          <w:rFonts w:ascii="Verdana" w:hAnsi="Verdana" w:cs="Arial"/>
          <w:color w:val="000000" w:themeColor="text1"/>
          <w:sz w:val="22"/>
          <w:szCs w:val="22"/>
        </w:rPr>
        <w:t xml:space="preserve">, </w:t>
      </w:r>
      <w:r w:rsidR="00002D90" w:rsidRPr="00635B67">
        <w:rPr>
          <w:rFonts w:ascii="Verdana" w:hAnsi="Verdana" w:cs="Arial"/>
          <w:color w:val="000000" w:themeColor="text1"/>
          <w:sz w:val="22"/>
          <w:szCs w:val="22"/>
        </w:rPr>
        <w:t>cuando la fuente del daño se incardina en la suplantación y falsificación, y no se evidencia participación u omisión de la administración pública, no puede concluirse nada distinto a que el hecho lesivo proviene del actuar de terceros</w:t>
      </w:r>
      <w:r w:rsidR="00002D90" w:rsidRPr="00635B67">
        <w:rPr>
          <w:rStyle w:val="Refdenotaalpie"/>
          <w:rFonts w:ascii="Verdana" w:hAnsi="Verdana"/>
          <w:color w:val="000000" w:themeColor="text1"/>
          <w:sz w:val="22"/>
          <w:szCs w:val="22"/>
        </w:rPr>
        <w:footnoteReference w:id="13"/>
      </w:r>
      <w:r w:rsidR="00002D90" w:rsidRPr="00635B67">
        <w:rPr>
          <w:rFonts w:ascii="Verdana" w:hAnsi="Verdana" w:cs="Arial"/>
          <w:color w:val="000000" w:themeColor="text1"/>
          <w:sz w:val="22"/>
          <w:szCs w:val="22"/>
        </w:rPr>
        <w:t>.</w:t>
      </w:r>
    </w:p>
    <w:p w14:paraId="0BBF27B9" w14:textId="77777777" w:rsidR="00002D90" w:rsidRPr="00635B67" w:rsidRDefault="00002D90" w:rsidP="00EF2C32">
      <w:pPr>
        <w:spacing w:line="360" w:lineRule="auto"/>
        <w:jc w:val="both"/>
        <w:rPr>
          <w:rFonts w:ascii="Verdana" w:hAnsi="Verdana" w:cs="Arial"/>
          <w:sz w:val="22"/>
          <w:szCs w:val="22"/>
        </w:rPr>
      </w:pPr>
    </w:p>
    <w:p w14:paraId="66FF7492" w14:textId="2B2315FD" w:rsidR="006A1691" w:rsidRPr="00635B67" w:rsidRDefault="00FF048D" w:rsidP="00EF2C32">
      <w:pPr>
        <w:pStyle w:val="Textoindependiente"/>
        <w:spacing w:line="360" w:lineRule="auto"/>
        <w:rPr>
          <w:rFonts w:ascii="Verdana" w:hAnsi="Verdana"/>
          <w:sz w:val="22"/>
          <w:szCs w:val="22"/>
        </w:rPr>
      </w:pPr>
      <w:r w:rsidRPr="00635B67">
        <w:rPr>
          <w:rFonts w:ascii="Verdana" w:hAnsi="Verdana"/>
          <w:sz w:val="22"/>
          <w:szCs w:val="22"/>
        </w:rPr>
        <w:t>Las razones anteriores permiten concluir a la Sala, tal y como se expuso en un principio, que e</w:t>
      </w:r>
      <w:r w:rsidR="00E61CF6" w:rsidRPr="00635B67">
        <w:rPr>
          <w:rFonts w:ascii="Verdana" w:hAnsi="Verdana"/>
          <w:sz w:val="22"/>
          <w:szCs w:val="22"/>
        </w:rPr>
        <w:t xml:space="preserve">n el presente asunto el daño </w:t>
      </w:r>
      <w:r w:rsidRPr="00635B67">
        <w:rPr>
          <w:rFonts w:ascii="Verdana" w:hAnsi="Verdana"/>
          <w:sz w:val="22"/>
          <w:szCs w:val="22"/>
        </w:rPr>
        <w:t>antijurídico</w:t>
      </w:r>
      <w:r w:rsidR="00E61CF6" w:rsidRPr="00635B67">
        <w:rPr>
          <w:rFonts w:ascii="Verdana" w:hAnsi="Verdana"/>
          <w:sz w:val="22"/>
          <w:szCs w:val="22"/>
        </w:rPr>
        <w:t xml:space="preserve"> no es imputable a la SUPERINTENDENCIA DE NOTARIADO Y REGISTRO</w:t>
      </w:r>
      <w:r w:rsidRPr="00635B67">
        <w:rPr>
          <w:rFonts w:ascii="Verdana" w:hAnsi="Verdana"/>
          <w:sz w:val="22"/>
          <w:szCs w:val="22"/>
        </w:rPr>
        <w:t xml:space="preserve">, </w:t>
      </w:r>
      <w:proofErr w:type="gramStart"/>
      <w:r w:rsidRPr="00635B67">
        <w:rPr>
          <w:rFonts w:ascii="Verdana" w:hAnsi="Verdana"/>
          <w:sz w:val="22"/>
          <w:szCs w:val="22"/>
        </w:rPr>
        <w:t>y</w:t>
      </w:r>
      <w:proofErr w:type="gramEnd"/>
      <w:r w:rsidRPr="00635B67">
        <w:rPr>
          <w:rFonts w:ascii="Verdana" w:hAnsi="Verdana"/>
          <w:sz w:val="22"/>
          <w:szCs w:val="22"/>
        </w:rPr>
        <w:t xml:space="preserve"> por tanto, se le halla la razón al Juez de Instancia cuando consideró que en el presente asunto no había lugar a declarar </w:t>
      </w:r>
      <w:r w:rsidR="005B5959" w:rsidRPr="00635B67">
        <w:rPr>
          <w:rFonts w:ascii="Verdana" w:hAnsi="Verdana"/>
          <w:sz w:val="22"/>
          <w:szCs w:val="22"/>
        </w:rPr>
        <w:t xml:space="preserve">su </w:t>
      </w:r>
      <w:r w:rsidRPr="00635B67">
        <w:rPr>
          <w:rFonts w:ascii="Verdana" w:hAnsi="Verdana"/>
          <w:sz w:val="22"/>
          <w:szCs w:val="22"/>
        </w:rPr>
        <w:t>responsabilidad patrimonial</w:t>
      </w:r>
      <w:r w:rsidR="005B5959" w:rsidRPr="00635B67">
        <w:rPr>
          <w:rFonts w:ascii="Verdana" w:hAnsi="Verdana"/>
          <w:sz w:val="22"/>
          <w:szCs w:val="22"/>
        </w:rPr>
        <w:t xml:space="preserve"> y extracontractual, </w:t>
      </w:r>
      <w:r w:rsidRPr="00635B67">
        <w:rPr>
          <w:rFonts w:ascii="Verdana" w:hAnsi="Verdana"/>
          <w:sz w:val="22"/>
          <w:szCs w:val="22"/>
        </w:rPr>
        <w:t>razón que da lugar a la</w:t>
      </w:r>
      <w:r w:rsidR="006A1691" w:rsidRPr="00635B67">
        <w:rPr>
          <w:rFonts w:ascii="Verdana" w:hAnsi="Verdana"/>
          <w:sz w:val="22"/>
          <w:szCs w:val="22"/>
        </w:rPr>
        <w:t xml:space="preserve"> confirmación de la sentencia de primer grado. </w:t>
      </w:r>
    </w:p>
    <w:p w14:paraId="1A878E78" w14:textId="77777777" w:rsidR="006A1691" w:rsidRPr="00635B67" w:rsidRDefault="006A1691" w:rsidP="00EF2C32">
      <w:pPr>
        <w:pStyle w:val="Textoindependiente"/>
        <w:spacing w:line="360" w:lineRule="auto"/>
        <w:rPr>
          <w:rFonts w:ascii="Verdana" w:hAnsi="Verdana"/>
          <w:sz w:val="22"/>
          <w:szCs w:val="22"/>
        </w:rPr>
      </w:pPr>
    </w:p>
    <w:p w14:paraId="421F68D1" w14:textId="34B16099" w:rsidR="00736E30" w:rsidRPr="00635B67" w:rsidRDefault="00FF048D" w:rsidP="00EF2C32">
      <w:pPr>
        <w:pStyle w:val="Textoindependiente"/>
        <w:spacing w:line="360" w:lineRule="auto"/>
        <w:rPr>
          <w:rFonts w:ascii="Verdana" w:hAnsi="Verdana" w:cs="Arial"/>
          <w:b/>
          <w:sz w:val="22"/>
          <w:szCs w:val="22"/>
        </w:rPr>
      </w:pPr>
      <w:r w:rsidRPr="00635B67">
        <w:rPr>
          <w:rFonts w:ascii="Verdana" w:hAnsi="Verdana"/>
          <w:sz w:val="22"/>
          <w:szCs w:val="22"/>
        </w:rPr>
        <w:t xml:space="preserve"> </w:t>
      </w:r>
      <w:r w:rsidR="00C83414" w:rsidRPr="00635B67">
        <w:rPr>
          <w:rFonts w:ascii="Verdana" w:hAnsi="Verdana" w:cs="Arial"/>
          <w:sz w:val="22"/>
          <w:szCs w:val="22"/>
        </w:rPr>
        <w:t xml:space="preserve"> </w:t>
      </w:r>
      <w:r w:rsidR="00C92659" w:rsidRPr="00635B67">
        <w:rPr>
          <w:rFonts w:ascii="Verdana" w:hAnsi="Verdana"/>
          <w:b/>
          <w:sz w:val="22"/>
          <w:szCs w:val="22"/>
          <w:shd w:val="clear" w:color="auto" w:fill="FFFFFF"/>
        </w:rPr>
        <w:tab/>
        <w:t>3.5.</w:t>
      </w:r>
      <w:r w:rsidR="00466A34" w:rsidRPr="00635B67">
        <w:rPr>
          <w:rFonts w:ascii="Verdana" w:hAnsi="Verdana"/>
          <w:b/>
          <w:sz w:val="22"/>
          <w:szCs w:val="22"/>
          <w:shd w:val="clear" w:color="auto" w:fill="FFFFFF"/>
        </w:rPr>
        <w:t xml:space="preserve">- </w:t>
      </w:r>
      <w:r w:rsidR="00F35639" w:rsidRPr="00635B67">
        <w:rPr>
          <w:rFonts w:ascii="Verdana" w:hAnsi="Verdana" w:cs="Arial"/>
          <w:b/>
          <w:sz w:val="22"/>
          <w:szCs w:val="22"/>
        </w:rPr>
        <w:t>DE LA CONDENA EN COSTAS</w:t>
      </w:r>
      <w:r w:rsidR="00736E30" w:rsidRPr="00635B67">
        <w:rPr>
          <w:rFonts w:ascii="Verdana" w:hAnsi="Verdana" w:cs="Arial"/>
          <w:b/>
          <w:sz w:val="22"/>
          <w:szCs w:val="22"/>
        </w:rPr>
        <w:t>:</w:t>
      </w:r>
    </w:p>
    <w:p w14:paraId="7811A1E3" w14:textId="77777777" w:rsidR="00452C44" w:rsidRPr="00635B67" w:rsidRDefault="00452C44" w:rsidP="00EF2C32">
      <w:pPr>
        <w:overflowPunct w:val="0"/>
        <w:autoSpaceDE w:val="0"/>
        <w:autoSpaceDN w:val="0"/>
        <w:adjustRightInd w:val="0"/>
        <w:spacing w:line="360" w:lineRule="auto"/>
        <w:jc w:val="both"/>
        <w:textAlignment w:val="baseline"/>
        <w:rPr>
          <w:rFonts w:ascii="Verdana" w:hAnsi="Verdana"/>
          <w:sz w:val="22"/>
          <w:szCs w:val="22"/>
        </w:rPr>
      </w:pPr>
    </w:p>
    <w:p w14:paraId="6F65D617" w14:textId="32F45B0D" w:rsidR="005D20E5" w:rsidRPr="00635B67" w:rsidRDefault="00E50707" w:rsidP="00EF2C32">
      <w:pPr>
        <w:overflowPunct w:val="0"/>
        <w:autoSpaceDE w:val="0"/>
        <w:autoSpaceDN w:val="0"/>
        <w:adjustRightInd w:val="0"/>
        <w:spacing w:line="360" w:lineRule="auto"/>
        <w:jc w:val="both"/>
        <w:textAlignment w:val="baseline"/>
        <w:rPr>
          <w:rStyle w:val="eop"/>
          <w:rFonts w:ascii="Verdana" w:hAnsi="Verdana"/>
          <w:color w:val="000000"/>
          <w:sz w:val="22"/>
          <w:szCs w:val="22"/>
          <w:shd w:val="clear" w:color="auto" w:fill="FFFFFF"/>
        </w:rPr>
      </w:pPr>
      <w:r w:rsidRPr="00635B67">
        <w:rPr>
          <w:rStyle w:val="normaltextrun"/>
          <w:rFonts w:ascii="Verdana" w:hAnsi="Verdana"/>
          <w:color w:val="000000"/>
          <w:sz w:val="22"/>
          <w:szCs w:val="22"/>
          <w:shd w:val="clear" w:color="auto" w:fill="FFFFFF"/>
        </w:rPr>
        <w:t>Sin condena en costas en esta instancia teniendo en cuenta que en el expediente no está demostrada su causación en la medida que la parte demandada no desplegó actuaciones en segunda instancia, pues no presentó alegatos de conclusión, conforme lo previsto en el numeral 8 del aludido artículo 365 del CGP.</w:t>
      </w:r>
      <w:r w:rsidRPr="00635B67">
        <w:rPr>
          <w:rStyle w:val="eop"/>
          <w:rFonts w:ascii="Verdana" w:hAnsi="Verdana"/>
          <w:color w:val="000000"/>
          <w:sz w:val="22"/>
          <w:szCs w:val="22"/>
          <w:shd w:val="clear" w:color="auto" w:fill="FFFFFF"/>
        </w:rPr>
        <w:t> </w:t>
      </w:r>
    </w:p>
    <w:p w14:paraId="2FAF2A58" w14:textId="77777777" w:rsidR="00EF2C32" w:rsidRPr="00635B67" w:rsidRDefault="00EF2C32" w:rsidP="00EF2C32">
      <w:pPr>
        <w:overflowPunct w:val="0"/>
        <w:autoSpaceDE w:val="0"/>
        <w:autoSpaceDN w:val="0"/>
        <w:adjustRightInd w:val="0"/>
        <w:spacing w:line="360" w:lineRule="auto"/>
        <w:jc w:val="center"/>
        <w:textAlignment w:val="baseline"/>
        <w:rPr>
          <w:rFonts w:ascii="Verdana" w:hAnsi="Verdana"/>
          <w:b/>
          <w:sz w:val="22"/>
          <w:szCs w:val="22"/>
        </w:rPr>
      </w:pPr>
    </w:p>
    <w:p w14:paraId="25F0C3F0" w14:textId="44A95859" w:rsidR="00736E30" w:rsidRPr="00635B67" w:rsidRDefault="00C92659" w:rsidP="00EF2C32">
      <w:pPr>
        <w:overflowPunct w:val="0"/>
        <w:autoSpaceDE w:val="0"/>
        <w:autoSpaceDN w:val="0"/>
        <w:adjustRightInd w:val="0"/>
        <w:spacing w:line="360" w:lineRule="auto"/>
        <w:jc w:val="center"/>
        <w:textAlignment w:val="baseline"/>
        <w:rPr>
          <w:rFonts w:ascii="Verdana" w:hAnsi="Verdana"/>
          <w:sz w:val="22"/>
          <w:szCs w:val="22"/>
        </w:rPr>
      </w:pPr>
      <w:r w:rsidRPr="00635B67">
        <w:rPr>
          <w:rFonts w:ascii="Verdana" w:hAnsi="Verdana"/>
          <w:b/>
          <w:sz w:val="22"/>
          <w:szCs w:val="22"/>
        </w:rPr>
        <w:t>I</w:t>
      </w:r>
      <w:r w:rsidR="00736E30" w:rsidRPr="00635B67">
        <w:rPr>
          <w:rFonts w:ascii="Verdana" w:hAnsi="Verdana"/>
          <w:b/>
          <w:sz w:val="22"/>
          <w:szCs w:val="22"/>
        </w:rPr>
        <w:t>V. DECISION</w:t>
      </w:r>
    </w:p>
    <w:p w14:paraId="58E6DD4E" w14:textId="77777777" w:rsidR="00736E30" w:rsidRPr="00635B67" w:rsidRDefault="00736E30" w:rsidP="00EF2C32">
      <w:pPr>
        <w:spacing w:line="360" w:lineRule="auto"/>
        <w:jc w:val="center"/>
        <w:rPr>
          <w:rFonts w:ascii="Verdana" w:hAnsi="Verdana"/>
          <w:b/>
          <w:sz w:val="22"/>
          <w:szCs w:val="22"/>
        </w:rPr>
      </w:pPr>
    </w:p>
    <w:p w14:paraId="7813CE75" w14:textId="77777777" w:rsidR="00736E30" w:rsidRPr="00635B67" w:rsidRDefault="00736E30" w:rsidP="00EF2C32">
      <w:pPr>
        <w:suppressAutoHyphens/>
        <w:spacing w:line="360" w:lineRule="auto"/>
        <w:jc w:val="both"/>
        <w:rPr>
          <w:rFonts w:ascii="Verdana" w:hAnsi="Verdana"/>
          <w:sz w:val="22"/>
          <w:szCs w:val="22"/>
        </w:rPr>
      </w:pPr>
      <w:r w:rsidRPr="00635B67">
        <w:rPr>
          <w:rFonts w:ascii="Verdana" w:hAnsi="Verdana"/>
          <w:sz w:val="22"/>
          <w:szCs w:val="22"/>
        </w:rPr>
        <w:t xml:space="preserve">En mérito de lo expuesto, la Sala de Decisión No. </w:t>
      </w:r>
      <w:r w:rsidR="00467562" w:rsidRPr="00635B67">
        <w:rPr>
          <w:rFonts w:ascii="Verdana" w:hAnsi="Verdana"/>
          <w:sz w:val="22"/>
          <w:szCs w:val="22"/>
        </w:rPr>
        <w:t>6</w:t>
      </w:r>
      <w:r w:rsidRPr="00635B67">
        <w:rPr>
          <w:rFonts w:ascii="Verdana" w:hAnsi="Verdana"/>
          <w:sz w:val="22"/>
          <w:szCs w:val="22"/>
        </w:rPr>
        <w:t xml:space="preserve"> del Tribunal Administrativo de Boyacá, administrando justicia en nombre de la República y por autoridad de la ley,</w:t>
      </w:r>
    </w:p>
    <w:p w14:paraId="7D3BEE8F" w14:textId="77777777" w:rsidR="009F6370" w:rsidRPr="00635B67" w:rsidRDefault="009F6370" w:rsidP="00EF2C32">
      <w:pPr>
        <w:spacing w:line="360" w:lineRule="auto"/>
        <w:rPr>
          <w:rFonts w:ascii="Verdana" w:hAnsi="Verdana"/>
          <w:sz w:val="22"/>
          <w:szCs w:val="22"/>
        </w:rPr>
      </w:pPr>
    </w:p>
    <w:p w14:paraId="5866750B" w14:textId="77777777" w:rsidR="00736E30" w:rsidRPr="00635B67" w:rsidRDefault="00736E30" w:rsidP="00EF2C32">
      <w:pPr>
        <w:pStyle w:val="Ttulo1"/>
        <w:spacing w:line="360" w:lineRule="auto"/>
        <w:ind w:firstLine="0"/>
        <w:jc w:val="center"/>
        <w:rPr>
          <w:rFonts w:ascii="Verdana" w:hAnsi="Verdana" w:cs="Arial"/>
          <w:sz w:val="22"/>
          <w:szCs w:val="22"/>
        </w:rPr>
      </w:pPr>
      <w:r w:rsidRPr="00635B67">
        <w:rPr>
          <w:rFonts w:ascii="Verdana" w:hAnsi="Verdana" w:cs="Arial"/>
          <w:sz w:val="22"/>
          <w:szCs w:val="22"/>
        </w:rPr>
        <w:t xml:space="preserve">F A L </w:t>
      </w:r>
      <w:proofErr w:type="spellStart"/>
      <w:r w:rsidRPr="00635B67">
        <w:rPr>
          <w:rFonts w:ascii="Verdana" w:hAnsi="Verdana" w:cs="Arial"/>
          <w:sz w:val="22"/>
          <w:szCs w:val="22"/>
        </w:rPr>
        <w:t>L</w:t>
      </w:r>
      <w:proofErr w:type="spellEnd"/>
      <w:r w:rsidRPr="00635B67">
        <w:rPr>
          <w:rFonts w:ascii="Verdana" w:hAnsi="Verdana" w:cs="Arial"/>
          <w:sz w:val="22"/>
          <w:szCs w:val="22"/>
        </w:rPr>
        <w:t xml:space="preserve"> A:</w:t>
      </w:r>
    </w:p>
    <w:p w14:paraId="3B88899E" w14:textId="77777777" w:rsidR="00736E30" w:rsidRPr="00635B67" w:rsidRDefault="00736E30" w:rsidP="00EF2C32">
      <w:pPr>
        <w:suppressAutoHyphens/>
        <w:spacing w:line="360" w:lineRule="auto"/>
        <w:ind w:firstLine="1418"/>
        <w:jc w:val="both"/>
        <w:rPr>
          <w:rFonts w:ascii="Verdana" w:hAnsi="Verdana" w:cs="Arial"/>
          <w:sz w:val="22"/>
          <w:szCs w:val="22"/>
        </w:rPr>
      </w:pPr>
    </w:p>
    <w:p w14:paraId="205C551A" w14:textId="79A1A71C" w:rsidR="00736E30" w:rsidRPr="00635B67" w:rsidRDefault="00736E30" w:rsidP="00EF2C32">
      <w:pPr>
        <w:spacing w:line="360" w:lineRule="auto"/>
        <w:jc w:val="both"/>
        <w:rPr>
          <w:rFonts w:ascii="Verdana" w:hAnsi="Verdana" w:cs="Arial"/>
          <w:bCs/>
          <w:sz w:val="22"/>
          <w:szCs w:val="22"/>
        </w:rPr>
      </w:pPr>
      <w:r w:rsidRPr="00635B67">
        <w:rPr>
          <w:rFonts w:ascii="Verdana" w:hAnsi="Verdana" w:cs="Arial"/>
          <w:b/>
          <w:bCs/>
          <w:sz w:val="22"/>
          <w:szCs w:val="22"/>
        </w:rPr>
        <w:lastRenderedPageBreak/>
        <w:t>PRIMERO:</w:t>
      </w:r>
      <w:r w:rsidRPr="00635B67">
        <w:rPr>
          <w:rFonts w:ascii="Verdana" w:hAnsi="Verdana" w:cs="Arial"/>
          <w:bCs/>
          <w:sz w:val="22"/>
          <w:szCs w:val="22"/>
        </w:rPr>
        <w:t xml:space="preserve"> </w:t>
      </w:r>
      <w:r w:rsidRPr="00635B67">
        <w:rPr>
          <w:rFonts w:ascii="Verdana" w:hAnsi="Verdana" w:cs="Arial"/>
          <w:b/>
          <w:bCs/>
          <w:sz w:val="22"/>
          <w:szCs w:val="22"/>
        </w:rPr>
        <w:t xml:space="preserve">CONFIRMAR </w:t>
      </w:r>
      <w:r w:rsidRPr="00635B67">
        <w:rPr>
          <w:rFonts w:ascii="Verdana" w:hAnsi="Verdana" w:cs="Arial"/>
          <w:bCs/>
          <w:sz w:val="22"/>
          <w:szCs w:val="22"/>
        </w:rPr>
        <w:t xml:space="preserve">la sentencia proferida </w:t>
      </w:r>
      <w:r w:rsidR="009F6370" w:rsidRPr="00635B67">
        <w:rPr>
          <w:rFonts w:ascii="Verdana" w:hAnsi="Verdana" w:cs="Arial"/>
          <w:bCs/>
          <w:sz w:val="22"/>
          <w:szCs w:val="22"/>
        </w:rPr>
        <w:t>el</w:t>
      </w:r>
      <w:r w:rsidR="00BE3F75" w:rsidRPr="00635B67">
        <w:rPr>
          <w:rFonts w:ascii="Verdana" w:hAnsi="Verdana" w:cs="Arial"/>
          <w:bCs/>
          <w:sz w:val="22"/>
          <w:szCs w:val="22"/>
        </w:rPr>
        <w:t xml:space="preserve"> </w:t>
      </w:r>
      <w:r w:rsidR="00AF2F3D" w:rsidRPr="00635B67">
        <w:rPr>
          <w:rFonts w:ascii="Verdana" w:hAnsi="Verdana" w:cs="Arial"/>
          <w:sz w:val="22"/>
          <w:szCs w:val="22"/>
        </w:rPr>
        <w:t>31</w:t>
      </w:r>
      <w:r w:rsidR="005D20E5" w:rsidRPr="00635B67">
        <w:rPr>
          <w:rFonts w:ascii="Verdana" w:hAnsi="Verdana" w:cs="Arial"/>
          <w:sz w:val="22"/>
          <w:szCs w:val="22"/>
        </w:rPr>
        <w:t xml:space="preserve"> de </w:t>
      </w:r>
      <w:r w:rsidR="00AF2F3D" w:rsidRPr="00635B67">
        <w:rPr>
          <w:rFonts w:ascii="Verdana" w:hAnsi="Verdana" w:cs="Arial"/>
          <w:sz w:val="22"/>
          <w:szCs w:val="22"/>
        </w:rPr>
        <w:t>octubr</w:t>
      </w:r>
      <w:r w:rsidR="005D20E5" w:rsidRPr="00635B67">
        <w:rPr>
          <w:rFonts w:ascii="Verdana" w:hAnsi="Verdana" w:cs="Arial"/>
          <w:sz w:val="22"/>
          <w:szCs w:val="22"/>
        </w:rPr>
        <w:t xml:space="preserve">e de 2019 por el JUZGADO </w:t>
      </w:r>
      <w:r w:rsidR="00AF2F3D" w:rsidRPr="00635B67">
        <w:rPr>
          <w:rFonts w:ascii="Verdana" w:hAnsi="Verdana" w:cs="Arial"/>
          <w:sz w:val="22"/>
          <w:szCs w:val="22"/>
        </w:rPr>
        <w:t xml:space="preserve">SEGUNDO </w:t>
      </w:r>
      <w:r w:rsidR="005D20E5" w:rsidRPr="00635B67">
        <w:rPr>
          <w:rFonts w:ascii="Verdana" w:hAnsi="Verdana" w:cs="Arial"/>
          <w:sz w:val="22"/>
          <w:szCs w:val="22"/>
        </w:rPr>
        <w:t xml:space="preserve">ADMINISTRATIVO ORAL DEL CIRCUITO JUDICIAL DE </w:t>
      </w:r>
      <w:r w:rsidR="002E4E7C" w:rsidRPr="00635B67">
        <w:rPr>
          <w:rFonts w:ascii="Verdana" w:hAnsi="Verdana" w:cs="Arial"/>
          <w:sz w:val="22"/>
          <w:szCs w:val="22"/>
        </w:rPr>
        <w:t>SOGAMOSO,</w:t>
      </w:r>
      <w:r w:rsidR="00BE3F75" w:rsidRPr="00635B67">
        <w:rPr>
          <w:rFonts w:ascii="Verdana" w:hAnsi="Verdana" w:cs="Arial"/>
          <w:bCs/>
          <w:sz w:val="22"/>
          <w:szCs w:val="22"/>
        </w:rPr>
        <w:t xml:space="preserve"> </w:t>
      </w:r>
      <w:r w:rsidRPr="00635B67">
        <w:rPr>
          <w:rFonts w:ascii="Verdana" w:hAnsi="Verdana" w:cs="Arial"/>
          <w:bCs/>
          <w:sz w:val="22"/>
          <w:szCs w:val="22"/>
        </w:rPr>
        <w:t xml:space="preserve">por las razones expuestas en esta providencia. </w:t>
      </w:r>
    </w:p>
    <w:p w14:paraId="69E2BB2B" w14:textId="77777777" w:rsidR="00736E30" w:rsidRPr="00635B67" w:rsidRDefault="00736E30" w:rsidP="00EF2C32">
      <w:pPr>
        <w:spacing w:line="360" w:lineRule="auto"/>
        <w:jc w:val="both"/>
        <w:rPr>
          <w:rFonts w:ascii="Verdana" w:hAnsi="Verdana" w:cs="Arial"/>
          <w:bCs/>
          <w:sz w:val="22"/>
          <w:szCs w:val="22"/>
        </w:rPr>
      </w:pPr>
    </w:p>
    <w:p w14:paraId="57C0D796" w14:textId="61533640" w:rsidR="00736E30" w:rsidRPr="00635B67" w:rsidRDefault="00736E30" w:rsidP="00EF2C32">
      <w:pPr>
        <w:spacing w:line="360" w:lineRule="auto"/>
        <w:jc w:val="both"/>
        <w:rPr>
          <w:rStyle w:val="eop"/>
          <w:rFonts w:ascii="Verdana" w:hAnsi="Verdana"/>
          <w:color w:val="000000"/>
          <w:sz w:val="22"/>
          <w:szCs w:val="22"/>
          <w:shd w:val="clear" w:color="auto" w:fill="FFFFFF"/>
        </w:rPr>
      </w:pPr>
      <w:r w:rsidRPr="00635B67">
        <w:rPr>
          <w:rFonts w:ascii="Verdana" w:hAnsi="Verdana" w:cs="Arial"/>
          <w:b/>
          <w:bCs/>
          <w:sz w:val="22"/>
          <w:szCs w:val="22"/>
        </w:rPr>
        <w:t>SEGUNDO:</w:t>
      </w:r>
      <w:r w:rsidR="005D20E5" w:rsidRPr="00635B67">
        <w:rPr>
          <w:rFonts w:ascii="Verdana" w:hAnsi="Verdana" w:cs="Arial"/>
          <w:b/>
          <w:bCs/>
          <w:sz w:val="22"/>
          <w:szCs w:val="22"/>
        </w:rPr>
        <w:t xml:space="preserve"> </w:t>
      </w:r>
      <w:r w:rsidR="00E50707" w:rsidRPr="00635B67">
        <w:rPr>
          <w:rStyle w:val="normaltextrun"/>
          <w:rFonts w:ascii="Verdana" w:hAnsi="Verdana"/>
          <w:color w:val="000000"/>
          <w:sz w:val="22"/>
          <w:szCs w:val="22"/>
          <w:shd w:val="clear" w:color="auto" w:fill="FFFFFF"/>
        </w:rPr>
        <w:t>Sin condena en costas por las razones expuestas en esta providencia.</w:t>
      </w:r>
      <w:r w:rsidR="00E50707" w:rsidRPr="00635B67">
        <w:rPr>
          <w:rStyle w:val="eop"/>
          <w:rFonts w:ascii="Verdana" w:hAnsi="Verdana"/>
          <w:color w:val="000000"/>
          <w:sz w:val="22"/>
          <w:szCs w:val="22"/>
          <w:shd w:val="clear" w:color="auto" w:fill="FFFFFF"/>
        </w:rPr>
        <w:t> </w:t>
      </w:r>
    </w:p>
    <w:p w14:paraId="5055312E" w14:textId="77777777" w:rsidR="00E50707" w:rsidRPr="00635B67" w:rsidRDefault="00E50707" w:rsidP="00EF2C32">
      <w:pPr>
        <w:spacing w:line="360" w:lineRule="auto"/>
        <w:jc w:val="both"/>
        <w:rPr>
          <w:rFonts w:ascii="Verdana" w:hAnsi="Verdana" w:cs="Arial"/>
          <w:b/>
          <w:sz w:val="22"/>
          <w:szCs w:val="22"/>
        </w:rPr>
      </w:pPr>
    </w:p>
    <w:p w14:paraId="3964ED7D" w14:textId="77777777" w:rsidR="00736E30" w:rsidRPr="00635B67" w:rsidRDefault="009F6370" w:rsidP="00EF2C32">
      <w:pPr>
        <w:spacing w:line="360" w:lineRule="auto"/>
        <w:jc w:val="both"/>
        <w:rPr>
          <w:rFonts w:ascii="Verdana" w:hAnsi="Verdana" w:cs="Arial"/>
          <w:sz w:val="22"/>
          <w:szCs w:val="22"/>
        </w:rPr>
      </w:pPr>
      <w:r w:rsidRPr="00635B67">
        <w:rPr>
          <w:rFonts w:ascii="Verdana" w:hAnsi="Verdana" w:cs="Arial"/>
          <w:b/>
          <w:sz w:val="22"/>
          <w:szCs w:val="22"/>
        </w:rPr>
        <w:t>TERCERO</w:t>
      </w:r>
      <w:r w:rsidR="00736E30" w:rsidRPr="00635B67">
        <w:rPr>
          <w:rFonts w:ascii="Verdana" w:hAnsi="Verdana" w:cs="Arial"/>
          <w:b/>
          <w:sz w:val="22"/>
          <w:szCs w:val="22"/>
        </w:rPr>
        <w:t>:</w:t>
      </w:r>
      <w:r w:rsidR="00736E30" w:rsidRPr="00635B67">
        <w:rPr>
          <w:rFonts w:ascii="Verdana" w:hAnsi="Verdana" w:cs="Arial"/>
          <w:sz w:val="22"/>
          <w:szCs w:val="22"/>
        </w:rPr>
        <w:t xml:space="preserve"> Una vez en firme la presente providencia, por Secretaría envíese el expediente al despacho de origen.</w:t>
      </w:r>
    </w:p>
    <w:p w14:paraId="19F3485C" w14:textId="14A7A943" w:rsidR="00464EDC" w:rsidRPr="00635B67" w:rsidRDefault="00464EDC" w:rsidP="00EF2C32">
      <w:pPr>
        <w:spacing w:line="360" w:lineRule="auto"/>
        <w:jc w:val="both"/>
        <w:rPr>
          <w:rFonts w:ascii="Verdana" w:hAnsi="Verdana" w:cs="Arial"/>
          <w:b/>
          <w:sz w:val="22"/>
          <w:szCs w:val="22"/>
          <w:lang w:val="es-ES_tradnl"/>
        </w:rPr>
      </w:pPr>
    </w:p>
    <w:p w14:paraId="7F152EA7" w14:textId="77777777" w:rsidR="00DD5E30" w:rsidRPr="00635B67" w:rsidRDefault="00DD5E30" w:rsidP="00EF2C32">
      <w:pPr>
        <w:spacing w:line="360" w:lineRule="auto"/>
        <w:jc w:val="both"/>
        <w:rPr>
          <w:rFonts w:ascii="Verdana" w:hAnsi="Verdana" w:cs="Arial"/>
          <w:b/>
          <w:sz w:val="22"/>
          <w:szCs w:val="22"/>
          <w:lang w:val="es-ES_tradnl"/>
        </w:rPr>
      </w:pPr>
    </w:p>
    <w:p w14:paraId="33652F3E" w14:textId="77777777" w:rsidR="00736E30" w:rsidRPr="00635B67" w:rsidRDefault="00736E30" w:rsidP="00EF2C32">
      <w:pPr>
        <w:spacing w:line="360" w:lineRule="auto"/>
        <w:jc w:val="both"/>
        <w:rPr>
          <w:rFonts w:ascii="Verdana" w:hAnsi="Verdana" w:cs="Arial"/>
          <w:b/>
          <w:sz w:val="22"/>
          <w:szCs w:val="22"/>
          <w:lang w:val="es-ES_tradnl"/>
        </w:rPr>
      </w:pPr>
      <w:r w:rsidRPr="00635B67">
        <w:rPr>
          <w:rFonts w:ascii="Verdana" w:hAnsi="Verdana" w:cs="Arial"/>
          <w:b/>
          <w:sz w:val="22"/>
          <w:szCs w:val="22"/>
          <w:lang w:val="es-ES_tradnl"/>
        </w:rPr>
        <w:t>NOTIFIQUESE Y CÚMPLASE.</w:t>
      </w:r>
    </w:p>
    <w:p w14:paraId="0E192306" w14:textId="533DDB32" w:rsidR="00464EDC" w:rsidRPr="00635B67" w:rsidRDefault="00464EDC" w:rsidP="00EF2C32">
      <w:pPr>
        <w:spacing w:line="360" w:lineRule="auto"/>
        <w:jc w:val="both"/>
        <w:rPr>
          <w:rFonts w:ascii="Verdana" w:hAnsi="Verdana" w:cs="Arial"/>
          <w:sz w:val="22"/>
          <w:szCs w:val="22"/>
          <w:lang w:val="es-ES_tradnl"/>
        </w:rPr>
      </w:pPr>
    </w:p>
    <w:p w14:paraId="070EEF79" w14:textId="77777777" w:rsidR="00DD5E30" w:rsidRPr="00635B67" w:rsidRDefault="00DD5E30" w:rsidP="00EF2C32">
      <w:pPr>
        <w:spacing w:line="360" w:lineRule="auto"/>
        <w:jc w:val="both"/>
        <w:rPr>
          <w:rFonts w:ascii="Verdana" w:hAnsi="Verdana" w:cs="Arial"/>
          <w:sz w:val="22"/>
          <w:szCs w:val="22"/>
          <w:lang w:val="es-ES_tradnl"/>
        </w:rPr>
      </w:pPr>
    </w:p>
    <w:p w14:paraId="07C233D4" w14:textId="77777777" w:rsidR="009F6370" w:rsidRPr="00635B67" w:rsidRDefault="009F6370" w:rsidP="00EF2C32">
      <w:pPr>
        <w:spacing w:line="360" w:lineRule="auto"/>
        <w:jc w:val="both"/>
        <w:rPr>
          <w:rFonts w:ascii="Verdana" w:hAnsi="Verdana" w:cs="Arial"/>
          <w:sz w:val="22"/>
          <w:szCs w:val="22"/>
          <w:lang w:val="es-ES_tradnl"/>
        </w:rPr>
      </w:pPr>
      <w:r w:rsidRPr="00635B67">
        <w:rPr>
          <w:rFonts w:ascii="Verdana" w:hAnsi="Verdana" w:cs="Arial"/>
          <w:sz w:val="22"/>
          <w:szCs w:val="22"/>
          <w:lang w:val="es-ES_tradnl"/>
        </w:rPr>
        <w:t>La anterior providencia fue discutida y aproba</w:t>
      </w:r>
      <w:r w:rsidR="00467562" w:rsidRPr="00635B67">
        <w:rPr>
          <w:rFonts w:ascii="Verdana" w:hAnsi="Verdana" w:cs="Arial"/>
          <w:sz w:val="22"/>
          <w:szCs w:val="22"/>
          <w:lang w:val="es-ES_tradnl"/>
        </w:rPr>
        <w:t>da por la Sala de Decisión No. 6</w:t>
      </w:r>
      <w:r w:rsidRPr="00635B67">
        <w:rPr>
          <w:rFonts w:ascii="Verdana" w:hAnsi="Verdana" w:cs="Arial"/>
          <w:sz w:val="22"/>
          <w:szCs w:val="22"/>
          <w:lang w:val="es-ES_tradnl"/>
        </w:rPr>
        <w:t xml:space="preserve"> del Tribunal Administrativo de Boyacá, en sesión de la fecha.</w:t>
      </w:r>
    </w:p>
    <w:p w14:paraId="42AFC42D" w14:textId="1D70A333" w:rsidR="00467562" w:rsidRPr="00635B67" w:rsidRDefault="00467562" w:rsidP="00EF2C32">
      <w:pPr>
        <w:spacing w:line="360" w:lineRule="auto"/>
        <w:jc w:val="both"/>
        <w:rPr>
          <w:rFonts w:ascii="Verdana" w:hAnsi="Verdana" w:cs="Arial"/>
          <w:sz w:val="22"/>
          <w:szCs w:val="22"/>
          <w:lang w:val="es-ES_tradnl"/>
        </w:rPr>
      </w:pPr>
    </w:p>
    <w:p w14:paraId="0531A9C2" w14:textId="77777777" w:rsidR="00DD5E30" w:rsidRPr="00635B67" w:rsidRDefault="00DD5E30" w:rsidP="00EF2C32">
      <w:pPr>
        <w:spacing w:line="360" w:lineRule="auto"/>
        <w:jc w:val="both"/>
        <w:rPr>
          <w:rFonts w:ascii="Verdana" w:hAnsi="Verdana" w:cs="Arial"/>
          <w:sz w:val="22"/>
          <w:szCs w:val="22"/>
          <w:lang w:val="es-ES_tradnl"/>
        </w:rPr>
      </w:pPr>
    </w:p>
    <w:p w14:paraId="0B4E6123" w14:textId="77777777" w:rsidR="00DD5E30" w:rsidRPr="00635B67" w:rsidRDefault="00736E30" w:rsidP="00EF2C32">
      <w:pPr>
        <w:spacing w:line="360" w:lineRule="auto"/>
        <w:jc w:val="both"/>
        <w:rPr>
          <w:rFonts w:ascii="Verdana" w:hAnsi="Verdana" w:cs="Arial"/>
          <w:b/>
          <w:bCs/>
          <w:sz w:val="22"/>
          <w:szCs w:val="22"/>
        </w:rPr>
      </w:pPr>
      <w:r w:rsidRPr="00635B67">
        <w:rPr>
          <w:rFonts w:ascii="Verdana" w:hAnsi="Verdana" w:cs="Arial"/>
          <w:sz w:val="22"/>
          <w:szCs w:val="22"/>
          <w:lang w:val="es-ES_tradnl"/>
        </w:rPr>
        <w:t>Los Magistrados</w:t>
      </w:r>
      <w:r w:rsidR="00467562" w:rsidRPr="00635B67">
        <w:rPr>
          <w:rFonts w:ascii="Verdana" w:hAnsi="Verdana" w:cs="Arial"/>
          <w:sz w:val="22"/>
          <w:szCs w:val="22"/>
          <w:lang w:val="es-ES_tradnl"/>
        </w:rPr>
        <w:t xml:space="preserve">, </w:t>
      </w:r>
      <w:r w:rsidR="6F124EEA" w:rsidRPr="00635B67">
        <w:rPr>
          <w:rFonts w:ascii="Verdana" w:hAnsi="Verdana" w:cs="Arial"/>
          <w:b/>
          <w:bCs/>
          <w:sz w:val="22"/>
          <w:szCs w:val="22"/>
        </w:rPr>
        <w:t xml:space="preserve">     </w:t>
      </w:r>
    </w:p>
    <w:p w14:paraId="4761DBAD" w14:textId="77777777" w:rsidR="00EF2C32" w:rsidRPr="00635B67" w:rsidRDefault="00EF2C32" w:rsidP="00EF2C32">
      <w:pPr>
        <w:spacing w:line="360" w:lineRule="auto"/>
        <w:jc w:val="both"/>
        <w:rPr>
          <w:rFonts w:ascii="Verdana" w:hAnsi="Verdana" w:cs="Arial"/>
          <w:b/>
          <w:bCs/>
          <w:sz w:val="22"/>
          <w:szCs w:val="22"/>
        </w:rPr>
      </w:pPr>
    </w:p>
    <w:p w14:paraId="75FBE423" w14:textId="0A0D9D8D" w:rsidR="00736E30" w:rsidRPr="00635B67" w:rsidRDefault="6F124EEA" w:rsidP="00EF2C32">
      <w:pPr>
        <w:spacing w:line="360" w:lineRule="auto"/>
        <w:jc w:val="both"/>
        <w:rPr>
          <w:rFonts w:ascii="Verdana" w:hAnsi="Verdana"/>
          <w:sz w:val="22"/>
          <w:szCs w:val="22"/>
        </w:rPr>
      </w:pPr>
      <w:r w:rsidRPr="00635B67">
        <w:rPr>
          <w:rFonts w:ascii="Verdana" w:hAnsi="Verdana" w:cs="Arial"/>
          <w:b/>
          <w:bCs/>
          <w:sz w:val="22"/>
          <w:szCs w:val="22"/>
        </w:rPr>
        <w:t xml:space="preserve">                                         </w:t>
      </w:r>
    </w:p>
    <w:p w14:paraId="51F4DB1B" w14:textId="77777777" w:rsidR="00736E30" w:rsidRPr="00635B67" w:rsidRDefault="00736E30" w:rsidP="00EF2C32">
      <w:pPr>
        <w:spacing w:line="360" w:lineRule="auto"/>
        <w:jc w:val="center"/>
        <w:rPr>
          <w:rFonts w:ascii="Verdana" w:hAnsi="Verdana" w:cs="Arial"/>
          <w:b/>
          <w:sz w:val="22"/>
          <w:szCs w:val="22"/>
        </w:rPr>
      </w:pPr>
      <w:r w:rsidRPr="00635B67">
        <w:rPr>
          <w:rFonts w:ascii="Verdana" w:hAnsi="Verdana" w:cs="Arial"/>
          <w:b/>
          <w:sz w:val="22"/>
          <w:szCs w:val="22"/>
        </w:rPr>
        <w:t>FELIX ALBERTO RODRIGUEZ RIVEROS</w:t>
      </w:r>
    </w:p>
    <w:p w14:paraId="2D3F0BEC" w14:textId="6FB73D9D" w:rsidR="00467562" w:rsidRPr="00635B67" w:rsidRDefault="00467562" w:rsidP="00EF2C32">
      <w:pPr>
        <w:spacing w:line="360" w:lineRule="auto"/>
        <w:jc w:val="center"/>
        <w:rPr>
          <w:rFonts w:ascii="Verdana" w:hAnsi="Verdana" w:cs="Arial"/>
          <w:b/>
          <w:sz w:val="22"/>
          <w:szCs w:val="22"/>
        </w:rPr>
      </w:pPr>
    </w:p>
    <w:p w14:paraId="63C39869" w14:textId="77777777" w:rsidR="00EF2C32" w:rsidRPr="00635B67" w:rsidRDefault="00EF2C32" w:rsidP="00EF2C32">
      <w:pPr>
        <w:spacing w:line="360" w:lineRule="auto"/>
        <w:jc w:val="center"/>
        <w:rPr>
          <w:rFonts w:ascii="Verdana" w:hAnsi="Verdana" w:cs="Arial"/>
          <w:b/>
          <w:sz w:val="22"/>
          <w:szCs w:val="22"/>
        </w:rPr>
      </w:pPr>
    </w:p>
    <w:p w14:paraId="53A9339C" w14:textId="701D4AF4" w:rsidR="00467562" w:rsidRPr="00635B67" w:rsidRDefault="00467562" w:rsidP="00EF2C32">
      <w:pPr>
        <w:spacing w:line="360" w:lineRule="auto"/>
        <w:jc w:val="center"/>
        <w:rPr>
          <w:rFonts w:ascii="Verdana" w:hAnsi="Verdana" w:cs="Arial"/>
          <w:b/>
          <w:sz w:val="22"/>
          <w:szCs w:val="22"/>
        </w:rPr>
      </w:pPr>
      <w:r w:rsidRPr="00635B67">
        <w:rPr>
          <w:rFonts w:ascii="Verdana" w:hAnsi="Verdana" w:cs="Arial"/>
          <w:b/>
          <w:sz w:val="22"/>
          <w:szCs w:val="22"/>
        </w:rPr>
        <w:t xml:space="preserve">LUIS ERNESTO ARCINIEGAS TRIANA </w:t>
      </w:r>
    </w:p>
    <w:p w14:paraId="2ED16B20" w14:textId="77777777" w:rsidR="00DD5E30" w:rsidRPr="00635B67" w:rsidRDefault="00DD5E30" w:rsidP="00EF2C32">
      <w:pPr>
        <w:spacing w:line="360" w:lineRule="auto"/>
        <w:jc w:val="center"/>
        <w:rPr>
          <w:rFonts w:ascii="Verdana" w:hAnsi="Verdana" w:cs="Arial"/>
          <w:b/>
          <w:sz w:val="22"/>
          <w:szCs w:val="22"/>
        </w:rPr>
      </w:pPr>
    </w:p>
    <w:p w14:paraId="0C178E9E" w14:textId="77777777" w:rsidR="00D47B6C" w:rsidRPr="00635B67" w:rsidRDefault="00D47B6C" w:rsidP="00EF2C32">
      <w:pPr>
        <w:spacing w:line="360" w:lineRule="auto"/>
        <w:jc w:val="center"/>
        <w:rPr>
          <w:rFonts w:ascii="Verdana" w:hAnsi="Verdana" w:cs="Arial"/>
          <w:b/>
          <w:sz w:val="22"/>
          <w:szCs w:val="22"/>
        </w:rPr>
      </w:pPr>
    </w:p>
    <w:p w14:paraId="2921B81D" w14:textId="5C563011" w:rsidR="007E2035" w:rsidRPr="00EF2C32" w:rsidRDefault="00736E30" w:rsidP="00EF2C32">
      <w:pPr>
        <w:spacing w:line="360" w:lineRule="auto"/>
        <w:jc w:val="center"/>
        <w:rPr>
          <w:rFonts w:ascii="Verdana" w:hAnsi="Verdana" w:cs="Arial"/>
          <w:b/>
          <w:sz w:val="22"/>
          <w:szCs w:val="22"/>
        </w:rPr>
      </w:pPr>
      <w:r w:rsidRPr="00635B67">
        <w:rPr>
          <w:rFonts w:ascii="Verdana" w:hAnsi="Verdana" w:cs="Arial"/>
          <w:b/>
          <w:sz w:val="22"/>
          <w:szCs w:val="22"/>
        </w:rPr>
        <w:t>FABIO IVÁN AFANADOR GARCÍA</w:t>
      </w:r>
      <w:bookmarkStart w:id="0" w:name="_GoBack"/>
      <w:bookmarkEnd w:id="0"/>
    </w:p>
    <w:p w14:paraId="717EE380" w14:textId="4B3513C8" w:rsidR="00DD5E30" w:rsidRPr="00EF2C32" w:rsidRDefault="00DD5E30" w:rsidP="00EF2C32">
      <w:pPr>
        <w:spacing w:line="360" w:lineRule="auto"/>
        <w:jc w:val="center"/>
        <w:rPr>
          <w:rFonts w:ascii="Verdana" w:hAnsi="Verdana" w:cs="Arial"/>
          <w:b/>
          <w:sz w:val="22"/>
          <w:szCs w:val="22"/>
        </w:rPr>
      </w:pPr>
    </w:p>
    <w:p w14:paraId="6B3783D8" w14:textId="3CC0B3D5" w:rsidR="00DD5E30" w:rsidRPr="00EF2C32" w:rsidRDefault="00DD5E30">
      <w:pPr>
        <w:spacing w:line="360" w:lineRule="auto"/>
        <w:jc w:val="center"/>
        <w:rPr>
          <w:rFonts w:ascii="Verdana" w:hAnsi="Verdana" w:cs="Arial"/>
          <w:b/>
          <w:sz w:val="22"/>
          <w:szCs w:val="22"/>
        </w:rPr>
      </w:pPr>
    </w:p>
    <w:sectPr w:rsidR="00DD5E30" w:rsidRPr="00EF2C32" w:rsidSect="00D30CCC">
      <w:headerReference w:type="even" r:id="rId12"/>
      <w:headerReference w:type="default" r:id="rId13"/>
      <w:footerReference w:type="default" r:id="rId14"/>
      <w:pgSz w:w="12242" w:h="18722" w:code="14"/>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1F7AB" w14:textId="77777777" w:rsidR="00DF26EF" w:rsidRDefault="00DF26EF" w:rsidP="00736E30">
      <w:r>
        <w:separator/>
      </w:r>
    </w:p>
  </w:endnote>
  <w:endnote w:type="continuationSeparator" w:id="0">
    <w:p w14:paraId="522C7F61" w14:textId="77777777" w:rsidR="00DF26EF" w:rsidRDefault="00DF26EF" w:rsidP="007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ourie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631805"/>
      <w:docPartObj>
        <w:docPartGallery w:val="Page Numbers (Bottom of Page)"/>
        <w:docPartUnique/>
      </w:docPartObj>
    </w:sdtPr>
    <w:sdtEndPr/>
    <w:sdtContent>
      <w:p w14:paraId="409582F1" w14:textId="1AE459BF" w:rsidR="001B6C3E" w:rsidRDefault="001B6C3E">
        <w:pPr>
          <w:pStyle w:val="Piedepgina"/>
          <w:jc w:val="right"/>
        </w:pPr>
        <w:r>
          <w:fldChar w:fldCharType="begin"/>
        </w:r>
        <w:r>
          <w:instrText>PAGE   \* MERGEFORMAT</w:instrText>
        </w:r>
        <w:r>
          <w:fldChar w:fldCharType="separate"/>
        </w:r>
        <w:r w:rsidR="00EF2C32">
          <w:rPr>
            <w:noProof/>
          </w:rPr>
          <w:t>19</w:t>
        </w:r>
        <w:r>
          <w:fldChar w:fldCharType="end"/>
        </w:r>
      </w:p>
    </w:sdtContent>
  </w:sdt>
  <w:p w14:paraId="7B40C951" w14:textId="77777777" w:rsidR="001B6C3E" w:rsidRDefault="001B6C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67E68" w14:textId="77777777" w:rsidR="00DF26EF" w:rsidRDefault="00DF26EF" w:rsidP="00736E30">
      <w:r>
        <w:separator/>
      </w:r>
    </w:p>
  </w:footnote>
  <w:footnote w:type="continuationSeparator" w:id="0">
    <w:p w14:paraId="5C5B42BD" w14:textId="77777777" w:rsidR="00DF26EF" w:rsidRDefault="00DF26EF" w:rsidP="00736E30">
      <w:r>
        <w:continuationSeparator/>
      </w:r>
    </w:p>
  </w:footnote>
  <w:footnote w:id="1">
    <w:p w14:paraId="7CDB4E69" w14:textId="77777777" w:rsidR="001B6C3E" w:rsidRPr="00357393" w:rsidRDefault="001B6C3E" w:rsidP="00357393">
      <w:pPr>
        <w:pStyle w:val="Textonotapie"/>
        <w:jc w:val="both"/>
        <w:rPr>
          <w:rFonts w:ascii="Arial" w:hAnsi="Arial" w:cs="Arial"/>
          <w:sz w:val="16"/>
          <w:szCs w:val="16"/>
        </w:rPr>
      </w:pPr>
      <w:r w:rsidRPr="00357393">
        <w:rPr>
          <w:rStyle w:val="Refdenotaalpie"/>
          <w:rFonts w:ascii="Arial" w:hAnsi="Arial" w:cs="Arial"/>
          <w:sz w:val="16"/>
          <w:szCs w:val="16"/>
        </w:rPr>
        <w:footnoteRef/>
      </w:r>
      <w:r w:rsidRPr="00357393">
        <w:rPr>
          <w:rFonts w:ascii="Arial" w:hAnsi="Arial" w:cs="Arial"/>
          <w:sz w:val="16"/>
          <w:szCs w:val="16"/>
        </w:rPr>
        <w:t xml:space="preserve"> </w:t>
      </w:r>
      <w:r w:rsidRPr="00357393">
        <w:rPr>
          <w:rFonts w:ascii="Arial" w:hAnsi="Arial" w:cs="Arial"/>
          <w:bCs/>
          <w:sz w:val="16"/>
          <w:szCs w:val="16"/>
          <w:shd w:val="clear" w:color="auto" w:fill="FFFFFF"/>
        </w:rPr>
        <w:t>Artículo 153.</w:t>
      </w:r>
      <w:r w:rsidRPr="00357393">
        <w:rPr>
          <w:rStyle w:val="apple-converted-space"/>
          <w:rFonts w:ascii="Arial" w:hAnsi="Arial" w:cs="Arial"/>
          <w:bCs/>
          <w:sz w:val="16"/>
          <w:szCs w:val="16"/>
          <w:shd w:val="clear" w:color="auto" w:fill="FFFFFF"/>
        </w:rPr>
        <w:t> </w:t>
      </w:r>
      <w:r w:rsidRPr="00357393">
        <w:rPr>
          <w:rFonts w:ascii="Arial" w:hAnsi="Arial" w:cs="Arial"/>
          <w:bCs/>
          <w:i/>
          <w:iCs/>
          <w:sz w:val="16"/>
          <w:szCs w:val="16"/>
          <w:shd w:val="clear" w:color="auto" w:fill="FFFFFF"/>
        </w:rPr>
        <w:t>Competencia de los tribunales administrativos en segunda instancia</w:t>
      </w:r>
      <w:r w:rsidRPr="00357393">
        <w:rPr>
          <w:rFonts w:ascii="Arial" w:hAnsi="Arial" w:cs="Arial"/>
          <w:i/>
          <w:iCs/>
          <w:sz w:val="16"/>
          <w:szCs w:val="16"/>
          <w:shd w:val="clear" w:color="auto" w:fill="FFFFFF"/>
        </w:rPr>
        <w:t>.</w:t>
      </w:r>
      <w:r w:rsidRPr="00357393">
        <w:rPr>
          <w:rStyle w:val="apple-converted-space"/>
          <w:rFonts w:ascii="Arial" w:hAnsi="Arial" w:cs="Arial"/>
          <w:i/>
          <w:iCs/>
          <w:sz w:val="16"/>
          <w:szCs w:val="16"/>
          <w:shd w:val="clear" w:color="auto" w:fill="FFFFFF"/>
        </w:rPr>
        <w:t> </w:t>
      </w:r>
      <w:r w:rsidRPr="00357393">
        <w:rPr>
          <w:rFonts w:ascii="Arial" w:hAnsi="Arial" w:cs="Arial"/>
          <w:sz w:val="16"/>
          <w:szCs w:val="16"/>
          <w:shd w:val="clear" w:color="auto" w:fill="FFFFFF"/>
        </w:rPr>
        <w:t>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w:t>
      </w:r>
    </w:p>
  </w:footnote>
  <w:footnote w:id="2">
    <w:p w14:paraId="77508F97" w14:textId="77777777" w:rsidR="001B6C3E" w:rsidRPr="00785985" w:rsidRDefault="001B6C3E" w:rsidP="00D13AA7">
      <w:pPr>
        <w:jc w:val="both"/>
        <w:rPr>
          <w:rFonts w:ascii="Verdana" w:hAnsi="Verdana"/>
          <w:i/>
          <w:szCs w:val="18"/>
        </w:rPr>
      </w:pPr>
      <w:r w:rsidRPr="00785985">
        <w:rPr>
          <w:rStyle w:val="Refdenotaalpie"/>
          <w:rFonts w:ascii="Verdana" w:hAnsi="Verdana"/>
          <w:i/>
          <w:szCs w:val="18"/>
        </w:rPr>
        <w:footnoteRef/>
      </w:r>
      <w:r w:rsidRPr="00785985">
        <w:rPr>
          <w:rFonts w:ascii="Verdana" w:hAnsi="Verdana"/>
          <w:szCs w:val="18"/>
        </w:rPr>
        <w:t xml:space="preserve"> </w:t>
      </w:r>
      <w:r w:rsidRPr="00785985">
        <w:rPr>
          <w:rFonts w:ascii="Verdana" w:hAnsi="Verdana" w:cs="Tahoma"/>
          <w:sz w:val="16"/>
          <w:szCs w:val="16"/>
        </w:rPr>
        <w:t xml:space="preserve">Consejo de </w:t>
      </w:r>
      <w:r w:rsidRPr="00785985">
        <w:rPr>
          <w:rFonts w:ascii="Verdana" w:hAnsi="Verdana" w:cs="Tahoma"/>
          <w:sz w:val="16"/>
          <w:szCs w:val="16"/>
        </w:rPr>
        <w:t xml:space="preserve">Estado,  Sección Tercera,  Consejero Ponente: Doctor  RAMIRO SAAVEDRA BECERRA Sentencia de </w:t>
      </w:r>
      <w:r w:rsidRPr="00785985">
        <w:rPr>
          <w:rFonts w:ascii="Verdana" w:hAnsi="Verdana" w:cs="Tahoma"/>
          <w:b/>
          <w:sz w:val="16"/>
          <w:szCs w:val="16"/>
        </w:rPr>
        <w:t>11 de febrero de 2009</w:t>
      </w:r>
      <w:r w:rsidRPr="00785985">
        <w:rPr>
          <w:rFonts w:ascii="Verdana" w:hAnsi="Verdana" w:cs="Tahoma"/>
          <w:sz w:val="16"/>
          <w:szCs w:val="16"/>
        </w:rPr>
        <w:t>, expediente: 25000-23-26-000-1992-07963-01(15036).</w:t>
      </w:r>
    </w:p>
  </w:footnote>
  <w:footnote w:id="3">
    <w:p w14:paraId="68A186F2" w14:textId="77777777" w:rsidR="001B6C3E" w:rsidRPr="003A5413" w:rsidRDefault="001B6C3E" w:rsidP="00D13AA7">
      <w:pPr>
        <w:jc w:val="both"/>
        <w:rPr>
          <w:rFonts w:ascii="Tahoma" w:hAnsi="Tahoma" w:cs="Tahoma"/>
          <w:i/>
          <w:sz w:val="16"/>
          <w:szCs w:val="16"/>
          <w:lang w:val="es-MX"/>
        </w:rPr>
      </w:pPr>
      <w:r w:rsidRPr="00785985">
        <w:rPr>
          <w:rStyle w:val="Refdenotaalpie"/>
          <w:rFonts w:ascii="Verdana" w:hAnsi="Verdana"/>
          <w:i/>
          <w:spacing w:val="-20"/>
          <w:szCs w:val="18"/>
        </w:rPr>
        <w:footnoteRef/>
      </w:r>
      <w:r w:rsidRPr="00785985">
        <w:rPr>
          <w:rFonts w:ascii="Verdana" w:hAnsi="Verdana"/>
          <w:i/>
          <w:szCs w:val="18"/>
        </w:rPr>
        <w:t xml:space="preserve"> </w:t>
      </w:r>
      <w:r w:rsidRPr="00785985">
        <w:rPr>
          <w:rFonts w:ascii="Verdana" w:hAnsi="Verdana" w:cs="Tahoma"/>
          <w:sz w:val="16"/>
          <w:szCs w:val="16"/>
        </w:rPr>
        <w:t xml:space="preserve">Consejo de </w:t>
      </w:r>
      <w:r w:rsidRPr="00785985">
        <w:rPr>
          <w:rFonts w:ascii="Verdana" w:hAnsi="Verdana" w:cs="Tahoma"/>
          <w:sz w:val="16"/>
          <w:szCs w:val="16"/>
        </w:rPr>
        <w:t xml:space="preserve">Estado,  Sección Tercera,  Consejero Ponente: Doctor  RAMIRO SAAVEDRA BECERRA Sentencia de </w:t>
      </w:r>
      <w:r w:rsidRPr="00785985">
        <w:rPr>
          <w:rFonts w:ascii="Verdana" w:hAnsi="Verdana" w:cs="Tahoma"/>
          <w:b/>
          <w:sz w:val="16"/>
          <w:szCs w:val="16"/>
        </w:rPr>
        <w:t>24 de febrero de 2005</w:t>
      </w:r>
      <w:r w:rsidRPr="00785985">
        <w:rPr>
          <w:rFonts w:ascii="Verdana" w:hAnsi="Verdana" w:cs="Tahoma"/>
          <w:sz w:val="16"/>
          <w:szCs w:val="16"/>
        </w:rPr>
        <w:t>, expediente: 85001-23-31-000-1993-00074-01(14170)</w:t>
      </w:r>
      <w:r w:rsidRPr="003A5413">
        <w:rPr>
          <w:rFonts w:ascii="Tahoma" w:hAnsi="Tahoma" w:cs="Tahoma"/>
          <w:i/>
          <w:sz w:val="16"/>
          <w:szCs w:val="16"/>
        </w:rPr>
        <w:t xml:space="preserve"> </w:t>
      </w:r>
    </w:p>
  </w:footnote>
  <w:footnote w:id="4">
    <w:p w14:paraId="17C2D74B" w14:textId="77777777" w:rsidR="001B6C3E" w:rsidRPr="00926FE5" w:rsidRDefault="001B6C3E" w:rsidP="00D13AA7">
      <w:pPr>
        <w:jc w:val="both"/>
        <w:rPr>
          <w:i/>
        </w:rPr>
      </w:pPr>
      <w:r w:rsidRPr="00926FE5">
        <w:rPr>
          <w:rStyle w:val="Refdenotaalpie"/>
          <w:spacing w:val="-20"/>
        </w:rPr>
        <w:footnoteRef/>
      </w:r>
      <w:r w:rsidRPr="00926FE5">
        <w:t xml:space="preserve"> </w:t>
      </w:r>
      <w:r w:rsidRPr="00FD787F">
        <w:rPr>
          <w:rFonts w:ascii="Tahoma" w:hAnsi="Tahoma" w:cs="Tahoma"/>
          <w:sz w:val="16"/>
          <w:szCs w:val="16"/>
        </w:rPr>
        <w:t xml:space="preserve">Consejo de Estado, Sala de lo Contencioso Administrativo, Sección Tercera, Sentencia de 28 de octubre de 1976, Consejero Ponente, </w:t>
      </w:r>
      <w:r w:rsidRPr="00FD787F">
        <w:rPr>
          <w:rFonts w:ascii="Tahoma" w:hAnsi="Tahoma" w:cs="Tahoma"/>
          <w:sz w:val="16"/>
          <w:szCs w:val="16"/>
        </w:rPr>
        <w:t>Doctor  JORGE VALENCIA ARANGO.</w:t>
      </w:r>
      <w:r w:rsidRPr="00926FE5">
        <w:rPr>
          <w:i/>
        </w:rPr>
        <w:t xml:space="preserve"> </w:t>
      </w:r>
    </w:p>
  </w:footnote>
  <w:footnote w:id="5">
    <w:p w14:paraId="28CA28DF" w14:textId="77777777" w:rsidR="001B6C3E" w:rsidRPr="00946381" w:rsidRDefault="001B6C3E" w:rsidP="00D13AA7">
      <w:pPr>
        <w:jc w:val="both"/>
        <w:rPr>
          <w:rFonts w:ascii="Tahoma" w:hAnsi="Tahoma" w:cs="Tahoma"/>
          <w:sz w:val="16"/>
          <w:szCs w:val="16"/>
          <w:lang w:val="es-MX"/>
        </w:rPr>
      </w:pPr>
      <w:r w:rsidRPr="00926FE5">
        <w:rPr>
          <w:rStyle w:val="Refdenotaalpie"/>
          <w:i/>
        </w:rPr>
        <w:footnoteRef/>
      </w:r>
      <w:r w:rsidRPr="00946381">
        <w:rPr>
          <w:rFonts w:ascii="Tahoma" w:hAnsi="Tahoma" w:cs="Tahoma"/>
          <w:sz w:val="16"/>
          <w:szCs w:val="16"/>
        </w:rPr>
        <w:t xml:space="preserve"> Sentencias del 13 de julio de 1993, expediente no. 8163 y del 10 de marzo del 2011, expediente 17.738, Consejero ponente doctor Mauricio Fajardo Gómez; citadas en sentencia de la Sección Tercera, subsección A, de fecha 7 de marzo de 2012 siendo Consejero ponente el doctor Hernán Andrade Rincón radicación: 250002326000199603282 01 expediente: 20.042</w:t>
      </w:r>
      <w:r w:rsidRPr="00946381">
        <w:rPr>
          <w:rFonts w:ascii="Tahoma" w:hAnsi="Tahoma" w:cs="Tahoma"/>
          <w:sz w:val="16"/>
          <w:szCs w:val="16"/>
        </w:rPr>
        <w:t>;  actor: Sociedad Banco Ganadero S.A.,  demandado: Nación – Superintendencia de notariado y registro.</w:t>
      </w:r>
    </w:p>
  </w:footnote>
  <w:footnote w:id="6">
    <w:p w14:paraId="6E8EB792" w14:textId="77777777" w:rsidR="001B6C3E" w:rsidRPr="00946381" w:rsidRDefault="001B6C3E" w:rsidP="00D13AA7">
      <w:pPr>
        <w:pStyle w:val="Textonotapie"/>
        <w:jc w:val="both"/>
        <w:rPr>
          <w:rFonts w:ascii="Tahoma" w:hAnsi="Tahoma" w:cs="Tahoma"/>
          <w:sz w:val="16"/>
          <w:szCs w:val="16"/>
        </w:rPr>
      </w:pPr>
      <w:r w:rsidRPr="00946381">
        <w:rPr>
          <w:rStyle w:val="Refdenotaalpie"/>
          <w:rFonts w:ascii="Tahoma" w:hAnsi="Tahoma" w:cs="Tahoma"/>
          <w:sz w:val="16"/>
          <w:szCs w:val="16"/>
        </w:rPr>
        <w:footnoteRef/>
      </w:r>
      <w:r w:rsidRPr="00946381">
        <w:rPr>
          <w:rFonts w:ascii="Tahoma" w:hAnsi="Tahoma" w:cs="Tahoma"/>
          <w:sz w:val="16"/>
          <w:szCs w:val="16"/>
        </w:rPr>
        <w:t xml:space="preserve"> Sentencia del </w:t>
      </w:r>
      <w:smartTag w:uri="urn:schemas-microsoft-com:office:smarttags" w:element="date">
        <w:smartTagPr>
          <w:attr w:name="ls" w:val="trans"/>
          <w:attr w:name="Month" w:val="5"/>
          <w:attr w:name="Day" w:val="23"/>
          <w:attr w:name="Year" w:val="1994"/>
        </w:smartTagPr>
        <w:r w:rsidRPr="00946381">
          <w:rPr>
            <w:rFonts w:ascii="Tahoma" w:hAnsi="Tahoma" w:cs="Tahoma"/>
            <w:sz w:val="16"/>
            <w:szCs w:val="16"/>
          </w:rPr>
          <w:t>23 de mayo de 1994</w:t>
        </w:r>
      </w:smartTag>
      <w:r w:rsidRPr="00946381">
        <w:rPr>
          <w:rFonts w:ascii="Tahoma" w:hAnsi="Tahoma" w:cs="Tahoma"/>
          <w:sz w:val="16"/>
          <w:szCs w:val="16"/>
        </w:rPr>
        <w:t xml:space="preserve">, </w:t>
      </w:r>
      <w:r w:rsidRPr="00946381">
        <w:rPr>
          <w:rFonts w:ascii="Tahoma" w:hAnsi="Tahoma" w:cs="Tahoma"/>
          <w:sz w:val="16"/>
          <w:szCs w:val="16"/>
        </w:rPr>
        <w:t>exp: 7616.</w:t>
      </w:r>
    </w:p>
  </w:footnote>
  <w:footnote w:id="7">
    <w:p w14:paraId="74253D98" w14:textId="77777777" w:rsidR="001B6C3E" w:rsidRPr="000C2F92" w:rsidRDefault="001B6C3E" w:rsidP="00D13AA7">
      <w:pPr>
        <w:pStyle w:val="Textonotapie"/>
        <w:jc w:val="both"/>
        <w:rPr>
          <w:i/>
        </w:rPr>
      </w:pPr>
      <w:r w:rsidRPr="00946381">
        <w:rPr>
          <w:rStyle w:val="Refdenotaalpie"/>
          <w:rFonts w:ascii="Tahoma" w:hAnsi="Tahoma" w:cs="Tahoma"/>
          <w:sz w:val="16"/>
          <w:szCs w:val="16"/>
        </w:rPr>
        <w:footnoteRef/>
      </w:r>
      <w:r w:rsidRPr="00946381">
        <w:rPr>
          <w:rFonts w:ascii="Tahoma" w:hAnsi="Tahoma" w:cs="Tahoma"/>
          <w:sz w:val="16"/>
          <w:szCs w:val="16"/>
        </w:rPr>
        <w:t xml:space="preserve"> Sentencia de </w:t>
      </w:r>
      <w:smartTag w:uri="urn:schemas-microsoft-com:office:smarttags" w:element="date">
        <w:smartTagPr>
          <w:attr w:name="ls" w:val="trans"/>
          <w:attr w:name="Month" w:val="9"/>
          <w:attr w:name="Day" w:val="26"/>
          <w:attr w:name="Year" w:val="2002"/>
        </w:smartTagPr>
        <w:r w:rsidRPr="00946381">
          <w:rPr>
            <w:rFonts w:ascii="Tahoma" w:hAnsi="Tahoma" w:cs="Tahoma"/>
            <w:sz w:val="16"/>
            <w:szCs w:val="16"/>
          </w:rPr>
          <w:t>26 de septiembre de 2002</w:t>
        </w:r>
      </w:smartTag>
      <w:r w:rsidRPr="00946381">
        <w:rPr>
          <w:rFonts w:ascii="Tahoma" w:hAnsi="Tahoma" w:cs="Tahoma"/>
          <w:sz w:val="16"/>
          <w:szCs w:val="16"/>
        </w:rPr>
        <w:t xml:space="preserve">, </w:t>
      </w:r>
      <w:r w:rsidRPr="00946381">
        <w:rPr>
          <w:rFonts w:ascii="Tahoma" w:hAnsi="Tahoma" w:cs="Tahoma"/>
          <w:sz w:val="16"/>
          <w:szCs w:val="16"/>
        </w:rPr>
        <w:t>exp: 14.122.</w:t>
      </w:r>
    </w:p>
  </w:footnote>
  <w:footnote w:id="8">
    <w:p w14:paraId="53B8DD3D" w14:textId="77777777" w:rsidR="001B6C3E" w:rsidRPr="00E26BE2" w:rsidRDefault="001B6C3E" w:rsidP="00D13AA7">
      <w:pPr>
        <w:pStyle w:val="Textonotapie"/>
        <w:jc w:val="both"/>
        <w:rPr>
          <w:rFonts w:ascii="Verdana" w:hAnsi="Verdana"/>
          <w:i/>
          <w:sz w:val="18"/>
          <w:szCs w:val="18"/>
        </w:rPr>
      </w:pPr>
      <w:r w:rsidRPr="00E26BE2">
        <w:rPr>
          <w:rStyle w:val="Refdenotaalpie"/>
          <w:rFonts w:ascii="Verdana" w:hAnsi="Verdana"/>
          <w:i/>
          <w:sz w:val="18"/>
          <w:szCs w:val="18"/>
        </w:rPr>
        <w:footnoteRef/>
      </w:r>
      <w:r w:rsidRPr="00E26BE2">
        <w:rPr>
          <w:rFonts w:ascii="Verdana" w:hAnsi="Verdana"/>
          <w:i/>
          <w:sz w:val="18"/>
          <w:szCs w:val="18"/>
        </w:rPr>
        <w:t xml:space="preserve"> “</w:t>
      </w:r>
      <w:r w:rsidRPr="00E26BE2">
        <w:rPr>
          <w:rFonts w:ascii="Verdana" w:hAnsi="Verdana" w:cs="Tahoma"/>
          <w:i/>
          <w:sz w:val="18"/>
          <w:szCs w:val="18"/>
        </w:rPr>
        <w:t xml:space="preserve">...conforme a los principios decantados por la jurisprudencia nacional, la relación de causalidad sólo tiene relevancia para el derecho cuando responde a criterios de naturaleza jurídica, más allá de la simple vinculación física entre un comportamiento y un resultado; así, no parece necesario recurrir al análisis de la “virtualidad causal de la acción”, propuesto por el profesor Entrena Cuesta, para reemplazar el citado elemento de la obligación de indemnizar, sin perjuicio de que dicho análisis resulte útil para demostrar, por la vía de un argumento activo, el nexo adecuado existente entre la omisión y el daño producido.  A ello alude, precisamente, la determinación de la posibilidad que tenía la administración para evitar el daño”. Consejo de estado, Sección Tercera. Sentencia de </w:t>
      </w:r>
      <w:smartTag w:uri="urn:schemas-microsoft-com:office:smarttags" w:element="date">
        <w:smartTagPr>
          <w:attr w:name="ls" w:val="trans"/>
          <w:attr w:name="Month" w:val="2"/>
          <w:attr w:name="Day" w:val="21"/>
          <w:attr w:name="Year" w:val="2002"/>
        </w:smartTagPr>
        <w:r w:rsidRPr="00E26BE2">
          <w:rPr>
            <w:rFonts w:ascii="Verdana" w:hAnsi="Verdana" w:cs="Tahoma"/>
            <w:i/>
            <w:sz w:val="18"/>
            <w:szCs w:val="18"/>
          </w:rPr>
          <w:t>21 de febrero de 2002</w:t>
        </w:r>
      </w:smartTag>
      <w:r w:rsidRPr="00E26BE2">
        <w:rPr>
          <w:rFonts w:ascii="Verdana" w:hAnsi="Verdana" w:cs="Tahoma"/>
          <w:i/>
          <w:sz w:val="18"/>
          <w:szCs w:val="18"/>
        </w:rPr>
        <w:t xml:space="preserve">, </w:t>
      </w:r>
      <w:r w:rsidRPr="00E26BE2">
        <w:rPr>
          <w:rFonts w:ascii="Verdana" w:hAnsi="Verdana" w:cs="Tahoma"/>
          <w:i/>
          <w:sz w:val="18"/>
          <w:szCs w:val="18"/>
        </w:rPr>
        <w:t xml:space="preserve">exp: 12.789. C.P. Alier Eduardo Hernández Enríquez.  </w:t>
      </w:r>
    </w:p>
  </w:footnote>
  <w:footnote w:id="9">
    <w:p w14:paraId="0A808373" w14:textId="77777777" w:rsidR="00584724" w:rsidRPr="00680445" w:rsidRDefault="00584724" w:rsidP="00584724">
      <w:pPr>
        <w:pStyle w:val="Textonotapie"/>
        <w:jc w:val="both"/>
        <w:rPr>
          <w:rFonts w:ascii="Verdana" w:hAnsi="Verdana"/>
          <w:sz w:val="18"/>
          <w:lang w:val="es-CO"/>
        </w:rPr>
      </w:pPr>
      <w:r>
        <w:rPr>
          <w:rStyle w:val="Refdenotaalpie"/>
        </w:rPr>
        <w:footnoteRef/>
      </w:r>
      <w:r>
        <w:t xml:space="preserve"> </w:t>
      </w:r>
      <w:r w:rsidRPr="00680445">
        <w:rPr>
          <w:rFonts w:ascii="Verdana" w:hAnsi="Verdana"/>
          <w:sz w:val="18"/>
        </w:rPr>
        <w:t xml:space="preserve">Consejo de Estado, Sección Tercera, sentencia de 12 de octubre de 2017. </w:t>
      </w:r>
      <w:r w:rsidRPr="00680445">
        <w:rPr>
          <w:rFonts w:ascii="Verdana" w:hAnsi="Verdana"/>
          <w:sz w:val="18"/>
        </w:rPr>
        <w:t xml:space="preserve">Exp. </w:t>
      </w:r>
      <w:r w:rsidRPr="00680445">
        <w:rPr>
          <w:rFonts w:ascii="Verdana" w:hAnsi="Verdana" w:cs="Arial"/>
          <w:sz w:val="18"/>
          <w:szCs w:val="24"/>
        </w:rPr>
        <w:t>25000-23-26-000-2006-02014-01(44391), C.P. Ramiro Pazos Guerrero.</w:t>
      </w:r>
    </w:p>
    <w:p w14:paraId="63A846CC" w14:textId="25A81746" w:rsidR="00584724" w:rsidRPr="00584724" w:rsidRDefault="00584724">
      <w:pPr>
        <w:pStyle w:val="Textonotapie"/>
      </w:pPr>
    </w:p>
  </w:footnote>
  <w:footnote w:id="10">
    <w:p w14:paraId="42B68522" w14:textId="20FDC1A5" w:rsidR="00DD5E74" w:rsidRPr="00DD5E74" w:rsidRDefault="00DD5E74">
      <w:pPr>
        <w:pStyle w:val="Textonotapie"/>
      </w:pPr>
      <w:r>
        <w:rPr>
          <w:rStyle w:val="Refdenotaalpie"/>
        </w:rPr>
        <w:footnoteRef/>
      </w:r>
      <w:r>
        <w:t xml:space="preserve"> </w:t>
      </w:r>
      <w:r>
        <w:t>Ibídem</w:t>
      </w:r>
    </w:p>
  </w:footnote>
  <w:footnote w:id="11">
    <w:p w14:paraId="6FA54E87" w14:textId="0B56BACC" w:rsidR="004B3BB1" w:rsidRPr="004B3BB1" w:rsidRDefault="004B3BB1">
      <w:pPr>
        <w:pStyle w:val="Textonotapie"/>
      </w:pPr>
      <w:r>
        <w:rPr>
          <w:rStyle w:val="Refdenotaalpie"/>
        </w:rPr>
        <w:footnoteRef/>
      </w:r>
      <w:r>
        <w:t xml:space="preserve"> </w:t>
      </w:r>
      <w:r>
        <w:t xml:space="preserve">Ibídem </w:t>
      </w:r>
    </w:p>
  </w:footnote>
  <w:footnote w:id="12">
    <w:p w14:paraId="0508D6F6" w14:textId="7119831A" w:rsidR="00E61CF6" w:rsidRPr="00325644" w:rsidRDefault="00E61CF6" w:rsidP="00EF2C32">
      <w:pPr>
        <w:pStyle w:val="Textonotapie"/>
        <w:jc w:val="both"/>
      </w:pPr>
      <w:r>
        <w:rPr>
          <w:rStyle w:val="Refdenotaalpie"/>
        </w:rPr>
        <w:footnoteRef/>
      </w:r>
      <w:r>
        <w:t xml:space="preserve"> </w:t>
      </w:r>
      <w:r w:rsidRPr="00680445">
        <w:rPr>
          <w:rFonts w:ascii="Verdana" w:hAnsi="Verdana"/>
          <w:sz w:val="18"/>
        </w:rPr>
        <w:t xml:space="preserve">Consejo de Estado, Sección Tercera, sentencia de </w:t>
      </w:r>
      <w:r>
        <w:rPr>
          <w:rFonts w:ascii="Verdana" w:hAnsi="Verdana"/>
          <w:sz w:val="18"/>
        </w:rPr>
        <w:t xml:space="preserve">20 de febrero de 2020. </w:t>
      </w:r>
      <w:r w:rsidRPr="00680445">
        <w:rPr>
          <w:rFonts w:ascii="Verdana" w:hAnsi="Verdana"/>
          <w:sz w:val="18"/>
        </w:rPr>
        <w:t xml:space="preserve">Exp. </w:t>
      </w:r>
      <w:r>
        <w:rPr>
          <w:rFonts w:ascii="Verdana" w:hAnsi="Verdana"/>
          <w:sz w:val="18"/>
        </w:rPr>
        <w:t xml:space="preserve">76001233100020110177601 </w:t>
      </w:r>
      <w:r w:rsidRPr="00680445">
        <w:rPr>
          <w:rFonts w:ascii="Verdana" w:hAnsi="Verdana" w:cs="Arial"/>
          <w:sz w:val="18"/>
          <w:szCs w:val="24"/>
        </w:rPr>
        <w:t>(</w:t>
      </w:r>
      <w:r>
        <w:rPr>
          <w:rFonts w:ascii="Verdana" w:hAnsi="Verdana" w:cs="Arial"/>
          <w:sz w:val="18"/>
          <w:szCs w:val="24"/>
        </w:rPr>
        <w:t>52750)</w:t>
      </w:r>
      <w:r w:rsidRPr="00680445">
        <w:rPr>
          <w:rFonts w:ascii="Verdana" w:hAnsi="Verdana" w:cs="Arial"/>
          <w:sz w:val="18"/>
          <w:szCs w:val="24"/>
        </w:rPr>
        <w:t xml:space="preserve">, C.P. </w:t>
      </w:r>
      <w:r>
        <w:rPr>
          <w:rFonts w:ascii="Verdana" w:hAnsi="Verdana" w:cs="Arial"/>
          <w:sz w:val="18"/>
          <w:szCs w:val="24"/>
        </w:rPr>
        <w:t>Marta Nubia Velásquez Rico</w:t>
      </w:r>
    </w:p>
  </w:footnote>
  <w:footnote w:id="13">
    <w:p w14:paraId="3F63AB04" w14:textId="77777777" w:rsidR="001B6C3E" w:rsidRPr="00680445" w:rsidRDefault="001B6C3E" w:rsidP="00002D90">
      <w:pPr>
        <w:pStyle w:val="Textonotapie"/>
        <w:jc w:val="both"/>
        <w:rPr>
          <w:rFonts w:ascii="Verdana" w:hAnsi="Verdana"/>
          <w:sz w:val="18"/>
          <w:lang w:val="es-CO"/>
        </w:rPr>
      </w:pPr>
      <w:r w:rsidRPr="00680445">
        <w:rPr>
          <w:rStyle w:val="Refdenotaalpie"/>
          <w:rFonts w:ascii="Verdana" w:hAnsi="Verdana"/>
          <w:sz w:val="18"/>
        </w:rPr>
        <w:footnoteRef/>
      </w:r>
      <w:r w:rsidRPr="00680445">
        <w:rPr>
          <w:rFonts w:ascii="Verdana" w:hAnsi="Verdana"/>
          <w:sz w:val="18"/>
        </w:rPr>
        <w:t xml:space="preserve"> Consejo de Estado, Sección Tercera, sentencia de 12 de octubre de 2017. </w:t>
      </w:r>
      <w:r w:rsidRPr="00680445">
        <w:rPr>
          <w:rFonts w:ascii="Verdana" w:hAnsi="Verdana"/>
          <w:sz w:val="18"/>
        </w:rPr>
        <w:t xml:space="preserve">Exp. </w:t>
      </w:r>
      <w:r w:rsidRPr="00680445">
        <w:rPr>
          <w:rFonts w:ascii="Verdana" w:hAnsi="Verdana" w:cs="Arial"/>
          <w:sz w:val="18"/>
          <w:szCs w:val="24"/>
        </w:rPr>
        <w:t>25000-23-26-000-2006-02014-01(44391), C.P. Ramiro Pazos Guerrero.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1B6C3E" w:rsidRDefault="001B6C3E" w:rsidP="00FD1E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4D7232" w14:textId="77777777" w:rsidR="001B6C3E" w:rsidRDefault="001B6C3E" w:rsidP="00FD1E4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5BA6" w14:textId="657CC21E" w:rsidR="001B6C3E" w:rsidRPr="00350611" w:rsidRDefault="001B6C3E" w:rsidP="00350611">
    <w:pPr>
      <w:ind w:right="-79"/>
      <w:jc w:val="both"/>
      <w:rPr>
        <w:rFonts w:asciiTheme="minorHAnsi" w:hAnsiTheme="minorHAnsi" w:cstheme="minorHAnsi"/>
        <w:sz w:val="12"/>
        <w:szCs w:val="12"/>
      </w:rPr>
    </w:pPr>
    <w:r w:rsidRPr="00350611">
      <w:rPr>
        <w:rFonts w:asciiTheme="minorHAnsi" w:hAnsiTheme="minorHAnsi" w:cstheme="minorHAnsi"/>
        <w:sz w:val="12"/>
        <w:szCs w:val="12"/>
      </w:rPr>
      <w:t>MEDIO DE CONTROL: REPARACION DIRECTA</w:t>
    </w:r>
    <w:r w:rsidRPr="00350611">
      <w:rPr>
        <w:rFonts w:asciiTheme="minorHAnsi" w:hAnsiTheme="minorHAnsi" w:cstheme="minorHAnsi"/>
        <w:sz w:val="12"/>
        <w:szCs w:val="12"/>
      </w:rPr>
      <w:tab/>
    </w:r>
  </w:p>
  <w:p w14:paraId="0C62D4D6" w14:textId="77777777" w:rsidR="001B6C3E" w:rsidRPr="00350611" w:rsidRDefault="001B6C3E" w:rsidP="00350611">
    <w:pPr>
      <w:ind w:right="-79"/>
      <w:jc w:val="both"/>
      <w:rPr>
        <w:rFonts w:asciiTheme="minorHAnsi" w:hAnsiTheme="minorHAnsi" w:cstheme="minorHAnsi"/>
        <w:sz w:val="12"/>
        <w:szCs w:val="12"/>
      </w:rPr>
    </w:pPr>
    <w:r w:rsidRPr="00350611">
      <w:rPr>
        <w:rFonts w:asciiTheme="minorHAnsi" w:hAnsiTheme="minorHAnsi" w:cstheme="minorHAnsi"/>
        <w:sz w:val="12"/>
        <w:szCs w:val="12"/>
      </w:rPr>
      <w:t xml:space="preserve">DEMANDANTE: RODOLFO CONCISIÓN GARCÍA </w:t>
    </w:r>
  </w:p>
  <w:p w14:paraId="468BCDF0" w14:textId="77777777" w:rsidR="001B6C3E" w:rsidRPr="00350611" w:rsidRDefault="001B6C3E" w:rsidP="00350611">
    <w:pPr>
      <w:pStyle w:val="Sangra3detindependiente"/>
      <w:ind w:left="0" w:right="-79"/>
      <w:rPr>
        <w:rFonts w:asciiTheme="minorHAnsi" w:hAnsiTheme="minorHAnsi" w:cstheme="minorHAnsi"/>
        <w:b w:val="0"/>
        <w:sz w:val="12"/>
        <w:szCs w:val="12"/>
      </w:rPr>
    </w:pPr>
    <w:r w:rsidRPr="00350611">
      <w:rPr>
        <w:rFonts w:asciiTheme="minorHAnsi" w:hAnsiTheme="minorHAnsi" w:cstheme="minorHAnsi"/>
        <w:b w:val="0"/>
        <w:sz w:val="12"/>
        <w:szCs w:val="12"/>
      </w:rPr>
      <w:t xml:space="preserve">DEMANDADO: SUPERINTENDENCIA DE NOTARIADO Y REGISTRO Y OTROS </w:t>
    </w:r>
  </w:p>
  <w:p w14:paraId="4A76A1A3" w14:textId="7D9B60DC" w:rsidR="001B6C3E" w:rsidRPr="00350611" w:rsidRDefault="001B6C3E" w:rsidP="00350611">
    <w:pPr>
      <w:ind w:right="-79"/>
      <w:jc w:val="both"/>
      <w:rPr>
        <w:rFonts w:asciiTheme="minorHAnsi" w:hAnsiTheme="minorHAnsi" w:cstheme="minorHAnsi"/>
        <w:sz w:val="12"/>
        <w:szCs w:val="12"/>
      </w:rPr>
    </w:pPr>
    <w:r w:rsidRPr="00350611">
      <w:rPr>
        <w:rFonts w:asciiTheme="minorHAnsi" w:hAnsiTheme="minorHAnsi" w:cstheme="minorHAnsi"/>
        <w:sz w:val="12"/>
        <w:szCs w:val="12"/>
      </w:rPr>
      <w:t xml:space="preserve">RADICADO: 152383339752 201500132 02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pt;height:9pt" coordsize="" o:spt="100" o:bullet="t" adj="0,,0" path="" stroked="f">
        <v:stroke joinstyle="miter"/>
        <v:imagedata r:id="rId1" o:title="image37"/>
        <v:formulas/>
        <v:path o:connecttype="segments"/>
      </v:shape>
    </w:pict>
  </w:numPicBullet>
  <w:numPicBullet w:numPicBulletId="1">
    <w:pict>
      <v:shape id="_x0000_i1029" style="width:8.25pt;height:8.25pt" coordsize="" o:spt="100" o:bullet="t" adj="0,,0" path="" stroked="f">
        <v:stroke joinstyle="miter"/>
        <v:imagedata r:id="rId2" o:title="image38"/>
        <v:formulas/>
        <v:path o:connecttype="segments"/>
      </v:shape>
    </w:pict>
  </w:numPicBullet>
  <w:abstractNum w:abstractNumId="0" w15:restartNumberingAfterBreak="0">
    <w:nsid w:val="041245F4"/>
    <w:multiLevelType w:val="hybridMultilevel"/>
    <w:tmpl w:val="3EA0E884"/>
    <w:lvl w:ilvl="0" w:tplc="18722F2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8E394C"/>
    <w:multiLevelType w:val="hybridMultilevel"/>
    <w:tmpl w:val="5B181C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882D16"/>
    <w:multiLevelType w:val="hybridMultilevel"/>
    <w:tmpl w:val="79924250"/>
    <w:lvl w:ilvl="0" w:tplc="049E7A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50632C"/>
    <w:multiLevelType w:val="hybridMultilevel"/>
    <w:tmpl w:val="C0E6BC1C"/>
    <w:lvl w:ilvl="0" w:tplc="EDAA1870">
      <w:start w:val="3"/>
      <w:numFmt w:val="bullet"/>
      <w:lvlText w:val="-"/>
      <w:lvlJc w:val="left"/>
      <w:pPr>
        <w:ind w:left="720" w:hanging="360"/>
      </w:pPr>
      <w:rPr>
        <w:rFonts w:ascii="Verdana" w:eastAsia="Calibri" w:hAnsi="Verdana"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910E9"/>
    <w:multiLevelType w:val="hybridMultilevel"/>
    <w:tmpl w:val="FFFFFFFF"/>
    <w:lvl w:ilvl="0" w:tplc="F05458EA">
      <w:start w:val="3"/>
      <w:numFmt w:val="decimal"/>
      <w:lvlText w:val="%1."/>
      <w:lvlJc w:val="left"/>
      <w:pPr>
        <w:ind w:left="104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77069FE6">
      <w:start w:val="1"/>
      <w:numFmt w:val="lowerLetter"/>
      <w:lvlText w:val="%2"/>
      <w:lvlJc w:val="left"/>
      <w:pPr>
        <w:ind w:left="125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BFBADEE6">
      <w:start w:val="1"/>
      <w:numFmt w:val="lowerRoman"/>
      <w:lvlText w:val="%3"/>
      <w:lvlJc w:val="left"/>
      <w:pPr>
        <w:ind w:left="197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B4AA6C9C">
      <w:start w:val="1"/>
      <w:numFmt w:val="decimal"/>
      <w:lvlText w:val="%4"/>
      <w:lvlJc w:val="left"/>
      <w:pPr>
        <w:ind w:left="269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F3F81ED0">
      <w:start w:val="1"/>
      <w:numFmt w:val="lowerLetter"/>
      <w:lvlText w:val="%5"/>
      <w:lvlJc w:val="left"/>
      <w:pPr>
        <w:ind w:left="341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847C2164">
      <w:start w:val="1"/>
      <w:numFmt w:val="lowerRoman"/>
      <w:lvlText w:val="%6"/>
      <w:lvlJc w:val="left"/>
      <w:pPr>
        <w:ind w:left="413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6B366666">
      <w:start w:val="1"/>
      <w:numFmt w:val="decimal"/>
      <w:lvlText w:val="%7"/>
      <w:lvlJc w:val="left"/>
      <w:pPr>
        <w:ind w:left="485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D9CC0F8A">
      <w:start w:val="1"/>
      <w:numFmt w:val="lowerLetter"/>
      <w:lvlText w:val="%8"/>
      <w:lvlJc w:val="left"/>
      <w:pPr>
        <w:ind w:left="557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92D472F4">
      <w:start w:val="1"/>
      <w:numFmt w:val="lowerRoman"/>
      <w:lvlText w:val="%9"/>
      <w:lvlJc w:val="left"/>
      <w:pPr>
        <w:ind w:left="629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F035B01"/>
    <w:multiLevelType w:val="hybridMultilevel"/>
    <w:tmpl w:val="7D64E0A6"/>
    <w:lvl w:ilvl="0" w:tplc="7E04D54C">
      <w:start w:val="3"/>
      <w:numFmt w:val="bullet"/>
      <w:lvlText w:val="-"/>
      <w:lvlJc w:val="left"/>
      <w:pPr>
        <w:ind w:left="720" w:hanging="360"/>
      </w:pPr>
      <w:rPr>
        <w:rFonts w:ascii="Verdana" w:eastAsia="Calibr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93172B"/>
    <w:multiLevelType w:val="hybridMultilevel"/>
    <w:tmpl w:val="FFFFFFFF"/>
    <w:lvl w:ilvl="0" w:tplc="269483D4">
      <w:start w:val="1"/>
      <w:numFmt w:val="upperLetter"/>
      <w:lvlText w:val="%1."/>
      <w:lvlJc w:val="left"/>
      <w:pPr>
        <w:ind w:left="10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FD68290">
      <w:start w:val="1"/>
      <w:numFmt w:val="lowerLetter"/>
      <w:lvlText w:val="%2"/>
      <w:lvlJc w:val="left"/>
      <w:pPr>
        <w:ind w:left="13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603664E2">
      <w:start w:val="1"/>
      <w:numFmt w:val="lowerRoman"/>
      <w:lvlText w:val="%3"/>
      <w:lvlJc w:val="left"/>
      <w:pPr>
        <w:ind w:left="21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88F46822">
      <w:start w:val="1"/>
      <w:numFmt w:val="decimal"/>
      <w:lvlText w:val="%4"/>
      <w:lvlJc w:val="left"/>
      <w:pPr>
        <w:ind w:left="28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7276AF5A">
      <w:start w:val="1"/>
      <w:numFmt w:val="lowerLetter"/>
      <w:lvlText w:val="%5"/>
      <w:lvlJc w:val="left"/>
      <w:pPr>
        <w:ind w:left="35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B106C6FC">
      <w:start w:val="1"/>
      <w:numFmt w:val="lowerRoman"/>
      <w:lvlText w:val="%6"/>
      <w:lvlJc w:val="left"/>
      <w:pPr>
        <w:ind w:left="42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20097E6">
      <w:start w:val="1"/>
      <w:numFmt w:val="decimal"/>
      <w:lvlText w:val="%7"/>
      <w:lvlJc w:val="left"/>
      <w:pPr>
        <w:ind w:left="49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0058B1C6">
      <w:start w:val="1"/>
      <w:numFmt w:val="lowerLetter"/>
      <w:lvlText w:val="%8"/>
      <w:lvlJc w:val="left"/>
      <w:pPr>
        <w:ind w:left="57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74F685BA">
      <w:start w:val="1"/>
      <w:numFmt w:val="lowerRoman"/>
      <w:lvlText w:val="%9"/>
      <w:lvlJc w:val="left"/>
      <w:pPr>
        <w:ind w:left="64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5196E1B"/>
    <w:multiLevelType w:val="multilevel"/>
    <w:tmpl w:val="A5AEA47A"/>
    <w:lvl w:ilvl="0">
      <w:start w:val="1"/>
      <w:numFmt w:val="upperRoman"/>
      <w:lvlText w:val="%1."/>
      <w:lvlJc w:val="left"/>
      <w:pPr>
        <w:ind w:left="1080" w:hanging="720"/>
      </w:pPr>
      <w:rPr>
        <w:rFonts w:cs="Times New Roman" w:hint="default"/>
      </w:rPr>
    </w:lvl>
    <w:lvl w:ilvl="1">
      <w:start w:val="5"/>
      <w:numFmt w:val="decimal"/>
      <w:isLgl/>
      <w:lvlText w:val="%1.%2."/>
      <w:lvlJc w:val="left"/>
      <w:pPr>
        <w:ind w:left="1417" w:hanging="885"/>
      </w:pPr>
      <w:rPr>
        <w:rFonts w:hint="default"/>
      </w:rPr>
    </w:lvl>
    <w:lvl w:ilvl="2">
      <w:start w:val="2"/>
      <w:numFmt w:val="decimal"/>
      <w:isLgl/>
      <w:lvlText w:val="%1.%2.%3."/>
      <w:lvlJc w:val="left"/>
      <w:pPr>
        <w:ind w:left="1784" w:hanging="1080"/>
      </w:pPr>
      <w:rPr>
        <w:rFonts w:hint="default"/>
      </w:rPr>
    </w:lvl>
    <w:lvl w:ilvl="3">
      <w:start w:val="1"/>
      <w:numFmt w:val="decimal"/>
      <w:isLgl/>
      <w:lvlText w:val="%1.%2.%3.%4."/>
      <w:lvlJc w:val="left"/>
      <w:pPr>
        <w:ind w:left="2316" w:hanging="1440"/>
      </w:pPr>
      <w:rPr>
        <w:rFonts w:hint="default"/>
      </w:rPr>
    </w:lvl>
    <w:lvl w:ilvl="4">
      <w:start w:val="1"/>
      <w:numFmt w:val="decimal"/>
      <w:isLgl/>
      <w:lvlText w:val="%1.%2.%3.%4.%5."/>
      <w:lvlJc w:val="left"/>
      <w:pPr>
        <w:ind w:left="2848" w:hanging="1800"/>
      </w:pPr>
      <w:rPr>
        <w:rFonts w:hint="default"/>
      </w:rPr>
    </w:lvl>
    <w:lvl w:ilvl="5">
      <w:start w:val="1"/>
      <w:numFmt w:val="decimal"/>
      <w:isLgl/>
      <w:lvlText w:val="%1.%2.%3.%4.%5.%6."/>
      <w:lvlJc w:val="left"/>
      <w:pPr>
        <w:ind w:left="3020" w:hanging="1800"/>
      </w:pPr>
      <w:rPr>
        <w:rFonts w:hint="default"/>
      </w:rPr>
    </w:lvl>
    <w:lvl w:ilvl="6">
      <w:start w:val="1"/>
      <w:numFmt w:val="decimal"/>
      <w:isLgl/>
      <w:lvlText w:val="%1.%2.%3.%4.%5.%6.%7."/>
      <w:lvlJc w:val="left"/>
      <w:pPr>
        <w:ind w:left="3552" w:hanging="2160"/>
      </w:pPr>
      <w:rPr>
        <w:rFonts w:hint="default"/>
      </w:rPr>
    </w:lvl>
    <w:lvl w:ilvl="7">
      <w:start w:val="1"/>
      <w:numFmt w:val="decimal"/>
      <w:isLgl/>
      <w:lvlText w:val="%1.%2.%3.%4.%5.%6.%7.%8."/>
      <w:lvlJc w:val="left"/>
      <w:pPr>
        <w:ind w:left="4084" w:hanging="2520"/>
      </w:pPr>
      <w:rPr>
        <w:rFonts w:hint="default"/>
      </w:rPr>
    </w:lvl>
    <w:lvl w:ilvl="8">
      <w:start w:val="1"/>
      <w:numFmt w:val="decimal"/>
      <w:isLgl/>
      <w:lvlText w:val="%1.%2.%3.%4.%5.%6.%7.%8.%9."/>
      <w:lvlJc w:val="left"/>
      <w:pPr>
        <w:ind w:left="4616" w:hanging="2880"/>
      </w:pPr>
      <w:rPr>
        <w:rFonts w:hint="default"/>
      </w:rPr>
    </w:lvl>
  </w:abstractNum>
  <w:abstractNum w:abstractNumId="8" w15:restartNumberingAfterBreak="0">
    <w:nsid w:val="26960197"/>
    <w:multiLevelType w:val="hybridMultilevel"/>
    <w:tmpl w:val="77ECF804"/>
    <w:lvl w:ilvl="0" w:tplc="EFAC348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9137717"/>
    <w:multiLevelType w:val="hybridMultilevel"/>
    <w:tmpl w:val="5BF2A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C36065"/>
    <w:multiLevelType w:val="hybridMultilevel"/>
    <w:tmpl w:val="47142EAE"/>
    <w:lvl w:ilvl="0" w:tplc="749056E0">
      <w:start w:val="2"/>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AD1057"/>
    <w:multiLevelType w:val="hybridMultilevel"/>
    <w:tmpl w:val="4CBADF12"/>
    <w:lvl w:ilvl="0" w:tplc="E0C6CFE0">
      <w:start w:val="1"/>
      <w:numFmt w:val="lowerRoman"/>
      <w:lvlText w:val="%1)"/>
      <w:lvlJc w:val="left"/>
      <w:pPr>
        <w:ind w:left="1080" w:hanging="720"/>
      </w:pPr>
      <w:rPr>
        <w:rFonts w:ascii="Arial" w:hAns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6A16D7"/>
    <w:multiLevelType w:val="hybridMultilevel"/>
    <w:tmpl w:val="84764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770901"/>
    <w:multiLevelType w:val="hybridMultilevel"/>
    <w:tmpl w:val="A2BA41E6"/>
    <w:lvl w:ilvl="0" w:tplc="0ACC9940">
      <w:numFmt w:val="bullet"/>
      <w:lvlText w:val="-"/>
      <w:lvlJc w:val="left"/>
      <w:pPr>
        <w:ind w:left="720" w:hanging="360"/>
      </w:pPr>
      <w:rPr>
        <w:rFonts w:ascii="Verdana" w:eastAsia="Calibri" w:hAnsi="Verdana"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846DA8"/>
    <w:multiLevelType w:val="hybridMultilevel"/>
    <w:tmpl w:val="FFFFFFFF"/>
    <w:lvl w:ilvl="0" w:tplc="2D8241E6">
      <w:start w:val="2"/>
      <w:numFmt w:val="decimal"/>
      <w:lvlText w:val="%1"/>
      <w:lvlJc w:val="left"/>
      <w:pPr>
        <w:ind w:left="161"/>
      </w:pPr>
      <w:rPr>
        <w:rFonts w:ascii="Courier New" w:eastAsia="Courier New" w:hAnsi="Courier New" w:cs="Courier New"/>
        <w:b w:val="0"/>
        <w:i w:val="0"/>
        <w:strike w:val="0"/>
        <w:dstrike w:val="0"/>
        <w:color w:val="000000"/>
        <w:sz w:val="8"/>
        <w:szCs w:val="8"/>
        <w:u w:val="none" w:color="000000"/>
        <w:bdr w:val="none" w:sz="0" w:space="0" w:color="auto"/>
        <w:shd w:val="clear" w:color="auto" w:fill="auto"/>
        <w:vertAlign w:val="superscript"/>
      </w:rPr>
    </w:lvl>
    <w:lvl w:ilvl="1" w:tplc="9C2235EE">
      <w:start w:val="1"/>
      <w:numFmt w:val="bullet"/>
      <w:lvlText w:val="•"/>
      <w:lvlPicBulletId w:val="0"/>
      <w:lvlJc w:val="left"/>
      <w:pPr>
        <w:ind w:left="6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784EFEC">
      <w:start w:val="1"/>
      <w:numFmt w:val="bullet"/>
      <w:lvlText w:val="▪"/>
      <w:lvlJc w:val="left"/>
      <w:pPr>
        <w:ind w:left="15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0E39AE">
      <w:start w:val="1"/>
      <w:numFmt w:val="bullet"/>
      <w:lvlText w:val="•"/>
      <w:lvlJc w:val="left"/>
      <w:pPr>
        <w:ind w:left="22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C08333A">
      <w:start w:val="1"/>
      <w:numFmt w:val="bullet"/>
      <w:lvlText w:val="o"/>
      <w:lvlJc w:val="left"/>
      <w:pPr>
        <w:ind w:left="29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0E806F4">
      <w:start w:val="1"/>
      <w:numFmt w:val="bullet"/>
      <w:lvlText w:val="▪"/>
      <w:lvlJc w:val="left"/>
      <w:pPr>
        <w:ind w:left="3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F88C368">
      <w:start w:val="1"/>
      <w:numFmt w:val="bullet"/>
      <w:lvlText w:val="•"/>
      <w:lvlJc w:val="left"/>
      <w:pPr>
        <w:ind w:left="4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AB23170">
      <w:start w:val="1"/>
      <w:numFmt w:val="bullet"/>
      <w:lvlText w:val="o"/>
      <w:lvlJc w:val="left"/>
      <w:pPr>
        <w:ind w:left="5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1D4EDB2">
      <w:start w:val="1"/>
      <w:numFmt w:val="bullet"/>
      <w:lvlText w:val="▪"/>
      <w:lvlJc w:val="left"/>
      <w:pPr>
        <w:ind w:left="5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2167F6"/>
    <w:multiLevelType w:val="hybridMultilevel"/>
    <w:tmpl w:val="FFFFFFFF"/>
    <w:lvl w:ilvl="0" w:tplc="0D582E2A">
      <w:start w:val="1"/>
      <w:numFmt w:val="bullet"/>
      <w:lvlText w:val="•"/>
      <w:lvlPicBulletId w:val="1"/>
      <w:lvlJc w:val="left"/>
      <w:pPr>
        <w:ind w:left="11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0C66052">
      <w:start w:val="1"/>
      <w:numFmt w:val="bullet"/>
      <w:lvlText w:val="o"/>
      <w:lvlJc w:val="left"/>
      <w:pPr>
        <w:ind w:left="17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C40213EA">
      <w:start w:val="1"/>
      <w:numFmt w:val="bullet"/>
      <w:lvlText w:val="▪"/>
      <w:lvlJc w:val="left"/>
      <w:pPr>
        <w:ind w:left="244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4BF0AC28">
      <w:start w:val="1"/>
      <w:numFmt w:val="bullet"/>
      <w:lvlText w:val="•"/>
      <w:lvlJc w:val="left"/>
      <w:pPr>
        <w:ind w:left="31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2988B688">
      <w:start w:val="1"/>
      <w:numFmt w:val="bullet"/>
      <w:lvlText w:val="o"/>
      <w:lvlJc w:val="left"/>
      <w:pPr>
        <w:ind w:left="38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2AE2868C">
      <w:start w:val="1"/>
      <w:numFmt w:val="bullet"/>
      <w:lvlText w:val="▪"/>
      <w:lvlJc w:val="left"/>
      <w:pPr>
        <w:ind w:left="460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5AA68D6">
      <w:start w:val="1"/>
      <w:numFmt w:val="bullet"/>
      <w:lvlText w:val="•"/>
      <w:lvlJc w:val="left"/>
      <w:pPr>
        <w:ind w:left="53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EAAF354">
      <w:start w:val="1"/>
      <w:numFmt w:val="bullet"/>
      <w:lvlText w:val="o"/>
      <w:lvlJc w:val="left"/>
      <w:pPr>
        <w:ind w:left="604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72C20AC">
      <w:start w:val="1"/>
      <w:numFmt w:val="bullet"/>
      <w:lvlText w:val="▪"/>
      <w:lvlJc w:val="left"/>
      <w:pPr>
        <w:ind w:left="67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7746FFD"/>
    <w:multiLevelType w:val="hybridMultilevel"/>
    <w:tmpl w:val="FFFFFFFF"/>
    <w:lvl w:ilvl="0" w:tplc="3210F578">
      <w:start w:val="1"/>
      <w:numFmt w:val="decimal"/>
      <w:lvlText w:val="%1."/>
      <w:lvlJc w:val="left"/>
      <w:pPr>
        <w:ind w:left="12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F1EC7CE">
      <w:start w:val="1"/>
      <w:numFmt w:val="lowerLetter"/>
      <w:lvlText w:val="%2"/>
      <w:lvlJc w:val="left"/>
      <w:pPr>
        <w:ind w:left="14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CCCEC6">
      <w:start w:val="1"/>
      <w:numFmt w:val="lowerRoman"/>
      <w:lvlText w:val="%3"/>
      <w:lvlJc w:val="left"/>
      <w:pPr>
        <w:ind w:left="21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3A8078">
      <w:start w:val="1"/>
      <w:numFmt w:val="decimal"/>
      <w:lvlText w:val="%4"/>
      <w:lvlJc w:val="left"/>
      <w:pPr>
        <w:ind w:left="29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230E64C">
      <w:start w:val="1"/>
      <w:numFmt w:val="lowerLetter"/>
      <w:lvlText w:val="%5"/>
      <w:lvlJc w:val="left"/>
      <w:pPr>
        <w:ind w:left="36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B86C89E">
      <w:start w:val="1"/>
      <w:numFmt w:val="lowerRoman"/>
      <w:lvlText w:val="%6"/>
      <w:lvlJc w:val="left"/>
      <w:pPr>
        <w:ind w:left="43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0BC5968">
      <w:start w:val="1"/>
      <w:numFmt w:val="decimal"/>
      <w:lvlText w:val="%7"/>
      <w:lvlJc w:val="left"/>
      <w:pPr>
        <w:ind w:left="50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C8A47D8">
      <w:start w:val="1"/>
      <w:numFmt w:val="lowerLetter"/>
      <w:lvlText w:val="%8"/>
      <w:lvlJc w:val="left"/>
      <w:pPr>
        <w:ind w:left="57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736B1BE">
      <w:start w:val="1"/>
      <w:numFmt w:val="lowerRoman"/>
      <w:lvlText w:val="%9"/>
      <w:lvlJc w:val="left"/>
      <w:pPr>
        <w:ind w:left="65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463997"/>
    <w:multiLevelType w:val="hybridMultilevel"/>
    <w:tmpl w:val="77462CDA"/>
    <w:lvl w:ilvl="0" w:tplc="B484B104">
      <w:start w:val="2"/>
      <w:numFmt w:val="bullet"/>
      <w:lvlText w:val="-"/>
      <w:lvlJc w:val="left"/>
      <w:pPr>
        <w:ind w:left="720" w:hanging="360"/>
      </w:pPr>
      <w:rPr>
        <w:rFonts w:ascii="Verdana" w:eastAsia="Calibri"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BA2F5F"/>
    <w:multiLevelType w:val="hybridMultilevel"/>
    <w:tmpl w:val="1DF6CB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5EE71F90"/>
    <w:multiLevelType w:val="hybridMultilevel"/>
    <w:tmpl w:val="E36C62F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5F0C2D37"/>
    <w:multiLevelType w:val="hybridMultilevel"/>
    <w:tmpl w:val="11040C7C"/>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629F3E30"/>
    <w:multiLevelType w:val="hybridMultilevel"/>
    <w:tmpl w:val="03BA3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B06899"/>
    <w:multiLevelType w:val="hybridMultilevel"/>
    <w:tmpl w:val="68C02ABE"/>
    <w:lvl w:ilvl="0" w:tplc="8A52D824">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3" w15:restartNumberingAfterBreak="0">
    <w:nsid w:val="6E0B5F08"/>
    <w:multiLevelType w:val="hybridMultilevel"/>
    <w:tmpl w:val="CD745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316FB0"/>
    <w:multiLevelType w:val="hybridMultilevel"/>
    <w:tmpl w:val="A97ED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992754"/>
    <w:multiLevelType w:val="hybridMultilevel"/>
    <w:tmpl w:val="D71CD81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18"/>
  </w:num>
  <w:num w:numId="3">
    <w:abstractNumId w:val="19"/>
  </w:num>
  <w:num w:numId="4">
    <w:abstractNumId w:val="25"/>
  </w:num>
  <w:num w:numId="5">
    <w:abstractNumId w:val="10"/>
  </w:num>
  <w:num w:numId="6">
    <w:abstractNumId w:val="11"/>
  </w:num>
  <w:num w:numId="7">
    <w:abstractNumId w:val="2"/>
  </w:num>
  <w:num w:numId="8">
    <w:abstractNumId w:val="21"/>
  </w:num>
  <w:num w:numId="9">
    <w:abstractNumId w:val="13"/>
  </w:num>
  <w:num w:numId="10">
    <w:abstractNumId w:val="20"/>
  </w:num>
  <w:num w:numId="11">
    <w:abstractNumId w:val="8"/>
  </w:num>
  <w:num w:numId="12">
    <w:abstractNumId w:val="1"/>
  </w:num>
  <w:num w:numId="13">
    <w:abstractNumId w:val="9"/>
  </w:num>
  <w:num w:numId="14">
    <w:abstractNumId w:val="23"/>
  </w:num>
  <w:num w:numId="15">
    <w:abstractNumId w:val="12"/>
  </w:num>
  <w:num w:numId="16">
    <w:abstractNumId w:val="22"/>
  </w:num>
  <w:num w:numId="17">
    <w:abstractNumId w:val="24"/>
  </w:num>
  <w:num w:numId="18">
    <w:abstractNumId w:val="5"/>
  </w:num>
  <w:num w:numId="19">
    <w:abstractNumId w:val="0"/>
  </w:num>
  <w:num w:numId="20">
    <w:abstractNumId w:val="3"/>
  </w:num>
  <w:num w:numId="21">
    <w:abstractNumId w:val="14"/>
  </w:num>
  <w:num w:numId="22">
    <w:abstractNumId w:val="17"/>
  </w:num>
  <w:num w:numId="23">
    <w:abstractNumId w:val="6"/>
  </w:num>
  <w:num w:numId="24">
    <w:abstractNumId w:val="16"/>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30"/>
    <w:rsid w:val="0000298D"/>
    <w:rsid w:val="00002D90"/>
    <w:rsid w:val="00004772"/>
    <w:rsid w:val="00011E96"/>
    <w:rsid w:val="00013F19"/>
    <w:rsid w:val="0001401E"/>
    <w:rsid w:val="00016268"/>
    <w:rsid w:val="00016583"/>
    <w:rsid w:val="00020139"/>
    <w:rsid w:val="00020849"/>
    <w:rsid w:val="00022E30"/>
    <w:rsid w:val="00024A01"/>
    <w:rsid w:val="00025F86"/>
    <w:rsid w:val="00027D3B"/>
    <w:rsid w:val="00030E6F"/>
    <w:rsid w:val="00033978"/>
    <w:rsid w:val="0003670E"/>
    <w:rsid w:val="00043879"/>
    <w:rsid w:val="00043A59"/>
    <w:rsid w:val="00044A18"/>
    <w:rsid w:val="000511A1"/>
    <w:rsid w:val="00053F34"/>
    <w:rsid w:val="00061086"/>
    <w:rsid w:val="00061E86"/>
    <w:rsid w:val="000627D1"/>
    <w:rsid w:val="000648DD"/>
    <w:rsid w:val="00073161"/>
    <w:rsid w:val="00073899"/>
    <w:rsid w:val="00073F42"/>
    <w:rsid w:val="000747F7"/>
    <w:rsid w:val="000750B9"/>
    <w:rsid w:val="000778F2"/>
    <w:rsid w:val="00077EF3"/>
    <w:rsid w:val="00081392"/>
    <w:rsid w:val="00081932"/>
    <w:rsid w:val="00083C2A"/>
    <w:rsid w:val="00086B7E"/>
    <w:rsid w:val="00091F04"/>
    <w:rsid w:val="00095C52"/>
    <w:rsid w:val="000A02D4"/>
    <w:rsid w:val="000A2D8D"/>
    <w:rsid w:val="000A5958"/>
    <w:rsid w:val="000A6E01"/>
    <w:rsid w:val="000C0E43"/>
    <w:rsid w:val="000C4313"/>
    <w:rsid w:val="000C6EC4"/>
    <w:rsid w:val="000D0A66"/>
    <w:rsid w:val="000D193F"/>
    <w:rsid w:val="000D1C16"/>
    <w:rsid w:val="000D23B2"/>
    <w:rsid w:val="000D2F19"/>
    <w:rsid w:val="000D7888"/>
    <w:rsid w:val="000E04DF"/>
    <w:rsid w:val="000E13F6"/>
    <w:rsid w:val="000E706F"/>
    <w:rsid w:val="000F072A"/>
    <w:rsid w:val="000F4542"/>
    <w:rsid w:val="000F548E"/>
    <w:rsid w:val="000F64D6"/>
    <w:rsid w:val="000F7DE4"/>
    <w:rsid w:val="00102FB3"/>
    <w:rsid w:val="00103CA3"/>
    <w:rsid w:val="001073AF"/>
    <w:rsid w:val="00110D65"/>
    <w:rsid w:val="00111A56"/>
    <w:rsid w:val="001131C6"/>
    <w:rsid w:val="00113CFE"/>
    <w:rsid w:val="00114484"/>
    <w:rsid w:val="0011535B"/>
    <w:rsid w:val="00115808"/>
    <w:rsid w:val="00120418"/>
    <w:rsid w:val="001217F2"/>
    <w:rsid w:val="001219C5"/>
    <w:rsid w:val="001220B4"/>
    <w:rsid w:val="001229A4"/>
    <w:rsid w:val="00123147"/>
    <w:rsid w:val="00123FB7"/>
    <w:rsid w:val="0012473B"/>
    <w:rsid w:val="0012510D"/>
    <w:rsid w:val="00125B29"/>
    <w:rsid w:val="00126432"/>
    <w:rsid w:val="00130C4D"/>
    <w:rsid w:val="00132596"/>
    <w:rsid w:val="00133791"/>
    <w:rsid w:val="00134F30"/>
    <w:rsid w:val="00135807"/>
    <w:rsid w:val="00137E69"/>
    <w:rsid w:val="00140C1F"/>
    <w:rsid w:val="0014247D"/>
    <w:rsid w:val="00142B70"/>
    <w:rsid w:val="0014355E"/>
    <w:rsid w:val="00143B7F"/>
    <w:rsid w:val="001518B2"/>
    <w:rsid w:val="0015304E"/>
    <w:rsid w:val="00157409"/>
    <w:rsid w:val="00161969"/>
    <w:rsid w:val="00166FB4"/>
    <w:rsid w:val="00170544"/>
    <w:rsid w:val="00170672"/>
    <w:rsid w:val="00171228"/>
    <w:rsid w:val="00171540"/>
    <w:rsid w:val="0017245F"/>
    <w:rsid w:val="001732E7"/>
    <w:rsid w:val="00176CC4"/>
    <w:rsid w:val="0017741F"/>
    <w:rsid w:val="001775F3"/>
    <w:rsid w:val="00181BB9"/>
    <w:rsid w:val="00184784"/>
    <w:rsid w:val="00187EB5"/>
    <w:rsid w:val="0019230F"/>
    <w:rsid w:val="00192C20"/>
    <w:rsid w:val="00193026"/>
    <w:rsid w:val="0019560C"/>
    <w:rsid w:val="001A443A"/>
    <w:rsid w:val="001B3059"/>
    <w:rsid w:val="001B6016"/>
    <w:rsid w:val="001B6AB4"/>
    <w:rsid w:val="001B6C3E"/>
    <w:rsid w:val="001C0BAA"/>
    <w:rsid w:val="001C60D3"/>
    <w:rsid w:val="001D26A1"/>
    <w:rsid w:val="001D4231"/>
    <w:rsid w:val="001D5DDE"/>
    <w:rsid w:val="001D7FE5"/>
    <w:rsid w:val="001E171A"/>
    <w:rsid w:val="001E1F86"/>
    <w:rsid w:val="001E270B"/>
    <w:rsid w:val="001E3304"/>
    <w:rsid w:val="001F0654"/>
    <w:rsid w:val="001F1211"/>
    <w:rsid w:val="001F2D9B"/>
    <w:rsid w:val="001F31D1"/>
    <w:rsid w:val="001F3395"/>
    <w:rsid w:val="001F4496"/>
    <w:rsid w:val="001F44F7"/>
    <w:rsid w:val="001F4C43"/>
    <w:rsid w:val="001F58E3"/>
    <w:rsid w:val="001F6DDA"/>
    <w:rsid w:val="001F6ED3"/>
    <w:rsid w:val="00200F35"/>
    <w:rsid w:val="00204B6A"/>
    <w:rsid w:val="002068C5"/>
    <w:rsid w:val="00213F7C"/>
    <w:rsid w:val="002227B7"/>
    <w:rsid w:val="00223BE4"/>
    <w:rsid w:val="00225243"/>
    <w:rsid w:val="0022756F"/>
    <w:rsid w:val="00227879"/>
    <w:rsid w:val="00231A28"/>
    <w:rsid w:val="002364D9"/>
    <w:rsid w:val="00236790"/>
    <w:rsid w:val="002460A0"/>
    <w:rsid w:val="00246F88"/>
    <w:rsid w:val="00250C2D"/>
    <w:rsid w:val="00253C2C"/>
    <w:rsid w:val="002548A8"/>
    <w:rsid w:val="00270261"/>
    <w:rsid w:val="00273408"/>
    <w:rsid w:val="00274325"/>
    <w:rsid w:val="0027482C"/>
    <w:rsid w:val="002824AA"/>
    <w:rsid w:val="00282BF7"/>
    <w:rsid w:val="00285200"/>
    <w:rsid w:val="0028635D"/>
    <w:rsid w:val="002876B1"/>
    <w:rsid w:val="00290E40"/>
    <w:rsid w:val="002910AD"/>
    <w:rsid w:val="0029198C"/>
    <w:rsid w:val="002952EF"/>
    <w:rsid w:val="0029567D"/>
    <w:rsid w:val="002A58DF"/>
    <w:rsid w:val="002B00E9"/>
    <w:rsid w:val="002B1061"/>
    <w:rsid w:val="002B12E8"/>
    <w:rsid w:val="002B244D"/>
    <w:rsid w:val="002B3E07"/>
    <w:rsid w:val="002B3F17"/>
    <w:rsid w:val="002C0B86"/>
    <w:rsid w:val="002C0BB3"/>
    <w:rsid w:val="002C29F1"/>
    <w:rsid w:val="002C4F2D"/>
    <w:rsid w:val="002D12C7"/>
    <w:rsid w:val="002D3C5C"/>
    <w:rsid w:val="002D736E"/>
    <w:rsid w:val="002E1677"/>
    <w:rsid w:val="002E4E7C"/>
    <w:rsid w:val="002F2AE0"/>
    <w:rsid w:val="002F4B97"/>
    <w:rsid w:val="002F6170"/>
    <w:rsid w:val="00301F98"/>
    <w:rsid w:val="003048F6"/>
    <w:rsid w:val="0030510C"/>
    <w:rsid w:val="003064CC"/>
    <w:rsid w:val="0030712B"/>
    <w:rsid w:val="003073C1"/>
    <w:rsid w:val="00310570"/>
    <w:rsid w:val="003133CE"/>
    <w:rsid w:val="0031359C"/>
    <w:rsid w:val="003145A6"/>
    <w:rsid w:val="00315D46"/>
    <w:rsid w:val="00323558"/>
    <w:rsid w:val="00325644"/>
    <w:rsid w:val="003310FE"/>
    <w:rsid w:val="00331408"/>
    <w:rsid w:val="0033264E"/>
    <w:rsid w:val="00332BF4"/>
    <w:rsid w:val="00332DF6"/>
    <w:rsid w:val="0033378A"/>
    <w:rsid w:val="00333799"/>
    <w:rsid w:val="00334D58"/>
    <w:rsid w:val="0034262E"/>
    <w:rsid w:val="00345978"/>
    <w:rsid w:val="003471E0"/>
    <w:rsid w:val="00347D1C"/>
    <w:rsid w:val="00350611"/>
    <w:rsid w:val="00353FF6"/>
    <w:rsid w:val="00354922"/>
    <w:rsid w:val="003552C4"/>
    <w:rsid w:val="00357393"/>
    <w:rsid w:val="00361769"/>
    <w:rsid w:val="003618AB"/>
    <w:rsid w:val="00363071"/>
    <w:rsid w:val="003639CC"/>
    <w:rsid w:val="00364572"/>
    <w:rsid w:val="00367723"/>
    <w:rsid w:val="00382871"/>
    <w:rsid w:val="003837B8"/>
    <w:rsid w:val="00386B67"/>
    <w:rsid w:val="0039008D"/>
    <w:rsid w:val="003918A0"/>
    <w:rsid w:val="003919AD"/>
    <w:rsid w:val="00392997"/>
    <w:rsid w:val="00393C2A"/>
    <w:rsid w:val="00394C5C"/>
    <w:rsid w:val="00396779"/>
    <w:rsid w:val="003A23E3"/>
    <w:rsid w:val="003A48CF"/>
    <w:rsid w:val="003A4A30"/>
    <w:rsid w:val="003A5A96"/>
    <w:rsid w:val="003A6C26"/>
    <w:rsid w:val="003A7589"/>
    <w:rsid w:val="003A77F1"/>
    <w:rsid w:val="003A7B2C"/>
    <w:rsid w:val="003B2AF6"/>
    <w:rsid w:val="003B3D71"/>
    <w:rsid w:val="003B58F8"/>
    <w:rsid w:val="003B6B7A"/>
    <w:rsid w:val="003B6C22"/>
    <w:rsid w:val="003B7C84"/>
    <w:rsid w:val="003C174C"/>
    <w:rsid w:val="003C249C"/>
    <w:rsid w:val="003C2504"/>
    <w:rsid w:val="003C2C6C"/>
    <w:rsid w:val="003C3838"/>
    <w:rsid w:val="003C7C26"/>
    <w:rsid w:val="003D1839"/>
    <w:rsid w:val="003D30A0"/>
    <w:rsid w:val="003D3F1B"/>
    <w:rsid w:val="003D434F"/>
    <w:rsid w:val="003E1753"/>
    <w:rsid w:val="003E27EB"/>
    <w:rsid w:val="003E5642"/>
    <w:rsid w:val="003E5D68"/>
    <w:rsid w:val="003E730C"/>
    <w:rsid w:val="003F18B5"/>
    <w:rsid w:val="003F399C"/>
    <w:rsid w:val="003F40C1"/>
    <w:rsid w:val="003F70AD"/>
    <w:rsid w:val="00400403"/>
    <w:rsid w:val="00400766"/>
    <w:rsid w:val="00402DF9"/>
    <w:rsid w:val="004034B0"/>
    <w:rsid w:val="004054D7"/>
    <w:rsid w:val="0041013F"/>
    <w:rsid w:val="00417DB6"/>
    <w:rsid w:val="00420A5F"/>
    <w:rsid w:val="004211CA"/>
    <w:rsid w:val="004214DF"/>
    <w:rsid w:val="004223A0"/>
    <w:rsid w:val="00425790"/>
    <w:rsid w:val="00425C86"/>
    <w:rsid w:val="00427E4B"/>
    <w:rsid w:val="00432E8F"/>
    <w:rsid w:val="004333F7"/>
    <w:rsid w:val="004352CF"/>
    <w:rsid w:val="00437CD0"/>
    <w:rsid w:val="004404EB"/>
    <w:rsid w:val="00440DDB"/>
    <w:rsid w:val="004471CD"/>
    <w:rsid w:val="00452214"/>
    <w:rsid w:val="00452C44"/>
    <w:rsid w:val="004541A7"/>
    <w:rsid w:val="00460D8F"/>
    <w:rsid w:val="00464072"/>
    <w:rsid w:val="00464EDC"/>
    <w:rsid w:val="004666C9"/>
    <w:rsid w:val="00466A34"/>
    <w:rsid w:val="00467562"/>
    <w:rsid w:val="00467C6B"/>
    <w:rsid w:val="00473D3C"/>
    <w:rsid w:val="00475F91"/>
    <w:rsid w:val="00477633"/>
    <w:rsid w:val="00481DD6"/>
    <w:rsid w:val="00483AF6"/>
    <w:rsid w:val="00484971"/>
    <w:rsid w:val="00491393"/>
    <w:rsid w:val="0049273C"/>
    <w:rsid w:val="004954F3"/>
    <w:rsid w:val="004966EE"/>
    <w:rsid w:val="004A130D"/>
    <w:rsid w:val="004A4B44"/>
    <w:rsid w:val="004A64C9"/>
    <w:rsid w:val="004A6A5E"/>
    <w:rsid w:val="004B0876"/>
    <w:rsid w:val="004B32C8"/>
    <w:rsid w:val="004B3BB1"/>
    <w:rsid w:val="004B6937"/>
    <w:rsid w:val="004B6CFA"/>
    <w:rsid w:val="004B7FD9"/>
    <w:rsid w:val="004C5049"/>
    <w:rsid w:val="004C5350"/>
    <w:rsid w:val="004C5B70"/>
    <w:rsid w:val="004C6585"/>
    <w:rsid w:val="004C74D1"/>
    <w:rsid w:val="004D0AA9"/>
    <w:rsid w:val="004D1649"/>
    <w:rsid w:val="004D28BD"/>
    <w:rsid w:val="004D4554"/>
    <w:rsid w:val="004E07B1"/>
    <w:rsid w:val="004E1766"/>
    <w:rsid w:val="004E2975"/>
    <w:rsid w:val="004E39D9"/>
    <w:rsid w:val="004E65A9"/>
    <w:rsid w:val="004F0227"/>
    <w:rsid w:val="004F36EC"/>
    <w:rsid w:val="004F4C44"/>
    <w:rsid w:val="004F7109"/>
    <w:rsid w:val="004F73FB"/>
    <w:rsid w:val="00501009"/>
    <w:rsid w:val="00503AC8"/>
    <w:rsid w:val="00505A08"/>
    <w:rsid w:val="00510A58"/>
    <w:rsid w:val="00515DF2"/>
    <w:rsid w:val="005163DB"/>
    <w:rsid w:val="0052020F"/>
    <w:rsid w:val="00523FDE"/>
    <w:rsid w:val="00524E56"/>
    <w:rsid w:val="0053049D"/>
    <w:rsid w:val="005304BE"/>
    <w:rsid w:val="00530D3A"/>
    <w:rsid w:val="005311ED"/>
    <w:rsid w:val="0053387F"/>
    <w:rsid w:val="00537525"/>
    <w:rsid w:val="00543F62"/>
    <w:rsid w:val="00546627"/>
    <w:rsid w:val="0054683C"/>
    <w:rsid w:val="00546F09"/>
    <w:rsid w:val="005550BF"/>
    <w:rsid w:val="00555AA1"/>
    <w:rsid w:val="00555BEE"/>
    <w:rsid w:val="00555CA8"/>
    <w:rsid w:val="005602F6"/>
    <w:rsid w:val="00560A4F"/>
    <w:rsid w:val="00562C43"/>
    <w:rsid w:val="00562E41"/>
    <w:rsid w:val="00565709"/>
    <w:rsid w:val="00566F05"/>
    <w:rsid w:val="00570FA3"/>
    <w:rsid w:val="00571D9A"/>
    <w:rsid w:val="00571E24"/>
    <w:rsid w:val="00573597"/>
    <w:rsid w:val="00573692"/>
    <w:rsid w:val="005766E9"/>
    <w:rsid w:val="00577CD2"/>
    <w:rsid w:val="00584724"/>
    <w:rsid w:val="00585634"/>
    <w:rsid w:val="00591470"/>
    <w:rsid w:val="0059361F"/>
    <w:rsid w:val="00595820"/>
    <w:rsid w:val="00596314"/>
    <w:rsid w:val="005A44EB"/>
    <w:rsid w:val="005A49B2"/>
    <w:rsid w:val="005A5B38"/>
    <w:rsid w:val="005A7E64"/>
    <w:rsid w:val="005B0E0C"/>
    <w:rsid w:val="005B4295"/>
    <w:rsid w:val="005B5959"/>
    <w:rsid w:val="005B6E2B"/>
    <w:rsid w:val="005B77E8"/>
    <w:rsid w:val="005C1877"/>
    <w:rsid w:val="005C6858"/>
    <w:rsid w:val="005C6D47"/>
    <w:rsid w:val="005D20E5"/>
    <w:rsid w:val="005D32C0"/>
    <w:rsid w:val="005D529A"/>
    <w:rsid w:val="005D6F8F"/>
    <w:rsid w:val="005D7E9A"/>
    <w:rsid w:val="005E190C"/>
    <w:rsid w:val="005F28E6"/>
    <w:rsid w:val="005F4151"/>
    <w:rsid w:val="00600E82"/>
    <w:rsid w:val="006010E9"/>
    <w:rsid w:val="006054B9"/>
    <w:rsid w:val="00605FED"/>
    <w:rsid w:val="00606889"/>
    <w:rsid w:val="00607C20"/>
    <w:rsid w:val="00613C22"/>
    <w:rsid w:val="00614376"/>
    <w:rsid w:val="0061439A"/>
    <w:rsid w:val="00615BA8"/>
    <w:rsid w:val="00622FF1"/>
    <w:rsid w:val="00623EFB"/>
    <w:rsid w:val="006240A3"/>
    <w:rsid w:val="00625DAA"/>
    <w:rsid w:val="00632C25"/>
    <w:rsid w:val="00635B67"/>
    <w:rsid w:val="00635FC7"/>
    <w:rsid w:val="00641736"/>
    <w:rsid w:val="00641FB8"/>
    <w:rsid w:val="00642632"/>
    <w:rsid w:val="00645F4C"/>
    <w:rsid w:val="00652102"/>
    <w:rsid w:val="0065236B"/>
    <w:rsid w:val="00653544"/>
    <w:rsid w:val="00653579"/>
    <w:rsid w:val="006600EF"/>
    <w:rsid w:val="00662B0E"/>
    <w:rsid w:val="00663D6F"/>
    <w:rsid w:val="00663EB1"/>
    <w:rsid w:val="00667153"/>
    <w:rsid w:val="0067161D"/>
    <w:rsid w:val="006728BD"/>
    <w:rsid w:val="00677739"/>
    <w:rsid w:val="00682ADB"/>
    <w:rsid w:val="00685FEF"/>
    <w:rsid w:val="0069019F"/>
    <w:rsid w:val="00692CC5"/>
    <w:rsid w:val="006934E2"/>
    <w:rsid w:val="00693FAB"/>
    <w:rsid w:val="006A00F0"/>
    <w:rsid w:val="006A1691"/>
    <w:rsid w:val="006A281D"/>
    <w:rsid w:val="006A329D"/>
    <w:rsid w:val="006A583C"/>
    <w:rsid w:val="006A74E8"/>
    <w:rsid w:val="006B0B3A"/>
    <w:rsid w:val="006B3C10"/>
    <w:rsid w:val="006B3F1A"/>
    <w:rsid w:val="006B4E2E"/>
    <w:rsid w:val="006B5EE8"/>
    <w:rsid w:val="006B62C0"/>
    <w:rsid w:val="006C04B5"/>
    <w:rsid w:val="006C0DEF"/>
    <w:rsid w:val="006C2B42"/>
    <w:rsid w:val="006C610F"/>
    <w:rsid w:val="006D09AB"/>
    <w:rsid w:val="006D0BEB"/>
    <w:rsid w:val="006D1863"/>
    <w:rsid w:val="006D190F"/>
    <w:rsid w:val="006D6079"/>
    <w:rsid w:val="006D78A0"/>
    <w:rsid w:val="006E2132"/>
    <w:rsid w:val="006E3318"/>
    <w:rsid w:val="006F128F"/>
    <w:rsid w:val="006F1927"/>
    <w:rsid w:val="006F474D"/>
    <w:rsid w:val="006F5E28"/>
    <w:rsid w:val="006F5F78"/>
    <w:rsid w:val="006F708C"/>
    <w:rsid w:val="00701943"/>
    <w:rsid w:val="007019C4"/>
    <w:rsid w:val="00704684"/>
    <w:rsid w:val="007056E2"/>
    <w:rsid w:val="00705A14"/>
    <w:rsid w:val="00706AE9"/>
    <w:rsid w:val="00707A27"/>
    <w:rsid w:val="00710FA6"/>
    <w:rsid w:val="00711AAA"/>
    <w:rsid w:val="00713939"/>
    <w:rsid w:val="00713DC7"/>
    <w:rsid w:val="00714525"/>
    <w:rsid w:val="0071548A"/>
    <w:rsid w:val="00721CC2"/>
    <w:rsid w:val="0072318F"/>
    <w:rsid w:val="00723AC2"/>
    <w:rsid w:val="00725C82"/>
    <w:rsid w:val="00731769"/>
    <w:rsid w:val="007326C5"/>
    <w:rsid w:val="00733C46"/>
    <w:rsid w:val="00733D9B"/>
    <w:rsid w:val="007365A7"/>
    <w:rsid w:val="00736E30"/>
    <w:rsid w:val="007427F1"/>
    <w:rsid w:val="007522DE"/>
    <w:rsid w:val="00753C77"/>
    <w:rsid w:val="00753EC0"/>
    <w:rsid w:val="00755E36"/>
    <w:rsid w:val="00756078"/>
    <w:rsid w:val="007665D3"/>
    <w:rsid w:val="00767D74"/>
    <w:rsid w:val="007751A7"/>
    <w:rsid w:val="00775A4C"/>
    <w:rsid w:val="00776973"/>
    <w:rsid w:val="007861D7"/>
    <w:rsid w:val="007870F5"/>
    <w:rsid w:val="00790196"/>
    <w:rsid w:val="007910B9"/>
    <w:rsid w:val="007918CA"/>
    <w:rsid w:val="00792251"/>
    <w:rsid w:val="007941E4"/>
    <w:rsid w:val="007945A1"/>
    <w:rsid w:val="0079596C"/>
    <w:rsid w:val="00796D81"/>
    <w:rsid w:val="007A0D72"/>
    <w:rsid w:val="007A2E29"/>
    <w:rsid w:val="007A564E"/>
    <w:rsid w:val="007A7024"/>
    <w:rsid w:val="007B011B"/>
    <w:rsid w:val="007B1602"/>
    <w:rsid w:val="007B211A"/>
    <w:rsid w:val="007B2DC0"/>
    <w:rsid w:val="007B2FAC"/>
    <w:rsid w:val="007B34FD"/>
    <w:rsid w:val="007B4898"/>
    <w:rsid w:val="007B7A3C"/>
    <w:rsid w:val="007B7F4E"/>
    <w:rsid w:val="007C0654"/>
    <w:rsid w:val="007C14F7"/>
    <w:rsid w:val="007C2B91"/>
    <w:rsid w:val="007C3C93"/>
    <w:rsid w:val="007D183C"/>
    <w:rsid w:val="007D4BEA"/>
    <w:rsid w:val="007D50F9"/>
    <w:rsid w:val="007E10DA"/>
    <w:rsid w:val="007E113B"/>
    <w:rsid w:val="007E2035"/>
    <w:rsid w:val="007E3EE4"/>
    <w:rsid w:val="007E4AD2"/>
    <w:rsid w:val="007E5DCD"/>
    <w:rsid w:val="007E634F"/>
    <w:rsid w:val="007E69B0"/>
    <w:rsid w:val="007F16F9"/>
    <w:rsid w:val="007F3634"/>
    <w:rsid w:val="007F4BD5"/>
    <w:rsid w:val="007F5A25"/>
    <w:rsid w:val="007F68A0"/>
    <w:rsid w:val="007F7AAE"/>
    <w:rsid w:val="00803338"/>
    <w:rsid w:val="00803A41"/>
    <w:rsid w:val="008055C4"/>
    <w:rsid w:val="0082388B"/>
    <w:rsid w:val="008273BF"/>
    <w:rsid w:val="008275F0"/>
    <w:rsid w:val="00832491"/>
    <w:rsid w:val="00832B20"/>
    <w:rsid w:val="00833550"/>
    <w:rsid w:val="00833B24"/>
    <w:rsid w:val="008424D8"/>
    <w:rsid w:val="00853005"/>
    <w:rsid w:val="00857260"/>
    <w:rsid w:val="00857FE3"/>
    <w:rsid w:val="008607D9"/>
    <w:rsid w:val="00860805"/>
    <w:rsid w:val="00861659"/>
    <w:rsid w:val="00865412"/>
    <w:rsid w:val="008660F0"/>
    <w:rsid w:val="00866394"/>
    <w:rsid w:val="0086792B"/>
    <w:rsid w:val="00867C40"/>
    <w:rsid w:val="00871293"/>
    <w:rsid w:val="00871A65"/>
    <w:rsid w:val="00875B6C"/>
    <w:rsid w:val="008821F7"/>
    <w:rsid w:val="00882D89"/>
    <w:rsid w:val="008850AD"/>
    <w:rsid w:val="0088510A"/>
    <w:rsid w:val="008874BE"/>
    <w:rsid w:val="0088755C"/>
    <w:rsid w:val="0088799C"/>
    <w:rsid w:val="008905FE"/>
    <w:rsid w:val="0089205A"/>
    <w:rsid w:val="00892C62"/>
    <w:rsid w:val="00895ABA"/>
    <w:rsid w:val="00896393"/>
    <w:rsid w:val="00897879"/>
    <w:rsid w:val="008A158A"/>
    <w:rsid w:val="008A1853"/>
    <w:rsid w:val="008A3400"/>
    <w:rsid w:val="008A40E0"/>
    <w:rsid w:val="008A489C"/>
    <w:rsid w:val="008A6721"/>
    <w:rsid w:val="008A735D"/>
    <w:rsid w:val="008A7E80"/>
    <w:rsid w:val="008B0EF1"/>
    <w:rsid w:val="008B19B2"/>
    <w:rsid w:val="008B42D1"/>
    <w:rsid w:val="008B7AD0"/>
    <w:rsid w:val="008C2A88"/>
    <w:rsid w:val="008C2F66"/>
    <w:rsid w:val="008C382F"/>
    <w:rsid w:val="008D0DAE"/>
    <w:rsid w:val="008D4D2A"/>
    <w:rsid w:val="008D6FDE"/>
    <w:rsid w:val="008E1623"/>
    <w:rsid w:val="008E2732"/>
    <w:rsid w:val="008E47D0"/>
    <w:rsid w:val="008E4FE8"/>
    <w:rsid w:val="008E56E4"/>
    <w:rsid w:val="008F30C4"/>
    <w:rsid w:val="008F43A1"/>
    <w:rsid w:val="008F6F10"/>
    <w:rsid w:val="009013CA"/>
    <w:rsid w:val="00904AAA"/>
    <w:rsid w:val="00905AF4"/>
    <w:rsid w:val="00906FA2"/>
    <w:rsid w:val="00911438"/>
    <w:rsid w:val="00914858"/>
    <w:rsid w:val="00916703"/>
    <w:rsid w:val="00923A55"/>
    <w:rsid w:val="00923C41"/>
    <w:rsid w:val="00925E86"/>
    <w:rsid w:val="009310D9"/>
    <w:rsid w:val="009423DE"/>
    <w:rsid w:val="009427F2"/>
    <w:rsid w:val="00955008"/>
    <w:rsid w:val="009615F1"/>
    <w:rsid w:val="0096179C"/>
    <w:rsid w:val="0096485E"/>
    <w:rsid w:val="00970C57"/>
    <w:rsid w:val="0097185E"/>
    <w:rsid w:val="009728FD"/>
    <w:rsid w:val="00976F41"/>
    <w:rsid w:val="00977EC4"/>
    <w:rsid w:val="00981271"/>
    <w:rsid w:val="00984BC9"/>
    <w:rsid w:val="00993995"/>
    <w:rsid w:val="00993BE9"/>
    <w:rsid w:val="0099470B"/>
    <w:rsid w:val="00994EB0"/>
    <w:rsid w:val="00996642"/>
    <w:rsid w:val="009974FA"/>
    <w:rsid w:val="0099766E"/>
    <w:rsid w:val="009A3E59"/>
    <w:rsid w:val="009A6A85"/>
    <w:rsid w:val="009B077D"/>
    <w:rsid w:val="009B43E0"/>
    <w:rsid w:val="009B4665"/>
    <w:rsid w:val="009B6205"/>
    <w:rsid w:val="009B7D4A"/>
    <w:rsid w:val="009C4745"/>
    <w:rsid w:val="009C4D3F"/>
    <w:rsid w:val="009C6DCF"/>
    <w:rsid w:val="009C7A80"/>
    <w:rsid w:val="009D1B45"/>
    <w:rsid w:val="009D3B5D"/>
    <w:rsid w:val="009E6875"/>
    <w:rsid w:val="009E704B"/>
    <w:rsid w:val="009E723E"/>
    <w:rsid w:val="009F088A"/>
    <w:rsid w:val="009F463D"/>
    <w:rsid w:val="009F59EE"/>
    <w:rsid w:val="009F62CE"/>
    <w:rsid w:val="009F6370"/>
    <w:rsid w:val="00A037DA"/>
    <w:rsid w:val="00A0750D"/>
    <w:rsid w:val="00A105E4"/>
    <w:rsid w:val="00A138E0"/>
    <w:rsid w:val="00A26D34"/>
    <w:rsid w:val="00A300BB"/>
    <w:rsid w:val="00A3345A"/>
    <w:rsid w:val="00A33CA4"/>
    <w:rsid w:val="00A347C9"/>
    <w:rsid w:val="00A5147A"/>
    <w:rsid w:val="00A51688"/>
    <w:rsid w:val="00A52912"/>
    <w:rsid w:val="00A52AED"/>
    <w:rsid w:val="00A52E59"/>
    <w:rsid w:val="00A54BE5"/>
    <w:rsid w:val="00A6298F"/>
    <w:rsid w:val="00A6442B"/>
    <w:rsid w:val="00A72EF3"/>
    <w:rsid w:val="00A743E6"/>
    <w:rsid w:val="00A81FEB"/>
    <w:rsid w:val="00A84A16"/>
    <w:rsid w:val="00A92274"/>
    <w:rsid w:val="00A92B00"/>
    <w:rsid w:val="00A938FD"/>
    <w:rsid w:val="00A9694B"/>
    <w:rsid w:val="00AA2267"/>
    <w:rsid w:val="00AA2AF5"/>
    <w:rsid w:val="00AA2E41"/>
    <w:rsid w:val="00AA5219"/>
    <w:rsid w:val="00AA7F50"/>
    <w:rsid w:val="00AB1F75"/>
    <w:rsid w:val="00AB2E11"/>
    <w:rsid w:val="00AB371B"/>
    <w:rsid w:val="00AB3D7E"/>
    <w:rsid w:val="00AB4639"/>
    <w:rsid w:val="00AB61DF"/>
    <w:rsid w:val="00AB7136"/>
    <w:rsid w:val="00AC03AD"/>
    <w:rsid w:val="00AC20DA"/>
    <w:rsid w:val="00AC377E"/>
    <w:rsid w:val="00AC4FFB"/>
    <w:rsid w:val="00AC6D7B"/>
    <w:rsid w:val="00AC7BF9"/>
    <w:rsid w:val="00AD0D4E"/>
    <w:rsid w:val="00AD2DBA"/>
    <w:rsid w:val="00AD5EE7"/>
    <w:rsid w:val="00AD64FC"/>
    <w:rsid w:val="00AD73EA"/>
    <w:rsid w:val="00AD7EC3"/>
    <w:rsid w:val="00AE05C2"/>
    <w:rsid w:val="00AE362A"/>
    <w:rsid w:val="00AE3FE1"/>
    <w:rsid w:val="00AE4309"/>
    <w:rsid w:val="00AF1B22"/>
    <w:rsid w:val="00AF2F3D"/>
    <w:rsid w:val="00AF44A7"/>
    <w:rsid w:val="00B004BD"/>
    <w:rsid w:val="00B020CC"/>
    <w:rsid w:val="00B10344"/>
    <w:rsid w:val="00B1431D"/>
    <w:rsid w:val="00B157C7"/>
    <w:rsid w:val="00B1629B"/>
    <w:rsid w:val="00B24B55"/>
    <w:rsid w:val="00B25668"/>
    <w:rsid w:val="00B3046B"/>
    <w:rsid w:val="00B3076C"/>
    <w:rsid w:val="00B3692A"/>
    <w:rsid w:val="00B447A7"/>
    <w:rsid w:val="00B44B41"/>
    <w:rsid w:val="00B4751D"/>
    <w:rsid w:val="00B508C3"/>
    <w:rsid w:val="00B51F41"/>
    <w:rsid w:val="00B530F7"/>
    <w:rsid w:val="00B57069"/>
    <w:rsid w:val="00B67D7D"/>
    <w:rsid w:val="00B7559D"/>
    <w:rsid w:val="00B77B80"/>
    <w:rsid w:val="00B822A2"/>
    <w:rsid w:val="00B829C9"/>
    <w:rsid w:val="00B840F8"/>
    <w:rsid w:val="00B85DC7"/>
    <w:rsid w:val="00B922E9"/>
    <w:rsid w:val="00B936ED"/>
    <w:rsid w:val="00B93B6A"/>
    <w:rsid w:val="00B94751"/>
    <w:rsid w:val="00B958EB"/>
    <w:rsid w:val="00B965B3"/>
    <w:rsid w:val="00BA00E8"/>
    <w:rsid w:val="00BA1300"/>
    <w:rsid w:val="00BA1C5E"/>
    <w:rsid w:val="00BA2E51"/>
    <w:rsid w:val="00BA6A5D"/>
    <w:rsid w:val="00BA7238"/>
    <w:rsid w:val="00BB1B1A"/>
    <w:rsid w:val="00BB418B"/>
    <w:rsid w:val="00BB41D6"/>
    <w:rsid w:val="00BC6BEB"/>
    <w:rsid w:val="00BD4FA0"/>
    <w:rsid w:val="00BD711D"/>
    <w:rsid w:val="00BE3F75"/>
    <w:rsid w:val="00BE6E8E"/>
    <w:rsid w:val="00BE7452"/>
    <w:rsid w:val="00BF1CC4"/>
    <w:rsid w:val="00BF2F03"/>
    <w:rsid w:val="00BF6437"/>
    <w:rsid w:val="00C00354"/>
    <w:rsid w:val="00C01F41"/>
    <w:rsid w:val="00C03C57"/>
    <w:rsid w:val="00C04D91"/>
    <w:rsid w:val="00C132D6"/>
    <w:rsid w:val="00C179D4"/>
    <w:rsid w:val="00C27040"/>
    <w:rsid w:val="00C3149E"/>
    <w:rsid w:val="00C35628"/>
    <w:rsid w:val="00C3566A"/>
    <w:rsid w:val="00C35983"/>
    <w:rsid w:val="00C373B8"/>
    <w:rsid w:val="00C4207F"/>
    <w:rsid w:val="00C51D22"/>
    <w:rsid w:val="00C52E10"/>
    <w:rsid w:val="00C532BE"/>
    <w:rsid w:val="00C54C61"/>
    <w:rsid w:val="00C60FF8"/>
    <w:rsid w:val="00C622B7"/>
    <w:rsid w:val="00C67924"/>
    <w:rsid w:val="00C75DFC"/>
    <w:rsid w:val="00C77BA4"/>
    <w:rsid w:val="00C8126E"/>
    <w:rsid w:val="00C82C12"/>
    <w:rsid w:val="00C8334C"/>
    <w:rsid w:val="00C83414"/>
    <w:rsid w:val="00C8587E"/>
    <w:rsid w:val="00C92659"/>
    <w:rsid w:val="00C92AB2"/>
    <w:rsid w:val="00C92AB5"/>
    <w:rsid w:val="00C933FD"/>
    <w:rsid w:val="00C9396B"/>
    <w:rsid w:val="00C950FD"/>
    <w:rsid w:val="00C9552B"/>
    <w:rsid w:val="00C9681F"/>
    <w:rsid w:val="00CA03FD"/>
    <w:rsid w:val="00CA47C0"/>
    <w:rsid w:val="00CA48AF"/>
    <w:rsid w:val="00CA5522"/>
    <w:rsid w:val="00CB01C4"/>
    <w:rsid w:val="00CB2E89"/>
    <w:rsid w:val="00CB34E1"/>
    <w:rsid w:val="00CB3D6E"/>
    <w:rsid w:val="00CB47B1"/>
    <w:rsid w:val="00CB52EB"/>
    <w:rsid w:val="00CC2352"/>
    <w:rsid w:val="00CC31E9"/>
    <w:rsid w:val="00CC44FD"/>
    <w:rsid w:val="00CC5698"/>
    <w:rsid w:val="00CD0711"/>
    <w:rsid w:val="00CD12D1"/>
    <w:rsid w:val="00CD6CFD"/>
    <w:rsid w:val="00CD6F28"/>
    <w:rsid w:val="00CE06DE"/>
    <w:rsid w:val="00CE0FBA"/>
    <w:rsid w:val="00CE1A9B"/>
    <w:rsid w:val="00CE73EC"/>
    <w:rsid w:val="00CE745D"/>
    <w:rsid w:val="00CE76C6"/>
    <w:rsid w:val="00CE7CF0"/>
    <w:rsid w:val="00CE7D52"/>
    <w:rsid w:val="00CF0A64"/>
    <w:rsid w:val="00CF37A3"/>
    <w:rsid w:val="00CF66FA"/>
    <w:rsid w:val="00CF711E"/>
    <w:rsid w:val="00CF7791"/>
    <w:rsid w:val="00CF7A81"/>
    <w:rsid w:val="00D020A7"/>
    <w:rsid w:val="00D02FB3"/>
    <w:rsid w:val="00D0387C"/>
    <w:rsid w:val="00D1069C"/>
    <w:rsid w:val="00D12895"/>
    <w:rsid w:val="00D13AA7"/>
    <w:rsid w:val="00D13DDD"/>
    <w:rsid w:val="00D17C41"/>
    <w:rsid w:val="00D200EE"/>
    <w:rsid w:val="00D2090C"/>
    <w:rsid w:val="00D215D7"/>
    <w:rsid w:val="00D23A71"/>
    <w:rsid w:val="00D259DC"/>
    <w:rsid w:val="00D26B5A"/>
    <w:rsid w:val="00D26BA1"/>
    <w:rsid w:val="00D26DDC"/>
    <w:rsid w:val="00D27156"/>
    <w:rsid w:val="00D27F32"/>
    <w:rsid w:val="00D30CCC"/>
    <w:rsid w:val="00D3156C"/>
    <w:rsid w:val="00D33C78"/>
    <w:rsid w:val="00D43760"/>
    <w:rsid w:val="00D44F39"/>
    <w:rsid w:val="00D45FE6"/>
    <w:rsid w:val="00D46B75"/>
    <w:rsid w:val="00D479AA"/>
    <w:rsid w:val="00D47B6C"/>
    <w:rsid w:val="00D531A8"/>
    <w:rsid w:val="00D5478D"/>
    <w:rsid w:val="00D60C1D"/>
    <w:rsid w:val="00D6162E"/>
    <w:rsid w:val="00D65633"/>
    <w:rsid w:val="00D7094B"/>
    <w:rsid w:val="00D70FF2"/>
    <w:rsid w:val="00D7167D"/>
    <w:rsid w:val="00D730AE"/>
    <w:rsid w:val="00D73FA8"/>
    <w:rsid w:val="00D748A5"/>
    <w:rsid w:val="00D777F2"/>
    <w:rsid w:val="00D924C4"/>
    <w:rsid w:val="00D939DA"/>
    <w:rsid w:val="00D93B5E"/>
    <w:rsid w:val="00D95244"/>
    <w:rsid w:val="00D9583C"/>
    <w:rsid w:val="00D9606B"/>
    <w:rsid w:val="00D9647F"/>
    <w:rsid w:val="00DA0A61"/>
    <w:rsid w:val="00DA4901"/>
    <w:rsid w:val="00DA7018"/>
    <w:rsid w:val="00DA704B"/>
    <w:rsid w:val="00DB0D6D"/>
    <w:rsid w:val="00DB1D39"/>
    <w:rsid w:val="00DB2132"/>
    <w:rsid w:val="00DB4328"/>
    <w:rsid w:val="00DB4637"/>
    <w:rsid w:val="00DB5350"/>
    <w:rsid w:val="00DB6045"/>
    <w:rsid w:val="00DB7B89"/>
    <w:rsid w:val="00DC09DE"/>
    <w:rsid w:val="00DC5CBE"/>
    <w:rsid w:val="00DC5FCF"/>
    <w:rsid w:val="00DC6ADC"/>
    <w:rsid w:val="00DD257A"/>
    <w:rsid w:val="00DD283D"/>
    <w:rsid w:val="00DD5E30"/>
    <w:rsid w:val="00DD5E74"/>
    <w:rsid w:val="00DD73C1"/>
    <w:rsid w:val="00DE02A4"/>
    <w:rsid w:val="00DE1D86"/>
    <w:rsid w:val="00DE22DE"/>
    <w:rsid w:val="00DE2A65"/>
    <w:rsid w:val="00DE3473"/>
    <w:rsid w:val="00DE497E"/>
    <w:rsid w:val="00DF26EF"/>
    <w:rsid w:val="00DF5E32"/>
    <w:rsid w:val="00DF5EDE"/>
    <w:rsid w:val="00E0042A"/>
    <w:rsid w:val="00E055C9"/>
    <w:rsid w:val="00E1162B"/>
    <w:rsid w:val="00E13283"/>
    <w:rsid w:val="00E15887"/>
    <w:rsid w:val="00E20E31"/>
    <w:rsid w:val="00E22EA3"/>
    <w:rsid w:val="00E268E5"/>
    <w:rsid w:val="00E27DA6"/>
    <w:rsid w:val="00E30DAB"/>
    <w:rsid w:val="00E31F11"/>
    <w:rsid w:val="00E35767"/>
    <w:rsid w:val="00E37F6C"/>
    <w:rsid w:val="00E42011"/>
    <w:rsid w:val="00E454BA"/>
    <w:rsid w:val="00E50707"/>
    <w:rsid w:val="00E511C3"/>
    <w:rsid w:val="00E5496A"/>
    <w:rsid w:val="00E563E2"/>
    <w:rsid w:val="00E56617"/>
    <w:rsid w:val="00E60084"/>
    <w:rsid w:val="00E61CF6"/>
    <w:rsid w:val="00E6294B"/>
    <w:rsid w:val="00E63B29"/>
    <w:rsid w:val="00E65CD9"/>
    <w:rsid w:val="00E73009"/>
    <w:rsid w:val="00E73993"/>
    <w:rsid w:val="00E739BA"/>
    <w:rsid w:val="00E75794"/>
    <w:rsid w:val="00E76314"/>
    <w:rsid w:val="00E77114"/>
    <w:rsid w:val="00E771EB"/>
    <w:rsid w:val="00E83ABD"/>
    <w:rsid w:val="00E91C68"/>
    <w:rsid w:val="00E91CB0"/>
    <w:rsid w:val="00E9235C"/>
    <w:rsid w:val="00EA22FD"/>
    <w:rsid w:val="00EA5455"/>
    <w:rsid w:val="00EA5692"/>
    <w:rsid w:val="00EA5702"/>
    <w:rsid w:val="00EB0DC7"/>
    <w:rsid w:val="00EB1E0A"/>
    <w:rsid w:val="00EB207C"/>
    <w:rsid w:val="00EC16AF"/>
    <w:rsid w:val="00EC2E7C"/>
    <w:rsid w:val="00EC4F71"/>
    <w:rsid w:val="00EC589D"/>
    <w:rsid w:val="00ED2206"/>
    <w:rsid w:val="00ED7A95"/>
    <w:rsid w:val="00EDF75E"/>
    <w:rsid w:val="00EE0EC6"/>
    <w:rsid w:val="00EE42EA"/>
    <w:rsid w:val="00EE4DD1"/>
    <w:rsid w:val="00EE69B3"/>
    <w:rsid w:val="00EE7402"/>
    <w:rsid w:val="00EF2C32"/>
    <w:rsid w:val="00EF3E88"/>
    <w:rsid w:val="00EF449C"/>
    <w:rsid w:val="00EF4833"/>
    <w:rsid w:val="00EF6E48"/>
    <w:rsid w:val="00F02802"/>
    <w:rsid w:val="00F11635"/>
    <w:rsid w:val="00F12023"/>
    <w:rsid w:val="00F1333F"/>
    <w:rsid w:val="00F14D07"/>
    <w:rsid w:val="00F24622"/>
    <w:rsid w:val="00F26092"/>
    <w:rsid w:val="00F30006"/>
    <w:rsid w:val="00F32C14"/>
    <w:rsid w:val="00F3395A"/>
    <w:rsid w:val="00F348C5"/>
    <w:rsid w:val="00F34F2E"/>
    <w:rsid w:val="00F35639"/>
    <w:rsid w:val="00F3709C"/>
    <w:rsid w:val="00F37673"/>
    <w:rsid w:val="00F418E0"/>
    <w:rsid w:val="00F4298C"/>
    <w:rsid w:val="00F42EE8"/>
    <w:rsid w:val="00F45029"/>
    <w:rsid w:val="00F4580B"/>
    <w:rsid w:val="00F471BD"/>
    <w:rsid w:val="00F5056B"/>
    <w:rsid w:val="00F518AA"/>
    <w:rsid w:val="00F526C4"/>
    <w:rsid w:val="00F57064"/>
    <w:rsid w:val="00F62353"/>
    <w:rsid w:val="00F64F07"/>
    <w:rsid w:val="00F66A2B"/>
    <w:rsid w:val="00F70CF1"/>
    <w:rsid w:val="00F71D5D"/>
    <w:rsid w:val="00F75557"/>
    <w:rsid w:val="00F75F9A"/>
    <w:rsid w:val="00F80D50"/>
    <w:rsid w:val="00F81C61"/>
    <w:rsid w:val="00F849C6"/>
    <w:rsid w:val="00F90889"/>
    <w:rsid w:val="00F9090E"/>
    <w:rsid w:val="00F90EEA"/>
    <w:rsid w:val="00F936C8"/>
    <w:rsid w:val="00F96066"/>
    <w:rsid w:val="00F961B7"/>
    <w:rsid w:val="00F97B15"/>
    <w:rsid w:val="00FA3E7E"/>
    <w:rsid w:val="00FA4E19"/>
    <w:rsid w:val="00FA5D6E"/>
    <w:rsid w:val="00FA5DF8"/>
    <w:rsid w:val="00FA7DA4"/>
    <w:rsid w:val="00FB63F7"/>
    <w:rsid w:val="00FC1293"/>
    <w:rsid w:val="00FC1375"/>
    <w:rsid w:val="00FC208D"/>
    <w:rsid w:val="00FC3867"/>
    <w:rsid w:val="00FC69D5"/>
    <w:rsid w:val="00FC6CDE"/>
    <w:rsid w:val="00FC70CE"/>
    <w:rsid w:val="00FC7E57"/>
    <w:rsid w:val="00FD1E49"/>
    <w:rsid w:val="00FD23F3"/>
    <w:rsid w:val="00FD2767"/>
    <w:rsid w:val="00FD5696"/>
    <w:rsid w:val="00FE12BB"/>
    <w:rsid w:val="00FE5A8D"/>
    <w:rsid w:val="00FE74FA"/>
    <w:rsid w:val="00FE7566"/>
    <w:rsid w:val="00FF048D"/>
    <w:rsid w:val="00FF2C4E"/>
    <w:rsid w:val="00FF454B"/>
    <w:rsid w:val="00FF485F"/>
    <w:rsid w:val="00FF626F"/>
    <w:rsid w:val="00FF6C34"/>
    <w:rsid w:val="01A0F689"/>
    <w:rsid w:val="01D37D5D"/>
    <w:rsid w:val="01FE99E7"/>
    <w:rsid w:val="025ED6FB"/>
    <w:rsid w:val="02C941C0"/>
    <w:rsid w:val="03423610"/>
    <w:rsid w:val="034A485A"/>
    <w:rsid w:val="043C66D3"/>
    <w:rsid w:val="0472BC2A"/>
    <w:rsid w:val="04CE3440"/>
    <w:rsid w:val="04FF7B7E"/>
    <w:rsid w:val="054E76F4"/>
    <w:rsid w:val="059DFF54"/>
    <w:rsid w:val="05DB9795"/>
    <w:rsid w:val="05F36BF0"/>
    <w:rsid w:val="0681E91C"/>
    <w:rsid w:val="06A046CD"/>
    <w:rsid w:val="06C09A2F"/>
    <w:rsid w:val="06E3075D"/>
    <w:rsid w:val="077767F6"/>
    <w:rsid w:val="07AD220C"/>
    <w:rsid w:val="07B19D43"/>
    <w:rsid w:val="07EAD36B"/>
    <w:rsid w:val="08331E59"/>
    <w:rsid w:val="08C70A15"/>
    <w:rsid w:val="0956F27E"/>
    <w:rsid w:val="09B66D58"/>
    <w:rsid w:val="0A1E51AC"/>
    <w:rsid w:val="0A485FB4"/>
    <w:rsid w:val="0A54397E"/>
    <w:rsid w:val="0A7C6C77"/>
    <w:rsid w:val="0A864DF1"/>
    <w:rsid w:val="0AD0C17E"/>
    <w:rsid w:val="0ADB84ED"/>
    <w:rsid w:val="0AEABFB6"/>
    <w:rsid w:val="0B3A4B16"/>
    <w:rsid w:val="0B414A96"/>
    <w:rsid w:val="0BB50D58"/>
    <w:rsid w:val="0BD61789"/>
    <w:rsid w:val="0C43D87E"/>
    <w:rsid w:val="0C6CA2FC"/>
    <w:rsid w:val="0C9C655D"/>
    <w:rsid w:val="0CC8F27B"/>
    <w:rsid w:val="0E22DD4F"/>
    <w:rsid w:val="0E819DFE"/>
    <w:rsid w:val="0EFF2DD9"/>
    <w:rsid w:val="0FDCBCF3"/>
    <w:rsid w:val="0FDE1EB4"/>
    <w:rsid w:val="1097B831"/>
    <w:rsid w:val="114BF417"/>
    <w:rsid w:val="122F7A09"/>
    <w:rsid w:val="1240A32B"/>
    <w:rsid w:val="125AB94A"/>
    <w:rsid w:val="126C2F71"/>
    <w:rsid w:val="12DE53C7"/>
    <w:rsid w:val="12F970FD"/>
    <w:rsid w:val="1308F85F"/>
    <w:rsid w:val="1330401A"/>
    <w:rsid w:val="136285E9"/>
    <w:rsid w:val="13DC738C"/>
    <w:rsid w:val="13E5F3AE"/>
    <w:rsid w:val="13F1E0EA"/>
    <w:rsid w:val="1407DDC5"/>
    <w:rsid w:val="143CC2A1"/>
    <w:rsid w:val="148DACAB"/>
    <w:rsid w:val="14ED12C2"/>
    <w:rsid w:val="1590D5AE"/>
    <w:rsid w:val="15A8FF79"/>
    <w:rsid w:val="1606D730"/>
    <w:rsid w:val="164BFE77"/>
    <w:rsid w:val="1658DD16"/>
    <w:rsid w:val="173BEC6F"/>
    <w:rsid w:val="17AB3448"/>
    <w:rsid w:val="17D9FE4D"/>
    <w:rsid w:val="182F98F4"/>
    <w:rsid w:val="183D1D8C"/>
    <w:rsid w:val="193415B4"/>
    <w:rsid w:val="194B01A4"/>
    <w:rsid w:val="1965F15C"/>
    <w:rsid w:val="19BE3029"/>
    <w:rsid w:val="19D689BC"/>
    <w:rsid w:val="1AF11EC3"/>
    <w:rsid w:val="1B54CDF6"/>
    <w:rsid w:val="1B55A01B"/>
    <w:rsid w:val="1BB9D286"/>
    <w:rsid w:val="1BD2BC0E"/>
    <w:rsid w:val="1C883033"/>
    <w:rsid w:val="1CB23000"/>
    <w:rsid w:val="1CEF1298"/>
    <w:rsid w:val="1D89A37B"/>
    <w:rsid w:val="1DBD9C16"/>
    <w:rsid w:val="1E4AE8A6"/>
    <w:rsid w:val="1E515B95"/>
    <w:rsid w:val="1F4AD34F"/>
    <w:rsid w:val="1FC23FF8"/>
    <w:rsid w:val="1FFFDCB3"/>
    <w:rsid w:val="2083C515"/>
    <w:rsid w:val="20F024BA"/>
    <w:rsid w:val="21186DB2"/>
    <w:rsid w:val="211989C2"/>
    <w:rsid w:val="217E5190"/>
    <w:rsid w:val="221CCCE1"/>
    <w:rsid w:val="23542657"/>
    <w:rsid w:val="235BF790"/>
    <w:rsid w:val="23A238C1"/>
    <w:rsid w:val="23A7F52A"/>
    <w:rsid w:val="23AAD8FD"/>
    <w:rsid w:val="23F3F356"/>
    <w:rsid w:val="24AA43DE"/>
    <w:rsid w:val="24FC4AF2"/>
    <w:rsid w:val="252047B4"/>
    <w:rsid w:val="25304E09"/>
    <w:rsid w:val="25C3FED4"/>
    <w:rsid w:val="260A73C2"/>
    <w:rsid w:val="264BD3A8"/>
    <w:rsid w:val="26BBB1B6"/>
    <w:rsid w:val="270E0AE8"/>
    <w:rsid w:val="271871AA"/>
    <w:rsid w:val="276B4ED8"/>
    <w:rsid w:val="276D53CE"/>
    <w:rsid w:val="279540C0"/>
    <w:rsid w:val="27A64423"/>
    <w:rsid w:val="28323554"/>
    <w:rsid w:val="2867EECB"/>
    <w:rsid w:val="2889EA06"/>
    <w:rsid w:val="2912B802"/>
    <w:rsid w:val="29421484"/>
    <w:rsid w:val="297D5880"/>
    <w:rsid w:val="29C51C8E"/>
    <w:rsid w:val="2A519807"/>
    <w:rsid w:val="2BF43BE6"/>
    <w:rsid w:val="2C0EC094"/>
    <w:rsid w:val="2C2185DF"/>
    <w:rsid w:val="2C8094E2"/>
    <w:rsid w:val="2D0EF9E4"/>
    <w:rsid w:val="2DAD62B5"/>
    <w:rsid w:val="2E23C39E"/>
    <w:rsid w:val="2E959DF7"/>
    <w:rsid w:val="2EBF4E9F"/>
    <w:rsid w:val="2F254D51"/>
    <w:rsid w:val="2FB960B7"/>
    <w:rsid w:val="2FEA477A"/>
    <w:rsid w:val="3064BA43"/>
    <w:rsid w:val="30E39F1D"/>
    <w:rsid w:val="31C0D91F"/>
    <w:rsid w:val="31C802D1"/>
    <w:rsid w:val="31C977BA"/>
    <w:rsid w:val="31F1EFB3"/>
    <w:rsid w:val="32495376"/>
    <w:rsid w:val="326F9654"/>
    <w:rsid w:val="32B5EE56"/>
    <w:rsid w:val="32D36B73"/>
    <w:rsid w:val="33CBB65A"/>
    <w:rsid w:val="34243364"/>
    <w:rsid w:val="348CB4B1"/>
    <w:rsid w:val="349E6465"/>
    <w:rsid w:val="34A4C41F"/>
    <w:rsid w:val="34AE9234"/>
    <w:rsid w:val="3527B04A"/>
    <w:rsid w:val="35713FE5"/>
    <w:rsid w:val="359350AA"/>
    <w:rsid w:val="35F2A6C7"/>
    <w:rsid w:val="36288512"/>
    <w:rsid w:val="36D05ACC"/>
    <w:rsid w:val="3752E2AF"/>
    <w:rsid w:val="37597274"/>
    <w:rsid w:val="376E7BF9"/>
    <w:rsid w:val="37859949"/>
    <w:rsid w:val="37D453F5"/>
    <w:rsid w:val="37E632F6"/>
    <w:rsid w:val="384655CB"/>
    <w:rsid w:val="3856B77A"/>
    <w:rsid w:val="388992F7"/>
    <w:rsid w:val="393D6660"/>
    <w:rsid w:val="3B04AB5B"/>
    <w:rsid w:val="3B1D02FA"/>
    <w:rsid w:val="3BCFBAEA"/>
    <w:rsid w:val="3BEE73B4"/>
    <w:rsid w:val="3C7CF6D4"/>
    <w:rsid w:val="3D11A10B"/>
    <w:rsid w:val="3D1B39DA"/>
    <w:rsid w:val="3D1EA637"/>
    <w:rsid w:val="3D3070E7"/>
    <w:rsid w:val="3DF39836"/>
    <w:rsid w:val="3E04841A"/>
    <w:rsid w:val="3E639469"/>
    <w:rsid w:val="3E9BA5A4"/>
    <w:rsid w:val="3EA1987F"/>
    <w:rsid w:val="3EACF0B1"/>
    <w:rsid w:val="3F39EEF6"/>
    <w:rsid w:val="3F6659A6"/>
    <w:rsid w:val="400AAB54"/>
    <w:rsid w:val="400E5072"/>
    <w:rsid w:val="400ECCC9"/>
    <w:rsid w:val="403D6D1F"/>
    <w:rsid w:val="4042FB5E"/>
    <w:rsid w:val="4058047A"/>
    <w:rsid w:val="40A5915E"/>
    <w:rsid w:val="40C9FBF6"/>
    <w:rsid w:val="40CCF1DA"/>
    <w:rsid w:val="4152F430"/>
    <w:rsid w:val="4166AF79"/>
    <w:rsid w:val="416B37B9"/>
    <w:rsid w:val="4184B8D1"/>
    <w:rsid w:val="41B1874B"/>
    <w:rsid w:val="42291C61"/>
    <w:rsid w:val="423B1D5F"/>
    <w:rsid w:val="424E313D"/>
    <w:rsid w:val="42D066E0"/>
    <w:rsid w:val="442B80A4"/>
    <w:rsid w:val="4482274B"/>
    <w:rsid w:val="44E3933A"/>
    <w:rsid w:val="44E938AD"/>
    <w:rsid w:val="44EF55A0"/>
    <w:rsid w:val="45A9D859"/>
    <w:rsid w:val="45D2E286"/>
    <w:rsid w:val="460FEF8A"/>
    <w:rsid w:val="46A991C2"/>
    <w:rsid w:val="47458ABB"/>
    <w:rsid w:val="47E4240D"/>
    <w:rsid w:val="4832B38E"/>
    <w:rsid w:val="48979AF6"/>
    <w:rsid w:val="49324DFB"/>
    <w:rsid w:val="4942B9C6"/>
    <w:rsid w:val="497E35E2"/>
    <w:rsid w:val="49BCA9D0"/>
    <w:rsid w:val="49FA548A"/>
    <w:rsid w:val="4A3F1AC1"/>
    <w:rsid w:val="4A85CD21"/>
    <w:rsid w:val="4B10DE24"/>
    <w:rsid w:val="4B2F1054"/>
    <w:rsid w:val="4B36AE76"/>
    <w:rsid w:val="4B587A31"/>
    <w:rsid w:val="4B9B6A87"/>
    <w:rsid w:val="4BE2207B"/>
    <w:rsid w:val="4C25D225"/>
    <w:rsid w:val="4C55B849"/>
    <w:rsid w:val="4CB47BDA"/>
    <w:rsid w:val="4D59F4E1"/>
    <w:rsid w:val="4DC70B18"/>
    <w:rsid w:val="4E269CD3"/>
    <w:rsid w:val="4E4F22D9"/>
    <w:rsid w:val="4E6E4F38"/>
    <w:rsid w:val="4E8E0CD0"/>
    <w:rsid w:val="4ECA321A"/>
    <w:rsid w:val="4F6E7E39"/>
    <w:rsid w:val="4F825418"/>
    <w:rsid w:val="4FE9477D"/>
    <w:rsid w:val="4FF3BB18"/>
    <w:rsid w:val="50B7BC9A"/>
    <w:rsid w:val="50C025B8"/>
    <w:rsid w:val="50F1B31C"/>
    <w:rsid w:val="51286BD9"/>
    <w:rsid w:val="51583236"/>
    <w:rsid w:val="5191FE2F"/>
    <w:rsid w:val="51F494B9"/>
    <w:rsid w:val="522554DF"/>
    <w:rsid w:val="5279D296"/>
    <w:rsid w:val="52833201"/>
    <w:rsid w:val="53676924"/>
    <w:rsid w:val="53A38619"/>
    <w:rsid w:val="53CCD4AA"/>
    <w:rsid w:val="5470DD8C"/>
    <w:rsid w:val="5476DDBB"/>
    <w:rsid w:val="5513869E"/>
    <w:rsid w:val="55387E10"/>
    <w:rsid w:val="55541E69"/>
    <w:rsid w:val="558A0516"/>
    <w:rsid w:val="55A333C6"/>
    <w:rsid w:val="55BBA726"/>
    <w:rsid w:val="55C3944D"/>
    <w:rsid w:val="55CEDAD7"/>
    <w:rsid w:val="55FBEAE3"/>
    <w:rsid w:val="56279BA0"/>
    <w:rsid w:val="56463912"/>
    <w:rsid w:val="569F2011"/>
    <w:rsid w:val="56D4175E"/>
    <w:rsid w:val="56DAE398"/>
    <w:rsid w:val="577C323F"/>
    <w:rsid w:val="577CCCA5"/>
    <w:rsid w:val="58120BA5"/>
    <w:rsid w:val="58832973"/>
    <w:rsid w:val="58CB379D"/>
    <w:rsid w:val="58F95E31"/>
    <w:rsid w:val="5933464A"/>
    <w:rsid w:val="594825FB"/>
    <w:rsid w:val="5A15F091"/>
    <w:rsid w:val="5A9B3CCD"/>
    <w:rsid w:val="5AA24BFA"/>
    <w:rsid w:val="5BBC491B"/>
    <w:rsid w:val="5C1B4304"/>
    <w:rsid w:val="5C6B990F"/>
    <w:rsid w:val="5C994071"/>
    <w:rsid w:val="5D125BE2"/>
    <w:rsid w:val="5D209E61"/>
    <w:rsid w:val="5D54FBAF"/>
    <w:rsid w:val="5D5641C3"/>
    <w:rsid w:val="5D5967B5"/>
    <w:rsid w:val="5D5C263F"/>
    <w:rsid w:val="5D858063"/>
    <w:rsid w:val="5D869808"/>
    <w:rsid w:val="5DA75DE6"/>
    <w:rsid w:val="5DE2C8A3"/>
    <w:rsid w:val="5E1EC110"/>
    <w:rsid w:val="5E2B339D"/>
    <w:rsid w:val="5E85D971"/>
    <w:rsid w:val="5EAE706A"/>
    <w:rsid w:val="5F1C0FE2"/>
    <w:rsid w:val="5F3974DF"/>
    <w:rsid w:val="5F461526"/>
    <w:rsid w:val="5F7166FF"/>
    <w:rsid w:val="5FD4E481"/>
    <w:rsid w:val="6013E70D"/>
    <w:rsid w:val="603F4751"/>
    <w:rsid w:val="607CF61E"/>
    <w:rsid w:val="60C052D5"/>
    <w:rsid w:val="615EF42F"/>
    <w:rsid w:val="618B15F0"/>
    <w:rsid w:val="61EF1C71"/>
    <w:rsid w:val="62380297"/>
    <w:rsid w:val="6257E8AA"/>
    <w:rsid w:val="6291A829"/>
    <w:rsid w:val="62AE0492"/>
    <w:rsid w:val="62E6CE06"/>
    <w:rsid w:val="62E9241E"/>
    <w:rsid w:val="632CB63B"/>
    <w:rsid w:val="63411DDC"/>
    <w:rsid w:val="6344E783"/>
    <w:rsid w:val="634623D1"/>
    <w:rsid w:val="635AD176"/>
    <w:rsid w:val="63A3401E"/>
    <w:rsid w:val="64147BBE"/>
    <w:rsid w:val="646C3FCA"/>
    <w:rsid w:val="64857AEF"/>
    <w:rsid w:val="64994C5C"/>
    <w:rsid w:val="649DA27A"/>
    <w:rsid w:val="64C8C6C2"/>
    <w:rsid w:val="64F52502"/>
    <w:rsid w:val="6564313C"/>
    <w:rsid w:val="6584372A"/>
    <w:rsid w:val="65B38CAC"/>
    <w:rsid w:val="665D3B36"/>
    <w:rsid w:val="6679C276"/>
    <w:rsid w:val="66BA73D6"/>
    <w:rsid w:val="68CFB60B"/>
    <w:rsid w:val="6913E5F1"/>
    <w:rsid w:val="69241D0A"/>
    <w:rsid w:val="6933E297"/>
    <w:rsid w:val="693C4DA7"/>
    <w:rsid w:val="69763100"/>
    <w:rsid w:val="69954127"/>
    <w:rsid w:val="69FEBE6C"/>
    <w:rsid w:val="6A873D3C"/>
    <w:rsid w:val="6A954C1A"/>
    <w:rsid w:val="6AF1719B"/>
    <w:rsid w:val="6AF77266"/>
    <w:rsid w:val="6B321743"/>
    <w:rsid w:val="6B9D016C"/>
    <w:rsid w:val="6C738682"/>
    <w:rsid w:val="6D33F52C"/>
    <w:rsid w:val="6D9F3686"/>
    <w:rsid w:val="6DAD1D68"/>
    <w:rsid w:val="6E0753BA"/>
    <w:rsid w:val="6E0E5DBF"/>
    <w:rsid w:val="6E396939"/>
    <w:rsid w:val="6EA85489"/>
    <w:rsid w:val="6EEB446C"/>
    <w:rsid w:val="6F124EEA"/>
    <w:rsid w:val="6F3FB5F4"/>
    <w:rsid w:val="6F613F97"/>
    <w:rsid w:val="6FDA5DAD"/>
    <w:rsid w:val="701A696D"/>
    <w:rsid w:val="704100FC"/>
    <w:rsid w:val="70482DBF"/>
    <w:rsid w:val="70528E12"/>
    <w:rsid w:val="7076B999"/>
    <w:rsid w:val="709CF80D"/>
    <w:rsid w:val="70A2AA6F"/>
    <w:rsid w:val="70BF3C46"/>
    <w:rsid w:val="70DF1D5B"/>
    <w:rsid w:val="711FA950"/>
    <w:rsid w:val="71C817D3"/>
    <w:rsid w:val="71E94514"/>
    <w:rsid w:val="7230C65F"/>
    <w:rsid w:val="72DF48F7"/>
    <w:rsid w:val="72F8562D"/>
    <w:rsid w:val="72FE7039"/>
    <w:rsid w:val="736555EF"/>
    <w:rsid w:val="73A1E39D"/>
    <w:rsid w:val="73CE87D0"/>
    <w:rsid w:val="73F05BE1"/>
    <w:rsid w:val="741BCD7B"/>
    <w:rsid w:val="7434B0BA"/>
    <w:rsid w:val="747C948D"/>
    <w:rsid w:val="74852C4F"/>
    <w:rsid w:val="74E188DF"/>
    <w:rsid w:val="7551DA96"/>
    <w:rsid w:val="75D4242D"/>
    <w:rsid w:val="760D3223"/>
    <w:rsid w:val="7650C12D"/>
    <w:rsid w:val="765DF090"/>
    <w:rsid w:val="76793926"/>
    <w:rsid w:val="76C8500B"/>
    <w:rsid w:val="77328E9C"/>
    <w:rsid w:val="778830CD"/>
    <w:rsid w:val="77989327"/>
    <w:rsid w:val="77A8601B"/>
    <w:rsid w:val="77A90284"/>
    <w:rsid w:val="77BBD6A7"/>
    <w:rsid w:val="78051F7E"/>
    <w:rsid w:val="78E0B417"/>
    <w:rsid w:val="7A57AC3B"/>
    <w:rsid w:val="7AE19D4A"/>
    <w:rsid w:val="7B3BAD46"/>
    <w:rsid w:val="7B7B4C78"/>
    <w:rsid w:val="7BED6EDA"/>
    <w:rsid w:val="7C3437AE"/>
    <w:rsid w:val="7C453D6F"/>
    <w:rsid w:val="7C757391"/>
    <w:rsid w:val="7C908BEA"/>
    <w:rsid w:val="7CAFF2FE"/>
    <w:rsid w:val="7CB93ACE"/>
    <w:rsid w:val="7CF57AA0"/>
    <w:rsid w:val="7D065BA7"/>
    <w:rsid w:val="7D85D6CA"/>
    <w:rsid w:val="7D8C3429"/>
    <w:rsid w:val="7DE77CAC"/>
    <w:rsid w:val="7E20AB30"/>
    <w:rsid w:val="7E9C0F6B"/>
    <w:rsid w:val="7EB44A1B"/>
    <w:rsid w:val="7ED9C7F6"/>
    <w:rsid w:val="7F9D6639"/>
    <w:rsid w:val="7FC82CAC"/>
    <w:rsid w:val="7FD5B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01BD8BA"/>
  <w15:chartTrackingRefBased/>
  <w15:docId w15:val="{48290C1C-67F0-4843-9AD8-92591031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E30"/>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qFormat/>
    <w:rsid w:val="00736E30"/>
    <w:pPr>
      <w:keepNext/>
      <w:spacing w:line="480" w:lineRule="auto"/>
      <w:ind w:firstLine="1418"/>
      <w:jc w:val="both"/>
      <w:outlineLvl w:val="0"/>
    </w:pPr>
    <w:rPr>
      <w:rFonts w:ascii="new courier" w:hAnsi="new courier"/>
      <w:b/>
      <w:sz w:val="26"/>
    </w:rPr>
  </w:style>
  <w:style w:type="paragraph" w:styleId="Ttulo2">
    <w:name w:val="heading 2"/>
    <w:basedOn w:val="Normal"/>
    <w:next w:val="Normal"/>
    <w:link w:val="Ttulo2Car"/>
    <w:uiPriority w:val="9"/>
    <w:unhideWhenUsed/>
    <w:qFormat/>
    <w:rsid w:val="004D16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5304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6E30"/>
    <w:rPr>
      <w:rFonts w:ascii="new courier" w:eastAsia="Calibri" w:hAnsi="new courier" w:cs="Times New Roman"/>
      <w:b/>
      <w:sz w:val="26"/>
      <w:szCs w:val="20"/>
      <w:lang w:val="es-ES" w:eastAsia="es-ES"/>
    </w:rPr>
  </w:style>
  <w:style w:type="paragraph" w:styleId="Sangra3detindependiente">
    <w:name w:val="Body Text Indent 3"/>
    <w:basedOn w:val="Normal"/>
    <w:link w:val="Sangra3detindependienteCar"/>
    <w:rsid w:val="00736E30"/>
    <w:pPr>
      <w:ind w:left="2124"/>
      <w:jc w:val="both"/>
    </w:pPr>
    <w:rPr>
      <w:rFonts w:ascii="Arial" w:hAnsi="Arial"/>
      <w:b/>
      <w:sz w:val="24"/>
    </w:rPr>
  </w:style>
  <w:style w:type="character" w:customStyle="1" w:styleId="Sangra3detindependienteCar">
    <w:name w:val="Sangría 3 de t. independiente Car"/>
    <w:basedOn w:val="Fuentedeprrafopredeter"/>
    <w:link w:val="Sangra3detindependiente"/>
    <w:rsid w:val="00736E30"/>
    <w:rPr>
      <w:rFonts w:ascii="Arial" w:eastAsia="Calibri" w:hAnsi="Arial" w:cs="Times New Roman"/>
      <w:b/>
      <w:sz w:val="24"/>
      <w:szCs w:val="20"/>
      <w:lang w:val="es-ES" w:eastAsia="es-ES"/>
    </w:rPr>
  </w:style>
  <w:style w:type="paragraph" w:styleId="Textoindependiente">
    <w:name w:val="Body Text"/>
    <w:basedOn w:val="Normal"/>
    <w:link w:val="TextoindependienteCar"/>
    <w:rsid w:val="00736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480" w:lineRule="atLeast"/>
      <w:jc w:val="both"/>
    </w:pPr>
    <w:rPr>
      <w:spacing w:val="-3"/>
      <w:sz w:val="24"/>
      <w:lang w:val="es-ES_tradnl"/>
    </w:rPr>
  </w:style>
  <w:style w:type="character" w:customStyle="1" w:styleId="TextoindependienteCar">
    <w:name w:val="Texto independiente Car"/>
    <w:basedOn w:val="Fuentedeprrafopredeter"/>
    <w:link w:val="Textoindependiente"/>
    <w:rsid w:val="00736E30"/>
    <w:rPr>
      <w:rFonts w:ascii="Times New Roman" w:eastAsia="Calibri" w:hAnsi="Times New Roman" w:cs="Times New Roman"/>
      <w:spacing w:val="-3"/>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qFormat/>
    <w:rsid w:val="00736E30"/>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rsid w:val="00736E30"/>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link w:val="4GChar"/>
    <w:qFormat/>
    <w:rsid w:val="00736E30"/>
    <w:rPr>
      <w:rFonts w:cs="Times New Roman"/>
      <w:vertAlign w:val="superscript"/>
    </w:rPr>
  </w:style>
  <w:style w:type="paragraph" w:customStyle="1" w:styleId="Textoindependiente21">
    <w:name w:val="Texto independiente 21"/>
    <w:basedOn w:val="Normal"/>
    <w:rsid w:val="00736E30"/>
    <w:pPr>
      <w:overflowPunct w:val="0"/>
      <w:autoSpaceDE w:val="0"/>
      <w:autoSpaceDN w:val="0"/>
      <w:adjustRightInd w:val="0"/>
      <w:spacing w:line="360" w:lineRule="auto"/>
      <w:ind w:firstLine="708"/>
      <w:jc w:val="both"/>
      <w:textAlignment w:val="baseline"/>
    </w:pPr>
    <w:rPr>
      <w:rFonts w:ascii="Arial" w:eastAsia="Times New Roman" w:hAnsi="Arial"/>
      <w:i/>
      <w:sz w:val="28"/>
    </w:rPr>
  </w:style>
  <w:style w:type="paragraph" w:styleId="Encabezado">
    <w:name w:val="header"/>
    <w:basedOn w:val="Normal"/>
    <w:link w:val="EncabezadoCar"/>
    <w:rsid w:val="00736E30"/>
    <w:pPr>
      <w:tabs>
        <w:tab w:val="center" w:pos="4252"/>
        <w:tab w:val="right" w:pos="8504"/>
      </w:tabs>
    </w:pPr>
  </w:style>
  <w:style w:type="character" w:customStyle="1" w:styleId="EncabezadoCar">
    <w:name w:val="Encabezado Car"/>
    <w:basedOn w:val="Fuentedeprrafopredeter"/>
    <w:link w:val="Encabezado"/>
    <w:rsid w:val="00736E30"/>
    <w:rPr>
      <w:rFonts w:ascii="Times New Roman" w:eastAsia="Calibri" w:hAnsi="Times New Roman" w:cs="Times New Roman"/>
      <w:sz w:val="20"/>
      <w:szCs w:val="20"/>
      <w:lang w:val="es-ES" w:eastAsia="es-ES"/>
    </w:rPr>
  </w:style>
  <w:style w:type="character" w:styleId="Nmerodepgina">
    <w:name w:val="page number"/>
    <w:basedOn w:val="Fuentedeprrafopredeter"/>
    <w:rsid w:val="00736E30"/>
  </w:style>
  <w:style w:type="paragraph" w:styleId="Prrafodelista">
    <w:name w:val="List Paragraph"/>
    <w:basedOn w:val="Normal"/>
    <w:uiPriority w:val="34"/>
    <w:qFormat/>
    <w:rsid w:val="00736E30"/>
    <w:pPr>
      <w:ind w:left="720"/>
      <w:contextualSpacing/>
    </w:pPr>
  </w:style>
  <w:style w:type="character" w:customStyle="1" w:styleId="apple-converted-space">
    <w:name w:val="apple-converted-space"/>
    <w:basedOn w:val="Fuentedeprrafopredeter"/>
    <w:rsid w:val="00736E30"/>
  </w:style>
  <w:style w:type="paragraph" w:styleId="Sangra2detindependiente">
    <w:name w:val="Body Text Indent 2"/>
    <w:basedOn w:val="Normal"/>
    <w:link w:val="Sangra2detindependienteCar"/>
    <w:unhideWhenUsed/>
    <w:rsid w:val="00736E30"/>
    <w:pPr>
      <w:spacing w:after="120" w:line="480" w:lineRule="auto"/>
      <w:ind w:left="283"/>
    </w:pPr>
    <w:rPr>
      <w:rFonts w:ascii="Calibri" w:hAnsi="Calibri"/>
      <w:sz w:val="22"/>
      <w:szCs w:val="22"/>
      <w:lang w:val="es-CO" w:eastAsia="en-US"/>
    </w:rPr>
  </w:style>
  <w:style w:type="character" w:customStyle="1" w:styleId="Sangra2detindependienteCar">
    <w:name w:val="Sangría 2 de t. independiente Car"/>
    <w:basedOn w:val="Fuentedeprrafopredeter"/>
    <w:link w:val="Sangra2detindependiente"/>
    <w:rsid w:val="00736E30"/>
    <w:rPr>
      <w:rFonts w:ascii="Calibri" w:eastAsia="Calibri" w:hAnsi="Calibri" w:cs="Times New Roman"/>
    </w:rPr>
  </w:style>
  <w:style w:type="paragraph" w:styleId="Sinespaciado">
    <w:name w:val="No Spacing"/>
    <w:uiPriority w:val="1"/>
    <w:qFormat/>
    <w:rsid w:val="00736E30"/>
    <w:pPr>
      <w:spacing w:after="0" w:line="240" w:lineRule="auto"/>
    </w:pPr>
    <w:rPr>
      <w:rFonts w:ascii="Calibri" w:eastAsia="Calibri" w:hAnsi="Calibri" w:cs="Times New Roman"/>
    </w:rPr>
  </w:style>
  <w:style w:type="paragraph" w:styleId="Piedepgina">
    <w:name w:val="footer"/>
    <w:basedOn w:val="Normal"/>
    <w:link w:val="PiedepginaCar"/>
    <w:unhideWhenUsed/>
    <w:rsid w:val="00736E30"/>
    <w:pPr>
      <w:tabs>
        <w:tab w:val="center" w:pos="4252"/>
        <w:tab w:val="right" w:pos="8504"/>
      </w:tabs>
    </w:pPr>
  </w:style>
  <w:style w:type="character" w:customStyle="1" w:styleId="PiedepginaCar">
    <w:name w:val="Pie de página Car"/>
    <w:basedOn w:val="Fuentedeprrafopredeter"/>
    <w:link w:val="Piedepgina"/>
    <w:rsid w:val="00736E30"/>
    <w:rPr>
      <w:rFonts w:ascii="Times New Roman" w:eastAsia="Calibri" w:hAnsi="Times New Roman" w:cs="Times New Roman"/>
      <w:sz w:val="20"/>
      <w:szCs w:val="20"/>
      <w:lang w:val="es-ES" w:eastAsia="es-ES"/>
    </w:rPr>
  </w:style>
  <w:style w:type="paragraph" w:customStyle="1" w:styleId="a">
    <w:basedOn w:val="Normal"/>
    <w:next w:val="Ttulo"/>
    <w:link w:val="TtuloCar"/>
    <w:qFormat/>
    <w:rsid w:val="008C2A88"/>
    <w:pPr>
      <w:spacing w:line="360" w:lineRule="auto"/>
      <w:jc w:val="center"/>
    </w:pPr>
    <w:rPr>
      <w:rFonts w:ascii="Arial" w:eastAsiaTheme="minorHAnsi" w:hAnsi="Arial" w:cs="Arial"/>
      <w:b/>
      <w:iCs/>
      <w:sz w:val="24"/>
      <w:szCs w:val="24"/>
    </w:rPr>
  </w:style>
  <w:style w:type="character" w:customStyle="1" w:styleId="TtuloCar">
    <w:name w:val="Título Car"/>
    <w:link w:val="a"/>
    <w:rsid w:val="008C2A88"/>
    <w:rPr>
      <w:rFonts w:ascii="Arial" w:hAnsi="Arial" w:cs="Arial"/>
      <w:b/>
      <w:iCs/>
      <w:sz w:val="24"/>
      <w:szCs w:val="24"/>
      <w:lang w:val="es-ES" w:eastAsia="es-ES" w:bidi="ar-SA"/>
    </w:rPr>
  </w:style>
  <w:style w:type="paragraph" w:styleId="Ttulo">
    <w:name w:val="Title"/>
    <w:basedOn w:val="Normal"/>
    <w:next w:val="Normal"/>
    <w:link w:val="TtuloCar1"/>
    <w:qFormat/>
    <w:rsid w:val="008C2A8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8C2A88"/>
    <w:rPr>
      <w:rFonts w:asciiTheme="majorHAnsi" w:eastAsiaTheme="majorEastAsia" w:hAnsiTheme="majorHAnsi" w:cstheme="majorBidi"/>
      <w:spacing w:val="-10"/>
      <w:kern w:val="28"/>
      <w:sz w:val="56"/>
      <w:szCs w:val="56"/>
      <w:lang w:val="es-ES" w:eastAsia="es-ES"/>
    </w:rPr>
  </w:style>
  <w:style w:type="paragraph" w:styleId="NormalWeb">
    <w:name w:val="Normal (Web)"/>
    <w:basedOn w:val="Normal"/>
    <w:uiPriority w:val="99"/>
    <w:semiHidden/>
    <w:unhideWhenUsed/>
    <w:rsid w:val="009728FD"/>
    <w:pPr>
      <w:spacing w:before="100" w:beforeAutospacing="1" w:after="100" w:afterAutospacing="1"/>
    </w:pPr>
    <w:rPr>
      <w:rFonts w:eastAsia="Times New Roman"/>
      <w:sz w:val="24"/>
      <w:szCs w:val="24"/>
      <w:lang w:val="es-CO" w:eastAsia="es-CO"/>
    </w:rPr>
  </w:style>
  <w:style w:type="paragraph" w:customStyle="1" w:styleId="Textodebloque1">
    <w:name w:val="Texto de bloque1"/>
    <w:basedOn w:val="Normal"/>
    <w:rsid w:val="006054B9"/>
    <w:pPr>
      <w:overflowPunct w:val="0"/>
      <w:autoSpaceDE w:val="0"/>
      <w:autoSpaceDN w:val="0"/>
      <w:adjustRightInd w:val="0"/>
      <w:ind w:left="720" w:firstLine="706"/>
      <w:jc w:val="both"/>
      <w:textAlignment w:val="baseline"/>
    </w:pPr>
    <w:rPr>
      <w:rFonts w:eastAsia="Times New Roman"/>
      <w:i/>
      <w:sz w:val="24"/>
      <w:lang w:val="es-ES_tradnl"/>
    </w:rPr>
  </w:style>
  <w:style w:type="paragraph" w:styleId="Textoindependiente2">
    <w:name w:val="Body Text 2"/>
    <w:basedOn w:val="Normal"/>
    <w:link w:val="Textoindependiente2Car"/>
    <w:uiPriority w:val="99"/>
    <w:semiHidden/>
    <w:unhideWhenUsed/>
    <w:rsid w:val="00DB0D6D"/>
    <w:pPr>
      <w:spacing w:after="120" w:line="480" w:lineRule="auto"/>
    </w:pPr>
  </w:style>
  <w:style w:type="character" w:customStyle="1" w:styleId="Textoindependiente2Car">
    <w:name w:val="Texto independiente 2 Car"/>
    <w:basedOn w:val="Fuentedeprrafopredeter"/>
    <w:link w:val="Textoindependiente2"/>
    <w:uiPriority w:val="99"/>
    <w:semiHidden/>
    <w:rsid w:val="00DB0D6D"/>
    <w:rPr>
      <w:rFonts w:ascii="Times New Roman" w:eastAsia="Calibri" w:hAnsi="Times New Roman" w:cs="Times New Roman"/>
      <w:sz w:val="20"/>
      <w:szCs w:val="20"/>
      <w:lang w:val="es-ES" w:eastAsia="es-ES"/>
    </w:rPr>
  </w:style>
  <w:style w:type="character" w:customStyle="1" w:styleId="textonavy1">
    <w:name w:val="texto_navy1"/>
    <w:basedOn w:val="Fuentedeprrafopredeter"/>
    <w:rsid w:val="00DB0D6D"/>
    <w:rPr>
      <w:color w:val="000080"/>
    </w:rPr>
  </w:style>
  <w:style w:type="paragraph" w:styleId="Textoindependiente3">
    <w:name w:val="Body Text 3"/>
    <w:basedOn w:val="Normal"/>
    <w:link w:val="Textoindependiente3Car"/>
    <w:uiPriority w:val="99"/>
    <w:semiHidden/>
    <w:unhideWhenUsed/>
    <w:rsid w:val="003F40C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40C1"/>
    <w:rPr>
      <w:rFonts w:ascii="Times New Roman" w:eastAsia="Calibri" w:hAnsi="Times New Roman" w:cs="Times New Roman"/>
      <w:sz w:val="16"/>
      <w:szCs w:val="16"/>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8C2F66"/>
    <w:pPr>
      <w:jc w:val="both"/>
    </w:pPr>
    <w:rPr>
      <w:rFonts w:asciiTheme="minorHAnsi" w:eastAsiaTheme="minorHAnsi" w:hAnsiTheme="minorHAnsi"/>
      <w:sz w:val="22"/>
      <w:szCs w:val="22"/>
      <w:vertAlign w:val="superscript"/>
      <w:lang w:val="es-CO" w:eastAsia="en-US"/>
    </w:rPr>
  </w:style>
  <w:style w:type="paragraph" w:customStyle="1" w:styleId="Textoindependiente22">
    <w:name w:val="Texto independiente 22"/>
    <w:basedOn w:val="Normal"/>
    <w:uiPriority w:val="99"/>
    <w:rsid w:val="008C2F66"/>
    <w:pPr>
      <w:overflowPunct w:val="0"/>
      <w:autoSpaceDE w:val="0"/>
      <w:autoSpaceDN w:val="0"/>
      <w:adjustRightInd w:val="0"/>
      <w:spacing w:line="360" w:lineRule="auto"/>
      <w:ind w:firstLine="1418"/>
      <w:jc w:val="both"/>
    </w:pPr>
    <w:rPr>
      <w:rFonts w:ascii="Arial" w:eastAsia="Times New Roman" w:hAnsi="Arial"/>
      <w:sz w:val="24"/>
    </w:rPr>
  </w:style>
  <w:style w:type="table" w:styleId="Tablaconcuadrcula">
    <w:name w:val="Table Grid"/>
    <w:basedOn w:val="Tablanormal"/>
    <w:uiPriority w:val="39"/>
    <w:rsid w:val="0086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D1649"/>
    <w:rPr>
      <w:rFonts w:asciiTheme="majorHAnsi" w:eastAsiaTheme="majorEastAsia" w:hAnsiTheme="majorHAnsi" w:cstheme="majorBidi"/>
      <w:color w:val="2E74B5" w:themeColor="accent1" w:themeShade="BF"/>
      <w:sz w:val="26"/>
      <w:szCs w:val="26"/>
      <w:lang w:val="es-ES" w:eastAsia="es-ES"/>
    </w:rPr>
  </w:style>
  <w:style w:type="character" w:styleId="Hipervnculo">
    <w:name w:val="Hyperlink"/>
    <w:basedOn w:val="Fuentedeprrafopredeter"/>
    <w:uiPriority w:val="99"/>
    <w:semiHidden/>
    <w:unhideWhenUsed/>
    <w:rsid w:val="00882D89"/>
    <w:rPr>
      <w:color w:val="0000FF"/>
      <w:u w:val="single"/>
    </w:rPr>
  </w:style>
  <w:style w:type="character" w:customStyle="1" w:styleId="Ttulo4Car">
    <w:name w:val="Título 4 Car"/>
    <w:basedOn w:val="Fuentedeprrafopredeter"/>
    <w:link w:val="Ttulo4"/>
    <w:uiPriority w:val="9"/>
    <w:semiHidden/>
    <w:rsid w:val="0015304E"/>
    <w:rPr>
      <w:rFonts w:asciiTheme="majorHAnsi" w:eastAsiaTheme="majorEastAsia" w:hAnsiTheme="majorHAnsi" w:cstheme="majorBidi"/>
      <w:i/>
      <w:iCs/>
      <w:color w:val="2E74B5" w:themeColor="accent1" w:themeShade="BF"/>
      <w:sz w:val="20"/>
      <w:szCs w:val="20"/>
      <w:lang w:val="es-ES" w:eastAsia="es-ES"/>
    </w:rPr>
  </w:style>
  <w:style w:type="character" w:customStyle="1" w:styleId="Notaalpie">
    <w:name w:val="Nota al pie_"/>
    <w:basedOn w:val="Fuentedeprrafopredeter"/>
    <w:link w:val="Notaalpie0"/>
    <w:rsid w:val="00170672"/>
    <w:rPr>
      <w:rFonts w:ascii="Verdana" w:eastAsia="Verdana" w:hAnsi="Verdana" w:cs="Verdana"/>
      <w:sz w:val="15"/>
      <w:szCs w:val="15"/>
      <w:shd w:val="clear" w:color="auto" w:fill="FFFFFF"/>
    </w:rPr>
  </w:style>
  <w:style w:type="paragraph" w:customStyle="1" w:styleId="Notaalpie0">
    <w:name w:val="Nota al pie"/>
    <w:basedOn w:val="Normal"/>
    <w:link w:val="Notaalpie"/>
    <w:rsid w:val="00170672"/>
    <w:pPr>
      <w:shd w:val="clear" w:color="auto" w:fill="FFFFFF"/>
      <w:spacing w:line="0" w:lineRule="atLeast"/>
    </w:pPr>
    <w:rPr>
      <w:rFonts w:ascii="Verdana" w:eastAsia="Verdana" w:hAnsi="Verdana" w:cs="Verdana"/>
      <w:sz w:val="15"/>
      <w:szCs w:val="15"/>
      <w:lang w:val="es-CO" w:eastAsia="en-US"/>
    </w:rPr>
  </w:style>
  <w:style w:type="character" w:customStyle="1" w:styleId="Notaalpie2">
    <w:name w:val="Nota al pie (2)_"/>
    <w:basedOn w:val="Fuentedeprrafopredeter"/>
    <w:link w:val="Notaalpie20"/>
    <w:rsid w:val="00170672"/>
    <w:rPr>
      <w:rFonts w:ascii="Arial" w:eastAsia="Arial" w:hAnsi="Arial" w:cs="Arial"/>
      <w:sz w:val="11"/>
      <w:szCs w:val="11"/>
      <w:shd w:val="clear" w:color="auto" w:fill="FFFFFF"/>
    </w:rPr>
  </w:style>
  <w:style w:type="character" w:customStyle="1" w:styleId="NotaalpieSincursiva">
    <w:name w:val="Nota al pie + Sin cursiva"/>
    <w:basedOn w:val="Notaalpie"/>
    <w:rsid w:val="00170672"/>
    <w:rPr>
      <w:rFonts w:ascii="Arial" w:eastAsia="Arial" w:hAnsi="Arial" w:cs="Arial"/>
      <w:b w:val="0"/>
      <w:bCs w:val="0"/>
      <w:i/>
      <w:iCs/>
      <w:smallCaps w:val="0"/>
      <w:strike w:val="0"/>
      <w:spacing w:val="0"/>
      <w:sz w:val="19"/>
      <w:szCs w:val="19"/>
      <w:shd w:val="clear" w:color="auto" w:fill="FFFFFF"/>
    </w:rPr>
  </w:style>
  <w:style w:type="character" w:customStyle="1" w:styleId="Notaalpie3">
    <w:name w:val="Nota al pie (3)_"/>
    <w:basedOn w:val="Fuentedeprrafopredeter"/>
    <w:link w:val="Notaalpie30"/>
    <w:rsid w:val="00170672"/>
    <w:rPr>
      <w:rFonts w:ascii="Arial" w:eastAsia="Arial" w:hAnsi="Arial" w:cs="Arial"/>
      <w:sz w:val="19"/>
      <w:szCs w:val="19"/>
      <w:shd w:val="clear" w:color="auto" w:fill="FFFFFF"/>
    </w:rPr>
  </w:style>
  <w:style w:type="paragraph" w:customStyle="1" w:styleId="Notaalpie20">
    <w:name w:val="Nota al pie (2)"/>
    <w:basedOn w:val="Normal"/>
    <w:link w:val="Notaalpie2"/>
    <w:rsid w:val="00170672"/>
    <w:pPr>
      <w:shd w:val="clear" w:color="auto" w:fill="FFFFFF"/>
      <w:spacing w:line="0" w:lineRule="atLeast"/>
    </w:pPr>
    <w:rPr>
      <w:rFonts w:ascii="Arial" w:eastAsia="Arial" w:hAnsi="Arial" w:cs="Arial"/>
      <w:sz w:val="11"/>
      <w:szCs w:val="11"/>
      <w:lang w:val="es-CO" w:eastAsia="en-US"/>
    </w:rPr>
  </w:style>
  <w:style w:type="paragraph" w:customStyle="1" w:styleId="Notaalpie30">
    <w:name w:val="Nota al pie (3)"/>
    <w:basedOn w:val="Normal"/>
    <w:link w:val="Notaalpie3"/>
    <w:rsid w:val="00170672"/>
    <w:pPr>
      <w:shd w:val="clear" w:color="auto" w:fill="FFFFFF"/>
      <w:spacing w:line="226" w:lineRule="exact"/>
      <w:jc w:val="both"/>
    </w:pPr>
    <w:rPr>
      <w:rFonts w:ascii="Arial" w:eastAsia="Arial" w:hAnsi="Arial" w:cs="Arial"/>
      <w:sz w:val="19"/>
      <w:szCs w:val="19"/>
      <w:lang w:val="es-CO" w:eastAsia="en-US"/>
    </w:rPr>
  </w:style>
  <w:style w:type="character" w:customStyle="1" w:styleId="Cuerpodeltexto3">
    <w:name w:val="Cuerpo del texto (3)_"/>
    <w:basedOn w:val="Fuentedeprrafopredeter"/>
    <w:link w:val="Cuerpodeltexto30"/>
    <w:rsid w:val="00170672"/>
    <w:rPr>
      <w:rFonts w:ascii="Arial" w:eastAsia="Arial" w:hAnsi="Arial" w:cs="Arial"/>
      <w:sz w:val="21"/>
      <w:szCs w:val="21"/>
      <w:shd w:val="clear" w:color="auto" w:fill="FFFFFF"/>
    </w:rPr>
  </w:style>
  <w:style w:type="paragraph" w:customStyle="1" w:styleId="Cuerpodeltexto30">
    <w:name w:val="Cuerpo del texto (3)"/>
    <w:basedOn w:val="Normal"/>
    <w:link w:val="Cuerpodeltexto3"/>
    <w:rsid w:val="00170672"/>
    <w:pPr>
      <w:shd w:val="clear" w:color="auto" w:fill="FFFFFF"/>
      <w:spacing w:before="720" w:after="600" w:line="0" w:lineRule="atLeast"/>
    </w:pPr>
    <w:rPr>
      <w:rFonts w:ascii="Arial" w:eastAsia="Arial" w:hAnsi="Arial" w:cs="Arial"/>
      <w:sz w:val="21"/>
      <w:szCs w:val="21"/>
      <w:lang w:val="es-CO" w:eastAsia="en-US"/>
    </w:rPr>
  </w:style>
  <w:style w:type="character" w:customStyle="1" w:styleId="Notaalpie26pto">
    <w:name w:val="Nota al pie (2) + 6 pto"/>
    <w:basedOn w:val="Notaalpie2"/>
    <w:rsid w:val="00170672"/>
    <w:rPr>
      <w:rFonts w:ascii="Arial" w:eastAsia="Arial" w:hAnsi="Arial" w:cs="Arial"/>
      <w:b w:val="0"/>
      <w:bCs w:val="0"/>
      <w:i w:val="0"/>
      <w:iCs w:val="0"/>
      <w:smallCaps w:val="0"/>
      <w:strike w:val="0"/>
      <w:spacing w:val="0"/>
      <w:sz w:val="12"/>
      <w:szCs w:val="12"/>
      <w:shd w:val="clear" w:color="auto" w:fill="FFFFFF"/>
    </w:rPr>
  </w:style>
  <w:style w:type="character" w:customStyle="1" w:styleId="Cuerpodeltexto3Espaciado-1pto">
    <w:name w:val="Cuerpo del texto (3) + Espaciado -1 pto"/>
    <w:basedOn w:val="Cuerpodeltexto3"/>
    <w:rsid w:val="00170672"/>
    <w:rPr>
      <w:rFonts w:ascii="Arial" w:eastAsia="Arial" w:hAnsi="Arial" w:cs="Arial"/>
      <w:b w:val="0"/>
      <w:bCs w:val="0"/>
      <w:i w:val="0"/>
      <w:iCs w:val="0"/>
      <w:smallCaps w:val="0"/>
      <w:strike w:val="0"/>
      <w:spacing w:val="-20"/>
      <w:sz w:val="21"/>
      <w:szCs w:val="21"/>
      <w:shd w:val="clear" w:color="auto" w:fill="FFFFFF"/>
    </w:rPr>
  </w:style>
  <w:style w:type="character" w:customStyle="1" w:styleId="normaltextrun">
    <w:name w:val="normaltextrun"/>
    <w:basedOn w:val="Fuentedeprrafopredeter"/>
    <w:rsid w:val="00E50707"/>
  </w:style>
  <w:style w:type="character" w:customStyle="1" w:styleId="eop">
    <w:name w:val="eop"/>
    <w:basedOn w:val="Fuentedeprrafopredeter"/>
    <w:rsid w:val="00E50707"/>
  </w:style>
  <w:style w:type="paragraph" w:customStyle="1" w:styleId="western">
    <w:name w:val="western"/>
    <w:basedOn w:val="Normal"/>
    <w:rsid w:val="0028635D"/>
    <w:pPr>
      <w:spacing w:before="100" w:beforeAutospacing="1" w:after="100" w:afterAutospacing="1"/>
    </w:pPr>
    <w:rPr>
      <w:rFonts w:eastAsia="Times New Roman"/>
      <w:sz w:val="24"/>
      <w:szCs w:val="24"/>
      <w:lang w:val="es-MX" w:eastAsia="es-MX"/>
    </w:rPr>
  </w:style>
  <w:style w:type="character" w:customStyle="1" w:styleId="EncabezamientoopiedepginaArial">
    <w:name w:val="Encabezamiento o pie de página + Arial"/>
    <w:aliases w:val="11,5 pto,Cursiva,Nota al pie (4) + 9,Nota al pie + 5,Sin cursiva,Nota al pie (3) + 5,Título #1 + 10,Sin negrita,Cuerpo del texto + 9,Cuerpo del texto (2) + 11 pto,Nota al pie + 6 pto"/>
    <w:rsid w:val="006E3318"/>
    <w:rPr>
      <w:rFonts w:ascii="Arial" w:eastAsia="Arial" w:hAnsi="Arial" w:cs="Arial"/>
      <w:b w:val="0"/>
      <w:bCs w:val="0"/>
      <w:i/>
      <w:iCs/>
      <w:smallCaps w:val="0"/>
      <w:strike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3466">
      <w:bodyDiv w:val="1"/>
      <w:marLeft w:val="0"/>
      <w:marRight w:val="0"/>
      <w:marTop w:val="0"/>
      <w:marBottom w:val="0"/>
      <w:divBdr>
        <w:top w:val="none" w:sz="0" w:space="0" w:color="auto"/>
        <w:left w:val="none" w:sz="0" w:space="0" w:color="auto"/>
        <w:bottom w:val="none" w:sz="0" w:space="0" w:color="auto"/>
        <w:right w:val="none" w:sz="0" w:space="0" w:color="auto"/>
      </w:divBdr>
    </w:div>
    <w:div w:id="213464618">
      <w:bodyDiv w:val="1"/>
      <w:marLeft w:val="0"/>
      <w:marRight w:val="0"/>
      <w:marTop w:val="0"/>
      <w:marBottom w:val="0"/>
      <w:divBdr>
        <w:top w:val="none" w:sz="0" w:space="0" w:color="auto"/>
        <w:left w:val="none" w:sz="0" w:space="0" w:color="auto"/>
        <w:bottom w:val="none" w:sz="0" w:space="0" w:color="auto"/>
        <w:right w:val="none" w:sz="0" w:space="0" w:color="auto"/>
      </w:divBdr>
    </w:div>
    <w:div w:id="367995764">
      <w:bodyDiv w:val="1"/>
      <w:marLeft w:val="0"/>
      <w:marRight w:val="0"/>
      <w:marTop w:val="0"/>
      <w:marBottom w:val="0"/>
      <w:divBdr>
        <w:top w:val="none" w:sz="0" w:space="0" w:color="auto"/>
        <w:left w:val="none" w:sz="0" w:space="0" w:color="auto"/>
        <w:bottom w:val="none" w:sz="0" w:space="0" w:color="auto"/>
        <w:right w:val="none" w:sz="0" w:space="0" w:color="auto"/>
      </w:divBdr>
    </w:div>
    <w:div w:id="475799376">
      <w:bodyDiv w:val="1"/>
      <w:marLeft w:val="0"/>
      <w:marRight w:val="0"/>
      <w:marTop w:val="0"/>
      <w:marBottom w:val="0"/>
      <w:divBdr>
        <w:top w:val="none" w:sz="0" w:space="0" w:color="auto"/>
        <w:left w:val="none" w:sz="0" w:space="0" w:color="auto"/>
        <w:bottom w:val="none" w:sz="0" w:space="0" w:color="auto"/>
        <w:right w:val="none" w:sz="0" w:space="0" w:color="auto"/>
      </w:divBdr>
    </w:div>
    <w:div w:id="815294790">
      <w:bodyDiv w:val="1"/>
      <w:marLeft w:val="0"/>
      <w:marRight w:val="0"/>
      <w:marTop w:val="0"/>
      <w:marBottom w:val="0"/>
      <w:divBdr>
        <w:top w:val="none" w:sz="0" w:space="0" w:color="auto"/>
        <w:left w:val="none" w:sz="0" w:space="0" w:color="auto"/>
        <w:bottom w:val="none" w:sz="0" w:space="0" w:color="auto"/>
        <w:right w:val="none" w:sz="0" w:space="0" w:color="auto"/>
      </w:divBdr>
    </w:div>
    <w:div w:id="870267038">
      <w:bodyDiv w:val="1"/>
      <w:marLeft w:val="0"/>
      <w:marRight w:val="0"/>
      <w:marTop w:val="0"/>
      <w:marBottom w:val="0"/>
      <w:divBdr>
        <w:top w:val="none" w:sz="0" w:space="0" w:color="auto"/>
        <w:left w:val="none" w:sz="0" w:space="0" w:color="auto"/>
        <w:bottom w:val="none" w:sz="0" w:space="0" w:color="auto"/>
        <w:right w:val="none" w:sz="0" w:space="0" w:color="auto"/>
      </w:divBdr>
    </w:div>
    <w:div w:id="979766324">
      <w:bodyDiv w:val="1"/>
      <w:marLeft w:val="0"/>
      <w:marRight w:val="0"/>
      <w:marTop w:val="0"/>
      <w:marBottom w:val="0"/>
      <w:divBdr>
        <w:top w:val="none" w:sz="0" w:space="0" w:color="auto"/>
        <w:left w:val="none" w:sz="0" w:space="0" w:color="auto"/>
        <w:bottom w:val="none" w:sz="0" w:space="0" w:color="auto"/>
        <w:right w:val="none" w:sz="0" w:space="0" w:color="auto"/>
      </w:divBdr>
    </w:div>
    <w:div w:id="990207142">
      <w:bodyDiv w:val="1"/>
      <w:marLeft w:val="0"/>
      <w:marRight w:val="0"/>
      <w:marTop w:val="0"/>
      <w:marBottom w:val="0"/>
      <w:divBdr>
        <w:top w:val="none" w:sz="0" w:space="0" w:color="auto"/>
        <w:left w:val="none" w:sz="0" w:space="0" w:color="auto"/>
        <w:bottom w:val="none" w:sz="0" w:space="0" w:color="auto"/>
        <w:right w:val="none" w:sz="0" w:space="0" w:color="auto"/>
      </w:divBdr>
    </w:div>
    <w:div w:id="1058093176">
      <w:bodyDiv w:val="1"/>
      <w:marLeft w:val="0"/>
      <w:marRight w:val="0"/>
      <w:marTop w:val="0"/>
      <w:marBottom w:val="0"/>
      <w:divBdr>
        <w:top w:val="none" w:sz="0" w:space="0" w:color="auto"/>
        <w:left w:val="none" w:sz="0" w:space="0" w:color="auto"/>
        <w:bottom w:val="none" w:sz="0" w:space="0" w:color="auto"/>
        <w:right w:val="none" w:sz="0" w:space="0" w:color="auto"/>
      </w:divBdr>
    </w:div>
    <w:div w:id="1079863888">
      <w:bodyDiv w:val="1"/>
      <w:marLeft w:val="0"/>
      <w:marRight w:val="0"/>
      <w:marTop w:val="0"/>
      <w:marBottom w:val="0"/>
      <w:divBdr>
        <w:top w:val="none" w:sz="0" w:space="0" w:color="auto"/>
        <w:left w:val="none" w:sz="0" w:space="0" w:color="auto"/>
        <w:bottom w:val="none" w:sz="0" w:space="0" w:color="auto"/>
        <w:right w:val="none" w:sz="0" w:space="0" w:color="auto"/>
      </w:divBdr>
    </w:div>
    <w:div w:id="1095318997">
      <w:bodyDiv w:val="1"/>
      <w:marLeft w:val="0"/>
      <w:marRight w:val="0"/>
      <w:marTop w:val="0"/>
      <w:marBottom w:val="0"/>
      <w:divBdr>
        <w:top w:val="none" w:sz="0" w:space="0" w:color="auto"/>
        <w:left w:val="none" w:sz="0" w:space="0" w:color="auto"/>
        <w:bottom w:val="none" w:sz="0" w:space="0" w:color="auto"/>
        <w:right w:val="none" w:sz="0" w:space="0" w:color="auto"/>
      </w:divBdr>
    </w:div>
    <w:div w:id="1315183445">
      <w:bodyDiv w:val="1"/>
      <w:marLeft w:val="0"/>
      <w:marRight w:val="0"/>
      <w:marTop w:val="0"/>
      <w:marBottom w:val="0"/>
      <w:divBdr>
        <w:top w:val="none" w:sz="0" w:space="0" w:color="auto"/>
        <w:left w:val="none" w:sz="0" w:space="0" w:color="auto"/>
        <w:bottom w:val="none" w:sz="0" w:space="0" w:color="auto"/>
        <w:right w:val="none" w:sz="0" w:space="0" w:color="auto"/>
      </w:divBdr>
    </w:div>
    <w:div w:id="1361248318">
      <w:bodyDiv w:val="1"/>
      <w:marLeft w:val="0"/>
      <w:marRight w:val="0"/>
      <w:marTop w:val="0"/>
      <w:marBottom w:val="0"/>
      <w:divBdr>
        <w:top w:val="none" w:sz="0" w:space="0" w:color="auto"/>
        <w:left w:val="none" w:sz="0" w:space="0" w:color="auto"/>
        <w:bottom w:val="none" w:sz="0" w:space="0" w:color="auto"/>
        <w:right w:val="none" w:sz="0" w:space="0" w:color="auto"/>
      </w:divBdr>
    </w:div>
    <w:div w:id="1390765900">
      <w:bodyDiv w:val="1"/>
      <w:marLeft w:val="0"/>
      <w:marRight w:val="0"/>
      <w:marTop w:val="0"/>
      <w:marBottom w:val="0"/>
      <w:divBdr>
        <w:top w:val="none" w:sz="0" w:space="0" w:color="auto"/>
        <w:left w:val="none" w:sz="0" w:space="0" w:color="auto"/>
        <w:bottom w:val="none" w:sz="0" w:space="0" w:color="auto"/>
        <w:right w:val="none" w:sz="0" w:space="0" w:color="auto"/>
      </w:divBdr>
    </w:div>
    <w:div w:id="1625846310">
      <w:bodyDiv w:val="1"/>
      <w:marLeft w:val="0"/>
      <w:marRight w:val="0"/>
      <w:marTop w:val="0"/>
      <w:marBottom w:val="0"/>
      <w:divBdr>
        <w:top w:val="none" w:sz="0" w:space="0" w:color="auto"/>
        <w:left w:val="none" w:sz="0" w:space="0" w:color="auto"/>
        <w:bottom w:val="none" w:sz="0" w:space="0" w:color="auto"/>
        <w:right w:val="none" w:sz="0" w:space="0" w:color="auto"/>
      </w:divBdr>
    </w:div>
    <w:div w:id="1650861367">
      <w:bodyDiv w:val="1"/>
      <w:marLeft w:val="0"/>
      <w:marRight w:val="0"/>
      <w:marTop w:val="0"/>
      <w:marBottom w:val="0"/>
      <w:divBdr>
        <w:top w:val="none" w:sz="0" w:space="0" w:color="auto"/>
        <w:left w:val="none" w:sz="0" w:space="0" w:color="auto"/>
        <w:bottom w:val="none" w:sz="0" w:space="0" w:color="auto"/>
        <w:right w:val="none" w:sz="0" w:space="0" w:color="auto"/>
      </w:divBdr>
    </w:div>
    <w:div w:id="1708211560">
      <w:bodyDiv w:val="1"/>
      <w:marLeft w:val="0"/>
      <w:marRight w:val="0"/>
      <w:marTop w:val="0"/>
      <w:marBottom w:val="0"/>
      <w:divBdr>
        <w:top w:val="none" w:sz="0" w:space="0" w:color="auto"/>
        <w:left w:val="none" w:sz="0" w:space="0" w:color="auto"/>
        <w:bottom w:val="none" w:sz="0" w:space="0" w:color="auto"/>
        <w:right w:val="none" w:sz="0" w:space="0" w:color="auto"/>
      </w:divBdr>
    </w:div>
    <w:div w:id="1831678152">
      <w:bodyDiv w:val="1"/>
      <w:marLeft w:val="0"/>
      <w:marRight w:val="0"/>
      <w:marTop w:val="0"/>
      <w:marBottom w:val="0"/>
      <w:divBdr>
        <w:top w:val="none" w:sz="0" w:space="0" w:color="auto"/>
        <w:left w:val="none" w:sz="0" w:space="0" w:color="auto"/>
        <w:bottom w:val="none" w:sz="0" w:space="0" w:color="auto"/>
        <w:right w:val="none" w:sz="0" w:space="0" w:color="auto"/>
      </w:divBdr>
    </w:div>
    <w:div w:id="1871526667">
      <w:bodyDiv w:val="1"/>
      <w:marLeft w:val="0"/>
      <w:marRight w:val="0"/>
      <w:marTop w:val="0"/>
      <w:marBottom w:val="0"/>
      <w:divBdr>
        <w:top w:val="none" w:sz="0" w:space="0" w:color="auto"/>
        <w:left w:val="none" w:sz="0" w:space="0" w:color="auto"/>
        <w:bottom w:val="none" w:sz="0" w:space="0" w:color="auto"/>
        <w:right w:val="none" w:sz="0" w:space="0" w:color="auto"/>
      </w:divBdr>
    </w:div>
    <w:div w:id="1922526359">
      <w:bodyDiv w:val="1"/>
      <w:marLeft w:val="0"/>
      <w:marRight w:val="0"/>
      <w:marTop w:val="0"/>
      <w:marBottom w:val="0"/>
      <w:divBdr>
        <w:top w:val="none" w:sz="0" w:space="0" w:color="auto"/>
        <w:left w:val="none" w:sz="0" w:space="0" w:color="auto"/>
        <w:bottom w:val="none" w:sz="0" w:space="0" w:color="auto"/>
        <w:right w:val="none" w:sz="0" w:space="0" w:color="auto"/>
      </w:divBdr>
    </w:div>
    <w:div w:id="2045052733">
      <w:bodyDiv w:val="1"/>
      <w:marLeft w:val="0"/>
      <w:marRight w:val="0"/>
      <w:marTop w:val="0"/>
      <w:marBottom w:val="0"/>
      <w:divBdr>
        <w:top w:val="none" w:sz="0" w:space="0" w:color="auto"/>
        <w:left w:val="none" w:sz="0" w:space="0" w:color="auto"/>
        <w:bottom w:val="none" w:sz="0" w:space="0" w:color="auto"/>
        <w:right w:val="none" w:sz="0" w:space="0" w:color="auto"/>
      </w:divBdr>
    </w:div>
    <w:div w:id="2083794619">
      <w:bodyDiv w:val="1"/>
      <w:marLeft w:val="0"/>
      <w:marRight w:val="0"/>
      <w:marTop w:val="0"/>
      <w:marBottom w:val="0"/>
      <w:divBdr>
        <w:top w:val="none" w:sz="0" w:space="0" w:color="auto"/>
        <w:left w:val="none" w:sz="0" w:space="0" w:color="auto"/>
        <w:bottom w:val="none" w:sz="0" w:space="0" w:color="auto"/>
        <w:right w:val="none" w:sz="0" w:space="0" w:color="auto"/>
      </w:divBdr>
    </w:div>
    <w:div w:id="21144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8951-C140-45A4-8A46-B2473A390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8C64EB-6302-4AC7-A57A-6DA944DA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20C70-D2E6-45D8-8521-630EF26AAB0F}">
  <ds:schemaRefs>
    <ds:schemaRef ds:uri="http://schemas.microsoft.com/sharepoint/v3/contenttype/forms"/>
  </ds:schemaRefs>
</ds:datastoreItem>
</file>

<file path=customXml/itemProps4.xml><?xml version="1.0" encoding="utf-8"?>
<ds:datastoreItem xmlns:ds="http://schemas.openxmlformats.org/officeDocument/2006/customXml" ds:itemID="{B17D6B37-BDA0-4202-B391-95708FAB6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7585</Words>
  <Characters>41719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XIMENA SANCHEZ PAEZ</dc:creator>
  <cp:keywords/>
  <dc:description/>
  <cp:lastModifiedBy>Relatoria Tribunal Administrativo - Boyaca - Seccional Tunja</cp:lastModifiedBy>
  <cp:revision>142</cp:revision>
  <dcterms:created xsi:type="dcterms:W3CDTF">2021-04-19T21:26:00Z</dcterms:created>
  <dcterms:modified xsi:type="dcterms:W3CDTF">2022-03-10T16:33:00Z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