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1122F" w14:textId="589B647B" w:rsidR="0041706D" w:rsidRPr="0041706D" w:rsidRDefault="0041706D" w:rsidP="0041706D">
      <w:pPr>
        <w:tabs>
          <w:tab w:val="left" w:pos="7371"/>
        </w:tabs>
        <w:jc w:val="both"/>
        <w:rPr>
          <w:rFonts w:ascii="Arial" w:hAnsi="Arial" w:cs="Arial"/>
          <w:b/>
          <w:sz w:val="24"/>
          <w:szCs w:val="24"/>
        </w:rPr>
      </w:pPr>
      <w:r w:rsidRPr="0041706D">
        <w:rPr>
          <w:rFonts w:ascii="Arial" w:hAnsi="Arial" w:cs="Arial"/>
          <w:b/>
          <w:sz w:val="24"/>
          <w:szCs w:val="24"/>
        </w:rPr>
        <w:t>RÉGIMEN PENSIONAL DE LOS SERVIDORES DE LA RAMA JUDICIAL Y DEL MIN</w:t>
      </w:r>
      <w:r w:rsidR="009F7133">
        <w:rPr>
          <w:rFonts w:ascii="Arial" w:hAnsi="Arial" w:cs="Arial"/>
          <w:b/>
          <w:sz w:val="24"/>
          <w:szCs w:val="24"/>
        </w:rPr>
        <w:t>I</w:t>
      </w:r>
      <w:r w:rsidRPr="0041706D">
        <w:rPr>
          <w:rFonts w:ascii="Arial" w:hAnsi="Arial" w:cs="Arial"/>
          <w:b/>
          <w:sz w:val="24"/>
          <w:szCs w:val="24"/>
        </w:rPr>
        <w:t>STERIO PÚBLICO - Marco normativo y jurisprudencial.</w:t>
      </w:r>
    </w:p>
    <w:p w14:paraId="4E63512B" w14:textId="77777777" w:rsidR="0041706D" w:rsidRPr="0041706D" w:rsidRDefault="0041706D" w:rsidP="0041706D">
      <w:pPr>
        <w:pStyle w:val="Prrafodelista"/>
        <w:widowControl w:val="0"/>
        <w:tabs>
          <w:tab w:val="left" w:pos="426"/>
        </w:tabs>
        <w:ind w:left="0"/>
        <w:jc w:val="both"/>
        <w:rPr>
          <w:rFonts w:ascii="Arial" w:hAnsi="Arial" w:cs="Arial"/>
          <w:b/>
          <w:sz w:val="24"/>
          <w:szCs w:val="24"/>
        </w:rPr>
      </w:pPr>
    </w:p>
    <w:p w14:paraId="532DAC05" w14:textId="6A35B9AC" w:rsidR="0041706D" w:rsidRPr="0041706D" w:rsidRDefault="0041706D" w:rsidP="0041706D">
      <w:pPr>
        <w:pStyle w:val="Prrafodelista"/>
        <w:ind w:left="0"/>
        <w:jc w:val="both"/>
        <w:rPr>
          <w:rFonts w:ascii="Arial" w:hAnsi="Arial" w:cs="Arial"/>
          <w:sz w:val="24"/>
          <w:szCs w:val="24"/>
        </w:rPr>
      </w:pPr>
      <w:r w:rsidRPr="0041706D">
        <w:rPr>
          <w:rFonts w:ascii="Arial" w:hAnsi="Arial" w:cs="Arial"/>
          <w:sz w:val="24"/>
          <w:szCs w:val="24"/>
        </w:rPr>
        <w:t>El artículo 6° del Decreto 546 de 27 de marzo de 1971 previó que los funcionarios y empleados de la Rama Jurisdiccional y del Ministerio Público tendrían derecho a una pensión ordinaria vitalicia de jubilación equivalente al 75% de la asignación mensual más elevada que hubieren devengado en el último año de servicio cuando cumplieran 55 años de edad, si eran hombres o 50, si eran mujeres, y 20 años de servicio continuos o discontinuos, anteriores o posteriores a la vigencia de ese Decreto, de los cuales por lo menos 10 debían ser exclusivamente a la Rama Jurisdiccional o al Ministerio Público, o a ambas actividades. La Sección Segunda del Consejo de Estado, mediante la sentencia CE-SUJ-S2-021-201 de 11 de junio de 2020, unificó jurisprudencia, en relación con el tema estudiado, en el siguiente sentido: (…)</w:t>
      </w:r>
    </w:p>
    <w:p w14:paraId="1A2D2E02" w14:textId="77777777" w:rsidR="0041706D" w:rsidRPr="0041706D" w:rsidRDefault="0041706D" w:rsidP="0041706D">
      <w:pPr>
        <w:pStyle w:val="Prrafodelista"/>
        <w:ind w:left="0"/>
        <w:jc w:val="both"/>
        <w:rPr>
          <w:rFonts w:ascii="Arial" w:hAnsi="Arial" w:cs="Arial"/>
          <w:b/>
          <w:bCs/>
          <w:sz w:val="24"/>
          <w:szCs w:val="24"/>
        </w:rPr>
      </w:pPr>
    </w:p>
    <w:p w14:paraId="524AD5AC" w14:textId="0E09EF01" w:rsidR="0041706D" w:rsidRPr="009F7133" w:rsidRDefault="0041706D" w:rsidP="0041706D">
      <w:pPr>
        <w:widowControl w:val="0"/>
        <w:tabs>
          <w:tab w:val="left" w:pos="567"/>
          <w:tab w:val="left" w:pos="7655"/>
        </w:tabs>
        <w:jc w:val="both"/>
        <w:rPr>
          <w:rFonts w:ascii="Arial" w:hAnsi="Arial" w:cs="Arial"/>
          <w:b/>
          <w:sz w:val="24"/>
          <w:szCs w:val="24"/>
        </w:rPr>
      </w:pPr>
      <w:r w:rsidRPr="0041706D">
        <w:rPr>
          <w:rFonts w:ascii="Arial" w:hAnsi="Arial" w:cs="Arial"/>
          <w:b/>
          <w:sz w:val="24"/>
          <w:szCs w:val="24"/>
        </w:rPr>
        <w:t>RÉGIMEN PENSIONAL DE LOS SERVIDORES DE LA RAMA JUDICIAL Y DEL MIN</w:t>
      </w:r>
      <w:r w:rsidR="006E3218">
        <w:rPr>
          <w:rFonts w:ascii="Arial" w:hAnsi="Arial" w:cs="Arial"/>
          <w:b/>
          <w:sz w:val="24"/>
          <w:szCs w:val="24"/>
        </w:rPr>
        <w:t>I</w:t>
      </w:r>
      <w:bookmarkStart w:id="0" w:name="_GoBack"/>
      <w:bookmarkEnd w:id="0"/>
      <w:r w:rsidRPr="0041706D">
        <w:rPr>
          <w:rFonts w:ascii="Arial" w:hAnsi="Arial" w:cs="Arial"/>
          <w:b/>
          <w:sz w:val="24"/>
          <w:szCs w:val="24"/>
        </w:rPr>
        <w:t xml:space="preserve">STERIO PÚBLICO – </w:t>
      </w:r>
      <w:r w:rsidRPr="009F7133">
        <w:rPr>
          <w:rFonts w:ascii="Arial" w:hAnsi="Arial" w:cs="Arial"/>
          <w:b/>
          <w:sz w:val="24"/>
          <w:szCs w:val="24"/>
        </w:rPr>
        <w:t>Aplicación retrospectiva y obligatoria de la sentencia de unificación del Consejo de Estado CE-SUJ-S2-021-20 de 11 de junio de 2020</w:t>
      </w:r>
      <w:r w:rsidR="009F7133">
        <w:rPr>
          <w:rFonts w:ascii="Arial" w:hAnsi="Arial" w:cs="Arial"/>
          <w:b/>
          <w:sz w:val="24"/>
          <w:szCs w:val="24"/>
        </w:rPr>
        <w:t>.</w:t>
      </w:r>
      <w:r w:rsidRPr="009F7133">
        <w:rPr>
          <w:rFonts w:ascii="Arial" w:hAnsi="Arial" w:cs="Arial"/>
          <w:b/>
          <w:sz w:val="24"/>
          <w:szCs w:val="24"/>
        </w:rPr>
        <w:t xml:space="preserve"> </w:t>
      </w:r>
    </w:p>
    <w:p w14:paraId="1BF40440" w14:textId="77777777" w:rsidR="0041706D" w:rsidRPr="0041706D" w:rsidRDefault="0041706D" w:rsidP="0041706D">
      <w:pPr>
        <w:pStyle w:val="Prrafodelista"/>
        <w:ind w:left="0"/>
        <w:jc w:val="both"/>
        <w:rPr>
          <w:rFonts w:ascii="Arial" w:hAnsi="Arial" w:cs="Arial"/>
          <w:sz w:val="24"/>
          <w:szCs w:val="24"/>
        </w:rPr>
      </w:pPr>
    </w:p>
    <w:p w14:paraId="560AFFC7" w14:textId="5C6AA37D" w:rsidR="0041706D" w:rsidRPr="0041706D" w:rsidRDefault="0041706D" w:rsidP="0041706D">
      <w:pPr>
        <w:pStyle w:val="Prrafodelista"/>
        <w:widowControl w:val="0"/>
        <w:tabs>
          <w:tab w:val="left" w:pos="567"/>
          <w:tab w:val="left" w:pos="7655"/>
        </w:tabs>
        <w:ind w:left="0"/>
        <w:jc w:val="both"/>
        <w:rPr>
          <w:rFonts w:ascii="Arial" w:eastAsia="Batang" w:hAnsi="Arial" w:cs="Arial"/>
          <w:sz w:val="24"/>
          <w:szCs w:val="24"/>
        </w:rPr>
      </w:pPr>
      <w:r w:rsidRPr="0041706D">
        <w:rPr>
          <w:rFonts w:ascii="Arial" w:hAnsi="Arial" w:cs="Arial"/>
          <w:sz w:val="24"/>
          <w:szCs w:val="24"/>
        </w:rPr>
        <w:t>En este orden de ideas, la demandante adquirió el derecho a obtener el reconocimiento de la pensión bajo el amparo del régimen anterior, que para el caso de los empleados de la Rama Judicial y del Ministerio Público corresponde al Decreto 546 de 1971, respecto de los requisitos de edad, tiempo de servicio y monto (tasa de remplazo); y en relación con el ingreso base de liquidación debe atenderse a lo previsto en el artículo 36 de la Ley 100 de 1993, con base en las reglas que fijó la Sección Segunda del Consejo de Estado en la sentencia de unificación proferida el 11 de junio de 2020. (…)</w:t>
      </w:r>
      <w:r w:rsidRPr="0041706D">
        <w:rPr>
          <w:rFonts w:ascii="Arial" w:hAnsi="Arial" w:cs="Arial"/>
          <w:b/>
          <w:sz w:val="24"/>
          <w:szCs w:val="24"/>
        </w:rPr>
        <w:t xml:space="preserve"> </w:t>
      </w:r>
      <w:r w:rsidRPr="0041706D">
        <w:rPr>
          <w:rFonts w:ascii="Arial" w:hAnsi="Arial" w:cs="Arial"/>
          <w:sz w:val="24"/>
          <w:szCs w:val="24"/>
        </w:rPr>
        <w:t xml:space="preserve">En efecto, la apelación no contiene argumentos respecto de la providencia de unificación CE-SUJ-S2-021-20 de 11 de junio de 2020, en la medida en que la sentencia que profirió el </w:t>
      </w:r>
      <w:r w:rsidRPr="0041706D">
        <w:rPr>
          <w:rFonts w:ascii="Arial" w:hAnsi="Arial" w:cs="Arial"/>
          <w:i/>
          <w:sz w:val="24"/>
          <w:szCs w:val="24"/>
        </w:rPr>
        <w:t xml:space="preserve">a quo </w:t>
      </w:r>
      <w:r w:rsidRPr="0041706D">
        <w:rPr>
          <w:rFonts w:ascii="Arial" w:hAnsi="Arial" w:cs="Arial"/>
          <w:sz w:val="24"/>
          <w:szCs w:val="24"/>
        </w:rPr>
        <w:t xml:space="preserve">en el proceso de la referencia es anterior a esa fecha; sin embargo, resulta aplicable al caso </w:t>
      </w:r>
      <w:r w:rsidRPr="0041706D">
        <w:rPr>
          <w:rFonts w:ascii="Arial" w:hAnsi="Arial" w:cs="Arial"/>
          <w:i/>
          <w:sz w:val="24"/>
          <w:szCs w:val="24"/>
        </w:rPr>
        <w:t xml:space="preserve">sub examine, </w:t>
      </w:r>
      <w:r w:rsidRPr="0041706D">
        <w:rPr>
          <w:rFonts w:ascii="Arial" w:hAnsi="Arial" w:cs="Arial"/>
          <w:sz w:val="24"/>
          <w:szCs w:val="24"/>
        </w:rPr>
        <w:t xml:space="preserve">porque la Sección Segunda del Consejo de Estado, en la sentencia unificación CE-SUJ-S2-021-20 de 11 de junio de 2020, </w:t>
      </w:r>
      <w:r w:rsidRPr="0041706D">
        <w:rPr>
          <w:rFonts w:ascii="Arial" w:hAnsi="Arial" w:cs="Arial"/>
          <w:sz w:val="24"/>
          <w:szCs w:val="24"/>
          <w:lang w:eastAsia="es-CO"/>
        </w:rPr>
        <w:t xml:space="preserve">advirtió </w:t>
      </w:r>
      <w:r w:rsidRPr="0041706D">
        <w:rPr>
          <w:rFonts w:ascii="Arial" w:hAnsi="Arial" w:cs="Arial"/>
          <w:sz w:val="24"/>
          <w:szCs w:val="24"/>
        </w:rPr>
        <w:t>a la comunidad en general que las consideraciones expuestas en relación con los temas objeto de unificación, tienen aplicación retrospectiva, y que la regla jurisprudencial fijada es vinculante en los procesos que se están adelantando en juzgados, tribunales administrativos y Consejo de Estado, como sucede en el caso bajo estudio. Precisamente, la aplicación de esa sentencia de unificación no desconoce los derechos a la igualdad de la parte demandante o al debido proceso, comoquiera que el Consejo de Estado</w:t>
      </w:r>
      <w:r w:rsidRPr="0041706D">
        <w:rPr>
          <w:rFonts w:ascii="Arial" w:hAnsi="Arial" w:cs="Arial"/>
          <w:sz w:val="24"/>
          <w:szCs w:val="24"/>
          <w:lang w:eastAsia="es-CO"/>
        </w:rPr>
        <w:t xml:space="preserve">, en esa oportunidad: i) explicó claramente las razones constitucionales, legales y reglamentarias que fundamentaron la regla jurisprudencial para liquidar la pensión de jubilación de los empleados vinculados a la Rama Judicial y al Ministerio Público; y </w:t>
      </w:r>
      <w:proofErr w:type="spellStart"/>
      <w:r w:rsidRPr="0041706D">
        <w:rPr>
          <w:rFonts w:ascii="Arial" w:hAnsi="Arial" w:cs="Arial"/>
          <w:sz w:val="24"/>
          <w:szCs w:val="24"/>
          <w:lang w:eastAsia="es-CO"/>
        </w:rPr>
        <w:t>ii</w:t>
      </w:r>
      <w:proofErr w:type="spellEnd"/>
      <w:r w:rsidRPr="0041706D">
        <w:rPr>
          <w:rFonts w:ascii="Arial" w:hAnsi="Arial" w:cs="Arial"/>
          <w:sz w:val="24"/>
          <w:szCs w:val="24"/>
          <w:lang w:eastAsia="es-CO"/>
        </w:rPr>
        <w:t xml:space="preserve">) </w:t>
      </w:r>
      <w:r w:rsidRPr="0041706D">
        <w:rPr>
          <w:rFonts w:ascii="Arial" w:hAnsi="Arial" w:cs="Arial"/>
          <w:color w:val="4B4949"/>
          <w:sz w:val="24"/>
          <w:szCs w:val="24"/>
          <w:lang w:eastAsia="es-CO"/>
        </w:rPr>
        <w:t xml:space="preserve"> </w:t>
      </w:r>
      <w:r w:rsidRPr="0041706D">
        <w:rPr>
          <w:rFonts w:ascii="Arial" w:hAnsi="Arial" w:cs="Arial"/>
          <w:sz w:val="24"/>
          <w:szCs w:val="24"/>
          <w:lang w:eastAsia="es-CO"/>
        </w:rPr>
        <w:t>explicó que los efectos de la decisión de unificación “[…]</w:t>
      </w:r>
      <w:r w:rsidRPr="0041706D">
        <w:rPr>
          <w:rFonts w:ascii="Arial" w:hAnsi="Arial" w:cs="Arial"/>
          <w:sz w:val="24"/>
          <w:szCs w:val="24"/>
        </w:rPr>
        <w:t xml:space="preserve"> garantizan la seguridad jurídica y dan prevalencia a los principios fundamentales de la Seguridad Social, por ello no puede invocarse el principio de igualdad, so pretexto de solicitar la inaplicación de esta sentencia</w:t>
      </w:r>
      <w:r w:rsidRPr="0041706D">
        <w:rPr>
          <w:rFonts w:ascii="Arial" w:hAnsi="Arial" w:cs="Arial"/>
        </w:rPr>
        <w:t xml:space="preserve"> </w:t>
      </w:r>
      <w:r w:rsidRPr="0041706D">
        <w:rPr>
          <w:rFonts w:ascii="Arial" w:hAnsi="Arial" w:cs="Arial"/>
          <w:sz w:val="24"/>
          <w:szCs w:val="24"/>
        </w:rPr>
        <w:t>[…]”</w:t>
      </w:r>
      <w:r w:rsidRPr="0041706D">
        <w:rPr>
          <w:rFonts w:ascii="Arial" w:hAnsi="Arial" w:cs="Arial"/>
          <w:i/>
          <w:sz w:val="24"/>
          <w:szCs w:val="24"/>
        </w:rPr>
        <w:t xml:space="preserve"> </w:t>
      </w:r>
      <w:r w:rsidRPr="0041706D">
        <w:rPr>
          <w:rFonts w:ascii="Arial" w:hAnsi="Arial" w:cs="Arial"/>
          <w:sz w:val="24"/>
          <w:szCs w:val="24"/>
        </w:rPr>
        <w:t xml:space="preserve">Además, la Sección Segunda del Consejo de Estado en la sentencia de unificación a la que se ha hecho referencia no estableció excepciones para su aplicación en virtud del principio de favorabilidad, razón por la cual, constituye </w:t>
      </w:r>
      <w:r w:rsidRPr="009F7133">
        <w:rPr>
          <w:rFonts w:ascii="Arial" w:eastAsia="Batang" w:hAnsi="Arial" w:cs="Arial"/>
          <w:sz w:val="24"/>
          <w:szCs w:val="24"/>
        </w:rPr>
        <w:t>precedente obligatorio</w:t>
      </w:r>
      <w:r w:rsidRPr="0041706D">
        <w:rPr>
          <w:rFonts w:ascii="Arial" w:eastAsia="Batang" w:hAnsi="Arial" w:cs="Arial"/>
          <w:b/>
          <w:sz w:val="24"/>
          <w:szCs w:val="24"/>
        </w:rPr>
        <w:t xml:space="preserve"> </w:t>
      </w:r>
      <w:r w:rsidRPr="0041706D">
        <w:rPr>
          <w:rFonts w:ascii="Arial" w:eastAsia="Batang" w:hAnsi="Arial" w:cs="Arial"/>
          <w:sz w:val="24"/>
          <w:szCs w:val="24"/>
        </w:rPr>
        <w:lastRenderedPageBreak/>
        <w:t>en el caso sub examine.</w:t>
      </w:r>
    </w:p>
    <w:p w14:paraId="7F035220" w14:textId="77777777" w:rsidR="0041706D" w:rsidRPr="0041706D" w:rsidRDefault="0041706D" w:rsidP="0041706D">
      <w:pPr>
        <w:pStyle w:val="Prrafodelista"/>
        <w:widowControl w:val="0"/>
        <w:tabs>
          <w:tab w:val="left" w:pos="567"/>
          <w:tab w:val="left" w:pos="7655"/>
        </w:tabs>
        <w:ind w:left="0"/>
        <w:jc w:val="both"/>
        <w:rPr>
          <w:rFonts w:ascii="Arial" w:eastAsia="Batang" w:hAnsi="Arial" w:cs="Arial"/>
          <w:sz w:val="24"/>
          <w:szCs w:val="24"/>
        </w:rPr>
      </w:pPr>
    </w:p>
    <w:p w14:paraId="3D7297DA" w14:textId="5092B6AA" w:rsidR="0041706D" w:rsidRPr="0041706D" w:rsidRDefault="0041706D" w:rsidP="0041706D">
      <w:pPr>
        <w:pStyle w:val="Prrafodelista"/>
        <w:widowControl w:val="0"/>
        <w:tabs>
          <w:tab w:val="left" w:pos="567"/>
          <w:tab w:val="left" w:pos="7655"/>
        </w:tabs>
        <w:ind w:left="0"/>
        <w:jc w:val="both"/>
        <w:rPr>
          <w:rFonts w:ascii="Arial" w:eastAsia="Batang" w:hAnsi="Arial" w:cs="Arial"/>
          <w:b/>
          <w:sz w:val="24"/>
          <w:szCs w:val="24"/>
        </w:rPr>
      </w:pPr>
      <w:r w:rsidRPr="0041706D">
        <w:rPr>
          <w:rFonts w:ascii="Arial" w:hAnsi="Arial" w:cs="Arial"/>
          <w:b/>
          <w:sz w:val="24"/>
          <w:szCs w:val="24"/>
        </w:rPr>
        <w:t>RÉGIMEN PENSIONAL DE LOS SERVIDORES DE LA RAMA JUDICIAL Y DEL MIN</w:t>
      </w:r>
      <w:r w:rsidR="009F7133">
        <w:rPr>
          <w:rFonts w:ascii="Arial" w:hAnsi="Arial" w:cs="Arial"/>
          <w:b/>
          <w:sz w:val="24"/>
          <w:szCs w:val="24"/>
        </w:rPr>
        <w:t>I</w:t>
      </w:r>
      <w:r w:rsidRPr="0041706D">
        <w:rPr>
          <w:rFonts w:ascii="Arial" w:hAnsi="Arial" w:cs="Arial"/>
          <w:b/>
          <w:sz w:val="24"/>
          <w:szCs w:val="24"/>
        </w:rPr>
        <w:t>STERIO PÚBLICO – Factores salariales / RÉGIMEN PENSIONAL DE LOS SERVIDORES DE LA RAMA JUDICIAL Y DEL MIN</w:t>
      </w:r>
      <w:r w:rsidR="00894619">
        <w:rPr>
          <w:rFonts w:ascii="Arial" w:hAnsi="Arial" w:cs="Arial"/>
          <w:b/>
          <w:sz w:val="24"/>
          <w:szCs w:val="24"/>
        </w:rPr>
        <w:t>I</w:t>
      </w:r>
      <w:r w:rsidRPr="0041706D">
        <w:rPr>
          <w:rFonts w:ascii="Arial" w:hAnsi="Arial" w:cs="Arial"/>
          <w:b/>
          <w:sz w:val="24"/>
          <w:szCs w:val="24"/>
        </w:rPr>
        <w:t>STERIO PÚBLICO – No son factores salariales para liquidar esta pensión el subsidio de transporte, el subsidio de alimentación, la prima de navidad y la prima de vacaciones</w:t>
      </w:r>
    </w:p>
    <w:p w14:paraId="70385458" w14:textId="77777777" w:rsidR="0041706D" w:rsidRPr="0041706D" w:rsidRDefault="0041706D" w:rsidP="0041706D">
      <w:pPr>
        <w:pStyle w:val="Prrafodelista"/>
        <w:widowControl w:val="0"/>
        <w:tabs>
          <w:tab w:val="left" w:pos="567"/>
          <w:tab w:val="left" w:pos="7655"/>
        </w:tabs>
        <w:ind w:left="0"/>
        <w:jc w:val="both"/>
        <w:rPr>
          <w:rFonts w:ascii="Arial" w:eastAsia="Batang" w:hAnsi="Arial" w:cs="Arial"/>
          <w:b/>
          <w:sz w:val="24"/>
          <w:szCs w:val="24"/>
        </w:rPr>
      </w:pPr>
    </w:p>
    <w:p w14:paraId="3C089F1E" w14:textId="77777777" w:rsidR="0041706D" w:rsidRPr="0041706D" w:rsidRDefault="0041706D" w:rsidP="0041706D">
      <w:pPr>
        <w:pStyle w:val="Prrafodelista"/>
        <w:widowControl w:val="0"/>
        <w:tabs>
          <w:tab w:val="left" w:pos="567"/>
          <w:tab w:val="left" w:pos="7655"/>
        </w:tabs>
        <w:ind w:left="0"/>
        <w:jc w:val="both"/>
        <w:rPr>
          <w:rFonts w:ascii="Arial" w:hAnsi="Arial" w:cs="Arial"/>
          <w:sz w:val="24"/>
          <w:szCs w:val="24"/>
        </w:rPr>
      </w:pPr>
      <w:r w:rsidRPr="0041706D">
        <w:rPr>
          <w:rFonts w:ascii="Arial" w:hAnsi="Arial" w:cs="Arial"/>
          <w:sz w:val="24"/>
          <w:szCs w:val="24"/>
        </w:rPr>
        <w:t xml:space="preserve">De acuerdo con lo expuesto en la presente sentencia, en la liquidación de la pensión ordinaria de jubilación de los empleados vinculados a la Rama Judicial y al Ministerio Público que gozan del régimen de transición previsto en el artículo 36 de la Ley 100 de 1993, los factores que se deben atender son los previstos en </w:t>
      </w:r>
      <w:r w:rsidRPr="0041706D">
        <w:rPr>
          <w:rFonts w:ascii="Arial" w:hAnsi="Arial" w:cs="Arial"/>
          <w:sz w:val="24"/>
          <w:szCs w:val="24"/>
          <w:bdr w:val="none" w:sz="0" w:space="0" w:color="auto" w:frame="1"/>
        </w:rPr>
        <w:t xml:space="preserve">el artículo 1.° del Decreto 1158 de 1994 </w:t>
      </w:r>
      <w:r w:rsidRPr="009F7133">
        <w:rPr>
          <w:rFonts w:ascii="Arial" w:hAnsi="Arial" w:cs="Arial"/>
          <w:sz w:val="24"/>
          <w:szCs w:val="24"/>
          <w:bdr w:val="none" w:sz="0" w:space="0" w:color="auto" w:frame="1"/>
        </w:rPr>
        <w:t>al igual que</w:t>
      </w:r>
      <w:r w:rsidRPr="0041706D">
        <w:rPr>
          <w:rFonts w:ascii="Arial" w:hAnsi="Arial" w:cs="Arial"/>
          <w:b/>
          <w:sz w:val="24"/>
          <w:szCs w:val="24"/>
          <w:bdr w:val="none" w:sz="0" w:space="0" w:color="auto" w:frame="1"/>
        </w:rPr>
        <w:t xml:space="preserve"> </w:t>
      </w:r>
      <w:r w:rsidRPr="0041706D">
        <w:rPr>
          <w:rFonts w:ascii="Arial" w:hAnsi="Arial" w:cs="Arial"/>
          <w:sz w:val="24"/>
          <w:szCs w:val="24"/>
          <w:bdr w:val="none" w:sz="0" w:space="0" w:color="auto" w:frame="1"/>
        </w:rPr>
        <w:t xml:space="preserve">en los artículos 14 de la </w:t>
      </w:r>
      <w:r w:rsidRPr="0041706D">
        <w:rPr>
          <w:rFonts w:ascii="Arial" w:hAnsi="Arial" w:cs="Arial"/>
          <w:sz w:val="24"/>
          <w:szCs w:val="24"/>
        </w:rPr>
        <w:t>Ley 4ª. de 1992 con la modificación de la Ley 332 de 1996; 1° del Decreto 610 de 1998; 1° del Decreto 1102 de 2012; 1° del Decreto 2460 de 2006;</w:t>
      </w:r>
      <w:r w:rsidRPr="0041706D">
        <w:rPr>
          <w:rFonts w:ascii="Arial" w:hAnsi="Arial" w:cs="Arial"/>
          <w:b/>
          <w:sz w:val="24"/>
          <w:szCs w:val="24"/>
        </w:rPr>
        <w:t xml:space="preserve"> </w:t>
      </w:r>
      <w:r w:rsidRPr="0041706D">
        <w:rPr>
          <w:rFonts w:ascii="Arial" w:hAnsi="Arial" w:cs="Arial"/>
          <w:sz w:val="24"/>
          <w:szCs w:val="24"/>
        </w:rPr>
        <w:t>1° del Decreto 3900 de 2008; y 1° del Decreto 383 de 2013,</w:t>
      </w:r>
      <w:r w:rsidRPr="0041706D">
        <w:rPr>
          <w:rFonts w:ascii="Arial" w:hAnsi="Arial" w:cs="Arial"/>
          <w:sz w:val="24"/>
          <w:szCs w:val="24"/>
          <w:bdr w:val="none" w:sz="0" w:space="0" w:color="auto" w:frame="1"/>
        </w:rPr>
        <w:t xml:space="preserve"> según se trate de magistrados o empleados de la Rama Judicial o del Ministerio Público.</w:t>
      </w:r>
      <w:r w:rsidRPr="0041706D">
        <w:rPr>
          <w:rFonts w:ascii="Arial" w:hAnsi="Arial" w:cs="Arial"/>
          <w:sz w:val="24"/>
          <w:szCs w:val="24"/>
        </w:rPr>
        <w:t xml:space="preserve"> El </w:t>
      </w:r>
      <w:r w:rsidRPr="0041706D">
        <w:rPr>
          <w:rFonts w:ascii="Arial" w:hAnsi="Arial" w:cs="Arial"/>
          <w:i/>
          <w:sz w:val="24"/>
          <w:szCs w:val="24"/>
        </w:rPr>
        <w:t xml:space="preserve">a quo, </w:t>
      </w:r>
      <w:r w:rsidRPr="0041706D">
        <w:rPr>
          <w:rFonts w:ascii="Arial" w:hAnsi="Arial" w:cs="Arial"/>
          <w:sz w:val="24"/>
          <w:szCs w:val="24"/>
        </w:rPr>
        <w:t xml:space="preserve">en la sentencia proferida en primera instancia, declaró la nulidad parcial del acto administrativo acusado y, como consecuencia, ordenó a la demandada reliquidar y pagar una pensión de vejez a favor de la señora María Clemencia Bohórquez Gorraiz, teniendo en cuenta el 75% de los factores salariales devengados durante los diez (10) años anteriores al retiro del servicio, comprendidos entre el 1° de enero de 2005 y el 31 de diciembre de 2014, y respecto de los cuales se realizaron aportes,  así: asignación básica, bonificación por servicios prestados, prima de antigüedad, prima de productividad, subsidio de transporte, subsidio de alimentación y las doceavas correspondientes a la primera de vacaciones y la prima de navidad. Sin embargo, la demandante, en el recurso de apelación insistió en que su pensión no fue reconocida con todos los factores salariales que devengó y la demandada manifestó su inconformismo con la sentencia, en la medida en que el subsidio de transporte, el subsidio de alimentación, la prima de vacaciones y la prima de navidad no se encuentran previstos en el Decreto 1158 de 1994. Por lo tanto, la Sala, a continuación, verificará si en el acto administrativo acusado </w:t>
      </w:r>
      <w:r w:rsidRPr="0041706D">
        <w:rPr>
          <w:rFonts w:ascii="Arial" w:hAnsi="Arial" w:cs="Arial"/>
          <w:b/>
          <w:sz w:val="24"/>
          <w:szCs w:val="24"/>
        </w:rPr>
        <w:t>no</w:t>
      </w:r>
      <w:r w:rsidRPr="0041706D">
        <w:rPr>
          <w:rFonts w:ascii="Arial" w:hAnsi="Arial" w:cs="Arial"/>
          <w:sz w:val="24"/>
          <w:szCs w:val="24"/>
        </w:rPr>
        <w:t xml:space="preserve"> se incluyó algún factor salarial establecido en la referida normativa y si en la sentencia proferida en primera instancia se tuvo en cuenta algún factor adicional que, según el criterio jurisprudencial vigente, debe ser excluido: </w:t>
      </w:r>
    </w:p>
    <w:p w14:paraId="31CD1226" w14:textId="77777777" w:rsidR="0041706D" w:rsidRPr="0041706D" w:rsidRDefault="0041706D" w:rsidP="0041706D">
      <w:pPr>
        <w:pStyle w:val="Prrafodelista"/>
        <w:ind w:left="0"/>
        <w:rPr>
          <w:rFonts w:ascii="Arial" w:hAnsi="Arial" w:cs="Arial"/>
          <w:sz w:val="24"/>
          <w:szCs w:val="24"/>
        </w:rPr>
      </w:pPr>
    </w:p>
    <w:tbl>
      <w:tblPr>
        <w:tblStyle w:val="Tablaconcuadrcula"/>
        <w:tblW w:w="8222" w:type="dxa"/>
        <w:jc w:val="center"/>
        <w:tblLook w:val="04A0" w:firstRow="1" w:lastRow="0" w:firstColumn="1" w:lastColumn="0" w:noHBand="0" w:noVBand="1"/>
      </w:tblPr>
      <w:tblGrid>
        <w:gridCol w:w="1848"/>
        <w:gridCol w:w="2409"/>
        <w:gridCol w:w="1985"/>
        <w:gridCol w:w="1980"/>
      </w:tblGrid>
      <w:tr w:rsidR="0041706D" w:rsidRPr="0041706D" w14:paraId="6DB5DB1B" w14:textId="77777777" w:rsidTr="0041706D">
        <w:trPr>
          <w:trHeight w:val="934"/>
          <w:jc w:val="center"/>
        </w:trPr>
        <w:tc>
          <w:tcPr>
            <w:tcW w:w="1848" w:type="dxa"/>
            <w:shd w:val="clear" w:color="auto" w:fill="A6A6A6" w:themeFill="background1" w:themeFillShade="A6"/>
          </w:tcPr>
          <w:p w14:paraId="233E03E3" w14:textId="77777777" w:rsidR="0041706D" w:rsidRPr="0041706D" w:rsidRDefault="0041706D" w:rsidP="0041706D">
            <w:pPr>
              <w:pStyle w:val="Prrafodelista"/>
              <w:ind w:left="0"/>
              <w:jc w:val="center"/>
              <w:rPr>
                <w:rFonts w:ascii="Arial" w:hAnsi="Arial" w:cs="Arial"/>
                <w:b/>
                <w:sz w:val="16"/>
                <w:szCs w:val="16"/>
              </w:rPr>
            </w:pPr>
          </w:p>
          <w:p w14:paraId="1D27EB44" w14:textId="77777777" w:rsidR="0041706D" w:rsidRPr="0041706D" w:rsidRDefault="0041706D" w:rsidP="0041706D">
            <w:pPr>
              <w:pStyle w:val="Prrafodelista"/>
              <w:ind w:left="0"/>
              <w:jc w:val="center"/>
              <w:rPr>
                <w:rFonts w:ascii="Arial" w:hAnsi="Arial" w:cs="Arial"/>
                <w:b/>
                <w:sz w:val="16"/>
                <w:szCs w:val="16"/>
              </w:rPr>
            </w:pPr>
            <w:r w:rsidRPr="0041706D">
              <w:rPr>
                <w:rFonts w:ascii="Arial" w:hAnsi="Arial" w:cs="Arial"/>
                <w:b/>
                <w:sz w:val="16"/>
                <w:szCs w:val="16"/>
              </w:rPr>
              <w:t>Artículo 1° del Decreto 1158 de 1994, artículo 1° del Decreto 2460 de 2006 y artículo 1 del Decreto 383 de 2013</w:t>
            </w:r>
          </w:p>
        </w:tc>
        <w:tc>
          <w:tcPr>
            <w:tcW w:w="2409" w:type="dxa"/>
            <w:shd w:val="clear" w:color="auto" w:fill="A6A6A6" w:themeFill="background1" w:themeFillShade="A6"/>
          </w:tcPr>
          <w:p w14:paraId="1F795457" w14:textId="77777777" w:rsidR="0041706D" w:rsidRPr="0041706D" w:rsidRDefault="0041706D" w:rsidP="0041706D">
            <w:pPr>
              <w:pStyle w:val="Prrafodelista"/>
              <w:ind w:left="0"/>
              <w:jc w:val="center"/>
              <w:rPr>
                <w:rFonts w:ascii="Arial" w:hAnsi="Arial" w:cs="Arial"/>
                <w:b/>
                <w:sz w:val="16"/>
                <w:szCs w:val="16"/>
              </w:rPr>
            </w:pPr>
          </w:p>
          <w:p w14:paraId="0CA54FC5" w14:textId="77777777" w:rsidR="0041706D" w:rsidRPr="0041706D" w:rsidRDefault="0041706D" w:rsidP="0041706D">
            <w:pPr>
              <w:pStyle w:val="Prrafodelista"/>
              <w:ind w:left="0"/>
              <w:jc w:val="center"/>
              <w:rPr>
                <w:rFonts w:ascii="Arial" w:hAnsi="Arial" w:cs="Arial"/>
                <w:b/>
                <w:sz w:val="16"/>
                <w:szCs w:val="16"/>
              </w:rPr>
            </w:pPr>
            <w:r w:rsidRPr="0041706D">
              <w:rPr>
                <w:rFonts w:ascii="Arial" w:hAnsi="Arial" w:cs="Arial"/>
                <w:b/>
                <w:sz w:val="16"/>
                <w:szCs w:val="16"/>
              </w:rPr>
              <w:t>Factores devengados entre enero de 2005 y 31 de diciembre de 2014</w:t>
            </w:r>
          </w:p>
        </w:tc>
        <w:tc>
          <w:tcPr>
            <w:tcW w:w="1985" w:type="dxa"/>
            <w:shd w:val="clear" w:color="auto" w:fill="A6A6A6" w:themeFill="background1" w:themeFillShade="A6"/>
          </w:tcPr>
          <w:p w14:paraId="3CF1FAF4" w14:textId="77777777" w:rsidR="0041706D" w:rsidRPr="0041706D" w:rsidRDefault="0041706D" w:rsidP="0041706D">
            <w:pPr>
              <w:pStyle w:val="Prrafodelista"/>
              <w:ind w:left="0"/>
              <w:jc w:val="center"/>
              <w:rPr>
                <w:rFonts w:ascii="Arial" w:hAnsi="Arial" w:cs="Arial"/>
                <w:b/>
                <w:sz w:val="16"/>
                <w:szCs w:val="16"/>
              </w:rPr>
            </w:pPr>
          </w:p>
          <w:p w14:paraId="2A3539EF" w14:textId="77777777" w:rsidR="0041706D" w:rsidRPr="0041706D" w:rsidRDefault="0041706D" w:rsidP="0041706D">
            <w:pPr>
              <w:pStyle w:val="Prrafodelista"/>
              <w:ind w:left="0"/>
              <w:jc w:val="center"/>
              <w:rPr>
                <w:rFonts w:ascii="Arial" w:hAnsi="Arial" w:cs="Arial"/>
                <w:b/>
                <w:sz w:val="16"/>
                <w:szCs w:val="16"/>
              </w:rPr>
            </w:pPr>
            <w:r w:rsidRPr="0041706D">
              <w:rPr>
                <w:rFonts w:ascii="Arial" w:hAnsi="Arial" w:cs="Arial"/>
                <w:b/>
                <w:sz w:val="16"/>
                <w:szCs w:val="16"/>
              </w:rPr>
              <w:t xml:space="preserve">Factores reconocidos en el acto administrativo demandado </w:t>
            </w:r>
          </w:p>
        </w:tc>
        <w:tc>
          <w:tcPr>
            <w:tcW w:w="1980" w:type="dxa"/>
            <w:shd w:val="clear" w:color="auto" w:fill="A6A6A6" w:themeFill="background1" w:themeFillShade="A6"/>
          </w:tcPr>
          <w:p w14:paraId="56FC50C0" w14:textId="77777777" w:rsidR="0041706D" w:rsidRPr="0041706D" w:rsidRDefault="0041706D" w:rsidP="0041706D">
            <w:pPr>
              <w:pStyle w:val="Prrafodelista"/>
              <w:ind w:left="0"/>
              <w:jc w:val="center"/>
              <w:rPr>
                <w:rFonts w:ascii="Arial" w:hAnsi="Arial" w:cs="Arial"/>
                <w:b/>
                <w:sz w:val="16"/>
                <w:szCs w:val="16"/>
              </w:rPr>
            </w:pPr>
          </w:p>
          <w:p w14:paraId="28B2C82B" w14:textId="77777777" w:rsidR="0041706D" w:rsidRPr="0041706D" w:rsidRDefault="0041706D" w:rsidP="0041706D">
            <w:pPr>
              <w:pStyle w:val="Prrafodelista"/>
              <w:ind w:left="0"/>
              <w:jc w:val="center"/>
              <w:rPr>
                <w:rFonts w:ascii="Arial" w:hAnsi="Arial" w:cs="Arial"/>
                <w:b/>
                <w:sz w:val="16"/>
                <w:szCs w:val="16"/>
              </w:rPr>
            </w:pPr>
            <w:r w:rsidRPr="0041706D">
              <w:rPr>
                <w:rFonts w:ascii="Arial" w:hAnsi="Arial" w:cs="Arial"/>
                <w:b/>
                <w:sz w:val="16"/>
                <w:szCs w:val="16"/>
              </w:rPr>
              <w:t>Factores objeto de reliquidación en la sentencia proferida en primera instancia</w:t>
            </w:r>
          </w:p>
        </w:tc>
      </w:tr>
      <w:tr w:rsidR="0041706D" w:rsidRPr="0041706D" w14:paraId="058CCAC0" w14:textId="77777777" w:rsidTr="0041706D">
        <w:trPr>
          <w:jc w:val="center"/>
        </w:trPr>
        <w:tc>
          <w:tcPr>
            <w:tcW w:w="1848" w:type="dxa"/>
            <w:shd w:val="clear" w:color="auto" w:fill="F2F2F2" w:themeFill="background1" w:themeFillShade="F2"/>
          </w:tcPr>
          <w:p w14:paraId="74A39191" w14:textId="77777777" w:rsidR="0041706D" w:rsidRPr="0041706D" w:rsidRDefault="0041706D" w:rsidP="0041706D">
            <w:pPr>
              <w:pStyle w:val="Prrafodelista"/>
              <w:ind w:left="0"/>
              <w:jc w:val="center"/>
              <w:rPr>
                <w:rFonts w:ascii="Arial" w:hAnsi="Arial" w:cs="Arial"/>
                <w:sz w:val="16"/>
                <w:szCs w:val="16"/>
              </w:rPr>
            </w:pPr>
            <w:r w:rsidRPr="0041706D">
              <w:rPr>
                <w:rFonts w:ascii="Arial" w:hAnsi="Arial" w:cs="Arial"/>
                <w:sz w:val="16"/>
                <w:szCs w:val="16"/>
              </w:rPr>
              <w:t>Asignación básica mensual</w:t>
            </w:r>
          </w:p>
        </w:tc>
        <w:tc>
          <w:tcPr>
            <w:tcW w:w="2409" w:type="dxa"/>
            <w:shd w:val="clear" w:color="auto" w:fill="F2F2F2" w:themeFill="background1" w:themeFillShade="F2"/>
          </w:tcPr>
          <w:p w14:paraId="42146422" w14:textId="77777777" w:rsidR="0041706D" w:rsidRPr="0041706D" w:rsidRDefault="0041706D" w:rsidP="0041706D">
            <w:pPr>
              <w:pStyle w:val="Prrafodelista"/>
              <w:ind w:left="0"/>
              <w:jc w:val="center"/>
              <w:rPr>
                <w:rFonts w:ascii="Arial" w:hAnsi="Arial" w:cs="Arial"/>
                <w:sz w:val="16"/>
                <w:szCs w:val="16"/>
              </w:rPr>
            </w:pPr>
            <w:r w:rsidRPr="0041706D">
              <w:rPr>
                <w:rFonts w:ascii="Arial" w:hAnsi="Arial" w:cs="Arial"/>
                <w:sz w:val="16"/>
                <w:szCs w:val="16"/>
              </w:rPr>
              <w:t>Sueldo</w:t>
            </w:r>
          </w:p>
        </w:tc>
        <w:tc>
          <w:tcPr>
            <w:tcW w:w="1985" w:type="dxa"/>
            <w:shd w:val="clear" w:color="auto" w:fill="F2F2F2" w:themeFill="background1" w:themeFillShade="F2"/>
          </w:tcPr>
          <w:p w14:paraId="23523AF4" w14:textId="77777777" w:rsidR="0041706D" w:rsidRPr="0041706D" w:rsidRDefault="0041706D" w:rsidP="0041706D">
            <w:pPr>
              <w:pStyle w:val="Prrafodelista"/>
              <w:ind w:left="0"/>
              <w:jc w:val="center"/>
              <w:rPr>
                <w:rFonts w:ascii="Arial" w:hAnsi="Arial" w:cs="Arial"/>
                <w:sz w:val="16"/>
                <w:szCs w:val="16"/>
              </w:rPr>
            </w:pPr>
            <w:r w:rsidRPr="0041706D">
              <w:rPr>
                <w:rFonts w:ascii="Arial" w:hAnsi="Arial" w:cs="Arial"/>
                <w:sz w:val="16"/>
                <w:szCs w:val="16"/>
              </w:rPr>
              <w:t xml:space="preserve">Sueldo </w:t>
            </w:r>
          </w:p>
        </w:tc>
        <w:tc>
          <w:tcPr>
            <w:tcW w:w="1980" w:type="dxa"/>
            <w:shd w:val="clear" w:color="auto" w:fill="F2F2F2" w:themeFill="background1" w:themeFillShade="F2"/>
          </w:tcPr>
          <w:p w14:paraId="24AC6AE0" w14:textId="77777777" w:rsidR="0041706D" w:rsidRPr="0041706D" w:rsidRDefault="0041706D" w:rsidP="0041706D">
            <w:pPr>
              <w:pStyle w:val="Prrafodelista"/>
              <w:ind w:left="0"/>
              <w:jc w:val="center"/>
              <w:rPr>
                <w:rFonts w:ascii="Arial" w:hAnsi="Arial" w:cs="Arial"/>
                <w:sz w:val="16"/>
                <w:szCs w:val="16"/>
              </w:rPr>
            </w:pPr>
            <w:r w:rsidRPr="0041706D">
              <w:rPr>
                <w:rFonts w:ascii="Arial" w:hAnsi="Arial" w:cs="Arial"/>
                <w:sz w:val="16"/>
                <w:szCs w:val="16"/>
              </w:rPr>
              <w:t xml:space="preserve">Asignación básica </w:t>
            </w:r>
          </w:p>
        </w:tc>
      </w:tr>
      <w:tr w:rsidR="0041706D" w:rsidRPr="0041706D" w14:paraId="19A9BBF6" w14:textId="77777777" w:rsidTr="0041706D">
        <w:trPr>
          <w:jc w:val="center"/>
        </w:trPr>
        <w:tc>
          <w:tcPr>
            <w:tcW w:w="1848" w:type="dxa"/>
          </w:tcPr>
          <w:p w14:paraId="054AE425" w14:textId="77777777" w:rsidR="0041706D" w:rsidRPr="0041706D" w:rsidRDefault="0041706D" w:rsidP="0041706D">
            <w:pPr>
              <w:pStyle w:val="Prrafodelista"/>
              <w:ind w:left="0"/>
              <w:jc w:val="center"/>
              <w:rPr>
                <w:rFonts w:ascii="Arial" w:hAnsi="Arial" w:cs="Arial"/>
                <w:sz w:val="16"/>
                <w:szCs w:val="16"/>
              </w:rPr>
            </w:pPr>
            <w:r w:rsidRPr="0041706D">
              <w:rPr>
                <w:rFonts w:ascii="Arial" w:hAnsi="Arial" w:cs="Arial"/>
                <w:sz w:val="16"/>
                <w:szCs w:val="16"/>
              </w:rPr>
              <w:t>Gastos de representación</w:t>
            </w:r>
          </w:p>
        </w:tc>
        <w:tc>
          <w:tcPr>
            <w:tcW w:w="2409" w:type="dxa"/>
          </w:tcPr>
          <w:p w14:paraId="251F225B" w14:textId="77777777" w:rsidR="0041706D" w:rsidRPr="0041706D" w:rsidRDefault="0041706D" w:rsidP="0041706D">
            <w:pPr>
              <w:pStyle w:val="Prrafodelista"/>
              <w:ind w:left="0"/>
              <w:jc w:val="center"/>
              <w:rPr>
                <w:rFonts w:ascii="Arial" w:hAnsi="Arial" w:cs="Arial"/>
                <w:sz w:val="16"/>
                <w:szCs w:val="16"/>
              </w:rPr>
            </w:pPr>
          </w:p>
        </w:tc>
        <w:tc>
          <w:tcPr>
            <w:tcW w:w="1985" w:type="dxa"/>
          </w:tcPr>
          <w:p w14:paraId="3675B867" w14:textId="77777777" w:rsidR="0041706D" w:rsidRPr="0041706D" w:rsidRDefault="0041706D" w:rsidP="0041706D">
            <w:pPr>
              <w:pStyle w:val="Prrafodelista"/>
              <w:ind w:left="0"/>
              <w:jc w:val="center"/>
              <w:rPr>
                <w:rFonts w:ascii="Arial" w:hAnsi="Arial" w:cs="Arial"/>
                <w:sz w:val="16"/>
                <w:szCs w:val="16"/>
              </w:rPr>
            </w:pPr>
          </w:p>
        </w:tc>
        <w:tc>
          <w:tcPr>
            <w:tcW w:w="1980" w:type="dxa"/>
          </w:tcPr>
          <w:p w14:paraId="5D301BDC" w14:textId="77777777" w:rsidR="0041706D" w:rsidRPr="0041706D" w:rsidRDefault="0041706D" w:rsidP="0041706D">
            <w:pPr>
              <w:pStyle w:val="Prrafodelista"/>
              <w:ind w:left="0"/>
              <w:jc w:val="center"/>
              <w:rPr>
                <w:rFonts w:ascii="Arial" w:hAnsi="Arial" w:cs="Arial"/>
                <w:sz w:val="16"/>
                <w:szCs w:val="16"/>
              </w:rPr>
            </w:pPr>
          </w:p>
        </w:tc>
      </w:tr>
      <w:tr w:rsidR="0041706D" w:rsidRPr="0041706D" w14:paraId="21FFDC92" w14:textId="77777777" w:rsidTr="0041706D">
        <w:trPr>
          <w:jc w:val="center"/>
        </w:trPr>
        <w:tc>
          <w:tcPr>
            <w:tcW w:w="1848" w:type="dxa"/>
          </w:tcPr>
          <w:p w14:paraId="1F9C9B92" w14:textId="77777777" w:rsidR="0041706D" w:rsidRPr="0041706D" w:rsidRDefault="0041706D" w:rsidP="0041706D">
            <w:pPr>
              <w:pStyle w:val="Prrafodelista"/>
              <w:ind w:left="0"/>
              <w:jc w:val="center"/>
              <w:rPr>
                <w:rFonts w:ascii="Arial" w:hAnsi="Arial" w:cs="Arial"/>
                <w:sz w:val="16"/>
                <w:szCs w:val="16"/>
              </w:rPr>
            </w:pPr>
            <w:r w:rsidRPr="0041706D">
              <w:rPr>
                <w:rFonts w:ascii="Arial" w:hAnsi="Arial" w:cs="Arial"/>
                <w:sz w:val="16"/>
                <w:szCs w:val="16"/>
              </w:rPr>
              <w:t>Prima técnica, cuando sea factor de salario</w:t>
            </w:r>
          </w:p>
        </w:tc>
        <w:tc>
          <w:tcPr>
            <w:tcW w:w="2409" w:type="dxa"/>
          </w:tcPr>
          <w:p w14:paraId="5608E34A" w14:textId="77777777" w:rsidR="0041706D" w:rsidRPr="0041706D" w:rsidRDefault="0041706D" w:rsidP="0041706D">
            <w:pPr>
              <w:pStyle w:val="Prrafodelista"/>
              <w:ind w:left="0"/>
              <w:jc w:val="center"/>
              <w:rPr>
                <w:rFonts w:ascii="Arial" w:hAnsi="Arial" w:cs="Arial"/>
                <w:sz w:val="16"/>
                <w:szCs w:val="16"/>
              </w:rPr>
            </w:pPr>
          </w:p>
        </w:tc>
        <w:tc>
          <w:tcPr>
            <w:tcW w:w="1985" w:type="dxa"/>
          </w:tcPr>
          <w:p w14:paraId="2E047104" w14:textId="77777777" w:rsidR="0041706D" w:rsidRPr="0041706D" w:rsidRDefault="0041706D" w:rsidP="0041706D">
            <w:pPr>
              <w:pStyle w:val="Prrafodelista"/>
              <w:ind w:left="0"/>
              <w:jc w:val="center"/>
              <w:rPr>
                <w:rFonts w:ascii="Arial" w:hAnsi="Arial" w:cs="Arial"/>
                <w:sz w:val="16"/>
                <w:szCs w:val="16"/>
              </w:rPr>
            </w:pPr>
          </w:p>
        </w:tc>
        <w:tc>
          <w:tcPr>
            <w:tcW w:w="1980" w:type="dxa"/>
          </w:tcPr>
          <w:p w14:paraId="7B7065D7" w14:textId="77777777" w:rsidR="0041706D" w:rsidRPr="0041706D" w:rsidRDefault="0041706D" w:rsidP="0041706D">
            <w:pPr>
              <w:pStyle w:val="Prrafodelista"/>
              <w:ind w:left="0"/>
              <w:jc w:val="center"/>
              <w:rPr>
                <w:rFonts w:ascii="Arial" w:hAnsi="Arial" w:cs="Arial"/>
                <w:sz w:val="16"/>
                <w:szCs w:val="16"/>
              </w:rPr>
            </w:pPr>
          </w:p>
        </w:tc>
      </w:tr>
      <w:tr w:rsidR="0041706D" w:rsidRPr="0041706D" w14:paraId="220AA99C" w14:textId="77777777" w:rsidTr="0041706D">
        <w:trPr>
          <w:jc w:val="center"/>
        </w:trPr>
        <w:tc>
          <w:tcPr>
            <w:tcW w:w="1848" w:type="dxa"/>
            <w:shd w:val="clear" w:color="auto" w:fill="F2F2F2" w:themeFill="background1" w:themeFillShade="F2"/>
          </w:tcPr>
          <w:p w14:paraId="6FBDA36E" w14:textId="77777777" w:rsidR="0041706D" w:rsidRPr="0041706D" w:rsidRDefault="0041706D" w:rsidP="0041706D">
            <w:pPr>
              <w:pStyle w:val="Prrafodelista"/>
              <w:ind w:left="0"/>
              <w:jc w:val="center"/>
              <w:rPr>
                <w:rFonts w:ascii="Arial" w:hAnsi="Arial" w:cs="Arial"/>
                <w:sz w:val="16"/>
                <w:szCs w:val="16"/>
              </w:rPr>
            </w:pPr>
            <w:r w:rsidRPr="0041706D">
              <w:rPr>
                <w:rFonts w:ascii="Arial" w:hAnsi="Arial" w:cs="Arial"/>
                <w:sz w:val="16"/>
                <w:szCs w:val="16"/>
              </w:rPr>
              <w:t>Primas de antigüedad, ascensional de capacitación cuando sean factor de salario</w:t>
            </w:r>
          </w:p>
          <w:p w14:paraId="59339D5C" w14:textId="77777777" w:rsidR="0041706D" w:rsidRPr="0041706D" w:rsidRDefault="0041706D" w:rsidP="0041706D">
            <w:pPr>
              <w:pStyle w:val="Prrafodelista"/>
              <w:ind w:left="0"/>
              <w:jc w:val="center"/>
              <w:rPr>
                <w:rFonts w:ascii="Arial" w:hAnsi="Arial" w:cs="Arial"/>
                <w:sz w:val="16"/>
                <w:szCs w:val="16"/>
              </w:rPr>
            </w:pPr>
          </w:p>
        </w:tc>
        <w:tc>
          <w:tcPr>
            <w:tcW w:w="2409" w:type="dxa"/>
            <w:shd w:val="clear" w:color="auto" w:fill="F2F2F2" w:themeFill="background1" w:themeFillShade="F2"/>
          </w:tcPr>
          <w:p w14:paraId="2C28A991" w14:textId="77777777" w:rsidR="0041706D" w:rsidRPr="0041706D" w:rsidRDefault="0041706D" w:rsidP="0041706D">
            <w:pPr>
              <w:pStyle w:val="Prrafodelista"/>
              <w:ind w:left="0"/>
              <w:jc w:val="center"/>
              <w:rPr>
                <w:rFonts w:ascii="Arial" w:hAnsi="Arial" w:cs="Arial"/>
                <w:sz w:val="16"/>
                <w:szCs w:val="16"/>
              </w:rPr>
            </w:pPr>
            <w:r w:rsidRPr="0041706D">
              <w:rPr>
                <w:rFonts w:ascii="Arial" w:hAnsi="Arial" w:cs="Arial"/>
                <w:sz w:val="16"/>
                <w:szCs w:val="16"/>
              </w:rPr>
              <w:t xml:space="preserve">Prima de antigüedad </w:t>
            </w:r>
          </w:p>
        </w:tc>
        <w:tc>
          <w:tcPr>
            <w:tcW w:w="1985" w:type="dxa"/>
            <w:shd w:val="clear" w:color="auto" w:fill="F2F2F2" w:themeFill="background1" w:themeFillShade="F2"/>
          </w:tcPr>
          <w:p w14:paraId="2EFDDCAB" w14:textId="77777777" w:rsidR="0041706D" w:rsidRPr="0041706D" w:rsidRDefault="0041706D" w:rsidP="0041706D">
            <w:pPr>
              <w:pStyle w:val="Prrafodelista"/>
              <w:ind w:left="0"/>
              <w:jc w:val="center"/>
              <w:rPr>
                <w:rFonts w:ascii="Arial" w:hAnsi="Arial" w:cs="Arial"/>
                <w:sz w:val="16"/>
                <w:szCs w:val="16"/>
              </w:rPr>
            </w:pPr>
            <w:r w:rsidRPr="0041706D">
              <w:rPr>
                <w:rFonts w:ascii="Arial" w:hAnsi="Arial" w:cs="Arial"/>
                <w:sz w:val="16"/>
                <w:szCs w:val="16"/>
              </w:rPr>
              <w:t>Prima de antigüedad</w:t>
            </w:r>
          </w:p>
        </w:tc>
        <w:tc>
          <w:tcPr>
            <w:tcW w:w="1980" w:type="dxa"/>
            <w:shd w:val="clear" w:color="auto" w:fill="F2F2F2" w:themeFill="background1" w:themeFillShade="F2"/>
          </w:tcPr>
          <w:p w14:paraId="5C07606A" w14:textId="77777777" w:rsidR="0041706D" w:rsidRPr="0041706D" w:rsidRDefault="0041706D" w:rsidP="0041706D">
            <w:pPr>
              <w:pStyle w:val="Prrafodelista"/>
              <w:ind w:left="0"/>
              <w:jc w:val="center"/>
              <w:rPr>
                <w:rFonts w:ascii="Arial" w:hAnsi="Arial" w:cs="Arial"/>
                <w:sz w:val="16"/>
                <w:szCs w:val="16"/>
              </w:rPr>
            </w:pPr>
            <w:r w:rsidRPr="0041706D">
              <w:rPr>
                <w:rFonts w:ascii="Arial" w:hAnsi="Arial" w:cs="Arial"/>
                <w:sz w:val="16"/>
                <w:szCs w:val="16"/>
              </w:rPr>
              <w:t>Prima de antigüedad</w:t>
            </w:r>
          </w:p>
        </w:tc>
      </w:tr>
      <w:tr w:rsidR="0041706D" w:rsidRPr="0041706D" w14:paraId="183251D8" w14:textId="77777777" w:rsidTr="0041706D">
        <w:trPr>
          <w:jc w:val="center"/>
        </w:trPr>
        <w:tc>
          <w:tcPr>
            <w:tcW w:w="1848" w:type="dxa"/>
          </w:tcPr>
          <w:p w14:paraId="0E199D1E" w14:textId="77777777" w:rsidR="0041706D" w:rsidRPr="0041706D" w:rsidRDefault="0041706D" w:rsidP="0041706D">
            <w:pPr>
              <w:pStyle w:val="Prrafodelista"/>
              <w:ind w:left="0"/>
              <w:jc w:val="center"/>
              <w:rPr>
                <w:rFonts w:ascii="Arial" w:hAnsi="Arial" w:cs="Arial"/>
                <w:sz w:val="16"/>
                <w:szCs w:val="16"/>
              </w:rPr>
            </w:pPr>
            <w:r w:rsidRPr="0041706D">
              <w:rPr>
                <w:rFonts w:ascii="Arial" w:hAnsi="Arial" w:cs="Arial"/>
                <w:sz w:val="16"/>
                <w:szCs w:val="16"/>
              </w:rPr>
              <w:t>Remuneración por trabajo dominical o festivo</w:t>
            </w:r>
          </w:p>
        </w:tc>
        <w:tc>
          <w:tcPr>
            <w:tcW w:w="2409" w:type="dxa"/>
          </w:tcPr>
          <w:p w14:paraId="07AD3A67" w14:textId="77777777" w:rsidR="0041706D" w:rsidRPr="0041706D" w:rsidRDefault="0041706D" w:rsidP="0041706D">
            <w:pPr>
              <w:pStyle w:val="Prrafodelista"/>
              <w:ind w:left="0"/>
              <w:jc w:val="center"/>
              <w:rPr>
                <w:rFonts w:ascii="Arial" w:hAnsi="Arial" w:cs="Arial"/>
                <w:sz w:val="16"/>
                <w:szCs w:val="16"/>
              </w:rPr>
            </w:pPr>
          </w:p>
        </w:tc>
        <w:tc>
          <w:tcPr>
            <w:tcW w:w="1985" w:type="dxa"/>
          </w:tcPr>
          <w:p w14:paraId="1BA6453B" w14:textId="77777777" w:rsidR="0041706D" w:rsidRPr="0041706D" w:rsidRDefault="0041706D" w:rsidP="0041706D">
            <w:pPr>
              <w:pStyle w:val="Prrafodelista"/>
              <w:ind w:left="0"/>
              <w:jc w:val="center"/>
              <w:rPr>
                <w:rFonts w:ascii="Arial" w:hAnsi="Arial" w:cs="Arial"/>
                <w:sz w:val="16"/>
                <w:szCs w:val="16"/>
              </w:rPr>
            </w:pPr>
          </w:p>
        </w:tc>
        <w:tc>
          <w:tcPr>
            <w:tcW w:w="1980" w:type="dxa"/>
          </w:tcPr>
          <w:p w14:paraId="54BAAAAB" w14:textId="77777777" w:rsidR="0041706D" w:rsidRPr="0041706D" w:rsidRDefault="0041706D" w:rsidP="0041706D">
            <w:pPr>
              <w:pStyle w:val="Prrafodelista"/>
              <w:ind w:left="0"/>
              <w:jc w:val="center"/>
              <w:rPr>
                <w:rFonts w:ascii="Arial" w:hAnsi="Arial" w:cs="Arial"/>
                <w:sz w:val="16"/>
                <w:szCs w:val="16"/>
              </w:rPr>
            </w:pPr>
          </w:p>
        </w:tc>
      </w:tr>
      <w:tr w:rsidR="0041706D" w:rsidRPr="0041706D" w14:paraId="73BE706D" w14:textId="77777777" w:rsidTr="0041706D">
        <w:trPr>
          <w:jc w:val="center"/>
        </w:trPr>
        <w:tc>
          <w:tcPr>
            <w:tcW w:w="1848" w:type="dxa"/>
          </w:tcPr>
          <w:p w14:paraId="5D7A7846" w14:textId="77777777" w:rsidR="0041706D" w:rsidRPr="0041706D" w:rsidRDefault="0041706D" w:rsidP="0041706D">
            <w:pPr>
              <w:pStyle w:val="Prrafodelista"/>
              <w:ind w:left="0"/>
              <w:jc w:val="center"/>
              <w:rPr>
                <w:rFonts w:ascii="Arial" w:hAnsi="Arial" w:cs="Arial"/>
                <w:sz w:val="16"/>
                <w:szCs w:val="16"/>
              </w:rPr>
            </w:pPr>
            <w:r w:rsidRPr="0041706D">
              <w:rPr>
                <w:rFonts w:ascii="Arial" w:hAnsi="Arial" w:cs="Arial"/>
                <w:sz w:val="16"/>
                <w:szCs w:val="16"/>
              </w:rPr>
              <w:lastRenderedPageBreak/>
              <w:t>Remuneración por trabajo suplementario o de horas extras, o realizado en jornada nocturna</w:t>
            </w:r>
          </w:p>
        </w:tc>
        <w:tc>
          <w:tcPr>
            <w:tcW w:w="2409" w:type="dxa"/>
          </w:tcPr>
          <w:p w14:paraId="3E650719" w14:textId="77777777" w:rsidR="0041706D" w:rsidRPr="0041706D" w:rsidRDefault="0041706D" w:rsidP="0041706D">
            <w:pPr>
              <w:pStyle w:val="Prrafodelista"/>
              <w:ind w:left="0"/>
              <w:jc w:val="center"/>
              <w:rPr>
                <w:rFonts w:ascii="Arial" w:hAnsi="Arial" w:cs="Arial"/>
                <w:sz w:val="16"/>
                <w:szCs w:val="16"/>
              </w:rPr>
            </w:pPr>
          </w:p>
        </w:tc>
        <w:tc>
          <w:tcPr>
            <w:tcW w:w="1985" w:type="dxa"/>
          </w:tcPr>
          <w:p w14:paraId="44CE129D" w14:textId="77777777" w:rsidR="0041706D" w:rsidRPr="0041706D" w:rsidRDefault="0041706D" w:rsidP="0041706D">
            <w:pPr>
              <w:pStyle w:val="Prrafodelista"/>
              <w:ind w:left="0"/>
              <w:jc w:val="center"/>
              <w:rPr>
                <w:rFonts w:ascii="Arial" w:hAnsi="Arial" w:cs="Arial"/>
                <w:sz w:val="16"/>
                <w:szCs w:val="16"/>
              </w:rPr>
            </w:pPr>
          </w:p>
        </w:tc>
        <w:tc>
          <w:tcPr>
            <w:tcW w:w="1980" w:type="dxa"/>
          </w:tcPr>
          <w:p w14:paraId="30ACE448" w14:textId="77777777" w:rsidR="0041706D" w:rsidRPr="0041706D" w:rsidRDefault="0041706D" w:rsidP="0041706D">
            <w:pPr>
              <w:pStyle w:val="Prrafodelista"/>
              <w:ind w:left="0"/>
              <w:jc w:val="center"/>
              <w:rPr>
                <w:rFonts w:ascii="Arial" w:hAnsi="Arial" w:cs="Arial"/>
                <w:sz w:val="16"/>
                <w:szCs w:val="16"/>
              </w:rPr>
            </w:pPr>
          </w:p>
        </w:tc>
      </w:tr>
      <w:tr w:rsidR="0041706D" w:rsidRPr="0041706D" w14:paraId="145CA4A0" w14:textId="77777777" w:rsidTr="0041706D">
        <w:trPr>
          <w:jc w:val="center"/>
        </w:trPr>
        <w:tc>
          <w:tcPr>
            <w:tcW w:w="1848" w:type="dxa"/>
            <w:shd w:val="clear" w:color="auto" w:fill="F2F2F2" w:themeFill="background1" w:themeFillShade="F2"/>
          </w:tcPr>
          <w:p w14:paraId="6BEBF05E" w14:textId="77777777" w:rsidR="0041706D" w:rsidRPr="0041706D" w:rsidRDefault="0041706D" w:rsidP="0041706D">
            <w:pPr>
              <w:pStyle w:val="Prrafodelista"/>
              <w:ind w:left="0"/>
              <w:jc w:val="center"/>
              <w:rPr>
                <w:rFonts w:ascii="Arial" w:hAnsi="Arial" w:cs="Arial"/>
                <w:sz w:val="16"/>
                <w:szCs w:val="16"/>
              </w:rPr>
            </w:pPr>
            <w:r w:rsidRPr="0041706D">
              <w:rPr>
                <w:rFonts w:ascii="Arial" w:hAnsi="Arial" w:cs="Arial"/>
                <w:sz w:val="16"/>
                <w:szCs w:val="16"/>
              </w:rPr>
              <w:t xml:space="preserve">Bonificación por servicios prestados </w:t>
            </w:r>
          </w:p>
        </w:tc>
        <w:tc>
          <w:tcPr>
            <w:tcW w:w="2409" w:type="dxa"/>
            <w:shd w:val="clear" w:color="auto" w:fill="F2F2F2" w:themeFill="background1" w:themeFillShade="F2"/>
          </w:tcPr>
          <w:p w14:paraId="55714035" w14:textId="77777777" w:rsidR="0041706D" w:rsidRPr="0041706D" w:rsidRDefault="0041706D" w:rsidP="0041706D">
            <w:pPr>
              <w:pStyle w:val="Prrafodelista"/>
              <w:ind w:left="0"/>
              <w:jc w:val="center"/>
              <w:rPr>
                <w:rFonts w:ascii="Arial" w:hAnsi="Arial" w:cs="Arial"/>
                <w:sz w:val="16"/>
                <w:szCs w:val="16"/>
              </w:rPr>
            </w:pPr>
            <w:r w:rsidRPr="0041706D">
              <w:rPr>
                <w:rFonts w:ascii="Arial" w:hAnsi="Arial" w:cs="Arial"/>
                <w:sz w:val="16"/>
                <w:szCs w:val="16"/>
              </w:rPr>
              <w:t xml:space="preserve">Bonificación por servicios  </w:t>
            </w:r>
          </w:p>
        </w:tc>
        <w:tc>
          <w:tcPr>
            <w:tcW w:w="1985" w:type="dxa"/>
            <w:shd w:val="clear" w:color="auto" w:fill="F2F2F2" w:themeFill="background1" w:themeFillShade="F2"/>
          </w:tcPr>
          <w:p w14:paraId="74B9070B" w14:textId="77777777" w:rsidR="0041706D" w:rsidRPr="0041706D" w:rsidRDefault="0041706D" w:rsidP="0041706D">
            <w:pPr>
              <w:pStyle w:val="Prrafodelista"/>
              <w:ind w:left="0"/>
              <w:jc w:val="center"/>
              <w:rPr>
                <w:rFonts w:ascii="Arial" w:hAnsi="Arial" w:cs="Arial"/>
                <w:sz w:val="16"/>
                <w:szCs w:val="16"/>
              </w:rPr>
            </w:pPr>
            <w:r w:rsidRPr="0041706D">
              <w:rPr>
                <w:rFonts w:ascii="Arial" w:hAnsi="Arial" w:cs="Arial"/>
                <w:sz w:val="16"/>
                <w:szCs w:val="16"/>
              </w:rPr>
              <w:t>Bonificación por servicios prestados</w:t>
            </w:r>
          </w:p>
        </w:tc>
        <w:tc>
          <w:tcPr>
            <w:tcW w:w="1980" w:type="dxa"/>
            <w:shd w:val="clear" w:color="auto" w:fill="F2F2F2" w:themeFill="background1" w:themeFillShade="F2"/>
          </w:tcPr>
          <w:p w14:paraId="7950305F" w14:textId="77777777" w:rsidR="0041706D" w:rsidRPr="0041706D" w:rsidRDefault="0041706D" w:rsidP="0041706D">
            <w:pPr>
              <w:pStyle w:val="Prrafodelista"/>
              <w:ind w:left="0"/>
              <w:jc w:val="center"/>
              <w:rPr>
                <w:rFonts w:ascii="Arial" w:hAnsi="Arial" w:cs="Arial"/>
                <w:sz w:val="16"/>
                <w:szCs w:val="16"/>
              </w:rPr>
            </w:pPr>
            <w:r w:rsidRPr="0041706D">
              <w:rPr>
                <w:rFonts w:ascii="Arial" w:hAnsi="Arial" w:cs="Arial"/>
                <w:sz w:val="16"/>
                <w:szCs w:val="16"/>
              </w:rPr>
              <w:t>Bonificación por servicios prestados</w:t>
            </w:r>
          </w:p>
        </w:tc>
      </w:tr>
      <w:tr w:rsidR="0041706D" w:rsidRPr="0041706D" w14:paraId="1CDCDBE6" w14:textId="77777777" w:rsidTr="0041706D">
        <w:trPr>
          <w:jc w:val="center"/>
        </w:trPr>
        <w:tc>
          <w:tcPr>
            <w:tcW w:w="1848" w:type="dxa"/>
            <w:shd w:val="clear" w:color="auto" w:fill="F2F2F2" w:themeFill="background1" w:themeFillShade="F2"/>
          </w:tcPr>
          <w:p w14:paraId="41244832" w14:textId="77777777" w:rsidR="0041706D" w:rsidRPr="0041706D" w:rsidRDefault="0041706D" w:rsidP="0041706D">
            <w:pPr>
              <w:pStyle w:val="Prrafodelista"/>
              <w:ind w:left="0"/>
              <w:jc w:val="center"/>
              <w:rPr>
                <w:rFonts w:ascii="Arial" w:hAnsi="Arial" w:cs="Arial"/>
                <w:sz w:val="16"/>
                <w:szCs w:val="16"/>
              </w:rPr>
            </w:pPr>
            <w:r w:rsidRPr="0041706D">
              <w:rPr>
                <w:rFonts w:ascii="Arial" w:hAnsi="Arial" w:cs="Arial"/>
                <w:sz w:val="16"/>
                <w:szCs w:val="16"/>
              </w:rPr>
              <w:t>Prima anual para mejorar la productividad</w:t>
            </w:r>
          </w:p>
        </w:tc>
        <w:tc>
          <w:tcPr>
            <w:tcW w:w="2409" w:type="dxa"/>
            <w:shd w:val="clear" w:color="auto" w:fill="F2F2F2" w:themeFill="background1" w:themeFillShade="F2"/>
          </w:tcPr>
          <w:p w14:paraId="27F2773D" w14:textId="77777777" w:rsidR="0041706D" w:rsidRPr="0041706D" w:rsidRDefault="0041706D" w:rsidP="0041706D">
            <w:pPr>
              <w:pStyle w:val="Prrafodelista"/>
              <w:ind w:left="0"/>
              <w:jc w:val="center"/>
              <w:rPr>
                <w:rFonts w:ascii="Arial" w:hAnsi="Arial" w:cs="Arial"/>
                <w:sz w:val="16"/>
                <w:szCs w:val="16"/>
              </w:rPr>
            </w:pPr>
            <w:r w:rsidRPr="0041706D">
              <w:rPr>
                <w:rFonts w:ascii="Arial" w:hAnsi="Arial" w:cs="Arial"/>
                <w:sz w:val="16"/>
                <w:szCs w:val="16"/>
              </w:rPr>
              <w:t xml:space="preserve">Prima de productividad </w:t>
            </w:r>
          </w:p>
        </w:tc>
        <w:tc>
          <w:tcPr>
            <w:tcW w:w="1985" w:type="dxa"/>
            <w:shd w:val="clear" w:color="auto" w:fill="F2F2F2" w:themeFill="background1" w:themeFillShade="F2"/>
          </w:tcPr>
          <w:p w14:paraId="1BD5272B" w14:textId="77777777" w:rsidR="0041706D" w:rsidRPr="0041706D" w:rsidRDefault="0041706D" w:rsidP="0041706D">
            <w:pPr>
              <w:pStyle w:val="Prrafodelista"/>
              <w:ind w:left="0"/>
              <w:jc w:val="center"/>
              <w:rPr>
                <w:rFonts w:ascii="Arial" w:hAnsi="Arial" w:cs="Arial"/>
                <w:sz w:val="16"/>
                <w:szCs w:val="16"/>
              </w:rPr>
            </w:pPr>
            <w:r w:rsidRPr="0041706D">
              <w:rPr>
                <w:rFonts w:ascii="Arial" w:hAnsi="Arial" w:cs="Arial"/>
                <w:sz w:val="16"/>
                <w:szCs w:val="16"/>
              </w:rPr>
              <w:t>Prima de productividad</w:t>
            </w:r>
          </w:p>
        </w:tc>
        <w:tc>
          <w:tcPr>
            <w:tcW w:w="1980" w:type="dxa"/>
            <w:shd w:val="clear" w:color="auto" w:fill="F2F2F2" w:themeFill="background1" w:themeFillShade="F2"/>
          </w:tcPr>
          <w:p w14:paraId="5B4C6573" w14:textId="77777777" w:rsidR="0041706D" w:rsidRPr="0041706D" w:rsidRDefault="0041706D" w:rsidP="0041706D">
            <w:pPr>
              <w:pStyle w:val="Prrafodelista"/>
              <w:ind w:left="0"/>
              <w:jc w:val="center"/>
              <w:rPr>
                <w:rFonts w:ascii="Arial" w:hAnsi="Arial" w:cs="Arial"/>
                <w:sz w:val="16"/>
                <w:szCs w:val="16"/>
              </w:rPr>
            </w:pPr>
            <w:r w:rsidRPr="0041706D">
              <w:rPr>
                <w:rFonts w:ascii="Arial" w:hAnsi="Arial" w:cs="Arial"/>
                <w:sz w:val="16"/>
                <w:szCs w:val="16"/>
              </w:rPr>
              <w:t>Prima de productividad</w:t>
            </w:r>
          </w:p>
        </w:tc>
      </w:tr>
      <w:tr w:rsidR="0041706D" w:rsidRPr="0041706D" w14:paraId="267216B6" w14:textId="77777777" w:rsidTr="0041706D">
        <w:trPr>
          <w:jc w:val="center"/>
        </w:trPr>
        <w:tc>
          <w:tcPr>
            <w:tcW w:w="1848" w:type="dxa"/>
          </w:tcPr>
          <w:p w14:paraId="5FECC857" w14:textId="77777777" w:rsidR="0041706D" w:rsidRPr="0041706D" w:rsidRDefault="0041706D" w:rsidP="0041706D">
            <w:pPr>
              <w:pStyle w:val="Prrafodelista"/>
              <w:ind w:left="0"/>
              <w:jc w:val="center"/>
              <w:rPr>
                <w:rFonts w:ascii="Arial" w:hAnsi="Arial" w:cs="Arial"/>
                <w:sz w:val="16"/>
                <w:szCs w:val="16"/>
              </w:rPr>
            </w:pPr>
            <w:r w:rsidRPr="0041706D">
              <w:rPr>
                <w:rFonts w:ascii="Arial" w:hAnsi="Arial" w:cs="Arial"/>
                <w:sz w:val="16"/>
                <w:szCs w:val="16"/>
              </w:rPr>
              <w:t>Bonificación judicial</w:t>
            </w:r>
          </w:p>
        </w:tc>
        <w:tc>
          <w:tcPr>
            <w:tcW w:w="2409" w:type="dxa"/>
            <w:shd w:val="clear" w:color="auto" w:fill="FFFFFF" w:themeFill="background1"/>
          </w:tcPr>
          <w:p w14:paraId="19CE9DE1" w14:textId="77777777" w:rsidR="0041706D" w:rsidRPr="0041706D" w:rsidRDefault="0041706D" w:rsidP="0041706D">
            <w:pPr>
              <w:pStyle w:val="Prrafodelista"/>
              <w:ind w:left="0"/>
              <w:jc w:val="center"/>
              <w:rPr>
                <w:rFonts w:ascii="Arial" w:hAnsi="Arial" w:cs="Arial"/>
                <w:sz w:val="16"/>
                <w:szCs w:val="16"/>
              </w:rPr>
            </w:pPr>
          </w:p>
        </w:tc>
        <w:tc>
          <w:tcPr>
            <w:tcW w:w="1985" w:type="dxa"/>
            <w:shd w:val="clear" w:color="auto" w:fill="FFFFFF" w:themeFill="background1"/>
          </w:tcPr>
          <w:p w14:paraId="268B8646" w14:textId="77777777" w:rsidR="0041706D" w:rsidRPr="0041706D" w:rsidRDefault="0041706D" w:rsidP="0041706D">
            <w:pPr>
              <w:pStyle w:val="Prrafodelista"/>
              <w:ind w:left="0"/>
              <w:jc w:val="center"/>
              <w:rPr>
                <w:rFonts w:ascii="Arial" w:hAnsi="Arial" w:cs="Arial"/>
                <w:sz w:val="16"/>
                <w:szCs w:val="16"/>
              </w:rPr>
            </w:pPr>
          </w:p>
        </w:tc>
        <w:tc>
          <w:tcPr>
            <w:tcW w:w="1980" w:type="dxa"/>
            <w:shd w:val="clear" w:color="auto" w:fill="FFFFFF" w:themeFill="background1"/>
          </w:tcPr>
          <w:p w14:paraId="51AAF47C" w14:textId="77777777" w:rsidR="0041706D" w:rsidRPr="0041706D" w:rsidRDefault="0041706D" w:rsidP="0041706D">
            <w:pPr>
              <w:pStyle w:val="Prrafodelista"/>
              <w:ind w:left="0"/>
              <w:jc w:val="center"/>
              <w:rPr>
                <w:rFonts w:ascii="Arial" w:hAnsi="Arial" w:cs="Arial"/>
                <w:sz w:val="16"/>
                <w:szCs w:val="16"/>
              </w:rPr>
            </w:pPr>
          </w:p>
        </w:tc>
      </w:tr>
      <w:tr w:rsidR="0041706D" w:rsidRPr="0041706D" w14:paraId="23F1F1AF" w14:textId="77777777" w:rsidTr="0041706D">
        <w:trPr>
          <w:jc w:val="center"/>
        </w:trPr>
        <w:tc>
          <w:tcPr>
            <w:tcW w:w="1848" w:type="dxa"/>
          </w:tcPr>
          <w:p w14:paraId="01DDF98C" w14:textId="77777777" w:rsidR="0041706D" w:rsidRPr="0041706D" w:rsidRDefault="0041706D" w:rsidP="0041706D">
            <w:pPr>
              <w:pStyle w:val="Prrafodelista"/>
              <w:ind w:left="0"/>
              <w:jc w:val="center"/>
              <w:rPr>
                <w:rFonts w:ascii="Arial" w:hAnsi="Arial" w:cs="Arial"/>
                <w:sz w:val="16"/>
                <w:szCs w:val="16"/>
              </w:rPr>
            </w:pPr>
          </w:p>
        </w:tc>
        <w:tc>
          <w:tcPr>
            <w:tcW w:w="2409" w:type="dxa"/>
            <w:shd w:val="clear" w:color="auto" w:fill="F2F2F2" w:themeFill="background1" w:themeFillShade="F2"/>
          </w:tcPr>
          <w:p w14:paraId="3BBB1087" w14:textId="77777777" w:rsidR="0041706D" w:rsidRPr="0041706D" w:rsidRDefault="0041706D" w:rsidP="0041706D">
            <w:pPr>
              <w:pStyle w:val="Prrafodelista"/>
              <w:ind w:left="0"/>
              <w:jc w:val="center"/>
              <w:rPr>
                <w:rFonts w:ascii="Arial" w:hAnsi="Arial" w:cs="Arial"/>
                <w:sz w:val="16"/>
                <w:szCs w:val="16"/>
              </w:rPr>
            </w:pPr>
            <w:r w:rsidRPr="0041706D">
              <w:rPr>
                <w:rFonts w:ascii="Arial" w:hAnsi="Arial" w:cs="Arial"/>
                <w:sz w:val="16"/>
                <w:szCs w:val="16"/>
              </w:rPr>
              <w:t>Subsidio de transporte</w:t>
            </w:r>
          </w:p>
        </w:tc>
        <w:tc>
          <w:tcPr>
            <w:tcW w:w="1985" w:type="dxa"/>
          </w:tcPr>
          <w:p w14:paraId="1275EC61" w14:textId="77777777" w:rsidR="0041706D" w:rsidRPr="0041706D" w:rsidRDefault="0041706D" w:rsidP="0041706D">
            <w:pPr>
              <w:pStyle w:val="Prrafodelista"/>
              <w:ind w:left="0"/>
              <w:jc w:val="center"/>
              <w:rPr>
                <w:rFonts w:ascii="Arial" w:hAnsi="Arial" w:cs="Arial"/>
                <w:sz w:val="16"/>
                <w:szCs w:val="16"/>
              </w:rPr>
            </w:pPr>
          </w:p>
        </w:tc>
        <w:tc>
          <w:tcPr>
            <w:tcW w:w="1980" w:type="dxa"/>
            <w:shd w:val="clear" w:color="auto" w:fill="F2F2F2" w:themeFill="background1" w:themeFillShade="F2"/>
          </w:tcPr>
          <w:p w14:paraId="50FA0DD8" w14:textId="77777777" w:rsidR="0041706D" w:rsidRPr="0041706D" w:rsidRDefault="0041706D" w:rsidP="0041706D">
            <w:pPr>
              <w:pStyle w:val="Prrafodelista"/>
              <w:ind w:left="0"/>
              <w:jc w:val="center"/>
              <w:rPr>
                <w:rFonts w:ascii="Arial" w:hAnsi="Arial" w:cs="Arial"/>
                <w:sz w:val="16"/>
                <w:szCs w:val="16"/>
              </w:rPr>
            </w:pPr>
            <w:r w:rsidRPr="0041706D">
              <w:rPr>
                <w:rFonts w:ascii="Arial" w:hAnsi="Arial" w:cs="Arial"/>
                <w:sz w:val="16"/>
                <w:szCs w:val="16"/>
              </w:rPr>
              <w:t>Subsidio de transporte</w:t>
            </w:r>
          </w:p>
        </w:tc>
      </w:tr>
      <w:tr w:rsidR="0041706D" w:rsidRPr="0041706D" w14:paraId="4E3FADAC" w14:textId="77777777" w:rsidTr="0041706D">
        <w:trPr>
          <w:jc w:val="center"/>
        </w:trPr>
        <w:tc>
          <w:tcPr>
            <w:tcW w:w="1848" w:type="dxa"/>
          </w:tcPr>
          <w:p w14:paraId="13D194BA" w14:textId="77777777" w:rsidR="0041706D" w:rsidRPr="0041706D" w:rsidRDefault="0041706D" w:rsidP="0041706D">
            <w:pPr>
              <w:pStyle w:val="Prrafodelista"/>
              <w:ind w:left="0"/>
              <w:jc w:val="center"/>
              <w:rPr>
                <w:rFonts w:ascii="Arial" w:hAnsi="Arial" w:cs="Arial"/>
                <w:sz w:val="16"/>
                <w:szCs w:val="16"/>
              </w:rPr>
            </w:pPr>
          </w:p>
        </w:tc>
        <w:tc>
          <w:tcPr>
            <w:tcW w:w="2409" w:type="dxa"/>
            <w:shd w:val="clear" w:color="auto" w:fill="FFFFFF" w:themeFill="background1"/>
          </w:tcPr>
          <w:p w14:paraId="6A43685A" w14:textId="77777777" w:rsidR="0041706D" w:rsidRPr="0041706D" w:rsidRDefault="0041706D" w:rsidP="0041706D">
            <w:pPr>
              <w:pStyle w:val="Prrafodelista"/>
              <w:ind w:left="0"/>
              <w:jc w:val="center"/>
              <w:rPr>
                <w:rFonts w:ascii="Arial" w:hAnsi="Arial" w:cs="Arial"/>
                <w:sz w:val="16"/>
                <w:szCs w:val="16"/>
              </w:rPr>
            </w:pPr>
            <w:r w:rsidRPr="0041706D">
              <w:rPr>
                <w:rFonts w:ascii="Arial" w:hAnsi="Arial" w:cs="Arial"/>
                <w:sz w:val="16"/>
                <w:szCs w:val="16"/>
              </w:rPr>
              <w:t xml:space="preserve">Sueldo de vacaciones </w:t>
            </w:r>
          </w:p>
        </w:tc>
        <w:tc>
          <w:tcPr>
            <w:tcW w:w="1985" w:type="dxa"/>
            <w:shd w:val="clear" w:color="auto" w:fill="FFFFFF" w:themeFill="background1"/>
          </w:tcPr>
          <w:p w14:paraId="37073B28" w14:textId="77777777" w:rsidR="0041706D" w:rsidRPr="0041706D" w:rsidRDefault="0041706D" w:rsidP="0041706D">
            <w:pPr>
              <w:pStyle w:val="Prrafodelista"/>
              <w:ind w:left="0"/>
              <w:jc w:val="center"/>
              <w:rPr>
                <w:rFonts w:ascii="Arial" w:hAnsi="Arial" w:cs="Arial"/>
                <w:sz w:val="16"/>
                <w:szCs w:val="16"/>
              </w:rPr>
            </w:pPr>
          </w:p>
        </w:tc>
        <w:tc>
          <w:tcPr>
            <w:tcW w:w="1980" w:type="dxa"/>
            <w:shd w:val="clear" w:color="auto" w:fill="FFFFFF" w:themeFill="background1"/>
          </w:tcPr>
          <w:p w14:paraId="2B754E0A" w14:textId="77777777" w:rsidR="0041706D" w:rsidRPr="0041706D" w:rsidRDefault="0041706D" w:rsidP="0041706D">
            <w:pPr>
              <w:pStyle w:val="Prrafodelista"/>
              <w:ind w:left="0"/>
              <w:jc w:val="center"/>
              <w:rPr>
                <w:rFonts w:ascii="Arial" w:hAnsi="Arial" w:cs="Arial"/>
                <w:sz w:val="16"/>
                <w:szCs w:val="16"/>
              </w:rPr>
            </w:pPr>
          </w:p>
        </w:tc>
      </w:tr>
      <w:tr w:rsidR="0041706D" w:rsidRPr="0041706D" w14:paraId="351C6829" w14:textId="77777777" w:rsidTr="0041706D">
        <w:trPr>
          <w:jc w:val="center"/>
        </w:trPr>
        <w:tc>
          <w:tcPr>
            <w:tcW w:w="1848" w:type="dxa"/>
          </w:tcPr>
          <w:p w14:paraId="7BF689BB" w14:textId="77777777" w:rsidR="0041706D" w:rsidRPr="0041706D" w:rsidRDefault="0041706D" w:rsidP="0041706D">
            <w:pPr>
              <w:pStyle w:val="Prrafodelista"/>
              <w:ind w:left="0"/>
              <w:jc w:val="center"/>
              <w:rPr>
                <w:rFonts w:ascii="Arial" w:hAnsi="Arial" w:cs="Arial"/>
                <w:sz w:val="16"/>
                <w:szCs w:val="16"/>
              </w:rPr>
            </w:pPr>
          </w:p>
        </w:tc>
        <w:tc>
          <w:tcPr>
            <w:tcW w:w="2409" w:type="dxa"/>
            <w:shd w:val="clear" w:color="auto" w:fill="F2F2F2" w:themeFill="background1" w:themeFillShade="F2"/>
          </w:tcPr>
          <w:p w14:paraId="3C0EBA81" w14:textId="77777777" w:rsidR="0041706D" w:rsidRPr="0041706D" w:rsidRDefault="0041706D" w:rsidP="0041706D">
            <w:pPr>
              <w:pStyle w:val="Prrafodelista"/>
              <w:ind w:left="0"/>
              <w:jc w:val="center"/>
              <w:rPr>
                <w:rFonts w:ascii="Arial" w:hAnsi="Arial" w:cs="Arial"/>
                <w:sz w:val="16"/>
                <w:szCs w:val="16"/>
              </w:rPr>
            </w:pPr>
            <w:r w:rsidRPr="0041706D">
              <w:rPr>
                <w:rFonts w:ascii="Arial" w:hAnsi="Arial" w:cs="Arial"/>
                <w:sz w:val="16"/>
                <w:szCs w:val="16"/>
              </w:rPr>
              <w:t xml:space="preserve">Subsidio de alimentación </w:t>
            </w:r>
          </w:p>
        </w:tc>
        <w:tc>
          <w:tcPr>
            <w:tcW w:w="1985" w:type="dxa"/>
            <w:shd w:val="clear" w:color="auto" w:fill="FFFFFF" w:themeFill="background1"/>
          </w:tcPr>
          <w:p w14:paraId="1C15AC2D" w14:textId="77777777" w:rsidR="0041706D" w:rsidRPr="0041706D" w:rsidRDefault="0041706D" w:rsidP="0041706D">
            <w:pPr>
              <w:pStyle w:val="Prrafodelista"/>
              <w:ind w:left="0"/>
              <w:jc w:val="center"/>
              <w:rPr>
                <w:rFonts w:ascii="Arial" w:hAnsi="Arial" w:cs="Arial"/>
                <w:sz w:val="16"/>
                <w:szCs w:val="16"/>
              </w:rPr>
            </w:pPr>
          </w:p>
        </w:tc>
        <w:tc>
          <w:tcPr>
            <w:tcW w:w="1980" w:type="dxa"/>
            <w:shd w:val="clear" w:color="auto" w:fill="F2F2F2" w:themeFill="background1" w:themeFillShade="F2"/>
          </w:tcPr>
          <w:p w14:paraId="067AEE80" w14:textId="77777777" w:rsidR="0041706D" w:rsidRPr="0041706D" w:rsidRDefault="0041706D" w:rsidP="0041706D">
            <w:pPr>
              <w:pStyle w:val="Prrafodelista"/>
              <w:ind w:left="0"/>
              <w:jc w:val="center"/>
              <w:rPr>
                <w:rFonts w:ascii="Arial" w:hAnsi="Arial" w:cs="Arial"/>
                <w:sz w:val="16"/>
                <w:szCs w:val="16"/>
              </w:rPr>
            </w:pPr>
            <w:r w:rsidRPr="0041706D">
              <w:rPr>
                <w:rFonts w:ascii="Arial" w:hAnsi="Arial" w:cs="Arial"/>
                <w:sz w:val="16"/>
                <w:szCs w:val="16"/>
              </w:rPr>
              <w:t>Subsidio de alimentación</w:t>
            </w:r>
          </w:p>
        </w:tc>
      </w:tr>
      <w:tr w:rsidR="0041706D" w:rsidRPr="0041706D" w14:paraId="3569733E" w14:textId="77777777" w:rsidTr="0041706D">
        <w:trPr>
          <w:jc w:val="center"/>
        </w:trPr>
        <w:tc>
          <w:tcPr>
            <w:tcW w:w="1848" w:type="dxa"/>
          </w:tcPr>
          <w:p w14:paraId="1DD4C78F" w14:textId="77777777" w:rsidR="0041706D" w:rsidRPr="0041706D" w:rsidRDefault="0041706D" w:rsidP="0041706D">
            <w:pPr>
              <w:pStyle w:val="Prrafodelista"/>
              <w:ind w:left="0"/>
              <w:jc w:val="center"/>
              <w:rPr>
                <w:rFonts w:ascii="Arial" w:hAnsi="Arial" w:cs="Arial"/>
                <w:sz w:val="16"/>
                <w:szCs w:val="16"/>
              </w:rPr>
            </w:pPr>
          </w:p>
        </w:tc>
        <w:tc>
          <w:tcPr>
            <w:tcW w:w="2409" w:type="dxa"/>
            <w:shd w:val="clear" w:color="auto" w:fill="F2F2F2" w:themeFill="background1" w:themeFillShade="F2"/>
          </w:tcPr>
          <w:p w14:paraId="06F88A8D" w14:textId="77777777" w:rsidR="0041706D" w:rsidRPr="0041706D" w:rsidRDefault="0041706D" w:rsidP="0041706D">
            <w:pPr>
              <w:pStyle w:val="Prrafodelista"/>
              <w:ind w:left="0"/>
              <w:jc w:val="center"/>
              <w:rPr>
                <w:rFonts w:ascii="Arial" w:hAnsi="Arial" w:cs="Arial"/>
                <w:sz w:val="16"/>
                <w:szCs w:val="16"/>
              </w:rPr>
            </w:pPr>
            <w:r w:rsidRPr="0041706D">
              <w:rPr>
                <w:rFonts w:ascii="Arial" w:hAnsi="Arial" w:cs="Arial"/>
                <w:sz w:val="16"/>
                <w:szCs w:val="16"/>
              </w:rPr>
              <w:t xml:space="preserve">Prima de navidad </w:t>
            </w:r>
          </w:p>
        </w:tc>
        <w:tc>
          <w:tcPr>
            <w:tcW w:w="1985" w:type="dxa"/>
            <w:shd w:val="clear" w:color="auto" w:fill="FFFFFF" w:themeFill="background1"/>
          </w:tcPr>
          <w:p w14:paraId="07E7EF49" w14:textId="77777777" w:rsidR="0041706D" w:rsidRPr="0041706D" w:rsidRDefault="0041706D" w:rsidP="0041706D">
            <w:pPr>
              <w:pStyle w:val="Prrafodelista"/>
              <w:ind w:left="0"/>
              <w:jc w:val="center"/>
              <w:rPr>
                <w:rFonts w:ascii="Arial" w:hAnsi="Arial" w:cs="Arial"/>
                <w:sz w:val="16"/>
                <w:szCs w:val="16"/>
              </w:rPr>
            </w:pPr>
          </w:p>
        </w:tc>
        <w:tc>
          <w:tcPr>
            <w:tcW w:w="1980" w:type="dxa"/>
            <w:shd w:val="clear" w:color="auto" w:fill="F2F2F2" w:themeFill="background1" w:themeFillShade="F2"/>
          </w:tcPr>
          <w:p w14:paraId="67D36F80" w14:textId="77777777" w:rsidR="0041706D" w:rsidRPr="0041706D" w:rsidRDefault="0041706D" w:rsidP="0041706D">
            <w:pPr>
              <w:pStyle w:val="Prrafodelista"/>
              <w:ind w:left="0"/>
              <w:jc w:val="center"/>
              <w:rPr>
                <w:rFonts w:ascii="Arial" w:hAnsi="Arial" w:cs="Arial"/>
                <w:sz w:val="16"/>
                <w:szCs w:val="16"/>
              </w:rPr>
            </w:pPr>
            <w:r w:rsidRPr="0041706D">
              <w:rPr>
                <w:rFonts w:ascii="Arial" w:hAnsi="Arial" w:cs="Arial"/>
                <w:sz w:val="16"/>
                <w:szCs w:val="16"/>
              </w:rPr>
              <w:t>Prima de navidad</w:t>
            </w:r>
          </w:p>
        </w:tc>
      </w:tr>
      <w:tr w:rsidR="0041706D" w:rsidRPr="0041706D" w14:paraId="1288C7B5" w14:textId="77777777" w:rsidTr="0041706D">
        <w:trPr>
          <w:jc w:val="center"/>
        </w:trPr>
        <w:tc>
          <w:tcPr>
            <w:tcW w:w="1848" w:type="dxa"/>
          </w:tcPr>
          <w:p w14:paraId="2976E106" w14:textId="77777777" w:rsidR="0041706D" w:rsidRPr="0041706D" w:rsidRDefault="0041706D" w:rsidP="0041706D">
            <w:pPr>
              <w:pStyle w:val="Prrafodelista"/>
              <w:ind w:left="0"/>
              <w:jc w:val="center"/>
              <w:rPr>
                <w:rFonts w:ascii="Arial" w:hAnsi="Arial" w:cs="Arial"/>
                <w:sz w:val="16"/>
                <w:szCs w:val="16"/>
              </w:rPr>
            </w:pPr>
          </w:p>
        </w:tc>
        <w:tc>
          <w:tcPr>
            <w:tcW w:w="2409" w:type="dxa"/>
            <w:shd w:val="clear" w:color="auto" w:fill="FFFFFF" w:themeFill="background1"/>
          </w:tcPr>
          <w:p w14:paraId="50A3724E" w14:textId="77777777" w:rsidR="0041706D" w:rsidRPr="0041706D" w:rsidRDefault="0041706D" w:rsidP="0041706D">
            <w:pPr>
              <w:pStyle w:val="Prrafodelista"/>
              <w:ind w:left="0"/>
              <w:jc w:val="center"/>
              <w:rPr>
                <w:rFonts w:ascii="Arial" w:hAnsi="Arial" w:cs="Arial"/>
                <w:sz w:val="16"/>
                <w:szCs w:val="16"/>
              </w:rPr>
            </w:pPr>
            <w:r w:rsidRPr="0041706D">
              <w:rPr>
                <w:rFonts w:ascii="Arial" w:hAnsi="Arial" w:cs="Arial"/>
                <w:sz w:val="16"/>
                <w:szCs w:val="16"/>
              </w:rPr>
              <w:t>Prima de servicios</w:t>
            </w:r>
          </w:p>
        </w:tc>
        <w:tc>
          <w:tcPr>
            <w:tcW w:w="1985" w:type="dxa"/>
            <w:shd w:val="clear" w:color="auto" w:fill="FFFFFF" w:themeFill="background1"/>
          </w:tcPr>
          <w:p w14:paraId="2964ECFC" w14:textId="77777777" w:rsidR="0041706D" w:rsidRPr="0041706D" w:rsidRDefault="0041706D" w:rsidP="0041706D">
            <w:pPr>
              <w:pStyle w:val="Prrafodelista"/>
              <w:ind w:left="0"/>
              <w:jc w:val="center"/>
              <w:rPr>
                <w:rFonts w:ascii="Arial" w:hAnsi="Arial" w:cs="Arial"/>
                <w:sz w:val="16"/>
                <w:szCs w:val="16"/>
              </w:rPr>
            </w:pPr>
          </w:p>
        </w:tc>
        <w:tc>
          <w:tcPr>
            <w:tcW w:w="1980" w:type="dxa"/>
            <w:shd w:val="clear" w:color="auto" w:fill="FFFFFF" w:themeFill="background1"/>
          </w:tcPr>
          <w:p w14:paraId="1FE44070" w14:textId="77777777" w:rsidR="0041706D" w:rsidRPr="0041706D" w:rsidRDefault="0041706D" w:rsidP="0041706D">
            <w:pPr>
              <w:pStyle w:val="Prrafodelista"/>
              <w:ind w:left="0"/>
              <w:jc w:val="center"/>
              <w:rPr>
                <w:rFonts w:ascii="Arial" w:hAnsi="Arial" w:cs="Arial"/>
                <w:sz w:val="16"/>
                <w:szCs w:val="16"/>
              </w:rPr>
            </w:pPr>
          </w:p>
        </w:tc>
      </w:tr>
      <w:tr w:rsidR="0041706D" w:rsidRPr="0041706D" w14:paraId="0C313F7C" w14:textId="77777777" w:rsidTr="0041706D">
        <w:trPr>
          <w:jc w:val="center"/>
        </w:trPr>
        <w:tc>
          <w:tcPr>
            <w:tcW w:w="1848" w:type="dxa"/>
          </w:tcPr>
          <w:p w14:paraId="24621504" w14:textId="77777777" w:rsidR="0041706D" w:rsidRPr="0041706D" w:rsidRDefault="0041706D" w:rsidP="0041706D">
            <w:pPr>
              <w:pStyle w:val="Prrafodelista"/>
              <w:ind w:left="0"/>
              <w:jc w:val="center"/>
              <w:rPr>
                <w:rFonts w:ascii="Arial" w:hAnsi="Arial" w:cs="Arial"/>
                <w:sz w:val="16"/>
                <w:szCs w:val="16"/>
              </w:rPr>
            </w:pPr>
          </w:p>
        </w:tc>
        <w:tc>
          <w:tcPr>
            <w:tcW w:w="2409" w:type="dxa"/>
            <w:shd w:val="clear" w:color="auto" w:fill="F2F2F2" w:themeFill="background1" w:themeFillShade="F2"/>
          </w:tcPr>
          <w:p w14:paraId="61CCFF03" w14:textId="77777777" w:rsidR="0041706D" w:rsidRPr="0041706D" w:rsidRDefault="0041706D" w:rsidP="0041706D">
            <w:pPr>
              <w:pStyle w:val="Prrafodelista"/>
              <w:ind w:left="0"/>
              <w:jc w:val="center"/>
              <w:rPr>
                <w:rFonts w:ascii="Arial" w:hAnsi="Arial" w:cs="Arial"/>
                <w:sz w:val="16"/>
                <w:szCs w:val="16"/>
              </w:rPr>
            </w:pPr>
            <w:r w:rsidRPr="0041706D">
              <w:rPr>
                <w:rFonts w:ascii="Arial" w:hAnsi="Arial" w:cs="Arial"/>
                <w:sz w:val="16"/>
                <w:szCs w:val="16"/>
              </w:rPr>
              <w:t xml:space="preserve">Prima de vacaciones </w:t>
            </w:r>
          </w:p>
        </w:tc>
        <w:tc>
          <w:tcPr>
            <w:tcW w:w="1985" w:type="dxa"/>
            <w:shd w:val="clear" w:color="auto" w:fill="FFFFFF" w:themeFill="background1"/>
          </w:tcPr>
          <w:p w14:paraId="105FF7A6" w14:textId="77777777" w:rsidR="0041706D" w:rsidRPr="0041706D" w:rsidRDefault="0041706D" w:rsidP="0041706D">
            <w:pPr>
              <w:pStyle w:val="Prrafodelista"/>
              <w:ind w:left="0"/>
              <w:jc w:val="center"/>
              <w:rPr>
                <w:rFonts w:ascii="Arial" w:hAnsi="Arial" w:cs="Arial"/>
                <w:sz w:val="16"/>
                <w:szCs w:val="16"/>
              </w:rPr>
            </w:pPr>
          </w:p>
        </w:tc>
        <w:tc>
          <w:tcPr>
            <w:tcW w:w="1980" w:type="dxa"/>
            <w:shd w:val="clear" w:color="auto" w:fill="F2F2F2" w:themeFill="background1" w:themeFillShade="F2"/>
          </w:tcPr>
          <w:p w14:paraId="4CAC61D0" w14:textId="77777777" w:rsidR="0041706D" w:rsidRPr="0041706D" w:rsidRDefault="0041706D" w:rsidP="0041706D">
            <w:pPr>
              <w:pStyle w:val="Prrafodelista"/>
              <w:ind w:left="0"/>
              <w:jc w:val="center"/>
              <w:rPr>
                <w:rFonts w:ascii="Arial" w:hAnsi="Arial" w:cs="Arial"/>
                <w:sz w:val="16"/>
                <w:szCs w:val="16"/>
              </w:rPr>
            </w:pPr>
            <w:r w:rsidRPr="0041706D">
              <w:rPr>
                <w:rFonts w:ascii="Arial" w:hAnsi="Arial" w:cs="Arial"/>
                <w:sz w:val="16"/>
                <w:szCs w:val="16"/>
              </w:rPr>
              <w:t>Prima de vacaciones</w:t>
            </w:r>
          </w:p>
        </w:tc>
      </w:tr>
      <w:tr w:rsidR="0041706D" w:rsidRPr="0041706D" w14:paraId="1527E103" w14:textId="77777777" w:rsidTr="0041706D">
        <w:trPr>
          <w:jc w:val="center"/>
        </w:trPr>
        <w:tc>
          <w:tcPr>
            <w:tcW w:w="1848" w:type="dxa"/>
          </w:tcPr>
          <w:p w14:paraId="585D2022" w14:textId="77777777" w:rsidR="0041706D" w:rsidRPr="0041706D" w:rsidRDefault="0041706D" w:rsidP="0041706D">
            <w:pPr>
              <w:pStyle w:val="Prrafodelista"/>
              <w:ind w:left="0"/>
              <w:jc w:val="center"/>
              <w:rPr>
                <w:rFonts w:ascii="Arial" w:hAnsi="Arial" w:cs="Arial"/>
                <w:sz w:val="16"/>
                <w:szCs w:val="16"/>
              </w:rPr>
            </w:pPr>
          </w:p>
        </w:tc>
        <w:tc>
          <w:tcPr>
            <w:tcW w:w="2409" w:type="dxa"/>
          </w:tcPr>
          <w:p w14:paraId="07A69903" w14:textId="77777777" w:rsidR="0041706D" w:rsidRPr="0041706D" w:rsidRDefault="0041706D" w:rsidP="0041706D">
            <w:pPr>
              <w:pStyle w:val="Prrafodelista"/>
              <w:ind w:left="0"/>
              <w:jc w:val="center"/>
              <w:rPr>
                <w:rFonts w:ascii="Arial" w:hAnsi="Arial" w:cs="Arial"/>
                <w:sz w:val="16"/>
                <w:szCs w:val="16"/>
              </w:rPr>
            </w:pPr>
            <w:r w:rsidRPr="0041706D">
              <w:rPr>
                <w:rFonts w:ascii="Arial" w:hAnsi="Arial" w:cs="Arial"/>
                <w:sz w:val="16"/>
                <w:szCs w:val="16"/>
              </w:rPr>
              <w:t xml:space="preserve">Bono extraordinario </w:t>
            </w:r>
          </w:p>
        </w:tc>
        <w:tc>
          <w:tcPr>
            <w:tcW w:w="1985" w:type="dxa"/>
          </w:tcPr>
          <w:p w14:paraId="1D48C7B5" w14:textId="77777777" w:rsidR="0041706D" w:rsidRPr="0041706D" w:rsidRDefault="0041706D" w:rsidP="0041706D">
            <w:pPr>
              <w:pStyle w:val="Prrafodelista"/>
              <w:ind w:left="0"/>
              <w:jc w:val="center"/>
              <w:rPr>
                <w:rFonts w:ascii="Arial" w:hAnsi="Arial" w:cs="Arial"/>
                <w:sz w:val="16"/>
                <w:szCs w:val="16"/>
              </w:rPr>
            </w:pPr>
          </w:p>
        </w:tc>
        <w:tc>
          <w:tcPr>
            <w:tcW w:w="1980" w:type="dxa"/>
          </w:tcPr>
          <w:p w14:paraId="0C222666" w14:textId="77777777" w:rsidR="0041706D" w:rsidRPr="0041706D" w:rsidRDefault="0041706D" w:rsidP="0041706D">
            <w:pPr>
              <w:pStyle w:val="Prrafodelista"/>
              <w:ind w:left="0"/>
              <w:jc w:val="center"/>
              <w:rPr>
                <w:rFonts w:ascii="Arial" w:hAnsi="Arial" w:cs="Arial"/>
                <w:sz w:val="16"/>
                <w:szCs w:val="16"/>
              </w:rPr>
            </w:pPr>
          </w:p>
        </w:tc>
      </w:tr>
    </w:tbl>
    <w:p w14:paraId="35EFEE48" w14:textId="77777777" w:rsidR="0041706D" w:rsidRPr="0041706D" w:rsidRDefault="0041706D" w:rsidP="0041706D">
      <w:pPr>
        <w:pStyle w:val="Prrafodelista"/>
        <w:widowControl w:val="0"/>
        <w:tabs>
          <w:tab w:val="left" w:pos="567"/>
          <w:tab w:val="left" w:pos="7655"/>
        </w:tabs>
        <w:ind w:left="0"/>
        <w:jc w:val="both"/>
        <w:rPr>
          <w:rFonts w:ascii="Arial" w:hAnsi="Arial" w:cs="Arial"/>
          <w:sz w:val="24"/>
          <w:szCs w:val="24"/>
        </w:rPr>
      </w:pPr>
      <w:r w:rsidRPr="0041706D">
        <w:rPr>
          <w:rFonts w:ascii="Arial" w:hAnsi="Arial" w:cs="Arial"/>
          <w:sz w:val="24"/>
          <w:szCs w:val="24"/>
        </w:rPr>
        <w:t>De acuerdo con lo expuesto, la liquidación de la pensión de la demandante debía incluir como factores el sueldo, la prima de antigüedad, la bonificación por servicios y la prima de productividad; por lo tanto, no había lugar a declarar la nulidad parcial del acto administrativo acusado comoquiera que se liquidó la pensión con base en los referidos factores. En este estado del estudio se destaca que el subsidio de transporte, el subsidio de alimentación, la prima de navidad y la prima de vacaciones no están enlistados en los artículos 1° de los Decretos 1158 de 1994, 2460 de 2006 y 383 de 2013; y en este orden de ideas, no es posible que sean incluidos en la liquidación pensional, de conformidad con la sentencia de unificación proferida el 11 de junio de 2020.</w:t>
      </w:r>
    </w:p>
    <w:p w14:paraId="509510DA" w14:textId="77777777" w:rsidR="0041706D" w:rsidRPr="0041706D" w:rsidRDefault="0041706D" w:rsidP="0041706D">
      <w:pPr>
        <w:pStyle w:val="Prrafodelista"/>
        <w:widowControl w:val="0"/>
        <w:tabs>
          <w:tab w:val="left" w:pos="567"/>
          <w:tab w:val="left" w:pos="7655"/>
        </w:tabs>
        <w:ind w:left="0"/>
        <w:jc w:val="both"/>
        <w:rPr>
          <w:rFonts w:ascii="Arial" w:hAnsi="Arial" w:cs="Arial"/>
          <w:sz w:val="24"/>
          <w:szCs w:val="24"/>
        </w:rPr>
      </w:pPr>
    </w:p>
    <w:p w14:paraId="5B3385E0" w14:textId="3EE23268" w:rsidR="0041706D" w:rsidRDefault="0041706D" w:rsidP="006E1978">
      <w:pPr>
        <w:pStyle w:val="Prrafodelista"/>
        <w:widowControl w:val="0"/>
        <w:tabs>
          <w:tab w:val="left" w:pos="567"/>
          <w:tab w:val="left" w:pos="7655"/>
        </w:tabs>
        <w:ind w:left="0"/>
        <w:jc w:val="both"/>
        <w:rPr>
          <w:rFonts w:ascii="Arial" w:hAnsi="Arial" w:cs="Arial"/>
          <w:iCs/>
          <w:sz w:val="24"/>
          <w:szCs w:val="24"/>
        </w:rPr>
      </w:pPr>
      <w:bookmarkStart w:id="1" w:name="_Hlk105513629"/>
      <w:bookmarkStart w:id="2" w:name="_Hlk106288379"/>
      <w:bookmarkStart w:id="3" w:name="_Hlk110245706"/>
      <w:r w:rsidRPr="00EA7230">
        <w:rPr>
          <w:rFonts w:ascii="Arial" w:hAnsi="Arial" w:cs="Arial"/>
          <w:b/>
          <w:bCs/>
          <w:sz w:val="24"/>
          <w:szCs w:val="24"/>
        </w:rPr>
        <w:t>NOTA DE RELATORÍA:</w:t>
      </w:r>
      <w:r w:rsidRPr="00EA7230">
        <w:rPr>
          <w:rFonts w:ascii="Arial" w:hAnsi="Arial" w:cs="Arial"/>
          <w:bCs/>
        </w:rPr>
        <w:t xml:space="preserve"> </w:t>
      </w:r>
      <w:r w:rsidRPr="00EA7230">
        <w:rPr>
          <w:rFonts w:ascii="Arial" w:hAnsi="Arial" w:cs="Arial"/>
          <w:iCs/>
          <w:sz w:val="24"/>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rFonts w:ascii="Arial" w:hAnsi="Arial" w:cs="Arial"/>
          <w:iCs/>
          <w:sz w:val="24"/>
          <w:szCs w:val="24"/>
        </w:rPr>
        <w:t>a y descargarla</w:t>
      </w:r>
      <w:r w:rsidRPr="00EA7230">
        <w:rPr>
          <w:rFonts w:ascii="Arial" w:hAnsi="Arial" w:cs="Arial"/>
          <w:iCs/>
          <w:sz w:val="24"/>
          <w:szCs w:val="24"/>
        </w:rPr>
        <w:t xml:space="preserve"> a través de la plataforma SAMAI</w:t>
      </w:r>
      <w:r>
        <w:rPr>
          <w:rFonts w:ascii="Arial" w:hAnsi="Arial" w:cs="Arial"/>
          <w:iCs/>
          <w:sz w:val="24"/>
          <w:szCs w:val="24"/>
        </w:rPr>
        <w:t xml:space="preserve"> siguiendo este link: </w:t>
      </w:r>
    </w:p>
    <w:p w14:paraId="62A3B88A" w14:textId="77777777" w:rsidR="0041706D" w:rsidRDefault="0041706D" w:rsidP="0041706D"/>
    <w:tbl>
      <w:tblPr>
        <w:tblStyle w:val="Tablaconcuadrcula"/>
        <w:tblW w:w="0" w:type="auto"/>
        <w:tblLook w:val="04A0" w:firstRow="1" w:lastRow="0" w:firstColumn="1" w:lastColumn="0" w:noHBand="0" w:noVBand="1"/>
      </w:tblPr>
      <w:tblGrid>
        <w:gridCol w:w="8149"/>
      </w:tblGrid>
      <w:tr w:rsidR="0041706D" w14:paraId="0EE6AA6B" w14:textId="77777777" w:rsidTr="003F5328">
        <w:tc>
          <w:tcPr>
            <w:tcW w:w="8828" w:type="dxa"/>
          </w:tcPr>
          <w:bookmarkEnd w:id="1"/>
          <w:p w14:paraId="1B622DBC" w14:textId="6329BF14" w:rsidR="0041706D" w:rsidRDefault="0041706D" w:rsidP="003F5328">
            <w:r>
              <w:fldChar w:fldCharType="begin"/>
            </w:r>
            <w:r>
              <w:instrText xml:space="preserve"> HYPERLINK "</w:instrText>
            </w:r>
            <w:r w:rsidRPr="0041706D">
              <w:instrText>https://samairj.consejodeestado.gov.co/Vistas/Casos/list_procesos.aspx?guid=150013333004201800227021500123</w:instrText>
            </w:r>
            <w:r>
              <w:instrText xml:space="preserve">" </w:instrText>
            </w:r>
            <w:r>
              <w:fldChar w:fldCharType="separate"/>
            </w:r>
            <w:r w:rsidRPr="008018B6">
              <w:rPr>
                <w:rStyle w:val="Hipervnculo"/>
              </w:rPr>
              <w:t>https://samairj.consejodeestado.gov.co/Vistas/Casos/list_procesos.aspx?guid=150013333004201800227021500123</w:t>
            </w:r>
            <w:r>
              <w:fldChar w:fldCharType="end"/>
            </w:r>
          </w:p>
          <w:p w14:paraId="3DEB81FD" w14:textId="2D972B3A" w:rsidR="0041706D" w:rsidRDefault="0041706D" w:rsidP="003F5328"/>
        </w:tc>
      </w:tr>
      <w:bookmarkEnd w:id="2"/>
    </w:tbl>
    <w:p w14:paraId="422486BD" w14:textId="77777777" w:rsidR="0041706D" w:rsidRDefault="0041706D" w:rsidP="0041706D"/>
    <w:bookmarkEnd w:id="3"/>
    <w:p w14:paraId="0E51DF86" w14:textId="77777777" w:rsidR="0041706D" w:rsidRDefault="0041706D" w:rsidP="0041706D"/>
    <w:p w14:paraId="660DBA03" w14:textId="711D92B4" w:rsidR="008514BA" w:rsidRPr="0041706D" w:rsidRDefault="008514BA" w:rsidP="0041706D">
      <w:pPr>
        <w:widowControl w:val="0"/>
        <w:tabs>
          <w:tab w:val="left" w:pos="7655"/>
        </w:tabs>
        <w:jc w:val="both"/>
        <w:rPr>
          <w:rFonts w:ascii="Arial" w:hAnsi="Arial" w:cs="Arial"/>
          <w:iCs/>
          <w:sz w:val="24"/>
          <w:szCs w:val="24"/>
        </w:rPr>
      </w:pPr>
      <w:r w:rsidRPr="0041706D">
        <w:rPr>
          <w:rFonts w:ascii="Arial" w:hAnsi="Arial" w:cs="Arial"/>
          <w:iCs/>
          <w:sz w:val="24"/>
          <w:szCs w:val="24"/>
        </w:rPr>
        <w:t>Tunja</w:t>
      </w:r>
      <w:r w:rsidR="00417769" w:rsidRPr="0041706D">
        <w:rPr>
          <w:rFonts w:ascii="Arial" w:hAnsi="Arial" w:cs="Arial"/>
          <w:iCs/>
          <w:sz w:val="24"/>
          <w:szCs w:val="24"/>
        </w:rPr>
        <w:t>,</w:t>
      </w:r>
      <w:r w:rsidRPr="0041706D">
        <w:rPr>
          <w:rFonts w:ascii="Arial" w:hAnsi="Arial" w:cs="Arial"/>
          <w:iCs/>
          <w:sz w:val="24"/>
          <w:szCs w:val="24"/>
        </w:rPr>
        <w:t xml:space="preserve"> </w:t>
      </w:r>
      <w:r w:rsidR="00417769" w:rsidRPr="0041706D">
        <w:rPr>
          <w:rFonts w:ascii="Arial" w:hAnsi="Arial" w:cs="Arial"/>
          <w:iCs/>
          <w:sz w:val="24"/>
          <w:szCs w:val="24"/>
        </w:rPr>
        <w:t>veintiocho</w:t>
      </w:r>
      <w:r w:rsidR="007662E1" w:rsidRPr="0041706D">
        <w:rPr>
          <w:rFonts w:ascii="Arial" w:hAnsi="Arial" w:cs="Arial"/>
          <w:iCs/>
          <w:sz w:val="24"/>
          <w:szCs w:val="24"/>
        </w:rPr>
        <w:t xml:space="preserve"> (</w:t>
      </w:r>
      <w:r w:rsidR="00417769" w:rsidRPr="0041706D">
        <w:rPr>
          <w:rFonts w:ascii="Arial" w:hAnsi="Arial" w:cs="Arial"/>
          <w:iCs/>
          <w:sz w:val="24"/>
          <w:szCs w:val="24"/>
        </w:rPr>
        <w:t>28</w:t>
      </w:r>
      <w:r w:rsidR="007662E1" w:rsidRPr="0041706D">
        <w:rPr>
          <w:rFonts w:ascii="Arial" w:hAnsi="Arial" w:cs="Arial"/>
          <w:iCs/>
          <w:sz w:val="24"/>
          <w:szCs w:val="24"/>
        </w:rPr>
        <w:t xml:space="preserve">) de </w:t>
      </w:r>
      <w:r w:rsidR="00ED59FD" w:rsidRPr="0041706D">
        <w:rPr>
          <w:rFonts w:ascii="Arial" w:hAnsi="Arial" w:cs="Arial"/>
          <w:iCs/>
          <w:sz w:val="24"/>
          <w:szCs w:val="24"/>
        </w:rPr>
        <w:t>julio</w:t>
      </w:r>
      <w:r w:rsidR="007662E1" w:rsidRPr="0041706D">
        <w:rPr>
          <w:rFonts w:ascii="Arial" w:hAnsi="Arial" w:cs="Arial"/>
          <w:iCs/>
          <w:sz w:val="24"/>
          <w:szCs w:val="24"/>
        </w:rPr>
        <w:t xml:space="preserve"> de dos mil </w:t>
      </w:r>
      <w:r w:rsidR="00ED59FD" w:rsidRPr="0041706D">
        <w:rPr>
          <w:rFonts w:ascii="Arial" w:hAnsi="Arial" w:cs="Arial"/>
          <w:iCs/>
          <w:sz w:val="24"/>
          <w:szCs w:val="24"/>
        </w:rPr>
        <w:t>veintidós</w:t>
      </w:r>
      <w:r w:rsidR="007662E1" w:rsidRPr="0041706D">
        <w:rPr>
          <w:rFonts w:ascii="Arial" w:hAnsi="Arial" w:cs="Arial"/>
          <w:iCs/>
          <w:sz w:val="24"/>
          <w:szCs w:val="24"/>
        </w:rPr>
        <w:t xml:space="preserve"> (202</w:t>
      </w:r>
      <w:r w:rsidR="00ED59FD" w:rsidRPr="0041706D">
        <w:rPr>
          <w:rFonts w:ascii="Arial" w:hAnsi="Arial" w:cs="Arial"/>
          <w:iCs/>
          <w:sz w:val="24"/>
          <w:szCs w:val="24"/>
        </w:rPr>
        <w:t>2</w:t>
      </w:r>
      <w:r w:rsidR="007662E1" w:rsidRPr="0041706D">
        <w:rPr>
          <w:rFonts w:ascii="Arial" w:hAnsi="Arial" w:cs="Arial"/>
          <w:iCs/>
          <w:sz w:val="24"/>
          <w:szCs w:val="24"/>
        </w:rPr>
        <w:t>)</w:t>
      </w:r>
    </w:p>
    <w:p w14:paraId="68D0A459" w14:textId="77777777" w:rsidR="00FB7A8E" w:rsidRPr="0041706D" w:rsidRDefault="00FB7A8E" w:rsidP="0041706D">
      <w:pPr>
        <w:widowControl w:val="0"/>
        <w:tabs>
          <w:tab w:val="left" w:pos="7655"/>
        </w:tabs>
        <w:jc w:val="both"/>
        <w:rPr>
          <w:rFonts w:ascii="Arial" w:hAnsi="Arial" w:cs="Arial"/>
          <w:iCs/>
          <w:sz w:val="24"/>
          <w:szCs w:val="24"/>
        </w:rPr>
      </w:pPr>
    </w:p>
    <w:tbl>
      <w:tblPr>
        <w:tblStyle w:val="Tablaconcuadrcula"/>
        <w:tblW w:w="8217" w:type="dxa"/>
        <w:tblLook w:val="04A0" w:firstRow="1" w:lastRow="0" w:firstColumn="1" w:lastColumn="0" w:noHBand="0" w:noVBand="1"/>
      </w:tblPr>
      <w:tblGrid>
        <w:gridCol w:w="2547"/>
        <w:gridCol w:w="5670"/>
      </w:tblGrid>
      <w:tr w:rsidR="00FB7A8E" w:rsidRPr="0041706D" w14:paraId="4697DE0A" w14:textId="77777777" w:rsidTr="00B413FE">
        <w:tc>
          <w:tcPr>
            <w:tcW w:w="2547" w:type="dxa"/>
          </w:tcPr>
          <w:p w14:paraId="57213784" w14:textId="4E17C650" w:rsidR="00FB7A8E" w:rsidRPr="0041706D" w:rsidRDefault="00FB7A8E" w:rsidP="0041706D">
            <w:pPr>
              <w:widowControl w:val="0"/>
              <w:tabs>
                <w:tab w:val="left" w:pos="7655"/>
              </w:tabs>
              <w:jc w:val="both"/>
              <w:rPr>
                <w:rFonts w:ascii="Arial" w:hAnsi="Arial" w:cs="Arial"/>
                <w:b/>
                <w:iCs/>
                <w:sz w:val="24"/>
                <w:szCs w:val="24"/>
              </w:rPr>
            </w:pPr>
            <w:r w:rsidRPr="0041706D">
              <w:rPr>
                <w:rFonts w:ascii="Arial" w:hAnsi="Arial" w:cs="Arial"/>
                <w:b/>
                <w:iCs/>
                <w:sz w:val="24"/>
                <w:szCs w:val="24"/>
              </w:rPr>
              <w:t>Radicación:</w:t>
            </w:r>
          </w:p>
        </w:tc>
        <w:tc>
          <w:tcPr>
            <w:tcW w:w="5670" w:type="dxa"/>
          </w:tcPr>
          <w:p w14:paraId="305BA363" w14:textId="3FB3AE14" w:rsidR="00FB7A8E" w:rsidRPr="0041706D" w:rsidRDefault="00FB7A8E" w:rsidP="0041706D">
            <w:pPr>
              <w:widowControl w:val="0"/>
              <w:tabs>
                <w:tab w:val="left" w:pos="7655"/>
              </w:tabs>
              <w:jc w:val="both"/>
              <w:rPr>
                <w:rFonts w:ascii="Arial" w:hAnsi="Arial" w:cs="Arial"/>
                <w:iCs/>
                <w:sz w:val="24"/>
                <w:szCs w:val="24"/>
              </w:rPr>
            </w:pPr>
            <w:r w:rsidRPr="0041706D">
              <w:rPr>
                <w:rFonts w:ascii="Arial" w:hAnsi="Arial" w:cs="Arial"/>
                <w:iCs/>
                <w:sz w:val="24"/>
                <w:szCs w:val="24"/>
              </w:rPr>
              <w:t>15001-33-33-0</w:t>
            </w:r>
            <w:r w:rsidR="00ED59FD" w:rsidRPr="0041706D">
              <w:rPr>
                <w:rFonts w:ascii="Arial" w:hAnsi="Arial" w:cs="Arial"/>
                <w:iCs/>
                <w:sz w:val="24"/>
                <w:szCs w:val="24"/>
              </w:rPr>
              <w:t>0</w:t>
            </w:r>
            <w:r w:rsidRPr="0041706D">
              <w:rPr>
                <w:rFonts w:ascii="Arial" w:hAnsi="Arial" w:cs="Arial"/>
                <w:iCs/>
                <w:sz w:val="24"/>
                <w:szCs w:val="24"/>
              </w:rPr>
              <w:t>4-201</w:t>
            </w:r>
            <w:r w:rsidR="00ED59FD" w:rsidRPr="0041706D">
              <w:rPr>
                <w:rFonts w:ascii="Arial" w:hAnsi="Arial" w:cs="Arial"/>
                <w:iCs/>
                <w:sz w:val="24"/>
                <w:szCs w:val="24"/>
              </w:rPr>
              <w:t>8</w:t>
            </w:r>
            <w:r w:rsidRPr="0041706D">
              <w:rPr>
                <w:rFonts w:ascii="Arial" w:hAnsi="Arial" w:cs="Arial"/>
                <w:iCs/>
                <w:sz w:val="24"/>
                <w:szCs w:val="24"/>
              </w:rPr>
              <w:t>-00</w:t>
            </w:r>
            <w:r w:rsidR="00ED59FD" w:rsidRPr="0041706D">
              <w:rPr>
                <w:rFonts w:ascii="Arial" w:hAnsi="Arial" w:cs="Arial"/>
                <w:iCs/>
                <w:sz w:val="24"/>
                <w:szCs w:val="24"/>
              </w:rPr>
              <w:t>227</w:t>
            </w:r>
            <w:r w:rsidRPr="0041706D">
              <w:rPr>
                <w:rFonts w:ascii="Arial" w:hAnsi="Arial" w:cs="Arial"/>
                <w:iCs/>
                <w:sz w:val="24"/>
                <w:szCs w:val="24"/>
              </w:rPr>
              <w:t>-0</w:t>
            </w:r>
            <w:r w:rsidR="00ED59FD" w:rsidRPr="0041706D">
              <w:rPr>
                <w:rFonts w:ascii="Arial" w:hAnsi="Arial" w:cs="Arial"/>
                <w:iCs/>
                <w:sz w:val="24"/>
                <w:szCs w:val="24"/>
              </w:rPr>
              <w:t>2</w:t>
            </w:r>
          </w:p>
        </w:tc>
      </w:tr>
      <w:tr w:rsidR="00FB7A8E" w:rsidRPr="0041706D" w14:paraId="455F05E6" w14:textId="77777777" w:rsidTr="00B413FE">
        <w:tc>
          <w:tcPr>
            <w:tcW w:w="2547" w:type="dxa"/>
          </w:tcPr>
          <w:p w14:paraId="4B2DEDA3" w14:textId="538B1CFE" w:rsidR="00FB7A8E" w:rsidRPr="0041706D" w:rsidRDefault="00FB7A8E" w:rsidP="0041706D">
            <w:pPr>
              <w:widowControl w:val="0"/>
              <w:tabs>
                <w:tab w:val="left" w:pos="7655"/>
              </w:tabs>
              <w:jc w:val="both"/>
              <w:rPr>
                <w:rFonts w:ascii="Arial" w:hAnsi="Arial" w:cs="Arial"/>
                <w:b/>
                <w:iCs/>
                <w:sz w:val="24"/>
                <w:szCs w:val="24"/>
              </w:rPr>
            </w:pPr>
            <w:r w:rsidRPr="0041706D">
              <w:rPr>
                <w:rFonts w:ascii="Arial" w:hAnsi="Arial" w:cs="Arial"/>
                <w:b/>
                <w:iCs/>
                <w:sz w:val="24"/>
                <w:szCs w:val="24"/>
              </w:rPr>
              <w:t xml:space="preserve">Demandante:  </w:t>
            </w:r>
          </w:p>
        </w:tc>
        <w:tc>
          <w:tcPr>
            <w:tcW w:w="5670" w:type="dxa"/>
          </w:tcPr>
          <w:p w14:paraId="3C027569" w14:textId="317907B5" w:rsidR="00FB7A8E" w:rsidRPr="0041706D" w:rsidRDefault="00ED59FD" w:rsidP="0041706D">
            <w:pPr>
              <w:widowControl w:val="0"/>
              <w:tabs>
                <w:tab w:val="left" w:pos="7655"/>
              </w:tabs>
              <w:jc w:val="both"/>
              <w:rPr>
                <w:rFonts w:ascii="Arial" w:hAnsi="Arial" w:cs="Arial"/>
                <w:iCs/>
                <w:sz w:val="24"/>
                <w:szCs w:val="24"/>
              </w:rPr>
            </w:pPr>
            <w:r w:rsidRPr="0041706D">
              <w:rPr>
                <w:rFonts w:ascii="Arial" w:hAnsi="Arial" w:cs="Arial"/>
                <w:iCs/>
                <w:sz w:val="24"/>
                <w:szCs w:val="24"/>
              </w:rPr>
              <w:t xml:space="preserve">María Clemencia Bohórquez Gorraiz </w:t>
            </w:r>
          </w:p>
        </w:tc>
      </w:tr>
      <w:tr w:rsidR="00FB7A8E" w:rsidRPr="0041706D" w14:paraId="4CBA204A" w14:textId="77777777" w:rsidTr="00B413FE">
        <w:tc>
          <w:tcPr>
            <w:tcW w:w="2547" w:type="dxa"/>
          </w:tcPr>
          <w:p w14:paraId="697230B4" w14:textId="1C2BB7CB" w:rsidR="00FB7A8E" w:rsidRPr="0041706D" w:rsidRDefault="00FB7A8E" w:rsidP="0041706D">
            <w:pPr>
              <w:widowControl w:val="0"/>
              <w:tabs>
                <w:tab w:val="left" w:pos="7655"/>
              </w:tabs>
              <w:jc w:val="both"/>
              <w:rPr>
                <w:rFonts w:ascii="Arial" w:hAnsi="Arial" w:cs="Arial"/>
                <w:b/>
                <w:iCs/>
                <w:sz w:val="24"/>
                <w:szCs w:val="24"/>
              </w:rPr>
            </w:pPr>
            <w:r w:rsidRPr="0041706D">
              <w:rPr>
                <w:rFonts w:ascii="Arial" w:hAnsi="Arial" w:cs="Arial"/>
                <w:b/>
                <w:iCs/>
                <w:sz w:val="24"/>
                <w:szCs w:val="24"/>
              </w:rPr>
              <w:t>Demandado:</w:t>
            </w:r>
          </w:p>
        </w:tc>
        <w:tc>
          <w:tcPr>
            <w:tcW w:w="5670" w:type="dxa"/>
          </w:tcPr>
          <w:p w14:paraId="0FE00FD3" w14:textId="77777777" w:rsidR="00CA1BD5" w:rsidRPr="0041706D" w:rsidRDefault="008E043F" w:rsidP="0041706D">
            <w:pPr>
              <w:widowControl w:val="0"/>
              <w:tabs>
                <w:tab w:val="left" w:pos="7655"/>
              </w:tabs>
              <w:jc w:val="both"/>
              <w:rPr>
                <w:rFonts w:ascii="Arial" w:hAnsi="Arial" w:cs="Arial"/>
                <w:iCs/>
                <w:sz w:val="24"/>
                <w:szCs w:val="24"/>
              </w:rPr>
            </w:pPr>
            <w:bookmarkStart w:id="4" w:name="_Hlk109816311"/>
            <w:r w:rsidRPr="0041706D">
              <w:rPr>
                <w:rFonts w:ascii="Arial" w:hAnsi="Arial" w:cs="Arial"/>
                <w:iCs/>
                <w:sz w:val="24"/>
                <w:szCs w:val="24"/>
              </w:rPr>
              <w:t xml:space="preserve">Unidad Administrativa Especial de Gestión </w:t>
            </w:r>
          </w:p>
          <w:p w14:paraId="5CC355A9" w14:textId="4AADFD6D" w:rsidR="00FB7A8E" w:rsidRPr="0041706D" w:rsidRDefault="008E043F" w:rsidP="0041706D">
            <w:pPr>
              <w:widowControl w:val="0"/>
              <w:tabs>
                <w:tab w:val="left" w:pos="7655"/>
              </w:tabs>
              <w:jc w:val="both"/>
              <w:rPr>
                <w:rFonts w:ascii="Arial" w:hAnsi="Arial" w:cs="Arial"/>
                <w:iCs/>
                <w:sz w:val="24"/>
                <w:szCs w:val="24"/>
              </w:rPr>
            </w:pPr>
            <w:r w:rsidRPr="0041706D">
              <w:rPr>
                <w:rFonts w:ascii="Arial" w:hAnsi="Arial" w:cs="Arial"/>
                <w:iCs/>
                <w:sz w:val="24"/>
                <w:szCs w:val="24"/>
              </w:rPr>
              <w:t>Pensional y Contribuciones Parafiscales - UGPP</w:t>
            </w:r>
            <w:bookmarkEnd w:id="4"/>
          </w:p>
        </w:tc>
      </w:tr>
      <w:tr w:rsidR="00FB7A8E" w:rsidRPr="0041706D" w14:paraId="5739E3A3" w14:textId="77777777" w:rsidTr="00B413FE">
        <w:tc>
          <w:tcPr>
            <w:tcW w:w="2547" w:type="dxa"/>
          </w:tcPr>
          <w:p w14:paraId="1B75A64E" w14:textId="6D16D473" w:rsidR="00FB7A8E" w:rsidRPr="0041706D" w:rsidRDefault="00FB7A8E" w:rsidP="0041706D">
            <w:pPr>
              <w:widowControl w:val="0"/>
              <w:tabs>
                <w:tab w:val="left" w:pos="7655"/>
              </w:tabs>
              <w:jc w:val="both"/>
              <w:rPr>
                <w:rFonts w:ascii="Arial" w:hAnsi="Arial" w:cs="Arial"/>
                <w:b/>
                <w:iCs/>
                <w:sz w:val="24"/>
                <w:szCs w:val="24"/>
              </w:rPr>
            </w:pPr>
            <w:r w:rsidRPr="0041706D">
              <w:rPr>
                <w:rFonts w:ascii="Arial" w:hAnsi="Arial" w:cs="Arial"/>
                <w:b/>
                <w:iCs/>
                <w:sz w:val="24"/>
                <w:szCs w:val="24"/>
              </w:rPr>
              <w:t>Medio de control:</w:t>
            </w:r>
          </w:p>
        </w:tc>
        <w:tc>
          <w:tcPr>
            <w:tcW w:w="5670" w:type="dxa"/>
          </w:tcPr>
          <w:p w14:paraId="0B79B5A3" w14:textId="0C80948D" w:rsidR="00FB7A8E" w:rsidRPr="0041706D" w:rsidRDefault="00FB7A8E" w:rsidP="0041706D">
            <w:pPr>
              <w:widowControl w:val="0"/>
              <w:tabs>
                <w:tab w:val="left" w:pos="7655"/>
              </w:tabs>
              <w:jc w:val="both"/>
              <w:rPr>
                <w:rFonts w:ascii="Arial" w:hAnsi="Arial" w:cs="Arial"/>
                <w:iCs/>
                <w:sz w:val="24"/>
                <w:szCs w:val="24"/>
              </w:rPr>
            </w:pPr>
            <w:r w:rsidRPr="0041706D">
              <w:rPr>
                <w:rFonts w:ascii="Arial" w:hAnsi="Arial" w:cs="Arial"/>
                <w:iCs/>
                <w:sz w:val="24"/>
                <w:szCs w:val="24"/>
              </w:rPr>
              <w:t xml:space="preserve">Nulidad y Restablecimiento del Derecho </w:t>
            </w:r>
          </w:p>
        </w:tc>
      </w:tr>
      <w:tr w:rsidR="00FB7A8E" w:rsidRPr="0041706D" w14:paraId="66711753" w14:textId="77777777" w:rsidTr="00B413FE">
        <w:tc>
          <w:tcPr>
            <w:tcW w:w="2547" w:type="dxa"/>
          </w:tcPr>
          <w:p w14:paraId="20221A0C" w14:textId="5BC98A42" w:rsidR="00FB7A8E" w:rsidRPr="0041706D" w:rsidRDefault="00FB7A8E" w:rsidP="0041706D">
            <w:pPr>
              <w:widowControl w:val="0"/>
              <w:tabs>
                <w:tab w:val="left" w:pos="7655"/>
              </w:tabs>
              <w:jc w:val="both"/>
              <w:rPr>
                <w:rFonts w:ascii="Arial" w:hAnsi="Arial" w:cs="Arial"/>
                <w:b/>
                <w:iCs/>
                <w:sz w:val="24"/>
                <w:szCs w:val="24"/>
              </w:rPr>
            </w:pPr>
            <w:r w:rsidRPr="0041706D">
              <w:rPr>
                <w:rFonts w:ascii="Arial" w:hAnsi="Arial" w:cs="Arial"/>
                <w:b/>
                <w:iCs/>
                <w:sz w:val="24"/>
                <w:szCs w:val="24"/>
              </w:rPr>
              <w:t>Tema:</w:t>
            </w:r>
          </w:p>
        </w:tc>
        <w:tc>
          <w:tcPr>
            <w:tcW w:w="5670" w:type="dxa"/>
          </w:tcPr>
          <w:p w14:paraId="574E005F" w14:textId="257C1F90" w:rsidR="00FB7A8E" w:rsidRPr="0041706D" w:rsidRDefault="00FB7A8E" w:rsidP="0041706D">
            <w:pPr>
              <w:widowControl w:val="0"/>
              <w:tabs>
                <w:tab w:val="left" w:pos="7655"/>
              </w:tabs>
              <w:jc w:val="both"/>
              <w:rPr>
                <w:rFonts w:ascii="Arial" w:hAnsi="Arial" w:cs="Arial"/>
                <w:iCs/>
                <w:sz w:val="24"/>
                <w:szCs w:val="24"/>
              </w:rPr>
            </w:pPr>
            <w:r w:rsidRPr="0041706D">
              <w:rPr>
                <w:rFonts w:ascii="Arial" w:hAnsi="Arial" w:cs="Arial"/>
                <w:iCs/>
                <w:sz w:val="24"/>
                <w:szCs w:val="24"/>
              </w:rPr>
              <w:t xml:space="preserve">Sentencia de segunda instancia </w:t>
            </w:r>
          </w:p>
        </w:tc>
      </w:tr>
    </w:tbl>
    <w:p w14:paraId="4D2B70B3" w14:textId="77777777" w:rsidR="00FB7A8E" w:rsidRPr="0041706D" w:rsidRDefault="00FB7A8E" w:rsidP="0041706D">
      <w:pPr>
        <w:widowControl w:val="0"/>
        <w:tabs>
          <w:tab w:val="left" w:pos="7655"/>
        </w:tabs>
        <w:jc w:val="both"/>
        <w:rPr>
          <w:rFonts w:ascii="Arial" w:hAnsi="Arial" w:cs="Arial"/>
          <w:iCs/>
          <w:sz w:val="24"/>
          <w:szCs w:val="24"/>
        </w:rPr>
      </w:pPr>
    </w:p>
    <w:p w14:paraId="590B0EE3" w14:textId="54DE07A1" w:rsidR="005F2C44" w:rsidRPr="0041706D" w:rsidRDefault="00797B83" w:rsidP="0041706D">
      <w:pPr>
        <w:pStyle w:val="Prrafodelista"/>
        <w:widowControl w:val="0"/>
        <w:numPr>
          <w:ilvl w:val="0"/>
          <w:numId w:val="22"/>
        </w:numPr>
        <w:ind w:left="0" w:firstLine="0"/>
        <w:jc w:val="both"/>
        <w:rPr>
          <w:rFonts w:ascii="Arial" w:hAnsi="Arial" w:cs="Arial"/>
          <w:b/>
          <w:bCs/>
          <w:i/>
          <w:iCs/>
          <w:sz w:val="22"/>
          <w:szCs w:val="22"/>
        </w:rPr>
      </w:pPr>
      <w:r w:rsidRPr="0041706D">
        <w:rPr>
          <w:rFonts w:ascii="Arial" w:hAnsi="Arial" w:cs="Arial"/>
          <w:sz w:val="24"/>
          <w:szCs w:val="24"/>
        </w:rPr>
        <w:t>Verificada</w:t>
      </w:r>
      <w:r w:rsidR="00AF753A" w:rsidRPr="0041706D">
        <w:rPr>
          <w:rFonts w:ascii="Arial" w:hAnsi="Arial" w:cs="Arial"/>
          <w:sz w:val="24"/>
          <w:szCs w:val="24"/>
        </w:rPr>
        <w:t xml:space="preserve"> </w:t>
      </w:r>
      <w:r w:rsidRPr="0041706D">
        <w:rPr>
          <w:rFonts w:ascii="Arial" w:hAnsi="Arial" w:cs="Arial"/>
          <w:sz w:val="24"/>
          <w:szCs w:val="24"/>
        </w:rPr>
        <w:t>la inexistencia de irregularidades que invalide</w:t>
      </w:r>
      <w:r w:rsidR="00E84425" w:rsidRPr="0041706D">
        <w:rPr>
          <w:rFonts w:ascii="Arial" w:hAnsi="Arial" w:cs="Arial"/>
          <w:sz w:val="24"/>
          <w:szCs w:val="24"/>
        </w:rPr>
        <w:t>n</w:t>
      </w:r>
      <w:r w:rsidRPr="0041706D">
        <w:rPr>
          <w:rFonts w:ascii="Arial" w:hAnsi="Arial" w:cs="Arial"/>
          <w:sz w:val="24"/>
          <w:szCs w:val="24"/>
        </w:rPr>
        <w:t xml:space="preserve"> la actuación</w:t>
      </w:r>
      <w:r w:rsidR="008E6E8C" w:rsidRPr="0041706D">
        <w:rPr>
          <w:rFonts w:ascii="Arial" w:hAnsi="Arial" w:cs="Arial"/>
          <w:sz w:val="24"/>
          <w:szCs w:val="24"/>
        </w:rPr>
        <w:t>, l</w:t>
      </w:r>
      <w:r w:rsidR="005F2C44" w:rsidRPr="0041706D">
        <w:rPr>
          <w:rFonts w:ascii="Arial" w:hAnsi="Arial" w:cs="Arial"/>
          <w:sz w:val="24"/>
          <w:szCs w:val="24"/>
        </w:rPr>
        <w:t>a Sala</w:t>
      </w:r>
      <w:r w:rsidR="008E6E8C" w:rsidRPr="0041706D">
        <w:rPr>
          <w:rFonts w:ascii="Arial" w:hAnsi="Arial" w:cs="Arial"/>
          <w:sz w:val="24"/>
          <w:szCs w:val="24"/>
        </w:rPr>
        <w:t xml:space="preserve"> procede a resolver </w:t>
      </w:r>
      <w:r w:rsidR="005F2C44" w:rsidRPr="0041706D">
        <w:rPr>
          <w:rFonts w:ascii="Arial" w:hAnsi="Arial" w:cs="Arial"/>
          <w:sz w:val="24"/>
          <w:szCs w:val="24"/>
        </w:rPr>
        <w:t>l</w:t>
      </w:r>
      <w:r w:rsidR="00ED59FD" w:rsidRPr="0041706D">
        <w:rPr>
          <w:rFonts w:ascii="Arial" w:hAnsi="Arial" w:cs="Arial"/>
          <w:sz w:val="24"/>
          <w:szCs w:val="24"/>
        </w:rPr>
        <w:t>os</w:t>
      </w:r>
      <w:r w:rsidR="005F2C44" w:rsidRPr="0041706D">
        <w:rPr>
          <w:rFonts w:ascii="Arial" w:hAnsi="Arial" w:cs="Arial"/>
          <w:sz w:val="24"/>
          <w:szCs w:val="24"/>
        </w:rPr>
        <w:t xml:space="preserve"> recurso</w:t>
      </w:r>
      <w:r w:rsidR="00ED59FD" w:rsidRPr="0041706D">
        <w:rPr>
          <w:rFonts w:ascii="Arial" w:hAnsi="Arial" w:cs="Arial"/>
          <w:sz w:val="24"/>
          <w:szCs w:val="24"/>
        </w:rPr>
        <w:t>s</w:t>
      </w:r>
      <w:r w:rsidR="005F2C44" w:rsidRPr="0041706D">
        <w:rPr>
          <w:rFonts w:ascii="Arial" w:hAnsi="Arial" w:cs="Arial"/>
          <w:sz w:val="24"/>
          <w:szCs w:val="24"/>
        </w:rPr>
        <w:t xml:space="preserve"> de apelación formulado</w:t>
      </w:r>
      <w:r w:rsidR="00ED59FD" w:rsidRPr="0041706D">
        <w:rPr>
          <w:rFonts w:ascii="Arial" w:hAnsi="Arial" w:cs="Arial"/>
          <w:sz w:val="24"/>
          <w:szCs w:val="24"/>
        </w:rPr>
        <w:t>s</w:t>
      </w:r>
      <w:r w:rsidR="005F2C44" w:rsidRPr="0041706D">
        <w:rPr>
          <w:rFonts w:ascii="Arial" w:hAnsi="Arial" w:cs="Arial"/>
          <w:sz w:val="24"/>
          <w:szCs w:val="24"/>
        </w:rPr>
        <w:t xml:space="preserve"> por </w:t>
      </w:r>
      <w:r w:rsidR="00417769" w:rsidRPr="0041706D">
        <w:rPr>
          <w:rFonts w:ascii="Arial" w:hAnsi="Arial" w:cs="Arial"/>
          <w:sz w:val="24"/>
          <w:szCs w:val="24"/>
        </w:rPr>
        <w:t>la</w:t>
      </w:r>
      <w:r w:rsidR="005F2C44" w:rsidRPr="0041706D">
        <w:rPr>
          <w:rFonts w:ascii="Arial" w:hAnsi="Arial" w:cs="Arial"/>
          <w:sz w:val="24"/>
          <w:szCs w:val="24"/>
        </w:rPr>
        <w:t xml:space="preserve"> demand</w:t>
      </w:r>
      <w:r w:rsidR="00417769" w:rsidRPr="0041706D">
        <w:rPr>
          <w:rFonts w:ascii="Arial" w:hAnsi="Arial" w:cs="Arial"/>
          <w:sz w:val="24"/>
          <w:szCs w:val="24"/>
        </w:rPr>
        <w:t>ante</w:t>
      </w:r>
      <w:r w:rsidR="00417769" w:rsidRPr="0041706D">
        <w:rPr>
          <w:rStyle w:val="Refdenotaalpie"/>
          <w:rFonts w:ascii="Arial" w:hAnsi="Arial" w:cs="Arial"/>
          <w:sz w:val="24"/>
          <w:szCs w:val="24"/>
        </w:rPr>
        <w:footnoteReference w:id="1"/>
      </w:r>
      <w:r w:rsidR="0067191B" w:rsidRPr="0041706D">
        <w:rPr>
          <w:rFonts w:ascii="Arial" w:hAnsi="Arial" w:cs="Arial"/>
          <w:sz w:val="24"/>
          <w:szCs w:val="24"/>
        </w:rPr>
        <w:t xml:space="preserve"> </w:t>
      </w:r>
      <w:r w:rsidR="00ED59FD" w:rsidRPr="0041706D">
        <w:rPr>
          <w:rFonts w:ascii="Arial" w:hAnsi="Arial" w:cs="Arial"/>
          <w:sz w:val="24"/>
          <w:szCs w:val="24"/>
        </w:rPr>
        <w:t xml:space="preserve">y </w:t>
      </w:r>
      <w:r w:rsidR="00417769" w:rsidRPr="0041706D">
        <w:rPr>
          <w:rFonts w:ascii="Arial" w:hAnsi="Arial" w:cs="Arial"/>
          <w:sz w:val="24"/>
          <w:szCs w:val="24"/>
        </w:rPr>
        <w:t>la demandada</w:t>
      </w:r>
      <w:r w:rsidR="00417769" w:rsidRPr="0041706D">
        <w:rPr>
          <w:rStyle w:val="Refdenotaalpie"/>
          <w:rFonts w:ascii="Arial" w:hAnsi="Arial" w:cs="Arial"/>
          <w:sz w:val="24"/>
          <w:szCs w:val="24"/>
        </w:rPr>
        <w:footnoteReference w:id="2"/>
      </w:r>
      <w:r w:rsidR="00ED59FD" w:rsidRPr="0041706D">
        <w:rPr>
          <w:rFonts w:ascii="Arial" w:hAnsi="Arial" w:cs="Arial"/>
          <w:sz w:val="24"/>
          <w:szCs w:val="24"/>
        </w:rPr>
        <w:t xml:space="preserve"> </w:t>
      </w:r>
      <w:r w:rsidR="005F2C44" w:rsidRPr="0041706D">
        <w:rPr>
          <w:rFonts w:ascii="Arial" w:hAnsi="Arial" w:cs="Arial"/>
          <w:sz w:val="24"/>
          <w:szCs w:val="24"/>
        </w:rPr>
        <w:t xml:space="preserve">contra la sentencia proferida </w:t>
      </w:r>
      <w:r w:rsidR="00E84425" w:rsidRPr="0041706D">
        <w:rPr>
          <w:rFonts w:ascii="Arial" w:hAnsi="Arial" w:cs="Arial"/>
          <w:sz w:val="24"/>
          <w:szCs w:val="24"/>
        </w:rPr>
        <w:t xml:space="preserve">el </w:t>
      </w:r>
      <w:r w:rsidR="00ED59FD" w:rsidRPr="0041706D">
        <w:rPr>
          <w:rFonts w:ascii="Arial" w:hAnsi="Arial" w:cs="Arial"/>
          <w:sz w:val="24"/>
          <w:szCs w:val="24"/>
        </w:rPr>
        <w:t>17</w:t>
      </w:r>
      <w:r w:rsidR="00415C29" w:rsidRPr="0041706D">
        <w:rPr>
          <w:rFonts w:ascii="Arial" w:hAnsi="Arial" w:cs="Arial"/>
          <w:sz w:val="24"/>
          <w:szCs w:val="24"/>
        </w:rPr>
        <w:t xml:space="preserve"> </w:t>
      </w:r>
      <w:r w:rsidR="005F2C44" w:rsidRPr="0041706D">
        <w:rPr>
          <w:rFonts w:ascii="Arial" w:hAnsi="Arial" w:cs="Arial"/>
          <w:sz w:val="24"/>
          <w:szCs w:val="24"/>
        </w:rPr>
        <w:t xml:space="preserve">de </w:t>
      </w:r>
      <w:r w:rsidR="00ED59FD" w:rsidRPr="0041706D">
        <w:rPr>
          <w:rFonts w:ascii="Arial" w:hAnsi="Arial" w:cs="Arial"/>
          <w:sz w:val="24"/>
          <w:szCs w:val="24"/>
        </w:rPr>
        <w:t>fe</w:t>
      </w:r>
      <w:r w:rsidR="00992D1F" w:rsidRPr="0041706D">
        <w:rPr>
          <w:rFonts w:ascii="Arial" w:hAnsi="Arial" w:cs="Arial"/>
          <w:sz w:val="24"/>
          <w:szCs w:val="24"/>
        </w:rPr>
        <w:t>bre</w:t>
      </w:r>
      <w:r w:rsidR="00ED59FD" w:rsidRPr="0041706D">
        <w:rPr>
          <w:rFonts w:ascii="Arial" w:hAnsi="Arial" w:cs="Arial"/>
          <w:sz w:val="24"/>
          <w:szCs w:val="24"/>
        </w:rPr>
        <w:t>ro</w:t>
      </w:r>
      <w:r w:rsidR="00992D1F" w:rsidRPr="0041706D">
        <w:rPr>
          <w:rFonts w:ascii="Arial" w:hAnsi="Arial" w:cs="Arial"/>
          <w:sz w:val="24"/>
          <w:szCs w:val="24"/>
        </w:rPr>
        <w:t xml:space="preserve"> </w:t>
      </w:r>
      <w:r w:rsidR="005F2C44" w:rsidRPr="0041706D">
        <w:rPr>
          <w:rFonts w:ascii="Arial" w:hAnsi="Arial" w:cs="Arial"/>
          <w:sz w:val="24"/>
          <w:szCs w:val="24"/>
        </w:rPr>
        <w:t>de 20</w:t>
      </w:r>
      <w:r w:rsidR="00ED59FD" w:rsidRPr="0041706D">
        <w:rPr>
          <w:rFonts w:ascii="Arial" w:hAnsi="Arial" w:cs="Arial"/>
          <w:sz w:val="24"/>
          <w:szCs w:val="24"/>
        </w:rPr>
        <w:t>20</w:t>
      </w:r>
      <w:r w:rsidR="005F2C44" w:rsidRPr="0041706D">
        <w:rPr>
          <w:rFonts w:ascii="Arial" w:hAnsi="Arial" w:cs="Arial"/>
          <w:sz w:val="24"/>
          <w:szCs w:val="24"/>
        </w:rPr>
        <w:t xml:space="preserve"> por el Juzgado </w:t>
      </w:r>
      <w:r w:rsidR="00992D1F" w:rsidRPr="0041706D">
        <w:rPr>
          <w:rFonts w:ascii="Arial" w:hAnsi="Arial" w:cs="Arial"/>
          <w:sz w:val="24"/>
          <w:szCs w:val="24"/>
        </w:rPr>
        <w:t>C</w:t>
      </w:r>
      <w:r w:rsidR="00ED59FD" w:rsidRPr="0041706D">
        <w:rPr>
          <w:rFonts w:ascii="Arial" w:hAnsi="Arial" w:cs="Arial"/>
          <w:sz w:val="24"/>
          <w:szCs w:val="24"/>
        </w:rPr>
        <w:t>uarto</w:t>
      </w:r>
      <w:r w:rsidR="00992D1F" w:rsidRPr="0041706D">
        <w:rPr>
          <w:rFonts w:ascii="Arial" w:hAnsi="Arial" w:cs="Arial"/>
          <w:sz w:val="24"/>
          <w:szCs w:val="24"/>
        </w:rPr>
        <w:t xml:space="preserve"> </w:t>
      </w:r>
      <w:r w:rsidR="005F2C44" w:rsidRPr="0041706D">
        <w:rPr>
          <w:rFonts w:ascii="Arial" w:hAnsi="Arial" w:cs="Arial"/>
          <w:sz w:val="24"/>
          <w:szCs w:val="24"/>
        </w:rPr>
        <w:t xml:space="preserve">Administrativo del Circuito de </w:t>
      </w:r>
      <w:r w:rsidR="00992D1F" w:rsidRPr="0041706D">
        <w:rPr>
          <w:rFonts w:ascii="Arial" w:hAnsi="Arial" w:cs="Arial"/>
          <w:sz w:val="24"/>
          <w:szCs w:val="24"/>
        </w:rPr>
        <w:t>Tunja</w:t>
      </w:r>
      <w:r w:rsidR="005F2C44" w:rsidRPr="0041706D">
        <w:rPr>
          <w:rFonts w:ascii="Arial" w:hAnsi="Arial" w:cs="Arial"/>
          <w:sz w:val="24"/>
          <w:szCs w:val="24"/>
        </w:rPr>
        <w:t>, mediante la cual</w:t>
      </w:r>
      <w:r w:rsidR="00927FFD" w:rsidRPr="0041706D">
        <w:rPr>
          <w:rFonts w:ascii="Arial" w:hAnsi="Arial" w:cs="Arial"/>
          <w:sz w:val="24"/>
          <w:szCs w:val="24"/>
        </w:rPr>
        <w:t xml:space="preserve"> </w:t>
      </w:r>
      <w:r w:rsidR="00992D1F" w:rsidRPr="0041706D">
        <w:rPr>
          <w:rFonts w:ascii="Arial" w:hAnsi="Arial" w:cs="Arial"/>
          <w:sz w:val="24"/>
          <w:szCs w:val="24"/>
        </w:rPr>
        <w:t>se</w:t>
      </w:r>
      <w:r w:rsidR="00992D1F" w:rsidRPr="0041706D">
        <w:rPr>
          <w:rFonts w:ascii="Arial" w:hAnsi="Arial" w:cs="Arial"/>
          <w:b/>
          <w:bCs/>
          <w:sz w:val="24"/>
          <w:szCs w:val="24"/>
        </w:rPr>
        <w:t xml:space="preserve"> </w:t>
      </w:r>
      <w:r w:rsidR="00417769" w:rsidRPr="0041706D">
        <w:rPr>
          <w:rFonts w:ascii="Arial" w:hAnsi="Arial" w:cs="Arial"/>
          <w:b/>
          <w:bCs/>
          <w:sz w:val="24"/>
          <w:szCs w:val="24"/>
        </w:rPr>
        <w:t xml:space="preserve">accedió </w:t>
      </w:r>
      <w:r w:rsidR="00ED59FD" w:rsidRPr="0041706D">
        <w:rPr>
          <w:rFonts w:ascii="Arial" w:hAnsi="Arial" w:cs="Arial"/>
          <w:b/>
          <w:bCs/>
          <w:sz w:val="24"/>
          <w:szCs w:val="24"/>
        </w:rPr>
        <w:t>parcialmente a</w:t>
      </w:r>
      <w:r w:rsidR="00992D1F" w:rsidRPr="0041706D">
        <w:rPr>
          <w:rFonts w:ascii="Arial" w:hAnsi="Arial" w:cs="Arial"/>
          <w:b/>
          <w:bCs/>
          <w:sz w:val="24"/>
          <w:szCs w:val="24"/>
        </w:rPr>
        <w:t xml:space="preserve"> las pretensiones de la demanda</w:t>
      </w:r>
      <w:r w:rsidR="00417769" w:rsidRPr="0041706D">
        <w:rPr>
          <w:rStyle w:val="Refdenotaalpie"/>
          <w:rFonts w:ascii="Arial" w:hAnsi="Arial" w:cs="Arial"/>
          <w:b/>
          <w:bCs/>
          <w:sz w:val="24"/>
          <w:szCs w:val="24"/>
        </w:rPr>
        <w:footnoteReference w:id="3"/>
      </w:r>
      <w:r w:rsidR="00417769" w:rsidRPr="0041706D">
        <w:rPr>
          <w:rFonts w:ascii="Arial" w:hAnsi="Arial" w:cs="Arial"/>
          <w:b/>
          <w:bCs/>
          <w:sz w:val="24"/>
          <w:szCs w:val="24"/>
        </w:rPr>
        <w:t>.</w:t>
      </w:r>
    </w:p>
    <w:p w14:paraId="18470936" w14:textId="77777777" w:rsidR="005F2C44" w:rsidRPr="0041706D" w:rsidRDefault="005F2C44" w:rsidP="0041706D">
      <w:pPr>
        <w:widowControl w:val="0"/>
        <w:tabs>
          <w:tab w:val="left" w:pos="7655"/>
        </w:tabs>
        <w:jc w:val="both"/>
        <w:rPr>
          <w:rFonts w:ascii="Arial" w:hAnsi="Arial" w:cs="Arial"/>
          <w:iCs/>
          <w:sz w:val="24"/>
          <w:szCs w:val="24"/>
        </w:rPr>
      </w:pPr>
    </w:p>
    <w:p w14:paraId="42D75B9C" w14:textId="7892400C" w:rsidR="008E6E8C" w:rsidRPr="0041706D" w:rsidRDefault="008E6E8C" w:rsidP="0041706D">
      <w:pPr>
        <w:pStyle w:val="Prrafodelista"/>
        <w:widowControl w:val="0"/>
        <w:numPr>
          <w:ilvl w:val="0"/>
          <w:numId w:val="22"/>
        </w:numPr>
        <w:ind w:left="0" w:firstLine="0"/>
        <w:jc w:val="both"/>
        <w:rPr>
          <w:rFonts w:ascii="Arial" w:hAnsi="Arial" w:cs="Arial"/>
          <w:iCs/>
          <w:sz w:val="24"/>
          <w:szCs w:val="24"/>
          <w:lang w:eastAsia="en-US"/>
        </w:rPr>
      </w:pPr>
      <w:r w:rsidRPr="0041706D">
        <w:rPr>
          <w:rFonts w:ascii="Arial" w:hAnsi="Arial" w:cs="Arial"/>
          <w:color w:val="000000"/>
          <w:spacing w:val="2"/>
          <w:sz w:val="24"/>
          <w:szCs w:val="24"/>
          <w:lang w:eastAsia="es-CO"/>
        </w:rPr>
        <w:t>La Sala es competente para proferir esta providencia a la luz de lo dispuesto en los artículos 153 y 157 de la Ley 1437 de 2011, porque en ella se resuelve</w:t>
      </w:r>
      <w:r w:rsidR="00417769" w:rsidRPr="0041706D">
        <w:rPr>
          <w:rFonts w:ascii="Arial" w:hAnsi="Arial" w:cs="Arial"/>
          <w:color w:val="000000"/>
          <w:spacing w:val="2"/>
          <w:sz w:val="24"/>
          <w:szCs w:val="24"/>
          <w:lang w:eastAsia="es-CO"/>
        </w:rPr>
        <w:t>n</w:t>
      </w:r>
      <w:r w:rsidRPr="0041706D">
        <w:rPr>
          <w:rFonts w:ascii="Arial" w:hAnsi="Arial" w:cs="Arial"/>
          <w:color w:val="000000"/>
          <w:spacing w:val="2"/>
          <w:sz w:val="24"/>
          <w:szCs w:val="24"/>
          <w:lang w:eastAsia="es-CO"/>
        </w:rPr>
        <w:t xml:space="preserve"> l</w:t>
      </w:r>
      <w:r w:rsidR="00417769" w:rsidRPr="0041706D">
        <w:rPr>
          <w:rFonts w:ascii="Arial" w:hAnsi="Arial" w:cs="Arial"/>
          <w:color w:val="000000"/>
          <w:spacing w:val="2"/>
          <w:sz w:val="24"/>
          <w:szCs w:val="24"/>
          <w:lang w:eastAsia="es-CO"/>
        </w:rPr>
        <w:t>os</w:t>
      </w:r>
      <w:r w:rsidRPr="0041706D">
        <w:rPr>
          <w:rFonts w:ascii="Arial" w:hAnsi="Arial" w:cs="Arial"/>
          <w:color w:val="000000"/>
          <w:spacing w:val="2"/>
          <w:sz w:val="24"/>
          <w:szCs w:val="24"/>
          <w:lang w:eastAsia="es-CO"/>
        </w:rPr>
        <w:t xml:space="preserve"> recurs</w:t>
      </w:r>
      <w:r w:rsidR="00417769" w:rsidRPr="0041706D">
        <w:rPr>
          <w:rFonts w:ascii="Arial" w:hAnsi="Arial" w:cs="Arial"/>
          <w:color w:val="000000"/>
          <w:spacing w:val="2"/>
          <w:sz w:val="24"/>
          <w:szCs w:val="24"/>
          <w:lang w:eastAsia="es-CO"/>
        </w:rPr>
        <w:t>os</w:t>
      </w:r>
      <w:r w:rsidRPr="0041706D">
        <w:rPr>
          <w:rFonts w:ascii="Arial" w:hAnsi="Arial" w:cs="Arial"/>
          <w:color w:val="000000"/>
          <w:spacing w:val="2"/>
          <w:sz w:val="24"/>
          <w:szCs w:val="24"/>
          <w:lang w:eastAsia="es-CO"/>
        </w:rPr>
        <w:t xml:space="preserve"> de apelación interpuesto</w:t>
      </w:r>
      <w:r w:rsidR="00417769" w:rsidRPr="0041706D">
        <w:rPr>
          <w:rFonts w:ascii="Arial" w:hAnsi="Arial" w:cs="Arial"/>
          <w:color w:val="000000"/>
          <w:spacing w:val="2"/>
          <w:sz w:val="24"/>
          <w:szCs w:val="24"/>
          <w:lang w:eastAsia="es-CO"/>
        </w:rPr>
        <w:t>s</w:t>
      </w:r>
      <w:r w:rsidRPr="0041706D">
        <w:rPr>
          <w:rFonts w:ascii="Arial" w:hAnsi="Arial" w:cs="Arial"/>
          <w:color w:val="000000"/>
          <w:spacing w:val="2"/>
          <w:sz w:val="24"/>
          <w:szCs w:val="24"/>
          <w:lang w:eastAsia="es-CO"/>
        </w:rPr>
        <w:t xml:space="preserve"> contra una sentencia dictada por un juzgado que conoció el proceso en primera instancia en razón a la cuantía estimada en la demanda.</w:t>
      </w:r>
    </w:p>
    <w:p w14:paraId="5AE259B2" w14:textId="748A8846" w:rsidR="005F2C44" w:rsidRPr="0041706D" w:rsidRDefault="005F2C44" w:rsidP="0041706D">
      <w:pPr>
        <w:widowControl w:val="0"/>
        <w:tabs>
          <w:tab w:val="left" w:pos="7655"/>
        </w:tabs>
        <w:jc w:val="both"/>
        <w:rPr>
          <w:rFonts w:ascii="Arial" w:hAnsi="Arial" w:cs="Arial"/>
          <w:iCs/>
          <w:sz w:val="24"/>
          <w:szCs w:val="24"/>
        </w:rPr>
      </w:pPr>
    </w:p>
    <w:p w14:paraId="34EC541D" w14:textId="70B4FE2E" w:rsidR="005F2C44" w:rsidRPr="0041706D" w:rsidRDefault="005F2C44" w:rsidP="0041706D">
      <w:pPr>
        <w:widowControl w:val="0"/>
        <w:tabs>
          <w:tab w:val="left" w:pos="7655"/>
        </w:tabs>
        <w:jc w:val="center"/>
        <w:rPr>
          <w:rFonts w:ascii="Arial" w:hAnsi="Arial" w:cs="Arial"/>
          <w:b/>
          <w:iCs/>
          <w:sz w:val="24"/>
          <w:szCs w:val="24"/>
        </w:rPr>
      </w:pPr>
      <w:r w:rsidRPr="0041706D">
        <w:rPr>
          <w:rFonts w:ascii="Arial" w:hAnsi="Arial" w:cs="Arial"/>
          <w:b/>
          <w:iCs/>
          <w:sz w:val="24"/>
          <w:szCs w:val="24"/>
        </w:rPr>
        <w:t>I. ANTECEDENTES</w:t>
      </w:r>
    </w:p>
    <w:p w14:paraId="6A881FD2" w14:textId="0B06FBD9" w:rsidR="00DF256F" w:rsidRPr="0041706D" w:rsidRDefault="00DF256F" w:rsidP="0041706D">
      <w:pPr>
        <w:widowControl w:val="0"/>
        <w:tabs>
          <w:tab w:val="left" w:pos="7655"/>
        </w:tabs>
        <w:jc w:val="center"/>
        <w:rPr>
          <w:rFonts w:ascii="Arial" w:hAnsi="Arial" w:cs="Arial"/>
          <w:b/>
          <w:iCs/>
          <w:sz w:val="24"/>
          <w:szCs w:val="24"/>
        </w:rPr>
      </w:pPr>
    </w:p>
    <w:p w14:paraId="6963AEF4" w14:textId="7AAE6807" w:rsidR="005F2C44" w:rsidRPr="0041706D" w:rsidRDefault="00CC0114" w:rsidP="0041706D">
      <w:pPr>
        <w:pStyle w:val="Prrafodelista"/>
        <w:widowControl w:val="0"/>
        <w:numPr>
          <w:ilvl w:val="0"/>
          <w:numId w:val="16"/>
        </w:numPr>
        <w:tabs>
          <w:tab w:val="left" w:pos="270"/>
        </w:tabs>
        <w:ind w:left="0" w:firstLine="0"/>
        <w:jc w:val="center"/>
        <w:textAlignment w:val="auto"/>
        <w:rPr>
          <w:rFonts w:ascii="Arial" w:eastAsiaTheme="minorEastAsia" w:hAnsi="Arial" w:cs="Arial"/>
          <w:b/>
          <w:bCs/>
          <w:sz w:val="24"/>
          <w:szCs w:val="24"/>
        </w:rPr>
      </w:pPr>
      <w:r w:rsidRPr="0041706D">
        <w:rPr>
          <w:rFonts w:ascii="Arial" w:hAnsi="Arial" w:cs="Arial"/>
          <w:b/>
          <w:bCs/>
          <w:sz w:val="24"/>
          <w:szCs w:val="24"/>
        </w:rPr>
        <w:t>L</w:t>
      </w:r>
      <w:r w:rsidR="008E6E8C" w:rsidRPr="0041706D">
        <w:rPr>
          <w:rFonts w:ascii="Arial" w:hAnsi="Arial" w:cs="Arial"/>
          <w:b/>
          <w:bCs/>
          <w:sz w:val="24"/>
          <w:szCs w:val="24"/>
        </w:rPr>
        <w:t>a demanda</w:t>
      </w:r>
      <w:r w:rsidR="000E4233" w:rsidRPr="0041706D">
        <w:rPr>
          <w:rStyle w:val="Refdenotaalpie"/>
          <w:rFonts w:ascii="Arial" w:hAnsi="Arial" w:cs="Arial"/>
          <w:b/>
          <w:bCs/>
          <w:sz w:val="24"/>
          <w:szCs w:val="24"/>
        </w:rPr>
        <w:footnoteReference w:id="4"/>
      </w:r>
    </w:p>
    <w:p w14:paraId="303BBF5A" w14:textId="77777777" w:rsidR="005F2C44" w:rsidRPr="0041706D" w:rsidRDefault="005F2C44" w:rsidP="0041706D">
      <w:pPr>
        <w:widowControl w:val="0"/>
        <w:tabs>
          <w:tab w:val="left" w:pos="7655"/>
        </w:tabs>
        <w:jc w:val="both"/>
        <w:rPr>
          <w:rFonts w:ascii="Arial" w:hAnsi="Arial" w:cs="Arial"/>
          <w:iCs/>
          <w:sz w:val="24"/>
          <w:szCs w:val="24"/>
        </w:rPr>
      </w:pPr>
    </w:p>
    <w:p w14:paraId="583F07D1" w14:textId="397CE338" w:rsidR="3B5B9FC1" w:rsidRPr="0041706D" w:rsidRDefault="00830261" w:rsidP="0041706D">
      <w:pPr>
        <w:tabs>
          <w:tab w:val="left" w:pos="7655"/>
        </w:tabs>
        <w:jc w:val="both"/>
        <w:rPr>
          <w:rFonts w:ascii="Arial" w:hAnsi="Arial" w:cs="Arial"/>
          <w:b/>
          <w:bCs/>
          <w:sz w:val="24"/>
          <w:szCs w:val="24"/>
        </w:rPr>
      </w:pPr>
      <w:r w:rsidRPr="0041706D">
        <w:rPr>
          <w:rFonts w:ascii="Arial" w:hAnsi="Arial" w:cs="Arial"/>
          <w:b/>
          <w:bCs/>
          <w:sz w:val="24"/>
          <w:szCs w:val="24"/>
        </w:rPr>
        <w:t xml:space="preserve">1.1 </w:t>
      </w:r>
      <w:r w:rsidR="3B5B9FC1" w:rsidRPr="0041706D">
        <w:rPr>
          <w:rFonts w:ascii="Arial" w:hAnsi="Arial" w:cs="Arial"/>
          <w:b/>
          <w:bCs/>
          <w:sz w:val="24"/>
          <w:szCs w:val="24"/>
        </w:rPr>
        <w:t>Las pretensiones</w:t>
      </w:r>
    </w:p>
    <w:p w14:paraId="5A5FF1E4" w14:textId="6839BF59" w:rsidR="0DAA6E88" w:rsidRPr="0041706D" w:rsidRDefault="0DAA6E88" w:rsidP="0041706D">
      <w:pPr>
        <w:tabs>
          <w:tab w:val="left" w:pos="7655"/>
        </w:tabs>
        <w:jc w:val="both"/>
        <w:rPr>
          <w:rFonts w:ascii="Arial" w:hAnsi="Arial" w:cs="Arial"/>
        </w:rPr>
      </w:pPr>
    </w:p>
    <w:p w14:paraId="37E9E6E6" w14:textId="65ACE912" w:rsidR="00C9336C" w:rsidRPr="0041706D" w:rsidRDefault="008E6E8C" w:rsidP="0041706D">
      <w:pPr>
        <w:pStyle w:val="Prrafodelista"/>
        <w:widowControl w:val="0"/>
        <w:numPr>
          <w:ilvl w:val="0"/>
          <w:numId w:val="22"/>
        </w:numPr>
        <w:ind w:left="0" w:firstLine="0"/>
        <w:jc w:val="both"/>
        <w:rPr>
          <w:rFonts w:ascii="Arial" w:hAnsi="Arial" w:cs="Arial"/>
          <w:sz w:val="24"/>
          <w:szCs w:val="24"/>
        </w:rPr>
      </w:pPr>
      <w:r w:rsidRPr="0041706D">
        <w:rPr>
          <w:rFonts w:ascii="Arial" w:hAnsi="Arial" w:cs="Arial"/>
          <w:sz w:val="24"/>
          <w:szCs w:val="24"/>
        </w:rPr>
        <w:t>En ejercicio del medio de control de la nulidad y restablecimiento del derecho, l</w:t>
      </w:r>
      <w:r w:rsidR="00C9336C" w:rsidRPr="0041706D">
        <w:rPr>
          <w:rFonts w:ascii="Arial" w:hAnsi="Arial" w:cs="Arial"/>
          <w:sz w:val="24"/>
          <w:szCs w:val="24"/>
        </w:rPr>
        <w:t>a</w:t>
      </w:r>
      <w:r w:rsidRPr="0041706D">
        <w:rPr>
          <w:rFonts w:ascii="Arial" w:hAnsi="Arial" w:cs="Arial"/>
          <w:sz w:val="24"/>
          <w:szCs w:val="24"/>
        </w:rPr>
        <w:t xml:space="preserve"> señor</w:t>
      </w:r>
      <w:r w:rsidR="00C9336C" w:rsidRPr="0041706D">
        <w:rPr>
          <w:rFonts w:ascii="Arial" w:hAnsi="Arial" w:cs="Arial"/>
          <w:sz w:val="24"/>
          <w:szCs w:val="24"/>
        </w:rPr>
        <w:t>a</w:t>
      </w:r>
      <w:r w:rsidRPr="0041706D">
        <w:rPr>
          <w:rFonts w:ascii="Arial" w:hAnsi="Arial" w:cs="Arial"/>
          <w:sz w:val="24"/>
          <w:szCs w:val="24"/>
        </w:rPr>
        <w:t xml:space="preserve"> </w:t>
      </w:r>
      <w:r w:rsidR="00C9336C" w:rsidRPr="0041706D">
        <w:rPr>
          <w:rFonts w:ascii="Arial" w:hAnsi="Arial" w:cs="Arial"/>
          <w:sz w:val="24"/>
          <w:szCs w:val="24"/>
        </w:rPr>
        <w:t>María Clemencia Bohórquez Gorraiz</w:t>
      </w:r>
      <w:r w:rsidR="00992D1F" w:rsidRPr="0041706D">
        <w:rPr>
          <w:rFonts w:ascii="Arial" w:hAnsi="Arial" w:cs="Arial"/>
          <w:sz w:val="24"/>
          <w:szCs w:val="24"/>
        </w:rPr>
        <w:t xml:space="preserve"> </w:t>
      </w:r>
      <w:r w:rsidR="005F2C44" w:rsidRPr="0041706D">
        <w:rPr>
          <w:rFonts w:ascii="Arial" w:hAnsi="Arial" w:cs="Arial"/>
          <w:sz w:val="24"/>
          <w:szCs w:val="24"/>
        </w:rPr>
        <w:t xml:space="preserve">presentó demanda en contra de </w:t>
      </w:r>
      <w:r w:rsidR="00415C29" w:rsidRPr="0041706D">
        <w:rPr>
          <w:rFonts w:ascii="Arial" w:hAnsi="Arial" w:cs="Arial"/>
          <w:sz w:val="24"/>
          <w:szCs w:val="24"/>
        </w:rPr>
        <w:t>la</w:t>
      </w:r>
      <w:r w:rsidR="3D6252F7" w:rsidRPr="0041706D">
        <w:rPr>
          <w:rFonts w:ascii="Arial" w:hAnsi="Arial" w:cs="Arial"/>
          <w:sz w:val="24"/>
          <w:szCs w:val="24"/>
        </w:rPr>
        <w:t xml:space="preserve"> Unidad Administrativa Especial de </w:t>
      </w:r>
      <w:r w:rsidR="075D3803" w:rsidRPr="0041706D">
        <w:rPr>
          <w:rFonts w:ascii="Arial" w:hAnsi="Arial" w:cs="Arial"/>
          <w:sz w:val="24"/>
          <w:szCs w:val="24"/>
        </w:rPr>
        <w:t>G</w:t>
      </w:r>
      <w:r w:rsidR="3D6252F7" w:rsidRPr="0041706D">
        <w:rPr>
          <w:rFonts w:ascii="Arial" w:hAnsi="Arial" w:cs="Arial"/>
          <w:sz w:val="24"/>
          <w:szCs w:val="24"/>
        </w:rPr>
        <w:t xml:space="preserve">estión </w:t>
      </w:r>
      <w:r w:rsidR="25D19191" w:rsidRPr="0041706D">
        <w:rPr>
          <w:rFonts w:ascii="Arial" w:hAnsi="Arial" w:cs="Arial"/>
          <w:sz w:val="24"/>
          <w:szCs w:val="24"/>
        </w:rPr>
        <w:t>P</w:t>
      </w:r>
      <w:r w:rsidR="3D6252F7" w:rsidRPr="0041706D">
        <w:rPr>
          <w:rFonts w:ascii="Arial" w:hAnsi="Arial" w:cs="Arial"/>
          <w:sz w:val="24"/>
          <w:szCs w:val="24"/>
        </w:rPr>
        <w:t>ensional y Contribuciones Parafiscales -</w:t>
      </w:r>
      <w:r w:rsidR="00415C29" w:rsidRPr="0041706D">
        <w:rPr>
          <w:rFonts w:ascii="Arial" w:hAnsi="Arial" w:cs="Arial"/>
          <w:sz w:val="24"/>
          <w:szCs w:val="24"/>
        </w:rPr>
        <w:t xml:space="preserve"> UGPP,</w:t>
      </w:r>
      <w:r w:rsidR="005F2C44" w:rsidRPr="0041706D">
        <w:rPr>
          <w:rFonts w:ascii="Arial" w:hAnsi="Arial" w:cs="Arial"/>
          <w:sz w:val="24"/>
          <w:szCs w:val="24"/>
        </w:rPr>
        <w:t xml:space="preserve"> con el </w:t>
      </w:r>
      <w:r w:rsidRPr="0041706D">
        <w:rPr>
          <w:rFonts w:ascii="Arial" w:hAnsi="Arial" w:cs="Arial"/>
          <w:sz w:val="24"/>
          <w:szCs w:val="24"/>
        </w:rPr>
        <w:t xml:space="preserve">fin </w:t>
      </w:r>
      <w:r w:rsidR="5296EE91" w:rsidRPr="0041706D">
        <w:rPr>
          <w:rFonts w:ascii="Arial" w:hAnsi="Arial" w:cs="Arial"/>
          <w:sz w:val="24"/>
          <w:szCs w:val="24"/>
        </w:rPr>
        <w:t xml:space="preserve">de </w:t>
      </w:r>
      <w:r w:rsidR="005F2C44" w:rsidRPr="0041706D">
        <w:rPr>
          <w:rFonts w:ascii="Arial" w:hAnsi="Arial" w:cs="Arial"/>
          <w:sz w:val="24"/>
          <w:szCs w:val="24"/>
        </w:rPr>
        <w:t xml:space="preserve">que se </w:t>
      </w:r>
      <w:r w:rsidR="00D9613D" w:rsidRPr="0041706D">
        <w:rPr>
          <w:rFonts w:ascii="Arial" w:hAnsi="Arial" w:cs="Arial"/>
          <w:sz w:val="24"/>
          <w:szCs w:val="24"/>
        </w:rPr>
        <w:t>declar</w:t>
      </w:r>
      <w:r w:rsidR="05FDD104" w:rsidRPr="0041706D">
        <w:rPr>
          <w:rFonts w:ascii="Arial" w:hAnsi="Arial" w:cs="Arial"/>
          <w:sz w:val="24"/>
          <w:szCs w:val="24"/>
        </w:rPr>
        <w:t>a</w:t>
      </w:r>
      <w:r w:rsidR="00830261" w:rsidRPr="0041706D">
        <w:rPr>
          <w:rFonts w:ascii="Arial" w:hAnsi="Arial" w:cs="Arial"/>
          <w:sz w:val="24"/>
          <w:szCs w:val="24"/>
        </w:rPr>
        <w:t>r</w:t>
      </w:r>
      <w:r w:rsidR="002207D4" w:rsidRPr="0041706D">
        <w:rPr>
          <w:rFonts w:ascii="Arial" w:hAnsi="Arial" w:cs="Arial"/>
          <w:sz w:val="24"/>
          <w:szCs w:val="24"/>
        </w:rPr>
        <w:t xml:space="preserve">a la </w:t>
      </w:r>
      <w:r w:rsidR="002207D4" w:rsidRPr="0041706D">
        <w:rPr>
          <w:rFonts w:ascii="Arial" w:hAnsi="Arial" w:cs="Arial"/>
          <w:b/>
          <w:bCs/>
          <w:sz w:val="24"/>
          <w:szCs w:val="24"/>
        </w:rPr>
        <w:t>nulidad parcial</w:t>
      </w:r>
      <w:r w:rsidR="00D9613D" w:rsidRPr="0041706D">
        <w:rPr>
          <w:rFonts w:ascii="Arial" w:hAnsi="Arial" w:cs="Arial"/>
          <w:sz w:val="24"/>
          <w:szCs w:val="24"/>
        </w:rPr>
        <w:t xml:space="preserve"> </w:t>
      </w:r>
      <w:r w:rsidR="002207D4" w:rsidRPr="0041706D">
        <w:rPr>
          <w:rFonts w:ascii="Arial" w:hAnsi="Arial" w:cs="Arial"/>
          <w:sz w:val="24"/>
          <w:szCs w:val="24"/>
        </w:rPr>
        <w:t>de</w:t>
      </w:r>
      <w:r w:rsidR="00D9613D" w:rsidRPr="0041706D">
        <w:rPr>
          <w:rFonts w:ascii="Arial" w:hAnsi="Arial" w:cs="Arial"/>
          <w:sz w:val="24"/>
          <w:szCs w:val="24"/>
        </w:rPr>
        <w:t xml:space="preserve"> la </w:t>
      </w:r>
      <w:r w:rsidR="00C9336C" w:rsidRPr="0041706D">
        <w:rPr>
          <w:rFonts w:ascii="Arial" w:hAnsi="Arial" w:cs="Arial"/>
          <w:sz w:val="24"/>
          <w:szCs w:val="24"/>
        </w:rPr>
        <w:t>Resolución</w:t>
      </w:r>
      <w:r w:rsidR="00D9613D" w:rsidRPr="0041706D">
        <w:rPr>
          <w:rFonts w:ascii="Arial" w:hAnsi="Arial" w:cs="Arial"/>
          <w:sz w:val="24"/>
          <w:szCs w:val="24"/>
        </w:rPr>
        <w:t xml:space="preserve"> </w:t>
      </w:r>
      <w:r w:rsidR="008E043F" w:rsidRPr="0041706D">
        <w:rPr>
          <w:rFonts w:ascii="Arial" w:hAnsi="Arial" w:cs="Arial"/>
          <w:sz w:val="24"/>
          <w:szCs w:val="24"/>
        </w:rPr>
        <w:t>No. RDP 0</w:t>
      </w:r>
      <w:r w:rsidR="00C9336C" w:rsidRPr="0041706D">
        <w:rPr>
          <w:rFonts w:ascii="Arial" w:hAnsi="Arial" w:cs="Arial"/>
          <w:sz w:val="24"/>
          <w:szCs w:val="24"/>
        </w:rPr>
        <w:t>21968</w:t>
      </w:r>
      <w:r w:rsidR="008E043F" w:rsidRPr="0041706D">
        <w:rPr>
          <w:rFonts w:ascii="Arial" w:hAnsi="Arial" w:cs="Arial"/>
          <w:sz w:val="24"/>
          <w:szCs w:val="24"/>
        </w:rPr>
        <w:t xml:space="preserve"> de </w:t>
      </w:r>
      <w:r w:rsidR="00C9336C" w:rsidRPr="0041706D">
        <w:rPr>
          <w:rFonts w:ascii="Arial" w:hAnsi="Arial" w:cs="Arial"/>
          <w:sz w:val="24"/>
          <w:szCs w:val="24"/>
        </w:rPr>
        <w:t>10</w:t>
      </w:r>
      <w:r w:rsidR="008E043F" w:rsidRPr="0041706D">
        <w:rPr>
          <w:rFonts w:ascii="Arial" w:hAnsi="Arial" w:cs="Arial"/>
          <w:sz w:val="24"/>
          <w:szCs w:val="24"/>
        </w:rPr>
        <w:t xml:space="preserve"> de </w:t>
      </w:r>
      <w:r w:rsidR="00C9336C" w:rsidRPr="0041706D">
        <w:rPr>
          <w:rFonts w:ascii="Arial" w:hAnsi="Arial" w:cs="Arial"/>
          <w:sz w:val="24"/>
          <w:szCs w:val="24"/>
        </w:rPr>
        <w:t>junio</w:t>
      </w:r>
      <w:r w:rsidR="008E043F" w:rsidRPr="0041706D">
        <w:rPr>
          <w:rFonts w:ascii="Arial" w:hAnsi="Arial" w:cs="Arial"/>
          <w:sz w:val="24"/>
          <w:szCs w:val="24"/>
        </w:rPr>
        <w:t xml:space="preserve"> </w:t>
      </w:r>
      <w:r w:rsidR="00C9336C" w:rsidRPr="0041706D">
        <w:rPr>
          <w:rFonts w:ascii="Arial" w:hAnsi="Arial" w:cs="Arial"/>
          <w:sz w:val="24"/>
          <w:szCs w:val="24"/>
        </w:rPr>
        <w:t xml:space="preserve">de 2016, </w:t>
      </w:r>
      <w:r w:rsidR="00F83214" w:rsidRPr="0041706D">
        <w:rPr>
          <w:rFonts w:ascii="Arial" w:hAnsi="Arial" w:cs="Arial"/>
          <w:sz w:val="24"/>
          <w:szCs w:val="24"/>
        </w:rPr>
        <w:t>“</w:t>
      </w:r>
      <w:r w:rsidR="00F83214" w:rsidRPr="0041706D">
        <w:rPr>
          <w:rFonts w:ascii="Arial" w:hAnsi="Arial" w:cs="Arial"/>
          <w:i/>
          <w:iCs/>
          <w:sz w:val="24"/>
          <w:szCs w:val="24"/>
        </w:rPr>
        <w:t>Por medio de la cual se resuelve un recurso de reposición y se revoca la Resolución 11918 del 15 de marzo de 2016</w:t>
      </w:r>
      <w:r w:rsidR="00F83214" w:rsidRPr="0041706D">
        <w:rPr>
          <w:rFonts w:ascii="Arial" w:hAnsi="Arial" w:cs="Arial"/>
          <w:sz w:val="24"/>
          <w:szCs w:val="24"/>
        </w:rPr>
        <w:t>”.</w:t>
      </w:r>
    </w:p>
    <w:p w14:paraId="29E6D623" w14:textId="77777777" w:rsidR="00D9613D" w:rsidRPr="0041706D" w:rsidRDefault="00D9613D" w:rsidP="0041706D">
      <w:pPr>
        <w:widowControl w:val="0"/>
        <w:tabs>
          <w:tab w:val="left" w:pos="7655"/>
        </w:tabs>
        <w:jc w:val="both"/>
        <w:rPr>
          <w:rFonts w:ascii="Arial" w:hAnsi="Arial" w:cs="Arial"/>
          <w:iCs/>
          <w:sz w:val="22"/>
          <w:szCs w:val="22"/>
        </w:rPr>
      </w:pPr>
    </w:p>
    <w:p w14:paraId="3E08078F" w14:textId="3F4A500D" w:rsidR="00CB37E0" w:rsidRPr="0041706D" w:rsidRDefault="00D9613D" w:rsidP="0041706D">
      <w:pPr>
        <w:pStyle w:val="Prrafodelista"/>
        <w:widowControl w:val="0"/>
        <w:numPr>
          <w:ilvl w:val="0"/>
          <w:numId w:val="22"/>
        </w:numPr>
        <w:ind w:left="0" w:firstLine="0"/>
        <w:jc w:val="both"/>
        <w:rPr>
          <w:rFonts w:ascii="Arial" w:hAnsi="Arial" w:cs="Arial"/>
          <w:sz w:val="24"/>
          <w:szCs w:val="24"/>
        </w:rPr>
      </w:pPr>
      <w:r w:rsidRPr="0041706D">
        <w:rPr>
          <w:rFonts w:ascii="Arial" w:hAnsi="Arial" w:cs="Arial"/>
          <w:sz w:val="24"/>
          <w:szCs w:val="24"/>
        </w:rPr>
        <w:t>Como consecuencia de l</w:t>
      </w:r>
      <w:r w:rsidR="006C1E3B" w:rsidRPr="0041706D">
        <w:rPr>
          <w:rFonts w:ascii="Arial" w:hAnsi="Arial" w:cs="Arial"/>
          <w:sz w:val="24"/>
          <w:szCs w:val="24"/>
        </w:rPr>
        <w:t>o</w:t>
      </w:r>
      <w:r w:rsidRPr="0041706D">
        <w:rPr>
          <w:rFonts w:ascii="Arial" w:hAnsi="Arial" w:cs="Arial"/>
          <w:sz w:val="24"/>
          <w:szCs w:val="24"/>
        </w:rPr>
        <w:t xml:space="preserve"> anterior</w:t>
      </w:r>
      <w:r w:rsidR="006C1E3B" w:rsidRPr="0041706D">
        <w:rPr>
          <w:rFonts w:ascii="Arial" w:hAnsi="Arial" w:cs="Arial"/>
          <w:sz w:val="24"/>
          <w:szCs w:val="24"/>
        </w:rPr>
        <w:t xml:space="preserve"> y a título de restablecimiento del derecho, solicitó que</w:t>
      </w:r>
      <w:r w:rsidR="002207D4" w:rsidRPr="0041706D">
        <w:rPr>
          <w:rFonts w:ascii="Arial" w:hAnsi="Arial" w:cs="Arial"/>
          <w:sz w:val="24"/>
          <w:szCs w:val="24"/>
        </w:rPr>
        <w:t>: i)</w:t>
      </w:r>
      <w:r w:rsidR="006C1E3B" w:rsidRPr="0041706D">
        <w:rPr>
          <w:rFonts w:ascii="Arial" w:hAnsi="Arial" w:cs="Arial"/>
          <w:sz w:val="24"/>
          <w:szCs w:val="24"/>
        </w:rPr>
        <w:t xml:space="preserve"> </w:t>
      </w:r>
      <w:r w:rsidR="002207D4" w:rsidRPr="0041706D">
        <w:rPr>
          <w:rFonts w:ascii="Arial" w:hAnsi="Arial" w:cs="Arial"/>
          <w:sz w:val="24"/>
          <w:szCs w:val="24"/>
        </w:rPr>
        <w:t>se recono</w:t>
      </w:r>
      <w:r w:rsidR="00AF753A" w:rsidRPr="0041706D">
        <w:rPr>
          <w:rFonts w:ascii="Arial" w:hAnsi="Arial" w:cs="Arial"/>
          <w:sz w:val="24"/>
          <w:szCs w:val="24"/>
        </w:rPr>
        <w:t>ciera</w:t>
      </w:r>
      <w:r w:rsidR="002207D4" w:rsidRPr="0041706D">
        <w:rPr>
          <w:rFonts w:ascii="Arial" w:hAnsi="Arial" w:cs="Arial"/>
          <w:sz w:val="24"/>
          <w:szCs w:val="24"/>
        </w:rPr>
        <w:t xml:space="preserve"> la pensión de vejez, de conformidad con el régimen </w:t>
      </w:r>
      <w:r w:rsidR="00AF753A" w:rsidRPr="0041706D">
        <w:rPr>
          <w:rFonts w:ascii="Arial" w:hAnsi="Arial" w:cs="Arial"/>
          <w:sz w:val="24"/>
          <w:szCs w:val="24"/>
        </w:rPr>
        <w:t xml:space="preserve">que estableció </w:t>
      </w:r>
      <w:r w:rsidR="002207D4" w:rsidRPr="0041706D">
        <w:rPr>
          <w:rFonts w:ascii="Arial" w:hAnsi="Arial" w:cs="Arial"/>
          <w:sz w:val="24"/>
          <w:szCs w:val="24"/>
        </w:rPr>
        <w:t xml:space="preserve">el </w:t>
      </w:r>
      <w:r w:rsidR="002207D4" w:rsidRPr="0041706D">
        <w:rPr>
          <w:rFonts w:ascii="Arial" w:hAnsi="Arial" w:cs="Arial"/>
          <w:b/>
          <w:bCs/>
          <w:sz w:val="24"/>
          <w:szCs w:val="24"/>
        </w:rPr>
        <w:t>artículo 6° del Decreto 546 de 1971</w:t>
      </w:r>
      <w:r w:rsidR="002207D4" w:rsidRPr="0041706D">
        <w:rPr>
          <w:rFonts w:ascii="Arial" w:hAnsi="Arial" w:cs="Arial"/>
          <w:sz w:val="24"/>
          <w:szCs w:val="24"/>
        </w:rPr>
        <w:t xml:space="preserve">, </w:t>
      </w:r>
      <w:r w:rsidR="00AF753A" w:rsidRPr="0041706D">
        <w:rPr>
          <w:rFonts w:ascii="Arial" w:hAnsi="Arial" w:cs="Arial"/>
          <w:sz w:val="24"/>
          <w:szCs w:val="24"/>
        </w:rPr>
        <w:t xml:space="preserve">teniendo en cuenta como ingreso base de cotización los factores salariales del artículo </w:t>
      </w:r>
      <w:r w:rsidR="00AF753A" w:rsidRPr="0041706D">
        <w:rPr>
          <w:rFonts w:ascii="Arial" w:hAnsi="Arial" w:cs="Arial"/>
          <w:b/>
          <w:bCs/>
          <w:sz w:val="24"/>
          <w:szCs w:val="24"/>
        </w:rPr>
        <w:t>12 del Decreto 717 de 1978</w:t>
      </w:r>
      <w:r w:rsidR="00AF753A" w:rsidRPr="0041706D">
        <w:rPr>
          <w:rFonts w:ascii="Arial" w:hAnsi="Arial" w:cs="Arial"/>
          <w:sz w:val="24"/>
          <w:szCs w:val="24"/>
        </w:rPr>
        <w:t xml:space="preserve">, en concordancia con el artículo 45 del Decreto 1045 de 1978; y </w:t>
      </w:r>
      <w:proofErr w:type="spellStart"/>
      <w:r w:rsidR="00AF753A" w:rsidRPr="0041706D">
        <w:rPr>
          <w:rFonts w:ascii="Arial" w:hAnsi="Arial" w:cs="Arial"/>
          <w:sz w:val="24"/>
          <w:szCs w:val="24"/>
        </w:rPr>
        <w:t>ii</w:t>
      </w:r>
      <w:proofErr w:type="spellEnd"/>
      <w:r w:rsidR="00AF753A" w:rsidRPr="0041706D">
        <w:rPr>
          <w:rFonts w:ascii="Arial" w:hAnsi="Arial" w:cs="Arial"/>
          <w:sz w:val="24"/>
          <w:szCs w:val="24"/>
        </w:rPr>
        <w:t>) se tuviera como base de liquidación el 90% de lo “</w:t>
      </w:r>
      <w:r w:rsidR="00AF753A" w:rsidRPr="0041706D">
        <w:rPr>
          <w:rFonts w:ascii="Arial" w:hAnsi="Arial" w:cs="Arial"/>
          <w:i/>
          <w:iCs/>
          <w:sz w:val="24"/>
          <w:szCs w:val="24"/>
        </w:rPr>
        <w:t>devengado</w:t>
      </w:r>
      <w:r w:rsidR="00AF753A" w:rsidRPr="0041706D">
        <w:rPr>
          <w:rFonts w:ascii="Arial" w:hAnsi="Arial" w:cs="Arial"/>
          <w:sz w:val="24"/>
          <w:szCs w:val="24"/>
        </w:rPr>
        <w:t xml:space="preserve">” en el último año de servicios. </w:t>
      </w:r>
    </w:p>
    <w:p w14:paraId="4F7E5BEB" w14:textId="3D99309F" w:rsidR="00AF753A" w:rsidRPr="0041706D" w:rsidRDefault="00AF753A" w:rsidP="0041706D">
      <w:pPr>
        <w:widowControl w:val="0"/>
        <w:tabs>
          <w:tab w:val="left" w:pos="7655"/>
        </w:tabs>
        <w:jc w:val="both"/>
        <w:rPr>
          <w:rFonts w:ascii="Arial" w:hAnsi="Arial" w:cs="Arial"/>
          <w:sz w:val="24"/>
          <w:szCs w:val="24"/>
        </w:rPr>
      </w:pPr>
    </w:p>
    <w:p w14:paraId="361B51CD" w14:textId="77777777" w:rsidR="00AF753A" w:rsidRPr="0041706D" w:rsidRDefault="00AF753A" w:rsidP="0041706D">
      <w:pPr>
        <w:pStyle w:val="Prrafodelista"/>
        <w:widowControl w:val="0"/>
        <w:numPr>
          <w:ilvl w:val="0"/>
          <w:numId w:val="22"/>
        </w:numPr>
        <w:ind w:left="0" w:firstLine="0"/>
        <w:jc w:val="both"/>
        <w:rPr>
          <w:rFonts w:ascii="Arial" w:hAnsi="Arial" w:cs="Arial"/>
          <w:sz w:val="24"/>
          <w:szCs w:val="24"/>
        </w:rPr>
      </w:pPr>
      <w:r w:rsidRPr="0041706D">
        <w:rPr>
          <w:rFonts w:ascii="Arial" w:hAnsi="Arial" w:cs="Arial"/>
          <w:sz w:val="24"/>
          <w:szCs w:val="24"/>
        </w:rPr>
        <w:t>Asimismo, pretendió la actualización de la condena, el reconocimiento y pago de la diferencia de las mesadas pensionales, los intereses moratorios y la condena en costas.</w:t>
      </w:r>
    </w:p>
    <w:p w14:paraId="511DFA37" w14:textId="77777777" w:rsidR="00AF753A" w:rsidRPr="0041706D" w:rsidRDefault="00AF753A" w:rsidP="0041706D">
      <w:pPr>
        <w:pStyle w:val="Prrafodelista"/>
        <w:ind w:left="0"/>
        <w:rPr>
          <w:rFonts w:ascii="Arial" w:hAnsi="Arial" w:cs="Arial"/>
          <w:sz w:val="24"/>
          <w:szCs w:val="24"/>
        </w:rPr>
      </w:pPr>
    </w:p>
    <w:p w14:paraId="10FE8DC1" w14:textId="191C8766" w:rsidR="005F2C44" w:rsidRPr="0041706D" w:rsidRDefault="006768AE" w:rsidP="0041706D">
      <w:pPr>
        <w:widowControl w:val="0"/>
        <w:tabs>
          <w:tab w:val="left" w:pos="7655"/>
        </w:tabs>
        <w:jc w:val="both"/>
        <w:rPr>
          <w:rFonts w:ascii="Arial" w:hAnsi="Arial" w:cs="Arial"/>
          <w:b/>
          <w:bCs/>
          <w:sz w:val="24"/>
          <w:szCs w:val="24"/>
        </w:rPr>
      </w:pPr>
      <w:r w:rsidRPr="0041706D">
        <w:rPr>
          <w:rFonts w:ascii="Arial" w:hAnsi="Arial" w:cs="Arial"/>
          <w:b/>
          <w:bCs/>
          <w:sz w:val="24"/>
          <w:szCs w:val="24"/>
        </w:rPr>
        <w:t xml:space="preserve">1.2 </w:t>
      </w:r>
      <w:r w:rsidR="7DA9B55B" w:rsidRPr="0041706D">
        <w:rPr>
          <w:rFonts w:ascii="Arial" w:hAnsi="Arial" w:cs="Arial"/>
          <w:b/>
          <w:bCs/>
          <w:sz w:val="24"/>
          <w:szCs w:val="24"/>
        </w:rPr>
        <w:t>Los hechos</w:t>
      </w:r>
    </w:p>
    <w:p w14:paraId="1090E554" w14:textId="77777777" w:rsidR="005F2C44" w:rsidRPr="0041706D" w:rsidRDefault="005F2C44" w:rsidP="0041706D">
      <w:pPr>
        <w:widowControl w:val="0"/>
        <w:tabs>
          <w:tab w:val="left" w:pos="7655"/>
        </w:tabs>
        <w:jc w:val="both"/>
        <w:rPr>
          <w:rFonts w:ascii="Arial" w:hAnsi="Arial" w:cs="Arial"/>
          <w:b/>
          <w:iCs/>
          <w:sz w:val="24"/>
          <w:szCs w:val="24"/>
        </w:rPr>
      </w:pPr>
    </w:p>
    <w:p w14:paraId="7551D6C3" w14:textId="77777777" w:rsidR="00AF753A" w:rsidRPr="0041706D" w:rsidRDefault="00AF753A" w:rsidP="0041706D">
      <w:pPr>
        <w:pStyle w:val="Prrafodelista"/>
        <w:widowControl w:val="0"/>
        <w:numPr>
          <w:ilvl w:val="0"/>
          <w:numId w:val="22"/>
        </w:numPr>
        <w:ind w:left="0" w:firstLine="0"/>
        <w:jc w:val="both"/>
        <w:rPr>
          <w:rStyle w:val="normaltextrun"/>
          <w:rFonts w:ascii="Arial" w:hAnsi="Arial" w:cs="Arial"/>
          <w:b/>
          <w:bCs/>
          <w:sz w:val="24"/>
          <w:szCs w:val="24"/>
        </w:rPr>
      </w:pPr>
      <w:bookmarkStart w:id="5" w:name="_Hlk81324480"/>
      <w:r w:rsidRPr="0041706D">
        <w:rPr>
          <w:rStyle w:val="normaltextrun"/>
          <w:rFonts w:ascii="Arial" w:hAnsi="Arial" w:cs="Arial"/>
          <w:color w:val="000000"/>
          <w:sz w:val="24"/>
          <w:szCs w:val="24"/>
          <w:shd w:val="clear" w:color="auto" w:fill="FFFFFF"/>
        </w:rPr>
        <w:t>La demanda se edificó, en síntesis, en las siguientes afirmaciones:</w:t>
      </w:r>
    </w:p>
    <w:p w14:paraId="55388BA3" w14:textId="09835A4A" w:rsidR="00AF753A" w:rsidRPr="0041706D" w:rsidRDefault="00AF753A" w:rsidP="0041706D">
      <w:pPr>
        <w:widowControl w:val="0"/>
        <w:tabs>
          <w:tab w:val="left" w:pos="7655"/>
        </w:tabs>
        <w:jc w:val="both"/>
        <w:rPr>
          <w:rFonts w:ascii="Arial" w:hAnsi="Arial" w:cs="Arial"/>
          <w:sz w:val="24"/>
          <w:szCs w:val="24"/>
        </w:rPr>
      </w:pPr>
    </w:p>
    <w:p w14:paraId="3B34BEF9" w14:textId="16D5797A" w:rsidR="00A05C2B" w:rsidRPr="0041706D" w:rsidRDefault="00A476E5" w:rsidP="0041706D">
      <w:pPr>
        <w:pStyle w:val="Prrafodelista"/>
        <w:widowControl w:val="0"/>
        <w:numPr>
          <w:ilvl w:val="1"/>
          <w:numId w:val="22"/>
        </w:numPr>
        <w:tabs>
          <w:tab w:val="left" w:pos="567"/>
        </w:tabs>
        <w:ind w:left="0" w:firstLine="0"/>
        <w:jc w:val="both"/>
        <w:rPr>
          <w:rFonts w:ascii="Arial" w:hAnsi="Arial" w:cs="Arial"/>
          <w:sz w:val="24"/>
          <w:szCs w:val="24"/>
        </w:rPr>
      </w:pPr>
      <w:r w:rsidRPr="0041706D">
        <w:rPr>
          <w:rFonts w:ascii="Arial" w:hAnsi="Arial" w:cs="Arial"/>
          <w:sz w:val="24"/>
          <w:szCs w:val="24"/>
        </w:rPr>
        <w:t xml:space="preserve">La </w:t>
      </w:r>
      <w:r w:rsidR="00AF753A" w:rsidRPr="0041706D">
        <w:rPr>
          <w:rFonts w:ascii="Arial" w:hAnsi="Arial" w:cs="Arial"/>
          <w:sz w:val="24"/>
          <w:szCs w:val="24"/>
        </w:rPr>
        <w:t xml:space="preserve">demandante </w:t>
      </w:r>
      <w:r w:rsidR="006768AE" w:rsidRPr="0041706D">
        <w:rPr>
          <w:rFonts w:ascii="Arial" w:hAnsi="Arial" w:cs="Arial"/>
          <w:sz w:val="24"/>
          <w:szCs w:val="24"/>
        </w:rPr>
        <w:t xml:space="preserve">nació el 14 de febrero de 1954 </w:t>
      </w:r>
      <w:r w:rsidR="00A05C2B" w:rsidRPr="0041706D">
        <w:rPr>
          <w:rFonts w:ascii="Arial" w:hAnsi="Arial" w:cs="Arial"/>
          <w:sz w:val="24"/>
          <w:szCs w:val="24"/>
        </w:rPr>
        <w:t xml:space="preserve">y </w:t>
      </w:r>
      <w:r w:rsidR="00AF753A" w:rsidRPr="0041706D">
        <w:rPr>
          <w:rFonts w:ascii="Arial" w:hAnsi="Arial" w:cs="Arial"/>
          <w:sz w:val="24"/>
          <w:szCs w:val="24"/>
        </w:rPr>
        <w:t xml:space="preserve">laboró </w:t>
      </w:r>
      <w:r w:rsidR="00A05C2B" w:rsidRPr="0041706D">
        <w:rPr>
          <w:rFonts w:ascii="Arial" w:hAnsi="Arial" w:cs="Arial"/>
          <w:sz w:val="24"/>
          <w:szCs w:val="24"/>
        </w:rPr>
        <w:t xml:space="preserve">en la </w:t>
      </w:r>
      <w:r w:rsidR="00A05C2B" w:rsidRPr="0041706D">
        <w:rPr>
          <w:rFonts w:ascii="Arial" w:hAnsi="Arial" w:cs="Arial"/>
          <w:b/>
          <w:bCs/>
          <w:sz w:val="24"/>
          <w:szCs w:val="24"/>
        </w:rPr>
        <w:t>Procuraduría General de la Nación</w:t>
      </w:r>
      <w:r w:rsidR="00A05C2B" w:rsidRPr="0041706D">
        <w:rPr>
          <w:rFonts w:ascii="Arial" w:hAnsi="Arial" w:cs="Arial"/>
          <w:sz w:val="24"/>
          <w:szCs w:val="24"/>
        </w:rPr>
        <w:t xml:space="preserve"> desde el </w:t>
      </w:r>
      <w:r w:rsidR="00A05C2B" w:rsidRPr="0041706D">
        <w:rPr>
          <w:rFonts w:ascii="Arial" w:hAnsi="Arial" w:cs="Arial"/>
          <w:b/>
          <w:bCs/>
          <w:sz w:val="24"/>
          <w:szCs w:val="24"/>
        </w:rPr>
        <w:t>1° de septiembre de 1979</w:t>
      </w:r>
      <w:r w:rsidR="00A05C2B" w:rsidRPr="0041706D">
        <w:rPr>
          <w:rFonts w:ascii="Arial" w:hAnsi="Arial" w:cs="Arial"/>
          <w:sz w:val="24"/>
          <w:szCs w:val="24"/>
        </w:rPr>
        <w:t xml:space="preserve"> hasta el 30 de junio de 1992 y </w:t>
      </w:r>
      <w:r w:rsidR="00AF753A" w:rsidRPr="0041706D">
        <w:rPr>
          <w:rFonts w:ascii="Arial" w:hAnsi="Arial" w:cs="Arial"/>
          <w:sz w:val="24"/>
          <w:szCs w:val="24"/>
        </w:rPr>
        <w:t xml:space="preserve">en la </w:t>
      </w:r>
      <w:r w:rsidR="00AF753A" w:rsidRPr="0041706D">
        <w:rPr>
          <w:rFonts w:ascii="Arial" w:hAnsi="Arial" w:cs="Arial"/>
          <w:b/>
          <w:bCs/>
          <w:sz w:val="24"/>
          <w:szCs w:val="24"/>
        </w:rPr>
        <w:t>Fiscalía General de la Nación</w:t>
      </w:r>
      <w:r w:rsidR="00AF753A" w:rsidRPr="0041706D">
        <w:rPr>
          <w:rFonts w:ascii="Arial" w:hAnsi="Arial" w:cs="Arial"/>
          <w:sz w:val="24"/>
          <w:szCs w:val="24"/>
        </w:rPr>
        <w:t xml:space="preserve"> </w:t>
      </w:r>
      <w:r w:rsidR="00A05C2B" w:rsidRPr="0041706D">
        <w:rPr>
          <w:rFonts w:ascii="Arial" w:hAnsi="Arial" w:cs="Arial"/>
          <w:sz w:val="24"/>
          <w:szCs w:val="24"/>
        </w:rPr>
        <w:t>desde el 1° de julio de 1992 hasta el 31 de diciembre de 2014</w:t>
      </w:r>
      <w:r w:rsidR="00F9105E" w:rsidRPr="0041706D">
        <w:rPr>
          <w:rFonts w:ascii="Arial" w:hAnsi="Arial" w:cs="Arial"/>
          <w:sz w:val="24"/>
          <w:szCs w:val="24"/>
        </w:rPr>
        <w:t>.</w:t>
      </w:r>
    </w:p>
    <w:p w14:paraId="6FC61446" w14:textId="77777777" w:rsidR="00AF753A" w:rsidRPr="0041706D" w:rsidRDefault="00AF753A" w:rsidP="0041706D">
      <w:pPr>
        <w:pStyle w:val="Prrafodelista"/>
        <w:widowControl w:val="0"/>
        <w:tabs>
          <w:tab w:val="left" w:pos="567"/>
        </w:tabs>
        <w:ind w:left="0"/>
        <w:jc w:val="both"/>
        <w:rPr>
          <w:rFonts w:ascii="Arial" w:hAnsi="Arial" w:cs="Arial"/>
          <w:sz w:val="24"/>
          <w:szCs w:val="24"/>
        </w:rPr>
      </w:pPr>
    </w:p>
    <w:p w14:paraId="20B9D708" w14:textId="76A70765" w:rsidR="00AF753A" w:rsidRPr="0041706D" w:rsidRDefault="00A476E5" w:rsidP="0041706D">
      <w:pPr>
        <w:pStyle w:val="Prrafodelista"/>
        <w:widowControl w:val="0"/>
        <w:numPr>
          <w:ilvl w:val="1"/>
          <w:numId w:val="22"/>
        </w:numPr>
        <w:tabs>
          <w:tab w:val="left" w:pos="567"/>
        </w:tabs>
        <w:ind w:left="0" w:firstLine="0"/>
        <w:jc w:val="both"/>
        <w:rPr>
          <w:rFonts w:ascii="Arial" w:hAnsi="Arial" w:cs="Arial"/>
          <w:b/>
          <w:bCs/>
          <w:sz w:val="24"/>
          <w:szCs w:val="24"/>
        </w:rPr>
      </w:pPr>
      <w:r w:rsidRPr="0041706D">
        <w:rPr>
          <w:rFonts w:ascii="Arial" w:hAnsi="Arial" w:cs="Arial"/>
          <w:sz w:val="24"/>
          <w:szCs w:val="24"/>
        </w:rPr>
        <w:t>L</w:t>
      </w:r>
      <w:r w:rsidR="00AF753A" w:rsidRPr="0041706D">
        <w:rPr>
          <w:rFonts w:ascii="Arial" w:hAnsi="Arial" w:cs="Arial"/>
          <w:sz w:val="24"/>
          <w:szCs w:val="24"/>
        </w:rPr>
        <w:t xml:space="preserve">a </w:t>
      </w:r>
      <w:r w:rsidRPr="0041706D">
        <w:rPr>
          <w:rFonts w:ascii="Arial" w:hAnsi="Arial" w:cs="Arial"/>
          <w:sz w:val="24"/>
          <w:szCs w:val="24"/>
        </w:rPr>
        <w:t>Unidad Administrativa Especial de Gestión Pensional y Contribuciones Parafiscales de la Protección Social</w:t>
      </w:r>
      <w:r w:rsidR="00F9105E" w:rsidRPr="0041706D">
        <w:rPr>
          <w:rFonts w:ascii="Arial" w:hAnsi="Arial" w:cs="Arial"/>
          <w:sz w:val="24"/>
          <w:szCs w:val="24"/>
        </w:rPr>
        <w:t xml:space="preserve"> - UGPP</w:t>
      </w:r>
      <w:r w:rsidRPr="0041706D">
        <w:rPr>
          <w:rFonts w:ascii="Arial" w:hAnsi="Arial" w:cs="Arial"/>
          <w:sz w:val="24"/>
          <w:szCs w:val="24"/>
        </w:rPr>
        <w:t xml:space="preserve">, mediante el acto administrativo acusado, </w:t>
      </w:r>
      <w:r w:rsidR="00AF753A" w:rsidRPr="0041706D">
        <w:rPr>
          <w:rFonts w:ascii="Arial" w:hAnsi="Arial" w:cs="Arial"/>
          <w:sz w:val="24"/>
          <w:szCs w:val="24"/>
        </w:rPr>
        <w:t xml:space="preserve">reconoció la pensión de vejez </w:t>
      </w:r>
      <w:r w:rsidRPr="0041706D">
        <w:rPr>
          <w:rFonts w:ascii="Arial" w:hAnsi="Arial" w:cs="Arial"/>
          <w:sz w:val="24"/>
          <w:szCs w:val="24"/>
        </w:rPr>
        <w:t xml:space="preserve">a la demandante teniendo en cuenta el ingreso base de liquidación de los últimos diez (10) años de servicios, únicamente respecto de la </w:t>
      </w:r>
      <w:r w:rsidRPr="0041706D">
        <w:rPr>
          <w:rFonts w:ascii="Arial" w:hAnsi="Arial" w:cs="Arial"/>
          <w:b/>
          <w:bCs/>
          <w:i/>
          <w:iCs/>
          <w:sz w:val="24"/>
          <w:szCs w:val="24"/>
        </w:rPr>
        <w:t>“asignación básica”.</w:t>
      </w:r>
      <w:r w:rsidRPr="0041706D">
        <w:rPr>
          <w:rFonts w:ascii="Arial" w:hAnsi="Arial" w:cs="Arial"/>
          <w:b/>
          <w:bCs/>
          <w:sz w:val="24"/>
          <w:szCs w:val="24"/>
        </w:rPr>
        <w:t xml:space="preserve"> </w:t>
      </w:r>
    </w:p>
    <w:bookmarkEnd w:id="5"/>
    <w:p w14:paraId="021F973C" w14:textId="0758F9FD" w:rsidR="00E331BE" w:rsidRPr="0041706D" w:rsidRDefault="00E331BE" w:rsidP="0041706D">
      <w:pPr>
        <w:widowControl w:val="0"/>
        <w:tabs>
          <w:tab w:val="left" w:pos="7655"/>
        </w:tabs>
        <w:jc w:val="both"/>
        <w:rPr>
          <w:rFonts w:ascii="Arial" w:hAnsi="Arial" w:cs="Arial"/>
          <w:b/>
          <w:bCs/>
          <w:sz w:val="24"/>
          <w:szCs w:val="24"/>
        </w:rPr>
      </w:pPr>
    </w:p>
    <w:p w14:paraId="46F32D33" w14:textId="77777777" w:rsidR="00A476E5" w:rsidRPr="0041706D" w:rsidRDefault="00A476E5" w:rsidP="0041706D">
      <w:pPr>
        <w:widowControl w:val="0"/>
        <w:tabs>
          <w:tab w:val="left" w:pos="7655"/>
        </w:tabs>
        <w:jc w:val="both"/>
        <w:rPr>
          <w:rFonts w:ascii="Arial" w:hAnsi="Arial" w:cs="Arial"/>
          <w:b/>
          <w:bCs/>
          <w:sz w:val="24"/>
          <w:szCs w:val="24"/>
        </w:rPr>
      </w:pPr>
      <w:r w:rsidRPr="0041706D">
        <w:rPr>
          <w:rFonts w:ascii="Arial" w:hAnsi="Arial" w:cs="Arial"/>
          <w:b/>
          <w:bCs/>
          <w:sz w:val="24"/>
          <w:szCs w:val="24"/>
        </w:rPr>
        <w:t xml:space="preserve">1.3. Las normas violadas </w:t>
      </w:r>
    </w:p>
    <w:p w14:paraId="7A19D3FE" w14:textId="77777777" w:rsidR="00A476E5" w:rsidRPr="0041706D" w:rsidRDefault="00A476E5" w:rsidP="0041706D">
      <w:pPr>
        <w:widowControl w:val="0"/>
        <w:tabs>
          <w:tab w:val="left" w:pos="7655"/>
        </w:tabs>
        <w:jc w:val="both"/>
        <w:rPr>
          <w:rFonts w:ascii="Arial" w:hAnsi="Arial" w:cs="Arial"/>
          <w:b/>
          <w:color w:val="000000"/>
          <w:sz w:val="24"/>
          <w:szCs w:val="24"/>
        </w:rPr>
      </w:pPr>
    </w:p>
    <w:p w14:paraId="4BE6A8A4" w14:textId="77777777" w:rsidR="00A476E5" w:rsidRPr="0041706D" w:rsidRDefault="00A476E5" w:rsidP="0041706D">
      <w:pPr>
        <w:pStyle w:val="Prrafodelista"/>
        <w:widowControl w:val="0"/>
        <w:numPr>
          <w:ilvl w:val="0"/>
          <w:numId w:val="21"/>
        </w:numPr>
        <w:ind w:left="0" w:firstLine="0"/>
        <w:jc w:val="both"/>
        <w:rPr>
          <w:rFonts w:ascii="Arial" w:hAnsi="Arial" w:cs="Arial"/>
          <w:color w:val="000000"/>
          <w:sz w:val="24"/>
          <w:szCs w:val="24"/>
        </w:rPr>
      </w:pPr>
      <w:r w:rsidRPr="0041706D">
        <w:rPr>
          <w:rFonts w:ascii="Arial" w:hAnsi="Arial" w:cs="Arial"/>
          <w:color w:val="000000"/>
          <w:sz w:val="24"/>
          <w:szCs w:val="24"/>
        </w:rPr>
        <w:t xml:space="preserve">Invocó como normas violadas las previstas en las siguientes disposiciones: </w:t>
      </w:r>
    </w:p>
    <w:p w14:paraId="6AE06EAC" w14:textId="77777777" w:rsidR="00A476E5" w:rsidRPr="0041706D" w:rsidRDefault="00A476E5" w:rsidP="0041706D">
      <w:pPr>
        <w:widowControl w:val="0"/>
        <w:tabs>
          <w:tab w:val="left" w:pos="7655"/>
        </w:tabs>
        <w:jc w:val="both"/>
        <w:rPr>
          <w:rFonts w:ascii="Arial" w:hAnsi="Arial" w:cs="Arial"/>
          <w:color w:val="000000"/>
          <w:sz w:val="24"/>
          <w:szCs w:val="24"/>
        </w:rPr>
      </w:pPr>
    </w:p>
    <w:p w14:paraId="3F02A72F" w14:textId="00BF50FC" w:rsidR="00A476E5" w:rsidRPr="0041706D" w:rsidRDefault="00A476E5" w:rsidP="0041706D">
      <w:pPr>
        <w:pStyle w:val="Prrafodelista"/>
        <w:widowControl w:val="0"/>
        <w:numPr>
          <w:ilvl w:val="0"/>
          <w:numId w:val="23"/>
        </w:numPr>
        <w:tabs>
          <w:tab w:val="left" w:pos="7655"/>
        </w:tabs>
        <w:ind w:left="0" w:firstLine="0"/>
        <w:jc w:val="both"/>
        <w:rPr>
          <w:rFonts w:ascii="Arial" w:hAnsi="Arial" w:cs="Arial"/>
          <w:color w:val="000000"/>
          <w:sz w:val="24"/>
          <w:szCs w:val="24"/>
        </w:rPr>
      </w:pPr>
      <w:r w:rsidRPr="0041706D">
        <w:rPr>
          <w:rFonts w:ascii="Arial" w:hAnsi="Arial" w:cs="Arial"/>
          <w:color w:val="000000"/>
          <w:sz w:val="24"/>
          <w:szCs w:val="24"/>
        </w:rPr>
        <w:t>Artículos 13 y 53 de la Constitución Política</w:t>
      </w:r>
    </w:p>
    <w:p w14:paraId="469286A6" w14:textId="7B23B1DE" w:rsidR="00A476E5" w:rsidRPr="0041706D" w:rsidRDefault="00A476E5" w:rsidP="0041706D">
      <w:pPr>
        <w:pStyle w:val="Prrafodelista"/>
        <w:widowControl w:val="0"/>
        <w:numPr>
          <w:ilvl w:val="0"/>
          <w:numId w:val="23"/>
        </w:numPr>
        <w:tabs>
          <w:tab w:val="left" w:pos="7655"/>
        </w:tabs>
        <w:ind w:left="0" w:firstLine="0"/>
        <w:jc w:val="both"/>
        <w:rPr>
          <w:rFonts w:ascii="Arial" w:hAnsi="Arial" w:cs="Arial"/>
          <w:color w:val="000000"/>
          <w:sz w:val="24"/>
          <w:szCs w:val="24"/>
        </w:rPr>
      </w:pPr>
      <w:r w:rsidRPr="0041706D">
        <w:rPr>
          <w:rFonts w:ascii="Arial" w:hAnsi="Arial" w:cs="Arial"/>
          <w:color w:val="000000"/>
          <w:sz w:val="24"/>
          <w:szCs w:val="24"/>
        </w:rPr>
        <w:t>Decreto 576 de 1971</w:t>
      </w:r>
    </w:p>
    <w:p w14:paraId="236B95D3" w14:textId="0CAE3AE1" w:rsidR="00A476E5" w:rsidRPr="0041706D" w:rsidRDefault="00A476E5" w:rsidP="0041706D">
      <w:pPr>
        <w:pStyle w:val="Prrafodelista"/>
        <w:widowControl w:val="0"/>
        <w:numPr>
          <w:ilvl w:val="0"/>
          <w:numId w:val="23"/>
        </w:numPr>
        <w:tabs>
          <w:tab w:val="left" w:pos="7655"/>
        </w:tabs>
        <w:ind w:left="0" w:firstLine="0"/>
        <w:jc w:val="both"/>
        <w:rPr>
          <w:rFonts w:ascii="Arial" w:hAnsi="Arial" w:cs="Arial"/>
          <w:color w:val="000000"/>
          <w:sz w:val="24"/>
          <w:szCs w:val="24"/>
        </w:rPr>
      </w:pPr>
      <w:r w:rsidRPr="0041706D">
        <w:rPr>
          <w:rFonts w:ascii="Arial" w:hAnsi="Arial" w:cs="Arial"/>
          <w:color w:val="000000"/>
          <w:sz w:val="24"/>
          <w:szCs w:val="24"/>
        </w:rPr>
        <w:t>Decreto 717 de 1978</w:t>
      </w:r>
    </w:p>
    <w:p w14:paraId="13158157" w14:textId="3E058088" w:rsidR="00A476E5" w:rsidRPr="0041706D" w:rsidRDefault="00A476E5" w:rsidP="0041706D">
      <w:pPr>
        <w:pStyle w:val="Prrafodelista"/>
        <w:widowControl w:val="0"/>
        <w:numPr>
          <w:ilvl w:val="0"/>
          <w:numId w:val="23"/>
        </w:numPr>
        <w:tabs>
          <w:tab w:val="left" w:pos="7655"/>
        </w:tabs>
        <w:ind w:left="0" w:firstLine="0"/>
        <w:jc w:val="both"/>
        <w:rPr>
          <w:rFonts w:ascii="Arial" w:hAnsi="Arial" w:cs="Arial"/>
          <w:color w:val="000000"/>
          <w:sz w:val="24"/>
          <w:szCs w:val="24"/>
        </w:rPr>
      </w:pPr>
      <w:r w:rsidRPr="0041706D">
        <w:rPr>
          <w:rFonts w:ascii="Arial" w:hAnsi="Arial" w:cs="Arial"/>
          <w:color w:val="000000"/>
          <w:sz w:val="24"/>
          <w:szCs w:val="24"/>
        </w:rPr>
        <w:t>Decreto 1045 de 1978</w:t>
      </w:r>
    </w:p>
    <w:p w14:paraId="3ED11B10" w14:textId="77777777" w:rsidR="00A476E5" w:rsidRPr="0041706D" w:rsidRDefault="00A476E5" w:rsidP="0041706D">
      <w:pPr>
        <w:pStyle w:val="Prrafodelista"/>
        <w:widowControl w:val="0"/>
        <w:ind w:left="0"/>
        <w:jc w:val="both"/>
        <w:rPr>
          <w:rFonts w:ascii="Arial" w:eastAsiaTheme="minorEastAsia" w:hAnsi="Arial" w:cs="Arial"/>
          <w:b/>
          <w:bCs/>
          <w:color w:val="000000"/>
          <w:sz w:val="24"/>
          <w:szCs w:val="24"/>
        </w:rPr>
      </w:pPr>
    </w:p>
    <w:p w14:paraId="77080EE0" w14:textId="77777777" w:rsidR="00A476E5" w:rsidRPr="0041706D" w:rsidRDefault="00A476E5" w:rsidP="0041706D">
      <w:pPr>
        <w:widowControl w:val="0"/>
        <w:jc w:val="both"/>
        <w:rPr>
          <w:rFonts w:ascii="Arial" w:eastAsiaTheme="minorEastAsia" w:hAnsi="Arial" w:cs="Arial"/>
          <w:b/>
          <w:bCs/>
          <w:color w:val="000000"/>
          <w:sz w:val="24"/>
          <w:szCs w:val="24"/>
        </w:rPr>
      </w:pPr>
      <w:r w:rsidRPr="0041706D">
        <w:rPr>
          <w:rFonts w:ascii="Arial" w:eastAsiaTheme="minorEastAsia" w:hAnsi="Arial" w:cs="Arial"/>
          <w:b/>
          <w:bCs/>
          <w:color w:val="000000"/>
          <w:sz w:val="24"/>
          <w:szCs w:val="24"/>
        </w:rPr>
        <w:t xml:space="preserve">1.4.  El concepto de violación </w:t>
      </w:r>
    </w:p>
    <w:p w14:paraId="0B2F8DF5" w14:textId="77777777" w:rsidR="00A476E5" w:rsidRPr="0041706D" w:rsidRDefault="00A476E5" w:rsidP="0041706D">
      <w:pPr>
        <w:pStyle w:val="Prrafodelista"/>
        <w:widowControl w:val="0"/>
        <w:ind w:left="0"/>
        <w:jc w:val="both"/>
        <w:rPr>
          <w:rFonts w:ascii="Arial" w:eastAsiaTheme="minorEastAsia" w:hAnsi="Arial" w:cs="Arial"/>
          <w:b/>
          <w:bCs/>
          <w:color w:val="000000"/>
          <w:sz w:val="24"/>
          <w:szCs w:val="24"/>
        </w:rPr>
      </w:pPr>
    </w:p>
    <w:p w14:paraId="6654CD57" w14:textId="13B7564D" w:rsidR="00A476E5" w:rsidRPr="0041706D" w:rsidRDefault="00A476E5" w:rsidP="0041706D">
      <w:pPr>
        <w:pStyle w:val="Prrafodelista"/>
        <w:widowControl w:val="0"/>
        <w:numPr>
          <w:ilvl w:val="0"/>
          <w:numId w:val="21"/>
        </w:numPr>
        <w:ind w:left="0" w:firstLine="0"/>
        <w:jc w:val="both"/>
        <w:rPr>
          <w:rFonts w:ascii="Arial" w:eastAsiaTheme="minorEastAsia" w:hAnsi="Arial" w:cs="Arial"/>
          <w:bCs/>
          <w:color w:val="000000"/>
          <w:sz w:val="24"/>
          <w:szCs w:val="24"/>
        </w:rPr>
      </w:pPr>
      <w:r w:rsidRPr="0041706D">
        <w:rPr>
          <w:rFonts w:ascii="Arial" w:eastAsiaTheme="minorEastAsia" w:hAnsi="Arial" w:cs="Arial"/>
          <w:bCs/>
          <w:color w:val="000000"/>
          <w:sz w:val="24"/>
          <w:szCs w:val="24"/>
        </w:rPr>
        <w:t xml:space="preserve">Afirmó, en síntesis, que </w:t>
      </w:r>
      <w:r w:rsidR="00F9105E" w:rsidRPr="0041706D">
        <w:rPr>
          <w:rFonts w:ascii="Arial" w:eastAsiaTheme="minorEastAsia" w:hAnsi="Arial" w:cs="Arial"/>
          <w:bCs/>
          <w:color w:val="000000"/>
          <w:sz w:val="24"/>
          <w:szCs w:val="24"/>
        </w:rPr>
        <w:t xml:space="preserve">el reconocimiento de la pensión teniendo en cuenta el ingreso base de liquidación de los últimos diez años de prestación de servicios </w:t>
      </w:r>
      <w:r w:rsidRPr="0041706D">
        <w:rPr>
          <w:rFonts w:ascii="Arial" w:eastAsiaTheme="minorEastAsia" w:hAnsi="Arial" w:cs="Arial"/>
          <w:bCs/>
          <w:color w:val="000000"/>
          <w:sz w:val="24"/>
          <w:szCs w:val="24"/>
        </w:rPr>
        <w:t>conlleva</w:t>
      </w:r>
      <w:r w:rsidR="00F9105E" w:rsidRPr="0041706D">
        <w:rPr>
          <w:rFonts w:ascii="Arial" w:eastAsiaTheme="minorEastAsia" w:hAnsi="Arial" w:cs="Arial"/>
          <w:bCs/>
          <w:color w:val="000000"/>
          <w:sz w:val="24"/>
          <w:szCs w:val="24"/>
        </w:rPr>
        <w:t xml:space="preserve">ba </w:t>
      </w:r>
      <w:r w:rsidRPr="0041706D">
        <w:rPr>
          <w:rFonts w:ascii="Arial" w:eastAsiaTheme="minorEastAsia" w:hAnsi="Arial" w:cs="Arial"/>
          <w:bCs/>
          <w:color w:val="000000"/>
          <w:sz w:val="24"/>
          <w:szCs w:val="24"/>
        </w:rPr>
        <w:t xml:space="preserve">a una falsa motivación del acto administrativo acusado. </w:t>
      </w:r>
    </w:p>
    <w:p w14:paraId="64605B18" w14:textId="77777777" w:rsidR="00E4436D" w:rsidRPr="0041706D" w:rsidRDefault="00E4436D" w:rsidP="0041706D">
      <w:pPr>
        <w:pStyle w:val="Prrafodelista"/>
        <w:widowControl w:val="0"/>
        <w:ind w:left="0"/>
        <w:jc w:val="both"/>
        <w:rPr>
          <w:rFonts w:ascii="Arial" w:eastAsiaTheme="minorEastAsia" w:hAnsi="Arial" w:cs="Arial"/>
          <w:bCs/>
          <w:color w:val="000000"/>
          <w:sz w:val="24"/>
          <w:szCs w:val="24"/>
        </w:rPr>
      </w:pPr>
    </w:p>
    <w:p w14:paraId="14FE4854" w14:textId="7C8C2B2B" w:rsidR="0091248E" w:rsidRPr="0041706D" w:rsidRDefault="3A150DB4" w:rsidP="0041706D">
      <w:pPr>
        <w:pStyle w:val="Prrafodelista"/>
        <w:widowControl w:val="0"/>
        <w:numPr>
          <w:ilvl w:val="0"/>
          <w:numId w:val="16"/>
        </w:numPr>
        <w:ind w:left="0" w:firstLine="0"/>
        <w:jc w:val="both"/>
        <w:rPr>
          <w:rFonts w:ascii="Arial" w:eastAsiaTheme="minorEastAsia" w:hAnsi="Arial" w:cs="Arial"/>
          <w:b/>
          <w:bCs/>
          <w:color w:val="000000"/>
          <w:sz w:val="24"/>
          <w:szCs w:val="24"/>
        </w:rPr>
      </w:pPr>
      <w:r w:rsidRPr="0041706D">
        <w:rPr>
          <w:rFonts w:ascii="Arial" w:hAnsi="Arial" w:cs="Arial"/>
          <w:b/>
          <w:bCs/>
          <w:color w:val="000000" w:themeColor="text1"/>
          <w:sz w:val="24"/>
          <w:szCs w:val="24"/>
        </w:rPr>
        <w:t>La contestación a la demanda</w:t>
      </w:r>
      <w:r w:rsidR="00E4436D" w:rsidRPr="0041706D">
        <w:rPr>
          <w:rStyle w:val="Refdenotaalpie"/>
          <w:rFonts w:ascii="Arial" w:hAnsi="Arial" w:cs="Arial"/>
          <w:b/>
          <w:bCs/>
          <w:color w:val="000000" w:themeColor="text1"/>
          <w:sz w:val="24"/>
          <w:szCs w:val="24"/>
        </w:rPr>
        <w:footnoteReference w:id="5"/>
      </w:r>
    </w:p>
    <w:p w14:paraId="7A2978CE" w14:textId="77777777" w:rsidR="005F2C44" w:rsidRPr="0041706D" w:rsidRDefault="005F2C44" w:rsidP="0041706D">
      <w:pPr>
        <w:pStyle w:val="Prrafodelista"/>
        <w:widowControl w:val="0"/>
        <w:tabs>
          <w:tab w:val="left" w:pos="7655"/>
        </w:tabs>
        <w:ind w:left="0"/>
        <w:jc w:val="both"/>
        <w:rPr>
          <w:rFonts w:ascii="Arial" w:hAnsi="Arial" w:cs="Arial"/>
          <w:iCs/>
          <w:sz w:val="24"/>
          <w:szCs w:val="24"/>
        </w:rPr>
      </w:pPr>
    </w:p>
    <w:p w14:paraId="77FE14C5" w14:textId="0BE8C0E7" w:rsidR="00256089" w:rsidRPr="0041706D" w:rsidRDefault="00F9105E" w:rsidP="0041706D">
      <w:pPr>
        <w:pStyle w:val="Prrafodelista"/>
        <w:widowControl w:val="0"/>
        <w:numPr>
          <w:ilvl w:val="0"/>
          <w:numId w:val="21"/>
        </w:numPr>
        <w:ind w:left="0" w:firstLine="0"/>
        <w:jc w:val="both"/>
        <w:rPr>
          <w:rFonts w:ascii="Arial" w:hAnsi="Arial" w:cs="Arial"/>
          <w:color w:val="000000"/>
          <w:sz w:val="24"/>
          <w:szCs w:val="24"/>
        </w:rPr>
      </w:pPr>
      <w:r w:rsidRPr="0041706D">
        <w:rPr>
          <w:rFonts w:ascii="Arial" w:hAnsi="Arial" w:cs="Arial"/>
          <w:color w:val="000000"/>
          <w:sz w:val="24"/>
          <w:szCs w:val="24"/>
        </w:rPr>
        <w:t>La</w:t>
      </w:r>
      <w:r w:rsidR="00E4436D" w:rsidRPr="0041706D">
        <w:rPr>
          <w:rFonts w:ascii="Arial" w:hAnsi="Arial" w:cs="Arial"/>
          <w:color w:val="000000"/>
          <w:sz w:val="24"/>
          <w:szCs w:val="24"/>
        </w:rPr>
        <w:t xml:space="preserve"> demandada</w:t>
      </w:r>
      <w:r w:rsidR="00B727C1" w:rsidRPr="0041706D">
        <w:rPr>
          <w:rFonts w:ascii="Arial" w:hAnsi="Arial" w:cs="Arial"/>
          <w:color w:val="000000"/>
          <w:sz w:val="24"/>
          <w:szCs w:val="24"/>
        </w:rPr>
        <w:t xml:space="preserve"> se opuso a la prosperidad de las pretensiones</w:t>
      </w:r>
      <w:r w:rsidR="00E4436D" w:rsidRPr="0041706D">
        <w:rPr>
          <w:rFonts w:ascii="Arial" w:hAnsi="Arial" w:cs="Arial"/>
          <w:color w:val="000000"/>
          <w:sz w:val="24"/>
          <w:szCs w:val="24"/>
        </w:rPr>
        <w:t>,</w:t>
      </w:r>
      <w:r w:rsidR="00B727C1" w:rsidRPr="0041706D">
        <w:rPr>
          <w:rFonts w:ascii="Arial" w:hAnsi="Arial" w:cs="Arial"/>
          <w:color w:val="000000"/>
          <w:sz w:val="24"/>
          <w:szCs w:val="24"/>
        </w:rPr>
        <w:t xml:space="preserve"> con funda</w:t>
      </w:r>
      <w:r w:rsidR="00256089" w:rsidRPr="0041706D">
        <w:rPr>
          <w:rFonts w:ascii="Arial" w:hAnsi="Arial" w:cs="Arial"/>
          <w:color w:val="000000"/>
          <w:sz w:val="24"/>
          <w:szCs w:val="24"/>
        </w:rPr>
        <w:t>mento en las siguientes razones</w:t>
      </w:r>
      <w:r w:rsidRPr="0041706D">
        <w:rPr>
          <w:rFonts w:ascii="Arial" w:hAnsi="Arial" w:cs="Arial"/>
          <w:color w:val="000000"/>
          <w:sz w:val="24"/>
          <w:szCs w:val="24"/>
        </w:rPr>
        <w:t>:</w:t>
      </w:r>
    </w:p>
    <w:p w14:paraId="64A7C280" w14:textId="77777777" w:rsidR="00256089" w:rsidRPr="0041706D" w:rsidRDefault="00256089" w:rsidP="0041706D">
      <w:pPr>
        <w:pStyle w:val="Prrafodelista"/>
        <w:widowControl w:val="0"/>
        <w:tabs>
          <w:tab w:val="left" w:pos="7655"/>
        </w:tabs>
        <w:ind w:left="0"/>
        <w:jc w:val="both"/>
        <w:rPr>
          <w:rFonts w:ascii="Arial" w:hAnsi="Arial" w:cs="Arial"/>
          <w:color w:val="000000"/>
          <w:sz w:val="24"/>
          <w:szCs w:val="24"/>
        </w:rPr>
      </w:pPr>
    </w:p>
    <w:p w14:paraId="38528187" w14:textId="1B8136F6" w:rsidR="00E4436D" w:rsidRPr="0041706D" w:rsidRDefault="00FC0F48" w:rsidP="0041706D">
      <w:pPr>
        <w:pStyle w:val="Prrafodelista"/>
        <w:widowControl w:val="0"/>
        <w:numPr>
          <w:ilvl w:val="1"/>
          <w:numId w:val="21"/>
        </w:numPr>
        <w:tabs>
          <w:tab w:val="left" w:pos="426"/>
        </w:tabs>
        <w:ind w:left="0" w:firstLine="0"/>
        <w:jc w:val="both"/>
        <w:rPr>
          <w:rFonts w:ascii="Arial" w:hAnsi="Arial" w:cs="Arial"/>
          <w:color w:val="000000"/>
          <w:sz w:val="24"/>
          <w:szCs w:val="24"/>
        </w:rPr>
      </w:pPr>
      <w:r w:rsidRPr="0041706D">
        <w:rPr>
          <w:rFonts w:ascii="Arial" w:hAnsi="Arial" w:cs="Arial"/>
          <w:color w:val="000000" w:themeColor="text1"/>
          <w:sz w:val="24"/>
          <w:szCs w:val="24"/>
        </w:rPr>
        <w:t xml:space="preserve"> </w:t>
      </w:r>
      <w:r w:rsidR="005D6D55" w:rsidRPr="0041706D">
        <w:rPr>
          <w:rFonts w:ascii="Arial" w:hAnsi="Arial" w:cs="Arial"/>
          <w:color w:val="000000" w:themeColor="text1"/>
          <w:sz w:val="24"/>
          <w:szCs w:val="24"/>
        </w:rPr>
        <w:t>Señaló</w:t>
      </w:r>
      <w:r w:rsidR="009C17BB" w:rsidRPr="0041706D">
        <w:rPr>
          <w:rFonts w:ascii="Arial" w:hAnsi="Arial" w:cs="Arial"/>
          <w:color w:val="000000" w:themeColor="text1"/>
          <w:sz w:val="24"/>
          <w:szCs w:val="24"/>
        </w:rPr>
        <w:t>, en lo fundamental,</w:t>
      </w:r>
      <w:r w:rsidR="005D6D55" w:rsidRPr="0041706D">
        <w:rPr>
          <w:rFonts w:ascii="Arial" w:hAnsi="Arial" w:cs="Arial"/>
          <w:color w:val="000000" w:themeColor="text1"/>
          <w:sz w:val="24"/>
          <w:szCs w:val="24"/>
        </w:rPr>
        <w:t xml:space="preserve"> que el acto administrativo </w:t>
      </w:r>
      <w:r w:rsidR="00F9105E" w:rsidRPr="0041706D">
        <w:rPr>
          <w:rFonts w:ascii="Arial" w:hAnsi="Arial" w:cs="Arial"/>
          <w:color w:val="000000" w:themeColor="text1"/>
          <w:sz w:val="24"/>
          <w:szCs w:val="24"/>
        </w:rPr>
        <w:t>acusado</w:t>
      </w:r>
      <w:r w:rsidR="005D6D55" w:rsidRPr="0041706D">
        <w:rPr>
          <w:rFonts w:ascii="Arial" w:hAnsi="Arial" w:cs="Arial"/>
          <w:color w:val="000000" w:themeColor="text1"/>
          <w:sz w:val="24"/>
          <w:szCs w:val="24"/>
        </w:rPr>
        <w:t xml:space="preserve"> </w:t>
      </w:r>
      <w:r w:rsidR="00F9105E" w:rsidRPr="0041706D">
        <w:rPr>
          <w:rFonts w:ascii="Arial" w:hAnsi="Arial" w:cs="Arial"/>
          <w:color w:val="000000" w:themeColor="text1"/>
          <w:sz w:val="24"/>
          <w:szCs w:val="24"/>
        </w:rPr>
        <w:t>atendió</w:t>
      </w:r>
      <w:r w:rsidR="00E4436D" w:rsidRPr="0041706D">
        <w:rPr>
          <w:rFonts w:ascii="Arial" w:hAnsi="Arial" w:cs="Arial"/>
          <w:color w:val="000000" w:themeColor="text1"/>
          <w:sz w:val="24"/>
          <w:szCs w:val="24"/>
        </w:rPr>
        <w:t xml:space="preserve"> los</w:t>
      </w:r>
      <w:r w:rsidR="005D6D55" w:rsidRPr="0041706D">
        <w:rPr>
          <w:rFonts w:ascii="Arial" w:hAnsi="Arial" w:cs="Arial"/>
          <w:color w:val="000000" w:themeColor="text1"/>
          <w:sz w:val="24"/>
          <w:szCs w:val="24"/>
        </w:rPr>
        <w:t xml:space="preserve"> parámetros </w:t>
      </w:r>
      <w:r w:rsidR="00E4436D" w:rsidRPr="0041706D">
        <w:rPr>
          <w:rFonts w:ascii="Arial" w:hAnsi="Arial" w:cs="Arial"/>
          <w:color w:val="000000" w:themeColor="text1"/>
          <w:sz w:val="24"/>
          <w:szCs w:val="24"/>
        </w:rPr>
        <w:t>previstos en el artículo 36 de</w:t>
      </w:r>
      <w:r w:rsidR="005D6D55" w:rsidRPr="0041706D">
        <w:rPr>
          <w:rFonts w:ascii="Arial" w:hAnsi="Arial" w:cs="Arial"/>
          <w:color w:val="000000" w:themeColor="text1"/>
          <w:sz w:val="24"/>
          <w:szCs w:val="24"/>
        </w:rPr>
        <w:t xml:space="preserve"> la Ley 100 de 1993</w:t>
      </w:r>
      <w:r w:rsidR="00F9105E" w:rsidRPr="0041706D">
        <w:rPr>
          <w:rFonts w:ascii="Arial" w:hAnsi="Arial" w:cs="Arial"/>
          <w:color w:val="000000" w:themeColor="text1"/>
          <w:sz w:val="24"/>
          <w:szCs w:val="24"/>
        </w:rPr>
        <w:t xml:space="preserve"> </w:t>
      </w:r>
      <w:r w:rsidR="00E4436D" w:rsidRPr="0041706D">
        <w:rPr>
          <w:rFonts w:ascii="Arial" w:hAnsi="Arial" w:cs="Arial"/>
          <w:color w:val="000000" w:themeColor="text1"/>
          <w:sz w:val="24"/>
          <w:szCs w:val="24"/>
        </w:rPr>
        <w:t xml:space="preserve">y </w:t>
      </w:r>
      <w:r w:rsidR="004E3010" w:rsidRPr="0041706D">
        <w:rPr>
          <w:rFonts w:ascii="Arial" w:hAnsi="Arial" w:cs="Arial"/>
          <w:sz w:val="24"/>
          <w:szCs w:val="24"/>
        </w:rPr>
        <w:t>en el Decreto 546 de 1971</w:t>
      </w:r>
      <w:r w:rsidR="00E4436D" w:rsidRPr="0041706D">
        <w:rPr>
          <w:rFonts w:ascii="Arial" w:hAnsi="Arial" w:cs="Arial"/>
          <w:sz w:val="24"/>
          <w:szCs w:val="24"/>
        </w:rPr>
        <w:t>.</w:t>
      </w:r>
      <w:r w:rsidR="00E4436D" w:rsidRPr="0041706D">
        <w:rPr>
          <w:rFonts w:ascii="Arial" w:hAnsi="Arial" w:cs="Arial"/>
          <w:color w:val="000000" w:themeColor="text1"/>
          <w:sz w:val="24"/>
          <w:szCs w:val="24"/>
        </w:rPr>
        <w:t xml:space="preserve"> </w:t>
      </w:r>
    </w:p>
    <w:p w14:paraId="78725619" w14:textId="77777777" w:rsidR="009C17BB" w:rsidRPr="0041706D" w:rsidRDefault="009C17BB" w:rsidP="0041706D">
      <w:pPr>
        <w:pStyle w:val="Prrafodelista"/>
        <w:widowControl w:val="0"/>
        <w:tabs>
          <w:tab w:val="left" w:pos="426"/>
        </w:tabs>
        <w:ind w:left="0"/>
        <w:jc w:val="both"/>
        <w:rPr>
          <w:rFonts w:ascii="Arial" w:hAnsi="Arial" w:cs="Arial"/>
          <w:color w:val="000000"/>
          <w:sz w:val="24"/>
          <w:szCs w:val="24"/>
        </w:rPr>
      </w:pPr>
    </w:p>
    <w:p w14:paraId="7132FC3E" w14:textId="278D4498" w:rsidR="00BE1040" w:rsidRPr="0041706D" w:rsidRDefault="009C17BB" w:rsidP="0041706D">
      <w:pPr>
        <w:pStyle w:val="Prrafodelista"/>
        <w:widowControl w:val="0"/>
        <w:numPr>
          <w:ilvl w:val="1"/>
          <w:numId w:val="21"/>
        </w:numPr>
        <w:tabs>
          <w:tab w:val="left" w:pos="426"/>
        </w:tabs>
        <w:ind w:left="0" w:firstLine="0"/>
        <w:jc w:val="both"/>
        <w:rPr>
          <w:rFonts w:ascii="Arial" w:hAnsi="Arial" w:cs="Arial"/>
          <w:color w:val="000000"/>
          <w:sz w:val="24"/>
          <w:szCs w:val="24"/>
        </w:rPr>
      </w:pPr>
      <w:r w:rsidRPr="0041706D">
        <w:rPr>
          <w:rFonts w:ascii="Arial" w:hAnsi="Arial" w:cs="Arial"/>
          <w:color w:val="000000" w:themeColor="text1"/>
          <w:sz w:val="24"/>
          <w:szCs w:val="24"/>
        </w:rPr>
        <w:t xml:space="preserve"> Indicó que, en efecto, la entidad reconoció la </w:t>
      </w:r>
      <w:r w:rsidRPr="0041706D">
        <w:rPr>
          <w:rFonts w:ascii="Arial" w:hAnsi="Arial" w:cs="Arial"/>
          <w:sz w:val="24"/>
          <w:szCs w:val="24"/>
        </w:rPr>
        <w:t xml:space="preserve">pensión de vejez a la demandante teniendo en cuenta la edad, el tiempo de servicio y el porcentaje del monto pensional según el Decreto 546 de 1971; pero </w:t>
      </w:r>
      <w:r w:rsidR="00F9105E" w:rsidRPr="0041706D">
        <w:rPr>
          <w:rFonts w:ascii="Arial" w:hAnsi="Arial" w:cs="Arial"/>
          <w:sz w:val="24"/>
          <w:szCs w:val="24"/>
        </w:rPr>
        <w:t>calculó</w:t>
      </w:r>
      <w:r w:rsidRPr="0041706D">
        <w:rPr>
          <w:rFonts w:ascii="Arial" w:hAnsi="Arial" w:cs="Arial"/>
          <w:sz w:val="24"/>
          <w:szCs w:val="24"/>
        </w:rPr>
        <w:t xml:space="preserve"> el ingreso base de liquidación </w:t>
      </w:r>
      <w:r w:rsidR="00F9105E" w:rsidRPr="0041706D">
        <w:rPr>
          <w:rFonts w:ascii="Arial" w:hAnsi="Arial" w:cs="Arial"/>
          <w:sz w:val="24"/>
          <w:szCs w:val="24"/>
        </w:rPr>
        <w:t>con</w:t>
      </w:r>
      <w:r w:rsidRPr="0041706D">
        <w:rPr>
          <w:rFonts w:ascii="Arial" w:hAnsi="Arial" w:cs="Arial"/>
          <w:sz w:val="24"/>
          <w:szCs w:val="24"/>
        </w:rPr>
        <w:t xml:space="preserve"> los últimos diez (10) años de p</w:t>
      </w:r>
      <w:r w:rsidR="00864F1C" w:rsidRPr="0041706D">
        <w:rPr>
          <w:rFonts w:ascii="Arial" w:hAnsi="Arial" w:cs="Arial"/>
          <w:sz w:val="24"/>
          <w:szCs w:val="24"/>
        </w:rPr>
        <w:t>restación</w:t>
      </w:r>
      <w:r w:rsidRPr="0041706D">
        <w:rPr>
          <w:rFonts w:ascii="Arial" w:hAnsi="Arial" w:cs="Arial"/>
          <w:sz w:val="24"/>
          <w:szCs w:val="24"/>
        </w:rPr>
        <w:t xml:space="preserve"> de servicios</w:t>
      </w:r>
      <w:r w:rsidR="00864F1C" w:rsidRPr="0041706D">
        <w:rPr>
          <w:rFonts w:ascii="Arial" w:hAnsi="Arial" w:cs="Arial"/>
          <w:sz w:val="24"/>
          <w:szCs w:val="24"/>
        </w:rPr>
        <w:t xml:space="preserve"> y </w:t>
      </w:r>
      <w:r w:rsidR="00864F1C" w:rsidRPr="0041706D">
        <w:rPr>
          <w:rFonts w:ascii="Arial" w:hAnsi="Arial" w:cs="Arial"/>
          <w:color w:val="000000" w:themeColor="text1"/>
          <w:sz w:val="24"/>
          <w:szCs w:val="24"/>
        </w:rPr>
        <w:t xml:space="preserve">aplicó </w:t>
      </w:r>
      <w:r w:rsidR="00E4436D" w:rsidRPr="0041706D">
        <w:rPr>
          <w:rFonts w:ascii="Arial" w:hAnsi="Arial" w:cs="Arial"/>
          <w:color w:val="000000" w:themeColor="text1"/>
          <w:sz w:val="24"/>
          <w:szCs w:val="24"/>
        </w:rPr>
        <w:t xml:space="preserve">los factores previstos taxativamente en </w:t>
      </w:r>
      <w:r w:rsidR="00CA1BD5" w:rsidRPr="0041706D">
        <w:rPr>
          <w:rFonts w:ascii="Arial" w:hAnsi="Arial" w:cs="Arial"/>
          <w:sz w:val="24"/>
          <w:szCs w:val="24"/>
        </w:rPr>
        <w:t>el Decreto 1158 de 1994</w:t>
      </w:r>
      <w:r w:rsidR="00E4436D" w:rsidRPr="0041706D">
        <w:rPr>
          <w:rFonts w:ascii="Arial" w:hAnsi="Arial" w:cs="Arial"/>
          <w:sz w:val="24"/>
          <w:szCs w:val="24"/>
        </w:rPr>
        <w:t xml:space="preserve">, respecto de los cuales se hicieron los respectivos aportes. </w:t>
      </w:r>
    </w:p>
    <w:p w14:paraId="5D73538F" w14:textId="77777777" w:rsidR="00E4436D" w:rsidRPr="0041706D" w:rsidRDefault="00E4436D" w:rsidP="0041706D">
      <w:pPr>
        <w:pStyle w:val="Prrafodelista"/>
        <w:ind w:left="0"/>
        <w:rPr>
          <w:rFonts w:ascii="Arial" w:hAnsi="Arial" w:cs="Arial"/>
          <w:color w:val="000000"/>
          <w:sz w:val="24"/>
          <w:szCs w:val="24"/>
        </w:rPr>
      </w:pPr>
    </w:p>
    <w:p w14:paraId="1884B3E6" w14:textId="2D2173E4" w:rsidR="0061430B" w:rsidRPr="0041706D" w:rsidRDefault="00CF40E8" w:rsidP="0041706D">
      <w:pPr>
        <w:pStyle w:val="Prrafodelista"/>
        <w:widowControl w:val="0"/>
        <w:numPr>
          <w:ilvl w:val="1"/>
          <w:numId w:val="21"/>
        </w:numPr>
        <w:tabs>
          <w:tab w:val="left" w:pos="426"/>
        </w:tabs>
        <w:ind w:left="0" w:firstLine="0"/>
        <w:jc w:val="both"/>
        <w:rPr>
          <w:rFonts w:ascii="Arial" w:hAnsi="Arial" w:cs="Arial"/>
          <w:sz w:val="24"/>
          <w:szCs w:val="24"/>
        </w:rPr>
      </w:pPr>
      <w:r w:rsidRPr="0041706D">
        <w:rPr>
          <w:rFonts w:ascii="Arial" w:hAnsi="Arial" w:cs="Arial"/>
          <w:sz w:val="24"/>
          <w:szCs w:val="24"/>
        </w:rPr>
        <w:t xml:space="preserve"> </w:t>
      </w:r>
      <w:r w:rsidR="00CA1BD5" w:rsidRPr="0041706D">
        <w:rPr>
          <w:rFonts w:ascii="Arial" w:hAnsi="Arial" w:cs="Arial"/>
          <w:sz w:val="24"/>
          <w:szCs w:val="24"/>
        </w:rPr>
        <w:t>Insistió que no era posible incluir en la base de liquidación pensional los factores salariales</w:t>
      </w:r>
      <w:r w:rsidR="00E4436D" w:rsidRPr="0041706D">
        <w:rPr>
          <w:rFonts w:ascii="Arial" w:hAnsi="Arial" w:cs="Arial"/>
          <w:sz w:val="24"/>
          <w:szCs w:val="24"/>
        </w:rPr>
        <w:t xml:space="preserve"> </w:t>
      </w:r>
      <w:r w:rsidR="00864F1C" w:rsidRPr="0041706D">
        <w:rPr>
          <w:rFonts w:ascii="Arial" w:hAnsi="Arial" w:cs="Arial"/>
          <w:sz w:val="24"/>
          <w:szCs w:val="24"/>
        </w:rPr>
        <w:t>sobre</w:t>
      </w:r>
      <w:r w:rsidR="00E4436D" w:rsidRPr="0041706D">
        <w:rPr>
          <w:rFonts w:ascii="Arial" w:hAnsi="Arial" w:cs="Arial"/>
          <w:sz w:val="24"/>
          <w:szCs w:val="24"/>
        </w:rPr>
        <w:t xml:space="preserve"> </w:t>
      </w:r>
      <w:r w:rsidR="00CA1BD5" w:rsidRPr="0041706D">
        <w:rPr>
          <w:rFonts w:ascii="Arial" w:hAnsi="Arial" w:cs="Arial"/>
          <w:sz w:val="24"/>
          <w:szCs w:val="24"/>
        </w:rPr>
        <w:t xml:space="preserve">los cuales no </w:t>
      </w:r>
      <w:r w:rsidR="00E4436D" w:rsidRPr="0041706D">
        <w:rPr>
          <w:rFonts w:ascii="Arial" w:hAnsi="Arial" w:cs="Arial"/>
          <w:sz w:val="24"/>
          <w:szCs w:val="24"/>
        </w:rPr>
        <w:t>se hicieron</w:t>
      </w:r>
      <w:r w:rsidR="00CA1BD5" w:rsidRPr="0041706D">
        <w:rPr>
          <w:rFonts w:ascii="Arial" w:hAnsi="Arial" w:cs="Arial"/>
          <w:sz w:val="24"/>
          <w:szCs w:val="24"/>
        </w:rPr>
        <w:t xml:space="preserve"> aportes para pensión, </w:t>
      </w:r>
      <w:r w:rsidR="00E4436D" w:rsidRPr="0041706D">
        <w:rPr>
          <w:rFonts w:ascii="Arial" w:hAnsi="Arial" w:cs="Arial"/>
          <w:sz w:val="24"/>
          <w:szCs w:val="24"/>
        </w:rPr>
        <w:t xml:space="preserve">pues </w:t>
      </w:r>
      <w:r w:rsidR="00864F1C" w:rsidRPr="0041706D">
        <w:rPr>
          <w:rFonts w:ascii="Arial" w:hAnsi="Arial" w:cs="Arial"/>
          <w:sz w:val="24"/>
          <w:szCs w:val="24"/>
        </w:rPr>
        <w:t xml:space="preserve">ello </w:t>
      </w:r>
      <w:r w:rsidR="00E4436D" w:rsidRPr="0041706D">
        <w:rPr>
          <w:rFonts w:ascii="Arial" w:hAnsi="Arial" w:cs="Arial"/>
          <w:sz w:val="24"/>
          <w:szCs w:val="24"/>
        </w:rPr>
        <w:t xml:space="preserve">desconocería </w:t>
      </w:r>
      <w:r w:rsidR="00CA1BD5" w:rsidRPr="0041706D">
        <w:rPr>
          <w:rFonts w:ascii="Arial" w:hAnsi="Arial" w:cs="Arial"/>
          <w:sz w:val="24"/>
          <w:szCs w:val="24"/>
        </w:rPr>
        <w:t>la voluntad del legislador y afectaría las finanzas públicas</w:t>
      </w:r>
      <w:r w:rsidR="00E4436D" w:rsidRPr="0041706D">
        <w:rPr>
          <w:rFonts w:ascii="Arial" w:hAnsi="Arial" w:cs="Arial"/>
          <w:sz w:val="24"/>
          <w:szCs w:val="24"/>
        </w:rPr>
        <w:t xml:space="preserve">, así como el </w:t>
      </w:r>
      <w:r w:rsidR="00CA1BD5" w:rsidRPr="0041706D">
        <w:rPr>
          <w:rFonts w:ascii="Arial" w:hAnsi="Arial" w:cs="Arial"/>
          <w:sz w:val="24"/>
          <w:szCs w:val="24"/>
        </w:rPr>
        <w:t xml:space="preserve">principio de solidaridad </w:t>
      </w:r>
      <w:r w:rsidR="00864F1C" w:rsidRPr="0041706D">
        <w:rPr>
          <w:rFonts w:ascii="Arial" w:hAnsi="Arial" w:cs="Arial"/>
          <w:sz w:val="24"/>
          <w:szCs w:val="24"/>
        </w:rPr>
        <w:t>previsto en el</w:t>
      </w:r>
      <w:r w:rsidR="00CA1BD5" w:rsidRPr="0041706D">
        <w:rPr>
          <w:rFonts w:ascii="Arial" w:hAnsi="Arial" w:cs="Arial"/>
          <w:sz w:val="24"/>
          <w:szCs w:val="24"/>
        </w:rPr>
        <w:t xml:space="preserve"> </w:t>
      </w:r>
      <w:r w:rsidR="00E4436D" w:rsidRPr="0041706D">
        <w:rPr>
          <w:rFonts w:ascii="Arial" w:hAnsi="Arial" w:cs="Arial"/>
          <w:sz w:val="24"/>
          <w:szCs w:val="24"/>
        </w:rPr>
        <w:t>A</w:t>
      </w:r>
      <w:r w:rsidR="00CA1BD5" w:rsidRPr="0041706D">
        <w:rPr>
          <w:rFonts w:ascii="Arial" w:hAnsi="Arial" w:cs="Arial"/>
          <w:sz w:val="24"/>
          <w:szCs w:val="24"/>
        </w:rPr>
        <w:t xml:space="preserve">cto </w:t>
      </w:r>
      <w:r w:rsidR="00E4436D" w:rsidRPr="0041706D">
        <w:rPr>
          <w:rFonts w:ascii="Arial" w:hAnsi="Arial" w:cs="Arial"/>
          <w:sz w:val="24"/>
          <w:szCs w:val="24"/>
        </w:rPr>
        <w:t>L</w:t>
      </w:r>
      <w:r w:rsidR="00CA1BD5" w:rsidRPr="0041706D">
        <w:rPr>
          <w:rFonts w:ascii="Arial" w:hAnsi="Arial" w:cs="Arial"/>
          <w:sz w:val="24"/>
          <w:szCs w:val="24"/>
        </w:rPr>
        <w:t>egislativo 01 de 2005</w:t>
      </w:r>
      <w:r w:rsidR="00E4436D" w:rsidRPr="0041706D">
        <w:rPr>
          <w:rFonts w:ascii="Arial" w:hAnsi="Arial" w:cs="Arial"/>
          <w:sz w:val="24"/>
          <w:szCs w:val="24"/>
        </w:rPr>
        <w:t>.</w:t>
      </w:r>
    </w:p>
    <w:p w14:paraId="3AD31340" w14:textId="77777777" w:rsidR="00E4436D" w:rsidRPr="0041706D" w:rsidRDefault="00E4436D" w:rsidP="0041706D">
      <w:pPr>
        <w:pStyle w:val="Prrafodelista"/>
        <w:ind w:left="0"/>
        <w:rPr>
          <w:rFonts w:ascii="Arial" w:hAnsi="Arial" w:cs="Arial"/>
          <w:sz w:val="24"/>
          <w:szCs w:val="24"/>
        </w:rPr>
      </w:pPr>
    </w:p>
    <w:p w14:paraId="246EFE83" w14:textId="077F1DF9" w:rsidR="003D1F4B" w:rsidRPr="0041706D" w:rsidRDefault="00E4436D" w:rsidP="0041706D">
      <w:pPr>
        <w:pStyle w:val="Prrafodelista"/>
        <w:widowControl w:val="0"/>
        <w:numPr>
          <w:ilvl w:val="1"/>
          <w:numId w:val="21"/>
        </w:numPr>
        <w:tabs>
          <w:tab w:val="left" w:pos="426"/>
        </w:tabs>
        <w:ind w:left="0" w:firstLine="0"/>
        <w:jc w:val="both"/>
        <w:rPr>
          <w:rFonts w:ascii="Arial" w:hAnsi="Arial" w:cs="Arial"/>
          <w:sz w:val="24"/>
          <w:szCs w:val="24"/>
        </w:rPr>
      </w:pPr>
      <w:r w:rsidRPr="0041706D">
        <w:rPr>
          <w:rFonts w:ascii="Arial" w:hAnsi="Arial" w:cs="Arial"/>
          <w:sz w:val="24"/>
          <w:szCs w:val="24"/>
        </w:rPr>
        <w:t xml:space="preserve">Indicó que </w:t>
      </w:r>
      <w:r w:rsidR="00CA1BD5" w:rsidRPr="0041706D">
        <w:rPr>
          <w:rFonts w:ascii="Arial" w:hAnsi="Arial" w:cs="Arial"/>
          <w:sz w:val="24"/>
          <w:szCs w:val="24"/>
        </w:rPr>
        <w:t>el Decreto 546 de 1971</w:t>
      </w:r>
      <w:r w:rsidRPr="0041706D">
        <w:rPr>
          <w:rFonts w:ascii="Arial" w:hAnsi="Arial" w:cs="Arial"/>
          <w:sz w:val="24"/>
          <w:szCs w:val="24"/>
        </w:rPr>
        <w:t xml:space="preserve"> estableció </w:t>
      </w:r>
      <w:r w:rsidR="00CA1BD5" w:rsidRPr="0041706D">
        <w:rPr>
          <w:rFonts w:ascii="Arial" w:hAnsi="Arial" w:cs="Arial"/>
          <w:sz w:val="24"/>
          <w:szCs w:val="24"/>
        </w:rPr>
        <w:t>que la pensión deb</w:t>
      </w:r>
      <w:r w:rsidRPr="0041706D">
        <w:rPr>
          <w:rFonts w:ascii="Arial" w:hAnsi="Arial" w:cs="Arial"/>
          <w:sz w:val="24"/>
          <w:szCs w:val="24"/>
        </w:rPr>
        <w:t>ía</w:t>
      </w:r>
      <w:r w:rsidR="00CA1BD5" w:rsidRPr="0041706D">
        <w:rPr>
          <w:rFonts w:ascii="Arial" w:hAnsi="Arial" w:cs="Arial"/>
          <w:sz w:val="24"/>
          <w:szCs w:val="24"/>
        </w:rPr>
        <w:t xml:space="preserve"> liquidar</w:t>
      </w:r>
      <w:r w:rsidR="0093200D" w:rsidRPr="0041706D">
        <w:rPr>
          <w:rFonts w:ascii="Arial" w:hAnsi="Arial" w:cs="Arial"/>
          <w:sz w:val="24"/>
          <w:szCs w:val="24"/>
        </w:rPr>
        <w:t>se</w:t>
      </w:r>
      <w:r w:rsidR="00CA1BD5" w:rsidRPr="0041706D">
        <w:rPr>
          <w:rFonts w:ascii="Arial" w:hAnsi="Arial" w:cs="Arial"/>
          <w:sz w:val="24"/>
          <w:szCs w:val="24"/>
        </w:rPr>
        <w:t xml:space="preserve"> sobre el 75% y no sobre el 90%</w:t>
      </w:r>
      <w:r w:rsidRPr="0041706D">
        <w:rPr>
          <w:rFonts w:ascii="Arial" w:hAnsi="Arial" w:cs="Arial"/>
          <w:sz w:val="24"/>
          <w:szCs w:val="24"/>
        </w:rPr>
        <w:t>.</w:t>
      </w:r>
    </w:p>
    <w:p w14:paraId="4954A3DB" w14:textId="77777777" w:rsidR="00E4436D" w:rsidRPr="0041706D" w:rsidRDefault="00E4436D" w:rsidP="0041706D">
      <w:pPr>
        <w:pStyle w:val="Prrafodelista"/>
        <w:ind w:left="0"/>
        <w:rPr>
          <w:rFonts w:ascii="Arial" w:hAnsi="Arial" w:cs="Arial"/>
          <w:sz w:val="24"/>
          <w:szCs w:val="24"/>
        </w:rPr>
      </w:pPr>
    </w:p>
    <w:p w14:paraId="4608C0AA" w14:textId="14B5D178" w:rsidR="00A5203F" w:rsidRPr="0041706D" w:rsidRDefault="0055642B" w:rsidP="0041706D">
      <w:pPr>
        <w:pStyle w:val="Prrafodelista"/>
        <w:widowControl w:val="0"/>
        <w:numPr>
          <w:ilvl w:val="1"/>
          <w:numId w:val="21"/>
        </w:numPr>
        <w:tabs>
          <w:tab w:val="left" w:pos="426"/>
        </w:tabs>
        <w:ind w:left="0" w:firstLine="0"/>
        <w:jc w:val="both"/>
        <w:rPr>
          <w:rFonts w:ascii="Arial" w:hAnsi="Arial" w:cs="Arial"/>
          <w:sz w:val="24"/>
          <w:szCs w:val="24"/>
        </w:rPr>
      </w:pPr>
      <w:r w:rsidRPr="0041706D">
        <w:rPr>
          <w:rFonts w:ascii="Arial" w:hAnsi="Arial" w:cs="Arial"/>
          <w:sz w:val="24"/>
          <w:szCs w:val="24"/>
        </w:rPr>
        <w:t xml:space="preserve">Hizo alusión a la aplicación de la sentencia </w:t>
      </w:r>
      <w:r w:rsidR="002D052D" w:rsidRPr="0041706D">
        <w:rPr>
          <w:rFonts w:ascii="Arial" w:hAnsi="Arial" w:cs="Arial"/>
          <w:sz w:val="24"/>
          <w:szCs w:val="24"/>
        </w:rPr>
        <w:t>SU-230 de 2015</w:t>
      </w:r>
      <w:r w:rsidR="009C17BB" w:rsidRPr="0041706D">
        <w:rPr>
          <w:rFonts w:ascii="Arial" w:hAnsi="Arial" w:cs="Arial"/>
          <w:sz w:val="24"/>
          <w:szCs w:val="24"/>
        </w:rPr>
        <w:t xml:space="preserve"> proferida </w:t>
      </w:r>
      <w:r w:rsidR="00E4436D" w:rsidRPr="0041706D">
        <w:rPr>
          <w:rFonts w:ascii="Arial" w:hAnsi="Arial" w:cs="Arial"/>
          <w:sz w:val="24"/>
          <w:szCs w:val="24"/>
        </w:rPr>
        <w:t>por la Corte Constitucional</w:t>
      </w:r>
      <w:r w:rsidR="002D052D" w:rsidRPr="0041706D">
        <w:rPr>
          <w:rFonts w:ascii="Arial" w:hAnsi="Arial" w:cs="Arial"/>
          <w:sz w:val="24"/>
          <w:szCs w:val="24"/>
        </w:rPr>
        <w:t>,</w:t>
      </w:r>
      <w:r w:rsidR="009C17BB" w:rsidRPr="0041706D">
        <w:rPr>
          <w:rFonts w:ascii="Arial" w:hAnsi="Arial" w:cs="Arial"/>
          <w:sz w:val="24"/>
          <w:szCs w:val="24"/>
        </w:rPr>
        <w:t xml:space="preserve"> así como a sus alcances. </w:t>
      </w:r>
    </w:p>
    <w:p w14:paraId="716DE280" w14:textId="77777777" w:rsidR="009C17BB" w:rsidRPr="0041706D" w:rsidRDefault="009C17BB" w:rsidP="0041706D">
      <w:pPr>
        <w:pStyle w:val="Prrafodelista"/>
        <w:ind w:left="0"/>
        <w:rPr>
          <w:rFonts w:ascii="Arial" w:hAnsi="Arial" w:cs="Arial"/>
          <w:sz w:val="24"/>
          <w:szCs w:val="24"/>
        </w:rPr>
      </w:pPr>
    </w:p>
    <w:p w14:paraId="440B5C6F" w14:textId="5748B59E" w:rsidR="00B727C1" w:rsidRPr="0041706D" w:rsidRDefault="009C17BB" w:rsidP="0041706D">
      <w:pPr>
        <w:pStyle w:val="Prrafodelista"/>
        <w:widowControl w:val="0"/>
        <w:numPr>
          <w:ilvl w:val="1"/>
          <w:numId w:val="21"/>
        </w:numPr>
        <w:tabs>
          <w:tab w:val="left" w:pos="426"/>
        </w:tabs>
        <w:ind w:left="0" w:firstLine="0"/>
        <w:jc w:val="both"/>
        <w:rPr>
          <w:rFonts w:ascii="Arial" w:hAnsi="Arial" w:cs="Arial"/>
          <w:sz w:val="24"/>
          <w:szCs w:val="24"/>
        </w:rPr>
      </w:pPr>
      <w:r w:rsidRPr="0041706D">
        <w:rPr>
          <w:rFonts w:ascii="Arial" w:hAnsi="Arial" w:cs="Arial"/>
          <w:sz w:val="24"/>
          <w:szCs w:val="24"/>
        </w:rPr>
        <w:t xml:space="preserve">Propuso las siguientes excepciones: </w:t>
      </w:r>
      <w:r w:rsidR="00433890" w:rsidRPr="0041706D">
        <w:rPr>
          <w:rFonts w:ascii="Arial" w:hAnsi="Arial" w:cs="Arial"/>
          <w:iCs/>
          <w:sz w:val="24"/>
          <w:szCs w:val="24"/>
        </w:rPr>
        <w:t>i)</w:t>
      </w:r>
      <w:r w:rsidR="00CB0232" w:rsidRPr="0041706D">
        <w:rPr>
          <w:rFonts w:ascii="Arial" w:hAnsi="Arial" w:cs="Arial"/>
          <w:iCs/>
          <w:sz w:val="24"/>
          <w:szCs w:val="24"/>
        </w:rPr>
        <w:t xml:space="preserve"> </w:t>
      </w:r>
      <w:r w:rsidR="002F565D" w:rsidRPr="0041706D">
        <w:rPr>
          <w:rFonts w:ascii="Arial" w:hAnsi="Arial" w:cs="Arial"/>
          <w:iCs/>
          <w:sz w:val="24"/>
          <w:szCs w:val="24"/>
        </w:rPr>
        <w:t>indebida acumulación de pretensiones</w:t>
      </w:r>
      <w:r w:rsidRPr="0041706D">
        <w:rPr>
          <w:rStyle w:val="Refdenotaalpie"/>
          <w:rFonts w:ascii="Arial" w:hAnsi="Arial" w:cs="Arial"/>
          <w:iCs/>
          <w:sz w:val="24"/>
          <w:szCs w:val="24"/>
        </w:rPr>
        <w:footnoteReference w:id="6"/>
      </w:r>
      <w:r w:rsidR="00433890" w:rsidRPr="0041706D">
        <w:rPr>
          <w:rFonts w:ascii="Arial" w:hAnsi="Arial" w:cs="Arial"/>
          <w:iCs/>
          <w:sz w:val="24"/>
          <w:szCs w:val="24"/>
        </w:rPr>
        <w:t xml:space="preserve">; </w:t>
      </w:r>
      <w:proofErr w:type="spellStart"/>
      <w:r w:rsidR="00433890" w:rsidRPr="0041706D">
        <w:rPr>
          <w:rFonts w:ascii="Arial" w:hAnsi="Arial" w:cs="Arial"/>
          <w:iCs/>
          <w:sz w:val="24"/>
          <w:szCs w:val="24"/>
        </w:rPr>
        <w:t>ii</w:t>
      </w:r>
      <w:proofErr w:type="spellEnd"/>
      <w:r w:rsidR="00433890" w:rsidRPr="0041706D">
        <w:rPr>
          <w:rFonts w:ascii="Arial" w:hAnsi="Arial" w:cs="Arial"/>
          <w:iCs/>
          <w:sz w:val="24"/>
          <w:szCs w:val="24"/>
        </w:rPr>
        <w:t xml:space="preserve">) inexistencia de vulneración de principios constitucionales y legales; </w:t>
      </w:r>
      <w:proofErr w:type="spellStart"/>
      <w:r w:rsidR="00433890" w:rsidRPr="0041706D">
        <w:rPr>
          <w:rFonts w:ascii="Arial" w:hAnsi="Arial" w:cs="Arial"/>
          <w:iCs/>
          <w:sz w:val="24"/>
          <w:szCs w:val="24"/>
        </w:rPr>
        <w:t>iii</w:t>
      </w:r>
      <w:proofErr w:type="spellEnd"/>
      <w:r w:rsidR="00433890" w:rsidRPr="0041706D">
        <w:rPr>
          <w:rFonts w:ascii="Arial" w:hAnsi="Arial" w:cs="Arial"/>
          <w:iCs/>
          <w:sz w:val="24"/>
          <w:szCs w:val="24"/>
        </w:rPr>
        <w:t xml:space="preserve">) prescripción </w:t>
      </w:r>
      <w:r w:rsidR="00CB0232" w:rsidRPr="0041706D">
        <w:rPr>
          <w:rFonts w:ascii="Arial" w:hAnsi="Arial" w:cs="Arial"/>
          <w:iCs/>
          <w:sz w:val="24"/>
          <w:szCs w:val="24"/>
        </w:rPr>
        <w:t>de las mesadas</w:t>
      </w:r>
      <w:r w:rsidRPr="0041706D">
        <w:rPr>
          <w:rFonts w:ascii="Arial" w:hAnsi="Arial" w:cs="Arial"/>
          <w:iCs/>
          <w:sz w:val="24"/>
          <w:szCs w:val="24"/>
        </w:rPr>
        <w:t xml:space="preserve">; </w:t>
      </w:r>
      <w:r w:rsidR="00CB0232" w:rsidRPr="0041706D">
        <w:rPr>
          <w:rFonts w:ascii="Arial" w:hAnsi="Arial" w:cs="Arial"/>
          <w:iCs/>
          <w:sz w:val="24"/>
          <w:szCs w:val="24"/>
        </w:rPr>
        <w:t xml:space="preserve">y </w:t>
      </w:r>
      <w:proofErr w:type="spellStart"/>
      <w:r w:rsidR="00CB0232" w:rsidRPr="0041706D">
        <w:rPr>
          <w:rFonts w:ascii="Arial" w:hAnsi="Arial" w:cs="Arial"/>
          <w:iCs/>
          <w:sz w:val="24"/>
          <w:szCs w:val="24"/>
        </w:rPr>
        <w:t>iv</w:t>
      </w:r>
      <w:proofErr w:type="spellEnd"/>
      <w:r w:rsidR="00CB0232" w:rsidRPr="0041706D">
        <w:rPr>
          <w:rFonts w:ascii="Arial" w:hAnsi="Arial" w:cs="Arial"/>
          <w:iCs/>
          <w:sz w:val="24"/>
          <w:szCs w:val="24"/>
        </w:rPr>
        <w:t>) solicitud de reconocimiento oficioso de excepciones</w:t>
      </w:r>
      <w:r w:rsidR="00380687" w:rsidRPr="0041706D">
        <w:rPr>
          <w:rFonts w:ascii="Arial" w:hAnsi="Arial" w:cs="Arial"/>
          <w:iCs/>
          <w:sz w:val="24"/>
          <w:szCs w:val="24"/>
        </w:rPr>
        <w:t xml:space="preserve">. </w:t>
      </w:r>
    </w:p>
    <w:p w14:paraId="3BE36418" w14:textId="77777777" w:rsidR="009868A1" w:rsidRPr="0041706D" w:rsidRDefault="009868A1" w:rsidP="0041706D">
      <w:pPr>
        <w:pStyle w:val="Prrafodelista"/>
        <w:widowControl w:val="0"/>
        <w:tabs>
          <w:tab w:val="left" w:pos="7655"/>
        </w:tabs>
        <w:ind w:left="0"/>
        <w:jc w:val="both"/>
        <w:rPr>
          <w:rFonts w:ascii="Arial" w:hAnsi="Arial" w:cs="Arial"/>
          <w:iCs/>
          <w:sz w:val="24"/>
          <w:szCs w:val="24"/>
        </w:rPr>
      </w:pPr>
    </w:p>
    <w:p w14:paraId="228847E3" w14:textId="1B6C4F49" w:rsidR="005F2C44" w:rsidRPr="0041706D" w:rsidRDefault="0CB015FD" w:rsidP="0041706D">
      <w:pPr>
        <w:pStyle w:val="Prrafodelista"/>
        <w:widowControl w:val="0"/>
        <w:numPr>
          <w:ilvl w:val="0"/>
          <w:numId w:val="16"/>
        </w:numPr>
        <w:tabs>
          <w:tab w:val="left" w:pos="7655"/>
        </w:tabs>
        <w:ind w:left="0" w:firstLine="0"/>
        <w:contextualSpacing/>
        <w:rPr>
          <w:rFonts w:ascii="Arial" w:eastAsiaTheme="minorEastAsia" w:hAnsi="Arial" w:cs="Arial"/>
          <w:b/>
          <w:bCs/>
          <w:sz w:val="24"/>
          <w:szCs w:val="24"/>
        </w:rPr>
      </w:pPr>
      <w:r w:rsidRPr="0041706D">
        <w:rPr>
          <w:rFonts w:ascii="Arial" w:hAnsi="Arial" w:cs="Arial"/>
          <w:b/>
          <w:bCs/>
          <w:sz w:val="24"/>
          <w:szCs w:val="24"/>
        </w:rPr>
        <w:t>La s</w:t>
      </w:r>
      <w:r w:rsidR="0091248E" w:rsidRPr="0041706D">
        <w:rPr>
          <w:rFonts w:ascii="Arial" w:hAnsi="Arial" w:cs="Arial"/>
          <w:b/>
          <w:bCs/>
          <w:sz w:val="24"/>
          <w:szCs w:val="24"/>
        </w:rPr>
        <w:t>entencia de primera instancia</w:t>
      </w:r>
      <w:r w:rsidR="009361A6" w:rsidRPr="0041706D">
        <w:rPr>
          <w:rStyle w:val="Refdenotaalpie"/>
          <w:rFonts w:ascii="Arial" w:hAnsi="Arial" w:cs="Arial"/>
          <w:b/>
          <w:bCs/>
          <w:sz w:val="24"/>
          <w:szCs w:val="24"/>
        </w:rPr>
        <w:footnoteReference w:id="7"/>
      </w:r>
    </w:p>
    <w:p w14:paraId="613A8988" w14:textId="77777777" w:rsidR="005F2C44" w:rsidRPr="0041706D" w:rsidRDefault="005F2C44" w:rsidP="0041706D">
      <w:pPr>
        <w:widowControl w:val="0"/>
        <w:tabs>
          <w:tab w:val="left" w:pos="7655"/>
        </w:tabs>
        <w:jc w:val="both"/>
        <w:rPr>
          <w:rFonts w:ascii="Arial" w:hAnsi="Arial" w:cs="Arial"/>
          <w:b/>
          <w:iCs/>
          <w:sz w:val="24"/>
          <w:szCs w:val="24"/>
        </w:rPr>
      </w:pPr>
    </w:p>
    <w:p w14:paraId="58D985CD" w14:textId="0C7ACB0D" w:rsidR="009C17BB" w:rsidRPr="0041706D" w:rsidRDefault="003B4E87" w:rsidP="0041706D">
      <w:pPr>
        <w:pStyle w:val="Prrafodelista"/>
        <w:widowControl w:val="0"/>
        <w:numPr>
          <w:ilvl w:val="0"/>
          <w:numId w:val="21"/>
        </w:numPr>
        <w:ind w:left="0" w:firstLine="0"/>
        <w:jc w:val="both"/>
        <w:rPr>
          <w:rFonts w:ascii="Arial" w:hAnsi="Arial" w:cs="Arial"/>
          <w:sz w:val="24"/>
          <w:szCs w:val="24"/>
        </w:rPr>
      </w:pPr>
      <w:r w:rsidRPr="0041706D">
        <w:rPr>
          <w:rFonts w:ascii="Arial" w:hAnsi="Arial" w:cs="Arial"/>
          <w:sz w:val="24"/>
          <w:szCs w:val="24"/>
        </w:rPr>
        <w:t xml:space="preserve">Mediante sentencia de </w:t>
      </w:r>
      <w:r w:rsidR="008D1DB7" w:rsidRPr="0041706D">
        <w:rPr>
          <w:rFonts w:ascii="Arial" w:hAnsi="Arial" w:cs="Arial"/>
          <w:sz w:val="24"/>
          <w:szCs w:val="24"/>
        </w:rPr>
        <w:t>17</w:t>
      </w:r>
      <w:r w:rsidRPr="0041706D">
        <w:rPr>
          <w:rFonts w:ascii="Arial" w:hAnsi="Arial" w:cs="Arial"/>
          <w:sz w:val="24"/>
          <w:szCs w:val="24"/>
        </w:rPr>
        <w:t xml:space="preserve"> de </w:t>
      </w:r>
      <w:r w:rsidR="008D1DB7" w:rsidRPr="0041706D">
        <w:rPr>
          <w:rFonts w:ascii="Arial" w:hAnsi="Arial" w:cs="Arial"/>
          <w:sz w:val="24"/>
          <w:szCs w:val="24"/>
        </w:rPr>
        <w:t>fe</w:t>
      </w:r>
      <w:r w:rsidR="00610005" w:rsidRPr="0041706D">
        <w:rPr>
          <w:rFonts w:ascii="Arial" w:hAnsi="Arial" w:cs="Arial"/>
          <w:sz w:val="24"/>
          <w:szCs w:val="24"/>
        </w:rPr>
        <w:t>bre</w:t>
      </w:r>
      <w:r w:rsidR="008D1DB7" w:rsidRPr="0041706D">
        <w:rPr>
          <w:rFonts w:ascii="Arial" w:hAnsi="Arial" w:cs="Arial"/>
          <w:sz w:val="24"/>
          <w:szCs w:val="24"/>
        </w:rPr>
        <w:t>ro</w:t>
      </w:r>
      <w:r w:rsidR="00610005" w:rsidRPr="0041706D">
        <w:rPr>
          <w:rFonts w:ascii="Arial" w:hAnsi="Arial" w:cs="Arial"/>
          <w:sz w:val="24"/>
          <w:szCs w:val="24"/>
        </w:rPr>
        <w:t xml:space="preserve"> </w:t>
      </w:r>
      <w:r w:rsidRPr="0041706D">
        <w:rPr>
          <w:rFonts w:ascii="Arial" w:hAnsi="Arial" w:cs="Arial"/>
          <w:sz w:val="24"/>
          <w:szCs w:val="24"/>
        </w:rPr>
        <w:t>de 20</w:t>
      </w:r>
      <w:r w:rsidR="008D1DB7" w:rsidRPr="0041706D">
        <w:rPr>
          <w:rFonts w:ascii="Arial" w:hAnsi="Arial" w:cs="Arial"/>
          <w:sz w:val="24"/>
          <w:szCs w:val="24"/>
        </w:rPr>
        <w:t>20</w:t>
      </w:r>
      <w:r w:rsidRPr="0041706D">
        <w:rPr>
          <w:rFonts w:ascii="Arial" w:hAnsi="Arial" w:cs="Arial"/>
          <w:sz w:val="24"/>
          <w:szCs w:val="24"/>
        </w:rPr>
        <w:t>, e</w:t>
      </w:r>
      <w:r w:rsidR="00970A4E" w:rsidRPr="0041706D">
        <w:rPr>
          <w:rFonts w:ascii="Arial" w:hAnsi="Arial" w:cs="Arial"/>
          <w:sz w:val="24"/>
          <w:szCs w:val="24"/>
        </w:rPr>
        <w:t xml:space="preserve">l Juzgado </w:t>
      </w:r>
      <w:r w:rsidR="00F27438" w:rsidRPr="0041706D">
        <w:rPr>
          <w:rFonts w:ascii="Arial" w:hAnsi="Arial" w:cs="Arial"/>
          <w:sz w:val="24"/>
          <w:szCs w:val="24"/>
        </w:rPr>
        <w:t>C</w:t>
      </w:r>
      <w:r w:rsidR="008D1DB7" w:rsidRPr="0041706D">
        <w:rPr>
          <w:rFonts w:ascii="Arial" w:hAnsi="Arial" w:cs="Arial"/>
          <w:sz w:val="24"/>
          <w:szCs w:val="24"/>
        </w:rPr>
        <w:t>uar</w:t>
      </w:r>
      <w:r w:rsidR="00F27438" w:rsidRPr="0041706D">
        <w:rPr>
          <w:rFonts w:ascii="Arial" w:hAnsi="Arial" w:cs="Arial"/>
          <w:sz w:val="24"/>
          <w:szCs w:val="24"/>
        </w:rPr>
        <w:t>to</w:t>
      </w:r>
      <w:r w:rsidR="00970A4E" w:rsidRPr="0041706D">
        <w:rPr>
          <w:rFonts w:ascii="Arial" w:hAnsi="Arial" w:cs="Arial"/>
          <w:sz w:val="24"/>
          <w:szCs w:val="24"/>
        </w:rPr>
        <w:t xml:space="preserve"> Administrativo </w:t>
      </w:r>
      <w:r w:rsidR="005F2C44" w:rsidRPr="0041706D">
        <w:rPr>
          <w:rFonts w:ascii="Arial" w:hAnsi="Arial" w:cs="Arial"/>
          <w:sz w:val="24"/>
          <w:szCs w:val="24"/>
        </w:rPr>
        <w:t>del Circuito Judicial de</w:t>
      </w:r>
      <w:r w:rsidR="00861560" w:rsidRPr="0041706D">
        <w:rPr>
          <w:rFonts w:ascii="Arial" w:hAnsi="Arial" w:cs="Arial"/>
          <w:sz w:val="24"/>
          <w:szCs w:val="24"/>
        </w:rPr>
        <w:t xml:space="preserve"> </w:t>
      </w:r>
      <w:r w:rsidR="00F27438" w:rsidRPr="0041706D">
        <w:rPr>
          <w:rFonts w:ascii="Arial" w:hAnsi="Arial" w:cs="Arial"/>
          <w:sz w:val="24"/>
          <w:szCs w:val="24"/>
        </w:rPr>
        <w:t>Tunja</w:t>
      </w:r>
      <w:r w:rsidR="009C17BB" w:rsidRPr="0041706D">
        <w:rPr>
          <w:rFonts w:ascii="Arial" w:hAnsi="Arial" w:cs="Arial"/>
          <w:sz w:val="24"/>
          <w:szCs w:val="24"/>
        </w:rPr>
        <w:t xml:space="preserve">: i) declaró </w:t>
      </w:r>
      <w:r w:rsidR="009C17BB" w:rsidRPr="0041706D">
        <w:rPr>
          <w:rFonts w:ascii="Arial" w:hAnsi="Arial" w:cs="Arial"/>
          <w:b/>
          <w:bCs/>
          <w:sz w:val="24"/>
          <w:szCs w:val="24"/>
        </w:rPr>
        <w:t>no</w:t>
      </w:r>
      <w:r w:rsidR="009C17BB" w:rsidRPr="0041706D">
        <w:rPr>
          <w:rFonts w:ascii="Arial" w:hAnsi="Arial" w:cs="Arial"/>
          <w:sz w:val="24"/>
          <w:szCs w:val="24"/>
        </w:rPr>
        <w:t xml:space="preserve"> probada la excepción de prescripción de mesadas pensionales; </w:t>
      </w:r>
      <w:proofErr w:type="spellStart"/>
      <w:r w:rsidR="009C17BB" w:rsidRPr="0041706D">
        <w:rPr>
          <w:rFonts w:ascii="Arial" w:hAnsi="Arial" w:cs="Arial"/>
          <w:sz w:val="24"/>
          <w:szCs w:val="24"/>
        </w:rPr>
        <w:t>ii</w:t>
      </w:r>
      <w:proofErr w:type="spellEnd"/>
      <w:r w:rsidR="009C17BB" w:rsidRPr="0041706D">
        <w:rPr>
          <w:rFonts w:ascii="Arial" w:hAnsi="Arial" w:cs="Arial"/>
          <w:sz w:val="24"/>
          <w:szCs w:val="24"/>
        </w:rPr>
        <w:t xml:space="preserve">) declaró la nulidad parcial del acto administrativo acusado; </w:t>
      </w:r>
      <w:proofErr w:type="spellStart"/>
      <w:r w:rsidR="009C17BB" w:rsidRPr="0041706D">
        <w:rPr>
          <w:rFonts w:ascii="Arial" w:hAnsi="Arial" w:cs="Arial"/>
          <w:sz w:val="24"/>
          <w:szCs w:val="24"/>
        </w:rPr>
        <w:t>iii</w:t>
      </w:r>
      <w:proofErr w:type="spellEnd"/>
      <w:r w:rsidR="009C17BB" w:rsidRPr="0041706D">
        <w:rPr>
          <w:rFonts w:ascii="Arial" w:hAnsi="Arial" w:cs="Arial"/>
          <w:sz w:val="24"/>
          <w:szCs w:val="24"/>
        </w:rPr>
        <w:t xml:space="preserve">) a título de restablecimiento del derecho, ordenó </w:t>
      </w:r>
      <w:r w:rsidR="0036035D" w:rsidRPr="0041706D">
        <w:rPr>
          <w:rFonts w:ascii="Arial" w:hAnsi="Arial" w:cs="Arial"/>
          <w:sz w:val="24"/>
          <w:szCs w:val="24"/>
        </w:rPr>
        <w:t xml:space="preserve">a la demandada </w:t>
      </w:r>
      <w:r w:rsidR="0036035D" w:rsidRPr="0041706D">
        <w:rPr>
          <w:rFonts w:ascii="Arial" w:hAnsi="Arial" w:cs="Arial"/>
          <w:i/>
          <w:iCs/>
          <w:sz w:val="24"/>
          <w:szCs w:val="24"/>
        </w:rPr>
        <w:t xml:space="preserve">“[…] </w:t>
      </w:r>
      <w:r w:rsidR="0036035D" w:rsidRPr="0041706D">
        <w:rPr>
          <w:rFonts w:ascii="Arial" w:hAnsi="Arial" w:cs="Arial"/>
          <w:b/>
          <w:bCs/>
          <w:i/>
          <w:iCs/>
          <w:sz w:val="24"/>
          <w:szCs w:val="24"/>
        </w:rPr>
        <w:t xml:space="preserve">reliquidar y pagar </w:t>
      </w:r>
      <w:r w:rsidR="0036035D" w:rsidRPr="0041706D">
        <w:rPr>
          <w:rFonts w:ascii="Arial" w:hAnsi="Arial" w:cs="Arial"/>
          <w:i/>
          <w:iCs/>
          <w:sz w:val="24"/>
          <w:szCs w:val="24"/>
        </w:rPr>
        <w:t xml:space="preserve">una pensión de vejez a favor de la señora María Clemencia Bohórquez Gorraiz […], </w:t>
      </w:r>
      <w:r w:rsidR="0036035D" w:rsidRPr="0041706D">
        <w:rPr>
          <w:rFonts w:ascii="Arial" w:hAnsi="Arial" w:cs="Arial"/>
          <w:b/>
          <w:bCs/>
          <w:i/>
          <w:iCs/>
          <w:sz w:val="24"/>
          <w:szCs w:val="24"/>
        </w:rPr>
        <w:t>a partir del 1.° de enero de 2015</w:t>
      </w:r>
      <w:r w:rsidR="0036035D" w:rsidRPr="0041706D">
        <w:rPr>
          <w:rFonts w:ascii="Arial" w:hAnsi="Arial" w:cs="Arial"/>
          <w:i/>
          <w:iCs/>
          <w:sz w:val="24"/>
          <w:szCs w:val="24"/>
        </w:rPr>
        <w:t xml:space="preserve">, teniendo en cuenta para ello el 75% de los factores que constituyen salario devengados durante los diez años anteriores al retiro del servicio, comprendidos entre el 1.° de enero de 2005 al 31 de diciembre de 2014, esto es, con inclusión de los siguientes factores: </w:t>
      </w:r>
      <w:r w:rsidR="0036035D" w:rsidRPr="0041706D">
        <w:rPr>
          <w:rFonts w:ascii="Arial" w:hAnsi="Arial" w:cs="Arial"/>
          <w:b/>
          <w:bCs/>
          <w:i/>
          <w:iCs/>
          <w:sz w:val="24"/>
          <w:szCs w:val="24"/>
        </w:rPr>
        <w:t xml:space="preserve">asignación básica, bonificación por servicios prestados, prima de antigüedad, prima de productividad, subsidio de transporte, subsidio de alimentación </w:t>
      </w:r>
      <w:r w:rsidR="0036035D" w:rsidRPr="0041706D">
        <w:rPr>
          <w:rFonts w:ascii="Arial" w:hAnsi="Arial" w:cs="Arial"/>
          <w:i/>
          <w:iCs/>
          <w:sz w:val="24"/>
          <w:szCs w:val="24"/>
        </w:rPr>
        <w:t xml:space="preserve">y las doceavas correspondientes a </w:t>
      </w:r>
      <w:r w:rsidR="0036035D" w:rsidRPr="0041706D">
        <w:rPr>
          <w:rFonts w:ascii="Arial" w:hAnsi="Arial" w:cs="Arial"/>
          <w:b/>
          <w:bCs/>
          <w:i/>
          <w:iCs/>
          <w:sz w:val="24"/>
          <w:szCs w:val="24"/>
        </w:rPr>
        <w:t>la primera de vacaciones y la prima de navidad</w:t>
      </w:r>
      <w:r w:rsidR="0036035D" w:rsidRPr="0041706D">
        <w:rPr>
          <w:rFonts w:ascii="Arial" w:hAnsi="Arial" w:cs="Arial"/>
          <w:i/>
          <w:iCs/>
          <w:sz w:val="24"/>
          <w:szCs w:val="24"/>
        </w:rPr>
        <w:t xml:space="preserve"> […]”</w:t>
      </w:r>
      <w:r w:rsidR="0036035D" w:rsidRPr="0041706D">
        <w:rPr>
          <w:rStyle w:val="Refdenotaalpie"/>
          <w:rFonts w:ascii="Arial" w:hAnsi="Arial" w:cs="Arial"/>
          <w:i/>
          <w:iCs/>
          <w:sz w:val="24"/>
          <w:szCs w:val="24"/>
        </w:rPr>
        <w:footnoteReference w:id="8"/>
      </w:r>
      <w:r w:rsidR="0036035D" w:rsidRPr="0041706D">
        <w:rPr>
          <w:rFonts w:ascii="Arial" w:hAnsi="Arial" w:cs="Arial"/>
          <w:i/>
          <w:iCs/>
          <w:sz w:val="24"/>
          <w:szCs w:val="24"/>
        </w:rPr>
        <w:t xml:space="preserve"> </w:t>
      </w:r>
      <w:r w:rsidR="0036035D" w:rsidRPr="0041706D">
        <w:rPr>
          <w:rFonts w:ascii="Arial" w:hAnsi="Arial" w:cs="Arial"/>
          <w:sz w:val="24"/>
          <w:szCs w:val="24"/>
        </w:rPr>
        <w:t xml:space="preserve">(Destacado del texto); </w:t>
      </w:r>
      <w:proofErr w:type="spellStart"/>
      <w:r w:rsidR="0036035D" w:rsidRPr="0041706D">
        <w:rPr>
          <w:rFonts w:ascii="Arial" w:hAnsi="Arial" w:cs="Arial"/>
          <w:sz w:val="24"/>
          <w:szCs w:val="24"/>
        </w:rPr>
        <w:t>iv</w:t>
      </w:r>
      <w:proofErr w:type="spellEnd"/>
      <w:r w:rsidR="0036035D" w:rsidRPr="0041706D">
        <w:rPr>
          <w:rFonts w:ascii="Arial" w:hAnsi="Arial" w:cs="Arial"/>
          <w:sz w:val="24"/>
          <w:szCs w:val="24"/>
        </w:rPr>
        <w:t xml:space="preserve">) </w:t>
      </w:r>
      <w:r w:rsidR="00864F1C" w:rsidRPr="0041706D">
        <w:rPr>
          <w:rFonts w:ascii="Arial" w:hAnsi="Arial" w:cs="Arial"/>
          <w:sz w:val="24"/>
          <w:szCs w:val="24"/>
        </w:rPr>
        <w:t xml:space="preserve">ordenó </w:t>
      </w:r>
      <w:r w:rsidR="0036035D" w:rsidRPr="0041706D">
        <w:rPr>
          <w:rFonts w:ascii="Arial" w:hAnsi="Arial" w:cs="Arial"/>
          <w:sz w:val="24"/>
          <w:szCs w:val="24"/>
        </w:rPr>
        <w:t xml:space="preserve">el ajuste de las sumas correspondientes, de acuerdo con el índice de Precios al Consumidor; y v) negó las demás pretensiones de la demanda. </w:t>
      </w:r>
    </w:p>
    <w:p w14:paraId="3157466D" w14:textId="7C35A407" w:rsidR="0036035D" w:rsidRPr="0041706D" w:rsidRDefault="0036035D" w:rsidP="0041706D">
      <w:pPr>
        <w:pStyle w:val="Prrafodelista"/>
        <w:widowControl w:val="0"/>
        <w:ind w:left="0"/>
        <w:jc w:val="both"/>
        <w:rPr>
          <w:rFonts w:ascii="Arial" w:hAnsi="Arial" w:cs="Arial"/>
          <w:iCs/>
          <w:sz w:val="24"/>
          <w:szCs w:val="24"/>
        </w:rPr>
      </w:pPr>
    </w:p>
    <w:p w14:paraId="03119619" w14:textId="233DED45" w:rsidR="005F3EA2" w:rsidRPr="0041706D" w:rsidRDefault="0036035D" w:rsidP="0041706D">
      <w:pPr>
        <w:pStyle w:val="Prrafodelista"/>
        <w:widowControl w:val="0"/>
        <w:numPr>
          <w:ilvl w:val="1"/>
          <w:numId w:val="21"/>
        </w:numPr>
        <w:ind w:left="0" w:firstLine="0"/>
        <w:jc w:val="both"/>
        <w:rPr>
          <w:rFonts w:ascii="Arial" w:hAnsi="Arial" w:cs="Arial"/>
          <w:sz w:val="24"/>
          <w:szCs w:val="24"/>
        </w:rPr>
      </w:pPr>
      <w:r w:rsidRPr="0041706D">
        <w:rPr>
          <w:rFonts w:ascii="Arial" w:hAnsi="Arial" w:cs="Arial"/>
          <w:sz w:val="24"/>
          <w:szCs w:val="24"/>
        </w:rPr>
        <w:t xml:space="preserve">Expuso que cuando entró en vigencia la Ley 100 de 1993, </w:t>
      </w:r>
      <w:r w:rsidR="008D1DB7" w:rsidRPr="0041706D">
        <w:rPr>
          <w:rFonts w:ascii="Arial" w:hAnsi="Arial" w:cs="Arial"/>
          <w:sz w:val="24"/>
          <w:szCs w:val="24"/>
        </w:rPr>
        <w:t>la</w:t>
      </w:r>
      <w:r w:rsidR="00AA48E2" w:rsidRPr="0041706D">
        <w:rPr>
          <w:rFonts w:ascii="Arial" w:hAnsi="Arial" w:cs="Arial"/>
          <w:sz w:val="24"/>
          <w:szCs w:val="24"/>
        </w:rPr>
        <w:t xml:space="preserve"> señor</w:t>
      </w:r>
      <w:r w:rsidR="008D1DB7" w:rsidRPr="0041706D">
        <w:rPr>
          <w:rFonts w:ascii="Arial" w:hAnsi="Arial" w:cs="Arial"/>
          <w:sz w:val="24"/>
          <w:szCs w:val="24"/>
        </w:rPr>
        <w:t>a</w:t>
      </w:r>
      <w:r w:rsidR="00AA48E2" w:rsidRPr="0041706D">
        <w:rPr>
          <w:rFonts w:ascii="Arial" w:hAnsi="Arial" w:cs="Arial"/>
          <w:sz w:val="24"/>
          <w:szCs w:val="24"/>
        </w:rPr>
        <w:t xml:space="preserve"> </w:t>
      </w:r>
      <w:r w:rsidR="008D1DB7" w:rsidRPr="0041706D">
        <w:rPr>
          <w:rFonts w:ascii="Arial" w:hAnsi="Arial" w:cs="Arial"/>
          <w:sz w:val="24"/>
          <w:szCs w:val="24"/>
        </w:rPr>
        <w:t>María Clemencia Bohórquez Gorraiz</w:t>
      </w:r>
      <w:r w:rsidR="00AA48E2" w:rsidRPr="0041706D">
        <w:rPr>
          <w:rFonts w:ascii="Arial" w:hAnsi="Arial" w:cs="Arial"/>
          <w:sz w:val="24"/>
          <w:szCs w:val="24"/>
        </w:rPr>
        <w:t xml:space="preserve"> contaba con </w:t>
      </w:r>
      <w:r w:rsidR="008D1DB7" w:rsidRPr="0041706D">
        <w:rPr>
          <w:rFonts w:ascii="Arial" w:hAnsi="Arial" w:cs="Arial"/>
          <w:sz w:val="24"/>
          <w:szCs w:val="24"/>
        </w:rPr>
        <w:t>más de 35</w:t>
      </w:r>
      <w:r w:rsidR="00AA48E2" w:rsidRPr="0041706D">
        <w:rPr>
          <w:rFonts w:ascii="Arial" w:hAnsi="Arial" w:cs="Arial"/>
          <w:sz w:val="24"/>
          <w:szCs w:val="24"/>
        </w:rPr>
        <w:t xml:space="preserve"> años de edad</w:t>
      </w:r>
      <w:r w:rsidRPr="0041706D">
        <w:rPr>
          <w:rFonts w:ascii="Arial" w:hAnsi="Arial" w:cs="Arial"/>
          <w:sz w:val="24"/>
          <w:szCs w:val="24"/>
        </w:rPr>
        <w:t xml:space="preserve"> y, en consecuencia, t</w:t>
      </w:r>
      <w:r w:rsidR="00864F1C" w:rsidRPr="0041706D">
        <w:rPr>
          <w:rFonts w:ascii="Arial" w:hAnsi="Arial" w:cs="Arial"/>
          <w:sz w:val="24"/>
          <w:szCs w:val="24"/>
        </w:rPr>
        <w:t>enía</w:t>
      </w:r>
      <w:r w:rsidR="00AA48E2" w:rsidRPr="0041706D">
        <w:rPr>
          <w:rFonts w:ascii="Arial" w:hAnsi="Arial" w:cs="Arial"/>
          <w:sz w:val="24"/>
          <w:szCs w:val="24"/>
        </w:rPr>
        <w:t xml:space="preserve"> derecho al régimen de transición</w:t>
      </w:r>
      <w:r w:rsidR="00864F1C" w:rsidRPr="0041706D">
        <w:rPr>
          <w:rFonts w:ascii="Arial" w:hAnsi="Arial" w:cs="Arial"/>
          <w:sz w:val="24"/>
          <w:szCs w:val="24"/>
        </w:rPr>
        <w:t xml:space="preserve"> previsto en esa normativa. </w:t>
      </w:r>
    </w:p>
    <w:p w14:paraId="29CC0417" w14:textId="77777777" w:rsidR="0036035D" w:rsidRPr="0041706D" w:rsidRDefault="0036035D" w:rsidP="0041706D">
      <w:pPr>
        <w:pStyle w:val="Prrafodelista"/>
        <w:widowControl w:val="0"/>
        <w:ind w:left="0"/>
        <w:jc w:val="both"/>
        <w:rPr>
          <w:rFonts w:ascii="Arial" w:hAnsi="Arial" w:cs="Arial"/>
          <w:sz w:val="24"/>
          <w:szCs w:val="24"/>
        </w:rPr>
      </w:pPr>
    </w:p>
    <w:p w14:paraId="58AD1B21" w14:textId="72DCF51D" w:rsidR="0036035D" w:rsidRPr="0041706D" w:rsidRDefault="0036035D" w:rsidP="0041706D">
      <w:pPr>
        <w:pStyle w:val="Prrafodelista"/>
        <w:widowControl w:val="0"/>
        <w:numPr>
          <w:ilvl w:val="1"/>
          <w:numId w:val="21"/>
        </w:numPr>
        <w:ind w:left="0" w:firstLine="0"/>
        <w:jc w:val="both"/>
        <w:rPr>
          <w:rFonts w:ascii="Arial" w:hAnsi="Arial" w:cs="Arial"/>
          <w:iCs/>
          <w:sz w:val="24"/>
          <w:szCs w:val="24"/>
        </w:rPr>
      </w:pPr>
      <w:r w:rsidRPr="0041706D">
        <w:rPr>
          <w:rFonts w:ascii="Arial" w:hAnsi="Arial" w:cs="Arial"/>
          <w:iCs/>
          <w:sz w:val="24"/>
          <w:szCs w:val="24"/>
        </w:rPr>
        <w:t xml:space="preserve">Indicó que, de acuerdo con </w:t>
      </w:r>
      <w:r w:rsidR="006D770F" w:rsidRPr="0041706D">
        <w:rPr>
          <w:rFonts w:ascii="Arial" w:hAnsi="Arial" w:cs="Arial"/>
          <w:iCs/>
          <w:sz w:val="24"/>
          <w:szCs w:val="24"/>
        </w:rPr>
        <w:t>las sentencias de unificación del Consejo de Estado y de la Corte Constitucional</w:t>
      </w:r>
      <w:r w:rsidRPr="0041706D">
        <w:rPr>
          <w:rFonts w:ascii="Arial" w:hAnsi="Arial" w:cs="Arial"/>
          <w:iCs/>
          <w:sz w:val="24"/>
          <w:szCs w:val="24"/>
        </w:rPr>
        <w:t xml:space="preserve">, </w:t>
      </w:r>
      <w:r w:rsidRPr="0041706D">
        <w:rPr>
          <w:rFonts w:ascii="Arial" w:hAnsi="Arial" w:cs="Arial"/>
          <w:i/>
          <w:iCs/>
          <w:sz w:val="24"/>
          <w:szCs w:val="24"/>
        </w:rPr>
        <w:t>“[…] debe mantenerse a favor [de la demandante] el régimen contenido en el Decreto 546 de 1971, en cuanto tiene que ver con la edad, el tiempo de servicio o semanas cotizadas y la tasa de reemplazo. No obstante, el ingreso base de liquidación debe regirse por lo establecido en la Ley 100 de 1993 […]”.</w:t>
      </w:r>
    </w:p>
    <w:p w14:paraId="67A288FA" w14:textId="77777777" w:rsidR="0036035D" w:rsidRPr="0041706D" w:rsidRDefault="0036035D" w:rsidP="0041706D">
      <w:pPr>
        <w:pStyle w:val="Prrafodelista"/>
        <w:ind w:left="0"/>
        <w:rPr>
          <w:rFonts w:ascii="Arial" w:hAnsi="Arial" w:cs="Arial"/>
          <w:iCs/>
          <w:sz w:val="24"/>
          <w:szCs w:val="24"/>
        </w:rPr>
      </w:pPr>
    </w:p>
    <w:p w14:paraId="62C5E690" w14:textId="46980B1A" w:rsidR="00A7429F" w:rsidRPr="0041706D" w:rsidRDefault="0036035D" w:rsidP="0041706D">
      <w:pPr>
        <w:pStyle w:val="Prrafodelista"/>
        <w:widowControl w:val="0"/>
        <w:numPr>
          <w:ilvl w:val="1"/>
          <w:numId w:val="21"/>
        </w:numPr>
        <w:ind w:left="0" w:firstLine="0"/>
        <w:jc w:val="both"/>
        <w:rPr>
          <w:rFonts w:ascii="Arial" w:hAnsi="Arial" w:cs="Arial"/>
          <w:iCs/>
          <w:sz w:val="24"/>
          <w:szCs w:val="24"/>
        </w:rPr>
      </w:pPr>
      <w:r w:rsidRPr="0041706D">
        <w:rPr>
          <w:rFonts w:ascii="Arial" w:hAnsi="Arial" w:cs="Arial"/>
          <w:iCs/>
          <w:sz w:val="24"/>
          <w:szCs w:val="24"/>
        </w:rPr>
        <w:t xml:space="preserve">Consideró que </w:t>
      </w:r>
      <w:r w:rsidR="0009769E" w:rsidRPr="0041706D">
        <w:rPr>
          <w:rFonts w:ascii="Arial" w:hAnsi="Arial" w:cs="Arial"/>
          <w:iCs/>
          <w:sz w:val="24"/>
          <w:szCs w:val="24"/>
        </w:rPr>
        <w:t xml:space="preserve">la pensión de la demandante debía ser calculada sobre el salario promedio </w:t>
      </w:r>
      <w:r w:rsidR="00864F1C" w:rsidRPr="0041706D">
        <w:rPr>
          <w:rFonts w:ascii="Arial" w:hAnsi="Arial" w:cs="Arial"/>
          <w:iCs/>
          <w:sz w:val="24"/>
          <w:szCs w:val="24"/>
        </w:rPr>
        <w:t xml:space="preserve">que devengó </w:t>
      </w:r>
      <w:r w:rsidR="0009769E" w:rsidRPr="0041706D">
        <w:rPr>
          <w:rFonts w:ascii="Arial" w:hAnsi="Arial" w:cs="Arial"/>
          <w:iCs/>
          <w:sz w:val="24"/>
          <w:szCs w:val="24"/>
        </w:rPr>
        <w:t>durante los</w:t>
      </w:r>
      <w:r w:rsidRPr="0041706D">
        <w:rPr>
          <w:rFonts w:ascii="Arial" w:hAnsi="Arial" w:cs="Arial"/>
          <w:iCs/>
          <w:sz w:val="24"/>
          <w:szCs w:val="24"/>
        </w:rPr>
        <w:t xml:space="preserve"> diez</w:t>
      </w:r>
      <w:r w:rsidR="0009769E" w:rsidRPr="0041706D">
        <w:rPr>
          <w:rFonts w:ascii="Arial" w:hAnsi="Arial" w:cs="Arial"/>
          <w:iCs/>
          <w:sz w:val="24"/>
          <w:szCs w:val="24"/>
        </w:rPr>
        <w:t xml:space="preserve"> </w:t>
      </w:r>
      <w:r w:rsidRPr="0041706D">
        <w:rPr>
          <w:rFonts w:ascii="Arial" w:hAnsi="Arial" w:cs="Arial"/>
          <w:iCs/>
          <w:sz w:val="24"/>
          <w:szCs w:val="24"/>
        </w:rPr>
        <w:t>(</w:t>
      </w:r>
      <w:r w:rsidR="0009769E" w:rsidRPr="0041706D">
        <w:rPr>
          <w:rFonts w:ascii="Arial" w:hAnsi="Arial" w:cs="Arial"/>
          <w:iCs/>
          <w:sz w:val="24"/>
          <w:szCs w:val="24"/>
        </w:rPr>
        <w:t>10</w:t>
      </w:r>
      <w:r w:rsidRPr="0041706D">
        <w:rPr>
          <w:rFonts w:ascii="Arial" w:hAnsi="Arial" w:cs="Arial"/>
          <w:iCs/>
          <w:sz w:val="24"/>
          <w:szCs w:val="24"/>
        </w:rPr>
        <w:t>)</w:t>
      </w:r>
      <w:r w:rsidR="0009769E" w:rsidRPr="0041706D">
        <w:rPr>
          <w:rFonts w:ascii="Arial" w:hAnsi="Arial" w:cs="Arial"/>
          <w:iCs/>
          <w:sz w:val="24"/>
          <w:szCs w:val="24"/>
        </w:rPr>
        <w:t xml:space="preserve"> años de servicios anteriores al retiro, y sobre los factores que sirvieron de base para calcular los aportes. </w:t>
      </w:r>
    </w:p>
    <w:p w14:paraId="441C6AEB" w14:textId="77777777" w:rsidR="00EE1071" w:rsidRPr="0041706D" w:rsidRDefault="00EE1071" w:rsidP="0041706D">
      <w:pPr>
        <w:pStyle w:val="Prrafodelista"/>
        <w:ind w:left="0"/>
        <w:rPr>
          <w:rFonts w:ascii="Arial" w:hAnsi="Arial" w:cs="Arial"/>
          <w:iCs/>
          <w:sz w:val="24"/>
          <w:szCs w:val="24"/>
        </w:rPr>
      </w:pPr>
    </w:p>
    <w:p w14:paraId="35A1A6DE" w14:textId="20E6AE6D" w:rsidR="0009769E" w:rsidRPr="0041706D" w:rsidRDefault="002066BF" w:rsidP="0041706D">
      <w:pPr>
        <w:pStyle w:val="Prrafodelista"/>
        <w:widowControl w:val="0"/>
        <w:numPr>
          <w:ilvl w:val="1"/>
          <w:numId w:val="21"/>
        </w:numPr>
        <w:ind w:left="0" w:firstLine="0"/>
        <w:jc w:val="both"/>
        <w:rPr>
          <w:rFonts w:ascii="Arial" w:hAnsi="Arial" w:cs="Arial"/>
          <w:iCs/>
          <w:sz w:val="24"/>
          <w:szCs w:val="24"/>
        </w:rPr>
      </w:pPr>
      <w:r w:rsidRPr="0041706D">
        <w:rPr>
          <w:rFonts w:ascii="Arial" w:hAnsi="Arial" w:cs="Arial"/>
          <w:iCs/>
          <w:sz w:val="24"/>
          <w:szCs w:val="24"/>
        </w:rPr>
        <w:t>Precisó que</w:t>
      </w:r>
      <w:r w:rsidR="00EE1071" w:rsidRPr="0041706D">
        <w:rPr>
          <w:rFonts w:ascii="Arial" w:hAnsi="Arial" w:cs="Arial"/>
          <w:iCs/>
          <w:sz w:val="24"/>
          <w:szCs w:val="24"/>
        </w:rPr>
        <w:t>,</w:t>
      </w:r>
      <w:r w:rsidRPr="0041706D">
        <w:rPr>
          <w:rFonts w:ascii="Arial" w:hAnsi="Arial" w:cs="Arial"/>
          <w:iCs/>
          <w:sz w:val="24"/>
          <w:szCs w:val="24"/>
        </w:rPr>
        <w:t xml:space="preserve"> de acuerdo </w:t>
      </w:r>
      <w:r w:rsidR="00EE1071" w:rsidRPr="0041706D">
        <w:rPr>
          <w:rFonts w:ascii="Arial" w:hAnsi="Arial" w:cs="Arial"/>
          <w:iCs/>
          <w:sz w:val="24"/>
          <w:szCs w:val="24"/>
        </w:rPr>
        <w:t xml:space="preserve">con el acto administrativo acusado, </w:t>
      </w:r>
      <w:r w:rsidR="00065886" w:rsidRPr="0041706D">
        <w:rPr>
          <w:rFonts w:ascii="Arial" w:hAnsi="Arial" w:cs="Arial"/>
          <w:iCs/>
          <w:sz w:val="24"/>
          <w:szCs w:val="24"/>
        </w:rPr>
        <w:t xml:space="preserve">la entidad demandada </w:t>
      </w:r>
      <w:r w:rsidRPr="0041706D">
        <w:rPr>
          <w:rFonts w:ascii="Arial" w:hAnsi="Arial" w:cs="Arial"/>
          <w:iCs/>
          <w:sz w:val="24"/>
          <w:szCs w:val="24"/>
        </w:rPr>
        <w:t xml:space="preserve">ordenó el reconocimiento y pago de una pensión de vejez a favor de la demandante </w:t>
      </w:r>
      <w:r w:rsidR="00EE1071" w:rsidRPr="0041706D">
        <w:rPr>
          <w:rFonts w:ascii="Arial" w:hAnsi="Arial" w:cs="Arial"/>
          <w:iCs/>
          <w:sz w:val="24"/>
          <w:szCs w:val="24"/>
        </w:rPr>
        <w:t>y tuvo en cuenta</w:t>
      </w:r>
      <w:r w:rsidR="00A409CD" w:rsidRPr="0041706D">
        <w:rPr>
          <w:rFonts w:ascii="Arial" w:hAnsi="Arial" w:cs="Arial"/>
          <w:iCs/>
          <w:sz w:val="24"/>
          <w:szCs w:val="24"/>
        </w:rPr>
        <w:t xml:space="preserve"> los factores</w:t>
      </w:r>
      <w:r w:rsidR="00065886" w:rsidRPr="0041706D">
        <w:rPr>
          <w:rFonts w:ascii="Arial" w:hAnsi="Arial" w:cs="Arial"/>
          <w:iCs/>
          <w:sz w:val="24"/>
          <w:szCs w:val="24"/>
        </w:rPr>
        <w:t xml:space="preserve"> de</w:t>
      </w:r>
      <w:r w:rsidR="00A409CD" w:rsidRPr="0041706D">
        <w:rPr>
          <w:rFonts w:ascii="Arial" w:hAnsi="Arial" w:cs="Arial"/>
          <w:iCs/>
          <w:sz w:val="24"/>
          <w:szCs w:val="24"/>
        </w:rPr>
        <w:t xml:space="preserve"> asignación básica, bonificación por servicios prestados, prima de antigüedad y prima de productividad, los cuales se enc</w:t>
      </w:r>
      <w:r w:rsidR="007E41B4" w:rsidRPr="0041706D">
        <w:rPr>
          <w:rFonts w:ascii="Arial" w:hAnsi="Arial" w:cs="Arial"/>
          <w:iCs/>
          <w:sz w:val="24"/>
          <w:szCs w:val="24"/>
        </w:rPr>
        <w:t>ontraban</w:t>
      </w:r>
      <w:r w:rsidR="00A409CD" w:rsidRPr="0041706D">
        <w:rPr>
          <w:rFonts w:ascii="Arial" w:hAnsi="Arial" w:cs="Arial"/>
          <w:iCs/>
          <w:sz w:val="24"/>
          <w:szCs w:val="24"/>
        </w:rPr>
        <w:t xml:space="preserve"> </w:t>
      </w:r>
      <w:r w:rsidR="00EE1071" w:rsidRPr="0041706D">
        <w:rPr>
          <w:rFonts w:ascii="Arial" w:hAnsi="Arial" w:cs="Arial"/>
          <w:iCs/>
          <w:sz w:val="24"/>
          <w:szCs w:val="24"/>
        </w:rPr>
        <w:t xml:space="preserve">previstos </w:t>
      </w:r>
      <w:r w:rsidR="00A409CD" w:rsidRPr="0041706D">
        <w:rPr>
          <w:rFonts w:ascii="Arial" w:hAnsi="Arial" w:cs="Arial"/>
          <w:iCs/>
          <w:sz w:val="24"/>
          <w:szCs w:val="24"/>
        </w:rPr>
        <w:t xml:space="preserve">en el </w:t>
      </w:r>
      <w:r w:rsidR="00EE1071" w:rsidRPr="0041706D">
        <w:rPr>
          <w:rFonts w:ascii="Arial" w:hAnsi="Arial" w:cs="Arial"/>
          <w:iCs/>
          <w:sz w:val="24"/>
          <w:szCs w:val="24"/>
        </w:rPr>
        <w:t>artículo</w:t>
      </w:r>
      <w:r w:rsidR="00A409CD" w:rsidRPr="0041706D">
        <w:rPr>
          <w:rFonts w:ascii="Arial" w:hAnsi="Arial" w:cs="Arial"/>
          <w:iCs/>
          <w:sz w:val="24"/>
          <w:szCs w:val="24"/>
        </w:rPr>
        <w:t xml:space="preserve"> 1° del Decreto 1158 de 1994. </w:t>
      </w:r>
      <w:r w:rsidR="0009769E" w:rsidRPr="0041706D">
        <w:rPr>
          <w:rFonts w:ascii="Arial" w:hAnsi="Arial" w:cs="Arial"/>
          <w:iCs/>
          <w:sz w:val="24"/>
          <w:szCs w:val="24"/>
        </w:rPr>
        <w:t xml:space="preserve"> </w:t>
      </w:r>
    </w:p>
    <w:p w14:paraId="550ED96C" w14:textId="77777777" w:rsidR="00EE1071" w:rsidRPr="0041706D" w:rsidRDefault="00EE1071" w:rsidP="0041706D">
      <w:pPr>
        <w:pStyle w:val="Prrafodelista"/>
        <w:ind w:left="0"/>
        <w:rPr>
          <w:rFonts w:ascii="Arial" w:hAnsi="Arial" w:cs="Arial"/>
          <w:iCs/>
          <w:sz w:val="24"/>
          <w:szCs w:val="24"/>
        </w:rPr>
      </w:pPr>
    </w:p>
    <w:p w14:paraId="70E68C6B" w14:textId="2FA9D473" w:rsidR="00A6750A" w:rsidRPr="0041706D" w:rsidRDefault="00742519" w:rsidP="0041706D">
      <w:pPr>
        <w:pStyle w:val="Prrafodelista"/>
        <w:widowControl w:val="0"/>
        <w:numPr>
          <w:ilvl w:val="1"/>
          <w:numId w:val="21"/>
        </w:numPr>
        <w:ind w:left="0" w:firstLine="0"/>
        <w:jc w:val="both"/>
        <w:rPr>
          <w:rFonts w:ascii="Arial" w:hAnsi="Arial" w:cs="Arial"/>
          <w:sz w:val="24"/>
          <w:szCs w:val="24"/>
        </w:rPr>
      </w:pPr>
      <w:r w:rsidRPr="0041706D">
        <w:rPr>
          <w:rFonts w:ascii="Arial" w:hAnsi="Arial" w:cs="Arial"/>
          <w:sz w:val="24"/>
          <w:szCs w:val="24"/>
        </w:rPr>
        <w:t>Señaló que</w:t>
      </w:r>
      <w:r w:rsidR="00EE1071" w:rsidRPr="0041706D">
        <w:rPr>
          <w:rFonts w:ascii="Arial" w:hAnsi="Arial" w:cs="Arial"/>
          <w:sz w:val="24"/>
          <w:szCs w:val="24"/>
        </w:rPr>
        <w:t xml:space="preserve">, sin embargo, </w:t>
      </w:r>
      <w:r w:rsidR="00EE1071" w:rsidRPr="0041706D">
        <w:rPr>
          <w:rFonts w:ascii="Arial" w:hAnsi="Arial" w:cs="Arial"/>
          <w:i/>
          <w:iCs/>
          <w:sz w:val="24"/>
          <w:szCs w:val="24"/>
        </w:rPr>
        <w:t xml:space="preserve">“[…] de acuerdo con el certificado de salarios mes a mes para liquidar pensiones del régimen de prima media, expedido por la Fiscalía General de la Nación, se conoce que, dentro de los 10 años anteriores a su retiro, se efectuaron aportes de manera adicional a los ya reconocidos, sobre los siguientes: subsidio de transporte, subsidio de alimentación, sueldo de vacaciones, prima de vacaciones y prima de navidad </w:t>
      </w:r>
      <w:r w:rsidR="00EE1071" w:rsidRPr="0041706D">
        <w:rPr>
          <w:rFonts w:ascii="Arial" w:hAnsi="Arial" w:cs="Arial"/>
          <w:i/>
          <w:iCs/>
          <w:sz w:val="24"/>
          <w:szCs w:val="24"/>
        </w:rPr>
        <w:lastRenderedPageBreak/>
        <w:t>[…]”.</w:t>
      </w:r>
      <w:r w:rsidR="00A6750A" w:rsidRPr="0041706D">
        <w:rPr>
          <w:rFonts w:ascii="Arial" w:hAnsi="Arial" w:cs="Arial"/>
          <w:sz w:val="24"/>
          <w:szCs w:val="24"/>
        </w:rPr>
        <w:t xml:space="preserve"> </w:t>
      </w:r>
    </w:p>
    <w:p w14:paraId="691B906C" w14:textId="77777777" w:rsidR="00EE1071" w:rsidRPr="0041706D" w:rsidRDefault="00EE1071" w:rsidP="0041706D">
      <w:pPr>
        <w:pStyle w:val="Prrafodelista"/>
        <w:ind w:left="0"/>
        <w:rPr>
          <w:rFonts w:ascii="Arial" w:hAnsi="Arial" w:cs="Arial"/>
          <w:iCs/>
          <w:sz w:val="24"/>
          <w:szCs w:val="24"/>
        </w:rPr>
      </w:pPr>
    </w:p>
    <w:p w14:paraId="4756D44E" w14:textId="1D1B4DBD" w:rsidR="00EE1071" w:rsidRPr="0041706D" w:rsidRDefault="00EE1071" w:rsidP="0041706D">
      <w:pPr>
        <w:pStyle w:val="Prrafodelista"/>
        <w:widowControl w:val="0"/>
        <w:numPr>
          <w:ilvl w:val="1"/>
          <w:numId w:val="21"/>
        </w:numPr>
        <w:ind w:left="0" w:firstLine="0"/>
        <w:jc w:val="both"/>
        <w:rPr>
          <w:rFonts w:ascii="Arial" w:hAnsi="Arial" w:cs="Arial"/>
          <w:sz w:val="24"/>
          <w:szCs w:val="24"/>
        </w:rPr>
      </w:pPr>
      <w:r w:rsidRPr="0041706D">
        <w:rPr>
          <w:rFonts w:ascii="Arial" w:hAnsi="Arial" w:cs="Arial"/>
          <w:sz w:val="24"/>
          <w:szCs w:val="24"/>
        </w:rPr>
        <w:t xml:space="preserve">Resaltó que, de acuerdo con el </w:t>
      </w:r>
      <w:r w:rsidRPr="0041706D">
        <w:rPr>
          <w:rFonts w:ascii="Arial" w:hAnsi="Arial" w:cs="Arial"/>
          <w:b/>
          <w:bCs/>
          <w:sz w:val="24"/>
          <w:szCs w:val="24"/>
        </w:rPr>
        <w:t>Acto Legislativo núm. 1 de 2005,</w:t>
      </w:r>
      <w:r w:rsidRPr="0041706D">
        <w:rPr>
          <w:rFonts w:ascii="Arial" w:hAnsi="Arial" w:cs="Arial"/>
          <w:sz w:val="24"/>
          <w:szCs w:val="24"/>
        </w:rPr>
        <w:t xml:space="preserve"> debían tenerse en cuenta los factores salariales respecto de los cuales la demandante realizó los aportes correspondientes, </w:t>
      </w:r>
      <w:r w:rsidR="007E41B4" w:rsidRPr="0041706D">
        <w:rPr>
          <w:rFonts w:ascii="Arial" w:hAnsi="Arial" w:cs="Arial"/>
          <w:sz w:val="24"/>
          <w:szCs w:val="24"/>
        </w:rPr>
        <w:t>con exclusión</w:t>
      </w:r>
      <w:r w:rsidRPr="0041706D">
        <w:rPr>
          <w:rFonts w:ascii="Arial" w:hAnsi="Arial" w:cs="Arial"/>
          <w:sz w:val="24"/>
          <w:szCs w:val="24"/>
        </w:rPr>
        <w:t xml:space="preserve"> </w:t>
      </w:r>
      <w:r w:rsidR="007E41B4" w:rsidRPr="0041706D">
        <w:rPr>
          <w:rFonts w:ascii="Arial" w:hAnsi="Arial" w:cs="Arial"/>
          <w:sz w:val="24"/>
          <w:szCs w:val="24"/>
        </w:rPr>
        <w:t>d</w:t>
      </w:r>
      <w:r w:rsidRPr="0041706D">
        <w:rPr>
          <w:rFonts w:ascii="Arial" w:hAnsi="Arial" w:cs="Arial"/>
          <w:sz w:val="24"/>
          <w:szCs w:val="24"/>
        </w:rPr>
        <w:t xml:space="preserve">el sueldo de vacaciones </w:t>
      </w:r>
      <w:r w:rsidR="007E41B4" w:rsidRPr="0041706D">
        <w:rPr>
          <w:rFonts w:ascii="Arial" w:hAnsi="Arial" w:cs="Arial"/>
          <w:sz w:val="24"/>
          <w:szCs w:val="24"/>
        </w:rPr>
        <w:t>al tratarse de un emolumento que no tenía</w:t>
      </w:r>
      <w:r w:rsidRPr="0041706D">
        <w:rPr>
          <w:rFonts w:ascii="Arial" w:hAnsi="Arial" w:cs="Arial"/>
          <w:sz w:val="24"/>
          <w:szCs w:val="24"/>
        </w:rPr>
        <w:t xml:space="preserve"> el carácter remuneratorio o de prestación. </w:t>
      </w:r>
    </w:p>
    <w:p w14:paraId="4AF6BCD3" w14:textId="77777777" w:rsidR="00EE1071" w:rsidRPr="0041706D" w:rsidRDefault="00EE1071" w:rsidP="0041706D">
      <w:pPr>
        <w:pStyle w:val="Prrafodelista"/>
        <w:ind w:left="0"/>
        <w:rPr>
          <w:rFonts w:ascii="Arial" w:hAnsi="Arial" w:cs="Arial"/>
          <w:iCs/>
          <w:sz w:val="24"/>
          <w:szCs w:val="24"/>
        </w:rPr>
      </w:pPr>
    </w:p>
    <w:p w14:paraId="067BC400" w14:textId="77777777" w:rsidR="007E41B4" w:rsidRPr="0041706D" w:rsidRDefault="00EE1071" w:rsidP="0041706D">
      <w:pPr>
        <w:pStyle w:val="Prrafodelista"/>
        <w:widowControl w:val="0"/>
        <w:numPr>
          <w:ilvl w:val="1"/>
          <w:numId w:val="21"/>
        </w:numPr>
        <w:ind w:left="0" w:firstLine="0"/>
        <w:jc w:val="both"/>
        <w:rPr>
          <w:rFonts w:ascii="Arial" w:hAnsi="Arial" w:cs="Arial"/>
          <w:iCs/>
          <w:sz w:val="24"/>
          <w:szCs w:val="24"/>
        </w:rPr>
      </w:pPr>
      <w:r w:rsidRPr="0041706D">
        <w:rPr>
          <w:rFonts w:ascii="Arial" w:hAnsi="Arial" w:cs="Arial"/>
          <w:iCs/>
          <w:sz w:val="24"/>
          <w:szCs w:val="24"/>
        </w:rPr>
        <w:t>Ahora bien, en relación con la pretensión de reconocimiento de la pensión con tasa de remplazo equivalente al 90%, adujo que carecía de sustento legal.</w:t>
      </w:r>
    </w:p>
    <w:p w14:paraId="551AEF58" w14:textId="77777777" w:rsidR="007E41B4" w:rsidRPr="0041706D" w:rsidRDefault="007E41B4" w:rsidP="0041706D">
      <w:pPr>
        <w:pStyle w:val="Prrafodelista"/>
        <w:ind w:left="0"/>
        <w:rPr>
          <w:rFonts w:ascii="Arial" w:hAnsi="Arial" w:cs="Arial"/>
          <w:iCs/>
          <w:sz w:val="24"/>
          <w:szCs w:val="24"/>
        </w:rPr>
      </w:pPr>
    </w:p>
    <w:p w14:paraId="6DA13733" w14:textId="275731E6" w:rsidR="00F81103" w:rsidRPr="0041706D" w:rsidRDefault="007E41B4" w:rsidP="0041706D">
      <w:pPr>
        <w:pStyle w:val="Prrafodelista"/>
        <w:widowControl w:val="0"/>
        <w:numPr>
          <w:ilvl w:val="1"/>
          <w:numId w:val="21"/>
        </w:numPr>
        <w:ind w:left="0" w:firstLine="0"/>
        <w:jc w:val="both"/>
        <w:rPr>
          <w:rFonts w:ascii="Arial" w:hAnsi="Arial" w:cs="Arial"/>
          <w:iCs/>
          <w:sz w:val="24"/>
          <w:szCs w:val="24"/>
        </w:rPr>
      </w:pPr>
      <w:r w:rsidRPr="0041706D">
        <w:rPr>
          <w:rFonts w:ascii="Arial" w:hAnsi="Arial" w:cs="Arial"/>
          <w:iCs/>
          <w:sz w:val="24"/>
          <w:szCs w:val="24"/>
        </w:rPr>
        <w:t xml:space="preserve">Por último, consideró que no se configuró la prescripción porque el derecho pensional se reconoció el 10 de junio de 2016 y la demanda se radicó el 9 de junio de 2018, sin que hubiera trascurrido más de tres (3) años. </w:t>
      </w:r>
    </w:p>
    <w:p w14:paraId="1D097479" w14:textId="0EC5F8D6" w:rsidR="00943F3F" w:rsidRPr="0041706D" w:rsidRDefault="00943F3F" w:rsidP="0041706D">
      <w:pPr>
        <w:widowControl w:val="0"/>
        <w:tabs>
          <w:tab w:val="left" w:pos="7655"/>
        </w:tabs>
        <w:jc w:val="both"/>
        <w:rPr>
          <w:rFonts w:ascii="Arial" w:hAnsi="Arial" w:cs="Arial"/>
          <w:iCs/>
          <w:sz w:val="24"/>
          <w:szCs w:val="24"/>
        </w:rPr>
      </w:pPr>
    </w:p>
    <w:p w14:paraId="33EB523D" w14:textId="39E474A3" w:rsidR="005F2C44" w:rsidRPr="0041706D" w:rsidRDefault="00EE1071" w:rsidP="0041706D">
      <w:pPr>
        <w:pStyle w:val="Prrafodelista"/>
        <w:widowControl w:val="0"/>
        <w:numPr>
          <w:ilvl w:val="0"/>
          <w:numId w:val="16"/>
        </w:numPr>
        <w:tabs>
          <w:tab w:val="left" w:pos="270"/>
        </w:tabs>
        <w:ind w:left="0" w:firstLine="0"/>
        <w:jc w:val="both"/>
        <w:rPr>
          <w:rFonts w:ascii="Arial" w:eastAsiaTheme="minorEastAsia" w:hAnsi="Arial" w:cs="Arial"/>
          <w:b/>
          <w:bCs/>
          <w:sz w:val="24"/>
          <w:szCs w:val="24"/>
        </w:rPr>
      </w:pPr>
      <w:r w:rsidRPr="0041706D">
        <w:rPr>
          <w:rFonts w:ascii="Arial" w:hAnsi="Arial" w:cs="Arial"/>
          <w:b/>
          <w:bCs/>
          <w:sz w:val="24"/>
          <w:szCs w:val="24"/>
        </w:rPr>
        <w:t>Recursos de apelación</w:t>
      </w:r>
    </w:p>
    <w:p w14:paraId="5C19440E" w14:textId="77777777" w:rsidR="00B0427F" w:rsidRPr="0041706D" w:rsidRDefault="00B0427F" w:rsidP="0041706D">
      <w:pPr>
        <w:widowControl w:val="0"/>
        <w:tabs>
          <w:tab w:val="left" w:pos="7655"/>
        </w:tabs>
        <w:jc w:val="both"/>
        <w:rPr>
          <w:rFonts w:ascii="Arial" w:eastAsiaTheme="minorEastAsia" w:hAnsi="Arial" w:cs="Arial"/>
          <w:b/>
          <w:bCs/>
          <w:sz w:val="24"/>
          <w:szCs w:val="24"/>
        </w:rPr>
      </w:pPr>
    </w:p>
    <w:p w14:paraId="3F39FF44" w14:textId="470C4885" w:rsidR="00E6139F" w:rsidRPr="0041706D" w:rsidRDefault="00E6139F" w:rsidP="0041706D">
      <w:pPr>
        <w:pStyle w:val="Prrafodelista"/>
        <w:widowControl w:val="0"/>
        <w:numPr>
          <w:ilvl w:val="1"/>
          <w:numId w:val="25"/>
        </w:numPr>
        <w:tabs>
          <w:tab w:val="left" w:pos="709"/>
          <w:tab w:val="left" w:pos="7655"/>
        </w:tabs>
        <w:suppressAutoHyphens/>
        <w:ind w:left="0" w:firstLine="0"/>
        <w:jc w:val="both"/>
        <w:rPr>
          <w:rFonts w:ascii="Arial" w:hAnsi="Arial" w:cs="Arial"/>
          <w:b/>
          <w:bCs/>
          <w:sz w:val="24"/>
          <w:szCs w:val="24"/>
        </w:rPr>
      </w:pPr>
      <w:r w:rsidRPr="0041706D">
        <w:rPr>
          <w:rFonts w:ascii="Arial" w:hAnsi="Arial" w:cs="Arial"/>
          <w:b/>
          <w:bCs/>
          <w:sz w:val="24"/>
          <w:szCs w:val="24"/>
        </w:rPr>
        <w:t xml:space="preserve">De la </w:t>
      </w:r>
      <w:r w:rsidR="007E41B4" w:rsidRPr="0041706D">
        <w:rPr>
          <w:rFonts w:ascii="Arial" w:hAnsi="Arial" w:cs="Arial"/>
          <w:b/>
          <w:bCs/>
          <w:sz w:val="24"/>
          <w:szCs w:val="24"/>
        </w:rPr>
        <w:t>p</w:t>
      </w:r>
      <w:r w:rsidRPr="0041706D">
        <w:rPr>
          <w:rFonts w:ascii="Arial" w:hAnsi="Arial" w:cs="Arial"/>
          <w:b/>
          <w:bCs/>
          <w:sz w:val="24"/>
          <w:szCs w:val="24"/>
        </w:rPr>
        <w:t>arte demandante</w:t>
      </w:r>
      <w:r w:rsidRPr="0041706D">
        <w:rPr>
          <w:rStyle w:val="Refdenotaalpie"/>
          <w:rFonts w:ascii="Arial" w:hAnsi="Arial" w:cs="Arial"/>
          <w:b/>
          <w:bCs/>
          <w:sz w:val="24"/>
          <w:szCs w:val="24"/>
        </w:rPr>
        <w:footnoteReference w:id="9"/>
      </w:r>
      <w:r w:rsidRPr="0041706D">
        <w:rPr>
          <w:rFonts w:ascii="Arial" w:hAnsi="Arial" w:cs="Arial"/>
          <w:b/>
          <w:bCs/>
          <w:sz w:val="24"/>
          <w:szCs w:val="24"/>
        </w:rPr>
        <w:t xml:space="preserve"> </w:t>
      </w:r>
    </w:p>
    <w:p w14:paraId="2F02ABAC" w14:textId="77777777" w:rsidR="00E6139F" w:rsidRPr="0041706D" w:rsidRDefault="00E6139F" w:rsidP="0041706D">
      <w:pPr>
        <w:widowControl w:val="0"/>
        <w:tabs>
          <w:tab w:val="left" w:pos="3311"/>
          <w:tab w:val="left" w:pos="7655"/>
        </w:tabs>
        <w:suppressAutoHyphens/>
        <w:jc w:val="both"/>
        <w:rPr>
          <w:rFonts w:ascii="Arial" w:hAnsi="Arial" w:cs="Arial"/>
          <w:b/>
          <w:bCs/>
          <w:sz w:val="24"/>
          <w:szCs w:val="24"/>
        </w:rPr>
      </w:pPr>
    </w:p>
    <w:p w14:paraId="1480A267" w14:textId="4815A414" w:rsidR="00E6139F" w:rsidRPr="0041706D" w:rsidRDefault="00E6139F" w:rsidP="0041706D">
      <w:pPr>
        <w:pStyle w:val="Prrafodelista"/>
        <w:widowControl w:val="0"/>
        <w:numPr>
          <w:ilvl w:val="0"/>
          <w:numId w:val="21"/>
        </w:numPr>
        <w:tabs>
          <w:tab w:val="left" w:pos="426"/>
          <w:tab w:val="left" w:pos="7655"/>
        </w:tabs>
        <w:suppressAutoHyphens/>
        <w:ind w:left="0" w:firstLine="0"/>
        <w:jc w:val="both"/>
        <w:rPr>
          <w:rFonts w:ascii="Arial" w:hAnsi="Arial" w:cs="Arial"/>
          <w:sz w:val="24"/>
          <w:szCs w:val="24"/>
        </w:rPr>
      </w:pPr>
      <w:r w:rsidRPr="0041706D">
        <w:rPr>
          <w:rFonts w:ascii="Arial" w:hAnsi="Arial" w:cs="Arial"/>
          <w:sz w:val="24"/>
          <w:szCs w:val="24"/>
        </w:rPr>
        <w:t xml:space="preserve">La apoderada de la parte demandante presentó recurso de apelación en contra del ordinal tercero de la sentencia de primera instancia, </w:t>
      </w:r>
      <w:r w:rsidR="007E41B4" w:rsidRPr="0041706D">
        <w:rPr>
          <w:rFonts w:ascii="Arial" w:hAnsi="Arial" w:cs="Arial"/>
          <w:sz w:val="24"/>
          <w:szCs w:val="24"/>
        </w:rPr>
        <w:t xml:space="preserve">por </w:t>
      </w:r>
      <w:r w:rsidRPr="0041706D">
        <w:rPr>
          <w:rFonts w:ascii="Arial" w:hAnsi="Arial" w:cs="Arial"/>
          <w:sz w:val="24"/>
          <w:szCs w:val="24"/>
        </w:rPr>
        <w:t xml:space="preserve">cuanto </w:t>
      </w:r>
      <w:r w:rsidR="007E41B4" w:rsidRPr="0041706D">
        <w:rPr>
          <w:rFonts w:ascii="Arial" w:hAnsi="Arial" w:cs="Arial"/>
          <w:sz w:val="24"/>
          <w:szCs w:val="24"/>
        </w:rPr>
        <w:t xml:space="preserve">allí se </w:t>
      </w:r>
      <w:r w:rsidRPr="0041706D">
        <w:rPr>
          <w:rFonts w:ascii="Arial" w:hAnsi="Arial" w:cs="Arial"/>
          <w:sz w:val="24"/>
          <w:szCs w:val="24"/>
        </w:rPr>
        <w:t>estableció que, para efectos de reliquidar la mesada pensional, se deb</w:t>
      </w:r>
      <w:r w:rsidR="007E41B4" w:rsidRPr="0041706D">
        <w:rPr>
          <w:rFonts w:ascii="Arial" w:hAnsi="Arial" w:cs="Arial"/>
          <w:sz w:val="24"/>
          <w:szCs w:val="24"/>
        </w:rPr>
        <w:t xml:space="preserve">ía </w:t>
      </w:r>
      <w:r w:rsidRPr="0041706D">
        <w:rPr>
          <w:rFonts w:ascii="Arial" w:hAnsi="Arial" w:cs="Arial"/>
          <w:sz w:val="24"/>
          <w:szCs w:val="24"/>
        </w:rPr>
        <w:t>t</w:t>
      </w:r>
      <w:r w:rsidR="007E41B4" w:rsidRPr="0041706D">
        <w:rPr>
          <w:rFonts w:ascii="Arial" w:hAnsi="Arial" w:cs="Arial"/>
          <w:sz w:val="24"/>
          <w:szCs w:val="24"/>
        </w:rPr>
        <w:t>ener en cuenta</w:t>
      </w:r>
      <w:r w:rsidRPr="0041706D">
        <w:rPr>
          <w:rFonts w:ascii="Arial" w:hAnsi="Arial" w:cs="Arial"/>
          <w:sz w:val="24"/>
          <w:szCs w:val="24"/>
        </w:rPr>
        <w:t xml:space="preserve"> el promedio de los factores salariales devengados y certificados durante los últimos diez (10) años de servicio. </w:t>
      </w:r>
    </w:p>
    <w:p w14:paraId="389467C8" w14:textId="305E3D0C" w:rsidR="00E6139F" w:rsidRPr="0041706D" w:rsidRDefault="00E6139F" w:rsidP="0041706D">
      <w:pPr>
        <w:pStyle w:val="Prrafodelista"/>
        <w:widowControl w:val="0"/>
        <w:tabs>
          <w:tab w:val="left" w:pos="426"/>
          <w:tab w:val="left" w:pos="7655"/>
        </w:tabs>
        <w:suppressAutoHyphens/>
        <w:ind w:left="0"/>
        <w:jc w:val="both"/>
        <w:rPr>
          <w:rFonts w:ascii="Arial" w:hAnsi="Arial" w:cs="Arial"/>
          <w:sz w:val="24"/>
          <w:szCs w:val="24"/>
        </w:rPr>
      </w:pPr>
    </w:p>
    <w:p w14:paraId="13EC6240" w14:textId="4FB0741A" w:rsidR="00E6139F" w:rsidRPr="0041706D" w:rsidRDefault="00E6139F" w:rsidP="0041706D">
      <w:pPr>
        <w:pStyle w:val="Prrafodelista"/>
        <w:widowControl w:val="0"/>
        <w:numPr>
          <w:ilvl w:val="1"/>
          <w:numId w:val="21"/>
        </w:numPr>
        <w:tabs>
          <w:tab w:val="left" w:pos="426"/>
          <w:tab w:val="left" w:pos="7655"/>
        </w:tabs>
        <w:suppressAutoHyphens/>
        <w:ind w:left="0" w:firstLine="0"/>
        <w:jc w:val="both"/>
        <w:rPr>
          <w:rFonts w:ascii="Arial" w:hAnsi="Arial" w:cs="Arial"/>
          <w:sz w:val="24"/>
          <w:szCs w:val="24"/>
        </w:rPr>
      </w:pPr>
      <w:r w:rsidRPr="0041706D">
        <w:rPr>
          <w:rFonts w:ascii="Arial" w:hAnsi="Arial" w:cs="Arial"/>
          <w:sz w:val="24"/>
          <w:szCs w:val="24"/>
        </w:rPr>
        <w:t>Indicó que</w:t>
      </w:r>
      <w:r w:rsidR="007E41B4" w:rsidRPr="0041706D">
        <w:rPr>
          <w:rFonts w:ascii="Arial" w:hAnsi="Arial" w:cs="Arial"/>
          <w:sz w:val="24"/>
          <w:szCs w:val="24"/>
        </w:rPr>
        <w:t xml:space="preserve">, </w:t>
      </w:r>
      <w:r w:rsidR="00B342AF" w:rsidRPr="0041706D">
        <w:rPr>
          <w:rFonts w:ascii="Arial" w:hAnsi="Arial" w:cs="Arial"/>
          <w:sz w:val="24"/>
          <w:szCs w:val="24"/>
        </w:rPr>
        <w:t xml:space="preserve">contrario a lo expuesto por el </w:t>
      </w:r>
      <w:r w:rsidR="00B342AF" w:rsidRPr="0041706D">
        <w:rPr>
          <w:rFonts w:ascii="Arial" w:hAnsi="Arial" w:cs="Arial"/>
          <w:i/>
          <w:iCs/>
          <w:sz w:val="24"/>
          <w:szCs w:val="24"/>
        </w:rPr>
        <w:t>a quo,</w:t>
      </w:r>
      <w:r w:rsidRPr="0041706D">
        <w:rPr>
          <w:rFonts w:ascii="Arial" w:hAnsi="Arial" w:cs="Arial"/>
          <w:sz w:val="24"/>
          <w:szCs w:val="24"/>
        </w:rPr>
        <w:t xml:space="preserve"> la mesada pension</w:t>
      </w:r>
      <w:r w:rsidR="007E41B4" w:rsidRPr="0041706D">
        <w:rPr>
          <w:rFonts w:ascii="Arial" w:hAnsi="Arial" w:cs="Arial"/>
          <w:sz w:val="24"/>
          <w:szCs w:val="24"/>
        </w:rPr>
        <w:t xml:space="preserve">al debía liquidarse atendiendo </w:t>
      </w:r>
      <w:r w:rsidRPr="0041706D">
        <w:rPr>
          <w:rFonts w:ascii="Arial" w:hAnsi="Arial" w:cs="Arial"/>
          <w:sz w:val="24"/>
          <w:szCs w:val="24"/>
        </w:rPr>
        <w:t>e</w:t>
      </w:r>
      <w:r w:rsidRPr="0041706D">
        <w:rPr>
          <w:rFonts w:ascii="Arial" w:hAnsi="Arial" w:cs="Arial"/>
          <w:b/>
          <w:bCs/>
          <w:sz w:val="24"/>
          <w:szCs w:val="24"/>
        </w:rPr>
        <w:t>l último año de prestación de servicios</w:t>
      </w:r>
      <w:r w:rsidRPr="0041706D">
        <w:rPr>
          <w:rFonts w:ascii="Arial" w:hAnsi="Arial" w:cs="Arial"/>
          <w:sz w:val="24"/>
          <w:szCs w:val="24"/>
        </w:rPr>
        <w:t xml:space="preserve"> </w:t>
      </w:r>
      <w:r w:rsidR="007E41B4" w:rsidRPr="0041706D">
        <w:rPr>
          <w:rFonts w:ascii="Arial" w:hAnsi="Arial" w:cs="Arial"/>
          <w:sz w:val="24"/>
          <w:szCs w:val="24"/>
        </w:rPr>
        <w:t>y</w:t>
      </w:r>
      <w:r w:rsidRPr="0041706D">
        <w:rPr>
          <w:rFonts w:ascii="Arial" w:hAnsi="Arial" w:cs="Arial"/>
          <w:sz w:val="24"/>
          <w:szCs w:val="24"/>
        </w:rPr>
        <w:t xml:space="preserve"> </w:t>
      </w:r>
      <w:r w:rsidR="00B342AF" w:rsidRPr="0041706D">
        <w:rPr>
          <w:rFonts w:ascii="Arial" w:hAnsi="Arial" w:cs="Arial"/>
          <w:sz w:val="24"/>
          <w:szCs w:val="24"/>
        </w:rPr>
        <w:t xml:space="preserve">a </w:t>
      </w:r>
      <w:r w:rsidRPr="0041706D">
        <w:rPr>
          <w:rFonts w:ascii="Arial" w:hAnsi="Arial" w:cs="Arial"/>
          <w:sz w:val="24"/>
          <w:szCs w:val="24"/>
        </w:rPr>
        <w:t>la asignación más alta</w:t>
      </w:r>
      <w:r w:rsidR="007E41B4" w:rsidRPr="0041706D">
        <w:rPr>
          <w:rFonts w:ascii="Arial" w:hAnsi="Arial" w:cs="Arial"/>
          <w:sz w:val="24"/>
          <w:szCs w:val="24"/>
        </w:rPr>
        <w:t xml:space="preserve">, así como </w:t>
      </w:r>
      <w:r w:rsidR="00B342AF" w:rsidRPr="0041706D">
        <w:rPr>
          <w:rFonts w:ascii="Arial" w:hAnsi="Arial" w:cs="Arial"/>
          <w:sz w:val="24"/>
          <w:szCs w:val="24"/>
        </w:rPr>
        <w:t xml:space="preserve">a </w:t>
      </w:r>
      <w:r w:rsidRPr="0041706D">
        <w:rPr>
          <w:rFonts w:ascii="Arial" w:hAnsi="Arial" w:cs="Arial"/>
          <w:sz w:val="24"/>
          <w:szCs w:val="24"/>
        </w:rPr>
        <w:t xml:space="preserve">todos los factores salariales devengados, de conformidad con el Decreto 546 de 1971. </w:t>
      </w:r>
    </w:p>
    <w:p w14:paraId="5F6E82DF" w14:textId="77777777" w:rsidR="00E6139F" w:rsidRPr="0041706D" w:rsidRDefault="00E6139F" w:rsidP="0041706D">
      <w:pPr>
        <w:pStyle w:val="Prrafodelista"/>
        <w:widowControl w:val="0"/>
        <w:tabs>
          <w:tab w:val="left" w:pos="426"/>
          <w:tab w:val="left" w:pos="7655"/>
        </w:tabs>
        <w:suppressAutoHyphens/>
        <w:ind w:left="0"/>
        <w:jc w:val="both"/>
        <w:rPr>
          <w:rFonts w:ascii="Arial" w:hAnsi="Arial" w:cs="Arial"/>
          <w:sz w:val="24"/>
          <w:szCs w:val="24"/>
        </w:rPr>
      </w:pPr>
    </w:p>
    <w:p w14:paraId="07C62A08" w14:textId="404F2F84" w:rsidR="00E6139F" w:rsidRPr="0041706D" w:rsidRDefault="00E6139F" w:rsidP="0041706D">
      <w:pPr>
        <w:pStyle w:val="Prrafodelista"/>
        <w:widowControl w:val="0"/>
        <w:numPr>
          <w:ilvl w:val="1"/>
          <w:numId w:val="21"/>
        </w:numPr>
        <w:tabs>
          <w:tab w:val="left" w:pos="426"/>
          <w:tab w:val="left" w:pos="7655"/>
        </w:tabs>
        <w:suppressAutoHyphens/>
        <w:ind w:left="0" w:firstLine="0"/>
        <w:jc w:val="both"/>
        <w:rPr>
          <w:rFonts w:ascii="Arial" w:hAnsi="Arial" w:cs="Arial"/>
          <w:sz w:val="24"/>
          <w:szCs w:val="24"/>
        </w:rPr>
      </w:pPr>
      <w:r w:rsidRPr="0041706D">
        <w:rPr>
          <w:rFonts w:ascii="Arial" w:hAnsi="Arial" w:cs="Arial"/>
          <w:sz w:val="24"/>
          <w:szCs w:val="24"/>
        </w:rPr>
        <w:t xml:space="preserve">A su juicio, </w:t>
      </w:r>
      <w:r w:rsidR="00B342AF" w:rsidRPr="0041706D">
        <w:rPr>
          <w:rFonts w:ascii="Arial" w:hAnsi="Arial" w:cs="Arial"/>
          <w:sz w:val="24"/>
          <w:szCs w:val="24"/>
        </w:rPr>
        <w:t>era necesario aplicar</w:t>
      </w:r>
      <w:r w:rsidRPr="0041706D">
        <w:rPr>
          <w:rFonts w:ascii="Arial" w:hAnsi="Arial" w:cs="Arial"/>
          <w:sz w:val="24"/>
          <w:szCs w:val="24"/>
        </w:rPr>
        <w:t xml:space="preserve"> el principio de favorabilidad </w:t>
      </w:r>
      <w:r w:rsidR="00B342AF" w:rsidRPr="0041706D">
        <w:rPr>
          <w:rFonts w:ascii="Arial" w:hAnsi="Arial" w:cs="Arial"/>
          <w:sz w:val="24"/>
          <w:szCs w:val="24"/>
        </w:rPr>
        <w:t>para evitar la amenaza de</w:t>
      </w:r>
      <w:r w:rsidRPr="0041706D">
        <w:rPr>
          <w:rFonts w:ascii="Arial" w:hAnsi="Arial" w:cs="Arial"/>
          <w:sz w:val="24"/>
          <w:szCs w:val="24"/>
        </w:rPr>
        <w:t xml:space="preserve"> los derechos fundamentales </w:t>
      </w:r>
      <w:r w:rsidR="00B342AF" w:rsidRPr="0041706D">
        <w:rPr>
          <w:rFonts w:ascii="Arial" w:hAnsi="Arial" w:cs="Arial"/>
          <w:sz w:val="24"/>
          <w:szCs w:val="24"/>
        </w:rPr>
        <w:t>a la</w:t>
      </w:r>
      <w:r w:rsidRPr="0041706D">
        <w:rPr>
          <w:rFonts w:ascii="Arial" w:hAnsi="Arial" w:cs="Arial"/>
          <w:sz w:val="24"/>
          <w:szCs w:val="24"/>
        </w:rPr>
        <w:t xml:space="preserve"> igualdad, debido proceso y seguridad social de la demandante. </w:t>
      </w:r>
    </w:p>
    <w:p w14:paraId="05416921" w14:textId="77777777" w:rsidR="00E6139F" w:rsidRPr="0041706D" w:rsidRDefault="00E6139F" w:rsidP="0041706D">
      <w:pPr>
        <w:pStyle w:val="Prrafodelista"/>
        <w:ind w:left="0"/>
        <w:rPr>
          <w:rFonts w:ascii="Arial" w:hAnsi="Arial" w:cs="Arial"/>
          <w:sz w:val="24"/>
          <w:szCs w:val="24"/>
        </w:rPr>
      </w:pPr>
    </w:p>
    <w:p w14:paraId="7A066A49" w14:textId="141426A2" w:rsidR="00E6139F" w:rsidRPr="0041706D" w:rsidRDefault="00E6139F" w:rsidP="0041706D">
      <w:pPr>
        <w:pStyle w:val="Prrafodelista"/>
        <w:widowControl w:val="0"/>
        <w:numPr>
          <w:ilvl w:val="1"/>
          <w:numId w:val="21"/>
        </w:numPr>
        <w:tabs>
          <w:tab w:val="left" w:pos="426"/>
          <w:tab w:val="left" w:pos="3311"/>
          <w:tab w:val="left" w:pos="7655"/>
        </w:tabs>
        <w:suppressAutoHyphens/>
        <w:ind w:left="0" w:firstLine="0"/>
        <w:jc w:val="both"/>
        <w:rPr>
          <w:rFonts w:ascii="Arial" w:hAnsi="Arial" w:cs="Arial"/>
          <w:sz w:val="24"/>
          <w:szCs w:val="24"/>
        </w:rPr>
      </w:pPr>
      <w:r w:rsidRPr="0041706D">
        <w:rPr>
          <w:rFonts w:ascii="Arial" w:hAnsi="Arial" w:cs="Arial"/>
          <w:sz w:val="24"/>
          <w:szCs w:val="24"/>
        </w:rPr>
        <w:t xml:space="preserve">Sostuvo que </w:t>
      </w:r>
      <w:r w:rsidR="00B342AF" w:rsidRPr="0041706D">
        <w:rPr>
          <w:rFonts w:ascii="Arial" w:hAnsi="Arial" w:cs="Arial"/>
          <w:i/>
          <w:iCs/>
          <w:sz w:val="24"/>
          <w:szCs w:val="24"/>
        </w:rPr>
        <w:t>“[…] si bien existe una Sentencia de Unificación del Consejo de Estado, proferida en el año 2019, en la cual se concluyó que el ingreso base de liquidación para calcular la pensión de los trabajadores -sin excepción alguna-</w:t>
      </w:r>
      <w:r w:rsidR="004D29CC" w:rsidRPr="0041706D">
        <w:rPr>
          <w:rFonts w:ascii="Arial" w:hAnsi="Arial" w:cs="Arial"/>
          <w:i/>
          <w:iCs/>
          <w:sz w:val="24"/>
          <w:szCs w:val="24"/>
        </w:rPr>
        <w:t xml:space="preserve"> [debía atender]</w:t>
      </w:r>
      <w:r w:rsidR="00B342AF" w:rsidRPr="0041706D">
        <w:rPr>
          <w:rFonts w:ascii="Arial" w:hAnsi="Arial" w:cs="Arial"/>
          <w:i/>
          <w:iCs/>
          <w:sz w:val="24"/>
          <w:szCs w:val="24"/>
        </w:rPr>
        <w:t xml:space="preserve"> el promedio de los 10 años […]”</w:t>
      </w:r>
      <w:r w:rsidR="00B342AF" w:rsidRPr="0041706D">
        <w:rPr>
          <w:rStyle w:val="Refdenotaalpie"/>
          <w:rFonts w:ascii="Arial" w:hAnsi="Arial" w:cs="Arial"/>
          <w:i/>
          <w:iCs/>
          <w:sz w:val="24"/>
          <w:szCs w:val="24"/>
        </w:rPr>
        <w:footnoteReference w:id="10"/>
      </w:r>
      <w:r w:rsidR="00B342AF" w:rsidRPr="0041706D">
        <w:rPr>
          <w:rFonts w:ascii="Arial" w:hAnsi="Arial" w:cs="Arial"/>
          <w:i/>
          <w:iCs/>
          <w:sz w:val="24"/>
          <w:szCs w:val="24"/>
        </w:rPr>
        <w:t xml:space="preserve">, </w:t>
      </w:r>
      <w:r w:rsidR="00B342AF" w:rsidRPr="0041706D">
        <w:rPr>
          <w:rFonts w:ascii="Arial" w:hAnsi="Arial" w:cs="Arial"/>
          <w:sz w:val="24"/>
          <w:szCs w:val="24"/>
        </w:rPr>
        <w:t xml:space="preserve">lo cierto es que </w:t>
      </w:r>
      <w:r w:rsidR="004D29CC" w:rsidRPr="0041706D">
        <w:rPr>
          <w:rFonts w:ascii="Arial" w:hAnsi="Arial" w:cs="Arial"/>
          <w:sz w:val="24"/>
          <w:szCs w:val="24"/>
        </w:rPr>
        <w:t xml:space="preserve">en el presente caso se configura </w:t>
      </w:r>
      <w:r w:rsidR="00B342AF" w:rsidRPr="0041706D">
        <w:rPr>
          <w:rFonts w:ascii="Arial" w:hAnsi="Arial" w:cs="Arial"/>
          <w:sz w:val="24"/>
          <w:szCs w:val="24"/>
        </w:rPr>
        <w:t>una excepción para la aplicación de la referida providencia, pues é</w:t>
      </w:r>
      <w:r w:rsidRPr="0041706D">
        <w:rPr>
          <w:rFonts w:ascii="Arial" w:hAnsi="Arial" w:cs="Arial"/>
          <w:sz w:val="24"/>
          <w:szCs w:val="24"/>
        </w:rPr>
        <w:t xml:space="preserve">sta fue proferida con posterioridad a la fecha en que: i) se consolidó el estatus pensional de la demandante, </w:t>
      </w:r>
      <w:proofErr w:type="spellStart"/>
      <w:r w:rsidRPr="0041706D">
        <w:rPr>
          <w:rFonts w:ascii="Arial" w:hAnsi="Arial" w:cs="Arial"/>
          <w:sz w:val="24"/>
          <w:szCs w:val="24"/>
        </w:rPr>
        <w:t>ii</w:t>
      </w:r>
      <w:proofErr w:type="spellEnd"/>
      <w:r w:rsidRPr="0041706D">
        <w:rPr>
          <w:rFonts w:ascii="Arial" w:hAnsi="Arial" w:cs="Arial"/>
          <w:sz w:val="24"/>
          <w:szCs w:val="24"/>
        </w:rPr>
        <w:t xml:space="preserve">) se profirió el acto administrativo acusado y </w:t>
      </w:r>
      <w:proofErr w:type="spellStart"/>
      <w:r w:rsidRPr="0041706D">
        <w:rPr>
          <w:rFonts w:ascii="Arial" w:hAnsi="Arial" w:cs="Arial"/>
          <w:sz w:val="24"/>
          <w:szCs w:val="24"/>
        </w:rPr>
        <w:t>iii</w:t>
      </w:r>
      <w:proofErr w:type="spellEnd"/>
      <w:r w:rsidRPr="0041706D">
        <w:rPr>
          <w:rFonts w:ascii="Arial" w:hAnsi="Arial" w:cs="Arial"/>
          <w:sz w:val="24"/>
          <w:szCs w:val="24"/>
        </w:rPr>
        <w:t>) se presentó la demanda.</w:t>
      </w:r>
    </w:p>
    <w:p w14:paraId="632864A2" w14:textId="77777777" w:rsidR="00E6139F" w:rsidRPr="0041706D" w:rsidRDefault="00E6139F" w:rsidP="0041706D">
      <w:pPr>
        <w:pStyle w:val="Prrafodelista"/>
        <w:ind w:left="0"/>
        <w:rPr>
          <w:rFonts w:ascii="Arial" w:hAnsi="Arial" w:cs="Arial"/>
          <w:sz w:val="24"/>
          <w:szCs w:val="24"/>
        </w:rPr>
      </w:pPr>
    </w:p>
    <w:p w14:paraId="65BEBA23" w14:textId="0724431D" w:rsidR="005F2C44" w:rsidRPr="0041706D" w:rsidRDefault="005D46A5" w:rsidP="0041706D">
      <w:pPr>
        <w:pStyle w:val="Prrafodelista"/>
        <w:widowControl w:val="0"/>
        <w:numPr>
          <w:ilvl w:val="1"/>
          <w:numId w:val="25"/>
        </w:numPr>
        <w:tabs>
          <w:tab w:val="left" w:pos="567"/>
        </w:tabs>
        <w:ind w:left="0" w:firstLine="0"/>
        <w:jc w:val="both"/>
        <w:rPr>
          <w:rFonts w:ascii="Arial" w:hAnsi="Arial" w:cs="Arial"/>
          <w:b/>
          <w:bCs/>
          <w:sz w:val="24"/>
          <w:szCs w:val="24"/>
        </w:rPr>
      </w:pPr>
      <w:r w:rsidRPr="0041706D">
        <w:rPr>
          <w:rFonts w:ascii="Arial" w:hAnsi="Arial" w:cs="Arial"/>
          <w:b/>
          <w:bCs/>
          <w:sz w:val="24"/>
          <w:szCs w:val="24"/>
        </w:rPr>
        <w:t xml:space="preserve">De la parte </w:t>
      </w:r>
      <w:r w:rsidR="00B0427F" w:rsidRPr="0041706D">
        <w:rPr>
          <w:rFonts w:ascii="Arial" w:hAnsi="Arial" w:cs="Arial"/>
          <w:b/>
          <w:bCs/>
          <w:sz w:val="24"/>
          <w:szCs w:val="24"/>
        </w:rPr>
        <w:t>demandada</w:t>
      </w:r>
      <w:r w:rsidR="00E6139F" w:rsidRPr="0041706D">
        <w:rPr>
          <w:rStyle w:val="Refdenotaalpie"/>
          <w:rFonts w:ascii="Arial" w:hAnsi="Arial" w:cs="Arial"/>
          <w:b/>
          <w:bCs/>
          <w:sz w:val="24"/>
          <w:szCs w:val="24"/>
        </w:rPr>
        <w:footnoteReference w:id="11"/>
      </w:r>
      <w:r w:rsidR="00B0427F" w:rsidRPr="0041706D">
        <w:rPr>
          <w:rFonts w:ascii="Arial" w:hAnsi="Arial" w:cs="Arial"/>
          <w:b/>
          <w:bCs/>
          <w:sz w:val="24"/>
          <w:szCs w:val="24"/>
        </w:rPr>
        <w:t xml:space="preserve"> </w:t>
      </w:r>
    </w:p>
    <w:p w14:paraId="744396E2" w14:textId="77777777" w:rsidR="00415A54" w:rsidRPr="0041706D" w:rsidRDefault="00415A54" w:rsidP="0041706D">
      <w:pPr>
        <w:widowControl w:val="0"/>
        <w:tabs>
          <w:tab w:val="left" w:pos="7655"/>
        </w:tabs>
        <w:jc w:val="both"/>
        <w:rPr>
          <w:rFonts w:ascii="Arial" w:hAnsi="Arial" w:cs="Arial"/>
          <w:sz w:val="24"/>
          <w:szCs w:val="24"/>
        </w:rPr>
      </w:pPr>
    </w:p>
    <w:p w14:paraId="0E37BFA0" w14:textId="3C51BF92" w:rsidR="002639E4" w:rsidRPr="0041706D" w:rsidRDefault="00B62DCC" w:rsidP="0041706D">
      <w:pPr>
        <w:pStyle w:val="Prrafodelista"/>
        <w:widowControl w:val="0"/>
        <w:numPr>
          <w:ilvl w:val="0"/>
          <w:numId w:val="21"/>
        </w:numPr>
        <w:tabs>
          <w:tab w:val="left" w:pos="426"/>
          <w:tab w:val="left" w:pos="7655"/>
        </w:tabs>
        <w:suppressAutoHyphens/>
        <w:ind w:left="0" w:firstLine="0"/>
        <w:jc w:val="both"/>
        <w:rPr>
          <w:rFonts w:ascii="Arial" w:hAnsi="Arial" w:cs="Arial"/>
          <w:sz w:val="24"/>
          <w:szCs w:val="24"/>
        </w:rPr>
      </w:pPr>
      <w:r w:rsidRPr="0041706D">
        <w:rPr>
          <w:rFonts w:ascii="Arial" w:hAnsi="Arial" w:cs="Arial"/>
          <w:sz w:val="24"/>
          <w:szCs w:val="24"/>
        </w:rPr>
        <w:t xml:space="preserve"> L</w:t>
      </w:r>
      <w:r w:rsidR="005F2C44" w:rsidRPr="0041706D">
        <w:rPr>
          <w:rFonts w:ascii="Arial" w:hAnsi="Arial" w:cs="Arial"/>
          <w:sz w:val="24"/>
          <w:szCs w:val="24"/>
        </w:rPr>
        <w:t>a parte demanda</w:t>
      </w:r>
      <w:r w:rsidR="00E0733F" w:rsidRPr="0041706D">
        <w:rPr>
          <w:rFonts w:ascii="Arial" w:hAnsi="Arial" w:cs="Arial"/>
          <w:sz w:val="24"/>
          <w:szCs w:val="24"/>
        </w:rPr>
        <w:t xml:space="preserve">da </w:t>
      </w:r>
      <w:r w:rsidR="0012630C" w:rsidRPr="0041706D">
        <w:rPr>
          <w:rFonts w:ascii="Arial" w:hAnsi="Arial" w:cs="Arial"/>
          <w:sz w:val="24"/>
          <w:szCs w:val="24"/>
        </w:rPr>
        <w:t>interpuso</w:t>
      </w:r>
      <w:r w:rsidR="005F2C44" w:rsidRPr="0041706D">
        <w:rPr>
          <w:rFonts w:ascii="Arial" w:hAnsi="Arial" w:cs="Arial"/>
          <w:sz w:val="24"/>
          <w:szCs w:val="24"/>
        </w:rPr>
        <w:t xml:space="preserve"> recurso de apelación contra la sentencia de primera instancia</w:t>
      </w:r>
      <w:r w:rsidRPr="0041706D">
        <w:rPr>
          <w:rFonts w:ascii="Arial" w:hAnsi="Arial" w:cs="Arial"/>
          <w:sz w:val="24"/>
          <w:szCs w:val="24"/>
        </w:rPr>
        <w:t xml:space="preserve"> </w:t>
      </w:r>
      <w:r w:rsidR="005D46A5" w:rsidRPr="0041706D">
        <w:rPr>
          <w:rFonts w:ascii="Arial" w:hAnsi="Arial" w:cs="Arial"/>
          <w:sz w:val="24"/>
          <w:szCs w:val="24"/>
        </w:rPr>
        <w:t xml:space="preserve">con fundamento en que el acto administrativo acusado fue expedido de conformidad con las normas aplicables al caso bajo estudio. </w:t>
      </w:r>
    </w:p>
    <w:p w14:paraId="48EFEB29" w14:textId="371D54D1" w:rsidR="00AD46CD" w:rsidRPr="0041706D" w:rsidRDefault="00AD46CD" w:rsidP="0041706D">
      <w:pPr>
        <w:pStyle w:val="Prrafodelista"/>
        <w:widowControl w:val="0"/>
        <w:tabs>
          <w:tab w:val="left" w:pos="426"/>
          <w:tab w:val="left" w:pos="7655"/>
        </w:tabs>
        <w:suppressAutoHyphens/>
        <w:ind w:left="0"/>
        <w:jc w:val="both"/>
        <w:rPr>
          <w:rFonts w:ascii="Arial" w:hAnsi="Arial" w:cs="Arial"/>
          <w:sz w:val="24"/>
          <w:szCs w:val="24"/>
        </w:rPr>
      </w:pPr>
    </w:p>
    <w:p w14:paraId="7B4BB65B" w14:textId="18410493" w:rsidR="00AD46CD" w:rsidRPr="0041706D" w:rsidRDefault="00AD46CD" w:rsidP="0041706D">
      <w:pPr>
        <w:pStyle w:val="Prrafodelista"/>
        <w:widowControl w:val="0"/>
        <w:numPr>
          <w:ilvl w:val="1"/>
          <w:numId w:val="21"/>
        </w:numPr>
        <w:tabs>
          <w:tab w:val="left" w:pos="426"/>
          <w:tab w:val="left" w:pos="7655"/>
        </w:tabs>
        <w:suppressAutoHyphens/>
        <w:ind w:left="0" w:firstLine="0"/>
        <w:jc w:val="both"/>
        <w:rPr>
          <w:rFonts w:ascii="Arial" w:hAnsi="Arial" w:cs="Arial"/>
          <w:sz w:val="24"/>
          <w:szCs w:val="24"/>
        </w:rPr>
      </w:pPr>
      <w:r w:rsidRPr="0041706D">
        <w:rPr>
          <w:rFonts w:ascii="Arial" w:hAnsi="Arial" w:cs="Arial"/>
          <w:sz w:val="24"/>
          <w:szCs w:val="24"/>
        </w:rPr>
        <w:lastRenderedPageBreak/>
        <w:t xml:space="preserve">En síntesis, sostuvo que el </w:t>
      </w:r>
      <w:r w:rsidRPr="0041706D">
        <w:rPr>
          <w:rFonts w:ascii="Arial" w:hAnsi="Arial" w:cs="Arial"/>
          <w:i/>
          <w:iCs/>
          <w:sz w:val="24"/>
          <w:szCs w:val="24"/>
        </w:rPr>
        <w:t xml:space="preserve">a quo </w:t>
      </w:r>
      <w:r w:rsidRPr="0041706D">
        <w:rPr>
          <w:rFonts w:ascii="Arial" w:hAnsi="Arial" w:cs="Arial"/>
          <w:sz w:val="24"/>
          <w:szCs w:val="24"/>
        </w:rPr>
        <w:t>ordenó la reliquidación de la pensión con la inclusión de factores que no se en</w:t>
      </w:r>
      <w:r w:rsidR="004D29CC" w:rsidRPr="0041706D">
        <w:rPr>
          <w:rFonts w:ascii="Arial" w:hAnsi="Arial" w:cs="Arial"/>
          <w:sz w:val="24"/>
          <w:szCs w:val="24"/>
        </w:rPr>
        <w:t>contraban</w:t>
      </w:r>
      <w:r w:rsidRPr="0041706D">
        <w:rPr>
          <w:rFonts w:ascii="Arial" w:hAnsi="Arial" w:cs="Arial"/>
          <w:sz w:val="24"/>
          <w:szCs w:val="24"/>
        </w:rPr>
        <w:t xml:space="preserve"> previstos en el Decreto </w:t>
      </w:r>
      <w:r w:rsidRPr="0041706D">
        <w:rPr>
          <w:rFonts w:ascii="Arial" w:hAnsi="Arial" w:cs="Arial"/>
          <w:b/>
          <w:bCs/>
          <w:sz w:val="24"/>
          <w:szCs w:val="24"/>
        </w:rPr>
        <w:t>1158 de 1994,</w:t>
      </w:r>
      <w:r w:rsidRPr="0041706D">
        <w:rPr>
          <w:rFonts w:ascii="Arial" w:hAnsi="Arial" w:cs="Arial"/>
          <w:sz w:val="24"/>
          <w:szCs w:val="24"/>
        </w:rPr>
        <w:t xml:space="preserve"> lo cual </w:t>
      </w:r>
      <w:r w:rsidR="004D29CC" w:rsidRPr="0041706D">
        <w:rPr>
          <w:rFonts w:ascii="Arial" w:hAnsi="Arial" w:cs="Arial"/>
          <w:sz w:val="24"/>
          <w:szCs w:val="24"/>
        </w:rPr>
        <w:t>destendió</w:t>
      </w:r>
      <w:r w:rsidRPr="0041706D">
        <w:rPr>
          <w:rFonts w:ascii="Arial" w:hAnsi="Arial" w:cs="Arial"/>
          <w:sz w:val="24"/>
          <w:szCs w:val="24"/>
        </w:rPr>
        <w:t xml:space="preserve"> el precedente del Consejo de Estado </w:t>
      </w:r>
      <w:r w:rsidR="004D29CC" w:rsidRPr="0041706D">
        <w:rPr>
          <w:rFonts w:ascii="Arial" w:hAnsi="Arial" w:cs="Arial"/>
          <w:sz w:val="24"/>
          <w:szCs w:val="24"/>
        </w:rPr>
        <w:t>y</w:t>
      </w:r>
      <w:r w:rsidRPr="0041706D">
        <w:rPr>
          <w:rFonts w:ascii="Arial" w:hAnsi="Arial" w:cs="Arial"/>
          <w:sz w:val="24"/>
          <w:szCs w:val="24"/>
        </w:rPr>
        <w:t xml:space="preserve"> de la Corte Constitucional, </w:t>
      </w:r>
      <w:r w:rsidR="004D29CC" w:rsidRPr="0041706D">
        <w:rPr>
          <w:rFonts w:ascii="Arial" w:hAnsi="Arial" w:cs="Arial"/>
          <w:sz w:val="24"/>
          <w:szCs w:val="24"/>
        </w:rPr>
        <w:t xml:space="preserve">a pesar de su obligatoriedad. </w:t>
      </w:r>
      <w:r w:rsidRPr="0041706D">
        <w:rPr>
          <w:rFonts w:ascii="Arial" w:hAnsi="Arial" w:cs="Arial"/>
          <w:sz w:val="24"/>
          <w:szCs w:val="24"/>
        </w:rPr>
        <w:t xml:space="preserve"> </w:t>
      </w:r>
    </w:p>
    <w:p w14:paraId="0D5730FE" w14:textId="77777777" w:rsidR="00AD46CD" w:rsidRPr="0041706D" w:rsidRDefault="00AD46CD" w:rsidP="0041706D">
      <w:pPr>
        <w:pStyle w:val="Prrafodelista"/>
        <w:widowControl w:val="0"/>
        <w:tabs>
          <w:tab w:val="left" w:pos="426"/>
          <w:tab w:val="left" w:pos="7655"/>
        </w:tabs>
        <w:suppressAutoHyphens/>
        <w:ind w:left="0"/>
        <w:jc w:val="both"/>
        <w:rPr>
          <w:rFonts w:ascii="Arial" w:hAnsi="Arial" w:cs="Arial"/>
          <w:sz w:val="24"/>
          <w:szCs w:val="24"/>
        </w:rPr>
      </w:pPr>
    </w:p>
    <w:p w14:paraId="2CD10116" w14:textId="08CA1382" w:rsidR="00AD46CD" w:rsidRPr="0041706D" w:rsidRDefault="00AD46CD" w:rsidP="0041706D">
      <w:pPr>
        <w:pStyle w:val="Prrafodelista"/>
        <w:widowControl w:val="0"/>
        <w:numPr>
          <w:ilvl w:val="1"/>
          <w:numId w:val="21"/>
        </w:numPr>
        <w:tabs>
          <w:tab w:val="left" w:pos="426"/>
          <w:tab w:val="left" w:pos="7655"/>
        </w:tabs>
        <w:suppressAutoHyphens/>
        <w:ind w:left="0" w:firstLine="0"/>
        <w:jc w:val="both"/>
        <w:rPr>
          <w:rFonts w:ascii="Arial" w:hAnsi="Arial" w:cs="Arial"/>
          <w:sz w:val="24"/>
          <w:szCs w:val="24"/>
        </w:rPr>
      </w:pPr>
      <w:r w:rsidRPr="0041706D">
        <w:rPr>
          <w:rFonts w:ascii="Arial" w:hAnsi="Arial" w:cs="Arial"/>
          <w:sz w:val="24"/>
          <w:szCs w:val="24"/>
        </w:rPr>
        <w:t>Se refirió al principio de solidaridad y sostenibilidad fiscal, a la aplicación de la sentencia C-258 de 2013 y SU-230 de 2015, proferidas por la Corte Constitucional.</w:t>
      </w:r>
    </w:p>
    <w:p w14:paraId="01DD9ABD" w14:textId="77777777" w:rsidR="00AD46CD" w:rsidRPr="0041706D" w:rsidRDefault="00AD46CD" w:rsidP="0041706D">
      <w:pPr>
        <w:pStyle w:val="Prrafodelista"/>
        <w:ind w:left="0"/>
        <w:rPr>
          <w:rFonts w:ascii="Arial" w:hAnsi="Arial" w:cs="Arial"/>
          <w:sz w:val="24"/>
          <w:szCs w:val="24"/>
        </w:rPr>
      </w:pPr>
    </w:p>
    <w:p w14:paraId="61CCC3E5" w14:textId="5420AAF6" w:rsidR="0024123B" w:rsidRPr="0041706D" w:rsidRDefault="004A1660" w:rsidP="0041706D">
      <w:pPr>
        <w:pStyle w:val="Prrafodelista"/>
        <w:widowControl w:val="0"/>
        <w:numPr>
          <w:ilvl w:val="1"/>
          <w:numId w:val="21"/>
        </w:numPr>
        <w:tabs>
          <w:tab w:val="left" w:pos="426"/>
          <w:tab w:val="left" w:pos="7655"/>
        </w:tabs>
        <w:suppressAutoHyphens/>
        <w:ind w:left="0" w:firstLine="0"/>
        <w:jc w:val="both"/>
        <w:rPr>
          <w:rFonts w:ascii="Arial" w:hAnsi="Arial" w:cs="Arial"/>
          <w:sz w:val="24"/>
          <w:szCs w:val="24"/>
        </w:rPr>
      </w:pPr>
      <w:r w:rsidRPr="0041706D">
        <w:rPr>
          <w:rFonts w:ascii="Arial" w:hAnsi="Arial" w:cs="Arial"/>
          <w:sz w:val="24"/>
          <w:szCs w:val="24"/>
        </w:rPr>
        <w:t xml:space="preserve"> </w:t>
      </w:r>
      <w:r w:rsidR="00415A54" w:rsidRPr="0041706D">
        <w:rPr>
          <w:rFonts w:ascii="Arial" w:hAnsi="Arial" w:cs="Arial"/>
          <w:sz w:val="24"/>
          <w:szCs w:val="24"/>
        </w:rPr>
        <w:t>Por último</w:t>
      </w:r>
      <w:r w:rsidR="00AD46CD" w:rsidRPr="0041706D">
        <w:rPr>
          <w:rFonts w:ascii="Arial" w:hAnsi="Arial" w:cs="Arial"/>
          <w:sz w:val="24"/>
          <w:szCs w:val="24"/>
        </w:rPr>
        <w:t>,</w:t>
      </w:r>
      <w:r w:rsidR="00415A54" w:rsidRPr="0041706D">
        <w:rPr>
          <w:rFonts w:ascii="Arial" w:hAnsi="Arial" w:cs="Arial"/>
          <w:sz w:val="24"/>
          <w:szCs w:val="24"/>
        </w:rPr>
        <w:t xml:space="preserve"> </w:t>
      </w:r>
      <w:r w:rsidR="00E6139F" w:rsidRPr="0041706D">
        <w:rPr>
          <w:rFonts w:ascii="Arial" w:hAnsi="Arial" w:cs="Arial"/>
          <w:sz w:val="24"/>
          <w:szCs w:val="24"/>
        </w:rPr>
        <w:t>solicitó que no se condenara en costas, teniendo en cuenta la disparidad de criterios</w:t>
      </w:r>
      <w:r w:rsidR="004D29CC" w:rsidRPr="0041706D">
        <w:rPr>
          <w:rFonts w:ascii="Arial" w:hAnsi="Arial" w:cs="Arial"/>
          <w:sz w:val="24"/>
          <w:szCs w:val="24"/>
        </w:rPr>
        <w:t xml:space="preserve"> sobre este aspecto</w:t>
      </w:r>
      <w:r w:rsidR="00E6139F" w:rsidRPr="0041706D">
        <w:rPr>
          <w:rFonts w:ascii="Arial" w:hAnsi="Arial" w:cs="Arial"/>
          <w:sz w:val="24"/>
          <w:szCs w:val="24"/>
        </w:rPr>
        <w:t>.</w:t>
      </w:r>
    </w:p>
    <w:p w14:paraId="6B322757" w14:textId="77777777" w:rsidR="008B4938" w:rsidRPr="0041706D" w:rsidRDefault="008B4938" w:rsidP="0041706D">
      <w:pPr>
        <w:widowControl w:val="0"/>
        <w:tabs>
          <w:tab w:val="left" w:pos="-1440"/>
          <w:tab w:val="left" w:pos="-720"/>
          <w:tab w:val="left" w:pos="0"/>
          <w:tab w:val="left" w:pos="3311"/>
          <w:tab w:val="left" w:pos="7655"/>
        </w:tabs>
        <w:suppressAutoHyphens/>
        <w:jc w:val="both"/>
        <w:rPr>
          <w:rFonts w:ascii="Arial" w:hAnsi="Arial" w:cs="Arial"/>
          <w:sz w:val="24"/>
          <w:szCs w:val="24"/>
        </w:rPr>
      </w:pPr>
    </w:p>
    <w:p w14:paraId="512F38B9" w14:textId="044B892B" w:rsidR="005F2C44" w:rsidRPr="0041706D" w:rsidRDefault="1EB86DD8" w:rsidP="0041706D">
      <w:pPr>
        <w:pStyle w:val="Prrafodelista"/>
        <w:widowControl w:val="0"/>
        <w:numPr>
          <w:ilvl w:val="0"/>
          <w:numId w:val="25"/>
        </w:numPr>
        <w:tabs>
          <w:tab w:val="left" w:pos="360"/>
        </w:tabs>
        <w:suppressAutoHyphens/>
        <w:ind w:left="0" w:firstLine="0"/>
        <w:contextualSpacing/>
        <w:jc w:val="both"/>
        <w:rPr>
          <w:rFonts w:ascii="Arial" w:eastAsiaTheme="minorEastAsia" w:hAnsi="Arial" w:cs="Arial"/>
          <w:b/>
          <w:bCs/>
          <w:sz w:val="24"/>
          <w:szCs w:val="24"/>
        </w:rPr>
      </w:pPr>
      <w:r w:rsidRPr="0041706D">
        <w:rPr>
          <w:rFonts w:ascii="Arial" w:hAnsi="Arial" w:cs="Arial"/>
          <w:b/>
          <w:bCs/>
          <w:sz w:val="24"/>
          <w:szCs w:val="24"/>
        </w:rPr>
        <w:t>Los alegatos de</w:t>
      </w:r>
      <w:r w:rsidR="006A38CB" w:rsidRPr="0041706D">
        <w:rPr>
          <w:rFonts w:ascii="Arial" w:hAnsi="Arial" w:cs="Arial"/>
          <w:b/>
          <w:bCs/>
          <w:sz w:val="24"/>
          <w:szCs w:val="24"/>
        </w:rPr>
        <w:t xml:space="preserve"> segunda instancia</w:t>
      </w:r>
      <w:r w:rsidR="005F2C44" w:rsidRPr="0041706D">
        <w:rPr>
          <w:rFonts w:ascii="Arial" w:hAnsi="Arial" w:cs="Arial"/>
          <w:b/>
          <w:bCs/>
          <w:sz w:val="24"/>
          <w:szCs w:val="24"/>
        </w:rPr>
        <w:t xml:space="preserve"> </w:t>
      </w:r>
    </w:p>
    <w:p w14:paraId="1BA000B4" w14:textId="77777777" w:rsidR="006A38CB" w:rsidRPr="0041706D" w:rsidRDefault="006A38CB" w:rsidP="0041706D">
      <w:pPr>
        <w:widowControl w:val="0"/>
        <w:tabs>
          <w:tab w:val="left" w:pos="-1440"/>
          <w:tab w:val="left" w:pos="-720"/>
          <w:tab w:val="left" w:pos="0"/>
          <w:tab w:val="left" w:pos="3311"/>
          <w:tab w:val="left" w:pos="7655"/>
        </w:tabs>
        <w:suppressAutoHyphens/>
        <w:contextualSpacing/>
        <w:jc w:val="both"/>
        <w:rPr>
          <w:rFonts w:ascii="Arial" w:hAnsi="Arial" w:cs="Arial"/>
          <w:b/>
          <w:sz w:val="24"/>
          <w:szCs w:val="24"/>
        </w:rPr>
      </w:pPr>
    </w:p>
    <w:p w14:paraId="71BB7BF7" w14:textId="6C925257" w:rsidR="49B44ADA" w:rsidRPr="0041706D" w:rsidRDefault="49B44ADA" w:rsidP="0041706D">
      <w:pPr>
        <w:tabs>
          <w:tab w:val="left" w:pos="3311"/>
          <w:tab w:val="left" w:pos="7655"/>
        </w:tabs>
        <w:jc w:val="both"/>
        <w:rPr>
          <w:rFonts w:ascii="Arial" w:hAnsi="Arial" w:cs="Arial"/>
        </w:rPr>
      </w:pPr>
      <w:r w:rsidRPr="0041706D">
        <w:rPr>
          <w:rFonts w:ascii="Arial" w:hAnsi="Arial" w:cs="Arial"/>
          <w:b/>
          <w:bCs/>
          <w:sz w:val="24"/>
          <w:szCs w:val="24"/>
        </w:rPr>
        <w:t>5.</w:t>
      </w:r>
      <w:r w:rsidR="006D770F" w:rsidRPr="0041706D">
        <w:rPr>
          <w:rFonts w:ascii="Arial" w:hAnsi="Arial" w:cs="Arial"/>
          <w:b/>
          <w:bCs/>
          <w:sz w:val="24"/>
          <w:szCs w:val="24"/>
        </w:rPr>
        <w:t>1</w:t>
      </w:r>
      <w:r w:rsidRPr="0041706D">
        <w:rPr>
          <w:rFonts w:ascii="Arial" w:hAnsi="Arial" w:cs="Arial"/>
          <w:b/>
          <w:bCs/>
          <w:sz w:val="24"/>
          <w:szCs w:val="24"/>
        </w:rPr>
        <w:t>. De la parte demandante</w:t>
      </w:r>
      <w:r w:rsidR="006D770F" w:rsidRPr="0041706D">
        <w:rPr>
          <w:rStyle w:val="Refdenotaalpie"/>
          <w:rFonts w:ascii="Arial" w:hAnsi="Arial" w:cs="Arial"/>
          <w:b/>
          <w:bCs/>
          <w:sz w:val="24"/>
          <w:szCs w:val="24"/>
        </w:rPr>
        <w:footnoteReference w:id="12"/>
      </w:r>
    </w:p>
    <w:p w14:paraId="341AE58B" w14:textId="7116FAA9" w:rsidR="0DAA6E88" w:rsidRPr="0041706D" w:rsidRDefault="0DAA6E88" w:rsidP="0041706D">
      <w:pPr>
        <w:tabs>
          <w:tab w:val="left" w:pos="3311"/>
          <w:tab w:val="left" w:pos="7655"/>
        </w:tabs>
        <w:jc w:val="both"/>
        <w:rPr>
          <w:rFonts w:ascii="Arial" w:hAnsi="Arial" w:cs="Arial"/>
        </w:rPr>
      </w:pPr>
    </w:p>
    <w:p w14:paraId="652141A9" w14:textId="7469F991" w:rsidR="00213ED4" w:rsidRPr="0041706D" w:rsidRDefault="006D770F" w:rsidP="0041706D">
      <w:pPr>
        <w:pStyle w:val="Prrafodelista"/>
        <w:widowControl w:val="0"/>
        <w:numPr>
          <w:ilvl w:val="0"/>
          <w:numId w:val="21"/>
        </w:numPr>
        <w:tabs>
          <w:tab w:val="left" w:pos="567"/>
          <w:tab w:val="left" w:pos="7655"/>
        </w:tabs>
        <w:suppressAutoHyphens/>
        <w:ind w:left="0" w:firstLine="0"/>
        <w:contextualSpacing/>
        <w:jc w:val="both"/>
        <w:rPr>
          <w:rFonts w:ascii="Arial" w:hAnsi="Arial" w:cs="Arial"/>
          <w:sz w:val="24"/>
          <w:szCs w:val="24"/>
        </w:rPr>
      </w:pPr>
      <w:r w:rsidRPr="0041706D">
        <w:rPr>
          <w:rFonts w:ascii="Arial" w:hAnsi="Arial" w:cs="Arial"/>
          <w:sz w:val="24"/>
          <w:szCs w:val="24"/>
        </w:rPr>
        <w:t>L</w:t>
      </w:r>
      <w:r w:rsidR="00472565" w:rsidRPr="0041706D">
        <w:rPr>
          <w:rFonts w:ascii="Arial" w:hAnsi="Arial" w:cs="Arial"/>
          <w:sz w:val="24"/>
          <w:szCs w:val="24"/>
        </w:rPr>
        <w:t xml:space="preserve">a apoderada de la parte </w:t>
      </w:r>
      <w:r w:rsidRPr="0041706D">
        <w:rPr>
          <w:rFonts w:ascii="Arial" w:hAnsi="Arial" w:cs="Arial"/>
          <w:sz w:val="24"/>
          <w:szCs w:val="24"/>
        </w:rPr>
        <w:t xml:space="preserve">demandante </w:t>
      </w:r>
      <w:r w:rsidR="00472565" w:rsidRPr="0041706D">
        <w:rPr>
          <w:rFonts w:ascii="Arial" w:hAnsi="Arial" w:cs="Arial"/>
          <w:sz w:val="24"/>
          <w:szCs w:val="24"/>
        </w:rPr>
        <w:t>presentó alegatos de conclusión, a través de los cuales reiteró los argumentos expuestos en el recurso de apelación.</w:t>
      </w:r>
    </w:p>
    <w:p w14:paraId="0ECD9CE3" w14:textId="54DB7877" w:rsidR="00472565" w:rsidRPr="0041706D" w:rsidRDefault="00472565" w:rsidP="0041706D">
      <w:pPr>
        <w:widowControl w:val="0"/>
        <w:tabs>
          <w:tab w:val="left" w:pos="3311"/>
          <w:tab w:val="left" w:pos="7655"/>
        </w:tabs>
        <w:suppressAutoHyphens/>
        <w:contextualSpacing/>
        <w:jc w:val="both"/>
        <w:rPr>
          <w:rFonts w:ascii="Arial" w:hAnsi="Arial" w:cs="Arial"/>
          <w:sz w:val="24"/>
          <w:szCs w:val="24"/>
        </w:rPr>
      </w:pPr>
    </w:p>
    <w:p w14:paraId="32775674" w14:textId="189332BA" w:rsidR="006D770F" w:rsidRPr="0041706D" w:rsidRDefault="006D770F" w:rsidP="0041706D">
      <w:pPr>
        <w:widowControl w:val="0"/>
        <w:tabs>
          <w:tab w:val="left" w:pos="3311"/>
          <w:tab w:val="left" w:pos="7655"/>
        </w:tabs>
        <w:suppressAutoHyphens/>
        <w:contextualSpacing/>
        <w:jc w:val="both"/>
        <w:rPr>
          <w:rFonts w:ascii="Arial" w:hAnsi="Arial" w:cs="Arial"/>
          <w:sz w:val="24"/>
          <w:szCs w:val="24"/>
        </w:rPr>
      </w:pPr>
      <w:r w:rsidRPr="0041706D">
        <w:rPr>
          <w:rFonts w:ascii="Arial" w:hAnsi="Arial" w:cs="Arial"/>
          <w:b/>
          <w:bCs/>
          <w:sz w:val="24"/>
          <w:szCs w:val="24"/>
        </w:rPr>
        <w:t>5.1. De la parte demandada</w:t>
      </w:r>
      <w:r w:rsidRPr="0041706D">
        <w:rPr>
          <w:rStyle w:val="Refdenotaalpie"/>
          <w:rFonts w:ascii="Arial" w:hAnsi="Arial" w:cs="Arial"/>
          <w:b/>
          <w:bCs/>
          <w:sz w:val="24"/>
          <w:szCs w:val="24"/>
        </w:rPr>
        <w:footnoteReference w:id="13"/>
      </w:r>
      <w:r w:rsidRPr="0041706D">
        <w:rPr>
          <w:rFonts w:ascii="Arial" w:hAnsi="Arial" w:cs="Arial"/>
          <w:sz w:val="24"/>
          <w:szCs w:val="24"/>
        </w:rPr>
        <w:t xml:space="preserve"> </w:t>
      </w:r>
    </w:p>
    <w:p w14:paraId="273C7A22" w14:textId="77777777" w:rsidR="006D770F" w:rsidRPr="0041706D" w:rsidRDefault="006D770F" w:rsidP="0041706D">
      <w:pPr>
        <w:widowControl w:val="0"/>
        <w:tabs>
          <w:tab w:val="left" w:pos="-1440"/>
          <w:tab w:val="left" w:pos="-720"/>
          <w:tab w:val="left" w:pos="0"/>
          <w:tab w:val="left" w:pos="3311"/>
          <w:tab w:val="left" w:pos="7655"/>
        </w:tabs>
        <w:suppressAutoHyphens/>
        <w:contextualSpacing/>
        <w:jc w:val="both"/>
        <w:rPr>
          <w:rFonts w:ascii="Arial" w:hAnsi="Arial" w:cs="Arial"/>
          <w:sz w:val="24"/>
          <w:szCs w:val="24"/>
        </w:rPr>
      </w:pPr>
    </w:p>
    <w:p w14:paraId="56263A99" w14:textId="115A0967" w:rsidR="006D770F" w:rsidRPr="0041706D" w:rsidRDefault="006D770F" w:rsidP="0041706D">
      <w:pPr>
        <w:pStyle w:val="Prrafodelista"/>
        <w:widowControl w:val="0"/>
        <w:numPr>
          <w:ilvl w:val="0"/>
          <w:numId w:val="21"/>
        </w:numPr>
        <w:tabs>
          <w:tab w:val="left" w:pos="426"/>
          <w:tab w:val="left" w:pos="7655"/>
        </w:tabs>
        <w:suppressAutoHyphens/>
        <w:ind w:left="0" w:firstLine="0"/>
        <w:contextualSpacing/>
        <w:jc w:val="both"/>
        <w:rPr>
          <w:rFonts w:ascii="Arial" w:hAnsi="Arial" w:cs="Arial"/>
          <w:sz w:val="24"/>
          <w:szCs w:val="24"/>
        </w:rPr>
      </w:pPr>
      <w:r w:rsidRPr="0041706D">
        <w:rPr>
          <w:rFonts w:ascii="Arial" w:hAnsi="Arial" w:cs="Arial"/>
          <w:sz w:val="24"/>
          <w:szCs w:val="24"/>
        </w:rPr>
        <w:t>La Unidad Administrativa Especial de Gestión Pensional y Contribuciones Parafiscales de la Protección Social</w:t>
      </w:r>
      <w:r w:rsidR="004D29CC" w:rsidRPr="0041706D">
        <w:rPr>
          <w:rFonts w:ascii="Arial" w:hAnsi="Arial" w:cs="Arial"/>
          <w:sz w:val="24"/>
          <w:szCs w:val="24"/>
        </w:rPr>
        <w:t xml:space="preserve"> - UGPP</w:t>
      </w:r>
      <w:r w:rsidRPr="0041706D">
        <w:rPr>
          <w:rFonts w:ascii="Arial" w:hAnsi="Arial" w:cs="Arial"/>
          <w:sz w:val="24"/>
          <w:szCs w:val="24"/>
        </w:rPr>
        <w:t xml:space="preserve"> reiteró los argumentos del recurso de apelación. </w:t>
      </w:r>
    </w:p>
    <w:p w14:paraId="02A942E1" w14:textId="77777777" w:rsidR="006D770F" w:rsidRPr="0041706D" w:rsidRDefault="006D770F" w:rsidP="0041706D">
      <w:pPr>
        <w:widowControl w:val="0"/>
        <w:tabs>
          <w:tab w:val="left" w:pos="3311"/>
          <w:tab w:val="left" w:pos="7655"/>
        </w:tabs>
        <w:suppressAutoHyphens/>
        <w:contextualSpacing/>
        <w:jc w:val="both"/>
        <w:rPr>
          <w:rFonts w:ascii="Arial" w:hAnsi="Arial" w:cs="Arial"/>
          <w:sz w:val="24"/>
          <w:szCs w:val="24"/>
        </w:rPr>
      </w:pPr>
    </w:p>
    <w:p w14:paraId="64FA90CE" w14:textId="5BE364EE" w:rsidR="00213ED4" w:rsidRPr="0041706D" w:rsidRDefault="00301353" w:rsidP="0041706D">
      <w:pPr>
        <w:pStyle w:val="Prrafodelista"/>
        <w:widowControl w:val="0"/>
        <w:numPr>
          <w:ilvl w:val="0"/>
          <w:numId w:val="25"/>
        </w:numPr>
        <w:tabs>
          <w:tab w:val="left" w:pos="360"/>
          <w:tab w:val="left" w:pos="7655"/>
        </w:tabs>
        <w:suppressAutoHyphens/>
        <w:ind w:left="0" w:firstLine="0"/>
        <w:contextualSpacing/>
        <w:jc w:val="both"/>
        <w:rPr>
          <w:rFonts w:ascii="Arial" w:eastAsiaTheme="minorEastAsia" w:hAnsi="Arial" w:cs="Arial"/>
          <w:b/>
          <w:bCs/>
          <w:sz w:val="24"/>
          <w:szCs w:val="24"/>
        </w:rPr>
      </w:pPr>
      <w:r w:rsidRPr="0041706D">
        <w:rPr>
          <w:rFonts w:ascii="Arial" w:hAnsi="Arial" w:cs="Arial"/>
          <w:b/>
          <w:bCs/>
          <w:sz w:val="24"/>
          <w:szCs w:val="24"/>
        </w:rPr>
        <w:t xml:space="preserve">El </w:t>
      </w:r>
      <w:r w:rsidR="00472565" w:rsidRPr="0041706D">
        <w:rPr>
          <w:rFonts w:ascii="Arial" w:hAnsi="Arial" w:cs="Arial"/>
          <w:b/>
          <w:bCs/>
          <w:sz w:val="24"/>
          <w:szCs w:val="24"/>
        </w:rPr>
        <w:t xml:space="preserve">concepto del </w:t>
      </w:r>
      <w:r w:rsidRPr="0041706D">
        <w:rPr>
          <w:rFonts w:ascii="Arial" w:hAnsi="Arial" w:cs="Arial"/>
          <w:b/>
          <w:bCs/>
          <w:sz w:val="24"/>
          <w:szCs w:val="24"/>
        </w:rPr>
        <w:t>Ministerio Público</w:t>
      </w:r>
      <w:r w:rsidR="00BF58DF" w:rsidRPr="0041706D">
        <w:rPr>
          <w:rFonts w:ascii="Arial" w:hAnsi="Arial" w:cs="Arial"/>
          <w:b/>
          <w:bCs/>
          <w:sz w:val="24"/>
          <w:szCs w:val="24"/>
        </w:rPr>
        <w:t xml:space="preserve"> </w:t>
      </w:r>
    </w:p>
    <w:p w14:paraId="441BFFDE" w14:textId="485918C0" w:rsidR="00213ED4" w:rsidRPr="0041706D" w:rsidRDefault="00213ED4" w:rsidP="0041706D">
      <w:pPr>
        <w:widowControl w:val="0"/>
        <w:tabs>
          <w:tab w:val="left" w:pos="3311"/>
          <w:tab w:val="left" w:pos="7655"/>
        </w:tabs>
        <w:suppressAutoHyphens/>
        <w:contextualSpacing/>
        <w:jc w:val="both"/>
        <w:rPr>
          <w:rFonts w:ascii="Arial" w:hAnsi="Arial" w:cs="Arial"/>
          <w:sz w:val="24"/>
          <w:szCs w:val="24"/>
        </w:rPr>
      </w:pPr>
    </w:p>
    <w:p w14:paraId="6B87DFAC" w14:textId="2A2EBCD7" w:rsidR="00C322D2" w:rsidRPr="0041706D" w:rsidRDefault="00972B67" w:rsidP="0041706D">
      <w:pPr>
        <w:pStyle w:val="Prrafodelista"/>
        <w:widowControl w:val="0"/>
        <w:numPr>
          <w:ilvl w:val="0"/>
          <w:numId w:val="21"/>
        </w:numPr>
        <w:tabs>
          <w:tab w:val="left" w:pos="426"/>
          <w:tab w:val="left" w:pos="7655"/>
        </w:tabs>
        <w:suppressAutoHyphens/>
        <w:ind w:left="0" w:firstLine="0"/>
        <w:contextualSpacing/>
        <w:jc w:val="both"/>
        <w:rPr>
          <w:rFonts w:ascii="Arial" w:hAnsi="Arial" w:cs="Arial"/>
          <w:sz w:val="24"/>
          <w:szCs w:val="24"/>
        </w:rPr>
      </w:pPr>
      <w:r w:rsidRPr="0041706D">
        <w:rPr>
          <w:rFonts w:ascii="Arial" w:hAnsi="Arial" w:cs="Arial"/>
          <w:sz w:val="24"/>
          <w:szCs w:val="24"/>
        </w:rPr>
        <w:t>El representante del Ministerio Público</w:t>
      </w:r>
      <w:r w:rsidR="00BF58DF" w:rsidRPr="0041706D">
        <w:rPr>
          <w:rFonts w:ascii="Arial" w:hAnsi="Arial" w:cs="Arial"/>
          <w:sz w:val="24"/>
          <w:szCs w:val="24"/>
        </w:rPr>
        <w:t xml:space="preserve"> no emitió concepto</w:t>
      </w:r>
      <w:r w:rsidR="00D876D4" w:rsidRPr="0041706D">
        <w:rPr>
          <w:rFonts w:ascii="Arial" w:hAnsi="Arial" w:cs="Arial"/>
          <w:sz w:val="24"/>
          <w:szCs w:val="24"/>
        </w:rPr>
        <w:t>.</w:t>
      </w:r>
      <w:r w:rsidR="00475643" w:rsidRPr="0041706D">
        <w:rPr>
          <w:rFonts w:ascii="Arial" w:hAnsi="Arial" w:cs="Arial"/>
          <w:sz w:val="24"/>
          <w:szCs w:val="24"/>
        </w:rPr>
        <w:t xml:space="preserve"> </w:t>
      </w:r>
    </w:p>
    <w:p w14:paraId="7D12080A" w14:textId="77777777" w:rsidR="00C322D2" w:rsidRPr="0041706D" w:rsidRDefault="00C322D2" w:rsidP="0041706D">
      <w:pPr>
        <w:widowControl w:val="0"/>
        <w:tabs>
          <w:tab w:val="left" w:pos="3311"/>
          <w:tab w:val="left" w:pos="7655"/>
        </w:tabs>
        <w:suppressAutoHyphens/>
        <w:contextualSpacing/>
        <w:jc w:val="both"/>
        <w:rPr>
          <w:rFonts w:ascii="Arial" w:hAnsi="Arial" w:cs="Arial"/>
          <w:sz w:val="24"/>
          <w:szCs w:val="24"/>
        </w:rPr>
      </w:pPr>
    </w:p>
    <w:p w14:paraId="35DF025D" w14:textId="77777777" w:rsidR="005F2C44" w:rsidRPr="0041706D" w:rsidRDefault="005F2C44" w:rsidP="0041706D">
      <w:pPr>
        <w:widowControl w:val="0"/>
        <w:tabs>
          <w:tab w:val="left" w:pos="7655"/>
        </w:tabs>
        <w:jc w:val="center"/>
        <w:rPr>
          <w:rFonts w:ascii="Arial" w:hAnsi="Arial" w:cs="Arial"/>
          <w:b/>
          <w:sz w:val="24"/>
          <w:szCs w:val="24"/>
        </w:rPr>
      </w:pPr>
      <w:r w:rsidRPr="0041706D">
        <w:rPr>
          <w:rFonts w:ascii="Arial" w:hAnsi="Arial" w:cs="Arial"/>
          <w:b/>
          <w:sz w:val="24"/>
          <w:szCs w:val="24"/>
        </w:rPr>
        <w:t>II. CONSIDERACIONES</w:t>
      </w:r>
    </w:p>
    <w:p w14:paraId="476A746A" w14:textId="6CBBD05B" w:rsidR="005F2C44" w:rsidRPr="0041706D" w:rsidRDefault="005F2C44" w:rsidP="0041706D">
      <w:pPr>
        <w:widowControl w:val="0"/>
        <w:tabs>
          <w:tab w:val="left" w:pos="7655"/>
        </w:tabs>
        <w:jc w:val="center"/>
        <w:rPr>
          <w:rFonts w:ascii="Arial" w:hAnsi="Arial" w:cs="Arial"/>
          <w:b/>
          <w:iCs/>
          <w:sz w:val="24"/>
          <w:szCs w:val="24"/>
        </w:rPr>
      </w:pPr>
    </w:p>
    <w:p w14:paraId="5E938244" w14:textId="77777777" w:rsidR="006D770F" w:rsidRPr="0041706D" w:rsidRDefault="006D770F" w:rsidP="0041706D">
      <w:pPr>
        <w:pStyle w:val="Prrafodelista"/>
        <w:widowControl w:val="0"/>
        <w:numPr>
          <w:ilvl w:val="3"/>
          <w:numId w:val="1"/>
        </w:numPr>
        <w:ind w:left="0" w:firstLine="0"/>
        <w:jc w:val="both"/>
        <w:rPr>
          <w:rFonts w:ascii="Arial" w:hAnsi="Arial" w:cs="Arial"/>
          <w:b/>
          <w:iCs/>
          <w:sz w:val="24"/>
          <w:szCs w:val="24"/>
        </w:rPr>
      </w:pPr>
      <w:r w:rsidRPr="0041706D">
        <w:rPr>
          <w:rFonts w:ascii="Arial" w:hAnsi="Arial" w:cs="Arial"/>
          <w:b/>
          <w:iCs/>
          <w:sz w:val="24"/>
          <w:szCs w:val="24"/>
        </w:rPr>
        <w:t xml:space="preserve"> Asunto para resolver y decisión de la Sala</w:t>
      </w:r>
    </w:p>
    <w:p w14:paraId="5BF94703" w14:textId="77777777" w:rsidR="006D770F" w:rsidRPr="0041706D" w:rsidRDefault="006D770F" w:rsidP="0041706D">
      <w:pPr>
        <w:widowControl w:val="0"/>
        <w:jc w:val="both"/>
        <w:rPr>
          <w:rFonts w:ascii="Arial" w:hAnsi="Arial" w:cs="Arial"/>
          <w:b/>
          <w:iCs/>
          <w:sz w:val="24"/>
          <w:szCs w:val="24"/>
        </w:rPr>
      </w:pPr>
    </w:p>
    <w:p w14:paraId="052635E7" w14:textId="0FF0F2D6" w:rsidR="006D770F" w:rsidRPr="0041706D" w:rsidRDefault="006D770F" w:rsidP="0041706D">
      <w:pPr>
        <w:pStyle w:val="Prrafodelista"/>
        <w:widowControl w:val="0"/>
        <w:numPr>
          <w:ilvl w:val="0"/>
          <w:numId w:val="21"/>
        </w:numPr>
        <w:tabs>
          <w:tab w:val="left" w:pos="567"/>
          <w:tab w:val="left" w:pos="7655"/>
        </w:tabs>
        <w:ind w:left="0" w:firstLine="0"/>
        <w:jc w:val="both"/>
        <w:rPr>
          <w:rFonts w:ascii="Arial" w:hAnsi="Arial" w:cs="Arial"/>
          <w:sz w:val="24"/>
          <w:szCs w:val="24"/>
        </w:rPr>
      </w:pPr>
      <w:r w:rsidRPr="0041706D">
        <w:rPr>
          <w:rFonts w:ascii="Arial" w:hAnsi="Arial" w:cs="Arial"/>
          <w:sz w:val="24"/>
          <w:szCs w:val="24"/>
        </w:rPr>
        <w:t xml:space="preserve">De acuerdo con los recursos de apelación interpuestos por las apoderadas de las partes demandante y demandada, la Sala deberá determinar: i) si la señora María Clemencia Bohórquez Gorraiz tiene derecho a la reliquidación de la pensión teniendo en cuenta la asignación más elevada del último año de prestación de servicios, de conformidad con el artículo 6 del Decreto 546 de 1971 y atendiendo </w:t>
      </w:r>
      <w:r w:rsidR="004D29CC" w:rsidRPr="0041706D">
        <w:rPr>
          <w:rFonts w:ascii="Arial" w:hAnsi="Arial" w:cs="Arial"/>
          <w:sz w:val="24"/>
          <w:szCs w:val="24"/>
        </w:rPr>
        <w:t>a</w:t>
      </w:r>
      <w:r w:rsidRPr="0041706D">
        <w:rPr>
          <w:rFonts w:ascii="Arial" w:hAnsi="Arial" w:cs="Arial"/>
          <w:sz w:val="24"/>
          <w:szCs w:val="24"/>
        </w:rPr>
        <w:t xml:space="preserve">l principio de favorabilidad, así como a los derechos a la igualdad y seguridad social; o </w:t>
      </w:r>
      <w:proofErr w:type="spellStart"/>
      <w:r w:rsidRPr="0041706D">
        <w:rPr>
          <w:rFonts w:ascii="Arial" w:hAnsi="Arial" w:cs="Arial"/>
          <w:sz w:val="24"/>
          <w:szCs w:val="24"/>
        </w:rPr>
        <w:t>ii</w:t>
      </w:r>
      <w:proofErr w:type="spellEnd"/>
      <w:r w:rsidRPr="0041706D">
        <w:rPr>
          <w:rFonts w:ascii="Arial" w:hAnsi="Arial" w:cs="Arial"/>
          <w:sz w:val="24"/>
          <w:szCs w:val="24"/>
        </w:rPr>
        <w:t xml:space="preserve">) si </w:t>
      </w:r>
      <w:r w:rsidR="004D29CC" w:rsidRPr="0041706D">
        <w:rPr>
          <w:rFonts w:ascii="Arial" w:hAnsi="Arial" w:cs="Arial"/>
          <w:sz w:val="24"/>
          <w:szCs w:val="24"/>
        </w:rPr>
        <w:t>la pensión debe reconocerse con fundamento en el ingreso base de liquidación de los últimos diez (10) años de prestación de servicios y con la inclusión de los factores salariales previstos únicamente en el Decreto 1158 de 1994.</w:t>
      </w:r>
    </w:p>
    <w:p w14:paraId="25EEA368" w14:textId="77777777" w:rsidR="006D770F" w:rsidRPr="0041706D" w:rsidRDefault="006D770F" w:rsidP="0041706D">
      <w:pPr>
        <w:widowControl w:val="0"/>
        <w:tabs>
          <w:tab w:val="left" w:pos="567"/>
          <w:tab w:val="left" w:pos="7655"/>
        </w:tabs>
        <w:jc w:val="both"/>
        <w:rPr>
          <w:rFonts w:ascii="Arial" w:hAnsi="Arial" w:cs="Arial"/>
          <w:sz w:val="24"/>
          <w:szCs w:val="24"/>
        </w:rPr>
      </w:pPr>
    </w:p>
    <w:p w14:paraId="4EFF8101" w14:textId="77777777" w:rsidR="006D770F" w:rsidRPr="0041706D" w:rsidRDefault="006D770F" w:rsidP="0041706D">
      <w:pPr>
        <w:pStyle w:val="Prrafodelista"/>
        <w:widowControl w:val="0"/>
        <w:numPr>
          <w:ilvl w:val="0"/>
          <w:numId w:val="21"/>
        </w:numPr>
        <w:tabs>
          <w:tab w:val="left" w:pos="567"/>
          <w:tab w:val="left" w:pos="7655"/>
        </w:tabs>
        <w:ind w:left="0" w:firstLine="0"/>
        <w:jc w:val="both"/>
        <w:rPr>
          <w:rFonts w:ascii="Arial" w:hAnsi="Arial" w:cs="Arial"/>
          <w:sz w:val="24"/>
          <w:szCs w:val="24"/>
        </w:rPr>
      </w:pPr>
      <w:r w:rsidRPr="0041706D">
        <w:rPr>
          <w:rFonts w:ascii="Arial" w:hAnsi="Arial" w:cs="Arial"/>
          <w:sz w:val="24"/>
          <w:szCs w:val="24"/>
        </w:rPr>
        <w:t xml:space="preserve">Con el objeto de resolver los problemas jurídicos planteados por la Sala, se hará un breve recuento normativo y jurisprudencial sobre el tema objeto de análisis bajo el siguiente entendido:  </w:t>
      </w:r>
    </w:p>
    <w:p w14:paraId="3B04F45B" w14:textId="77777777" w:rsidR="006D770F" w:rsidRPr="0041706D" w:rsidRDefault="006D770F" w:rsidP="0041706D">
      <w:pPr>
        <w:widowControl w:val="0"/>
        <w:tabs>
          <w:tab w:val="left" w:pos="7655"/>
        </w:tabs>
        <w:jc w:val="both"/>
        <w:rPr>
          <w:rFonts w:ascii="Arial" w:hAnsi="Arial" w:cs="Arial"/>
          <w:sz w:val="24"/>
          <w:szCs w:val="24"/>
        </w:rPr>
      </w:pPr>
    </w:p>
    <w:p w14:paraId="481F1D9A" w14:textId="77777777" w:rsidR="006D770F" w:rsidRPr="0041706D" w:rsidRDefault="006D770F" w:rsidP="0041706D">
      <w:pPr>
        <w:tabs>
          <w:tab w:val="left" w:pos="7371"/>
        </w:tabs>
        <w:jc w:val="both"/>
        <w:rPr>
          <w:rFonts w:ascii="Arial" w:hAnsi="Arial" w:cs="Arial"/>
          <w:b/>
          <w:sz w:val="24"/>
          <w:szCs w:val="24"/>
          <w:lang w:val="es-ES_tradnl"/>
        </w:rPr>
      </w:pPr>
      <w:r w:rsidRPr="0041706D">
        <w:rPr>
          <w:rFonts w:ascii="Arial" w:hAnsi="Arial" w:cs="Arial"/>
          <w:b/>
          <w:sz w:val="24"/>
          <w:szCs w:val="24"/>
        </w:rPr>
        <w:t xml:space="preserve">Marco </w:t>
      </w:r>
      <w:r w:rsidRPr="0041706D">
        <w:rPr>
          <w:rFonts w:ascii="Arial" w:hAnsi="Arial" w:cs="Arial"/>
          <w:b/>
          <w:sz w:val="24"/>
          <w:szCs w:val="24"/>
          <w:lang w:val="es-ES_tradnl"/>
        </w:rPr>
        <w:t>normativo y jurisprudencial del</w:t>
      </w:r>
      <w:r w:rsidRPr="0041706D">
        <w:rPr>
          <w:rFonts w:ascii="Arial" w:hAnsi="Arial" w:cs="Arial"/>
          <w:b/>
          <w:sz w:val="24"/>
          <w:szCs w:val="24"/>
        </w:rPr>
        <w:t xml:space="preserve"> régimen pensional de los servidores de la Rama Judicial </w:t>
      </w:r>
    </w:p>
    <w:p w14:paraId="6CBF6EEA" w14:textId="77777777" w:rsidR="006D770F" w:rsidRPr="0041706D" w:rsidRDefault="006D770F" w:rsidP="0041706D">
      <w:pPr>
        <w:pStyle w:val="Prrafodelista"/>
        <w:widowControl w:val="0"/>
        <w:tabs>
          <w:tab w:val="left" w:pos="426"/>
        </w:tabs>
        <w:ind w:left="0"/>
        <w:jc w:val="both"/>
        <w:rPr>
          <w:rFonts w:ascii="Arial" w:hAnsi="Arial" w:cs="Arial"/>
          <w:b/>
          <w:sz w:val="24"/>
          <w:szCs w:val="24"/>
        </w:rPr>
      </w:pPr>
    </w:p>
    <w:p w14:paraId="070EFC46" w14:textId="2D693E2F" w:rsidR="006D770F" w:rsidRPr="0041706D" w:rsidRDefault="006D770F" w:rsidP="0041706D">
      <w:pPr>
        <w:pStyle w:val="Prrafodelista"/>
        <w:numPr>
          <w:ilvl w:val="0"/>
          <w:numId w:val="21"/>
        </w:numPr>
        <w:ind w:left="0" w:firstLine="0"/>
        <w:jc w:val="both"/>
        <w:rPr>
          <w:rFonts w:ascii="Arial" w:hAnsi="Arial" w:cs="Arial"/>
          <w:b/>
          <w:bCs/>
          <w:sz w:val="24"/>
          <w:szCs w:val="24"/>
        </w:rPr>
      </w:pPr>
      <w:r w:rsidRPr="0041706D">
        <w:rPr>
          <w:rFonts w:ascii="Arial" w:hAnsi="Arial" w:cs="Arial"/>
          <w:sz w:val="24"/>
          <w:szCs w:val="24"/>
        </w:rPr>
        <w:t>El artículo 6° del Decreto 546 de 27 de marzo de 1971</w:t>
      </w:r>
      <w:r w:rsidRPr="0041706D">
        <w:rPr>
          <w:rStyle w:val="Refdenotaalpie"/>
          <w:rFonts w:ascii="Arial" w:hAnsi="Arial" w:cs="Arial"/>
          <w:sz w:val="24"/>
          <w:szCs w:val="24"/>
        </w:rPr>
        <w:footnoteReference w:id="14"/>
      </w:r>
      <w:r w:rsidRPr="0041706D">
        <w:rPr>
          <w:rFonts w:ascii="Arial" w:hAnsi="Arial" w:cs="Arial"/>
          <w:sz w:val="24"/>
          <w:szCs w:val="24"/>
        </w:rPr>
        <w:t xml:space="preserve"> previó que los funcionarios y empleados de la </w:t>
      </w:r>
      <w:r w:rsidR="003C59B4" w:rsidRPr="0041706D">
        <w:rPr>
          <w:rFonts w:ascii="Arial" w:hAnsi="Arial" w:cs="Arial"/>
          <w:sz w:val="24"/>
          <w:szCs w:val="24"/>
        </w:rPr>
        <w:t>R</w:t>
      </w:r>
      <w:r w:rsidRPr="0041706D">
        <w:rPr>
          <w:rFonts w:ascii="Arial" w:hAnsi="Arial" w:cs="Arial"/>
          <w:sz w:val="24"/>
          <w:szCs w:val="24"/>
        </w:rPr>
        <w:t xml:space="preserve">ama </w:t>
      </w:r>
      <w:r w:rsidR="003C59B4" w:rsidRPr="0041706D">
        <w:rPr>
          <w:rFonts w:ascii="Arial" w:hAnsi="Arial" w:cs="Arial"/>
          <w:sz w:val="24"/>
          <w:szCs w:val="24"/>
        </w:rPr>
        <w:t>J</w:t>
      </w:r>
      <w:r w:rsidRPr="0041706D">
        <w:rPr>
          <w:rFonts w:ascii="Arial" w:hAnsi="Arial" w:cs="Arial"/>
          <w:sz w:val="24"/>
          <w:szCs w:val="24"/>
        </w:rPr>
        <w:t xml:space="preserve">urisdiccional y del </w:t>
      </w:r>
      <w:r w:rsidR="003C59B4" w:rsidRPr="0041706D">
        <w:rPr>
          <w:rFonts w:ascii="Arial" w:hAnsi="Arial" w:cs="Arial"/>
          <w:sz w:val="24"/>
          <w:szCs w:val="24"/>
        </w:rPr>
        <w:t>M</w:t>
      </w:r>
      <w:r w:rsidRPr="0041706D">
        <w:rPr>
          <w:rFonts w:ascii="Arial" w:hAnsi="Arial" w:cs="Arial"/>
          <w:sz w:val="24"/>
          <w:szCs w:val="24"/>
        </w:rPr>
        <w:t xml:space="preserve">inisterio </w:t>
      </w:r>
      <w:r w:rsidR="003C59B4" w:rsidRPr="0041706D">
        <w:rPr>
          <w:rFonts w:ascii="Arial" w:hAnsi="Arial" w:cs="Arial"/>
          <w:sz w:val="24"/>
          <w:szCs w:val="24"/>
        </w:rPr>
        <w:t>P</w:t>
      </w:r>
      <w:r w:rsidRPr="0041706D">
        <w:rPr>
          <w:rFonts w:ascii="Arial" w:hAnsi="Arial" w:cs="Arial"/>
          <w:sz w:val="24"/>
          <w:szCs w:val="24"/>
        </w:rPr>
        <w:t>úblico tendrían derecho a una pensión ordinaria vitalicia de jubilación equivalente al 75% de la asignación mensual más elevada que hubieren devengado en el último año de servicio cuando cumplieran 55 años de edad, si eran hombres o 50, si eran mujeres, y 20 años de servicio continuos o discontinuos, anteriores o posteriores a la vigencia de ese Decreto, de los cuales por lo menos 10 debían ser exclusivamente a la Rama Jurisdiccional o al Ministerio Público, o a ambas actividades.</w:t>
      </w:r>
    </w:p>
    <w:p w14:paraId="64F0C73E" w14:textId="77777777" w:rsidR="006D770F" w:rsidRPr="0041706D" w:rsidRDefault="006D770F" w:rsidP="0041706D">
      <w:pPr>
        <w:pStyle w:val="Prrafodelista"/>
        <w:ind w:left="0"/>
        <w:jc w:val="both"/>
        <w:rPr>
          <w:rFonts w:ascii="Arial" w:hAnsi="Arial" w:cs="Arial"/>
          <w:b/>
          <w:sz w:val="24"/>
          <w:szCs w:val="24"/>
        </w:rPr>
      </w:pPr>
    </w:p>
    <w:p w14:paraId="0418901C" w14:textId="77777777" w:rsidR="006D770F" w:rsidRPr="0041706D" w:rsidRDefault="006D770F" w:rsidP="0041706D">
      <w:pPr>
        <w:pStyle w:val="Prrafodelista"/>
        <w:numPr>
          <w:ilvl w:val="0"/>
          <w:numId w:val="21"/>
        </w:numPr>
        <w:ind w:left="0" w:firstLine="0"/>
        <w:jc w:val="both"/>
        <w:rPr>
          <w:rFonts w:ascii="Arial" w:hAnsi="Arial" w:cs="Arial"/>
          <w:b/>
          <w:sz w:val="24"/>
          <w:szCs w:val="24"/>
        </w:rPr>
      </w:pPr>
      <w:r w:rsidRPr="0041706D">
        <w:rPr>
          <w:rFonts w:ascii="Arial" w:hAnsi="Arial" w:cs="Arial"/>
          <w:sz w:val="24"/>
          <w:szCs w:val="24"/>
        </w:rPr>
        <w:t>La Sección Segunda del Consejo de Estado, mediante la sentencia CE-SUJ-S2-021-201 de 11 de junio de 2020</w:t>
      </w:r>
      <w:r w:rsidRPr="0041706D">
        <w:rPr>
          <w:rStyle w:val="Refdenotaalpie"/>
          <w:rFonts w:ascii="Arial" w:hAnsi="Arial" w:cs="Arial"/>
          <w:sz w:val="24"/>
          <w:szCs w:val="24"/>
        </w:rPr>
        <w:footnoteReference w:id="15"/>
      </w:r>
      <w:r w:rsidRPr="0041706D">
        <w:rPr>
          <w:rFonts w:ascii="Arial" w:hAnsi="Arial" w:cs="Arial"/>
          <w:sz w:val="24"/>
          <w:szCs w:val="24"/>
        </w:rPr>
        <w:t xml:space="preserve">, unificó jurisprudencia, en relación con el tema estudiado, en el siguiente sentido: </w:t>
      </w:r>
    </w:p>
    <w:p w14:paraId="3D5D3BF1" w14:textId="77777777" w:rsidR="006D770F" w:rsidRPr="0041706D" w:rsidRDefault="006D770F" w:rsidP="0041706D">
      <w:pPr>
        <w:pStyle w:val="Prrafodelista"/>
        <w:ind w:left="0"/>
        <w:rPr>
          <w:rFonts w:ascii="Arial" w:hAnsi="Arial" w:cs="Arial"/>
          <w:b/>
          <w:sz w:val="24"/>
          <w:szCs w:val="24"/>
        </w:rPr>
      </w:pPr>
    </w:p>
    <w:p w14:paraId="3CD1681D" w14:textId="77777777" w:rsidR="006D770F" w:rsidRPr="0041706D" w:rsidRDefault="006D770F" w:rsidP="0041706D">
      <w:pPr>
        <w:jc w:val="both"/>
        <w:rPr>
          <w:rFonts w:ascii="Arial" w:hAnsi="Arial" w:cs="Arial"/>
          <w:i/>
          <w:sz w:val="22"/>
          <w:szCs w:val="22"/>
          <w:bdr w:val="none" w:sz="0" w:space="0" w:color="auto" w:frame="1"/>
        </w:rPr>
      </w:pPr>
      <w:r w:rsidRPr="0041706D">
        <w:rPr>
          <w:rFonts w:ascii="Arial" w:hAnsi="Arial" w:cs="Arial"/>
          <w:bCs/>
          <w:i/>
          <w:sz w:val="22"/>
          <w:szCs w:val="22"/>
          <w:bdr w:val="none" w:sz="0" w:space="0" w:color="auto" w:frame="1"/>
        </w:rPr>
        <w:t>“[…]</w:t>
      </w:r>
      <w:r w:rsidRPr="0041706D">
        <w:rPr>
          <w:rFonts w:ascii="Arial" w:hAnsi="Arial" w:cs="Arial"/>
          <w:b/>
          <w:bCs/>
          <w:i/>
          <w:sz w:val="22"/>
          <w:szCs w:val="22"/>
          <w:bdr w:val="none" w:sz="0" w:space="0" w:color="auto" w:frame="1"/>
        </w:rPr>
        <w:t xml:space="preserve"> PRIMERO:</w:t>
      </w:r>
      <w:r w:rsidRPr="0041706D">
        <w:rPr>
          <w:rFonts w:ascii="Arial" w:hAnsi="Arial" w:cs="Arial"/>
          <w:i/>
          <w:sz w:val="22"/>
          <w:szCs w:val="22"/>
          <w:bdr w:val="none" w:sz="0" w:space="0" w:color="auto" w:frame="1"/>
        </w:rPr>
        <w:t xml:space="preserve"> </w:t>
      </w:r>
      <w:r w:rsidRPr="0041706D">
        <w:rPr>
          <w:rFonts w:ascii="Arial" w:hAnsi="Arial" w:cs="Arial"/>
          <w:b/>
          <w:i/>
          <w:sz w:val="22"/>
          <w:szCs w:val="22"/>
          <w:bdr w:val="none" w:sz="0" w:space="0" w:color="auto" w:frame="1"/>
        </w:rPr>
        <w:t>Unificar</w:t>
      </w:r>
      <w:r w:rsidRPr="0041706D">
        <w:rPr>
          <w:rFonts w:ascii="Arial" w:hAnsi="Arial" w:cs="Arial"/>
          <w:i/>
          <w:sz w:val="22"/>
          <w:szCs w:val="22"/>
          <w:bdr w:val="none" w:sz="0" w:space="0" w:color="auto" w:frame="1"/>
        </w:rPr>
        <w:t xml:space="preserve"> la jurisprudencia del Consejo de Estado en el sentido de precisar lo siguiente:</w:t>
      </w:r>
    </w:p>
    <w:p w14:paraId="4893F906" w14:textId="77777777" w:rsidR="006D770F" w:rsidRPr="0041706D" w:rsidRDefault="006D770F" w:rsidP="0041706D">
      <w:pPr>
        <w:jc w:val="both"/>
        <w:rPr>
          <w:rFonts w:ascii="Arial" w:hAnsi="Arial" w:cs="Arial"/>
          <w:i/>
          <w:sz w:val="22"/>
          <w:szCs w:val="22"/>
          <w:bdr w:val="none" w:sz="0" w:space="0" w:color="auto" w:frame="1"/>
        </w:rPr>
      </w:pPr>
    </w:p>
    <w:p w14:paraId="6FC548DF" w14:textId="77777777" w:rsidR="006D770F" w:rsidRPr="0041706D" w:rsidRDefault="006D770F" w:rsidP="0041706D">
      <w:pPr>
        <w:jc w:val="both"/>
        <w:outlineLvl w:val="0"/>
        <w:rPr>
          <w:rFonts w:ascii="Arial" w:hAnsi="Arial" w:cs="Arial"/>
          <w:bCs/>
          <w:i/>
          <w:sz w:val="22"/>
          <w:szCs w:val="22"/>
        </w:rPr>
      </w:pPr>
      <w:r w:rsidRPr="0041706D">
        <w:rPr>
          <w:rFonts w:ascii="Arial" w:hAnsi="Arial" w:cs="Arial"/>
          <w:bCs/>
          <w:i/>
          <w:sz w:val="22"/>
          <w:szCs w:val="22"/>
        </w:rPr>
        <w:t xml:space="preserve">El servidor o ex servidor de la Rama Judicial o del Ministerio Público beneficiario del régimen de transición previsto en el artículo 36 de la Ley 100 de 1993 </w:t>
      </w:r>
      <w:r w:rsidRPr="0041706D">
        <w:rPr>
          <w:rFonts w:ascii="Arial" w:hAnsi="Arial" w:cs="Arial"/>
          <w:bCs/>
          <w:i/>
          <w:sz w:val="22"/>
          <w:szCs w:val="22"/>
          <w:u w:val="single"/>
        </w:rPr>
        <w:t>adquiere el derecho a la pensión,</w:t>
      </w:r>
      <w:r w:rsidRPr="0041706D">
        <w:rPr>
          <w:rFonts w:ascii="Arial" w:hAnsi="Arial" w:cs="Arial"/>
          <w:bCs/>
          <w:i/>
          <w:sz w:val="22"/>
          <w:szCs w:val="22"/>
        </w:rPr>
        <w:t xml:space="preserve"> siempre que:</w:t>
      </w:r>
    </w:p>
    <w:p w14:paraId="7E899037" w14:textId="77777777" w:rsidR="006D770F" w:rsidRPr="0041706D" w:rsidRDefault="006D770F" w:rsidP="0041706D">
      <w:pPr>
        <w:jc w:val="both"/>
        <w:outlineLvl w:val="0"/>
        <w:rPr>
          <w:rFonts w:ascii="Arial" w:hAnsi="Arial" w:cs="Arial"/>
          <w:bCs/>
          <w:i/>
          <w:sz w:val="22"/>
          <w:szCs w:val="22"/>
        </w:rPr>
      </w:pPr>
    </w:p>
    <w:p w14:paraId="7E6E7BE6" w14:textId="77777777" w:rsidR="006D770F" w:rsidRPr="0041706D" w:rsidRDefault="006D770F" w:rsidP="0041706D">
      <w:pPr>
        <w:jc w:val="both"/>
        <w:outlineLvl w:val="0"/>
        <w:rPr>
          <w:rFonts w:ascii="Arial" w:hAnsi="Arial" w:cs="Arial"/>
          <w:i/>
          <w:sz w:val="22"/>
          <w:szCs w:val="22"/>
          <w:bdr w:val="none" w:sz="0" w:space="0" w:color="auto" w:frame="1"/>
        </w:rPr>
      </w:pPr>
      <w:r w:rsidRPr="0041706D">
        <w:rPr>
          <w:rFonts w:ascii="Arial" w:hAnsi="Arial" w:cs="Arial"/>
          <w:b/>
          <w:i/>
          <w:sz w:val="22"/>
          <w:szCs w:val="22"/>
          <w:bdr w:val="none" w:sz="0" w:space="0" w:color="auto" w:frame="1"/>
        </w:rPr>
        <w:t xml:space="preserve">i) </w:t>
      </w:r>
      <w:r w:rsidRPr="0041706D">
        <w:rPr>
          <w:rFonts w:ascii="Arial" w:hAnsi="Arial" w:cs="Arial"/>
          <w:i/>
          <w:sz w:val="22"/>
          <w:szCs w:val="22"/>
          <w:bdr w:val="none" w:sz="0" w:space="0" w:color="auto" w:frame="1"/>
        </w:rPr>
        <w:t xml:space="preserve">Para el 1.º de abril de 1994, cuando cobró vigencia la Ley 100 de 1993 en el ámbito nacional o para el 30 de junio de 1995 cuando empezó a regir en el ámbito territorial, tenga: </w:t>
      </w:r>
      <w:r w:rsidRPr="0041706D">
        <w:rPr>
          <w:rFonts w:ascii="Arial" w:hAnsi="Arial" w:cs="Arial"/>
          <w:b/>
          <w:i/>
          <w:sz w:val="22"/>
          <w:szCs w:val="22"/>
          <w:bdr w:val="none" w:sz="0" w:space="0" w:color="auto" w:frame="1"/>
        </w:rPr>
        <w:t>a)</w:t>
      </w:r>
      <w:r w:rsidRPr="0041706D">
        <w:rPr>
          <w:rFonts w:ascii="Arial" w:hAnsi="Arial" w:cs="Arial"/>
          <w:i/>
          <w:sz w:val="22"/>
          <w:szCs w:val="22"/>
          <w:bdr w:val="none" w:sz="0" w:space="0" w:color="auto" w:frame="1"/>
        </w:rPr>
        <w:t xml:space="preserve"> 40 años de edad si hombre, 35 años de edad si es mujer o;</w:t>
      </w:r>
      <w:r w:rsidRPr="0041706D">
        <w:rPr>
          <w:rFonts w:ascii="Arial" w:hAnsi="Arial" w:cs="Arial"/>
          <w:b/>
          <w:i/>
          <w:sz w:val="22"/>
          <w:szCs w:val="22"/>
          <w:bdr w:val="none" w:sz="0" w:space="0" w:color="auto" w:frame="1"/>
        </w:rPr>
        <w:t xml:space="preserve"> b)</w:t>
      </w:r>
      <w:r w:rsidRPr="0041706D">
        <w:rPr>
          <w:rFonts w:ascii="Arial" w:hAnsi="Arial" w:cs="Arial"/>
          <w:i/>
          <w:sz w:val="22"/>
          <w:szCs w:val="22"/>
          <w:bdr w:val="none" w:sz="0" w:space="0" w:color="auto" w:frame="1"/>
        </w:rPr>
        <w:t xml:space="preserve"> 15 años o más de servicios efectivamente cotizados.</w:t>
      </w:r>
    </w:p>
    <w:p w14:paraId="6F941260" w14:textId="77777777" w:rsidR="006D770F" w:rsidRPr="0041706D" w:rsidRDefault="006D770F" w:rsidP="0041706D">
      <w:pPr>
        <w:jc w:val="both"/>
        <w:outlineLvl w:val="0"/>
        <w:rPr>
          <w:rFonts w:ascii="Arial" w:hAnsi="Arial" w:cs="Arial"/>
          <w:i/>
          <w:sz w:val="22"/>
          <w:szCs w:val="22"/>
          <w:bdr w:val="none" w:sz="0" w:space="0" w:color="auto" w:frame="1"/>
        </w:rPr>
      </w:pPr>
    </w:p>
    <w:p w14:paraId="1E91D567" w14:textId="77777777" w:rsidR="006D770F" w:rsidRPr="0041706D" w:rsidRDefault="006D770F" w:rsidP="0041706D">
      <w:pPr>
        <w:jc w:val="both"/>
        <w:outlineLvl w:val="0"/>
        <w:rPr>
          <w:rFonts w:ascii="Arial" w:hAnsi="Arial" w:cs="Arial"/>
          <w:i/>
          <w:color w:val="000000"/>
          <w:sz w:val="22"/>
          <w:szCs w:val="22"/>
        </w:rPr>
      </w:pPr>
      <w:proofErr w:type="spellStart"/>
      <w:r w:rsidRPr="0041706D">
        <w:rPr>
          <w:rFonts w:ascii="Arial" w:hAnsi="Arial" w:cs="Arial"/>
          <w:b/>
          <w:i/>
          <w:sz w:val="22"/>
          <w:szCs w:val="22"/>
          <w:bdr w:val="none" w:sz="0" w:space="0" w:color="auto" w:frame="1"/>
        </w:rPr>
        <w:t>ii</w:t>
      </w:r>
      <w:proofErr w:type="spellEnd"/>
      <w:r w:rsidRPr="0041706D">
        <w:rPr>
          <w:rFonts w:ascii="Arial" w:hAnsi="Arial" w:cs="Arial"/>
          <w:b/>
          <w:i/>
          <w:sz w:val="22"/>
          <w:szCs w:val="22"/>
          <w:bdr w:val="none" w:sz="0" w:space="0" w:color="auto" w:frame="1"/>
        </w:rPr>
        <w:t xml:space="preserve">) </w:t>
      </w:r>
      <w:r w:rsidRPr="0041706D">
        <w:rPr>
          <w:rFonts w:ascii="Arial" w:hAnsi="Arial" w:cs="Arial"/>
          <w:i/>
          <w:sz w:val="22"/>
          <w:szCs w:val="22"/>
          <w:bdr w:val="none" w:sz="0" w:space="0" w:color="auto" w:frame="1"/>
        </w:rPr>
        <w:t xml:space="preserve">Reúna además los requerimientos propios del régimen de la Rama Judicial y del Ministerio Público estipulados en el artículo 6.º del Decreto 546 de 1971 para consolidar el estatus pensional que son: </w:t>
      </w:r>
      <w:r w:rsidRPr="0041706D">
        <w:rPr>
          <w:rFonts w:ascii="Arial" w:hAnsi="Arial" w:cs="Arial"/>
          <w:b/>
          <w:i/>
          <w:sz w:val="22"/>
          <w:szCs w:val="22"/>
          <w:bdr w:val="none" w:sz="0" w:space="0" w:color="auto" w:frame="1"/>
        </w:rPr>
        <w:t>a)</w:t>
      </w:r>
      <w:r w:rsidRPr="0041706D">
        <w:rPr>
          <w:rFonts w:ascii="Arial" w:hAnsi="Arial" w:cs="Arial"/>
          <w:b/>
          <w:bCs/>
          <w:i/>
          <w:color w:val="000000"/>
          <w:sz w:val="22"/>
          <w:szCs w:val="22"/>
        </w:rPr>
        <w:t xml:space="preserve"> </w:t>
      </w:r>
      <w:r w:rsidRPr="0041706D">
        <w:rPr>
          <w:rFonts w:ascii="Arial" w:hAnsi="Arial" w:cs="Arial"/>
          <w:i/>
          <w:color w:val="000000"/>
          <w:sz w:val="22"/>
          <w:szCs w:val="22"/>
        </w:rPr>
        <w:t xml:space="preserve">el cumplimiento </w:t>
      </w:r>
      <w:r w:rsidRPr="0041706D">
        <w:rPr>
          <w:rFonts w:ascii="Arial" w:hAnsi="Arial" w:cs="Arial"/>
          <w:i/>
          <w:sz w:val="22"/>
          <w:szCs w:val="22"/>
        </w:rPr>
        <w:t>la edad de</w:t>
      </w:r>
      <w:r w:rsidRPr="0041706D">
        <w:rPr>
          <w:rFonts w:ascii="Arial" w:hAnsi="Arial" w:cs="Arial"/>
          <w:i/>
          <w:color w:val="000000"/>
          <w:sz w:val="22"/>
          <w:szCs w:val="22"/>
        </w:rPr>
        <w:t xml:space="preserve"> 50 años si es mujer o 55 años si es hombre; </w:t>
      </w:r>
      <w:r w:rsidRPr="0041706D">
        <w:rPr>
          <w:rFonts w:ascii="Arial" w:hAnsi="Arial" w:cs="Arial"/>
          <w:b/>
          <w:i/>
          <w:color w:val="000000"/>
          <w:sz w:val="22"/>
          <w:szCs w:val="22"/>
        </w:rPr>
        <w:t xml:space="preserve">b) </w:t>
      </w:r>
      <w:r w:rsidRPr="0041706D">
        <w:rPr>
          <w:rFonts w:ascii="Arial" w:hAnsi="Arial" w:cs="Arial"/>
          <w:i/>
          <w:color w:val="000000"/>
          <w:sz w:val="22"/>
          <w:szCs w:val="22"/>
        </w:rPr>
        <w:t>el tiempo de 20 años de servicios, continuos o discontinuos</w:t>
      </w:r>
      <w:r w:rsidRPr="0041706D">
        <w:rPr>
          <w:rFonts w:ascii="Arial" w:hAnsi="Arial" w:cs="Arial"/>
          <w:i/>
          <w:sz w:val="22"/>
          <w:szCs w:val="22"/>
        </w:rPr>
        <w:t xml:space="preserve"> anteriores o posteriores a la vigencia de dicho decreto, que tuvo lugar el 16 de julio de 1971;</w:t>
      </w:r>
      <w:r w:rsidRPr="0041706D">
        <w:rPr>
          <w:rFonts w:ascii="Arial" w:eastAsia="Arial Unicode MS" w:hAnsi="Arial" w:cs="Arial"/>
          <w:i/>
          <w:sz w:val="22"/>
          <w:szCs w:val="22"/>
          <w:vertAlign w:val="superscript"/>
        </w:rPr>
        <w:footnoteReference w:id="16"/>
      </w:r>
      <w:r w:rsidRPr="0041706D">
        <w:rPr>
          <w:rFonts w:ascii="Arial" w:hAnsi="Arial" w:cs="Arial"/>
          <w:i/>
          <w:sz w:val="22"/>
          <w:szCs w:val="22"/>
        </w:rPr>
        <w:t xml:space="preserve"> </w:t>
      </w:r>
      <w:r w:rsidRPr="0041706D">
        <w:rPr>
          <w:rFonts w:ascii="Arial" w:hAnsi="Arial" w:cs="Arial"/>
          <w:b/>
          <w:bCs/>
          <w:i/>
          <w:sz w:val="22"/>
          <w:szCs w:val="22"/>
        </w:rPr>
        <w:t xml:space="preserve">c) </w:t>
      </w:r>
      <w:r w:rsidRPr="0041706D">
        <w:rPr>
          <w:rFonts w:ascii="Arial" w:hAnsi="Arial" w:cs="Arial"/>
          <w:i/>
          <w:sz w:val="22"/>
          <w:szCs w:val="22"/>
        </w:rPr>
        <w:t>de esos 20 años de servicio, por lo menos 10 años lo hayan sido exclusivamente a la Rama Jurisdiccional o al Ministerio Público, o a ambas actividades</w:t>
      </w:r>
      <w:r w:rsidRPr="0041706D">
        <w:rPr>
          <w:rFonts w:ascii="Arial" w:hAnsi="Arial" w:cs="Arial"/>
          <w:i/>
          <w:color w:val="000000"/>
          <w:sz w:val="22"/>
          <w:szCs w:val="22"/>
        </w:rPr>
        <w:t>.</w:t>
      </w:r>
    </w:p>
    <w:p w14:paraId="5BB492E1" w14:textId="77777777" w:rsidR="006D770F" w:rsidRPr="0041706D" w:rsidRDefault="006D770F" w:rsidP="0041706D">
      <w:pPr>
        <w:jc w:val="both"/>
        <w:outlineLvl w:val="0"/>
        <w:rPr>
          <w:rFonts w:ascii="Arial" w:hAnsi="Arial" w:cs="Arial"/>
          <w:i/>
          <w:color w:val="000000"/>
          <w:sz w:val="22"/>
          <w:szCs w:val="22"/>
        </w:rPr>
      </w:pPr>
    </w:p>
    <w:p w14:paraId="3973A000" w14:textId="77777777" w:rsidR="006D770F" w:rsidRPr="0041706D" w:rsidRDefault="006D770F" w:rsidP="0041706D">
      <w:pPr>
        <w:jc w:val="both"/>
        <w:outlineLvl w:val="0"/>
        <w:rPr>
          <w:rFonts w:ascii="Arial" w:hAnsi="Arial" w:cs="Arial"/>
          <w:i/>
          <w:color w:val="000000"/>
          <w:sz w:val="22"/>
          <w:szCs w:val="22"/>
        </w:rPr>
      </w:pPr>
      <w:r w:rsidRPr="0041706D">
        <w:rPr>
          <w:rFonts w:ascii="Arial" w:hAnsi="Arial" w:cs="Arial"/>
          <w:i/>
          <w:color w:val="000000"/>
          <w:sz w:val="22"/>
          <w:szCs w:val="22"/>
        </w:rPr>
        <w:t xml:space="preserve">En cuyo caso, el reconocimiento de su pensión se efectuará de la siguiente manera: </w:t>
      </w:r>
    </w:p>
    <w:p w14:paraId="23CDE6CF" w14:textId="77777777" w:rsidR="006D770F" w:rsidRPr="0041706D" w:rsidRDefault="006D770F" w:rsidP="0041706D">
      <w:pPr>
        <w:jc w:val="both"/>
        <w:outlineLvl w:val="0"/>
        <w:rPr>
          <w:rFonts w:ascii="Arial" w:hAnsi="Arial" w:cs="Arial"/>
          <w:i/>
          <w:color w:val="000000"/>
          <w:sz w:val="22"/>
          <w:szCs w:val="22"/>
        </w:rPr>
      </w:pPr>
    </w:p>
    <w:p w14:paraId="2D1C5FA1" w14:textId="77777777" w:rsidR="006D770F" w:rsidRPr="0041706D" w:rsidRDefault="006D770F" w:rsidP="0041706D">
      <w:pPr>
        <w:jc w:val="both"/>
        <w:outlineLvl w:val="0"/>
        <w:rPr>
          <w:rFonts w:ascii="Arial" w:hAnsi="Arial" w:cs="Arial"/>
          <w:i/>
          <w:iCs/>
          <w:color w:val="000000"/>
          <w:sz w:val="22"/>
          <w:szCs w:val="22"/>
          <w:u w:val="single"/>
        </w:rPr>
      </w:pPr>
      <w:proofErr w:type="spellStart"/>
      <w:r w:rsidRPr="0041706D">
        <w:rPr>
          <w:rFonts w:ascii="Arial" w:hAnsi="Arial" w:cs="Arial"/>
          <w:b/>
          <w:bCs/>
          <w:i/>
          <w:iCs/>
          <w:color w:val="000000"/>
          <w:sz w:val="22"/>
          <w:szCs w:val="22"/>
        </w:rPr>
        <w:t>iii</w:t>
      </w:r>
      <w:proofErr w:type="spellEnd"/>
      <w:r w:rsidRPr="0041706D">
        <w:rPr>
          <w:rFonts w:ascii="Arial" w:hAnsi="Arial" w:cs="Arial"/>
          <w:b/>
          <w:bCs/>
          <w:i/>
          <w:iCs/>
          <w:color w:val="000000"/>
          <w:sz w:val="22"/>
          <w:szCs w:val="22"/>
        </w:rPr>
        <w:t xml:space="preserve">) </w:t>
      </w:r>
      <w:r w:rsidRPr="0041706D">
        <w:rPr>
          <w:rFonts w:ascii="Arial" w:hAnsi="Arial" w:cs="Arial"/>
          <w:i/>
          <w:iCs/>
          <w:color w:val="000000"/>
          <w:sz w:val="22"/>
          <w:szCs w:val="22"/>
        </w:rPr>
        <w:t>Con los elementos del régimen anterior consagrados en el artículo 6.º del Decreto 546 de 1971 que son:</w:t>
      </w:r>
      <w:r w:rsidRPr="0041706D">
        <w:rPr>
          <w:rFonts w:ascii="Arial" w:hAnsi="Arial" w:cs="Arial"/>
          <w:b/>
          <w:i/>
          <w:iCs/>
          <w:color w:val="000000"/>
          <w:sz w:val="22"/>
          <w:szCs w:val="22"/>
        </w:rPr>
        <w:t xml:space="preserve"> a) </w:t>
      </w:r>
      <w:r w:rsidRPr="0041706D">
        <w:rPr>
          <w:rFonts w:ascii="Arial" w:hAnsi="Arial" w:cs="Arial"/>
          <w:b/>
          <w:i/>
          <w:iCs/>
          <w:sz w:val="22"/>
          <w:szCs w:val="22"/>
        </w:rPr>
        <w:t xml:space="preserve">la edad </w:t>
      </w:r>
      <w:r w:rsidRPr="0041706D">
        <w:rPr>
          <w:rFonts w:ascii="Arial" w:hAnsi="Arial" w:cs="Arial"/>
          <w:i/>
          <w:iCs/>
          <w:sz w:val="22"/>
          <w:szCs w:val="22"/>
        </w:rPr>
        <w:t>de</w:t>
      </w:r>
      <w:r w:rsidRPr="0041706D">
        <w:rPr>
          <w:rFonts w:ascii="Arial" w:hAnsi="Arial" w:cs="Arial"/>
          <w:i/>
          <w:iCs/>
          <w:color w:val="000000"/>
          <w:sz w:val="22"/>
          <w:szCs w:val="22"/>
        </w:rPr>
        <w:t xml:space="preserve"> 50 años si es mujer o de 55 años si es hombre; </w:t>
      </w:r>
      <w:r w:rsidRPr="0041706D">
        <w:rPr>
          <w:rFonts w:ascii="Arial" w:hAnsi="Arial" w:cs="Arial"/>
          <w:b/>
          <w:i/>
          <w:iCs/>
          <w:color w:val="000000"/>
          <w:sz w:val="22"/>
          <w:szCs w:val="22"/>
        </w:rPr>
        <w:t>b) el tiempo de servicios de 20 años,</w:t>
      </w:r>
      <w:r w:rsidRPr="0041706D">
        <w:rPr>
          <w:rFonts w:ascii="Arial" w:hAnsi="Arial" w:cs="Arial"/>
          <w:i/>
          <w:iCs/>
          <w:color w:val="000000"/>
          <w:sz w:val="22"/>
          <w:szCs w:val="22"/>
        </w:rPr>
        <w:t xml:space="preserve"> continuos o discontinuos</w:t>
      </w:r>
      <w:r w:rsidRPr="0041706D">
        <w:rPr>
          <w:rFonts w:ascii="Arial" w:hAnsi="Arial" w:cs="Arial"/>
          <w:i/>
          <w:iCs/>
          <w:sz w:val="22"/>
          <w:szCs w:val="22"/>
        </w:rPr>
        <w:t xml:space="preserve"> anteriores o posteriores a la vigencia de dicho decreto; </w:t>
      </w:r>
      <w:r w:rsidRPr="0041706D">
        <w:rPr>
          <w:rFonts w:ascii="Arial" w:hAnsi="Arial" w:cs="Arial"/>
          <w:b/>
          <w:bCs/>
          <w:i/>
          <w:iCs/>
          <w:sz w:val="22"/>
          <w:szCs w:val="22"/>
        </w:rPr>
        <w:t xml:space="preserve">c) </w:t>
      </w:r>
      <w:r w:rsidRPr="0041706D">
        <w:rPr>
          <w:rFonts w:ascii="Arial" w:hAnsi="Arial" w:cs="Arial"/>
          <w:i/>
          <w:iCs/>
          <w:sz w:val="22"/>
          <w:szCs w:val="22"/>
        </w:rPr>
        <w:t xml:space="preserve">de esos 20 años de servicio, por lo menos 10 años lo hayan sido exclusivamente a la Rama Jurisdiccional o al Ministerio Público, o a ambas actividades; </w:t>
      </w:r>
      <w:r w:rsidRPr="0041706D">
        <w:rPr>
          <w:rFonts w:ascii="Arial" w:hAnsi="Arial" w:cs="Arial"/>
          <w:b/>
          <w:i/>
          <w:iCs/>
          <w:sz w:val="22"/>
          <w:szCs w:val="22"/>
        </w:rPr>
        <w:t>d)</w:t>
      </w:r>
      <w:r w:rsidRPr="0041706D">
        <w:rPr>
          <w:rFonts w:ascii="Arial" w:hAnsi="Arial" w:cs="Arial"/>
          <w:i/>
          <w:iCs/>
          <w:color w:val="000000"/>
          <w:sz w:val="22"/>
          <w:szCs w:val="22"/>
        </w:rPr>
        <w:t xml:space="preserve"> </w:t>
      </w:r>
      <w:r w:rsidRPr="0041706D">
        <w:rPr>
          <w:rFonts w:ascii="Arial" w:hAnsi="Arial" w:cs="Arial"/>
          <w:b/>
          <w:i/>
          <w:iCs/>
          <w:color w:val="000000"/>
          <w:sz w:val="22"/>
          <w:szCs w:val="22"/>
        </w:rPr>
        <w:t xml:space="preserve">la tasa de reemplazo del 75%; </w:t>
      </w:r>
      <w:r w:rsidRPr="0041706D">
        <w:rPr>
          <w:rFonts w:ascii="Arial" w:hAnsi="Arial" w:cs="Arial"/>
          <w:b/>
          <w:i/>
          <w:iCs/>
          <w:color w:val="000000"/>
          <w:sz w:val="22"/>
          <w:szCs w:val="22"/>
          <w:u w:val="single"/>
        </w:rPr>
        <w:t xml:space="preserve">e) el </w:t>
      </w:r>
      <w:r w:rsidRPr="0041706D">
        <w:rPr>
          <w:rFonts w:ascii="Arial" w:hAnsi="Arial" w:cs="Arial"/>
          <w:b/>
          <w:i/>
          <w:iCs/>
          <w:sz w:val="22"/>
          <w:szCs w:val="22"/>
          <w:u w:val="single"/>
          <w:bdr w:val="none" w:sz="0" w:space="0" w:color="auto" w:frame="1"/>
        </w:rPr>
        <w:t>ingreso básico de liquidación</w:t>
      </w:r>
      <w:r w:rsidRPr="0041706D">
        <w:rPr>
          <w:rFonts w:ascii="Arial" w:hAnsi="Arial" w:cs="Arial"/>
          <w:i/>
          <w:iCs/>
          <w:sz w:val="22"/>
          <w:szCs w:val="22"/>
          <w:u w:val="single"/>
          <w:bdr w:val="none" w:sz="0" w:space="0" w:color="auto" w:frame="1"/>
        </w:rPr>
        <w:t xml:space="preserve"> de que tratan los artículos 21 y 36, inciso 3.°, de la Ley 100 de 1993, según el caso;</w:t>
      </w:r>
      <w:r w:rsidRPr="0041706D">
        <w:rPr>
          <w:rFonts w:ascii="Arial" w:hAnsi="Arial" w:cs="Arial"/>
          <w:i/>
          <w:iCs/>
          <w:sz w:val="22"/>
          <w:szCs w:val="22"/>
          <w:u w:val="single"/>
        </w:rPr>
        <w:t xml:space="preserve"> </w:t>
      </w:r>
      <w:r w:rsidRPr="0041706D">
        <w:rPr>
          <w:rFonts w:ascii="Arial" w:hAnsi="Arial" w:cs="Arial"/>
          <w:i/>
          <w:iCs/>
          <w:sz w:val="22"/>
          <w:szCs w:val="22"/>
          <w:u w:val="single"/>
          <w:bdr w:val="none" w:sz="0" w:space="0" w:color="auto" w:frame="1"/>
        </w:rPr>
        <w:t xml:space="preserve">es decir, </w:t>
      </w:r>
      <w:r w:rsidRPr="0041706D">
        <w:rPr>
          <w:rFonts w:ascii="Arial" w:hAnsi="Arial" w:cs="Arial"/>
          <w:i/>
          <w:iCs/>
          <w:sz w:val="22"/>
          <w:szCs w:val="22"/>
          <w:u w:val="single"/>
        </w:rPr>
        <w:t xml:space="preserve">si le faltare </w:t>
      </w:r>
      <w:r w:rsidRPr="0041706D">
        <w:rPr>
          <w:rFonts w:ascii="Arial" w:hAnsi="Arial" w:cs="Arial"/>
          <w:b/>
          <w:i/>
          <w:iCs/>
          <w:sz w:val="22"/>
          <w:szCs w:val="22"/>
          <w:u w:val="single"/>
        </w:rPr>
        <w:t xml:space="preserve">más </w:t>
      </w:r>
      <w:r w:rsidRPr="0041706D">
        <w:rPr>
          <w:rFonts w:ascii="Arial" w:hAnsi="Arial" w:cs="Arial"/>
          <w:i/>
          <w:iCs/>
          <w:sz w:val="22"/>
          <w:szCs w:val="22"/>
          <w:u w:val="single"/>
        </w:rPr>
        <w:t xml:space="preserve">de 10 años, será el promedio de los salarios o rentas sobre los cuales ha cotizado el afiliado durante los 10 años anteriores al reconocimiento de la pensión actualizados anualmente con base en la IPC certificado por el DANE, y si le faltare </w:t>
      </w:r>
      <w:r w:rsidRPr="0041706D">
        <w:rPr>
          <w:rFonts w:ascii="Arial" w:hAnsi="Arial" w:cs="Arial"/>
          <w:b/>
          <w:i/>
          <w:iCs/>
          <w:sz w:val="22"/>
          <w:szCs w:val="22"/>
          <w:u w:val="single"/>
        </w:rPr>
        <w:t>menos</w:t>
      </w:r>
      <w:r w:rsidRPr="0041706D">
        <w:rPr>
          <w:rFonts w:ascii="Arial" w:hAnsi="Arial" w:cs="Arial"/>
          <w:i/>
          <w:iCs/>
          <w:sz w:val="22"/>
          <w:szCs w:val="22"/>
          <w:u w:val="single"/>
        </w:rPr>
        <w:t xml:space="preserve"> de 10 años para adquirir el derecho a la pensión, el ingreso base de liquidación será:  (i) el promedio de lo devengado en el tiempo que les hiciere falta para ello, o (</w:t>
      </w:r>
      <w:proofErr w:type="spellStart"/>
      <w:r w:rsidRPr="0041706D">
        <w:rPr>
          <w:rFonts w:ascii="Arial" w:hAnsi="Arial" w:cs="Arial"/>
          <w:i/>
          <w:iCs/>
          <w:sz w:val="22"/>
          <w:szCs w:val="22"/>
          <w:u w:val="single"/>
        </w:rPr>
        <w:t>ii</w:t>
      </w:r>
      <w:proofErr w:type="spellEnd"/>
      <w:r w:rsidRPr="0041706D">
        <w:rPr>
          <w:rFonts w:ascii="Arial" w:hAnsi="Arial" w:cs="Arial"/>
          <w:i/>
          <w:iCs/>
          <w:sz w:val="22"/>
          <w:szCs w:val="22"/>
          <w:u w:val="single"/>
        </w:rPr>
        <w:t xml:space="preserve">) el cotizado durante todo el tiempo, </w:t>
      </w:r>
      <w:r w:rsidRPr="0041706D">
        <w:rPr>
          <w:rFonts w:ascii="Arial" w:hAnsi="Arial" w:cs="Arial"/>
          <w:i/>
          <w:iCs/>
          <w:sz w:val="22"/>
          <w:szCs w:val="22"/>
          <w:u w:val="single"/>
        </w:rPr>
        <w:lastRenderedPageBreak/>
        <w:t>el que fuere superior, actualizado anualmente con base en IPC certificado por el DANE;</w:t>
      </w:r>
      <w:r w:rsidRPr="0041706D">
        <w:rPr>
          <w:rFonts w:ascii="Arial" w:hAnsi="Arial" w:cs="Arial"/>
          <w:i/>
          <w:iCs/>
          <w:sz w:val="22"/>
          <w:szCs w:val="22"/>
        </w:rPr>
        <w:t xml:space="preserve"> y </w:t>
      </w:r>
      <w:r w:rsidRPr="0041706D">
        <w:rPr>
          <w:rFonts w:ascii="Arial" w:hAnsi="Arial" w:cs="Arial"/>
          <w:b/>
          <w:i/>
          <w:iCs/>
          <w:sz w:val="22"/>
          <w:szCs w:val="22"/>
          <w:u w:val="single"/>
        </w:rPr>
        <w:t>f)</w:t>
      </w:r>
      <w:r w:rsidRPr="0041706D">
        <w:rPr>
          <w:rFonts w:ascii="Arial" w:hAnsi="Arial" w:cs="Arial"/>
          <w:i/>
          <w:iCs/>
          <w:sz w:val="22"/>
          <w:szCs w:val="22"/>
          <w:u w:val="single"/>
        </w:rPr>
        <w:t xml:space="preserve"> </w:t>
      </w:r>
      <w:r w:rsidRPr="0041706D">
        <w:rPr>
          <w:rFonts w:ascii="Arial" w:hAnsi="Arial" w:cs="Arial"/>
          <w:b/>
          <w:i/>
          <w:iCs/>
          <w:sz w:val="22"/>
          <w:szCs w:val="22"/>
          <w:u w:val="single"/>
          <w:bdr w:val="none" w:sz="0" w:space="0" w:color="auto" w:frame="1"/>
        </w:rPr>
        <w:t>con los factores de liquidación</w:t>
      </w:r>
      <w:r w:rsidRPr="0041706D">
        <w:rPr>
          <w:rFonts w:ascii="Arial" w:hAnsi="Arial" w:cs="Arial"/>
          <w:i/>
          <w:iCs/>
          <w:sz w:val="22"/>
          <w:szCs w:val="22"/>
          <w:u w:val="single"/>
          <w:bdr w:val="none" w:sz="0" w:space="0" w:color="auto" w:frame="1"/>
        </w:rPr>
        <w:t xml:space="preserve"> contemplados por el artículo 1.° del Decreto 1158 de 1994 </w:t>
      </w:r>
      <w:r w:rsidRPr="0041706D">
        <w:rPr>
          <w:rFonts w:ascii="Arial" w:hAnsi="Arial" w:cs="Arial"/>
          <w:b/>
          <w:i/>
          <w:iCs/>
          <w:sz w:val="22"/>
          <w:szCs w:val="22"/>
          <w:u w:val="single"/>
          <w:bdr w:val="none" w:sz="0" w:space="0" w:color="auto" w:frame="1"/>
        </w:rPr>
        <w:t xml:space="preserve">al igual que </w:t>
      </w:r>
      <w:r w:rsidRPr="0041706D">
        <w:rPr>
          <w:rFonts w:ascii="Arial" w:hAnsi="Arial" w:cs="Arial"/>
          <w:i/>
          <w:iCs/>
          <w:sz w:val="22"/>
          <w:szCs w:val="22"/>
          <w:u w:val="single"/>
          <w:bdr w:val="none" w:sz="0" w:space="0" w:color="auto" w:frame="1"/>
        </w:rPr>
        <w:t xml:space="preserve">por los artículos 14 de la </w:t>
      </w:r>
      <w:r w:rsidRPr="0041706D">
        <w:rPr>
          <w:rFonts w:ascii="Arial" w:hAnsi="Arial" w:cs="Arial"/>
          <w:i/>
          <w:iCs/>
          <w:sz w:val="22"/>
          <w:szCs w:val="22"/>
          <w:u w:val="single"/>
        </w:rPr>
        <w:t>Ley 4ª. de 1992 con la modificación de la Ley 332 de 1996;</w:t>
      </w:r>
      <w:r w:rsidRPr="0041706D">
        <w:rPr>
          <w:rStyle w:val="Refdenotaalpie"/>
          <w:rFonts w:ascii="Arial" w:hAnsi="Arial" w:cs="Arial"/>
          <w:i/>
          <w:iCs/>
          <w:sz w:val="22"/>
          <w:szCs w:val="22"/>
          <w:u w:val="single"/>
        </w:rPr>
        <w:footnoteReference w:id="17"/>
      </w:r>
      <w:r w:rsidRPr="0041706D">
        <w:rPr>
          <w:rFonts w:ascii="Arial" w:hAnsi="Arial" w:cs="Arial"/>
          <w:i/>
          <w:iCs/>
          <w:sz w:val="22"/>
          <w:szCs w:val="22"/>
          <w:u w:val="single"/>
        </w:rPr>
        <w:t xml:space="preserve"> 1.° del Decreto 610 de 1998; 1.° del Decreto 1102 de 2012; 1.° del Decreto 2460 de 2006;</w:t>
      </w:r>
      <w:r w:rsidRPr="0041706D">
        <w:rPr>
          <w:rFonts w:ascii="Arial" w:hAnsi="Arial" w:cs="Arial"/>
          <w:b/>
          <w:i/>
          <w:iCs/>
          <w:sz w:val="22"/>
          <w:szCs w:val="22"/>
          <w:u w:val="single"/>
        </w:rPr>
        <w:t xml:space="preserve"> </w:t>
      </w:r>
      <w:r w:rsidRPr="0041706D">
        <w:rPr>
          <w:rFonts w:ascii="Arial" w:hAnsi="Arial" w:cs="Arial"/>
          <w:i/>
          <w:iCs/>
          <w:sz w:val="22"/>
          <w:szCs w:val="22"/>
          <w:u w:val="single"/>
        </w:rPr>
        <w:t>1.° del Decreto 3900 de 2008; y 1.° del Decreto 383 de 2013,</w:t>
      </w:r>
      <w:r w:rsidRPr="0041706D">
        <w:rPr>
          <w:rFonts w:ascii="Arial" w:hAnsi="Arial" w:cs="Arial"/>
          <w:i/>
          <w:iCs/>
          <w:sz w:val="22"/>
          <w:szCs w:val="22"/>
          <w:u w:val="single"/>
          <w:bdr w:val="none" w:sz="0" w:space="0" w:color="auto" w:frame="1"/>
        </w:rPr>
        <w:t xml:space="preserve"> según se trate de magistrados o empleados de la Rama Judicial o del Ministerio Público.</w:t>
      </w:r>
    </w:p>
    <w:p w14:paraId="348D6174" w14:textId="77777777" w:rsidR="006D770F" w:rsidRPr="0041706D" w:rsidRDefault="006D770F" w:rsidP="0041706D">
      <w:pPr>
        <w:widowControl w:val="0"/>
        <w:jc w:val="both"/>
        <w:rPr>
          <w:rFonts w:ascii="Arial" w:hAnsi="Arial" w:cs="Arial"/>
          <w:sz w:val="22"/>
          <w:szCs w:val="22"/>
        </w:rPr>
      </w:pPr>
    </w:p>
    <w:p w14:paraId="2EE0814C" w14:textId="77777777" w:rsidR="006D770F" w:rsidRPr="0041706D" w:rsidRDefault="006D770F" w:rsidP="0041706D">
      <w:pPr>
        <w:jc w:val="both"/>
        <w:rPr>
          <w:rFonts w:ascii="Arial" w:hAnsi="Arial" w:cs="Arial"/>
          <w:b/>
          <w:bCs/>
          <w:i/>
          <w:iCs/>
          <w:sz w:val="22"/>
          <w:szCs w:val="22"/>
        </w:rPr>
      </w:pPr>
      <w:r w:rsidRPr="0041706D">
        <w:rPr>
          <w:rFonts w:ascii="Arial" w:hAnsi="Arial" w:cs="Arial"/>
          <w:b/>
          <w:bCs/>
          <w:i/>
          <w:iCs/>
          <w:sz w:val="22"/>
          <w:szCs w:val="22"/>
          <w:bdr w:val="none" w:sz="0" w:space="0" w:color="auto" w:frame="1"/>
        </w:rPr>
        <w:t xml:space="preserve">SEGUNDO: </w:t>
      </w:r>
      <w:r w:rsidRPr="0041706D">
        <w:rPr>
          <w:rFonts w:ascii="Arial" w:hAnsi="Arial" w:cs="Arial"/>
          <w:i/>
          <w:iCs/>
          <w:sz w:val="22"/>
          <w:szCs w:val="22"/>
        </w:rPr>
        <w:t xml:space="preserve">Advertir a la comunidad en general que las consideraciones expuestas en esta providencia en relación con el tema que se unifica jurisprudencia, </w:t>
      </w:r>
      <w:r w:rsidRPr="0041706D">
        <w:rPr>
          <w:rFonts w:ascii="Arial" w:hAnsi="Arial" w:cs="Arial"/>
          <w:i/>
          <w:iCs/>
          <w:sz w:val="22"/>
          <w:szCs w:val="22"/>
          <w:u w:val="single"/>
        </w:rPr>
        <w:t>tienen aplicación retrospectiva</w:t>
      </w:r>
      <w:r w:rsidRPr="0041706D">
        <w:rPr>
          <w:rFonts w:ascii="Arial" w:hAnsi="Arial" w:cs="Arial"/>
          <w:i/>
          <w:iCs/>
          <w:sz w:val="22"/>
          <w:szCs w:val="22"/>
        </w:rPr>
        <w:t xml:space="preserve">, y que la regla jurisprudencial fijada es </w:t>
      </w:r>
      <w:r w:rsidRPr="0041706D">
        <w:rPr>
          <w:rFonts w:ascii="Arial" w:hAnsi="Arial" w:cs="Arial"/>
          <w:b/>
          <w:bCs/>
          <w:i/>
          <w:iCs/>
          <w:sz w:val="22"/>
          <w:szCs w:val="22"/>
        </w:rPr>
        <w:t>vinculante</w:t>
      </w:r>
      <w:r w:rsidRPr="0041706D">
        <w:rPr>
          <w:rFonts w:ascii="Arial" w:hAnsi="Arial" w:cs="Arial"/>
          <w:i/>
          <w:iCs/>
          <w:sz w:val="22"/>
          <w:szCs w:val="22"/>
        </w:rPr>
        <w:t xml:space="preserve"> en los siguientes casos: (i) </w:t>
      </w:r>
      <w:r w:rsidRPr="0041706D">
        <w:rPr>
          <w:rFonts w:ascii="Arial" w:hAnsi="Arial" w:cs="Arial"/>
          <w:i/>
          <w:iCs/>
          <w:sz w:val="22"/>
          <w:szCs w:val="22"/>
          <w:u w:val="single"/>
        </w:rPr>
        <w:t>respecto de los asuntos similares que actualmente se están tramitando en el seno de la administración; (</w:t>
      </w:r>
      <w:proofErr w:type="spellStart"/>
      <w:r w:rsidRPr="0041706D">
        <w:rPr>
          <w:rFonts w:ascii="Arial" w:hAnsi="Arial" w:cs="Arial"/>
          <w:i/>
          <w:iCs/>
          <w:sz w:val="22"/>
          <w:szCs w:val="22"/>
          <w:u w:val="single"/>
        </w:rPr>
        <w:t>ii</w:t>
      </w:r>
      <w:proofErr w:type="spellEnd"/>
      <w:r w:rsidRPr="0041706D">
        <w:rPr>
          <w:rFonts w:ascii="Arial" w:hAnsi="Arial" w:cs="Arial"/>
          <w:i/>
          <w:iCs/>
          <w:sz w:val="22"/>
          <w:szCs w:val="22"/>
          <w:u w:val="single"/>
        </w:rPr>
        <w:t>) respecto de los procesos similares que se están adelantando en juzgados, tribunales administrativos y Consejo de Estado</w:t>
      </w:r>
      <w:r w:rsidRPr="0041706D">
        <w:rPr>
          <w:rFonts w:ascii="Arial" w:hAnsi="Arial" w:cs="Arial"/>
          <w:i/>
          <w:iCs/>
          <w:sz w:val="22"/>
          <w:szCs w:val="22"/>
        </w:rPr>
        <w:t xml:space="preserve">. En consecuencia, </w:t>
      </w:r>
      <w:r w:rsidRPr="0041706D">
        <w:rPr>
          <w:rFonts w:ascii="Arial" w:hAnsi="Arial" w:cs="Arial"/>
          <w:b/>
          <w:bCs/>
          <w:i/>
          <w:iCs/>
          <w:sz w:val="22"/>
          <w:szCs w:val="22"/>
        </w:rPr>
        <w:t>no tiene efectos</w:t>
      </w:r>
      <w:r w:rsidRPr="0041706D">
        <w:rPr>
          <w:rFonts w:ascii="Arial" w:hAnsi="Arial" w:cs="Arial"/>
          <w:i/>
          <w:iCs/>
          <w:sz w:val="22"/>
          <w:szCs w:val="22"/>
        </w:rPr>
        <w:t xml:space="preserve"> respecto de aquellos asuntos en los que ya existe sentencia ejecutoriada. </w:t>
      </w:r>
      <w:r w:rsidRPr="0041706D">
        <w:rPr>
          <w:rFonts w:ascii="Arial" w:hAnsi="Arial" w:cs="Arial"/>
          <w:b/>
          <w:bCs/>
          <w:i/>
          <w:iCs/>
          <w:sz w:val="22"/>
          <w:szCs w:val="22"/>
        </w:rPr>
        <w:t xml:space="preserve">En tal virtud, los conflictos judiciales ya resueltos están amparados por la cosa juzgada y en consecuencia resultan inmodificables. </w:t>
      </w:r>
    </w:p>
    <w:p w14:paraId="75CD187F" w14:textId="77777777" w:rsidR="006D770F" w:rsidRPr="0041706D" w:rsidRDefault="006D770F" w:rsidP="0041706D">
      <w:pPr>
        <w:jc w:val="both"/>
        <w:rPr>
          <w:rFonts w:ascii="Arial" w:hAnsi="Arial" w:cs="Arial"/>
          <w:i/>
          <w:sz w:val="22"/>
          <w:szCs w:val="22"/>
        </w:rPr>
      </w:pPr>
    </w:p>
    <w:p w14:paraId="5831C2CF" w14:textId="4A0C5BAA" w:rsidR="006D770F" w:rsidRPr="0041706D" w:rsidRDefault="006D770F" w:rsidP="0041706D">
      <w:pPr>
        <w:jc w:val="both"/>
        <w:rPr>
          <w:rFonts w:ascii="Arial" w:hAnsi="Arial" w:cs="Arial"/>
          <w:i/>
          <w:iCs/>
          <w:sz w:val="22"/>
          <w:szCs w:val="22"/>
        </w:rPr>
      </w:pPr>
      <w:r w:rsidRPr="0041706D">
        <w:rPr>
          <w:rFonts w:ascii="Arial" w:hAnsi="Arial" w:cs="Arial"/>
          <w:i/>
          <w:sz w:val="22"/>
          <w:szCs w:val="22"/>
        </w:rPr>
        <w:t>Tampoco puede entenderse, en principio, que por virtud de esta sentencia de unificación las pensiones que han sido reconocidas o reliquidadas en el régimen</w:t>
      </w:r>
      <w:r w:rsidRPr="0041706D">
        <w:rPr>
          <w:rFonts w:ascii="Arial" w:hAnsi="Arial" w:cs="Arial"/>
          <w:sz w:val="22"/>
          <w:szCs w:val="22"/>
        </w:rPr>
        <w:t xml:space="preserve"> </w:t>
      </w:r>
      <w:r w:rsidRPr="0041706D">
        <w:rPr>
          <w:rFonts w:ascii="Arial" w:hAnsi="Arial" w:cs="Arial"/>
          <w:i/>
          <w:iCs/>
          <w:sz w:val="22"/>
          <w:szCs w:val="22"/>
        </w:rPr>
        <w:t>de transición, con fundamento en tesis anteriores que sostuvo la Sección Segunda del Consejo de Estado, la cuales replanteó la Sala Plena, lo fueron con abuso del derecho o fraude a la ley; de manera que si se llegare a interponer recurso extraordinario de revisión contra sentencia ejecutoriada que haya reconocido la pensión con fundamento en jurisprudencia diferente a la ratio deciden</w:t>
      </w:r>
      <w:r w:rsidR="003C59B4" w:rsidRPr="0041706D">
        <w:rPr>
          <w:rFonts w:ascii="Arial" w:hAnsi="Arial" w:cs="Arial"/>
          <w:i/>
          <w:iCs/>
          <w:sz w:val="22"/>
          <w:szCs w:val="22"/>
        </w:rPr>
        <w:t>d</w:t>
      </w:r>
      <w:r w:rsidRPr="0041706D">
        <w:rPr>
          <w:rFonts w:ascii="Arial" w:hAnsi="Arial" w:cs="Arial"/>
          <w:i/>
          <w:iCs/>
          <w:sz w:val="22"/>
          <w:szCs w:val="22"/>
        </w:rPr>
        <w:t>i aquí expuesta, prevalecerá el carácter de cosa juzgada, sin perjuicio de lo previsto en las causales de revisión reguladas en el artículo 250 del CPACA.</w:t>
      </w:r>
    </w:p>
    <w:p w14:paraId="080B7703" w14:textId="77777777" w:rsidR="006D770F" w:rsidRPr="0041706D" w:rsidRDefault="006D770F" w:rsidP="0041706D">
      <w:pPr>
        <w:jc w:val="both"/>
        <w:rPr>
          <w:rFonts w:ascii="Arial" w:hAnsi="Arial" w:cs="Arial"/>
          <w:i/>
          <w:iCs/>
          <w:sz w:val="22"/>
          <w:szCs w:val="22"/>
          <w:bdr w:val="none" w:sz="0" w:space="0" w:color="auto" w:frame="1"/>
        </w:rPr>
      </w:pPr>
    </w:p>
    <w:p w14:paraId="3AE17293" w14:textId="77777777" w:rsidR="006D770F" w:rsidRPr="0041706D" w:rsidRDefault="006D770F" w:rsidP="0041706D">
      <w:pPr>
        <w:jc w:val="both"/>
        <w:rPr>
          <w:rFonts w:ascii="Arial" w:hAnsi="Arial" w:cs="Arial"/>
          <w:i/>
          <w:iCs/>
          <w:sz w:val="22"/>
          <w:szCs w:val="22"/>
        </w:rPr>
      </w:pPr>
      <w:r w:rsidRPr="0041706D">
        <w:rPr>
          <w:rFonts w:ascii="Arial" w:hAnsi="Arial" w:cs="Arial"/>
          <w:b/>
          <w:i/>
          <w:iCs/>
          <w:sz w:val="22"/>
          <w:szCs w:val="22"/>
        </w:rPr>
        <w:t xml:space="preserve">TERCERO: </w:t>
      </w:r>
      <w:r w:rsidRPr="0041706D">
        <w:rPr>
          <w:rFonts w:ascii="Arial" w:hAnsi="Arial" w:cs="Arial"/>
          <w:i/>
          <w:iCs/>
          <w:sz w:val="22"/>
          <w:szCs w:val="22"/>
        </w:rPr>
        <w:t>Por tratarse de una sentencia de unificación que reconoce un derecho, esta sentencia debe ser extendida por las autoridades administrativas en virtud de los artículos 10 y 102 de la Ley 1437 de 2011, a quienes acrediten encontrarse en los mismos supuestos fácticos y jurídicos, de conformidad con las reglas señaladas en la parte motiva de esta providencia […]</w:t>
      </w:r>
      <w:r w:rsidRPr="0041706D">
        <w:rPr>
          <w:rFonts w:ascii="Arial" w:hAnsi="Arial" w:cs="Arial"/>
          <w:i/>
          <w:color w:val="000000"/>
          <w:sz w:val="22"/>
          <w:szCs w:val="22"/>
        </w:rPr>
        <w:t>”.</w:t>
      </w:r>
    </w:p>
    <w:p w14:paraId="75F54BFD" w14:textId="77777777" w:rsidR="006D770F" w:rsidRPr="0041706D" w:rsidRDefault="006D770F" w:rsidP="0041706D">
      <w:pPr>
        <w:jc w:val="both"/>
        <w:rPr>
          <w:rFonts w:ascii="Arial" w:hAnsi="Arial" w:cs="Arial"/>
          <w:iCs/>
          <w:bdr w:val="none" w:sz="0" w:space="0" w:color="auto" w:frame="1"/>
        </w:rPr>
      </w:pPr>
    </w:p>
    <w:p w14:paraId="5E7119E7" w14:textId="77777777" w:rsidR="006D770F" w:rsidRPr="0041706D" w:rsidRDefault="006D770F" w:rsidP="0041706D">
      <w:pPr>
        <w:pStyle w:val="Prrafodelista"/>
        <w:numPr>
          <w:ilvl w:val="3"/>
          <w:numId w:val="1"/>
        </w:numPr>
        <w:ind w:left="0" w:firstLine="0"/>
        <w:jc w:val="both"/>
        <w:rPr>
          <w:rFonts w:ascii="Arial" w:eastAsia="Batang" w:hAnsi="Arial" w:cs="Arial"/>
          <w:b/>
          <w:sz w:val="24"/>
          <w:szCs w:val="24"/>
        </w:rPr>
      </w:pPr>
      <w:r w:rsidRPr="0041706D">
        <w:rPr>
          <w:rFonts w:ascii="Arial" w:eastAsia="Batang" w:hAnsi="Arial" w:cs="Arial"/>
          <w:b/>
          <w:sz w:val="24"/>
          <w:szCs w:val="24"/>
        </w:rPr>
        <w:t xml:space="preserve">Caso concreto </w:t>
      </w:r>
    </w:p>
    <w:p w14:paraId="33FB8976" w14:textId="77777777" w:rsidR="006D770F" w:rsidRPr="0041706D" w:rsidRDefault="006D770F" w:rsidP="0041706D">
      <w:pPr>
        <w:pStyle w:val="Prrafodelista"/>
        <w:ind w:left="0"/>
        <w:rPr>
          <w:rFonts w:ascii="Arial" w:eastAsia="Batang" w:hAnsi="Arial" w:cs="Arial"/>
          <w:sz w:val="24"/>
          <w:szCs w:val="24"/>
        </w:rPr>
      </w:pPr>
    </w:p>
    <w:p w14:paraId="4BEF42D8" w14:textId="1F10FA87" w:rsidR="006D770F" w:rsidRPr="0041706D" w:rsidRDefault="006D770F" w:rsidP="0041706D">
      <w:pPr>
        <w:pStyle w:val="Prrafodelista"/>
        <w:widowControl w:val="0"/>
        <w:numPr>
          <w:ilvl w:val="0"/>
          <w:numId w:val="21"/>
        </w:numPr>
        <w:tabs>
          <w:tab w:val="left" w:pos="567"/>
          <w:tab w:val="left" w:pos="7655"/>
        </w:tabs>
        <w:ind w:left="0" w:firstLine="0"/>
        <w:jc w:val="both"/>
        <w:rPr>
          <w:rFonts w:ascii="Arial" w:hAnsi="Arial" w:cs="Arial"/>
          <w:sz w:val="24"/>
          <w:szCs w:val="24"/>
        </w:rPr>
      </w:pPr>
      <w:r w:rsidRPr="0041706D">
        <w:rPr>
          <w:rFonts w:ascii="Arial" w:hAnsi="Arial" w:cs="Arial"/>
          <w:sz w:val="24"/>
          <w:szCs w:val="24"/>
        </w:rPr>
        <w:t xml:space="preserve">Con el objeto de resolver los problemas jurídicos, la Sala encuentra </w:t>
      </w:r>
      <w:r w:rsidR="001529CD" w:rsidRPr="0041706D">
        <w:rPr>
          <w:rFonts w:ascii="Arial" w:hAnsi="Arial" w:cs="Arial"/>
          <w:sz w:val="24"/>
          <w:szCs w:val="24"/>
        </w:rPr>
        <w:t xml:space="preserve">que se acreditaron </w:t>
      </w:r>
      <w:r w:rsidRPr="0041706D">
        <w:rPr>
          <w:rFonts w:ascii="Arial" w:hAnsi="Arial" w:cs="Arial"/>
          <w:sz w:val="24"/>
          <w:szCs w:val="24"/>
        </w:rPr>
        <w:t>los siguientes hechos:</w:t>
      </w:r>
    </w:p>
    <w:p w14:paraId="34E43CCC" w14:textId="77777777" w:rsidR="006D770F" w:rsidRPr="0041706D" w:rsidRDefault="006D770F" w:rsidP="0041706D">
      <w:pPr>
        <w:pStyle w:val="Prrafodelista"/>
        <w:ind w:left="0"/>
        <w:jc w:val="both"/>
        <w:rPr>
          <w:rFonts w:ascii="Arial" w:hAnsi="Arial" w:cs="Arial"/>
          <w:sz w:val="24"/>
          <w:szCs w:val="24"/>
        </w:rPr>
      </w:pPr>
    </w:p>
    <w:p w14:paraId="32FD4044" w14:textId="77777777" w:rsidR="006D770F" w:rsidRPr="0041706D" w:rsidRDefault="006D770F" w:rsidP="0041706D">
      <w:pPr>
        <w:pStyle w:val="Prrafodelista"/>
        <w:numPr>
          <w:ilvl w:val="1"/>
          <w:numId w:val="21"/>
        </w:numPr>
        <w:ind w:left="0" w:firstLine="0"/>
        <w:jc w:val="both"/>
        <w:rPr>
          <w:rFonts w:ascii="Arial" w:hAnsi="Arial" w:cs="Arial"/>
          <w:sz w:val="24"/>
          <w:szCs w:val="24"/>
        </w:rPr>
      </w:pPr>
      <w:r w:rsidRPr="0041706D">
        <w:rPr>
          <w:rFonts w:ascii="Arial" w:hAnsi="Arial" w:cs="Arial"/>
          <w:sz w:val="24"/>
          <w:szCs w:val="24"/>
        </w:rPr>
        <w:t xml:space="preserve">La demandante nació el </w:t>
      </w:r>
      <w:r w:rsidRPr="0041706D">
        <w:rPr>
          <w:rFonts w:ascii="Arial" w:hAnsi="Arial" w:cs="Arial"/>
          <w:b/>
          <w:sz w:val="24"/>
          <w:szCs w:val="24"/>
        </w:rPr>
        <w:t>14 de febrero de 1954</w:t>
      </w:r>
      <w:r w:rsidRPr="0041706D">
        <w:rPr>
          <w:rStyle w:val="Refdenotaalpie"/>
          <w:rFonts w:ascii="Arial" w:hAnsi="Arial" w:cs="Arial"/>
          <w:sz w:val="24"/>
          <w:szCs w:val="24"/>
        </w:rPr>
        <w:footnoteReference w:id="18"/>
      </w:r>
      <w:r w:rsidRPr="0041706D">
        <w:rPr>
          <w:rFonts w:ascii="Arial" w:hAnsi="Arial" w:cs="Arial"/>
          <w:sz w:val="24"/>
          <w:szCs w:val="24"/>
        </w:rPr>
        <w:t>.</w:t>
      </w:r>
    </w:p>
    <w:p w14:paraId="38974898" w14:textId="77777777" w:rsidR="006D770F" w:rsidRPr="0041706D" w:rsidRDefault="006D770F" w:rsidP="0041706D">
      <w:pPr>
        <w:pStyle w:val="Prrafodelista"/>
        <w:ind w:left="0"/>
        <w:jc w:val="both"/>
        <w:rPr>
          <w:rFonts w:ascii="Arial" w:hAnsi="Arial" w:cs="Arial"/>
          <w:sz w:val="24"/>
          <w:szCs w:val="24"/>
        </w:rPr>
      </w:pPr>
    </w:p>
    <w:p w14:paraId="1EC8CB88" w14:textId="06B768C9" w:rsidR="006D770F" w:rsidRPr="0041706D" w:rsidRDefault="006D770F" w:rsidP="0041706D">
      <w:pPr>
        <w:pStyle w:val="Prrafodelista"/>
        <w:numPr>
          <w:ilvl w:val="1"/>
          <w:numId w:val="21"/>
        </w:numPr>
        <w:ind w:left="0" w:firstLine="0"/>
        <w:jc w:val="both"/>
        <w:rPr>
          <w:rFonts w:ascii="Arial" w:hAnsi="Arial" w:cs="Arial"/>
          <w:sz w:val="24"/>
          <w:szCs w:val="24"/>
        </w:rPr>
      </w:pPr>
      <w:r w:rsidRPr="0041706D">
        <w:rPr>
          <w:rFonts w:ascii="Arial" w:hAnsi="Arial" w:cs="Arial"/>
          <w:sz w:val="24"/>
          <w:szCs w:val="24"/>
        </w:rPr>
        <w:t xml:space="preserve">La demandante estuvo vinculada </w:t>
      </w:r>
      <w:r w:rsidR="001529CD" w:rsidRPr="0041706D">
        <w:rPr>
          <w:rFonts w:ascii="Arial" w:hAnsi="Arial" w:cs="Arial"/>
          <w:sz w:val="24"/>
          <w:szCs w:val="24"/>
        </w:rPr>
        <w:t xml:space="preserve">a: i) la </w:t>
      </w:r>
      <w:r w:rsidR="001529CD" w:rsidRPr="0041706D">
        <w:rPr>
          <w:rFonts w:ascii="Arial" w:hAnsi="Arial" w:cs="Arial"/>
          <w:b/>
          <w:sz w:val="24"/>
          <w:szCs w:val="24"/>
        </w:rPr>
        <w:t>Rama Judicial – Dirección Ejecutiva Seccional Boyacá y Casanare</w:t>
      </w:r>
      <w:r w:rsidR="001529CD" w:rsidRPr="0041706D">
        <w:rPr>
          <w:rFonts w:ascii="Arial" w:hAnsi="Arial" w:cs="Arial"/>
          <w:sz w:val="24"/>
          <w:szCs w:val="24"/>
        </w:rPr>
        <w:t>, entre el 1° de diciembre de 1973 y el 31 de agosto de 1976 y el 14 de febrero de 1977 y el 28 de febrero de 1979</w:t>
      </w:r>
      <w:r w:rsidR="001529CD" w:rsidRPr="0041706D">
        <w:rPr>
          <w:rStyle w:val="Refdenotaalpie"/>
          <w:rFonts w:ascii="Arial" w:hAnsi="Arial" w:cs="Arial"/>
          <w:sz w:val="24"/>
          <w:szCs w:val="24"/>
        </w:rPr>
        <w:footnoteReference w:id="19"/>
      </w:r>
      <w:r w:rsidR="001529CD" w:rsidRPr="0041706D">
        <w:rPr>
          <w:rFonts w:ascii="Arial" w:hAnsi="Arial" w:cs="Arial"/>
          <w:sz w:val="24"/>
          <w:szCs w:val="24"/>
        </w:rPr>
        <w:t xml:space="preserve">; </w:t>
      </w:r>
      <w:proofErr w:type="spellStart"/>
      <w:r w:rsidR="001529CD" w:rsidRPr="0041706D">
        <w:rPr>
          <w:rFonts w:ascii="Arial" w:hAnsi="Arial" w:cs="Arial"/>
          <w:sz w:val="24"/>
          <w:szCs w:val="24"/>
        </w:rPr>
        <w:t>ii</w:t>
      </w:r>
      <w:proofErr w:type="spellEnd"/>
      <w:r w:rsidR="001529CD" w:rsidRPr="0041706D">
        <w:rPr>
          <w:rFonts w:ascii="Arial" w:hAnsi="Arial" w:cs="Arial"/>
          <w:sz w:val="24"/>
          <w:szCs w:val="24"/>
        </w:rPr>
        <w:t xml:space="preserve">) </w:t>
      </w:r>
      <w:r w:rsidRPr="0041706D">
        <w:rPr>
          <w:rFonts w:ascii="Arial" w:hAnsi="Arial" w:cs="Arial"/>
          <w:sz w:val="24"/>
          <w:szCs w:val="24"/>
        </w:rPr>
        <w:t xml:space="preserve">la </w:t>
      </w:r>
      <w:r w:rsidRPr="0041706D">
        <w:rPr>
          <w:rFonts w:ascii="Arial" w:hAnsi="Arial" w:cs="Arial"/>
          <w:b/>
          <w:sz w:val="24"/>
          <w:szCs w:val="24"/>
        </w:rPr>
        <w:t>Procuraduría General de la Nación</w:t>
      </w:r>
      <w:r w:rsidRPr="0041706D">
        <w:rPr>
          <w:rFonts w:ascii="Arial" w:hAnsi="Arial" w:cs="Arial"/>
          <w:sz w:val="24"/>
          <w:szCs w:val="24"/>
        </w:rPr>
        <w:t xml:space="preserve"> entre el 1° de septiembre de 1979 y el 30 de junio de 1992</w:t>
      </w:r>
      <w:r w:rsidRPr="0041706D">
        <w:rPr>
          <w:rStyle w:val="Refdenotaalpie"/>
          <w:rFonts w:ascii="Arial" w:hAnsi="Arial" w:cs="Arial"/>
          <w:sz w:val="24"/>
          <w:szCs w:val="24"/>
        </w:rPr>
        <w:footnoteReference w:id="20"/>
      </w:r>
      <w:r w:rsidR="001529CD" w:rsidRPr="0041706D">
        <w:rPr>
          <w:rFonts w:ascii="Arial" w:hAnsi="Arial" w:cs="Arial"/>
          <w:sz w:val="24"/>
          <w:szCs w:val="24"/>
        </w:rPr>
        <w:t>;</w:t>
      </w:r>
      <w:r w:rsidRPr="0041706D">
        <w:rPr>
          <w:rFonts w:ascii="Arial" w:hAnsi="Arial" w:cs="Arial"/>
          <w:sz w:val="24"/>
          <w:szCs w:val="24"/>
        </w:rPr>
        <w:t xml:space="preserve"> y</w:t>
      </w:r>
      <w:r w:rsidR="001529CD" w:rsidRPr="0041706D">
        <w:rPr>
          <w:rFonts w:ascii="Arial" w:hAnsi="Arial" w:cs="Arial"/>
          <w:sz w:val="24"/>
          <w:szCs w:val="24"/>
        </w:rPr>
        <w:t xml:space="preserve"> </w:t>
      </w:r>
      <w:proofErr w:type="spellStart"/>
      <w:r w:rsidR="001529CD" w:rsidRPr="0041706D">
        <w:rPr>
          <w:rFonts w:ascii="Arial" w:hAnsi="Arial" w:cs="Arial"/>
          <w:sz w:val="24"/>
          <w:szCs w:val="24"/>
        </w:rPr>
        <w:t>ii</w:t>
      </w:r>
      <w:proofErr w:type="spellEnd"/>
      <w:r w:rsidR="001529CD" w:rsidRPr="0041706D">
        <w:rPr>
          <w:rFonts w:ascii="Arial" w:hAnsi="Arial" w:cs="Arial"/>
          <w:sz w:val="24"/>
          <w:szCs w:val="24"/>
        </w:rPr>
        <w:t>)</w:t>
      </w:r>
      <w:r w:rsidRPr="0041706D">
        <w:rPr>
          <w:rFonts w:ascii="Arial" w:hAnsi="Arial" w:cs="Arial"/>
          <w:sz w:val="24"/>
          <w:szCs w:val="24"/>
        </w:rPr>
        <w:t xml:space="preserve"> la </w:t>
      </w:r>
      <w:r w:rsidRPr="0041706D">
        <w:rPr>
          <w:rFonts w:ascii="Arial" w:hAnsi="Arial" w:cs="Arial"/>
          <w:b/>
          <w:sz w:val="24"/>
          <w:szCs w:val="24"/>
        </w:rPr>
        <w:t>Fiscalía General de la Nación</w:t>
      </w:r>
      <w:r w:rsidRPr="0041706D">
        <w:rPr>
          <w:rFonts w:ascii="Arial" w:hAnsi="Arial" w:cs="Arial"/>
          <w:sz w:val="24"/>
          <w:szCs w:val="24"/>
        </w:rPr>
        <w:t xml:space="preserve"> entre el 1° de julio de 1992 y el 31 de diciembre de 2014</w:t>
      </w:r>
      <w:r w:rsidRPr="0041706D">
        <w:rPr>
          <w:rStyle w:val="Refdenotaalpie"/>
          <w:rFonts w:ascii="Arial" w:hAnsi="Arial" w:cs="Arial"/>
          <w:sz w:val="24"/>
          <w:szCs w:val="24"/>
        </w:rPr>
        <w:footnoteReference w:id="21"/>
      </w:r>
      <w:r w:rsidRPr="0041706D">
        <w:rPr>
          <w:rFonts w:ascii="Arial" w:hAnsi="Arial" w:cs="Arial"/>
          <w:sz w:val="24"/>
          <w:szCs w:val="24"/>
        </w:rPr>
        <w:t>.</w:t>
      </w:r>
    </w:p>
    <w:p w14:paraId="1834F1DB" w14:textId="77777777" w:rsidR="006D770F" w:rsidRPr="0041706D" w:rsidRDefault="006D770F" w:rsidP="0041706D">
      <w:pPr>
        <w:pStyle w:val="Prrafodelista"/>
        <w:ind w:left="0"/>
        <w:rPr>
          <w:rFonts w:ascii="Arial" w:hAnsi="Arial" w:cs="Arial"/>
          <w:sz w:val="24"/>
          <w:szCs w:val="24"/>
        </w:rPr>
      </w:pPr>
    </w:p>
    <w:p w14:paraId="422F230B" w14:textId="50F80122" w:rsidR="006D770F" w:rsidRPr="0041706D" w:rsidRDefault="006D770F" w:rsidP="0041706D">
      <w:pPr>
        <w:pStyle w:val="Prrafodelista"/>
        <w:numPr>
          <w:ilvl w:val="1"/>
          <w:numId w:val="21"/>
        </w:numPr>
        <w:ind w:left="0" w:firstLine="0"/>
        <w:jc w:val="both"/>
        <w:rPr>
          <w:rFonts w:ascii="Arial" w:hAnsi="Arial" w:cs="Arial"/>
          <w:sz w:val="24"/>
          <w:szCs w:val="24"/>
        </w:rPr>
      </w:pPr>
      <w:r w:rsidRPr="0041706D">
        <w:rPr>
          <w:rFonts w:ascii="Arial" w:hAnsi="Arial" w:cs="Arial"/>
          <w:sz w:val="24"/>
          <w:szCs w:val="24"/>
        </w:rPr>
        <w:t xml:space="preserve">La Directora Nacional de Apoyo a la Gestión de la Fiscalía General de la Nación, por medio de la </w:t>
      </w:r>
      <w:r w:rsidR="003C59B4" w:rsidRPr="0041706D">
        <w:rPr>
          <w:rFonts w:ascii="Arial" w:hAnsi="Arial" w:cs="Arial"/>
          <w:sz w:val="24"/>
          <w:szCs w:val="24"/>
        </w:rPr>
        <w:t>R</w:t>
      </w:r>
      <w:r w:rsidRPr="0041706D">
        <w:rPr>
          <w:rFonts w:ascii="Arial" w:hAnsi="Arial" w:cs="Arial"/>
          <w:sz w:val="24"/>
          <w:szCs w:val="24"/>
        </w:rPr>
        <w:t xml:space="preserve">esolución núm. 001404 de 2 de diciembre de </w:t>
      </w:r>
      <w:r w:rsidRPr="0041706D">
        <w:rPr>
          <w:rFonts w:ascii="Arial" w:hAnsi="Arial" w:cs="Arial"/>
          <w:sz w:val="24"/>
          <w:szCs w:val="24"/>
        </w:rPr>
        <w:lastRenderedPageBreak/>
        <w:t xml:space="preserve">2014, aceptó la renuncia que presentó la demandante al cargo de </w:t>
      </w:r>
      <w:r w:rsidRPr="0041706D">
        <w:rPr>
          <w:rFonts w:ascii="Arial" w:hAnsi="Arial" w:cs="Arial"/>
          <w:b/>
          <w:bCs/>
          <w:sz w:val="24"/>
          <w:szCs w:val="24"/>
        </w:rPr>
        <w:t>Asistente de Fiscal I a partir del 1° de enero de 2015</w:t>
      </w:r>
      <w:r w:rsidRPr="0041706D">
        <w:rPr>
          <w:rStyle w:val="Refdenotaalpie"/>
          <w:rFonts w:ascii="Arial" w:hAnsi="Arial" w:cs="Arial"/>
          <w:sz w:val="24"/>
          <w:szCs w:val="24"/>
        </w:rPr>
        <w:footnoteReference w:id="22"/>
      </w:r>
      <w:r w:rsidRPr="0041706D">
        <w:rPr>
          <w:rFonts w:ascii="Arial" w:hAnsi="Arial" w:cs="Arial"/>
          <w:sz w:val="24"/>
          <w:szCs w:val="24"/>
        </w:rPr>
        <w:t>.</w:t>
      </w:r>
    </w:p>
    <w:p w14:paraId="25603796" w14:textId="77777777" w:rsidR="006D770F" w:rsidRPr="0041706D" w:rsidRDefault="006D770F" w:rsidP="0041706D">
      <w:pPr>
        <w:pStyle w:val="Prrafodelista"/>
        <w:ind w:left="0"/>
        <w:jc w:val="both"/>
        <w:rPr>
          <w:rFonts w:ascii="Arial" w:hAnsi="Arial" w:cs="Arial"/>
          <w:sz w:val="24"/>
          <w:szCs w:val="24"/>
        </w:rPr>
      </w:pPr>
    </w:p>
    <w:p w14:paraId="7741401E" w14:textId="06091052" w:rsidR="006D770F" w:rsidRPr="0041706D" w:rsidRDefault="006D770F" w:rsidP="0041706D">
      <w:pPr>
        <w:pStyle w:val="Prrafodelista"/>
        <w:numPr>
          <w:ilvl w:val="1"/>
          <w:numId w:val="21"/>
        </w:numPr>
        <w:ind w:left="0" w:firstLine="0"/>
        <w:jc w:val="both"/>
        <w:rPr>
          <w:rFonts w:ascii="Arial" w:hAnsi="Arial" w:cs="Arial"/>
          <w:sz w:val="24"/>
          <w:szCs w:val="24"/>
        </w:rPr>
      </w:pPr>
      <w:r w:rsidRPr="0041706D">
        <w:rPr>
          <w:rFonts w:ascii="Arial" w:hAnsi="Arial" w:cs="Arial"/>
          <w:sz w:val="24"/>
          <w:szCs w:val="24"/>
        </w:rPr>
        <w:t>La demandante devengó entre enero de 2005 y diciembre de 201</w:t>
      </w:r>
      <w:r w:rsidR="003C59B4" w:rsidRPr="0041706D">
        <w:rPr>
          <w:rFonts w:ascii="Arial" w:hAnsi="Arial" w:cs="Arial"/>
          <w:sz w:val="24"/>
          <w:szCs w:val="24"/>
        </w:rPr>
        <w:t>4</w:t>
      </w:r>
      <w:r w:rsidRPr="0041706D">
        <w:rPr>
          <w:rFonts w:ascii="Arial" w:hAnsi="Arial" w:cs="Arial"/>
          <w:sz w:val="24"/>
          <w:szCs w:val="24"/>
        </w:rPr>
        <w:t xml:space="preserve"> sueldo, subsidio de transporte, sueldo de vacaciones, prima de antigüedad, subsidio de alimentación, prima de navidad, prima de servicios, prima de vacaciones, bonificación por servicios, prima de productividad y bono extraordinario</w:t>
      </w:r>
      <w:r w:rsidRPr="0041706D">
        <w:rPr>
          <w:rStyle w:val="Refdenotaalpie"/>
          <w:rFonts w:ascii="Arial" w:hAnsi="Arial" w:cs="Arial"/>
          <w:sz w:val="24"/>
          <w:szCs w:val="24"/>
        </w:rPr>
        <w:footnoteReference w:id="23"/>
      </w:r>
      <w:r w:rsidRPr="0041706D">
        <w:rPr>
          <w:rFonts w:ascii="Arial" w:hAnsi="Arial" w:cs="Arial"/>
          <w:sz w:val="24"/>
          <w:szCs w:val="24"/>
        </w:rPr>
        <w:t>.</w:t>
      </w:r>
    </w:p>
    <w:p w14:paraId="1D45BBCE" w14:textId="77777777" w:rsidR="006D770F" w:rsidRPr="0041706D" w:rsidRDefault="006D770F" w:rsidP="0041706D">
      <w:pPr>
        <w:pStyle w:val="Prrafodelista"/>
        <w:ind w:left="0"/>
        <w:rPr>
          <w:rFonts w:ascii="Arial" w:hAnsi="Arial" w:cs="Arial"/>
          <w:sz w:val="24"/>
          <w:szCs w:val="24"/>
        </w:rPr>
      </w:pPr>
    </w:p>
    <w:p w14:paraId="17429FE3" w14:textId="28864CA6" w:rsidR="006D770F" w:rsidRPr="0041706D" w:rsidRDefault="006D770F" w:rsidP="0041706D">
      <w:pPr>
        <w:pStyle w:val="Prrafodelista"/>
        <w:numPr>
          <w:ilvl w:val="1"/>
          <w:numId w:val="21"/>
        </w:numPr>
        <w:ind w:left="0" w:firstLine="0"/>
        <w:jc w:val="both"/>
        <w:rPr>
          <w:rFonts w:ascii="Arial" w:hAnsi="Arial" w:cs="Arial"/>
          <w:i/>
          <w:iCs/>
          <w:sz w:val="24"/>
          <w:szCs w:val="24"/>
        </w:rPr>
      </w:pPr>
      <w:r w:rsidRPr="0041706D">
        <w:rPr>
          <w:rFonts w:ascii="Arial" w:hAnsi="Arial" w:cs="Arial"/>
          <w:sz w:val="24"/>
          <w:szCs w:val="24"/>
        </w:rPr>
        <w:t xml:space="preserve">La Unidad Administrativa Especial de Gestión Pensional y Contribuciones Parafiscales de la Protección Social, UGPP, por medio de la Resolución núm. RDP 021968 de 10 de junio de 2016, reconoció y ordenó el pago a favor de la demandante de una pensión vitalicia de dos millones doscientos ochenta y tres mil ciento cuarenta pesos ($2.283.140), teniendo en cuenta </w:t>
      </w:r>
      <w:r w:rsidR="001529CD" w:rsidRPr="0041706D">
        <w:rPr>
          <w:rFonts w:ascii="Arial" w:hAnsi="Arial" w:cs="Arial"/>
          <w:sz w:val="24"/>
          <w:szCs w:val="24"/>
        </w:rPr>
        <w:t>el</w:t>
      </w:r>
      <w:r w:rsidRPr="0041706D">
        <w:rPr>
          <w:rFonts w:ascii="Arial" w:hAnsi="Arial" w:cs="Arial"/>
          <w:sz w:val="24"/>
          <w:szCs w:val="24"/>
        </w:rPr>
        <w:t xml:space="preserve"> </w:t>
      </w:r>
      <w:r w:rsidR="001529CD" w:rsidRPr="0041706D">
        <w:rPr>
          <w:rFonts w:ascii="Arial" w:hAnsi="Arial" w:cs="Arial"/>
          <w:sz w:val="24"/>
          <w:szCs w:val="24"/>
        </w:rPr>
        <w:t>i</w:t>
      </w:r>
      <w:r w:rsidRPr="0041706D">
        <w:rPr>
          <w:rFonts w:ascii="Arial" w:hAnsi="Arial" w:cs="Arial"/>
          <w:sz w:val="24"/>
          <w:szCs w:val="24"/>
        </w:rPr>
        <w:t xml:space="preserve">ngreso </w:t>
      </w:r>
      <w:r w:rsidR="001529CD" w:rsidRPr="0041706D">
        <w:rPr>
          <w:rFonts w:ascii="Arial" w:hAnsi="Arial" w:cs="Arial"/>
          <w:sz w:val="24"/>
          <w:szCs w:val="24"/>
        </w:rPr>
        <w:t>b</w:t>
      </w:r>
      <w:r w:rsidRPr="0041706D">
        <w:rPr>
          <w:rFonts w:ascii="Arial" w:hAnsi="Arial" w:cs="Arial"/>
          <w:sz w:val="24"/>
          <w:szCs w:val="24"/>
        </w:rPr>
        <w:t xml:space="preserve">ase de </w:t>
      </w:r>
      <w:r w:rsidR="001529CD" w:rsidRPr="0041706D">
        <w:rPr>
          <w:rFonts w:ascii="Arial" w:hAnsi="Arial" w:cs="Arial"/>
          <w:sz w:val="24"/>
          <w:szCs w:val="24"/>
        </w:rPr>
        <w:t>l</w:t>
      </w:r>
      <w:r w:rsidRPr="0041706D">
        <w:rPr>
          <w:rFonts w:ascii="Arial" w:hAnsi="Arial" w:cs="Arial"/>
          <w:sz w:val="24"/>
          <w:szCs w:val="24"/>
        </w:rPr>
        <w:t>iquidación comprendido entre el 17 de febrero de 2005 y 30 de diciembre de 2014</w:t>
      </w:r>
      <w:r w:rsidR="001529CD" w:rsidRPr="0041706D">
        <w:rPr>
          <w:rStyle w:val="Refdenotaalpie"/>
          <w:rFonts w:ascii="Arial" w:hAnsi="Arial" w:cs="Arial"/>
          <w:sz w:val="24"/>
          <w:szCs w:val="24"/>
        </w:rPr>
        <w:footnoteReference w:id="24"/>
      </w:r>
      <w:r w:rsidRPr="0041706D">
        <w:rPr>
          <w:rFonts w:ascii="Arial" w:hAnsi="Arial" w:cs="Arial"/>
          <w:sz w:val="24"/>
          <w:szCs w:val="24"/>
        </w:rPr>
        <w:t xml:space="preserve"> y al efecto consideró </w:t>
      </w:r>
      <w:r w:rsidR="003D29B6" w:rsidRPr="0041706D">
        <w:rPr>
          <w:rFonts w:ascii="Arial" w:hAnsi="Arial" w:cs="Arial"/>
          <w:i/>
          <w:iCs/>
          <w:sz w:val="24"/>
          <w:szCs w:val="24"/>
        </w:rPr>
        <w:t>“</w:t>
      </w:r>
      <w:r w:rsidRPr="0041706D">
        <w:rPr>
          <w:rFonts w:ascii="Arial" w:hAnsi="Arial" w:cs="Arial"/>
          <w:i/>
          <w:iCs/>
          <w:sz w:val="24"/>
          <w:szCs w:val="24"/>
        </w:rPr>
        <w:t xml:space="preserve">En la presente liquidación se tuvieron en cuenta los factores salariales como </w:t>
      </w:r>
      <w:r w:rsidRPr="0041706D">
        <w:rPr>
          <w:rFonts w:ascii="Arial" w:hAnsi="Arial" w:cs="Arial"/>
          <w:b/>
          <w:bCs/>
          <w:i/>
          <w:iCs/>
          <w:sz w:val="24"/>
          <w:szCs w:val="24"/>
        </w:rPr>
        <w:t>asignación básica, prima de antigüedad, bonificación por servicios y prima de productividad</w:t>
      </w:r>
      <w:r w:rsidRPr="0041706D">
        <w:rPr>
          <w:rFonts w:ascii="Arial" w:hAnsi="Arial" w:cs="Arial"/>
          <w:i/>
          <w:iCs/>
          <w:sz w:val="24"/>
          <w:szCs w:val="24"/>
        </w:rPr>
        <w:t>”</w:t>
      </w:r>
      <w:r w:rsidR="003D29B6" w:rsidRPr="0041706D">
        <w:rPr>
          <w:rStyle w:val="Refdenotaalpie"/>
          <w:rFonts w:ascii="Arial" w:hAnsi="Arial" w:cs="Arial"/>
          <w:i/>
          <w:iCs/>
          <w:sz w:val="24"/>
          <w:szCs w:val="24"/>
        </w:rPr>
        <w:footnoteReference w:id="25"/>
      </w:r>
      <w:r w:rsidRPr="0041706D">
        <w:rPr>
          <w:rFonts w:ascii="Arial" w:hAnsi="Arial" w:cs="Arial"/>
          <w:i/>
          <w:iCs/>
          <w:sz w:val="24"/>
          <w:szCs w:val="24"/>
        </w:rPr>
        <w:t>.</w:t>
      </w:r>
    </w:p>
    <w:p w14:paraId="71FC76F7" w14:textId="77777777" w:rsidR="006D770F" w:rsidRPr="0041706D" w:rsidRDefault="006D770F" w:rsidP="0041706D">
      <w:pPr>
        <w:pStyle w:val="Prrafodelista"/>
        <w:ind w:left="0"/>
        <w:rPr>
          <w:rFonts w:ascii="Arial" w:hAnsi="Arial" w:cs="Arial"/>
          <w:sz w:val="24"/>
          <w:szCs w:val="24"/>
        </w:rPr>
      </w:pPr>
    </w:p>
    <w:p w14:paraId="7D6CE813" w14:textId="77777777" w:rsidR="006D770F" w:rsidRPr="0041706D" w:rsidRDefault="006D770F" w:rsidP="0041706D">
      <w:pPr>
        <w:widowControl w:val="0"/>
        <w:tabs>
          <w:tab w:val="left" w:pos="7655"/>
        </w:tabs>
        <w:rPr>
          <w:rFonts w:ascii="Arial" w:hAnsi="Arial" w:cs="Arial"/>
          <w:b/>
          <w:sz w:val="24"/>
          <w:szCs w:val="24"/>
        </w:rPr>
      </w:pPr>
      <w:r w:rsidRPr="0041706D">
        <w:rPr>
          <w:rFonts w:ascii="Arial" w:hAnsi="Arial" w:cs="Arial"/>
          <w:b/>
          <w:sz w:val="24"/>
          <w:szCs w:val="24"/>
        </w:rPr>
        <w:t>3.1.  Análisis de los argumentos expuestos en el recurso de apelación</w:t>
      </w:r>
    </w:p>
    <w:p w14:paraId="672972FA" w14:textId="77777777" w:rsidR="00B413FE" w:rsidRPr="0041706D" w:rsidRDefault="00B413FE" w:rsidP="0041706D">
      <w:pPr>
        <w:widowControl w:val="0"/>
        <w:tabs>
          <w:tab w:val="left" w:pos="7655"/>
        </w:tabs>
        <w:rPr>
          <w:rFonts w:ascii="Arial" w:hAnsi="Arial" w:cs="Arial"/>
          <w:b/>
          <w:sz w:val="24"/>
          <w:szCs w:val="24"/>
        </w:rPr>
      </w:pPr>
    </w:p>
    <w:p w14:paraId="3C2CCE5E" w14:textId="2B230FC4" w:rsidR="00B413FE" w:rsidRPr="0041706D" w:rsidRDefault="00B413FE" w:rsidP="0041706D">
      <w:pPr>
        <w:pStyle w:val="Prrafodelista"/>
        <w:widowControl w:val="0"/>
        <w:numPr>
          <w:ilvl w:val="0"/>
          <w:numId w:val="21"/>
        </w:numPr>
        <w:tabs>
          <w:tab w:val="left" w:pos="567"/>
          <w:tab w:val="left" w:pos="7655"/>
        </w:tabs>
        <w:ind w:left="0" w:firstLine="0"/>
        <w:jc w:val="both"/>
        <w:rPr>
          <w:rFonts w:ascii="Arial" w:hAnsi="Arial" w:cs="Arial"/>
          <w:b/>
          <w:bCs/>
          <w:sz w:val="24"/>
          <w:szCs w:val="24"/>
        </w:rPr>
      </w:pPr>
      <w:r w:rsidRPr="0041706D">
        <w:rPr>
          <w:rFonts w:ascii="Arial" w:hAnsi="Arial" w:cs="Arial"/>
          <w:sz w:val="24"/>
          <w:szCs w:val="24"/>
        </w:rPr>
        <w:t xml:space="preserve">La Sala analizará los argumentos expuestos en los recursos de apelación, así: i) la </w:t>
      </w:r>
      <w:r w:rsidRPr="0041706D">
        <w:rPr>
          <w:rFonts w:ascii="Arial" w:hAnsi="Arial" w:cs="Arial"/>
          <w:sz w:val="24"/>
          <w:szCs w:val="24"/>
          <w:lang w:eastAsia="es-CO"/>
        </w:rPr>
        <w:t xml:space="preserve">aplicación de la sentencia de unificación proferida el 11 de junio de 2020 por la Sección Segunda del Consejo de Estado al caso concreto; </w:t>
      </w:r>
      <w:proofErr w:type="spellStart"/>
      <w:r w:rsidRPr="0041706D">
        <w:rPr>
          <w:rFonts w:ascii="Arial" w:hAnsi="Arial" w:cs="Arial"/>
          <w:sz w:val="24"/>
          <w:szCs w:val="24"/>
          <w:lang w:eastAsia="es-CO"/>
        </w:rPr>
        <w:t>ii</w:t>
      </w:r>
      <w:proofErr w:type="spellEnd"/>
      <w:r w:rsidRPr="0041706D">
        <w:rPr>
          <w:rFonts w:ascii="Arial" w:hAnsi="Arial" w:cs="Arial"/>
          <w:sz w:val="24"/>
          <w:szCs w:val="24"/>
          <w:lang w:eastAsia="es-CO"/>
        </w:rPr>
        <w:t xml:space="preserve">) los factores salariales devengados por la demandante entre enero de 2005 y diciembre de 2015; y </w:t>
      </w:r>
      <w:proofErr w:type="spellStart"/>
      <w:r w:rsidRPr="0041706D">
        <w:rPr>
          <w:rFonts w:ascii="Arial" w:hAnsi="Arial" w:cs="Arial"/>
          <w:sz w:val="24"/>
          <w:szCs w:val="24"/>
          <w:lang w:eastAsia="es-CO"/>
        </w:rPr>
        <w:t>iii</w:t>
      </w:r>
      <w:proofErr w:type="spellEnd"/>
      <w:r w:rsidRPr="0041706D">
        <w:rPr>
          <w:rFonts w:ascii="Arial" w:hAnsi="Arial" w:cs="Arial"/>
          <w:sz w:val="24"/>
          <w:szCs w:val="24"/>
          <w:lang w:eastAsia="es-CO"/>
        </w:rPr>
        <w:t xml:space="preserve">) la condena en costas de segunda instancia. </w:t>
      </w:r>
    </w:p>
    <w:p w14:paraId="42012F82" w14:textId="77777777" w:rsidR="006D770F" w:rsidRPr="0041706D" w:rsidRDefault="006D770F" w:rsidP="0041706D">
      <w:pPr>
        <w:widowControl w:val="0"/>
        <w:tabs>
          <w:tab w:val="left" w:pos="7655"/>
        </w:tabs>
        <w:jc w:val="both"/>
        <w:rPr>
          <w:rFonts w:ascii="Arial" w:hAnsi="Arial" w:cs="Arial"/>
          <w:b/>
          <w:sz w:val="24"/>
          <w:szCs w:val="24"/>
        </w:rPr>
      </w:pPr>
    </w:p>
    <w:p w14:paraId="428857A8" w14:textId="77777777" w:rsidR="006D770F" w:rsidRPr="0041706D" w:rsidRDefault="006D770F" w:rsidP="0041706D">
      <w:pPr>
        <w:pStyle w:val="Prrafodelista"/>
        <w:widowControl w:val="0"/>
        <w:ind w:left="0"/>
        <w:jc w:val="both"/>
        <w:rPr>
          <w:rFonts w:ascii="Arial" w:hAnsi="Arial" w:cs="Arial"/>
          <w:b/>
          <w:i/>
          <w:sz w:val="24"/>
          <w:szCs w:val="24"/>
        </w:rPr>
      </w:pPr>
      <w:r w:rsidRPr="0041706D">
        <w:rPr>
          <w:rFonts w:ascii="Arial" w:hAnsi="Arial" w:cs="Arial"/>
          <w:b/>
          <w:i/>
          <w:sz w:val="24"/>
          <w:szCs w:val="24"/>
          <w:lang w:eastAsia="es-CO"/>
        </w:rPr>
        <w:t>Aplicación de la sentencia de unificación proferida el 11 de junio de 2020 por la Sección Segunda del Consejo de Estado al caso concreto</w:t>
      </w:r>
    </w:p>
    <w:p w14:paraId="0397A22D" w14:textId="77777777" w:rsidR="006D770F" w:rsidRPr="0041706D" w:rsidRDefault="006D770F" w:rsidP="0041706D">
      <w:pPr>
        <w:widowControl w:val="0"/>
        <w:tabs>
          <w:tab w:val="left" w:pos="7655"/>
        </w:tabs>
        <w:jc w:val="both"/>
        <w:rPr>
          <w:rFonts w:ascii="Arial" w:hAnsi="Arial" w:cs="Arial"/>
          <w:b/>
          <w:sz w:val="24"/>
          <w:szCs w:val="24"/>
        </w:rPr>
      </w:pPr>
    </w:p>
    <w:p w14:paraId="6B35392A" w14:textId="2DEC0978" w:rsidR="006D770F" w:rsidRPr="0041706D" w:rsidRDefault="006D770F" w:rsidP="0041706D">
      <w:pPr>
        <w:pStyle w:val="Prrafodelista"/>
        <w:widowControl w:val="0"/>
        <w:numPr>
          <w:ilvl w:val="0"/>
          <w:numId w:val="21"/>
        </w:numPr>
        <w:tabs>
          <w:tab w:val="left" w:pos="567"/>
          <w:tab w:val="left" w:pos="7655"/>
        </w:tabs>
        <w:ind w:left="0" w:firstLine="0"/>
        <w:jc w:val="both"/>
        <w:rPr>
          <w:rFonts w:ascii="Arial" w:hAnsi="Arial" w:cs="Arial"/>
          <w:sz w:val="24"/>
          <w:szCs w:val="24"/>
        </w:rPr>
      </w:pPr>
      <w:r w:rsidRPr="0041706D">
        <w:rPr>
          <w:rFonts w:ascii="Arial" w:hAnsi="Arial" w:cs="Arial"/>
          <w:sz w:val="24"/>
          <w:szCs w:val="24"/>
        </w:rPr>
        <w:t xml:space="preserve">La señora María Clemencia Bohórquez Gorraiz es beneficiaria del régimen de transición establecido en el artículo 36 de la Ley 100 de 1993, por cuanto al entrar en vigencia dicha </w:t>
      </w:r>
      <w:r w:rsidR="009E0B87" w:rsidRPr="0041706D">
        <w:rPr>
          <w:rFonts w:ascii="Arial" w:hAnsi="Arial" w:cs="Arial"/>
          <w:sz w:val="24"/>
          <w:szCs w:val="24"/>
        </w:rPr>
        <w:t>norma</w:t>
      </w:r>
      <w:r w:rsidRPr="0041706D">
        <w:rPr>
          <w:rFonts w:ascii="Arial" w:hAnsi="Arial" w:cs="Arial"/>
          <w:sz w:val="24"/>
          <w:szCs w:val="24"/>
        </w:rPr>
        <w:t xml:space="preserve">, contaba con 40 años de edad. </w:t>
      </w:r>
    </w:p>
    <w:p w14:paraId="73DEEF86" w14:textId="77777777" w:rsidR="006D770F" w:rsidRPr="0041706D" w:rsidRDefault="006D770F" w:rsidP="0041706D">
      <w:pPr>
        <w:pStyle w:val="Prrafodelista"/>
        <w:ind w:left="0"/>
        <w:jc w:val="both"/>
        <w:rPr>
          <w:rFonts w:ascii="Arial" w:hAnsi="Arial" w:cs="Arial"/>
          <w:sz w:val="24"/>
          <w:szCs w:val="24"/>
        </w:rPr>
      </w:pPr>
    </w:p>
    <w:p w14:paraId="4A97DDD7" w14:textId="5EDCCF5A" w:rsidR="006D770F" w:rsidRPr="0041706D" w:rsidRDefault="006D770F" w:rsidP="0041706D">
      <w:pPr>
        <w:pStyle w:val="Prrafodelista"/>
        <w:widowControl w:val="0"/>
        <w:numPr>
          <w:ilvl w:val="0"/>
          <w:numId w:val="21"/>
        </w:numPr>
        <w:tabs>
          <w:tab w:val="left" w:pos="567"/>
          <w:tab w:val="left" w:pos="7655"/>
        </w:tabs>
        <w:ind w:left="0" w:firstLine="0"/>
        <w:jc w:val="both"/>
        <w:rPr>
          <w:rFonts w:ascii="Arial" w:hAnsi="Arial" w:cs="Arial"/>
          <w:b/>
          <w:sz w:val="24"/>
          <w:szCs w:val="24"/>
        </w:rPr>
      </w:pPr>
      <w:r w:rsidRPr="0041706D">
        <w:rPr>
          <w:rFonts w:ascii="Arial" w:hAnsi="Arial" w:cs="Arial"/>
          <w:sz w:val="24"/>
          <w:szCs w:val="24"/>
        </w:rPr>
        <w:t>En este orden de ideas, la demandante adquirió el derecho a obtener el reconocimiento de la pensión bajo el amparo del régimen anterior, que para el caso de los empleados de la Rama Judicial y del Ministerio Público correspond</w:t>
      </w:r>
      <w:r w:rsidR="009E0B87" w:rsidRPr="0041706D">
        <w:rPr>
          <w:rFonts w:ascii="Arial" w:hAnsi="Arial" w:cs="Arial"/>
          <w:sz w:val="24"/>
          <w:szCs w:val="24"/>
        </w:rPr>
        <w:t>e</w:t>
      </w:r>
      <w:r w:rsidRPr="0041706D">
        <w:rPr>
          <w:rFonts w:ascii="Arial" w:hAnsi="Arial" w:cs="Arial"/>
          <w:sz w:val="24"/>
          <w:szCs w:val="24"/>
        </w:rPr>
        <w:t xml:space="preserve"> al Decreto 546 de 1971, respecto de los requisitos de edad, tiempo de servicio y monto (tasa de remplazo); y en relación con el </w:t>
      </w:r>
      <w:r w:rsidR="009E0B87" w:rsidRPr="0041706D">
        <w:rPr>
          <w:rFonts w:ascii="Arial" w:hAnsi="Arial" w:cs="Arial"/>
          <w:sz w:val="24"/>
          <w:szCs w:val="24"/>
        </w:rPr>
        <w:t>i</w:t>
      </w:r>
      <w:r w:rsidRPr="0041706D">
        <w:rPr>
          <w:rFonts w:ascii="Arial" w:hAnsi="Arial" w:cs="Arial"/>
          <w:sz w:val="24"/>
          <w:szCs w:val="24"/>
        </w:rPr>
        <w:t xml:space="preserve">ngreso </w:t>
      </w:r>
      <w:r w:rsidR="009E0B87" w:rsidRPr="0041706D">
        <w:rPr>
          <w:rFonts w:ascii="Arial" w:hAnsi="Arial" w:cs="Arial"/>
          <w:sz w:val="24"/>
          <w:szCs w:val="24"/>
        </w:rPr>
        <w:t>b</w:t>
      </w:r>
      <w:r w:rsidRPr="0041706D">
        <w:rPr>
          <w:rFonts w:ascii="Arial" w:hAnsi="Arial" w:cs="Arial"/>
          <w:sz w:val="24"/>
          <w:szCs w:val="24"/>
        </w:rPr>
        <w:t xml:space="preserve">ase de </w:t>
      </w:r>
      <w:r w:rsidR="009E0B87" w:rsidRPr="0041706D">
        <w:rPr>
          <w:rFonts w:ascii="Arial" w:hAnsi="Arial" w:cs="Arial"/>
          <w:sz w:val="24"/>
          <w:szCs w:val="24"/>
        </w:rPr>
        <w:t>l</w:t>
      </w:r>
      <w:r w:rsidRPr="0041706D">
        <w:rPr>
          <w:rFonts w:ascii="Arial" w:hAnsi="Arial" w:cs="Arial"/>
          <w:sz w:val="24"/>
          <w:szCs w:val="24"/>
        </w:rPr>
        <w:t xml:space="preserve">iquidación debe atenderse a lo previsto en el artículo 36 de la Ley 100 de 1993, </w:t>
      </w:r>
      <w:r w:rsidRPr="0041706D">
        <w:rPr>
          <w:rFonts w:ascii="Arial" w:hAnsi="Arial" w:cs="Arial"/>
          <w:b/>
          <w:sz w:val="24"/>
          <w:szCs w:val="24"/>
        </w:rPr>
        <w:t>con base en las reglas que fijó la Sección Segunda del Consejo de Estado en la sentencia de unificación proferida el 11 de junio de 2020</w:t>
      </w:r>
      <w:r w:rsidRPr="0041706D">
        <w:rPr>
          <w:rStyle w:val="Refdenotaalpie"/>
          <w:rFonts w:ascii="Arial" w:hAnsi="Arial" w:cs="Arial"/>
          <w:b/>
          <w:sz w:val="24"/>
          <w:szCs w:val="24"/>
        </w:rPr>
        <w:footnoteReference w:id="26"/>
      </w:r>
      <w:r w:rsidRPr="0041706D">
        <w:rPr>
          <w:rFonts w:ascii="Arial" w:hAnsi="Arial" w:cs="Arial"/>
          <w:b/>
          <w:sz w:val="24"/>
          <w:szCs w:val="24"/>
        </w:rPr>
        <w:t>.</w:t>
      </w:r>
    </w:p>
    <w:p w14:paraId="3F266C2E" w14:textId="77777777" w:rsidR="006D770F" w:rsidRPr="0041706D" w:rsidRDefault="006D770F" w:rsidP="0041706D">
      <w:pPr>
        <w:pStyle w:val="Prrafodelista"/>
        <w:ind w:left="0"/>
        <w:rPr>
          <w:rFonts w:ascii="Arial" w:hAnsi="Arial" w:cs="Arial"/>
          <w:sz w:val="24"/>
          <w:szCs w:val="24"/>
        </w:rPr>
      </w:pPr>
    </w:p>
    <w:p w14:paraId="6BC12F64" w14:textId="0C793124" w:rsidR="00B425D3" w:rsidRPr="0041706D" w:rsidRDefault="00B425D3" w:rsidP="0041706D">
      <w:pPr>
        <w:pStyle w:val="Prrafodelista"/>
        <w:widowControl w:val="0"/>
        <w:numPr>
          <w:ilvl w:val="0"/>
          <w:numId w:val="21"/>
        </w:numPr>
        <w:tabs>
          <w:tab w:val="left" w:pos="567"/>
          <w:tab w:val="left" w:pos="7655"/>
        </w:tabs>
        <w:ind w:left="0" w:firstLine="0"/>
        <w:jc w:val="both"/>
        <w:rPr>
          <w:rFonts w:ascii="Arial" w:hAnsi="Arial" w:cs="Arial"/>
          <w:sz w:val="24"/>
          <w:szCs w:val="24"/>
        </w:rPr>
      </w:pPr>
      <w:r w:rsidRPr="0041706D">
        <w:rPr>
          <w:rFonts w:ascii="Arial" w:hAnsi="Arial" w:cs="Arial"/>
          <w:sz w:val="24"/>
          <w:szCs w:val="24"/>
        </w:rPr>
        <w:lastRenderedPageBreak/>
        <w:t xml:space="preserve">En este estado del estudio, la Sala destaca que los argumentos expuestos </w:t>
      </w:r>
      <w:r w:rsidR="00951270" w:rsidRPr="0041706D">
        <w:rPr>
          <w:rFonts w:ascii="Arial" w:hAnsi="Arial" w:cs="Arial"/>
          <w:sz w:val="24"/>
          <w:szCs w:val="24"/>
        </w:rPr>
        <w:t>por</w:t>
      </w:r>
      <w:r w:rsidRPr="0041706D">
        <w:rPr>
          <w:rFonts w:ascii="Arial" w:hAnsi="Arial" w:cs="Arial"/>
          <w:sz w:val="24"/>
          <w:szCs w:val="24"/>
        </w:rPr>
        <w:t xml:space="preserve"> la parte demandante</w:t>
      </w:r>
      <w:r w:rsidR="00951270" w:rsidRPr="0041706D">
        <w:rPr>
          <w:rFonts w:ascii="Arial" w:hAnsi="Arial" w:cs="Arial"/>
          <w:sz w:val="24"/>
          <w:szCs w:val="24"/>
        </w:rPr>
        <w:t xml:space="preserve"> en el recurso de apelación</w:t>
      </w:r>
      <w:r w:rsidRPr="0041706D">
        <w:rPr>
          <w:rFonts w:ascii="Arial" w:hAnsi="Arial" w:cs="Arial"/>
          <w:sz w:val="24"/>
          <w:szCs w:val="24"/>
        </w:rPr>
        <w:t xml:space="preserve"> están dirigidos a que no se aplique la </w:t>
      </w:r>
      <w:r w:rsidRPr="0041706D">
        <w:rPr>
          <w:rFonts w:ascii="Arial" w:hAnsi="Arial" w:cs="Arial"/>
          <w:i/>
          <w:sz w:val="24"/>
          <w:szCs w:val="24"/>
        </w:rPr>
        <w:t>“</w:t>
      </w:r>
      <w:r w:rsidRPr="0041706D">
        <w:rPr>
          <w:rFonts w:ascii="Arial" w:hAnsi="Arial" w:cs="Arial"/>
          <w:b/>
          <w:i/>
          <w:sz w:val="24"/>
          <w:szCs w:val="24"/>
        </w:rPr>
        <w:t>sentencia de unificación de 2019</w:t>
      </w:r>
      <w:r w:rsidRPr="0041706D">
        <w:rPr>
          <w:rFonts w:ascii="Arial" w:hAnsi="Arial" w:cs="Arial"/>
          <w:i/>
          <w:sz w:val="24"/>
          <w:szCs w:val="24"/>
        </w:rPr>
        <w:t>”</w:t>
      </w:r>
      <w:r w:rsidRPr="0041706D">
        <w:rPr>
          <w:rFonts w:ascii="Arial" w:hAnsi="Arial" w:cs="Arial"/>
          <w:sz w:val="24"/>
          <w:szCs w:val="24"/>
        </w:rPr>
        <w:t xml:space="preserve"> </w:t>
      </w:r>
      <w:r w:rsidR="009E0B87" w:rsidRPr="0041706D">
        <w:rPr>
          <w:rFonts w:ascii="Arial" w:hAnsi="Arial" w:cs="Arial"/>
          <w:sz w:val="24"/>
          <w:szCs w:val="24"/>
        </w:rPr>
        <w:t xml:space="preserve">porque </w:t>
      </w:r>
      <w:r w:rsidRPr="0041706D">
        <w:rPr>
          <w:rFonts w:ascii="Arial" w:hAnsi="Arial" w:cs="Arial"/>
          <w:sz w:val="24"/>
          <w:szCs w:val="24"/>
        </w:rPr>
        <w:t xml:space="preserve">esta fue proferida con posterioridad a la fecha en que: i) se consolidó el estatus pensional de la demandante, </w:t>
      </w:r>
      <w:proofErr w:type="spellStart"/>
      <w:r w:rsidRPr="0041706D">
        <w:rPr>
          <w:rFonts w:ascii="Arial" w:hAnsi="Arial" w:cs="Arial"/>
          <w:sz w:val="24"/>
          <w:szCs w:val="24"/>
        </w:rPr>
        <w:t>ii</w:t>
      </w:r>
      <w:proofErr w:type="spellEnd"/>
      <w:r w:rsidRPr="0041706D">
        <w:rPr>
          <w:rFonts w:ascii="Arial" w:hAnsi="Arial" w:cs="Arial"/>
          <w:sz w:val="24"/>
          <w:szCs w:val="24"/>
        </w:rPr>
        <w:t xml:space="preserve">) se profirió el acto administrativo acusado y </w:t>
      </w:r>
      <w:proofErr w:type="spellStart"/>
      <w:r w:rsidRPr="0041706D">
        <w:rPr>
          <w:rFonts w:ascii="Arial" w:hAnsi="Arial" w:cs="Arial"/>
          <w:sz w:val="24"/>
          <w:szCs w:val="24"/>
        </w:rPr>
        <w:t>iii</w:t>
      </w:r>
      <w:proofErr w:type="spellEnd"/>
      <w:r w:rsidRPr="0041706D">
        <w:rPr>
          <w:rFonts w:ascii="Arial" w:hAnsi="Arial" w:cs="Arial"/>
          <w:sz w:val="24"/>
          <w:szCs w:val="24"/>
        </w:rPr>
        <w:t xml:space="preserve">) se presentó la demanda. </w:t>
      </w:r>
    </w:p>
    <w:p w14:paraId="6D4402B7" w14:textId="77777777" w:rsidR="00B425D3" w:rsidRPr="0041706D" w:rsidRDefault="00B425D3" w:rsidP="0041706D">
      <w:pPr>
        <w:pStyle w:val="Prrafodelista"/>
        <w:ind w:left="0"/>
        <w:rPr>
          <w:rFonts w:ascii="Arial" w:hAnsi="Arial" w:cs="Arial"/>
          <w:sz w:val="24"/>
          <w:szCs w:val="24"/>
        </w:rPr>
      </w:pPr>
    </w:p>
    <w:p w14:paraId="4D03FB86" w14:textId="07293D47" w:rsidR="006D770F" w:rsidRPr="0041706D" w:rsidRDefault="00951270" w:rsidP="0041706D">
      <w:pPr>
        <w:pStyle w:val="Prrafodelista"/>
        <w:widowControl w:val="0"/>
        <w:numPr>
          <w:ilvl w:val="0"/>
          <w:numId w:val="21"/>
        </w:numPr>
        <w:tabs>
          <w:tab w:val="left" w:pos="567"/>
          <w:tab w:val="left" w:pos="7655"/>
        </w:tabs>
        <w:ind w:left="0" w:firstLine="0"/>
        <w:jc w:val="both"/>
        <w:rPr>
          <w:rFonts w:ascii="Arial" w:hAnsi="Arial" w:cs="Arial"/>
          <w:sz w:val="24"/>
          <w:szCs w:val="24"/>
        </w:rPr>
      </w:pPr>
      <w:r w:rsidRPr="0041706D">
        <w:rPr>
          <w:rFonts w:ascii="Arial" w:hAnsi="Arial" w:cs="Arial"/>
          <w:sz w:val="24"/>
          <w:szCs w:val="24"/>
        </w:rPr>
        <w:t>En efecto, l</w:t>
      </w:r>
      <w:r w:rsidR="00B425D3" w:rsidRPr="0041706D">
        <w:rPr>
          <w:rFonts w:ascii="Arial" w:hAnsi="Arial" w:cs="Arial"/>
          <w:sz w:val="24"/>
          <w:szCs w:val="24"/>
        </w:rPr>
        <w:t xml:space="preserve">a apelación no contiene argumentos respecto de la </w:t>
      </w:r>
      <w:r w:rsidRPr="0041706D">
        <w:rPr>
          <w:rFonts w:ascii="Arial" w:hAnsi="Arial" w:cs="Arial"/>
          <w:sz w:val="24"/>
          <w:szCs w:val="24"/>
        </w:rPr>
        <w:t>providencia</w:t>
      </w:r>
      <w:r w:rsidR="00B425D3" w:rsidRPr="0041706D">
        <w:rPr>
          <w:rFonts w:ascii="Arial" w:hAnsi="Arial" w:cs="Arial"/>
          <w:sz w:val="24"/>
          <w:szCs w:val="24"/>
        </w:rPr>
        <w:t xml:space="preserve"> de unificación CE-SUJ-S2-021-20 de 11 de junio de 2020</w:t>
      </w:r>
      <w:r w:rsidRPr="0041706D">
        <w:rPr>
          <w:rFonts w:ascii="Arial" w:hAnsi="Arial" w:cs="Arial"/>
          <w:sz w:val="24"/>
          <w:szCs w:val="24"/>
        </w:rPr>
        <w:t>,</w:t>
      </w:r>
      <w:r w:rsidR="00B425D3" w:rsidRPr="0041706D">
        <w:rPr>
          <w:rFonts w:ascii="Arial" w:hAnsi="Arial" w:cs="Arial"/>
          <w:sz w:val="24"/>
          <w:szCs w:val="24"/>
        </w:rPr>
        <w:t xml:space="preserve"> en la medida en que </w:t>
      </w:r>
      <w:r w:rsidRPr="0041706D">
        <w:rPr>
          <w:rFonts w:ascii="Arial" w:hAnsi="Arial" w:cs="Arial"/>
          <w:sz w:val="24"/>
          <w:szCs w:val="24"/>
        </w:rPr>
        <w:t xml:space="preserve">la sentencia que profirió el </w:t>
      </w:r>
      <w:r w:rsidRPr="0041706D">
        <w:rPr>
          <w:rFonts w:ascii="Arial" w:hAnsi="Arial" w:cs="Arial"/>
          <w:i/>
          <w:sz w:val="24"/>
          <w:szCs w:val="24"/>
        </w:rPr>
        <w:t xml:space="preserve">a quo </w:t>
      </w:r>
      <w:r w:rsidRPr="0041706D">
        <w:rPr>
          <w:rFonts w:ascii="Arial" w:hAnsi="Arial" w:cs="Arial"/>
          <w:sz w:val="24"/>
          <w:szCs w:val="24"/>
        </w:rPr>
        <w:t>en el proceso de la referencia es anterior a esa fecha;</w:t>
      </w:r>
      <w:r w:rsidR="00B425D3" w:rsidRPr="0041706D">
        <w:rPr>
          <w:rFonts w:ascii="Arial" w:hAnsi="Arial" w:cs="Arial"/>
          <w:sz w:val="24"/>
          <w:szCs w:val="24"/>
        </w:rPr>
        <w:t xml:space="preserve"> sin embargo, resulta aplicable al caso </w:t>
      </w:r>
      <w:r w:rsidR="00B425D3" w:rsidRPr="0041706D">
        <w:rPr>
          <w:rFonts w:ascii="Arial" w:hAnsi="Arial" w:cs="Arial"/>
          <w:i/>
          <w:sz w:val="24"/>
          <w:szCs w:val="24"/>
        </w:rPr>
        <w:t xml:space="preserve">sub examine, </w:t>
      </w:r>
      <w:r w:rsidR="00B425D3" w:rsidRPr="0041706D">
        <w:rPr>
          <w:rFonts w:ascii="Arial" w:hAnsi="Arial" w:cs="Arial"/>
          <w:sz w:val="24"/>
          <w:szCs w:val="24"/>
        </w:rPr>
        <w:t xml:space="preserve">porque la Sección Segunda del Consejo de Estado, </w:t>
      </w:r>
      <w:r w:rsidRPr="0041706D">
        <w:rPr>
          <w:rFonts w:ascii="Arial" w:hAnsi="Arial" w:cs="Arial"/>
          <w:sz w:val="24"/>
          <w:szCs w:val="24"/>
        </w:rPr>
        <w:t>en la sentencia unificación CE-SUJ-S2-021-20 de 11 de junio de 2020,</w:t>
      </w:r>
      <w:r w:rsidR="00B425D3" w:rsidRPr="0041706D">
        <w:rPr>
          <w:rFonts w:ascii="Arial" w:hAnsi="Arial" w:cs="Arial"/>
          <w:sz w:val="24"/>
          <w:szCs w:val="24"/>
        </w:rPr>
        <w:t xml:space="preserve"> </w:t>
      </w:r>
      <w:r w:rsidR="006D770F" w:rsidRPr="0041706D">
        <w:rPr>
          <w:rFonts w:ascii="Arial" w:hAnsi="Arial" w:cs="Arial"/>
          <w:sz w:val="24"/>
          <w:szCs w:val="24"/>
          <w:lang w:eastAsia="es-CO"/>
        </w:rPr>
        <w:t xml:space="preserve">advirtió </w:t>
      </w:r>
      <w:r w:rsidR="006D770F" w:rsidRPr="0041706D">
        <w:rPr>
          <w:rFonts w:ascii="Arial" w:hAnsi="Arial" w:cs="Arial"/>
          <w:sz w:val="24"/>
          <w:szCs w:val="24"/>
        </w:rPr>
        <w:t xml:space="preserve">a la comunidad en general que las consideraciones expuestas en relación con los temas objeto de unificación, </w:t>
      </w:r>
      <w:r w:rsidR="006D770F" w:rsidRPr="0041706D">
        <w:rPr>
          <w:rFonts w:ascii="Arial" w:hAnsi="Arial" w:cs="Arial"/>
          <w:b/>
          <w:sz w:val="24"/>
          <w:szCs w:val="24"/>
          <w:lang w:val="es-ES"/>
        </w:rPr>
        <w:t>tienen aplicación retrospectiva</w:t>
      </w:r>
      <w:r w:rsidR="006D770F" w:rsidRPr="0041706D">
        <w:rPr>
          <w:rFonts w:ascii="Arial" w:hAnsi="Arial" w:cs="Arial"/>
          <w:sz w:val="24"/>
          <w:szCs w:val="24"/>
          <w:lang w:val="es-ES"/>
        </w:rPr>
        <w:t xml:space="preserve">, y que la regla jurisprudencial fijada es </w:t>
      </w:r>
      <w:r w:rsidR="006D770F" w:rsidRPr="0041706D">
        <w:rPr>
          <w:rFonts w:ascii="Arial" w:hAnsi="Arial" w:cs="Arial"/>
          <w:b/>
          <w:sz w:val="24"/>
          <w:szCs w:val="24"/>
          <w:lang w:val="es-ES"/>
        </w:rPr>
        <w:t>vinculante</w:t>
      </w:r>
      <w:r w:rsidR="006D770F" w:rsidRPr="0041706D">
        <w:rPr>
          <w:rFonts w:ascii="Arial" w:hAnsi="Arial" w:cs="Arial"/>
          <w:sz w:val="24"/>
          <w:szCs w:val="24"/>
          <w:lang w:val="es-ES"/>
        </w:rPr>
        <w:t xml:space="preserve"> en los procesos</w:t>
      </w:r>
      <w:r w:rsidR="006D770F" w:rsidRPr="0041706D">
        <w:rPr>
          <w:rFonts w:ascii="Arial" w:hAnsi="Arial" w:cs="Arial"/>
          <w:sz w:val="24"/>
          <w:szCs w:val="24"/>
        </w:rPr>
        <w:t xml:space="preserve"> que se están adelantando en juzgados, tribunales administrativos y Consejo de Estado, </w:t>
      </w:r>
      <w:r w:rsidR="006D770F" w:rsidRPr="0041706D">
        <w:rPr>
          <w:rFonts w:ascii="Arial" w:hAnsi="Arial" w:cs="Arial"/>
          <w:b/>
          <w:sz w:val="24"/>
          <w:szCs w:val="24"/>
        </w:rPr>
        <w:t>como sucede en el caso bajo estudio.</w:t>
      </w:r>
      <w:r w:rsidR="006D770F" w:rsidRPr="0041706D">
        <w:rPr>
          <w:rFonts w:ascii="Arial" w:hAnsi="Arial" w:cs="Arial"/>
          <w:sz w:val="24"/>
          <w:szCs w:val="24"/>
        </w:rPr>
        <w:t xml:space="preserve"> </w:t>
      </w:r>
    </w:p>
    <w:p w14:paraId="390CD301" w14:textId="77777777" w:rsidR="003D6DAD" w:rsidRPr="0041706D" w:rsidRDefault="003D6DAD" w:rsidP="0041706D">
      <w:pPr>
        <w:pStyle w:val="Prrafodelista"/>
        <w:widowControl w:val="0"/>
        <w:tabs>
          <w:tab w:val="left" w:pos="567"/>
          <w:tab w:val="left" w:pos="7655"/>
        </w:tabs>
        <w:ind w:left="0"/>
        <w:jc w:val="both"/>
        <w:rPr>
          <w:rFonts w:ascii="Arial" w:hAnsi="Arial" w:cs="Arial"/>
          <w:sz w:val="24"/>
          <w:szCs w:val="24"/>
          <w:lang w:eastAsia="es-CO"/>
        </w:rPr>
      </w:pPr>
    </w:p>
    <w:p w14:paraId="093BAD93" w14:textId="6AA1E47C" w:rsidR="006D770F" w:rsidRPr="0041706D" w:rsidRDefault="00B425D3" w:rsidP="0041706D">
      <w:pPr>
        <w:pStyle w:val="Prrafodelista"/>
        <w:widowControl w:val="0"/>
        <w:numPr>
          <w:ilvl w:val="0"/>
          <w:numId w:val="21"/>
        </w:numPr>
        <w:tabs>
          <w:tab w:val="left" w:pos="567"/>
          <w:tab w:val="left" w:pos="7655"/>
        </w:tabs>
        <w:ind w:left="0" w:firstLine="0"/>
        <w:jc w:val="both"/>
        <w:rPr>
          <w:rFonts w:ascii="Arial" w:hAnsi="Arial" w:cs="Arial"/>
          <w:sz w:val="24"/>
          <w:szCs w:val="24"/>
          <w:lang w:eastAsia="es-CO"/>
        </w:rPr>
      </w:pPr>
      <w:r w:rsidRPr="0041706D">
        <w:rPr>
          <w:rFonts w:ascii="Arial" w:hAnsi="Arial" w:cs="Arial"/>
          <w:sz w:val="24"/>
          <w:szCs w:val="24"/>
        </w:rPr>
        <w:t>Precisamente,</w:t>
      </w:r>
      <w:r w:rsidR="006D770F" w:rsidRPr="0041706D">
        <w:rPr>
          <w:rFonts w:ascii="Arial" w:hAnsi="Arial" w:cs="Arial"/>
          <w:sz w:val="24"/>
          <w:szCs w:val="24"/>
        </w:rPr>
        <w:t xml:space="preserve"> la aplicación de esa sentencia de unificación no desconoce l</w:t>
      </w:r>
      <w:r w:rsidR="00951270" w:rsidRPr="0041706D">
        <w:rPr>
          <w:rFonts w:ascii="Arial" w:hAnsi="Arial" w:cs="Arial"/>
          <w:sz w:val="24"/>
          <w:szCs w:val="24"/>
        </w:rPr>
        <w:t>os</w:t>
      </w:r>
      <w:r w:rsidR="006D770F" w:rsidRPr="0041706D">
        <w:rPr>
          <w:rFonts w:ascii="Arial" w:hAnsi="Arial" w:cs="Arial"/>
          <w:sz w:val="24"/>
          <w:szCs w:val="24"/>
        </w:rPr>
        <w:t xml:space="preserve"> derecho</w:t>
      </w:r>
      <w:r w:rsidR="00951270" w:rsidRPr="0041706D">
        <w:rPr>
          <w:rFonts w:ascii="Arial" w:hAnsi="Arial" w:cs="Arial"/>
          <w:sz w:val="24"/>
          <w:szCs w:val="24"/>
        </w:rPr>
        <w:t>s</w:t>
      </w:r>
      <w:r w:rsidR="006D770F" w:rsidRPr="0041706D">
        <w:rPr>
          <w:rFonts w:ascii="Arial" w:hAnsi="Arial" w:cs="Arial"/>
          <w:sz w:val="24"/>
          <w:szCs w:val="24"/>
        </w:rPr>
        <w:t xml:space="preserve"> a la igualdad de la parte demandante</w:t>
      </w:r>
      <w:r w:rsidR="00951270" w:rsidRPr="0041706D">
        <w:rPr>
          <w:rFonts w:ascii="Arial" w:hAnsi="Arial" w:cs="Arial"/>
          <w:sz w:val="24"/>
          <w:szCs w:val="24"/>
        </w:rPr>
        <w:t xml:space="preserve"> o al debido proceso</w:t>
      </w:r>
      <w:r w:rsidR="006D770F" w:rsidRPr="0041706D">
        <w:rPr>
          <w:rFonts w:ascii="Arial" w:hAnsi="Arial" w:cs="Arial"/>
          <w:sz w:val="24"/>
          <w:szCs w:val="24"/>
        </w:rPr>
        <w:t>, comoquiera que el Consejo de Estado</w:t>
      </w:r>
      <w:r w:rsidR="006D770F" w:rsidRPr="0041706D">
        <w:rPr>
          <w:rFonts w:ascii="Arial" w:hAnsi="Arial" w:cs="Arial"/>
          <w:sz w:val="24"/>
          <w:szCs w:val="24"/>
          <w:lang w:eastAsia="es-CO"/>
        </w:rPr>
        <w:t>, en esa oportunidad: i) explicó claramente las razones constitucionales, legales y reglamentarias que fundamentaron la regla jurisprudencial para liquidar la pensión de jubilación de los empleados vinculados a la Rama Judicial y al Ministerio Público</w:t>
      </w:r>
      <w:r w:rsidR="00951270" w:rsidRPr="0041706D">
        <w:rPr>
          <w:rFonts w:ascii="Arial" w:hAnsi="Arial" w:cs="Arial"/>
          <w:sz w:val="24"/>
          <w:szCs w:val="24"/>
          <w:lang w:eastAsia="es-CO"/>
        </w:rPr>
        <w:t xml:space="preserve">; </w:t>
      </w:r>
      <w:r w:rsidR="006D770F" w:rsidRPr="0041706D">
        <w:rPr>
          <w:rFonts w:ascii="Arial" w:hAnsi="Arial" w:cs="Arial"/>
          <w:sz w:val="24"/>
          <w:szCs w:val="24"/>
          <w:lang w:eastAsia="es-CO"/>
        </w:rPr>
        <w:t xml:space="preserve">y </w:t>
      </w:r>
      <w:proofErr w:type="spellStart"/>
      <w:r w:rsidR="006D770F" w:rsidRPr="0041706D">
        <w:rPr>
          <w:rFonts w:ascii="Arial" w:hAnsi="Arial" w:cs="Arial"/>
          <w:sz w:val="24"/>
          <w:szCs w:val="24"/>
          <w:lang w:eastAsia="es-CO"/>
        </w:rPr>
        <w:t>ii</w:t>
      </w:r>
      <w:proofErr w:type="spellEnd"/>
      <w:r w:rsidR="006D770F" w:rsidRPr="0041706D">
        <w:rPr>
          <w:rFonts w:ascii="Arial" w:hAnsi="Arial" w:cs="Arial"/>
          <w:sz w:val="24"/>
          <w:szCs w:val="24"/>
          <w:lang w:eastAsia="es-CO"/>
        </w:rPr>
        <w:t xml:space="preserve">) </w:t>
      </w:r>
      <w:r w:rsidR="006D770F" w:rsidRPr="0041706D">
        <w:rPr>
          <w:rFonts w:ascii="Arial" w:hAnsi="Arial" w:cs="Arial"/>
          <w:color w:val="4B4949"/>
          <w:sz w:val="24"/>
          <w:szCs w:val="24"/>
          <w:lang w:eastAsia="es-CO"/>
        </w:rPr>
        <w:t xml:space="preserve"> </w:t>
      </w:r>
      <w:r w:rsidR="006D770F" w:rsidRPr="0041706D">
        <w:rPr>
          <w:rFonts w:ascii="Arial" w:hAnsi="Arial" w:cs="Arial"/>
          <w:sz w:val="24"/>
          <w:szCs w:val="24"/>
          <w:lang w:eastAsia="es-CO"/>
        </w:rPr>
        <w:t xml:space="preserve">explicó que los efectos de la decisión de unificación </w:t>
      </w:r>
      <w:r w:rsidR="006D770F" w:rsidRPr="0041706D">
        <w:rPr>
          <w:rFonts w:ascii="Arial" w:hAnsi="Arial" w:cs="Arial"/>
          <w:i/>
          <w:sz w:val="24"/>
          <w:szCs w:val="24"/>
          <w:lang w:eastAsia="es-CO"/>
        </w:rPr>
        <w:t>“[…]</w:t>
      </w:r>
      <w:r w:rsidR="006D770F" w:rsidRPr="0041706D">
        <w:rPr>
          <w:rFonts w:ascii="Arial" w:hAnsi="Arial" w:cs="Arial"/>
          <w:i/>
          <w:sz w:val="24"/>
          <w:szCs w:val="24"/>
        </w:rPr>
        <w:t xml:space="preserve"> garantizan la seguridad jurídica y </w:t>
      </w:r>
      <w:r w:rsidR="006D770F" w:rsidRPr="0041706D">
        <w:rPr>
          <w:rFonts w:ascii="Arial" w:hAnsi="Arial" w:cs="Arial"/>
          <w:b/>
          <w:i/>
          <w:sz w:val="24"/>
          <w:szCs w:val="24"/>
        </w:rPr>
        <w:t>dan prevalencia a los principios fundamentales de la Seguridad Social,</w:t>
      </w:r>
      <w:r w:rsidR="006D770F" w:rsidRPr="0041706D">
        <w:rPr>
          <w:rFonts w:ascii="Arial" w:hAnsi="Arial" w:cs="Arial"/>
          <w:i/>
          <w:sz w:val="24"/>
          <w:szCs w:val="24"/>
        </w:rPr>
        <w:t xml:space="preserve"> por ello no puede invocarse el principio de igualdad, so pretexto de solicitar la inaplicación de esta sentencia</w:t>
      </w:r>
      <w:r w:rsidR="006D770F" w:rsidRPr="0041706D">
        <w:rPr>
          <w:rFonts w:ascii="Arial" w:hAnsi="Arial" w:cs="Arial"/>
          <w:i/>
        </w:rPr>
        <w:t xml:space="preserve"> </w:t>
      </w:r>
      <w:r w:rsidR="006D770F" w:rsidRPr="0041706D">
        <w:rPr>
          <w:rFonts w:ascii="Arial" w:hAnsi="Arial" w:cs="Arial"/>
          <w:i/>
          <w:sz w:val="24"/>
          <w:szCs w:val="24"/>
        </w:rPr>
        <w:t xml:space="preserve">[…]” </w:t>
      </w:r>
      <w:r w:rsidR="006D770F" w:rsidRPr="0041706D">
        <w:rPr>
          <w:rFonts w:ascii="Arial" w:hAnsi="Arial" w:cs="Arial"/>
          <w:sz w:val="24"/>
          <w:szCs w:val="24"/>
        </w:rPr>
        <w:t>(Destacado fuera de texto).</w:t>
      </w:r>
    </w:p>
    <w:p w14:paraId="517E9C1F" w14:textId="77777777" w:rsidR="006D770F" w:rsidRPr="0041706D" w:rsidRDefault="006D770F" w:rsidP="0041706D">
      <w:pPr>
        <w:jc w:val="both"/>
        <w:rPr>
          <w:rFonts w:ascii="Arial" w:hAnsi="Arial" w:cs="Arial"/>
          <w:sz w:val="24"/>
          <w:szCs w:val="24"/>
        </w:rPr>
      </w:pPr>
    </w:p>
    <w:p w14:paraId="01382230" w14:textId="77BB1FFC" w:rsidR="006D770F" w:rsidRPr="0041706D" w:rsidRDefault="006D770F" w:rsidP="0041706D">
      <w:pPr>
        <w:pStyle w:val="Prrafodelista"/>
        <w:widowControl w:val="0"/>
        <w:numPr>
          <w:ilvl w:val="0"/>
          <w:numId w:val="21"/>
        </w:numPr>
        <w:tabs>
          <w:tab w:val="left" w:pos="567"/>
          <w:tab w:val="left" w:pos="7655"/>
        </w:tabs>
        <w:ind w:left="0" w:firstLine="0"/>
        <w:jc w:val="both"/>
        <w:rPr>
          <w:rFonts w:ascii="Arial" w:eastAsia="Batang" w:hAnsi="Arial" w:cs="Arial"/>
          <w:sz w:val="24"/>
          <w:szCs w:val="24"/>
        </w:rPr>
      </w:pPr>
      <w:r w:rsidRPr="0041706D">
        <w:rPr>
          <w:rFonts w:ascii="Arial" w:hAnsi="Arial" w:cs="Arial"/>
          <w:sz w:val="24"/>
          <w:szCs w:val="24"/>
        </w:rPr>
        <w:t>Además, la Sección Segunda del Consejo de Estado en la sentencia de unificación a la que se ha hecho</w:t>
      </w:r>
      <w:r w:rsidR="00951270" w:rsidRPr="0041706D">
        <w:rPr>
          <w:rFonts w:ascii="Arial" w:hAnsi="Arial" w:cs="Arial"/>
          <w:sz w:val="24"/>
          <w:szCs w:val="24"/>
        </w:rPr>
        <w:t xml:space="preserve"> referencia</w:t>
      </w:r>
      <w:r w:rsidRPr="0041706D">
        <w:rPr>
          <w:rFonts w:ascii="Arial" w:hAnsi="Arial" w:cs="Arial"/>
          <w:sz w:val="24"/>
          <w:szCs w:val="24"/>
        </w:rPr>
        <w:t xml:space="preserve"> no estableció excepciones para su aplicación en virtud del principio de favorabilidad, razón por la cual, constituye </w:t>
      </w:r>
      <w:r w:rsidRPr="0041706D">
        <w:rPr>
          <w:rFonts w:ascii="Arial" w:eastAsia="Batang" w:hAnsi="Arial" w:cs="Arial"/>
          <w:b/>
          <w:sz w:val="24"/>
          <w:szCs w:val="24"/>
        </w:rPr>
        <w:t xml:space="preserve">precedente obligatorio </w:t>
      </w:r>
      <w:r w:rsidRPr="0041706D">
        <w:rPr>
          <w:rFonts w:ascii="Arial" w:eastAsia="Batang" w:hAnsi="Arial" w:cs="Arial"/>
          <w:sz w:val="24"/>
          <w:szCs w:val="24"/>
        </w:rPr>
        <w:t xml:space="preserve">en el caso </w:t>
      </w:r>
      <w:r w:rsidRPr="0041706D">
        <w:rPr>
          <w:rFonts w:ascii="Arial" w:eastAsia="Batang" w:hAnsi="Arial" w:cs="Arial"/>
          <w:i/>
          <w:sz w:val="24"/>
          <w:szCs w:val="24"/>
        </w:rPr>
        <w:t>sub examine</w:t>
      </w:r>
      <w:r w:rsidR="00951270" w:rsidRPr="0041706D">
        <w:rPr>
          <w:rFonts w:ascii="Arial" w:eastAsia="Batang" w:hAnsi="Arial" w:cs="Arial"/>
          <w:sz w:val="24"/>
          <w:szCs w:val="24"/>
        </w:rPr>
        <w:t>.</w:t>
      </w:r>
    </w:p>
    <w:p w14:paraId="61844581" w14:textId="77777777" w:rsidR="006D770F" w:rsidRPr="0041706D" w:rsidRDefault="006D770F" w:rsidP="0041706D">
      <w:pPr>
        <w:jc w:val="both"/>
        <w:rPr>
          <w:rFonts w:ascii="Arial" w:eastAsia="Batang" w:hAnsi="Arial" w:cs="Arial"/>
          <w:sz w:val="24"/>
          <w:szCs w:val="24"/>
        </w:rPr>
      </w:pPr>
    </w:p>
    <w:p w14:paraId="05BAA43B" w14:textId="77777777" w:rsidR="006D770F" w:rsidRPr="0041706D" w:rsidRDefault="006D770F" w:rsidP="0041706D">
      <w:pPr>
        <w:pStyle w:val="Prrafodelista"/>
        <w:widowControl w:val="0"/>
        <w:tabs>
          <w:tab w:val="left" w:pos="567"/>
          <w:tab w:val="left" w:pos="7655"/>
        </w:tabs>
        <w:ind w:left="0"/>
        <w:jc w:val="both"/>
        <w:rPr>
          <w:rFonts w:ascii="Arial" w:hAnsi="Arial" w:cs="Arial"/>
          <w:b/>
          <w:i/>
          <w:sz w:val="24"/>
          <w:szCs w:val="24"/>
          <w:lang w:eastAsia="es-CO"/>
        </w:rPr>
      </w:pPr>
      <w:r w:rsidRPr="0041706D">
        <w:rPr>
          <w:rFonts w:ascii="Arial" w:hAnsi="Arial" w:cs="Arial"/>
          <w:b/>
          <w:i/>
          <w:sz w:val="24"/>
          <w:szCs w:val="24"/>
          <w:lang w:eastAsia="es-CO"/>
        </w:rPr>
        <w:t>Factores salariales devengados por la demandante entre</w:t>
      </w:r>
      <w:r w:rsidRPr="0041706D">
        <w:rPr>
          <w:rFonts w:ascii="Arial" w:hAnsi="Arial" w:cs="Arial"/>
          <w:b/>
          <w:i/>
          <w:sz w:val="24"/>
          <w:szCs w:val="24"/>
        </w:rPr>
        <w:t xml:space="preserve"> enero de 2005 y diciembre de 2015</w:t>
      </w:r>
    </w:p>
    <w:p w14:paraId="643B238E" w14:textId="77777777" w:rsidR="006D770F" w:rsidRPr="0041706D" w:rsidRDefault="006D770F" w:rsidP="0041706D">
      <w:pPr>
        <w:jc w:val="both"/>
        <w:rPr>
          <w:rFonts w:ascii="Arial" w:hAnsi="Arial" w:cs="Arial"/>
          <w:sz w:val="24"/>
          <w:szCs w:val="24"/>
        </w:rPr>
      </w:pPr>
    </w:p>
    <w:p w14:paraId="4BCFDA4C" w14:textId="15189A50" w:rsidR="006D770F" w:rsidRPr="0041706D" w:rsidRDefault="006D770F" w:rsidP="0041706D">
      <w:pPr>
        <w:pStyle w:val="Prrafodelista"/>
        <w:widowControl w:val="0"/>
        <w:numPr>
          <w:ilvl w:val="0"/>
          <w:numId w:val="21"/>
        </w:numPr>
        <w:tabs>
          <w:tab w:val="left" w:pos="567"/>
          <w:tab w:val="left" w:pos="7655"/>
        </w:tabs>
        <w:ind w:left="0" w:firstLine="0"/>
        <w:jc w:val="both"/>
        <w:rPr>
          <w:rFonts w:ascii="Arial" w:hAnsi="Arial" w:cs="Arial"/>
          <w:sz w:val="24"/>
          <w:szCs w:val="24"/>
        </w:rPr>
      </w:pPr>
      <w:r w:rsidRPr="0041706D">
        <w:rPr>
          <w:rFonts w:ascii="Arial" w:hAnsi="Arial" w:cs="Arial"/>
          <w:sz w:val="24"/>
          <w:szCs w:val="24"/>
        </w:rPr>
        <w:t>De acuerdo con lo expuesto en la presente sentencia, en la liquidación de la pensión ordinaria de jubilación de los empleados vinculados a la Rama Judicial y al Ministerio Público</w:t>
      </w:r>
      <w:r w:rsidR="00951270" w:rsidRPr="0041706D">
        <w:rPr>
          <w:rFonts w:ascii="Arial" w:hAnsi="Arial" w:cs="Arial"/>
          <w:sz w:val="24"/>
          <w:szCs w:val="24"/>
        </w:rPr>
        <w:t xml:space="preserve"> que gozan del régimen de transición </w:t>
      </w:r>
      <w:r w:rsidRPr="0041706D">
        <w:rPr>
          <w:rFonts w:ascii="Arial" w:hAnsi="Arial" w:cs="Arial"/>
          <w:sz w:val="24"/>
          <w:szCs w:val="24"/>
        </w:rPr>
        <w:t xml:space="preserve">previsto en el artículo 36 de la Ley 100 de 1993, los factores que se deben atender son los previstos en </w:t>
      </w:r>
      <w:r w:rsidRPr="0041706D">
        <w:rPr>
          <w:rFonts w:ascii="Arial" w:hAnsi="Arial" w:cs="Arial"/>
          <w:sz w:val="24"/>
          <w:szCs w:val="24"/>
          <w:bdr w:val="none" w:sz="0" w:space="0" w:color="auto" w:frame="1"/>
        </w:rPr>
        <w:t xml:space="preserve">el artículo 1.° del Decreto 1158 de 1994 </w:t>
      </w:r>
      <w:r w:rsidRPr="0041706D">
        <w:rPr>
          <w:rFonts w:ascii="Arial" w:hAnsi="Arial" w:cs="Arial"/>
          <w:b/>
          <w:sz w:val="24"/>
          <w:szCs w:val="24"/>
          <w:bdr w:val="none" w:sz="0" w:space="0" w:color="auto" w:frame="1"/>
        </w:rPr>
        <w:t xml:space="preserve">al igual que </w:t>
      </w:r>
      <w:r w:rsidRPr="0041706D">
        <w:rPr>
          <w:rFonts w:ascii="Arial" w:hAnsi="Arial" w:cs="Arial"/>
          <w:sz w:val="24"/>
          <w:szCs w:val="24"/>
          <w:bdr w:val="none" w:sz="0" w:space="0" w:color="auto" w:frame="1"/>
        </w:rPr>
        <w:t xml:space="preserve">en los artículos 14 de la </w:t>
      </w:r>
      <w:r w:rsidRPr="0041706D">
        <w:rPr>
          <w:rFonts w:ascii="Arial" w:hAnsi="Arial" w:cs="Arial"/>
          <w:sz w:val="24"/>
          <w:szCs w:val="24"/>
        </w:rPr>
        <w:t>Ley 4ª. de 1992 con la modificación de la Ley 332 de 1996</w:t>
      </w:r>
      <w:r w:rsidRPr="0041706D">
        <w:rPr>
          <w:rStyle w:val="Refdenotaalpie"/>
          <w:rFonts w:ascii="Arial" w:hAnsi="Arial" w:cs="Arial"/>
          <w:sz w:val="24"/>
          <w:szCs w:val="24"/>
        </w:rPr>
        <w:footnoteReference w:id="27"/>
      </w:r>
      <w:r w:rsidRPr="0041706D">
        <w:rPr>
          <w:rFonts w:ascii="Arial" w:hAnsi="Arial" w:cs="Arial"/>
          <w:sz w:val="24"/>
          <w:szCs w:val="24"/>
        </w:rPr>
        <w:t>; 1° del Decreto 610 de 1998; 1° del Decreto 1102 de 2012; 1° del Decreto 2460 de 2006;</w:t>
      </w:r>
      <w:r w:rsidRPr="0041706D">
        <w:rPr>
          <w:rFonts w:ascii="Arial" w:hAnsi="Arial" w:cs="Arial"/>
          <w:b/>
          <w:sz w:val="24"/>
          <w:szCs w:val="24"/>
        </w:rPr>
        <w:t xml:space="preserve"> </w:t>
      </w:r>
      <w:r w:rsidRPr="0041706D">
        <w:rPr>
          <w:rFonts w:ascii="Arial" w:hAnsi="Arial" w:cs="Arial"/>
          <w:sz w:val="24"/>
          <w:szCs w:val="24"/>
        </w:rPr>
        <w:t>1° del Decreto 3900 de 2008; y 1° del Decreto 383 de 2013,</w:t>
      </w:r>
      <w:r w:rsidRPr="0041706D">
        <w:rPr>
          <w:rFonts w:ascii="Arial" w:hAnsi="Arial" w:cs="Arial"/>
          <w:sz w:val="24"/>
          <w:szCs w:val="24"/>
          <w:bdr w:val="none" w:sz="0" w:space="0" w:color="auto" w:frame="1"/>
        </w:rPr>
        <w:t xml:space="preserve"> según se trate de magistrados o empleados de la Rama Judicial o del Ministerio Público.</w:t>
      </w:r>
    </w:p>
    <w:p w14:paraId="7FF67C08" w14:textId="77777777" w:rsidR="006D770F" w:rsidRPr="0041706D" w:rsidRDefault="006D770F" w:rsidP="0041706D">
      <w:pPr>
        <w:pStyle w:val="Prrafodelista"/>
        <w:widowControl w:val="0"/>
        <w:tabs>
          <w:tab w:val="left" w:pos="567"/>
          <w:tab w:val="left" w:pos="7655"/>
        </w:tabs>
        <w:ind w:left="0"/>
        <w:jc w:val="both"/>
        <w:rPr>
          <w:rFonts w:ascii="Arial" w:hAnsi="Arial" w:cs="Arial"/>
          <w:sz w:val="24"/>
          <w:szCs w:val="24"/>
        </w:rPr>
      </w:pPr>
    </w:p>
    <w:p w14:paraId="2E014AB9" w14:textId="1BECD2D5" w:rsidR="006D770F" w:rsidRPr="0041706D" w:rsidRDefault="006D770F" w:rsidP="0041706D">
      <w:pPr>
        <w:pStyle w:val="Prrafodelista"/>
        <w:widowControl w:val="0"/>
        <w:numPr>
          <w:ilvl w:val="0"/>
          <w:numId w:val="21"/>
        </w:numPr>
        <w:tabs>
          <w:tab w:val="left" w:pos="567"/>
          <w:tab w:val="left" w:pos="7655"/>
        </w:tabs>
        <w:ind w:left="0" w:firstLine="0"/>
        <w:jc w:val="both"/>
        <w:rPr>
          <w:rFonts w:ascii="Arial" w:hAnsi="Arial" w:cs="Arial"/>
          <w:sz w:val="24"/>
          <w:szCs w:val="24"/>
        </w:rPr>
      </w:pPr>
      <w:r w:rsidRPr="0041706D">
        <w:rPr>
          <w:rFonts w:ascii="Arial" w:hAnsi="Arial" w:cs="Arial"/>
          <w:sz w:val="24"/>
          <w:szCs w:val="24"/>
        </w:rPr>
        <w:t xml:space="preserve">El </w:t>
      </w:r>
      <w:r w:rsidRPr="0041706D">
        <w:rPr>
          <w:rFonts w:ascii="Arial" w:hAnsi="Arial" w:cs="Arial"/>
          <w:i/>
          <w:sz w:val="24"/>
          <w:szCs w:val="24"/>
        </w:rPr>
        <w:t xml:space="preserve">a quo, </w:t>
      </w:r>
      <w:r w:rsidRPr="0041706D">
        <w:rPr>
          <w:rFonts w:ascii="Arial" w:hAnsi="Arial" w:cs="Arial"/>
          <w:sz w:val="24"/>
          <w:szCs w:val="24"/>
        </w:rPr>
        <w:t xml:space="preserve">en la sentencia proferida en primera instancia, declaró la nulidad parcial del acto administrativo acusado y, como consecuencia, ordenó </w:t>
      </w:r>
      <w:r w:rsidRPr="0041706D">
        <w:rPr>
          <w:rFonts w:ascii="Arial" w:hAnsi="Arial" w:cs="Arial"/>
          <w:sz w:val="24"/>
          <w:szCs w:val="24"/>
        </w:rPr>
        <w:lastRenderedPageBreak/>
        <w:t>a la demandada reliquidar y pagar una pensión de vejez a favor de la señora María Clemencia Bohórquez Gorraiz</w:t>
      </w:r>
      <w:r w:rsidR="002D25AC" w:rsidRPr="0041706D">
        <w:rPr>
          <w:rFonts w:ascii="Arial" w:hAnsi="Arial" w:cs="Arial"/>
          <w:sz w:val="24"/>
          <w:szCs w:val="24"/>
        </w:rPr>
        <w:t>,</w:t>
      </w:r>
      <w:r w:rsidRPr="0041706D">
        <w:rPr>
          <w:rFonts w:ascii="Arial" w:hAnsi="Arial" w:cs="Arial"/>
          <w:sz w:val="24"/>
          <w:szCs w:val="24"/>
        </w:rPr>
        <w:t xml:space="preserve"> teniendo en cuenta el 75% de los factores salariales devengados durante los diez (10) años anteriores al retiro del servicio</w:t>
      </w:r>
      <w:r w:rsidR="002D25AC" w:rsidRPr="0041706D">
        <w:rPr>
          <w:rFonts w:ascii="Arial" w:hAnsi="Arial" w:cs="Arial"/>
          <w:sz w:val="24"/>
          <w:szCs w:val="24"/>
        </w:rPr>
        <w:t xml:space="preserve">, </w:t>
      </w:r>
      <w:r w:rsidRPr="0041706D">
        <w:rPr>
          <w:rFonts w:ascii="Arial" w:hAnsi="Arial" w:cs="Arial"/>
          <w:sz w:val="24"/>
          <w:szCs w:val="24"/>
        </w:rPr>
        <w:t>comprendidos entre el 1° de enero de 2005 y el 31 de diciembre de 2014,</w:t>
      </w:r>
      <w:r w:rsidR="002D25AC" w:rsidRPr="0041706D">
        <w:rPr>
          <w:rFonts w:ascii="Arial" w:hAnsi="Arial" w:cs="Arial"/>
          <w:sz w:val="24"/>
          <w:szCs w:val="24"/>
        </w:rPr>
        <w:t xml:space="preserve"> y respecto de los cuales se realizaron aportes, </w:t>
      </w:r>
      <w:r w:rsidRPr="0041706D">
        <w:rPr>
          <w:rFonts w:ascii="Arial" w:hAnsi="Arial" w:cs="Arial"/>
          <w:sz w:val="24"/>
          <w:szCs w:val="24"/>
        </w:rPr>
        <w:t xml:space="preserve"> así: asignación básica, bonificación por servicios prestados, prima de antigüedad, prima de productividad, subsidio de transporte, subsidio de alimentación y las doceavas correspondientes a la primera de vacaciones y la prima de navidad. </w:t>
      </w:r>
    </w:p>
    <w:p w14:paraId="029C72F4" w14:textId="77777777" w:rsidR="006D770F" w:rsidRPr="0041706D" w:rsidRDefault="006D770F" w:rsidP="0041706D">
      <w:pPr>
        <w:pStyle w:val="Prrafodelista"/>
        <w:widowControl w:val="0"/>
        <w:tabs>
          <w:tab w:val="left" w:pos="567"/>
          <w:tab w:val="left" w:pos="7655"/>
        </w:tabs>
        <w:ind w:left="0"/>
        <w:jc w:val="both"/>
        <w:rPr>
          <w:rFonts w:ascii="Arial" w:hAnsi="Arial" w:cs="Arial"/>
          <w:sz w:val="24"/>
          <w:szCs w:val="24"/>
        </w:rPr>
      </w:pPr>
    </w:p>
    <w:p w14:paraId="46F2A2A7" w14:textId="25A1D823" w:rsidR="006D770F" w:rsidRPr="0041706D" w:rsidRDefault="006D770F" w:rsidP="0041706D">
      <w:pPr>
        <w:pStyle w:val="Prrafodelista"/>
        <w:widowControl w:val="0"/>
        <w:numPr>
          <w:ilvl w:val="0"/>
          <w:numId w:val="21"/>
        </w:numPr>
        <w:tabs>
          <w:tab w:val="left" w:pos="567"/>
          <w:tab w:val="left" w:pos="7655"/>
        </w:tabs>
        <w:ind w:left="0" w:firstLine="0"/>
        <w:jc w:val="both"/>
        <w:rPr>
          <w:rFonts w:ascii="Arial" w:hAnsi="Arial" w:cs="Arial"/>
          <w:sz w:val="24"/>
          <w:szCs w:val="24"/>
        </w:rPr>
      </w:pPr>
      <w:r w:rsidRPr="0041706D">
        <w:rPr>
          <w:rFonts w:ascii="Arial" w:hAnsi="Arial" w:cs="Arial"/>
          <w:sz w:val="24"/>
          <w:szCs w:val="24"/>
        </w:rPr>
        <w:t>Sin embargo, la demandante, en el recurso de apelación insistió en que su pensión no fue reconocida con todos los factores salariales que devengó</w:t>
      </w:r>
      <w:r w:rsidRPr="0041706D">
        <w:rPr>
          <w:rStyle w:val="Refdenotaalpie"/>
          <w:rFonts w:ascii="Arial" w:hAnsi="Arial" w:cs="Arial"/>
          <w:sz w:val="24"/>
          <w:szCs w:val="24"/>
        </w:rPr>
        <w:footnoteReference w:id="28"/>
      </w:r>
      <w:r w:rsidR="002D25AC" w:rsidRPr="0041706D">
        <w:rPr>
          <w:rFonts w:ascii="Arial" w:hAnsi="Arial" w:cs="Arial"/>
          <w:sz w:val="24"/>
          <w:szCs w:val="24"/>
        </w:rPr>
        <w:t xml:space="preserve"> </w:t>
      </w:r>
      <w:r w:rsidRPr="0041706D">
        <w:rPr>
          <w:rFonts w:ascii="Arial" w:hAnsi="Arial" w:cs="Arial"/>
          <w:sz w:val="24"/>
          <w:szCs w:val="24"/>
        </w:rPr>
        <w:t>y la demandada manifestó su inconformismo con la sentencia</w:t>
      </w:r>
      <w:r w:rsidR="002D25AC" w:rsidRPr="0041706D">
        <w:rPr>
          <w:rFonts w:ascii="Arial" w:hAnsi="Arial" w:cs="Arial"/>
          <w:sz w:val="24"/>
          <w:szCs w:val="24"/>
        </w:rPr>
        <w:t>,</w:t>
      </w:r>
      <w:r w:rsidRPr="0041706D">
        <w:rPr>
          <w:rFonts w:ascii="Arial" w:hAnsi="Arial" w:cs="Arial"/>
          <w:sz w:val="24"/>
          <w:szCs w:val="24"/>
        </w:rPr>
        <w:t xml:space="preserve"> en la medida en que el subsidio de transporte, el subsidio de alimentación, la prima de vacaciones y la prima de navidad no se encuentran previstos en el Decreto 1158 de 1994.</w:t>
      </w:r>
    </w:p>
    <w:p w14:paraId="6556BA5C" w14:textId="77777777" w:rsidR="006D770F" w:rsidRPr="0041706D" w:rsidRDefault="006D770F" w:rsidP="0041706D">
      <w:pPr>
        <w:pStyle w:val="Prrafodelista"/>
        <w:widowControl w:val="0"/>
        <w:tabs>
          <w:tab w:val="left" w:pos="567"/>
          <w:tab w:val="left" w:pos="7655"/>
        </w:tabs>
        <w:ind w:left="0"/>
        <w:jc w:val="both"/>
        <w:rPr>
          <w:rFonts w:ascii="Arial" w:hAnsi="Arial" w:cs="Arial"/>
          <w:i/>
          <w:sz w:val="24"/>
          <w:szCs w:val="24"/>
        </w:rPr>
      </w:pPr>
    </w:p>
    <w:p w14:paraId="4B383629" w14:textId="5E991ACE" w:rsidR="006D770F" w:rsidRPr="0041706D" w:rsidRDefault="002D25AC" w:rsidP="0041706D">
      <w:pPr>
        <w:pStyle w:val="Prrafodelista"/>
        <w:widowControl w:val="0"/>
        <w:numPr>
          <w:ilvl w:val="0"/>
          <w:numId w:val="21"/>
        </w:numPr>
        <w:tabs>
          <w:tab w:val="left" w:pos="567"/>
          <w:tab w:val="left" w:pos="7655"/>
        </w:tabs>
        <w:ind w:left="0" w:firstLine="0"/>
        <w:jc w:val="both"/>
        <w:rPr>
          <w:rFonts w:ascii="Arial" w:hAnsi="Arial" w:cs="Arial"/>
          <w:sz w:val="24"/>
          <w:szCs w:val="24"/>
        </w:rPr>
      </w:pPr>
      <w:r w:rsidRPr="0041706D">
        <w:rPr>
          <w:rFonts w:ascii="Arial" w:hAnsi="Arial" w:cs="Arial"/>
          <w:sz w:val="24"/>
          <w:szCs w:val="24"/>
        </w:rPr>
        <w:t xml:space="preserve"> Por lo tanto</w:t>
      </w:r>
      <w:r w:rsidR="006D770F" w:rsidRPr="0041706D">
        <w:rPr>
          <w:rFonts w:ascii="Arial" w:hAnsi="Arial" w:cs="Arial"/>
          <w:sz w:val="24"/>
          <w:szCs w:val="24"/>
        </w:rPr>
        <w:t xml:space="preserve">, la Sala, a continuación, verificará si en el acto administrativo acusado </w:t>
      </w:r>
      <w:r w:rsidR="006D770F" w:rsidRPr="0041706D">
        <w:rPr>
          <w:rFonts w:ascii="Arial" w:hAnsi="Arial" w:cs="Arial"/>
          <w:b/>
          <w:sz w:val="24"/>
          <w:szCs w:val="24"/>
        </w:rPr>
        <w:t>no</w:t>
      </w:r>
      <w:r w:rsidR="006D770F" w:rsidRPr="0041706D">
        <w:rPr>
          <w:rFonts w:ascii="Arial" w:hAnsi="Arial" w:cs="Arial"/>
          <w:sz w:val="24"/>
          <w:szCs w:val="24"/>
        </w:rPr>
        <w:t xml:space="preserve"> se incluyó algún factor salarial establecido en la referida normativa y si en la sentencia proferida en primera instancia se </w:t>
      </w:r>
      <w:r w:rsidRPr="0041706D">
        <w:rPr>
          <w:rFonts w:ascii="Arial" w:hAnsi="Arial" w:cs="Arial"/>
          <w:sz w:val="24"/>
          <w:szCs w:val="24"/>
        </w:rPr>
        <w:t>tuvo en cuenta</w:t>
      </w:r>
      <w:r w:rsidR="006D770F" w:rsidRPr="0041706D">
        <w:rPr>
          <w:rFonts w:ascii="Arial" w:hAnsi="Arial" w:cs="Arial"/>
          <w:sz w:val="24"/>
          <w:szCs w:val="24"/>
        </w:rPr>
        <w:t xml:space="preserve"> algún factor adicional que, según el criterio jurisprudencial vigente, </w:t>
      </w:r>
      <w:r w:rsidRPr="0041706D">
        <w:rPr>
          <w:rFonts w:ascii="Arial" w:hAnsi="Arial" w:cs="Arial"/>
          <w:sz w:val="24"/>
          <w:szCs w:val="24"/>
        </w:rPr>
        <w:t xml:space="preserve">debe ser </w:t>
      </w:r>
      <w:r w:rsidR="003B0E69" w:rsidRPr="0041706D">
        <w:rPr>
          <w:rFonts w:ascii="Arial" w:hAnsi="Arial" w:cs="Arial"/>
          <w:sz w:val="24"/>
          <w:szCs w:val="24"/>
        </w:rPr>
        <w:t>excluido</w:t>
      </w:r>
      <w:r w:rsidR="006D770F" w:rsidRPr="0041706D">
        <w:rPr>
          <w:rFonts w:ascii="Arial" w:hAnsi="Arial" w:cs="Arial"/>
          <w:sz w:val="24"/>
          <w:szCs w:val="24"/>
        </w:rPr>
        <w:t xml:space="preserve">: </w:t>
      </w:r>
    </w:p>
    <w:p w14:paraId="46829B76" w14:textId="77777777" w:rsidR="006D770F" w:rsidRPr="0041706D" w:rsidRDefault="006D770F" w:rsidP="0041706D">
      <w:pPr>
        <w:pStyle w:val="Prrafodelista"/>
        <w:ind w:left="0"/>
        <w:rPr>
          <w:rFonts w:ascii="Arial" w:hAnsi="Arial" w:cs="Arial"/>
          <w:sz w:val="24"/>
          <w:szCs w:val="24"/>
        </w:rPr>
      </w:pPr>
    </w:p>
    <w:tbl>
      <w:tblPr>
        <w:tblStyle w:val="Tablaconcuadrcula"/>
        <w:tblW w:w="9068" w:type="dxa"/>
        <w:jc w:val="center"/>
        <w:tblLook w:val="04A0" w:firstRow="1" w:lastRow="0" w:firstColumn="1" w:lastColumn="0" w:noHBand="0" w:noVBand="1"/>
      </w:tblPr>
      <w:tblGrid>
        <w:gridCol w:w="2694"/>
        <w:gridCol w:w="2409"/>
        <w:gridCol w:w="1985"/>
        <w:gridCol w:w="1980"/>
      </w:tblGrid>
      <w:tr w:rsidR="006D770F" w:rsidRPr="0041706D" w14:paraId="6C6FE88A" w14:textId="77777777" w:rsidTr="00B413FE">
        <w:trPr>
          <w:trHeight w:val="934"/>
          <w:jc w:val="center"/>
        </w:trPr>
        <w:tc>
          <w:tcPr>
            <w:tcW w:w="2694" w:type="dxa"/>
            <w:shd w:val="clear" w:color="auto" w:fill="A6A6A6" w:themeFill="background1" w:themeFillShade="A6"/>
          </w:tcPr>
          <w:p w14:paraId="1B92CC2B" w14:textId="77777777" w:rsidR="006D770F" w:rsidRPr="0041706D" w:rsidRDefault="006D770F" w:rsidP="0041706D">
            <w:pPr>
              <w:pStyle w:val="Prrafodelista"/>
              <w:ind w:left="0"/>
              <w:jc w:val="center"/>
              <w:rPr>
                <w:rFonts w:ascii="Arial" w:hAnsi="Arial" w:cs="Arial"/>
                <w:b/>
                <w:sz w:val="16"/>
                <w:szCs w:val="16"/>
              </w:rPr>
            </w:pPr>
          </w:p>
          <w:p w14:paraId="69AF6057" w14:textId="77777777" w:rsidR="006D770F" w:rsidRPr="0041706D" w:rsidRDefault="006D770F" w:rsidP="0041706D">
            <w:pPr>
              <w:pStyle w:val="Prrafodelista"/>
              <w:ind w:left="0"/>
              <w:jc w:val="center"/>
              <w:rPr>
                <w:rFonts w:ascii="Arial" w:hAnsi="Arial" w:cs="Arial"/>
                <w:b/>
                <w:sz w:val="16"/>
                <w:szCs w:val="16"/>
              </w:rPr>
            </w:pPr>
            <w:r w:rsidRPr="0041706D">
              <w:rPr>
                <w:rFonts w:ascii="Arial" w:hAnsi="Arial" w:cs="Arial"/>
                <w:b/>
                <w:sz w:val="16"/>
                <w:szCs w:val="16"/>
              </w:rPr>
              <w:t>Artículo 1° del Decreto 1158 de 1994, artículo 1° del Decreto 2460 de 2006 y artículo 1 del Decreto 383 de 2013</w:t>
            </w:r>
          </w:p>
        </w:tc>
        <w:tc>
          <w:tcPr>
            <w:tcW w:w="2409" w:type="dxa"/>
            <w:shd w:val="clear" w:color="auto" w:fill="A6A6A6" w:themeFill="background1" w:themeFillShade="A6"/>
          </w:tcPr>
          <w:p w14:paraId="080FD7D4" w14:textId="77777777" w:rsidR="006D770F" w:rsidRPr="0041706D" w:rsidRDefault="006D770F" w:rsidP="0041706D">
            <w:pPr>
              <w:pStyle w:val="Prrafodelista"/>
              <w:ind w:left="0"/>
              <w:jc w:val="center"/>
              <w:rPr>
                <w:rFonts w:ascii="Arial" w:hAnsi="Arial" w:cs="Arial"/>
                <w:b/>
                <w:sz w:val="16"/>
                <w:szCs w:val="16"/>
              </w:rPr>
            </w:pPr>
          </w:p>
          <w:p w14:paraId="62D79AE8" w14:textId="77777777" w:rsidR="006D770F" w:rsidRPr="0041706D" w:rsidRDefault="006D770F" w:rsidP="0041706D">
            <w:pPr>
              <w:pStyle w:val="Prrafodelista"/>
              <w:ind w:left="0"/>
              <w:jc w:val="center"/>
              <w:rPr>
                <w:rFonts w:ascii="Arial" w:hAnsi="Arial" w:cs="Arial"/>
                <w:b/>
                <w:sz w:val="16"/>
                <w:szCs w:val="16"/>
              </w:rPr>
            </w:pPr>
            <w:r w:rsidRPr="0041706D">
              <w:rPr>
                <w:rFonts w:ascii="Arial" w:hAnsi="Arial" w:cs="Arial"/>
                <w:b/>
                <w:sz w:val="16"/>
                <w:szCs w:val="16"/>
              </w:rPr>
              <w:t>Factores devengados entre enero de 2005 y 31 de diciembre de 2014</w:t>
            </w:r>
          </w:p>
        </w:tc>
        <w:tc>
          <w:tcPr>
            <w:tcW w:w="1985" w:type="dxa"/>
            <w:shd w:val="clear" w:color="auto" w:fill="A6A6A6" w:themeFill="background1" w:themeFillShade="A6"/>
          </w:tcPr>
          <w:p w14:paraId="045EADA5" w14:textId="77777777" w:rsidR="006D770F" w:rsidRPr="0041706D" w:rsidRDefault="006D770F" w:rsidP="0041706D">
            <w:pPr>
              <w:pStyle w:val="Prrafodelista"/>
              <w:ind w:left="0"/>
              <w:jc w:val="center"/>
              <w:rPr>
                <w:rFonts w:ascii="Arial" w:hAnsi="Arial" w:cs="Arial"/>
                <w:b/>
                <w:sz w:val="16"/>
                <w:szCs w:val="16"/>
              </w:rPr>
            </w:pPr>
          </w:p>
          <w:p w14:paraId="3F3853FB" w14:textId="77777777" w:rsidR="006D770F" w:rsidRPr="0041706D" w:rsidRDefault="006D770F" w:rsidP="0041706D">
            <w:pPr>
              <w:pStyle w:val="Prrafodelista"/>
              <w:ind w:left="0"/>
              <w:jc w:val="center"/>
              <w:rPr>
                <w:rFonts w:ascii="Arial" w:hAnsi="Arial" w:cs="Arial"/>
                <w:b/>
                <w:sz w:val="16"/>
                <w:szCs w:val="16"/>
              </w:rPr>
            </w:pPr>
            <w:r w:rsidRPr="0041706D">
              <w:rPr>
                <w:rFonts w:ascii="Arial" w:hAnsi="Arial" w:cs="Arial"/>
                <w:b/>
                <w:sz w:val="16"/>
                <w:szCs w:val="16"/>
              </w:rPr>
              <w:t xml:space="preserve">Factores reconocidos en el acto administrativo demandado </w:t>
            </w:r>
          </w:p>
        </w:tc>
        <w:tc>
          <w:tcPr>
            <w:tcW w:w="1980" w:type="dxa"/>
            <w:shd w:val="clear" w:color="auto" w:fill="A6A6A6" w:themeFill="background1" w:themeFillShade="A6"/>
          </w:tcPr>
          <w:p w14:paraId="6EFA9122" w14:textId="77777777" w:rsidR="006D770F" w:rsidRPr="0041706D" w:rsidRDefault="006D770F" w:rsidP="0041706D">
            <w:pPr>
              <w:pStyle w:val="Prrafodelista"/>
              <w:ind w:left="0"/>
              <w:jc w:val="center"/>
              <w:rPr>
                <w:rFonts w:ascii="Arial" w:hAnsi="Arial" w:cs="Arial"/>
                <w:b/>
                <w:sz w:val="16"/>
                <w:szCs w:val="16"/>
              </w:rPr>
            </w:pPr>
          </w:p>
          <w:p w14:paraId="1D9EB419" w14:textId="77777777" w:rsidR="006D770F" w:rsidRPr="0041706D" w:rsidRDefault="006D770F" w:rsidP="0041706D">
            <w:pPr>
              <w:pStyle w:val="Prrafodelista"/>
              <w:ind w:left="0"/>
              <w:jc w:val="center"/>
              <w:rPr>
                <w:rFonts w:ascii="Arial" w:hAnsi="Arial" w:cs="Arial"/>
                <w:b/>
                <w:sz w:val="16"/>
                <w:szCs w:val="16"/>
              </w:rPr>
            </w:pPr>
            <w:r w:rsidRPr="0041706D">
              <w:rPr>
                <w:rFonts w:ascii="Arial" w:hAnsi="Arial" w:cs="Arial"/>
                <w:b/>
                <w:sz w:val="16"/>
                <w:szCs w:val="16"/>
              </w:rPr>
              <w:t>Factores objeto de reliquidación en la sentencia proferida en primera instancia</w:t>
            </w:r>
          </w:p>
        </w:tc>
      </w:tr>
      <w:tr w:rsidR="006D770F" w:rsidRPr="0041706D" w14:paraId="6D1FF56A" w14:textId="77777777" w:rsidTr="00B413FE">
        <w:trPr>
          <w:jc w:val="center"/>
        </w:trPr>
        <w:tc>
          <w:tcPr>
            <w:tcW w:w="2694" w:type="dxa"/>
            <w:shd w:val="clear" w:color="auto" w:fill="F2F2F2" w:themeFill="background1" w:themeFillShade="F2"/>
          </w:tcPr>
          <w:p w14:paraId="1C38DE96" w14:textId="77777777" w:rsidR="006D770F" w:rsidRPr="0041706D" w:rsidRDefault="006D770F" w:rsidP="0041706D">
            <w:pPr>
              <w:pStyle w:val="Prrafodelista"/>
              <w:ind w:left="0"/>
              <w:jc w:val="center"/>
              <w:rPr>
                <w:rFonts w:ascii="Arial" w:hAnsi="Arial" w:cs="Arial"/>
                <w:sz w:val="16"/>
                <w:szCs w:val="16"/>
              </w:rPr>
            </w:pPr>
            <w:r w:rsidRPr="0041706D">
              <w:rPr>
                <w:rFonts w:ascii="Arial" w:hAnsi="Arial" w:cs="Arial"/>
                <w:sz w:val="16"/>
                <w:szCs w:val="16"/>
              </w:rPr>
              <w:t>Asignación básica mensual</w:t>
            </w:r>
          </w:p>
        </w:tc>
        <w:tc>
          <w:tcPr>
            <w:tcW w:w="2409" w:type="dxa"/>
            <w:shd w:val="clear" w:color="auto" w:fill="F2F2F2" w:themeFill="background1" w:themeFillShade="F2"/>
          </w:tcPr>
          <w:p w14:paraId="4CBFDC0F" w14:textId="77777777" w:rsidR="006D770F" w:rsidRPr="0041706D" w:rsidRDefault="006D770F" w:rsidP="0041706D">
            <w:pPr>
              <w:pStyle w:val="Prrafodelista"/>
              <w:ind w:left="0"/>
              <w:jc w:val="center"/>
              <w:rPr>
                <w:rFonts w:ascii="Arial" w:hAnsi="Arial" w:cs="Arial"/>
                <w:sz w:val="16"/>
                <w:szCs w:val="16"/>
              </w:rPr>
            </w:pPr>
            <w:r w:rsidRPr="0041706D">
              <w:rPr>
                <w:rFonts w:ascii="Arial" w:hAnsi="Arial" w:cs="Arial"/>
                <w:sz w:val="16"/>
                <w:szCs w:val="16"/>
              </w:rPr>
              <w:t>Sueldo</w:t>
            </w:r>
          </w:p>
        </w:tc>
        <w:tc>
          <w:tcPr>
            <w:tcW w:w="1985" w:type="dxa"/>
            <w:shd w:val="clear" w:color="auto" w:fill="F2F2F2" w:themeFill="background1" w:themeFillShade="F2"/>
          </w:tcPr>
          <w:p w14:paraId="776A14CC" w14:textId="77777777" w:rsidR="006D770F" w:rsidRPr="0041706D" w:rsidRDefault="006D770F" w:rsidP="0041706D">
            <w:pPr>
              <w:pStyle w:val="Prrafodelista"/>
              <w:ind w:left="0"/>
              <w:jc w:val="center"/>
              <w:rPr>
                <w:rFonts w:ascii="Arial" w:hAnsi="Arial" w:cs="Arial"/>
                <w:sz w:val="16"/>
                <w:szCs w:val="16"/>
              </w:rPr>
            </w:pPr>
            <w:r w:rsidRPr="0041706D">
              <w:rPr>
                <w:rFonts w:ascii="Arial" w:hAnsi="Arial" w:cs="Arial"/>
                <w:sz w:val="16"/>
                <w:szCs w:val="16"/>
              </w:rPr>
              <w:t xml:space="preserve">Sueldo </w:t>
            </w:r>
          </w:p>
        </w:tc>
        <w:tc>
          <w:tcPr>
            <w:tcW w:w="1980" w:type="dxa"/>
            <w:shd w:val="clear" w:color="auto" w:fill="F2F2F2" w:themeFill="background1" w:themeFillShade="F2"/>
          </w:tcPr>
          <w:p w14:paraId="3BACBEC9" w14:textId="77777777" w:rsidR="006D770F" w:rsidRPr="0041706D" w:rsidRDefault="006D770F" w:rsidP="0041706D">
            <w:pPr>
              <w:pStyle w:val="Prrafodelista"/>
              <w:ind w:left="0"/>
              <w:jc w:val="center"/>
              <w:rPr>
                <w:rFonts w:ascii="Arial" w:hAnsi="Arial" w:cs="Arial"/>
                <w:sz w:val="16"/>
                <w:szCs w:val="16"/>
              </w:rPr>
            </w:pPr>
            <w:r w:rsidRPr="0041706D">
              <w:rPr>
                <w:rFonts w:ascii="Arial" w:hAnsi="Arial" w:cs="Arial"/>
                <w:sz w:val="16"/>
                <w:szCs w:val="16"/>
              </w:rPr>
              <w:t xml:space="preserve">Asignación básica </w:t>
            </w:r>
          </w:p>
        </w:tc>
      </w:tr>
      <w:tr w:rsidR="006D770F" w:rsidRPr="0041706D" w14:paraId="449DF25B" w14:textId="77777777" w:rsidTr="00B413FE">
        <w:trPr>
          <w:jc w:val="center"/>
        </w:trPr>
        <w:tc>
          <w:tcPr>
            <w:tcW w:w="2694" w:type="dxa"/>
          </w:tcPr>
          <w:p w14:paraId="7E16DFE3" w14:textId="77777777" w:rsidR="006D770F" w:rsidRPr="0041706D" w:rsidRDefault="006D770F" w:rsidP="0041706D">
            <w:pPr>
              <w:pStyle w:val="Prrafodelista"/>
              <w:ind w:left="0"/>
              <w:jc w:val="center"/>
              <w:rPr>
                <w:rFonts w:ascii="Arial" w:hAnsi="Arial" w:cs="Arial"/>
                <w:sz w:val="16"/>
                <w:szCs w:val="16"/>
              </w:rPr>
            </w:pPr>
            <w:r w:rsidRPr="0041706D">
              <w:rPr>
                <w:rFonts w:ascii="Arial" w:hAnsi="Arial" w:cs="Arial"/>
                <w:sz w:val="16"/>
                <w:szCs w:val="16"/>
              </w:rPr>
              <w:t>Gastos de representación</w:t>
            </w:r>
          </w:p>
        </w:tc>
        <w:tc>
          <w:tcPr>
            <w:tcW w:w="2409" w:type="dxa"/>
          </w:tcPr>
          <w:p w14:paraId="4E97F562" w14:textId="77777777" w:rsidR="006D770F" w:rsidRPr="0041706D" w:rsidRDefault="006D770F" w:rsidP="0041706D">
            <w:pPr>
              <w:pStyle w:val="Prrafodelista"/>
              <w:ind w:left="0"/>
              <w:jc w:val="center"/>
              <w:rPr>
                <w:rFonts w:ascii="Arial" w:hAnsi="Arial" w:cs="Arial"/>
                <w:sz w:val="16"/>
                <w:szCs w:val="16"/>
              </w:rPr>
            </w:pPr>
          </w:p>
        </w:tc>
        <w:tc>
          <w:tcPr>
            <w:tcW w:w="1985" w:type="dxa"/>
          </w:tcPr>
          <w:p w14:paraId="36AD9C6D" w14:textId="77777777" w:rsidR="006D770F" w:rsidRPr="0041706D" w:rsidRDefault="006D770F" w:rsidP="0041706D">
            <w:pPr>
              <w:pStyle w:val="Prrafodelista"/>
              <w:ind w:left="0"/>
              <w:jc w:val="center"/>
              <w:rPr>
                <w:rFonts w:ascii="Arial" w:hAnsi="Arial" w:cs="Arial"/>
                <w:sz w:val="16"/>
                <w:szCs w:val="16"/>
              </w:rPr>
            </w:pPr>
          </w:p>
        </w:tc>
        <w:tc>
          <w:tcPr>
            <w:tcW w:w="1980" w:type="dxa"/>
          </w:tcPr>
          <w:p w14:paraId="3D56C3AF" w14:textId="77777777" w:rsidR="006D770F" w:rsidRPr="0041706D" w:rsidRDefault="006D770F" w:rsidP="0041706D">
            <w:pPr>
              <w:pStyle w:val="Prrafodelista"/>
              <w:ind w:left="0"/>
              <w:jc w:val="center"/>
              <w:rPr>
                <w:rFonts w:ascii="Arial" w:hAnsi="Arial" w:cs="Arial"/>
                <w:sz w:val="16"/>
                <w:szCs w:val="16"/>
              </w:rPr>
            </w:pPr>
          </w:p>
        </w:tc>
      </w:tr>
      <w:tr w:rsidR="006D770F" w:rsidRPr="0041706D" w14:paraId="0260CEFC" w14:textId="77777777" w:rsidTr="00B413FE">
        <w:trPr>
          <w:jc w:val="center"/>
        </w:trPr>
        <w:tc>
          <w:tcPr>
            <w:tcW w:w="2694" w:type="dxa"/>
          </w:tcPr>
          <w:p w14:paraId="7A676878" w14:textId="77777777" w:rsidR="006D770F" w:rsidRPr="0041706D" w:rsidRDefault="006D770F" w:rsidP="0041706D">
            <w:pPr>
              <w:pStyle w:val="Prrafodelista"/>
              <w:ind w:left="0"/>
              <w:jc w:val="center"/>
              <w:rPr>
                <w:rFonts w:ascii="Arial" w:hAnsi="Arial" w:cs="Arial"/>
                <w:sz w:val="16"/>
                <w:szCs w:val="16"/>
              </w:rPr>
            </w:pPr>
            <w:r w:rsidRPr="0041706D">
              <w:rPr>
                <w:rFonts w:ascii="Arial" w:hAnsi="Arial" w:cs="Arial"/>
                <w:sz w:val="16"/>
                <w:szCs w:val="16"/>
              </w:rPr>
              <w:t>Prima técnica, cuando sea factor de salario</w:t>
            </w:r>
          </w:p>
        </w:tc>
        <w:tc>
          <w:tcPr>
            <w:tcW w:w="2409" w:type="dxa"/>
          </w:tcPr>
          <w:p w14:paraId="6C1FB482" w14:textId="77777777" w:rsidR="006D770F" w:rsidRPr="0041706D" w:rsidRDefault="006D770F" w:rsidP="0041706D">
            <w:pPr>
              <w:pStyle w:val="Prrafodelista"/>
              <w:ind w:left="0"/>
              <w:jc w:val="center"/>
              <w:rPr>
                <w:rFonts w:ascii="Arial" w:hAnsi="Arial" w:cs="Arial"/>
                <w:sz w:val="16"/>
                <w:szCs w:val="16"/>
              </w:rPr>
            </w:pPr>
          </w:p>
        </w:tc>
        <w:tc>
          <w:tcPr>
            <w:tcW w:w="1985" w:type="dxa"/>
          </w:tcPr>
          <w:p w14:paraId="175CD53E" w14:textId="77777777" w:rsidR="006D770F" w:rsidRPr="0041706D" w:rsidRDefault="006D770F" w:rsidP="0041706D">
            <w:pPr>
              <w:pStyle w:val="Prrafodelista"/>
              <w:ind w:left="0"/>
              <w:jc w:val="center"/>
              <w:rPr>
                <w:rFonts w:ascii="Arial" w:hAnsi="Arial" w:cs="Arial"/>
                <w:sz w:val="16"/>
                <w:szCs w:val="16"/>
              </w:rPr>
            </w:pPr>
          </w:p>
        </w:tc>
        <w:tc>
          <w:tcPr>
            <w:tcW w:w="1980" w:type="dxa"/>
          </w:tcPr>
          <w:p w14:paraId="5F6D624B" w14:textId="77777777" w:rsidR="006D770F" w:rsidRPr="0041706D" w:rsidRDefault="006D770F" w:rsidP="0041706D">
            <w:pPr>
              <w:pStyle w:val="Prrafodelista"/>
              <w:ind w:left="0"/>
              <w:jc w:val="center"/>
              <w:rPr>
                <w:rFonts w:ascii="Arial" w:hAnsi="Arial" w:cs="Arial"/>
                <w:sz w:val="16"/>
                <w:szCs w:val="16"/>
              </w:rPr>
            </w:pPr>
          </w:p>
        </w:tc>
      </w:tr>
      <w:tr w:rsidR="006D770F" w:rsidRPr="0041706D" w14:paraId="496FDF45" w14:textId="77777777" w:rsidTr="00B413FE">
        <w:trPr>
          <w:jc w:val="center"/>
        </w:trPr>
        <w:tc>
          <w:tcPr>
            <w:tcW w:w="2694" w:type="dxa"/>
            <w:shd w:val="clear" w:color="auto" w:fill="F2F2F2" w:themeFill="background1" w:themeFillShade="F2"/>
          </w:tcPr>
          <w:p w14:paraId="56F15710" w14:textId="77777777" w:rsidR="006D770F" w:rsidRPr="0041706D" w:rsidRDefault="006D770F" w:rsidP="0041706D">
            <w:pPr>
              <w:pStyle w:val="Prrafodelista"/>
              <w:ind w:left="0"/>
              <w:jc w:val="center"/>
              <w:rPr>
                <w:rFonts w:ascii="Arial" w:hAnsi="Arial" w:cs="Arial"/>
                <w:sz w:val="16"/>
                <w:szCs w:val="16"/>
              </w:rPr>
            </w:pPr>
            <w:r w:rsidRPr="0041706D">
              <w:rPr>
                <w:rFonts w:ascii="Arial" w:hAnsi="Arial" w:cs="Arial"/>
                <w:sz w:val="16"/>
                <w:szCs w:val="16"/>
              </w:rPr>
              <w:t>Primas de antigüedad, ascensional de capacitación cuando sean factor de salario</w:t>
            </w:r>
          </w:p>
          <w:p w14:paraId="03A5DF87" w14:textId="77777777" w:rsidR="006D770F" w:rsidRPr="0041706D" w:rsidRDefault="006D770F" w:rsidP="0041706D">
            <w:pPr>
              <w:pStyle w:val="Prrafodelista"/>
              <w:ind w:left="0"/>
              <w:jc w:val="center"/>
              <w:rPr>
                <w:rFonts w:ascii="Arial" w:hAnsi="Arial" w:cs="Arial"/>
                <w:sz w:val="16"/>
                <w:szCs w:val="16"/>
              </w:rPr>
            </w:pPr>
          </w:p>
        </w:tc>
        <w:tc>
          <w:tcPr>
            <w:tcW w:w="2409" w:type="dxa"/>
            <w:shd w:val="clear" w:color="auto" w:fill="F2F2F2" w:themeFill="background1" w:themeFillShade="F2"/>
          </w:tcPr>
          <w:p w14:paraId="0D7CF8F1" w14:textId="77777777" w:rsidR="006D770F" w:rsidRPr="0041706D" w:rsidRDefault="006D770F" w:rsidP="0041706D">
            <w:pPr>
              <w:pStyle w:val="Prrafodelista"/>
              <w:ind w:left="0"/>
              <w:jc w:val="center"/>
              <w:rPr>
                <w:rFonts w:ascii="Arial" w:hAnsi="Arial" w:cs="Arial"/>
                <w:sz w:val="16"/>
                <w:szCs w:val="16"/>
              </w:rPr>
            </w:pPr>
            <w:r w:rsidRPr="0041706D">
              <w:rPr>
                <w:rFonts w:ascii="Arial" w:hAnsi="Arial" w:cs="Arial"/>
                <w:sz w:val="16"/>
                <w:szCs w:val="16"/>
              </w:rPr>
              <w:t xml:space="preserve">Prima de antigüedad </w:t>
            </w:r>
          </w:p>
        </w:tc>
        <w:tc>
          <w:tcPr>
            <w:tcW w:w="1985" w:type="dxa"/>
            <w:shd w:val="clear" w:color="auto" w:fill="F2F2F2" w:themeFill="background1" w:themeFillShade="F2"/>
          </w:tcPr>
          <w:p w14:paraId="0E66E030" w14:textId="77777777" w:rsidR="006D770F" w:rsidRPr="0041706D" w:rsidRDefault="006D770F" w:rsidP="0041706D">
            <w:pPr>
              <w:pStyle w:val="Prrafodelista"/>
              <w:ind w:left="0"/>
              <w:jc w:val="center"/>
              <w:rPr>
                <w:rFonts w:ascii="Arial" w:hAnsi="Arial" w:cs="Arial"/>
                <w:sz w:val="16"/>
                <w:szCs w:val="16"/>
              </w:rPr>
            </w:pPr>
            <w:r w:rsidRPr="0041706D">
              <w:rPr>
                <w:rFonts w:ascii="Arial" w:hAnsi="Arial" w:cs="Arial"/>
                <w:sz w:val="16"/>
                <w:szCs w:val="16"/>
              </w:rPr>
              <w:t>Prima de antigüedad</w:t>
            </w:r>
          </w:p>
        </w:tc>
        <w:tc>
          <w:tcPr>
            <w:tcW w:w="1980" w:type="dxa"/>
            <w:shd w:val="clear" w:color="auto" w:fill="F2F2F2" w:themeFill="background1" w:themeFillShade="F2"/>
          </w:tcPr>
          <w:p w14:paraId="1BB3527A" w14:textId="77777777" w:rsidR="006D770F" w:rsidRPr="0041706D" w:rsidRDefault="006D770F" w:rsidP="0041706D">
            <w:pPr>
              <w:pStyle w:val="Prrafodelista"/>
              <w:ind w:left="0"/>
              <w:jc w:val="center"/>
              <w:rPr>
                <w:rFonts w:ascii="Arial" w:hAnsi="Arial" w:cs="Arial"/>
                <w:sz w:val="16"/>
                <w:szCs w:val="16"/>
              </w:rPr>
            </w:pPr>
            <w:r w:rsidRPr="0041706D">
              <w:rPr>
                <w:rFonts w:ascii="Arial" w:hAnsi="Arial" w:cs="Arial"/>
                <w:sz w:val="16"/>
                <w:szCs w:val="16"/>
              </w:rPr>
              <w:t>Prima de antigüedad</w:t>
            </w:r>
          </w:p>
        </w:tc>
      </w:tr>
      <w:tr w:rsidR="006D770F" w:rsidRPr="0041706D" w14:paraId="5390BF0E" w14:textId="77777777" w:rsidTr="00B413FE">
        <w:trPr>
          <w:jc w:val="center"/>
        </w:trPr>
        <w:tc>
          <w:tcPr>
            <w:tcW w:w="2694" w:type="dxa"/>
          </w:tcPr>
          <w:p w14:paraId="63D548CF" w14:textId="77777777" w:rsidR="006D770F" w:rsidRPr="0041706D" w:rsidRDefault="006D770F" w:rsidP="0041706D">
            <w:pPr>
              <w:pStyle w:val="Prrafodelista"/>
              <w:ind w:left="0"/>
              <w:jc w:val="center"/>
              <w:rPr>
                <w:rFonts w:ascii="Arial" w:hAnsi="Arial" w:cs="Arial"/>
                <w:sz w:val="16"/>
                <w:szCs w:val="16"/>
              </w:rPr>
            </w:pPr>
            <w:r w:rsidRPr="0041706D">
              <w:rPr>
                <w:rFonts w:ascii="Arial" w:hAnsi="Arial" w:cs="Arial"/>
                <w:sz w:val="16"/>
                <w:szCs w:val="16"/>
              </w:rPr>
              <w:t>Remuneración por trabajo dominical o festivo</w:t>
            </w:r>
          </w:p>
        </w:tc>
        <w:tc>
          <w:tcPr>
            <w:tcW w:w="2409" w:type="dxa"/>
          </w:tcPr>
          <w:p w14:paraId="085718E0" w14:textId="77777777" w:rsidR="006D770F" w:rsidRPr="0041706D" w:rsidRDefault="006D770F" w:rsidP="0041706D">
            <w:pPr>
              <w:pStyle w:val="Prrafodelista"/>
              <w:ind w:left="0"/>
              <w:jc w:val="center"/>
              <w:rPr>
                <w:rFonts w:ascii="Arial" w:hAnsi="Arial" w:cs="Arial"/>
                <w:sz w:val="16"/>
                <w:szCs w:val="16"/>
              </w:rPr>
            </w:pPr>
          </w:p>
        </w:tc>
        <w:tc>
          <w:tcPr>
            <w:tcW w:w="1985" w:type="dxa"/>
          </w:tcPr>
          <w:p w14:paraId="1061FD87" w14:textId="77777777" w:rsidR="006D770F" w:rsidRPr="0041706D" w:rsidRDefault="006D770F" w:rsidP="0041706D">
            <w:pPr>
              <w:pStyle w:val="Prrafodelista"/>
              <w:ind w:left="0"/>
              <w:jc w:val="center"/>
              <w:rPr>
                <w:rFonts w:ascii="Arial" w:hAnsi="Arial" w:cs="Arial"/>
                <w:sz w:val="16"/>
                <w:szCs w:val="16"/>
              </w:rPr>
            </w:pPr>
          </w:p>
        </w:tc>
        <w:tc>
          <w:tcPr>
            <w:tcW w:w="1980" w:type="dxa"/>
          </w:tcPr>
          <w:p w14:paraId="1A47E7B5" w14:textId="77777777" w:rsidR="006D770F" w:rsidRPr="0041706D" w:rsidRDefault="006D770F" w:rsidP="0041706D">
            <w:pPr>
              <w:pStyle w:val="Prrafodelista"/>
              <w:ind w:left="0"/>
              <w:jc w:val="center"/>
              <w:rPr>
                <w:rFonts w:ascii="Arial" w:hAnsi="Arial" w:cs="Arial"/>
                <w:sz w:val="16"/>
                <w:szCs w:val="16"/>
              </w:rPr>
            </w:pPr>
          </w:p>
        </w:tc>
      </w:tr>
      <w:tr w:rsidR="006D770F" w:rsidRPr="0041706D" w14:paraId="698E4598" w14:textId="77777777" w:rsidTr="00B413FE">
        <w:trPr>
          <w:jc w:val="center"/>
        </w:trPr>
        <w:tc>
          <w:tcPr>
            <w:tcW w:w="2694" w:type="dxa"/>
          </w:tcPr>
          <w:p w14:paraId="72FE4DAE" w14:textId="77777777" w:rsidR="006D770F" w:rsidRPr="0041706D" w:rsidRDefault="006D770F" w:rsidP="0041706D">
            <w:pPr>
              <w:pStyle w:val="Prrafodelista"/>
              <w:ind w:left="0"/>
              <w:jc w:val="center"/>
              <w:rPr>
                <w:rFonts w:ascii="Arial" w:hAnsi="Arial" w:cs="Arial"/>
                <w:sz w:val="16"/>
                <w:szCs w:val="16"/>
              </w:rPr>
            </w:pPr>
            <w:r w:rsidRPr="0041706D">
              <w:rPr>
                <w:rFonts w:ascii="Arial" w:hAnsi="Arial" w:cs="Arial"/>
                <w:sz w:val="16"/>
                <w:szCs w:val="16"/>
              </w:rPr>
              <w:t>Remuneración por trabajo suplementario o de horas extras, o realizado en jornada nocturna</w:t>
            </w:r>
          </w:p>
        </w:tc>
        <w:tc>
          <w:tcPr>
            <w:tcW w:w="2409" w:type="dxa"/>
          </w:tcPr>
          <w:p w14:paraId="20F704FF" w14:textId="77777777" w:rsidR="006D770F" w:rsidRPr="0041706D" w:rsidRDefault="006D770F" w:rsidP="0041706D">
            <w:pPr>
              <w:pStyle w:val="Prrafodelista"/>
              <w:ind w:left="0"/>
              <w:jc w:val="center"/>
              <w:rPr>
                <w:rFonts w:ascii="Arial" w:hAnsi="Arial" w:cs="Arial"/>
                <w:sz w:val="16"/>
                <w:szCs w:val="16"/>
              </w:rPr>
            </w:pPr>
          </w:p>
        </w:tc>
        <w:tc>
          <w:tcPr>
            <w:tcW w:w="1985" w:type="dxa"/>
          </w:tcPr>
          <w:p w14:paraId="3F877CFC" w14:textId="77777777" w:rsidR="006D770F" w:rsidRPr="0041706D" w:rsidRDefault="006D770F" w:rsidP="0041706D">
            <w:pPr>
              <w:pStyle w:val="Prrafodelista"/>
              <w:ind w:left="0"/>
              <w:jc w:val="center"/>
              <w:rPr>
                <w:rFonts w:ascii="Arial" w:hAnsi="Arial" w:cs="Arial"/>
                <w:sz w:val="16"/>
                <w:szCs w:val="16"/>
              </w:rPr>
            </w:pPr>
          </w:p>
        </w:tc>
        <w:tc>
          <w:tcPr>
            <w:tcW w:w="1980" w:type="dxa"/>
          </w:tcPr>
          <w:p w14:paraId="4BD29AED" w14:textId="77777777" w:rsidR="006D770F" w:rsidRPr="0041706D" w:rsidRDefault="006D770F" w:rsidP="0041706D">
            <w:pPr>
              <w:pStyle w:val="Prrafodelista"/>
              <w:ind w:left="0"/>
              <w:jc w:val="center"/>
              <w:rPr>
                <w:rFonts w:ascii="Arial" w:hAnsi="Arial" w:cs="Arial"/>
                <w:sz w:val="16"/>
                <w:szCs w:val="16"/>
              </w:rPr>
            </w:pPr>
          </w:p>
        </w:tc>
      </w:tr>
      <w:tr w:rsidR="006D770F" w:rsidRPr="0041706D" w14:paraId="56D0252D" w14:textId="77777777" w:rsidTr="00B413FE">
        <w:trPr>
          <w:jc w:val="center"/>
        </w:trPr>
        <w:tc>
          <w:tcPr>
            <w:tcW w:w="2694" w:type="dxa"/>
            <w:shd w:val="clear" w:color="auto" w:fill="F2F2F2" w:themeFill="background1" w:themeFillShade="F2"/>
          </w:tcPr>
          <w:p w14:paraId="1210CDB6" w14:textId="77777777" w:rsidR="006D770F" w:rsidRPr="0041706D" w:rsidRDefault="006D770F" w:rsidP="0041706D">
            <w:pPr>
              <w:pStyle w:val="Prrafodelista"/>
              <w:ind w:left="0"/>
              <w:jc w:val="center"/>
              <w:rPr>
                <w:rFonts w:ascii="Arial" w:hAnsi="Arial" w:cs="Arial"/>
                <w:sz w:val="16"/>
                <w:szCs w:val="16"/>
              </w:rPr>
            </w:pPr>
            <w:r w:rsidRPr="0041706D">
              <w:rPr>
                <w:rFonts w:ascii="Arial" w:hAnsi="Arial" w:cs="Arial"/>
                <w:sz w:val="16"/>
                <w:szCs w:val="16"/>
              </w:rPr>
              <w:t xml:space="preserve">Bonificación por servicios prestados </w:t>
            </w:r>
          </w:p>
        </w:tc>
        <w:tc>
          <w:tcPr>
            <w:tcW w:w="2409" w:type="dxa"/>
            <w:shd w:val="clear" w:color="auto" w:fill="F2F2F2" w:themeFill="background1" w:themeFillShade="F2"/>
          </w:tcPr>
          <w:p w14:paraId="29B06B67" w14:textId="77777777" w:rsidR="006D770F" w:rsidRPr="0041706D" w:rsidRDefault="006D770F" w:rsidP="0041706D">
            <w:pPr>
              <w:pStyle w:val="Prrafodelista"/>
              <w:ind w:left="0"/>
              <w:jc w:val="center"/>
              <w:rPr>
                <w:rFonts w:ascii="Arial" w:hAnsi="Arial" w:cs="Arial"/>
                <w:sz w:val="16"/>
                <w:szCs w:val="16"/>
              </w:rPr>
            </w:pPr>
            <w:r w:rsidRPr="0041706D">
              <w:rPr>
                <w:rFonts w:ascii="Arial" w:hAnsi="Arial" w:cs="Arial"/>
                <w:sz w:val="16"/>
                <w:szCs w:val="16"/>
              </w:rPr>
              <w:t xml:space="preserve">Bonificación por servicios  </w:t>
            </w:r>
          </w:p>
        </w:tc>
        <w:tc>
          <w:tcPr>
            <w:tcW w:w="1985" w:type="dxa"/>
            <w:shd w:val="clear" w:color="auto" w:fill="F2F2F2" w:themeFill="background1" w:themeFillShade="F2"/>
          </w:tcPr>
          <w:p w14:paraId="70150F4E" w14:textId="77777777" w:rsidR="006D770F" w:rsidRPr="0041706D" w:rsidRDefault="006D770F" w:rsidP="0041706D">
            <w:pPr>
              <w:pStyle w:val="Prrafodelista"/>
              <w:ind w:left="0"/>
              <w:jc w:val="center"/>
              <w:rPr>
                <w:rFonts w:ascii="Arial" w:hAnsi="Arial" w:cs="Arial"/>
                <w:sz w:val="16"/>
                <w:szCs w:val="16"/>
              </w:rPr>
            </w:pPr>
            <w:r w:rsidRPr="0041706D">
              <w:rPr>
                <w:rFonts w:ascii="Arial" w:hAnsi="Arial" w:cs="Arial"/>
                <w:sz w:val="16"/>
                <w:szCs w:val="16"/>
              </w:rPr>
              <w:t>Bonificación por servicios prestados</w:t>
            </w:r>
          </w:p>
        </w:tc>
        <w:tc>
          <w:tcPr>
            <w:tcW w:w="1980" w:type="dxa"/>
            <w:shd w:val="clear" w:color="auto" w:fill="F2F2F2" w:themeFill="background1" w:themeFillShade="F2"/>
          </w:tcPr>
          <w:p w14:paraId="72F908B6" w14:textId="77777777" w:rsidR="006D770F" w:rsidRPr="0041706D" w:rsidRDefault="006D770F" w:rsidP="0041706D">
            <w:pPr>
              <w:pStyle w:val="Prrafodelista"/>
              <w:ind w:left="0"/>
              <w:jc w:val="center"/>
              <w:rPr>
                <w:rFonts w:ascii="Arial" w:hAnsi="Arial" w:cs="Arial"/>
                <w:sz w:val="16"/>
                <w:szCs w:val="16"/>
              </w:rPr>
            </w:pPr>
            <w:r w:rsidRPr="0041706D">
              <w:rPr>
                <w:rFonts w:ascii="Arial" w:hAnsi="Arial" w:cs="Arial"/>
                <w:sz w:val="16"/>
                <w:szCs w:val="16"/>
              </w:rPr>
              <w:t>Bonificación por servicios prestados</w:t>
            </w:r>
          </w:p>
        </w:tc>
      </w:tr>
      <w:tr w:rsidR="006D770F" w:rsidRPr="0041706D" w14:paraId="71BC03B3" w14:textId="77777777" w:rsidTr="00B413FE">
        <w:trPr>
          <w:jc w:val="center"/>
        </w:trPr>
        <w:tc>
          <w:tcPr>
            <w:tcW w:w="2694" w:type="dxa"/>
            <w:shd w:val="clear" w:color="auto" w:fill="F2F2F2" w:themeFill="background1" w:themeFillShade="F2"/>
          </w:tcPr>
          <w:p w14:paraId="0A2F2151" w14:textId="77777777" w:rsidR="006D770F" w:rsidRPr="0041706D" w:rsidRDefault="006D770F" w:rsidP="0041706D">
            <w:pPr>
              <w:pStyle w:val="Prrafodelista"/>
              <w:ind w:left="0"/>
              <w:jc w:val="center"/>
              <w:rPr>
                <w:rFonts w:ascii="Arial" w:hAnsi="Arial" w:cs="Arial"/>
                <w:sz w:val="16"/>
                <w:szCs w:val="16"/>
              </w:rPr>
            </w:pPr>
            <w:r w:rsidRPr="0041706D">
              <w:rPr>
                <w:rFonts w:ascii="Arial" w:hAnsi="Arial" w:cs="Arial"/>
                <w:sz w:val="16"/>
                <w:szCs w:val="16"/>
              </w:rPr>
              <w:t>Prima anual para mejorar la productividad</w:t>
            </w:r>
          </w:p>
        </w:tc>
        <w:tc>
          <w:tcPr>
            <w:tcW w:w="2409" w:type="dxa"/>
            <w:shd w:val="clear" w:color="auto" w:fill="F2F2F2" w:themeFill="background1" w:themeFillShade="F2"/>
          </w:tcPr>
          <w:p w14:paraId="4D1DDE77" w14:textId="77777777" w:rsidR="006D770F" w:rsidRPr="0041706D" w:rsidRDefault="006D770F" w:rsidP="0041706D">
            <w:pPr>
              <w:pStyle w:val="Prrafodelista"/>
              <w:ind w:left="0"/>
              <w:jc w:val="center"/>
              <w:rPr>
                <w:rFonts w:ascii="Arial" w:hAnsi="Arial" w:cs="Arial"/>
                <w:sz w:val="16"/>
                <w:szCs w:val="16"/>
              </w:rPr>
            </w:pPr>
            <w:r w:rsidRPr="0041706D">
              <w:rPr>
                <w:rFonts w:ascii="Arial" w:hAnsi="Arial" w:cs="Arial"/>
                <w:sz w:val="16"/>
                <w:szCs w:val="16"/>
              </w:rPr>
              <w:t xml:space="preserve">Prima de productividad </w:t>
            </w:r>
          </w:p>
        </w:tc>
        <w:tc>
          <w:tcPr>
            <w:tcW w:w="1985" w:type="dxa"/>
            <w:shd w:val="clear" w:color="auto" w:fill="F2F2F2" w:themeFill="background1" w:themeFillShade="F2"/>
          </w:tcPr>
          <w:p w14:paraId="0DEC645C" w14:textId="77777777" w:rsidR="006D770F" w:rsidRPr="0041706D" w:rsidRDefault="006D770F" w:rsidP="0041706D">
            <w:pPr>
              <w:pStyle w:val="Prrafodelista"/>
              <w:ind w:left="0"/>
              <w:jc w:val="center"/>
              <w:rPr>
                <w:rFonts w:ascii="Arial" w:hAnsi="Arial" w:cs="Arial"/>
                <w:sz w:val="16"/>
                <w:szCs w:val="16"/>
              </w:rPr>
            </w:pPr>
            <w:r w:rsidRPr="0041706D">
              <w:rPr>
                <w:rFonts w:ascii="Arial" w:hAnsi="Arial" w:cs="Arial"/>
                <w:sz w:val="16"/>
                <w:szCs w:val="16"/>
              </w:rPr>
              <w:t>Prima de productividad</w:t>
            </w:r>
          </w:p>
        </w:tc>
        <w:tc>
          <w:tcPr>
            <w:tcW w:w="1980" w:type="dxa"/>
            <w:shd w:val="clear" w:color="auto" w:fill="F2F2F2" w:themeFill="background1" w:themeFillShade="F2"/>
          </w:tcPr>
          <w:p w14:paraId="40D2CAD4" w14:textId="77777777" w:rsidR="006D770F" w:rsidRPr="0041706D" w:rsidRDefault="006D770F" w:rsidP="0041706D">
            <w:pPr>
              <w:pStyle w:val="Prrafodelista"/>
              <w:ind w:left="0"/>
              <w:jc w:val="center"/>
              <w:rPr>
                <w:rFonts w:ascii="Arial" w:hAnsi="Arial" w:cs="Arial"/>
                <w:sz w:val="16"/>
                <w:szCs w:val="16"/>
              </w:rPr>
            </w:pPr>
            <w:r w:rsidRPr="0041706D">
              <w:rPr>
                <w:rFonts w:ascii="Arial" w:hAnsi="Arial" w:cs="Arial"/>
                <w:sz w:val="16"/>
                <w:szCs w:val="16"/>
              </w:rPr>
              <w:t>Prima de productividad</w:t>
            </w:r>
          </w:p>
        </w:tc>
      </w:tr>
      <w:tr w:rsidR="006D770F" w:rsidRPr="0041706D" w14:paraId="28118232" w14:textId="77777777" w:rsidTr="00B413FE">
        <w:trPr>
          <w:jc w:val="center"/>
        </w:trPr>
        <w:tc>
          <w:tcPr>
            <w:tcW w:w="2694" w:type="dxa"/>
          </w:tcPr>
          <w:p w14:paraId="54E6DE51" w14:textId="77777777" w:rsidR="006D770F" w:rsidRPr="0041706D" w:rsidRDefault="006D770F" w:rsidP="0041706D">
            <w:pPr>
              <w:pStyle w:val="Prrafodelista"/>
              <w:ind w:left="0"/>
              <w:jc w:val="center"/>
              <w:rPr>
                <w:rFonts w:ascii="Arial" w:hAnsi="Arial" w:cs="Arial"/>
                <w:sz w:val="16"/>
                <w:szCs w:val="16"/>
              </w:rPr>
            </w:pPr>
            <w:r w:rsidRPr="0041706D">
              <w:rPr>
                <w:rFonts w:ascii="Arial" w:hAnsi="Arial" w:cs="Arial"/>
                <w:sz w:val="16"/>
                <w:szCs w:val="16"/>
              </w:rPr>
              <w:t>Bonificación judicial</w:t>
            </w:r>
          </w:p>
        </w:tc>
        <w:tc>
          <w:tcPr>
            <w:tcW w:w="2409" w:type="dxa"/>
            <w:shd w:val="clear" w:color="auto" w:fill="FFFFFF" w:themeFill="background1"/>
          </w:tcPr>
          <w:p w14:paraId="37EB9FAB" w14:textId="77777777" w:rsidR="006D770F" w:rsidRPr="0041706D" w:rsidRDefault="006D770F" w:rsidP="0041706D">
            <w:pPr>
              <w:pStyle w:val="Prrafodelista"/>
              <w:ind w:left="0"/>
              <w:jc w:val="center"/>
              <w:rPr>
                <w:rFonts w:ascii="Arial" w:hAnsi="Arial" w:cs="Arial"/>
                <w:sz w:val="16"/>
                <w:szCs w:val="16"/>
              </w:rPr>
            </w:pPr>
          </w:p>
        </w:tc>
        <w:tc>
          <w:tcPr>
            <w:tcW w:w="1985" w:type="dxa"/>
            <w:shd w:val="clear" w:color="auto" w:fill="FFFFFF" w:themeFill="background1"/>
          </w:tcPr>
          <w:p w14:paraId="65593F95" w14:textId="77777777" w:rsidR="006D770F" w:rsidRPr="0041706D" w:rsidRDefault="006D770F" w:rsidP="0041706D">
            <w:pPr>
              <w:pStyle w:val="Prrafodelista"/>
              <w:ind w:left="0"/>
              <w:jc w:val="center"/>
              <w:rPr>
                <w:rFonts w:ascii="Arial" w:hAnsi="Arial" w:cs="Arial"/>
                <w:sz w:val="16"/>
                <w:szCs w:val="16"/>
              </w:rPr>
            </w:pPr>
          </w:p>
        </w:tc>
        <w:tc>
          <w:tcPr>
            <w:tcW w:w="1980" w:type="dxa"/>
            <w:shd w:val="clear" w:color="auto" w:fill="FFFFFF" w:themeFill="background1"/>
          </w:tcPr>
          <w:p w14:paraId="2BE91684" w14:textId="77777777" w:rsidR="006D770F" w:rsidRPr="0041706D" w:rsidRDefault="006D770F" w:rsidP="0041706D">
            <w:pPr>
              <w:pStyle w:val="Prrafodelista"/>
              <w:ind w:left="0"/>
              <w:jc w:val="center"/>
              <w:rPr>
                <w:rFonts w:ascii="Arial" w:hAnsi="Arial" w:cs="Arial"/>
                <w:sz w:val="16"/>
                <w:szCs w:val="16"/>
              </w:rPr>
            </w:pPr>
          </w:p>
        </w:tc>
      </w:tr>
      <w:tr w:rsidR="006D770F" w:rsidRPr="0041706D" w14:paraId="5836BBE5" w14:textId="77777777" w:rsidTr="00B413FE">
        <w:trPr>
          <w:jc w:val="center"/>
        </w:trPr>
        <w:tc>
          <w:tcPr>
            <w:tcW w:w="2694" w:type="dxa"/>
          </w:tcPr>
          <w:p w14:paraId="42BC9380" w14:textId="77777777" w:rsidR="006D770F" w:rsidRPr="0041706D" w:rsidRDefault="006D770F" w:rsidP="0041706D">
            <w:pPr>
              <w:pStyle w:val="Prrafodelista"/>
              <w:ind w:left="0"/>
              <w:jc w:val="center"/>
              <w:rPr>
                <w:rFonts w:ascii="Arial" w:hAnsi="Arial" w:cs="Arial"/>
                <w:sz w:val="16"/>
                <w:szCs w:val="16"/>
              </w:rPr>
            </w:pPr>
          </w:p>
        </w:tc>
        <w:tc>
          <w:tcPr>
            <w:tcW w:w="2409" w:type="dxa"/>
            <w:shd w:val="clear" w:color="auto" w:fill="F2F2F2" w:themeFill="background1" w:themeFillShade="F2"/>
          </w:tcPr>
          <w:p w14:paraId="57737F73" w14:textId="77777777" w:rsidR="006D770F" w:rsidRPr="0041706D" w:rsidRDefault="006D770F" w:rsidP="0041706D">
            <w:pPr>
              <w:pStyle w:val="Prrafodelista"/>
              <w:ind w:left="0"/>
              <w:jc w:val="center"/>
              <w:rPr>
                <w:rFonts w:ascii="Arial" w:hAnsi="Arial" w:cs="Arial"/>
                <w:sz w:val="16"/>
                <w:szCs w:val="16"/>
              </w:rPr>
            </w:pPr>
            <w:r w:rsidRPr="0041706D">
              <w:rPr>
                <w:rFonts w:ascii="Arial" w:hAnsi="Arial" w:cs="Arial"/>
                <w:sz w:val="16"/>
                <w:szCs w:val="16"/>
              </w:rPr>
              <w:t>Subsidio de transporte</w:t>
            </w:r>
          </w:p>
        </w:tc>
        <w:tc>
          <w:tcPr>
            <w:tcW w:w="1985" w:type="dxa"/>
          </w:tcPr>
          <w:p w14:paraId="04ED327A" w14:textId="77777777" w:rsidR="006D770F" w:rsidRPr="0041706D" w:rsidRDefault="006D770F" w:rsidP="0041706D">
            <w:pPr>
              <w:pStyle w:val="Prrafodelista"/>
              <w:ind w:left="0"/>
              <w:jc w:val="center"/>
              <w:rPr>
                <w:rFonts w:ascii="Arial" w:hAnsi="Arial" w:cs="Arial"/>
                <w:sz w:val="16"/>
                <w:szCs w:val="16"/>
              </w:rPr>
            </w:pPr>
          </w:p>
        </w:tc>
        <w:tc>
          <w:tcPr>
            <w:tcW w:w="1980" w:type="dxa"/>
            <w:shd w:val="clear" w:color="auto" w:fill="F2F2F2" w:themeFill="background1" w:themeFillShade="F2"/>
          </w:tcPr>
          <w:p w14:paraId="1AB621AD" w14:textId="77777777" w:rsidR="006D770F" w:rsidRPr="0041706D" w:rsidRDefault="006D770F" w:rsidP="0041706D">
            <w:pPr>
              <w:pStyle w:val="Prrafodelista"/>
              <w:ind w:left="0"/>
              <w:jc w:val="center"/>
              <w:rPr>
                <w:rFonts w:ascii="Arial" w:hAnsi="Arial" w:cs="Arial"/>
                <w:sz w:val="16"/>
                <w:szCs w:val="16"/>
              </w:rPr>
            </w:pPr>
            <w:r w:rsidRPr="0041706D">
              <w:rPr>
                <w:rFonts w:ascii="Arial" w:hAnsi="Arial" w:cs="Arial"/>
                <w:sz w:val="16"/>
                <w:szCs w:val="16"/>
              </w:rPr>
              <w:t>Subsidio de transporte</w:t>
            </w:r>
          </w:p>
        </w:tc>
      </w:tr>
      <w:tr w:rsidR="006D770F" w:rsidRPr="0041706D" w14:paraId="07D930AD" w14:textId="77777777" w:rsidTr="00B413FE">
        <w:trPr>
          <w:jc w:val="center"/>
        </w:trPr>
        <w:tc>
          <w:tcPr>
            <w:tcW w:w="2694" w:type="dxa"/>
          </w:tcPr>
          <w:p w14:paraId="46D3160F" w14:textId="77777777" w:rsidR="006D770F" w:rsidRPr="0041706D" w:rsidRDefault="006D770F" w:rsidP="0041706D">
            <w:pPr>
              <w:pStyle w:val="Prrafodelista"/>
              <w:ind w:left="0"/>
              <w:jc w:val="center"/>
              <w:rPr>
                <w:rFonts w:ascii="Arial" w:hAnsi="Arial" w:cs="Arial"/>
                <w:sz w:val="16"/>
                <w:szCs w:val="16"/>
              </w:rPr>
            </w:pPr>
          </w:p>
        </w:tc>
        <w:tc>
          <w:tcPr>
            <w:tcW w:w="2409" w:type="dxa"/>
            <w:shd w:val="clear" w:color="auto" w:fill="FFFFFF" w:themeFill="background1"/>
          </w:tcPr>
          <w:p w14:paraId="2B021D6F" w14:textId="77777777" w:rsidR="006D770F" w:rsidRPr="0041706D" w:rsidRDefault="006D770F" w:rsidP="0041706D">
            <w:pPr>
              <w:pStyle w:val="Prrafodelista"/>
              <w:ind w:left="0"/>
              <w:jc w:val="center"/>
              <w:rPr>
                <w:rFonts w:ascii="Arial" w:hAnsi="Arial" w:cs="Arial"/>
                <w:sz w:val="16"/>
                <w:szCs w:val="16"/>
              </w:rPr>
            </w:pPr>
            <w:r w:rsidRPr="0041706D">
              <w:rPr>
                <w:rFonts w:ascii="Arial" w:hAnsi="Arial" w:cs="Arial"/>
                <w:sz w:val="16"/>
                <w:szCs w:val="16"/>
              </w:rPr>
              <w:t xml:space="preserve">Sueldo de vacaciones </w:t>
            </w:r>
          </w:p>
        </w:tc>
        <w:tc>
          <w:tcPr>
            <w:tcW w:w="1985" w:type="dxa"/>
            <w:shd w:val="clear" w:color="auto" w:fill="FFFFFF" w:themeFill="background1"/>
          </w:tcPr>
          <w:p w14:paraId="0B2FF8F4" w14:textId="77777777" w:rsidR="006D770F" w:rsidRPr="0041706D" w:rsidRDefault="006D770F" w:rsidP="0041706D">
            <w:pPr>
              <w:pStyle w:val="Prrafodelista"/>
              <w:ind w:left="0"/>
              <w:jc w:val="center"/>
              <w:rPr>
                <w:rFonts w:ascii="Arial" w:hAnsi="Arial" w:cs="Arial"/>
                <w:sz w:val="16"/>
                <w:szCs w:val="16"/>
              </w:rPr>
            </w:pPr>
          </w:p>
        </w:tc>
        <w:tc>
          <w:tcPr>
            <w:tcW w:w="1980" w:type="dxa"/>
            <w:shd w:val="clear" w:color="auto" w:fill="FFFFFF" w:themeFill="background1"/>
          </w:tcPr>
          <w:p w14:paraId="4A6E6302" w14:textId="77777777" w:rsidR="006D770F" w:rsidRPr="0041706D" w:rsidRDefault="006D770F" w:rsidP="0041706D">
            <w:pPr>
              <w:pStyle w:val="Prrafodelista"/>
              <w:ind w:left="0"/>
              <w:jc w:val="center"/>
              <w:rPr>
                <w:rFonts w:ascii="Arial" w:hAnsi="Arial" w:cs="Arial"/>
                <w:sz w:val="16"/>
                <w:szCs w:val="16"/>
              </w:rPr>
            </w:pPr>
          </w:p>
        </w:tc>
      </w:tr>
      <w:tr w:rsidR="006D770F" w:rsidRPr="0041706D" w14:paraId="1A7D7563" w14:textId="77777777" w:rsidTr="00B413FE">
        <w:trPr>
          <w:jc w:val="center"/>
        </w:trPr>
        <w:tc>
          <w:tcPr>
            <w:tcW w:w="2694" w:type="dxa"/>
          </w:tcPr>
          <w:p w14:paraId="322D145F" w14:textId="77777777" w:rsidR="006D770F" w:rsidRPr="0041706D" w:rsidRDefault="006D770F" w:rsidP="0041706D">
            <w:pPr>
              <w:pStyle w:val="Prrafodelista"/>
              <w:ind w:left="0"/>
              <w:jc w:val="center"/>
              <w:rPr>
                <w:rFonts w:ascii="Arial" w:hAnsi="Arial" w:cs="Arial"/>
                <w:sz w:val="16"/>
                <w:szCs w:val="16"/>
              </w:rPr>
            </w:pPr>
          </w:p>
        </w:tc>
        <w:tc>
          <w:tcPr>
            <w:tcW w:w="2409" w:type="dxa"/>
            <w:shd w:val="clear" w:color="auto" w:fill="F2F2F2" w:themeFill="background1" w:themeFillShade="F2"/>
          </w:tcPr>
          <w:p w14:paraId="06734AD8" w14:textId="77777777" w:rsidR="006D770F" w:rsidRPr="0041706D" w:rsidRDefault="006D770F" w:rsidP="0041706D">
            <w:pPr>
              <w:pStyle w:val="Prrafodelista"/>
              <w:ind w:left="0"/>
              <w:jc w:val="center"/>
              <w:rPr>
                <w:rFonts w:ascii="Arial" w:hAnsi="Arial" w:cs="Arial"/>
                <w:sz w:val="16"/>
                <w:szCs w:val="16"/>
              </w:rPr>
            </w:pPr>
            <w:r w:rsidRPr="0041706D">
              <w:rPr>
                <w:rFonts w:ascii="Arial" w:hAnsi="Arial" w:cs="Arial"/>
                <w:sz w:val="16"/>
                <w:szCs w:val="16"/>
              </w:rPr>
              <w:t xml:space="preserve">Subsidio de alimentación </w:t>
            </w:r>
          </w:p>
        </w:tc>
        <w:tc>
          <w:tcPr>
            <w:tcW w:w="1985" w:type="dxa"/>
            <w:shd w:val="clear" w:color="auto" w:fill="FFFFFF" w:themeFill="background1"/>
          </w:tcPr>
          <w:p w14:paraId="100AFB24" w14:textId="77777777" w:rsidR="006D770F" w:rsidRPr="0041706D" w:rsidRDefault="006D770F" w:rsidP="0041706D">
            <w:pPr>
              <w:pStyle w:val="Prrafodelista"/>
              <w:ind w:left="0"/>
              <w:jc w:val="center"/>
              <w:rPr>
                <w:rFonts w:ascii="Arial" w:hAnsi="Arial" w:cs="Arial"/>
                <w:sz w:val="16"/>
                <w:szCs w:val="16"/>
              </w:rPr>
            </w:pPr>
          </w:p>
        </w:tc>
        <w:tc>
          <w:tcPr>
            <w:tcW w:w="1980" w:type="dxa"/>
            <w:shd w:val="clear" w:color="auto" w:fill="F2F2F2" w:themeFill="background1" w:themeFillShade="F2"/>
          </w:tcPr>
          <w:p w14:paraId="1051502D" w14:textId="77777777" w:rsidR="006D770F" w:rsidRPr="0041706D" w:rsidRDefault="006D770F" w:rsidP="0041706D">
            <w:pPr>
              <w:pStyle w:val="Prrafodelista"/>
              <w:ind w:left="0"/>
              <w:jc w:val="center"/>
              <w:rPr>
                <w:rFonts w:ascii="Arial" w:hAnsi="Arial" w:cs="Arial"/>
                <w:sz w:val="16"/>
                <w:szCs w:val="16"/>
              </w:rPr>
            </w:pPr>
            <w:r w:rsidRPr="0041706D">
              <w:rPr>
                <w:rFonts w:ascii="Arial" w:hAnsi="Arial" w:cs="Arial"/>
                <w:sz w:val="16"/>
                <w:szCs w:val="16"/>
              </w:rPr>
              <w:t>Subsidio de alimentación</w:t>
            </w:r>
          </w:p>
        </w:tc>
      </w:tr>
      <w:tr w:rsidR="006D770F" w:rsidRPr="0041706D" w14:paraId="6CFEB6DF" w14:textId="77777777" w:rsidTr="00B413FE">
        <w:trPr>
          <w:jc w:val="center"/>
        </w:trPr>
        <w:tc>
          <w:tcPr>
            <w:tcW w:w="2694" w:type="dxa"/>
          </w:tcPr>
          <w:p w14:paraId="5A0D22CA" w14:textId="77777777" w:rsidR="006D770F" w:rsidRPr="0041706D" w:rsidRDefault="006D770F" w:rsidP="0041706D">
            <w:pPr>
              <w:pStyle w:val="Prrafodelista"/>
              <w:ind w:left="0"/>
              <w:jc w:val="center"/>
              <w:rPr>
                <w:rFonts w:ascii="Arial" w:hAnsi="Arial" w:cs="Arial"/>
                <w:sz w:val="16"/>
                <w:szCs w:val="16"/>
              </w:rPr>
            </w:pPr>
          </w:p>
        </w:tc>
        <w:tc>
          <w:tcPr>
            <w:tcW w:w="2409" w:type="dxa"/>
            <w:shd w:val="clear" w:color="auto" w:fill="F2F2F2" w:themeFill="background1" w:themeFillShade="F2"/>
          </w:tcPr>
          <w:p w14:paraId="44FC98B1" w14:textId="77777777" w:rsidR="006D770F" w:rsidRPr="0041706D" w:rsidRDefault="006D770F" w:rsidP="0041706D">
            <w:pPr>
              <w:pStyle w:val="Prrafodelista"/>
              <w:ind w:left="0"/>
              <w:jc w:val="center"/>
              <w:rPr>
                <w:rFonts w:ascii="Arial" w:hAnsi="Arial" w:cs="Arial"/>
                <w:sz w:val="16"/>
                <w:szCs w:val="16"/>
              </w:rPr>
            </w:pPr>
            <w:r w:rsidRPr="0041706D">
              <w:rPr>
                <w:rFonts w:ascii="Arial" w:hAnsi="Arial" w:cs="Arial"/>
                <w:sz w:val="16"/>
                <w:szCs w:val="16"/>
              </w:rPr>
              <w:t xml:space="preserve">Prima de navidad </w:t>
            </w:r>
          </w:p>
        </w:tc>
        <w:tc>
          <w:tcPr>
            <w:tcW w:w="1985" w:type="dxa"/>
            <w:shd w:val="clear" w:color="auto" w:fill="FFFFFF" w:themeFill="background1"/>
          </w:tcPr>
          <w:p w14:paraId="297A9B10" w14:textId="77777777" w:rsidR="006D770F" w:rsidRPr="0041706D" w:rsidRDefault="006D770F" w:rsidP="0041706D">
            <w:pPr>
              <w:pStyle w:val="Prrafodelista"/>
              <w:ind w:left="0"/>
              <w:jc w:val="center"/>
              <w:rPr>
                <w:rFonts w:ascii="Arial" w:hAnsi="Arial" w:cs="Arial"/>
                <w:sz w:val="16"/>
                <w:szCs w:val="16"/>
              </w:rPr>
            </w:pPr>
          </w:p>
        </w:tc>
        <w:tc>
          <w:tcPr>
            <w:tcW w:w="1980" w:type="dxa"/>
            <w:shd w:val="clear" w:color="auto" w:fill="F2F2F2" w:themeFill="background1" w:themeFillShade="F2"/>
          </w:tcPr>
          <w:p w14:paraId="5F9B89B4" w14:textId="77777777" w:rsidR="006D770F" w:rsidRPr="0041706D" w:rsidRDefault="006D770F" w:rsidP="0041706D">
            <w:pPr>
              <w:pStyle w:val="Prrafodelista"/>
              <w:ind w:left="0"/>
              <w:jc w:val="center"/>
              <w:rPr>
                <w:rFonts w:ascii="Arial" w:hAnsi="Arial" w:cs="Arial"/>
                <w:sz w:val="16"/>
                <w:szCs w:val="16"/>
              </w:rPr>
            </w:pPr>
            <w:r w:rsidRPr="0041706D">
              <w:rPr>
                <w:rFonts w:ascii="Arial" w:hAnsi="Arial" w:cs="Arial"/>
                <w:sz w:val="16"/>
                <w:szCs w:val="16"/>
              </w:rPr>
              <w:t>Prima de navidad</w:t>
            </w:r>
          </w:p>
        </w:tc>
      </w:tr>
      <w:tr w:rsidR="006D770F" w:rsidRPr="0041706D" w14:paraId="6213E4DC" w14:textId="77777777" w:rsidTr="00B413FE">
        <w:trPr>
          <w:jc w:val="center"/>
        </w:trPr>
        <w:tc>
          <w:tcPr>
            <w:tcW w:w="2694" w:type="dxa"/>
          </w:tcPr>
          <w:p w14:paraId="02BA8C37" w14:textId="77777777" w:rsidR="006D770F" w:rsidRPr="0041706D" w:rsidRDefault="006D770F" w:rsidP="0041706D">
            <w:pPr>
              <w:pStyle w:val="Prrafodelista"/>
              <w:ind w:left="0"/>
              <w:jc w:val="center"/>
              <w:rPr>
                <w:rFonts w:ascii="Arial" w:hAnsi="Arial" w:cs="Arial"/>
                <w:sz w:val="16"/>
                <w:szCs w:val="16"/>
              </w:rPr>
            </w:pPr>
          </w:p>
        </w:tc>
        <w:tc>
          <w:tcPr>
            <w:tcW w:w="2409" w:type="dxa"/>
            <w:shd w:val="clear" w:color="auto" w:fill="FFFFFF" w:themeFill="background1"/>
          </w:tcPr>
          <w:p w14:paraId="49A1CF8E" w14:textId="77777777" w:rsidR="006D770F" w:rsidRPr="0041706D" w:rsidRDefault="006D770F" w:rsidP="0041706D">
            <w:pPr>
              <w:pStyle w:val="Prrafodelista"/>
              <w:ind w:left="0"/>
              <w:jc w:val="center"/>
              <w:rPr>
                <w:rFonts w:ascii="Arial" w:hAnsi="Arial" w:cs="Arial"/>
                <w:sz w:val="16"/>
                <w:szCs w:val="16"/>
              </w:rPr>
            </w:pPr>
            <w:r w:rsidRPr="0041706D">
              <w:rPr>
                <w:rFonts w:ascii="Arial" w:hAnsi="Arial" w:cs="Arial"/>
                <w:sz w:val="16"/>
                <w:szCs w:val="16"/>
              </w:rPr>
              <w:t>Prima de servicios</w:t>
            </w:r>
          </w:p>
        </w:tc>
        <w:tc>
          <w:tcPr>
            <w:tcW w:w="1985" w:type="dxa"/>
            <w:shd w:val="clear" w:color="auto" w:fill="FFFFFF" w:themeFill="background1"/>
          </w:tcPr>
          <w:p w14:paraId="5FA44F8E" w14:textId="77777777" w:rsidR="006D770F" w:rsidRPr="0041706D" w:rsidRDefault="006D770F" w:rsidP="0041706D">
            <w:pPr>
              <w:pStyle w:val="Prrafodelista"/>
              <w:ind w:left="0"/>
              <w:jc w:val="center"/>
              <w:rPr>
                <w:rFonts w:ascii="Arial" w:hAnsi="Arial" w:cs="Arial"/>
                <w:sz w:val="16"/>
                <w:szCs w:val="16"/>
              </w:rPr>
            </w:pPr>
          </w:p>
        </w:tc>
        <w:tc>
          <w:tcPr>
            <w:tcW w:w="1980" w:type="dxa"/>
            <w:shd w:val="clear" w:color="auto" w:fill="FFFFFF" w:themeFill="background1"/>
          </w:tcPr>
          <w:p w14:paraId="3D8CEAAE" w14:textId="77777777" w:rsidR="006D770F" w:rsidRPr="0041706D" w:rsidRDefault="006D770F" w:rsidP="0041706D">
            <w:pPr>
              <w:pStyle w:val="Prrafodelista"/>
              <w:ind w:left="0"/>
              <w:jc w:val="center"/>
              <w:rPr>
                <w:rFonts w:ascii="Arial" w:hAnsi="Arial" w:cs="Arial"/>
                <w:sz w:val="16"/>
                <w:szCs w:val="16"/>
              </w:rPr>
            </w:pPr>
          </w:p>
        </w:tc>
      </w:tr>
      <w:tr w:rsidR="006D770F" w:rsidRPr="0041706D" w14:paraId="1EE044C4" w14:textId="77777777" w:rsidTr="00B413FE">
        <w:trPr>
          <w:jc w:val="center"/>
        </w:trPr>
        <w:tc>
          <w:tcPr>
            <w:tcW w:w="2694" w:type="dxa"/>
          </w:tcPr>
          <w:p w14:paraId="303FA8FC" w14:textId="77777777" w:rsidR="006D770F" w:rsidRPr="0041706D" w:rsidRDefault="006D770F" w:rsidP="0041706D">
            <w:pPr>
              <w:pStyle w:val="Prrafodelista"/>
              <w:ind w:left="0"/>
              <w:jc w:val="center"/>
              <w:rPr>
                <w:rFonts w:ascii="Arial" w:hAnsi="Arial" w:cs="Arial"/>
                <w:sz w:val="16"/>
                <w:szCs w:val="16"/>
              </w:rPr>
            </w:pPr>
          </w:p>
        </w:tc>
        <w:tc>
          <w:tcPr>
            <w:tcW w:w="2409" w:type="dxa"/>
            <w:shd w:val="clear" w:color="auto" w:fill="F2F2F2" w:themeFill="background1" w:themeFillShade="F2"/>
          </w:tcPr>
          <w:p w14:paraId="154295F4" w14:textId="77777777" w:rsidR="006D770F" w:rsidRPr="0041706D" w:rsidRDefault="006D770F" w:rsidP="0041706D">
            <w:pPr>
              <w:pStyle w:val="Prrafodelista"/>
              <w:ind w:left="0"/>
              <w:jc w:val="center"/>
              <w:rPr>
                <w:rFonts w:ascii="Arial" w:hAnsi="Arial" w:cs="Arial"/>
                <w:sz w:val="16"/>
                <w:szCs w:val="16"/>
              </w:rPr>
            </w:pPr>
            <w:r w:rsidRPr="0041706D">
              <w:rPr>
                <w:rFonts w:ascii="Arial" w:hAnsi="Arial" w:cs="Arial"/>
                <w:sz w:val="16"/>
                <w:szCs w:val="16"/>
              </w:rPr>
              <w:t xml:space="preserve">Prima de vacaciones </w:t>
            </w:r>
          </w:p>
        </w:tc>
        <w:tc>
          <w:tcPr>
            <w:tcW w:w="1985" w:type="dxa"/>
            <w:shd w:val="clear" w:color="auto" w:fill="FFFFFF" w:themeFill="background1"/>
          </w:tcPr>
          <w:p w14:paraId="367F7347" w14:textId="77777777" w:rsidR="006D770F" w:rsidRPr="0041706D" w:rsidRDefault="006D770F" w:rsidP="0041706D">
            <w:pPr>
              <w:pStyle w:val="Prrafodelista"/>
              <w:ind w:left="0"/>
              <w:jc w:val="center"/>
              <w:rPr>
                <w:rFonts w:ascii="Arial" w:hAnsi="Arial" w:cs="Arial"/>
                <w:sz w:val="16"/>
                <w:szCs w:val="16"/>
              </w:rPr>
            </w:pPr>
          </w:p>
        </w:tc>
        <w:tc>
          <w:tcPr>
            <w:tcW w:w="1980" w:type="dxa"/>
            <w:shd w:val="clear" w:color="auto" w:fill="F2F2F2" w:themeFill="background1" w:themeFillShade="F2"/>
          </w:tcPr>
          <w:p w14:paraId="52764920" w14:textId="77777777" w:rsidR="006D770F" w:rsidRPr="0041706D" w:rsidRDefault="006D770F" w:rsidP="0041706D">
            <w:pPr>
              <w:pStyle w:val="Prrafodelista"/>
              <w:ind w:left="0"/>
              <w:jc w:val="center"/>
              <w:rPr>
                <w:rFonts w:ascii="Arial" w:hAnsi="Arial" w:cs="Arial"/>
                <w:sz w:val="16"/>
                <w:szCs w:val="16"/>
              </w:rPr>
            </w:pPr>
            <w:r w:rsidRPr="0041706D">
              <w:rPr>
                <w:rFonts w:ascii="Arial" w:hAnsi="Arial" w:cs="Arial"/>
                <w:sz w:val="16"/>
                <w:szCs w:val="16"/>
              </w:rPr>
              <w:t>Prima de vacaciones</w:t>
            </w:r>
          </w:p>
        </w:tc>
      </w:tr>
      <w:tr w:rsidR="006D770F" w:rsidRPr="0041706D" w14:paraId="6A2A6555" w14:textId="77777777" w:rsidTr="00B413FE">
        <w:trPr>
          <w:jc w:val="center"/>
        </w:trPr>
        <w:tc>
          <w:tcPr>
            <w:tcW w:w="2694" w:type="dxa"/>
          </w:tcPr>
          <w:p w14:paraId="1CBADB83" w14:textId="77777777" w:rsidR="006D770F" w:rsidRPr="0041706D" w:rsidRDefault="006D770F" w:rsidP="0041706D">
            <w:pPr>
              <w:pStyle w:val="Prrafodelista"/>
              <w:ind w:left="0"/>
              <w:jc w:val="center"/>
              <w:rPr>
                <w:rFonts w:ascii="Arial" w:hAnsi="Arial" w:cs="Arial"/>
                <w:sz w:val="16"/>
                <w:szCs w:val="16"/>
              </w:rPr>
            </w:pPr>
          </w:p>
        </w:tc>
        <w:tc>
          <w:tcPr>
            <w:tcW w:w="2409" w:type="dxa"/>
          </w:tcPr>
          <w:p w14:paraId="4783EEEE" w14:textId="77777777" w:rsidR="006D770F" w:rsidRPr="0041706D" w:rsidRDefault="006D770F" w:rsidP="0041706D">
            <w:pPr>
              <w:pStyle w:val="Prrafodelista"/>
              <w:ind w:left="0"/>
              <w:jc w:val="center"/>
              <w:rPr>
                <w:rFonts w:ascii="Arial" w:hAnsi="Arial" w:cs="Arial"/>
                <w:sz w:val="16"/>
                <w:szCs w:val="16"/>
              </w:rPr>
            </w:pPr>
            <w:r w:rsidRPr="0041706D">
              <w:rPr>
                <w:rFonts w:ascii="Arial" w:hAnsi="Arial" w:cs="Arial"/>
                <w:sz w:val="16"/>
                <w:szCs w:val="16"/>
              </w:rPr>
              <w:t xml:space="preserve">Bono extraordinario </w:t>
            </w:r>
          </w:p>
        </w:tc>
        <w:tc>
          <w:tcPr>
            <w:tcW w:w="1985" w:type="dxa"/>
          </w:tcPr>
          <w:p w14:paraId="2B71FF19" w14:textId="77777777" w:rsidR="006D770F" w:rsidRPr="0041706D" w:rsidRDefault="006D770F" w:rsidP="0041706D">
            <w:pPr>
              <w:pStyle w:val="Prrafodelista"/>
              <w:ind w:left="0"/>
              <w:jc w:val="center"/>
              <w:rPr>
                <w:rFonts w:ascii="Arial" w:hAnsi="Arial" w:cs="Arial"/>
                <w:sz w:val="16"/>
                <w:szCs w:val="16"/>
              </w:rPr>
            </w:pPr>
          </w:p>
        </w:tc>
        <w:tc>
          <w:tcPr>
            <w:tcW w:w="1980" w:type="dxa"/>
          </w:tcPr>
          <w:p w14:paraId="4F54255E" w14:textId="77777777" w:rsidR="006D770F" w:rsidRPr="0041706D" w:rsidRDefault="006D770F" w:rsidP="0041706D">
            <w:pPr>
              <w:pStyle w:val="Prrafodelista"/>
              <w:ind w:left="0"/>
              <w:jc w:val="center"/>
              <w:rPr>
                <w:rFonts w:ascii="Arial" w:hAnsi="Arial" w:cs="Arial"/>
                <w:sz w:val="16"/>
                <w:szCs w:val="16"/>
              </w:rPr>
            </w:pPr>
          </w:p>
        </w:tc>
      </w:tr>
    </w:tbl>
    <w:p w14:paraId="777E5414" w14:textId="77777777" w:rsidR="006D770F" w:rsidRPr="0041706D" w:rsidRDefault="006D770F" w:rsidP="0041706D">
      <w:pPr>
        <w:pStyle w:val="Prrafodelista"/>
        <w:widowControl w:val="0"/>
        <w:tabs>
          <w:tab w:val="left" w:pos="567"/>
          <w:tab w:val="left" w:pos="7655"/>
        </w:tabs>
        <w:ind w:left="0"/>
        <w:jc w:val="both"/>
        <w:rPr>
          <w:rFonts w:ascii="Arial" w:hAnsi="Arial" w:cs="Arial"/>
          <w:sz w:val="24"/>
          <w:szCs w:val="24"/>
        </w:rPr>
      </w:pPr>
    </w:p>
    <w:p w14:paraId="446C7A2D" w14:textId="2523565B" w:rsidR="006D770F" w:rsidRPr="0041706D" w:rsidRDefault="006D770F" w:rsidP="0041706D">
      <w:pPr>
        <w:pStyle w:val="Prrafodelista"/>
        <w:widowControl w:val="0"/>
        <w:numPr>
          <w:ilvl w:val="0"/>
          <w:numId w:val="21"/>
        </w:numPr>
        <w:tabs>
          <w:tab w:val="left" w:pos="567"/>
          <w:tab w:val="left" w:pos="7655"/>
        </w:tabs>
        <w:ind w:left="0" w:firstLine="0"/>
        <w:jc w:val="both"/>
        <w:rPr>
          <w:rFonts w:ascii="Arial" w:hAnsi="Arial" w:cs="Arial"/>
          <w:sz w:val="24"/>
          <w:szCs w:val="24"/>
        </w:rPr>
      </w:pPr>
      <w:r w:rsidRPr="0041706D">
        <w:rPr>
          <w:rFonts w:ascii="Arial" w:hAnsi="Arial" w:cs="Arial"/>
          <w:sz w:val="24"/>
          <w:szCs w:val="24"/>
        </w:rPr>
        <w:t xml:space="preserve">De acuerdo con lo expuesto, la liquidación de la pensión de la demandante debía </w:t>
      </w:r>
      <w:r w:rsidR="002D25AC" w:rsidRPr="0041706D">
        <w:rPr>
          <w:rFonts w:ascii="Arial" w:hAnsi="Arial" w:cs="Arial"/>
          <w:sz w:val="24"/>
          <w:szCs w:val="24"/>
        </w:rPr>
        <w:t>incluir</w:t>
      </w:r>
      <w:r w:rsidRPr="0041706D">
        <w:rPr>
          <w:rFonts w:ascii="Arial" w:hAnsi="Arial" w:cs="Arial"/>
          <w:sz w:val="24"/>
          <w:szCs w:val="24"/>
        </w:rPr>
        <w:t xml:space="preserve"> como factores el </w:t>
      </w:r>
      <w:r w:rsidRPr="0041706D">
        <w:rPr>
          <w:rFonts w:ascii="Arial" w:hAnsi="Arial" w:cs="Arial"/>
          <w:b/>
          <w:sz w:val="24"/>
          <w:szCs w:val="24"/>
        </w:rPr>
        <w:t>sueldo, la prima de antigüedad, la bonificación por servicios y la prima de productividad</w:t>
      </w:r>
      <w:r w:rsidRPr="0041706D">
        <w:rPr>
          <w:rFonts w:ascii="Arial" w:hAnsi="Arial" w:cs="Arial"/>
          <w:sz w:val="24"/>
          <w:szCs w:val="24"/>
        </w:rPr>
        <w:t xml:space="preserve">; por lo tanto, no había lugar a declarar la nulidad parcial del acto administrativo acusado comoquiera que se liquidó la pensión con base en los referidos factores. </w:t>
      </w:r>
    </w:p>
    <w:p w14:paraId="1097F461" w14:textId="77777777" w:rsidR="006D770F" w:rsidRPr="0041706D" w:rsidRDefault="006D770F" w:rsidP="0041706D">
      <w:pPr>
        <w:pStyle w:val="Prrafodelista"/>
        <w:widowControl w:val="0"/>
        <w:tabs>
          <w:tab w:val="left" w:pos="567"/>
          <w:tab w:val="left" w:pos="7655"/>
        </w:tabs>
        <w:ind w:left="0"/>
        <w:jc w:val="both"/>
        <w:rPr>
          <w:rFonts w:ascii="Arial" w:hAnsi="Arial" w:cs="Arial"/>
          <w:sz w:val="24"/>
          <w:szCs w:val="24"/>
        </w:rPr>
      </w:pPr>
    </w:p>
    <w:p w14:paraId="3086F386" w14:textId="2C631FE2" w:rsidR="006D770F" w:rsidRPr="0041706D" w:rsidRDefault="006D770F" w:rsidP="0041706D">
      <w:pPr>
        <w:pStyle w:val="Prrafodelista"/>
        <w:widowControl w:val="0"/>
        <w:numPr>
          <w:ilvl w:val="0"/>
          <w:numId w:val="21"/>
        </w:numPr>
        <w:tabs>
          <w:tab w:val="left" w:pos="567"/>
          <w:tab w:val="left" w:pos="7655"/>
        </w:tabs>
        <w:ind w:left="0" w:firstLine="0"/>
        <w:jc w:val="both"/>
        <w:rPr>
          <w:rFonts w:ascii="Arial" w:hAnsi="Arial" w:cs="Arial"/>
          <w:sz w:val="24"/>
          <w:szCs w:val="24"/>
        </w:rPr>
      </w:pPr>
      <w:r w:rsidRPr="0041706D">
        <w:rPr>
          <w:rFonts w:ascii="Arial" w:hAnsi="Arial" w:cs="Arial"/>
          <w:sz w:val="24"/>
          <w:szCs w:val="24"/>
        </w:rPr>
        <w:t xml:space="preserve">En este estado del estudio se destaca que el subsidio de transporte, el subsidio de alimentación, la prima de navidad y la prima de vacaciones no están enlistados en los artículos 1° de los Decretos 1158 de 1994, 2460 de 2006 y 383 de 2013; </w:t>
      </w:r>
      <w:r w:rsidR="002D25AC" w:rsidRPr="0041706D">
        <w:rPr>
          <w:rFonts w:ascii="Arial" w:hAnsi="Arial" w:cs="Arial"/>
          <w:sz w:val="24"/>
          <w:szCs w:val="24"/>
        </w:rPr>
        <w:t>y en este orden de ideas</w:t>
      </w:r>
      <w:r w:rsidRPr="0041706D">
        <w:rPr>
          <w:rFonts w:ascii="Arial" w:hAnsi="Arial" w:cs="Arial"/>
          <w:sz w:val="24"/>
          <w:szCs w:val="24"/>
        </w:rPr>
        <w:t>, no es posible que sean incluidos en la liquidación pensional, de conformidad con la sentencia de unificación proferida el 11 de junio de 2020.</w:t>
      </w:r>
    </w:p>
    <w:p w14:paraId="44391DB1" w14:textId="77777777" w:rsidR="006D770F" w:rsidRPr="0041706D" w:rsidRDefault="006D770F" w:rsidP="0041706D">
      <w:pPr>
        <w:pStyle w:val="Prrafodelista"/>
        <w:widowControl w:val="0"/>
        <w:tabs>
          <w:tab w:val="left" w:pos="567"/>
          <w:tab w:val="left" w:pos="7655"/>
        </w:tabs>
        <w:ind w:left="0"/>
        <w:jc w:val="both"/>
        <w:rPr>
          <w:rFonts w:ascii="Arial" w:hAnsi="Arial" w:cs="Arial"/>
          <w:sz w:val="24"/>
          <w:szCs w:val="24"/>
        </w:rPr>
      </w:pPr>
    </w:p>
    <w:p w14:paraId="5E34EA1D" w14:textId="6A57D41E" w:rsidR="006D770F" w:rsidRPr="0041706D" w:rsidRDefault="006D770F" w:rsidP="0041706D">
      <w:pPr>
        <w:pStyle w:val="Prrafodelista"/>
        <w:widowControl w:val="0"/>
        <w:numPr>
          <w:ilvl w:val="0"/>
          <w:numId w:val="21"/>
        </w:numPr>
        <w:tabs>
          <w:tab w:val="left" w:pos="567"/>
          <w:tab w:val="left" w:pos="7655"/>
        </w:tabs>
        <w:ind w:left="0" w:firstLine="0"/>
        <w:jc w:val="both"/>
        <w:rPr>
          <w:rFonts w:ascii="Arial" w:hAnsi="Arial" w:cs="Arial"/>
          <w:sz w:val="24"/>
          <w:szCs w:val="24"/>
        </w:rPr>
      </w:pPr>
      <w:r w:rsidRPr="0041706D">
        <w:rPr>
          <w:rFonts w:ascii="Arial" w:hAnsi="Arial" w:cs="Arial"/>
          <w:sz w:val="24"/>
          <w:szCs w:val="24"/>
        </w:rPr>
        <w:t xml:space="preserve">Por las razones expuestas, se revocará la sentencia proferida en primera instancia y, en su lugar, se negarán las pretensiones de la demanda. </w:t>
      </w:r>
    </w:p>
    <w:p w14:paraId="471F443E" w14:textId="77777777" w:rsidR="00B413FE" w:rsidRPr="0041706D" w:rsidRDefault="00B413FE" w:rsidP="0041706D">
      <w:pPr>
        <w:pStyle w:val="Prrafodelista"/>
        <w:widowControl w:val="0"/>
        <w:tabs>
          <w:tab w:val="left" w:pos="567"/>
          <w:tab w:val="left" w:pos="7655"/>
        </w:tabs>
        <w:ind w:left="0"/>
        <w:jc w:val="both"/>
        <w:rPr>
          <w:rFonts w:ascii="Arial" w:hAnsi="Arial" w:cs="Arial"/>
          <w:b/>
          <w:sz w:val="24"/>
          <w:szCs w:val="24"/>
          <w:lang w:eastAsia="es-CO"/>
        </w:rPr>
      </w:pPr>
    </w:p>
    <w:p w14:paraId="2BDBB9FF" w14:textId="41EC9DE7" w:rsidR="006D770F" w:rsidRPr="0041706D" w:rsidRDefault="006D770F" w:rsidP="0041706D">
      <w:pPr>
        <w:pStyle w:val="Prrafodelista"/>
        <w:widowControl w:val="0"/>
        <w:tabs>
          <w:tab w:val="left" w:pos="567"/>
          <w:tab w:val="left" w:pos="7655"/>
        </w:tabs>
        <w:ind w:left="0"/>
        <w:jc w:val="both"/>
        <w:rPr>
          <w:rFonts w:ascii="Arial" w:hAnsi="Arial" w:cs="Arial"/>
          <w:b/>
          <w:bCs/>
          <w:sz w:val="24"/>
          <w:szCs w:val="24"/>
          <w:lang w:eastAsia="es-CO"/>
        </w:rPr>
      </w:pPr>
      <w:r w:rsidRPr="0041706D">
        <w:rPr>
          <w:rFonts w:ascii="Arial" w:hAnsi="Arial" w:cs="Arial"/>
          <w:b/>
          <w:bCs/>
          <w:sz w:val="24"/>
          <w:szCs w:val="24"/>
          <w:lang w:eastAsia="es-CO"/>
        </w:rPr>
        <w:t xml:space="preserve">Condena en costas </w:t>
      </w:r>
    </w:p>
    <w:p w14:paraId="277B3C30" w14:textId="77777777" w:rsidR="006D770F" w:rsidRPr="0041706D" w:rsidRDefault="006D770F" w:rsidP="0041706D">
      <w:pPr>
        <w:pStyle w:val="Prrafodelista"/>
        <w:widowControl w:val="0"/>
        <w:tabs>
          <w:tab w:val="left" w:pos="567"/>
          <w:tab w:val="left" w:pos="7655"/>
        </w:tabs>
        <w:ind w:left="0"/>
        <w:jc w:val="both"/>
        <w:rPr>
          <w:rFonts w:ascii="Arial" w:hAnsi="Arial" w:cs="Arial"/>
          <w:sz w:val="24"/>
          <w:szCs w:val="24"/>
          <w:lang w:eastAsia="es-CO"/>
        </w:rPr>
      </w:pPr>
    </w:p>
    <w:p w14:paraId="3DC0BB07" w14:textId="32A62BE0" w:rsidR="006D770F" w:rsidRPr="0041706D" w:rsidRDefault="006D770F" w:rsidP="0041706D">
      <w:pPr>
        <w:pStyle w:val="Prrafodelista"/>
        <w:widowControl w:val="0"/>
        <w:numPr>
          <w:ilvl w:val="0"/>
          <w:numId w:val="21"/>
        </w:numPr>
        <w:tabs>
          <w:tab w:val="left" w:pos="567"/>
          <w:tab w:val="left" w:pos="7655"/>
        </w:tabs>
        <w:ind w:left="0" w:firstLine="0"/>
        <w:jc w:val="both"/>
        <w:rPr>
          <w:rFonts w:ascii="Arial" w:hAnsi="Arial" w:cs="Arial"/>
          <w:bCs/>
          <w:iCs/>
          <w:color w:val="000000"/>
          <w:sz w:val="24"/>
          <w:szCs w:val="24"/>
        </w:rPr>
      </w:pPr>
      <w:r w:rsidRPr="0041706D">
        <w:rPr>
          <w:rFonts w:ascii="Arial" w:hAnsi="Arial" w:cs="Arial"/>
          <w:sz w:val="24"/>
          <w:szCs w:val="24"/>
          <w:lang w:eastAsia="es-CO"/>
        </w:rPr>
        <w:t xml:space="preserve">La Sala destaca que este Tribunal, mediante la sentencia proferida el </w:t>
      </w:r>
      <w:r w:rsidRPr="0041706D">
        <w:rPr>
          <w:rFonts w:ascii="Arial" w:hAnsi="Arial" w:cs="Arial"/>
          <w:iCs/>
          <w:color w:val="000000"/>
          <w:sz w:val="24"/>
          <w:szCs w:val="24"/>
        </w:rPr>
        <w:t>24 de junio de 2020</w:t>
      </w:r>
      <w:r w:rsidRPr="0041706D">
        <w:rPr>
          <w:rStyle w:val="Refdenotaalpie"/>
          <w:rFonts w:ascii="Arial" w:hAnsi="Arial" w:cs="Arial"/>
          <w:iCs/>
          <w:color w:val="000000"/>
          <w:sz w:val="24"/>
          <w:szCs w:val="24"/>
        </w:rPr>
        <w:footnoteReference w:id="29"/>
      </w:r>
      <w:r w:rsidRPr="0041706D">
        <w:rPr>
          <w:rFonts w:ascii="Arial" w:hAnsi="Arial" w:cs="Arial"/>
          <w:iCs/>
          <w:color w:val="000000"/>
          <w:sz w:val="24"/>
          <w:szCs w:val="24"/>
        </w:rPr>
        <w:t>, antes de la vigencia de la Ley 2080 de 2021</w:t>
      </w:r>
      <w:r w:rsidRPr="0041706D">
        <w:rPr>
          <w:rStyle w:val="Refdenotaalpie"/>
          <w:rFonts w:ascii="Arial" w:hAnsi="Arial" w:cs="Arial"/>
          <w:b/>
          <w:iCs/>
          <w:color w:val="000000"/>
          <w:sz w:val="24"/>
          <w:szCs w:val="24"/>
        </w:rPr>
        <w:footnoteReference w:id="30"/>
      </w:r>
      <w:r w:rsidRPr="0041706D">
        <w:rPr>
          <w:rFonts w:ascii="Arial" w:hAnsi="Arial" w:cs="Arial"/>
          <w:iCs/>
          <w:color w:val="000000"/>
          <w:sz w:val="24"/>
          <w:szCs w:val="24"/>
        </w:rPr>
        <w:t xml:space="preserve">, resaltó que en materia de condena en costas existen diversas posiciones no consolidadas al interior del Consejo de Estado, en la medida en que en algunas oportunidades se aplica el criterio de valoración </w:t>
      </w:r>
      <w:r w:rsidRPr="0041706D">
        <w:rPr>
          <w:rFonts w:ascii="Arial" w:hAnsi="Arial" w:cs="Arial"/>
          <w:bCs/>
          <w:iCs/>
          <w:color w:val="000000"/>
          <w:sz w:val="24"/>
          <w:szCs w:val="24"/>
        </w:rPr>
        <w:t>de conducta de las partes -como mala fe y temeridad- y en otras el criterio objetivo determinado por su causación y por los eventos previstos en el artículo 365 del Código General del Proceso, lo cual le permite a la Sala</w:t>
      </w:r>
      <w:r w:rsidRPr="0041706D">
        <w:rPr>
          <w:rFonts w:ascii="Arial" w:hAnsi="Arial" w:cs="Arial"/>
          <w:b/>
          <w:bCs/>
          <w:iCs/>
          <w:color w:val="000000"/>
          <w:sz w:val="24"/>
          <w:szCs w:val="24"/>
        </w:rPr>
        <w:t xml:space="preserve"> </w:t>
      </w:r>
      <w:r w:rsidRPr="0041706D">
        <w:rPr>
          <w:rFonts w:ascii="Arial" w:hAnsi="Arial" w:cs="Arial"/>
          <w:bCs/>
          <w:iCs/>
          <w:color w:val="000000"/>
          <w:sz w:val="24"/>
          <w:szCs w:val="24"/>
        </w:rPr>
        <w:t>optar por el más favorable cuando se trata de trabajadores.</w:t>
      </w:r>
    </w:p>
    <w:p w14:paraId="25D3E139" w14:textId="77777777" w:rsidR="006D770F" w:rsidRPr="0041706D" w:rsidRDefault="006D770F" w:rsidP="0041706D">
      <w:pPr>
        <w:pStyle w:val="Prrafodelista"/>
        <w:widowControl w:val="0"/>
        <w:tabs>
          <w:tab w:val="left" w:pos="567"/>
          <w:tab w:val="left" w:pos="7655"/>
        </w:tabs>
        <w:ind w:left="0"/>
        <w:jc w:val="both"/>
        <w:rPr>
          <w:rFonts w:ascii="Arial" w:hAnsi="Arial" w:cs="Arial"/>
          <w:bCs/>
          <w:iCs/>
          <w:color w:val="000000"/>
          <w:sz w:val="24"/>
          <w:szCs w:val="24"/>
        </w:rPr>
      </w:pPr>
    </w:p>
    <w:p w14:paraId="4C740DD7" w14:textId="1B388CC8" w:rsidR="006D770F" w:rsidRPr="0041706D" w:rsidRDefault="006D770F" w:rsidP="0041706D">
      <w:pPr>
        <w:pStyle w:val="Prrafodelista"/>
        <w:widowControl w:val="0"/>
        <w:numPr>
          <w:ilvl w:val="0"/>
          <w:numId w:val="21"/>
        </w:numPr>
        <w:tabs>
          <w:tab w:val="left" w:pos="567"/>
          <w:tab w:val="left" w:pos="7655"/>
        </w:tabs>
        <w:ind w:left="0" w:firstLine="0"/>
        <w:jc w:val="both"/>
        <w:rPr>
          <w:rFonts w:ascii="Arial" w:hAnsi="Arial" w:cs="Arial"/>
          <w:color w:val="000000"/>
          <w:sz w:val="24"/>
          <w:szCs w:val="24"/>
        </w:rPr>
      </w:pPr>
      <w:r w:rsidRPr="0041706D">
        <w:rPr>
          <w:rFonts w:ascii="Arial" w:hAnsi="Arial" w:cs="Arial"/>
          <w:color w:val="000000" w:themeColor="text1"/>
          <w:sz w:val="24"/>
          <w:szCs w:val="24"/>
        </w:rPr>
        <w:t xml:space="preserve">En consecuencia, no se condenará en costas a la demandante, teniendo en cuenta que no se encuentra demostrada una conducta temeraria o de mala fe, máxime cuando el fundamento de esta providencia se centró en la sentencia de unificación proferida el 11 de junio de 2020. </w:t>
      </w:r>
    </w:p>
    <w:p w14:paraId="221F3C3A" w14:textId="77777777" w:rsidR="003B0E69" w:rsidRPr="0041706D" w:rsidRDefault="003B0E69" w:rsidP="0041706D">
      <w:pPr>
        <w:pStyle w:val="Prrafodelista"/>
        <w:ind w:left="0"/>
        <w:rPr>
          <w:rFonts w:ascii="Arial" w:hAnsi="Arial" w:cs="Arial"/>
          <w:bCs/>
          <w:iCs/>
          <w:color w:val="000000"/>
          <w:sz w:val="24"/>
          <w:szCs w:val="24"/>
        </w:rPr>
      </w:pPr>
    </w:p>
    <w:p w14:paraId="12E4768E" w14:textId="77777777" w:rsidR="006D770F" w:rsidRPr="0041706D" w:rsidRDefault="006D770F" w:rsidP="0041706D">
      <w:pPr>
        <w:pStyle w:val="Prrafodelista"/>
        <w:numPr>
          <w:ilvl w:val="3"/>
          <w:numId w:val="1"/>
        </w:numPr>
        <w:ind w:left="0" w:firstLine="0"/>
        <w:contextualSpacing/>
        <w:rPr>
          <w:rFonts w:ascii="Arial" w:hAnsi="Arial" w:cs="Arial"/>
          <w:b/>
          <w:bCs/>
          <w:szCs w:val="24"/>
          <w:shd w:val="clear" w:color="auto" w:fill="FFFFFF"/>
        </w:rPr>
      </w:pPr>
      <w:r w:rsidRPr="0041706D">
        <w:rPr>
          <w:rFonts w:ascii="Arial" w:hAnsi="Arial" w:cs="Arial"/>
          <w:b/>
          <w:bCs/>
          <w:sz w:val="24"/>
          <w:szCs w:val="24"/>
          <w:shd w:val="clear" w:color="auto" w:fill="FFFFFF"/>
        </w:rPr>
        <w:t>DECISIÓN</w:t>
      </w:r>
    </w:p>
    <w:p w14:paraId="61A4DE01" w14:textId="77777777" w:rsidR="006D770F" w:rsidRPr="0041706D" w:rsidRDefault="006D770F" w:rsidP="0041706D">
      <w:pPr>
        <w:pStyle w:val="Prrafodelista"/>
        <w:ind w:left="0"/>
        <w:contextualSpacing/>
        <w:rPr>
          <w:rFonts w:ascii="Arial" w:hAnsi="Arial" w:cs="Arial"/>
          <w:b/>
          <w:szCs w:val="24"/>
        </w:rPr>
      </w:pPr>
    </w:p>
    <w:p w14:paraId="0CE5C3F4" w14:textId="2C83AAC2" w:rsidR="006D770F" w:rsidRPr="0041706D" w:rsidRDefault="006D770F" w:rsidP="0041706D">
      <w:pPr>
        <w:tabs>
          <w:tab w:val="left" w:pos="-720"/>
        </w:tabs>
        <w:suppressAutoHyphens/>
        <w:contextualSpacing/>
        <w:jc w:val="both"/>
        <w:rPr>
          <w:rFonts w:ascii="Arial" w:hAnsi="Arial" w:cs="Arial"/>
          <w:iCs/>
          <w:sz w:val="24"/>
          <w:szCs w:val="24"/>
        </w:rPr>
      </w:pPr>
      <w:r w:rsidRPr="0041706D">
        <w:rPr>
          <w:rFonts w:ascii="Arial" w:hAnsi="Arial" w:cs="Arial"/>
          <w:iCs/>
          <w:sz w:val="24"/>
          <w:szCs w:val="24"/>
        </w:rPr>
        <w:t>En mérito de lo expuesto, la Sala de Decisión No. 3 del Tribunal Administrativo de Boyacá, administrando justicia en nombre de la República y por autoridad de la ley,</w:t>
      </w:r>
    </w:p>
    <w:p w14:paraId="659B1738" w14:textId="77777777" w:rsidR="006D770F" w:rsidRPr="0041706D" w:rsidRDefault="006D770F" w:rsidP="0041706D">
      <w:pPr>
        <w:tabs>
          <w:tab w:val="left" w:pos="-720"/>
        </w:tabs>
        <w:suppressAutoHyphens/>
        <w:contextualSpacing/>
        <w:jc w:val="both"/>
        <w:rPr>
          <w:rFonts w:ascii="Arial" w:hAnsi="Arial" w:cs="Arial"/>
          <w:iCs/>
          <w:sz w:val="24"/>
          <w:szCs w:val="24"/>
        </w:rPr>
      </w:pPr>
    </w:p>
    <w:p w14:paraId="09D6A64D" w14:textId="65E1452C" w:rsidR="006D770F" w:rsidRPr="0041706D" w:rsidRDefault="006D770F" w:rsidP="0041706D">
      <w:pPr>
        <w:contextualSpacing/>
        <w:jc w:val="center"/>
        <w:rPr>
          <w:rFonts w:ascii="Arial" w:hAnsi="Arial" w:cs="Arial"/>
          <w:b/>
          <w:bCs/>
          <w:sz w:val="24"/>
          <w:szCs w:val="24"/>
        </w:rPr>
      </w:pPr>
      <w:r w:rsidRPr="0041706D">
        <w:rPr>
          <w:rFonts w:ascii="Arial" w:hAnsi="Arial" w:cs="Arial"/>
          <w:b/>
          <w:bCs/>
          <w:sz w:val="24"/>
          <w:szCs w:val="24"/>
        </w:rPr>
        <w:t>III. FALLA:</w:t>
      </w:r>
    </w:p>
    <w:p w14:paraId="0AB67B1E" w14:textId="77777777" w:rsidR="006D770F" w:rsidRPr="0041706D" w:rsidRDefault="006D770F" w:rsidP="0041706D">
      <w:pPr>
        <w:contextualSpacing/>
        <w:jc w:val="center"/>
        <w:rPr>
          <w:rFonts w:ascii="Arial" w:hAnsi="Arial" w:cs="Arial"/>
          <w:b/>
          <w:iCs/>
          <w:sz w:val="24"/>
          <w:szCs w:val="24"/>
        </w:rPr>
      </w:pPr>
    </w:p>
    <w:p w14:paraId="159DE8A5" w14:textId="4D5D1140" w:rsidR="006D770F" w:rsidRPr="0041706D" w:rsidRDefault="006D770F" w:rsidP="0041706D">
      <w:pPr>
        <w:contextualSpacing/>
        <w:jc w:val="both"/>
        <w:rPr>
          <w:rFonts w:ascii="Arial" w:hAnsi="Arial" w:cs="Arial"/>
          <w:sz w:val="24"/>
          <w:szCs w:val="24"/>
        </w:rPr>
      </w:pPr>
      <w:r w:rsidRPr="0041706D">
        <w:rPr>
          <w:rFonts w:ascii="Arial" w:hAnsi="Arial" w:cs="Arial"/>
          <w:b/>
          <w:bCs/>
          <w:sz w:val="24"/>
          <w:szCs w:val="24"/>
        </w:rPr>
        <w:t xml:space="preserve">PRIMERO: REVOCAR </w:t>
      </w:r>
      <w:r w:rsidRPr="0041706D">
        <w:rPr>
          <w:rFonts w:ascii="Arial" w:hAnsi="Arial" w:cs="Arial"/>
          <w:sz w:val="24"/>
          <w:szCs w:val="24"/>
        </w:rPr>
        <w:t xml:space="preserve">la sentencia proferida el 17 de febrero de 2020 por el Juzgado Cuarto Administrativo del Circuito de Tunja, por las razones expuestas en la parte motiva de esta providencia. </w:t>
      </w:r>
    </w:p>
    <w:p w14:paraId="65F2C500" w14:textId="77777777" w:rsidR="006D770F" w:rsidRPr="0041706D" w:rsidRDefault="006D770F" w:rsidP="0041706D">
      <w:pPr>
        <w:contextualSpacing/>
        <w:jc w:val="both"/>
        <w:rPr>
          <w:rFonts w:ascii="Arial" w:hAnsi="Arial" w:cs="Arial"/>
          <w:bCs/>
          <w:sz w:val="24"/>
          <w:szCs w:val="24"/>
        </w:rPr>
      </w:pPr>
    </w:p>
    <w:p w14:paraId="2D7C80A5" w14:textId="2C6E5A89" w:rsidR="006D770F" w:rsidRPr="0041706D" w:rsidRDefault="006D770F" w:rsidP="0041706D">
      <w:pPr>
        <w:contextualSpacing/>
        <w:jc w:val="both"/>
        <w:rPr>
          <w:rFonts w:ascii="Arial" w:hAnsi="Arial" w:cs="Arial"/>
          <w:sz w:val="24"/>
          <w:szCs w:val="24"/>
        </w:rPr>
      </w:pPr>
      <w:r w:rsidRPr="0041706D">
        <w:rPr>
          <w:rFonts w:ascii="Arial" w:hAnsi="Arial" w:cs="Arial"/>
          <w:b/>
          <w:bCs/>
          <w:sz w:val="24"/>
          <w:szCs w:val="24"/>
        </w:rPr>
        <w:t xml:space="preserve">SEGUNDO: </w:t>
      </w:r>
      <w:r w:rsidRPr="0041706D">
        <w:rPr>
          <w:rFonts w:ascii="Arial" w:hAnsi="Arial" w:cs="Arial"/>
          <w:sz w:val="24"/>
          <w:szCs w:val="24"/>
        </w:rPr>
        <w:t xml:space="preserve">En su lugar, negar las pretensiones de la demanda, por las razones expuestas en la parte motiva de esta providencia. </w:t>
      </w:r>
    </w:p>
    <w:p w14:paraId="1C600625" w14:textId="77777777" w:rsidR="006D770F" w:rsidRPr="0041706D" w:rsidRDefault="006D770F" w:rsidP="0041706D">
      <w:pPr>
        <w:contextualSpacing/>
        <w:jc w:val="both"/>
        <w:rPr>
          <w:rFonts w:ascii="Arial" w:hAnsi="Arial" w:cs="Arial"/>
          <w:bCs/>
          <w:sz w:val="24"/>
          <w:szCs w:val="24"/>
        </w:rPr>
      </w:pPr>
    </w:p>
    <w:p w14:paraId="2AD888DE" w14:textId="17551C86" w:rsidR="006D770F" w:rsidRPr="0041706D" w:rsidRDefault="006D770F" w:rsidP="0041706D">
      <w:pPr>
        <w:contextualSpacing/>
        <w:jc w:val="both"/>
        <w:rPr>
          <w:rFonts w:ascii="Arial" w:hAnsi="Arial" w:cs="Arial"/>
          <w:sz w:val="24"/>
          <w:szCs w:val="24"/>
        </w:rPr>
      </w:pPr>
      <w:r w:rsidRPr="0041706D">
        <w:rPr>
          <w:rFonts w:ascii="Arial" w:hAnsi="Arial" w:cs="Arial"/>
          <w:b/>
          <w:bCs/>
          <w:sz w:val="24"/>
          <w:szCs w:val="24"/>
        </w:rPr>
        <w:t>TERCERO</w:t>
      </w:r>
      <w:r w:rsidRPr="0041706D">
        <w:rPr>
          <w:rFonts w:ascii="Arial" w:hAnsi="Arial" w:cs="Arial"/>
          <w:sz w:val="24"/>
          <w:szCs w:val="24"/>
        </w:rPr>
        <w:t xml:space="preserve">: No se condena en COSTAS a la parte demandante. </w:t>
      </w:r>
    </w:p>
    <w:p w14:paraId="500774CE" w14:textId="77777777" w:rsidR="006D770F" w:rsidRPr="0041706D" w:rsidRDefault="006D770F" w:rsidP="0041706D">
      <w:pPr>
        <w:contextualSpacing/>
        <w:jc w:val="both"/>
        <w:rPr>
          <w:rFonts w:ascii="Arial" w:hAnsi="Arial" w:cs="Arial"/>
          <w:b/>
          <w:sz w:val="24"/>
          <w:szCs w:val="24"/>
        </w:rPr>
      </w:pPr>
    </w:p>
    <w:p w14:paraId="4918D99A" w14:textId="77777777" w:rsidR="006D770F" w:rsidRPr="0041706D" w:rsidRDefault="006D770F" w:rsidP="0041706D">
      <w:pPr>
        <w:pStyle w:val="Prrafodelista"/>
        <w:widowControl w:val="0"/>
        <w:tabs>
          <w:tab w:val="left" w:pos="567"/>
          <w:tab w:val="left" w:pos="7655"/>
        </w:tabs>
        <w:ind w:left="0"/>
        <w:jc w:val="both"/>
        <w:rPr>
          <w:rFonts w:ascii="Arial" w:hAnsi="Arial" w:cs="Arial"/>
          <w:sz w:val="24"/>
          <w:szCs w:val="24"/>
        </w:rPr>
      </w:pPr>
      <w:r w:rsidRPr="0041706D">
        <w:rPr>
          <w:rFonts w:ascii="Arial" w:hAnsi="Arial" w:cs="Arial"/>
          <w:b/>
          <w:sz w:val="24"/>
          <w:szCs w:val="24"/>
        </w:rPr>
        <w:t xml:space="preserve">CUARTO: </w:t>
      </w:r>
      <w:r w:rsidRPr="0041706D">
        <w:rPr>
          <w:rFonts w:ascii="Arial" w:hAnsi="Arial" w:cs="Arial"/>
          <w:sz w:val="24"/>
          <w:szCs w:val="24"/>
        </w:rPr>
        <w:t>Una vez en firme esta providencia, por secretaría envíese al juzgado de origen.</w:t>
      </w:r>
    </w:p>
    <w:p w14:paraId="5960CFD2" w14:textId="77777777" w:rsidR="006D770F" w:rsidRPr="0041706D" w:rsidRDefault="006D770F" w:rsidP="0041706D">
      <w:pPr>
        <w:contextualSpacing/>
        <w:jc w:val="both"/>
        <w:rPr>
          <w:rFonts w:ascii="Arial" w:hAnsi="Arial" w:cs="Arial"/>
          <w:sz w:val="24"/>
          <w:szCs w:val="24"/>
        </w:rPr>
      </w:pPr>
    </w:p>
    <w:p w14:paraId="1DA775E0" w14:textId="77777777" w:rsidR="006D770F" w:rsidRPr="0041706D" w:rsidRDefault="006D770F" w:rsidP="0041706D">
      <w:pPr>
        <w:contextualSpacing/>
        <w:jc w:val="both"/>
        <w:rPr>
          <w:rFonts w:ascii="Arial" w:hAnsi="Arial" w:cs="Arial"/>
          <w:sz w:val="24"/>
          <w:szCs w:val="24"/>
        </w:rPr>
      </w:pPr>
      <w:r w:rsidRPr="0041706D">
        <w:rPr>
          <w:rFonts w:ascii="Arial" w:hAnsi="Arial" w:cs="Arial"/>
          <w:sz w:val="24"/>
          <w:szCs w:val="24"/>
        </w:rPr>
        <w:t>Esta providencia fue estudiada y aprobada en Sala virtual en sesión de la fecha.</w:t>
      </w:r>
    </w:p>
    <w:p w14:paraId="3C61C8B3" w14:textId="77777777" w:rsidR="006D770F" w:rsidRPr="0041706D" w:rsidRDefault="006D770F" w:rsidP="0041706D">
      <w:pPr>
        <w:contextualSpacing/>
        <w:jc w:val="both"/>
        <w:rPr>
          <w:rFonts w:ascii="Arial" w:hAnsi="Arial" w:cs="Arial"/>
          <w:sz w:val="24"/>
          <w:szCs w:val="24"/>
        </w:rPr>
      </w:pPr>
    </w:p>
    <w:p w14:paraId="0E5D48F5" w14:textId="77777777" w:rsidR="006D770F" w:rsidRPr="0041706D" w:rsidRDefault="006D770F" w:rsidP="0041706D">
      <w:pPr>
        <w:contextualSpacing/>
        <w:jc w:val="center"/>
        <w:rPr>
          <w:rFonts w:ascii="Arial" w:hAnsi="Arial" w:cs="Arial"/>
          <w:b/>
          <w:sz w:val="24"/>
          <w:szCs w:val="24"/>
        </w:rPr>
      </w:pPr>
      <w:r w:rsidRPr="0041706D">
        <w:rPr>
          <w:rFonts w:ascii="Arial" w:hAnsi="Arial" w:cs="Arial"/>
          <w:b/>
          <w:sz w:val="24"/>
          <w:szCs w:val="24"/>
        </w:rPr>
        <w:t>CÓPIESE, NOTIFÍQUESE Y CÚMPLASE</w:t>
      </w:r>
    </w:p>
    <w:p w14:paraId="2BC48EE2" w14:textId="77777777" w:rsidR="006D770F" w:rsidRPr="0041706D" w:rsidRDefault="006D770F" w:rsidP="0041706D">
      <w:pPr>
        <w:contextualSpacing/>
        <w:jc w:val="center"/>
        <w:rPr>
          <w:rFonts w:ascii="Arial" w:hAnsi="Arial" w:cs="Arial"/>
          <w:b/>
          <w:sz w:val="24"/>
          <w:szCs w:val="24"/>
        </w:rPr>
      </w:pPr>
    </w:p>
    <w:p w14:paraId="56E183B2" w14:textId="77777777" w:rsidR="006D770F" w:rsidRPr="0041706D" w:rsidRDefault="006D770F" w:rsidP="0041706D">
      <w:pPr>
        <w:contextualSpacing/>
        <w:jc w:val="center"/>
        <w:rPr>
          <w:rFonts w:ascii="Arial" w:hAnsi="Arial" w:cs="Arial"/>
          <w:bCs/>
          <w:i/>
          <w:iCs/>
          <w:sz w:val="24"/>
          <w:szCs w:val="24"/>
        </w:rPr>
      </w:pPr>
      <w:r w:rsidRPr="0041706D">
        <w:rPr>
          <w:rFonts w:ascii="Arial" w:hAnsi="Arial" w:cs="Arial"/>
          <w:bCs/>
          <w:i/>
          <w:iCs/>
          <w:sz w:val="24"/>
          <w:szCs w:val="24"/>
        </w:rPr>
        <w:t>Firmado electrónicamente</w:t>
      </w:r>
    </w:p>
    <w:p w14:paraId="24862646" w14:textId="77777777" w:rsidR="006D770F" w:rsidRPr="0041706D" w:rsidRDefault="006D770F" w:rsidP="0041706D">
      <w:pPr>
        <w:contextualSpacing/>
        <w:jc w:val="center"/>
        <w:rPr>
          <w:rFonts w:ascii="Arial" w:hAnsi="Arial" w:cs="Arial"/>
          <w:b/>
          <w:bCs/>
          <w:sz w:val="24"/>
          <w:szCs w:val="24"/>
        </w:rPr>
      </w:pPr>
      <w:r w:rsidRPr="0041706D">
        <w:rPr>
          <w:rFonts w:ascii="Arial" w:hAnsi="Arial" w:cs="Arial"/>
          <w:b/>
          <w:bCs/>
          <w:sz w:val="24"/>
          <w:szCs w:val="24"/>
        </w:rPr>
        <w:t>DAYÁN ALBERTO BLANCO LEGUÍZAMO</w:t>
      </w:r>
    </w:p>
    <w:p w14:paraId="49770067" w14:textId="77777777" w:rsidR="006D770F" w:rsidRPr="0041706D" w:rsidRDefault="006D770F" w:rsidP="0041706D">
      <w:pPr>
        <w:contextualSpacing/>
        <w:jc w:val="center"/>
        <w:rPr>
          <w:rFonts w:ascii="Arial" w:hAnsi="Arial" w:cs="Arial"/>
          <w:b/>
          <w:bCs/>
          <w:sz w:val="24"/>
          <w:szCs w:val="24"/>
        </w:rPr>
      </w:pPr>
      <w:r w:rsidRPr="0041706D">
        <w:rPr>
          <w:rFonts w:ascii="Arial" w:hAnsi="Arial" w:cs="Arial"/>
          <w:b/>
          <w:bCs/>
          <w:sz w:val="24"/>
          <w:szCs w:val="24"/>
        </w:rPr>
        <w:t>Magistrado</w:t>
      </w:r>
    </w:p>
    <w:p w14:paraId="36FA870D" w14:textId="77777777" w:rsidR="00C87487" w:rsidRPr="0041706D" w:rsidRDefault="00C87487" w:rsidP="0041706D">
      <w:pPr>
        <w:pStyle w:val="paragraph"/>
        <w:spacing w:before="0" w:beforeAutospacing="0" w:after="0" w:afterAutospacing="0"/>
        <w:jc w:val="center"/>
        <w:textAlignment w:val="baseline"/>
        <w:rPr>
          <w:rStyle w:val="eop"/>
          <w:rFonts w:ascii="Arial" w:hAnsi="Arial" w:cs="Arial"/>
        </w:rPr>
      </w:pPr>
    </w:p>
    <w:p w14:paraId="77D3BA42" w14:textId="70ACF9DD" w:rsidR="006D770F" w:rsidRPr="0041706D" w:rsidRDefault="006D770F" w:rsidP="0041706D">
      <w:pPr>
        <w:pStyle w:val="paragraph"/>
        <w:spacing w:before="0" w:beforeAutospacing="0" w:after="0" w:afterAutospacing="0"/>
        <w:jc w:val="center"/>
        <w:textAlignment w:val="baseline"/>
        <w:rPr>
          <w:rFonts w:ascii="Arial" w:hAnsi="Arial" w:cs="Arial"/>
          <w:sz w:val="18"/>
          <w:szCs w:val="18"/>
        </w:rPr>
      </w:pPr>
      <w:r w:rsidRPr="0041706D">
        <w:rPr>
          <w:rStyle w:val="eop"/>
          <w:rFonts w:ascii="Arial" w:hAnsi="Arial" w:cs="Arial"/>
        </w:rPr>
        <w:t> </w:t>
      </w:r>
      <w:r w:rsidRPr="0041706D">
        <w:rPr>
          <w:rStyle w:val="normaltextrun"/>
          <w:rFonts w:ascii="Arial" w:hAnsi="Arial" w:cs="Arial"/>
          <w:i/>
          <w:iCs/>
          <w:lang w:val="es-ES"/>
        </w:rPr>
        <w:t>Firmado electrónicamente</w:t>
      </w:r>
    </w:p>
    <w:p w14:paraId="109D755C" w14:textId="77777777" w:rsidR="006D770F" w:rsidRPr="0041706D" w:rsidRDefault="006D770F" w:rsidP="0041706D">
      <w:pPr>
        <w:pStyle w:val="paragraph"/>
        <w:spacing w:before="0" w:beforeAutospacing="0" w:after="0" w:afterAutospacing="0"/>
        <w:jc w:val="center"/>
        <w:textAlignment w:val="baseline"/>
        <w:rPr>
          <w:rFonts w:ascii="Arial" w:hAnsi="Arial" w:cs="Arial"/>
          <w:sz w:val="18"/>
          <w:szCs w:val="18"/>
        </w:rPr>
      </w:pPr>
      <w:r w:rsidRPr="0041706D">
        <w:rPr>
          <w:rStyle w:val="normaltextrun"/>
          <w:rFonts w:ascii="Arial" w:hAnsi="Arial" w:cs="Arial"/>
          <w:b/>
          <w:bCs/>
        </w:rPr>
        <w:t>JOSÉ ASCENCIÓN FERNÁNDEZ OSORIO</w:t>
      </w:r>
    </w:p>
    <w:p w14:paraId="03ABF5CF" w14:textId="77777777" w:rsidR="006D770F" w:rsidRPr="0041706D" w:rsidRDefault="006D770F" w:rsidP="0041706D">
      <w:pPr>
        <w:pStyle w:val="paragraph"/>
        <w:spacing w:before="0" w:beforeAutospacing="0" w:after="0" w:afterAutospacing="0"/>
        <w:jc w:val="center"/>
        <w:textAlignment w:val="baseline"/>
        <w:rPr>
          <w:rFonts w:ascii="Arial" w:hAnsi="Arial" w:cs="Arial"/>
          <w:sz w:val="18"/>
          <w:szCs w:val="18"/>
        </w:rPr>
      </w:pPr>
      <w:r w:rsidRPr="0041706D">
        <w:rPr>
          <w:rStyle w:val="normaltextrun"/>
          <w:rFonts w:ascii="Arial" w:hAnsi="Arial" w:cs="Arial"/>
          <w:b/>
          <w:bCs/>
          <w:lang w:val="es-ES"/>
        </w:rPr>
        <w:t>Magistrado</w:t>
      </w:r>
    </w:p>
    <w:p w14:paraId="7701C031" w14:textId="77777777" w:rsidR="006D770F" w:rsidRPr="0041706D" w:rsidRDefault="006D770F" w:rsidP="0041706D">
      <w:pPr>
        <w:contextualSpacing/>
        <w:jc w:val="center"/>
        <w:rPr>
          <w:rFonts w:ascii="Arial" w:hAnsi="Arial" w:cs="Arial"/>
          <w:b/>
          <w:bCs/>
          <w:sz w:val="24"/>
          <w:szCs w:val="24"/>
        </w:rPr>
      </w:pPr>
    </w:p>
    <w:p w14:paraId="19370845" w14:textId="77777777" w:rsidR="006D770F" w:rsidRPr="0041706D" w:rsidRDefault="006D770F" w:rsidP="0041706D">
      <w:pPr>
        <w:contextualSpacing/>
        <w:jc w:val="center"/>
        <w:rPr>
          <w:rFonts w:ascii="Arial" w:hAnsi="Arial" w:cs="Arial"/>
          <w:b/>
          <w:bCs/>
          <w:sz w:val="24"/>
          <w:szCs w:val="24"/>
        </w:rPr>
      </w:pPr>
    </w:p>
    <w:p w14:paraId="6F450B44" w14:textId="77777777" w:rsidR="006D770F" w:rsidRPr="0041706D" w:rsidRDefault="006D770F" w:rsidP="0041706D">
      <w:pPr>
        <w:contextualSpacing/>
        <w:jc w:val="center"/>
        <w:rPr>
          <w:rFonts w:ascii="Arial" w:hAnsi="Arial" w:cs="Arial"/>
          <w:bCs/>
          <w:i/>
          <w:iCs/>
          <w:sz w:val="24"/>
          <w:szCs w:val="24"/>
        </w:rPr>
      </w:pPr>
      <w:r w:rsidRPr="0041706D">
        <w:rPr>
          <w:rFonts w:ascii="Arial" w:hAnsi="Arial" w:cs="Arial"/>
          <w:bCs/>
          <w:i/>
          <w:iCs/>
          <w:sz w:val="24"/>
          <w:szCs w:val="24"/>
        </w:rPr>
        <w:t>Firmado electrónicamente</w:t>
      </w:r>
    </w:p>
    <w:p w14:paraId="46CE257E" w14:textId="77777777" w:rsidR="006D770F" w:rsidRPr="0041706D" w:rsidRDefault="006D770F" w:rsidP="0041706D">
      <w:pPr>
        <w:contextualSpacing/>
        <w:jc w:val="center"/>
        <w:rPr>
          <w:rFonts w:ascii="Arial" w:hAnsi="Arial" w:cs="Arial"/>
          <w:b/>
          <w:bCs/>
          <w:sz w:val="24"/>
          <w:szCs w:val="24"/>
        </w:rPr>
      </w:pPr>
      <w:r w:rsidRPr="0041706D">
        <w:rPr>
          <w:rFonts w:ascii="Arial" w:hAnsi="Arial" w:cs="Arial"/>
          <w:b/>
          <w:bCs/>
          <w:sz w:val="24"/>
          <w:szCs w:val="24"/>
        </w:rPr>
        <w:t>BEATRIZ TERESA GALVIS BUSTOS</w:t>
      </w:r>
    </w:p>
    <w:p w14:paraId="31645DBC" w14:textId="7FF77AAE" w:rsidR="006D770F" w:rsidRPr="0041706D" w:rsidRDefault="006D770F" w:rsidP="0041706D">
      <w:pPr>
        <w:contextualSpacing/>
        <w:jc w:val="center"/>
        <w:rPr>
          <w:rFonts w:ascii="Arial" w:hAnsi="Arial" w:cs="Arial"/>
        </w:rPr>
      </w:pPr>
      <w:r w:rsidRPr="0041706D">
        <w:rPr>
          <w:rFonts w:ascii="Arial" w:hAnsi="Arial" w:cs="Arial"/>
          <w:b/>
          <w:bCs/>
          <w:sz w:val="24"/>
          <w:szCs w:val="24"/>
        </w:rPr>
        <w:t>Magistrada</w:t>
      </w:r>
    </w:p>
    <w:p w14:paraId="44453B61" w14:textId="77777777" w:rsidR="00ED676D" w:rsidRPr="0041706D" w:rsidRDefault="00ED676D" w:rsidP="0041706D">
      <w:pPr>
        <w:tabs>
          <w:tab w:val="left" w:pos="7655"/>
        </w:tabs>
        <w:rPr>
          <w:rFonts w:ascii="Arial" w:eastAsia="Segoe UI" w:hAnsi="Arial" w:cs="Arial"/>
          <w:color w:val="000000" w:themeColor="text1"/>
          <w:sz w:val="24"/>
          <w:szCs w:val="24"/>
        </w:rPr>
      </w:pPr>
    </w:p>
    <w:p w14:paraId="2AE05B01" w14:textId="2D486BB8" w:rsidR="005F2C44" w:rsidRPr="0041706D" w:rsidRDefault="005F2C44" w:rsidP="0041706D">
      <w:pPr>
        <w:tabs>
          <w:tab w:val="left" w:pos="7655"/>
        </w:tabs>
        <w:jc w:val="center"/>
        <w:rPr>
          <w:rFonts w:ascii="Arial" w:hAnsi="Arial" w:cs="Arial"/>
          <w:sz w:val="24"/>
          <w:szCs w:val="24"/>
        </w:rPr>
      </w:pPr>
    </w:p>
    <w:p w14:paraId="7C0FF054" w14:textId="77777777" w:rsidR="00867345" w:rsidRPr="0041706D" w:rsidRDefault="00867345" w:rsidP="0041706D">
      <w:pPr>
        <w:widowControl w:val="0"/>
        <w:tabs>
          <w:tab w:val="left" w:pos="7655"/>
        </w:tabs>
        <w:rPr>
          <w:rFonts w:ascii="Arial" w:hAnsi="Arial" w:cs="Arial"/>
          <w:sz w:val="24"/>
          <w:szCs w:val="24"/>
        </w:rPr>
      </w:pPr>
    </w:p>
    <w:sectPr w:rsidR="00867345" w:rsidRPr="0041706D" w:rsidSect="006D770F">
      <w:headerReference w:type="even" r:id="rId11"/>
      <w:headerReference w:type="default" r:id="rId12"/>
      <w:footerReference w:type="even" r:id="rId13"/>
      <w:footerReference w:type="default" r:id="rId14"/>
      <w:headerReference w:type="first" r:id="rId15"/>
      <w:footerReference w:type="first" r:id="rId16"/>
      <w:pgSz w:w="12242" w:h="18722" w:code="14"/>
      <w:pgMar w:top="2268" w:right="2098" w:bottom="1644" w:left="1985" w:header="0" w:footer="113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DBBF6" w14:textId="77777777" w:rsidR="00D731E8" w:rsidRDefault="00D731E8" w:rsidP="005F2C44">
      <w:r>
        <w:separator/>
      </w:r>
    </w:p>
  </w:endnote>
  <w:endnote w:type="continuationSeparator" w:id="0">
    <w:p w14:paraId="6BAB3216" w14:textId="77777777" w:rsidR="00D731E8" w:rsidRDefault="00D731E8" w:rsidP="005F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no Pro">
    <w:altName w:val="Constantia"/>
    <w:panose1 w:val="00000000000000000000"/>
    <w:charset w:val="00"/>
    <w:family w:val="roman"/>
    <w:notTrueType/>
    <w:pitch w:val="variable"/>
    <w:sig w:usb0="60000287" w:usb1="00000001" w:usb2="00000000" w:usb3="00000000" w:csb0="0000019F" w:csb1="00000000"/>
  </w:font>
  <w:font w:name="Roman 10cpi">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60CD2" w14:textId="77777777" w:rsidR="006D770F" w:rsidRDefault="006D770F" w:rsidP="005631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169EC5" w14:textId="77777777" w:rsidR="006D770F" w:rsidRDefault="006D770F" w:rsidP="005631C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6158161"/>
      <w:docPartObj>
        <w:docPartGallery w:val="Page Numbers (Bottom of Page)"/>
        <w:docPartUnique/>
      </w:docPartObj>
    </w:sdtPr>
    <w:sdtEndPr>
      <w:rPr>
        <w:rFonts w:ascii="Arial" w:hAnsi="Arial" w:cs="Arial"/>
      </w:rPr>
    </w:sdtEndPr>
    <w:sdtContent>
      <w:p w14:paraId="40AFE2AF" w14:textId="7104F911" w:rsidR="006D770F" w:rsidRPr="00871747" w:rsidRDefault="006D770F">
        <w:pPr>
          <w:pStyle w:val="Piedepgina"/>
          <w:jc w:val="center"/>
          <w:rPr>
            <w:rFonts w:ascii="Arial" w:hAnsi="Arial" w:cs="Arial"/>
          </w:rPr>
        </w:pPr>
        <w:r w:rsidRPr="00871747">
          <w:rPr>
            <w:rFonts w:ascii="Arial" w:hAnsi="Arial" w:cs="Arial"/>
          </w:rPr>
          <w:fldChar w:fldCharType="begin"/>
        </w:r>
        <w:r w:rsidRPr="00871747">
          <w:rPr>
            <w:rFonts w:ascii="Arial" w:hAnsi="Arial" w:cs="Arial"/>
          </w:rPr>
          <w:instrText>PAGE   \* MERGEFORMAT</w:instrText>
        </w:r>
        <w:r w:rsidRPr="00871747">
          <w:rPr>
            <w:rFonts w:ascii="Arial" w:hAnsi="Arial" w:cs="Arial"/>
          </w:rPr>
          <w:fldChar w:fldCharType="separate"/>
        </w:r>
        <w:r w:rsidRPr="00DB5727">
          <w:rPr>
            <w:rFonts w:ascii="Arial" w:hAnsi="Arial" w:cs="Arial"/>
            <w:noProof/>
            <w:lang w:val="es-ES"/>
          </w:rPr>
          <w:t>20</w:t>
        </w:r>
        <w:r w:rsidRPr="00871747">
          <w:rPr>
            <w:rFonts w:ascii="Arial" w:hAnsi="Arial" w:cs="Arial"/>
          </w:rPr>
          <w:fldChar w:fldCharType="end"/>
        </w:r>
      </w:p>
    </w:sdtContent>
  </w:sdt>
  <w:p w14:paraId="25BB4812" w14:textId="77777777" w:rsidR="006D770F" w:rsidRDefault="006D770F">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27C90" w14:textId="77777777" w:rsidR="006D770F" w:rsidRDefault="006D770F" w:rsidP="005631CA">
    <w:pPr>
      <w:pStyle w:val="Piedepgina"/>
      <w:tabs>
        <w:tab w:val="clear" w:pos="4419"/>
        <w:tab w:val="clear" w:pos="8838"/>
        <w:tab w:val="left" w:pos="30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240BC" w14:textId="77777777" w:rsidR="00D731E8" w:rsidRDefault="00D731E8" w:rsidP="005F2C44">
      <w:r>
        <w:separator/>
      </w:r>
    </w:p>
  </w:footnote>
  <w:footnote w:type="continuationSeparator" w:id="0">
    <w:p w14:paraId="211236D5" w14:textId="77777777" w:rsidR="00D731E8" w:rsidRDefault="00D731E8" w:rsidP="005F2C44">
      <w:r>
        <w:continuationSeparator/>
      </w:r>
    </w:p>
  </w:footnote>
  <w:footnote w:id="1">
    <w:p w14:paraId="4D50BA11" w14:textId="6171231E" w:rsidR="006D770F" w:rsidRPr="003D29B6" w:rsidRDefault="006D770F" w:rsidP="003D29B6">
      <w:pPr>
        <w:pStyle w:val="Textonotapie"/>
        <w:jc w:val="both"/>
        <w:rPr>
          <w:rFonts w:ascii="Arial" w:hAnsi="Arial" w:cs="Arial"/>
          <w:sz w:val="16"/>
          <w:szCs w:val="16"/>
          <w:lang w:val="es-ES"/>
        </w:rPr>
      </w:pPr>
      <w:r w:rsidRPr="003D29B6">
        <w:rPr>
          <w:rStyle w:val="Refdenotaalpie"/>
          <w:rFonts w:ascii="Arial" w:hAnsi="Arial" w:cs="Arial"/>
          <w:sz w:val="16"/>
          <w:szCs w:val="16"/>
        </w:rPr>
        <w:footnoteRef/>
      </w:r>
      <w:r w:rsidRPr="003D29B6">
        <w:rPr>
          <w:rFonts w:ascii="Arial" w:hAnsi="Arial" w:cs="Arial"/>
          <w:sz w:val="16"/>
          <w:szCs w:val="16"/>
        </w:rPr>
        <w:t xml:space="preserve"> </w:t>
      </w:r>
      <w:r w:rsidRPr="003D29B6">
        <w:rPr>
          <w:rFonts w:ascii="Arial" w:hAnsi="Arial" w:cs="Arial"/>
          <w:sz w:val="16"/>
          <w:szCs w:val="16"/>
          <w:lang w:val="es-ES"/>
        </w:rPr>
        <w:t>Folios 103 a 110</w:t>
      </w:r>
    </w:p>
  </w:footnote>
  <w:footnote w:id="2">
    <w:p w14:paraId="1F11E012" w14:textId="1B8B2D48" w:rsidR="006D770F" w:rsidRPr="003D29B6" w:rsidRDefault="006D770F" w:rsidP="003D29B6">
      <w:pPr>
        <w:pStyle w:val="Textonotapie"/>
        <w:jc w:val="both"/>
        <w:rPr>
          <w:rFonts w:ascii="Arial" w:hAnsi="Arial" w:cs="Arial"/>
          <w:sz w:val="16"/>
          <w:szCs w:val="16"/>
          <w:lang w:val="es-ES"/>
        </w:rPr>
      </w:pPr>
      <w:r w:rsidRPr="003D29B6">
        <w:rPr>
          <w:rStyle w:val="Refdenotaalpie"/>
          <w:rFonts w:ascii="Arial" w:hAnsi="Arial" w:cs="Arial"/>
          <w:sz w:val="16"/>
          <w:szCs w:val="16"/>
        </w:rPr>
        <w:footnoteRef/>
      </w:r>
      <w:r w:rsidRPr="003D29B6">
        <w:rPr>
          <w:rFonts w:ascii="Arial" w:hAnsi="Arial" w:cs="Arial"/>
          <w:sz w:val="16"/>
          <w:szCs w:val="16"/>
        </w:rPr>
        <w:t xml:space="preserve"> </w:t>
      </w:r>
      <w:r w:rsidRPr="003D29B6">
        <w:rPr>
          <w:rFonts w:ascii="Arial" w:hAnsi="Arial" w:cs="Arial"/>
          <w:sz w:val="16"/>
          <w:szCs w:val="16"/>
          <w:lang w:val="es-ES"/>
        </w:rPr>
        <w:t>Folios 72 a 101</w:t>
      </w:r>
    </w:p>
  </w:footnote>
  <w:footnote w:id="3">
    <w:p w14:paraId="67D71957" w14:textId="05C6C262" w:rsidR="006D770F" w:rsidRPr="003D29B6" w:rsidRDefault="006D770F" w:rsidP="003D29B6">
      <w:pPr>
        <w:pStyle w:val="Textonotapie"/>
        <w:jc w:val="both"/>
        <w:rPr>
          <w:rFonts w:ascii="Arial" w:hAnsi="Arial" w:cs="Arial"/>
          <w:sz w:val="16"/>
          <w:szCs w:val="16"/>
          <w:lang w:val="es-ES"/>
        </w:rPr>
      </w:pPr>
      <w:r w:rsidRPr="003D29B6">
        <w:rPr>
          <w:rStyle w:val="Refdenotaalpie"/>
          <w:rFonts w:ascii="Arial" w:hAnsi="Arial" w:cs="Arial"/>
          <w:sz w:val="16"/>
          <w:szCs w:val="16"/>
        </w:rPr>
        <w:footnoteRef/>
      </w:r>
      <w:r w:rsidRPr="003D29B6">
        <w:rPr>
          <w:rFonts w:ascii="Arial" w:hAnsi="Arial" w:cs="Arial"/>
          <w:sz w:val="16"/>
          <w:szCs w:val="16"/>
        </w:rPr>
        <w:t xml:space="preserve"> </w:t>
      </w:r>
      <w:r w:rsidRPr="003D29B6">
        <w:rPr>
          <w:rFonts w:ascii="Arial" w:hAnsi="Arial" w:cs="Arial"/>
          <w:sz w:val="16"/>
          <w:szCs w:val="16"/>
          <w:lang w:val="es-ES"/>
        </w:rPr>
        <w:t>Folios 61 a 64</w:t>
      </w:r>
    </w:p>
  </w:footnote>
  <w:footnote w:id="4">
    <w:p w14:paraId="314EB22F" w14:textId="746E112A" w:rsidR="006D770F" w:rsidRPr="003D29B6" w:rsidRDefault="006D770F" w:rsidP="003D29B6">
      <w:pPr>
        <w:pStyle w:val="Textonotapie"/>
        <w:jc w:val="both"/>
        <w:rPr>
          <w:rFonts w:ascii="Arial" w:hAnsi="Arial" w:cs="Arial"/>
          <w:sz w:val="16"/>
          <w:szCs w:val="16"/>
        </w:rPr>
      </w:pPr>
      <w:r w:rsidRPr="003D29B6">
        <w:rPr>
          <w:rStyle w:val="Refdenotaalpie"/>
          <w:rFonts w:ascii="Arial" w:hAnsi="Arial" w:cs="Arial"/>
          <w:sz w:val="16"/>
          <w:szCs w:val="16"/>
        </w:rPr>
        <w:footnoteRef/>
      </w:r>
      <w:r w:rsidRPr="003D29B6">
        <w:rPr>
          <w:rFonts w:ascii="Arial" w:hAnsi="Arial" w:cs="Arial"/>
          <w:sz w:val="16"/>
          <w:szCs w:val="16"/>
        </w:rPr>
        <w:t xml:space="preserve"> Folios 4 a 16</w:t>
      </w:r>
      <w:r w:rsidR="00F83214" w:rsidRPr="003D29B6">
        <w:rPr>
          <w:rFonts w:ascii="Arial" w:hAnsi="Arial" w:cs="Arial"/>
          <w:sz w:val="16"/>
          <w:szCs w:val="16"/>
        </w:rPr>
        <w:t xml:space="preserve"> y </w:t>
      </w:r>
      <w:r w:rsidRPr="003D29B6">
        <w:rPr>
          <w:rFonts w:ascii="Arial" w:hAnsi="Arial" w:cs="Arial"/>
          <w:sz w:val="16"/>
          <w:szCs w:val="16"/>
        </w:rPr>
        <w:t>37 a 45</w:t>
      </w:r>
    </w:p>
  </w:footnote>
  <w:footnote w:id="5">
    <w:p w14:paraId="28611073" w14:textId="0071F1EC" w:rsidR="006D770F" w:rsidRPr="003D29B6" w:rsidRDefault="006D770F" w:rsidP="003D29B6">
      <w:pPr>
        <w:pStyle w:val="Textonotapie"/>
        <w:jc w:val="both"/>
        <w:rPr>
          <w:rFonts w:ascii="Arial" w:hAnsi="Arial" w:cs="Arial"/>
          <w:sz w:val="16"/>
          <w:szCs w:val="16"/>
          <w:lang w:val="es-ES"/>
        </w:rPr>
      </w:pPr>
      <w:r w:rsidRPr="003D29B6">
        <w:rPr>
          <w:rStyle w:val="Refdenotaalpie"/>
          <w:rFonts w:ascii="Arial" w:hAnsi="Arial" w:cs="Arial"/>
          <w:sz w:val="16"/>
          <w:szCs w:val="16"/>
        </w:rPr>
        <w:footnoteRef/>
      </w:r>
      <w:r w:rsidRPr="003D29B6">
        <w:rPr>
          <w:rFonts w:ascii="Arial" w:hAnsi="Arial" w:cs="Arial"/>
          <w:sz w:val="16"/>
          <w:szCs w:val="16"/>
        </w:rPr>
        <w:t xml:space="preserve"> </w:t>
      </w:r>
      <w:r w:rsidRPr="003D29B6">
        <w:rPr>
          <w:rFonts w:ascii="Arial" w:hAnsi="Arial" w:cs="Arial"/>
          <w:sz w:val="16"/>
          <w:szCs w:val="16"/>
          <w:lang w:val="es-ES"/>
        </w:rPr>
        <w:t>Folios 117 a 146</w:t>
      </w:r>
    </w:p>
  </w:footnote>
  <w:footnote w:id="6">
    <w:p w14:paraId="64A476D7" w14:textId="58400C88" w:rsidR="006D770F" w:rsidRPr="003D29B6" w:rsidRDefault="006D770F" w:rsidP="003D29B6">
      <w:pPr>
        <w:pStyle w:val="Textonotapie"/>
        <w:jc w:val="both"/>
        <w:rPr>
          <w:rFonts w:ascii="Arial" w:hAnsi="Arial" w:cs="Arial"/>
          <w:sz w:val="16"/>
          <w:szCs w:val="16"/>
          <w:lang w:val="es-ES"/>
        </w:rPr>
      </w:pPr>
      <w:r w:rsidRPr="003D29B6">
        <w:rPr>
          <w:rStyle w:val="Refdenotaalpie"/>
          <w:rFonts w:ascii="Arial" w:hAnsi="Arial" w:cs="Arial"/>
          <w:sz w:val="16"/>
          <w:szCs w:val="16"/>
        </w:rPr>
        <w:footnoteRef/>
      </w:r>
      <w:r w:rsidRPr="003D29B6">
        <w:rPr>
          <w:rFonts w:ascii="Arial" w:hAnsi="Arial" w:cs="Arial"/>
          <w:sz w:val="16"/>
          <w:szCs w:val="16"/>
        </w:rPr>
        <w:t xml:space="preserve"> </w:t>
      </w:r>
      <w:r w:rsidRPr="003D29B6">
        <w:rPr>
          <w:rFonts w:ascii="Arial" w:hAnsi="Arial" w:cs="Arial"/>
          <w:sz w:val="16"/>
          <w:szCs w:val="16"/>
          <w:lang w:val="es-ES"/>
        </w:rPr>
        <w:t xml:space="preserve">En relación con este aspecto, en la contestación se adujo lo siguiente: </w:t>
      </w:r>
      <w:r w:rsidRPr="003D29B6">
        <w:rPr>
          <w:rFonts w:ascii="Arial" w:hAnsi="Arial" w:cs="Arial"/>
          <w:i/>
          <w:sz w:val="16"/>
          <w:szCs w:val="16"/>
          <w:lang w:val="es-ES"/>
        </w:rPr>
        <w:t>“[…] de la lectura de las pretensiones de la demanda, la libelista solicita la reliquidación pensional con la inclusión de los factores salariales devengados en el último año de servicios conforme al Decreto 546 de 1971 y sobre el 90% a la luz del Decreto 758 de 1990. Por manera, que teniendo en cuenta que al solicitar se liquide con el 90% conforme a lo establecido en el decreto 758 de 1990, se excluye su pretensión principal de liquidación conforme a lo establecido en el Decreto – Ley 546 de 1971 […</w:t>
      </w:r>
      <w:proofErr w:type="gramStart"/>
      <w:r w:rsidRPr="003D29B6">
        <w:rPr>
          <w:rFonts w:ascii="Arial" w:hAnsi="Arial" w:cs="Arial"/>
          <w:i/>
          <w:sz w:val="16"/>
          <w:szCs w:val="16"/>
          <w:lang w:val="es-ES"/>
        </w:rPr>
        <w:t>]”</w:t>
      </w:r>
      <w:r w:rsidRPr="003D29B6">
        <w:rPr>
          <w:rFonts w:ascii="Arial" w:hAnsi="Arial" w:cs="Arial"/>
          <w:sz w:val="16"/>
          <w:szCs w:val="16"/>
          <w:lang w:val="es-ES"/>
        </w:rPr>
        <w:t>(</w:t>
      </w:r>
      <w:proofErr w:type="gramEnd"/>
      <w:r w:rsidRPr="003D29B6">
        <w:rPr>
          <w:rFonts w:ascii="Arial" w:hAnsi="Arial" w:cs="Arial"/>
          <w:sz w:val="16"/>
          <w:szCs w:val="16"/>
          <w:lang w:val="es-ES"/>
        </w:rPr>
        <w:t>Folio 144).</w:t>
      </w:r>
    </w:p>
  </w:footnote>
  <w:footnote w:id="7">
    <w:p w14:paraId="17C6DC5A" w14:textId="50EAA61F" w:rsidR="006D770F" w:rsidRPr="003D29B6" w:rsidRDefault="006D770F" w:rsidP="003D29B6">
      <w:pPr>
        <w:pStyle w:val="Textonotapie"/>
        <w:jc w:val="both"/>
        <w:rPr>
          <w:rFonts w:ascii="Arial" w:hAnsi="Arial" w:cs="Arial"/>
          <w:sz w:val="16"/>
          <w:szCs w:val="16"/>
        </w:rPr>
      </w:pPr>
      <w:r w:rsidRPr="003D29B6">
        <w:rPr>
          <w:rStyle w:val="Refdenotaalpie"/>
          <w:rFonts w:ascii="Arial" w:hAnsi="Arial" w:cs="Arial"/>
          <w:sz w:val="16"/>
          <w:szCs w:val="16"/>
        </w:rPr>
        <w:footnoteRef/>
      </w:r>
      <w:r w:rsidRPr="003D29B6">
        <w:rPr>
          <w:rFonts w:ascii="Arial" w:hAnsi="Arial" w:cs="Arial"/>
          <w:sz w:val="16"/>
          <w:szCs w:val="16"/>
        </w:rPr>
        <w:t xml:space="preserve"> </w:t>
      </w:r>
      <w:proofErr w:type="spellStart"/>
      <w:r w:rsidRPr="003D29B6">
        <w:rPr>
          <w:rFonts w:ascii="Arial" w:hAnsi="Arial" w:cs="Arial"/>
          <w:iCs/>
          <w:sz w:val="16"/>
          <w:szCs w:val="16"/>
        </w:rPr>
        <w:t>Fls</w:t>
      </w:r>
      <w:proofErr w:type="spellEnd"/>
      <w:r w:rsidRPr="003D29B6">
        <w:rPr>
          <w:rFonts w:ascii="Arial" w:hAnsi="Arial" w:cs="Arial"/>
          <w:iCs/>
          <w:sz w:val="16"/>
          <w:szCs w:val="16"/>
        </w:rPr>
        <w:t xml:space="preserve">. 61 a 64 y 71 del cuaderno 2 </w:t>
      </w:r>
    </w:p>
  </w:footnote>
  <w:footnote w:id="8">
    <w:p w14:paraId="37215384" w14:textId="4A3C4B71" w:rsidR="006D770F" w:rsidRPr="003D29B6" w:rsidRDefault="006D770F" w:rsidP="003D29B6">
      <w:pPr>
        <w:pStyle w:val="Textonotapie"/>
        <w:jc w:val="both"/>
        <w:rPr>
          <w:rFonts w:ascii="Arial" w:hAnsi="Arial" w:cs="Arial"/>
          <w:sz w:val="16"/>
          <w:szCs w:val="16"/>
          <w:lang w:val="es-ES"/>
        </w:rPr>
      </w:pPr>
      <w:r w:rsidRPr="003D29B6">
        <w:rPr>
          <w:rStyle w:val="Refdenotaalpie"/>
          <w:rFonts w:ascii="Arial" w:hAnsi="Arial" w:cs="Arial"/>
          <w:sz w:val="16"/>
          <w:szCs w:val="16"/>
        </w:rPr>
        <w:footnoteRef/>
      </w:r>
      <w:r w:rsidRPr="003D29B6">
        <w:rPr>
          <w:rFonts w:ascii="Arial" w:hAnsi="Arial" w:cs="Arial"/>
          <w:sz w:val="16"/>
          <w:szCs w:val="16"/>
        </w:rPr>
        <w:t xml:space="preserve"> </w:t>
      </w:r>
      <w:r w:rsidRPr="003D29B6">
        <w:rPr>
          <w:rFonts w:ascii="Arial" w:hAnsi="Arial" w:cs="Arial"/>
          <w:sz w:val="16"/>
          <w:szCs w:val="16"/>
          <w:lang w:val="es-ES"/>
        </w:rPr>
        <w:t>Folios 63 vto. y 64</w:t>
      </w:r>
    </w:p>
  </w:footnote>
  <w:footnote w:id="9">
    <w:p w14:paraId="757B2E3D" w14:textId="30436661" w:rsidR="006D770F" w:rsidRPr="003D29B6" w:rsidRDefault="006D770F" w:rsidP="003D29B6">
      <w:pPr>
        <w:pStyle w:val="Textonotapie"/>
        <w:jc w:val="both"/>
        <w:rPr>
          <w:rFonts w:ascii="Arial" w:hAnsi="Arial" w:cs="Arial"/>
          <w:sz w:val="16"/>
          <w:szCs w:val="16"/>
          <w:lang w:val="es-ES"/>
        </w:rPr>
      </w:pPr>
      <w:r w:rsidRPr="003D29B6">
        <w:rPr>
          <w:rStyle w:val="Refdenotaalpie"/>
          <w:rFonts w:ascii="Arial" w:hAnsi="Arial" w:cs="Arial"/>
          <w:sz w:val="16"/>
          <w:szCs w:val="16"/>
        </w:rPr>
        <w:footnoteRef/>
      </w:r>
      <w:r w:rsidRPr="003D29B6">
        <w:rPr>
          <w:rFonts w:ascii="Arial" w:hAnsi="Arial" w:cs="Arial"/>
          <w:sz w:val="16"/>
          <w:szCs w:val="16"/>
        </w:rPr>
        <w:t xml:space="preserve"> </w:t>
      </w:r>
      <w:r w:rsidRPr="003D29B6">
        <w:rPr>
          <w:rFonts w:ascii="Arial" w:hAnsi="Arial" w:cs="Arial"/>
          <w:sz w:val="16"/>
          <w:szCs w:val="16"/>
          <w:lang w:val="es-ES"/>
        </w:rPr>
        <w:t>Folios 103 a 110</w:t>
      </w:r>
    </w:p>
  </w:footnote>
  <w:footnote w:id="10">
    <w:p w14:paraId="6BB76966" w14:textId="033531F4" w:rsidR="00B342AF" w:rsidRPr="003D29B6" w:rsidRDefault="00B342AF" w:rsidP="003D29B6">
      <w:pPr>
        <w:pStyle w:val="Textonotapie"/>
        <w:jc w:val="both"/>
        <w:rPr>
          <w:rFonts w:ascii="Arial" w:hAnsi="Arial" w:cs="Arial"/>
          <w:sz w:val="16"/>
          <w:szCs w:val="16"/>
          <w:lang w:val="es-ES"/>
        </w:rPr>
      </w:pPr>
      <w:r w:rsidRPr="003D29B6">
        <w:rPr>
          <w:rStyle w:val="Refdenotaalpie"/>
          <w:rFonts w:ascii="Arial" w:hAnsi="Arial" w:cs="Arial"/>
          <w:sz w:val="16"/>
          <w:szCs w:val="16"/>
        </w:rPr>
        <w:footnoteRef/>
      </w:r>
      <w:r w:rsidRPr="003D29B6">
        <w:rPr>
          <w:rFonts w:ascii="Arial" w:hAnsi="Arial" w:cs="Arial"/>
          <w:sz w:val="16"/>
          <w:szCs w:val="16"/>
        </w:rPr>
        <w:t xml:space="preserve"> </w:t>
      </w:r>
      <w:r w:rsidRPr="003D29B6">
        <w:rPr>
          <w:rFonts w:ascii="Arial" w:hAnsi="Arial" w:cs="Arial"/>
          <w:sz w:val="16"/>
          <w:szCs w:val="16"/>
          <w:lang w:val="es-ES"/>
        </w:rPr>
        <w:t xml:space="preserve">Folio 106 vto. </w:t>
      </w:r>
    </w:p>
  </w:footnote>
  <w:footnote w:id="11">
    <w:p w14:paraId="45EBF1BA" w14:textId="57C125A8" w:rsidR="006D770F" w:rsidRPr="003D29B6" w:rsidRDefault="006D770F" w:rsidP="003D29B6">
      <w:pPr>
        <w:pStyle w:val="Textonotapie"/>
        <w:jc w:val="both"/>
        <w:rPr>
          <w:rFonts w:ascii="Arial" w:hAnsi="Arial" w:cs="Arial"/>
          <w:sz w:val="16"/>
          <w:szCs w:val="16"/>
          <w:lang w:val="es-ES"/>
        </w:rPr>
      </w:pPr>
      <w:r w:rsidRPr="003D29B6">
        <w:rPr>
          <w:rStyle w:val="Refdenotaalpie"/>
          <w:rFonts w:ascii="Arial" w:hAnsi="Arial" w:cs="Arial"/>
          <w:sz w:val="16"/>
          <w:szCs w:val="16"/>
        </w:rPr>
        <w:footnoteRef/>
      </w:r>
      <w:r w:rsidRPr="003D29B6">
        <w:rPr>
          <w:rFonts w:ascii="Arial" w:hAnsi="Arial" w:cs="Arial"/>
          <w:sz w:val="16"/>
          <w:szCs w:val="16"/>
        </w:rPr>
        <w:t xml:space="preserve"> </w:t>
      </w:r>
      <w:r w:rsidRPr="003D29B6">
        <w:rPr>
          <w:rFonts w:ascii="Arial" w:hAnsi="Arial" w:cs="Arial"/>
          <w:sz w:val="16"/>
          <w:szCs w:val="16"/>
          <w:lang w:val="es-ES"/>
        </w:rPr>
        <w:t>Folios 72 a 101</w:t>
      </w:r>
    </w:p>
  </w:footnote>
  <w:footnote w:id="12">
    <w:p w14:paraId="0361BA70" w14:textId="00643C29" w:rsidR="006D770F" w:rsidRPr="003D29B6" w:rsidRDefault="006D770F" w:rsidP="003D29B6">
      <w:pPr>
        <w:pStyle w:val="Textonotapie"/>
        <w:jc w:val="both"/>
        <w:rPr>
          <w:rFonts w:ascii="Arial" w:hAnsi="Arial" w:cs="Arial"/>
          <w:sz w:val="16"/>
          <w:szCs w:val="16"/>
          <w:lang w:val="es-ES"/>
        </w:rPr>
      </w:pPr>
      <w:r w:rsidRPr="003D29B6">
        <w:rPr>
          <w:rStyle w:val="Refdenotaalpie"/>
          <w:rFonts w:ascii="Arial" w:hAnsi="Arial" w:cs="Arial"/>
          <w:sz w:val="16"/>
          <w:szCs w:val="16"/>
        </w:rPr>
        <w:footnoteRef/>
      </w:r>
      <w:r w:rsidRPr="003D29B6">
        <w:rPr>
          <w:rFonts w:ascii="Arial" w:hAnsi="Arial" w:cs="Arial"/>
          <w:sz w:val="16"/>
          <w:szCs w:val="16"/>
        </w:rPr>
        <w:t xml:space="preserve"> </w:t>
      </w:r>
      <w:r w:rsidRPr="003D29B6">
        <w:rPr>
          <w:rFonts w:ascii="Arial" w:hAnsi="Arial" w:cs="Arial"/>
          <w:sz w:val="16"/>
          <w:szCs w:val="16"/>
          <w:lang w:val="es-ES"/>
        </w:rPr>
        <w:t>Folios 140 a 146</w:t>
      </w:r>
    </w:p>
  </w:footnote>
  <w:footnote w:id="13">
    <w:p w14:paraId="620DCD74" w14:textId="294D667A" w:rsidR="006D770F" w:rsidRPr="003D29B6" w:rsidRDefault="006D770F" w:rsidP="003D29B6">
      <w:pPr>
        <w:pStyle w:val="Textonotapie"/>
        <w:jc w:val="both"/>
        <w:rPr>
          <w:rFonts w:ascii="Arial" w:hAnsi="Arial" w:cs="Arial"/>
          <w:sz w:val="16"/>
          <w:szCs w:val="16"/>
          <w:lang w:val="es-ES"/>
        </w:rPr>
      </w:pPr>
      <w:r w:rsidRPr="003D29B6">
        <w:rPr>
          <w:rStyle w:val="Refdenotaalpie"/>
          <w:rFonts w:ascii="Arial" w:hAnsi="Arial" w:cs="Arial"/>
          <w:sz w:val="16"/>
          <w:szCs w:val="16"/>
        </w:rPr>
        <w:footnoteRef/>
      </w:r>
      <w:r w:rsidRPr="003D29B6">
        <w:rPr>
          <w:rFonts w:ascii="Arial" w:hAnsi="Arial" w:cs="Arial"/>
          <w:sz w:val="16"/>
          <w:szCs w:val="16"/>
        </w:rPr>
        <w:t xml:space="preserve"> </w:t>
      </w:r>
      <w:r w:rsidRPr="003D29B6">
        <w:rPr>
          <w:rFonts w:ascii="Arial" w:hAnsi="Arial" w:cs="Arial"/>
          <w:sz w:val="16"/>
          <w:szCs w:val="16"/>
          <w:lang w:val="es-ES"/>
        </w:rPr>
        <w:t>Folios 132 a 138</w:t>
      </w:r>
    </w:p>
  </w:footnote>
  <w:footnote w:id="14">
    <w:p w14:paraId="53534363" w14:textId="6967DAE4" w:rsidR="006D770F" w:rsidRPr="003D29B6" w:rsidRDefault="006D770F" w:rsidP="003D29B6">
      <w:pPr>
        <w:pStyle w:val="Textonotapie"/>
        <w:jc w:val="both"/>
        <w:rPr>
          <w:rFonts w:ascii="Arial" w:hAnsi="Arial" w:cs="Arial"/>
          <w:sz w:val="16"/>
          <w:szCs w:val="16"/>
          <w:lang w:val="es-ES"/>
        </w:rPr>
      </w:pPr>
      <w:r w:rsidRPr="003D29B6">
        <w:rPr>
          <w:rStyle w:val="Refdenotaalpie"/>
          <w:rFonts w:ascii="Arial" w:hAnsi="Arial" w:cs="Arial"/>
          <w:sz w:val="16"/>
          <w:szCs w:val="16"/>
        </w:rPr>
        <w:footnoteRef/>
      </w:r>
      <w:r w:rsidRPr="003D29B6">
        <w:rPr>
          <w:rFonts w:ascii="Arial" w:hAnsi="Arial" w:cs="Arial"/>
          <w:sz w:val="16"/>
          <w:szCs w:val="16"/>
        </w:rPr>
        <w:t xml:space="preserve"> </w:t>
      </w:r>
      <w:r w:rsidRPr="003D29B6">
        <w:rPr>
          <w:rFonts w:ascii="Arial" w:hAnsi="Arial" w:cs="Arial"/>
          <w:sz w:val="16"/>
          <w:szCs w:val="16"/>
          <w:lang w:val="es-ES"/>
        </w:rPr>
        <w:t>“</w:t>
      </w:r>
      <w:r w:rsidRPr="003D29B6">
        <w:rPr>
          <w:rFonts w:ascii="Arial" w:hAnsi="Arial" w:cs="Arial"/>
          <w:i/>
          <w:sz w:val="16"/>
          <w:szCs w:val="16"/>
          <w:lang w:val="es-ES"/>
        </w:rPr>
        <w:t>Por el cual se establece el régimen de seguridad y protección social de los funcionarios y empleados de la Rama Jurisdiccional, del Ministerio Público y de sus familiares</w:t>
      </w:r>
      <w:r w:rsidRPr="003D29B6">
        <w:rPr>
          <w:rFonts w:ascii="Arial" w:hAnsi="Arial" w:cs="Arial"/>
          <w:sz w:val="16"/>
          <w:szCs w:val="16"/>
          <w:lang w:val="es-ES"/>
        </w:rPr>
        <w:t>”</w:t>
      </w:r>
    </w:p>
  </w:footnote>
  <w:footnote w:id="15">
    <w:p w14:paraId="3C4D0681" w14:textId="77777777" w:rsidR="006D770F" w:rsidRPr="003D29B6" w:rsidRDefault="006D770F" w:rsidP="003D29B6">
      <w:pPr>
        <w:pStyle w:val="Textonotapie"/>
        <w:jc w:val="both"/>
        <w:rPr>
          <w:rFonts w:ascii="Arial" w:hAnsi="Arial" w:cs="Arial"/>
          <w:sz w:val="16"/>
          <w:szCs w:val="16"/>
          <w:lang w:val="es-ES"/>
        </w:rPr>
      </w:pPr>
      <w:r w:rsidRPr="003D29B6">
        <w:rPr>
          <w:rStyle w:val="Refdenotaalpie"/>
          <w:rFonts w:ascii="Arial" w:hAnsi="Arial" w:cs="Arial"/>
          <w:sz w:val="16"/>
          <w:szCs w:val="16"/>
        </w:rPr>
        <w:footnoteRef/>
      </w:r>
      <w:r w:rsidRPr="003D29B6">
        <w:rPr>
          <w:rFonts w:ascii="Arial" w:hAnsi="Arial" w:cs="Arial"/>
          <w:sz w:val="16"/>
          <w:szCs w:val="16"/>
        </w:rPr>
        <w:t xml:space="preserve"> </w:t>
      </w:r>
      <w:r w:rsidRPr="003D29B6">
        <w:rPr>
          <w:rFonts w:ascii="Arial" w:hAnsi="Arial" w:cs="Arial"/>
          <w:sz w:val="16"/>
          <w:szCs w:val="16"/>
          <w:lang w:val="es-ES"/>
        </w:rPr>
        <w:t xml:space="preserve">Consejo de Estado, Sala de lo Contencioso Administrativo, Sección Segunda del Consejo de Estado; número único de radicación </w:t>
      </w:r>
      <w:r w:rsidRPr="003D29B6">
        <w:rPr>
          <w:rFonts w:ascii="Arial" w:hAnsi="Arial" w:cs="Arial"/>
          <w:sz w:val="16"/>
          <w:szCs w:val="16"/>
        </w:rPr>
        <w:t>15001 23 33 000 2016 00630 01 (4083-2017); sentencia de 11 de junio de 2020</w:t>
      </w:r>
    </w:p>
  </w:footnote>
  <w:footnote w:id="16">
    <w:p w14:paraId="6CED530D" w14:textId="477CDD0B" w:rsidR="006D770F" w:rsidRPr="003D29B6" w:rsidRDefault="006D770F" w:rsidP="003D29B6">
      <w:pPr>
        <w:pStyle w:val="Textonotapie"/>
        <w:jc w:val="both"/>
        <w:rPr>
          <w:rFonts w:ascii="Arial" w:hAnsi="Arial" w:cs="Arial"/>
          <w:sz w:val="16"/>
          <w:szCs w:val="16"/>
        </w:rPr>
      </w:pPr>
      <w:r w:rsidRPr="003D29B6">
        <w:rPr>
          <w:rStyle w:val="Refdenotaalpie"/>
          <w:rFonts w:ascii="Arial" w:eastAsiaTheme="minorEastAsia" w:hAnsi="Arial" w:cs="Arial"/>
          <w:sz w:val="16"/>
          <w:szCs w:val="16"/>
        </w:rPr>
        <w:footnoteRef/>
      </w:r>
      <w:r w:rsidRPr="003D29B6">
        <w:rPr>
          <w:rFonts w:ascii="Arial" w:hAnsi="Arial" w:cs="Arial"/>
          <w:sz w:val="16"/>
          <w:szCs w:val="16"/>
        </w:rPr>
        <w:t xml:space="preserve"> Al respecto se anota que el artículo 37 de este decreto dispone que «regirá 30 días después de su publicación en el Diario Oficial […]», y fue publicado en el Diario Oficial No. 33.339 16 de junio de 1971.</w:t>
      </w:r>
    </w:p>
  </w:footnote>
  <w:footnote w:id="17">
    <w:p w14:paraId="67980CE3" w14:textId="77777777" w:rsidR="006D770F" w:rsidRPr="003D29B6" w:rsidRDefault="006D770F" w:rsidP="003D29B6">
      <w:pPr>
        <w:pStyle w:val="Textonotapie"/>
        <w:jc w:val="both"/>
        <w:rPr>
          <w:rFonts w:ascii="Arial" w:hAnsi="Arial" w:cs="Arial"/>
          <w:sz w:val="16"/>
          <w:szCs w:val="16"/>
        </w:rPr>
      </w:pPr>
      <w:r w:rsidRPr="003D29B6">
        <w:rPr>
          <w:rStyle w:val="Refdenotaalpie"/>
          <w:rFonts w:ascii="Arial" w:eastAsiaTheme="minorEastAsia" w:hAnsi="Arial" w:cs="Arial"/>
          <w:sz w:val="16"/>
          <w:szCs w:val="16"/>
        </w:rPr>
        <w:footnoteRef/>
      </w:r>
      <w:r w:rsidRPr="003D29B6">
        <w:rPr>
          <w:rFonts w:ascii="Arial" w:hAnsi="Arial" w:cs="Arial"/>
          <w:sz w:val="16"/>
          <w:szCs w:val="16"/>
        </w:rPr>
        <w:t xml:space="preserve"> Artículo </w:t>
      </w:r>
      <w:proofErr w:type="gramStart"/>
      <w:r w:rsidRPr="003D29B6">
        <w:rPr>
          <w:rFonts w:ascii="Arial" w:hAnsi="Arial" w:cs="Arial"/>
          <w:sz w:val="16"/>
          <w:szCs w:val="16"/>
        </w:rPr>
        <w:t>1.°</w:t>
      </w:r>
      <w:proofErr w:type="gramEnd"/>
    </w:p>
  </w:footnote>
  <w:footnote w:id="18">
    <w:p w14:paraId="4F334159" w14:textId="77777777" w:rsidR="006D770F" w:rsidRPr="003D29B6" w:rsidRDefault="006D770F" w:rsidP="003D29B6">
      <w:pPr>
        <w:pStyle w:val="Textonotapie"/>
        <w:jc w:val="both"/>
        <w:rPr>
          <w:rFonts w:ascii="Arial" w:hAnsi="Arial" w:cs="Arial"/>
          <w:sz w:val="16"/>
          <w:szCs w:val="16"/>
          <w:lang w:val="es-ES"/>
        </w:rPr>
      </w:pPr>
      <w:r w:rsidRPr="003D29B6">
        <w:rPr>
          <w:rStyle w:val="Refdenotaalpie"/>
          <w:rFonts w:ascii="Arial" w:hAnsi="Arial" w:cs="Arial"/>
          <w:sz w:val="16"/>
          <w:szCs w:val="16"/>
        </w:rPr>
        <w:footnoteRef/>
      </w:r>
      <w:r w:rsidRPr="003D29B6">
        <w:rPr>
          <w:rFonts w:ascii="Arial" w:hAnsi="Arial" w:cs="Arial"/>
          <w:sz w:val="16"/>
          <w:szCs w:val="16"/>
        </w:rPr>
        <w:t xml:space="preserve"> Folio 17</w:t>
      </w:r>
    </w:p>
  </w:footnote>
  <w:footnote w:id="19">
    <w:p w14:paraId="08372C5A" w14:textId="633E04F4" w:rsidR="001529CD" w:rsidRPr="003D29B6" w:rsidRDefault="001529CD" w:rsidP="003D29B6">
      <w:pPr>
        <w:pStyle w:val="Textonotapie"/>
        <w:jc w:val="both"/>
        <w:rPr>
          <w:rFonts w:ascii="Arial" w:hAnsi="Arial" w:cs="Arial"/>
          <w:sz w:val="16"/>
          <w:szCs w:val="16"/>
          <w:lang w:val="es-ES"/>
        </w:rPr>
      </w:pPr>
      <w:r w:rsidRPr="003D29B6">
        <w:rPr>
          <w:rStyle w:val="Refdenotaalpie"/>
          <w:rFonts w:ascii="Arial" w:hAnsi="Arial" w:cs="Arial"/>
          <w:sz w:val="16"/>
          <w:szCs w:val="16"/>
        </w:rPr>
        <w:footnoteRef/>
      </w:r>
      <w:r w:rsidRPr="003D29B6">
        <w:rPr>
          <w:rFonts w:ascii="Arial" w:hAnsi="Arial" w:cs="Arial"/>
          <w:sz w:val="16"/>
          <w:szCs w:val="16"/>
        </w:rPr>
        <w:t xml:space="preserve"> </w:t>
      </w:r>
      <w:r w:rsidRPr="003D29B6">
        <w:rPr>
          <w:rFonts w:ascii="Arial" w:hAnsi="Arial" w:cs="Arial"/>
          <w:sz w:val="16"/>
          <w:szCs w:val="16"/>
          <w:lang w:val="es-ES"/>
        </w:rPr>
        <w:t>Folios 157 a 159</w:t>
      </w:r>
    </w:p>
  </w:footnote>
  <w:footnote w:id="20">
    <w:p w14:paraId="7C5EC7D9" w14:textId="77777777" w:rsidR="006D770F" w:rsidRPr="003D29B6" w:rsidRDefault="006D770F" w:rsidP="003D29B6">
      <w:pPr>
        <w:pStyle w:val="Textonotapie"/>
        <w:jc w:val="both"/>
        <w:rPr>
          <w:rFonts w:ascii="Arial" w:hAnsi="Arial" w:cs="Arial"/>
          <w:sz w:val="16"/>
          <w:szCs w:val="16"/>
          <w:lang w:val="es-ES"/>
        </w:rPr>
      </w:pPr>
      <w:r w:rsidRPr="003D29B6">
        <w:rPr>
          <w:rStyle w:val="Refdenotaalpie"/>
          <w:rFonts w:ascii="Arial" w:hAnsi="Arial" w:cs="Arial"/>
          <w:sz w:val="16"/>
          <w:szCs w:val="16"/>
        </w:rPr>
        <w:footnoteRef/>
      </w:r>
      <w:r w:rsidRPr="003D29B6">
        <w:rPr>
          <w:rFonts w:ascii="Arial" w:hAnsi="Arial" w:cs="Arial"/>
          <w:sz w:val="16"/>
          <w:szCs w:val="16"/>
        </w:rPr>
        <w:t xml:space="preserve"> </w:t>
      </w:r>
      <w:r w:rsidRPr="003D29B6">
        <w:rPr>
          <w:rFonts w:ascii="Arial" w:hAnsi="Arial" w:cs="Arial"/>
          <w:sz w:val="16"/>
          <w:szCs w:val="16"/>
          <w:lang w:val="es-ES"/>
        </w:rPr>
        <w:t xml:space="preserve">Esta información obra en el Formato </w:t>
      </w:r>
      <w:proofErr w:type="spellStart"/>
      <w:r w:rsidRPr="003D29B6">
        <w:rPr>
          <w:rFonts w:ascii="Arial" w:hAnsi="Arial" w:cs="Arial"/>
          <w:sz w:val="16"/>
          <w:szCs w:val="16"/>
          <w:lang w:val="es-ES"/>
        </w:rPr>
        <w:t>N°</w:t>
      </w:r>
      <w:proofErr w:type="spellEnd"/>
      <w:r w:rsidRPr="003D29B6">
        <w:rPr>
          <w:rFonts w:ascii="Arial" w:hAnsi="Arial" w:cs="Arial"/>
          <w:sz w:val="16"/>
          <w:szCs w:val="16"/>
          <w:lang w:val="es-ES"/>
        </w:rPr>
        <w:t xml:space="preserve"> 1, “</w:t>
      </w:r>
      <w:r w:rsidRPr="003D29B6">
        <w:rPr>
          <w:rFonts w:ascii="Arial" w:hAnsi="Arial" w:cs="Arial"/>
          <w:i/>
          <w:sz w:val="16"/>
          <w:szCs w:val="16"/>
          <w:lang w:val="es-ES"/>
        </w:rPr>
        <w:t>CERTIFICADO DE INFORMACIÓN LABORAL</w:t>
      </w:r>
      <w:r w:rsidRPr="003D29B6">
        <w:rPr>
          <w:rFonts w:ascii="Arial" w:hAnsi="Arial" w:cs="Arial"/>
          <w:sz w:val="16"/>
          <w:szCs w:val="16"/>
          <w:lang w:val="es-ES"/>
        </w:rPr>
        <w:t>”, certificación de periodos de vinculación laboral para bonos pensionales y pensiones (Disco compacto, folio 116).</w:t>
      </w:r>
    </w:p>
  </w:footnote>
  <w:footnote w:id="21">
    <w:p w14:paraId="5B25CBD6" w14:textId="77777777" w:rsidR="006D770F" w:rsidRPr="003D29B6" w:rsidRDefault="006D770F" w:rsidP="003D29B6">
      <w:pPr>
        <w:pStyle w:val="Textonotapie"/>
        <w:jc w:val="both"/>
        <w:rPr>
          <w:rFonts w:ascii="Arial" w:hAnsi="Arial" w:cs="Arial"/>
          <w:i/>
          <w:sz w:val="16"/>
          <w:szCs w:val="16"/>
          <w:lang w:val="es-ES"/>
        </w:rPr>
      </w:pPr>
      <w:r w:rsidRPr="003D29B6">
        <w:rPr>
          <w:rStyle w:val="Refdenotaalpie"/>
          <w:rFonts w:ascii="Arial" w:hAnsi="Arial" w:cs="Arial"/>
          <w:sz w:val="16"/>
          <w:szCs w:val="16"/>
        </w:rPr>
        <w:footnoteRef/>
      </w:r>
      <w:r w:rsidRPr="003D29B6">
        <w:rPr>
          <w:rFonts w:ascii="Arial" w:hAnsi="Arial" w:cs="Arial"/>
          <w:sz w:val="16"/>
          <w:szCs w:val="16"/>
        </w:rPr>
        <w:t xml:space="preserve"> </w:t>
      </w:r>
      <w:r w:rsidRPr="003D29B6">
        <w:rPr>
          <w:rFonts w:ascii="Arial" w:hAnsi="Arial" w:cs="Arial"/>
          <w:i/>
          <w:sz w:val="16"/>
          <w:szCs w:val="16"/>
        </w:rPr>
        <w:t xml:space="preserve">Ibidem </w:t>
      </w:r>
    </w:p>
  </w:footnote>
  <w:footnote w:id="22">
    <w:p w14:paraId="5409C242" w14:textId="77777777" w:rsidR="006D770F" w:rsidRPr="003D29B6" w:rsidRDefault="006D770F" w:rsidP="003D29B6">
      <w:pPr>
        <w:pStyle w:val="Textonotapie"/>
        <w:jc w:val="both"/>
        <w:rPr>
          <w:rFonts w:ascii="Arial" w:hAnsi="Arial" w:cs="Arial"/>
          <w:sz w:val="16"/>
          <w:szCs w:val="16"/>
          <w:lang w:val="es-ES"/>
        </w:rPr>
      </w:pPr>
      <w:r w:rsidRPr="003D29B6">
        <w:rPr>
          <w:rStyle w:val="Refdenotaalpie"/>
          <w:rFonts w:ascii="Arial" w:hAnsi="Arial" w:cs="Arial"/>
          <w:sz w:val="16"/>
          <w:szCs w:val="16"/>
        </w:rPr>
        <w:footnoteRef/>
      </w:r>
      <w:r w:rsidRPr="003D29B6">
        <w:rPr>
          <w:rFonts w:ascii="Arial" w:hAnsi="Arial" w:cs="Arial"/>
          <w:sz w:val="16"/>
          <w:szCs w:val="16"/>
        </w:rPr>
        <w:t xml:space="preserve"> Disco compacto visible a folio 116</w:t>
      </w:r>
    </w:p>
  </w:footnote>
  <w:footnote w:id="23">
    <w:p w14:paraId="156E3EF0" w14:textId="77777777" w:rsidR="006D770F" w:rsidRPr="003D29B6" w:rsidRDefault="006D770F" w:rsidP="003D29B6">
      <w:pPr>
        <w:pStyle w:val="Textonotapie"/>
        <w:jc w:val="both"/>
        <w:rPr>
          <w:rFonts w:ascii="Arial" w:hAnsi="Arial" w:cs="Arial"/>
          <w:sz w:val="16"/>
          <w:szCs w:val="16"/>
          <w:lang w:val="es-ES"/>
        </w:rPr>
      </w:pPr>
      <w:r w:rsidRPr="003D29B6">
        <w:rPr>
          <w:rStyle w:val="Refdenotaalpie"/>
          <w:rFonts w:ascii="Arial" w:hAnsi="Arial" w:cs="Arial"/>
          <w:sz w:val="16"/>
          <w:szCs w:val="16"/>
        </w:rPr>
        <w:footnoteRef/>
      </w:r>
      <w:r w:rsidRPr="003D29B6">
        <w:rPr>
          <w:rFonts w:ascii="Arial" w:hAnsi="Arial" w:cs="Arial"/>
          <w:sz w:val="16"/>
          <w:szCs w:val="16"/>
        </w:rPr>
        <w:t xml:space="preserve"> </w:t>
      </w:r>
      <w:r w:rsidRPr="003D29B6">
        <w:rPr>
          <w:rFonts w:ascii="Arial" w:hAnsi="Arial" w:cs="Arial"/>
          <w:sz w:val="16"/>
          <w:szCs w:val="16"/>
          <w:lang w:val="es-ES"/>
        </w:rPr>
        <w:t xml:space="preserve">Esta información se encuentra en las certificaciones expedidas por el Tesorero de la Fiscalía General de la Nación – Seccional Tunja. </w:t>
      </w:r>
    </w:p>
  </w:footnote>
  <w:footnote w:id="24">
    <w:p w14:paraId="516F0B95" w14:textId="372BF377" w:rsidR="001529CD" w:rsidRPr="003D29B6" w:rsidRDefault="001529CD" w:rsidP="003D29B6">
      <w:pPr>
        <w:pStyle w:val="Textonotapie"/>
        <w:jc w:val="both"/>
        <w:rPr>
          <w:rFonts w:ascii="Arial" w:hAnsi="Arial" w:cs="Arial"/>
          <w:sz w:val="16"/>
          <w:szCs w:val="16"/>
          <w:lang w:val="es-ES"/>
        </w:rPr>
      </w:pPr>
      <w:r w:rsidRPr="003D29B6">
        <w:rPr>
          <w:rStyle w:val="Refdenotaalpie"/>
          <w:rFonts w:ascii="Arial" w:hAnsi="Arial" w:cs="Arial"/>
          <w:sz w:val="16"/>
          <w:szCs w:val="16"/>
        </w:rPr>
        <w:footnoteRef/>
      </w:r>
      <w:r w:rsidRPr="003D29B6">
        <w:rPr>
          <w:rFonts w:ascii="Arial" w:hAnsi="Arial" w:cs="Arial"/>
          <w:sz w:val="16"/>
          <w:szCs w:val="16"/>
        </w:rPr>
        <w:t xml:space="preserve"> </w:t>
      </w:r>
      <w:r w:rsidRPr="003D29B6">
        <w:rPr>
          <w:rFonts w:ascii="Arial" w:hAnsi="Arial" w:cs="Arial"/>
          <w:sz w:val="16"/>
          <w:szCs w:val="16"/>
          <w:lang w:val="es-ES"/>
        </w:rPr>
        <w:t>Folios 23 a 26</w:t>
      </w:r>
    </w:p>
  </w:footnote>
  <w:footnote w:id="25">
    <w:p w14:paraId="433731CE" w14:textId="5ADADB26" w:rsidR="003D29B6" w:rsidRPr="003D29B6" w:rsidRDefault="003D29B6" w:rsidP="003D29B6">
      <w:pPr>
        <w:pStyle w:val="Textonotapie"/>
        <w:jc w:val="both"/>
        <w:rPr>
          <w:rFonts w:ascii="Arial" w:hAnsi="Arial" w:cs="Arial"/>
          <w:sz w:val="16"/>
          <w:szCs w:val="16"/>
          <w:lang w:val="es-ES"/>
        </w:rPr>
      </w:pPr>
      <w:r w:rsidRPr="003D29B6">
        <w:rPr>
          <w:rStyle w:val="Refdenotaalpie"/>
          <w:rFonts w:ascii="Arial" w:hAnsi="Arial" w:cs="Arial"/>
          <w:sz w:val="16"/>
          <w:szCs w:val="16"/>
        </w:rPr>
        <w:footnoteRef/>
      </w:r>
      <w:r w:rsidRPr="003D29B6">
        <w:rPr>
          <w:rFonts w:ascii="Arial" w:hAnsi="Arial" w:cs="Arial"/>
          <w:sz w:val="16"/>
          <w:szCs w:val="16"/>
        </w:rPr>
        <w:t xml:space="preserve"> </w:t>
      </w:r>
      <w:r w:rsidRPr="003D29B6">
        <w:rPr>
          <w:rFonts w:ascii="Arial" w:hAnsi="Arial" w:cs="Arial"/>
          <w:sz w:val="16"/>
          <w:szCs w:val="16"/>
          <w:lang w:val="es-ES"/>
        </w:rPr>
        <w:t xml:space="preserve">Folio 24 vto. </w:t>
      </w:r>
    </w:p>
  </w:footnote>
  <w:footnote w:id="26">
    <w:p w14:paraId="41713250" w14:textId="77777777" w:rsidR="006D770F" w:rsidRPr="003D29B6" w:rsidRDefault="006D770F" w:rsidP="003D29B6">
      <w:pPr>
        <w:pStyle w:val="Textonotapie"/>
        <w:jc w:val="both"/>
        <w:rPr>
          <w:rFonts w:ascii="Arial" w:hAnsi="Arial" w:cs="Arial"/>
          <w:sz w:val="16"/>
          <w:szCs w:val="16"/>
        </w:rPr>
      </w:pPr>
      <w:r w:rsidRPr="003D29B6">
        <w:rPr>
          <w:rStyle w:val="Refdenotaalpie"/>
          <w:rFonts w:ascii="Arial" w:hAnsi="Arial" w:cs="Arial"/>
          <w:sz w:val="16"/>
          <w:szCs w:val="16"/>
        </w:rPr>
        <w:footnoteRef/>
      </w:r>
      <w:r w:rsidRPr="003D29B6">
        <w:rPr>
          <w:rFonts w:ascii="Arial" w:hAnsi="Arial" w:cs="Arial"/>
          <w:sz w:val="16"/>
          <w:szCs w:val="16"/>
        </w:rPr>
        <w:t xml:space="preserve"> La sección segunda del Consejo de Estado, mediante sentencia de Unificación CE-SUJ-S2-021-20 de 11 de junio de 2020, unificó el criterio jurisprudencial frente al Ingreso Base de Liquidación (periodo de liquidación y factores a incluir) de las pensiones de los servidores y ex servidores de la Rama Judicial y del Ministerio Público regulados por el Decreto 546 de 1971, que causaron su derecho en virtud del régimen de transición previsto en el artículo 36 de la Ley 100 de 1993.</w:t>
      </w:r>
    </w:p>
  </w:footnote>
  <w:footnote w:id="27">
    <w:p w14:paraId="2EA3F896" w14:textId="77777777" w:rsidR="006D770F" w:rsidRPr="003D29B6" w:rsidRDefault="006D770F" w:rsidP="003D29B6">
      <w:pPr>
        <w:pStyle w:val="Textonotapie"/>
        <w:jc w:val="both"/>
        <w:rPr>
          <w:rFonts w:ascii="Arial" w:hAnsi="Arial" w:cs="Arial"/>
          <w:sz w:val="16"/>
          <w:szCs w:val="16"/>
        </w:rPr>
      </w:pPr>
      <w:r w:rsidRPr="003D29B6">
        <w:rPr>
          <w:rStyle w:val="Refdenotaalpie"/>
          <w:rFonts w:ascii="Arial" w:hAnsi="Arial" w:cs="Arial"/>
          <w:sz w:val="16"/>
          <w:szCs w:val="16"/>
        </w:rPr>
        <w:footnoteRef/>
      </w:r>
      <w:r w:rsidRPr="003D29B6">
        <w:rPr>
          <w:rFonts w:ascii="Arial" w:hAnsi="Arial" w:cs="Arial"/>
          <w:sz w:val="16"/>
          <w:szCs w:val="16"/>
        </w:rPr>
        <w:t xml:space="preserve"> Artículo </w:t>
      </w:r>
      <w:proofErr w:type="gramStart"/>
      <w:r w:rsidRPr="003D29B6">
        <w:rPr>
          <w:rFonts w:ascii="Arial" w:hAnsi="Arial" w:cs="Arial"/>
          <w:sz w:val="16"/>
          <w:szCs w:val="16"/>
        </w:rPr>
        <w:t>1.°</w:t>
      </w:r>
      <w:proofErr w:type="gramEnd"/>
    </w:p>
  </w:footnote>
  <w:footnote w:id="28">
    <w:p w14:paraId="63845DF1" w14:textId="77777777" w:rsidR="006D770F" w:rsidRPr="003D29B6" w:rsidRDefault="006D770F" w:rsidP="003D29B6">
      <w:pPr>
        <w:pStyle w:val="Textonotapie"/>
        <w:jc w:val="both"/>
        <w:rPr>
          <w:rFonts w:ascii="Arial" w:hAnsi="Arial" w:cs="Arial"/>
          <w:sz w:val="16"/>
          <w:szCs w:val="16"/>
          <w:lang w:val="es-ES"/>
        </w:rPr>
      </w:pPr>
      <w:r w:rsidRPr="003D29B6">
        <w:rPr>
          <w:rStyle w:val="Refdenotaalpie"/>
          <w:rFonts w:ascii="Arial" w:hAnsi="Arial" w:cs="Arial"/>
          <w:sz w:val="16"/>
          <w:szCs w:val="16"/>
        </w:rPr>
        <w:footnoteRef/>
      </w:r>
      <w:r w:rsidRPr="003D29B6">
        <w:rPr>
          <w:rFonts w:ascii="Arial" w:hAnsi="Arial" w:cs="Arial"/>
          <w:sz w:val="16"/>
          <w:szCs w:val="16"/>
        </w:rPr>
        <w:t xml:space="preserve"> </w:t>
      </w:r>
      <w:r w:rsidRPr="003D29B6">
        <w:rPr>
          <w:rFonts w:ascii="Arial" w:hAnsi="Arial" w:cs="Arial"/>
          <w:sz w:val="16"/>
          <w:szCs w:val="16"/>
          <w:lang w:val="es-ES"/>
        </w:rPr>
        <w:t>En el recurso de apelación sostuvo: “</w:t>
      </w:r>
      <w:r w:rsidRPr="003D29B6">
        <w:rPr>
          <w:rFonts w:ascii="Arial" w:hAnsi="Arial" w:cs="Arial"/>
          <w:i/>
          <w:sz w:val="16"/>
          <w:szCs w:val="16"/>
          <w:lang w:val="es-ES"/>
        </w:rPr>
        <w:t xml:space="preserve">[…] la consecuencia de dicho actuar, se limitó a que la liquidación fuera liquidada ÚNICAMENTE con el 75&amp; del promedio de lo cotizado dentro de los últimos 10 años de servicios, </w:t>
      </w:r>
      <w:r w:rsidRPr="003D29B6">
        <w:rPr>
          <w:rFonts w:ascii="Arial" w:hAnsi="Arial" w:cs="Arial"/>
          <w:b/>
          <w:i/>
          <w:sz w:val="16"/>
          <w:szCs w:val="16"/>
          <w:lang w:val="es-ES"/>
        </w:rPr>
        <w:t xml:space="preserve">pero tampoco tomó TODOS LOS FACTORES SALARIALES COTIZADOS POR LA ACTORA, </w:t>
      </w:r>
      <w:r w:rsidRPr="003D29B6">
        <w:rPr>
          <w:rFonts w:ascii="Arial" w:hAnsi="Arial" w:cs="Arial"/>
          <w:i/>
          <w:sz w:val="16"/>
          <w:szCs w:val="16"/>
          <w:lang w:val="es-ES"/>
        </w:rPr>
        <w:t>lo que indiscutiblemente, afecta la pensión de la demandante y como consecuencia sus derechos económicos […]</w:t>
      </w:r>
      <w:r w:rsidRPr="003D29B6">
        <w:rPr>
          <w:rFonts w:ascii="Arial" w:hAnsi="Arial" w:cs="Arial"/>
          <w:sz w:val="16"/>
          <w:szCs w:val="16"/>
          <w:lang w:val="es-ES"/>
        </w:rPr>
        <w:t>” (</w:t>
      </w:r>
      <w:proofErr w:type="spellStart"/>
      <w:r w:rsidRPr="003D29B6">
        <w:rPr>
          <w:rFonts w:ascii="Arial" w:hAnsi="Arial" w:cs="Arial"/>
          <w:sz w:val="16"/>
          <w:szCs w:val="16"/>
          <w:lang w:val="es-ES"/>
        </w:rPr>
        <w:t>Fl</w:t>
      </w:r>
      <w:proofErr w:type="spellEnd"/>
      <w:r w:rsidRPr="003D29B6">
        <w:rPr>
          <w:rFonts w:ascii="Arial" w:hAnsi="Arial" w:cs="Arial"/>
          <w:sz w:val="16"/>
          <w:szCs w:val="16"/>
          <w:lang w:val="es-ES"/>
        </w:rPr>
        <w:t xml:space="preserve">. 106) (Destacado fuera de texto). </w:t>
      </w:r>
    </w:p>
  </w:footnote>
  <w:footnote w:id="29">
    <w:p w14:paraId="0463F19C" w14:textId="77777777" w:rsidR="006D770F" w:rsidRPr="003D29B6" w:rsidRDefault="006D770F" w:rsidP="003D29B6">
      <w:pPr>
        <w:pStyle w:val="Textonotapie"/>
        <w:ind w:right="-709"/>
        <w:jc w:val="both"/>
        <w:rPr>
          <w:rFonts w:ascii="Arial" w:hAnsi="Arial" w:cs="Arial"/>
          <w:sz w:val="16"/>
          <w:szCs w:val="16"/>
        </w:rPr>
      </w:pPr>
      <w:r w:rsidRPr="003D29B6">
        <w:rPr>
          <w:rStyle w:val="Refdenotaalpie"/>
          <w:rFonts w:ascii="Arial" w:hAnsi="Arial" w:cs="Arial"/>
          <w:sz w:val="16"/>
          <w:szCs w:val="16"/>
        </w:rPr>
        <w:footnoteRef/>
      </w:r>
      <w:r w:rsidRPr="003D29B6">
        <w:rPr>
          <w:rFonts w:ascii="Arial" w:hAnsi="Arial" w:cs="Arial"/>
          <w:sz w:val="16"/>
          <w:szCs w:val="16"/>
        </w:rPr>
        <w:t xml:space="preserve"> Tribunal Administrativo de Boyacá, sentencia de 24 de junio de 2020, magistrado ponente: Dr. Luis Ernesto Arciniegas Triana, número único de radicación 15759-33-33-008-2018-00132-01. Esta providencia fue citada por el Tribunal Administrativo de Boyacá en la sentencia de 24 de agosto de 2021 en el proceso identificado con el número único de radicación 1500133330 10 2018 00185 01 con ponencia del magistrado Dr. Dayán Alberto Blanco </w:t>
      </w:r>
      <w:proofErr w:type="spellStart"/>
      <w:r w:rsidRPr="003D29B6">
        <w:rPr>
          <w:rFonts w:ascii="Arial" w:hAnsi="Arial" w:cs="Arial"/>
          <w:sz w:val="16"/>
          <w:szCs w:val="16"/>
        </w:rPr>
        <w:t>Leguízamo</w:t>
      </w:r>
      <w:proofErr w:type="spellEnd"/>
      <w:r w:rsidRPr="003D29B6">
        <w:rPr>
          <w:rFonts w:ascii="Arial" w:hAnsi="Arial" w:cs="Arial"/>
          <w:sz w:val="16"/>
          <w:szCs w:val="16"/>
        </w:rPr>
        <w:t xml:space="preserve">, en la cual se reiteró la tesis a la que se hizo referencia. </w:t>
      </w:r>
    </w:p>
  </w:footnote>
  <w:footnote w:id="30">
    <w:p w14:paraId="09389A55" w14:textId="77777777" w:rsidR="006D770F" w:rsidRPr="003D29B6" w:rsidRDefault="006D770F" w:rsidP="003D29B6">
      <w:pPr>
        <w:pStyle w:val="Textonotapie"/>
        <w:ind w:right="-709"/>
        <w:jc w:val="both"/>
        <w:rPr>
          <w:rFonts w:ascii="Arial" w:hAnsi="Arial" w:cs="Arial"/>
          <w:sz w:val="16"/>
          <w:szCs w:val="16"/>
        </w:rPr>
      </w:pPr>
      <w:r w:rsidRPr="003D29B6">
        <w:rPr>
          <w:rStyle w:val="Refdenotaalpie"/>
          <w:rFonts w:ascii="Arial" w:hAnsi="Arial" w:cs="Arial"/>
          <w:sz w:val="16"/>
          <w:szCs w:val="16"/>
        </w:rPr>
        <w:footnoteRef/>
      </w:r>
      <w:r w:rsidRPr="003D29B6">
        <w:rPr>
          <w:rFonts w:ascii="Arial" w:hAnsi="Arial" w:cs="Arial"/>
          <w:sz w:val="16"/>
          <w:szCs w:val="16"/>
        </w:rPr>
        <w:t xml:space="preserve"> El artículo 47 de la Ley 2080 de 2021 adicionó el artículo 188 de la Ley 1437 de 2011, en el siguiente sentido: “</w:t>
      </w:r>
      <w:r w:rsidRPr="003D29B6">
        <w:rPr>
          <w:rFonts w:ascii="Arial" w:hAnsi="Arial" w:cs="Arial"/>
          <w:i/>
          <w:sz w:val="16"/>
          <w:szCs w:val="16"/>
        </w:rPr>
        <w:t>[…] En todo caso, la sentencia dispondrá sobre la condena en costas cuando se establezca que se presentó la demanda con manifiesta carencia de fundamento legal […]”</w:t>
      </w:r>
      <w:r w:rsidRPr="003D29B6">
        <w:rPr>
          <w:rFonts w:ascii="Arial" w:hAnsi="Arial" w:cs="Arial"/>
          <w:sz w:val="16"/>
          <w:szCs w:val="16"/>
        </w:rPr>
        <w:t xml:space="preserve">. </w:t>
      </w:r>
      <w:r w:rsidRPr="003D29B6">
        <w:rPr>
          <w:rFonts w:ascii="Arial" w:hAnsi="Arial" w:cs="Arial"/>
          <w:b/>
          <w:sz w:val="16"/>
          <w:szCs w:val="16"/>
        </w:rPr>
        <w:t>Sin embargo</w:t>
      </w:r>
      <w:r w:rsidRPr="003D29B6">
        <w:rPr>
          <w:rFonts w:ascii="Arial" w:hAnsi="Arial" w:cs="Arial"/>
          <w:sz w:val="16"/>
          <w:szCs w:val="16"/>
        </w:rPr>
        <w:t xml:space="preserve">, para la aplicación de esta norma es necesario tener en cuenta la fecha de interposición del recurso de apelación, comoquiera que el artículo 86 de la Ley 2080 de 2021 previó que </w:t>
      </w:r>
      <w:r w:rsidRPr="003D29B6">
        <w:rPr>
          <w:rFonts w:ascii="Arial" w:hAnsi="Arial" w:cs="Arial"/>
          <w:i/>
          <w:sz w:val="16"/>
          <w:szCs w:val="16"/>
        </w:rPr>
        <w:t>“[…] los recursos interpuestos, la práctica de pruebas decretadas, las audiencias convocadas,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 […]”</w:t>
      </w:r>
      <w:r w:rsidRPr="003D29B6">
        <w:rPr>
          <w:rFonts w:ascii="Arial" w:hAnsi="Arial" w:cs="Arial"/>
          <w:sz w:val="16"/>
          <w:szCs w:val="16"/>
        </w:rPr>
        <w:t xml:space="preserve">. En el caso </w:t>
      </w:r>
      <w:r w:rsidRPr="003D29B6">
        <w:rPr>
          <w:rFonts w:ascii="Arial" w:hAnsi="Arial" w:cs="Arial"/>
          <w:i/>
          <w:sz w:val="16"/>
          <w:szCs w:val="16"/>
        </w:rPr>
        <w:t xml:space="preserve">sub examine </w:t>
      </w:r>
      <w:r w:rsidRPr="003D29B6">
        <w:rPr>
          <w:rFonts w:ascii="Arial" w:hAnsi="Arial" w:cs="Arial"/>
          <w:sz w:val="16"/>
          <w:szCs w:val="16"/>
        </w:rPr>
        <w:t>el recurso de apelación se interpuso el 29 de noviembre de 2019 (</w:t>
      </w:r>
      <w:proofErr w:type="spellStart"/>
      <w:r w:rsidRPr="003D29B6">
        <w:rPr>
          <w:rFonts w:ascii="Arial" w:hAnsi="Arial" w:cs="Arial"/>
          <w:sz w:val="16"/>
          <w:szCs w:val="16"/>
        </w:rPr>
        <w:t>Fl</w:t>
      </w:r>
      <w:proofErr w:type="spellEnd"/>
      <w:r w:rsidRPr="003D29B6">
        <w:rPr>
          <w:rFonts w:ascii="Arial" w:hAnsi="Arial" w:cs="Arial"/>
          <w:sz w:val="16"/>
          <w:szCs w:val="16"/>
        </w:rPr>
        <w:t xml:space="preserve">. 156), por lo tanto, el proceso se rige por la ley vigente en esa fecha.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4A2D0" w14:textId="77777777" w:rsidR="006D770F" w:rsidRDefault="006D770F" w:rsidP="005631C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11F6F1FD" w14:textId="77777777" w:rsidR="006D770F" w:rsidRDefault="006D770F" w:rsidP="005631C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894A1" w14:textId="77777777" w:rsidR="006D770F" w:rsidRDefault="006D770F" w:rsidP="005631CA">
    <w:pPr>
      <w:spacing w:line="360" w:lineRule="auto"/>
      <w:rPr>
        <w:b/>
        <w:szCs w:val="24"/>
      </w:rPr>
    </w:pPr>
  </w:p>
  <w:p w14:paraId="365AC2E6" w14:textId="77777777" w:rsidR="006D770F" w:rsidRDefault="006D770F" w:rsidP="005631CA">
    <w:pPr>
      <w:pStyle w:val="Encabezado"/>
      <w:framePr w:w="6151" w:wrap="around" w:vAnchor="text" w:hAnchor="page" w:x="4077" w:y="66"/>
      <w:rPr>
        <w:rStyle w:val="Nmerodepgina"/>
      </w:rPr>
    </w:pPr>
  </w:p>
  <w:p w14:paraId="52F3C64C" w14:textId="77777777" w:rsidR="006D770F" w:rsidRPr="001042E1" w:rsidRDefault="006D770F" w:rsidP="005631CA">
    <w:pPr>
      <w:framePr w:w="6151" w:wrap="around" w:vAnchor="text" w:hAnchor="page" w:x="4077" w:y="66"/>
      <w:jc w:val="right"/>
      <w:rPr>
        <w:i/>
        <w:iCs/>
        <w:color w:val="808080"/>
      </w:rPr>
    </w:pPr>
  </w:p>
  <w:p w14:paraId="6D0B3C28" w14:textId="2CBBA5B8" w:rsidR="006D770F" w:rsidRPr="00DC4C22" w:rsidRDefault="006D770F" w:rsidP="005631CA">
    <w:pPr>
      <w:framePr w:w="6151" w:wrap="around" w:vAnchor="text" w:hAnchor="page" w:x="4077" w:y="66"/>
      <w:rPr>
        <w:rFonts w:ascii="Arial" w:hAnsi="Arial" w:cs="Arial"/>
        <w:i/>
        <w:iCs/>
        <w:color w:val="808080"/>
      </w:rPr>
    </w:pPr>
    <w:r w:rsidRPr="001042E1">
      <w:rPr>
        <w:rFonts w:ascii="Arial" w:hAnsi="Arial" w:cs="Arial"/>
        <w:i/>
        <w:iCs/>
        <w:color w:val="808080"/>
      </w:rPr>
      <w:t xml:space="preserve">Demandante: </w:t>
    </w:r>
    <w:r>
      <w:rPr>
        <w:rFonts w:ascii="Arial" w:hAnsi="Arial" w:cs="Arial"/>
        <w:i/>
        <w:iCs/>
        <w:color w:val="808080"/>
      </w:rPr>
      <w:t xml:space="preserve">María Clemencia Bohórquez Gorraiz   </w:t>
    </w:r>
  </w:p>
  <w:p w14:paraId="630FAF9C" w14:textId="150E8032" w:rsidR="006D770F" w:rsidRDefault="006D770F" w:rsidP="005631CA">
    <w:pPr>
      <w:framePr w:w="6151" w:wrap="around" w:vAnchor="text" w:hAnchor="page" w:x="4077" w:y="66"/>
      <w:rPr>
        <w:rFonts w:ascii="Arial" w:hAnsi="Arial" w:cs="Arial"/>
        <w:i/>
        <w:iCs/>
        <w:color w:val="808080"/>
      </w:rPr>
    </w:pPr>
    <w:r w:rsidRPr="001042E1">
      <w:rPr>
        <w:rFonts w:ascii="Arial" w:hAnsi="Arial" w:cs="Arial"/>
        <w:i/>
        <w:iCs/>
        <w:color w:val="808080"/>
      </w:rPr>
      <w:t xml:space="preserve">Demandado: </w:t>
    </w:r>
    <w:r>
      <w:rPr>
        <w:rFonts w:ascii="Arial" w:hAnsi="Arial" w:cs="Arial"/>
        <w:i/>
        <w:iCs/>
        <w:color w:val="808080"/>
      </w:rPr>
      <w:t>UGPP</w:t>
    </w:r>
  </w:p>
  <w:p w14:paraId="449CA9EF" w14:textId="4B7CCA07" w:rsidR="006D770F" w:rsidRPr="001042E1" w:rsidRDefault="006D770F" w:rsidP="005631CA">
    <w:pPr>
      <w:framePr w:w="6151" w:wrap="around" w:vAnchor="text" w:hAnchor="page" w:x="4077" w:y="66"/>
      <w:rPr>
        <w:rFonts w:ascii="Arial" w:hAnsi="Arial" w:cs="Arial"/>
        <w:b/>
        <w:i/>
        <w:iCs/>
        <w:color w:val="808080"/>
        <w:u w:val="single"/>
      </w:rPr>
    </w:pPr>
    <w:r w:rsidRPr="001042E1">
      <w:rPr>
        <w:rFonts w:ascii="Arial" w:hAnsi="Arial" w:cs="Arial"/>
        <w:i/>
        <w:iCs/>
        <w:color w:val="808080"/>
      </w:rPr>
      <w:t xml:space="preserve">Expediente: </w:t>
    </w:r>
    <w:r w:rsidRPr="00B9739F">
      <w:rPr>
        <w:rFonts w:ascii="Arial" w:hAnsi="Arial" w:cs="Arial"/>
        <w:i/>
        <w:iCs/>
        <w:color w:val="808080"/>
      </w:rPr>
      <w:t>15001</w:t>
    </w:r>
    <w:r>
      <w:rPr>
        <w:rFonts w:ascii="Arial" w:hAnsi="Arial" w:cs="Arial"/>
        <w:i/>
        <w:iCs/>
        <w:color w:val="808080"/>
      </w:rPr>
      <w:t>-</w:t>
    </w:r>
    <w:r w:rsidRPr="00B9739F">
      <w:rPr>
        <w:rFonts w:ascii="Arial" w:hAnsi="Arial" w:cs="Arial"/>
        <w:i/>
        <w:iCs/>
        <w:color w:val="808080"/>
      </w:rPr>
      <w:t>33</w:t>
    </w:r>
    <w:r>
      <w:rPr>
        <w:rFonts w:ascii="Arial" w:hAnsi="Arial" w:cs="Arial"/>
        <w:i/>
        <w:iCs/>
        <w:color w:val="808080"/>
      </w:rPr>
      <w:t>-</w:t>
    </w:r>
    <w:r w:rsidRPr="00B9739F">
      <w:rPr>
        <w:rFonts w:ascii="Arial" w:hAnsi="Arial" w:cs="Arial"/>
        <w:i/>
        <w:iCs/>
        <w:color w:val="808080"/>
      </w:rPr>
      <w:t>33</w:t>
    </w:r>
    <w:r>
      <w:rPr>
        <w:rFonts w:ascii="Arial" w:hAnsi="Arial" w:cs="Arial"/>
        <w:i/>
        <w:iCs/>
        <w:color w:val="808080"/>
      </w:rPr>
      <w:t>-</w:t>
    </w:r>
    <w:r w:rsidRPr="00B9739F">
      <w:rPr>
        <w:rFonts w:ascii="Arial" w:hAnsi="Arial" w:cs="Arial"/>
        <w:i/>
        <w:iCs/>
        <w:color w:val="808080"/>
      </w:rPr>
      <w:t>0</w:t>
    </w:r>
    <w:r>
      <w:rPr>
        <w:rFonts w:ascii="Arial" w:hAnsi="Arial" w:cs="Arial"/>
        <w:i/>
        <w:iCs/>
        <w:color w:val="808080"/>
      </w:rPr>
      <w:t>0</w:t>
    </w:r>
    <w:r w:rsidRPr="00B9739F">
      <w:rPr>
        <w:rFonts w:ascii="Arial" w:hAnsi="Arial" w:cs="Arial"/>
        <w:i/>
        <w:iCs/>
        <w:color w:val="808080"/>
      </w:rPr>
      <w:t>4</w:t>
    </w:r>
    <w:r>
      <w:rPr>
        <w:rFonts w:ascii="Arial" w:hAnsi="Arial" w:cs="Arial"/>
        <w:i/>
        <w:iCs/>
        <w:color w:val="808080"/>
      </w:rPr>
      <w:t>-</w:t>
    </w:r>
    <w:r w:rsidRPr="00B9739F">
      <w:rPr>
        <w:rFonts w:ascii="Arial" w:hAnsi="Arial" w:cs="Arial"/>
        <w:i/>
        <w:iCs/>
        <w:color w:val="808080"/>
      </w:rPr>
      <w:t>201</w:t>
    </w:r>
    <w:r>
      <w:rPr>
        <w:rFonts w:ascii="Arial" w:hAnsi="Arial" w:cs="Arial"/>
        <w:i/>
        <w:iCs/>
        <w:color w:val="808080"/>
      </w:rPr>
      <w:t>8-</w:t>
    </w:r>
    <w:r w:rsidRPr="00B9739F">
      <w:rPr>
        <w:rFonts w:ascii="Arial" w:hAnsi="Arial" w:cs="Arial"/>
        <w:i/>
        <w:iCs/>
        <w:color w:val="808080"/>
      </w:rPr>
      <w:t>00</w:t>
    </w:r>
    <w:r>
      <w:rPr>
        <w:rFonts w:ascii="Arial" w:hAnsi="Arial" w:cs="Arial"/>
        <w:i/>
        <w:iCs/>
        <w:color w:val="808080"/>
      </w:rPr>
      <w:t>227-</w:t>
    </w:r>
    <w:r w:rsidRPr="00B9739F">
      <w:rPr>
        <w:rFonts w:ascii="Arial" w:hAnsi="Arial" w:cs="Arial"/>
        <w:i/>
        <w:iCs/>
        <w:color w:val="808080"/>
      </w:rPr>
      <w:t>0</w:t>
    </w:r>
    <w:r>
      <w:rPr>
        <w:rFonts w:ascii="Arial" w:hAnsi="Arial" w:cs="Arial"/>
        <w:i/>
        <w:iCs/>
        <w:color w:val="808080"/>
      </w:rPr>
      <w:t>2</w:t>
    </w:r>
    <w:r w:rsidRPr="00B9739F">
      <w:rPr>
        <w:rFonts w:ascii="Arial" w:hAnsi="Arial" w:cs="Arial"/>
        <w:i/>
        <w:iCs/>
        <w:color w:val="808080"/>
      </w:rPr>
      <w:cr/>
    </w:r>
    <w:r w:rsidRPr="001042E1">
      <w:rPr>
        <w:rFonts w:ascii="Arial" w:hAnsi="Arial" w:cs="Arial"/>
        <w:b/>
        <w:i/>
        <w:iCs/>
        <w:color w:val="808080"/>
        <w:u w:val="single"/>
      </w:rPr>
      <w:t xml:space="preserve">Nulidad y </w:t>
    </w:r>
    <w:r>
      <w:rPr>
        <w:rFonts w:ascii="Arial" w:hAnsi="Arial" w:cs="Arial"/>
        <w:b/>
        <w:i/>
        <w:iCs/>
        <w:color w:val="808080"/>
        <w:u w:val="single"/>
      </w:rPr>
      <w:t>Restablecimiento del Derecho - 2</w:t>
    </w:r>
    <w:r w:rsidRPr="001042E1">
      <w:rPr>
        <w:rFonts w:ascii="Arial" w:hAnsi="Arial" w:cs="Arial"/>
        <w:b/>
        <w:i/>
        <w:iCs/>
        <w:color w:val="808080"/>
        <w:u w:val="single"/>
      </w:rPr>
      <w:t>ª instancia</w:t>
    </w:r>
  </w:p>
  <w:p w14:paraId="493011C3" w14:textId="77777777" w:rsidR="006D770F" w:rsidRPr="004644FC" w:rsidRDefault="006D770F" w:rsidP="005631CA">
    <w:pPr>
      <w:pStyle w:val="Encabezado"/>
      <w:framePr w:w="6151" w:wrap="around" w:vAnchor="text" w:hAnchor="page" w:x="4077" w:y="66"/>
      <w:jc w:val="right"/>
      <w:rPr>
        <w:rStyle w:val="Nmerodepgina"/>
      </w:rPr>
    </w:pPr>
  </w:p>
  <w:p w14:paraId="54263ACF" w14:textId="77777777" w:rsidR="006D770F" w:rsidRDefault="006D770F" w:rsidP="005631CA">
    <w:pPr>
      <w:spacing w:line="360" w:lineRule="auto"/>
      <w:rPr>
        <w:b/>
        <w:szCs w:val="24"/>
      </w:rPr>
    </w:pPr>
  </w:p>
  <w:p w14:paraId="59AAF04A" w14:textId="77777777" w:rsidR="006D770F" w:rsidRPr="00AA7BE7" w:rsidRDefault="006D770F" w:rsidP="005631CA">
    <w:pPr>
      <w:spacing w:line="360" w:lineRule="auto"/>
      <w:rPr>
        <w:b/>
        <w:szCs w:val="24"/>
      </w:rPr>
    </w:pPr>
    <w:r>
      <w:rPr>
        <w:b/>
        <w:noProof/>
        <w:szCs w:val="24"/>
        <w:lang w:eastAsia="es-CO"/>
      </w:rPr>
      <w:drawing>
        <wp:anchor distT="0" distB="0" distL="114300" distR="114300" simplePos="0" relativeHeight="251660288" behindDoc="0" locked="0" layoutInCell="1" allowOverlap="1" wp14:anchorId="0295BAAC" wp14:editId="45270D75">
          <wp:simplePos x="0" y="0"/>
          <wp:positionH relativeFrom="column">
            <wp:posOffset>104140</wp:posOffset>
          </wp:positionH>
          <wp:positionV relativeFrom="paragraph">
            <wp:posOffset>77470</wp:posOffset>
          </wp:positionV>
          <wp:extent cx="710565" cy="793750"/>
          <wp:effectExtent l="0" t="0" r="0" b="635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65" cy="793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263B2" w14:textId="77777777" w:rsidR="006D770F" w:rsidRDefault="006D770F" w:rsidP="005631CA">
    <w:pPr>
      <w:spacing w:line="360" w:lineRule="auto"/>
      <w:ind w:right="50"/>
      <w:jc w:val="center"/>
      <w:rPr>
        <w:rFonts w:ascii="Lucida Calligraphy" w:hAnsi="Lucida Calligraphy" w:cs="Edwardian Script ITC"/>
        <w:b/>
        <w:iCs/>
        <w:sz w:val="24"/>
        <w:szCs w:val="24"/>
      </w:rPr>
    </w:pPr>
  </w:p>
  <w:p w14:paraId="25C77C15" w14:textId="77777777" w:rsidR="006D770F" w:rsidRDefault="006D770F">
    <w:pPr>
      <w:pStyle w:val="Encabezado"/>
    </w:pPr>
  </w:p>
  <w:p w14:paraId="70EFF1FD" w14:textId="77777777" w:rsidR="006D770F" w:rsidRDefault="006D770F">
    <w:pPr>
      <w:pStyle w:val="Encabezado"/>
    </w:pPr>
  </w:p>
  <w:p w14:paraId="4023783D" w14:textId="77777777" w:rsidR="006D770F" w:rsidRPr="00E9201D" w:rsidRDefault="006D770F">
    <w:pPr>
      <w:pStyle w:val="Encabezado"/>
      <w:rPr>
        <w:color w:val="808080"/>
        <w:sz w:val="16"/>
      </w:rPr>
    </w:pPr>
  </w:p>
  <w:p w14:paraId="2BC8836B" w14:textId="77777777" w:rsidR="006D770F" w:rsidRPr="00E9201D" w:rsidRDefault="006D770F">
    <w:pPr>
      <w:pStyle w:val="Encabezado"/>
      <w:rPr>
        <w:color w:val="808080"/>
        <w:sz w:val="16"/>
      </w:rPr>
    </w:pPr>
  </w:p>
  <w:p w14:paraId="46666FBF" w14:textId="77777777" w:rsidR="006D770F" w:rsidRPr="00E9201D" w:rsidRDefault="006D770F" w:rsidP="005631CA">
    <w:pPr>
      <w:pStyle w:val="Encabezado"/>
      <w:spacing w:line="360" w:lineRule="auto"/>
      <w:jc w:val="center"/>
      <w:rPr>
        <w:rFonts w:ascii="Century Schoolbook" w:hAnsi="Century Schoolbook"/>
        <w:b/>
        <w:i/>
        <w:iCs/>
        <w:color w:val="808080"/>
        <w:sz w:val="18"/>
      </w:rPr>
    </w:pPr>
  </w:p>
  <w:p w14:paraId="62D9BDFD" w14:textId="77777777" w:rsidR="006D770F" w:rsidRPr="00E9201D" w:rsidRDefault="006D770F" w:rsidP="005631CA">
    <w:pPr>
      <w:pStyle w:val="Encabezado"/>
      <w:spacing w:line="360" w:lineRule="auto"/>
      <w:jc w:val="center"/>
      <w:rPr>
        <w:rFonts w:ascii="Century Schoolbook" w:hAnsi="Century Schoolbook"/>
        <w:b/>
        <w:i/>
        <w:iCs/>
        <w:color w:val="808080"/>
        <w:sz w:val="18"/>
      </w:rPr>
    </w:pPr>
  </w:p>
  <w:p w14:paraId="565A7750" w14:textId="77777777" w:rsidR="006D770F" w:rsidRPr="00C734F0" w:rsidRDefault="006D770F" w:rsidP="005631CA">
    <w:pPr>
      <w:pStyle w:val="Encabezado"/>
      <w:jc w:val="center"/>
      <w:rPr>
        <w:rFonts w:ascii="Arial" w:hAnsi="Arial" w:cs="Arial"/>
        <w:b/>
        <w:iCs/>
        <w:color w:val="808080"/>
        <w:szCs w:val="24"/>
      </w:rPr>
    </w:pPr>
    <w:r w:rsidRPr="00C734F0">
      <w:rPr>
        <w:rFonts w:ascii="Arial" w:hAnsi="Arial" w:cs="Arial"/>
        <w:noProof/>
        <w:color w:val="808080"/>
        <w:szCs w:val="24"/>
        <w:lang w:eastAsia="es-CO"/>
      </w:rPr>
      <w:drawing>
        <wp:anchor distT="0" distB="0" distL="114300" distR="114300" simplePos="0" relativeHeight="251659264" behindDoc="0" locked="0" layoutInCell="1" allowOverlap="1" wp14:anchorId="063C2B75" wp14:editId="4D5BEBD7">
          <wp:simplePos x="0" y="0"/>
          <wp:positionH relativeFrom="margin">
            <wp:align>center</wp:align>
          </wp:positionH>
          <wp:positionV relativeFrom="paragraph">
            <wp:posOffset>-913130</wp:posOffset>
          </wp:positionV>
          <wp:extent cx="710565" cy="793750"/>
          <wp:effectExtent l="0" t="0" r="0" b="635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65"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34F0">
      <w:rPr>
        <w:rFonts w:ascii="Arial" w:hAnsi="Arial" w:cs="Arial"/>
        <w:b/>
        <w:iCs/>
        <w:color w:val="808080"/>
        <w:szCs w:val="24"/>
      </w:rPr>
      <w:t xml:space="preserve">TRIBUNAL ADMINISTRATIVO DE BOYACÁ </w:t>
    </w:r>
  </w:p>
  <w:p w14:paraId="67A0212F" w14:textId="41744364" w:rsidR="006D770F" w:rsidRPr="00C734F0" w:rsidRDefault="006D770F" w:rsidP="005631CA">
    <w:pPr>
      <w:pStyle w:val="Encabezado"/>
      <w:jc w:val="center"/>
      <w:rPr>
        <w:rFonts w:ascii="Arial" w:hAnsi="Arial" w:cs="Arial"/>
        <w:color w:val="808080"/>
        <w:szCs w:val="24"/>
        <w:lang w:val="es-MX"/>
      </w:rPr>
    </w:pPr>
    <w:r>
      <w:rPr>
        <w:rFonts w:ascii="Arial" w:hAnsi="Arial" w:cs="Arial"/>
        <w:b/>
        <w:iCs/>
        <w:color w:val="808080"/>
        <w:szCs w:val="24"/>
      </w:rPr>
      <w:t>SALA DE DECISIÓN NO. 3</w:t>
    </w:r>
  </w:p>
  <w:p w14:paraId="05260236" w14:textId="269F1952" w:rsidR="006D770F" w:rsidRPr="00C734F0" w:rsidRDefault="006D770F" w:rsidP="005631CA">
    <w:pPr>
      <w:jc w:val="center"/>
      <w:rPr>
        <w:rFonts w:ascii="Arial" w:hAnsi="Arial" w:cs="Arial"/>
        <w:b/>
        <w:iCs/>
        <w:color w:val="808080"/>
        <w:spacing w:val="-12"/>
        <w:szCs w:val="24"/>
      </w:rPr>
    </w:pPr>
    <w:r w:rsidRPr="00C734F0">
      <w:rPr>
        <w:rFonts w:ascii="Arial" w:hAnsi="Arial" w:cs="Arial"/>
        <w:b/>
        <w:iCs/>
        <w:color w:val="808080"/>
        <w:spacing w:val="-12"/>
        <w:szCs w:val="24"/>
      </w:rPr>
      <w:t>MAGISTRADO PONENTE: D</w:t>
    </w:r>
    <w:r>
      <w:rPr>
        <w:rFonts w:ascii="Arial" w:hAnsi="Arial" w:cs="Arial"/>
        <w:b/>
        <w:iCs/>
        <w:color w:val="808080"/>
        <w:spacing w:val="-12"/>
        <w:szCs w:val="24"/>
      </w:rPr>
      <w:t>A</w:t>
    </w:r>
    <w:r w:rsidRPr="00C734F0">
      <w:rPr>
        <w:rFonts w:ascii="Arial" w:hAnsi="Arial" w:cs="Arial"/>
        <w:b/>
        <w:iCs/>
        <w:color w:val="808080"/>
        <w:spacing w:val="-12"/>
        <w:szCs w:val="24"/>
      </w:rPr>
      <w:t>Y</w:t>
    </w:r>
    <w:r>
      <w:rPr>
        <w:rFonts w:ascii="Arial" w:hAnsi="Arial" w:cs="Arial"/>
        <w:b/>
        <w:iCs/>
        <w:color w:val="808080"/>
        <w:spacing w:val="-12"/>
        <w:szCs w:val="24"/>
      </w:rPr>
      <w:t>Á</w:t>
    </w:r>
    <w:r w:rsidRPr="00C734F0">
      <w:rPr>
        <w:rFonts w:ascii="Arial" w:hAnsi="Arial" w:cs="Arial"/>
        <w:b/>
        <w:iCs/>
        <w:color w:val="808080"/>
        <w:spacing w:val="-12"/>
        <w:szCs w:val="24"/>
      </w:rPr>
      <w:t>N ALBERTO BLANCO LEGU</w:t>
    </w:r>
    <w:r>
      <w:rPr>
        <w:rFonts w:ascii="Arial" w:hAnsi="Arial" w:cs="Arial"/>
        <w:b/>
        <w:iCs/>
        <w:color w:val="808080"/>
        <w:spacing w:val="-12"/>
        <w:szCs w:val="24"/>
      </w:rPr>
      <w:t>Í</w:t>
    </w:r>
    <w:r w:rsidRPr="00C734F0">
      <w:rPr>
        <w:rFonts w:ascii="Arial" w:hAnsi="Arial" w:cs="Arial"/>
        <w:b/>
        <w:iCs/>
        <w:color w:val="808080"/>
        <w:spacing w:val="-12"/>
        <w:szCs w:val="24"/>
      </w:rPr>
      <w:t>Z</w:t>
    </w:r>
    <w:r>
      <w:rPr>
        <w:rFonts w:ascii="Arial" w:hAnsi="Arial" w:cs="Arial"/>
        <w:b/>
        <w:iCs/>
        <w:color w:val="808080"/>
        <w:spacing w:val="-12"/>
        <w:szCs w:val="24"/>
      </w:rPr>
      <w:t xml:space="preserve">AMO </w:t>
    </w:r>
  </w:p>
  <w:p w14:paraId="1E2F87F1" w14:textId="77777777" w:rsidR="006D770F" w:rsidRDefault="006D77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05A1"/>
    <w:multiLevelType w:val="hybridMultilevel"/>
    <w:tmpl w:val="111265D4"/>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F4DA2"/>
    <w:multiLevelType w:val="hybridMultilevel"/>
    <w:tmpl w:val="73364760"/>
    <w:lvl w:ilvl="0" w:tplc="5320898E">
      <w:start w:val="41"/>
      <w:numFmt w:val="bullet"/>
      <w:lvlText w:val="-"/>
      <w:lvlJc w:val="left"/>
      <w:pPr>
        <w:ind w:left="720" w:hanging="360"/>
      </w:pPr>
      <w:rPr>
        <w:rFonts w:ascii="Calibri" w:eastAsiaTheme="minorEastAsia"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D92F8F"/>
    <w:multiLevelType w:val="multilevel"/>
    <w:tmpl w:val="4DFE7996"/>
    <w:lvl w:ilvl="0">
      <w:start w:val="1"/>
      <w:numFmt w:val="decimal"/>
      <w:lvlText w:val="%1."/>
      <w:lvlJc w:val="left"/>
      <w:pPr>
        <w:ind w:left="720" w:hanging="360"/>
      </w:pPr>
      <w:rPr>
        <w:rFonts w:ascii="Arial" w:eastAsia="Times New Roman" w:hAnsi="Arial" w:cs="Arial"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6AC09C0"/>
    <w:multiLevelType w:val="hybridMultilevel"/>
    <w:tmpl w:val="7D8256E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BD6251D"/>
    <w:multiLevelType w:val="hybridMultilevel"/>
    <w:tmpl w:val="00609C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3E65F9C"/>
    <w:multiLevelType w:val="multilevel"/>
    <w:tmpl w:val="6B96CFA0"/>
    <w:lvl w:ilvl="0">
      <w:start w:val="4"/>
      <w:numFmt w:val="decimal"/>
      <w:lvlText w:val="%1."/>
      <w:lvlJc w:val="left"/>
      <w:pPr>
        <w:ind w:left="390" w:hanging="390"/>
      </w:pPr>
      <w:rPr>
        <w:rFonts w:ascii="Arial" w:hAnsi="Arial" w:cs="Arial"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24AD3BB2"/>
    <w:multiLevelType w:val="multilevel"/>
    <w:tmpl w:val="92762F5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4F9183C"/>
    <w:multiLevelType w:val="hybridMultilevel"/>
    <w:tmpl w:val="B6CE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90756"/>
    <w:multiLevelType w:val="hybridMultilevel"/>
    <w:tmpl w:val="3A2E7048"/>
    <w:lvl w:ilvl="0" w:tplc="DAEC18AE">
      <w:start w:val="41"/>
      <w:numFmt w:val="bullet"/>
      <w:lvlText w:val="-"/>
      <w:lvlJc w:val="left"/>
      <w:pPr>
        <w:ind w:left="1080" w:hanging="360"/>
      </w:pPr>
      <w:rPr>
        <w:rFonts w:ascii="Calibri" w:eastAsiaTheme="minorEastAsia"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2DDC1356"/>
    <w:multiLevelType w:val="hybridMultilevel"/>
    <w:tmpl w:val="AB822410"/>
    <w:lvl w:ilvl="0" w:tplc="B15A53D6">
      <w:start w:val="39"/>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FAC2100"/>
    <w:multiLevelType w:val="hybridMultilevel"/>
    <w:tmpl w:val="78B8A21E"/>
    <w:lvl w:ilvl="0" w:tplc="627E00C4">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3B521A"/>
    <w:multiLevelType w:val="hybridMultilevel"/>
    <w:tmpl w:val="F118B6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13E5F55"/>
    <w:multiLevelType w:val="multilevel"/>
    <w:tmpl w:val="311E9A88"/>
    <w:lvl w:ilvl="0">
      <w:start w:val="4"/>
      <w:numFmt w:val="decimal"/>
      <w:lvlText w:val="%1."/>
      <w:lvlJc w:val="left"/>
      <w:pPr>
        <w:ind w:left="390" w:hanging="390"/>
      </w:pPr>
      <w:rPr>
        <w:rFonts w:ascii="Arial" w:hAnsi="Arial" w:cs="Aria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A7E2559"/>
    <w:multiLevelType w:val="hybridMultilevel"/>
    <w:tmpl w:val="490A664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C084450"/>
    <w:multiLevelType w:val="hybridMultilevel"/>
    <w:tmpl w:val="E0827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7665CB4"/>
    <w:multiLevelType w:val="multilevel"/>
    <w:tmpl w:val="1AC8DB0A"/>
    <w:lvl w:ilvl="0">
      <w:start w:val="1"/>
      <w:numFmt w:val="decimal"/>
      <w:lvlText w:val="%1."/>
      <w:lvlJc w:val="left"/>
      <w:pPr>
        <w:ind w:left="720" w:hanging="360"/>
      </w:pPr>
      <w:rPr>
        <w:rFonts w:hint="default"/>
        <w:b w:val="0"/>
        <w:i w:val="0"/>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E4626AC"/>
    <w:multiLevelType w:val="hybridMultilevel"/>
    <w:tmpl w:val="81D8DF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25B3669"/>
    <w:multiLevelType w:val="hybridMultilevel"/>
    <w:tmpl w:val="C82CF5F0"/>
    <w:lvl w:ilvl="0" w:tplc="12161CD0">
      <w:numFmt w:val="bullet"/>
      <w:lvlText w:val="-"/>
      <w:lvlJc w:val="left"/>
      <w:pPr>
        <w:ind w:left="720" w:hanging="360"/>
      </w:pPr>
      <w:rPr>
        <w:rFonts w:ascii="Arno Pro" w:eastAsia="Times New Roman" w:hAnsi="Arno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1235FA"/>
    <w:multiLevelType w:val="hybridMultilevel"/>
    <w:tmpl w:val="E8164CA2"/>
    <w:lvl w:ilvl="0" w:tplc="4D0EA12C">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0C957E0"/>
    <w:multiLevelType w:val="hybridMultilevel"/>
    <w:tmpl w:val="C41040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6AC27FF"/>
    <w:multiLevelType w:val="hybridMultilevel"/>
    <w:tmpl w:val="E96ECD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7A120A4"/>
    <w:multiLevelType w:val="multilevel"/>
    <w:tmpl w:val="66FE9D52"/>
    <w:lvl w:ilvl="0">
      <w:start w:val="3"/>
      <w:numFmt w:val="decimal"/>
      <w:lvlText w:val="%1."/>
      <w:lvlJc w:val="left"/>
      <w:pPr>
        <w:ind w:left="720" w:hanging="360"/>
      </w:pPr>
      <w:rPr>
        <w:rFonts w:ascii="Arial" w:hAnsi="Arial" w:cs="Arial" w:hint="default"/>
        <w:b w:val="0"/>
        <w:i w:val="0"/>
        <w:sz w:val="24"/>
        <w:szCs w:val="24"/>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8134F67"/>
    <w:multiLevelType w:val="hybridMultilevel"/>
    <w:tmpl w:val="B2CA832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DA75613"/>
    <w:multiLevelType w:val="hybridMultilevel"/>
    <w:tmpl w:val="8EE8DED6"/>
    <w:lvl w:ilvl="0" w:tplc="16948B5A">
      <w:start w:val="1"/>
      <w:numFmt w:val="decimal"/>
      <w:lvlText w:val="%1."/>
      <w:lvlJc w:val="left"/>
      <w:pPr>
        <w:ind w:left="720" w:hanging="360"/>
      </w:pPr>
      <w:rPr>
        <w:rFonts w:ascii="Arial" w:hAnsi="Arial" w:cs="Arial" w:hint="default"/>
      </w:rPr>
    </w:lvl>
    <w:lvl w:ilvl="1" w:tplc="DD443516">
      <w:start w:val="1"/>
      <w:numFmt w:val="lowerLetter"/>
      <w:lvlText w:val="%2."/>
      <w:lvlJc w:val="left"/>
      <w:pPr>
        <w:ind w:left="1440" w:hanging="360"/>
      </w:pPr>
    </w:lvl>
    <w:lvl w:ilvl="2" w:tplc="D52ED042">
      <w:start w:val="1"/>
      <w:numFmt w:val="lowerRoman"/>
      <w:lvlText w:val="%3."/>
      <w:lvlJc w:val="right"/>
      <w:pPr>
        <w:ind w:left="2160" w:hanging="180"/>
      </w:pPr>
    </w:lvl>
    <w:lvl w:ilvl="3" w:tplc="44247D54">
      <w:start w:val="1"/>
      <w:numFmt w:val="decimal"/>
      <w:lvlText w:val="%4."/>
      <w:lvlJc w:val="left"/>
      <w:pPr>
        <w:ind w:left="2880" w:hanging="360"/>
      </w:pPr>
      <w:rPr>
        <w:rFonts w:ascii="Arial" w:hAnsi="Arial" w:cs="Arial" w:hint="default"/>
        <w:sz w:val="24"/>
        <w:szCs w:val="24"/>
      </w:rPr>
    </w:lvl>
    <w:lvl w:ilvl="4" w:tplc="A72821EE">
      <w:start w:val="1"/>
      <w:numFmt w:val="lowerLetter"/>
      <w:lvlText w:val="%5."/>
      <w:lvlJc w:val="left"/>
      <w:pPr>
        <w:ind w:left="3600" w:hanging="360"/>
      </w:pPr>
    </w:lvl>
    <w:lvl w:ilvl="5" w:tplc="2A9C0F1E">
      <w:start w:val="1"/>
      <w:numFmt w:val="lowerRoman"/>
      <w:lvlText w:val="%6."/>
      <w:lvlJc w:val="right"/>
      <w:pPr>
        <w:ind w:left="4320" w:hanging="180"/>
      </w:pPr>
    </w:lvl>
    <w:lvl w:ilvl="6" w:tplc="44BC2ECC">
      <w:start w:val="1"/>
      <w:numFmt w:val="decimal"/>
      <w:lvlText w:val="%7."/>
      <w:lvlJc w:val="left"/>
      <w:pPr>
        <w:ind w:left="5040" w:hanging="360"/>
      </w:pPr>
    </w:lvl>
    <w:lvl w:ilvl="7" w:tplc="994EBC40">
      <w:start w:val="1"/>
      <w:numFmt w:val="lowerLetter"/>
      <w:lvlText w:val="%8."/>
      <w:lvlJc w:val="left"/>
      <w:pPr>
        <w:ind w:left="5760" w:hanging="360"/>
      </w:pPr>
    </w:lvl>
    <w:lvl w:ilvl="8" w:tplc="982AF508">
      <w:start w:val="1"/>
      <w:numFmt w:val="lowerRoman"/>
      <w:lvlText w:val="%9."/>
      <w:lvlJc w:val="right"/>
      <w:pPr>
        <w:ind w:left="6480" w:hanging="180"/>
      </w:pPr>
    </w:lvl>
  </w:abstractNum>
  <w:num w:numId="1">
    <w:abstractNumId w:val="23"/>
  </w:num>
  <w:num w:numId="2">
    <w:abstractNumId w:val="6"/>
  </w:num>
  <w:num w:numId="3">
    <w:abstractNumId w:val="1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2"/>
  </w:num>
  <w:num w:numId="7">
    <w:abstractNumId w:val="19"/>
  </w:num>
  <w:num w:numId="8">
    <w:abstractNumId w:val="20"/>
  </w:num>
  <w:num w:numId="9">
    <w:abstractNumId w:val="17"/>
  </w:num>
  <w:num w:numId="10">
    <w:abstractNumId w:val="0"/>
  </w:num>
  <w:num w:numId="11">
    <w:abstractNumId w:val="14"/>
  </w:num>
  <w:num w:numId="12">
    <w:abstractNumId w:val="7"/>
  </w:num>
  <w:num w:numId="13">
    <w:abstractNumId w:val="13"/>
  </w:num>
  <w:num w:numId="14">
    <w:abstractNumId w:val="3"/>
  </w:num>
  <w:num w:numId="15">
    <w:abstractNumId w:val="16"/>
  </w:num>
  <w:num w:numId="16">
    <w:abstractNumId w:val="2"/>
  </w:num>
  <w:num w:numId="17">
    <w:abstractNumId w:val="8"/>
  </w:num>
  <w:num w:numId="18">
    <w:abstractNumId w:val="1"/>
  </w:num>
  <w:num w:numId="19">
    <w:abstractNumId w:val="9"/>
  </w:num>
  <w:num w:numId="20">
    <w:abstractNumId w:val="11"/>
  </w:num>
  <w:num w:numId="21">
    <w:abstractNumId w:val="21"/>
  </w:num>
  <w:num w:numId="22">
    <w:abstractNumId w:val="15"/>
  </w:num>
  <w:num w:numId="23">
    <w:abstractNumId w:val="4"/>
  </w:num>
  <w:num w:numId="24">
    <w:abstractNumId w:val="1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C44"/>
    <w:rsid w:val="000026E7"/>
    <w:rsid w:val="00005279"/>
    <w:rsid w:val="0001128C"/>
    <w:rsid w:val="000114D6"/>
    <w:rsid w:val="000120F1"/>
    <w:rsid w:val="00016307"/>
    <w:rsid w:val="00017391"/>
    <w:rsid w:val="0002144E"/>
    <w:rsid w:val="00022CA1"/>
    <w:rsid w:val="000232D9"/>
    <w:rsid w:val="00024994"/>
    <w:rsid w:val="00027F74"/>
    <w:rsid w:val="00033617"/>
    <w:rsid w:val="00034FE4"/>
    <w:rsid w:val="00036EBA"/>
    <w:rsid w:val="00042A55"/>
    <w:rsid w:val="00044FBA"/>
    <w:rsid w:val="00053B22"/>
    <w:rsid w:val="0005762A"/>
    <w:rsid w:val="00060418"/>
    <w:rsid w:val="00061104"/>
    <w:rsid w:val="00065886"/>
    <w:rsid w:val="0006599E"/>
    <w:rsid w:val="00065A00"/>
    <w:rsid w:val="000663C5"/>
    <w:rsid w:val="0006647C"/>
    <w:rsid w:val="00067937"/>
    <w:rsid w:val="000679CB"/>
    <w:rsid w:val="000709AC"/>
    <w:rsid w:val="00072806"/>
    <w:rsid w:val="000733C4"/>
    <w:rsid w:val="00073C1E"/>
    <w:rsid w:val="000775CB"/>
    <w:rsid w:val="00083DF9"/>
    <w:rsid w:val="000863C3"/>
    <w:rsid w:val="0009769E"/>
    <w:rsid w:val="000A2D27"/>
    <w:rsid w:val="000A5009"/>
    <w:rsid w:val="000A65B6"/>
    <w:rsid w:val="000B01AB"/>
    <w:rsid w:val="000B1C6B"/>
    <w:rsid w:val="000B369E"/>
    <w:rsid w:val="000C04B8"/>
    <w:rsid w:val="000C1358"/>
    <w:rsid w:val="000C49C9"/>
    <w:rsid w:val="000D0DFA"/>
    <w:rsid w:val="000D329F"/>
    <w:rsid w:val="000D33EF"/>
    <w:rsid w:val="000D3A64"/>
    <w:rsid w:val="000D4D31"/>
    <w:rsid w:val="000D5D01"/>
    <w:rsid w:val="000E2A00"/>
    <w:rsid w:val="000E2B36"/>
    <w:rsid w:val="000E4233"/>
    <w:rsid w:val="000F26E0"/>
    <w:rsid w:val="000F4099"/>
    <w:rsid w:val="000F4C51"/>
    <w:rsid w:val="000F5EFA"/>
    <w:rsid w:val="00102442"/>
    <w:rsid w:val="00114407"/>
    <w:rsid w:val="0011555C"/>
    <w:rsid w:val="00116B5A"/>
    <w:rsid w:val="001171E1"/>
    <w:rsid w:val="001232FD"/>
    <w:rsid w:val="00125C10"/>
    <w:rsid w:val="0012630C"/>
    <w:rsid w:val="001269C1"/>
    <w:rsid w:val="00133657"/>
    <w:rsid w:val="00134DF4"/>
    <w:rsid w:val="001362D1"/>
    <w:rsid w:val="00136F53"/>
    <w:rsid w:val="0013765F"/>
    <w:rsid w:val="00142347"/>
    <w:rsid w:val="001525E3"/>
    <w:rsid w:val="00152733"/>
    <w:rsid w:val="001529CD"/>
    <w:rsid w:val="001549F5"/>
    <w:rsid w:val="0015648E"/>
    <w:rsid w:val="00156E51"/>
    <w:rsid w:val="00160EFD"/>
    <w:rsid w:val="001621CC"/>
    <w:rsid w:val="001626F7"/>
    <w:rsid w:val="0016391C"/>
    <w:rsid w:val="001642B0"/>
    <w:rsid w:val="00166BD2"/>
    <w:rsid w:val="00174764"/>
    <w:rsid w:val="00174FEB"/>
    <w:rsid w:val="0018090C"/>
    <w:rsid w:val="00180E32"/>
    <w:rsid w:val="00182AC1"/>
    <w:rsid w:val="00183079"/>
    <w:rsid w:val="00184CB8"/>
    <w:rsid w:val="001856F0"/>
    <w:rsid w:val="00186378"/>
    <w:rsid w:val="001876F0"/>
    <w:rsid w:val="00190BF8"/>
    <w:rsid w:val="001923DA"/>
    <w:rsid w:val="001954DA"/>
    <w:rsid w:val="00196EDE"/>
    <w:rsid w:val="001A04AB"/>
    <w:rsid w:val="001A343D"/>
    <w:rsid w:val="001A6620"/>
    <w:rsid w:val="001A6A5B"/>
    <w:rsid w:val="001A7034"/>
    <w:rsid w:val="001A78FA"/>
    <w:rsid w:val="001B0787"/>
    <w:rsid w:val="001B137A"/>
    <w:rsid w:val="001B158E"/>
    <w:rsid w:val="001B3EF5"/>
    <w:rsid w:val="001C26F0"/>
    <w:rsid w:val="001C339E"/>
    <w:rsid w:val="001C4A40"/>
    <w:rsid w:val="001C705C"/>
    <w:rsid w:val="001C7D8A"/>
    <w:rsid w:val="001D03B3"/>
    <w:rsid w:val="001D5C1D"/>
    <w:rsid w:val="001E189B"/>
    <w:rsid w:val="001E265E"/>
    <w:rsid w:val="001E2C8A"/>
    <w:rsid w:val="001E310A"/>
    <w:rsid w:val="001E5A92"/>
    <w:rsid w:val="001E72A9"/>
    <w:rsid w:val="001F2336"/>
    <w:rsid w:val="001F3DAE"/>
    <w:rsid w:val="001F72C9"/>
    <w:rsid w:val="002004BF"/>
    <w:rsid w:val="00200842"/>
    <w:rsid w:val="00202662"/>
    <w:rsid w:val="00202C7E"/>
    <w:rsid w:val="002045B9"/>
    <w:rsid w:val="00205008"/>
    <w:rsid w:val="002066BF"/>
    <w:rsid w:val="00206C64"/>
    <w:rsid w:val="00212AE4"/>
    <w:rsid w:val="00213555"/>
    <w:rsid w:val="00213ED4"/>
    <w:rsid w:val="0021669D"/>
    <w:rsid w:val="002207D4"/>
    <w:rsid w:val="00220E00"/>
    <w:rsid w:val="0022212A"/>
    <w:rsid w:val="00225201"/>
    <w:rsid w:val="002254E2"/>
    <w:rsid w:val="00225BFA"/>
    <w:rsid w:val="0022623C"/>
    <w:rsid w:val="002301A1"/>
    <w:rsid w:val="002304A0"/>
    <w:rsid w:val="00237C46"/>
    <w:rsid w:val="0024123B"/>
    <w:rsid w:val="002412ED"/>
    <w:rsid w:val="0024236A"/>
    <w:rsid w:val="002502FD"/>
    <w:rsid w:val="00251A81"/>
    <w:rsid w:val="00251A82"/>
    <w:rsid w:val="00251E8B"/>
    <w:rsid w:val="00253A59"/>
    <w:rsid w:val="00254543"/>
    <w:rsid w:val="00255A37"/>
    <w:rsid w:val="00256089"/>
    <w:rsid w:val="002614CF"/>
    <w:rsid w:val="00261A37"/>
    <w:rsid w:val="002636D3"/>
    <w:rsid w:val="002639E4"/>
    <w:rsid w:val="002701E3"/>
    <w:rsid w:val="00273045"/>
    <w:rsid w:val="0027436B"/>
    <w:rsid w:val="00276C42"/>
    <w:rsid w:val="002773C3"/>
    <w:rsid w:val="00282E55"/>
    <w:rsid w:val="00283CAF"/>
    <w:rsid w:val="00287A95"/>
    <w:rsid w:val="00287E59"/>
    <w:rsid w:val="00290EA4"/>
    <w:rsid w:val="00290F46"/>
    <w:rsid w:val="00294B9A"/>
    <w:rsid w:val="002A0151"/>
    <w:rsid w:val="002A4AA4"/>
    <w:rsid w:val="002A52A1"/>
    <w:rsid w:val="002A5541"/>
    <w:rsid w:val="002A6138"/>
    <w:rsid w:val="002B4A5D"/>
    <w:rsid w:val="002B58BC"/>
    <w:rsid w:val="002B5934"/>
    <w:rsid w:val="002C0270"/>
    <w:rsid w:val="002C0F01"/>
    <w:rsid w:val="002C27D8"/>
    <w:rsid w:val="002C598E"/>
    <w:rsid w:val="002D052D"/>
    <w:rsid w:val="002D25AC"/>
    <w:rsid w:val="002D6308"/>
    <w:rsid w:val="002D7A4D"/>
    <w:rsid w:val="002E2F4A"/>
    <w:rsid w:val="002E32EA"/>
    <w:rsid w:val="002E5C4C"/>
    <w:rsid w:val="002F565D"/>
    <w:rsid w:val="00301353"/>
    <w:rsid w:val="0030150D"/>
    <w:rsid w:val="00302834"/>
    <w:rsid w:val="00303914"/>
    <w:rsid w:val="00305B29"/>
    <w:rsid w:val="00313E82"/>
    <w:rsid w:val="00315D8B"/>
    <w:rsid w:val="003220A6"/>
    <w:rsid w:val="00324845"/>
    <w:rsid w:val="00325D09"/>
    <w:rsid w:val="0032631B"/>
    <w:rsid w:val="00327BA8"/>
    <w:rsid w:val="00332910"/>
    <w:rsid w:val="00332D43"/>
    <w:rsid w:val="00335CB8"/>
    <w:rsid w:val="003367AB"/>
    <w:rsid w:val="00343706"/>
    <w:rsid w:val="003472F9"/>
    <w:rsid w:val="003478DC"/>
    <w:rsid w:val="003514ED"/>
    <w:rsid w:val="00352936"/>
    <w:rsid w:val="00354AEC"/>
    <w:rsid w:val="003562E2"/>
    <w:rsid w:val="0036035D"/>
    <w:rsid w:val="00370ACB"/>
    <w:rsid w:val="0037360F"/>
    <w:rsid w:val="00373BC4"/>
    <w:rsid w:val="00380687"/>
    <w:rsid w:val="00381A74"/>
    <w:rsid w:val="00381DCA"/>
    <w:rsid w:val="00394194"/>
    <w:rsid w:val="003956B6"/>
    <w:rsid w:val="00395E2B"/>
    <w:rsid w:val="00396090"/>
    <w:rsid w:val="003A3E15"/>
    <w:rsid w:val="003A5B5D"/>
    <w:rsid w:val="003A6B1D"/>
    <w:rsid w:val="003A6C45"/>
    <w:rsid w:val="003A7B4A"/>
    <w:rsid w:val="003B050B"/>
    <w:rsid w:val="003B0E69"/>
    <w:rsid w:val="003B21B8"/>
    <w:rsid w:val="003B4901"/>
    <w:rsid w:val="003B4E87"/>
    <w:rsid w:val="003B5562"/>
    <w:rsid w:val="003B65BB"/>
    <w:rsid w:val="003B78B9"/>
    <w:rsid w:val="003C11F1"/>
    <w:rsid w:val="003C1FFA"/>
    <w:rsid w:val="003C3FD0"/>
    <w:rsid w:val="003C59B4"/>
    <w:rsid w:val="003C6B50"/>
    <w:rsid w:val="003C6E23"/>
    <w:rsid w:val="003D1F4B"/>
    <w:rsid w:val="003D2362"/>
    <w:rsid w:val="003D29B6"/>
    <w:rsid w:val="003D3BE4"/>
    <w:rsid w:val="003D6DAD"/>
    <w:rsid w:val="003E1374"/>
    <w:rsid w:val="003E1C0B"/>
    <w:rsid w:val="003E4593"/>
    <w:rsid w:val="003E5ED1"/>
    <w:rsid w:val="003E639B"/>
    <w:rsid w:val="003E750A"/>
    <w:rsid w:val="003F19D2"/>
    <w:rsid w:val="003F3CE2"/>
    <w:rsid w:val="003F4E9B"/>
    <w:rsid w:val="004016C8"/>
    <w:rsid w:val="00405BA1"/>
    <w:rsid w:val="00410D6C"/>
    <w:rsid w:val="00411599"/>
    <w:rsid w:val="004127A8"/>
    <w:rsid w:val="00415A54"/>
    <w:rsid w:val="00415C29"/>
    <w:rsid w:val="0041634D"/>
    <w:rsid w:val="00416CFB"/>
    <w:rsid w:val="0041706D"/>
    <w:rsid w:val="00417769"/>
    <w:rsid w:val="0041789D"/>
    <w:rsid w:val="00421B5F"/>
    <w:rsid w:val="00422404"/>
    <w:rsid w:val="004234DB"/>
    <w:rsid w:val="0042399E"/>
    <w:rsid w:val="00424849"/>
    <w:rsid w:val="004278D1"/>
    <w:rsid w:val="00431382"/>
    <w:rsid w:val="00433890"/>
    <w:rsid w:val="00434639"/>
    <w:rsid w:val="00435A76"/>
    <w:rsid w:val="004369B1"/>
    <w:rsid w:val="004441D3"/>
    <w:rsid w:val="0044457F"/>
    <w:rsid w:val="00451FE2"/>
    <w:rsid w:val="004525D6"/>
    <w:rsid w:val="00452A39"/>
    <w:rsid w:val="00452C97"/>
    <w:rsid w:val="00466309"/>
    <w:rsid w:val="004665B0"/>
    <w:rsid w:val="00472170"/>
    <w:rsid w:val="00472565"/>
    <w:rsid w:val="00475643"/>
    <w:rsid w:val="00477EDD"/>
    <w:rsid w:val="00480D5C"/>
    <w:rsid w:val="00481AE8"/>
    <w:rsid w:val="004854B4"/>
    <w:rsid w:val="00485788"/>
    <w:rsid w:val="004879F2"/>
    <w:rsid w:val="00490932"/>
    <w:rsid w:val="00493C01"/>
    <w:rsid w:val="00497C45"/>
    <w:rsid w:val="004A1660"/>
    <w:rsid w:val="004A69E3"/>
    <w:rsid w:val="004A6FA8"/>
    <w:rsid w:val="004B5F4C"/>
    <w:rsid w:val="004B777A"/>
    <w:rsid w:val="004C57E5"/>
    <w:rsid w:val="004D1306"/>
    <w:rsid w:val="004D29CC"/>
    <w:rsid w:val="004D4AFE"/>
    <w:rsid w:val="004E3010"/>
    <w:rsid w:val="004E3DA0"/>
    <w:rsid w:val="004E6A6A"/>
    <w:rsid w:val="004F0227"/>
    <w:rsid w:val="004F1E2B"/>
    <w:rsid w:val="004F51AA"/>
    <w:rsid w:val="004F5565"/>
    <w:rsid w:val="004F690B"/>
    <w:rsid w:val="004F6E00"/>
    <w:rsid w:val="004F7347"/>
    <w:rsid w:val="004F7D47"/>
    <w:rsid w:val="0050313A"/>
    <w:rsid w:val="005041D3"/>
    <w:rsid w:val="005057ED"/>
    <w:rsid w:val="00506C25"/>
    <w:rsid w:val="00511013"/>
    <w:rsid w:val="0051191A"/>
    <w:rsid w:val="00514914"/>
    <w:rsid w:val="00515D32"/>
    <w:rsid w:val="00516155"/>
    <w:rsid w:val="00516D09"/>
    <w:rsid w:val="005170E5"/>
    <w:rsid w:val="005219C1"/>
    <w:rsid w:val="00522DC0"/>
    <w:rsid w:val="0052784E"/>
    <w:rsid w:val="00527B87"/>
    <w:rsid w:val="00527BF1"/>
    <w:rsid w:val="00530F81"/>
    <w:rsid w:val="00532983"/>
    <w:rsid w:val="0053783F"/>
    <w:rsid w:val="0054173F"/>
    <w:rsid w:val="00544F02"/>
    <w:rsid w:val="00551589"/>
    <w:rsid w:val="005529F5"/>
    <w:rsid w:val="0055642B"/>
    <w:rsid w:val="005568A2"/>
    <w:rsid w:val="00557BE1"/>
    <w:rsid w:val="00560C2D"/>
    <w:rsid w:val="005631CA"/>
    <w:rsid w:val="00563D33"/>
    <w:rsid w:val="0056789E"/>
    <w:rsid w:val="005678B9"/>
    <w:rsid w:val="0057248F"/>
    <w:rsid w:val="005754B8"/>
    <w:rsid w:val="00580DA7"/>
    <w:rsid w:val="00584CDE"/>
    <w:rsid w:val="00586338"/>
    <w:rsid w:val="0059019C"/>
    <w:rsid w:val="00591563"/>
    <w:rsid w:val="005917D6"/>
    <w:rsid w:val="0059393E"/>
    <w:rsid w:val="0059531C"/>
    <w:rsid w:val="00595E24"/>
    <w:rsid w:val="005970E1"/>
    <w:rsid w:val="005A1392"/>
    <w:rsid w:val="005A172A"/>
    <w:rsid w:val="005A6247"/>
    <w:rsid w:val="005B03BE"/>
    <w:rsid w:val="005B273C"/>
    <w:rsid w:val="005B381F"/>
    <w:rsid w:val="005B3922"/>
    <w:rsid w:val="005B6BDD"/>
    <w:rsid w:val="005C03C1"/>
    <w:rsid w:val="005C1125"/>
    <w:rsid w:val="005C3FA9"/>
    <w:rsid w:val="005C548B"/>
    <w:rsid w:val="005D0D83"/>
    <w:rsid w:val="005D41AC"/>
    <w:rsid w:val="005D46A5"/>
    <w:rsid w:val="005D66A1"/>
    <w:rsid w:val="005D6D55"/>
    <w:rsid w:val="005D7109"/>
    <w:rsid w:val="005E1825"/>
    <w:rsid w:val="005E2392"/>
    <w:rsid w:val="005E497E"/>
    <w:rsid w:val="005E6037"/>
    <w:rsid w:val="005E6851"/>
    <w:rsid w:val="005E6C61"/>
    <w:rsid w:val="005E71DD"/>
    <w:rsid w:val="005E7EBF"/>
    <w:rsid w:val="005F1F53"/>
    <w:rsid w:val="005F2C44"/>
    <w:rsid w:val="005F3EA2"/>
    <w:rsid w:val="005F5E7D"/>
    <w:rsid w:val="00603E35"/>
    <w:rsid w:val="00606052"/>
    <w:rsid w:val="00610005"/>
    <w:rsid w:val="006101DB"/>
    <w:rsid w:val="0061229E"/>
    <w:rsid w:val="0061430B"/>
    <w:rsid w:val="00616D52"/>
    <w:rsid w:val="00626178"/>
    <w:rsid w:val="00630C6C"/>
    <w:rsid w:val="006312DD"/>
    <w:rsid w:val="006324FD"/>
    <w:rsid w:val="006354CE"/>
    <w:rsid w:val="0063624A"/>
    <w:rsid w:val="006365F5"/>
    <w:rsid w:val="00636C3F"/>
    <w:rsid w:val="0064248C"/>
    <w:rsid w:val="006448F0"/>
    <w:rsid w:val="0064578D"/>
    <w:rsid w:val="00645E3F"/>
    <w:rsid w:val="00650967"/>
    <w:rsid w:val="006530D5"/>
    <w:rsid w:val="0065437C"/>
    <w:rsid w:val="0065443D"/>
    <w:rsid w:val="006545CC"/>
    <w:rsid w:val="0065561B"/>
    <w:rsid w:val="0066059D"/>
    <w:rsid w:val="006609E5"/>
    <w:rsid w:val="006649DA"/>
    <w:rsid w:val="00666168"/>
    <w:rsid w:val="00667099"/>
    <w:rsid w:val="00670577"/>
    <w:rsid w:val="0067191B"/>
    <w:rsid w:val="006753DC"/>
    <w:rsid w:val="006768AE"/>
    <w:rsid w:val="006808CE"/>
    <w:rsid w:val="00683410"/>
    <w:rsid w:val="00684883"/>
    <w:rsid w:val="006869EB"/>
    <w:rsid w:val="006870C4"/>
    <w:rsid w:val="006903C2"/>
    <w:rsid w:val="00694318"/>
    <w:rsid w:val="00694BA6"/>
    <w:rsid w:val="00695252"/>
    <w:rsid w:val="006965A1"/>
    <w:rsid w:val="006978BF"/>
    <w:rsid w:val="006A2C73"/>
    <w:rsid w:val="006A38CB"/>
    <w:rsid w:val="006A5D3A"/>
    <w:rsid w:val="006A7AC4"/>
    <w:rsid w:val="006B03C8"/>
    <w:rsid w:val="006B071D"/>
    <w:rsid w:val="006B2748"/>
    <w:rsid w:val="006B2863"/>
    <w:rsid w:val="006B39B9"/>
    <w:rsid w:val="006B6050"/>
    <w:rsid w:val="006C0372"/>
    <w:rsid w:val="006C198B"/>
    <w:rsid w:val="006C1E3B"/>
    <w:rsid w:val="006C226C"/>
    <w:rsid w:val="006C2E9C"/>
    <w:rsid w:val="006C3110"/>
    <w:rsid w:val="006C67B0"/>
    <w:rsid w:val="006D10D2"/>
    <w:rsid w:val="006D2DD5"/>
    <w:rsid w:val="006D770F"/>
    <w:rsid w:val="006D7B28"/>
    <w:rsid w:val="006E1978"/>
    <w:rsid w:val="006E1F33"/>
    <w:rsid w:val="006E3218"/>
    <w:rsid w:val="006F04C1"/>
    <w:rsid w:val="006F1BC5"/>
    <w:rsid w:val="006F41F4"/>
    <w:rsid w:val="00700A0C"/>
    <w:rsid w:val="00706CD3"/>
    <w:rsid w:val="00711713"/>
    <w:rsid w:val="00712A39"/>
    <w:rsid w:val="0071502F"/>
    <w:rsid w:val="0071708B"/>
    <w:rsid w:val="00717662"/>
    <w:rsid w:val="00720EFF"/>
    <w:rsid w:val="0072254A"/>
    <w:rsid w:val="00722AFF"/>
    <w:rsid w:val="00723BF5"/>
    <w:rsid w:val="007241F7"/>
    <w:rsid w:val="0072492B"/>
    <w:rsid w:val="007267FE"/>
    <w:rsid w:val="00731635"/>
    <w:rsid w:val="00731C9D"/>
    <w:rsid w:val="007345BD"/>
    <w:rsid w:val="00736823"/>
    <w:rsid w:val="00737A12"/>
    <w:rsid w:val="00742519"/>
    <w:rsid w:val="00742EA0"/>
    <w:rsid w:val="00744A97"/>
    <w:rsid w:val="00745E9B"/>
    <w:rsid w:val="00752A5C"/>
    <w:rsid w:val="00756561"/>
    <w:rsid w:val="00756678"/>
    <w:rsid w:val="007619B7"/>
    <w:rsid w:val="00762F42"/>
    <w:rsid w:val="00763EF6"/>
    <w:rsid w:val="007662E1"/>
    <w:rsid w:val="00774126"/>
    <w:rsid w:val="00774965"/>
    <w:rsid w:val="00774EA8"/>
    <w:rsid w:val="00775E6C"/>
    <w:rsid w:val="0077600F"/>
    <w:rsid w:val="00777319"/>
    <w:rsid w:val="007778EA"/>
    <w:rsid w:val="00783A1A"/>
    <w:rsid w:val="00787308"/>
    <w:rsid w:val="00791726"/>
    <w:rsid w:val="00796339"/>
    <w:rsid w:val="007977BE"/>
    <w:rsid w:val="00797B83"/>
    <w:rsid w:val="007A06E6"/>
    <w:rsid w:val="007A0A01"/>
    <w:rsid w:val="007A4000"/>
    <w:rsid w:val="007A55EE"/>
    <w:rsid w:val="007A6FB2"/>
    <w:rsid w:val="007A707A"/>
    <w:rsid w:val="007A7564"/>
    <w:rsid w:val="007B1F97"/>
    <w:rsid w:val="007B347A"/>
    <w:rsid w:val="007B712B"/>
    <w:rsid w:val="007C42F9"/>
    <w:rsid w:val="007C4ABD"/>
    <w:rsid w:val="007C6915"/>
    <w:rsid w:val="007D21A4"/>
    <w:rsid w:val="007D31AC"/>
    <w:rsid w:val="007D35D4"/>
    <w:rsid w:val="007D4B5D"/>
    <w:rsid w:val="007D6D3A"/>
    <w:rsid w:val="007D6DB7"/>
    <w:rsid w:val="007E06C5"/>
    <w:rsid w:val="007E1C92"/>
    <w:rsid w:val="007E2323"/>
    <w:rsid w:val="007E41B4"/>
    <w:rsid w:val="007E621B"/>
    <w:rsid w:val="007E6467"/>
    <w:rsid w:val="007F313B"/>
    <w:rsid w:val="007F4334"/>
    <w:rsid w:val="00801ABD"/>
    <w:rsid w:val="008037A4"/>
    <w:rsid w:val="008049F8"/>
    <w:rsid w:val="00804D8F"/>
    <w:rsid w:val="00805A7C"/>
    <w:rsid w:val="00806814"/>
    <w:rsid w:val="00813AFB"/>
    <w:rsid w:val="00814DB6"/>
    <w:rsid w:val="00815A80"/>
    <w:rsid w:val="00815AB7"/>
    <w:rsid w:val="00821422"/>
    <w:rsid w:val="008233D8"/>
    <w:rsid w:val="00826F53"/>
    <w:rsid w:val="00827E21"/>
    <w:rsid w:val="00830261"/>
    <w:rsid w:val="00830FAB"/>
    <w:rsid w:val="0083179E"/>
    <w:rsid w:val="00834CA7"/>
    <w:rsid w:val="00840737"/>
    <w:rsid w:val="00842252"/>
    <w:rsid w:val="0084476A"/>
    <w:rsid w:val="0084551E"/>
    <w:rsid w:val="0084688F"/>
    <w:rsid w:val="008514BA"/>
    <w:rsid w:val="00855CE4"/>
    <w:rsid w:val="00855F89"/>
    <w:rsid w:val="0085701E"/>
    <w:rsid w:val="0085732E"/>
    <w:rsid w:val="00860E5D"/>
    <w:rsid w:val="00861560"/>
    <w:rsid w:val="00861836"/>
    <w:rsid w:val="00862AD9"/>
    <w:rsid w:val="00862DE5"/>
    <w:rsid w:val="00863FFF"/>
    <w:rsid w:val="00864F1C"/>
    <w:rsid w:val="00867345"/>
    <w:rsid w:val="00867AC7"/>
    <w:rsid w:val="00867EB5"/>
    <w:rsid w:val="008700C0"/>
    <w:rsid w:val="00870FE4"/>
    <w:rsid w:val="00871747"/>
    <w:rsid w:val="00876C21"/>
    <w:rsid w:val="00884FAC"/>
    <w:rsid w:val="00885209"/>
    <w:rsid w:val="008876D6"/>
    <w:rsid w:val="008923AB"/>
    <w:rsid w:val="00894619"/>
    <w:rsid w:val="008948BF"/>
    <w:rsid w:val="00897016"/>
    <w:rsid w:val="008A1879"/>
    <w:rsid w:val="008A3359"/>
    <w:rsid w:val="008A3DBE"/>
    <w:rsid w:val="008A4425"/>
    <w:rsid w:val="008A4AB3"/>
    <w:rsid w:val="008B0915"/>
    <w:rsid w:val="008B186E"/>
    <w:rsid w:val="008B2204"/>
    <w:rsid w:val="008B3775"/>
    <w:rsid w:val="008B38EB"/>
    <w:rsid w:val="008B4938"/>
    <w:rsid w:val="008C0435"/>
    <w:rsid w:val="008C0FA9"/>
    <w:rsid w:val="008C3161"/>
    <w:rsid w:val="008C3A76"/>
    <w:rsid w:val="008C629B"/>
    <w:rsid w:val="008D08E2"/>
    <w:rsid w:val="008D1DB7"/>
    <w:rsid w:val="008D6D6E"/>
    <w:rsid w:val="008D7401"/>
    <w:rsid w:val="008E043F"/>
    <w:rsid w:val="008E1997"/>
    <w:rsid w:val="008E2C65"/>
    <w:rsid w:val="008E6B8F"/>
    <w:rsid w:val="008E6E8C"/>
    <w:rsid w:val="008F01D0"/>
    <w:rsid w:val="008F352C"/>
    <w:rsid w:val="008F5B31"/>
    <w:rsid w:val="008F6A00"/>
    <w:rsid w:val="009016FB"/>
    <w:rsid w:val="00901E58"/>
    <w:rsid w:val="00901EF3"/>
    <w:rsid w:val="00911844"/>
    <w:rsid w:val="0091202D"/>
    <w:rsid w:val="0091248E"/>
    <w:rsid w:val="009138EB"/>
    <w:rsid w:val="00914CAC"/>
    <w:rsid w:val="00916C27"/>
    <w:rsid w:val="00917F0E"/>
    <w:rsid w:val="009210B1"/>
    <w:rsid w:val="00924DFC"/>
    <w:rsid w:val="00926FAB"/>
    <w:rsid w:val="00927FFD"/>
    <w:rsid w:val="0093089F"/>
    <w:rsid w:val="00930D9D"/>
    <w:rsid w:val="0093200D"/>
    <w:rsid w:val="009332EF"/>
    <w:rsid w:val="0093396C"/>
    <w:rsid w:val="00935104"/>
    <w:rsid w:val="009361A6"/>
    <w:rsid w:val="00941208"/>
    <w:rsid w:val="00941948"/>
    <w:rsid w:val="00942ED6"/>
    <w:rsid w:val="009431F9"/>
    <w:rsid w:val="00943B5B"/>
    <w:rsid w:val="00943DA0"/>
    <w:rsid w:val="00943F3F"/>
    <w:rsid w:val="0094734F"/>
    <w:rsid w:val="00951232"/>
    <w:rsid w:val="00951270"/>
    <w:rsid w:val="00955AFA"/>
    <w:rsid w:val="00957143"/>
    <w:rsid w:val="009578E5"/>
    <w:rsid w:val="009635C1"/>
    <w:rsid w:val="00967A77"/>
    <w:rsid w:val="00970A4E"/>
    <w:rsid w:val="0097274A"/>
    <w:rsid w:val="00972B67"/>
    <w:rsid w:val="009772B4"/>
    <w:rsid w:val="0098230E"/>
    <w:rsid w:val="00982493"/>
    <w:rsid w:val="00982725"/>
    <w:rsid w:val="009868A1"/>
    <w:rsid w:val="00991615"/>
    <w:rsid w:val="0099213D"/>
    <w:rsid w:val="00992D1F"/>
    <w:rsid w:val="0099316C"/>
    <w:rsid w:val="0099504B"/>
    <w:rsid w:val="00995397"/>
    <w:rsid w:val="009A2080"/>
    <w:rsid w:val="009A6D9C"/>
    <w:rsid w:val="009A7E41"/>
    <w:rsid w:val="009B30F6"/>
    <w:rsid w:val="009B3C2E"/>
    <w:rsid w:val="009B45C4"/>
    <w:rsid w:val="009B5094"/>
    <w:rsid w:val="009B5B92"/>
    <w:rsid w:val="009B7331"/>
    <w:rsid w:val="009C0F6E"/>
    <w:rsid w:val="009C17BB"/>
    <w:rsid w:val="009D4D97"/>
    <w:rsid w:val="009D6A76"/>
    <w:rsid w:val="009D6DB5"/>
    <w:rsid w:val="009E0B87"/>
    <w:rsid w:val="009E3E00"/>
    <w:rsid w:val="009E5D09"/>
    <w:rsid w:val="009E6811"/>
    <w:rsid w:val="009E749D"/>
    <w:rsid w:val="009F1CE8"/>
    <w:rsid w:val="009F405E"/>
    <w:rsid w:val="009F45FC"/>
    <w:rsid w:val="009F465D"/>
    <w:rsid w:val="009F4D76"/>
    <w:rsid w:val="009F7133"/>
    <w:rsid w:val="00A02692"/>
    <w:rsid w:val="00A02AFB"/>
    <w:rsid w:val="00A02ED3"/>
    <w:rsid w:val="00A03368"/>
    <w:rsid w:val="00A045F6"/>
    <w:rsid w:val="00A055D2"/>
    <w:rsid w:val="00A05C2B"/>
    <w:rsid w:val="00A069CB"/>
    <w:rsid w:val="00A11017"/>
    <w:rsid w:val="00A17DB6"/>
    <w:rsid w:val="00A22BD0"/>
    <w:rsid w:val="00A245D9"/>
    <w:rsid w:val="00A24F64"/>
    <w:rsid w:val="00A31EB9"/>
    <w:rsid w:val="00A32CFC"/>
    <w:rsid w:val="00A3330E"/>
    <w:rsid w:val="00A37947"/>
    <w:rsid w:val="00A409CD"/>
    <w:rsid w:val="00A420C7"/>
    <w:rsid w:val="00A42B29"/>
    <w:rsid w:val="00A43265"/>
    <w:rsid w:val="00A43E17"/>
    <w:rsid w:val="00A476E5"/>
    <w:rsid w:val="00A5128A"/>
    <w:rsid w:val="00A51FEF"/>
    <w:rsid w:val="00A5203F"/>
    <w:rsid w:val="00A57521"/>
    <w:rsid w:val="00A60AA5"/>
    <w:rsid w:val="00A61F29"/>
    <w:rsid w:val="00A6750A"/>
    <w:rsid w:val="00A71B47"/>
    <w:rsid w:val="00A7429F"/>
    <w:rsid w:val="00A74EE6"/>
    <w:rsid w:val="00A77B18"/>
    <w:rsid w:val="00A77D8E"/>
    <w:rsid w:val="00A84075"/>
    <w:rsid w:val="00A84BFD"/>
    <w:rsid w:val="00A92C67"/>
    <w:rsid w:val="00A93B80"/>
    <w:rsid w:val="00AA2C3A"/>
    <w:rsid w:val="00AA2D5F"/>
    <w:rsid w:val="00AA48E2"/>
    <w:rsid w:val="00AA7A8B"/>
    <w:rsid w:val="00AB34BE"/>
    <w:rsid w:val="00AC0567"/>
    <w:rsid w:val="00AC4E7C"/>
    <w:rsid w:val="00AC6EFE"/>
    <w:rsid w:val="00AD15BB"/>
    <w:rsid w:val="00AD21B9"/>
    <w:rsid w:val="00AD46CD"/>
    <w:rsid w:val="00AE2DB3"/>
    <w:rsid w:val="00AE4150"/>
    <w:rsid w:val="00AF0360"/>
    <w:rsid w:val="00AF5C4E"/>
    <w:rsid w:val="00AF6463"/>
    <w:rsid w:val="00AF69FA"/>
    <w:rsid w:val="00AF7135"/>
    <w:rsid w:val="00AF753A"/>
    <w:rsid w:val="00AF759C"/>
    <w:rsid w:val="00B0427F"/>
    <w:rsid w:val="00B054FB"/>
    <w:rsid w:val="00B06138"/>
    <w:rsid w:val="00B100BE"/>
    <w:rsid w:val="00B12B07"/>
    <w:rsid w:val="00B13623"/>
    <w:rsid w:val="00B13833"/>
    <w:rsid w:val="00B13C24"/>
    <w:rsid w:val="00B20C7D"/>
    <w:rsid w:val="00B24B21"/>
    <w:rsid w:val="00B25222"/>
    <w:rsid w:val="00B25B19"/>
    <w:rsid w:val="00B31333"/>
    <w:rsid w:val="00B314C0"/>
    <w:rsid w:val="00B31549"/>
    <w:rsid w:val="00B32137"/>
    <w:rsid w:val="00B342AF"/>
    <w:rsid w:val="00B35867"/>
    <w:rsid w:val="00B401F4"/>
    <w:rsid w:val="00B40400"/>
    <w:rsid w:val="00B413FE"/>
    <w:rsid w:val="00B41641"/>
    <w:rsid w:val="00B425D3"/>
    <w:rsid w:val="00B45639"/>
    <w:rsid w:val="00B461C2"/>
    <w:rsid w:val="00B46710"/>
    <w:rsid w:val="00B46D01"/>
    <w:rsid w:val="00B50606"/>
    <w:rsid w:val="00B565E9"/>
    <w:rsid w:val="00B5675C"/>
    <w:rsid w:val="00B61572"/>
    <w:rsid w:val="00B61DF9"/>
    <w:rsid w:val="00B62DCC"/>
    <w:rsid w:val="00B641AA"/>
    <w:rsid w:val="00B64D27"/>
    <w:rsid w:val="00B658C6"/>
    <w:rsid w:val="00B67FB4"/>
    <w:rsid w:val="00B7014F"/>
    <w:rsid w:val="00B713E6"/>
    <w:rsid w:val="00B727C1"/>
    <w:rsid w:val="00B748E9"/>
    <w:rsid w:val="00B766F1"/>
    <w:rsid w:val="00B8364E"/>
    <w:rsid w:val="00B83F4E"/>
    <w:rsid w:val="00B85F0D"/>
    <w:rsid w:val="00B962BF"/>
    <w:rsid w:val="00B9739F"/>
    <w:rsid w:val="00B97DC1"/>
    <w:rsid w:val="00BA0660"/>
    <w:rsid w:val="00BA6120"/>
    <w:rsid w:val="00BB1532"/>
    <w:rsid w:val="00BB35BD"/>
    <w:rsid w:val="00BB4A9E"/>
    <w:rsid w:val="00BB5B9E"/>
    <w:rsid w:val="00BC1231"/>
    <w:rsid w:val="00BC12B4"/>
    <w:rsid w:val="00BC33A0"/>
    <w:rsid w:val="00BC3BA0"/>
    <w:rsid w:val="00BC6602"/>
    <w:rsid w:val="00BC687E"/>
    <w:rsid w:val="00BD30C8"/>
    <w:rsid w:val="00BD5C7D"/>
    <w:rsid w:val="00BD6E2F"/>
    <w:rsid w:val="00BE1040"/>
    <w:rsid w:val="00BE1BB9"/>
    <w:rsid w:val="00BE28FF"/>
    <w:rsid w:val="00BE29A4"/>
    <w:rsid w:val="00BE2D92"/>
    <w:rsid w:val="00BE3540"/>
    <w:rsid w:val="00BE64BB"/>
    <w:rsid w:val="00BF58DF"/>
    <w:rsid w:val="00C0048C"/>
    <w:rsid w:val="00C02164"/>
    <w:rsid w:val="00C040AD"/>
    <w:rsid w:val="00C040F1"/>
    <w:rsid w:val="00C04278"/>
    <w:rsid w:val="00C11F71"/>
    <w:rsid w:val="00C12A45"/>
    <w:rsid w:val="00C13444"/>
    <w:rsid w:val="00C152B1"/>
    <w:rsid w:val="00C16C76"/>
    <w:rsid w:val="00C205DD"/>
    <w:rsid w:val="00C24293"/>
    <w:rsid w:val="00C2605E"/>
    <w:rsid w:val="00C2710F"/>
    <w:rsid w:val="00C30508"/>
    <w:rsid w:val="00C322D2"/>
    <w:rsid w:val="00C33159"/>
    <w:rsid w:val="00C363A6"/>
    <w:rsid w:val="00C37021"/>
    <w:rsid w:val="00C37039"/>
    <w:rsid w:val="00C370E0"/>
    <w:rsid w:val="00C404F4"/>
    <w:rsid w:val="00C40BB1"/>
    <w:rsid w:val="00C43721"/>
    <w:rsid w:val="00C44728"/>
    <w:rsid w:val="00C45AA5"/>
    <w:rsid w:val="00C4727C"/>
    <w:rsid w:val="00C507C9"/>
    <w:rsid w:val="00C56FA3"/>
    <w:rsid w:val="00C6053A"/>
    <w:rsid w:val="00C66CAD"/>
    <w:rsid w:val="00C67B96"/>
    <w:rsid w:val="00C709C0"/>
    <w:rsid w:val="00C71CBF"/>
    <w:rsid w:val="00C734F0"/>
    <w:rsid w:val="00C7633D"/>
    <w:rsid w:val="00C8294F"/>
    <w:rsid w:val="00C8462B"/>
    <w:rsid w:val="00C8541D"/>
    <w:rsid w:val="00C86377"/>
    <w:rsid w:val="00C87487"/>
    <w:rsid w:val="00C9336C"/>
    <w:rsid w:val="00C968FD"/>
    <w:rsid w:val="00CA07D9"/>
    <w:rsid w:val="00CA1BD5"/>
    <w:rsid w:val="00CA1F10"/>
    <w:rsid w:val="00CA496A"/>
    <w:rsid w:val="00CA5A75"/>
    <w:rsid w:val="00CA6960"/>
    <w:rsid w:val="00CB0232"/>
    <w:rsid w:val="00CB37E0"/>
    <w:rsid w:val="00CB39DB"/>
    <w:rsid w:val="00CBEB80"/>
    <w:rsid w:val="00CC0114"/>
    <w:rsid w:val="00CC3C1F"/>
    <w:rsid w:val="00CC545B"/>
    <w:rsid w:val="00CC6191"/>
    <w:rsid w:val="00CC692F"/>
    <w:rsid w:val="00CD3208"/>
    <w:rsid w:val="00CD39EB"/>
    <w:rsid w:val="00CD5EC9"/>
    <w:rsid w:val="00CD74A7"/>
    <w:rsid w:val="00CE103A"/>
    <w:rsid w:val="00CE3E15"/>
    <w:rsid w:val="00CE63B6"/>
    <w:rsid w:val="00CE7118"/>
    <w:rsid w:val="00CF1FD9"/>
    <w:rsid w:val="00CF40E8"/>
    <w:rsid w:val="00CF531B"/>
    <w:rsid w:val="00CF7127"/>
    <w:rsid w:val="00D012A0"/>
    <w:rsid w:val="00D01D36"/>
    <w:rsid w:val="00D032BB"/>
    <w:rsid w:val="00D0375C"/>
    <w:rsid w:val="00D03DAB"/>
    <w:rsid w:val="00D05D39"/>
    <w:rsid w:val="00D06E65"/>
    <w:rsid w:val="00D10045"/>
    <w:rsid w:val="00D111AE"/>
    <w:rsid w:val="00D12271"/>
    <w:rsid w:val="00D131F5"/>
    <w:rsid w:val="00D14CB4"/>
    <w:rsid w:val="00D16A0B"/>
    <w:rsid w:val="00D219E9"/>
    <w:rsid w:val="00D251F3"/>
    <w:rsid w:val="00D30D79"/>
    <w:rsid w:val="00D31707"/>
    <w:rsid w:val="00D37C90"/>
    <w:rsid w:val="00D40583"/>
    <w:rsid w:val="00D405CA"/>
    <w:rsid w:val="00D42F36"/>
    <w:rsid w:val="00D434B8"/>
    <w:rsid w:val="00D47E90"/>
    <w:rsid w:val="00D515CA"/>
    <w:rsid w:val="00D532C9"/>
    <w:rsid w:val="00D5E401"/>
    <w:rsid w:val="00D5ED59"/>
    <w:rsid w:val="00D600C7"/>
    <w:rsid w:val="00D611B0"/>
    <w:rsid w:val="00D62790"/>
    <w:rsid w:val="00D6548F"/>
    <w:rsid w:val="00D66A7C"/>
    <w:rsid w:val="00D66B4C"/>
    <w:rsid w:val="00D67B6D"/>
    <w:rsid w:val="00D67DDE"/>
    <w:rsid w:val="00D731E8"/>
    <w:rsid w:val="00D75F79"/>
    <w:rsid w:val="00D8056D"/>
    <w:rsid w:val="00D81E6F"/>
    <w:rsid w:val="00D87372"/>
    <w:rsid w:val="00D876D4"/>
    <w:rsid w:val="00D95C3B"/>
    <w:rsid w:val="00D9613D"/>
    <w:rsid w:val="00DA1236"/>
    <w:rsid w:val="00DA2513"/>
    <w:rsid w:val="00DA69A4"/>
    <w:rsid w:val="00DB5727"/>
    <w:rsid w:val="00DC000F"/>
    <w:rsid w:val="00DC18CE"/>
    <w:rsid w:val="00DD69E6"/>
    <w:rsid w:val="00DE19C4"/>
    <w:rsid w:val="00DE47FE"/>
    <w:rsid w:val="00DE51E0"/>
    <w:rsid w:val="00DE5644"/>
    <w:rsid w:val="00DE5D09"/>
    <w:rsid w:val="00DF16E1"/>
    <w:rsid w:val="00DF256F"/>
    <w:rsid w:val="00DF5EEA"/>
    <w:rsid w:val="00E012C7"/>
    <w:rsid w:val="00E02882"/>
    <w:rsid w:val="00E03EEA"/>
    <w:rsid w:val="00E05FB6"/>
    <w:rsid w:val="00E0733F"/>
    <w:rsid w:val="00E14C66"/>
    <w:rsid w:val="00E15403"/>
    <w:rsid w:val="00E16E33"/>
    <w:rsid w:val="00E20668"/>
    <w:rsid w:val="00E24502"/>
    <w:rsid w:val="00E260D1"/>
    <w:rsid w:val="00E30A76"/>
    <w:rsid w:val="00E331BE"/>
    <w:rsid w:val="00E34037"/>
    <w:rsid w:val="00E35FAF"/>
    <w:rsid w:val="00E36330"/>
    <w:rsid w:val="00E428A4"/>
    <w:rsid w:val="00E439F7"/>
    <w:rsid w:val="00E44010"/>
    <w:rsid w:val="00E4436D"/>
    <w:rsid w:val="00E46D40"/>
    <w:rsid w:val="00E54338"/>
    <w:rsid w:val="00E57A2C"/>
    <w:rsid w:val="00E604E2"/>
    <w:rsid w:val="00E60C04"/>
    <w:rsid w:val="00E6139F"/>
    <w:rsid w:val="00E61CEA"/>
    <w:rsid w:val="00E6255F"/>
    <w:rsid w:val="00E6455A"/>
    <w:rsid w:val="00E66A69"/>
    <w:rsid w:val="00E672A3"/>
    <w:rsid w:val="00E73BF4"/>
    <w:rsid w:val="00E771FF"/>
    <w:rsid w:val="00E77548"/>
    <w:rsid w:val="00E804E9"/>
    <w:rsid w:val="00E81ADD"/>
    <w:rsid w:val="00E81B28"/>
    <w:rsid w:val="00E8237C"/>
    <w:rsid w:val="00E84425"/>
    <w:rsid w:val="00E84710"/>
    <w:rsid w:val="00E86413"/>
    <w:rsid w:val="00E90898"/>
    <w:rsid w:val="00E92DAC"/>
    <w:rsid w:val="00E937C9"/>
    <w:rsid w:val="00E93CBB"/>
    <w:rsid w:val="00E97A99"/>
    <w:rsid w:val="00EA1C33"/>
    <w:rsid w:val="00EA7DAE"/>
    <w:rsid w:val="00EB2319"/>
    <w:rsid w:val="00EC0743"/>
    <w:rsid w:val="00EC3DEC"/>
    <w:rsid w:val="00EC3F96"/>
    <w:rsid w:val="00EC59C6"/>
    <w:rsid w:val="00ED1C09"/>
    <w:rsid w:val="00ED4540"/>
    <w:rsid w:val="00ED5283"/>
    <w:rsid w:val="00ED59FD"/>
    <w:rsid w:val="00ED5BE4"/>
    <w:rsid w:val="00ED676D"/>
    <w:rsid w:val="00ED725B"/>
    <w:rsid w:val="00ED7AB1"/>
    <w:rsid w:val="00ED7E86"/>
    <w:rsid w:val="00EE1071"/>
    <w:rsid w:val="00EE3B39"/>
    <w:rsid w:val="00EE3F50"/>
    <w:rsid w:val="00EE4293"/>
    <w:rsid w:val="00EE6AD1"/>
    <w:rsid w:val="00EF2ED3"/>
    <w:rsid w:val="00EF4549"/>
    <w:rsid w:val="00EF49AD"/>
    <w:rsid w:val="00EF64A0"/>
    <w:rsid w:val="00EF6B29"/>
    <w:rsid w:val="00EF71A0"/>
    <w:rsid w:val="00EF733B"/>
    <w:rsid w:val="00F00576"/>
    <w:rsid w:val="00F06C26"/>
    <w:rsid w:val="00F07327"/>
    <w:rsid w:val="00F07399"/>
    <w:rsid w:val="00F10B6E"/>
    <w:rsid w:val="00F1546A"/>
    <w:rsid w:val="00F15F26"/>
    <w:rsid w:val="00F162E3"/>
    <w:rsid w:val="00F22BD6"/>
    <w:rsid w:val="00F23912"/>
    <w:rsid w:val="00F27438"/>
    <w:rsid w:val="00F27949"/>
    <w:rsid w:val="00F32A1C"/>
    <w:rsid w:val="00F3382C"/>
    <w:rsid w:val="00F35FCD"/>
    <w:rsid w:val="00F36390"/>
    <w:rsid w:val="00F37C9F"/>
    <w:rsid w:val="00F42A2A"/>
    <w:rsid w:val="00F431D8"/>
    <w:rsid w:val="00F445C6"/>
    <w:rsid w:val="00F46D7F"/>
    <w:rsid w:val="00F50AD0"/>
    <w:rsid w:val="00F54EBD"/>
    <w:rsid w:val="00F55FBB"/>
    <w:rsid w:val="00F56267"/>
    <w:rsid w:val="00F62062"/>
    <w:rsid w:val="00F65F9C"/>
    <w:rsid w:val="00F669B6"/>
    <w:rsid w:val="00F737B7"/>
    <w:rsid w:val="00F74516"/>
    <w:rsid w:val="00F75311"/>
    <w:rsid w:val="00F77719"/>
    <w:rsid w:val="00F80F15"/>
    <w:rsid w:val="00F81103"/>
    <w:rsid w:val="00F81308"/>
    <w:rsid w:val="00F8163F"/>
    <w:rsid w:val="00F82A3F"/>
    <w:rsid w:val="00F82E46"/>
    <w:rsid w:val="00F83214"/>
    <w:rsid w:val="00F8451F"/>
    <w:rsid w:val="00F85904"/>
    <w:rsid w:val="00F9105E"/>
    <w:rsid w:val="00F94346"/>
    <w:rsid w:val="00F94DE1"/>
    <w:rsid w:val="00F959F7"/>
    <w:rsid w:val="00F96E4F"/>
    <w:rsid w:val="00F97E3C"/>
    <w:rsid w:val="00FA2863"/>
    <w:rsid w:val="00FA2A0C"/>
    <w:rsid w:val="00FA55C5"/>
    <w:rsid w:val="00FA62C1"/>
    <w:rsid w:val="00FA6788"/>
    <w:rsid w:val="00FA6FF1"/>
    <w:rsid w:val="00FB2F0C"/>
    <w:rsid w:val="00FB3F6B"/>
    <w:rsid w:val="00FB4C04"/>
    <w:rsid w:val="00FB7716"/>
    <w:rsid w:val="00FB7A8E"/>
    <w:rsid w:val="00FC01A8"/>
    <w:rsid w:val="00FC08D9"/>
    <w:rsid w:val="00FC0F48"/>
    <w:rsid w:val="00FC4281"/>
    <w:rsid w:val="00FC7F94"/>
    <w:rsid w:val="00FD1CAD"/>
    <w:rsid w:val="00FD744F"/>
    <w:rsid w:val="00FD7FAA"/>
    <w:rsid w:val="00FE0A7B"/>
    <w:rsid w:val="00FE4BEA"/>
    <w:rsid w:val="00FE53C6"/>
    <w:rsid w:val="00FE7662"/>
    <w:rsid w:val="00FF829F"/>
    <w:rsid w:val="01A36A26"/>
    <w:rsid w:val="01D00F2B"/>
    <w:rsid w:val="026D1C0A"/>
    <w:rsid w:val="027B0861"/>
    <w:rsid w:val="03881941"/>
    <w:rsid w:val="04238818"/>
    <w:rsid w:val="0435607C"/>
    <w:rsid w:val="045E5D8B"/>
    <w:rsid w:val="047AFB3A"/>
    <w:rsid w:val="04DFA076"/>
    <w:rsid w:val="053FF86B"/>
    <w:rsid w:val="05724A5B"/>
    <w:rsid w:val="058668A9"/>
    <w:rsid w:val="0597A380"/>
    <w:rsid w:val="05D2F3C2"/>
    <w:rsid w:val="05FDD104"/>
    <w:rsid w:val="063F18F7"/>
    <w:rsid w:val="066085B5"/>
    <w:rsid w:val="07247975"/>
    <w:rsid w:val="07355127"/>
    <w:rsid w:val="073AFBC5"/>
    <w:rsid w:val="073C7A65"/>
    <w:rsid w:val="075D3803"/>
    <w:rsid w:val="077153D9"/>
    <w:rsid w:val="07794232"/>
    <w:rsid w:val="0781AF92"/>
    <w:rsid w:val="078267DF"/>
    <w:rsid w:val="084B8B30"/>
    <w:rsid w:val="084F9CBB"/>
    <w:rsid w:val="08A8F5FA"/>
    <w:rsid w:val="09054457"/>
    <w:rsid w:val="0916FBFA"/>
    <w:rsid w:val="09565610"/>
    <w:rsid w:val="09EBBE5C"/>
    <w:rsid w:val="0A4E7D36"/>
    <w:rsid w:val="0B330346"/>
    <w:rsid w:val="0B992FD6"/>
    <w:rsid w:val="0B9CB78E"/>
    <w:rsid w:val="0BA6FD2C"/>
    <w:rsid w:val="0BBBB976"/>
    <w:rsid w:val="0BD26D39"/>
    <w:rsid w:val="0BEC0380"/>
    <w:rsid w:val="0C0ED28A"/>
    <w:rsid w:val="0C21BB3C"/>
    <w:rsid w:val="0C3AEBB6"/>
    <w:rsid w:val="0CB015FD"/>
    <w:rsid w:val="0CB32FEF"/>
    <w:rsid w:val="0CC51C95"/>
    <w:rsid w:val="0D3887EF"/>
    <w:rsid w:val="0D622915"/>
    <w:rsid w:val="0D87D3E1"/>
    <w:rsid w:val="0DAA6E88"/>
    <w:rsid w:val="0DDAFF3A"/>
    <w:rsid w:val="0E5E111D"/>
    <w:rsid w:val="0ECCDB04"/>
    <w:rsid w:val="0F1C0CB0"/>
    <w:rsid w:val="0F46734C"/>
    <w:rsid w:val="0F7D925E"/>
    <w:rsid w:val="0F9A0617"/>
    <w:rsid w:val="0FA814B0"/>
    <w:rsid w:val="0FBAE870"/>
    <w:rsid w:val="0FBCB5AD"/>
    <w:rsid w:val="0FDB14B2"/>
    <w:rsid w:val="0FDD1180"/>
    <w:rsid w:val="1030E178"/>
    <w:rsid w:val="107B3A93"/>
    <w:rsid w:val="109150B9"/>
    <w:rsid w:val="10BA111B"/>
    <w:rsid w:val="10C73339"/>
    <w:rsid w:val="10D1AD01"/>
    <w:rsid w:val="10E243AD"/>
    <w:rsid w:val="10EEA6ED"/>
    <w:rsid w:val="1120DC72"/>
    <w:rsid w:val="1175B1AD"/>
    <w:rsid w:val="11B8F1DE"/>
    <w:rsid w:val="128A9D3B"/>
    <w:rsid w:val="1298B065"/>
    <w:rsid w:val="12FDC320"/>
    <w:rsid w:val="13E36499"/>
    <w:rsid w:val="13F08EE2"/>
    <w:rsid w:val="14197ECD"/>
    <w:rsid w:val="145413D3"/>
    <w:rsid w:val="145DC075"/>
    <w:rsid w:val="14CBAE18"/>
    <w:rsid w:val="14D46EB0"/>
    <w:rsid w:val="152D7A23"/>
    <w:rsid w:val="15440C96"/>
    <w:rsid w:val="15675DFC"/>
    <w:rsid w:val="156E1D58"/>
    <w:rsid w:val="15C2F108"/>
    <w:rsid w:val="15D83624"/>
    <w:rsid w:val="16174EA4"/>
    <w:rsid w:val="164C5304"/>
    <w:rsid w:val="1669E368"/>
    <w:rsid w:val="16924B82"/>
    <w:rsid w:val="16A05B35"/>
    <w:rsid w:val="16A92823"/>
    <w:rsid w:val="171BAAFC"/>
    <w:rsid w:val="171F8F81"/>
    <w:rsid w:val="176C42D1"/>
    <w:rsid w:val="17A0792F"/>
    <w:rsid w:val="17AF970A"/>
    <w:rsid w:val="17B172C6"/>
    <w:rsid w:val="180D9BB0"/>
    <w:rsid w:val="188B7CFB"/>
    <w:rsid w:val="189A5E5F"/>
    <w:rsid w:val="1938B7C7"/>
    <w:rsid w:val="1959DB58"/>
    <w:rsid w:val="196C9FA9"/>
    <w:rsid w:val="19AEC7CB"/>
    <w:rsid w:val="19B97651"/>
    <w:rsid w:val="19E6A5D1"/>
    <w:rsid w:val="1A4CD624"/>
    <w:rsid w:val="1AB3A17B"/>
    <w:rsid w:val="1ABAD1D9"/>
    <w:rsid w:val="1AC328DB"/>
    <w:rsid w:val="1B02AF30"/>
    <w:rsid w:val="1B10573C"/>
    <w:rsid w:val="1B1D42B6"/>
    <w:rsid w:val="1B30CB4D"/>
    <w:rsid w:val="1B78A838"/>
    <w:rsid w:val="1BBA9A66"/>
    <w:rsid w:val="1BC30153"/>
    <w:rsid w:val="1C2CCC51"/>
    <w:rsid w:val="1C7463A0"/>
    <w:rsid w:val="1CB4C590"/>
    <w:rsid w:val="1CDB70F4"/>
    <w:rsid w:val="1CE6688D"/>
    <w:rsid w:val="1CF3DE10"/>
    <w:rsid w:val="1D33E47A"/>
    <w:rsid w:val="1E140F69"/>
    <w:rsid w:val="1E640242"/>
    <w:rsid w:val="1EB86DD8"/>
    <w:rsid w:val="1F03C38D"/>
    <w:rsid w:val="1F641EFA"/>
    <w:rsid w:val="1F6A6F4E"/>
    <w:rsid w:val="1F6AFB2D"/>
    <w:rsid w:val="1FFB22D0"/>
    <w:rsid w:val="200DB566"/>
    <w:rsid w:val="202895B5"/>
    <w:rsid w:val="203731AC"/>
    <w:rsid w:val="203977B6"/>
    <w:rsid w:val="20DB6579"/>
    <w:rsid w:val="20E51372"/>
    <w:rsid w:val="211A37DF"/>
    <w:rsid w:val="21B6BE86"/>
    <w:rsid w:val="21C1B09A"/>
    <w:rsid w:val="21D3020D"/>
    <w:rsid w:val="220664C9"/>
    <w:rsid w:val="225EDD0B"/>
    <w:rsid w:val="236E9E0B"/>
    <w:rsid w:val="23EAF557"/>
    <w:rsid w:val="244A112F"/>
    <w:rsid w:val="257D8807"/>
    <w:rsid w:val="2587EB77"/>
    <w:rsid w:val="25CF823E"/>
    <w:rsid w:val="25D111C8"/>
    <w:rsid w:val="25D19191"/>
    <w:rsid w:val="25FA932D"/>
    <w:rsid w:val="265DA8A5"/>
    <w:rsid w:val="266D1097"/>
    <w:rsid w:val="26722855"/>
    <w:rsid w:val="2689E63C"/>
    <w:rsid w:val="27583D94"/>
    <w:rsid w:val="27C31E1F"/>
    <w:rsid w:val="27D02895"/>
    <w:rsid w:val="27F7AD12"/>
    <w:rsid w:val="287D93D3"/>
    <w:rsid w:val="28C6DFAE"/>
    <w:rsid w:val="29A4A08A"/>
    <w:rsid w:val="29E4628C"/>
    <w:rsid w:val="29F19DD4"/>
    <w:rsid w:val="29F68B6C"/>
    <w:rsid w:val="2A815221"/>
    <w:rsid w:val="2AAEBD6A"/>
    <w:rsid w:val="2B07C957"/>
    <w:rsid w:val="2B361C54"/>
    <w:rsid w:val="2B6DDAEA"/>
    <w:rsid w:val="2B79E453"/>
    <w:rsid w:val="2B9314B1"/>
    <w:rsid w:val="2BE998AF"/>
    <w:rsid w:val="2C1AD697"/>
    <w:rsid w:val="2C552314"/>
    <w:rsid w:val="2CFB656F"/>
    <w:rsid w:val="2D0479DD"/>
    <w:rsid w:val="2D1D6DD7"/>
    <w:rsid w:val="2D285B5E"/>
    <w:rsid w:val="2D5104F6"/>
    <w:rsid w:val="2D6F5D39"/>
    <w:rsid w:val="2D74A7E6"/>
    <w:rsid w:val="2D74EA28"/>
    <w:rsid w:val="2D7886F4"/>
    <w:rsid w:val="2DB43870"/>
    <w:rsid w:val="2DD1FB2F"/>
    <w:rsid w:val="2DF11F22"/>
    <w:rsid w:val="2E45B7C2"/>
    <w:rsid w:val="2E5B2858"/>
    <w:rsid w:val="2E9A098F"/>
    <w:rsid w:val="2EA4B778"/>
    <w:rsid w:val="2EB4522F"/>
    <w:rsid w:val="2F18343C"/>
    <w:rsid w:val="2F3EB0FF"/>
    <w:rsid w:val="2F772349"/>
    <w:rsid w:val="2F795B30"/>
    <w:rsid w:val="2F82796B"/>
    <w:rsid w:val="2FDB3A7A"/>
    <w:rsid w:val="30319E11"/>
    <w:rsid w:val="3038E6E2"/>
    <w:rsid w:val="3088A5B8"/>
    <w:rsid w:val="30B07C04"/>
    <w:rsid w:val="30C2287C"/>
    <w:rsid w:val="312EAC51"/>
    <w:rsid w:val="31770ADB"/>
    <w:rsid w:val="31EC2310"/>
    <w:rsid w:val="327FC40B"/>
    <w:rsid w:val="32B140F0"/>
    <w:rsid w:val="32E15562"/>
    <w:rsid w:val="32ED6BD6"/>
    <w:rsid w:val="33574E6A"/>
    <w:rsid w:val="338F29C8"/>
    <w:rsid w:val="33DEFD97"/>
    <w:rsid w:val="33E3E96A"/>
    <w:rsid w:val="341B946C"/>
    <w:rsid w:val="34282023"/>
    <w:rsid w:val="343A32D0"/>
    <w:rsid w:val="34477618"/>
    <w:rsid w:val="3511AC6E"/>
    <w:rsid w:val="36116571"/>
    <w:rsid w:val="361EF568"/>
    <w:rsid w:val="36A19415"/>
    <w:rsid w:val="36C7C2F9"/>
    <w:rsid w:val="36D6D8D6"/>
    <w:rsid w:val="370B8AF8"/>
    <w:rsid w:val="3722DD83"/>
    <w:rsid w:val="373AD513"/>
    <w:rsid w:val="3740A769"/>
    <w:rsid w:val="3750EFB5"/>
    <w:rsid w:val="37D90757"/>
    <w:rsid w:val="38442DEE"/>
    <w:rsid w:val="38513BA0"/>
    <w:rsid w:val="39C796F2"/>
    <w:rsid w:val="39C7EB18"/>
    <w:rsid w:val="39E37A6C"/>
    <w:rsid w:val="39F10AB0"/>
    <w:rsid w:val="39FBF0DF"/>
    <w:rsid w:val="3A022BC3"/>
    <w:rsid w:val="3A061130"/>
    <w:rsid w:val="3A150DB4"/>
    <w:rsid w:val="3A1C6AA2"/>
    <w:rsid w:val="3A3CB37F"/>
    <w:rsid w:val="3A6A62DD"/>
    <w:rsid w:val="3A753CD2"/>
    <w:rsid w:val="3A8B9AE1"/>
    <w:rsid w:val="3A8C3874"/>
    <w:rsid w:val="3ADB6CAC"/>
    <w:rsid w:val="3ADF30D5"/>
    <w:rsid w:val="3AEB35DA"/>
    <w:rsid w:val="3B26CCF4"/>
    <w:rsid w:val="3B4D8A33"/>
    <w:rsid w:val="3B5B9FC1"/>
    <w:rsid w:val="3BB735E5"/>
    <w:rsid w:val="3BD883E0"/>
    <w:rsid w:val="3BDEFC1B"/>
    <w:rsid w:val="3BE53894"/>
    <w:rsid w:val="3C0CEAD7"/>
    <w:rsid w:val="3C14188C"/>
    <w:rsid w:val="3C469FAE"/>
    <w:rsid w:val="3CA53B67"/>
    <w:rsid w:val="3D6252F7"/>
    <w:rsid w:val="3DB2BDC5"/>
    <w:rsid w:val="3E0F04C5"/>
    <w:rsid w:val="3E6DC741"/>
    <w:rsid w:val="3F6424CD"/>
    <w:rsid w:val="3FA24375"/>
    <w:rsid w:val="3FAAD526"/>
    <w:rsid w:val="405FC609"/>
    <w:rsid w:val="406C5DE1"/>
    <w:rsid w:val="40D56960"/>
    <w:rsid w:val="412107B0"/>
    <w:rsid w:val="4139669C"/>
    <w:rsid w:val="41CBBE97"/>
    <w:rsid w:val="41F9525C"/>
    <w:rsid w:val="420482CF"/>
    <w:rsid w:val="4264D4DE"/>
    <w:rsid w:val="42B6CC79"/>
    <w:rsid w:val="42D82B7D"/>
    <w:rsid w:val="42E275E8"/>
    <w:rsid w:val="443A736D"/>
    <w:rsid w:val="44490C67"/>
    <w:rsid w:val="447E4649"/>
    <w:rsid w:val="44B02B37"/>
    <w:rsid w:val="454F6F2F"/>
    <w:rsid w:val="46162376"/>
    <w:rsid w:val="4690F3DF"/>
    <w:rsid w:val="47698D5B"/>
    <w:rsid w:val="47BBE12B"/>
    <w:rsid w:val="48358BFA"/>
    <w:rsid w:val="484FFCFF"/>
    <w:rsid w:val="4863276C"/>
    <w:rsid w:val="48B62A10"/>
    <w:rsid w:val="48E10092"/>
    <w:rsid w:val="48F5C2C2"/>
    <w:rsid w:val="495DAD9B"/>
    <w:rsid w:val="49693D59"/>
    <w:rsid w:val="49818D45"/>
    <w:rsid w:val="49B44ADA"/>
    <w:rsid w:val="4A6184B2"/>
    <w:rsid w:val="4A683AD7"/>
    <w:rsid w:val="4AB6B0A5"/>
    <w:rsid w:val="4ABD0E87"/>
    <w:rsid w:val="4ABF8FA8"/>
    <w:rsid w:val="4ADB9892"/>
    <w:rsid w:val="4AE6D362"/>
    <w:rsid w:val="4AECE3A2"/>
    <w:rsid w:val="4B20465E"/>
    <w:rsid w:val="4C2D6384"/>
    <w:rsid w:val="4C32C7A7"/>
    <w:rsid w:val="4C9795D3"/>
    <w:rsid w:val="4D1A1519"/>
    <w:rsid w:val="4D48E196"/>
    <w:rsid w:val="4D8CDA05"/>
    <w:rsid w:val="4D9FFB25"/>
    <w:rsid w:val="4DD5F7DB"/>
    <w:rsid w:val="4E0B5C07"/>
    <w:rsid w:val="4E311EBE"/>
    <w:rsid w:val="4E3EBEC3"/>
    <w:rsid w:val="4E605EDD"/>
    <w:rsid w:val="4E61597F"/>
    <w:rsid w:val="4EECDC94"/>
    <w:rsid w:val="4F01E518"/>
    <w:rsid w:val="4F1B85D0"/>
    <w:rsid w:val="4F54CC71"/>
    <w:rsid w:val="4F5BF57C"/>
    <w:rsid w:val="4F6626AA"/>
    <w:rsid w:val="4F74249F"/>
    <w:rsid w:val="4FC5C1A3"/>
    <w:rsid w:val="4FCCF201"/>
    <w:rsid w:val="50987FBA"/>
    <w:rsid w:val="50D8AD2C"/>
    <w:rsid w:val="50EA0A2A"/>
    <w:rsid w:val="5117F785"/>
    <w:rsid w:val="515614E6"/>
    <w:rsid w:val="51FDCC93"/>
    <w:rsid w:val="524EE9EF"/>
    <w:rsid w:val="5296EE91"/>
    <w:rsid w:val="52DECD2A"/>
    <w:rsid w:val="52F1E547"/>
    <w:rsid w:val="52F35DD7"/>
    <w:rsid w:val="5376226A"/>
    <w:rsid w:val="53BC06A0"/>
    <w:rsid w:val="53C93909"/>
    <w:rsid w:val="53E0D4D2"/>
    <w:rsid w:val="53E9F1EE"/>
    <w:rsid w:val="541E2334"/>
    <w:rsid w:val="542EA266"/>
    <w:rsid w:val="546BD379"/>
    <w:rsid w:val="547A9D8B"/>
    <w:rsid w:val="55028406"/>
    <w:rsid w:val="556B20C7"/>
    <w:rsid w:val="556CD83A"/>
    <w:rsid w:val="55B1EAED"/>
    <w:rsid w:val="55B4BAFA"/>
    <w:rsid w:val="55BE5C52"/>
    <w:rsid w:val="55F2B29D"/>
    <w:rsid w:val="55FC321E"/>
    <w:rsid w:val="5615225E"/>
    <w:rsid w:val="56B5C34F"/>
    <w:rsid w:val="56EF6512"/>
    <w:rsid w:val="5771CFB3"/>
    <w:rsid w:val="57B23E4D"/>
    <w:rsid w:val="57B8B9A3"/>
    <w:rsid w:val="57D28D43"/>
    <w:rsid w:val="57E8CA3E"/>
    <w:rsid w:val="580BF4E7"/>
    <w:rsid w:val="58E28DA4"/>
    <w:rsid w:val="5966D169"/>
    <w:rsid w:val="59D4E5EB"/>
    <w:rsid w:val="59FAA50B"/>
    <w:rsid w:val="5A45F257"/>
    <w:rsid w:val="5B01F40D"/>
    <w:rsid w:val="5B305270"/>
    <w:rsid w:val="5BA55E3C"/>
    <w:rsid w:val="5C3BDD99"/>
    <w:rsid w:val="5C4022C0"/>
    <w:rsid w:val="5C49A094"/>
    <w:rsid w:val="5C797B95"/>
    <w:rsid w:val="5C85AF70"/>
    <w:rsid w:val="5CACA035"/>
    <w:rsid w:val="5D4C1E69"/>
    <w:rsid w:val="5D52C8CE"/>
    <w:rsid w:val="5D9B1DE5"/>
    <w:rsid w:val="5E487096"/>
    <w:rsid w:val="5E999B60"/>
    <w:rsid w:val="5E9DA2BA"/>
    <w:rsid w:val="5EC4F1E6"/>
    <w:rsid w:val="5EE9856E"/>
    <w:rsid w:val="5F48B55A"/>
    <w:rsid w:val="5F6A60AB"/>
    <w:rsid w:val="6083BF2B"/>
    <w:rsid w:val="60C615FB"/>
    <w:rsid w:val="60E0F863"/>
    <w:rsid w:val="611712C7"/>
    <w:rsid w:val="6153D4AD"/>
    <w:rsid w:val="6160D9B6"/>
    <w:rsid w:val="6181582D"/>
    <w:rsid w:val="620E8756"/>
    <w:rsid w:val="62475E9E"/>
    <w:rsid w:val="624B97E6"/>
    <w:rsid w:val="631A48CB"/>
    <w:rsid w:val="6353E426"/>
    <w:rsid w:val="63EF475D"/>
    <w:rsid w:val="64252EA9"/>
    <w:rsid w:val="64B17196"/>
    <w:rsid w:val="64E123AE"/>
    <w:rsid w:val="650D77EB"/>
    <w:rsid w:val="654056A7"/>
    <w:rsid w:val="657E7408"/>
    <w:rsid w:val="65B0E21A"/>
    <w:rsid w:val="65B3EA87"/>
    <w:rsid w:val="65F9E996"/>
    <w:rsid w:val="661BFB0A"/>
    <w:rsid w:val="6638F055"/>
    <w:rsid w:val="66432D76"/>
    <w:rsid w:val="66D8585C"/>
    <w:rsid w:val="66E30645"/>
    <w:rsid w:val="672CAC5F"/>
    <w:rsid w:val="676BC4DF"/>
    <w:rsid w:val="679F0C8A"/>
    <w:rsid w:val="67D5B5D9"/>
    <w:rsid w:val="6826983E"/>
    <w:rsid w:val="6829C2E0"/>
    <w:rsid w:val="685103F8"/>
    <w:rsid w:val="68ADF502"/>
    <w:rsid w:val="69643278"/>
    <w:rsid w:val="696BEB9B"/>
    <w:rsid w:val="6983009B"/>
    <w:rsid w:val="69867DFF"/>
    <w:rsid w:val="69C36063"/>
    <w:rsid w:val="69E28505"/>
    <w:rsid w:val="69F89179"/>
    <w:rsid w:val="69FC1058"/>
    <w:rsid w:val="6A165C15"/>
    <w:rsid w:val="6A1ACA52"/>
    <w:rsid w:val="6A648FC5"/>
    <w:rsid w:val="6ACB9721"/>
    <w:rsid w:val="6B1FA42F"/>
    <w:rsid w:val="6B5EF60B"/>
    <w:rsid w:val="6B9EC2F6"/>
    <w:rsid w:val="6BCE73D5"/>
    <w:rsid w:val="6BDD176F"/>
    <w:rsid w:val="6C1FDDBD"/>
    <w:rsid w:val="6CF67A38"/>
    <w:rsid w:val="6D414652"/>
    <w:rsid w:val="6E6AD4EE"/>
    <w:rsid w:val="6E72CD09"/>
    <w:rsid w:val="6E72F3DD"/>
    <w:rsid w:val="6E9A40BD"/>
    <w:rsid w:val="6EB6EDB2"/>
    <w:rsid w:val="6EDEA599"/>
    <w:rsid w:val="6F002EAF"/>
    <w:rsid w:val="6F0F5F0C"/>
    <w:rsid w:val="6F1ED88B"/>
    <w:rsid w:val="6F497B09"/>
    <w:rsid w:val="6FF3F24E"/>
    <w:rsid w:val="7041BD21"/>
    <w:rsid w:val="7083094E"/>
    <w:rsid w:val="709F729B"/>
    <w:rsid w:val="70A2200A"/>
    <w:rsid w:val="713128D4"/>
    <w:rsid w:val="714C517F"/>
    <w:rsid w:val="718FF49E"/>
    <w:rsid w:val="71D15FAD"/>
    <w:rsid w:val="7240BA0B"/>
    <w:rsid w:val="726E334F"/>
    <w:rsid w:val="72B88F75"/>
    <w:rsid w:val="72C1FA82"/>
    <w:rsid w:val="731B580E"/>
    <w:rsid w:val="733F852B"/>
    <w:rsid w:val="7351D9F6"/>
    <w:rsid w:val="73729BBC"/>
    <w:rsid w:val="739201DD"/>
    <w:rsid w:val="73DBA6D9"/>
    <w:rsid w:val="755266EF"/>
    <w:rsid w:val="75CE5AA8"/>
    <w:rsid w:val="75DF887C"/>
    <w:rsid w:val="77154F22"/>
    <w:rsid w:val="77253D9C"/>
    <w:rsid w:val="7769C13A"/>
    <w:rsid w:val="78111309"/>
    <w:rsid w:val="78322420"/>
    <w:rsid w:val="7838A9ED"/>
    <w:rsid w:val="7862C9FF"/>
    <w:rsid w:val="786B79BE"/>
    <w:rsid w:val="78A1D65F"/>
    <w:rsid w:val="78B2EE39"/>
    <w:rsid w:val="78F470B9"/>
    <w:rsid w:val="79334B12"/>
    <w:rsid w:val="79D26F7E"/>
    <w:rsid w:val="7A6AEBAC"/>
    <w:rsid w:val="7A75D258"/>
    <w:rsid w:val="7AE54A6B"/>
    <w:rsid w:val="7B26E402"/>
    <w:rsid w:val="7B4A2098"/>
    <w:rsid w:val="7B4FBDCF"/>
    <w:rsid w:val="7B7EA63D"/>
    <w:rsid w:val="7C4650A8"/>
    <w:rsid w:val="7CE7F556"/>
    <w:rsid w:val="7CF883A5"/>
    <w:rsid w:val="7D0893A4"/>
    <w:rsid w:val="7D6979DC"/>
    <w:rsid w:val="7D93ACAD"/>
    <w:rsid w:val="7D947F20"/>
    <w:rsid w:val="7DA7973D"/>
    <w:rsid w:val="7DA7984E"/>
    <w:rsid w:val="7DA9B55B"/>
    <w:rsid w:val="7DC7E1DC"/>
    <w:rsid w:val="7E334E2E"/>
    <w:rsid w:val="7E4418D6"/>
    <w:rsid w:val="7EA63B18"/>
    <w:rsid w:val="7EB646FF"/>
    <w:rsid w:val="7EBA764C"/>
    <w:rsid w:val="7EFC8645"/>
    <w:rsid w:val="7F2861FB"/>
    <w:rsid w:val="7F338DFA"/>
    <w:rsid w:val="7F64907D"/>
    <w:rsid w:val="7F727F4D"/>
    <w:rsid w:val="7F7755F9"/>
    <w:rsid w:val="7F77BC44"/>
    <w:rsid w:val="7FDFF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E883F"/>
  <w15:chartTrackingRefBased/>
  <w15:docId w15:val="{339EC415-F889-4545-878A-445147D91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5A5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5F2C44"/>
  </w:style>
  <w:style w:type="paragraph" w:styleId="Textoindependiente">
    <w:name w:val="Body Text"/>
    <w:basedOn w:val="Normal"/>
    <w:link w:val="TextoindependienteCar"/>
    <w:rsid w:val="005F2C44"/>
    <w:pPr>
      <w:spacing w:after="120"/>
    </w:pPr>
    <w:rPr>
      <w:rFonts w:ascii="Roman 10cpi" w:hAnsi="Roman 10cpi"/>
    </w:rPr>
  </w:style>
  <w:style w:type="character" w:customStyle="1" w:styleId="TextoindependienteCar">
    <w:name w:val="Texto independiente Car"/>
    <w:basedOn w:val="Fuentedeprrafopredeter"/>
    <w:link w:val="Textoindependiente"/>
    <w:rsid w:val="005F2C44"/>
    <w:rPr>
      <w:rFonts w:ascii="Roman 10cpi" w:eastAsia="Times New Roman" w:hAnsi="Roman 10cpi" w:cs="Times New Roman"/>
      <w:sz w:val="20"/>
      <w:szCs w:val="20"/>
      <w:lang w:val="es-ES" w:eastAsia="es-ES"/>
    </w:rPr>
  </w:style>
  <w:style w:type="paragraph" w:styleId="Encabezado">
    <w:name w:val="header"/>
    <w:basedOn w:val="Normal"/>
    <w:link w:val="EncabezadoCar"/>
    <w:rsid w:val="005F2C44"/>
    <w:pPr>
      <w:tabs>
        <w:tab w:val="center" w:pos="4419"/>
        <w:tab w:val="right" w:pos="8838"/>
      </w:tabs>
    </w:pPr>
  </w:style>
  <w:style w:type="character" w:customStyle="1" w:styleId="EncabezadoCar">
    <w:name w:val="Encabezado Car"/>
    <w:basedOn w:val="Fuentedeprrafopredeter"/>
    <w:link w:val="Encabezado"/>
    <w:rsid w:val="005F2C44"/>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5F2C44"/>
    <w:pPr>
      <w:tabs>
        <w:tab w:val="center" w:pos="4419"/>
        <w:tab w:val="right" w:pos="8838"/>
      </w:tabs>
    </w:pPr>
  </w:style>
  <w:style w:type="character" w:customStyle="1" w:styleId="PiedepginaCar">
    <w:name w:val="Pie de página Car"/>
    <w:basedOn w:val="Fuentedeprrafopredeter"/>
    <w:link w:val="Piedepgina"/>
    <w:uiPriority w:val="99"/>
    <w:rsid w:val="005F2C44"/>
    <w:rPr>
      <w:rFonts w:ascii="Times New Roman" w:eastAsia="Times New Roman" w:hAnsi="Times New Roman" w:cs="Times New Roman"/>
      <w:sz w:val="20"/>
      <w:szCs w:val="20"/>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ootnote Text Char,C, Ca,ft,F,Car1,FA"/>
    <w:basedOn w:val="Normal"/>
    <w:link w:val="TextonotapieCar1"/>
    <w:uiPriority w:val="99"/>
    <w:qFormat/>
    <w:rsid w:val="005F2C44"/>
  </w:style>
  <w:style w:type="character" w:customStyle="1" w:styleId="TextonotapieCar">
    <w:name w:val="Texto nota pie Car"/>
    <w:aliases w:val="FA Fu Car1,Footnote Text Char Char Char Char Char Char Char Char Car,texto de nota al pie Car"/>
    <w:basedOn w:val="Fuentedeprrafopredeter"/>
    <w:uiPriority w:val="99"/>
    <w:rsid w:val="005F2C44"/>
    <w:rPr>
      <w:rFonts w:ascii="Times New Roman" w:eastAsia="Times New Roman" w:hAnsi="Times New Roman" w:cs="Times New Roman"/>
      <w:sz w:val="20"/>
      <w:szCs w:val="20"/>
      <w:lang w:val="es-ES" w:eastAsia="es-ES"/>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ﬂnotentext Car,Footnote Text Char Car"/>
    <w:link w:val="Textonotapie"/>
    <w:uiPriority w:val="99"/>
    <w:qFormat/>
    <w:rsid w:val="005F2C44"/>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link w:val="4GChar"/>
    <w:qFormat/>
    <w:rsid w:val="005F2C4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F2C44"/>
    <w:pPr>
      <w:overflowPunct/>
      <w:autoSpaceDE/>
      <w:autoSpaceDN/>
      <w:adjustRightInd/>
      <w:jc w:val="both"/>
      <w:textAlignment w:val="auto"/>
    </w:pPr>
    <w:rPr>
      <w:rFonts w:asciiTheme="minorHAnsi" w:eastAsiaTheme="minorHAnsi" w:hAnsiTheme="minorHAnsi" w:cstheme="minorBidi"/>
      <w:sz w:val="22"/>
      <w:szCs w:val="22"/>
      <w:vertAlign w:val="superscript"/>
      <w:lang w:val="en-US" w:eastAsia="en-US"/>
    </w:rPr>
  </w:style>
  <w:style w:type="paragraph" w:styleId="NormalWeb">
    <w:name w:val="Normal (Web)"/>
    <w:basedOn w:val="Normal"/>
    <w:uiPriority w:val="99"/>
    <w:unhideWhenUsed/>
    <w:qFormat/>
    <w:rsid w:val="005F2C44"/>
    <w:pPr>
      <w:overflowPunct/>
      <w:autoSpaceDE/>
      <w:autoSpaceDN/>
      <w:adjustRightInd/>
      <w:spacing w:before="100" w:beforeAutospacing="1" w:after="100" w:afterAutospacing="1"/>
      <w:textAlignment w:val="auto"/>
    </w:pPr>
    <w:rPr>
      <w:sz w:val="24"/>
      <w:szCs w:val="24"/>
      <w:lang w:eastAsia="es-CO"/>
    </w:rPr>
  </w:style>
  <w:style w:type="character" w:customStyle="1" w:styleId="apple-converted-space">
    <w:name w:val="apple-converted-space"/>
    <w:rsid w:val="005F2C44"/>
  </w:style>
  <w:style w:type="character" w:styleId="Textoennegrita">
    <w:name w:val="Strong"/>
    <w:uiPriority w:val="22"/>
    <w:qFormat/>
    <w:rsid w:val="005F2C44"/>
    <w:rPr>
      <w:b/>
      <w:bCs/>
    </w:rPr>
  </w:style>
  <w:style w:type="paragraph" w:customStyle="1" w:styleId="Textoindependiente212">
    <w:name w:val="Texto independiente 212"/>
    <w:basedOn w:val="Normal"/>
    <w:rsid w:val="005F2C44"/>
    <w:pPr>
      <w:spacing w:line="360" w:lineRule="auto"/>
      <w:ind w:firstLine="708"/>
      <w:jc w:val="both"/>
    </w:pPr>
    <w:rPr>
      <w:rFonts w:ascii="Arial" w:hAnsi="Arial"/>
      <w:i/>
      <w:sz w:val="28"/>
    </w:rPr>
  </w:style>
  <w:style w:type="character" w:customStyle="1" w:styleId="Cuerpodeltexto5">
    <w:name w:val="Cuerpo del texto (5)_"/>
    <w:link w:val="Cuerpodeltexto50"/>
    <w:rsid w:val="005F2C44"/>
    <w:rPr>
      <w:sz w:val="21"/>
      <w:szCs w:val="21"/>
      <w:shd w:val="clear" w:color="auto" w:fill="FFFFFF"/>
    </w:rPr>
  </w:style>
  <w:style w:type="paragraph" w:customStyle="1" w:styleId="Cuerpodeltexto50">
    <w:name w:val="Cuerpo del texto (5)"/>
    <w:basedOn w:val="Normal"/>
    <w:link w:val="Cuerpodeltexto5"/>
    <w:rsid w:val="005F2C44"/>
    <w:pPr>
      <w:shd w:val="clear" w:color="auto" w:fill="FFFFFF"/>
      <w:overflowPunct/>
      <w:autoSpaceDE/>
      <w:autoSpaceDN/>
      <w:adjustRightInd/>
      <w:spacing w:before="600" w:after="600" w:line="254" w:lineRule="exact"/>
      <w:ind w:hanging="360"/>
      <w:jc w:val="both"/>
      <w:textAlignment w:val="auto"/>
    </w:pPr>
    <w:rPr>
      <w:rFonts w:asciiTheme="minorHAnsi" w:eastAsiaTheme="minorHAnsi" w:hAnsiTheme="minorHAnsi" w:cstheme="minorBidi"/>
      <w:sz w:val="21"/>
      <w:szCs w:val="21"/>
      <w:lang w:val="en-US" w:eastAsia="en-US"/>
    </w:rPr>
  </w:style>
  <w:style w:type="character" w:customStyle="1" w:styleId="Notaalpie">
    <w:name w:val="Nota al pie_"/>
    <w:link w:val="Notaalpie0"/>
    <w:rsid w:val="005F2C44"/>
    <w:rPr>
      <w:sz w:val="14"/>
      <w:szCs w:val="14"/>
      <w:shd w:val="clear" w:color="auto" w:fill="FFFFFF"/>
    </w:rPr>
  </w:style>
  <w:style w:type="paragraph" w:customStyle="1" w:styleId="Notaalpie0">
    <w:name w:val="Nota al pie"/>
    <w:basedOn w:val="Normal"/>
    <w:link w:val="Notaalpie"/>
    <w:rsid w:val="005F2C44"/>
    <w:pPr>
      <w:shd w:val="clear" w:color="auto" w:fill="FFFFFF"/>
      <w:overflowPunct/>
      <w:autoSpaceDE/>
      <w:autoSpaceDN/>
      <w:adjustRightInd/>
      <w:spacing w:line="163" w:lineRule="exact"/>
      <w:textAlignment w:val="auto"/>
    </w:pPr>
    <w:rPr>
      <w:rFonts w:asciiTheme="minorHAnsi" w:eastAsiaTheme="minorHAnsi" w:hAnsiTheme="minorHAnsi" w:cstheme="minorBidi"/>
      <w:sz w:val="14"/>
      <w:szCs w:val="14"/>
      <w:lang w:val="en-US" w:eastAsia="en-US"/>
    </w:rPr>
  </w:style>
  <w:style w:type="paragraph" w:styleId="Prrafodelista">
    <w:name w:val="List Paragraph"/>
    <w:aliases w:val="Citas,Footnote,Bullet List,FooterText,numbered,List Paragraph1,Paragraphe de liste1,lp1,Párrafo de lista1,List Paragraph,Scitum normal,Párrafo de lista11,Cuadrícula media 1 - Énfasis 21,Colorful List - Accent 11,Ha"/>
    <w:basedOn w:val="Normal"/>
    <w:link w:val="PrrafodelistaCar"/>
    <w:uiPriority w:val="34"/>
    <w:qFormat/>
    <w:rsid w:val="005F2C44"/>
    <w:pPr>
      <w:ind w:left="708"/>
    </w:pPr>
  </w:style>
  <w:style w:type="character" w:customStyle="1" w:styleId="Ttulo3">
    <w:name w:val="Título #3_"/>
    <w:link w:val="Ttulo30"/>
    <w:rsid w:val="005F2C44"/>
    <w:rPr>
      <w:sz w:val="27"/>
      <w:szCs w:val="27"/>
      <w:shd w:val="clear" w:color="auto" w:fill="FFFFFF"/>
    </w:rPr>
  </w:style>
  <w:style w:type="paragraph" w:customStyle="1" w:styleId="Ttulo30">
    <w:name w:val="Título #3"/>
    <w:basedOn w:val="Normal"/>
    <w:link w:val="Ttulo3"/>
    <w:rsid w:val="005F2C44"/>
    <w:pPr>
      <w:shd w:val="clear" w:color="auto" w:fill="FFFFFF"/>
      <w:overflowPunct/>
      <w:autoSpaceDE/>
      <w:autoSpaceDN/>
      <w:adjustRightInd/>
      <w:spacing w:before="720" w:after="240" w:line="485" w:lineRule="exact"/>
      <w:jc w:val="both"/>
      <w:textAlignment w:val="auto"/>
      <w:outlineLvl w:val="2"/>
    </w:pPr>
    <w:rPr>
      <w:rFonts w:asciiTheme="minorHAnsi" w:eastAsiaTheme="minorHAnsi" w:hAnsiTheme="minorHAnsi" w:cstheme="minorBidi"/>
      <w:sz w:val="27"/>
      <w:szCs w:val="27"/>
      <w:lang w:val="en-US" w:eastAsia="en-US"/>
    </w:rPr>
  </w:style>
  <w:style w:type="character" w:customStyle="1" w:styleId="Cuerpodeltexto6">
    <w:name w:val="Cuerpo del texto (6)_"/>
    <w:link w:val="Cuerpodeltexto60"/>
    <w:rsid w:val="005F2C44"/>
    <w:rPr>
      <w:sz w:val="21"/>
      <w:szCs w:val="21"/>
      <w:shd w:val="clear" w:color="auto" w:fill="FFFFFF"/>
    </w:rPr>
  </w:style>
  <w:style w:type="character" w:customStyle="1" w:styleId="Cuerpodeltexto6Sinnegrita">
    <w:name w:val="Cuerpo del texto (6) + Sin negrita"/>
    <w:rsid w:val="005F2C44"/>
    <w:rPr>
      <w:rFonts w:ascii="Times New Roman" w:eastAsia="Times New Roman" w:hAnsi="Times New Roman" w:cs="Times New Roman"/>
      <w:b/>
      <w:bCs/>
      <w:sz w:val="21"/>
      <w:szCs w:val="21"/>
      <w:shd w:val="clear" w:color="auto" w:fill="FFFFFF"/>
    </w:rPr>
  </w:style>
  <w:style w:type="character" w:customStyle="1" w:styleId="Cuerpodeltexto5Negrita">
    <w:name w:val="Cuerpo del texto (5) + Negrita"/>
    <w:rsid w:val="005F2C44"/>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Cuerpodeltexto57pto">
    <w:name w:val="Cuerpo del texto (5) + 7 pto"/>
    <w:rsid w:val="005F2C44"/>
    <w:rPr>
      <w:rFonts w:ascii="Times New Roman" w:eastAsia="Times New Roman" w:hAnsi="Times New Roman" w:cs="Times New Roman"/>
      <w:b w:val="0"/>
      <w:bCs w:val="0"/>
      <w:i w:val="0"/>
      <w:iCs w:val="0"/>
      <w:smallCaps w:val="0"/>
      <w:strike w:val="0"/>
      <w:spacing w:val="0"/>
      <w:sz w:val="14"/>
      <w:szCs w:val="14"/>
      <w:shd w:val="clear" w:color="auto" w:fill="FFFFFF"/>
    </w:rPr>
  </w:style>
  <w:style w:type="paragraph" w:customStyle="1" w:styleId="Cuerpodeltexto60">
    <w:name w:val="Cuerpo del texto (6)"/>
    <w:basedOn w:val="Normal"/>
    <w:link w:val="Cuerpodeltexto6"/>
    <w:rsid w:val="005F2C44"/>
    <w:pPr>
      <w:shd w:val="clear" w:color="auto" w:fill="FFFFFF"/>
      <w:overflowPunct/>
      <w:autoSpaceDE/>
      <w:autoSpaceDN/>
      <w:adjustRightInd/>
      <w:spacing w:before="660" w:after="240" w:line="254" w:lineRule="exact"/>
      <w:jc w:val="both"/>
      <w:textAlignment w:val="auto"/>
    </w:pPr>
    <w:rPr>
      <w:rFonts w:asciiTheme="minorHAnsi" w:eastAsiaTheme="minorHAnsi" w:hAnsiTheme="minorHAnsi" w:cstheme="minorBidi"/>
      <w:sz w:val="21"/>
      <w:szCs w:val="21"/>
      <w:lang w:val="en-US" w:eastAsia="en-US"/>
    </w:rPr>
  </w:style>
  <w:style w:type="character" w:customStyle="1" w:styleId="PrrafodelistaCar">
    <w:name w:val="Párrafo de lista Car"/>
    <w:aliases w:val="Citas Car,Footnote Car,Bullet List Car,FooterText Car,numbered Car,List Paragraph1 Car,Paragraphe de liste1 Car,lp1 Car,Párrafo de lista1 Car,List Paragraph Car,Scitum normal Car,Párrafo de lista11 Car,Colorful List - Accent 11 Car"/>
    <w:link w:val="Prrafodelista"/>
    <w:uiPriority w:val="34"/>
    <w:locked/>
    <w:rsid w:val="008E6E8C"/>
    <w:rPr>
      <w:rFonts w:ascii="Times New Roman" w:eastAsia="Times New Roman" w:hAnsi="Times New Roman" w:cs="Times New Roman"/>
      <w:sz w:val="20"/>
      <w:szCs w:val="20"/>
      <w:lang w:val="es-ES" w:eastAsia="es-ES"/>
    </w:rPr>
  </w:style>
  <w:style w:type="paragraph" w:customStyle="1" w:styleId="Textoindependiente21">
    <w:name w:val="Texto independiente 21"/>
    <w:basedOn w:val="Normal"/>
    <w:rsid w:val="00AA7A8B"/>
    <w:pPr>
      <w:spacing w:line="360" w:lineRule="auto"/>
      <w:ind w:firstLine="708"/>
      <w:jc w:val="both"/>
    </w:pPr>
    <w:rPr>
      <w:rFonts w:ascii="Arial" w:hAnsi="Arial"/>
      <w:i/>
      <w:sz w:val="28"/>
    </w:rPr>
  </w:style>
  <w:style w:type="paragraph" w:styleId="Sinespaciado">
    <w:name w:val="No Spacing"/>
    <w:uiPriority w:val="1"/>
    <w:qFormat/>
    <w:rsid w:val="00855CE4"/>
    <w:pPr>
      <w:spacing w:after="0" w:line="240" w:lineRule="auto"/>
    </w:pPr>
    <w:rPr>
      <w:rFonts w:ascii="Calibri" w:eastAsia="Calibri" w:hAnsi="Calibri" w:cs="Times New Roman"/>
    </w:rPr>
  </w:style>
  <w:style w:type="paragraph" w:styleId="Textoindependiente2">
    <w:name w:val="Body Text 2"/>
    <w:basedOn w:val="Normal"/>
    <w:link w:val="Textoindependiente2Car"/>
    <w:uiPriority w:val="99"/>
    <w:unhideWhenUsed/>
    <w:rsid w:val="0041634D"/>
    <w:pPr>
      <w:spacing w:after="120" w:line="480" w:lineRule="auto"/>
    </w:pPr>
  </w:style>
  <w:style w:type="character" w:customStyle="1" w:styleId="Textoindependiente2Car">
    <w:name w:val="Texto independiente 2 Car"/>
    <w:basedOn w:val="Fuentedeprrafopredeter"/>
    <w:link w:val="Textoindependiente2"/>
    <w:uiPriority w:val="99"/>
    <w:rsid w:val="0041634D"/>
    <w:rPr>
      <w:rFonts w:ascii="Times New Roman" w:eastAsia="Times New Roman" w:hAnsi="Times New Roman" w:cs="Times New Roman"/>
      <w:sz w:val="20"/>
      <w:szCs w:val="20"/>
      <w:lang w:val="es-CO" w:eastAsia="es-ES"/>
    </w:rPr>
  </w:style>
  <w:style w:type="table" w:styleId="Tablaconcuadrcula">
    <w:name w:val="Table Grid"/>
    <w:basedOn w:val="Tablanormal"/>
    <w:uiPriority w:val="39"/>
    <w:rsid w:val="00804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F405E"/>
    <w:rPr>
      <w:sz w:val="16"/>
      <w:szCs w:val="16"/>
    </w:rPr>
  </w:style>
  <w:style w:type="paragraph" w:styleId="Textocomentario">
    <w:name w:val="annotation text"/>
    <w:basedOn w:val="Normal"/>
    <w:link w:val="TextocomentarioCar"/>
    <w:uiPriority w:val="99"/>
    <w:semiHidden/>
    <w:unhideWhenUsed/>
    <w:rsid w:val="009F405E"/>
  </w:style>
  <w:style w:type="character" w:customStyle="1" w:styleId="TextocomentarioCar">
    <w:name w:val="Texto comentario Car"/>
    <w:basedOn w:val="Fuentedeprrafopredeter"/>
    <w:link w:val="Textocomentario"/>
    <w:uiPriority w:val="99"/>
    <w:semiHidden/>
    <w:rsid w:val="009F405E"/>
    <w:rPr>
      <w:rFonts w:ascii="Times New Roman" w:eastAsia="Times New Roman" w:hAnsi="Times New Roman" w:cs="Times New Roman"/>
      <w:sz w:val="20"/>
      <w:szCs w:val="20"/>
      <w:lang w:val="es-CO" w:eastAsia="es-ES"/>
    </w:rPr>
  </w:style>
  <w:style w:type="paragraph" w:styleId="Asuntodelcomentario">
    <w:name w:val="annotation subject"/>
    <w:basedOn w:val="Textocomentario"/>
    <w:next w:val="Textocomentario"/>
    <w:link w:val="AsuntodelcomentarioCar"/>
    <w:uiPriority w:val="99"/>
    <w:semiHidden/>
    <w:unhideWhenUsed/>
    <w:rsid w:val="009F405E"/>
    <w:rPr>
      <w:b/>
      <w:bCs/>
    </w:rPr>
  </w:style>
  <w:style w:type="character" w:customStyle="1" w:styleId="AsuntodelcomentarioCar">
    <w:name w:val="Asunto del comentario Car"/>
    <w:basedOn w:val="TextocomentarioCar"/>
    <w:link w:val="Asuntodelcomentario"/>
    <w:uiPriority w:val="99"/>
    <w:semiHidden/>
    <w:rsid w:val="009F405E"/>
    <w:rPr>
      <w:rFonts w:ascii="Times New Roman" w:eastAsia="Times New Roman" w:hAnsi="Times New Roman" w:cs="Times New Roman"/>
      <w:b/>
      <w:bCs/>
      <w:sz w:val="20"/>
      <w:szCs w:val="20"/>
      <w:lang w:val="es-CO" w:eastAsia="es-ES"/>
    </w:rPr>
  </w:style>
  <w:style w:type="paragraph" w:styleId="Textodeglobo">
    <w:name w:val="Balloon Text"/>
    <w:basedOn w:val="Normal"/>
    <w:link w:val="TextodegloboCar"/>
    <w:uiPriority w:val="99"/>
    <w:semiHidden/>
    <w:unhideWhenUsed/>
    <w:rsid w:val="009F40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405E"/>
    <w:rPr>
      <w:rFonts w:ascii="Segoe UI" w:eastAsia="Times New Roman" w:hAnsi="Segoe UI" w:cs="Segoe UI"/>
      <w:sz w:val="18"/>
      <w:szCs w:val="18"/>
      <w:lang w:val="es-CO" w:eastAsia="es-ES"/>
    </w:rPr>
  </w:style>
  <w:style w:type="paragraph" w:styleId="Sangradetextonormal">
    <w:name w:val="Body Text Indent"/>
    <w:basedOn w:val="Normal"/>
    <w:link w:val="SangradetextonormalCar"/>
    <w:uiPriority w:val="99"/>
    <w:unhideWhenUsed/>
    <w:rsid w:val="009F465D"/>
    <w:pPr>
      <w:overflowPunct/>
      <w:autoSpaceDE/>
      <w:autoSpaceDN/>
      <w:adjustRightInd/>
      <w:spacing w:after="120" w:line="259" w:lineRule="auto"/>
      <w:ind w:left="283"/>
      <w:textAlignment w:val="auto"/>
    </w:pPr>
    <w:rPr>
      <w:rFonts w:asciiTheme="minorHAnsi" w:eastAsiaTheme="minorHAnsi" w:hAnsiTheme="minorHAnsi" w:cstheme="minorBidi"/>
      <w:sz w:val="22"/>
      <w:szCs w:val="22"/>
      <w:lang w:eastAsia="en-US"/>
    </w:rPr>
  </w:style>
  <w:style w:type="character" w:customStyle="1" w:styleId="SangradetextonormalCar">
    <w:name w:val="Sangría de texto normal Car"/>
    <w:basedOn w:val="Fuentedeprrafopredeter"/>
    <w:link w:val="Sangradetextonormal"/>
    <w:uiPriority w:val="99"/>
    <w:rsid w:val="009F465D"/>
    <w:rPr>
      <w:lang w:val="es-CO"/>
    </w:rPr>
  </w:style>
  <w:style w:type="paragraph" w:customStyle="1" w:styleId="Default">
    <w:name w:val="Default"/>
    <w:rsid w:val="00E428A4"/>
    <w:pPr>
      <w:autoSpaceDE w:val="0"/>
      <w:autoSpaceDN w:val="0"/>
      <w:adjustRightInd w:val="0"/>
      <w:spacing w:after="0" w:line="240" w:lineRule="auto"/>
    </w:pPr>
    <w:rPr>
      <w:rFonts w:ascii="Constantia" w:hAnsi="Constantia" w:cs="Constantia"/>
      <w:color w:val="000000"/>
      <w:sz w:val="24"/>
      <w:szCs w:val="24"/>
      <w:lang w:val="es-CO"/>
    </w:rPr>
  </w:style>
  <w:style w:type="character" w:styleId="Hipervnculo">
    <w:name w:val="Hyperlink"/>
    <w:basedOn w:val="Fuentedeprrafopredeter"/>
    <w:uiPriority w:val="99"/>
    <w:unhideWhenUsed/>
    <w:rsid w:val="0006599E"/>
    <w:rPr>
      <w:color w:val="0563C1" w:themeColor="hyperlink"/>
      <w:u w:val="single"/>
    </w:rPr>
  </w:style>
  <w:style w:type="character" w:customStyle="1" w:styleId="Mencinsinresolver1">
    <w:name w:val="Mención sin resolver1"/>
    <w:basedOn w:val="Fuentedeprrafopredeter"/>
    <w:uiPriority w:val="99"/>
    <w:semiHidden/>
    <w:unhideWhenUsed/>
    <w:rsid w:val="0006599E"/>
    <w:rPr>
      <w:color w:val="605E5C"/>
      <w:shd w:val="clear" w:color="auto" w:fill="E1DFDD"/>
    </w:rPr>
  </w:style>
  <w:style w:type="character" w:customStyle="1" w:styleId="normaltextrun">
    <w:name w:val="normaltextrun"/>
    <w:basedOn w:val="Fuentedeprrafopredeter"/>
    <w:rsid w:val="00AF753A"/>
  </w:style>
  <w:style w:type="character" w:customStyle="1" w:styleId="eop">
    <w:name w:val="eop"/>
    <w:basedOn w:val="Fuentedeprrafopredeter"/>
    <w:rsid w:val="006D770F"/>
  </w:style>
  <w:style w:type="paragraph" w:customStyle="1" w:styleId="paragraph">
    <w:name w:val="paragraph"/>
    <w:basedOn w:val="Normal"/>
    <w:rsid w:val="006D770F"/>
    <w:pPr>
      <w:overflowPunct/>
      <w:autoSpaceDE/>
      <w:autoSpaceDN/>
      <w:adjustRightInd/>
      <w:spacing w:before="100" w:beforeAutospacing="1" w:after="100" w:afterAutospacing="1"/>
      <w:textAlignment w:val="auto"/>
    </w:pPr>
    <w:rPr>
      <w:sz w:val="24"/>
      <w:szCs w:val="24"/>
      <w:lang w:eastAsia="es-CO"/>
    </w:rPr>
  </w:style>
  <w:style w:type="character" w:styleId="Mencinsinresolver">
    <w:name w:val="Unresolved Mention"/>
    <w:basedOn w:val="Fuentedeprrafopredeter"/>
    <w:uiPriority w:val="99"/>
    <w:semiHidden/>
    <w:unhideWhenUsed/>
    <w:rsid w:val="00417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668947">
      <w:bodyDiv w:val="1"/>
      <w:marLeft w:val="0"/>
      <w:marRight w:val="0"/>
      <w:marTop w:val="0"/>
      <w:marBottom w:val="0"/>
      <w:divBdr>
        <w:top w:val="none" w:sz="0" w:space="0" w:color="auto"/>
        <w:left w:val="none" w:sz="0" w:space="0" w:color="auto"/>
        <w:bottom w:val="none" w:sz="0" w:space="0" w:color="auto"/>
        <w:right w:val="none" w:sz="0" w:space="0" w:color="auto"/>
      </w:divBdr>
    </w:div>
    <w:div w:id="94464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1" ma:contentTypeDescription="Crear nuevo documento." ma:contentTypeScope="" ma:versionID="bb37c250dd9c7eaa6322324e74e48217">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2b6d5d4a97bfb1367afc46a77521a414"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c2d05c5f-4214-4904-a501-62d0c05ff9cc}"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CE93B-4E0F-47C6-88B2-3A0864F50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1A9EF8-D7D7-404D-9DA2-129909867538}">
  <ds:schemaRefs>
    <ds:schemaRef ds:uri="http://schemas.microsoft.com/sharepoint/v3/contenttype/forms"/>
  </ds:schemaRefs>
</ds:datastoreItem>
</file>

<file path=customXml/itemProps3.xml><?xml version="1.0" encoding="utf-8"?>
<ds:datastoreItem xmlns:ds="http://schemas.openxmlformats.org/officeDocument/2006/customXml" ds:itemID="{B96DD950-A917-4E73-86A4-49AA82A3EB1F}">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4.xml><?xml version="1.0" encoding="utf-8"?>
<ds:datastoreItem xmlns:ds="http://schemas.openxmlformats.org/officeDocument/2006/customXml" ds:itemID="{555A3068-D804-4992-88F5-A261614F5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5890</Words>
  <Characters>32399</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FUERTE VARGAS</dc:creator>
  <cp:keywords/>
  <dc:description/>
  <cp:lastModifiedBy>Relatoria Tribunal Administrativo - Boyaca - Seccional Tunja</cp:lastModifiedBy>
  <cp:revision>2</cp:revision>
  <dcterms:created xsi:type="dcterms:W3CDTF">2022-08-08T16:46:00Z</dcterms:created>
  <dcterms:modified xsi:type="dcterms:W3CDTF">2022-08-08T16:46:00Z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