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62AA0" w14:textId="04804C77" w:rsidR="00387E24" w:rsidRPr="00387E24" w:rsidRDefault="00387E24" w:rsidP="00387E24">
      <w:pPr>
        <w:jc w:val="both"/>
        <w:rPr>
          <w:rFonts w:ascii="Arial" w:hAnsi="Arial" w:cs="Arial"/>
          <w:b/>
          <w:sz w:val="24"/>
          <w:szCs w:val="24"/>
        </w:rPr>
      </w:pPr>
      <w:bookmarkStart w:id="0" w:name="_GoBack"/>
      <w:bookmarkEnd w:id="0"/>
      <w:r w:rsidRPr="00387E24">
        <w:rPr>
          <w:rFonts w:ascii="Arial" w:hAnsi="Arial" w:cs="Arial"/>
          <w:b/>
          <w:sz w:val="24"/>
          <w:szCs w:val="24"/>
        </w:rPr>
        <w:t>NULIDAD POR PRETERMITIRSE ÍNTEGRAMENTE LA RESPECTIVA INSTANCIA</w:t>
      </w:r>
      <w:r>
        <w:rPr>
          <w:rFonts w:ascii="Arial" w:hAnsi="Arial" w:cs="Arial"/>
          <w:sz w:val="24"/>
          <w:szCs w:val="24"/>
        </w:rPr>
        <w:t xml:space="preserve"> - </w:t>
      </w:r>
      <w:r w:rsidRPr="00387E24">
        <w:rPr>
          <w:rFonts w:ascii="Arial" w:hAnsi="Arial" w:cs="Arial"/>
          <w:b/>
          <w:sz w:val="24"/>
          <w:szCs w:val="24"/>
        </w:rPr>
        <w:t>Se configura en los procesos que tienen por objeto la nulidad del acto administrativo por medio del cual se adjudica un contrato estatal, así como la nulidad absoluta de este negocio jurídico, cuando no se vincula al adjudicatario o al contratista / VINCULACIÓN AL PROCESO DEL ADJUDICATARIO O CONTRATISTA DE CONTRATO ESTATAL – Nulidad del proceso por no haberse vinculado al proceso que tiene por objeto la nulidad del acto administrativo por medio del cual se adjudica un contrato estatal, así como la nulidad absoluta de este negocio jurídico.</w:t>
      </w:r>
    </w:p>
    <w:p w14:paraId="33CA8C21" w14:textId="77777777" w:rsidR="00387E24" w:rsidRDefault="00387E24" w:rsidP="00387E24">
      <w:pPr>
        <w:jc w:val="both"/>
        <w:rPr>
          <w:rFonts w:ascii="Arial" w:hAnsi="Arial" w:cs="Arial"/>
          <w:sz w:val="24"/>
          <w:szCs w:val="24"/>
        </w:rPr>
      </w:pPr>
    </w:p>
    <w:p w14:paraId="6FAF90FE" w14:textId="33700163" w:rsidR="00387E24" w:rsidRDefault="00387E24" w:rsidP="00387E24">
      <w:pPr>
        <w:jc w:val="both"/>
        <w:rPr>
          <w:rFonts w:ascii="Arial" w:hAnsi="Arial" w:cs="Arial"/>
          <w:bCs/>
          <w:sz w:val="24"/>
          <w:szCs w:val="24"/>
        </w:rPr>
      </w:pPr>
      <w:r>
        <w:rPr>
          <w:rFonts w:ascii="Arial" w:hAnsi="Arial" w:cs="Arial"/>
          <w:sz w:val="24"/>
          <w:szCs w:val="24"/>
        </w:rPr>
        <w:t xml:space="preserve">El numeral 2° del artículo 133 del Código General del Proceso prevé que el proceso es nulo, en todo o en parte, cuando, entre otros casos, se pretermite íntegramente la respectiva instancia. Esta causal de nulidad es </w:t>
      </w:r>
      <w:r w:rsidRPr="00387E24">
        <w:rPr>
          <w:rFonts w:ascii="Arial" w:hAnsi="Arial" w:cs="Arial"/>
          <w:sz w:val="24"/>
          <w:szCs w:val="24"/>
        </w:rPr>
        <w:t xml:space="preserve">insanable, de conformidad con el párrafo del artículo 136 </w:t>
      </w:r>
      <w:r w:rsidRPr="00387E24">
        <w:rPr>
          <w:rFonts w:ascii="Arial" w:hAnsi="Arial" w:cs="Arial"/>
          <w:i/>
          <w:sz w:val="24"/>
          <w:szCs w:val="24"/>
        </w:rPr>
        <w:t xml:space="preserve">ibidem. </w:t>
      </w:r>
      <w:r w:rsidRPr="00387E24">
        <w:rPr>
          <w:rFonts w:ascii="Arial" w:hAnsi="Arial" w:cs="Arial"/>
          <w:sz w:val="24"/>
          <w:szCs w:val="24"/>
        </w:rPr>
        <w:t>Se ha considerado jurisprudencialmente que se configura esta causal de nulidad en los procesos que tienen por objeto la nulidad del acto administrativo por medio del cual se adjudica un contrato estatal, así como la nulidad absoluta de este negocio jurídico, cuando no se vincula</w:t>
      </w:r>
      <w:r>
        <w:rPr>
          <w:rFonts w:ascii="Arial" w:hAnsi="Arial" w:cs="Arial"/>
          <w:sz w:val="24"/>
          <w:szCs w:val="24"/>
        </w:rPr>
        <w:t xml:space="preserve"> al adjudicatario o al contratista, en los términos del artículo 61 del Código General del Proceso. </w:t>
      </w:r>
      <w:r w:rsidRPr="003C72C1">
        <w:rPr>
          <w:rFonts w:ascii="Arial" w:hAnsi="Arial" w:cs="Arial"/>
          <w:sz w:val="24"/>
          <w:szCs w:val="24"/>
        </w:rPr>
        <w:t xml:space="preserve">El Tribunal </w:t>
      </w:r>
      <w:r w:rsidRPr="004E516F">
        <w:rPr>
          <w:rFonts w:ascii="Arial" w:hAnsi="Arial" w:cs="Arial"/>
          <w:sz w:val="24"/>
          <w:szCs w:val="24"/>
        </w:rPr>
        <w:t>Administrativo de Boyacá, mediante el auto de 27 de</w:t>
      </w:r>
      <w:r w:rsidRPr="003C72C1">
        <w:rPr>
          <w:rFonts w:ascii="Arial" w:hAnsi="Arial" w:cs="Arial"/>
          <w:sz w:val="24"/>
          <w:szCs w:val="24"/>
        </w:rPr>
        <w:t xml:space="preserve"> agosto de 2021, declaró la nulidad de lo actuado </w:t>
      </w:r>
      <w:r>
        <w:rPr>
          <w:rFonts w:ascii="Arial" w:hAnsi="Arial" w:cs="Arial"/>
          <w:sz w:val="24"/>
          <w:szCs w:val="24"/>
        </w:rPr>
        <w:t xml:space="preserve">en un proceso de controversias contractuales </w:t>
      </w:r>
      <w:r w:rsidRPr="003C72C1">
        <w:rPr>
          <w:rFonts w:ascii="Arial" w:hAnsi="Arial" w:cs="Arial"/>
          <w:sz w:val="24"/>
          <w:szCs w:val="24"/>
        </w:rPr>
        <w:t xml:space="preserve">a partir de la sentencia de primera instancia porque </w:t>
      </w:r>
      <w:r>
        <w:rPr>
          <w:rFonts w:ascii="Arial" w:hAnsi="Arial" w:cs="Arial"/>
          <w:sz w:val="24"/>
          <w:szCs w:val="24"/>
        </w:rPr>
        <w:t xml:space="preserve">el juez </w:t>
      </w:r>
      <w:r w:rsidRPr="003C72C1">
        <w:rPr>
          <w:rFonts w:ascii="Arial" w:hAnsi="Arial" w:cs="Arial"/>
          <w:sz w:val="24"/>
          <w:szCs w:val="24"/>
          <w:lang w:val="es-ES"/>
        </w:rPr>
        <w:t xml:space="preserve">omitió la notificación del auto admisorio de la demanda </w:t>
      </w:r>
      <w:r>
        <w:rPr>
          <w:rFonts w:ascii="Arial" w:hAnsi="Arial" w:cs="Arial"/>
          <w:sz w:val="24"/>
          <w:szCs w:val="24"/>
          <w:lang w:val="es-ES"/>
        </w:rPr>
        <w:t xml:space="preserve">al adjudicatario o contratista </w:t>
      </w:r>
      <w:r w:rsidRPr="003C72C1">
        <w:rPr>
          <w:rFonts w:ascii="Arial" w:hAnsi="Arial" w:cs="Arial"/>
          <w:sz w:val="24"/>
          <w:szCs w:val="24"/>
          <w:lang w:val="es-ES"/>
        </w:rPr>
        <w:t>que debía ser citado como parte y, en consecuencia, pretermitió íntegramente la primera instancia respecto de aquel</w:t>
      </w:r>
      <w:r>
        <w:rPr>
          <w:rFonts w:ascii="Arial" w:hAnsi="Arial" w:cs="Arial"/>
          <w:sz w:val="24"/>
          <w:szCs w:val="24"/>
        </w:rPr>
        <w:t xml:space="preserve">. Esta decisión tuvo como fundamento la tesis expuesta anteriormente y allí se precisó que la obligatoriedad de vinculación del adjudicatario o contratista persiste aun cuando el contrato no se encuentra en ejecución y fue liquidado. </w:t>
      </w:r>
      <w:r w:rsidRPr="14EAD17E">
        <w:rPr>
          <w:rFonts w:ascii="Arial" w:hAnsi="Arial" w:cs="Arial"/>
          <w:sz w:val="24"/>
          <w:szCs w:val="24"/>
        </w:rPr>
        <w:t xml:space="preserve">En el mismo sentido, la Sección Tercera del Consejo de Estado, en el auto de 27 de enero de 2021, consideró que en estos casos se configuraba la causal de nulidad a la que se ha hecho referencia, así: </w:t>
      </w:r>
      <w:r>
        <w:rPr>
          <w:rFonts w:ascii="Arial" w:hAnsi="Arial" w:cs="Arial"/>
          <w:sz w:val="24"/>
          <w:szCs w:val="24"/>
        </w:rPr>
        <w:t xml:space="preserve">(…). </w:t>
      </w:r>
      <w:r w:rsidRPr="14EAD17E">
        <w:rPr>
          <w:rFonts w:ascii="Arial" w:eastAsia="Arial" w:hAnsi="Arial" w:cs="Arial"/>
          <w:sz w:val="24"/>
          <w:szCs w:val="24"/>
        </w:rPr>
        <w:t xml:space="preserve">En el caso </w:t>
      </w:r>
      <w:r w:rsidRPr="14EAD17E">
        <w:rPr>
          <w:rFonts w:ascii="Arial" w:eastAsia="Arial" w:hAnsi="Arial" w:cs="Arial"/>
          <w:i/>
          <w:iCs/>
          <w:sz w:val="24"/>
          <w:szCs w:val="24"/>
        </w:rPr>
        <w:t xml:space="preserve">sub examine, </w:t>
      </w:r>
      <w:r w:rsidRPr="14EAD17E">
        <w:rPr>
          <w:rFonts w:ascii="Arial" w:eastAsia="Arial" w:hAnsi="Arial" w:cs="Arial"/>
          <w:sz w:val="24"/>
          <w:szCs w:val="24"/>
        </w:rPr>
        <w:t xml:space="preserve">la demandante pretendió la nulidad de </w:t>
      </w:r>
      <w:r w:rsidRPr="14EAD17E">
        <w:rPr>
          <w:rFonts w:ascii="Arial" w:hAnsi="Arial" w:cs="Arial"/>
          <w:sz w:val="24"/>
          <w:szCs w:val="24"/>
        </w:rPr>
        <w:t xml:space="preserve">la Resolución número 033 de 17 de marzo de 2017, por medio de la cual se adjudicó el proceso de selección abreviada - subasta inversa núm. S.A.-SI-AMT-014/2016 a </w:t>
      </w:r>
      <w:proofErr w:type="spellStart"/>
      <w:r w:rsidRPr="14EAD17E">
        <w:rPr>
          <w:rFonts w:ascii="Arial" w:hAnsi="Arial" w:cs="Arial"/>
          <w:sz w:val="24"/>
          <w:szCs w:val="24"/>
        </w:rPr>
        <w:t>Tecnophone</w:t>
      </w:r>
      <w:proofErr w:type="spellEnd"/>
      <w:r w:rsidRPr="14EAD17E">
        <w:rPr>
          <w:rFonts w:ascii="Arial" w:hAnsi="Arial" w:cs="Arial"/>
          <w:sz w:val="24"/>
          <w:szCs w:val="24"/>
        </w:rPr>
        <w:t xml:space="preserve"> de Colombia S.A.S., así como la “</w:t>
      </w:r>
      <w:r w:rsidRPr="14EAD17E">
        <w:rPr>
          <w:rFonts w:ascii="Arial" w:hAnsi="Arial" w:cs="Arial"/>
          <w:i/>
          <w:iCs/>
          <w:sz w:val="24"/>
          <w:szCs w:val="24"/>
        </w:rPr>
        <w:t>nulidad absoluta</w:t>
      </w:r>
      <w:r w:rsidRPr="14EAD17E">
        <w:rPr>
          <w:rFonts w:ascii="Arial" w:hAnsi="Arial" w:cs="Arial"/>
          <w:sz w:val="24"/>
          <w:szCs w:val="24"/>
        </w:rPr>
        <w:t xml:space="preserve">” del contrato núm. 520 de 27 de marzo de 2017 que celebró </w:t>
      </w:r>
      <w:proofErr w:type="spellStart"/>
      <w:r w:rsidRPr="14EAD17E">
        <w:rPr>
          <w:rFonts w:ascii="Arial" w:hAnsi="Arial" w:cs="Arial"/>
          <w:sz w:val="24"/>
          <w:szCs w:val="24"/>
        </w:rPr>
        <w:t>Tecnophone</w:t>
      </w:r>
      <w:proofErr w:type="spellEnd"/>
      <w:r w:rsidRPr="14EAD17E">
        <w:rPr>
          <w:rFonts w:ascii="Arial" w:hAnsi="Arial" w:cs="Arial"/>
          <w:sz w:val="24"/>
          <w:szCs w:val="24"/>
        </w:rPr>
        <w:t xml:space="preserve"> S.A.S., con el municipio de Tunja para el suministro de equipos de cómputo, impresoras, software ofimático y elementos tecnológicos. </w:t>
      </w:r>
      <w:r>
        <w:rPr>
          <w:rFonts w:ascii="Arial" w:hAnsi="Arial" w:cs="Arial"/>
          <w:sz w:val="24"/>
          <w:szCs w:val="24"/>
        </w:rPr>
        <w:t xml:space="preserve"> </w:t>
      </w:r>
      <w:r w:rsidRPr="14EAD17E">
        <w:rPr>
          <w:rFonts w:ascii="Arial" w:eastAsia="Arial" w:hAnsi="Arial" w:cs="Arial"/>
          <w:sz w:val="24"/>
          <w:szCs w:val="24"/>
        </w:rPr>
        <w:t xml:space="preserve">Sin embargo, en el proceso no fue vinculado el adjudicatario y posterior contratista. Por ello, la Sala considera que se pretermitió la instancia respecto de </w:t>
      </w:r>
      <w:proofErr w:type="spellStart"/>
      <w:r w:rsidRPr="14EAD17E">
        <w:rPr>
          <w:rFonts w:ascii="Arial" w:hAnsi="Arial" w:cs="Arial"/>
          <w:sz w:val="24"/>
          <w:szCs w:val="24"/>
        </w:rPr>
        <w:t>Tecnophone</w:t>
      </w:r>
      <w:proofErr w:type="spellEnd"/>
      <w:r w:rsidRPr="14EAD17E">
        <w:rPr>
          <w:rFonts w:ascii="Arial" w:hAnsi="Arial" w:cs="Arial"/>
          <w:sz w:val="24"/>
          <w:szCs w:val="24"/>
        </w:rPr>
        <w:t xml:space="preserve"> de Colombia S.A.S., porque esta sociedad no contó con la posibilidad de ejercer su derecho de defensa ante el </w:t>
      </w:r>
      <w:r w:rsidRPr="00387E24">
        <w:rPr>
          <w:rFonts w:ascii="Arial" w:hAnsi="Arial" w:cs="Arial"/>
          <w:bCs/>
          <w:sz w:val="24"/>
          <w:szCs w:val="24"/>
        </w:rPr>
        <w:t>juez natural y en la instancia prevista por la Ley 1437 de 2011 para el efecto</w:t>
      </w:r>
      <w:r w:rsidRPr="00387E24">
        <w:rPr>
          <w:rFonts w:ascii="Arial" w:hAnsi="Arial" w:cs="Arial"/>
          <w:sz w:val="24"/>
          <w:szCs w:val="24"/>
        </w:rPr>
        <w:t>,</w:t>
      </w:r>
      <w:r w:rsidRPr="14EAD17E">
        <w:rPr>
          <w:rFonts w:ascii="Arial" w:hAnsi="Arial" w:cs="Arial"/>
          <w:sz w:val="24"/>
          <w:szCs w:val="24"/>
        </w:rPr>
        <w:t xml:space="preserve"> respecto de la solicitud de nulidad del acto administrativo que le otorgó un derecho y del contrato estatal que celebró con el municipio de Tunja, y de esta forma, no tuvo la oportunidad de participar en el proceso judicial con las garantías establecidas por el legislador.</w:t>
      </w:r>
      <w:r>
        <w:rPr>
          <w:rFonts w:ascii="Arial" w:hAnsi="Arial" w:cs="Arial"/>
          <w:sz w:val="24"/>
          <w:szCs w:val="24"/>
        </w:rPr>
        <w:t xml:space="preserve"> </w:t>
      </w:r>
      <w:r>
        <w:rPr>
          <w:rFonts w:ascii="Arial" w:hAnsi="Arial" w:cs="Arial"/>
          <w:bCs/>
          <w:sz w:val="24"/>
          <w:szCs w:val="24"/>
        </w:rPr>
        <w:t xml:space="preserve">Por las razones expuestas, se declarará la </w:t>
      </w:r>
      <w:r w:rsidRPr="00387E24">
        <w:rPr>
          <w:rFonts w:ascii="Arial" w:hAnsi="Arial" w:cs="Arial"/>
          <w:bCs/>
          <w:sz w:val="24"/>
          <w:szCs w:val="24"/>
        </w:rPr>
        <w:t>nulidad del proceso</w:t>
      </w:r>
      <w:r>
        <w:rPr>
          <w:rFonts w:ascii="Arial" w:hAnsi="Arial" w:cs="Arial"/>
          <w:bCs/>
          <w:sz w:val="24"/>
          <w:szCs w:val="24"/>
        </w:rPr>
        <w:t xml:space="preserve"> con el objeto de que el juez vincule a </w:t>
      </w:r>
      <w:proofErr w:type="spellStart"/>
      <w:r>
        <w:rPr>
          <w:rFonts w:ascii="Arial" w:hAnsi="Arial" w:cs="Arial"/>
          <w:bCs/>
          <w:sz w:val="24"/>
          <w:szCs w:val="24"/>
        </w:rPr>
        <w:t>Tecnophone</w:t>
      </w:r>
      <w:proofErr w:type="spellEnd"/>
      <w:r>
        <w:rPr>
          <w:rFonts w:ascii="Arial" w:hAnsi="Arial" w:cs="Arial"/>
          <w:bCs/>
          <w:sz w:val="24"/>
          <w:szCs w:val="24"/>
        </w:rPr>
        <w:t xml:space="preserve"> de Colombia S.A.S., teniendo en cuenta que el artículo 61 del Código General del Proceso permite la citación de los litisconsortes necesarios, mientras no se haya dictado sentencia de primera instancia. </w:t>
      </w:r>
    </w:p>
    <w:p w14:paraId="6AF1F75F" w14:textId="5FABF17E" w:rsidR="003E4614" w:rsidRDefault="003E4614" w:rsidP="00387E24">
      <w:pPr>
        <w:jc w:val="both"/>
        <w:rPr>
          <w:rFonts w:ascii="Arial" w:hAnsi="Arial" w:cs="Arial"/>
          <w:bCs/>
          <w:sz w:val="24"/>
          <w:szCs w:val="24"/>
        </w:rPr>
      </w:pPr>
    </w:p>
    <w:p w14:paraId="29388DDF" w14:textId="77777777" w:rsidR="003E4614" w:rsidRDefault="003E4614" w:rsidP="003E4614">
      <w:pPr>
        <w:jc w:val="both"/>
        <w:rPr>
          <w:rFonts w:ascii="Arial" w:hAnsi="Arial" w:cs="Arial"/>
          <w:iCs/>
          <w:sz w:val="24"/>
          <w:szCs w:val="24"/>
        </w:rPr>
      </w:pPr>
      <w:bookmarkStart w:id="1" w:name="_Hlk105513629"/>
      <w:bookmarkStart w:id="2" w:name="_Hlk106288379"/>
      <w:bookmarkStart w:id="3" w:name="_Hlk110245706"/>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 xml:space="preserve">La providencia que se presenta al público ha sido modificada solo para incluir sus anteriores descriptores y restrictores, mas no para </w:t>
      </w:r>
      <w:r w:rsidRPr="00EA7230">
        <w:rPr>
          <w:rFonts w:ascii="Arial" w:hAnsi="Arial" w:cs="Arial"/>
          <w:iCs/>
          <w:sz w:val="24"/>
          <w:szCs w:val="24"/>
        </w:rPr>
        <w:lastRenderedPageBreak/>
        <w:t>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79A76CFD" w14:textId="77777777" w:rsidR="003E4614" w:rsidRDefault="003E4614" w:rsidP="003E4614"/>
    <w:tbl>
      <w:tblPr>
        <w:tblStyle w:val="Tablaconcuadrcula"/>
        <w:tblW w:w="0" w:type="auto"/>
        <w:tblLook w:val="04A0" w:firstRow="1" w:lastRow="0" w:firstColumn="1" w:lastColumn="0" w:noHBand="0" w:noVBand="1"/>
      </w:tblPr>
      <w:tblGrid>
        <w:gridCol w:w="8637"/>
      </w:tblGrid>
      <w:tr w:rsidR="003E4614" w14:paraId="3E033DB7" w14:textId="77777777" w:rsidTr="000D6B54">
        <w:tc>
          <w:tcPr>
            <w:tcW w:w="8828" w:type="dxa"/>
          </w:tcPr>
          <w:bookmarkEnd w:id="1"/>
          <w:p w14:paraId="44E9BBE1" w14:textId="23005FA3" w:rsidR="003E4614" w:rsidRDefault="003E4614" w:rsidP="000D6B54">
            <w:r>
              <w:fldChar w:fldCharType="begin"/>
            </w:r>
            <w:r>
              <w:instrText xml:space="preserve"> HYPERLINK "</w:instrText>
            </w:r>
            <w:r w:rsidRPr="003E4614">
              <w:instrText>https://samairj.consejodeestado.gov.co/Vistas/Casos/list_procesos.aspx?guid=150013333012201700112011500123</w:instrText>
            </w:r>
            <w:r>
              <w:instrText xml:space="preserve">" </w:instrText>
            </w:r>
            <w:r>
              <w:fldChar w:fldCharType="separate"/>
            </w:r>
            <w:r w:rsidRPr="00D8120F">
              <w:rPr>
                <w:rStyle w:val="Hipervnculo"/>
                <w:position w:val="0"/>
              </w:rPr>
              <w:t>https://samairj.consejodeestado.gov.co/Vistas/Casos/list_procesos.aspx?guid=150013333012201700112011500123</w:t>
            </w:r>
            <w:r>
              <w:fldChar w:fldCharType="end"/>
            </w:r>
          </w:p>
          <w:p w14:paraId="270D22F8" w14:textId="14B37DB1" w:rsidR="003E4614" w:rsidRDefault="003E4614" w:rsidP="000D6B54"/>
        </w:tc>
      </w:tr>
      <w:bookmarkEnd w:id="2"/>
    </w:tbl>
    <w:p w14:paraId="1D63631C" w14:textId="77777777" w:rsidR="003E4614" w:rsidRDefault="003E4614" w:rsidP="003E4614"/>
    <w:bookmarkEnd w:id="3"/>
    <w:p w14:paraId="3D5A5E4E" w14:textId="77777777" w:rsidR="00387E24" w:rsidRDefault="00387E24" w:rsidP="00387E24">
      <w:pPr>
        <w:jc w:val="both"/>
        <w:rPr>
          <w:rFonts w:ascii="Arial" w:hAnsi="Arial" w:cs="Arial"/>
          <w:sz w:val="24"/>
          <w:szCs w:val="24"/>
        </w:rPr>
      </w:pPr>
    </w:p>
    <w:p w14:paraId="72567BC7" w14:textId="5F7B01C5" w:rsidR="00217ECC" w:rsidRDefault="00217ECC" w:rsidP="00CC00E6">
      <w:pPr>
        <w:widowControl w:val="0"/>
        <w:tabs>
          <w:tab w:val="left" w:pos="7655"/>
        </w:tabs>
        <w:spacing w:line="276" w:lineRule="auto"/>
        <w:ind w:right="-659"/>
        <w:jc w:val="both"/>
        <w:rPr>
          <w:rFonts w:ascii="Arial" w:hAnsi="Arial" w:cs="Arial"/>
          <w:iCs/>
          <w:sz w:val="24"/>
          <w:szCs w:val="24"/>
        </w:rPr>
      </w:pPr>
      <w:r>
        <w:rPr>
          <w:rFonts w:ascii="Arial" w:hAnsi="Arial" w:cs="Arial"/>
          <w:iCs/>
          <w:sz w:val="24"/>
          <w:szCs w:val="24"/>
        </w:rPr>
        <w:t xml:space="preserve">Tunja, </w:t>
      </w:r>
      <w:r w:rsidR="008772E8">
        <w:rPr>
          <w:rFonts w:ascii="Arial" w:hAnsi="Arial" w:cs="Arial"/>
          <w:iCs/>
          <w:sz w:val="24"/>
          <w:szCs w:val="24"/>
        </w:rPr>
        <w:t>doce</w:t>
      </w:r>
      <w:r>
        <w:rPr>
          <w:rFonts w:ascii="Arial" w:hAnsi="Arial" w:cs="Arial"/>
          <w:iCs/>
          <w:sz w:val="24"/>
          <w:szCs w:val="24"/>
        </w:rPr>
        <w:t xml:space="preserve"> (</w:t>
      </w:r>
      <w:r w:rsidR="000E2730">
        <w:rPr>
          <w:rFonts w:ascii="Arial" w:hAnsi="Arial" w:cs="Arial"/>
          <w:iCs/>
          <w:sz w:val="24"/>
          <w:szCs w:val="24"/>
        </w:rPr>
        <w:t>1</w:t>
      </w:r>
      <w:r w:rsidR="008772E8">
        <w:rPr>
          <w:rFonts w:ascii="Arial" w:hAnsi="Arial" w:cs="Arial"/>
          <w:iCs/>
          <w:sz w:val="24"/>
          <w:szCs w:val="24"/>
        </w:rPr>
        <w:t>2</w:t>
      </w:r>
      <w:r>
        <w:rPr>
          <w:rFonts w:ascii="Arial" w:hAnsi="Arial" w:cs="Arial"/>
          <w:iCs/>
          <w:sz w:val="24"/>
          <w:szCs w:val="24"/>
        </w:rPr>
        <w:t>) de agosto de dos mil veintidós (2022)</w:t>
      </w:r>
    </w:p>
    <w:p w14:paraId="672A6659" w14:textId="77777777" w:rsidR="00217ECC" w:rsidRDefault="00217ECC" w:rsidP="00CC00E6">
      <w:pPr>
        <w:widowControl w:val="0"/>
        <w:tabs>
          <w:tab w:val="left" w:pos="7655"/>
        </w:tabs>
        <w:spacing w:line="276" w:lineRule="auto"/>
        <w:ind w:right="-659"/>
        <w:jc w:val="both"/>
        <w:rPr>
          <w:rFonts w:ascii="Arial" w:hAnsi="Arial" w:cs="Arial"/>
          <w:iCs/>
          <w:sz w:val="24"/>
          <w:szCs w:val="24"/>
        </w:rPr>
      </w:pPr>
    </w:p>
    <w:tbl>
      <w:tblPr>
        <w:tblStyle w:val="Tablaconcuadrcula"/>
        <w:tblW w:w="8364" w:type="dxa"/>
        <w:tblInd w:w="-5" w:type="dxa"/>
        <w:tblLook w:val="04A0" w:firstRow="1" w:lastRow="0" w:firstColumn="1" w:lastColumn="0" w:noHBand="0" w:noVBand="1"/>
      </w:tblPr>
      <w:tblGrid>
        <w:gridCol w:w="2552"/>
        <w:gridCol w:w="5812"/>
      </w:tblGrid>
      <w:tr w:rsidR="00217ECC" w:rsidRPr="004626A3" w14:paraId="45C1451F" w14:textId="77777777" w:rsidTr="008652DB">
        <w:tc>
          <w:tcPr>
            <w:tcW w:w="2552" w:type="dxa"/>
          </w:tcPr>
          <w:p w14:paraId="2BE0AAD8" w14:textId="77777777" w:rsidR="00217ECC" w:rsidRPr="008652DB" w:rsidRDefault="00217ECC" w:rsidP="00CC00E6">
            <w:pPr>
              <w:widowControl w:val="0"/>
              <w:tabs>
                <w:tab w:val="left" w:pos="7655"/>
              </w:tabs>
              <w:spacing w:line="276" w:lineRule="auto"/>
              <w:ind w:right="-659"/>
              <w:jc w:val="both"/>
              <w:rPr>
                <w:rFonts w:ascii="Arial" w:hAnsi="Arial" w:cs="Arial"/>
                <w:b/>
                <w:iCs/>
                <w:sz w:val="22"/>
                <w:szCs w:val="22"/>
                <w:lang w:val="es-CO"/>
              </w:rPr>
            </w:pPr>
            <w:r w:rsidRPr="008652DB">
              <w:rPr>
                <w:rFonts w:ascii="Arial" w:hAnsi="Arial" w:cs="Arial"/>
                <w:b/>
                <w:iCs/>
                <w:sz w:val="22"/>
                <w:szCs w:val="22"/>
                <w:lang w:val="es-CO"/>
              </w:rPr>
              <w:t>Radicación:</w:t>
            </w:r>
          </w:p>
        </w:tc>
        <w:tc>
          <w:tcPr>
            <w:tcW w:w="5812" w:type="dxa"/>
          </w:tcPr>
          <w:p w14:paraId="25FA9E30" w14:textId="77777777" w:rsidR="00217ECC" w:rsidRPr="008652DB" w:rsidRDefault="00217ECC" w:rsidP="00CC00E6">
            <w:pPr>
              <w:widowControl w:val="0"/>
              <w:tabs>
                <w:tab w:val="left" w:pos="7655"/>
              </w:tabs>
              <w:spacing w:line="276" w:lineRule="auto"/>
              <w:ind w:right="-659"/>
              <w:jc w:val="both"/>
              <w:rPr>
                <w:rFonts w:ascii="Arial" w:hAnsi="Arial" w:cs="Arial"/>
                <w:iCs/>
                <w:sz w:val="22"/>
                <w:szCs w:val="22"/>
                <w:lang w:val="es-CO"/>
              </w:rPr>
            </w:pPr>
            <w:r w:rsidRPr="008652DB">
              <w:rPr>
                <w:rFonts w:ascii="Arial" w:hAnsi="Arial" w:cs="Arial"/>
                <w:iCs/>
                <w:sz w:val="22"/>
                <w:szCs w:val="22"/>
                <w:lang w:val="es-CO"/>
              </w:rPr>
              <w:t>15001 -33-33-012-2017-00112-01</w:t>
            </w:r>
          </w:p>
        </w:tc>
      </w:tr>
      <w:tr w:rsidR="00217ECC" w:rsidRPr="004626A3" w14:paraId="080CE79A" w14:textId="77777777" w:rsidTr="008652DB">
        <w:tc>
          <w:tcPr>
            <w:tcW w:w="2552" w:type="dxa"/>
          </w:tcPr>
          <w:p w14:paraId="08748467" w14:textId="77777777" w:rsidR="00217ECC" w:rsidRPr="008652DB" w:rsidRDefault="00217ECC" w:rsidP="00CC00E6">
            <w:pPr>
              <w:widowControl w:val="0"/>
              <w:tabs>
                <w:tab w:val="left" w:pos="7655"/>
              </w:tabs>
              <w:spacing w:line="276" w:lineRule="auto"/>
              <w:ind w:right="-659"/>
              <w:jc w:val="both"/>
              <w:rPr>
                <w:rFonts w:ascii="Arial" w:hAnsi="Arial" w:cs="Arial"/>
                <w:b/>
                <w:iCs/>
                <w:sz w:val="22"/>
                <w:szCs w:val="22"/>
                <w:lang w:val="es-CO"/>
              </w:rPr>
            </w:pPr>
            <w:r w:rsidRPr="008652DB">
              <w:rPr>
                <w:rFonts w:ascii="Arial" w:hAnsi="Arial" w:cs="Arial"/>
                <w:b/>
                <w:iCs/>
                <w:sz w:val="22"/>
                <w:szCs w:val="22"/>
                <w:lang w:val="es-CO"/>
              </w:rPr>
              <w:t xml:space="preserve">Demandante:  </w:t>
            </w:r>
          </w:p>
        </w:tc>
        <w:tc>
          <w:tcPr>
            <w:tcW w:w="5812" w:type="dxa"/>
          </w:tcPr>
          <w:p w14:paraId="1D4C1741" w14:textId="77777777" w:rsidR="00217ECC" w:rsidRPr="008652DB" w:rsidRDefault="00217ECC" w:rsidP="00CC00E6">
            <w:pPr>
              <w:widowControl w:val="0"/>
              <w:tabs>
                <w:tab w:val="left" w:pos="7655"/>
              </w:tabs>
              <w:spacing w:line="276" w:lineRule="auto"/>
              <w:ind w:right="-659"/>
              <w:jc w:val="both"/>
              <w:rPr>
                <w:rFonts w:ascii="Arial" w:hAnsi="Arial" w:cs="Arial"/>
                <w:iCs/>
                <w:sz w:val="22"/>
                <w:szCs w:val="22"/>
                <w:lang w:val="es-CO"/>
              </w:rPr>
            </w:pPr>
            <w:r w:rsidRPr="008652DB">
              <w:rPr>
                <w:rFonts w:ascii="Arial" w:hAnsi="Arial" w:cs="Arial"/>
                <w:iCs/>
                <w:sz w:val="22"/>
                <w:szCs w:val="22"/>
                <w:lang w:val="es-CO"/>
              </w:rPr>
              <w:t xml:space="preserve">Consultoría Técnica y Servicios de Ingeniería SAS  </w:t>
            </w:r>
          </w:p>
        </w:tc>
      </w:tr>
      <w:tr w:rsidR="00217ECC" w:rsidRPr="004626A3" w14:paraId="2336C05E" w14:textId="77777777" w:rsidTr="008652DB">
        <w:tc>
          <w:tcPr>
            <w:tcW w:w="2552" w:type="dxa"/>
          </w:tcPr>
          <w:p w14:paraId="711AC031" w14:textId="77777777" w:rsidR="00217ECC" w:rsidRPr="008652DB" w:rsidRDefault="00217ECC" w:rsidP="00CC00E6">
            <w:pPr>
              <w:widowControl w:val="0"/>
              <w:tabs>
                <w:tab w:val="left" w:pos="7655"/>
              </w:tabs>
              <w:spacing w:line="276" w:lineRule="auto"/>
              <w:ind w:right="-659"/>
              <w:jc w:val="both"/>
              <w:rPr>
                <w:rFonts w:ascii="Arial" w:hAnsi="Arial" w:cs="Arial"/>
                <w:b/>
                <w:iCs/>
                <w:sz w:val="22"/>
                <w:szCs w:val="22"/>
                <w:lang w:val="es-CO"/>
              </w:rPr>
            </w:pPr>
            <w:r w:rsidRPr="008652DB">
              <w:rPr>
                <w:rFonts w:ascii="Arial" w:hAnsi="Arial" w:cs="Arial"/>
                <w:b/>
                <w:iCs/>
                <w:sz w:val="22"/>
                <w:szCs w:val="22"/>
                <w:lang w:val="es-CO"/>
              </w:rPr>
              <w:t>Demandado:</w:t>
            </w:r>
          </w:p>
        </w:tc>
        <w:tc>
          <w:tcPr>
            <w:tcW w:w="5812" w:type="dxa"/>
          </w:tcPr>
          <w:p w14:paraId="5C1CAAC6" w14:textId="77777777" w:rsidR="00217ECC" w:rsidRPr="008652DB" w:rsidRDefault="00217ECC" w:rsidP="00CC00E6">
            <w:pPr>
              <w:widowControl w:val="0"/>
              <w:tabs>
                <w:tab w:val="left" w:pos="7655"/>
              </w:tabs>
              <w:spacing w:line="276" w:lineRule="auto"/>
              <w:ind w:right="-659"/>
              <w:jc w:val="both"/>
              <w:rPr>
                <w:rFonts w:ascii="Arial" w:hAnsi="Arial" w:cs="Arial"/>
                <w:iCs/>
                <w:sz w:val="22"/>
                <w:szCs w:val="22"/>
                <w:lang w:val="es-CO"/>
              </w:rPr>
            </w:pPr>
            <w:r w:rsidRPr="008652DB">
              <w:rPr>
                <w:rFonts w:ascii="Arial" w:hAnsi="Arial" w:cs="Arial"/>
                <w:iCs/>
                <w:sz w:val="22"/>
                <w:szCs w:val="22"/>
                <w:lang w:val="es-CO"/>
              </w:rPr>
              <w:t xml:space="preserve">Municipio de Tunja </w:t>
            </w:r>
          </w:p>
        </w:tc>
      </w:tr>
      <w:tr w:rsidR="00217ECC" w:rsidRPr="004626A3" w14:paraId="20B86EF0" w14:textId="77777777" w:rsidTr="008652DB">
        <w:tc>
          <w:tcPr>
            <w:tcW w:w="2552" w:type="dxa"/>
          </w:tcPr>
          <w:p w14:paraId="6B5C2FC3" w14:textId="77777777" w:rsidR="00217ECC" w:rsidRPr="008652DB" w:rsidRDefault="00217ECC" w:rsidP="00CC00E6">
            <w:pPr>
              <w:widowControl w:val="0"/>
              <w:tabs>
                <w:tab w:val="left" w:pos="7655"/>
              </w:tabs>
              <w:spacing w:line="276" w:lineRule="auto"/>
              <w:ind w:right="-659"/>
              <w:jc w:val="both"/>
              <w:rPr>
                <w:rFonts w:ascii="Arial" w:hAnsi="Arial" w:cs="Arial"/>
                <w:b/>
                <w:iCs/>
                <w:sz w:val="22"/>
                <w:szCs w:val="22"/>
                <w:lang w:val="es-CO"/>
              </w:rPr>
            </w:pPr>
            <w:r w:rsidRPr="008652DB">
              <w:rPr>
                <w:rFonts w:ascii="Arial" w:hAnsi="Arial" w:cs="Arial"/>
                <w:b/>
                <w:iCs/>
                <w:sz w:val="22"/>
                <w:szCs w:val="22"/>
                <w:lang w:val="es-CO"/>
              </w:rPr>
              <w:t>Medio de control:</w:t>
            </w:r>
          </w:p>
        </w:tc>
        <w:tc>
          <w:tcPr>
            <w:tcW w:w="5812" w:type="dxa"/>
          </w:tcPr>
          <w:p w14:paraId="7037C808" w14:textId="77777777" w:rsidR="00217ECC" w:rsidRPr="008652DB" w:rsidRDefault="00217ECC" w:rsidP="00CC00E6">
            <w:pPr>
              <w:widowControl w:val="0"/>
              <w:tabs>
                <w:tab w:val="left" w:pos="7655"/>
              </w:tabs>
              <w:spacing w:line="276" w:lineRule="auto"/>
              <w:ind w:right="-659"/>
              <w:jc w:val="both"/>
              <w:rPr>
                <w:rFonts w:ascii="Arial" w:hAnsi="Arial" w:cs="Arial"/>
                <w:iCs/>
                <w:sz w:val="22"/>
                <w:szCs w:val="22"/>
                <w:lang w:val="es-CO"/>
              </w:rPr>
            </w:pPr>
            <w:r w:rsidRPr="008652DB">
              <w:rPr>
                <w:rFonts w:ascii="Arial" w:hAnsi="Arial" w:cs="Arial"/>
                <w:iCs/>
                <w:sz w:val="22"/>
                <w:szCs w:val="22"/>
                <w:lang w:val="es-CO"/>
              </w:rPr>
              <w:t>Controversias contractuales</w:t>
            </w:r>
          </w:p>
        </w:tc>
      </w:tr>
      <w:tr w:rsidR="00217ECC" w:rsidRPr="004626A3" w14:paraId="25F92C87" w14:textId="77777777" w:rsidTr="008652DB">
        <w:tc>
          <w:tcPr>
            <w:tcW w:w="2552" w:type="dxa"/>
          </w:tcPr>
          <w:p w14:paraId="1696D2F1" w14:textId="77777777" w:rsidR="00217ECC" w:rsidRPr="008652DB" w:rsidRDefault="00217ECC" w:rsidP="00CC00E6">
            <w:pPr>
              <w:widowControl w:val="0"/>
              <w:tabs>
                <w:tab w:val="left" w:pos="7655"/>
              </w:tabs>
              <w:spacing w:line="276" w:lineRule="auto"/>
              <w:ind w:right="-659"/>
              <w:jc w:val="both"/>
              <w:rPr>
                <w:rFonts w:ascii="Arial" w:hAnsi="Arial" w:cs="Arial"/>
                <w:b/>
                <w:iCs/>
                <w:sz w:val="22"/>
                <w:szCs w:val="22"/>
                <w:lang w:val="es-CO"/>
              </w:rPr>
            </w:pPr>
            <w:r w:rsidRPr="008652DB">
              <w:rPr>
                <w:rFonts w:ascii="Arial" w:hAnsi="Arial" w:cs="Arial"/>
                <w:b/>
                <w:iCs/>
                <w:sz w:val="22"/>
                <w:szCs w:val="22"/>
                <w:lang w:val="es-CO"/>
              </w:rPr>
              <w:t xml:space="preserve">Asunto: </w:t>
            </w:r>
          </w:p>
        </w:tc>
        <w:tc>
          <w:tcPr>
            <w:tcW w:w="5812" w:type="dxa"/>
          </w:tcPr>
          <w:p w14:paraId="750FB1AB" w14:textId="77777777" w:rsidR="00217ECC" w:rsidRPr="008652DB" w:rsidRDefault="00217ECC" w:rsidP="00CC00E6">
            <w:pPr>
              <w:widowControl w:val="0"/>
              <w:tabs>
                <w:tab w:val="left" w:pos="7655"/>
              </w:tabs>
              <w:spacing w:line="276" w:lineRule="auto"/>
              <w:ind w:right="-659"/>
              <w:jc w:val="both"/>
              <w:rPr>
                <w:rFonts w:ascii="Arial" w:hAnsi="Arial" w:cs="Arial"/>
                <w:iCs/>
                <w:sz w:val="22"/>
                <w:szCs w:val="22"/>
                <w:lang w:val="es-CO"/>
              </w:rPr>
            </w:pPr>
            <w:r w:rsidRPr="008652DB">
              <w:rPr>
                <w:rFonts w:ascii="Arial" w:hAnsi="Arial" w:cs="Arial"/>
                <w:iCs/>
                <w:sz w:val="22"/>
                <w:szCs w:val="22"/>
                <w:lang w:val="es-CO"/>
              </w:rPr>
              <w:t xml:space="preserve">Declara nulidad procesal  </w:t>
            </w:r>
          </w:p>
        </w:tc>
      </w:tr>
    </w:tbl>
    <w:p w14:paraId="0A37501D" w14:textId="77777777" w:rsidR="00217ECC" w:rsidRDefault="00217ECC" w:rsidP="00CC00E6">
      <w:pPr>
        <w:widowControl w:val="0"/>
        <w:tabs>
          <w:tab w:val="left" w:pos="7655"/>
        </w:tabs>
        <w:spacing w:line="276" w:lineRule="auto"/>
        <w:ind w:right="-659"/>
        <w:jc w:val="both"/>
        <w:rPr>
          <w:rFonts w:ascii="Arial" w:hAnsi="Arial" w:cs="Arial"/>
          <w:iCs/>
          <w:sz w:val="24"/>
          <w:szCs w:val="24"/>
        </w:rPr>
      </w:pPr>
    </w:p>
    <w:p w14:paraId="601DC0CE" w14:textId="77777777" w:rsidR="00217ECC" w:rsidRPr="00217ECC" w:rsidRDefault="00217ECC" w:rsidP="002E0B70">
      <w:pPr>
        <w:spacing w:line="276" w:lineRule="auto"/>
        <w:ind w:right="48"/>
        <w:contextualSpacing/>
        <w:jc w:val="both"/>
        <w:rPr>
          <w:rFonts w:ascii="Arial" w:hAnsi="Arial" w:cs="Arial"/>
          <w:sz w:val="24"/>
          <w:szCs w:val="24"/>
        </w:rPr>
      </w:pPr>
      <w:r w:rsidRPr="00217ECC">
        <w:rPr>
          <w:rFonts w:ascii="Arial" w:hAnsi="Arial" w:cs="Arial"/>
          <w:iCs/>
          <w:sz w:val="24"/>
          <w:szCs w:val="24"/>
        </w:rPr>
        <w:t xml:space="preserve">El presente proceso se encuentra para resolver el recurso de apelación </w:t>
      </w:r>
      <w:r w:rsidRPr="00217ECC">
        <w:rPr>
          <w:rFonts w:ascii="Arial" w:hAnsi="Arial" w:cs="Arial"/>
          <w:sz w:val="24"/>
          <w:szCs w:val="24"/>
        </w:rPr>
        <w:t>formulado por la parte demandante</w:t>
      </w:r>
      <w:r w:rsidRPr="00217ECC">
        <w:rPr>
          <w:rStyle w:val="Refdenotaalpie"/>
          <w:rFonts w:ascii="Arial" w:hAnsi="Arial" w:cs="Arial"/>
          <w:sz w:val="24"/>
          <w:szCs w:val="24"/>
        </w:rPr>
        <w:footnoteReference w:id="1"/>
      </w:r>
      <w:r>
        <w:rPr>
          <w:rFonts w:ascii="Arial" w:hAnsi="Arial" w:cs="Arial"/>
          <w:sz w:val="24"/>
          <w:szCs w:val="24"/>
        </w:rPr>
        <w:t xml:space="preserve"> </w:t>
      </w:r>
      <w:r w:rsidRPr="00217ECC">
        <w:rPr>
          <w:rFonts w:ascii="Arial" w:hAnsi="Arial" w:cs="Arial"/>
          <w:sz w:val="24"/>
          <w:szCs w:val="24"/>
        </w:rPr>
        <w:t>contra la sentencia proferida el 18 de diciembre de 2019 por el Juzgado Doce Administrativo del Circuito de Tunja, mediante la cual, se negaron las pretensiones de la demanda</w:t>
      </w:r>
      <w:r w:rsidRPr="00217ECC">
        <w:rPr>
          <w:rStyle w:val="Refdenotaalpie"/>
          <w:rFonts w:ascii="Arial" w:hAnsi="Arial" w:cs="Arial"/>
          <w:sz w:val="24"/>
          <w:szCs w:val="24"/>
        </w:rPr>
        <w:footnoteReference w:id="2"/>
      </w:r>
      <w:r w:rsidRPr="00217ECC">
        <w:rPr>
          <w:rFonts w:ascii="Arial" w:hAnsi="Arial" w:cs="Arial"/>
          <w:sz w:val="24"/>
          <w:szCs w:val="24"/>
        </w:rPr>
        <w:t xml:space="preserve">. </w:t>
      </w:r>
    </w:p>
    <w:p w14:paraId="5DAB6C7B" w14:textId="77777777" w:rsidR="00217ECC" w:rsidRPr="00217ECC" w:rsidRDefault="00217ECC" w:rsidP="002E0B70">
      <w:pPr>
        <w:spacing w:line="276" w:lineRule="auto"/>
        <w:ind w:right="48"/>
        <w:contextualSpacing/>
        <w:jc w:val="both"/>
        <w:rPr>
          <w:rFonts w:ascii="Arial" w:hAnsi="Arial" w:cs="Arial"/>
          <w:i/>
          <w:iCs/>
          <w:sz w:val="24"/>
          <w:szCs w:val="24"/>
        </w:rPr>
      </w:pPr>
    </w:p>
    <w:p w14:paraId="13ACB255" w14:textId="77777777" w:rsidR="00217ECC" w:rsidRPr="00217ECC" w:rsidRDefault="00217ECC" w:rsidP="002E0B70">
      <w:pPr>
        <w:spacing w:line="276" w:lineRule="auto"/>
        <w:ind w:right="48"/>
        <w:contextualSpacing/>
        <w:jc w:val="both"/>
        <w:rPr>
          <w:rFonts w:ascii="Arial" w:hAnsi="Arial" w:cs="Arial"/>
          <w:iCs/>
          <w:sz w:val="24"/>
          <w:szCs w:val="24"/>
        </w:rPr>
      </w:pPr>
      <w:r w:rsidRPr="00217ECC">
        <w:rPr>
          <w:rFonts w:ascii="Arial" w:hAnsi="Arial" w:cs="Arial"/>
          <w:iCs/>
          <w:sz w:val="24"/>
          <w:szCs w:val="24"/>
        </w:rPr>
        <w:t>Sin embar</w:t>
      </w:r>
      <w:r>
        <w:rPr>
          <w:rFonts w:ascii="Arial" w:hAnsi="Arial" w:cs="Arial"/>
          <w:iCs/>
          <w:sz w:val="24"/>
          <w:szCs w:val="24"/>
        </w:rPr>
        <w:t>go</w:t>
      </w:r>
      <w:r w:rsidRPr="00217ECC">
        <w:rPr>
          <w:rFonts w:ascii="Arial" w:hAnsi="Arial" w:cs="Arial"/>
          <w:iCs/>
          <w:sz w:val="24"/>
          <w:szCs w:val="24"/>
        </w:rPr>
        <w:t xml:space="preserve">, </w:t>
      </w:r>
      <w:r>
        <w:rPr>
          <w:rFonts w:ascii="Arial" w:hAnsi="Arial" w:cs="Arial"/>
          <w:iCs/>
          <w:sz w:val="24"/>
          <w:szCs w:val="24"/>
        </w:rPr>
        <w:t>el Despacho encuentra que es necesario resolver</w:t>
      </w:r>
      <w:r w:rsidR="00837019">
        <w:rPr>
          <w:rFonts w:ascii="Arial" w:hAnsi="Arial" w:cs="Arial"/>
          <w:iCs/>
          <w:sz w:val="24"/>
          <w:szCs w:val="24"/>
        </w:rPr>
        <w:t xml:space="preserve"> de oficio</w:t>
      </w:r>
      <w:r>
        <w:rPr>
          <w:rFonts w:ascii="Arial" w:hAnsi="Arial" w:cs="Arial"/>
          <w:iCs/>
          <w:sz w:val="24"/>
          <w:szCs w:val="24"/>
        </w:rPr>
        <w:t xml:space="preserve"> sobre la configuración de una causal de nulidad procesal insanable. </w:t>
      </w:r>
    </w:p>
    <w:p w14:paraId="02EB378F" w14:textId="77777777" w:rsidR="00217ECC" w:rsidRDefault="00217ECC" w:rsidP="002E0B70">
      <w:pPr>
        <w:widowControl w:val="0"/>
        <w:tabs>
          <w:tab w:val="left" w:pos="7655"/>
        </w:tabs>
        <w:spacing w:line="276" w:lineRule="auto"/>
        <w:ind w:right="48"/>
        <w:jc w:val="both"/>
        <w:rPr>
          <w:rFonts w:ascii="Arial" w:hAnsi="Arial" w:cs="Arial"/>
          <w:iCs/>
          <w:sz w:val="24"/>
          <w:szCs w:val="24"/>
        </w:rPr>
      </w:pPr>
    </w:p>
    <w:p w14:paraId="6A05A809" w14:textId="1A307528" w:rsidR="00217ECC" w:rsidRPr="00C24293" w:rsidRDefault="00217ECC" w:rsidP="14EAD17E">
      <w:pPr>
        <w:widowControl w:val="0"/>
        <w:tabs>
          <w:tab w:val="left" w:pos="7655"/>
        </w:tabs>
        <w:spacing w:line="276" w:lineRule="auto"/>
        <w:ind w:right="48"/>
        <w:jc w:val="center"/>
        <w:rPr>
          <w:rFonts w:ascii="Arial" w:hAnsi="Arial" w:cs="Arial"/>
          <w:b/>
          <w:bCs/>
          <w:sz w:val="24"/>
          <w:szCs w:val="24"/>
        </w:rPr>
      </w:pPr>
      <w:r w:rsidRPr="14EAD17E">
        <w:rPr>
          <w:rFonts w:ascii="Arial" w:hAnsi="Arial" w:cs="Arial"/>
          <w:b/>
          <w:bCs/>
          <w:sz w:val="24"/>
          <w:szCs w:val="24"/>
        </w:rPr>
        <w:t xml:space="preserve">I. </w:t>
      </w:r>
    </w:p>
    <w:p w14:paraId="3A400B81" w14:textId="3EA7B4AF" w:rsidR="14EAD17E" w:rsidRDefault="14EAD17E" w:rsidP="14EAD17E">
      <w:pPr>
        <w:widowControl w:val="0"/>
        <w:tabs>
          <w:tab w:val="left" w:pos="7655"/>
        </w:tabs>
        <w:spacing w:line="276" w:lineRule="auto"/>
        <w:ind w:right="48"/>
        <w:jc w:val="center"/>
        <w:rPr>
          <w:b/>
          <w:bCs/>
        </w:rPr>
      </w:pPr>
    </w:p>
    <w:p w14:paraId="76194111" w14:textId="77777777" w:rsidR="00217ECC" w:rsidRPr="00DB6641" w:rsidRDefault="00217ECC" w:rsidP="14EAD17E">
      <w:pPr>
        <w:widowControl w:val="0"/>
        <w:tabs>
          <w:tab w:val="left" w:pos="270"/>
        </w:tabs>
        <w:spacing w:line="276" w:lineRule="auto"/>
        <w:ind w:right="48"/>
        <w:jc w:val="both"/>
        <w:textAlignment w:val="auto"/>
        <w:rPr>
          <w:rFonts w:ascii="Arial" w:eastAsiaTheme="minorEastAsia" w:hAnsi="Arial" w:cs="Arial"/>
          <w:b/>
          <w:bCs/>
          <w:sz w:val="24"/>
          <w:szCs w:val="24"/>
        </w:rPr>
      </w:pPr>
      <w:r w:rsidRPr="00DB6641">
        <w:rPr>
          <w:rFonts w:ascii="Arial" w:hAnsi="Arial" w:cs="Arial"/>
          <w:sz w:val="24"/>
          <w:szCs w:val="24"/>
        </w:rPr>
        <w:t>En ejercicio del medio de control de controversias contractuales</w:t>
      </w:r>
      <w:r w:rsidR="00DB6641" w:rsidRPr="14EAD17E">
        <w:rPr>
          <w:rStyle w:val="Refdenotaalpie"/>
          <w:rFonts w:ascii="Arial" w:hAnsi="Arial" w:cs="Arial"/>
          <w:sz w:val="24"/>
          <w:szCs w:val="24"/>
        </w:rPr>
        <w:footnoteReference w:id="3"/>
      </w:r>
      <w:r w:rsidRPr="00837019">
        <w:rPr>
          <w:rFonts w:ascii="Arial" w:hAnsi="Arial" w:cs="Arial"/>
          <w:sz w:val="24"/>
          <w:szCs w:val="24"/>
        </w:rPr>
        <w:t>,</w:t>
      </w:r>
      <w:r w:rsidRPr="00A92537">
        <w:rPr>
          <w:rFonts w:ascii="Arial" w:hAnsi="Arial" w:cs="Arial"/>
          <w:sz w:val="24"/>
          <w:szCs w:val="24"/>
        </w:rPr>
        <w:t xml:space="preserve"> </w:t>
      </w:r>
      <w:r>
        <w:rPr>
          <w:rFonts w:ascii="Arial" w:hAnsi="Arial" w:cs="Arial"/>
          <w:sz w:val="24"/>
          <w:szCs w:val="24"/>
        </w:rPr>
        <w:t>Consultoría Técnica y Servicios de Ingeniería</w:t>
      </w:r>
      <w:r w:rsidR="00837019">
        <w:rPr>
          <w:rFonts w:ascii="Arial" w:hAnsi="Arial" w:cs="Arial"/>
          <w:sz w:val="24"/>
          <w:szCs w:val="24"/>
        </w:rPr>
        <w:t>,</w:t>
      </w:r>
      <w:r>
        <w:rPr>
          <w:rFonts w:ascii="Arial" w:hAnsi="Arial" w:cs="Arial"/>
          <w:sz w:val="24"/>
          <w:szCs w:val="24"/>
        </w:rPr>
        <w:t xml:space="preserve"> COTEC S.A.S.</w:t>
      </w:r>
      <w:r>
        <w:rPr>
          <w:rStyle w:val="Refdenotaalpie"/>
          <w:rFonts w:ascii="Arial" w:hAnsi="Arial" w:cs="Arial"/>
          <w:sz w:val="24"/>
          <w:szCs w:val="24"/>
        </w:rPr>
        <w:footnoteReference w:id="4"/>
      </w:r>
      <w:r w:rsidR="00837019">
        <w:rPr>
          <w:rFonts w:ascii="Arial" w:hAnsi="Arial" w:cs="Arial"/>
          <w:sz w:val="24"/>
          <w:szCs w:val="24"/>
        </w:rPr>
        <w:t>,</w:t>
      </w:r>
      <w:r>
        <w:rPr>
          <w:rFonts w:ascii="Arial" w:hAnsi="Arial" w:cs="Arial"/>
          <w:sz w:val="24"/>
          <w:szCs w:val="24"/>
        </w:rPr>
        <w:t xml:space="preserve"> </w:t>
      </w:r>
      <w:r w:rsidRPr="00A92537">
        <w:rPr>
          <w:rFonts w:ascii="Arial" w:hAnsi="Arial" w:cs="Arial"/>
          <w:sz w:val="24"/>
          <w:szCs w:val="24"/>
        </w:rPr>
        <w:t>present</w:t>
      </w:r>
      <w:r>
        <w:rPr>
          <w:rFonts w:ascii="Arial" w:hAnsi="Arial" w:cs="Arial"/>
          <w:sz w:val="24"/>
          <w:szCs w:val="24"/>
        </w:rPr>
        <w:t>ó</w:t>
      </w:r>
      <w:r w:rsidRPr="00A92537">
        <w:rPr>
          <w:rFonts w:ascii="Arial" w:hAnsi="Arial" w:cs="Arial"/>
          <w:sz w:val="24"/>
          <w:szCs w:val="24"/>
        </w:rPr>
        <w:t xml:space="preserve"> demanda en contra del m</w:t>
      </w:r>
      <w:r>
        <w:rPr>
          <w:rFonts w:ascii="Arial" w:hAnsi="Arial" w:cs="Arial"/>
          <w:sz w:val="24"/>
          <w:szCs w:val="24"/>
        </w:rPr>
        <w:t>unicipio de Tunja</w:t>
      </w:r>
      <w:r w:rsidRPr="00A92537">
        <w:rPr>
          <w:rFonts w:ascii="Arial" w:hAnsi="Arial" w:cs="Arial"/>
          <w:sz w:val="24"/>
          <w:szCs w:val="24"/>
        </w:rPr>
        <w:t>, con base en las siguientes pretensiones:</w:t>
      </w:r>
    </w:p>
    <w:p w14:paraId="5A39BBE3" w14:textId="77777777" w:rsidR="00217ECC" w:rsidRDefault="00217ECC" w:rsidP="002E0B70">
      <w:pPr>
        <w:pStyle w:val="Prrafodelista"/>
        <w:widowControl w:val="0"/>
        <w:spacing w:line="276" w:lineRule="auto"/>
        <w:ind w:left="0" w:right="48"/>
        <w:jc w:val="both"/>
        <w:rPr>
          <w:rFonts w:ascii="Arial" w:hAnsi="Arial" w:cs="Arial"/>
          <w:sz w:val="24"/>
          <w:szCs w:val="24"/>
        </w:rPr>
      </w:pPr>
    </w:p>
    <w:p w14:paraId="2C867561" w14:textId="77777777" w:rsidR="00217ECC" w:rsidRPr="00217ECC" w:rsidRDefault="00217ECC" w:rsidP="002E0B70">
      <w:pPr>
        <w:pStyle w:val="Prrafodelista"/>
        <w:widowControl w:val="0"/>
        <w:numPr>
          <w:ilvl w:val="0"/>
          <w:numId w:val="10"/>
        </w:numPr>
        <w:spacing w:line="276" w:lineRule="auto"/>
        <w:ind w:left="0" w:right="48" w:firstLine="0"/>
        <w:jc w:val="both"/>
        <w:rPr>
          <w:rFonts w:ascii="Arial" w:hAnsi="Arial" w:cs="Arial"/>
          <w:b/>
          <w:bCs/>
          <w:sz w:val="24"/>
          <w:szCs w:val="24"/>
        </w:rPr>
      </w:pPr>
      <w:r>
        <w:rPr>
          <w:rFonts w:ascii="Arial" w:hAnsi="Arial" w:cs="Arial"/>
          <w:sz w:val="24"/>
          <w:szCs w:val="24"/>
        </w:rPr>
        <w:t xml:space="preserve">Que se declarara la </w:t>
      </w:r>
      <w:r w:rsidRPr="00217ECC">
        <w:rPr>
          <w:rFonts w:ascii="Arial" w:hAnsi="Arial" w:cs="Arial"/>
          <w:b/>
          <w:sz w:val="24"/>
          <w:szCs w:val="24"/>
        </w:rPr>
        <w:t xml:space="preserve">nulidad </w:t>
      </w:r>
      <w:r w:rsidR="001277D7">
        <w:rPr>
          <w:rFonts w:ascii="Arial" w:hAnsi="Arial" w:cs="Arial"/>
          <w:b/>
          <w:sz w:val="24"/>
          <w:szCs w:val="24"/>
        </w:rPr>
        <w:t xml:space="preserve">de la evaluación </w:t>
      </w:r>
      <w:r w:rsidRPr="00217ECC">
        <w:rPr>
          <w:rFonts w:ascii="Arial" w:hAnsi="Arial" w:cs="Arial"/>
          <w:b/>
          <w:sz w:val="24"/>
          <w:szCs w:val="24"/>
        </w:rPr>
        <w:t>definitiva del proceso de selección abreviada de Subasta Inversa S.A.-SI-</w:t>
      </w:r>
      <w:r w:rsidR="00837019">
        <w:rPr>
          <w:rFonts w:ascii="Arial" w:hAnsi="Arial" w:cs="Arial"/>
          <w:b/>
          <w:sz w:val="24"/>
          <w:szCs w:val="24"/>
        </w:rPr>
        <w:t>0</w:t>
      </w:r>
      <w:r w:rsidRPr="00217ECC">
        <w:rPr>
          <w:rFonts w:ascii="Arial" w:hAnsi="Arial" w:cs="Arial"/>
          <w:b/>
          <w:sz w:val="24"/>
          <w:szCs w:val="24"/>
        </w:rPr>
        <w:t xml:space="preserve">14 </w:t>
      </w:r>
      <w:r w:rsidR="00837019">
        <w:rPr>
          <w:rFonts w:ascii="Arial" w:hAnsi="Arial" w:cs="Arial"/>
          <w:b/>
          <w:sz w:val="24"/>
          <w:szCs w:val="24"/>
        </w:rPr>
        <w:t>de 22 de febrero</w:t>
      </w:r>
      <w:r w:rsidRPr="00217ECC">
        <w:rPr>
          <w:rFonts w:ascii="Arial" w:hAnsi="Arial" w:cs="Arial"/>
          <w:b/>
          <w:sz w:val="24"/>
          <w:szCs w:val="24"/>
        </w:rPr>
        <w:t xml:space="preserve"> 2016</w:t>
      </w:r>
      <w:r>
        <w:rPr>
          <w:rFonts w:ascii="Arial" w:hAnsi="Arial" w:cs="Arial"/>
          <w:sz w:val="24"/>
          <w:szCs w:val="24"/>
        </w:rPr>
        <w:t xml:space="preserve">, que llevó a cabo el Comité de Evaluación del Municipio de Tunja. </w:t>
      </w:r>
    </w:p>
    <w:p w14:paraId="41C8F396" w14:textId="77777777" w:rsidR="00217ECC" w:rsidRPr="00217ECC" w:rsidRDefault="00217ECC" w:rsidP="002E0B70">
      <w:pPr>
        <w:pStyle w:val="Prrafodelista"/>
        <w:widowControl w:val="0"/>
        <w:spacing w:line="276" w:lineRule="auto"/>
        <w:ind w:left="0" w:right="48"/>
        <w:jc w:val="both"/>
        <w:rPr>
          <w:rFonts w:ascii="Arial" w:hAnsi="Arial" w:cs="Arial"/>
          <w:b/>
          <w:bCs/>
          <w:sz w:val="24"/>
          <w:szCs w:val="24"/>
        </w:rPr>
      </w:pPr>
    </w:p>
    <w:p w14:paraId="1E76F0F3" w14:textId="77777777" w:rsidR="00217ECC" w:rsidRPr="00217ECC" w:rsidRDefault="00217ECC" w:rsidP="002E0B70">
      <w:pPr>
        <w:pStyle w:val="Prrafodelista"/>
        <w:widowControl w:val="0"/>
        <w:numPr>
          <w:ilvl w:val="0"/>
          <w:numId w:val="10"/>
        </w:numPr>
        <w:spacing w:line="276" w:lineRule="auto"/>
        <w:ind w:left="0" w:right="48" w:firstLine="0"/>
        <w:jc w:val="both"/>
        <w:rPr>
          <w:rFonts w:ascii="Arial" w:hAnsi="Arial" w:cs="Arial"/>
          <w:b/>
          <w:bCs/>
          <w:sz w:val="24"/>
          <w:szCs w:val="24"/>
        </w:rPr>
      </w:pPr>
      <w:r w:rsidRPr="00217ECC">
        <w:rPr>
          <w:rFonts w:ascii="Arial" w:hAnsi="Arial" w:cs="Arial"/>
          <w:bCs/>
          <w:sz w:val="24"/>
          <w:szCs w:val="24"/>
        </w:rPr>
        <w:t xml:space="preserve">Que se declarara </w:t>
      </w:r>
      <w:r w:rsidRPr="00217ECC">
        <w:rPr>
          <w:rFonts w:ascii="Arial" w:hAnsi="Arial" w:cs="Arial"/>
          <w:b/>
          <w:bCs/>
          <w:sz w:val="24"/>
          <w:szCs w:val="24"/>
        </w:rPr>
        <w:t xml:space="preserve">la nulidad de la subasta en el proceso de selección </w:t>
      </w:r>
      <w:r w:rsidRPr="00217ECC">
        <w:rPr>
          <w:rFonts w:ascii="Arial" w:hAnsi="Arial" w:cs="Arial"/>
          <w:b/>
          <w:sz w:val="24"/>
          <w:szCs w:val="24"/>
        </w:rPr>
        <w:t>abreviada – Subasta Inversa S.A.-SI-</w:t>
      </w:r>
      <w:r w:rsidR="00837019">
        <w:rPr>
          <w:rFonts w:ascii="Arial" w:hAnsi="Arial" w:cs="Arial"/>
          <w:b/>
          <w:sz w:val="24"/>
          <w:szCs w:val="24"/>
        </w:rPr>
        <w:t>0</w:t>
      </w:r>
      <w:r w:rsidRPr="00217ECC">
        <w:rPr>
          <w:rFonts w:ascii="Arial" w:hAnsi="Arial" w:cs="Arial"/>
          <w:b/>
          <w:sz w:val="24"/>
          <w:szCs w:val="24"/>
        </w:rPr>
        <w:t xml:space="preserve">14 </w:t>
      </w:r>
      <w:r w:rsidR="00837019">
        <w:rPr>
          <w:rFonts w:ascii="Arial" w:hAnsi="Arial" w:cs="Arial"/>
          <w:b/>
          <w:sz w:val="24"/>
          <w:szCs w:val="24"/>
        </w:rPr>
        <w:t>de</w:t>
      </w:r>
      <w:r w:rsidRPr="00217ECC">
        <w:rPr>
          <w:rFonts w:ascii="Arial" w:hAnsi="Arial" w:cs="Arial"/>
          <w:b/>
          <w:sz w:val="24"/>
          <w:szCs w:val="24"/>
        </w:rPr>
        <w:t xml:space="preserve"> 2016</w:t>
      </w:r>
      <w:r w:rsidRPr="00217ECC">
        <w:rPr>
          <w:rFonts w:ascii="Arial" w:hAnsi="Arial" w:cs="Arial"/>
          <w:sz w:val="24"/>
          <w:szCs w:val="24"/>
        </w:rPr>
        <w:t>.</w:t>
      </w:r>
    </w:p>
    <w:p w14:paraId="72A3D3EC" w14:textId="77777777" w:rsidR="00217ECC" w:rsidRPr="00217ECC" w:rsidRDefault="00217ECC" w:rsidP="002E0B70">
      <w:pPr>
        <w:pStyle w:val="Prrafodelista"/>
        <w:spacing w:line="276" w:lineRule="auto"/>
        <w:ind w:right="48"/>
        <w:rPr>
          <w:rFonts w:ascii="Arial" w:hAnsi="Arial" w:cs="Arial"/>
          <w:b/>
          <w:bCs/>
          <w:sz w:val="24"/>
          <w:szCs w:val="24"/>
        </w:rPr>
      </w:pPr>
    </w:p>
    <w:p w14:paraId="3E7BC299" w14:textId="77777777" w:rsidR="00217ECC" w:rsidRPr="00217ECC" w:rsidRDefault="00217ECC" w:rsidP="002E0B70">
      <w:pPr>
        <w:pStyle w:val="Prrafodelista"/>
        <w:widowControl w:val="0"/>
        <w:numPr>
          <w:ilvl w:val="0"/>
          <w:numId w:val="10"/>
        </w:numPr>
        <w:spacing w:line="276" w:lineRule="auto"/>
        <w:ind w:left="0" w:right="48" w:firstLine="0"/>
        <w:jc w:val="both"/>
        <w:rPr>
          <w:rFonts w:ascii="Arial" w:hAnsi="Arial" w:cs="Arial"/>
          <w:b/>
          <w:bCs/>
          <w:sz w:val="24"/>
          <w:szCs w:val="24"/>
        </w:rPr>
      </w:pPr>
      <w:r w:rsidRPr="00217ECC">
        <w:rPr>
          <w:rFonts w:ascii="Arial" w:hAnsi="Arial" w:cs="Arial"/>
          <w:bCs/>
          <w:sz w:val="24"/>
          <w:szCs w:val="24"/>
        </w:rPr>
        <w:t xml:space="preserve">Que se declarara la nulidad de la </w:t>
      </w:r>
      <w:r w:rsidRPr="00217ECC">
        <w:rPr>
          <w:rFonts w:ascii="Arial" w:hAnsi="Arial" w:cs="Arial"/>
          <w:b/>
          <w:bCs/>
          <w:sz w:val="24"/>
          <w:szCs w:val="24"/>
        </w:rPr>
        <w:t xml:space="preserve">Resolución núm. 033 de 17 de marzo de 2017, </w:t>
      </w:r>
      <w:r w:rsidRPr="00217ECC">
        <w:rPr>
          <w:rFonts w:ascii="Arial" w:hAnsi="Arial" w:cs="Arial"/>
          <w:b/>
          <w:bCs/>
          <w:i/>
          <w:sz w:val="24"/>
          <w:szCs w:val="24"/>
        </w:rPr>
        <w:t>“Por medio de la cual se adjudica la SUBASTA INVERSA SA-SI-014/2016</w:t>
      </w:r>
      <w:r w:rsidRPr="00217ECC">
        <w:rPr>
          <w:rFonts w:ascii="Arial" w:hAnsi="Arial" w:cs="Arial"/>
          <w:bCs/>
          <w:i/>
          <w:sz w:val="24"/>
          <w:szCs w:val="24"/>
        </w:rPr>
        <w:t>”.</w:t>
      </w:r>
    </w:p>
    <w:p w14:paraId="0D0B940D" w14:textId="77777777" w:rsidR="00217ECC" w:rsidRPr="00217ECC" w:rsidRDefault="00217ECC" w:rsidP="002E0B70">
      <w:pPr>
        <w:pStyle w:val="Prrafodelista"/>
        <w:spacing w:line="276" w:lineRule="auto"/>
        <w:ind w:right="48"/>
        <w:rPr>
          <w:rFonts w:ascii="Arial" w:hAnsi="Arial" w:cs="Arial"/>
          <w:b/>
          <w:bCs/>
          <w:sz w:val="24"/>
          <w:szCs w:val="24"/>
        </w:rPr>
      </w:pPr>
    </w:p>
    <w:p w14:paraId="334339FD" w14:textId="77777777" w:rsidR="00217ECC" w:rsidRPr="00217ECC" w:rsidRDefault="00217ECC" w:rsidP="002E0B70">
      <w:pPr>
        <w:pStyle w:val="Prrafodelista"/>
        <w:widowControl w:val="0"/>
        <w:numPr>
          <w:ilvl w:val="0"/>
          <w:numId w:val="10"/>
        </w:numPr>
        <w:spacing w:line="276" w:lineRule="auto"/>
        <w:ind w:left="0" w:right="48" w:firstLine="0"/>
        <w:jc w:val="both"/>
        <w:rPr>
          <w:rFonts w:ascii="Arial" w:hAnsi="Arial" w:cs="Arial"/>
          <w:b/>
          <w:bCs/>
          <w:sz w:val="24"/>
          <w:szCs w:val="24"/>
        </w:rPr>
      </w:pPr>
      <w:r w:rsidRPr="00217ECC">
        <w:rPr>
          <w:rFonts w:ascii="Arial" w:hAnsi="Arial" w:cs="Arial"/>
          <w:bCs/>
          <w:sz w:val="24"/>
          <w:szCs w:val="24"/>
        </w:rPr>
        <w:t xml:space="preserve">Que se declarara la </w:t>
      </w:r>
      <w:r w:rsidRPr="00217ECC">
        <w:rPr>
          <w:rFonts w:ascii="Arial" w:hAnsi="Arial" w:cs="Arial"/>
          <w:b/>
          <w:bCs/>
          <w:sz w:val="24"/>
          <w:szCs w:val="24"/>
        </w:rPr>
        <w:t xml:space="preserve">nulidad absoluta del contrato núm. 520 de 27 de </w:t>
      </w:r>
      <w:r w:rsidRPr="00217ECC">
        <w:rPr>
          <w:rFonts w:ascii="Arial" w:hAnsi="Arial" w:cs="Arial"/>
          <w:b/>
          <w:bCs/>
          <w:sz w:val="24"/>
          <w:szCs w:val="24"/>
        </w:rPr>
        <w:lastRenderedPageBreak/>
        <w:t>marzo de 2017</w:t>
      </w:r>
      <w:r w:rsidRPr="00217ECC">
        <w:rPr>
          <w:rFonts w:ascii="Arial" w:hAnsi="Arial" w:cs="Arial"/>
          <w:bCs/>
          <w:sz w:val="24"/>
          <w:szCs w:val="24"/>
        </w:rPr>
        <w:t>.</w:t>
      </w:r>
    </w:p>
    <w:p w14:paraId="0E27B00A" w14:textId="77777777" w:rsidR="00217ECC" w:rsidRPr="001D4248" w:rsidRDefault="00217ECC" w:rsidP="002E0B70">
      <w:pPr>
        <w:pStyle w:val="Prrafodelista"/>
        <w:widowControl w:val="0"/>
        <w:spacing w:line="276" w:lineRule="auto"/>
        <w:ind w:left="0" w:right="48"/>
        <w:jc w:val="both"/>
        <w:rPr>
          <w:rFonts w:ascii="Arial" w:hAnsi="Arial" w:cs="Arial"/>
          <w:b/>
          <w:bCs/>
          <w:sz w:val="24"/>
          <w:szCs w:val="24"/>
        </w:rPr>
      </w:pPr>
    </w:p>
    <w:p w14:paraId="353A427C" w14:textId="77777777" w:rsidR="00217ECC" w:rsidRDefault="00217ECC" w:rsidP="002E0B70">
      <w:pPr>
        <w:pStyle w:val="Prrafodelista"/>
        <w:widowControl w:val="0"/>
        <w:spacing w:line="276" w:lineRule="auto"/>
        <w:ind w:left="0" w:right="48"/>
        <w:jc w:val="both"/>
        <w:rPr>
          <w:rFonts w:ascii="Arial" w:hAnsi="Arial" w:cs="Arial"/>
          <w:b/>
          <w:bCs/>
          <w:sz w:val="24"/>
          <w:szCs w:val="24"/>
        </w:rPr>
      </w:pPr>
      <w:r>
        <w:rPr>
          <w:rFonts w:ascii="Arial" w:hAnsi="Arial" w:cs="Arial"/>
          <w:bCs/>
          <w:sz w:val="24"/>
          <w:szCs w:val="24"/>
        </w:rPr>
        <w:t>Asimismo, solicitó que</w:t>
      </w:r>
      <w:r w:rsidR="00837019">
        <w:rPr>
          <w:rFonts w:ascii="Arial" w:hAnsi="Arial" w:cs="Arial"/>
          <w:bCs/>
          <w:sz w:val="24"/>
          <w:szCs w:val="24"/>
        </w:rPr>
        <w:t>,</w:t>
      </w:r>
      <w:r>
        <w:rPr>
          <w:rFonts w:ascii="Arial" w:hAnsi="Arial" w:cs="Arial"/>
          <w:bCs/>
          <w:sz w:val="24"/>
          <w:szCs w:val="24"/>
        </w:rPr>
        <w:t xml:space="preserve"> como como consecuencia de lo anterior, se indemnizara a la parte demandante con el pago de los perjuicios </w:t>
      </w:r>
      <w:r w:rsidR="00CC00E6">
        <w:rPr>
          <w:rFonts w:ascii="Arial" w:hAnsi="Arial" w:cs="Arial"/>
          <w:bCs/>
          <w:sz w:val="24"/>
          <w:szCs w:val="24"/>
        </w:rPr>
        <w:t xml:space="preserve">por concepto de daño emergente y lucro cesante. </w:t>
      </w:r>
    </w:p>
    <w:p w14:paraId="60061E4C" w14:textId="77777777" w:rsidR="00217ECC" w:rsidRDefault="00217ECC" w:rsidP="002E0B70">
      <w:pPr>
        <w:pStyle w:val="Prrafodelista"/>
        <w:widowControl w:val="0"/>
        <w:spacing w:line="276" w:lineRule="auto"/>
        <w:ind w:left="0" w:right="48"/>
        <w:jc w:val="both"/>
        <w:rPr>
          <w:rFonts w:ascii="Arial" w:hAnsi="Arial" w:cs="Arial"/>
          <w:b/>
          <w:bCs/>
          <w:sz w:val="24"/>
          <w:szCs w:val="24"/>
        </w:rPr>
      </w:pPr>
    </w:p>
    <w:p w14:paraId="027E53F7" w14:textId="77777777" w:rsidR="00217ECC" w:rsidRPr="007F30AC" w:rsidRDefault="00CC00E6" w:rsidP="002E0B70">
      <w:pPr>
        <w:pStyle w:val="Prrafodelista"/>
        <w:widowControl w:val="0"/>
        <w:spacing w:line="276" w:lineRule="auto"/>
        <w:ind w:left="0" w:right="48"/>
        <w:jc w:val="both"/>
        <w:rPr>
          <w:rStyle w:val="normaltextrun"/>
          <w:rFonts w:ascii="Arial" w:hAnsi="Arial" w:cs="Arial"/>
          <w:b/>
          <w:bCs/>
          <w:sz w:val="24"/>
          <w:szCs w:val="24"/>
        </w:rPr>
      </w:pPr>
      <w:bookmarkStart w:id="4" w:name="_Hlk81324480"/>
      <w:r>
        <w:rPr>
          <w:rStyle w:val="normaltextrun"/>
          <w:rFonts w:ascii="Arial" w:hAnsi="Arial" w:cs="Arial"/>
          <w:color w:val="000000"/>
          <w:sz w:val="24"/>
          <w:szCs w:val="24"/>
          <w:shd w:val="clear" w:color="auto" w:fill="FFFFFF"/>
        </w:rPr>
        <w:t xml:space="preserve">Los </w:t>
      </w:r>
      <w:r w:rsidR="00217ECC" w:rsidRPr="005F4830">
        <w:rPr>
          <w:rStyle w:val="normaltextrun"/>
          <w:rFonts w:ascii="Arial" w:hAnsi="Arial" w:cs="Arial"/>
          <w:color w:val="000000"/>
          <w:sz w:val="24"/>
          <w:szCs w:val="24"/>
          <w:shd w:val="clear" w:color="auto" w:fill="FFFFFF"/>
        </w:rPr>
        <w:t>hechos de la demanda se edificaron, en síntesis, en las siguientes afirmaciones:</w:t>
      </w:r>
    </w:p>
    <w:p w14:paraId="44EAFD9C" w14:textId="77777777" w:rsidR="00217ECC" w:rsidRDefault="00217ECC" w:rsidP="002E0B70">
      <w:pPr>
        <w:pStyle w:val="Prrafodelista"/>
        <w:widowControl w:val="0"/>
        <w:spacing w:line="276" w:lineRule="auto"/>
        <w:ind w:left="0" w:right="48"/>
        <w:jc w:val="both"/>
        <w:rPr>
          <w:rFonts w:ascii="Arial" w:hAnsi="Arial" w:cs="Arial"/>
          <w:b/>
          <w:bCs/>
          <w:sz w:val="24"/>
          <w:szCs w:val="24"/>
        </w:rPr>
      </w:pPr>
    </w:p>
    <w:p w14:paraId="6F00D71E" w14:textId="1ADB3D6E" w:rsidR="00217ECC" w:rsidRPr="00CC00E6" w:rsidRDefault="00217ECC" w:rsidP="002E0B70">
      <w:pPr>
        <w:pStyle w:val="Prrafodelista"/>
        <w:widowControl w:val="0"/>
        <w:numPr>
          <w:ilvl w:val="0"/>
          <w:numId w:val="13"/>
        </w:numPr>
        <w:spacing w:line="276" w:lineRule="auto"/>
        <w:ind w:left="0" w:right="48" w:firstLine="0"/>
        <w:jc w:val="both"/>
        <w:rPr>
          <w:rFonts w:ascii="Arial" w:hAnsi="Arial" w:cs="Arial"/>
          <w:b/>
          <w:bCs/>
          <w:sz w:val="24"/>
          <w:szCs w:val="24"/>
        </w:rPr>
      </w:pPr>
      <w:r w:rsidRPr="14EAD17E">
        <w:rPr>
          <w:rFonts w:ascii="Arial" w:hAnsi="Arial" w:cs="Arial"/>
          <w:sz w:val="24"/>
          <w:szCs w:val="24"/>
        </w:rPr>
        <w:t>Indicó que el municipio de Tunja abrió el proceso de selección abreviada bajo la modalidad de subasta inversa S</w:t>
      </w:r>
      <w:r w:rsidR="00837019" w:rsidRPr="14EAD17E">
        <w:rPr>
          <w:rFonts w:ascii="Arial" w:hAnsi="Arial" w:cs="Arial"/>
          <w:sz w:val="24"/>
          <w:szCs w:val="24"/>
        </w:rPr>
        <w:t>.</w:t>
      </w:r>
      <w:r w:rsidRPr="14EAD17E">
        <w:rPr>
          <w:rFonts w:ascii="Arial" w:hAnsi="Arial" w:cs="Arial"/>
          <w:sz w:val="24"/>
          <w:szCs w:val="24"/>
        </w:rPr>
        <w:t>A</w:t>
      </w:r>
      <w:r w:rsidR="00837019" w:rsidRPr="14EAD17E">
        <w:rPr>
          <w:rFonts w:ascii="Arial" w:hAnsi="Arial" w:cs="Arial"/>
          <w:sz w:val="24"/>
          <w:szCs w:val="24"/>
        </w:rPr>
        <w:t>.</w:t>
      </w:r>
      <w:r w:rsidRPr="14EAD17E">
        <w:rPr>
          <w:rFonts w:ascii="Arial" w:hAnsi="Arial" w:cs="Arial"/>
          <w:sz w:val="24"/>
          <w:szCs w:val="24"/>
        </w:rPr>
        <w:t>-SI-AMT-14/16</w:t>
      </w:r>
      <w:r w:rsidR="00775E28" w:rsidRPr="14EAD17E">
        <w:rPr>
          <w:rFonts w:ascii="Arial" w:hAnsi="Arial" w:cs="Arial"/>
          <w:sz w:val="24"/>
          <w:szCs w:val="24"/>
        </w:rPr>
        <w:t>,</w:t>
      </w:r>
      <w:r w:rsidRPr="14EAD17E">
        <w:rPr>
          <w:rFonts w:ascii="Arial" w:hAnsi="Arial" w:cs="Arial"/>
          <w:sz w:val="24"/>
          <w:szCs w:val="24"/>
        </w:rPr>
        <w:t xml:space="preserve"> con el objeto de adquirir equipos de cómputo, impresoras, software ofimático y elementos tecnológicos. </w:t>
      </w:r>
    </w:p>
    <w:p w14:paraId="4B94D5A5" w14:textId="77777777" w:rsidR="00CC00E6" w:rsidRPr="00CC00E6" w:rsidRDefault="00CC00E6" w:rsidP="002E0B70">
      <w:pPr>
        <w:pStyle w:val="Prrafodelista"/>
        <w:widowControl w:val="0"/>
        <w:spacing w:line="276" w:lineRule="auto"/>
        <w:ind w:left="0" w:right="48"/>
        <w:jc w:val="both"/>
        <w:rPr>
          <w:rFonts w:ascii="Arial" w:hAnsi="Arial" w:cs="Arial"/>
          <w:b/>
          <w:bCs/>
          <w:sz w:val="24"/>
          <w:szCs w:val="24"/>
        </w:rPr>
      </w:pPr>
    </w:p>
    <w:p w14:paraId="37B94547" w14:textId="24D2AB63" w:rsidR="00217ECC" w:rsidRPr="00785BAA" w:rsidRDefault="00217ECC" w:rsidP="002E0B70">
      <w:pPr>
        <w:pStyle w:val="Prrafodelista"/>
        <w:widowControl w:val="0"/>
        <w:numPr>
          <w:ilvl w:val="0"/>
          <w:numId w:val="13"/>
        </w:numPr>
        <w:spacing w:line="276" w:lineRule="auto"/>
        <w:ind w:left="0" w:right="48" w:firstLine="0"/>
        <w:jc w:val="both"/>
        <w:rPr>
          <w:rFonts w:ascii="Arial" w:hAnsi="Arial" w:cs="Arial"/>
          <w:b/>
          <w:bCs/>
          <w:sz w:val="24"/>
          <w:szCs w:val="24"/>
        </w:rPr>
      </w:pPr>
      <w:r w:rsidRPr="00CC00E6">
        <w:rPr>
          <w:rFonts w:ascii="Arial" w:hAnsi="Arial" w:cs="Arial"/>
          <w:bCs/>
          <w:sz w:val="24"/>
          <w:szCs w:val="24"/>
        </w:rPr>
        <w:t xml:space="preserve">Manifestó que en el pliego de condiciones, entre otros aspectos, se estableció como requisito obligatorio el suministro de computadores de escritorio, en la forma </w:t>
      </w:r>
      <w:r w:rsidRPr="00CC00E6">
        <w:rPr>
          <w:rFonts w:ascii="Arial" w:hAnsi="Arial" w:cs="Arial"/>
          <w:bCs/>
          <w:i/>
          <w:sz w:val="24"/>
          <w:szCs w:val="24"/>
        </w:rPr>
        <w:t xml:space="preserve">“Todo en uno”, </w:t>
      </w:r>
      <w:r w:rsidRPr="00CC00E6">
        <w:rPr>
          <w:rFonts w:ascii="Arial" w:hAnsi="Arial" w:cs="Arial"/>
          <w:bCs/>
          <w:sz w:val="24"/>
          <w:szCs w:val="24"/>
        </w:rPr>
        <w:t xml:space="preserve">los cuales, debían contar con una ranura especializada </w:t>
      </w:r>
      <w:proofErr w:type="spellStart"/>
      <w:r w:rsidRPr="00CC00E6">
        <w:rPr>
          <w:rFonts w:ascii="Arial" w:hAnsi="Arial" w:cs="Arial"/>
          <w:bCs/>
          <w:sz w:val="24"/>
          <w:szCs w:val="24"/>
        </w:rPr>
        <w:t>miniPCle</w:t>
      </w:r>
      <w:proofErr w:type="spellEnd"/>
      <w:r w:rsidRPr="00CC00E6">
        <w:rPr>
          <w:rFonts w:ascii="Arial" w:hAnsi="Arial" w:cs="Arial"/>
          <w:bCs/>
          <w:sz w:val="24"/>
          <w:szCs w:val="24"/>
        </w:rPr>
        <w:t xml:space="preserve"> de media longitud. </w:t>
      </w:r>
    </w:p>
    <w:p w14:paraId="3DEEC669" w14:textId="77777777" w:rsidR="00785BAA" w:rsidRPr="00785BAA" w:rsidRDefault="00785BAA" w:rsidP="002E0B70">
      <w:pPr>
        <w:pStyle w:val="Prrafodelista"/>
        <w:ind w:right="48"/>
        <w:rPr>
          <w:rFonts w:ascii="Arial" w:hAnsi="Arial" w:cs="Arial"/>
          <w:b/>
          <w:bCs/>
          <w:sz w:val="24"/>
          <w:szCs w:val="24"/>
        </w:rPr>
      </w:pPr>
    </w:p>
    <w:p w14:paraId="7A8F6D83" w14:textId="3795E3CA" w:rsidR="00217ECC" w:rsidRPr="00785BAA" w:rsidRDefault="00217ECC" w:rsidP="002E0B70">
      <w:pPr>
        <w:pStyle w:val="Prrafodelista"/>
        <w:widowControl w:val="0"/>
        <w:numPr>
          <w:ilvl w:val="0"/>
          <w:numId w:val="13"/>
        </w:numPr>
        <w:spacing w:line="276" w:lineRule="auto"/>
        <w:ind w:left="0" w:right="48" w:firstLine="0"/>
        <w:jc w:val="both"/>
        <w:rPr>
          <w:rFonts w:ascii="Arial" w:hAnsi="Arial" w:cs="Arial"/>
          <w:b/>
          <w:bCs/>
          <w:sz w:val="24"/>
          <w:szCs w:val="24"/>
        </w:rPr>
      </w:pPr>
      <w:r w:rsidRPr="14EAD17E">
        <w:rPr>
          <w:rFonts w:ascii="Arial" w:hAnsi="Arial" w:cs="Arial"/>
          <w:sz w:val="24"/>
          <w:szCs w:val="24"/>
        </w:rPr>
        <w:t>Sostuvo que la demandante, durante la audiencia de subasta inversa, le solicitó al municipio de Tunja que verificara si todos los proponentes habían cumplido con los requerimientos de la ficha técnica; en consecuencia, el ente territorial destacó la necesidad de que se realizara una verificación técnica detallada</w:t>
      </w:r>
      <w:r w:rsidR="00CC00E6" w:rsidRPr="14EAD17E">
        <w:rPr>
          <w:rFonts w:ascii="Arial" w:hAnsi="Arial" w:cs="Arial"/>
          <w:sz w:val="24"/>
          <w:szCs w:val="24"/>
        </w:rPr>
        <w:t xml:space="preserve"> y </w:t>
      </w:r>
      <w:r w:rsidRPr="14EAD17E">
        <w:rPr>
          <w:rFonts w:ascii="Arial" w:hAnsi="Arial" w:cs="Arial"/>
          <w:sz w:val="24"/>
          <w:szCs w:val="24"/>
        </w:rPr>
        <w:t xml:space="preserve">aplazó la audiencia. </w:t>
      </w:r>
    </w:p>
    <w:p w14:paraId="3656B9AB" w14:textId="77777777" w:rsidR="00785BAA" w:rsidRPr="00785BAA" w:rsidRDefault="00785BAA" w:rsidP="002E0B70">
      <w:pPr>
        <w:pStyle w:val="Prrafodelista"/>
        <w:ind w:right="48"/>
        <w:rPr>
          <w:rFonts w:ascii="Arial" w:hAnsi="Arial" w:cs="Arial"/>
          <w:b/>
          <w:bCs/>
          <w:sz w:val="24"/>
          <w:szCs w:val="24"/>
        </w:rPr>
      </w:pPr>
    </w:p>
    <w:p w14:paraId="12E03394" w14:textId="175A9202" w:rsidR="00217ECC" w:rsidRPr="00EF3D8A" w:rsidRDefault="00785BAA" w:rsidP="00FB2860">
      <w:pPr>
        <w:pStyle w:val="Prrafodelista"/>
        <w:widowControl w:val="0"/>
        <w:numPr>
          <w:ilvl w:val="0"/>
          <w:numId w:val="13"/>
        </w:numPr>
        <w:spacing w:line="276" w:lineRule="auto"/>
        <w:ind w:left="0" w:right="48" w:firstLine="0"/>
        <w:jc w:val="both"/>
        <w:rPr>
          <w:rFonts w:ascii="Arial" w:hAnsi="Arial" w:cs="Arial"/>
          <w:b/>
          <w:bCs/>
          <w:sz w:val="24"/>
          <w:szCs w:val="24"/>
        </w:rPr>
      </w:pPr>
      <w:r w:rsidRPr="14EAD17E">
        <w:rPr>
          <w:rFonts w:ascii="Arial" w:hAnsi="Arial" w:cs="Arial"/>
          <w:sz w:val="24"/>
          <w:szCs w:val="24"/>
        </w:rPr>
        <w:t xml:space="preserve">Afirmó que, luego de realizar la correspondiente verificación técnica detallada, </w:t>
      </w:r>
      <w:r w:rsidR="00CC00E6" w:rsidRPr="14EAD17E">
        <w:rPr>
          <w:rFonts w:ascii="Arial" w:hAnsi="Arial" w:cs="Arial"/>
          <w:sz w:val="24"/>
          <w:szCs w:val="24"/>
        </w:rPr>
        <w:t xml:space="preserve">el municipio de Tunja publicó un informe de evaluación definitivo, según el cual, </w:t>
      </w:r>
      <w:r w:rsidR="00CC00E6" w:rsidRPr="14EAD17E">
        <w:rPr>
          <w:rFonts w:ascii="Arial" w:hAnsi="Arial" w:cs="Arial"/>
          <w:b/>
          <w:bCs/>
          <w:sz w:val="24"/>
          <w:szCs w:val="24"/>
        </w:rPr>
        <w:t>ninguno de los proponentes cumplía con las exigencias técnicas</w:t>
      </w:r>
      <w:r w:rsidR="00CC00E6" w:rsidRPr="14EAD17E">
        <w:rPr>
          <w:rFonts w:ascii="Arial" w:hAnsi="Arial" w:cs="Arial"/>
          <w:sz w:val="24"/>
          <w:szCs w:val="24"/>
        </w:rPr>
        <w:t xml:space="preserve"> y excluyó </w:t>
      </w:r>
      <w:bookmarkEnd w:id="4"/>
      <w:r w:rsidR="00217ECC" w:rsidRPr="14EAD17E">
        <w:rPr>
          <w:rFonts w:ascii="Arial" w:hAnsi="Arial" w:cs="Arial"/>
          <w:sz w:val="24"/>
          <w:szCs w:val="24"/>
        </w:rPr>
        <w:t xml:space="preserve">el requisito </w:t>
      </w:r>
      <w:r w:rsidRPr="14EAD17E">
        <w:rPr>
          <w:rFonts w:ascii="Arial" w:hAnsi="Arial" w:cs="Arial"/>
          <w:sz w:val="24"/>
          <w:szCs w:val="24"/>
        </w:rPr>
        <w:t xml:space="preserve">relacionado con el </w:t>
      </w:r>
      <w:r w:rsidR="00217ECC" w:rsidRPr="14EAD17E">
        <w:rPr>
          <w:rFonts w:ascii="Arial" w:hAnsi="Arial" w:cs="Arial"/>
          <w:sz w:val="24"/>
          <w:szCs w:val="24"/>
        </w:rPr>
        <w:t xml:space="preserve">suministro de equipos con ranura </w:t>
      </w:r>
      <w:proofErr w:type="spellStart"/>
      <w:r w:rsidR="00217ECC" w:rsidRPr="14EAD17E">
        <w:rPr>
          <w:rFonts w:ascii="Arial" w:hAnsi="Arial" w:cs="Arial"/>
          <w:sz w:val="24"/>
          <w:szCs w:val="24"/>
        </w:rPr>
        <w:t>miniPcle</w:t>
      </w:r>
      <w:proofErr w:type="spellEnd"/>
      <w:r w:rsidR="00217ECC" w:rsidRPr="14EAD17E">
        <w:rPr>
          <w:rFonts w:ascii="Arial" w:hAnsi="Arial" w:cs="Arial"/>
          <w:sz w:val="24"/>
          <w:szCs w:val="24"/>
        </w:rPr>
        <w:t xml:space="preserve"> de media longitud, </w:t>
      </w:r>
      <w:r w:rsidR="00217ECC" w:rsidRPr="14EAD17E">
        <w:rPr>
          <w:rFonts w:ascii="Arial" w:hAnsi="Arial" w:cs="Arial"/>
          <w:b/>
          <w:bCs/>
          <w:sz w:val="24"/>
          <w:szCs w:val="24"/>
        </w:rPr>
        <w:t xml:space="preserve">con fundamento en </w:t>
      </w:r>
      <w:r w:rsidRPr="14EAD17E">
        <w:rPr>
          <w:rFonts w:ascii="Arial" w:hAnsi="Arial" w:cs="Arial"/>
          <w:b/>
          <w:bCs/>
          <w:sz w:val="24"/>
          <w:szCs w:val="24"/>
        </w:rPr>
        <w:t>que</w:t>
      </w:r>
      <w:r w:rsidR="00217ECC" w:rsidRPr="14EAD17E">
        <w:rPr>
          <w:rFonts w:ascii="Arial" w:hAnsi="Arial" w:cs="Arial"/>
          <w:b/>
          <w:bCs/>
          <w:sz w:val="24"/>
          <w:szCs w:val="24"/>
        </w:rPr>
        <w:t xml:space="preserve"> no se encontraba en el mercado un computador todo en uno que cumpliera con esa característica.</w:t>
      </w:r>
    </w:p>
    <w:p w14:paraId="45FB0818" w14:textId="77777777" w:rsidR="00785BAA" w:rsidRDefault="00785BAA" w:rsidP="002E0B70">
      <w:pPr>
        <w:widowControl w:val="0"/>
        <w:spacing w:line="276" w:lineRule="auto"/>
        <w:ind w:right="48"/>
        <w:jc w:val="both"/>
        <w:rPr>
          <w:rFonts w:ascii="Arial" w:hAnsi="Arial" w:cs="Arial"/>
          <w:b/>
          <w:bCs/>
          <w:sz w:val="24"/>
          <w:szCs w:val="24"/>
        </w:rPr>
      </w:pPr>
    </w:p>
    <w:p w14:paraId="7920A904" w14:textId="7D93EFF4" w:rsidR="00CC00E6" w:rsidRPr="00785BAA" w:rsidRDefault="00EF3D8A" w:rsidP="002E0B70">
      <w:pPr>
        <w:pStyle w:val="Prrafodelista"/>
        <w:widowControl w:val="0"/>
        <w:numPr>
          <w:ilvl w:val="0"/>
          <w:numId w:val="13"/>
        </w:numPr>
        <w:spacing w:line="276" w:lineRule="auto"/>
        <w:ind w:left="0" w:right="48" w:firstLine="0"/>
        <w:jc w:val="both"/>
        <w:rPr>
          <w:rFonts w:ascii="Arial" w:hAnsi="Arial" w:cs="Arial"/>
          <w:b/>
          <w:bCs/>
          <w:sz w:val="24"/>
          <w:szCs w:val="24"/>
        </w:rPr>
      </w:pPr>
      <w:r w:rsidRPr="14EAD17E">
        <w:rPr>
          <w:rFonts w:ascii="Arial" w:hAnsi="Arial" w:cs="Arial"/>
          <w:sz w:val="24"/>
          <w:szCs w:val="24"/>
        </w:rPr>
        <w:t>Aseguró</w:t>
      </w:r>
      <w:r w:rsidR="00217ECC" w:rsidRPr="14EAD17E">
        <w:rPr>
          <w:rFonts w:ascii="Arial" w:hAnsi="Arial" w:cs="Arial"/>
          <w:sz w:val="24"/>
          <w:szCs w:val="24"/>
        </w:rPr>
        <w:t xml:space="preserve"> que, en consecuencia, el municipio de Tunja habilitó a los oferentes que habían incluido en sus ofertas los computadores HP modelo 400G2 y Lenovo M700Z, así como la propuesta que presentó el demandante.</w:t>
      </w:r>
    </w:p>
    <w:p w14:paraId="049F31CB" w14:textId="77777777" w:rsidR="00785BAA" w:rsidRPr="00785BAA" w:rsidRDefault="00785BAA" w:rsidP="002E0B70">
      <w:pPr>
        <w:pStyle w:val="Prrafodelista"/>
        <w:widowControl w:val="0"/>
        <w:spacing w:line="276" w:lineRule="auto"/>
        <w:ind w:left="0" w:right="48"/>
        <w:jc w:val="both"/>
        <w:rPr>
          <w:rFonts w:ascii="Arial" w:hAnsi="Arial" w:cs="Arial"/>
          <w:b/>
          <w:bCs/>
          <w:sz w:val="24"/>
          <w:szCs w:val="24"/>
        </w:rPr>
      </w:pPr>
    </w:p>
    <w:p w14:paraId="62D96EA6" w14:textId="77777777" w:rsidR="00217ECC" w:rsidRPr="00785BAA" w:rsidRDefault="00217ECC" w:rsidP="002E0B70">
      <w:pPr>
        <w:pStyle w:val="Prrafodelista"/>
        <w:widowControl w:val="0"/>
        <w:numPr>
          <w:ilvl w:val="0"/>
          <w:numId w:val="13"/>
        </w:numPr>
        <w:spacing w:line="276" w:lineRule="auto"/>
        <w:ind w:left="0" w:right="48" w:firstLine="0"/>
        <w:jc w:val="both"/>
        <w:rPr>
          <w:rFonts w:ascii="Arial" w:hAnsi="Arial" w:cs="Arial"/>
          <w:b/>
          <w:bCs/>
          <w:sz w:val="24"/>
          <w:szCs w:val="24"/>
        </w:rPr>
      </w:pPr>
      <w:r w:rsidRPr="14EAD17E">
        <w:rPr>
          <w:rFonts w:ascii="Arial" w:hAnsi="Arial" w:cs="Arial"/>
          <w:sz w:val="24"/>
          <w:szCs w:val="24"/>
        </w:rPr>
        <w:t xml:space="preserve"> </w:t>
      </w:r>
      <w:r w:rsidR="00EF3D8A" w:rsidRPr="14EAD17E">
        <w:rPr>
          <w:rFonts w:ascii="Arial" w:hAnsi="Arial" w:cs="Arial"/>
          <w:sz w:val="24"/>
          <w:szCs w:val="24"/>
        </w:rPr>
        <w:t xml:space="preserve">Señaló </w:t>
      </w:r>
      <w:r w:rsidRPr="14EAD17E">
        <w:rPr>
          <w:rFonts w:ascii="Arial" w:hAnsi="Arial" w:cs="Arial"/>
          <w:i/>
          <w:iCs/>
          <w:sz w:val="24"/>
          <w:szCs w:val="24"/>
        </w:rPr>
        <w:t>“[…] que los computadores exigidos en las especificaciones técnicas si (sic) existen en el mercado, pero son de un mayor costo</w:t>
      </w:r>
      <w:r w:rsidR="00EF3D8A" w:rsidRPr="14EAD17E">
        <w:rPr>
          <w:rFonts w:ascii="Arial" w:hAnsi="Arial" w:cs="Arial"/>
          <w:i/>
          <w:iCs/>
          <w:sz w:val="24"/>
          <w:szCs w:val="24"/>
        </w:rPr>
        <w:t xml:space="preserve"> </w:t>
      </w:r>
      <w:r w:rsidRPr="14EAD17E">
        <w:rPr>
          <w:rFonts w:ascii="Arial" w:hAnsi="Arial" w:cs="Arial"/>
          <w:i/>
          <w:iCs/>
          <w:sz w:val="24"/>
          <w:szCs w:val="24"/>
        </w:rPr>
        <w:t>[…]”</w:t>
      </w:r>
      <w:r w:rsidRPr="14EAD17E">
        <w:rPr>
          <w:rStyle w:val="Refdenotaalpie"/>
          <w:rFonts w:ascii="Arial" w:hAnsi="Arial" w:cs="Arial"/>
          <w:i/>
          <w:iCs/>
          <w:sz w:val="24"/>
          <w:szCs w:val="24"/>
        </w:rPr>
        <w:footnoteReference w:id="5"/>
      </w:r>
      <w:r w:rsidR="00EF3D8A" w:rsidRPr="14EAD17E">
        <w:rPr>
          <w:rFonts w:ascii="Arial" w:hAnsi="Arial" w:cs="Arial"/>
          <w:i/>
          <w:iCs/>
          <w:sz w:val="24"/>
          <w:szCs w:val="24"/>
        </w:rPr>
        <w:t xml:space="preserve"> </w:t>
      </w:r>
      <w:r w:rsidR="00EF3D8A" w:rsidRPr="14EAD17E">
        <w:rPr>
          <w:rFonts w:ascii="Arial" w:hAnsi="Arial" w:cs="Arial"/>
          <w:sz w:val="24"/>
          <w:szCs w:val="24"/>
        </w:rPr>
        <w:t xml:space="preserve">y que el demandante era el único oferente que cumplió con las especificaciones técnicas del pliego de condiciones inicial. </w:t>
      </w:r>
    </w:p>
    <w:p w14:paraId="53128261" w14:textId="77777777" w:rsidR="00785BAA" w:rsidRPr="00785BAA" w:rsidRDefault="00785BAA" w:rsidP="002E0B70">
      <w:pPr>
        <w:pStyle w:val="Prrafodelista"/>
        <w:ind w:right="48"/>
        <w:rPr>
          <w:rFonts w:ascii="Arial" w:hAnsi="Arial" w:cs="Arial"/>
          <w:b/>
          <w:bCs/>
          <w:sz w:val="24"/>
          <w:szCs w:val="24"/>
        </w:rPr>
      </w:pPr>
    </w:p>
    <w:p w14:paraId="05394F46" w14:textId="4F67557E" w:rsidR="00217ECC" w:rsidRPr="00785BAA" w:rsidRDefault="00C74023" w:rsidP="002E0B70">
      <w:pPr>
        <w:pStyle w:val="Prrafodelista"/>
        <w:widowControl w:val="0"/>
        <w:numPr>
          <w:ilvl w:val="0"/>
          <w:numId w:val="13"/>
        </w:numPr>
        <w:spacing w:line="276" w:lineRule="auto"/>
        <w:ind w:left="0" w:right="48" w:firstLine="0"/>
        <w:jc w:val="both"/>
        <w:rPr>
          <w:rFonts w:ascii="Arial" w:hAnsi="Arial" w:cs="Arial"/>
          <w:b/>
          <w:bCs/>
          <w:sz w:val="24"/>
          <w:szCs w:val="24"/>
        </w:rPr>
      </w:pPr>
      <w:r w:rsidRPr="14EAD17E">
        <w:rPr>
          <w:rFonts w:ascii="Arial" w:hAnsi="Arial" w:cs="Arial"/>
          <w:sz w:val="24"/>
          <w:szCs w:val="24"/>
        </w:rPr>
        <w:t>Adujo que, a pesar de lo expuesto, e</w:t>
      </w:r>
      <w:r w:rsidR="00217ECC" w:rsidRPr="14EAD17E">
        <w:rPr>
          <w:rFonts w:ascii="Arial" w:hAnsi="Arial" w:cs="Arial"/>
          <w:sz w:val="24"/>
          <w:szCs w:val="24"/>
        </w:rPr>
        <w:t>l municipio de Tunja, mediante la Resolución número 033 de 17 de marzo de 2017</w:t>
      </w:r>
      <w:r w:rsidR="00217ECC" w:rsidRPr="14EAD17E">
        <w:rPr>
          <w:rFonts w:ascii="Arial" w:hAnsi="Arial" w:cs="Arial"/>
          <w:b/>
          <w:bCs/>
          <w:sz w:val="24"/>
          <w:szCs w:val="24"/>
        </w:rPr>
        <w:t xml:space="preserve">, </w:t>
      </w:r>
      <w:r w:rsidR="00785BAA" w:rsidRPr="14EAD17E">
        <w:rPr>
          <w:rFonts w:ascii="Arial" w:hAnsi="Arial" w:cs="Arial"/>
          <w:b/>
          <w:bCs/>
          <w:sz w:val="24"/>
          <w:szCs w:val="24"/>
        </w:rPr>
        <w:t>adjudicó el</w:t>
      </w:r>
      <w:r w:rsidR="00217ECC" w:rsidRPr="14EAD17E">
        <w:rPr>
          <w:rFonts w:ascii="Arial" w:hAnsi="Arial" w:cs="Arial"/>
          <w:b/>
          <w:bCs/>
          <w:sz w:val="24"/>
          <w:szCs w:val="24"/>
        </w:rPr>
        <w:t xml:space="preserve"> contrato a </w:t>
      </w:r>
      <w:proofErr w:type="spellStart"/>
      <w:r w:rsidR="00217ECC" w:rsidRPr="14EAD17E">
        <w:rPr>
          <w:rFonts w:ascii="Arial" w:hAnsi="Arial" w:cs="Arial"/>
          <w:b/>
          <w:bCs/>
          <w:sz w:val="24"/>
          <w:szCs w:val="24"/>
        </w:rPr>
        <w:t>Tecnophone</w:t>
      </w:r>
      <w:proofErr w:type="spellEnd"/>
      <w:r w:rsidR="00217ECC" w:rsidRPr="14EAD17E">
        <w:rPr>
          <w:rFonts w:ascii="Arial" w:hAnsi="Arial" w:cs="Arial"/>
          <w:b/>
          <w:bCs/>
          <w:sz w:val="24"/>
          <w:szCs w:val="24"/>
        </w:rPr>
        <w:t xml:space="preserve"> Colombia S.A.S.</w:t>
      </w:r>
    </w:p>
    <w:p w14:paraId="62486C05" w14:textId="77777777" w:rsidR="00217ECC" w:rsidRDefault="00217ECC" w:rsidP="002E0B70">
      <w:pPr>
        <w:widowControl w:val="0"/>
        <w:tabs>
          <w:tab w:val="left" w:pos="7655"/>
        </w:tabs>
        <w:spacing w:line="276" w:lineRule="auto"/>
        <w:ind w:right="48"/>
        <w:jc w:val="both"/>
        <w:rPr>
          <w:rFonts w:ascii="Arial" w:hAnsi="Arial" w:cs="Arial"/>
          <w:b/>
          <w:bCs/>
          <w:sz w:val="24"/>
          <w:szCs w:val="24"/>
        </w:rPr>
      </w:pPr>
    </w:p>
    <w:p w14:paraId="2CBD9C2A" w14:textId="77777777" w:rsidR="001277D7" w:rsidRDefault="00785BAA" w:rsidP="14EAD17E">
      <w:pPr>
        <w:widowControl w:val="0"/>
        <w:tabs>
          <w:tab w:val="left" w:pos="7655"/>
        </w:tabs>
        <w:spacing w:line="276" w:lineRule="auto"/>
        <w:ind w:right="48"/>
        <w:jc w:val="both"/>
        <w:rPr>
          <w:rFonts w:ascii="Arial" w:eastAsiaTheme="minorEastAsia" w:hAnsi="Arial" w:cs="Arial"/>
          <w:color w:val="000000"/>
          <w:sz w:val="24"/>
          <w:szCs w:val="24"/>
        </w:rPr>
      </w:pPr>
      <w:r w:rsidRPr="14EAD17E">
        <w:rPr>
          <w:rFonts w:ascii="Arial" w:eastAsiaTheme="minorEastAsia" w:hAnsi="Arial" w:cs="Arial"/>
          <w:color w:val="000000"/>
          <w:sz w:val="24"/>
          <w:szCs w:val="24"/>
        </w:rPr>
        <w:lastRenderedPageBreak/>
        <w:t>El Juzgado Doce Administrativo del Circuito de Tunja, mediante el auto de 14 de septiembre de 2017</w:t>
      </w:r>
      <w:r w:rsidRPr="14EAD17E">
        <w:rPr>
          <w:rStyle w:val="Refdenotaalpie"/>
          <w:rFonts w:ascii="Arial" w:eastAsiaTheme="minorEastAsia" w:hAnsi="Arial" w:cs="Arial"/>
          <w:color w:val="000000"/>
          <w:sz w:val="24"/>
          <w:szCs w:val="24"/>
        </w:rPr>
        <w:footnoteReference w:id="6"/>
      </w:r>
      <w:r w:rsidRPr="14EAD17E">
        <w:rPr>
          <w:rFonts w:ascii="Arial" w:eastAsiaTheme="minorEastAsia" w:hAnsi="Arial" w:cs="Arial"/>
          <w:color w:val="000000"/>
          <w:sz w:val="24"/>
          <w:szCs w:val="24"/>
        </w:rPr>
        <w:t xml:space="preserve">: i) admitió </w:t>
      </w:r>
      <w:r w:rsidRPr="14EAD17E">
        <w:rPr>
          <w:rFonts w:ascii="Arial" w:eastAsiaTheme="minorEastAsia" w:hAnsi="Arial" w:cs="Arial"/>
          <w:i/>
          <w:iCs/>
          <w:color w:val="000000"/>
          <w:sz w:val="24"/>
          <w:szCs w:val="24"/>
        </w:rPr>
        <w:t xml:space="preserve">“[…] en primera instancia la demanda de controversias contractuales, interpuesta por la </w:t>
      </w:r>
      <w:r w:rsidRPr="14EAD17E">
        <w:rPr>
          <w:rFonts w:ascii="Arial" w:eastAsiaTheme="minorEastAsia" w:hAnsi="Arial" w:cs="Arial"/>
          <w:b/>
          <w:bCs/>
          <w:i/>
          <w:iCs/>
          <w:color w:val="000000"/>
          <w:sz w:val="24"/>
          <w:szCs w:val="24"/>
        </w:rPr>
        <w:t xml:space="preserve">CONSULTORÍA TÉCNICA Y SERVICIOS DE INGENIERÍA COTEC S.A.S. </w:t>
      </w:r>
      <w:r w:rsidRPr="14EAD17E">
        <w:rPr>
          <w:rFonts w:ascii="Arial" w:eastAsiaTheme="minorEastAsia" w:hAnsi="Arial" w:cs="Arial"/>
          <w:i/>
          <w:iCs/>
          <w:color w:val="000000"/>
          <w:sz w:val="24"/>
          <w:szCs w:val="24"/>
        </w:rPr>
        <w:t xml:space="preserve">contra el </w:t>
      </w:r>
      <w:r w:rsidRPr="14EAD17E">
        <w:rPr>
          <w:rFonts w:ascii="Arial" w:eastAsiaTheme="minorEastAsia" w:hAnsi="Arial" w:cs="Arial"/>
          <w:b/>
          <w:bCs/>
          <w:i/>
          <w:iCs/>
          <w:color w:val="000000"/>
          <w:sz w:val="24"/>
          <w:szCs w:val="24"/>
        </w:rPr>
        <w:t>MUNICIPIO DE TUNJA</w:t>
      </w:r>
      <w:r w:rsidRPr="14EAD17E">
        <w:rPr>
          <w:rFonts w:ascii="Arial" w:eastAsiaTheme="minorEastAsia" w:hAnsi="Arial" w:cs="Arial"/>
          <w:i/>
          <w:iCs/>
          <w:color w:val="000000"/>
          <w:sz w:val="24"/>
          <w:szCs w:val="24"/>
        </w:rPr>
        <w:t xml:space="preserve"> […]” </w:t>
      </w:r>
      <w:r w:rsidRPr="14EAD17E">
        <w:rPr>
          <w:rFonts w:ascii="Arial" w:eastAsiaTheme="minorEastAsia" w:hAnsi="Arial" w:cs="Arial"/>
          <w:color w:val="000000"/>
          <w:sz w:val="24"/>
          <w:szCs w:val="24"/>
        </w:rPr>
        <w:t xml:space="preserve">(Destacado del texto); </w:t>
      </w:r>
      <w:proofErr w:type="spellStart"/>
      <w:r w:rsidRPr="14EAD17E">
        <w:rPr>
          <w:rFonts w:ascii="Arial" w:eastAsiaTheme="minorEastAsia" w:hAnsi="Arial" w:cs="Arial"/>
          <w:color w:val="000000"/>
          <w:sz w:val="24"/>
          <w:szCs w:val="24"/>
        </w:rPr>
        <w:t>ii</w:t>
      </w:r>
      <w:proofErr w:type="spellEnd"/>
      <w:r w:rsidRPr="14EAD17E">
        <w:rPr>
          <w:rFonts w:ascii="Arial" w:eastAsiaTheme="minorEastAsia" w:hAnsi="Arial" w:cs="Arial"/>
          <w:color w:val="000000"/>
          <w:sz w:val="24"/>
          <w:szCs w:val="24"/>
        </w:rPr>
        <w:t xml:space="preserve">) ordenó la notificación de esa providencia al representante legal del municipio de Tunja; </w:t>
      </w:r>
      <w:r w:rsidR="00C74023" w:rsidRPr="14EAD17E">
        <w:rPr>
          <w:rFonts w:ascii="Arial" w:eastAsiaTheme="minorEastAsia" w:hAnsi="Arial" w:cs="Arial"/>
          <w:color w:val="000000"/>
          <w:sz w:val="24"/>
          <w:szCs w:val="24"/>
        </w:rPr>
        <w:t xml:space="preserve">y </w:t>
      </w:r>
      <w:proofErr w:type="spellStart"/>
      <w:r w:rsidRPr="14EAD17E">
        <w:rPr>
          <w:rFonts w:ascii="Arial" w:eastAsiaTheme="minorEastAsia" w:hAnsi="Arial" w:cs="Arial"/>
          <w:color w:val="000000"/>
          <w:sz w:val="24"/>
          <w:szCs w:val="24"/>
        </w:rPr>
        <w:t>iii</w:t>
      </w:r>
      <w:proofErr w:type="spellEnd"/>
      <w:r w:rsidRPr="14EAD17E">
        <w:rPr>
          <w:rFonts w:ascii="Arial" w:eastAsiaTheme="minorEastAsia" w:hAnsi="Arial" w:cs="Arial"/>
          <w:color w:val="000000"/>
          <w:sz w:val="24"/>
          <w:szCs w:val="24"/>
        </w:rPr>
        <w:t>) ordenó notificar al agente del Ministerio Público</w:t>
      </w:r>
      <w:r w:rsidR="001277D7" w:rsidRPr="14EAD17E">
        <w:rPr>
          <w:rFonts w:ascii="Arial" w:eastAsiaTheme="minorEastAsia" w:hAnsi="Arial" w:cs="Arial"/>
          <w:color w:val="000000"/>
          <w:sz w:val="24"/>
          <w:szCs w:val="24"/>
        </w:rPr>
        <w:t xml:space="preserve">, así como a la sociedad demandante y a su apoderado. </w:t>
      </w:r>
    </w:p>
    <w:p w14:paraId="4101652C" w14:textId="77777777" w:rsidR="001277D7" w:rsidRDefault="001277D7" w:rsidP="002E0B70">
      <w:pPr>
        <w:widowControl w:val="0"/>
        <w:tabs>
          <w:tab w:val="left" w:pos="7655"/>
        </w:tabs>
        <w:spacing w:line="276" w:lineRule="auto"/>
        <w:ind w:right="48"/>
        <w:jc w:val="both"/>
        <w:rPr>
          <w:rFonts w:ascii="Arial" w:eastAsiaTheme="minorEastAsia" w:hAnsi="Arial" w:cs="Arial"/>
          <w:bCs/>
          <w:color w:val="000000"/>
          <w:sz w:val="24"/>
          <w:szCs w:val="24"/>
        </w:rPr>
      </w:pPr>
    </w:p>
    <w:p w14:paraId="16E52CD6" w14:textId="77777777" w:rsidR="00217ECC" w:rsidRDefault="00217ECC" w:rsidP="14EAD17E">
      <w:pPr>
        <w:pStyle w:val="Prrafodelista"/>
        <w:widowControl w:val="0"/>
        <w:spacing w:line="276" w:lineRule="auto"/>
        <w:ind w:left="0" w:right="48"/>
        <w:jc w:val="both"/>
        <w:rPr>
          <w:rFonts w:ascii="Arial" w:eastAsiaTheme="minorEastAsia" w:hAnsi="Arial" w:cs="Arial"/>
          <w:color w:val="000000"/>
          <w:sz w:val="24"/>
          <w:szCs w:val="24"/>
        </w:rPr>
      </w:pPr>
      <w:r w:rsidRPr="14EAD17E">
        <w:rPr>
          <w:rFonts w:ascii="Arial" w:eastAsiaTheme="minorEastAsia" w:hAnsi="Arial" w:cs="Arial"/>
          <w:color w:val="000000"/>
          <w:sz w:val="24"/>
          <w:szCs w:val="24"/>
        </w:rPr>
        <w:t>El municipio de Tunja</w:t>
      </w:r>
      <w:r w:rsidR="001277D7" w:rsidRPr="14EAD17E">
        <w:rPr>
          <w:rStyle w:val="Refdenotaalpie"/>
          <w:rFonts w:ascii="Arial" w:eastAsiaTheme="minorEastAsia" w:hAnsi="Arial" w:cs="Arial"/>
          <w:color w:val="000000"/>
          <w:sz w:val="24"/>
          <w:szCs w:val="24"/>
        </w:rPr>
        <w:footnoteReference w:id="7"/>
      </w:r>
      <w:r w:rsidR="00C74023" w:rsidRPr="14EAD17E">
        <w:rPr>
          <w:rFonts w:ascii="Arial" w:eastAsiaTheme="minorEastAsia" w:hAnsi="Arial" w:cs="Arial"/>
          <w:color w:val="000000"/>
          <w:sz w:val="24"/>
          <w:szCs w:val="24"/>
        </w:rPr>
        <w:t xml:space="preserve"> contestó la demanda y</w:t>
      </w:r>
      <w:r w:rsidR="001277D7" w:rsidRPr="14EAD17E">
        <w:rPr>
          <w:rFonts w:ascii="Arial" w:eastAsiaTheme="minorEastAsia" w:hAnsi="Arial" w:cs="Arial"/>
          <w:b/>
          <w:bCs/>
          <w:color w:val="000000"/>
          <w:sz w:val="24"/>
          <w:szCs w:val="24"/>
        </w:rPr>
        <w:t xml:space="preserve"> </w:t>
      </w:r>
      <w:r w:rsidRPr="14EAD17E">
        <w:rPr>
          <w:rFonts w:ascii="Arial" w:eastAsiaTheme="minorEastAsia" w:hAnsi="Arial" w:cs="Arial"/>
          <w:color w:val="000000"/>
          <w:sz w:val="24"/>
          <w:szCs w:val="24"/>
        </w:rPr>
        <w:t xml:space="preserve">se opuso a </w:t>
      </w:r>
      <w:r w:rsidR="00C74023" w:rsidRPr="14EAD17E">
        <w:rPr>
          <w:rFonts w:ascii="Arial" w:eastAsiaTheme="minorEastAsia" w:hAnsi="Arial" w:cs="Arial"/>
          <w:color w:val="000000"/>
          <w:sz w:val="24"/>
          <w:szCs w:val="24"/>
        </w:rPr>
        <w:t>sus</w:t>
      </w:r>
      <w:r w:rsidRPr="14EAD17E">
        <w:rPr>
          <w:rFonts w:ascii="Arial" w:eastAsiaTheme="minorEastAsia" w:hAnsi="Arial" w:cs="Arial"/>
          <w:color w:val="000000"/>
          <w:sz w:val="24"/>
          <w:szCs w:val="24"/>
        </w:rPr>
        <w:t xml:space="preserve"> pretensiones</w:t>
      </w:r>
      <w:r w:rsidR="00C74023" w:rsidRPr="14EAD17E">
        <w:rPr>
          <w:rFonts w:ascii="Arial" w:eastAsiaTheme="minorEastAsia" w:hAnsi="Arial" w:cs="Arial"/>
          <w:color w:val="000000"/>
          <w:sz w:val="24"/>
          <w:szCs w:val="24"/>
        </w:rPr>
        <w:t xml:space="preserve">; además, </w:t>
      </w:r>
      <w:r w:rsidRPr="14EAD17E">
        <w:rPr>
          <w:rFonts w:ascii="Arial" w:eastAsiaTheme="minorEastAsia" w:hAnsi="Arial" w:cs="Arial"/>
          <w:color w:val="000000"/>
          <w:sz w:val="24"/>
          <w:szCs w:val="24"/>
        </w:rPr>
        <w:t>propuso las siguientes excepciones</w:t>
      </w:r>
      <w:r w:rsidR="001277D7" w:rsidRPr="14EAD17E">
        <w:rPr>
          <w:rFonts w:ascii="Arial" w:eastAsiaTheme="minorEastAsia" w:hAnsi="Arial" w:cs="Arial"/>
          <w:color w:val="000000"/>
          <w:sz w:val="24"/>
          <w:szCs w:val="24"/>
        </w:rPr>
        <w:t xml:space="preserve">: cláusula ineficaz de pleno derecho dentro del pliego de condiciones, ausencia de causa </w:t>
      </w:r>
      <w:r w:rsidR="001277D7" w:rsidRPr="14EAD17E">
        <w:rPr>
          <w:rFonts w:ascii="Arial" w:eastAsiaTheme="minorEastAsia" w:hAnsi="Arial" w:cs="Arial"/>
          <w:i/>
          <w:iCs/>
          <w:color w:val="000000"/>
          <w:sz w:val="24"/>
          <w:szCs w:val="24"/>
        </w:rPr>
        <w:t xml:space="preserve">petendi, </w:t>
      </w:r>
      <w:r w:rsidR="001277D7" w:rsidRPr="14EAD17E">
        <w:rPr>
          <w:rFonts w:ascii="Arial" w:eastAsiaTheme="minorEastAsia" w:hAnsi="Arial" w:cs="Arial"/>
          <w:color w:val="000000"/>
          <w:sz w:val="24"/>
          <w:szCs w:val="24"/>
        </w:rPr>
        <w:t>inexistencia de daño emergente y lucro cesante y “</w:t>
      </w:r>
      <w:r w:rsidR="001277D7" w:rsidRPr="14EAD17E">
        <w:rPr>
          <w:rFonts w:ascii="Arial" w:eastAsiaTheme="minorEastAsia" w:hAnsi="Arial" w:cs="Arial"/>
          <w:i/>
          <w:iCs/>
          <w:color w:val="000000"/>
          <w:sz w:val="24"/>
          <w:szCs w:val="24"/>
        </w:rPr>
        <w:t>no acreditación de ser el posible ganador</w:t>
      </w:r>
      <w:r w:rsidR="001277D7" w:rsidRPr="14EAD17E">
        <w:rPr>
          <w:rFonts w:ascii="Arial" w:eastAsiaTheme="minorEastAsia" w:hAnsi="Arial" w:cs="Arial"/>
          <w:color w:val="000000"/>
          <w:sz w:val="24"/>
          <w:szCs w:val="24"/>
        </w:rPr>
        <w:t>”.</w:t>
      </w:r>
    </w:p>
    <w:p w14:paraId="4B99056E" w14:textId="77777777" w:rsidR="001277D7" w:rsidRDefault="001277D7" w:rsidP="002E0B70">
      <w:pPr>
        <w:pStyle w:val="Prrafodelista"/>
        <w:widowControl w:val="0"/>
        <w:spacing w:line="276" w:lineRule="auto"/>
        <w:ind w:left="0" w:right="48"/>
        <w:jc w:val="both"/>
        <w:rPr>
          <w:rFonts w:ascii="Arial" w:eastAsiaTheme="minorEastAsia" w:hAnsi="Arial" w:cs="Arial"/>
          <w:bCs/>
          <w:color w:val="000000"/>
          <w:sz w:val="24"/>
          <w:szCs w:val="24"/>
        </w:rPr>
      </w:pPr>
    </w:p>
    <w:p w14:paraId="5D4DB2A7" w14:textId="77777777" w:rsidR="00217ECC" w:rsidRDefault="001277D7" w:rsidP="002E0B70">
      <w:pPr>
        <w:pStyle w:val="Prrafodelista"/>
        <w:widowControl w:val="0"/>
        <w:spacing w:line="276" w:lineRule="auto"/>
        <w:ind w:left="0" w:right="48"/>
        <w:jc w:val="both"/>
        <w:rPr>
          <w:rFonts w:ascii="Arial" w:hAnsi="Arial" w:cs="Arial"/>
          <w:sz w:val="24"/>
          <w:szCs w:val="24"/>
        </w:rPr>
      </w:pPr>
      <w:r>
        <w:rPr>
          <w:rFonts w:ascii="Arial" w:eastAsiaTheme="minorEastAsia" w:hAnsi="Arial" w:cs="Arial"/>
          <w:bCs/>
          <w:color w:val="000000"/>
          <w:sz w:val="24"/>
          <w:szCs w:val="24"/>
        </w:rPr>
        <w:t xml:space="preserve">El </w:t>
      </w:r>
      <w:r>
        <w:rPr>
          <w:rFonts w:ascii="Arial" w:eastAsiaTheme="minorEastAsia" w:hAnsi="Arial" w:cs="Arial"/>
          <w:bCs/>
          <w:i/>
          <w:color w:val="000000"/>
          <w:sz w:val="24"/>
          <w:szCs w:val="24"/>
        </w:rPr>
        <w:t xml:space="preserve">a quo </w:t>
      </w:r>
      <w:r>
        <w:rPr>
          <w:rFonts w:ascii="Arial" w:eastAsiaTheme="minorEastAsia" w:hAnsi="Arial" w:cs="Arial"/>
          <w:bCs/>
          <w:color w:val="000000"/>
          <w:sz w:val="24"/>
          <w:szCs w:val="24"/>
        </w:rPr>
        <w:t xml:space="preserve">llevó a cabo la audiencia inicial el 22 de mayo de 2018 y en </w:t>
      </w:r>
      <w:r w:rsidR="00C74023">
        <w:rPr>
          <w:rFonts w:ascii="Arial" w:eastAsiaTheme="minorEastAsia" w:hAnsi="Arial" w:cs="Arial"/>
          <w:bCs/>
          <w:color w:val="000000"/>
          <w:sz w:val="24"/>
          <w:szCs w:val="24"/>
        </w:rPr>
        <w:t>e</w:t>
      </w:r>
      <w:r>
        <w:rPr>
          <w:rFonts w:ascii="Arial" w:eastAsiaTheme="minorEastAsia" w:hAnsi="Arial" w:cs="Arial"/>
          <w:bCs/>
          <w:color w:val="000000"/>
          <w:sz w:val="24"/>
          <w:szCs w:val="24"/>
        </w:rPr>
        <w:t xml:space="preserve">sta aceptó el desistimiento </w:t>
      </w:r>
      <w:r w:rsidR="00C74023">
        <w:rPr>
          <w:rFonts w:ascii="Arial" w:eastAsiaTheme="minorEastAsia" w:hAnsi="Arial" w:cs="Arial"/>
          <w:bCs/>
          <w:color w:val="000000"/>
          <w:sz w:val="24"/>
          <w:szCs w:val="24"/>
        </w:rPr>
        <w:t xml:space="preserve">que presentó el apoderado de la parte demandante respecto </w:t>
      </w:r>
      <w:r>
        <w:rPr>
          <w:rFonts w:ascii="Arial" w:eastAsiaTheme="minorEastAsia" w:hAnsi="Arial" w:cs="Arial"/>
          <w:bCs/>
          <w:color w:val="000000"/>
          <w:sz w:val="24"/>
          <w:szCs w:val="24"/>
        </w:rPr>
        <w:t xml:space="preserve">de las pretensiones de </w:t>
      </w:r>
      <w:r w:rsidRPr="00182C73">
        <w:rPr>
          <w:rFonts w:ascii="Arial" w:hAnsi="Arial" w:cs="Arial"/>
          <w:sz w:val="24"/>
          <w:szCs w:val="24"/>
        </w:rPr>
        <w:t xml:space="preserve">nulidad </w:t>
      </w:r>
      <w:r w:rsidR="00182C73" w:rsidRPr="00182C73">
        <w:rPr>
          <w:rFonts w:ascii="Arial" w:hAnsi="Arial" w:cs="Arial"/>
          <w:sz w:val="24"/>
          <w:szCs w:val="24"/>
        </w:rPr>
        <w:t xml:space="preserve">de la evaluación </w:t>
      </w:r>
      <w:r w:rsidRPr="00182C73">
        <w:rPr>
          <w:rFonts w:ascii="Arial" w:hAnsi="Arial" w:cs="Arial"/>
          <w:sz w:val="24"/>
          <w:szCs w:val="24"/>
        </w:rPr>
        <w:t>definitiva del proceso de selección abreviada de Subasta Inversa S.A.-SI-</w:t>
      </w:r>
      <w:r w:rsidR="00C74023">
        <w:rPr>
          <w:rFonts w:ascii="Arial" w:hAnsi="Arial" w:cs="Arial"/>
          <w:sz w:val="24"/>
          <w:szCs w:val="24"/>
        </w:rPr>
        <w:t>0</w:t>
      </w:r>
      <w:r w:rsidRPr="00182C73">
        <w:rPr>
          <w:rFonts w:ascii="Arial" w:hAnsi="Arial" w:cs="Arial"/>
          <w:sz w:val="24"/>
          <w:szCs w:val="24"/>
        </w:rPr>
        <w:t xml:space="preserve">14 </w:t>
      </w:r>
      <w:r w:rsidR="00C74023">
        <w:rPr>
          <w:rFonts w:ascii="Arial" w:hAnsi="Arial" w:cs="Arial"/>
          <w:sz w:val="24"/>
          <w:szCs w:val="24"/>
        </w:rPr>
        <w:t xml:space="preserve">de </w:t>
      </w:r>
      <w:r w:rsidRPr="00182C73">
        <w:rPr>
          <w:rFonts w:ascii="Arial" w:hAnsi="Arial" w:cs="Arial"/>
          <w:sz w:val="24"/>
          <w:szCs w:val="24"/>
        </w:rPr>
        <w:t>2016</w:t>
      </w:r>
      <w:r w:rsidR="00C74023">
        <w:rPr>
          <w:rFonts w:ascii="Arial" w:hAnsi="Arial" w:cs="Arial"/>
          <w:sz w:val="24"/>
          <w:szCs w:val="24"/>
        </w:rPr>
        <w:t xml:space="preserve"> </w:t>
      </w:r>
      <w:r w:rsidR="00182C73" w:rsidRPr="00182C73">
        <w:rPr>
          <w:rFonts w:ascii="Arial" w:hAnsi="Arial" w:cs="Arial"/>
          <w:sz w:val="24"/>
          <w:szCs w:val="24"/>
        </w:rPr>
        <w:t xml:space="preserve">y </w:t>
      </w:r>
      <w:r w:rsidRPr="00182C73">
        <w:rPr>
          <w:rFonts w:ascii="Arial" w:hAnsi="Arial" w:cs="Arial"/>
          <w:bCs/>
          <w:sz w:val="24"/>
          <w:szCs w:val="24"/>
        </w:rPr>
        <w:t>de</w:t>
      </w:r>
      <w:r w:rsidR="00EF3D8A">
        <w:rPr>
          <w:rFonts w:ascii="Arial" w:hAnsi="Arial" w:cs="Arial"/>
          <w:bCs/>
          <w:sz w:val="24"/>
          <w:szCs w:val="24"/>
        </w:rPr>
        <w:t xml:space="preserve"> nulidad de</w:t>
      </w:r>
      <w:r w:rsidRPr="00182C73">
        <w:rPr>
          <w:rFonts w:ascii="Arial" w:hAnsi="Arial" w:cs="Arial"/>
          <w:bCs/>
          <w:sz w:val="24"/>
          <w:szCs w:val="24"/>
        </w:rPr>
        <w:t xml:space="preserve"> la subasta en el proceso de selección </w:t>
      </w:r>
      <w:r w:rsidRPr="00182C73">
        <w:rPr>
          <w:rFonts w:ascii="Arial" w:hAnsi="Arial" w:cs="Arial"/>
          <w:sz w:val="24"/>
          <w:szCs w:val="24"/>
        </w:rPr>
        <w:t>abreviada – Subasta Inversa S.A.-SI-</w:t>
      </w:r>
      <w:r w:rsidR="00C74023">
        <w:rPr>
          <w:rFonts w:ascii="Arial" w:hAnsi="Arial" w:cs="Arial"/>
          <w:sz w:val="24"/>
          <w:szCs w:val="24"/>
        </w:rPr>
        <w:t>0</w:t>
      </w:r>
      <w:r w:rsidRPr="00182C73">
        <w:rPr>
          <w:rFonts w:ascii="Arial" w:hAnsi="Arial" w:cs="Arial"/>
          <w:sz w:val="24"/>
          <w:szCs w:val="24"/>
        </w:rPr>
        <w:t>14</w:t>
      </w:r>
      <w:r w:rsidR="00C74023">
        <w:rPr>
          <w:rFonts w:ascii="Arial" w:hAnsi="Arial" w:cs="Arial"/>
          <w:sz w:val="24"/>
          <w:szCs w:val="24"/>
        </w:rPr>
        <w:t xml:space="preserve"> de</w:t>
      </w:r>
      <w:r w:rsidRPr="00182C73">
        <w:rPr>
          <w:rFonts w:ascii="Arial" w:hAnsi="Arial" w:cs="Arial"/>
          <w:sz w:val="24"/>
          <w:szCs w:val="24"/>
        </w:rPr>
        <w:t xml:space="preserve"> 2016</w:t>
      </w:r>
      <w:r w:rsidR="00C74023">
        <w:rPr>
          <w:rFonts w:ascii="Arial" w:hAnsi="Arial" w:cs="Arial"/>
          <w:sz w:val="24"/>
          <w:szCs w:val="24"/>
        </w:rPr>
        <w:t xml:space="preserve">. </w:t>
      </w:r>
    </w:p>
    <w:p w14:paraId="1299C43A" w14:textId="77777777" w:rsidR="00182C73" w:rsidRDefault="00182C73" w:rsidP="002E0B70">
      <w:pPr>
        <w:pStyle w:val="Prrafodelista"/>
        <w:widowControl w:val="0"/>
        <w:spacing w:line="276" w:lineRule="auto"/>
        <w:ind w:left="0" w:right="48"/>
        <w:jc w:val="both"/>
        <w:rPr>
          <w:rFonts w:ascii="Arial" w:eastAsiaTheme="minorEastAsia" w:hAnsi="Arial" w:cs="Arial"/>
          <w:bCs/>
          <w:color w:val="000000"/>
          <w:sz w:val="24"/>
          <w:szCs w:val="24"/>
        </w:rPr>
      </w:pPr>
    </w:p>
    <w:p w14:paraId="6DD573D8" w14:textId="77777777" w:rsidR="00217ECC" w:rsidRPr="00182C73" w:rsidRDefault="00182C73" w:rsidP="002E0B70">
      <w:pPr>
        <w:pStyle w:val="Prrafodelista"/>
        <w:widowControl w:val="0"/>
        <w:spacing w:line="276" w:lineRule="auto"/>
        <w:ind w:left="0" w:right="48"/>
        <w:jc w:val="both"/>
        <w:rPr>
          <w:rFonts w:ascii="Arial" w:eastAsiaTheme="minorEastAsia" w:hAnsi="Arial" w:cs="Arial"/>
          <w:bCs/>
          <w:color w:val="000000"/>
          <w:sz w:val="24"/>
          <w:szCs w:val="24"/>
        </w:rPr>
      </w:pPr>
      <w:r>
        <w:rPr>
          <w:rFonts w:ascii="Arial" w:eastAsiaTheme="minorEastAsia" w:hAnsi="Arial" w:cs="Arial"/>
          <w:bCs/>
          <w:color w:val="000000"/>
          <w:sz w:val="24"/>
          <w:szCs w:val="24"/>
        </w:rPr>
        <w:t>Agotadas las</w:t>
      </w:r>
      <w:r w:rsidR="00C74023">
        <w:rPr>
          <w:rFonts w:ascii="Arial" w:eastAsiaTheme="minorEastAsia" w:hAnsi="Arial" w:cs="Arial"/>
          <w:bCs/>
          <w:color w:val="000000"/>
          <w:sz w:val="24"/>
          <w:szCs w:val="24"/>
        </w:rPr>
        <w:t xml:space="preserve"> siguientes</w:t>
      </w:r>
      <w:r>
        <w:rPr>
          <w:rFonts w:ascii="Arial" w:eastAsiaTheme="minorEastAsia" w:hAnsi="Arial" w:cs="Arial"/>
          <w:bCs/>
          <w:color w:val="000000"/>
          <w:sz w:val="24"/>
          <w:szCs w:val="24"/>
        </w:rPr>
        <w:t xml:space="preserve"> etapas procesales, el </w:t>
      </w:r>
      <w:r w:rsidR="00217ECC">
        <w:rPr>
          <w:rFonts w:ascii="Arial" w:hAnsi="Arial" w:cs="Arial"/>
          <w:iCs/>
          <w:sz w:val="24"/>
          <w:szCs w:val="24"/>
        </w:rPr>
        <w:t xml:space="preserve">Juzgado Doce Administrativo del Circuito de Tunja profirió </w:t>
      </w:r>
      <w:r w:rsidR="00217ECC" w:rsidRPr="00C74023">
        <w:rPr>
          <w:rFonts w:ascii="Arial" w:hAnsi="Arial" w:cs="Arial"/>
          <w:iCs/>
          <w:sz w:val="24"/>
          <w:szCs w:val="24"/>
        </w:rPr>
        <w:t>sentencia el 18 de diciembre de 2019</w:t>
      </w:r>
      <w:r w:rsidR="00217ECC">
        <w:rPr>
          <w:rFonts w:ascii="Arial" w:hAnsi="Arial" w:cs="Arial"/>
          <w:iCs/>
          <w:sz w:val="24"/>
          <w:szCs w:val="24"/>
        </w:rPr>
        <w:t xml:space="preserve">, en la cual: i) declaró probadas las excepciones denominadas cláusula ineficaz de pleno derecho dentro del pliego de condiciones, ausencia de causa </w:t>
      </w:r>
      <w:r w:rsidR="00217ECC" w:rsidRPr="00182C73">
        <w:rPr>
          <w:rFonts w:ascii="Arial" w:hAnsi="Arial" w:cs="Arial"/>
          <w:i/>
          <w:iCs/>
          <w:sz w:val="24"/>
          <w:szCs w:val="24"/>
        </w:rPr>
        <w:t>petendi</w:t>
      </w:r>
      <w:r w:rsidR="00217ECC">
        <w:rPr>
          <w:rFonts w:ascii="Arial" w:hAnsi="Arial" w:cs="Arial"/>
          <w:iCs/>
          <w:sz w:val="24"/>
          <w:szCs w:val="24"/>
        </w:rPr>
        <w:t xml:space="preserve"> y no acreditación de ser el posible ganador; </w:t>
      </w:r>
      <w:proofErr w:type="spellStart"/>
      <w:r w:rsidR="00217ECC">
        <w:rPr>
          <w:rFonts w:ascii="Arial" w:hAnsi="Arial" w:cs="Arial"/>
          <w:iCs/>
          <w:sz w:val="24"/>
          <w:szCs w:val="24"/>
        </w:rPr>
        <w:t>ii</w:t>
      </w:r>
      <w:proofErr w:type="spellEnd"/>
      <w:r w:rsidR="00217ECC">
        <w:rPr>
          <w:rFonts w:ascii="Arial" w:hAnsi="Arial" w:cs="Arial"/>
          <w:iCs/>
          <w:sz w:val="24"/>
          <w:szCs w:val="24"/>
        </w:rPr>
        <w:t xml:space="preserve">) negó las pretensiones de la demanda; y </w:t>
      </w:r>
      <w:proofErr w:type="spellStart"/>
      <w:r w:rsidR="00217ECC">
        <w:rPr>
          <w:rFonts w:ascii="Arial" w:hAnsi="Arial" w:cs="Arial"/>
          <w:iCs/>
          <w:sz w:val="24"/>
          <w:szCs w:val="24"/>
        </w:rPr>
        <w:t>iii</w:t>
      </w:r>
      <w:proofErr w:type="spellEnd"/>
      <w:r w:rsidR="00217ECC">
        <w:rPr>
          <w:rFonts w:ascii="Arial" w:hAnsi="Arial" w:cs="Arial"/>
          <w:iCs/>
          <w:sz w:val="24"/>
          <w:szCs w:val="24"/>
        </w:rPr>
        <w:t xml:space="preserve">) condenó en costas a la parte demandante. </w:t>
      </w:r>
    </w:p>
    <w:p w14:paraId="4DDBEF00" w14:textId="77777777" w:rsidR="00217ECC" w:rsidRPr="00C734F0" w:rsidRDefault="00217ECC" w:rsidP="002E0B70">
      <w:pPr>
        <w:widowControl w:val="0"/>
        <w:tabs>
          <w:tab w:val="left" w:pos="-1440"/>
          <w:tab w:val="left" w:pos="-720"/>
          <w:tab w:val="left" w:pos="0"/>
          <w:tab w:val="left" w:pos="3311"/>
          <w:tab w:val="left" w:pos="7655"/>
        </w:tabs>
        <w:suppressAutoHyphens/>
        <w:spacing w:line="276" w:lineRule="auto"/>
        <w:ind w:right="48"/>
        <w:jc w:val="both"/>
        <w:rPr>
          <w:rFonts w:ascii="Arial" w:hAnsi="Arial" w:cs="Arial"/>
          <w:sz w:val="24"/>
          <w:szCs w:val="24"/>
        </w:rPr>
      </w:pPr>
    </w:p>
    <w:p w14:paraId="3F91DC59" w14:textId="1BB6FFAF" w:rsidR="00334C03" w:rsidRDefault="00217ECC" w:rsidP="002E0B70">
      <w:pPr>
        <w:pStyle w:val="Prrafodelista"/>
        <w:widowControl w:val="0"/>
        <w:tabs>
          <w:tab w:val="left" w:pos="567"/>
          <w:tab w:val="left" w:pos="7655"/>
        </w:tabs>
        <w:spacing w:line="276" w:lineRule="auto"/>
        <w:ind w:left="0" w:right="48"/>
        <w:jc w:val="both"/>
        <w:rPr>
          <w:rFonts w:ascii="Arial" w:hAnsi="Arial" w:cs="Arial"/>
          <w:sz w:val="24"/>
          <w:szCs w:val="24"/>
        </w:rPr>
      </w:pPr>
      <w:r w:rsidRPr="0031060C">
        <w:rPr>
          <w:rFonts w:ascii="Arial" w:hAnsi="Arial" w:cs="Arial"/>
          <w:sz w:val="24"/>
          <w:szCs w:val="24"/>
        </w:rPr>
        <w:t>La parte demandante</w:t>
      </w:r>
      <w:r w:rsidR="00437304">
        <w:rPr>
          <w:rFonts w:ascii="Arial" w:hAnsi="Arial" w:cs="Arial"/>
          <w:sz w:val="24"/>
          <w:szCs w:val="24"/>
        </w:rPr>
        <w:t xml:space="preserve"> </w:t>
      </w:r>
      <w:r w:rsidRPr="0031060C">
        <w:rPr>
          <w:rFonts w:ascii="Arial" w:hAnsi="Arial" w:cs="Arial"/>
          <w:sz w:val="24"/>
          <w:szCs w:val="24"/>
        </w:rPr>
        <w:t>interpuso recurso de apelación contra la sentencia de primera instancia</w:t>
      </w:r>
      <w:r w:rsidR="00334C03">
        <w:rPr>
          <w:rStyle w:val="Refdenotaalpie"/>
          <w:rFonts w:ascii="Arial" w:hAnsi="Arial" w:cs="Arial"/>
          <w:sz w:val="24"/>
          <w:szCs w:val="24"/>
        </w:rPr>
        <w:footnoteReference w:id="8"/>
      </w:r>
      <w:r w:rsidR="00334C03">
        <w:rPr>
          <w:rFonts w:ascii="Arial" w:hAnsi="Arial" w:cs="Arial"/>
          <w:sz w:val="24"/>
          <w:szCs w:val="24"/>
        </w:rPr>
        <w:t xml:space="preserve">; en consecuencia, el </w:t>
      </w:r>
      <w:r w:rsidR="00334C03" w:rsidRPr="14EAD17E">
        <w:rPr>
          <w:rFonts w:ascii="Arial" w:hAnsi="Arial" w:cs="Arial"/>
          <w:i/>
          <w:iCs/>
          <w:sz w:val="24"/>
          <w:szCs w:val="24"/>
        </w:rPr>
        <w:t xml:space="preserve">a quo </w:t>
      </w:r>
      <w:r w:rsidR="00334C03">
        <w:rPr>
          <w:rFonts w:ascii="Arial" w:hAnsi="Arial" w:cs="Arial"/>
          <w:sz w:val="24"/>
          <w:szCs w:val="24"/>
        </w:rPr>
        <w:t>concedió la alzada en efecto suspensivo</w:t>
      </w:r>
      <w:r w:rsidR="00334C03">
        <w:rPr>
          <w:rStyle w:val="Refdenotaalpie"/>
          <w:rFonts w:ascii="Arial" w:hAnsi="Arial" w:cs="Arial"/>
          <w:sz w:val="24"/>
          <w:szCs w:val="24"/>
        </w:rPr>
        <w:footnoteReference w:id="9"/>
      </w:r>
      <w:r w:rsidR="00334C03">
        <w:rPr>
          <w:rFonts w:ascii="Arial" w:hAnsi="Arial" w:cs="Arial"/>
          <w:sz w:val="24"/>
          <w:szCs w:val="24"/>
        </w:rPr>
        <w:t>.</w:t>
      </w:r>
    </w:p>
    <w:p w14:paraId="3461D779" w14:textId="77777777" w:rsidR="00334C03" w:rsidRDefault="00334C03" w:rsidP="002E0B70">
      <w:pPr>
        <w:pStyle w:val="Prrafodelista"/>
        <w:widowControl w:val="0"/>
        <w:tabs>
          <w:tab w:val="left" w:pos="567"/>
          <w:tab w:val="left" w:pos="7655"/>
        </w:tabs>
        <w:spacing w:line="276" w:lineRule="auto"/>
        <w:ind w:left="0" w:right="48"/>
        <w:jc w:val="both"/>
        <w:rPr>
          <w:rFonts w:ascii="Arial" w:hAnsi="Arial" w:cs="Arial"/>
          <w:sz w:val="24"/>
          <w:szCs w:val="24"/>
        </w:rPr>
      </w:pPr>
    </w:p>
    <w:p w14:paraId="5C60238C" w14:textId="77777777" w:rsidR="00334C03" w:rsidRPr="00334C03" w:rsidRDefault="00334C03" w:rsidP="002E0B70">
      <w:pPr>
        <w:pStyle w:val="Prrafodelista"/>
        <w:widowControl w:val="0"/>
        <w:tabs>
          <w:tab w:val="left" w:pos="567"/>
          <w:tab w:val="left" w:pos="7655"/>
        </w:tabs>
        <w:spacing w:line="276" w:lineRule="auto"/>
        <w:ind w:left="0" w:right="48"/>
        <w:jc w:val="both"/>
        <w:rPr>
          <w:rFonts w:ascii="Arial" w:hAnsi="Arial" w:cs="Arial"/>
          <w:sz w:val="24"/>
          <w:szCs w:val="24"/>
        </w:rPr>
      </w:pPr>
      <w:r>
        <w:rPr>
          <w:rFonts w:ascii="Arial" w:hAnsi="Arial" w:cs="Arial"/>
          <w:sz w:val="24"/>
          <w:szCs w:val="24"/>
        </w:rPr>
        <w:t>El Tribunal admitió el recurso de apelación</w:t>
      </w:r>
      <w:r>
        <w:rPr>
          <w:rStyle w:val="Refdenotaalpie"/>
          <w:rFonts w:ascii="Arial" w:hAnsi="Arial" w:cs="Arial"/>
          <w:sz w:val="24"/>
          <w:szCs w:val="24"/>
        </w:rPr>
        <w:footnoteReference w:id="10"/>
      </w:r>
      <w:r>
        <w:rPr>
          <w:rFonts w:ascii="Arial" w:hAnsi="Arial" w:cs="Arial"/>
          <w:sz w:val="24"/>
          <w:szCs w:val="24"/>
        </w:rPr>
        <w:t xml:space="preserve"> y corrió traslado a las partes para que presentaran sus alegatos</w:t>
      </w:r>
      <w:r>
        <w:rPr>
          <w:rStyle w:val="Refdenotaalpie"/>
          <w:rFonts w:ascii="Arial" w:hAnsi="Arial" w:cs="Arial"/>
          <w:sz w:val="24"/>
          <w:szCs w:val="24"/>
        </w:rPr>
        <w:footnoteReference w:id="11"/>
      </w:r>
      <w:r>
        <w:rPr>
          <w:rFonts w:ascii="Arial" w:hAnsi="Arial" w:cs="Arial"/>
          <w:sz w:val="24"/>
          <w:szCs w:val="24"/>
        </w:rPr>
        <w:t>.</w:t>
      </w:r>
    </w:p>
    <w:p w14:paraId="29D6B04F" w14:textId="77777777" w:rsidR="00217ECC" w:rsidRDefault="00217ECC" w:rsidP="00334C03">
      <w:pPr>
        <w:pStyle w:val="Prrafodelista"/>
        <w:widowControl w:val="0"/>
        <w:tabs>
          <w:tab w:val="left" w:pos="567"/>
          <w:tab w:val="left" w:pos="7655"/>
        </w:tabs>
        <w:spacing w:line="276" w:lineRule="auto"/>
        <w:ind w:left="0" w:right="-659"/>
        <w:jc w:val="both"/>
        <w:rPr>
          <w:rFonts w:ascii="Arial" w:eastAsiaTheme="minorEastAsia" w:hAnsi="Arial" w:cs="Arial"/>
          <w:bCs/>
          <w:sz w:val="24"/>
          <w:szCs w:val="24"/>
        </w:rPr>
      </w:pPr>
      <w:r w:rsidRPr="00311607">
        <w:rPr>
          <w:rFonts w:ascii="Arial" w:eastAsiaTheme="minorEastAsia" w:hAnsi="Arial" w:cs="Arial"/>
          <w:bCs/>
          <w:sz w:val="24"/>
          <w:szCs w:val="24"/>
        </w:rPr>
        <w:t xml:space="preserve"> </w:t>
      </w:r>
    </w:p>
    <w:p w14:paraId="47FCEFDB" w14:textId="677A776F" w:rsidR="00334C03" w:rsidRPr="00DB6641" w:rsidRDefault="00DB6641" w:rsidP="14EAD17E">
      <w:pPr>
        <w:spacing w:line="276" w:lineRule="auto"/>
        <w:ind w:right="48"/>
        <w:contextualSpacing/>
        <w:jc w:val="center"/>
        <w:rPr>
          <w:rFonts w:ascii="Arial" w:hAnsi="Arial" w:cs="Arial"/>
          <w:b/>
          <w:bCs/>
          <w:sz w:val="24"/>
          <w:szCs w:val="24"/>
        </w:rPr>
      </w:pPr>
      <w:r w:rsidRPr="14EAD17E">
        <w:rPr>
          <w:rFonts w:ascii="Arial" w:hAnsi="Arial" w:cs="Arial"/>
          <w:b/>
          <w:bCs/>
          <w:sz w:val="24"/>
          <w:szCs w:val="24"/>
        </w:rPr>
        <w:t xml:space="preserve">II.  </w:t>
      </w:r>
    </w:p>
    <w:p w14:paraId="3CF2D8B6" w14:textId="77777777" w:rsidR="00334C03" w:rsidRDefault="00334C03" w:rsidP="00334C03">
      <w:pPr>
        <w:pStyle w:val="Prrafodelista"/>
        <w:widowControl w:val="0"/>
        <w:tabs>
          <w:tab w:val="left" w:pos="567"/>
          <w:tab w:val="left" w:pos="7655"/>
        </w:tabs>
        <w:spacing w:line="276" w:lineRule="auto"/>
        <w:ind w:left="0" w:right="-659"/>
        <w:jc w:val="both"/>
        <w:rPr>
          <w:rFonts w:ascii="Arial" w:hAnsi="Arial" w:cs="Arial"/>
          <w:sz w:val="24"/>
          <w:szCs w:val="24"/>
        </w:rPr>
      </w:pPr>
    </w:p>
    <w:p w14:paraId="220CB442" w14:textId="77777777" w:rsidR="006A659C" w:rsidRPr="002E0B70" w:rsidRDefault="00334C03" w:rsidP="00FB2E20">
      <w:pPr>
        <w:spacing w:line="276" w:lineRule="auto"/>
        <w:jc w:val="both"/>
        <w:rPr>
          <w:rFonts w:ascii="Arial" w:hAnsi="Arial" w:cs="Arial"/>
          <w:i/>
          <w:sz w:val="24"/>
          <w:szCs w:val="24"/>
        </w:rPr>
      </w:pPr>
      <w:r>
        <w:rPr>
          <w:rFonts w:ascii="Arial" w:hAnsi="Arial" w:cs="Arial"/>
          <w:sz w:val="24"/>
          <w:szCs w:val="24"/>
        </w:rPr>
        <w:t>El numeral 2° del artículo 133 del Código General del Proceso</w:t>
      </w:r>
      <w:r w:rsidR="00FB2E20">
        <w:rPr>
          <w:rFonts w:ascii="Arial" w:hAnsi="Arial" w:cs="Arial"/>
          <w:sz w:val="24"/>
          <w:szCs w:val="24"/>
        </w:rPr>
        <w:t xml:space="preserve"> prevé que el proceso es nulo, en todo o en parte, cuando, entre otros casos, se pretermite íntegramente la respectiva instancia</w:t>
      </w:r>
      <w:r w:rsidR="0049341B">
        <w:rPr>
          <w:rFonts w:ascii="Arial" w:hAnsi="Arial" w:cs="Arial"/>
          <w:sz w:val="24"/>
          <w:szCs w:val="24"/>
        </w:rPr>
        <w:t xml:space="preserve">. Esta causal de nulidad es </w:t>
      </w:r>
      <w:r w:rsidR="002E0B70" w:rsidRPr="002E0B70">
        <w:rPr>
          <w:rFonts w:ascii="Arial" w:hAnsi="Arial" w:cs="Arial"/>
          <w:b/>
          <w:sz w:val="24"/>
          <w:szCs w:val="24"/>
        </w:rPr>
        <w:t>insanable</w:t>
      </w:r>
      <w:r w:rsidR="002E0B70">
        <w:rPr>
          <w:rFonts w:ascii="Arial" w:hAnsi="Arial" w:cs="Arial"/>
          <w:sz w:val="24"/>
          <w:szCs w:val="24"/>
        </w:rPr>
        <w:t xml:space="preserve">, de conformidad con el párrafo del artículo 136 </w:t>
      </w:r>
      <w:r w:rsidR="002E0B70">
        <w:rPr>
          <w:rFonts w:ascii="Arial" w:hAnsi="Arial" w:cs="Arial"/>
          <w:i/>
          <w:sz w:val="24"/>
          <w:szCs w:val="24"/>
        </w:rPr>
        <w:t>ibidem.</w:t>
      </w:r>
    </w:p>
    <w:p w14:paraId="0FB78278" w14:textId="77777777" w:rsidR="00FB2E20" w:rsidRDefault="00FB2E20" w:rsidP="001A4CE2">
      <w:pPr>
        <w:spacing w:line="276" w:lineRule="auto"/>
        <w:jc w:val="both"/>
        <w:rPr>
          <w:rFonts w:ascii="Arial" w:hAnsi="Arial" w:cs="Arial"/>
          <w:sz w:val="24"/>
          <w:szCs w:val="24"/>
        </w:rPr>
      </w:pPr>
    </w:p>
    <w:p w14:paraId="3C71AB59" w14:textId="77777777" w:rsidR="005F55FC" w:rsidRDefault="000039F3" w:rsidP="0042102D">
      <w:pPr>
        <w:spacing w:line="276" w:lineRule="auto"/>
        <w:jc w:val="both"/>
        <w:rPr>
          <w:rFonts w:ascii="Arial" w:hAnsi="Arial" w:cs="Arial"/>
          <w:sz w:val="24"/>
          <w:szCs w:val="24"/>
        </w:rPr>
      </w:pPr>
      <w:r>
        <w:rPr>
          <w:rFonts w:ascii="Arial" w:hAnsi="Arial" w:cs="Arial"/>
          <w:sz w:val="24"/>
          <w:szCs w:val="24"/>
        </w:rPr>
        <w:lastRenderedPageBreak/>
        <w:t>Se ha</w:t>
      </w:r>
      <w:r w:rsidR="001A4CE2">
        <w:rPr>
          <w:rFonts w:ascii="Arial" w:hAnsi="Arial" w:cs="Arial"/>
          <w:sz w:val="24"/>
          <w:szCs w:val="24"/>
        </w:rPr>
        <w:t xml:space="preserve"> considerado </w:t>
      </w:r>
      <w:r>
        <w:rPr>
          <w:rFonts w:ascii="Arial" w:hAnsi="Arial" w:cs="Arial"/>
          <w:sz w:val="24"/>
          <w:szCs w:val="24"/>
        </w:rPr>
        <w:t xml:space="preserve">jurisprudencialmente </w:t>
      </w:r>
      <w:r w:rsidR="001A4CE2">
        <w:rPr>
          <w:rFonts w:ascii="Arial" w:hAnsi="Arial" w:cs="Arial"/>
          <w:sz w:val="24"/>
          <w:szCs w:val="24"/>
        </w:rPr>
        <w:t xml:space="preserve">que </w:t>
      </w:r>
      <w:r>
        <w:rPr>
          <w:rFonts w:ascii="Arial" w:hAnsi="Arial" w:cs="Arial"/>
          <w:sz w:val="24"/>
          <w:szCs w:val="24"/>
        </w:rPr>
        <w:t>se configura esta causal de nulidad en los procesos</w:t>
      </w:r>
      <w:r w:rsidR="001353D8">
        <w:rPr>
          <w:rFonts w:ascii="Arial" w:hAnsi="Arial" w:cs="Arial"/>
          <w:sz w:val="24"/>
          <w:szCs w:val="24"/>
        </w:rPr>
        <w:t xml:space="preserve"> </w:t>
      </w:r>
      <w:r>
        <w:rPr>
          <w:rFonts w:ascii="Arial" w:hAnsi="Arial" w:cs="Arial"/>
          <w:sz w:val="24"/>
          <w:szCs w:val="24"/>
        </w:rPr>
        <w:t>que tienen por objeto la nulidad del acto administrativo por medio del cual se adjudic</w:t>
      </w:r>
      <w:r w:rsidR="009639B9">
        <w:rPr>
          <w:rFonts w:ascii="Arial" w:hAnsi="Arial" w:cs="Arial"/>
          <w:sz w:val="24"/>
          <w:szCs w:val="24"/>
        </w:rPr>
        <w:t>a</w:t>
      </w:r>
      <w:r>
        <w:rPr>
          <w:rFonts w:ascii="Arial" w:hAnsi="Arial" w:cs="Arial"/>
          <w:sz w:val="24"/>
          <w:szCs w:val="24"/>
        </w:rPr>
        <w:t xml:space="preserve"> un contrato estatal, así como la nulidad absoluta </w:t>
      </w:r>
      <w:r w:rsidR="009639B9">
        <w:rPr>
          <w:rFonts w:ascii="Arial" w:hAnsi="Arial" w:cs="Arial"/>
          <w:sz w:val="24"/>
          <w:szCs w:val="24"/>
        </w:rPr>
        <w:t>de este negocio jurídico</w:t>
      </w:r>
      <w:r>
        <w:rPr>
          <w:rFonts w:ascii="Arial" w:hAnsi="Arial" w:cs="Arial"/>
          <w:sz w:val="24"/>
          <w:szCs w:val="24"/>
        </w:rPr>
        <w:t xml:space="preserve">, cuando </w:t>
      </w:r>
      <w:r w:rsidRPr="000039F3">
        <w:rPr>
          <w:rFonts w:ascii="Arial" w:hAnsi="Arial" w:cs="Arial"/>
          <w:b/>
          <w:sz w:val="24"/>
          <w:szCs w:val="24"/>
        </w:rPr>
        <w:t>no</w:t>
      </w:r>
      <w:r>
        <w:rPr>
          <w:rFonts w:ascii="Arial" w:hAnsi="Arial" w:cs="Arial"/>
          <w:sz w:val="24"/>
          <w:szCs w:val="24"/>
        </w:rPr>
        <w:t xml:space="preserve"> </w:t>
      </w:r>
      <w:r w:rsidRPr="001353D8">
        <w:rPr>
          <w:rFonts w:ascii="Arial" w:hAnsi="Arial" w:cs="Arial"/>
          <w:b/>
          <w:sz w:val="24"/>
          <w:szCs w:val="24"/>
        </w:rPr>
        <w:t>se vincula</w:t>
      </w:r>
      <w:r w:rsidR="0042102D">
        <w:rPr>
          <w:rFonts w:ascii="Arial" w:hAnsi="Arial" w:cs="Arial"/>
          <w:sz w:val="24"/>
          <w:szCs w:val="24"/>
        </w:rPr>
        <w:t xml:space="preserve"> </w:t>
      </w:r>
      <w:r w:rsidR="001353D8">
        <w:rPr>
          <w:rFonts w:ascii="Arial" w:hAnsi="Arial" w:cs="Arial"/>
          <w:sz w:val="24"/>
          <w:szCs w:val="24"/>
        </w:rPr>
        <w:t xml:space="preserve">al </w:t>
      </w:r>
      <w:r>
        <w:rPr>
          <w:rFonts w:ascii="Arial" w:hAnsi="Arial" w:cs="Arial"/>
          <w:sz w:val="24"/>
          <w:szCs w:val="24"/>
        </w:rPr>
        <w:t xml:space="preserve">adjudicatario </w:t>
      </w:r>
      <w:r w:rsidR="0042102D">
        <w:rPr>
          <w:rFonts w:ascii="Arial" w:hAnsi="Arial" w:cs="Arial"/>
          <w:sz w:val="24"/>
          <w:szCs w:val="24"/>
        </w:rPr>
        <w:t>o</w:t>
      </w:r>
      <w:r>
        <w:rPr>
          <w:rFonts w:ascii="Arial" w:hAnsi="Arial" w:cs="Arial"/>
          <w:sz w:val="24"/>
          <w:szCs w:val="24"/>
        </w:rPr>
        <w:t xml:space="preserve"> al contratista, en los términos del artículo 61 del Código General del Proceso</w:t>
      </w:r>
      <w:r w:rsidR="0042102D">
        <w:rPr>
          <w:rStyle w:val="Refdenotaalpie"/>
          <w:rFonts w:ascii="Arial" w:hAnsi="Arial" w:cs="Arial"/>
          <w:sz w:val="24"/>
          <w:szCs w:val="24"/>
        </w:rPr>
        <w:footnoteReference w:id="12"/>
      </w:r>
      <w:r w:rsidR="0042102D">
        <w:rPr>
          <w:rFonts w:ascii="Arial" w:hAnsi="Arial" w:cs="Arial"/>
          <w:sz w:val="24"/>
          <w:szCs w:val="24"/>
        </w:rPr>
        <w:t>.</w:t>
      </w:r>
    </w:p>
    <w:p w14:paraId="1FC39945" w14:textId="77777777" w:rsidR="0042102D" w:rsidRDefault="0042102D" w:rsidP="0042102D">
      <w:pPr>
        <w:spacing w:line="276" w:lineRule="auto"/>
        <w:jc w:val="both"/>
        <w:rPr>
          <w:rFonts w:ascii="Arial" w:hAnsi="Arial" w:cs="Arial"/>
          <w:sz w:val="24"/>
          <w:szCs w:val="24"/>
        </w:rPr>
      </w:pPr>
    </w:p>
    <w:p w14:paraId="3D515A0E" w14:textId="77777777" w:rsidR="003C72C1" w:rsidRDefault="000039F3" w:rsidP="00054338">
      <w:pPr>
        <w:spacing w:line="276" w:lineRule="auto"/>
        <w:jc w:val="both"/>
        <w:rPr>
          <w:rFonts w:ascii="Arial" w:hAnsi="Arial" w:cs="Arial"/>
          <w:sz w:val="24"/>
          <w:szCs w:val="24"/>
        </w:rPr>
      </w:pPr>
      <w:r w:rsidRPr="003C72C1">
        <w:rPr>
          <w:rFonts w:ascii="Arial" w:hAnsi="Arial" w:cs="Arial"/>
          <w:sz w:val="24"/>
          <w:szCs w:val="24"/>
        </w:rPr>
        <w:t xml:space="preserve">El Tribunal </w:t>
      </w:r>
      <w:r w:rsidRPr="004E516F">
        <w:rPr>
          <w:rFonts w:ascii="Arial" w:hAnsi="Arial" w:cs="Arial"/>
          <w:sz w:val="24"/>
          <w:szCs w:val="24"/>
        </w:rPr>
        <w:t>Administrativo de Boyacá, mediante el auto de 27 de</w:t>
      </w:r>
      <w:r w:rsidRPr="003C72C1">
        <w:rPr>
          <w:rFonts w:ascii="Arial" w:hAnsi="Arial" w:cs="Arial"/>
          <w:sz w:val="24"/>
          <w:szCs w:val="24"/>
        </w:rPr>
        <w:t xml:space="preserve"> agosto de 2021</w:t>
      </w:r>
      <w:r w:rsidRPr="003C72C1">
        <w:rPr>
          <w:rStyle w:val="Refdenotaalpie"/>
          <w:rFonts w:ascii="Arial" w:hAnsi="Arial" w:cs="Arial"/>
          <w:sz w:val="24"/>
          <w:szCs w:val="24"/>
        </w:rPr>
        <w:footnoteReference w:id="13"/>
      </w:r>
      <w:r w:rsidR="003C72C1" w:rsidRPr="003C72C1">
        <w:rPr>
          <w:rFonts w:ascii="Arial" w:hAnsi="Arial" w:cs="Arial"/>
          <w:sz w:val="24"/>
          <w:szCs w:val="24"/>
        </w:rPr>
        <w:t xml:space="preserve">, declaró la nulidad de lo actuado </w:t>
      </w:r>
      <w:r w:rsidR="0049341B">
        <w:rPr>
          <w:rFonts w:ascii="Arial" w:hAnsi="Arial" w:cs="Arial"/>
          <w:sz w:val="24"/>
          <w:szCs w:val="24"/>
        </w:rPr>
        <w:t xml:space="preserve">en un proceso de controversias contractuales </w:t>
      </w:r>
      <w:r w:rsidR="003C72C1" w:rsidRPr="003C72C1">
        <w:rPr>
          <w:rFonts w:ascii="Arial" w:hAnsi="Arial" w:cs="Arial"/>
          <w:sz w:val="24"/>
          <w:szCs w:val="24"/>
        </w:rPr>
        <w:t xml:space="preserve">a partir de la sentencia de primera instancia porque </w:t>
      </w:r>
      <w:r w:rsidR="003C72C1">
        <w:rPr>
          <w:rFonts w:ascii="Arial" w:hAnsi="Arial" w:cs="Arial"/>
          <w:sz w:val="24"/>
          <w:szCs w:val="24"/>
        </w:rPr>
        <w:t xml:space="preserve">el juez </w:t>
      </w:r>
      <w:r w:rsidR="003C72C1" w:rsidRPr="003C72C1">
        <w:rPr>
          <w:rFonts w:ascii="Arial" w:hAnsi="Arial" w:cs="Arial"/>
          <w:sz w:val="24"/>
          <w:szCs w:val="24"/>
          <w:lang w:val="es-ES"/>
        </w:rPr>
        <w:t xml:space="preserve">omitió la notificación del auto admisorio de la demanda </w:t>
      </w:r>
      <w:r w:rsidR="003C72C1">
        <w:rPr>
          <w:rFonts w:ascii="Arial" w:hAnsi="Arial" w:cs="Arial"/>
          <w:sz w:val="24"/>
          <w:szCs w:val="24"/>
          <w:lang w:val="es-ES"/>
        </w:rPr>
        <w:t xml:space="preserve">al adjudicatario o contratista </w:t>
      </w:r>
      <w:r w:rsidR="003C72C1" w:rsidRPr="003C72C1">
        <w:rPr>
          <w:rFonts w:ascii="Arial" w:hAnsi="Arial" w:cs="Arial"/>
          <w:sz w:val="24"/>
          <w:szCs w:val="24"/>
          <w:lang w:val="es-ES"/>
        </w:rPr>
        <w:t>que debía ser citado como parte y, en consecuencia, pretermitió íntegramente la primera instancia respecto de aquel</w:t>
      </w:r>
      <w:r w:rsidR="003C72C1">
        <w:rPr>
          <w:rFonts w:ascii="Arial" w:hAnsi="Arial" w:cs="Arial"/>
          <w:sz w:val="24"/>
          <w:szCs w:val="24"/>
        </w:rPr>
        <w:t>. Esta decisión tuvo como fundamento la tesis expuesta anteriormente y</w:t>
      </w:r>
      <w:r w:rsidR="008652DB">
        <w:rPr>
          <w:rFonts w:ascii="Arial" w:hAnsi="Arial" w:cs="Arial"/>
          <w:sz w:val="24"/>
          <w:szCs w:val="24"/>
        </w:rPr>
        <w:t xml:space="preserve"> allí se</w:t>
      </w:r>
      <w:r w:rsidR="003C72C1">
        <w:rPr>
          <w:rFonts w:ascii="Arial" w:hAnsi="Arial" w:cs="Arial"/>
          <w:sz w:val="24"/>
          <w:szCs w:val="24"/>
        </w:rPr>
        <w:t xml:space="preserve"> precisó que la obligatoriedad de vinculación del adjudicatario o contratista persiste aun cuando el contrato no se encuentra en ejecución y fue liquidado.</w:t>
      </w:r>
    </w:p>
    <w:p w14:paraId="0562CB0E" w14:textId="77777777" w:rsidR="003C72C1" w:rsidRDefault="003C72C1" w:rsidP="00054338">
      <w:pPr>
        <w:spacing w:line="276" w:lineRule="auto"/>
        <w:jc w:val="both"/>
        <w:rPr>
          <w:rFonts w:ascii="Arial" w:hAnsi="Arial" w:cs="Arial"/>
          <w:sz w:val="24"/>
          <w:szCs w:val="24"/>
        </w:rPr>
      </w:pPr>
    </w:p>
    <w:p w14:paraId="2518F6B3" w14:textId="6CE2BDFB" w:rsidR="003C72C1" w:rsidRDefault="003C72C1" w:rsidP="00054338">
      <w:pPr>
        <w:spacing w:line="276" w:lineRule="auto"/>
        <w:jc w:val="both"/>
        <w:rPr>
          <w:rFonts w:ascii="Arial" w:hAnsi="Arial" w:cs="Arial"/>
          <w:sz w:val="24"/>
          <w:szCs w:val="24"/>
        </w:rPr>
      </w:pPr>
      <w:r w:rsidRPr="14EAD17E">
        <w:rPr>
          <w:rFonts w:ascii="Arial" w:hAnsi="Arial" w:cs="Arial"/>
          <w:sz w:val="24"/>
          <w:szCs w:val="24"/>
        </w:rPr>
        <w:t xml:space="preserve">En el mismo sentido, la Sección Tercera del Consejo de Estado, en el auto de 27 de enero de 2021, </w:t>
      </w:r>
      <w:r w:rsidR="001353D8" w:rsidRPr="14EAD17E">
        <w:rPr>
          <w:rFonts w:ascii="Arial" w:hAnsi="Arial" w:cs="Arial"/>
          <w:sz w:val="24"/>
          <w:szCs w:val="24"/>
        </w:rPr>
        <w:t>consideró</w:t>
      </w:r>
      <w:r w:rsidRPr="14EAD17E">
        <w:rPr>
          <w:rFonts w:ascii="Arial" w:hAnsi="Arial" w:cs="Arial"/>
          <w:sz w:val="24"/>
          <w:szCs w:val="24"/>
        </w:rPr>
        <w:t xml:space="preserve"> que en estos casos se configuraba la causal de nulidad a l</w:t>
      </w:r>
      <w:r w:rsidR="001353D8" w:rsidRPr="14EAD17E">
        <w:rPr>
          <w:rFonts w:ascii="Arial" w:hAnsi="Arial" w:cs="Arial"/>
          <w:sz w:val="24"/>
          <w:szCs w:val="24"/>
        </w:rPr>
        <w:t>a</w:t>
      </w:r>
      <w:r w:rsidRPr="14EAD17E">
        <w:rPr>
          <w:rFonts w:ascii="Arial" w:hAnsi="Arial" w:cs="Arial"/>
          <w:sz w:val="24"/>
          <w:szCs w:val="24"/>
        </w:rPr>
        <w:t xml:space="preserve"> que se ha hecho referencia, así: </w:t>
      </w:r>
    </w:p>
    <w:p w14:paraId="34CE0A41" w14:textId="77777777" w:rsidR="003C72C1" w:rsidRPr="003C72C1" w:rsidRDefault="003C72C1" w:rsidP="00054338">
      <w:pPr>
        <w:spacing w:line="276" w:lineRule="auto"/>
        <w:jc w:val="both"/>
        <w:rPr>
          <w:rFonts w:ascii="Arial" w:hAnsi="Arial" w:cs="Arial"/>
          <w:sz w:val="24"/>
          <w:szCs w:val="24"/>
        </w:rPr>
      </w:pPr>
    </w:p>
    <w:p w14:paraId="60E99BF0" w14:textId="77777777" w:rsidR="003C72C1" w:rsidRPr="00E41F3D" w:rsidRDefault="003C72C1" w:rsidP="00E41F3D">
      <w:pPr>
        <w:pStyle w:val="Prrafodelista"/>
        <w:jc w:val="both"/>
        <w:rPr>
          <w:rFonts w:ascii="Arial" w:eastAsia="Arial" w:hAnsi="Arial" w:cs="Arial"/>
          <w:bCs/>
          <w:i/>
          <w:sz w:val="22"/>
          <w:szCs w:val="22"/>
          <w:lang w:val="es-ES"/>
        </w:rPr>
      </w:pPr>
      <w:r w:rsidRPr="00E41F3D">
        <w:rPr>
          <w:rFonts w:ascii="Arial" w:eastAsia="Arial" w:hAnsi="Arial" w:cs="Arial"/>
          <w:bCs/>
          <w:i/>
          <w:sz w:val="22"/>
          <w:szCs w:val="22"/>
          <w:lang w:val="es-ES"/>
        </w:rPr>
        <w:t xml:space="preserve">“[…] En el asunto sub examine, se pretende la declaratoria de nulidad absoluta </w:t>
      </w:r>
      <w:r w:rsidRPr="00E41F3D">
        <w:rPr>
          <w:rFonts w:ascii="Arial" w:eastAsia="Arial" w:hAnsi="Arial" w:cs="Arial"/>
          <w:b/>
          <w:bCs/>
          <w:i/>
          <w:sz w:val="22"/>
          <w:szCs w:val="22"/>
          <w:lang w:val="es-ES"/>
        </w:rPr>
        <w:t>de un contrato estatal con fundamento en la ilegalidad del acto de adjudicación;</w:t>
      </w:r>
      <w:r w:rsidRPr="00E41F3D">
        <w:rPr>
          <w:rFonts w:ascii="Arial" w:eastAsia="Arial" w:hAnsi="Arial" w:cs="Arial"/>
          <w:bCs/>
          <w:i/>
          <w:sz w:val="22"/>
          <w:szCs w:val="22"/>
          <w:lang w:val="es-ES"/>
        </w:rPr>
        <w:t xml:space="preserve"> de manera que la parte demandada debe estar conformada no sólo por la entidad pública enjuiciada, </w:t>
      </w:r>
      <w:r w:rsidRPr="00E41F3D">
        <w:rPr>
          <w:rFonts w:ascii="Arial" w:eastAsia="Arial" w:hAnsi="Arial" w:cs="Arial"/>
          <w:b/>
          <w:bCs/>
          <w:i/>
          <w:sz w:val="22"/>
          <w:szCs w:val="22"/>
          <w:lang w:val="es-ES"/>
        </w:rPr>
        <w:t xml:space="preserve">sino también por la sociedad </w:t>
      </w:r>
      <w:proofErr w:type="spellStart"/>
      <w:r w:rsidRPr="00E41F3D">
        <w:rPr>
          <w:rFonts w:ascii="Arial" w:eastAsia="Arial" w:hAnsi="Arial" w:cs="Arial"/>
          <w:b/>
          <w:i/>
          <w:iCs/>
          <w:sz w:val="22"/>
          <w:szCs w:val="22"/>
          <w:lang w:val="es-ES"/>
        </w:rPr>
        <w:t>Verytel</w:t>
      </w:r>
      <w:proofErr w:type="spellEnd"/>
      <w:r w:rsidRPr="00E41F3D">
        <w:rPr>
          <w:rFonts w:ascii="Arial" w:eastAsia="Arial" w:hAnsi="Arial" w:cs="Arial"/>
          <w:b/>
          <w:i/>
          <w:iCs/>
          <w:sz w:val="22"/>
          <w:szCs w:val="22"/>
          <w:lang w:val="es-ES"/>
        </w:rPr>
        <w:t xml:space="preserve"> S.A. </w:t>
      </w:r>
      <w:r w:rsidRPr="00E41F3D">
        <w:rPr>
          <w:rFonts w:ascii="Arial" w:eastAsia="Arial" w:hAnsi="Arial" w:cs="Arial"/>
          <w:b/>
          <w:bCs/>
          <w:i/>
          <w:sz w:val="22"/>
          <w:szCs w:val="22"/>
          <w:lang w:val="es-ES"/>
        </w:rPr>
        <w:t>con quien fue suscrito el contrato objeto de litigio, distinguiendo así entre el sujeto de la litis y el sujeto de la acción</w:t>
      </w:r>
      <w:r w:rsidRPr="00E41F3D">
        <w:rPr>
          <w:rFonts w:ascii="Arial" w:eastAsia="Arial" w:hAnsi="Arial" w:cs="Arial"/>
          <w:bCs/>
          <w:i/>
          <w:sz w:val="22"/>
          <w:szCs w:val="22"/>
          <w:lang w:val="es-ES"/>
        </w:rPr>
        <w:t>.</w:t>
      </w:r>
    </w:p>
    <w:p w14:paraId="62EBF3C5" w14:textId="77777777" w:rsidR="003C72C1" w:rsidRPr="00E41F3D" w:rsidRDefault="003C72C1" w:rsidP="00E41F3D">
      <w:pPr>
        <w:pStyle w:val="Prrafodelista"/>
        <w:jc w:val="both"/>
        <w:rPr>
          <w:rFonts w:ascii="Arial" w:eastAsia="Arial" w:hAnsi="Arial" w:cs="Arial"/>
          <w:bCs/>
          <w:i/>
          <w:sz w:val="22"/>
          <w:szCs w:val="22"/>
          <w:lang w:val="es-ES"/>
        </w:rPr>
      </w:pPr>
    </w:p>
    <w:p w14:paraId="082DA311" w14:textId="77777777" w:rsidR="003C72C1" w:rsidRPr="00E41F3D" w:rsidRDefault="003C72C1" w:rsidP="00E41F3D">
      <w:pPr>
        <w:ind w:left="709"/>
        <w:jc w:val="both"/>
        <w:rPr>
          <w:rFonts w:ascii="Arial" w:eastAsia="Arial" w:hAnsi="Arial" w:cs="Arial"/>
          <w:i/>
          <w:sz w:val="22"/>
          <w:szCs w:val="22"/>
        </w:rPr>
      </w:pPr>
      <w:r w:rsidRPr="00E41F3D">
        <w:rPr>
          <w:rFonts w:ascii="Arial" w:eastAsia="Arial" w:hAnsi="Arial" w:cs="Arial"/>
          <w:i/>
          <w:sz w:val="22"/>
          <w:szCs w:val="22"/>
        </w:rPr>
        <w:t xml:space="preserve">Este panorama, que plantea en juicio la eliminación del negocio jurídico con efectos retroactivos, impone </w:t>
      </w:r>
      <w:r w:rsidRPr="00E41F3D">
        <w:rPr>
          <w:rFonts w:ascii="Arial" w:eastAsia="Arial" w:hAnsi="Arial" w:cs="Arial"/>
          <w:i/>
          <w:iCs/>
          <w:sz w:val="22"/>
          <w:szCs w:val="22"/>
        </w:rPr>
        <w:t>ab initio,</w:t>
      </w:r>
      <w:r w:rsidRPr="00E41F3D">
        <w:rPr>
          <w:rFonts w:ascii="Arial" w:eastAsia="Arial" w:hAnsi="Arial" w:cs="Arial"/>
          <w:i/>
          <w:sz w:val="22"/>
          <w:szCs w:val="22"/>
        </w:rPr>
        <w:t xml:space="preserve"> </w:t>
      </w:r>
      <w:r w:rsidRPr="00E41F3D">
        <w:rPr>
          <w:rFonts w:ascii="Arial" w:eastAsia="Arial" w:hAnsi="Arial" w:cs="Arial"/>
          <w:b/>
          <w:i/>
          <w:sz w:val="22"/>
          <w:szCs w:val="22"/>
        </w:rPr>
        <w:t xml:space="preserve">bajo la perspectiva legal que acompaña el deber ser, la vinculación al proceso de ambas partes del contrato para la debida conformación del contradictorio, garantía procesal que salvaguarda </w:t>
      </w:r>
      <w:r w:rsidRPr="00E41F3D">
        <w:rPr>
          <w:rFonts w:ascii="Arial" w:eastAsia="Arial" w:hAnsi="Arial" w:cs="Arial"/>
          <w:b/>
          <w:i/>
          <w:sz w:val="22"/>
          <w:szCs w:val="22"/>
        </w:rPr>
        <w:lastRenderedPageBreak/>
        <w:t>el derecho de defensa de quienes comparten la relación jurídico sustancial, de cara a los efectos que se pueden derivar de un eventual pronunciamiento de nulidad absoluta como el pretendido</w:t>
      </w:r>
      <w:r w:rsidRPr="00E41F3D">
        <w:rPr>
          <w:rFonts w:ascii="Arial" w:eastAsia="Arial" w:hAnsi="Arial" w:cs="Arial"/>
          <w:i/>
          <w:sz w:val="22"/>
          <w:szCs w:val="22"/>
        </w:rPr>
        <w:t xml:space="preserve">. </w:t>
      </w:r>
    </w:p>
    <w:p w14:paraId="6D98A12B" w14:textId="77777777" w:rsidR="00E41F3D" w:rsidRPr="00E41F3D" w:rsidRDefault="00E41F3D" w:rsidP="00E41F3D">
      <w:pPr>
        <w:ind w:left="709"/>
        <w:jc w:val="both"/>
        <w:rPr>
          <w:rFonts w:ascii="Arial" w:eastAsia="Arial" w:hAnsi="Arial" w:cs="Arial"/>
          <w:i/>
          <w:sz w:val="22"/>
          <w:szCs w:val="22"/>
        </w:rPr>
      </w:pPr>
    </w:p>
    <w:p w14:paraId="2D9A8897" w14:textId="77777777" w:rsidR="003C72C1" w:rsidRPr="00E41F3D" w:rsidRDefault="003C72C1" w:rsidP="00E41F3D">
      <w:pPr>
        <w:pStyle w:val="Prrafodelista"/>
        <w:jc w:val="both"/>
        <w:rPr>
          <w:rFonts w:ascii="Arial" w:eastAsia="Arial" w:hAnsi="Arial" w:cs="Arial"/>
          <w:bCs/>
          <w:i/>
          <w:sz w:val="22"/>
          <w:szCs w:val="22"/>
        </w:rPr>
      </w:pPr>
      <w:r w:rsidRPr="00E41F3D">
        <w:rPr>
          <w:rFonts w:ascii="Arial" w:hAnsi="Arial" w:cs="Arial"/>
          <w:i/>
          <w:sz w:val="22"/>
          <w:szCs w:val="22"/>
        </w:rPr>
        <w:t xml:space="preserve">En el </w:t>
      </w:r>
      <w:r w:rsidRPr="00E41F3D">
        <w:rPr>
          <w:rFonts w:ascii="Arial" w:eastAsia="Arial" w:hAnsi="Arial" w:cs="Arial"/>
          <w:bCs/>
          <w:i/>
          <w:sz w:val="22"/>
          <w:szCs w:val="22"/>
        </w:rPr>
        <w:t xml:space="preserve">caso concreto, el a quo consideró al momento de dictar sentencia, que no era necesario vincular al adjudicatario-contratista, toda vez que el contrato que éste suscribió con la entidad demandada había culminado para el momento en que se profirió la sentencia de primera instancia. </w:t>
      </w:r>
    </w:p>
    <w:p w14:paraId="2946DB82" w14:textId="77777777" w:rsidR="003C72C1" w:rsidRPr="00E41F3D" w:rsidRDefault="003C72C1" w:rsidP="00E41F3D">
      <w:pPr>
        <w:pStyle w:val="Prrafodelista"/>
        <w:jc w:val="both"/>
        <w:rPr>
          <w:rFonts w:ascii="Arial" w:eastAsia="Arial" w:hAnsi="Arial" w:cs="Arial"/>
          <w:bCs/>
          <w:i/>
          <w:sz w:val="22"/>
          <w:szCs w:val="22"/>
        </w:rPr>
      </w:pPr>
    </w:p>
    <w:p w14:paraId="29D06630" w14:textId="77777777" w:rsidR="003C72C1" w:rsidRPr="00E41F3D" w:rsidRDefault="003C72C1" w:rsidP="00E41F3D">
      <w:pPr>
        <w:pStyle w:val="Prrafodelista"/>
        <w:jc w:val="both"/>
        <w:rPr>
          <w:rFonts w:ascii="Arial" w:eastAsia="Arial" w:hAnsi="Arial" w:cs="Arial"/>
          <w:bCs/>
          <w:i/>
          <w:sz w:val="22"/>
          <w:szCs w:val="22"/>
        </w:rPr>
      </w:pPr>
      <w:r w:rsidRPr="00E41F3D">
        <w:rPr>
          <w:rFonts w:ascii="Arial" w:eastAsia="Arial" w:hAnsi="Arial" w:cs="Arial"/>
          <w:bCs/>
          <w:i/>
          <w:sz w:val="22"/>
          <w:szCs w:val="22"/>
        </w:rPr>
        <w:t xml:space="preserve">Más allá del elemento dinámico que caracteriza este instituto, el cual se sostiene y varía según las modificaciones de la relación material a la que subyace, en el caso que se analiza no se comparte la determinación adoptada, pues con el fallo se reconoció y materializó la afectación a los derechos del litisconsorte no vinculado, a través de la sanción de nulidad absoluta del contrato de prestación de servicios No. 533 del 26 de diciembre de 2008 que éste suscribió con la entidad, decisión que se proyecta en la génesis de la suscripción del contrato, con lo cual, sin duda, sí es relevante para los sujetos que fungieron como parte de la relación jurídica negocial que resulta afectada, la defensa de sus intereses como titulares de derechos contractuales. </w:t>
      </w:r>
    </w:p>
    <w:p w14:paraId="5997CC1D" w14:textId="77777777" w:rsidR="003C72C1" w:rsidRPr="00E41F3D" w:rsidRDefault="003C72C1" w:rsidP="00E41F3D">
      <w:pPr>
        <w:pStyle w:val="Prrafodelista"/>
        <w:jc w:val="both"/>
        <w:rPr>
          <w:rFonts w:ascii="Arial" w:eastAsia="Arial" w:hAnsi="Arial" w:cs="Arial"/>
          <w:bCs/>
          <w:i/>
          <w:sz w:val="22"/>
          <w:szCs w:val="22"/>
        </w:rPr>
      </w:pPr>
    </w:p>
    <w:p w14:paraId="6545F59D" w14:textId="77777777" w:rsidR="003C72C1" w:rsidRPr="00E41F3D" w:rsidRDefault="003C72C1" w:rsidP="00E41F3D">
      <w:pPr>
        <w:pStyle w:val="Prrafodelista"/>
        <w:jc w:val="both"/>
        <w:rPr>
          <w:rFonts w:ascii="Arial" w:eastAsia="Arial" w:hAnsi="Arial" w:cs="Arial"/>
          <w:bCs/>
          <w:sz w:val="22"/>
          <w:szCs w:val="22"/>
        </w:rPr>
      </w:pPr>
      <w:r w:rsidRPr="00E41F3D">
        <w:rPr>
          <w:rFonts w:ascii="Arial" w:eastAsia="Arial" w:hAnsi="Arial" w:cs="Arial"/>
          <w:bCs/>
          <w:i/>
          <w:sz w:val="22"/>
          <w:szCs w:val="22"/>
        </w:rPr>
        <w:t xml:space="preserve">De ese modo, se lesionó el derecho subjetivo de </w:t>
      </w:r>
      <w:proofErr w:type="spellStart"/>
      <w:r w:rsidRPr="00E41F3D">
        <w:rPr>
          <w:rFonts w:ascii="Arial" w:eastAsia="Arial" w:hAnsi="Arial" w:cs="Arial"/>
          <w:bCs/>
          <w:i/>
          <w:sz w:val="22"/>
          <w:szCs w:val="22"/>
        </w:rPr>
        <w:t>Verytel</w:t>
      </w:r>
      <w:proofErr w:type="spellEnd"/>
      <w:r w:rsidRPr="00E41F3D">
        <w:rPr>
          <w:rFonts w:ascii="Arial" w:eastAsia="Arial" w:hAnsi="Arial" w:cs="Arial"/>
          <w:bCs/>
          <w:i/>
          <w:sz w:val="22"/>
          <w:szCs w:val="22"/>
        </w:rPr>
        <w:t xml:space="preserve"> S.A., al romper la estabilidad jurídica del contrato que ejecutó, sin que se le hubiera convocado al proceso y dado la oportunidad </w:t>
      </w:r>
      <w:r w:rsidRPr="005C7596">
        <w:rPr>
          <w:rFonts w:ascii="Arial" w:eastAsia="Arial" w:hAnsi="Arial" w:cs="Arial"/>
          <w:b/>
          <w:bCs/>
          <w:i/>
          <w:sz w:val="22"/>
          <w:szCs w:val="22"/>
        </w:rPr>
        <w:t xml:space="preserve">de (a) </w:t>
      </w:r>
      <w:r w:rsidRPr="005C7596">
        <w:rPr>
          <w:rFonts w:ascii="Arial" w:hAnsi="Arial" w:cs="Arial"/>
          <w:b/>
          <w:i/>
          <w:sz w:val="22"/>
          <w:szCs w:val="22"/>
        </w:rPr>
        <w:t>defender su propuesta, (b) argumentar por qué fue la mejor, y (c) defendiera la legalidad del contrato del que fue parte</w:t>
      </w:r>
      <w:r w:rsidRPr="00E41F3D">
        <w:rPr>
          <w:rFonts w:ascii="Arial" w:hAnsi="Arial" w:cs="Arial"/>
          <w:i/>
          <w:sz w:val="22"/>
          <w:szCs w:val="22"/>
        </w:rPr>
        <w:t xml:space="preserve">; esta situación, como se indicó líneas atrás, compromete la legitimidad misma de la sentencia </w:t>
      </w:r>
      <w:r w:rsidRPr="00E41F3D">
        <w:rPr>
          <w:rFonts w:ascii="Arial" w:eastAsia="Arial" w:hAnsi="Arial" w:cs="Arial"/>
          <w:bCs/>
          <w:i/>
          <w:sz w:val="22"/>
          <w:szCs w:val="22"/>
        </w:rPr>
        <w:t>de primer grado, por cuanto dicho fallo no es vinculante ni coercible frente a quien no fue vinculado al litigio</w:t>
      </w:r>
      <w:r w:rsidR="00E41F3D" w:rsidRPr="00E41F3D">
        <w:rPr>
          <w:rFonts w:ascii="Arial" w:eastAsia="Arial" w:hAnsi="Arial" w:cs="Arial"/>
          <w:bCs/>
          <w:i/>
          <w:sz w:val="22"/>
          <w:szCs w:val="22"/>
        </w:rPr>
        <w:t xml:space="preserve"> […]”</w:t>
      </w:r>
      <w:r w:rsidR="00E41F3D">
        <w:rPr>
          <w:rStyle w:val="Refdenotaalpie"/>
          <w:rFonts w:ascii="Arial" w:eastAsia="Arial" w:hAnsi="Arial" w:cs="Arial"/>
          <w:bCs/>
          <w:i/>
          <w:sz w:val="22"/>
          <w:szCs w:val="22"/>
        </w:rPr>
        <w:footnoteReference w:id="14"/>
      </w:r>
      <w:r w:rsidR="00E41F3D">
        <w:rPr>
          <w:rFonts w:ascii="Arial" w:eastAsia="Arial" w:hAnsi="Arial" w:cs="Arial"/>
          <w:bCs/>
          <w:i/>
          <w:sz w:val="22"/>
          <w:szCs w:val="22"/>
        </w:rPr>
        <w:t xml:space="preserve"> </w:t>
      </w:r>
      <w:r w:rsidR="00E41F3D">
        <w:rPr>
          <w:rFonts w:ascii="Arial" w:eastAsia="Arial" w:hAnsi="Arial" w:cs="Arial"/>
          <w:bCs/>
          <w:sz w:val="22"/>
          <w:szCs w:val="22"/>
        </w:rPr>
        <w:t>(Destacado fuera de texto).</w:t>
      </w:r>
    </w:p>
    <w:p w14:paraId="110FFD37" w14:textId="77777777" w:rsidR="003C72C1" w:rsidRDefault="003C72C1" w:rsidP="003C72C1">
      <w:pPr>
        <w:pStyle w:val="Prrafodelista"/>
        <w:spacing w:line="276" w:lineRule="auto"/>
        <w:jc w:val="both"/>
        <w:rPr>
          <w:rFonts w:ascii="Arial" w:eastAsia="Arial" w:hAnsi="Arial" w:cs="Arial"/>
          <w:bCs/>
          <w:sz w:val="24"/>
          <w:szCs w:val="24"/>
        </w:rPr>
      </w:pPr>
    </w:p>
    <w:p w14:paraId="1C3F2F96" w14:textId="7F04350D" w:rsidR="00E41F3D" w:rsidRDefault="00E41F3D" w:rsidP="14EAD17E">
      <w:pPr>
        <w:spacing w:line="276" w:lineRule="auto"/>
        <w:jc w:val="both"/>
        <w:rPr>
          <w:rFonts w:ascii="Arial" w:hAnsi="Arial" w:cs="Arial"/>
          <w:sz w:val="24"/>
          <w:szCs w:val="24"/>
        </w:rPr>
      </w:pPr>
      <w:r w:rsidRPr="14EAD17E">
        <w:rPr>
          <w:rFonts w:ascii="Arial" w:eastAsia="Arial" w:hAnsi="Arial" w:cs="Arial"/>
          <w:sz w:val="24"/>
          <w:szCs w:val="24"/>
        </w:rPr>
        <w:t xml:space="preserve">En el caso </w:t>
      </w:r>
      <w:r w:rsidRPr="14EAD17E">
        <w:rPr>
          <w:rFonts w:ascii="Arial" w:eastAsia="Arial" w:hAnsi="Arial" w:cs="Arial"/>
          <w:i/>
          <w:iCs/>
          <w:sz w:val="24"/>
          <w:szCs w:val="24"/>
        </w:rPr>
        <w:t xml:space="preserve">sub examine, </w:t>
      </w:r>
      <w:r w:rsidRPr="14EAD17E">
        <w:rPr>
          <w:rFonts w:ascii="Arial" w:eastAsia="Arial" w:hAnsi="Arial" w:cs="Arial"/>
          <w:sz w:val="24"/>
          <w:szCs w:val="24"/>
        </w:rPr>
        <w:t xml:space="preserve">la demandante pretendió la nulidad de </w:t>
      </w:r>
      <w:r w:rsidRPr="14EAD17E">
        <w:rPr>
          <w:rFonts w:ascii="Arial" w:hAnsi="Arial" w:cs="Arial"/>
          <w:sz w:val="24"/>
          <w:szCs w:val="24"/>
        </w:rPr>
        <w:t>la Resolución número 033 de 17 de marzo de 2017, por medio de la cual se adjudicó el proceso de selección abreviada -</w:t>
      </w:r>
      <w:r w:rsidR="001353D8" w:rsidRPr="14EAD17E">
        <w:rPr>
          <w:rFonts w:ascii="Arial" w:hAnsi="Arial" w:cs="Arial"/>
          <w:sz w:val="24"/>
          <w:szCs w:val="24"/>
        </w:rPr>
        <w:t xml:space="preserve"> </w:t>
      </w:r>
      <w:r w:rsidRPr="14EAD17E">
        <w:rPr>
          <w:rFonts w:ascii="Arial" w:hAnsi="Arial" w:cs="Arial"/>
          <w:sz w:val="24"/>
          <w:szCs w:val="24"/>
        </w:rPr>
        <w:t>subasta inversa núm. S</w:t>
      </w:r>
      <w:r w:rsidR="001353D8" w:rsidRPr="14EAD17E">
        <w:rPr>
          <w:rFonts w:ascii="Arial" w:hAnsi="Arial" w:cs="Arial"/>
          <w:sz w:val="24"/>
          <w:szCs w:val="24"/>
        </w:rPr>
        <w:t>.</w:t>
      </w:r>
      <w:r w:rsidRPr="14EAD17E">
        <w:rPr>
          <w:rFonts w:ascii="Arial" w:hAnsi="Arial" w:cs="Arial"/>
          <w:sz w:val="24"/>
          <w:szCs w:val="24"/>
        </w:rPr>
        <w:t>A</w:t>
      </w:r>
      <w:r w:rsidR="001353D8" w:rsidRPr="14EAD17E">
        <w:rPr>
          <w:rFonts w:ascii="Arial" w:hAnsi="Arial" w:cs="Arial"/>
          <w:sz w:val="24"/>
          <w:szCs w:val="24"/>
        </w:rPr>
        <w:t>.</w:t>
      </w:r>
      <w:r w:rsidRPr="14EAD17E">
        <w:rPr>
          <w:rFonts w:ascii="Arial" w:hAnsi="Arial" w:cs="Arial"/>
          <w:sz w:val="24"/>
          <w:szCs w:val="24"/>
        </w:rPr>
        <w:t xml:space="preserve">-SI-AMT-014/2016 a </w:t>
      </w:r>
      <w:proofErr w:type="spellStart"/>
      <w:r w:rsidRPr="14EAD17E">
        <w:rPr>
          <w:rFonts w:ascii="Arial" w:hAnsi="Arial" w:cs="Arial"/>
          <w:sz w:val="24"/>
          <w:szCs w:val="24"/>
        </w:rPr>
        <w:t>Tecnophone</w:t>
      </w:r>
      <w:proofErr w:type="spellEnd"/>
      <w:r w:rsidRPr="14EAD17E">
        <w:rPr>
          <w:rFonts w:ascii="Arial" w:hAnsi="Arial" w:cs="Arial"/>
          <w:sz w:val="24"/>
          <w:szCs w:val="24"/>
        </w:rPr>
        <w:t xml:space="preserve"> de Colombia S.A.S., así como </w:t>
      </w:r>
      <w:r w:rsidR="001353D8" w:rsidRPr="14EAD17E">
        <w:rPr>
          <w:rFonts w:ascii="Arial" w:hAnsi="Arial" w:cs="Arial"/>
          <w:sz w:val="24"/>
          <w:szCs w:val="24"/>
        </w:rPr>
        <w:t>la “</w:t>
      </w:r>
      <w:r w:rsidR="001353D8" w:rsidRPr="14EAD17E">
        <w:rPr>
          <w:rFonts w:ascii="Arial" w:hAnsi="Arial" w:cs="Arial"/>
          <w:i/>
          <w:iCs/>
          <w:sz w:val="24"/>
          <w:szCs w:val="24"/>
        </w:rPr>
        <w:t>nulidad absoluta</w:t>
      </w:r>
      <w:r w:rsidR="001353D8" w:rsidRPr="14EAD17E">
        <w:rPr>
          <w:rFonts w:ascii="Arial" w:hAnsi="Arial" w:cs="Arial"/>
          <w:sz w:val="24"/>
          <w:szCs w:val="24"/>
        </w:rPr>
        <w:t>” del</w:t>
      </w:r>
      <w:r w:rsidRPr="14EAD17E">
        <w:rPr>
          <w:rFonts w:ascii="Arial" w:hAnsi="Arial" w:cs="Arial"/>
          <w:sz w:val="24"/>
          <w:szCs w:val="24"/>
        </w:rPr>
        <w:t xml:space="preserve"> contrato núm. 520 de 27 de marzo de 2017 que celebró </w:t>
      </w:r>
      <w:proofErr w:type="spellStart"/>
      <w:r w:rsidRPr="14EAD17E">
        <w:rPr>
          <w:rFonts w:ascii="Arial" w:hAnsi="Arial" w:cs="Arial"/>
          <w:sz w:val="24"/>
          <w:szCs w:val="24"/>
        </w:rPr>
        <w:t>Tecnophone</w:t>
      </w:r>
      <w:proofErr w:type="spellEnd"/>
      <w:r w:rsidRPr="14EAD17E">
        <w:rPr>
          <w:rFonts w:ascii="Arial" w:hAnsi="Arial" w:cs="Arial"/>
          <w:sz w:val="24"/>
          <w:szCs w:val="24"/>
        </w:rPr>
        <w:t xml:space="preserve"> S.A.S., con el municipio de Tunja</w:t>
      </w:r>
      <w:r w:rsidR="00B308CC" w:rsidRPr="14EAD17E">
        <w:rPr>
          <w:rFonts w:ascii="Arial" w:hAnsi="Arial" w:cs="Arial"/>
          <w:sz w:val="24"/>
          <w:szCs w:val="24"/>
        </w:rPr>
        <w:t xml:space="preserve"> para el suministro de equipos de cómputo, impresoras</w:t>
      </w:r>
      <w:r w:rsidR="0049341B" w:rsidRPr="14EAD17E">
        <w:rPr>
          <w:rFonts w:ascii="Arial" w:hAnsi="Arial" w:cs="Arial"/>
          <w:sz w:val="24"/>
          <w:szCs w:val="24"/>
        </w:rPr>
        <w:t>,</w:t>
      </w:r>
      <w:r w:rsidR="00B308CC" w:rsidRPr="14EAD17E">
        <w:rPr>
          <w:rFonts w:ascii="Arial" w:hAnsi="Arial" w:cs="Arial"/>
          <w:sz w:val="24"/>
          <w:szCs w:val="24"/>
        </w:rPr>
        <w:t xml:space="preserve"> software ofimático y elementos tecnológicos. </w:t>
      </w:r>
    </w:p>
    <w:p w14:paraId="6B699379" w14:textId="77777777" w:rsidR="00E41F3D" w:rsidRDefault="00E41F3D" w:rsidP="00E41F3D">
      <w:pPr>
        <w:spacing w:line="276" w:lineRule="auto"/>
        <w:jc w:val="both"/>
        <w:rPr>
          <w:rFonts w:ascii="Arial" w:eastAsia="Arial" w:hAnsi="Arial" w:cs="Arial"/>
          <w:bCs/>
          <w:sz w:val="24"/>
          <w:szCs w:val="24"/>
        </w:rPr>
      </w:pPr>
    </w:p>
    <w:p w14:paraId="1C1B7540" w14:textId="77777777" w:rsidR="005C7596" w:rsidRDefault="00E41F3D" w:rsidP="14EAD17E">
      <w:pPr>
        <w:spacing w:line="276" w:lineRule="auto"/>
        <w:jc w:val="both"/>
        <w:rPr>
          <w:rFonts w:ascii="Arial" w:hAnsi="Arial" w:cs="Arial"/>
          <w:sz w:val="24"/>
          <w:szCs w:val="24"/>
        </w:rPr>
      </w:pPr>
      <w:r w:rsidRPr="14EAD17E">
        <w:rPr>
          <w:rFonts w:ascii="Arial" w:eastAsia="Arial" w:hAnsi="Arial" w:cs="Arial"/>
          <w:sz w:val="24"/>
          <w:szCs w:val="24"/>
        </w:rPr>
        <w:t>Sin embargo, en el proceso no fue vinculado el adjudicatario y posterior contratista</w:t>
      </w:r>
      <w:r w:rsidR="008652DB" w:rsidRPr="14EAD17E">
        <w:rPr>
          <w:rFonts w:ascii="Arial" w:eastAsia="Arial" w:hAnsi="Arial" w:cs="Arial"/>
          <w:sz w:val="24"/>
          <w:szCs w:val="24"/>
        </w:rPr>
        <w:t>. Por ello, la Sala considera que</w:t>
      </w:r>
      <w:r w:rsidR="005F55FC" w:rsidRPr="14EAD17E">
        <w:rPr>
          <w:rFonts w:ascii="Arial" w:eastAsia="Arial" w:hAnsi="Arial" w:cs="Arial"/>
          <w:sz w:val="24"/>
          <w:szCs w:val="24"/>
        </w:rPr>
        <w:t xml:space="preserve"> </w:t>
      </w:r>
      <w:r w:rsidR="00C76760" w:rsidRPr="14EAD17E">
        <w:rPr>
          <w:rFonts w:ascii="Arial" w:eastAsia="Arial" w:hAnsi="Arial" w:cs="Arial"/>
          <w:sz w:val="24"/>
          <w:szCs w:val="24"/>
        </w:rPr>
        <w:t xml:space="preserve">se pretermitió la instancia respecto de </w:t>
      </w:r>
      <w:proofErr w:type="spellStart"/>
      <w:r w:rsidR="00C76760" w:rsidRPr="14EAD17E">
        <w:rPr>
          <w:rFonts w:ascii="Arial" w:hAnsi="Arial" w:cs="Arial"/>
          <w:sz w:val="24"/>
          <w:szCs w:val="24"/>
        </w:rPr>
        <w:t>Tecnophone</w:t>
      </w:r>
      <w:proofErr w:type="spellEnd"/>
      <w:r w:rsidR="00C76760" w:rsidRPr="14EAD17E">
        <w:rPr>
          <w:rFonts w:ascii="Arial" w:hAnsi="Arial" w:cs="Arial"/>
          <w:sz w:val="24"/>
          <w:szCs w:val="24"/>
        </w:rPr>
        <w:t xml:space="preserve"> de Colombia S.A.S., porque</w:t>
      </w:r>
      <w:r w:rsidR="005F55FC" w:rsidRPr="14EAD17E">
        <w:rPr>
          <w:rFonts w:ascii="Arial" w:hAnsi="Arial" w:cs="Arial"/>
          <w:sz w:val="24"/>
          <w:szCs w:val="24"/>
        </w:rPr>
        <w:t xml:space="preserve"> esta sociedad</w:t>
      </w:r>
      <w:r w:rsidR="00C76760" w:rsidRPr="14EAD17E">
        <w:rPr>
          <w:rFonts w:ascii="Arial" w:hAnsi="Arial" w:cs="Arial"/>
          <w:sz w:val="24"/>
          <w:szCs w:val="24"/>
        </w:rPr>
        <w:t xml:space="preserve"> no contó con la </w:t>
      </w:r>
      <w:r w:rsidR="005F55FC" w:rsidRPr="14EAD17E">
        <w:rPr>
          <w:rFonts w:ascii="Arial" w:hAnsi="Arial" w:cs="Arial"/>
          <w:sz w:val="24"/>
          <w:szCs w:val="24"/>
        </w:rPr>
        <w:t>posibilidad de ejercer su derecho de defensa</w:t>
      </w:r>
      <w:r w:rsidR="008652DB" w:rsidRPr="14EAD17E">
        <w:rPr>
          <w:rFonts w:ascii="Arial" w:hAnsi="Arial" w:cs="Arial"/>
          <w:sz w:val="24"/>
          <w:szCs w:val="24"/>
        </w:rPr>
        <w:t xml:space="preserve"> ante el </w:t>
      </w:r>
      <w:r w:rsidR="008652DB" w:rsidRPr="00B308CC">
        <w:rPr>
          <w:rFonts w:ascii="Arial" w:hAnsi="Arial" w:cs="Arial"/>
          <w:b/>
          <w:bCs/>
          <w:sz w:val="24"/>
          <w:szCs w:val="24"/>
        </w:rPr>
        <w:t>juez natural y en la instancia prevista por la Ley 1437 de 2011 para el efecto</w:t>
      </w:r>
      <w:r w:rsidR="008652DB" w:rsidRPr="14EAD17E">
        <w:rPr>
          <w:rFonts w:ascii="Arial" w:hAnsi="Arial" w:cs="Arial"/>
          <w:sz w:val="24"/>
          <w:szCs w:val="24"/>
        </w:rPr>
        <w:t>,</w:t>
      </w:r>
      <w:r w:rsidR="005F55FC" w:rsidRPr="14EAD17E">
        <w:rPr>
          <w:rFonts w:ascii="Arial" w:hAnsi="Arial" w:cs="Arial"/>
          <w:sz w:val="24"/>
          <w:szCs w:val="24"/>
        </w:rPr>
        <w:t xml:space="preserve"> respecto de la solicitud de nulidad del acto administrativo que le otorgó un derecho</w:t>
      </w:r>
      <w:r w:rsidR="00B308CC" w:rsidRPr="14EAD17E">
        <w:rPr>
          <w:rStyle w:val="Refdenotaalpie"/>
          <w:rFonts w:ascii="Arial" w:hAnsi="Arial" w:cs="Arial"/>
          <w:sz w:val="24"/>
          <w:szCs w:val="24"/>
        </w:rPr>
        <w:footnoteReference w:id="15"/>
      </w:r>
      <w:r w:rsidR="005F55FC" w:rsidRPr="14EAD17E">
        <w:rPr>
          <w:rFonts w:ascii="Arial" w:hAnsi="Arial" w:cs="Arial"/>
          <w:sz w:val="24"/>
          <w:szCs w:val="24"/>
        </w:rPr>
        <w:t xml:space="preserve"> y del contrato estatal</w:t>
      </w:r>
      <w:r w:rsidR="008652DB" w:rsidRPr="14EAD17E">
        <w:rPr>
          <w:rFonts w:ascii="Arial" w:hAnsi="Arial" w:cs="Arial"/>
          <w:sz w:val="24"/>
          <w:szCs w:val="24"/>
        </w:rPr>
        <w:t xml:space="preserve"> que celebró con el municipio de Tunja, y de esta forma, no tuvo la oportunidad de participar en el proceso judicial con las garantías establecidas por el legislador</w:t>
      </w:r>
      <w:r w:rsidR="005C7596" w:rsidRPr="14EAD17E">
        <w:rPr>
          <w:rFonts w:ascii="Arial" w:hAnsi="Arial" w:cs="Arial"/>
          <w:sz w:val="24"/>
          <w:szCs w:val="24"/>
        </w:rPr>
        <w:t>.</w:t>
      </w:r>
    </w:p>
    <w:p w14:paraId="3FE9F23F" w14:textId="77777777" w:rsidR="008652DB" w:rsidRDefault="008652DB" w:rsidP="00E41F3D">
      <w:pPr>
        <w:spacing w:line="276" w:lineRule="auto"/>
        <w:jc w:val="both"/>
        <w:rPr>
          <w:rFonts w:ascii="Arial" w:hAnsi="Arial" w:cs="Arial"/>
          <w:bCs/>
          <w:sz w:val="24"/>
          <w:szCs w:val="24"/>
        </w:rPr>
      </w:pPr>
    </w:p>
    <w:p w14:paraId="7C10EE87" w14:textId="77777777" w:rsidR="005F55FC" w:rsidRDefault="005F55FC" w:rsidP="00E41F3D">
      <w:pPr>
        <w:spacing w:line="276" w:lineRule="auto"/>
        <w:jc w:val="both"/>
        <w:rPr>
          <w:rFonts w:ascii="Arial" w:hAnsi="Arial" w:cs="Arial"/>
          <w:bCs/>
          <w:sz w:val="24"/>
          <w:szCs w:val="24"/>
        </w:rPr>
      </w:pPr>
      <w:r>
        <w:rPr>
          <w:rFonts w:ascii="Arial" w:hAnsi="Arial" w:cs="Arial"/>
          <w:bCs/>
          <w:sz w:val="24"/>
          <w:szCs w:val="24"/>
        </w:rPr>
        <w:t xml:space="preserve">Por las razones expuestas, se declarará la </w:t>
      </w:r>
      <w:r w:rsidRPr="001353D8">
        <w:rPr>
          <w:rFonts w:ascii="Arial" w:hAnsi="Arial" w:cs="Arial"/>
          <w:b/>
          <w:bCs/>
          <w:sz w:val="24"/>
          <w:szCs w:val="24"/>
        </w:rPr>
        <w:t>nulidad del proceso</w:t>
      </w:r>
      <w:r w:rsidR="001353D8">
        <w:rPr>
          <w:rFonts w:ascii="Arial" w:hAnsi="Arial" w:cs="Arial"/>
          <w:bCs/>
          <w:sz w:val="24"/>
          <w:szCs w:val="24"/>
        </w:rPr>
        <w:t xml:space="preserve"> </w:t>
      </w:r>
      <w:r>
        <w:rPr>
          <w:rFonts w:ascii="Arial" w:hAnsi="Arial" w:cs="Arial"/>
          <w:bCs/>
          <w:sz w:val="24"/>
          <w:szCs w:val="24"/>
        </w:rPr>
        <w:t xml:space="preserve">con el objeto de que el juez vincule a </w:t>
      </w:r>
      <w:proofErr w:type="spellStart"/>
      <w:r>
        <w:rPr>
          <w:rFonts w:ascii="Arial" w:hAnsi="Arial" w:cs="Arial"/>
          <w:bCs/>
          <w:sz w:val="24"/>
          <w:szCs w:val="24"/>
        </w:rPr>
        <w:t>Tecnophone</w:t>
      </w:r>
      <w:proofErr w:type="spellEnd"/>
      <w:r>
        <w:rPr>
          <w:rFonts w:ascii="Arial" w:hAnsi="Arial" w:cs="Arial"/>
          <w:bCs/>
          <w:sz w:val="24"/>
          <w:szCs w:val="24"/>
        </w:rPr>
        <w:t xml:space="preserve"> de Colombia S.A.S.,</w:t>
      </w:r>
      <w:r w:rsidR="00B308CC">
        <w:rPr>
          <w:rFonts w:ascii="Arial" w:hAnsi="Arial" w:cs="Arial"/>
          <w:bCs/>
          <w:sz w:val="24"/>
          <w:szCs w:val="24"/>
        </w:rPr>
        <w:t xml:space="preserve"> teniendo en cuenta que el </w:t>
      </w:r>
      <w:r w:rsidR="00B308CC">
        <w:rPr>
          <w:rFonts w:ascii="Arial" w:hAnsi="Arial" w:cs="Arial"/>
          <w:bCs/>
          <w:sz w:val="24"/>
          <w:szCs w:val="24"/>
        </w:rPr>
        <w:lastRenderedPageBreak/>
        <w:t xml:space="preserve">artículo 61 del Código General del Proceso permite la citación de los litisconsortes necesarios, mientras no se haya dictado sentencia de primera instancia. </w:t>
      </w:r>
    </w:p>
    <w:p w14:paraId="1F72F646" w14:textId="77777777" w:rsidR="001A4CE2" w:rsidRDefault="001A4CE2" w:rsidP="00054338">
      <w:pPr>
        <w:spacing w:line="276" w:lineRule="auto"/>
        <w:jc w:val="both"/>
        <w:rPr>
          <w:rFonts w:ascii="Arial" w:hAnsi="Arial" w:cs="Arial"/>
          <w:sz w:val="24"/>
          <w:szCs w:val="24"/>
        </w:rPr>
      </w:pPr>
    </w:p>
    <w:p w14:paraId="71F530A3" w14:textId="6DED2C34" w:rsidR="14EAD17E" w:rsidRDefault="14EAD17E" w:rsidP="14EAD17E">
      <w:pPr>
        <w:spacing w:line="276" w:lineRule="auto"/>
        <w:jc w:val="both"/>
      </w:pPr>
    </w:p>
    <w:p w14:paraId="3EC5C06D" w14:textId="4373E10D" w:rsidR="000E2730" w:rsidRDefault="000E2730" w:rsidP="14EAD17E">
      <w:pPr>
        <w:spacing w:line="276" w:lineRule="auto"/>
        <w:jc w:val="both"/>
      </w:pPr>
    </w:p>
    <w:p w14:paraId="4F8D8630" w14:textId="0361D0CF" w:rsidR="000E2730" w:rsidRDefault="000E2730" w:rsidP="14EAD17E">
      <w:pPr>
        <w:spacing w:line="276" w:lineRule="auto"/>
        <w:jc w:val="both"/>
      </w:pPr>
    </w:p>
    <w:p w14:paraId="5A9441DB" w14:textId="04AF524B" w:rsidR="000E2730" w:rsidRDefault="000E2730" w:rsidP="14EAD17E">
      <w:pPr>
        <w:spacing w:line="276" w:lineRule="auto"/>
        <w:jc w:val="both"/>
      </w:pPr>
    </w:p>
    <w:p w14:paraId="54F4B1A8" w14:textId="4A504C87" w:rsidR="000E2730" w:rsidRDefault="000E2730" w:rsidP="14EAD17E">
      <w:pPr>
        <w:spacing w:line="276" w:lineRule="auto"/>
        <w:jc w:val="both"/>
      </w:pPr>
    </w:p>
    <w:p w14:paraId="0594B05D" w14:textId="343E80AE" w:rsidR="000E2730" w:rsidRDefault="000E2730" w:rsidP="14EAD17E">
      <w:pPr>
        <w:spacing w:line="276" w:lineRule="auto"/>
        <w:jc w:val="both"/>
      </w:pPr>
    </w:p>
    <w:p w14:paraId="5CDB6315" w14:textId="77777777" w:rsidR="000E2730" w:rsidRDefault="000E2730" w:rsidP="14EAD17E">
      <w:pPr>
        <w:spacing w:line="276" w:lineRule="auto"/>
        <w:jc w:val="both"/>
      </w:pPr>
    </w:p>
    <w:p w14:paraId="00F17C35" w14:textId="76715DBC" w:rsidR="14EAD17E" w:rsidRDefault="14EAD17E" w:rsidP="14EAD17E">
      <w:pPr>
        <w:spacing w:line="276" w:lineRule="auto"/>
        <w:jc w:val="center"/>
      </w:pPr>
      <w:r w:rsidRPr="14EAD17E">
        <w:rPr>
          <w:rFonts w:ascii="Arial" w:hAnsi="Arial" w:cs="Arial"/>
          <w:b/>
          <w:bCs/>
          <w:sz w:val="24"/>
          <w:szCs w:val="24"/>
        </w:rPr>
        <w:t>III.</w:t>
      </w:r>
      <w:r w:rsidRPr="14EAD17E">
        <w:rPr>
          <w:rFonts w:ascii="Arial" w:hAnsi="Arial" w:cs="Arial"/>
          <w:sz w:val="24"/>
          <w:szCs w:val="24"/>
        </w:rPr>
        <w:t xml:space="preserve"> </w:t>
      </w:r>
    </w:p>
    <w:p w14:paraId="7E72722B" w14:textId="51F9A21D" w:rsidR="14EAD17E" w:rsidRDefault="14EAD17E" w:rsidP="14EAD17E">
      <w:pPr>
        <w:spacing w:line="276" w:lineRule="auto"/>
        <w:jc w:val="both"/>
      </w:pPr>
    </w:p>
    <w:p w14:paraId="0BDE31E1" w14:textId="77777777" w:rsidR="008652DB" w:rsidRDefault="008652DB" w:rsidP="008652DB">
      <w:pPr>
        <w:pStyle w:val="Prrafodelista"/>
        <w:spacing w:line="276" w:lineRule="auto"/>
        <w:ind w:left="0" w:right="51"/>
        <w:contextualSpacing/>
        <w:jc w:val="both"/>
        <w:rPr>
          <w:rFonts w:ascii="Arial" w:hAnsi="Arial" w:cs="Arial"/>
          <w:sz w:val="24"/>
          <w:szCs w:val="24"/>
        </w:rPr>
      </w:pPr>
      <w:r>
        <w:rPr>
          <w:rFonts w:ascii="Arial" w:hAnsi="Arial" w:cs="Arial"/>
          <w:sz w:val="24"/>
          <w:szCs w:val="24"/>
        </w:rPr>
        <w:t xml:space="preserve">En mérito de lo expuesto, se </w:t>
      </w:r>
    </w:p>
    <w:p w14:paraId="15AECCA2" w14:textId="77777777" w:rsidR="000E2730" w:rsidRDefault="000E2730" w:rsidP="008652DB">
      <w:pPr>
        <w:pStyle w:val="Prrafodelista"/>
        <w:spacing w:line="276" w:lineRule="auto"/>
        <w:ind w:left="0" w:right="51"/>
        <w:contextualSpacing/>
        <w:jc w:val="both"/>
        <w:rPr>
          <w:rFonts w:ascii="Arial" w:hAnsi="Arial" w:cs="Arial"/>
          <w:b/>
          <w:sz w:val="24"/>
          <w:szCs w:val="24"/>
        </w:rPr>
      </w:pPr>
    </w:p>
    <w:p w14:paraId="44B13815" w14:textId="7101445B" w:rsidR="008652DB" w:rsidRDefault="008652DB" w:rsidP="14EAD17E">
      <w:pPr>
        <w:pStyle w:val="Prrafodelista"/>
        <w:spacing w:line="276" w:lineRule="auto"/>
        <w:ind w:left="0" w:right="51"/>
        <w:contextualSpacing/>
        <w:jc w:val="center"/>
        <w:rPr>
          <w:rFonts w:ascii="Arial" w:hAnsi="Arial" w:cs="Arial"/>
          <w:sz w:val="24"/>
          <w:szCs w:val="24"/>
        </w:rPr>
      </w:pPr>
      <w:r w:rsidRPr="14EAD17E">
        <w:rPr>
          <w:rFonts w:ascii="Arial" w:hAnsi="Arial" w:cs="Arial"/>
          <w:b/>
          <w:bCs/>
          <w:sz w:val="24"/>
          <w:szCs w:val="24"/>
        </w:rPr>
        <w:t>RESUELVE</w:t>
      </w:r>
      <w:r w:rsidRPr="14EAD17E">
        <w:rPr>
          <w:rFonts w:ascii="Arial" w:hAnsi="Arial" w:cs="Arial"/>
          <w:sz w:val="24"/>
          <w:szCs w:val="24"/>
        </w:rPr>
        <w:t>:</w:t>
      </w:r>
    </w:p>
    <w:p w14:paraId="61CDCEAD" w14:textId="77777777" w:rsidR="008652DB" w:rsidRDefault="008652DB" w:rsidP="008652DB">
      <w:pPr>
        <w:pStyle w:val="Prrafodelista"/>
        <w:spacing w:line="276" w:lineRule="auto"/>
        <w:ind w:right="48"/>
        <w:contextualSpacing/>
        <w:jc w:val="both"/>
        <w:rPr>
          <w:rFonts w:ascii="Arial" w:hAnsi="Arial" w:cs="Arial"/>
          <w:bCs/>
          <w:iCs/>
          <w:sz w:val="24"/>
          <w:szCs w:val="24"/>
        </w:rPr>
      </w:pPr>
    </w:p>
    <w:p w14:paraId="6C75DD2F" w14:textId="77777777" w:rsidR="008652DB" w:rsidRPr="008652DB" w:rsidRDefault="008652DB" w:rsidP="008652DB">
      <w:pPr>
        <w:pStyle w:val="Prrafodelista"/>
        <w:numPr>
          <w:ilvl w:val="0"/>
          <w:numId w:val="15"/>
        </w:numPr>
        <w:spacing w:line="276" w:lineRule="auto"/>
        <w:ind w:left="0" w:right="48" w:firstLine="0"/>
        <w:contextualSpacing/>
        <w:jc w:val="both"/>
        <w:textAlignment w:val="auto"/>
        <w:rPr>
          <w:rFonts w:ascii="Arial" w:hAnsi="Arial" w:cs="Arial"/>
          <w:b/>
          <w:bCs/>
          <w:sz w:val="24"/>
          <w:szCs w:val="24"/>
        </w:rPr>
      </w:pPr>
      <w:r>
        <w:rPr>
          <w:rFonts w:ascii="Arial" w:hAnsi="Arial" w:cs="Arial"/>
          <w:b/>
          <w:bCs/>
          <w:sz w:val="24"/>
          <w:szCs w:val="24"/>
        </w:rPr>
        <w:t xml:space="preserve">DECLARAR LA NULIDAD DE LO ACTUADO </w:t>
      </w:r>
      <w:r>
        <w:rPr>
          <w:rFonts w:ascii="Arial" w:hAnsi="Arial" w:cs="Arial"/>
          <w:bCs/>
          <w:sz w:val="24"/>
          <w:szCs w:val="24"/>
        </w:rPr>
        <w:t xml:space="preserve">en este proceso, por las razones expuestas en la parte motiva de esta providencia. </w:t>
      </w:r>
    </w:p>
    <w:p w14:paraId="6BB9E253" w14:textId="77777777" w:rsidR="008652DB" w:rsidRPr="008652DB" w:rsidRDefault="008652DB" w:rsidP="008652DB">
      <w:pPr>
        <w:pStyle w:val="Prrafodelista"/>
        <w:spacing w:line="276" w:lineRule="auto"/>
        <w:ind w:left="0" w:right="48"/>
        <w:contextualSpacing/>
        <w:jc w:val="both"/>
        <w:textAlignment w:val="auto"/>
        <w:rPr>
          <w:rFonts w:ascii="Arial" w:hAnsi="Arial" w:cs="Arial"/>
          <w:b/>
          <w:bCs/>
          <w:sz w:val="24"/>
          <w:szCs w:val="24"/>
        </w:rPr>
      </w:pPr>
    </w:p>
    <w:p w14:paraId="40E71D02" w14:textId="77777777" w:rsidR="008652DB" w:rsidRDefault="008652DB" w:rsidP="008652DB">
      <w:pPr>
        <w:pStyle w:val="Prrafodelista"/>
        <w:numPr>
          <w:ilvl w:val="0"/>
          <w:numId w:val="15"/>
        </w:numPr>
        <w:spacing w:line="276" w:lineRule="auto"/>
        <w:ind w:left="0" w:right="48" w:firstLine="0"/>
        <w:contextualSpacing/>
        <w:jc w:val="both"/>
        <w:textAlignment w:val="auto"/>
        <w:rPr>
          <w:rFonts w:ascii="Arial" w:hAnsi="Arial" w:cs="Arial"/>
          <w:b/>
          <w:bCs/>
          <w:sz w:val="24"/>
          <w:szCs w:val="24"/>
        </w:rPr>
      </w:pPr>
      <w:r>
        <w:rPr>
          <w:rFonts w:ascii="Arial" w:hAnsi="Arial" w:cs="Arial"/>
          <w:bCs/>
          <w:sz w:val="24"/>
          <w:szCs w:val="24"/>
        </w:rPr>
        <w:t xml:space="preserve">Por Secretaría, </w:t>
      </w:r>
      <w:r>
        <w:rPr>
          <w:rFonts w:ascii="Arial" w:hAnsi="Arial" w:cs="Arial"/>
          <w:b/>
          <w:bCs/>
          <w:sz w:val="24"/>
          <w:szCs w:val="24"/>
        </w:rPr>
        <w:t xml:space="preserve">REMITIR </w:t>
      </w:r>
      <w:r>
        <w:rPr>
          <w:rFonts w:ascii="Arial" w:hAnsi="Arial" w:cs="Arial"/>
          <w:bCs/>
          <w:sz w:val="24"/>
          <w:szCs w:val="24"/>
        </w:rPr>
        <w:t xml:space="preserve">el presente proceso al juzgado de origen para lo de su competencia, por las razones expuestas en la parte motiva de esta providencia. </w:t>
      </w:r>
    </w:p>
    <w:p w14:paraId="0A6959E7" w14:textId="77777777" w:rsidR="008652DB" w:rsidRPr="008652DB" w:rsidRDefault="008652DB" w:rsidP="008652DB">
      <w:pPr>
        <w:pStyle w:val="Prrafodelista"/>
        <w:spacing w:line="276" w:lineRule="auto"/>
        <w:ind w:left="0" w:right="48"/>
        <w:contextualSpacing/>
        <w:jc w:val="both"/>
        <w:textAlignment w:val="auto"/>
        <w:rPr>
          <w:rFonts w:ascii="Arial" w:hAnsi="Arial" w:cs="Arial"/>
          <w:b/>
          <w:bCs/>
          <w:sz w:val="24"/>
          <w:szCs w:val="24"/>
        </w:rPr>
      </w:pPr>
      <w:r w:rsidRPr="008652DB">
        <w:rPr>
          <w:rFonts w:ascii="Arial" w:hAnsi="Arial" w:cs="Arial"/>
          <w:iCs/>
          <w:sz w:val="24"/>
          <w:szCs w:val="24"/>
        </w:rPr>
        <w:t xml:space="preserve"> </w:t>
      </w:r>
    </w:p>
    <w:p w14:paraId="23DE523C" w14:textId="77777777" w:rsidR="008652DB" w:rsidRDefault="008652DB" w:rsidP="008652DB">
      <w:pPr>
        <w:pStyle w:val="Prrafodelista"/>
        <w:spacing w:line="276" w:lineRule="auto"/>
        <w:ind w:left="0" w:right="-233"/>
        <w:contextualSpacing/>
        <w:jc w:val="both"/>
        <w:rPr>
          <w:rFonts w:ascii="Arial" w:hAnsi="Arial" w:cs="Arial"/>
          <w:b/>
          <w:bCs/>
          <w:sz w:val="24"/>
          <w:szCs w:val="24"/>
        </w:rPr>
      </w:pPr>
    </w:p>
    <w:p w14:paraId="52E56223" w14:textId="77777777" w:rsidR="008652DB" w:rsidRDefault="008652DB" w:rsidP="008652DB">
      <w:pPr>
        <w:pStyle w:val="Prrafodelista"/>
        <w:spacing w:line="276" w:lineRule="auto"/>
        <w:rPr>
          <w:rFonts w:ascii="Arial" w:hAnsi="Arial" w:cs="Arial"/>
          <w:iCs/>
          <w:sz w:val="24"/>
          <w:szCs w:val="24"/>
        </w:rPr>
      </w:pPr>
    </w:p>
    <w:p w14:paraId="3AAD0E6C" w14:textId="77777777" w:rsidR="008652DB" w:rsidRDefault="008652DB" w:rsidP="008652DB">
      <w:pPr>
        <w:spacing w:line="276" w:lineRule="auto"/>
        <w:jc w:val="center"/>
        <w:rPr>
          <w:rFonts w:ascii="Arial" w:hAnsi="Arial" w:cs="Arial"/>
          <w:b/>
          <w:sz w:val="24"/>
          <w:szCs w:val="24"/>
          <w:lang w:val="es-MX"/>
        </w:rPr>
      </w:pPr>
      <w:r>
        <w:rPr>
          <w:rFonts w:ascii="Arial" w:hAnsi="Arial" w:cs="Arial"/>
          <w:b/>
          <w:sz w:val="24"/>
          <w:szCs w:val="24"/>
          <w:lang w:val="es-MX"/>
        </w:rPr>
        <w:t>NOTIFÍQUESE Y CÚMPLASE</w:t>
      </w:r>
    </w:p>
    <w:p w14:paraId="07547A01" w14:textId="77777777" w:rsidR="008652DB" w:rsidRDefault="008652DB" w:rsidP="008652DB">
      <w:pPr>
        <w:spacing w:line="276" w:lineRule="auto"/>
        <w:jc w:val="center"/>
        <w:rPr>
          <w:rFonts w:ascii="Arial" w:hAnsi="Arial" w:cs="Arial"/>
          <w:b/>
          <w:sz w:val="24"/>
          <w:szCs w:val="24"/>
          <w:lang w:val="es-MX"/>
        </w:rPr>
      </w:pPr>
    </w:p>
    <w:p w14:paraId="5043CB0F" w14:textId="77777777" w:rsidR="008652DB" w:rsidRDefault="008652DB" w:rsidP="008652DB">
      <w:pPr>
        <w:spacing w:line="276" w:lineRule="auto"/>
        <w:jc w:val="center"/>
        <w:rPr>
          <w:rFonts w:ascii="Arial" w:hAnsi="Arial" w:cs="Arial"/>
          <w:b/>
          <w:sz w:val="24"/>
          <w:szCs w:val="24"/>
          <w:lang w:val="es-MX"/>
        </w:rPr>
      </w:pPr>
    </w:p>
    <w:p w14:paraId="07459315" w14:textId="77777777" w:rsidR="008652DB" w:rsidRDefault="008652DB" w:rsidP="008652DB">
      <w:pPr>
        <w:spacing w:line="276" w:lineRule="auto"/>
        <w:jc w:val="center"/>
        <w:rPr>
          <w:rFonts w:ascii="Arial" w:hAnsi="Arial" w:cs="Arial"/>
          <w:b/>
          <w:sz w:val="24"/>
          <w:szCs w:val="24"/>
          <w:lang w:val="es-MX"/>
        </w:rPr>
      </w:pPr>
    </w:p>
    <w:p w14:paraId="3B9900D7" w14:textId="77777777" w:rsidR="008652DB" w:rsidRDefault="008652DB" w:rsidP="008652DB">
      <w:pPr>
        <w:spacing w:line="276" w:lineRule="auto"/>
        <w:jc w:val="center"/>
        <w:rPr>
          <w:rFonts w:ascii="Arial" w:hAnsi="Arial" w:cs="Arial"/>
          <w:bCs/>
          <w:i/>
          <w:iCs/>
          <w:sz w:val="24"/>
          <w:szCs w:val="24"/>
          <w:lang w:val="es-MX"/>
        </w:rPr>
      </w:pPr>
      <w:r>
        <w:rPr>
          <w:rFonts w:ascii="Arial" w:hAnsi="Arial" w:cs="Arial"/>
          <w:bCs/>
          <w:i/>
          <w:iCs/>
          <w:sz w:val="24"/>
          <w:szCs w:val="24"/>
          <w:lang w:val="es-MX"/>
        </w:rPr>
        <w:t>Firmado electrónicamente</w:t>
      </w:r>
    </w:p>
    <w:p w14:paraId="4B2CC7EC" w14:textId="77777777" w:rsidR="008652DB" w:rsidRDefault="008652DB" w:rsidP="008652DB">
      <w:pPr>
        <w:spacing w:line="276" w:lineRule="auto"/>
        <w:jc w:val="center"/>
        <w:rPr>
          <w:rFonts w:ascii="Arial" w:hAnsi="Arial" w:cs="Arial"/>
          <w:b/>
          <w:sz w:val="24"/>
          <w:szCs w:val="24"/>
          <w:lang w:val="es-MX"/>
        </w:rPr>
      </w:pPr>
      <w:r>
        <w:rPr>
          <w:rFonts w:ascii="Arial" w:hAnsi="Arial" w:cs="Arial"/>
          <w:b/>
          <w:sz w:val="24"/>
          <w:szCs w:val="24"/>
          <w:lang w:val="es-MX"/>
        </w:rPr>
        <w:t>DAYÁN ALBERTO BLANCO LEGUÍZAMO</w:t>
      </w:r>
    </w:p>
    <w:p w14:paraId="2B938A0C" w14:textId="77777777" w:rsidR="008652DB" w:rsidRDefault="008652DB" w:rsidP="008652DB">
      <w:pPr>
        <w:spacing w:line="276" w:lineRule="auto"/>
        <w:jc w:val="center"/>
        <w:rPr>
          <w:rFonts w:ascii="Arial" w:hAnsi="Arial" w:cs="Arial"/>
          <w:sz w:val="24"/>
          <w:szCs w:val="24"/>
          <w:lang w:val="es-ES"/>
        </w:rPr>
      </w:pPr>
      <w:r>
        <w:rPr>
          <w:rFonts w:ascii="Arial" w:hAnsi="Arial" w:cs="Arial"/>
          <w:b/>
          <w:sz w:val="24"/>
          <w:szCs w:val="24"/>
          <w:lang w:val="es-MX"/>
        </w:rPr>
        <w:t>Magistrado</w:t>
      </w:r>
    </w:p>
    <w:p w14:paraId="6537F28F" w14:textId="77777777" w:rsidR="008652DB" w:rsidRDefault="008652DB" w:rsidP="008652DB">
      <w:pPr>
        <w:spacing w:line="276" w:lineRule="auto"/>
        <w:ind w:right="50"/>
        <w:contextualSpacing/>
        <w:jc w:val="both"/>
        <w:rPr>
          <w:rFonts w:ascii="Arial" w:hAnsi="Arial" w:cs="Arial"/>
          <w:iCs/>
          <w:sz w:val="24"/>
          <w:szCs w:val="24"/>
        </w:rPr>
      </w:pPr>
    </w:p>
    <w:p w14:paraId="6DFB9E20" w14:textId="77777777" w:rsidR="008652DB" w:rsidRPr="00334C03" w:rsidRDefault="008652DB" w:rsidP="00054338">
      <w:pPr>
        <w:spacing w:line="276" w:lineRule="auto"/>
        <w:jc w:val="both"/>
        <w:rPr>
          <w:rFonts w:ascii="Arial" w:hAnsi="Arial" w:cs="Arial"/>
          <w:sz w:val="24"/>
          <w:szCs w:val="24"/>
        </w:rPr>
      </w:pPr>
    </w:p>
    <w:sectPr w:rsidR="008652DB" w:rsidRPr="00334C03" w:rsidSect="002E0B70">
      <w:headerReference w:type="even" r:id="rId11"/>
      <w:headerReference w:type="default" r:id="rId12"/>
      <w:footerReference w:type="even" r:id="rId13"/>
      <w:footerReference w:type="default" r:id="rId14"/>
      <w:headerReference w:type="first" r:id="rId15"/>
      <w:footerReference w:type="first" r:id="rId16"/>
      <w:pgSz w:w="12242" w:h="18722" w:code="41"/>
      <w:pgMar w:top="2268" w:right="1610" w:bottom="1560" w:left="1985" w:header="0" w:footer="14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0ABE7" w14:textId="77777777" w:rsidR="00B049C9" w:rsidRDefault="00B049C9" w:rsidP="00217ECC">
      <w:r>
        <w:separator/>
      </w:r>
    </w:p>
  </w:endnote>
  <w:endnote w:type="continuationSeparator" w:id="0">
    <w:p w14:paraId="35227BF5" w14:textId="77777777" w:rsidR="00B049C9" w:rsidRDefault="00B049C9" w:rsidP="0021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6F2C42" w:rsidRDefault="00AC3207" w:rsidP="000567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94DBDC" w14:textId="77777777" w:rsidR="006F2C42" w:rsidRDefault="00B049C9" w:rsidP="000567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48578"/>
      <w:docPartObj>
        <w:docPartGallery w:val="Page Numbers (Bottom of Page)"/>
        <w:docPartUnique/>
      </w:docPartObj>
    </w:sdtPr>
    <w:sdtEndPr>
      <w:rPr>
        <w:rFonts w:ascii="Arial" w:hAnsi="Arial" w:cs="Arial"/>
      </w:rPr>
    </w:sdtEndPr>
    <w:sdtContent>
      <w:p w14:paraId="26374A51" w14:textId="77777777" w:rsidR="006F2C42" w:rsidRPr="00871747" w:rsidRDefault="00AC3207">
        <w:pPr>
          <w:pStyle w:val="Piedepgina"/>
          <w:jc w:val="center"/>
          <w:rPr>
            <w:rFonts w:ascii="Arial" w:hAnsi="Arial" w:cs="Arial"/>
          </w:rPr>
        </w:pPr>
        <w:r w:rsidRPr="00871747">
          <w:rPr>
            <w:rFonts w:ascii="Arial" w:hAnsi="Arial" w:cs="Arial"/>
          </w:rPr>
          <w:fldChar w:fldCharType="begin"/>
        </w:r>
        <w:r w:rsidRPr="00871747">
          <w:rPr>
            <w:rFonts w:ascii="Arial" w:hAnsi="Arial" w:cs="Arial"/>
          </w:rPr>
          <w:instrText>PAGE   \* MERGEFORMAT</w:instrText>
        </w:r>
        <w:r w:rsidRPr="00871747">
          <w:rPr>
            <w:rFonts w:ascii="Arial" w:hAnsi="Arial" w:cs="Arial"/>
          </w:rPr>
          <w:fldChar w:fldCharType="separate"/>
        </w:r>
        <w:r w:rsidRPr="00431382">
          <w:rPr>
            <w:rFonts w:ascii="Arial" w:hAnsi="Arial" w:cs="Arial"/>
            <w:noProof/>
            <w:lang w:val="es-ES"/>
          </w:rPr>
          <w:t>12</w:t>
        </w:r>
        <w:r w:rsidRPr="00871747">
          <w:rPr>
            <w:rFonts w:ascii="Arial" w:hAnsi="Arial" w:cs="Arial"/>
          </w:rPr>
          <w:fldChar w:fldCharType="end"/>
        </w:r>
      </w:p>
    </w:sdtContent>
  </w:sdt>
  <w:p w14:paraId="296FEF7D" w14:textId="77777777" w:rsidR="006F2C42" w:rsidRDefault="00B049C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71BC" w14:textId="77777777" w:rsidR="006F2C42" w:rsidRDefault="00AC3207" w:rsidP="0005675D">
    <w:pPr>
      <w:pStyle w:val="Piedepgina"/>
      <w:tabs>
        <w:tab w:val="clear" w:pos="4419"/>
        <w:tab w:val="clear" w:pos="8838"/>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9867" w14:textId="77777777" w:rsidR="00B049C9" w:rsidRDefault="00B049C9" w:rsidP="00217ECC">
      <w:r>
        <w:separator/>
      </w:r>
    </w:p>
  </w:footnote>
  <w:footnote w:type="continuationSeparator" w:id="0">
    <w:p w14:paraId="2FEDC372" w14:textId="77777777" w:rsidR="00B049C9" w:rsidRDefault="00B049C9" w:rsidP="00217ECC">
      <w:r>
        <w:continuationSeparator/>
      </w:r>
    </w:p>
  </w:footnote>
  <w:footnote w:id="1">
    <w:p w14:paraId="00C9F2E9" w14:textId="77777777" w:rsidR="00217ECC" w:rsidRPr="001353D8" w:rsidRDefault="00217ECC" w:rsidP="001353D8">
      <w:pPr>
        <w:pStyle w:val="Textonotapie"/>
        <w:ind w:right="-709"/>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Folios 700 a 705</w:t>
      </w:r>
    </w:p>
  </w:footnote>
  <w:footnote w:id="2">
    <w:p w14:paraId="43E8E470" w14:textId="77777777" w:rsidR="00217ECC" w:rsidRPr="001353D8" w:rsidRDefault="00217ECC" w:rsidP="001353D8">
      <w:pPr>
        <w:pStyle w:val="Textonotapie"/>
        <w:ind w:right="-709"/>
        <w:jc w:val="both"/>
        <w:rPr>
          <w:rFonts w:ascii="Arial" w:hAnsi="Arial" w:cs="Arial"/>
          <w:sz w:val="18"/>
          <w:szCs w:val="18"/>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Folios 668 a 696</w:t>
      </w:r>
    </w:p>
  </w:footnote>
  <w:footnote w:id="3">
    <w:p w14:paraId="3CA06DE4" w14:textId="77777777" w:rsidR="00DB6641" w:rsidRPr="001353D8" w:rsidRDefault="00DB6641" w:rsidP="001353D8">
      <w:pPr>
        <w:pStyle w:val="Textonotapie"/>
        <w:ind w:right="-709"/>
        <w:jc w:val="both"/>
        <w:rPr>
          <w:rFonts w:ascii="Arial" w:hAnsi="Arial" w:cs="Arial"/>
          <w:i/>
          <w:sz w:val="18"/>
          <w:szCs w:val="18"/>
        </w:rPr>
      </w:pPr>
      <w:r w:rsidRPr="001353D8">
        <w:rPr>
          <w:rStyle w:val="Refdenotaalpie"/>
          <w:rFonts w:ascii="Arial" w:hAnsi="Arial" w:cs="Arial"/>
          <w:sz w:val="18"/>
          <w:szCs w:val="18"/>
        </w:rPr>
        <w:footnoteRef/>
      </w:r>
      <w:r w:rsidRPr="001353D8">
        <w:rPr>
          <w:rFonts w:ascii="Arial" w:hAnsi="Arial" w:cs="Arial"/>
          <w:sz w:val="18"/>
          <w:szCs w:val="18"/>
        </w:rPr>
        <w:t xml:space="preserve"> Folios 6 a 13</w:t>
      </w:r>
    </w:p>
  </w:footnote>
  <w:footnote w:id="4">
    <w:p w14:paraId="492387B4" w14:textId="77777777" w:rsidR="00217ECC" w:rsidRPr="001353D8" w:rsidRDefault="00217ECC"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 xml:space="preserve">Por medio de su representante legal, señor José Antonio Matheus Rocha </w:t>
      </w:r>
    </w:p>
  </w:footnote>
  <w:footnote w:id="5">
    <w:p w14:paraId="3F62E958" w14:textId="77777777" w:rsidR="00217ECC" w:rsidRPr="001353D8" w:rsidRDefault="00217ECC"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Folio 9</w:t>
      </w:r>
    </w:p>
  </w:footnote>
  <w:footnote w:id="6">
    <w:p w14:paraId="2F6C8EF6" w14:textId="77777777" w:rsidR="00785BAA" w:rsidRPr="001353D8" w:rsidRDefault="00785BAA"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Folio 34</w:t>
      </w:r>
    </w:p>
  </w:footnote>
  <w:footnote w:id="7">
    <w:p w14:paraId="680602ED" w14:textId="77777777" w:rsidR="001277D7" w:rsidRPr="001353D8" w:rsidRDefault="001277D7"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Folios 42 a 59</w:t>
      </w:r>
    </w:p>
  </w:footnote>
  <w:footnote w:id="8">
    <w:p w14:paraId="7B5C3868" w14:textId="77777777" w:rsidR="00334C03" w:rsidRPr="001353D8" w:rsidRDefault="00334C03"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Folios 700 a 705</w:t>
      </w:r>
    </w:p>
  </w:footnote>
  <w:footnote w:id="9">
    <w:p w14:paraId="65AED7CB" w14:textId="77777777" w:rsidR="00334C03" w:rsidRPr="001353D8" w:rsidRDefault="00334C03"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Mediante auto de 5 de febrero de 2020, según obra a folio 707</w:t>
      </w:r>
    </w:p>
  </w:footnote>
  <w:footnote w:id="10">
    <w:p w14:paraId="285FB63D" w14:textId="77777777" w:rsidR="00334C03" w:rsidRPr="001353D8" w:rsidRDefault="00334C03"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Mediante auto de 7 de septiembre de 2020, según obra a folio 712</w:t>
      </w:r>
    </w:p>
  </w:footnote>
  <w:footnote w:id="11">
    <w:p w14:paraId="0918F1C5" w14:textId="77777777" w:rsidR="00334C03" w:rsidRPr="001353D8" w:rsidRDefault="00334C03"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Mediante auto de 28 de septiembre de 2020, según obra a folio 716</w:t>
      </w:r>
    </w:p>
  </w:footnote>
  <w:footnote w:id="12">
    <w:p w14:paraId="0BB6F6F7" w14:textId="77777777" w:rsidR="0042102D" w:rsidRPr="001353D8" w:rsidRDefault="0042102D" w:rsidP="001353D8">
      <w:pPr>
        <w:jc w:val="both"/>
        <w:rPr>
          <w:rFonts w:ascii="Arial" w:hAnsi="Arial" w:cs="Arial"/>
          <w:sz w:val="18"/>
          <w:szCs w:val="18"/>
        </w:rPr>
      </w:pPr>
      <w:r w:rsidRPr="001353D8">
        <w:rPr>
          <w:rStyle w:val="Refdenotaalpie"/>
          <w:rFonts w:ascii="Arial" w:hAnsi="Arial" w:cs="Arial"/>
          <w:sz w:val="18"/>
          <w:szCs w:val="18"/>
        </w:rPr>
        <w:footnoteRef/>
      </w:r>
      <w:bookmarkStart w:id="5" w:name="61"/>
      <w:r w:rsidRPr="001353D8">
        <w:rPr>
          <w:rFonts w:ascii="Arial" w:hAnsi="Arial" w:cs="Arial"/>
          <w:b/>
          <w:bCs/>
          <w:i/>
          <w:sz w:val="18"/>
          <w:szCs w:val="18"/>
        </w:rPr>
        <w:t>“[…] ARTÍCULO 61. LITISCONSORCIO NECESARIO E INTEGRACIÓN DEL CONTRADICTORIO.</w:t>
      </w:r>
      <w:bookmarkEnd w:id="5"/>
      <w:r w:rsidRPr="001353D8">
        <w:rPr>
          <w:rFonts w:ascii="Arial" w:hAnsi="Arial" w:cs="Arial"/>
          <w:i/>
          <w:sz w:val="18"/>
          <w:szCs w:val="18"/>
        </w:rPr>
        <w:t> 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2DBF0D7D" w14:textId="77777777" w:rsidR="0042102D" w:rsidRPr="001353D8" w:rsidRDefault="0042102D" w:rsidP="001353D8">
      <w:pPr>
        <w:pStyle w:val="NormalWeb"/>
        <w:spacing w:before="0" w:beforeAutospacing="0" w:after="0" w:afterAutospacing="0"/>
        <w:ind w:left="567"/>
        <w:jc w:val="both"/>
        <w:rPr>
          <w:rFonts w:ascii="Arial" w:hAnsi="Arial" w:cs="Arial"/>
          <w:i/>
          <w:sz w:val="18"/>
          <w:szCs w:val="18"/>
        </w:rPr>
      </w:pPr>
    </w:p>
    <w:p w14:paraId="31C5D946" w14:textId="77777777" w:rsidR="0042102D" w:rsidRPr="001353D8" w:rsidRDefault="0042102D" w:rsidP="001353D8">
      <w:pPr>
        <w:pStyle w:val="NormalWeb"/>
        <w:spacing w:before="0" w:beforeAutospacing="0" w:after="0" w:afterAutospacing="0"/>
        <w:jc w:val="both"/>
        <w:rPr>
          <w:rFonts w:ascii="Arial" w:hAnsi="Arial" w:cs="Arial"/>
          <w:i/>
          <w:sz w:val="18"/>
          <w:szCs w:val="18"/>
        </w:rPr>
      </w:pPr>
      <w:r w:rsidRPr="001353D8">
        <w:rPr>
          <w:rFonts w:ascii="Arial" w:hAnsi="Arial" w:cs="Arial"/>
          <w:i/>
          <w:sz w:val="18"/>
          <w:szCs w:val="18"/>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14:paraId="6B62F1B3" w14:textId="77777777" w:rsidR="0042102D" w:rsidRPr="001353D8" w:rsidRDefault="0042102D" w:rsidP="001353D8">
      <w:pPr>
        <w:pStyle w:val="NormalWeb"/>
        <w:spacing w:before="0" w:beforeAutospacing="0" w:after="0" w:afterAutospacing="0"/>
        <w:ind w:left="567"/>
        <w:jc w:val="both"/>
        <w:rPr>
          <w:rFonts w:ascii="Arial" w:hAnsi="Arial" w:cs="Arial"/>
          <w:i/>
          <w:sz w:val="18"/>
          <w:szCs w:val="18"/>
        </w:rPr>
      </w:pPr>
    </w:p>
    <w:p w14:paraId="12A3C481" w14:textId="77777777" w:rsidR="0042102D" w:rsidRPr="001353D8" w:rsidRDefault="0042102D" w:rsidP="001353D8">
      <w:pPr>
        <w:pStyle w:val="NormalWeb"/>
        <w:spacing w:before="0" w:beforeAutospacing="0" w:after="0" w:afterAutospacing="0"/>
        <w:jc w:val="both"/>
        <w:rPr>
          <w:rFonts w:ascii="Arial" w:hAnsi="Arial" w:cs="Arial"/>
          <w:i/>
          <w:sz w:val="18"/>
          <w:szCs w:val="18"/>
        </w:rPr>
      </w:pPr>
      <w:r w:rsidRPr="001353D8">
        <w:rPr>
          <w:rFonts w:ascii="Arial" w:hAnsi="Arial" w:cs="Arial"/>
          <w:i/>
          <w:sz w:val="18"/>
          <w:szCs w:val="18"/>
        </w:rPr>
        <w:t>Si alguno de los convocados solicita pruebas en el escrito de intervención, el juez resolverá sobre ellas y si las decreta fijará audiencia para practicarlas.</w:t>
      </w:r>
    </w:p>
    <w:p w14:paraId="02F2C34E" w14:textId="77777777" w:rsidR="0042102D" w:rsidRPr="001353D8" w:rsidRDefault="0042102D" w:rsidP="001353D8">
      <w:pPr>
        <w:pStyle w:val="NormalWeb"/>
        <w:spacing w:before="0" w:beforeAutospacing="0" w:after="0" w:afterAutospacing="0"/>
        <w:ind w:left="567"/>
        <w:jc w:val="both"/>
        <w:rPr>
          <w:rFonts w:ascii="Arial" w:hAnsi="Arial" w:cs="Arial"/>
          <w:i/>
          <w:sz w:val="18"/>
          <w:szCs w:val="18"/>
        </w:rPr>
      </w:pPr>
    </w:p>
    <w:p w14:paraId="48435473" w14:textId="77777777" w:rsidR="0042102D" w:rsidRPr="001353D8" w:rsidRDefault="0042102D" w:rsidP="001353D8">
      <w:pPr>
        <w:pStyle w:val="NormalWeb"/>
        <w:spacing w:before="0" w:beforeAutospacing="0" w:after="0" w:afterAutospacing="0"/>
        <w:jc w:val="both"/>
        <w:rPr>
          <w:rFonts w:ascii="Arial" w:hAnsi="Arial" w:cs="Arial"/>
          <w:i/>
          <w:sz w:val="18"/>
          <w:szCs w:val="18"/>
        </w:rPr>
      </w:pPr>
      <w:r w:rsidRPr="001353D8">
        <w:rPr>
          <w:rFonts w:ascii="Arial" w:hAnsi="Arial" w:cs="Arial"/>
          <w:i/>
          <w:sz w:val="18"/>
          <w:szCs w:val="18"/>
        </w:rPr>
        <w:t>Los recursos y en general las actuaciones de cada litisconsorte favorecerán a los demás. Sin embargo, los actos que impliquen disposición del derecho en litigio solo tendrán eficacia si emanan de todos.</w:t>
      </w:r>
    </w:p>
    <w:p w14:paraId="680A4E5D" w14:textId="77777777" w:rsidR="0042102D" w:rsidRPr="001353D8" w:rsidRDefault="0042102D" w:rsidP="001353D8">
      <w:pPr>
        <w:pStyle w:val="NormalWeb"/>
        <w:spacing w:before="0" w:beforeAutospacing="0" w:after="0" w:afterAutospacing="0"/>
        <w:ind w:left="567"/>
        <w:jc w:val="both"/>
        <w:rPr>
          <w:rFonts w:ascii="Arial" w:hAnsi="Arial" w:cs="Arial"/>
          <w:i/>
          <w:sz w:val="18"/>
          <w:szCs w:val="18"/>
        </w:rPr>
      </w:pPr>
    </w:p>
    <w:p w14:paraId="0D5B8032" w14:textId="77777777" w:rsidR="0042102D" w:rsidRPr="001353D8" w:rsidRDefault="0042102D" w:rsidP="001353D8">
      <w:pPr>
        <w:pStyle w:val="NormalWeb"/>
        <w:spacing w:before="0" w:beforeAutospacing="0" w:after="0" w:afterAutospacing="0"/>
        <w:jc w:val="both"/>
        <w:rPr>
          <w:rFonts w:ascii="Arial" w:hAnsi="Arial" w:cs="Arial"/>
          <w:i/>
          <w:sz w:val="18"/>
          <w:szCs w:val="18"/>
        </w:rPr>
      </w:pPr>
      <w:r w:rsidRPr="001353D8">
        <w:rPr>
          <w:rFonts w:ascii="Arial" w:hAnsi="Arial" w:cs="Arial"/>
          <w:i/>
          <w:sz w:val="18"/>
          <w:szCs w:val="18"/>
        </w:rPr>
        <w:t>Cuando alguno de los litisconsortes necesarios del demandante no figure en la demanda, podrá pedirse su vinculación acompañando la prueba de dicho litisconsorcio […]”</w:t>
      </w:r>
    </w:p>
  </w:footnote>
  <w:footnote w:id="13">
    <w:p w14:paraId="50C41ADF" w14:textId="77777777" w:rsidR="000039F3" w:rsidRPr="001353D8" w:rsidRDefault="000039F3" w:rsidP="001353D8">
      <w:pPr>
        <w:ind w:left="-108"/>
        <w:jc w:val="both"/>
        <w:rPr>
          <w:rFonts w:ascii="Arial" w:hAnsi="Arial" w:cs="Arial"/>
          <w:color w:val="000000" w:themeColor="text1"/>
          <w:sz w:val="18"/>
          <w:szCs w:val="18"/>
          <w:lang w:eastAsia="es-ES_tradnl"/>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 xml:space="preserve">Tribunal Administrativo de Boyacá; auto de 27 de agosto de 2021; M.P. Dr. Luis Ernesto Arciniegas Triana; núm. único de radicación: </w:t>
      </w:r>
      <w:r w:rsidRPr="001353D8">
        <w:rPr>
          <w:rFonts w:ascii="Arial" w:hAnsi="Arial" w:cs="Arial"/>
          <w:bCs/>
          <w:sz w:val="18"/>
          <w:szCs w:val="18"/>
        </w:rPr>
        <w:t>15001-33-33-009-2017-00039-01</w:t>
      </w:r>
    </w:p>
    <w:p w14:paraId="19219836" w14:textId="77777777" w:rsidR="000039F3" w:rsidRPr="001353D8" w:rsidRDefault="000039F3" w:rsidP="001353D8">
      <w:pPr>
        <w:pStyle w:val="Textonotapie"/>
        <w:jc w:val="both"/>
        <w:rPr>
          <w:rFonts w:ascii="Arial" w:hAnsi="Arial" w:cs="Arial"/>
          <w:sz w:val="18"/>
          <w:szCs w:val="18"/>
          <w:lang w:val="es-ES"/>
        </w:rPr>
      </w:pPr>
    </w:p>
  </w:footnote>
  <w:footnote w:id="14">
    <w:p w14:paraId="6A219E44" w14:textId="77777777" w:rsidR="00E41F3D" w:rsidRPr="001353D8" w:rsidRDefault="00E41F3D"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Consejo de Estado, Sala de lo Contencioso Administrativo, Sección Tercera, Subsección A; C.P. José Roberto Sáchica Méndez; auto de 27 de enero de 2021; núm. único de radicación: </w:t>
      </w:r>
      <w:r w:rsidRPr="001353D8">
        <w:rPr>
          <w:rFonts w:ascii="Arial" w:eastAsia="Arial" w:hAnsi="Arial" w:cs="Arial"/>
          <w:sz w:val="18"/>
          <w:szCs w:val="18"/>
        </w:rPr>
        <w:t>25000-23-26-000-2010-00964-01(51408)</w:t>
      </w:r>
    </w:p>
  </w:footnote>
  <w:footnote w:id="15">
    <w:p w14:paraId="030B7DD2" w14:textId="77777777" w:rsidR="00B308CC" w:rsidRPr="001353D8" w:rsidRDefault="00B308CC" w:rsidP="001353D8">
      <w:pPr>
        <w:pStyle w:val="Textonotapie"/>
        <w:jc w:val="both"/>
        <w:rPr>
          <w:rFonts w:ascii="Arial" w:hAnsi="Arial" w:cs="Arial"/>
          <w:sz w:val="18"/>
          <w:szCs w:val="18"/>
          <w:lang w:val="es-ES"/>
        </w:rPr>
      </w:pPr>
      <w:r w:rsidRPr="001353D8">
        <w:rPr>
          <w:rStyle w:val="Refdenotaalpie"/>
          <w:rFonts w:ascii="Arial" w:hAnsi="Arial" w:cs="Arial"/>
          <w:sz w:val="18"/>
          <w:szCs w:val="18"/>
        </w:rPr>
        <w:footnoteRef/>
      </w:r>
      <w:r w:rsidRPr="001353D8">
        <w:rPr>
          <w:rFonts w:ascii="Arial" w:hAnsi="Arial" w:cs="Arial"/>
          <w:sz w:val="18"/>
          <w:szCs w:val="18"/>
        </w:rPr>
        <w:t xml:space="preserve"> </w:t>
      </w:r>
      <w:r w:rsidRPr="001353D8">
        <w:rPr>
          <w:rFonts w:ascii="Arial" w:hAnsi="Arial" w:cs="Arial"/>
          <w:sz w:val="18"/>
          <w:szCs w:val="18"/>
          <w:lang w:val="es-ES"/>
        </w:rPr>
        <w:t>Resolución núm. 033 de 17 de marzo de 2017, p</w:t>
      </w:r>
      <w:r w:rsidR="005C7596" w:rsidRPr="001353D8">
        <w:rPr>
          <w:rFonts w:ascii="Arial" w:hAnsi="Arial" w:cs="Arial"/>
          <w:sz w:val="18"/>
          <w:szCs w:val="18"/>
          <w:lang w:val="es-ES"/>
        </w:rPr>
        <w:t xml:space="preserve">roferida por el </w:t>
      </w:r>
      <w:proofErr w:type="gramStart"/>
      <w:r w:rsidR="005C7596" w:rsidRPr="001353D8">
        <w:rPr>
          <w:rFonts w:ascii="Arial" w:hAnsi="Arial" w:cs="Arial"/>
          <w:sz w:val="18"/>
          <w:szCs w:val="18"/>
          <w:lang w:val="es-ES"/>
        </w:rPr>
        <w:t>Delegado</w:t>
      </w:r>
      <w:proofErr w:type="gramEnd"/>
      <w:r w:rsidR="005C7596" w:rsidRPr="001353D8">
        <w:rPr>
          <w:rFonts w:ascii="Arial" w:hAnsi="Arial" w:cs="Arial"/>
          <w:sz w:val="18"/>
          <w:szCs w:val="18"/>
          <w:lang w:val="es-ES"/>
        </w:rPr>
        <w:t xml:space="preserve"> para la Contratación y Secretario de Contratación, Licitaciones y Suministros del Municipio de Tunja</w:t>
      </w:r>
      <w:r w:rsidR="001353D8">
        <w:rPr>
          <w:rFonts w:ascii="Arial" w:hAnsi="Arial" w:cs="Arial"/>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C178" w14:textId="77777777" w:rsidR="006F2C42" w:rsidRDefault="00AC3207" w:rsidP="0005675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70DF9E56" w14:textId="77777777" w:rsidR="006F2C42" w:rsidRDefault="00B049C9" w:rsidP="0005675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0D3C" w14:textId="77777777" w:rsidR="006F2C42" w:rsidRDefault="00B049C9" w:rsidP="0005675D">
    <w:pPr>
      <w:spacing w:line="360" w:lineRule="auto"/>
      <w:rPr>
        <w:b/>
        <w:szCs w:val="24"/>
      </w:rPr>
    </w:pPr>
  </w:p>
  <w:p w14:paraId="54CD245A" w14:textId="77777777" w:rsidR="006F2C42" w:rsidRDefault="00B049C9" w:rsidP="0005675D">
    <w:pPr>
      <w:pStyle w:val="Encabezado"/>
      <w:framePr w:w="6151" w:wrap="around" w:vAnchor="text" w:hAnchor="page" w:x="4077" w:y="66"/>
      <w:rPr>
        <w:rStyle w:val="Nmerodepgina"/>
      </w:rPr>
    </w:pPr>
  </w:p>
  <w:p w14:paraId="1231BE67" w14:textId="77777777" w:rsidR="006F2C42" w:rsidRPr="001042E1" w:rsidRDefault="00B049C9" w:rsidP="0005675D">
    <w:pPr>
      <w:framePr w:w="6151" w:wrap="around" w:vAnchor="text" w:hAnchor="page" w:x="4077" w:y="66"/>
      <w:jc w:val="right"/>
      <w:rPr>
        <w:i/>
        <w:iCs/>
        <w:color w:val="808080"/>
      </w:rPr>
    </w:pPr>
  </w:p>
  <w:p w14:paraId="36FEB5B0" w14:textId="77777777" w:rsidR="006F2C42" w:rsidRPr="004644FC" w:rsidRDefault="00B049C9" w:rsidP="0005675D">
    <w:pPr>
      <w:pStyle w:val="Encabezado"/>
      <w:framePr w:w="6151" w:wrap="around" w:vAnchor="text" w:hAnchor="page" w:x="4077" w:y="66"/>
      <w:jc w:val="right"/>
      <w:rPr>
        <w:rStyle w:val="Nmerodepgina"/>
      </w:rPr>
    </w:pPr>
  </w:p>
  <w:p w14:paraId="2B58060E" w14:textId="77777777" w:rsidR="006F2C42" w:rsidRDefault="0011589D" w:rsidP="0005675D">
    <w:pPr>
      <w:spacing w:line="360" w:lineRule="auto"/>
      <w:rPr>
        <w:b/>
        <w:szCs w:val="24"/>
      </w:rPr>
    </w:pPr>
    <w:r>
      <w:rPr>
        <w:b/>
        <w:noProof/>
        <w:szCs w:val="24"/>
        <w:lang w:eastAsia="es-CO"/>
      </w:rPr>
      <w:drawing>
        <wp:anchor distT="0" distB="0" distL="114300" distR="114300" simplePos="0" relativeHeight="251660288" behindDoc="0" locked="0" layoutInCell="1" allowOverlap="1" wp14:anchorId="22BD66D6" wp14:editId="571ED7CA">
          <wp:simplePos x="0" y="0"/>
          <wp:positionH relativeFrom="page">
            <wp:posOffset>3658235</wp:posOffset>
          </wp:positionH>
          <wp:positionV relativeFrom="paragraph">
            <wp:posOffset>175895</wp:posOffset>
          </wp:positionV>
          <wp:extent cx="710565" cy="79375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7AA69" w14:textId="77777777" w:rsidR="006F2C42" w:rsidRDefault="00B049C9" w:rsidP="0011589D">
    <w:pPr>
      <w:spacing w:line="360" w:lineRule="auto"/>
      <w:rPr>
        <w:rFonts w:ascii="Arial" w:hAnsi="Arial" w:cs="Arial"/>
        <w:i/>
        <w:iCs/>
        <w:color w:val="A6A6A6" w:themeColor="background1" w:themeShade="A6"/>
        <w:sz w:val="18"/>
        <w:szCs w:val="18"/>
      </w:rPr>
    </w:pPr>
  </w:p>
  <w:p w14:paraId="7196D064" w14:textId="77777777" w:rsidR="0011589D" w:rsidRDefault="0011589D" w:rsidP="0011589D">
    <w:pPr>
      <w:spacing w:line="360" w:lineRule="auto"/>
      <w:rPr>
        <w:b/>
        <w:szCs w:val="24"/>
      </w:rPr>
    </w:pPr>
  </w:p>
  <w:p w14:paraId="34FF1C98" w14:textId="77777777" w:rsidR="0011589D" w:rsidRPr="0011589D" w:rsidRDefault="0011589D" w:rsidP="0011589D">
    <w:pPr>
      <w:spacing w:line="360" w:lineRule="auto"/>
      <w:rPr>
        <w:rFonts w:ascii="Arial" w:hAnsi="Arial" w:cs="Arial"/>
        <w:b/>
        <w:color w:val="BFBFBF" w:themeColor="background1" w:themeShade="BF"/>
        <w:sz w:val="18"/>
        <w:szCs w:val="18"/>
      </w:rPr>
    </w:pPr>
  </w:p>
  <w:p w14:paraId="6D072C0D" w14:textId="77777777" w:rsidR="0011589D" w:rsidRDefault="0011589D" w:rsidP="0011589D">
    <w:pPr>
      <w:spacing w:line="360" w:lineRule="auto"/>
      <w:jc w:val="center"/>
      <w:rPr>
        <w:rFonts w:ascii="Arial" w:hAnsi="Arial" w:cs="Arial"/>
        <w:b/>
        <w:color w:val="BFBFBF" w:themeColor="background1" w:themeShade="BF"/>
        <w:sz w:val="18"/>
        <w:szCs w:val="18"/>
      </w:rPr>
    </w:pPr>
  </w:p>
  <w:p w14:paraId="5D5B6B14" w14:textId="77777777" w:rsidR="0011589D" w:rsidRPr="0011589D" w:rsidRDefault="0011589D" w:rsidP="0011589D">
    <w:pPr>
      <w:spacing w:line="360" w:lineRule="auto"/>
      <w:jc w:val="center"/>
      <w:rPr>
        <w:rFonts w:ascii="Arial" w:hAnsi="Arial" w:cs="Arial"/>
        <w:b/>
        <w:color w:val="BFBFBF" w:themeColor="background1" w:themeShade="BF"/>
        <w:sz w:val="18"/>
        <w:szCs w:val="18"/>
      </w:rPr>
    </w:pPr>
    <w:r w:rsidRPr="0011589D">
      <w:rPr>
        <w:rFonts w:ascii="Arial" w:hAnsi="Arial" w:cs="Arial"/>
        <w:b/>
        <w:color w:val="BFBFBF" w:themeColor="background1" w:themeShade="BF"/>
        <w:sz w:val="18"/>
        <w:szCs w:val="18"/>
      </w:rPr>
      <w:t xml:space="preserve">Radicación: </w:t>
    </w:r>
    <w:r w:rsidRPr="0011589D">
      <w:rPr>
        <w:rFonts w:ascii="Arial" w:hAnsi="Arial" w:cs="Arial"/>
        <w:iCs/>
        <w:color w:val="BFBFBF" w:themeColor="background1" w:themeShade="BF"/>
        <w:sz w:val="18"/>
        <w:szCs w:val="18"/>
      </w:rPr>
      <w:t>15001 -33-33-012-2017-00112-01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05D2" w14:textId="77777777" w:rsidR="006F2C42" w:rsidRDefault="00B049C9" w:rsidP="0005675D">
    <w:pPr>
      <w:spacing w:line="360" w:lineRule="auto"/>
      <w:ind w:right="50"/>
      <w:jc w:val="center"/>
      <w:rPr>
        <w:rFonts w:ascii="Lucida Calligraphy" w:hAnsi="Lucida Calligraphy" w:cs="Edwardian Script ITC"/>
        <w:b/>
        <w:iCs/>
        <w:sz w:val="24"/>
        <w:szCs w:val="24"/>
      </w:rPr>
    </w:pPr>
  </w:p>
  <w:p w14:paraId="463F29E8" w14:textId="77777777" w:rsidR="006F2C42" w:rsidRDefault="00B049C9">
    <w:pPr>
      <w:pStyle w:val="Encabezado"/>
    </w:pPr>
  </w:p>
  <w:p w14:paraId="3B7B4B86" w14:textId="77777777" w:rsidR="006F2C42" w:rsidRDefault="00B049C9">
    <w:pPr>
      <w:pStyle w:val="Encabezado"/>
    </w:pPr>
  </w:p>
  <w:p w14:paraId="3A0FF5F2" w14:textId="77777777" w:rsidR="006F2C42" w:rsidRPr="00E9201D" w:rsidRDefault="00B049C9">
    <w:pPr>
      <w:pStyle w:val="Encabezado"/>
      <w:rPr>
        <w:color w:val="808080"/>
        <w:sz w:val="16"/>
      </w:rPr>
    </w:pPr>
  </w:p>
  <w:p w14:paraId="5630AD66" w14:textId="77777777" w:rsidR="006F2C42" w:rsidRPr="00E9201D" w:rsidRDefault="00B049C9">
    <w:pPr>
      <w:pStyle w:val="Encabezado"/>
      <w:rPr>
        <w:color w:val="808080"/>
        <w:sz w:val="16"/>
      </w:rPr>
    </w:pPr>
  </w:p>
  <w:p w14:paraId="61829076" w14:textId="77777777" w:rsidR="006F2C42" w:rsidRPr="00E9201D" w:rsidRDefault="00B049C9" w:rsidP="0005675D">
    <w:pPr>
      <w:pStyle w:val="Encabezado"/>
      <w:spacing w:line="360" w:lineRule="auto"/>
      <w:jc w:val="center"/>
      <w:rPr>
        <w:rFonts w:ascii="Century Schoolbook" w:hAnsi="Century Schoolbook"/>
        <w:b/>
        <w:i/>
        <w:iCs/>
        <w:color w:val="808080"/>
        <w:sz w:val="18"/>
      </w:rPr>
    </w:pPr>
  </w:p>
  <w:p w14:paraId="2BA226A1" w14:textId="77777777" w:rsidR="006F2C42" w:rsidRPr="00E9201D" w:rsidRDefault="00B049C9" w:rsidP="0005675D">
    <w:pPr>
      <w:pStyle w:val="Encabezado"/>
      <w:spacing w:line="360" w:lineRule="auto"/>
      <w:jc w:val="center"/>
      <w:rPr>
        <w:rFonts w:ascii="Century Schoolbook" w:hAnsi="Century Schoolbook"/>
        <w:b/>
        <w:i/>
        <w:iCs/>
        <w:color w:val="808080"/>
        <w:sz w:val="18"/>
      </w:rPr>
    </w:pPr>
  </w:p>
  <w:p w14:paraId="437CADBF" w14:textId="77777777" w:rsidR="006F2C42" w:rsidRPr="00C734F0" w:rsidRDefault="00AC3207" w:rsidP="0005675D">
    <w:pPr>
      <w:pStyle w:val="Encabezado"/>
      <w:jc w:val="center"/>
      <w:rPr>
        <w:rFonts w:ascii="Arial" w:hAnsi="Arial" w:cs="Arial"/>
        <w:b/>
        <w:iCs/>
        <w:color w:val="808080"/>
        <w:szCs w:val="24"/>
      </w:rPr>
    </w:pPr>
    <w:r w:rsidRPr="00C734F0">
      <w:rPr>
        <w:rFonts w:ascii="Arial" w:hAnsi="Arial" w:cs="Arial"/>
        <w:noProof/>
        <w:color w:val="808080"/>
        <w:szCs w:val="24"/>
        <w:lang w:eastAsia="es-CO"/>
      </w:rPr>
      <w:drawing>
        <wp:anchor distT="0" distB="0" distL="114300" distR="114300" simplePos="0" relativeHeight="251659264" behindDoc="0" locked="0" layoutInCell="1" allowOverlap="1" wp14:anchorId="55493520" wp14:editId="7487F72C">
          <wp:simplePos x="0" y="0"/>
          <wp:positionH relativeFrom="margin">
            <wp:align>center</wp:align>
          </wp:positionH>
          <wp:positionV relativeFrom="paragraph">
            <wp:posOffset>-913130</wp:posOffset>
          </wp:positionV>
          <wp:extent cx="710565" cy="793750"/>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4F0">
      <w:rPr>
        <w:rFonts w:ascii="Arial" w:hAnsi="Arial" w:cs="Arial"/>
        <w:b/>
        <w:iCs/>
        <w:color w:val="808080"/>
        <w:szCs w:val="24"/>
      </w:rPr>
      <w:t xml:space="preserve">TRIBUNAL ADMINISTRATIVO DE BOYACÁ </w:t>
    </w:r>
  </w:p>
  <w:p w14:paraId="7ECEAC42" w14:textId="77777777" w:rsidR="006F2C42" w:rsidRPr="00C734F0" w:rsidRDefault="00AC3207" w:rsidP="0005675D">
    <w:pPr>
      <w:pStyle w:val="Encabezado"/>
      <w:jc w:val="center"/>
      <w:rPr>
        <w:rFonts w:ascii="Arial" w:hAnsi="Arial" w:cs="Arial"/>
        <w:color w:val="808080"/>
        <w:szCs w:val="24"/>
        <w:lang w:val="es-MX"/>
      </w:rPr>
    </w:pPr>
    <w:r w:rsidRPr="00C734F0">
      <w:rPr>
        <w:rFonts w:ascii="Arial" w:hAnsi="Arial" w:cs="Arial"/>
        <w:b/>
        <w:iCs/>
        <w:color w:val="808080"/>
        <w:szCs w:val="24"/>
      </w:rPr>
      <w:t xml:space="preserve">SALA DE DECISIÓN NO. </w:t>
    </w:r>
    <w:r>
      <w:rPr>
        <w:rFonts w:ascii="Arial" w:hAnsi="Arial" w:cs="Arial"/>
        <w:b/>
        <w:iCs/>
        <w:color w:val="808080"/>
        <w:szCs w:val="24"/>
      </w:rPr>
      <w:t>3</w:t>
    </w:r>
  </w:p>
  <w:p w14:paraId="0B4571D0" w14:textId="77777777" w:rsidR="006F2C42" w:rsidRPr="00C734F0" w:rsidRDefault="00AC3207" w:rsidP="0005675D">
    <w:pPr>
      <w:jc w:val="center"/>
      <w:rPr>
        <w:rFonts w:ascii="Arial" w:hAnsi="Arial" w:cs="Arial"/>
        <w:b/>
        <w:iCs/>
        <w:color w:val="808080"/>
        <w:spacing w:val="-12"/>
        <w:szCs w:val="24"/>
      </w:rPr>
    </w:pPr>
    <w:r w:rsidRPr="00C734F0">
      <w:rPr>
        <w:rFonts w:ascii="Arial" w:hAnsi="Arial" w:cs="Arial"/>
        <w:b/>
        <w:iCs/>
        <w:color w:val="808080"/>
        <w:spacing w:val="-12"/>
        <w:szCs w:val="24"/>
      </w:rPr>
      <w:t>MAGISTRADO PONENTE: D</w:t>
    </w:r>
    <w:r>
      <w:rPr>
        <w:rFonts w:ascii="Arial" w:hAnsi="Arial" w:cs="Arial"/>
        <w:b/>
        <w:iCs/>
        <w:color w:val="808080"/>
        <w:spacing w:val="-12"/>
        <w:szCs w:val="24"/>
      </w:rPr>
      <w:t>A</w:t>
    </w:r>
    <w:r w:rsidRPr="00C734F0">
      <w:rPr>
        <w:rFonts w:ascii="Arial" w:hAnsi="Arial" w:cs="Arial"/>
        <w:b/>
        <w:iCs/>
        <w:color w:val="808080"/>
        <w:spacing w:val="-12"/>
        <w:szCs w:val="24"/>
      </w:rPr>
      <w:t>Y</w:t>
    </w:r>
    <w:r>
      <w:rPr>
        <w:rFonts w:ascii="Arial" w:hAnsi="Arial" w:cs="Arial"/>
        <w:b/>
        <w:iCs/>
        <w:color w:val="808080"/>
        <w:spacing w:val="-12"/>
        <w:szCs w:val="24"/>
      </w:rPr>
      <w:t>Á</w:t>
    </w:r>
    <w:r w:rsidRPr="00C734F0">
      <w:rPr>
        <w:rFonts w:ascii="Arial" w:hAnsi="Arial" w:cs="Arial"/>
        <w:b/>
        <w:iCs/>
        <w:color w:val="808080"/>
        <w:spacing w:val="-12"/>
        <w:szCs w:val="24"/>
      </w:rPr>
      <w:t>N ALBERTO BLANCO LEGU</w:t>
    </w:r>
    <w:r>
      <w:rPr>
        <w:rFonts w:ascii="Arial" w:hAnsi="Arial" w:cs="Arial"/>
        <w:b/>
        <w:iCs/>
        <w:color w:val="808080"/>
        <w:spacing w:val="-12"/>
        <w:szCs w:val="24"/>
      </w:rPr>
      <w:t>Í</w:t>
    </w:r>
    <w:r w:rsidRPr="00C734F0">
      <w:rPr>
        <w:rFonts w:ascii="Arial" w:hAnsi="Arial" w:cs="Arial"/>
        <w:b/>
        <w:iCs/>
        <w:color w:val="808080"/>
        <w:spacing w:val="-12"/>
        <w:szCs w:val="24"/>
      </w:rPr>
      <w:t>Z</w:t>
    </w:r>
    <w:r>
      <w:rPr>
        <w:rFonts w:ascii="Arial" w:hAnsi="Arial" w:cs="Arial"/>
        <w:b/>
        <w:iCs/>
        <w:color w:val="808080"/>
        <w:spacing w:val="-12"/>
        <w:szCs w:val="24"/>
      </w:rPr>
      <w:t xml:space="preserve">AMO </w:t>
    </w:r>
  </w:p>
  <w:p w14:paraId="17AD93B2" w14:textId="77777777" w:rsidR="006F2C42" w:rsidRDefault="00B049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50FB"/>
    <w:multiLevelType w:val="multilevel"/>
    <w:tmpl w:val="009CBAF8"/>
    <w:lvl w:ilvl="0">
      <w:start w:val="6"/>
      <w:numFmt w:val="decimal"/>
      <w:lvlText w:val="%1."/>
      <w:lvlJc w:val="left"/>
      <w:pPr>
        <w:ind w:left="390" w:hanging="39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 w15:restartNumberingAfterBreak="0">
    <w:nsid w:val="162F2CB8"/>
    <w:multiLevelType w:val="multilevel"/>
    <w:tmpl w:val="D200CB7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594981"/>
    <w:multiLevelType w:val="hybridMultilevel"/>
    <w:tmpl w:val="EE46AF90"/>
    <w:lvl w:ilvl="0" w:tplc="92E04362">
      <w:start w:val="1"/>
      <w:numFmt w:val="ordinalText"/>
      <w:lvlText w:val="%1:"/>
      <w:lvlJc w:val="left"/>
      <w:pPr>
        <w:ind w:left="720" w:hanging="360"/>
      </w:pPr>
      <w:rPr>
        <w:rFonts w:ascii="Arial" w:hAnsi="Arial" w:cs="Arial" w:hint="default"/>
        <w:b/>
        <w:i w:val="0"/>
        <w:caps/>
        <w:color w:val="000000" w:themeColor="text1"/>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BD6251D"/>
    <w:multiLevelType w:val="hybridMultilevel"/>
    <w:tmpl w:val="00609C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B444AC"/>
    <w:multiLevelType w:val="hybridMultilevel"/>
    <w:tmpl w:val="664830A8"/>
    <w:lvl w:ilvl="0" w:tplc="014C2FA0">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F28D6"/>
    <w:multiLevelType w:val="multilevel"/>
    <w:tmpl w:val="B1AA5F12"/>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FC060D"/>
    <w:multiLevelType w:val="hybridMultilevel"/>
    <w:tmpl w:val="6CF441B2"/>
    <w:lvl w:ilvl="0" w:tplc="BE9C1308">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570116"/>
    <w:multiLevelType w:val="multilevel"/>
    <w:tmpl w:val="9230A7E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73D4341"/>
    <w:multiLevelType w:val="hybridMultilevel"/>
    <w:tmpl w:val="8E524D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842237B"/>
    <w:multiLevelType w:val="hybridMultilevel"/>
    <w:tmpl w:val="D0AE431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6FAE323F"/>
    <w:multiLevelType w:val="hybridMultilevel"/>
    <w:tmpl w:val="968886F8"/>
    <w:lvl w:ilvl="0" w:tplc="21C271E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2F030D9"/>
    <w:multiLevelType w:val="multilevel"/>
    <w:tmpl w:val="2556D1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4033A9"/>
    <w:multiLevelType w:val="hybridMultilevel"/>
    <w:tmpl w:val="CC4AD698"/>
    <w:lvl w:ilvl="0" w:tplc="042ED452">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A120A4"/>
    <w:multiLevelType w:val="multilevel"/>
    <w:tmpl w:val="11C64FE4"/>
    <w:lvl w:ilvl="0">
      <w:start w:val="3"/>
      <w:numFmt w:val="decimal"/>
      <w:lvlText w:val="%1."/>
      <w:lvlJc w:val="left"/>
      <w:pPr>
        <w:ind w:left="1211" w:hanging="360"/>
      </w:pPr>
      <w:rPr>
        <w:rFonts w:ascii="Arial" w:hAnsi="Arial" w:cs="Arial" w:hint="default"/>
        <w:b w:val="0"/>
        <w:i w:val="0"/>
        <w:sz w:val="24"/>
        <w:szCs w:val="24"/>
      </w:rPr>
    </w:lvl>
    <w:lvl w:ilvl="1">
      <w:start w:val="1"/>
      <w:numFmt w:val="decimal"/>
      <w:isLgl/>
      <w:lvlText w:val="%1.%2."/>
      <w:lvlJc w:val="left"/>
      <w:pPr>
        <w:ind w:left="720" w:hanging="720"/>
      </w:pPr>
      <w:rPr>
        <w:rFonts w:ascii="Arial" w:hAnsi="Arial" w:cs="Arial" w:hint="default"/>
        <w:b w:val="0"/>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DA75613"/>
    <w:multiLevelType w:val="hybridMultilevel"/>
    <w:tmpl w:val="D0F4AE62"/>
    <w:lvl w:ilvl="0" w:tplc="E7C2A464">
      <w:start w:val="1"/>
      <w:numFmt w:val="decimal"/>
      <w:lvlText w:val="%1."/>
      <w:lvlJc w:val="left"/>
      <w:pPr>
        <w:ind w:left="720" w:hanging="360"/>
      </w:pPr>
      <w:rPr>
        <w:rFonts w:ascii="Arial" w:hAnsi="Arial" w:cs="Arial" w:hint="default"/>
        <w:b/>
        <w:sz w:val="24"/>
        <w:szCs w:val="24"/>
      </w:rPr>
    </w:lvl>
    <w:lvl w:ilvl="1" w:tplc="DD443516">
      <w:start w:val="1"/>
      <w:numFmt w:val="lowerLetter"/>
      <w:lvlText w:val="%2."/>
      <w:lvlJc w:val="left"/>
      <w:pPr>
        <w:ind w:left="1440" w:hanging="360"/>
      </w:pPr>
    </w:lvl>
    <w:lvl w:ilvl="2" w:tplc="D52ED042">
      <w:start w:val="1"/>
      <w:numFmt w:val="lowerRoman"/>
      <w:lvlText w:val="%3."/>
      <w:lvlJc w:val="right"/>
      <w:pPr>
        <w:ind w:left="2160" w:hanging="180"/>
      </w:pPr>
    </w:lvl>
    <w:lvl w:ilvl="3" w:tplc="508A2106">
      <w:start w:val="1"/>
      <w:numFmt w:val="decimal"/>
      <w:lvlText w:val="%4."/>
      <w:lvlJc w:val="left"/>
      <w:pPr>
        <w:ind w:left="2880" w:hanging="360"/>
      </w:pPr>
      <w:rPr>
        <w:rFonts w:ascii="Arial" w:hAnsi="Arial" w:cs="Arial" w:hint="default"/>
        <w:b/>
        <w:sz w:val="24"/>
        <w:szCs w:val="24"/>
      </w:rPr>
    </w:lvl>
    <w:lvl w:ilvl="4" w:tplc="A72821EE">
      <w:start w:val="1"/>
      <w:numFmt w:val="lowerLetter"/>
      <w:lvlText w:val="%5."/>
      <w:lvlJc w:val="left"/>
      <w:pPr>
        <w:ind w:left="3600" w:hanging="360"/>
      </w:pPr>
    </w:lvl>
    <w:lvl w:ilvl="5" w:tplc="2A9C0F1E">
      <w:start w:val="1"/>
      <w:numFmt w:val="lowerRoman"/>
      <w:lvlText w:val="%6."/>
      <w:lvlJc w:val="right"/>
      <w:pPr>
        <w:ind w:left="4320" w:hanging="180"/>
      </w:pPr>
    </w:lvl>
    <w:lvl w:ilvl="6" w:tplc="44BC2ECC">
      <w:start w:val="1"/>
      <w:numFmt w:val="decimal"/>
      <w:lvlText w:val="%7."/>
      <w:lvlJc w:val="left"/>
      <w:pPr>
        <w:ind w:left="5040" w:hanging="360"/>
      </w:pPr>
    </w:lvl>
    <w:lvl w:ilvl="7" w:tplc="994EBC40">
      <w:start w:val="1"/>
      <w:numFmt w:val="lowerLetter"/>
      <w:lvlText w:val="%8."/>
      <w:lvlJc w:val="left"/>
      <w:pPr>
        <w:ind w:left="5760" w:hanging="360"/>
      </w:pPr>
    </w:lvl>
    <w:lvl w:ilvl="8" w:tplc="982AF508">
      <w:start w:val="1"/>
      <w:numFmt w:val="lowerRoman"/>
      <w:lvlText w:val="%9."/>
      <w:lvlJc w:val="right"/>
      <w:pPr>
        <w:ind w:left="6480" w:hanging="180"/>
      </w:pPr>
    </w:lvl>
  </w:abstractNum>
  <w:num w:numId="1">
    <w:abstractNumId w:val="14"/>
  </w:num>
  <w:num w:numId="2">
    <w:abstractNumId w:val="3"/>
  </w:num>
  <w:num w:numId="3">
    <w:abstractNumId w:val="13"/>
  </w:num>
  <w:num w:numId="4">
    <w:abstractNumId w:val="1"/>
  </w:num>
  <w:num w:numId="5">
    <w:abstractNumId w:val="5"/>
  </w:num>
  <w:num w:numId="6">
    <w:abstractNumId w:val="7"/>
  </w:num>
  <w:num w:numId="7">
    <w:abstractNumId w:val="11"/>
  </w:num>
  <w:num w:numId="8">
    <w:abstractNumId w:val="0"/>
  </w:num>
  <w:num w:numId="9">
    <w:abstractNumId w:val="9"/>
  </w:num>
  <w:num w:numId="10">
    <w:abstractNumId w:val="12"/>
  </w:num>
  <w:num w:numId="11">
    <w:abstractNumId w:val="4"/>
  </w:num>
  <w:num w:numId="12">
    <w:abstractNumId w:val="8"/>
  </w:num>
  <w:num w:numId="13">
    <w:abstractNumId w:val="6"/>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CC"/>
    <w:rsid w:val="000039F3"/>
    <w:rsid w:val="00054338"/>
    <w:rsid w:val="000B74E1"/>
    <w:rsid w:val="000E2730"/>
    <w:rsid w:val="0011589D"/>
    <w:rsid w:val="001277D7"/>
    <w:rsid w:val="001353D8"/>
    <w:rsid w:val="00182C73"/>
    <w:rsid w:val="001A4CE2"/>
    <w:rsid w:val="00217ECC"/>
    <w:rsid w:val="002E0B70"/>
    <w:rsid w:val="00334C03"/>
    <w:rsid w:val="00387E24"/>
    <w:rsid w:val="003C72C1"/>
    <w:rsid w:val="003E4614"/>
    <w:rsid w:val="0042102D"/>
    <w:rsid w:val="00437304"/>
    <w:rsid w:val="0049341B"/>
    <w:rsid w:val="004E516F"/>
    <w:rsid w:val="005064F5"/>
    <w:rsid w:val="005A5D03"/>
    <w:rsid w:val="005C7596"/>
    <w:rsid w:val="005F55FC"/>
    <w:rsid w:val="00641786"/>
    <w:rsid w:val="006A1D42"/>
    <w:rsid w:val="006A5CC2"/>
    <w:rsid w:val="006A659C"/>
    <w:rsid w:val="00775E28"/>
    <w:rsid w:val="00785BAA"/>
    <w:rsid w:val="00837019"/>
    <w:rsid w:val="008652DB"/>
    <w:rsid w:val="008772E8"/>
    <w:rsid w:val="008D422E"/>
    <w:rsid w:val="009639B9"/>
    <w:rsid w:val="00AC3207"/>
    <w:rsid w:val="00B049C9"/>
    <w:rsid w:val="00B1484D"/>
    <w:rsid w:val="00B20108"/>
    <w:rsid w:val="00B308CC"/>
    <w:rsid w:val="00C74023"/>
    <w:rsid w:val="00C76760"/>
    <w:rsid w:val="00C90F5C"/>
    <w:rsid w:val="00C92CBA"/>
    <w:rsid w:val="00CC00E6"/>
    <w:rsid w:val="00DB6641"/>
    <w:rsid w:val="00E26FE7"/>
    <w:rsid w:val="00E41F3D"/>
    <w:rsid w:val="00EF3D8A"/>
    <w:rsid w:val="00FB2E20"/>
    <w:rsid w:val="14EAD17E"/>
    <w:rsid w:val="1A1A9B85"/>
    <w:rsid w:val="24490DC9"/>
    <w:rsid w:val="3602EF7A"/>
    <w:rsid w:val="379EBFDB"/>
    <w:rsid w:val="40CA2C93"/>
    <w:rsid w:val="503842EF"/>
    <w:rsid w:val="52840E44"/>
    <w:rsid w:val="7371C811"/>
    <w:rsid w:val="77B65423"/>
    <w:rsid w:val="7AA04722"/>
    <w:rsid w:val="7F6475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1E484"/>
  <w15:chartTrackingRefBased/>
  <w15:docId w15:val="{32DFB089-E9F0-45D8-8A34-5B906DD2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EC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217ECC"/>
  </w:style>
  <w:style w:type="paragraph" w:styleId="Encabezado">
    <w:name w:val="header"/>
    <w:basedOn w:val="Normal"/>
    <w:link w:val="EncabezadoCar"/>
    <w:rsid w:val="00217ECC"/>
    <w:pPr>
      <w:tabs>
        <w:tab w:val="center" w:pos="4419"/>
        <w:tab w:val="right" w:pos="8838"/>
      </w:tabs>
    </w:pPr>
  </w:style>
  <w:style w:type="character" w:customStyle="1" w:styleId="EncabezadoCar">
    <w:name w:val="Encabezado Car"/>
    <w:basedOn w:val="Fuentedeprrafopredeter"/>
    <w:link w:val="Encabezado"/>
    <w:rsid w:val="00217ECC"/>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217ECC"/>
    <w:pPr>
      <w:tabs>
        <w:tab w:val="center" w:pos="4419"/>
        <w:tab w:val="right" w:pos="8838"/>
      </w:tabs>
    </w:pPr>
  </w:style>
  <w:style w:type="character" w:customStyle="1" w:styleId="PiedepginaCar">
    <w:name w:val="Pie de página Car"/>
    <w:basedOn w:val="Fuentedeprrafopredeter"/>
    <w:link w:val="Piedepgina"/>
    <w:uiPriority w:val="99"/>
    <w:rsid w:val="00217ECC"/>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 Char,C, Ca,ft,F,Car1,FA"/>
    <w:basedOn w:val="Normal"/>
    <w:link w:val="TextonotapieCar1"/>
    <w:uiPriority w:val="99"/>
    <w:qFormat/>
    <w:rsid w:val="00217ECC"/>
  </w:style>
  <w:style w:type="character" w:customStyle="1" w:styleId="TextonotapieCar">
    <w:name w:val="Texto nota pie Car"/>
    <w:aliases w:val="texto de nota al p Car,Ref. de nota al pie1 Car"/>
    <w:basedOn w:val="Fuentedeprrafopredeter"/>
    <w:uiPriority w:val="99"/>
    <w:qFormat/>
    <w:rsid w:val="00217ECC"/>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har Car"/>
    <w:link w:val="Textonotapie"/>
    <w:uiPriority w:val="99"/>
    <w:qFormat/>
    <w:rsid w:val="00217ECC"/>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217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17ECC"/>
    <w:pPr>
      <w:overflowPunct/>
      <w:autoSpaceDE/>
      <w:autoSpaceDN/>
      <w:adjustRightInd/>
      <w:jc w:val="both"/>
      <w:textAlignment w:val="auto"/>
    </w:pPr>
    <w:rPr>
      <w:rFonts w:asciiTheme="minorHAnsi" w:eastAsiaTheme="minorHAnsi" w:hAnsiTheme="minorHAnsi" w:cstheme="minorBidi"/>
      <w:sz w:val="22"/>
      <w:szCs w:val="22"/>
      <w:vertAlign w:val="superscript"/>
      <w:lang w:eastAsia="en-US"/>
    </w:rPr>
  </w:style>
  <w:style w:type="paragraph" w:styleId="Prrafodelista">
    <w:name w:val="List Paragraph"/>
    <w:aliases w:val="Citas,Footnote,Bullet List,FooterText,numbered,List Paragraph1,Paragraphe de liste1,lp1,Párrafo de lista1,List Paragraph,Scitum normal,Párrafo de lista11,Cuadrícula media 1 - Énfasis 21,Colorful List - Accent 11,Ha,Normal1"/>
    <w:basedOn w:val="Normal"/>
    <w:link w:val="PrrafodelistaCar"/>
    <w:uiPriority w:val="34"/>
    <w:qFormat/>
    <w:rsid w:val="00217ECC"/>
    <w:pPr>
      <w:ind w:left="708"/>
    </w:pPr>
  </w:style>
  <w:style w:type="character" w:customStyle="1" w:styleId="PrrafodelistaCar">
    <w:name w:val="Párrafo de lista Car"/>
    <w:aliases w:val="Citas Car,Footnote Car,Bullet List Car,FooterText Car,numbered Car,List Paragraph1 Car,Paragraphe de liste1 Car,lp1 Car,Párrafo de lista1 Car,List Paragraph Car,Scitum normal Car,Párrafo de lista11 Car,Colorful List - Accent 11 Car"/>
    <w:link w:val="Prrafodelista"/>
    <w:uiPriority w:val="34"/>
    <w:locked/>
    <w:rsid w:val="00217ECC"/>
    <w:rPr>
      <w:rFonts w:ascii="Times New Roman" w:eastAsia="Times New Roman" w:hAnsi="Times New Roman" w:cs="Times New Roman"/>
      <w:sz w:val="20"/>
      <w:szCs w:val="20"/>
      <w:lang w:eastAsia="es-ES"/>
    </w:rPr>
  </w:style>
  <w:style w:type="table" w:styleId="Tablaconcuadrcula">
    <w:name w:val="Table Grid"/>
    <w:basedOn w:val="Tablanormal"/>
    <w:uiPriority w:val="39"/>
    <w:rsid w:val="00217E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217ECC"/>
  </w:style>
  <w:style w:type="paragraph" w:styleId="NormalWeb">
    <w:name w:val="Normal (Web)"/>
    <w:basedOn w:val="Normal"/>
    <w:uiPriority w:val="99"/>
    <w:unhideWhenUsed/>
    <w:rsid w:val="00FB2E20"/>
    <w:pPr>
      <w:overflowPunct/>
      <w:autoSpaceDE/>
      <w:autoSpaceDN/>
      <w:adjustRightInd/>
      <w:spacing w:before="100" w:beforeAutospacing="1" w:after="100" w:afterAutospacing="1"/>
      <w:textAlignment w:val="auto"/>
    </w:pPr>
    <w:rPr>
      <w:sz w:val="24"/>
      <w:szCs w:val="24"/>
      <w:lang w:eastAsia="es-CO"/>
    </w:rPr>
  </w:style>
  <w:style w:type="character" w:customStyle="1" w:styleId="baj">
    <w:name w:val="b_aj"/>
    <w:basedOn w:val="Fuentedeprrafopredeter"/>
    <w:rsid w:val="002E0B70"/>
  </w:style>
  <w:style w:type="character" w:styleId="Hipervnculo">
    <w:name w:val="Hyperlink"/>
    <w:qFormat/>
    <w:rsid w:val="003C72C1"/>
    <w:rPr>
      <w:color w:val="0000FF"/>
      <w:w w:val="100"/>
      <w:position w:val="-1"/>
      <w:u w:val="single"/>
      <w:effect w:val="none"/>
      <w:vertAlign w:val="baseline"/>
      <w:cs w:val="0"/>
      <w:em w:val="none"/>
    </w:rPr>
  </w:style>
  <w:style w:type="character" w:customStyle="1" w:styleId="apple-converted-space">
    <w:name w:val="apple-converted-space"/>
    <w:rsid w:val="003C72C1"/>
    <w:rPr>
      <w:w w:val="100"/>
      <w:position w:val="-1"/>
      <w:effect w:val="none"/>
      <w:vertAlign w:val="baseline"/>
      <w:cs w:val="0"/>
      <w:em w:val="none"/>
    </w:rPr>
  </w:style>
  <w:style w:type="character" w:styleId="Mencinsinresolver">
    <w:name w:val="Unresolved Mention"/>
    <w:basedOn w:val="Fuentedeprrafopredeter"/>
    <w:uiPriority w:val="99"/>
    <w:semiHidden/>
    <w:unhideWhenUsed/>
    <w:rsid w:val="003E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17435">
      <w:bodyDiv w:val="1"/>
      <w:marLeft w:val="0"/>
      <w:marRight w:val="0"/>
      <w:marTop w:val="0"/>
      <w:marBottom w:val="0"/>
      <w:divBdr>
        <w:top w:val="none" w:sz="0" w:space="0" w:color="auto"/>
        <w:left w:val="none" w:sz="0" w:space="0" w:color="auto"/>
        <w:bottom w:val="none" w:sz="0" w:space="0" w:color="auto"/>
        <w:right w:val="none" w:sz="0" w:space="0" w:color="auto"/>
      </w:divBdr>
    </w:div>
    <w:div w:id="1128546531">
      <w:bodyDiv w:val="1"/>
      <w:marLeft w:val="0"/>
      <w:marRight w:val="0"/>
      <w:marTop w:val="0"/>
      <w:marBottom w:val="0"/>
      <w:divBdr>
        <w:top w:val="none" w:sz="0" w:space="0" w:color="auto"/>
        <w:left w:val="none" w:sz="0" w:space="0" w:color="auto"/>
        <w:bottom w:val="none" w:sz="0" w:space="0" w:color="auto"/>
        <w:right w:val="none" w:sz="0" w:space="0" w:color="auto"/>
      </w:divBdr>
    </w:div>
    <w:div w:id="1418599463">
      <w:bodyDiv w:val="1"/>
      <w:marLeft w:val="0"/>
      <w:marRight w:val="0"/>
      <w:marTop w:val="0"/>
      <w:marBottom w:val="0"/>
      <w:divBdr>
        <w:top w:val="none" w:sz="0" w:space="0" w:color="auto"/>
        <w:left w:val="none" w:sz="0" w:space="0" w:color="auto"/>
        <w:bottom w:val="none" w:sz="0" w:space="0" w:color="auto"/>
        <w:right w:val="none" w:sz="0" w:space="0" w:color="auto"/>
      </w:divBdr>
    </w:div>
    <w:div w:id="1782259417">
      <w:bodyDiv w:val="1"/>
      <w:marLeft w:val="0"/>
      <w:marRight w:val="0"/>
      <w:marTop w:val="0"/>
      <w:marBottom w:val="0"/>
      <w:divBdr>
        <w:top w:val="none" w:sz="0" w:space="0" w:color="auto"/>
        <w:left w:val="none" w:sz="0" w:space="0" w:color="auto"/>
        <w:bottom w:val="none" w:sz="0" w:space="0" w:color="auto"/>
        <w:right w:val="none" w:sz="0" w:space="0" w:color="auto"/>
      </w:divBdr>
    </w:div>
    <w:div w:id="1848864336">
      <w:bodyDiv w:val="1"/>
      <w:marLeft w:val="0"/>
      <w:marRight w:val="0"/>
      <w:marTop w:val="0"/>
      <w:marBottom w:val="0"/>
      <w:divBdr>
        <w:top w:val="none" w:sz="0" w:space="0" w:color="auto"/>
        <w:left w:val="none" w:sz="0" w:space="0" w:color="auto"/>
        <w:bottom w:val="none" w:sz="0" w:space="0" w:color="auto"/>
        <w:right w:val="none" w:sz="0" w:space="0" w:color="auto"/>
      </w:divBdr>
    </w:div>
    <w:div w:id="1952515253">
      <w:bodyDiv w:val="1"/>
      <w:marLeft w:val="0"/>
      <w:marRight w:val="0"/>
      <w:marTop w:val="0"/>
      <w:marBottom w:val="0"/>
      <w:divBdr>
        <w:top w:val="none" w:sz="0" w:space="0" w:color="auto"/>
        <w:left w:val="none" w:sz="0" w:space="0" w:color="auto"/>
        <w:bottom w:val="none" w:sz="0" w:space="0" w:color="auto"/>
        <w:right w:val="none" w:sz="0" w:space="0" w:color="auto"/>
      </w:divBdr>
    </w:div>
    <w:div w:id="210017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2" ma:contentTypeDescription="Crear nuevo documento." ma:contentTypeScope="" ma:versionID="79aca0bed72767153584e2cd7ca31e41">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92bedfa8422090b2da796a673c862d20"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5ad69b-6b23-40bf-a6b6-6eeb658b51b1}"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4F16-5D3D-41DB-A193-85E20151C9CE}">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748EAEC2-F0B4-4934-B72E-C0E7AD949727}">
  <ds:schemaRefs>
    <ds:schemaRef ds:uri="http://schemas.microsoft.com/sharepoint/v3/contenttype/forms"/>
  </ds:schemaRefs>
</ds:datastoreItem>
</file>

<file path=customXml/itemProps3.xml><?xml version="1.0" encoding="utf-8"?>
<ds:datastoreItem xmlns:ds="http://schemas.openxmlformats.org/officeDocument/2006/customXml" ds:itemID="{DD93A69C-51FB-4D6D-9112-7243910C5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D2252-BFBD-4201-AD7A-5565B413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2429</Words>
  <Characters>13364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Cabrales Camargo</dc:creator>
  <cp:keywords/>
  <dc:description/>
  <cp:lastModifiedBy>Relatoria Tribunal Administrativo - Boyaca - Seccional Tunja</cp:lastModifiedBy>
  <cp:revision>2</cp:revision>
  <dcterms:created xsi:type="dcterms:W3CDTF">2022-08-16T18:24:00Z</dcterms:created>
  <dcterms:modified xsi:type="dcterms:W3CDTF">2022-08-16T18:24:00Z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ies>
</file>