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D123" w14:textId="09BCEE01" w:rsidR="00DD316E" w:rsidRPr="00951A19" w:rsidRDefault="00DD316E" w:rsidP="00810969">
      <w:pPr>
        <w:jc w:val="both"/>
        <w:rPr>
          <w:rFonts w:ascii="Arial" w:hAnsi="Arial" w:cs="Arial"/>
          <w:b/>
          <w:sz w:val="24"/>
          <w:szCs w:val="24"/>
        </w:rPr>
      </w:pPr>
      <w:r w:rsidRPr="00951A19">
        <w:rPr>
          <w:rFonts w:ascii="Arial" w:hAnsi="Arial" w:cs="Arial"/>
          <w:b/>
          <w:sz w:val="24"/>
          <w:szCs w:val="24"/>
        </w:rPr>
        <w:t xml:space="preserve">CADUCIDAD - Noción. </w:t>
      </w:r>
    </w:p>
    <w:p w14:paraId="5943C503" w14:textId="77777777" w:rsidR="00DD316E" w:rsidRPr="00951A19" w:rsidRDefault="00DD316E" w:rsidP="00810969">
      <w:pPr>
        <w:jc w:val="both"/>
        <w:rPr>
          <w:rFonts w:ascii="Arial" w:hAnsi="Arial" w:cs="Arial"/>
          <w:b/>
          <w:sz w:val="24"/>
          <w:szCs w:val="24"/>
        </w:rPr>
      </w:pPr>
    </w:p>
    <w:p w14:paraId="35ECAEE1" w14:textId="5B49742D" w:rsidR="00DD316E" w:rsidRPr="00951A19" w:rsidRDefault="00DD316E" w:rsidP="00810969">
      <w:pPr>
        <w:jc w:val="both"/>
        <w:rPr>
          <w:rFonts w:ascii="Arial" w:hAnsi="Arial" w:cs="Arial"/>
          <w:sz w:val="24"/>
          <w:szCs w:val="24"/>
        </w:rPr>
      </w:pPr>
      <w:r w:rsidRPr="00951A19">
        <w:rPr>
          <w:rFonts w:ascii="Arial" w:hAnsi="Arial" w:cs="Arial"/>
          <w:sz w:val="24"/>
          <w:szCs w:val="24"/>
        </w:rPr>
        <w:t xml:space="preserve">La caducidad es una limitación temporal del derecho de acción, y es entendida como el plazo perentorio fijado por la ley para el ejercicio de una acción judicial, hoy medio de control ante la jurisdicción contencioso administrativa, so pena de perder la oportunidad de que la administración de justicia la conozca. </w:t>
      </w:r>
    </w:p>
    <w:p w14:paraId="53FDCA20" w14:textId="2BFAD30B" w:rsidR="00DD316E" w:rsidRPr="00951A19" w:rsidRDefault="00DD316E" w:rsidP="00810969">
      <w:pPr>
        <w:jc w:val="both"/>
        <w:rPr>
          <w:rFonts w:ascii="Arial" w:hAnsi="Arial" w:cs="Arial"/>
          <w:sz w:val="24"/>
          <w:szCs w:val="24"/>
        </w:rPr>
      </w:pPr>
      <w:r w:rsidRPr="00951A19">
        <w:rPr>
          <w:rFonts w:ascii="Arial" w:hAnsi="Arial" w:cs="Arial"/>
          <w:sz w:val="24"/>
          <w:szCs w:val="24"/>
        </w:rPr>
        <w:t xml:space="preserve">Esta figura garantiza el principio de seguridad jurídica, al imponer a los interesados la carga procesal de poner en funcionamiento el aparato de justicia dentro de los plazos fijados por el legislador, de suerte que vencido el plazo establecido se configura el fenómeno de la caducidad. En tal sentido, la declaración de caducidad es una decisión sancionatoria que opera </w:t>
      </w:r>
      <w:r w:rsidRPr="00951A19">
        <w:rPr>
          <w:rFonts w:ascii="Arial" w:hAnsi="Arial" w:cs="Arial"/>
          <w:i/>
          <w:sz w:val="24"/>
          <w:szCs w:val="24"/>
        </w:rPr>
        <w:t>ipso iure</w:t>
      </w:r>
      <w:r w:rsidRPr="00951A19">
        <w:rPr>
          <w:rFonts w:ascii="Arial" w:hAnsi="Arial" w:cs="Arial"/>
          <w:sz w:val="24"/>
          <w:szCs w:val="24"/>
        </w:rPr>
        <w:t xml:space="preserve"> ante el incumplimiento de la carga procesal de accionar dentro del término previsto por la ley para hacer efectivo un derecho.</w:t>
      </w:r>
    </w:p>
    <w:p w14:paraId="507F07AA" w14:textId="3455E737" w:rsidR="00DD316E" w:rsidRPr="00951A19" w:rsidRDefault="00DD316E" w:rsidP="00810969">
      <w:pPr>
        <w:jc w:val="both"/>
        <w:rPr>
          <w:rFonts w:ascii="Arial" w:hAnsi="Arial" w:cs="Arial"/>
          <w:sz w:val="24"/>
          <w:szCs w:val="24"/>
        </w:rPr>
      </w:pPr>
    </w:p>
    <w:p w14:paraId="5E93F661" w14:textId="02059888" w:rsidR="00DD316E" w:rsidRPr="00951A19" w:rsidRDefault="00DD316E" w:rsidP="00810969">
      <w:pPr>
        <w:jc w:val="both"/>
        <w:rPr>
          <w:rFonts w:ascii="Arial" w:hAnsi="Arial" w:cs="Arial"/>
          <w:sz w:val="24"/>
          <w:szCs w:val="24"/>
        </w:rPr>
      </w:pPr>
      <w:r w:rsidRPr="00951A19">
        <w:rPr>
          <w:rFonts w:ascii="Arial" w:hAnsi="Arial" w:cs="Arial"/>
          <w:b/>
          <w:sz w:val="24"/>
          <w:szCs w:val="24"/>
        </w:rPr>
        <w:t>MEDIO DE CONTROL DE REPARACIÓN DIRECTA</w:t>
      </w:r>
      <w:r w:rsidRPr="00951A19">
        <w:rPr>
          <w:rFonts w:ascii="Arial" w:hAnsi="Arial" w:cs="Arial"/>
          <w:sz w:val="24"/>
          <w:szCs w:val="24"/>
        </w:rPr>
        <w:t xml:space="preserve"> – Caducidad. </w:t>
      </w:r>
    </w:p>
    <w:p w14:paraId="4A40060A" w14:textId="77777777" w:rsidR="00DD316E" w:rsidRPr="00951A19" w:rsidRDefault="00DD316E" w:rsidP="00810969">
      <w:pPr>
        <w:jc w:val="both"/>
        <w:rPr>
          <w:rFonts w:ascii="Arial" w:hAnsi="Arial" w:cs="Arial"/>
          <w:sz w:val="24"/>
          <w:szCs w:val="24"/>
        </w:rPr>
      </w:pPr>
    </w:p>
    <w:p w14:paraId="05A16388" w14:textId="045AEE9C" w:rsidR="00DD316E" w:rsidRPr="00951A19" w:rsidRDefault="00DD316E" w:rsidP="00810969">
      <w:pPr>
        <w:jc w:val="both"/>
        <w:rPr>
          <w:rFonts w:ascii="Arial" w:hAnsi="Arial" w:cs="Arial"/>
          <w:sz w:val="24"/>
          <w:szCs w:val="24"/>
        </w:rPr>
      </w:pPr>
      <w:r w:rsidRPr="00951A19">
        <w:rPr>
          <w:rFonts w:ascii="Arial" w:hAnsi="Arial" w:cs="Arial"/>
          <w:sz w:val="24"/>
          <w:szCs w:val="24"/>
        </w:rPr>
        <w:t xml:space="preserve">En relación con el término de caducidad del medio de control de reparación directa, el literal i) del numeral 2° del artículo 164 del C.P.A.C.A., dispone que la demanda deberá presentarse dentro del término de dos (2) años, contados </w:t>
      </w:r>
      <w:r w:rsidRPr="00951A19">
        <w:rPr>
          <w:rFonts w:ascii="Arial" w:hAnsi="Arial" w:cs="Arial"/>
          <w:sz w:val="24"/>
          <w:szCs w:val="24"/>
          <w:u w:val="single"/>
        </w:rPr>
        <w:t xml:space="preserve">a </w:t>
      </w:r>
      <w:r w:rsidRPr="00951A19">
        <w:rPr>
          <w:rFonts w:ascii="Arial" w:hAnsi="Arial" w:cs="Arial"/>
          <w:sz w:val="24"/>
          <w:szCs w:val="24"/>
        </w:rPr>
        <w:t>partir del día siguiente al de la ocurrencia de la acción u omisión causante del daño, o de cuando el demandante tuvo o debió tener conocimiento del mismo si fue en fecha posterior y siempre que pruebe la imposibilidad de haberlo conocido en la fecha de su ocurrencia.</w:t>
      </w:r>
      <w:r w:rsidR="00A841BD" w:rsidRPr="00951A19">
        <w:rPr>
          <w:rFonts w:ascii="Arial" w:hAnsi="Arial" w:cs="Arial"/>
          <w:sz w:val="24"/>
          <w:szCs w:val="24"/>
        </w:rPr>
        <w:t xml:space="preserve"> </w:t>
      </w:r>
      <w:r w:rsidRPr="00951A19">
        <w:rPr>
          <w:rFonts w:ascii="Arial" w:hAnsi="Arial" w:cs="Arial"/>
          <w:bCs/>
          <w:sz w:val="24"/>
          <w:szCs w:val="24"/>
        </w:rPr>
        <w:t>Sobre el momento a partir del cual debe contabilizarse el término de caducidad</w:t>
      </w:r>
      <w:r w:rsidRPr="00951A19">
        <w:rPr>
          <w:rFonts w:ascii="Arial" w:hAnsi="Arial" w:cs="Arial"/>
          <w:sz w:val="24"/>
          <w:szCs w:val="24"/>
        </w:rPr>
        <w:t xml:space="preserve">, la jurisprudencia de la Sección Tercera del Consejo de Estado ha considerado que </w:t>
      </w:r>
      <w:r w:rsidRPr="00951A19">
        <w:rPr>
          <w:rFonts w:ascii="Arial" w:hAnsi="Arial" w:cs="Arial"/>
          <w:bCs/>
          <w:sz w:val="24"/>
          <w:szCs w:val="24"/>
        </w:rPr>
        <w:t>no pueden aplicarse criterios absolutos</w:t>
      </w:r>
      <w:r w:rsidRPr="00951A19">
        <w:rPr>
          <w:rFonts w:ascii="Arial" w:hAnsi="Arial" w:cs="Arial"/>
          <w:sz w:val="24"/>
          <w:szCs w:val="24"/>
        </w:rPr>
        <w:t>; así, en sentencia del 5 de diciembre de 2005, precisó lo siguiente:</w:t>
      </w:r>
      <w:r w:rsidR="00A841BD" w:rsidRPr="00951A19">
        <w:rPr>
          <w:rFonts w:ascii="Arial" w:hAnsi="Arial" w:cs="Arial"/>
          <w:sz w:val="24"/>
          <w:szCs w:val="24"/>
        </w:rPr>
        <w:t xml:space="preserve"> (…). </w:t>
      </w:r>
      <w:r w:rsidRPr="00951A19">
        <w:rPr>
          <w:rFonts w:ascii="Arial" w:hAnsi="Arial" w:cs="Arial"/>
          <w:sz w:val="24"/>
          <w:szCs w:val="24"/>
        </w:rPr>
        <w:t>En tal sentido, la jurisprudencia del Consejo de Estado ha precisado que el</w:t>
      </w:r>
      <w:r w:rsidRPr="00951A19">
        <w:rPr>
          <w:rFonts w:ascii="Arial" w:hAnsi="Arial" w:cs="Arial"/>
          <w:b/>
          <w:sz w:val="24"/>
          <w:szCs w:val="24"/>
        </w:rPr>
        <w:t xml:space="preserve"> </w:t>
      </w:r>
      <w:r w:rsidRPr="00951A19">
        <w:rPr>
          <w:rFonts w:ascii="Arial" w:hAnsi="Arial" w:cs="Arial"/>
          <w:sz w:val="24"/>
          <w:szCs w:val="24"/>
        </w:rPr>
        <w:t>daño puede provenir de un acontecimiento de agotamiento instantáneo y ocasionalmente de un hecho que se produce progresivamente. Cuando el hecho es de agotamiento instantáneo, el término de caducidad por regla general se contabiliza a partir del día siguiente al de la producción del acontecimiento dañoso, mientras que, en el caso de producción paulatina de daños, el término corre de manera independiente para cada uno de los daños derivados de los diferentes eventos sucesivos. Sobre este aspecto, ha advertido que no debe confundirse la producción de daños sucesivos con el agravamiento de sus efectos, ya que en el último caso el término empieza a contabilizarse desde la producción del hecho que le di</w:t>
      </w:r>
      <w:r w:rsidR="00A841BD" w:rsidRPr="00951A19">
        <w:rPr>
          <w:rFonts w:ascii="Arial" w:hAnsi="Arial" w:cs="Arial"/>
          <w:sz w:val="24"/>
          <w:szCs w:val="24"/>
        </w:rPr>
        <w:t>o</w:t>
      </w:r>
      <w:r w:rsidRPr="00951A19">
        <w:rPr>
          <w:rFonts w:ascii="Arial" w:hAnsi="Arial" w:cs="Arial"/>
          <w:sz w:val="24"/>
          <w:szCs w:val="24"/>
        </w:rPr>
        <w:t xml:space="preserve"> origen.</w:t>
      </w:r>
      <w:r w:rsidR="00A841BD" w:rsidRPr="00951A19">
        <w:rPr>
          <w:rFonts w:ascii="Arial" w:hAnsi="Arial" w:cs="Arial"/>
          <w:sz w:val="24"/>
          <w:szCs w:val="24"/>
        </w:rPr>
        <w:t xml:space="preserve"> </w:t>
      </w:r>
      <w:r w:rsidRPr="00951A19">
        <w:rPr>
          <w:rFonts w:ascii="Arial" w:hAnsi="Arial" w:cs="Arial"/>
          <w:sz w:val="24"/>
          <w:szCs w:val="24"/>
        </w:rPr>
        <w:t xml:space="preserve">Sobre la caducidad ha dicho la Corte Constitucional: ‘que es la extinción del derecho a la acción por cualquier causa, como el transcurso del tiempo, de manera </w:t>
      </w:r>
      <w:proofErr w:type="gramStart"/>
      <w:r w:rsidRPr="00951A19">
        <w:rPr>
          <w:rFonts w:ascii="Arial" w:hAnsi="Arial" w:cs="Arial"/>
          <w:sz w:val="24"/>
          <w:szCs w:val="24"/>
        </w:rPr>
        <w:t>que</w:t>
      </w:r>
      <w:proofErr w:type="gramEnd"/>
      <w:r w:rsidRPr="00951A19">
        <w:rPr>
          <w:rFonts w:ascii="Arial" w:hAnsi="Arial" w:cs="Arial"/>
          <w:sz w:val="24"/>
          <w:szCs w:val="24"/>
        </w:rPr>
        <w:t xml:space="preserve"> si el actor deja transcurrir los plazos fijados por la ley en forma objetiva, sin presentar la demanda, el mencionado derecho fenece inexorablemente, sin que pueda alegarse excusas algunas para revivirlos. Dichos plazos constituyen entonces una garantía para la seguridad jurídica y el interés general.</w:t>
      </w:r>
      <w:r w:rsidR="00A841BD" w:rsidRPr="00951A19">
        <w:rPr>
          <w:rFonts w:ascii="Arial" w:hAnsi="Arial" w:cs="Arial"/>
          <w:sz w:val="24"/>
          <w:szCs w:val="24"/>
        </w:rPr>
        <w:t xml:space="preserve"> </w:t>
      </w:r>
      <w:r w:rsidRPr="00951A19">
        <w:rPr>
          <w:rFonts w:ascii="Arial" w:hAnsi="Arial" w:cs="Arial"/>
          <w:sz w:val="24"/>
          <w:szCs w:val="24"/>
          <w:lang w:val="es-CO"/>
        </w:rPr>
        <w:t>El artículo 164 del CPACA establece:</w:t>
      </w:r>
      <w:r w:rsidR="00A841BD" w:rsidRPr="00951A19">
        <w:rPr>
          <w:rFonts w:ascii="Arial" w:hAnsi="Arial" w:cs="Arial"/>
          <w:sz w:val="24"/>
          <w:szCs w:val="24"/>
          <w:lang w:val="es-CO"/>
        </w:rPr>
        <w:t xml:space="preserve"> (…) </w:t>
      </w:r>
      <w:r w:rsidRPr="00951A19">
        <w:rPr>
          <w:rFonts w:ascii="Arial" w:hAnsi="Arial" w:cs="Arial"/>
          <w:sz w:val="24"/>
          <w:szCs w:val="24"/>
          <w:lang w:val="es-CO"/>
        </w:rPr>
        <w:t>De</w:t>
      </w:r>
      <w:r w:rsidRPr="00951A19">
        <w:rPr>
          <w:rFonts w:ascii="Arial" w:hAnsi="Arial" w:cs="Arial"/>
          <w:sz w:val="24"/>
          <w:szCs w:val="24"/>
        </w:rPr>
        <w:t xml:space="preserve"> lo anterior se infiere que el término de caducidad debe contarse a partir del día siguiente a la ocurrencia de los hechos, o a partir del momento en que se tuvo conocimiento de estos, sin importar que los perjuicios se hubiesen prolongado en el tiempo.</w:t>
      </w:r>
      <w:r w:rsidR="00A841BD" w:rsidRPr="00951A19">
        <w:rPr>
          <w:rFonts w:ascii="Arial" w:hAnsi="Arial" w:cs="Arial"/>
          <w:sz w:val="24"/>
          <w:szCs w:val="24"/>
        </w:rPr>
        <w:t xml:space="preserve"> </w:t>
      </w:r>
      <w:r w:rsidRPr="00951A19">
        <w:rPr>
          <w:rFonts w:ascii="Arial" w:hAnsi="Arial" w:cs="Arial"/>
          <w:sz w:val="24"/>
          <w:szCs w:val="24"/>
        </w:rPr>
        <w:t xml:space="preserve">Por último, ha de considerarse que la caducidad del medio de control solamente admite suspensión cuando para presentarse la demanda debe agotarse el requisito de la conciliación prejudicial regulada en el numeral 1° del artículo 161 del CPACA para el ejercicio del medio de control de reparación directa, entre otros, y sólo excepcionalmente se considera que en estos casos no hay lugar a considerar la caducidad cuando se trata de reclamar la indemnización de daños originados en la violación de los derechos humanos por delitos de lesa humanidad. Por fuera de </w:t>
      </w:r>
      <w:r w:rsidRPr="00951A19">
        <w:rPr>
          <w:rFonts w:ascii="Arial" w:hAnsi="Arial" w:cs="Arial"/>
          <w:sz w:val="24"/>
          <w:szCs w:val="24"/>
        </w:rPr>
        <w:lastRenderedPageBreak/>
        <w:t>esta excepción no existe la posibilidad reconocida en la jurisprudencia de no aplicar el término legal para el ejercicio del medio de control de reparación directa.</w:t>
      </w:r>
    </w:p>
    <w:p w14:paraId="1B74072A" w14:textId="0828A98D" w:rsidR="00DD316E" w:rsidRPr="00951A19" w:rsidRDefault="00DD316E" w:rsidP="00810969">
      <w:pPr>
        <w:jc w:val="both"/>
        <w:rPr>
          <w:rFonts w:ascii="Arial" w:hAnsi="Arial" w:cs="Arial"/>
          <w:sz w:val="24"/>
          <w:szCs w:val="24"/>
        </w:rPr>
      </w:pPr>
    </w:p>
    <w:p w14:paraId="601C5FEB" w14:textId="445298A3" w:rsidR="00A65A8C" w:rsidRPr="00810969" w:rsidRDefault="00A65A8C" w:rsidP="00810969">
      <w:pPr>
        <w:jc w:val="both"/>
        <w:rPr>
          <w:rFonts w:ascii="Arial" w:hAnsi="Arial" w:cs="Arial"/>
          <w:b/>
          <w:sz w:val="24"/>
          <w:szCs w:val="24"/>
        </w:rPr>
      </w:pPr>
      <w:r w:rsidRPr="00810969">
        <w:rPr>
          <w:rFonts w:ascii="Arial" w:hAnsi="Arial" w:cs="Arial"/>
          <w:b/>
          <w:sz w:val="24"/>
          <w:szCs w:val="24"/>
        </w:rPr>
        <w:t>CADUCIDAD DEL MEDIO DE CONTROL DE REPARACIÓN DIRECTA – Inexistencia en el caso concreto /SUSPENSIÓN DE TÉRMINOS DE CADUCIDAD - C</w:t>
      </w:r>
      <w:r w:rsidRPr="00810969">
        <w:rPr>
          <w:rFonts w:ascii="Arial" w:hAnsi="Arial" w:cs="Arial"/>
          <w:b/>
          <w:sz w:val="24"/>
          <w:szCs w:val="24"/>
        </w:rPr>
        <w:t>onteo de los términos de caducidad con la suspensión de los mismos que hiciera el artículo 1° del Decreto Legislativo No. 564 de 2020, cuando el plazo que restaba para hacerla inoperante era inferior a 30 días.</w:t>
      </w:r>
    </w:p>
    <w:p w14:paraId="4EFFFB43" w14:textId="4D571E31" w:rsidR="00A65A8C" w:rsidRPr="00951A19" w:rsidRDefault="00A65A8C" w:rsidP="00810969">
      <w:pPr>
        <w:jc w:val="both"/>
        <w:rPr>
          <w:rFonts w:ascii="Arial" w:hAnsi="Arial" w:cs="Arial"/>
          <w:sz w:val="24"/>
          <w:szCs w:val="24"/>
        </w:rPr>
      </w:pPr>
    </w:p>
    <w:p w14:paraId="565EACA9" w14:textId="773A82CC" w:rsidR="00DD316E" w:rsidRPr="00810969" w:rsidRDefault="00DD316E" w:rsidP="00810969">
      <w:pPr>
        <w:pStyle w:val="BodyText23"/>
        <w:spacing w:line="240" w:lineRule="auto"/>
        <w:rPr>
          <w:rFonts w:ascii="Arial" w:hAnsi="Arial" w:cs="Arial"/>
          <w:szCs w:val="24"/>
          <w:lang w:val="es-CO"/>
        </w:rPr>
      </w:pPr>
      <w:r w:rsidRPr="00951A19">
        <w:rPr>
          <w:rFonts w:ascii="Arial" w:hAnsi="Arial" w:cs="Arial"/>
          <w:color w:val="000000" w:themeColor="text1"/>
          <w:szCs w:val="24"/>
          <w:lang w:eastAsia="es-ES"/>
        </w:rPr>
        <w:t>A efectos de determinar si la demanda de reparación directa de la referencia fue radicada dentro del término de caducidad de los dos (2) años previstos en el artículo 164 del C.P.A.C.A., es menester tener presente que el Consejo Superior de la Judicatura mediante Acuerdos PCSJA-11517, PCSJA20-11518, PCSJA-11519, PCSJA-11521, PCSJA20-11526, PCSJA-11527, PCSJA-11528, PCSJA-11529, PCSJA-11532, PCSJA-11546, PCSJA-11549, PCSJA-11556 y PCSJA-11567 suspendió los términos judiciales a partir del 16 de marzo de 2020 por motivos de salubridad pública y fuerza mayor con ocasión de la pandemia de la COVID-19.</w:t>
      </w:r>
      <w:r w:rsidR="00A01D60" w:rsidRPr="00951A19">
        <w:rPr>
          <w:rFonts w:ascii="Arial" w:hAnsi="Arial" w:cs="Arial"/>
          <w:color w:val="000000" w:themeColor="text1"/>
          <w:szCs w:val="24"/>
          <w:lang w:eastAsia="es-ES"/>
        </w:rPr>
        <w:t xml:space="preserve"> </w:t>
      </w:r>
      <w:r w:rsidRPr="00951A19">
        <w:rPr>
          <w:rFonts w:ascii="Arial" w:hAnsi="Arial" w:cs="Arial"/>
          <w:color w:val="000000" w:themeColor="text1"/>
          <w:szCs w:val="24"/>
          <w:lang w:eastAsia="es-ES"/>
        </w:rPr>
        <w:t>Posteriormente, mediante Acuerdo PCSJA-11581 del 27 de mayo de 2020 el Consejo Superior de la Judicatura dispuso el levantamiento de términos judiciales, a partir del 1º de julio de 2020.</w:t>
      </w:r>
      <w:r w:rsidR="00A01D60" w:rsidRPr="00951A19">
        <w:rPr>
          <w:rFonts w:ascii="Arial" w:hAnsi="Arial" w:cs="Arial"/>
          <w:color w:val="000000" w:themeColor="text1"/>
          <w:szCs w:val="24"/>
          <w:lang w:eastAsia="es-ES"/>
        </w:rPr>
        <w:t xml:space="preserve"> </w:t>
      </w:r>
      <w:r w:rsidRPr="00951A19">
        <w:rPr>
          <w:rFonts w:ascii="Arial" w:hAnsi="Arial" w:cs="Arial"/>
          <w:color w:val="000000"/>
          <w:szCs w:val="24"/>
          <w:lang w:val="es-ES_tradnl" w:eastAsia="es-ES"/>
        </w:rPr>
        <w:t>Por su parte, el artículo 1º del Decreto Legislativo No. 564 de 2020 efectuó precisiones respecto a la suspensión de términos de prescripción y caducidad, en los siguientes términos:</w:t>
      </w:r>
      <w:r w:rsidR="00A01D60" w:rsidRPr="00951A19">
        <w:rPr>
          <w:rFonts w:ascii="Arial" w:hAnsi="Arial" w:cs="Arial"/>
          <w:color w:val="000000"/>
          <w:szCs w:val="24"/>
          <w:lang w:val="es-ES_tradnl" w:eastAsia="es-ES"/>
        </w:rPr>
        <w:t xml:space="preserve"> (…)</w:t>
      </w:r>
      <w:r w:rsidR="008139AB" w:rsidRPr="00951A19">
        <w:rPr>
          <w:rFonts w:ascii="Arial" w:hAnsi="Arial" w:cs="Arial"/>
          <w:color w:val="000000"/>
          <w:szCs w:val="24"/>
          <w:lang w:val="es-ES_tradnl" w:eastAsia="es-ES"/>
        </w:rPr>
        <w:t xml:space="preserve">. </w:t>
      </w:r>
      <w:r w:rsidRPr="00951A19">
        <w:rPr>
          <w:rFonts w:ascii="Arial" w:hAnsi="Arial" w:cs="Arial"/>
          <w:color w:val="000000" w:themeColor="text1"/>
          <w:szCs w:val="24"/>
        </w:rPr>
        <w:t xml:space="preserve">De acuerdo de lo anterior, ha de colegirse que el cómputo del término de caducidad fue suspendido desde el 16 de marzo de 2020 y hasta el 30 de junio del mismo año, conforme se dispuso en los referidos acuerdos expedidos por el Consejo Superior de la Judicatura, reanudándose el mismo a partir del 1° de julio de 2020. </w:t>
      </w:r>
      <w:r w:rsidRPr="00951A19">
        <w:rPr>
          <w:rFonts w:ascii="Arial" w:hAnsi="Arial" w:cs="Arial"/>
          <w:color w:val="000000"/>
          <w:szCs w:val="24"/>
          <w:lang w:val="es-ES_tradnl"/>
        </w:rPr>
        <w:t>Lo anterior, como una excepción garantista del cómputo del término de prescripción y caducidad respecto de los casos en que el plazo que restaba para interrumpir la prescripción o hacer inoperante la caducidad era inferior a treinta (30) días, evento en el que se le concedió al interesado un mes contado a partir del día siguiente al levantamiento de la suspensión, para realizar la actuación correspondiente.</w:t>
      </w:r>
      <w:r w:rsidR="008139AB" w:rsidRPr="00951A19">
        <w:rPr>
          <w:rFonts w:ascii="Arial" w:hAnsi="Arial" w:cs="Arial"/>
          <w:color w:val="000000"/>
          <w:szCs w:val="24"/>
          <w:lang w:val="es-ES_tradnl"/>
        </w:rPr>
        <w:t xml:space="preserve"> </w:t>
      </w:r>
      <w:r w:rsidRPr="00951A19">
        <w:rPr>
          <w:rFonts w:ascii="Arial" w:hAnsi="Arial" w:cs="Arial"/>
          <w:color w:val="000000"/>
          <w:szCs w:val="24"/>
          <w:lang w:val="es-ES_tradnl"/>
        </w:rPr>
        <w:t>Bajo dicha precisión, entra la Sala a resolver la alzada, teniendo en cuenta lo siguiente:</w:t>
      </w:r>
      <w:r w:rsidR="008139AB" w:rsidRPr="00951A19">
        <w:rPr>
          <w:rFonts w:ascii="Arial" w:hAnsi="Arial" w:cs="Arial"/>
          <w:color w:val="000000"/>
          <w:szCs w:val="24"/>
          <w:lang w:val="es-ES_tradnl"/>
        </w:rPr>
        <w:t xml:space="preserve"> </w:t>
      </w:r>
      <w:r w:rsidRPr="00951A19">
        <w:rPr>
          <w:rFonts w:ascii="Arial" w:hAnsi="Arial" w:cs="Arial"/>
          <w:color w:val="000000" w:themeColor="text1"/>
          <w:szCs w:val="24"/>
        </w:rPr>
        <w:t xml:space="preserve">En el caso concreto la parte actora pretende se declare responsable al Hospital San Rafael de Tunja por los perjuicios ocasionados a los demandantes con ocasión del fallecimiento del señor </w:t>
      </w:r>
      <w:r w:rsidRPr="00951A19">
        <w:rPr>
          <w:rFonts w:ascii="Arial" w:hAnsi="Arial" w:cs="Arial"/>
          <w:bCs/>
          <w:color w:val="000000" w:themeColor="text1"/>
          <w:szCs w:val="24"/>
        </w:rPr>
        <w:t>Jeffer Arley Guerrero Daza</w:t>
      </w:r>
      <w:r w:rsidRPr="00951A19">
        <w:rPr>
          <w:rFonts w:ascii="Arial" w:hAnsi="Arial" w:cs="Arial"/>
          <w:color w:val="000000" w:themeColor="text1"/>
          <w:szCs w:val="24"/>
        </w:rPr>
        <w:t xml:space="preserve"> ocurrida el </w:t>
      </w:r>
      <w:r w:rsidRPr="00951A19">
        <w:rPr>
          <w:rFonts w:ascii="Arial" w:hAnsi="Arial" w:cs="Arial"/>
          <w:bCs/>
          <w:color w:val="000000" w:themeColor="text1"/>
          <w:szCs w:val="24"/>
        </w:rPr>
        <w:t>20 de marzo de 2018.</w:t>
      </w:r>
      <w:r w:rsidR="008139AB" w:rsidRPr="00951A19">
        <w:rPr>
          <w:rFonts w:ascii="Arial" w:hAnsi="Arial" w:cs="Arial"/>
          <w:bCs/>
          <w:color w:val="000000" w:themeColor="text1"/>
          <w:szCs w:val="24"/>
        </w:rPr>
        <w:t xml:space="preserve"> </w:t>
      </w:r>
      <w:r w:rsidRPr="00951A19">
        <w:rPr>
          <w:rFonts w:ascii="Arial" w:hAnsi="Arial" w:cs="Arial"/>
          <w:color w:val="000000" w:themeColor="text1"/>
          <w:szCs w:val="24"/>
        </w:rPr>
        <w:t xml:space="preserve">El material probatorio arrimado al expediente permite evidenciar: </w:t>
      </w:r>
      <w:proofErr w:type="gramStart"/>
      <w:r w:rsidR="008139AB" w:rsidRPr="00951A19">
        <w:rPr>
          <w:rFonts w:ascii="Arial" w:hAnsi="Arial" w:cs="Arial"/>
          <w:color w:val="000000" w:themeColor="text1"/>
          <w:szCs w:val="24"/>
        </w:rPr>
        <w:t>1.</w:t>
      </w:r>
      <w:r w:rsidRPr="00951A19">
        <w:rPr>
          <w:rFonts w:ascii="Arial" w:hAnsi="Arial" w:cs="Arial"/>
          <w:color w:val="000000"/>
          <w:szCs w:val="24"/>
          <w:lang w:val="es-ES_tradnl"/>
        </w:rPr>
        <w:t>Fecha</w:t>
      </w:r>
      <w:proofErr w:type="gramEnd"/>
      <w:r w:rsidRPr="00951A19">
        <w:rPr>
          <w:rFonts w:ascii="Arial" w:hAnsi="Arial" w:cs="Arial"/>
          <w:color w:val="000000"/>
          <w:szCs w:val="24"/>
          <w:lang w:val="es-ES_tradnl"/>
        </w:rPr>
        <w:t xml:space="preserve"> de radicación de la demanda </w:t>
      </w:r>
      <w:r w:rsidRPr="00951A19">
        <w:rPr>
          <w:rFonts w:ascii="Arial" w:hAnsi="Arial" w:cs="Arial"/>
          <w:bCs/>
          <w:color w:val="000000"/>
          <w:szCs w:val="24"/>
          <w:lang w:val="es-ES_tradnl"/>
        </w:rPr>
        <w:t xml:space="preserve">3 de agosto de 2020 </w:t>
      </w:r>
      <w:r w:rsidRPr="00951A19">
        <w:rPr>
          <w:rFonts w:ascii="Arial" w:hAnsi="Arial" w:cs="Arial"/>
          <w:color w:val="000000"/>
          <w:szCs w:val="24"/>
          <w:lang w:val="es-ES_tradnl"/>
        </w:rPr>
        <w:t>(anexo 03).</w:t>
      </w:r>
      <w:r w:rsidR="008139AB" w:rsidRPr="00951A19">
        <w:rPr>
          <w:rFonts w:ascii="Arial" w:hAnsi="Arial" w:cs="Arial"/>
          <w:color w:val="000000"/>
          <w:szCs w:val="24"/>
          <w:lang w:val="es-ES_tradnl"/>
        </w:rPr>
        <w:t xml:space="preserve"> 2. </w:t>
      </w:r>
      <w:r w:rsidRPr="00951A19">
        <w:rPr>
          <w:rFonts w:ascii="Arial" w:hAnsi="Arial" w:cs="Arial"/>
          <w:color w:val="000000" w:themeColor="text1"/>
          <w:szCs w:val="24"/>
        </w:rPr>
        <w:t xml:space="preserve">Solicitud de conciliación </w:t>
      </w:r>
      <w:r w:rsidRPr="00951A19">
        <w:rPr>
          <w:rFonts w:ascii="Arial" w:hAnsi="Arial" w:cs="Arial"/>
          <w:bCs/>
          <w:color w:val="000000" w:themeColor="text1"/>
          <w:szCs w:val="24"/>
        </w:rPr>
        <w:t xml:space="preserve">17 de marzo de 2020 </w:t>
      </w:r>
      <w:r w:rsidRPr="00951A19">
        <w:rPr>
          <w:rFonts w:ascii="Arial" w:hAnsi="Arial" w:cs="Arial"/>
          <w:color w:val="000000" w:themeColor="text1"/>
          <w:szCs w:val="24"/>
        </w:rPr>
        <w:t xml:space="preserve">(anexo 04 </w:t>
      </w:r>
      <w:proofErr w:type="spellStart"/>
      <w:r w:rsidRPr="00951A19">
        <w:rPr>
          <w:rFonts w:ascii="Arial" w:hAnsi="Arial" w:cs="Arial"/>
          <w:color w:val="000000" w:themeColor="text1"/>
          <w:szCs w:val="24"/>
        </w:rPr>
        <w:t>demandaanexos</w:t>
      </w:r>
      <w:proofErr w:type="spellEnd"/>
      <w:r w:rsidRPr="00951A19">
        <w:rPr>
          <w:rFonts w:ascii="Arial" w:hAnsi="Arial" w:cs="Arial"/>
          <w:color w:val="000000" w:themeColor="text1"/>
          <w:szCs w:val="24"/>
        </w:rPr>
        <w:t xml:space="preserve"> f. 116)</w:t>
      </w:r>
      <w:r w:rsidR="008139AB" w:rsidRPr="00951A19">
        <w:rPr>
          <w:rFonts w:ascii="Arial" w:hAnsi="Arial" w:cs="Arial"/>
          <w:color w:val="000000" w:themeColor="text1"/>
          <w:szCs w:val="24"/>
        </w:rPr>
        <w:t xml:space="preserve">. 3. </w:t>
      </w:r>
      <w:r w:rsidRPr="00951A19">
        <w:rPr>
          <w:rFonts w:ascii="Arial" w:hAnsi="Arial" w:cs="Arial"/>
          <w:color w:val="000000" w:themeColor="text1"/>
          <w:szCs w:val="24"/>
        </w:rPr>
        <w:t xml:space="preserve">Acta de conciliación extrajudicial </w:t>
      </w:r>
      <w:r w:rsidRPr="00951A19">
        <w:rPr>
          <w:rFonts w:ascii="Arial" w:hAnsi="Arial" w:cs="Arial"/>
          <w:bCs/>
          <w:color w:val="000000" w:themeColor="text1"/>
          <w:szCs w:val="24"/>
        </w:rPr>
        <w:t xml:space="preserve">26 de mayo de 2020 </w:t>
      </w:r>
      <w:r w:rsidRPr="00951A19">
        <w:rPr>
          <w:rFonts w:ascii="Arial" w:hAnsi="Arial" w:cs="Arial"/>
          <w:color w:val="000000" w:themeColor="text1"/>
          <w:szCs w:val="24"/>
        </w:rPr>
        <w:t>(anexo 04 demanda anexos f. 118)</w:t>
      </w:r>
      <w:r w:rsidR="008139AB" w:rsidRPr="00951A19">
        <w:rPr>
          <w:rFonts w:ascii="Arial" w:hAnsi="Arial" w:cs="Arial"/>
          <w:color w:val="000000" w:themeColor="text1"/>
          <w:szCs w:val="24"/>
        </w:rPr>
        <w:t xml:space="preserve">. 4. </w:t>
      </w:r>
      <w:r w:rsidRPr="00951A19">
        <w:rPr>
          <w:rFonts w:ascii="Arial" w:hAnsi="Arial" w:cs="Arial"/>
          <w:color w:val="000000"/>
          <w:szCs w:val="24"/>
          <w:lang w:val="es-ES_tradnl"/>
        </w:rPr>
        <w:t xml:space="preserve">Suspensión de términos por la emergencia sanitaria del </w:t>
      </w:r>
      <w:r w:rsidRPr="00810969">
        <w:rPr>
          <w:rFonts w:ascii="Arial" w:hAnsi="Arial" w:cs="Arial"/>
          <w:bCs/>
          <w:color w:val="000000"/>
          <w:szCs w:val="24"/>
          <w:lang w:val="es-ES_tradnl"/>
        </w:rPr>
        <w:t xml:space="preserve">16 de marzo de 2020 </w:t>
      </w:r>
      <w:r w:rsidRPr="00810969">
        <w:rPr>
          <w:rFonts w:ascii="Arial" w:hAnsi="Arial" w:cs="Arial"/>
          <w:color w:val="000000"/>
          <w:szCs w:val="24"/>
          <w:lang w:val="es-ES_tradnl"/>
        </w:rPr>
        <w:t xml:space="preserve">hasta el </w:t>
      </w:r>
      <w:r w:rsidRPr="00810969">
        <w:rPr>
          <w:rFonts w:ascii="Arial" w:hAnsi="Arial" w:cs="Arial"/>
          <w:bCs/>
          <w:color w:val="000000"/>
          <w:szCs w:val="24"/>
          <w:lang w:val="es-ES_tradnl"/>
        </w:rPr>
        <w:t>30 de junio de 2020</w:t>
      </w:r>
      <w:r w:rsidR="008139AB" w:rsidRPr="00810969">
        <w:rPr>
          <w:rFonts w:ascii="Arial" w:hAnsi="Arial" w:cs="Arial"/>
          <w:bCs/>
          <w:color w:val="000000"/>
          <w:szCs w:val="24"/>
          <w:lang w:val="es-ES_tradnl"/>
        </w:rPr>
        <w:t xml:space="preserve">. 5. </w:t>
      </w:r>
      <w:r w:rsidRPr="00810969">
        <w:rPr>
          <w:rFonts w:ascii="Arial" w:hAnsi="Arial" w:cs="Arial"/>
          <w:color w:val="000000"/>
          <w:szCs w:val="24"/>
          <w:lang w:val="es-ES_tradnl"/>
        </w:rPr>
        <w:t xml:space="preserve">Reanudación de términos </w:t>
      </w:r>
      <w:r w:rsidRPr="00810969">
        <w:rPr>
          <w:rFonts w:ascii="Arial" w:hAnsi="Arial" w:cs="Arial"/>
          <w:bCs/>
          <w:color w:val="000000"/>
          <w:szCs w:val="24"/>
          <w:lang w:val="es-ES_tradnl"/>
        </w:rPr>
        <w:t>1º de julio de 2020</w:t>
      </w:r>
      <w:r w:rsidR="008139AB" w:rsidRPr="00810969">
        <w:rPr>
          <w:rFonts w:ascii="Arial" w:hAnsi="Arial" w:cs="Arial"/>
          <w:bCs/>
          <w:color w:val="000000"/>
          <w:szCs w:val="24"/>
          <w:lang w:val="es-ES_tradnl"/>
        </w:rPr>
        <w:t xml:space="preserve">. (…) </w:t>
      </w:r>
      <w:r w:rsidRPr="00810969">
        <w:rPr>
          <w:rFonts w:ascii="Arial" w:hAnsi="Arial" w:cs="Arial"/>
          <w:szCs w:val="24"/>
        </w:rPr>
        <w:t xml:space="preserve">Debe tenerse en cuenta que la demanda se presentó el </w:t>
      </w:r>
      <w:r w:rsidRPr="00810969">
        <w:rPr>
          <w:rFonts w:ascii="Arial" w:hAnsi="Arial" w:cs="Arial"/>
          <w:bCs/>
          <w:szCs w:val="24"/>
        </w:rPr>
        <w:t xml:space="preserve">31 de julio de 2020, </w:t>
      </w:r>
      <w:r w:rsidRPr="00810969">
        <w:rPr>
          <w:rFonts w:ascii="Arial" w:hAnsi="Arial" w:cs="Arial"/>
          <w:szCs w:val="24"/>
        </w:rPr>
        <w:t xml:space="preserve">lo cual se desprende del pantallazo del correo electrónico enviado desde la cuenta </w:t>
      </w:r>
      <w:hyperlink r:id="rId11">
        <w:r w:rsidRPr="00810969">
          <w:rPr>
            <w:rStyle w:val="Hipervnculo"/>
            <w:rFonts w:ascii="Arial" w:hAnsi="Arial" w:cs="Arial"/>
            <w:bCs/>
            <w:szCs w:val="24"/>
          </w:rPr>
          <w:t>abogadadianaherrera@gmail.com</w:t>
        </w:r>
      </w:hyperlink>
      <w:r w:rsidRPr="00810969">
        <w:rPr>
          <w:rFonts w:ascii="Arial" w:hAnsi="Arial" w:cs="Arial"/>
          <w:bCs/>
          <w:szCs w:val="24"/>
        </w:rPr>
        <w:t xml:space="preserve">, </w:t>
      </w:r>
      <w:r w:rsidRPr="00810969">
        <w:rPr>
          <w:rFonts w:ascii="Arial" w:hAnsi="Arial" w:cs="Arial"/>
          <w:szCs w:val="24"/>
        </w:rPr>
        <w:t xml:space="preserve">a la cuenta </w:t>
      </w:r>
      <w:hyperlink r:id="rId12">
        <w:r w:rsidRPr="00810969">
          <w:rPr>
            <w:rStyle w:val="Hipervnculo"/>
            <w:rFonts w:ascii="Arial" w:hAnsi="Arial" w:cs="Arial"/>
            <w:bCs/>
            <w:szCs w:val="24"/>
          </w:rPr>
          <w:t>ofrepjadmintun@cendoj.ramajudicial.gov.co</w:t>
        </w:r>
      </w:hyperlink>
      <w:r w:rsidRPr="00810969">
        <w:rPr>
          <w:rFonts w:ascii="Arial" w:hAnsi="Arial" w:cs="Arial"/>
          <w:bCs/>
          <w:szCs w:val="24"/>
        </w:rPr>
        <w:t xml:space="preserve">, </w:t>
      </w:r>
      <w:r w:rsidRPr="00810969">
        <w:rPr>
          <w:rFonts w:ascii="Arial" w:hAnsi="Arial" w:cs="Arial"/>
          <w:szCs w:val="24"/>
        </w:rPr>
        <w:t xml:space="preserve">siendo las 16:58, que fuere allegado con el recurso, en el cual, además se advierte la respuesta automática de que la misma fue recibida en esa fecha y hora. Que la solicitud de conciliación prejudicial fue presentada ante la Procuraduría 68 Judicial I para Asuntos Administrativos el </w:t>
      </w:r>
      <w:r w:rsidRPr="00810969">
        <w:rPr>
          <w:rFonts w:ascii="Arial" w:hAnsi="Arial" w:cs="Arial"/>
          <w:bCs/>
          <w:szCs w:val="24"/>
        </w:rPr>
        <w:t>17 de marzo de 2020,</w:t>
      </w:r>
      <w:r w:rsidRPr="00810969">
        <w:rPr>
          <w:rFonts w:ascii="Arial" w:hAnsi="Arial" w:cs="Arial"/>
          <w:szCs w:val="24"/>
        </w:rPr>
        <w:t xml:space="preserve"> llevándose a cabo la diligencia de conciliación el </w:t>
      </w:r>
      <w:r w:rsidRPr="00810969">
        <w:rPr>
          <w:rFonts w:ascii="Arial" w:hAnsi="Arial" w:cs="Arial"/>
          <w:bCs/>
          <w:szCs w:val="24"/>
        </w:rPr>
        <w:t>26 de mayo de 2020</w:t>
      </w:r>
      <w:r w:rsidRPr="00810969">
        <w:rPr>
          <w:rFonts w:ascii="Arial" w:hAnsi="Arial" w:cs="Arial"/>
          <w:szCs w:val="24"/>
        </w:rPr>
        <w:t xml:space="preserve">, lapso durante el cual, no corrieron términos judiciales. </w:t>
      </w:r>
      <w:r w:rsidR="00630F05" w:rsidRPr="00810969">
        <w:rPr>
          <w:rFonts w:ascii="Arial" w:hAnsi="Arial" w:cs="Arial"/>
          <w:szCs w:val="24"/>
        </w:rPr>
        <w:t xml:space="preserve"> </w:t>
      </w:r>
      <w:r w:rsidRPr="00810969">
        <w:rPr>
          <w:rFonts w:ascii="Arial" w:hAnsi="Arial" w:cs="Arial"/>
          <w:szCs w:val="24"/>
        </w:rPr>
        <w:t xml:space="preserve">Bajo estas precisiones, para esta Sala, contrario a lo establecido por el Juez de instancia, en el presente caso el medio de control </w:t>
      </w:r>
      <w:r w:rsidRPr="00810969">
        <w:rPr>
          <w:rFonts w:ascii="Arial" w:hAnsi="Arial" w:cs="Arial"/>
          <w:bCs/>
          <w:szCs w:val="24"/>
        </w:rPr>
        <w:t>no se encuentra caducado</w:t>
      </w:r>
      <w:r w:rsidRPr="00810969">
        <w:rPr>
          <w:rFonts w:ascii="Arial" w:hAnsi="Arial" w:cs="Arial"/>
          <w:szCs w:val="24"/>
        </w:rPr>
        <w:t xml:space="preserve">, si se tiene en cuenta que el escrito de demanda se radicó el </w:t>
      </w:r>
      <w:r w:rsidRPr="00810969">
        <w:rPr>
          <w:rFonts w:ascii="Arial" w:hAnsi="Arial" w:cs="Arial"/>
          <w:bCs/>
          <w:szCs w:val="24"/>
        </w:rPr>
        <w:t xml:space="preserve">31 de julio de 2020, </w:t>
      </w:r>
      <w:r w:rsidRPr="00810969">
        <w:rPr>
          <w:rFonts w:ascii="Arial" w:hAnsi="Arial" w:cs="Arial"/>
          <w:szCs w:val="24"/>
        </w:rPr>
        <w:t>que</w:t>
      </w:r>
      <w:r w:rsidRPr="00810969">
        <w:rPr>
          <w:rFonts w:ascii="Arial" w:hAnsi="Arial" w:cs="Arial"/>
          <w:bCs/>
          <w:szCs w:val="24"/>
        </w:rPr>
        <w:t xml:space="preserve"> </w:t>
      </w:r>
      <w:r w:rsidRPr="00810969">
        <w:rPr>
          <w:rFonts w:ascii="Arial" w:hAnsi="Arial" w:cs="Arial"/>
          <w:szCs w:val="24"/>
        </w:rPr>
        <w:t>a partir del</w:t>
      </w:r>
      <w:r w:rsidRPr="00810969">
        <w:rPr>
          <w:rFonts w:ascii="Arial" w:hAnsi="Arial" w:cs="Arial"/>
          <w:bCs/>
          <w:szCs w:val="24"/>
        </w:rPr>
        <w:t xml:space="preserve"> </w:t>
      </w:r>
      <w:r w:rsidRPr="00810969">
        <w:rPr>
          <w:rFonts w:ascii="Arial" w:hAnsi="Arial" w:cs="Arial"/>
          <w:szCs w:val="24"/>
        </w:rPr>
        <w:t>fallecimiento del señor Jeffer Arley Guerrero</w:t>
      </w:r>
      <w:r w:rsidRPr="00951A19">
        <w:rPr>
          <w:rFonts w:ascii="Arial" w:hAnsi="Arial" w:cs="Arial"/>
          <w:szCs w:val="24"/>
        </w:rPr>
        <w:t xml:space="preserve"> Daza ocurrido el </w:t>
      </w:r>
      <w:r w:rsidRPr="00810969">
        <w:rPr>
          <w:rFonts w:ascii="Arial" w:hAnsi="Arial" w:cs="Arial"/>
          <w:bCs/>
          <w:szCs w:val="24"/>
        </w:rPr>
        <w:t>20 de marzo de 2018</w:t>
      </w:r>
      <w:r w:rsidRPr="00951A19">
        <w:rPr>
          <w:rFonts w:ascii="Arial" w:hAnsi="Arial" w:cs="Arial"/>
          <w:b/>
          <w:bCs/>
          <w:szCs w:val="24"/>
        </w:rPr>
        <w:t xml:space="preserve"> </w:t>
      </w:r>
      <w:r w:rsidRPr="00951A19">
        <w:rPr>
          <w:rFonts w:ascii="Arial" w:hAnsi="Arial" w:cs="Arial"/>
          <w:szCs w:val="24"/>
        </w:rPr>
        <w:t xml:space="preserve">comenzaron </w:t>
      </w:r>
      <w:r w:rsidRPr="00810969">
        <w:rPr>
          <w:rFonts w:ascii="Arial" w:hAnsi="Arial" w:cs="Arial"/>
          <w:szCs w:val="24"/>
        </w:rPr>
        <w:lastRenderedPageBreak/>
        <w:t xml:space="preserve">a contabilizarse los dos años de que trata el artículo 164 del CPACA, es decir, entre el </w:t>
      </w:r>
      <w:r w:rsidRPr="00810969">
        <w:rPr>
          <w:rFonts w:ascii="Arial" w:hAnsi="Arial" w:cs="Arial"/>
          <w:bCs/>
          <w:szCs w:val="24"/>
        </w:rPr>
        <w:t>21 de marzo de 2018</w:t>
      </w:r>
      <w:r w:rsidRPr="00810969">
        <w:rPr>
          <w:rFonts w:ascii="Arial" w:hAnsi="Arial" w:cs="Arial"/>
          <w:szCs w:val="24"/>
        </w:rPr>
        <w:t xml:space="preserve"> y el </w:t>
      </w:r>
      <w:r w:rsidRPr="00810969">
        <w:rPr>
          <w:rFonts w:ascii="Arial" w:hAnsi="Arial" w:cs="Arial"/>
          <w:bCs/>
          <w:szCs w:val="24"/>
        </w:rPr>
        <w:t xml:space="preserve">21 de marzo de 2020, </w:t>
      </w:r>
      <w:r w:rsidRPr="00810969">
        <w:rPr>
          <w:rFonts w:ascii="Arial" w:hAnsi="Arial" w:cs="Arial"/>
          <w:szCs w:val="24"/>
        </w:rPr>
        <w:t>y</w:t>
      </w:r>
      <w:r w:rsidRPr="00810969">
        <w:rPr>
          <w:rFonts w:ascii="Arial" w:hAnsi="Arial" w:cs="Arial"/>
          <w:bCs/>
          <w:szCs w:val="24"/>
        </w:rPr>
        <w:t xml:space="preserve"> </w:t>
      </w:r>
      <w:r w:rsidRPr="00810969">
        <w:rPr>
          <w:rFonts w:ascii="Arial" w:hAnsi="Arial" w:cs="Arial"/>
          <w:szCs w:val="24"/>
        </w:rPr>
        <w:t xml:space="preserve">que la suspensión de los términos judiciales con ocasión de la pandemia causada por el COVID-19 corrió entre el </w:t>
      </w:r>
      <w:r w:rsidRPr="00810969">
        <w:rPr>
          <w:rFonts w:ascii="Arial" w:hAnsi="Arial" w:cs="Arial"/>
          <w:bCs/>
          <w:szCs w:val="24"/>
        </w:rPr>
        <w:t xml:space="preserve">16 de marzo de 2020 </w:t>
      </w:r>
      <w:r w:rsidRPr="00810969">
        <w:rPr>
          <w:rFonts w:ascii="Arial" w:hAnsi="Arial" w:cs="Arial"/>
          <w:szCs w:val="24"/>
        </w:rPr>
        <w:t>y el</w:t>
      </w:r>
      <w:r w:rsidRPr="00810969">
        <w:rPr>
          <w:rFonts w:ascii="Arial" w:hAnsi="Arial" w:cs="Arial"/>
          <w:bCs/>
          <w:szCs w:val="24"/>
        </w:rPr>
        <w:t xml:space="preserve"> 30 de junio de 2020.</w:t>
      </w:r>
      <w:r w:rsidR="00630F05" w:rsidRPr="00810969">
        <w:rPr>
          <w:rFonts w:ascii="Arial" w:hAnsi="Arial" w:cs="Arial"/>
          <w:bCs/>
          <w:szCs w:val="24"/>
        </w:rPr>
        <w:t xml:space="preserve"> </w:t>
      </w:r>
      <w:r w:rsidRPr="00810969">
        <w:rPr>
          <w:rFonts w:ascii="Arial" w:hAnsi="Arial" w:cs="Arial"/>
          <w:szCs w:val="24"/>
        </w:rPr>
        <w:t xml:space="preserve">En consecuencia, a la fecha en que se suspendieron los términos procesales, </w:t>
      </w:r>
      <w:r w:rsidRPr="00810969">
        <w:rPr>
          <w:rFonts w:ascii="Arial" w:hAnsi="Arial" w:cs="Arial"/>
          <w:bCs/>
          <w:szCs w:val="24"/>
        </w:rPr>
        <w:t>restaban  6 días para culminar el plazo que tenía la parte actora para presentar en tiempo la demanda de reparación directa</w:t>
      </w:r>
      <w:r w:rsidRPr="00810969">
        <w:rPr>
          <w:rFonts w:ascii="Arial" w:hAnsi="Arial" w:cs="Arial"/>
          <w:szCs w:val="24"/>
        </w:rPr>
        <w:t xml:space="preserve">, que en atención al Decreto Legislativo 564 de 2020 al reanudarse el cómputo de la caducidad a partir del </w:t>
      </w:r>
      <w:r w:rsidRPr="00810969">
        <w:rPr>
          <w:rFonts w:ascii="Arial" w:hAnsi="Arial" w:cs="Arial"/>
          <w:bCs/>
          <w:szCs w:val="24"/>
        </w:rPr>
        <w:t>1° de julio de 2020</w:t>
      </w:r>
      <w:r w:rsidRPr="00810969">
        <w:rPr>
          <w:rFonts w:ascii="Arial" w:hAnsi="Arial" w:cs="Arial"/>
          <w:szCs w:val="24"/>
        </w:rPr>
        <w:t xml:space="preserve"> la parte demandante contaba con un mes para entablar la demanda, esto es, hasta el </w:t>
      </w:r>
      <w:r w:rsidRPr="00810969">
        <w:rPr>
          <w:rFonts w:ascii="Arial" w:hAnsi="Arial" w:cs="Arial"/>
          <w:bCs/>
          <w:szCs w:val="24"/>
        </w:rPr>
        <w:t>31 de julio de 2020</w:t>
      </w:r>
      <w:r w:rsidRPr="00810969">
        <w:rPr>
          <w:rFonts w:ascii="Arial" w:hAnsi="Arial" w:cs="Arial"/>
          <w:szCs w:val="24"/>
        </w:rPr>
        <w:t>,</w:t>
      </w:r>
      <w:r w:rsidRPr="00951A19">
        <w:rPr>
          <w:rFonts w:ascii="Arial" w:hAnsi="Arial" w:cs="Arial"/>
          <w:szCs w:val="24"/>
        </w:rPr>
        <w:t xml:space="preserve"> por lo que fuerza concluir que la misma fue presentada oportunamente, razón por la que se revocará el auto apelado.  </w:t>
      </w:r>
      <w:r w:rsidR="00630F05" w:rsidRPr="00951A19">
        <w:rPr>
          <w:rFonts w:ascii="Arial" w:hAnsi="Arial" w:cs="Arial"/>
          <w:szCs w:val="24"/>
        </w:rPr>
        <w:t xml:space="preserve"> </w:t>
      </w:r>
      <w:r w:rsidRPr="00951A19">
        <w:rPr>
          <w:rFonts w:ascii="Arial" w:hAnsi="Arial" w:cs="Arial"/>
          <w:szCs w:val="24"/>
          <w:lang w:val="es-CO"/>
        </w:rPr>
        <w:t xml:space="preserve">Advierte la Sala que, el Decreto 564 de 2020 señaló </w:t>
      </w:r>
      <w:proofErr w:type="gramStart"/>
      <w:r w:rsidRPr="00951A19">
        <w:rPr>
          <w:rFonts w:ascii="Arial" w:hAnsi="Arial" w:cs="Arial"/>
          <w:szCs w:val="24"/>
          <w:lang w:val="es-CO"/>
        </w:rPr>
        <w:t>que</w:t>
      </w:r>
      <w:proofErr w:type="gramEnd"/>
      <w:r w:rsidRPr="00951A19">
        <w:rPr>
          <w:rFonts w:ascii="Arial" w:hAnsi="Arial" w:cs="Arial"/>
          <w:szCs w:val="24"/>
          <w:lang w:val="es-CO"/>
        </w:rPr>
        <w:t xml:space="preserve"> si restaban menos de 30 días para que operara la caducidad cuando se suspendieron los términos con ocasión de la COVID 19,- tal como en este caso en el que faltaban 6 días-, la parte demandante tenía un mes contado a partir del levantamiento de la suspensión para presentar oportunamente la demanda, de ahí que, al establecer que lo hizo el </w:t>
      </w:r>
      <w:r w:rsidRPr="00810969">
        <w:rPr>
          <w:rFonts w:ascii="Arial" w:hAnsi="Arial" w:cs="Arial"/>
          <w:bCs/>
          <w:szCs w:val="24"/>
          <w:lang w:val="es-CO"/>
        </w:rPr>
        <w:t xml:space="preserve">31 de julio de 2020, </w:t>
      </w:r>
      <w:r w:rsidRPr="00810969">
        <w:rPr>
          <w:rFonts w:ascii="Arial" w:hAnsi="Arial" w:cs="Arial"/>
          <w:szCs w:val="24"/>
          <w:lang w:val="es-CO"/>
        </w:rPr>
        <w:t>la demanda se presentó oportunamente.</w:t>
      </w:r>
    </w:p>
    <w:p w14:paraId="1AB8CCFD" w14:textId="3E9CC992" w:rsidR="00951A19" w:rsidRDefault="00951A19" w:rsidP="00810969">
      <w:pPr>
        <w:pStyle w:val="BodyText23"/>
        <w:spacing w:line="240" w:lineRule="auto"/>
        <w:rPr>
          <w:sz w:val="28"/>
          <w:szCs w:val="28"/>
          <w:lang w:val="es-CO"/>
        </w:rPr>
      </w:pPr>
    </w:p>
    <w:p w14:paraId="390EDE55" w14:textId="3D1B7E54" w:rsidR="00951A19" w:rsidRDefault="00951A19" w:rsidP="00810969">
      <w:pPr>
        <w:jc w:val="both"/>
      </w:pPr>
      <w:bookmarkStart w:id="0" w:name="_Hlk105513629"/>
      <w:bookmarkStart w:id="1" w:name="_Hlk106288379"/>
      <w:bookmarkStart w:id="2" w:name="_Hlk110245706"/>
      <w:bookmarkStart w:id="3" w:name="_Hlk112925902"/>
      <w:bookmarkStart w:id="4" w:name="_Hlk113373568"/>
      <w:r w:rsidRPr="000638FC">
        <w:rPr>
          <w:rFonts w:ascii="Arial" w:hAnsi="Arial" w:cs="Arial"/>
          <w:b/>
          <w:bCs/>
          <w:sz w:val="24"/>
          <w:szCs w:val="24"/>
          <w:lang w:val="es-CO"/>
        </w:rPr>
        <w:t>NOTA DE RELATORÍA:</w:t>
      </w:r>
      <w:r w:rsidRPr="000638FC">
        <w:rPr>
          <w:rFonts w:ascii="Arial" w:hAnsi="Arial" w:cs="Arial"/>
          <w:bCs/>
          <w:lang w:val="es-CO"/>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w:t>
      </w:r>
      <w:bookmarkStart w:id="5" w:name="_GoBack"/>
      <w:bookmarkEnd w:id="5"/>
      <w:r w:rsidR="00810969">
        <w:rPr>
          <w:rFonts w:ascii="Arial" w:hAnsi="Arial" w:cs="Arial"/>
          <w:iCs/>
          <w:sz w:val="24"/>
          <w:szCs w:val="24"/>
        </w:rPr>
        <w:t>.</w:t>
      </w:r>
    </w:p>
    <w:bookmarkEnd w:id="0"/>
    <w:bookmarkEnd w:id="1"/>
    <w:bookmarkEnd w:id="2"/>
    <w:bookmarkEnd w:id="3"/>
    <w:bookmarkEnd w:id="4"/>
    <w:p w14:paraId="675A6EC3" w14:textId="77777777" w:rsidR="00DD316E" w:rsidRDefault="00DD316E" w:rsidP="00B0057D">
      <w:pPr>
        <w:pStyle w:val="Encabezado"/>
        <w:rPr>
          <w:rFonts w:ascii="Times New Roman" w:hAnsi="Times New Roman" w:cs="Times New Roman"/>
          <w:sz w:val="28"/>
          <w:szCs w:val="28"/>
        </w:rPr>
      </w:pPr>
    </w:p>
    <w:p w14:paraId="0CD8F83D" w14:textId="759C124B" w:rsidR="002C1E8D" w:rsidRPr="00D64568" w:rsidRDefault="002C1E8D" w:rsidP="00B0057D">
      <w:pPr>
        <w:pStyle w:val="Encabezado"/>
        <w:rPr>
          <w:rFonts w:ascii="Times New Roman" w:hAnsi="Times New Roman" w:cs="Times New Roman"/>
          <w:sz w:val="28"/>
          <w:szCs w:val="28"/>
        </w:rPr>
      </w:pPr>
      <w:r w:rsidRPr="1A782E34">
        <w:rPr>
          <w:rFonts w:ascii="Times New Roman" w:hAnsi="Times New Roman" w:cs="Times New Roman"/>
          <w:sz w:val="28"/>
          <w:szCs w:val="28"/>
        </w:rPr>
        <w:t>Tunja, 10 de agosto de 2022</w:t>
      </w:r>
    </w:p>
    <w:p w14:paraId="7AB7F314" w14:textId="77777777" w:rsidR="002C1E8D" w:rsidRPr="00D64568" w:rsidRDefault="002C1E8D" w:rsidP="00B0057D">
      <w:pPr>
        <w:pStyle w:val="Sinespaciado"/>
      </w:pPr>
    </w:p>
    <w:p w14:paraId="7DF54BEF" w14:textId="77777777" w:rsidR="00EB4E23" w:rsidRPr="00D64568" w:rsidRDefault="00EB4E23" w:rsidP="00B0057D">
      <w:pPr>
        <w:pStyle w:val="Sinespaciado"/>
      </w:pPr>
    </w:p>
    <w:tbl>
      <w:tblPr>
        <w:tblW w:w="8931" w:type="dxa"/>
        <w:tblInd w:w="108" w:type="dxa"/>
        <w:tblLook w:val="01E0" w:firstRow="1" w:lastRow="1" w:firstColumn="1" w:lastColumn="1" w:noHBand="0" w:noVBand="0"/>
      </w:tblPr>
      <w:tblGrid>
        <w:gridCol w:w="2490"/>
        <w:gridCol w:w="573"/>
        <w:gridCol w:w="5868"/>
      </w:tblGrid>
      <w:tr w:rsidR="002C1E8D" w:rsidRPr="00D64568" w14:paraId="4210F27E" w14:textId="77777777" w:rsidTr="6160CCA4">
        <w:trPr>
          <w:trHeight w:val="286"/>
        </w:trPr>
        <w:tc>
          <w:tcPr>
            <w:tcW w:w="2490" w:type="dxa"/>
          </w:tcPr>
          <w:p w14:paraId="466F11D3" w14:textId="22C2E7B7" w:rsidR="002C1E8D" w:rsidRPr="00D64568" w:rsidRDefault="002C1E8D" w:rsidP="00B0057D">
            <w:pPr>
              <w:rPr>
                <w:sz w:val="28"/>
                <w:szCs w:val="28"/>
              </w:rPr>
            </w:pPr>
            <w:bookmarkStart w:id="6" w:name="_Hlk110273535"/>
            <w:r w:rsidRPr="6160CCA4">
              <w:rPr>
                <w:sz w:val="28"/>
                <w:szCs w:val="28"/>
              </w:rPr>
              <w:t>Medio de control</w:t>
            </w:r>
          </w:p>
        </w:tc>
        <w:tc>
          <w:tcPr>
            <w:tcW w:w="573" w:type="dxa"/>
          </w:tcPr>
          <w:p w14:paraId="2E0BAB30" w14:textId="77777777" w:rsidR="002C1E8D" w:rsidRPr="00D64568" w:rsidRDefault="002C1E8D" w:rsidP="00B0057D">
            <w:pPr>
              <w:rPr>
                <w:sz w:val="28"/>
                <w:szCs w:val="28"/>
              </w:rPr>
            </w:pPr>
            <w:r w:rsidRPr="00D64568">
              <w:rPr>
                <w:sz w:val="28"/>
                <w:szCs w:val="28"/>
              </w:rPr>
              <w:t>:</w:t>
            </w:r>
          </w:p>
        </w:tc>
        <w:tc>
          <w:tcPr>
            <w:tcW w:w="5868" w:type="dxa"/>
          </w:tcPr>
          <w:p w14:paraId="10B31A9F" w14:textId="77777777" w:rsidR="002C1E8D" w:rsidRPr="00D64568" w:rsidRDefault="002C1E8D" w:rsidP="00B0057D">
            <w:pPr>
              <w:rPr>
                <w:b/>
                <w:sz w:val="28"/>
                <w:szCs w:val="28"/>
              </w:rPr>
            </w:pPr>
            <w:r w:rsidRPr="00D64568">
              <w:rPr>
                <w:b/>
                <w:sz w:val="28"/>
                <w:szCs w:val="28"/>
              </w:rPr>
              <w:t>Reparación directa</w:t>
            </w:r>
          </w:p>
        </w:tc>
      </w:tr>
      <w:tr w:rsidR="002C1E8D" w:rsidRPr="00D64568" w14:paraId="0E0B9D4B" w14:textId="77777777" w:rsidTr="6160CCA4">
        <w:trPr>
          <w:trHeight w:val="273"/>
        </w:trPr>
        <w:tc>
          <w:tcPr>
            <w:tcW w:w="2490" w:type="dxa"/>
          </w:tcPr>
          <w:p w14:paraId="1F33B679" w14:textId="77777777" w:rsidR="002C1E8D" w:rsidRPr="00D64568" w:rsidRDefault="002C1E8D" w:rsidP="00B0057D">
            <w:pPr>
              <w:rPr>
                <w:sz w:val="28"/>
                <w:szCs w:val="28"/>
              </w:rPr>
            </w:pPr>
            <w:r w:rsidRPr="00D64568">
              <w:rPr>
                <w:sz w:val="28"/>
                <w:szCs w:val="28"/>
              </w:rPr>
              <w:t xml:space="preserve">Demandante   </w:t>
            </w:r>
          </w:p>
        </w:tc>
        <w:tc>
          <w:tcPr>
            <w:tcW w:w="573" w:type="dxa"/>
          </w:tcPr>
          <w:p w14:paraId="1DEC0C9C" w14:textId="77777777" w:rsidR="002C1E8D" w:rsidRPr="00D64568" w:rsidRDefault="002C1E8D" w:rsidP="00B0057D">
            <w:pPr>
              <w:rPr>
                <w:sz w:val="28"/>
                <w:szCs w:val="28"/>
              </w:rPr>
            </w:pPr>
            <w:r w:rsidRPr="00D64568">
              <w:rPr>
                <w:sz w:val="28"/>
                <w:szCs w:val="28"/>
              </w:rPr>
              <w:t>:</w:t>
            </w:r>
          </w:p>
        </w:tc>
        <w:tc>
          <w:tcPr>
            <w:tcW w:w="5868" w:type="dxa"/>
          </w:tcPr>
          <w:p w14:paraId="03AC8F8C" w14:textId="77777777" w:rsidR="002C1E8D" w:rsidRPr="00D64568" w:rsidRDefault="00466B14" w:rsidP="00B0057D">
            <w:pPr>
              <w:rPr>
                <w:b/>
                <w:sz w:val="28"/>
                <w:szCs w:val="28"/>
              </w:rPr>
            </w:pPr>
            <w:r>
              <w:rPr>
                <w:b/>
                <w:sz w:val="28"/>
                <w:szCs w:val="28"/>
              </w:rPr>
              <w:t xml:space="preserve">Antonio </w:t>
            </w:r>
            <w:r w:rsidR="00C13447">
              <w:rPr>
                <w:b/>
                <w:sz w:val="28"/>
                <w:szCs w:val="28"/>
              </w:rPr>
              <w:t>José Guerrero Sáenz</w:t>
            </w:r>
            <w:r>
              <w:rPr>
                <w:b/>
                <w:sz w:val="28"/>
                <w:szCs w:val="28"/>
              </w:rPr>
              <w:t xml:space="preserve"> y Otros</w:t>
            </w:r>
          </w:p>
        </w:tc>
      </w:tr>
      <w:tr w:rsidR="002C1E8D" w:rsidRPr="00D64568" w14:paraId="459211DB" w14:textId="77777777" w:rsidTr="6160CCA4">
        <w:trPr>
          <w:trHeight w:val="286"/>
        </w:trPr>
        <w:tc>
          <w:tcPr>
            <w:tcW w:w="2490" w:type="dxa"/>
          </w:tcPr>
          <w:p w14:paraId="6E9DF8E5" w14:textId="77777777" w:rsidR="002C1E8D" w:rsidRPr="00D64568" w:rsidRDefault="002C1E8D" w:rsidP="00B0057D">
            <w:pPr>
              <w:rPr>
                <w:sz w:val="28"/>
                <w:szCs w:val="28"/>
              </w:rPr>
            </w:pPr>
            <w:r w:rsidRPr="00D64568">
              <w:rPr>
                <w:sz w:val="28"/>
                <w:szCs w:val="28"/>
              </w:rPr>
              <w:t xml:space="preserve">Demandado                       </w:t>
            </w:r>
          </w:p>
        </w:tc>
        <w:tc>
          <w:tcPr>
            <w:tcW w:w="573" w:type="dxa"/>
          </w:tcPr>
          <w:p w14:paraId="3D62614D" w14:textId="77777777" w:rsidR="002C1E8D" w:rsidRPr="00D64568" w:rsidRDefault="002C1E8D" w:rsidP="00B0057D">
            <w:pPr>
              <w:rPr>
                <w:sz w:val="28"/>
                <w:szCs w:val="28"/>
              </w:rPr>
            </w:pPr>
            <w:r w:rsidRPr="00D64568">
              <w:rPr>
                <w:sz w:val="28"/>
                <w:szCs w:val="28"/>
              </w:rPr>
              <w:t>:</w:t>
            </w:r>
          </w:p>
        </w:tc>
        <w:tc>
          <w:tcPr>
            <w:tcW w:w="5868" w:type="dxa"/>
          </w:tcPr>
          <w:p w14:paraId="023BA769" w14:textId="77777777" w:rsidR="002C1E8D" w:rsidRPr="00D64568" w:rsidRDefault="007C6166" w:rsidP="00B0057D">
            <w:pPr>
              <w:jc w:val="both"/>
              <w:rPr>
                <w:b/>
                <w:sz w:val="28"/>
                <w:szCs w:val="28"/>
              </w:rPr>
            </w:pPr>
            <w:r w:rsidRPr="00D64568">
              <w:rPr>
                <w:b/>
                <w:sz w:val="28"/>
                <w:szCs w:val="28"/>
                <w:lang w:val="es-ES_tradnl"/>
              </w:rPr>
              <w:t xml:space="preserve">E.S.E Hospital </w:t>
            </w:r>
            <w:r w:rsidR="00C13447">
              <w:rPr>
                <w:b/>
                <w:sz w:val="28"/>
                <w:szCs w:val="28"/>
                <w:lang w:val="es-ES_tradnl"/>
              </w:rPr>
              <w:t xml:space="preserve">San Rafael de Tunja </w:t>
            </w:r>
            <w:r w:rsidRPr="00D64568">
              <w:rPr>
                <w:b/>
                <w:sz w:val="28"/>
                <w:szCs w:val="28"/>
                <w:lang w:val="es-ES_tradnl"/>
              </w:rPr>
              <w:t xml:space="preserve"> </w:t>
            </w:r>
            <w:r w:rsidR="0071750B" w:rsidRPr="00D64568">
              <w:rPr>
                <w:b/>
                <w:sz w:val="28"/>
                <w:szCs w:val="28"/>
                <w:lang w:val="es-ES_tradnl"/>
              </w:rPr>
              <w:t xml:space="preserve"> </w:t>
            </w:r>
          </w:p>
        </w:tc>
      </w:tr>
      <w:tr w:rsidR="002C1E8D" w:rsidRPr="00D64568" w14:paraId="77A091C4" w14:textId="77777777" w:rsidTr="6160CCA4">
        <w:trPr>
          <w:trHeight w:val="273"/>
        </w:trPr>
        <w:tc>
          <w:tcPr>
            <w:tcW w:w="2490" w:type="dxa"/>
          </w:tcPr>
          <w:p w14:paraId="0FC3C692" w14:textId="77777777" w:rsidR="002C1E8D" w:rsidRPr="00D64568" w:rsidRDefault="002C1E8D" w:rsidP="00B0057D">
            <w:pPr>
              <w:rPr>
                <w:sz w:val="28"/>
                <w:szCs w:val="28"/>
              </w:rPr>
            </w:pPr>
            <w:r w:rsidRPr="00D64568">
              <w:rPr>
                <w:sz w:val="28"/>
                <w:szCs w:val="28"/>
              </w:rPr>
              <w:t xml:space="preserve">Expediente </w:t>
            </w:r>
          </w:p>
        </w:tc>
        <w:tc>
          <w:tcPr>
            <w:tcW w:w="573" w:type="dxa"/>
          </w:tcPr>
          <w:p w14:paraId="64A58882" w14:textId="77777777" w:rsidR="002C1E8D" w:rsidRPr="00D64568" w:rsidRDefault="002C1E8D" w:rsidP="00B0057D">
            <w:pPr>
              <w:rPr>
                <w:sz w:val="28"/>
                <w:szCs w:val="28"/>
              </w:rPr>
            </w:pPr>
            <w:r w:rsidRPr="00D64568">
              <w:rPr>
                <w:sz w:val="28"/>
                <w:szCs w:val="28"/>
              </w:rPr>
              <w:t>:</w:t>
            </w:r>
          </w:p>
        </w:tc>
        <w:tc>
          <w:tcPr>
            <w:tcW w:w="5868" w:type="dxa"/>
          </w:tcPr>
          <w:p w14:paraId="3D72C948" w14:textId="77777777" w:rsidR="002C1E8D" w:rsidRPr="00D64568" w:rsidRDefault="002C1E8D" w:rsidP="00B0057D">
            <w:pPr>
              <w:rPr>
                <w:b/>
                <w:sz w:val="28"/>
                <w:szCs w:val="28"/>
              </w:rPr>
            </w:pPr>
            <w:bookmarkStart w:id="7" w:name="_Hlk117849490"/>
            <w:r w:rsidRPr="00D64568">
              <w:rPr>
                <w:b/>
                <w:sz w:val="28"/>
                <w:szCs w:val="28"/>
              </w:rPr>
              <w:t>15</w:t>
            </w:r>
            <w:r w:rsidR="00C13447">
              <w:rPr>
                <w:b/>
                <w:sz w:val="28"/>
                <w:szCs w:val="28"/>
              </w:rPr>
              <w:t>001</w:t>
            </w:r>
            <w:r w:rsidRPr="00D64568">
              <w:rPr>
                <w:b/>
                <w:sz w:val="28"/>
                <w:szCs w:val="28"/>
              </w:rPr>
              <w:t>-33-33-</w:t>
            </w:r>
            <w:r w:rsidR="007C6166" w:rsidRPr="00D64568">
              <w:rPr>
                <w:b/>
                <w:sz w:val="28"/>
                <w:szCs w:val="28"/>
              </w:rPr>
              <w:t>00</w:t>
            </w:r>
            <w:r w:rsidR="00C13447">
              <w:rPr>
                <w:b/>
                <w:sz w:val="28"/>
                <w:szCs w:val="28"/>
              </w:rPr>
              <w:t>1</w:t>
            </w:r>
            <w:r w:rsidRPr="00D64568">
              <w:rPr>
                <w:b/>
                <w:sz w:val="28"/>
                <w:szCs w:val="28"/>
              </w:rPr>
              <w:t>-20</w:t>
            </w:r>
            <w:r w:rsidR="00C13447">
              <w:rPr>
                <w:b/>
                <w:sz w:val="28"/>
                <w:szCs w:val="28"/>
              </w:rPr>
              <w:t>20</w:t>
            </w:r>
            <w:r w:rsidRPr="00D64568">
              <w:rPr>
                <w:b/>
                <w:sz w:val="28"/>
                <w:szCs w:val="28"/>
              </w:rPr>
              <w:t>-00</w:t>
            </w:r>
            <w:r w:rsidR="00C13447">
              <w:rPr>
                <w:b/>
                <w:sz w:val="28"/>
                <w:szCs w:val="28"/>
              </w:rPr>
              <w:t>084-</w:t>
            </w:r>
            <w:r w:rsidRPr="00D64568">
              <w:rPr>
                <w:b/>
                <w:sz w:val="28"/>
                <w:szCs w:val="28"/>
              </w:rPr>
              <w:t>01</w:t>
            </w:r>
            <w:bookmarkEnd w:id="7"/>
          </w:p>
        </w:tc>
      </w:tr>
      <w:bookmarkEnd w:id="6"/>
    </w:tbl>
    <w:p w14:paraId="6604F866" w14:textId="77777777" w:rsidR="002C1E8D" w:rsidRPr="00D64568" w:rsidRDefault="002C1E8D" w:rsidP="00B0057D">
      <w:pPr>
        <w:tabs>
          <w:tab w:val="left" w:pos="1440"/>
          <w:tab w:val="left" w:pos="1712"/>
        </w:tabs>
        <w:jc w:val="both"/>
        <w:rPr>
          <w:sz w:val="28"/>
          <w:szCs w:val="28"/>
        </w:rPr>
      </w:pPr>
    </w:p>
    <w:p w14:paraId="67BA45FB" w14:textId="77777777" w:rsidR="00AE5DD3" w:rsidRPr="00D64568" w:rsidRDefault="00AE5DD3" w:rsidP="00B0057D">
      <w:pPr>
        <w:tabs>
          <w:tab w:val="left" w:pos="1440"/>
          <w:tab w:val="left" w:pos="1712"/>
        </w:tabs>
        <w:jc w:val="both"/>
        <w:rPr>
          <w:sz w:val="28"/>
          <w:szCs w:val="28"/>
        </w:rPr>
      </w:pPr>
    </w:p>
    <w:p w14:paraId="701BA1B8" w14:textId="1812E062" w:rsidR="002C1E8D" w:rsidRPr="00D64568" w:rsidRDefault="002C1E8D" w:rsidP="6160CCA4">
      <w:pPr>
        <w:tabs>
          <w:tab w:val="left" w:pos="1440"/>
          <w:tab w:val="left" w:pos="1712"/>
        </w:tabs>
        <w:jc w:val="both"/>
        <w:rPr>
          <w:b/>
          <w:bCs/>
          <w:sz w:val="28"/>
          <w:szCs w:val="28"/>
        </w:rPr>
      </w:pPr>
      <w:r w:rsidRPr="6160CCA4">
        <w:rPr>
          <w:sz w:val="28"/>
          <w:szCs w:val="28"/>
        </w:rPr>
        <w:t xml:space="preserve">Magistrado Ponente </w:t>
      </w:r>
      <w:proofErr w:type="gramStart"/>
      <w:r w:rsidRPr="6160CCA4">
        <w:rPr>
          <w:sz w:val="28"/>
          <w:szCs w:val="28"/>
        </w:rPr>
        <w:t xml:space="preserve">  :</w:t>
      </w:r>
      <w:proofErr w:type="gramEnd"/>
      <w:r w:rsidRPr="6160CCA4">
        <w:rPr>
          <w:sz w:val="28"/>
          <w:szCs w:val="28"/>
        </w:rPr>
        <w:t xml:space="preserve">         </w:t>
      </w:r>
      <w:r w:rsidRPr="6160CCA4">
        <w:rPr>
          <w:b/>
          <w:bCs/>
          <w:sz w:val="28"/>
          <w:szCs w:val="28"/>
        </w:rPr>
        <w:t xml:space="preserve">Luis Ernesto Arciniegas Triana </w:t>
      </w:r>
    </w:p>
    <w:p w14:paraId="6F18137D" w14:textId="77777777" w:rsidR="00D839A7" w:rsidRPr="00D64568" w:rsidRDefault="00D839A7" w:rsidP="00B0057D">
      <w:pPr>
        <w:tabs>
          <w:tab w:val="left" w:pos="1440"/>
          <w:tab w:val="left" w:pos="1712"/>
        </w:tabs>
        <w:jc w:val="both"/>
        <w:rPr>
          <w:b/>
          <w:sz w:val="28"/>
          <w:szCs w:val="28"/>
        </w:rPr>
      </w:pPr>
    </w:p>
    <w:p w14:paraId="09B0A829" w14:textId="77777777" w:rsidR="002C1E8D" w:rsidRPr="00D64568" w:rsidRDefault="002C1E8D" w:rsidP="00B0057D">
      <w:pPr>
        <w:pStyle w:val="Sinespaciado"/>
        <w:spacing w:line="360" w:lineRule="auto"/>
      </w:pPr>
    </w:p>
    <w:p w14:paraId="592FE936" w14:textId="77777777" w:rsidR="004C4D2C" w:rsidRPr="007D22E3" w:rsidRDefault="00971923" w:rsidP="6160CCA4">
      <w:pPr>
        <w:spacing w:line="360" w:lineRule="auto"/>
        <w:ind w:right="51"/>
        <w:jc w:val="both"/>
        <w:rPr>
          <w:sz w:val="28"/>
          <w:szCs w:val="28"/>
        </w:rPr>
      </w:pPr>
      <w:r w:rsidRPr="6160CCA4">
        <w:rPr>
          <w:sz w:val="28"/>
          <w:szCs w:val="28"/>
        </w:rPr>
        <w:t>Decide</w:t>
      </w:r>
      <w:r w:rsidR="00C24C9A" w:rsidRPr="6160CCA4">
        <w:rPr>
          <w:sz w:val="28"/>
          <w:szCs w:val="28"/>
        </w:rPr>
        <w:t xml:space="preserve"> </w:t>
      </w:r>
      <w:r w:rsidRPr="6160CCA4">
        <w:rPr>
          <w:sz w:val="28"/>
          <w:szCs w:val="28"/>
        </w:rPr>
        <w:t xml:space="preserve">la Sala el </w:t>
      </w:r>
      <w:r w:rsidRPr="6160CCA4">
        <w:rPr>
          <w:b/>
          <w:bCs/>
          <w:sz w:val="28"/>
          <w:szCs w:val="28"/>
        </w:rPr>
        <w:t>recurso de apelación interpuesto por la parte demandante</w:t>
      </w:r>
      <w:r w:rsidRPr="6160CCA4">
        <w:rPr>
          <w:sz w:val="28"/>
          <w:szCs w:val="28"/>
        </w:rPr>
        <w:t xml:space="preserve"> contra el auto proferido </w:t>
      </w:r>
      <w:r w:rsidR="004C4D2C" w:rsidRPr="6160CCA4">
        <w:rPr>
          <w:sz w:val="28"/>
          <w:szCs w:val="28"/>
        </w:rPr>
        <w:t>el</w:t>
      </w:r>
      <w:r w:rsidR="00031696" w:rsidRPr="6160CCA4">
        <w:rPr>
          <w:sz w:val="28"/>
          <w:szCs w:val="28"/>
        </w:rPr>
        <w:t xml:space="preserve"> </w:t>
      </w:r>
      <w:r w:rsidR="00C13447" w:rsidRPr="6160CCA4">
        <w:rPr>
          <w:sz w:val="28"/>
          <w:szCs w:val="28"/>
        </w:rPr>
        <w:t>4</w:t>
      </w:r>
      <w:r w:rsidR="007C6166" w:rsidRPr="6160CCA4">
        <w:rPr>
          <w:sz w:val="28"/>
          <w:szCs w:val="28"/>
        </w:rPr>
        <w:t xml:space="preserve"> de </w:t>
      </w:r>
      <w:r w:rsidR="00C13447" w:rsidRPr="6160CCA4">
        <w:rPr>
          <w:sz w:val="28"/>
          <w:szCs w:val="28"/>
        </w:rPr>
        <w:t xml:space="preserve">septiembre </w:t>
      </w:r>
      <w:r w:rsidR="007C6166" w:rsidRPr="6160CCA4">
        <w:rPr>
          <w:sz w:val="28"/>
          <w:szCs w:val="28"/>
        </w:rPr>
        <w:t xml:space="preserve">de </w:t>
      </w:r>
      <w:r w:rsidR="00C13447" w:rsidRPr="6160CCA4">
        <w:rPr>
          <w:sz w:val="28"/>
          <w:szCs w:val="28"/>
        </w:rPr>
        <w:t>2020</w:t>
      </w:r>
      <w:r w:rsidRPr="6160CCA4">
        <w:rPr>
          <w:sz w:val="28"/>
          <w:szCs w:val="28"/>
        </w:rPr>
        <w:t xml:space="preserve">, </w:t>
      </w:r>
      <w:r w:rsidR="004C4D2C" w:rsidRPr="6160CCA4">
        <w:rPr>
          <w:sz w:val="28"/>
          <w:szCs w:val="28"/>
        </w:rPr>
        <w:t>por</w:t>
      </w:r>
      <w:r w:rsidRPr="6160CCA4">
        <w:rPr>
          <w:sz w:val="28"/>
          <w:szCs w:val="28"/>
        </w:rPr>
        <w:t xml:space="preserve"> el Juzgado </w:t>
      </w:r>
      <w:r w:rsidR="00C13447" w:rsidRPr="6160CCA4">
        <w:rPr>
          <w:sz w:val="28"/>
          <w:szCs w:val="28"/>
        </w:rPr>
        <w:t xml:space="preserve">Primero </w:t>
      </w:r>
      <w:r w:rsidR="00883718" w:rsidRPr="6160CCA4">
        <w:rPr>
          <w:sz w:val="28"/>
          <w:szCs w:val="28"/>
        </w:rPr>
        <w:t>Administrativo</w:t>
      </w:r>
      <w:r w:rsidR="007C6166" w:rsidRPr="6160CCA4">
        <w:rPr>
          <w:sz w:val="28"/>
          <w:szCs w:val="28"/>
        </w:rPr>
        <w:t xml:space="preserve"> </w:t>
      </w:r>
      <w:r w:rsidRPr="6160CCA4">
        <w:rPr>
          <w:sz w:val="28"/>
          <w:szCs w:val="28"/>
        </w:rPr>
        <w:t xml:space="preserve">Oral del Circuito Judicial de </w:t>
      </w:r>
      <w:r w:rsidR="00C13447" w:rsidRPr="6160CCA4">
        <w:rPr>
          <w:sz w:val="28"/>
          <w:szCs w:val="28"/>
        </w:rPr>
        <w:t xml:space="preserve">Tunja </w:t>
      </w:r>
      <w:r w:rsidR="00C704C4" w:rsidRPr="6160CCA4">
        <w:rPr>
          <w:sz w:val="28"/>
          <w:szCs w:val="28"/>
        </w:rPr>
        <w:t xml:space="preserve">mediante el cual </w:t>
      </w:r>
      <w:r w:rsidR="00C704C4" w:rsidRPr="6160CCA4">
        <w:rPr>
          <w:b/>
          <w:bCs/>
          <w:sz w:val="28"/>
          <w:szCs w:val="28"/>
        </w:rPr>
        <w:t xml:space="preserve">rechazó la </w:t>
      </w:r>
      <w:r w:rsidR="004C4D2C" w:rsidRPr="6160CCA4">
        <w:rPr>
          <w:b/>
          <w:bCs/>
          <w:sz w:val="28"/>
          <w:szCs w:val="28"/>
        </w:rPr>
        <w:t>demanda</w:t>
      </w:r>
      <w:r w:rsidR="004C4D2C" w:rsidRPr="6160CCA4">
        <w:rPr>
          <w:sz w:val="28"/>
          <w:szCs w:val="28"/>
        </w:rPr>
        <w:t xml:space="preserve"> al conside</w:t>
      </w:r>
      <w:r w:rsidR="001E288E" w:rsidRPr="6160CCA4">
        <w:rPr>
          <w:sz w:val="28"/>
          <w:szCs w:val="28"/>
        </w:rPr>
        <w:t xml:space="preserve">rar que operó el fenómeno de la </w:t>
      </w:r>
      <w:r w:rsidR="004C4D2C" w:rsidRPr="6160CCA4">
        <w:rPr>
          <w:sz w:val="28"/>
          <w:szCs w:val="28"/>
        </w:rPr>
        <w:t>caducidad.</w:t>
      </w:r>
    </w:p>
    <w:p w14:paraId="1E129EED" w14:textId="77777777" w:rsidR="00C13447" w:rsidRPr="007D22E3" w:rsidRDefault="00C13447" w:rsidP="00B0057D">
      <w:pPr>
        <w:spacing w:line="360" w:lineRule="auto"/>
        <w:ind w:right="51"/>
        <w:jc w:val="both"/>
        <w:rPr>
          <w:bCs/>
          <w:sz w:val="28"/>
          <w:szCs w:val="28"/>
        </w:rPr>
      </w:pPr>
    </w:p>
    <w:p w14:paraId="4B67A990" w14:textId="77777777" w:rsidR="002C1E8D" w:rsidRPr="007D22E3" w:rsidRDefault="002C1E8D" w:rsidP="00B0057D">
      <w:pPr>
        <w:numPr>
          <w:ilvl w:val="0"/>
          <w:numId w:val="1"/>
        </w:numPr>
        <w:spacing w:line="360" w:lineRule="auto"/>
        <w:jc w:val="center"/>
        <w:rPr>
          <w:b/>
          <w:sz w:val="28"/>
          <w:szCs w:val="28"/>
        </w:rPr>
      </w:pPr>
      <w:r w:rsidRPr="007D22E3">
        <w:rPr>
          <w:b/>
          <w:sz w:val="28"/>
          <w:szCs w:val="28"/>
        </w:rPr>
        <w:t>ANTECEDENTES</w:t>
      </w:r>
    </w:p>
    <w:p w14:paraId="62E0CD61" w14:textId="77777777" w:rsidR="002C1E8D" w:rsidRPr="007D22E3" w:rsidRDefault="002C1E8D" w:rsidP="00B0057D">
      <w:pPr>
        <w:spacing w:line="360" w:lineRule="auto"/>
        <w:jc w:val="both"/>
        <w:rPr>
          <w:b/>
          <w:sz w:val="28"/>
          <w:szCs w:val="28"/>
        </w:rPr>
      </w:pPr>
    </w:p>
    <w:p w14:paraId="6533FACC" w14:textId="77777777" w:rsidR="00971923" w:rsidRPr="007D22E3" w:rsidRDefault="00971923" w:rsidP="00B0057D">
      <w:pPr>
        <w:spacing w:line="360" w:lineRule="auto"/>
        <w:jc w:val="both"/>
        <w:rPr>
          <w:b/>
          <w:sz w:val="28"/>
          <w:szCs w:val="28"/>
        </w:rPr>
      </w:pPr>
      <w:r w:rsidRPr="007D22E3">
        <w:rPr>
          <w:b/>
          <w:sz w:val="28"/>
          <w:szCs w:val="28"/>
        </w:rPr>
        <w:t>1. La demanda</w:t>
      </w:r>
    </w:p>
    <w:p w14:paraId="162947EB" w14:textId="77777777" w:rsidR="00971923" w:rsidRPr="007D22E3" w:rsidRDefault="00971923" w:rsidP="00B0057D">
      <w:pPr>
        <w:spacing w:line="360" w:lineRule="auto"/>
        <w:jc w:val="both"/>
        <w:rPr>
          <w:b/>
          <w:sz w:val="28"/>
          <w:szCs w:val="28"/>
        </w:rPr>
      </w:pPr>
    </w:p>
    <w:p w14:paraId="48B8B3C0" w14:textId="77777777" w:rsidR="001E288E" w:rsidRPr="007D22E3" w:rsidRDefault="0061662F" w:rsidP="1A782E34">
      <w:pPr>
        <w:spacing w:line="360" w:lineRule="auto"/>
        <w:jc w:val="both"/>
        <w:rPr>
          <w:b/>
          <w:bCs/>
          <w:sz w:val="28"/>
          <w:szCs w:val="28"/>
        </w:rPr>
      </w:pPr>
      <w:r w:rsidRPr="1A782E34">
        <w:rPr>
          <w:sz w:val="28"/>
          <w:szCs w:val="28"/>
        </w:rPr>
        <w:lastRenderedPageBreak/>
        <w:t>Los señores</w:t>
      </w:r>
      <w:r w:rsidR="000261A7" w:rsidRPr="1A782E34">
        <w:rPr>
          <w:sz w:val="28"/>
          <w:szCs w:val="28"/>
        </w:rPr>
        <w:t xml:space="preserve"> </w:t>
      </w:r>
      <w:r w:rsidR="003D041A" w:rsidRPr="1A782E34">
        <w:rPr>
          <w:sz w:val="28"/>
          <w:szCs w:val="28"/>
        </w:rPr>
        <w:t xml:space="preserve">Antonio José Guerrero Sáenz, Olivia Daza Bautista, Deisy </w:t>
      </w:r>
      <w:proofErr w:type="spellStart"/>
      <w:r w:rsidR="003D041A" w:rsidRPr="1A782E34">
        <w:rPr>
          <w:sz w:val="28"/>
          <w:szCs w:val="28"/>
        </w:rPr>
        <w:t>Vivina</w:t>
      </w:r>
      <w:proofErr w:type="spellEnd"/>
      <w:r w:rsidR="003D041A" w:rsidRPr="1A782E34">
        <w:rPr>
          <w:sz w:val="28"/>
          <w:szCs w:val="28"/>
        </w:rPr>
        <w:t xml:space="preserve"> Guerrero Daza, Walter </w:t>
      </w:r>
      <w:proofErr w:type="spellStart"/>
      <w:r w:rsidR="003D041A" w:rsidRPr="1A782E34">
        <w:rPr>
          <w:sz w:val="28"/>
          <w:szCs w:val="28"/>
        </w:rPr>
        <w:t>Estivent</w:t>
      </w:r>
      <w:proofErr w:type="spellEnd"/>
      <w:r w:rsidR="003D041A" w:rsidRPr="1A782E34">
        <w:rPr>
          <w:sz w:val="28"/>
          <w:szCs w:val="28"/>
        </w:rPr>
        <w:t xml:space="preserve"> Guerrero Daza, </w:t>
      </w:r>
      <w:proofErr w:type="spellStart"/>
      <w:r w:rsidR="003D041A" w:rsidRPr="1A782E34">
        <w:rPr>
          <w:sz w:val="28"/>
          <w:szCs w:val="28"/>
        </w:rPr>
        <w:t>Heidy</w:t>
      </w:r>
      <w:proofErr w:type="spellEnd"/>
      <w:r w:rsidR="003D041A" w:rsidRPr="1A782E34">
        <w:rPr>
          <w:sz w:val="28"/>
          <w:szCs w:val="28"/>
        </w:rPr>
        <w:t xml:space="preserve"> Marcela Caro Borda, y los niños, Kenny Samuel Guerrero Caro y Derly </w:t>
      </w:r>
      <w:proofErr w:type="spellStart"/>
      <w:r w:rsidR="003D041A" w:rsidRPr="1A782E34">
        <w:rPr>
          <w:sz w:val="28"/>
          <w:szCs w:val="28"/>
        </w:rPr>
        <w:t>Dayane</w:t>
      </w:r>
      <w:proofErr w:type="spellEnd"/>
      <w:r w:rsidR="003D041A" w:rsidRPr="1A782E34">
        <w:rPr>
          <w:sz w:val="28"/>
          <w:szCs w:val="28"/>
        </w:rPr>
        <w:t xml:space="preserve"> Silva Caro, </w:t>
      </w:r>
      <w:r w:rsidR="00AC51E2" w:rsidRPr="1A782E34">
        <w:rPr>
          <w:sz w:val="28"/>
          <w:szCs w:val="28"/>
        </w:rPr>
        <w:t xml:space="preserve">por intermedio de apoderada  </w:t>
      </w:r>
      <w:r w:rsidRPr="1A782E34">
        <w:rPr>
          <w:sz w:val="28"/>
          <w:szCs w:val="28"/>
        </w:rPr>
        <w:t xml:space="preserve"> </w:t>
      </w:r>
      <w:r w:rsidR="00E058AF" w:rsidRPr="1A782E34">
        <w:rPr>
          <w:sz w:val="28"/>
          <w:szCs w:val="28"/>
        </w:rPr>
        <w:t>presenta</w:t>
      </w:r>
      <w:r w:rsidR="000366C7" w:rsidRPr="1A782E34">
        <w:rPr>
          <w:sz w:val="28"/>
          <w:szCs w:val="28"/>
        </w:rPr>
        <w:t>n</w:t>
      </w:r>
      <w:r w:rsidR="00B0057D" w:rsidRPr="1A782E34">
        <w:rPr>
          <w:sz w:val="28"/>
          <w:szCs w:val="28"/>
        </w:rPr>
        <w:t xml:space="preserve"> </w:t>
      </w:r>
      <w:r w:rsidR="00E058AF" w:rsidRPr="1A782E34">
        <w:rPr>
          <w:sz w:val="28"/>
          <w:szCs w:val="28"/>
        </w:rPr>
        <w:t xml:space="preserve">demanda </w:t>
      </w:r>
      <w:r w:rsidR="00AC51E2" w:rsidRPr="1A782E34">
        <w:rPr>
          <w:sz w:val="28"/>
          <w:szCs w:val="28"/>
        </w:rPr>
        <w:t xml:space="preserve">con pretensiones </w:t>
      </w:r>
      <w:r w:rsidR="00E058AF" w:rsidRPr="1A782E34">
        <w:rPr>
          <w:sz w:val="28"/>
          <w:szCs w:val="28"/>
        </w:rPr>
        <w:t xml:space="preserve">de reparación directa en contra </w:t>
      </w:r>
      <w:r w:rsidR="00AC51E2" w:rsidRPr="1A782E34">
        <w:rPr>
          <w:sz w:val="28"/>
          <w:szCs w:val="28"/>
        </w:rPr>
        <w:t xml:space="preserve">del Hospital </w:t>
      </w:r>
      <w:r w:rsidR="003D041A" w:rsidRPr="1A782E34">
        <w:rPr>
          <w:sz w:val="28"/>
          <w:szCs w:val="28"/>
        </w:rPr>
        <w:t>Sana Rafael de Tunja</w:t>
      </w:r>
      <w:r w:rsidR="00AC51E2" w:rsidRPr="1A782E34">
        <w:rPr>
          <w:sz w:val="28"/>
          <w:szCs w:val="28"/>
        </w:rPr>
        <w:t xml:space="preserve"> para que se declarare responsable</w:t>
      </w:r>
      <w:r w:rsidR="00D431A6" w:rsidRPr="1A782E34">
        <w:rPr>
          <w:sz w:val="28"/>
          <w:szCs w:val="28"/>
        </w:rPr>
        <w:t xml:space="preserve"> administrativa y patrimonialmente </w:t>
      </w:r>
      <w:r w:rsidR="003D041A" w:rsidRPr="1A782E34">
        <w:rPr>
          <w:sz w:val="28"/>
          <w:szCs w:val="28"/>
        </w:rPr>
        <w:t>de los</w:t>
      </w:r>
      <w:r w:rsidR="00D431A6" w:rsidRPr="1A782E34">
        <w:rPr>
          <w:sz w:val="28"/>
          <w:szCs w:val="28"/>
        </w:rPr>
        <w:t xml:space="preserve"> </w:t>
      </w:r>
      <w:r w:rsidR="00EB05CF" w:rsidRPr="1A782E34">
        <w:rPr>
          <w:sz w:val="28"/>
          <w:szCs w:val="28"/>
        </w:rPr>
        <w:t>perjuicios</w:t>
      </w:r>
      <w:r w:rsidR="00D431A6" w:rsidRPr="1A782E34">
        <w:rPr>
          <w:sz w:val="28"/>
          <w:szCs w:val="28"/>
        </w:rPr>
        <w:t xml:space="preserve"> materiales y </w:t>
      </w:r>
      <w:r w:rsidR="003D041A" w:rsidRPr="1A782E34">
        <w:rPr>
          <w:sz w:val="28"/>
          <w:szCs w:val="28"/>
        </w:rPr>
        <w:t xml:space="preserve">morales </w:t>
      </w:r>
      <w:r w:rsidR="00D431A6" w:rsidRPr="1A782E34">
        <w:rPr>
          <w:sz w:val="28"/>
          <w:szCs w:val="28"/>
        </w:rPr>
        <w:t xml:space="preserve">causados </w:t>
      </w:r>
      <w:r w:rsidR="001E288E" w:rsidRPr="1A782E34">
        <w:rPr>
          <w:sz w:val="28"/>
          <w:szCs w:val="28"/>
        </w:rPr>
        <w:t xml:space="preserve">a </w:t>
      </w:r>
      <w:r w:rsidR="003D041A" w:rsidRPr="1A782E34">
        <w:rPr>
          <w:sz w:val="28"/>
          <w:szCs w:val="28"/>
        </w:rPr>
        <w:t>los demandantes</w:t>
      </w:r>
      <w:r w:rsidR="001E288E" w:rsidRPr="1A782E34">
        <w:rPr>
          <w:sz w:val="28"/>
          <w:szCs w:val="28"/>
        </w:rPr>
        <w:t xml:space="preserve">, </w:t>
      </w:r>
      <w:r w:rsidR="00D431A6" w:rsidRPr="1A782E34">
        <w:rPr>
          <w:sz w:val="28"/>
          <w:szCs w:val="28"/>
        </w:rPr>
        <w:t xml:space="preserve">con ocasión de la </w:t>
      </w:r>
      <w:r w:rsidR="003D041A" w:rsidRPr="1A782E34">
        <w:rPr>
          <w:sz w:val="28"/>
          <w:szCs w:val="28"/>
        </w:rPr>
        <w:t>muerte del señor Jeffer Arley Guerrero Daza,</w:t>
      </w:r>
      <w:r w:rsidR="003D041A" w:rsidRPr="1A782E34">
        <w:rPr>
          <w:b/>
          <w:bCs/>
          <w:sz w:val="28"/>
          <w:szCs w:val="28"/>
        </w:rPr>
        <w:t xml:space="preserve"> ocurrida el 20 de marzo de 2018, por la aparente falla médica.</w:t>
      </w:r>
    </w:p>
    <w:p w14:paraId="70D49B1F" w14:textId="77777777" w:rsidR="003D041A" w:rsidRPr="007D22E3" w:rsidRDefault="003D041A" w:rsidP="489ED13A">
      <w:pPr>
        <w:spacing w:line="360" w:lineRule="auto"/>
        <w:jc w:val="both"/>
        <w:rPr>
          <w:sz w:val="28"/>
          <w:szCs w:val="28"/>
          <w:highlight w:val="yellow"/>
        </w:rPr>
      </w:pPr>
    </w:p>
    <w:p w14:paraId="274FF451" w14:textId="28A0A23C" w:rsidR="003D041A" w:rsidRPr="007D22E3" w:rsidRDefault="001E288E" w:rsidP="00B0057D">
      <w:pPr>
        <w:spacing w:line="360" w:lineRule="auto"/>
        <w:jc w:val="both"/>
        <w:rPr>
          <w:sz w:val="28"/>
          <w:szCs w:val="28"/>
        </w:rPr>
      </w:pPr>
      <w:r w:rsidRPr="6160CCA4">
        <w:rPr>
          <w:sz w:val="28"/>
          <w:szCs w:val="28"/>
        </w:rPr>
        <w:t xml:space="preserve">Dice la demanda que </w:t>
      </w:r>
      <w:r w:rsidR="003D041A" w:rsidRPr="6160CCA4">
        <w:rPr>
          <w:sz w:val="28"/>
          <w:szCs w:val="28"/>
        </w:rPr>
        <w:t xml:space="preserve">el occiso ingresó al servicio de urgencias el </w:t>
      </w:r>
      <w:r w:rsidR="003D041A" w:rsidRPr="6160CCA4">
        <w:rPr>
          <w:b/>
          <w:bCs/>
          <w:sz w:val="28"/>
          <w:szCs w:val="28"/>
        </w:rPr>
        <w:t>19 de marzo de 2018</w:t>
      </w:r>
      <w:r w:rsidR="00FB135E" w:rsidRPr="6160CCA4">
        <w:rPr>
          <w:b/>
          <w:bCs/>
          <w:sz w:val="28"/>
          <w:szCs w:val="28"/>
        </w:rPr>
        <w:t xml:space="preserve"> </w:t>
      </w:r>
      <w:r w:rsidR="00FB135E" w:rsidRPr="6160CCA4">
        <w:rPr>
          <w:sz w:val="28"/>
          <w:szCs w:val="28"/>
        </w:rPr>
        <w:t>a las 9:30 a.m.</w:t>
      </w:r>
      <w:r w:rsidR="003D041A" w:rsidRPr="6160CCA4">
        <w:rPr>
          <w:sz w:val="28"/>
          <w:szCs w:val="28"/>
        </w:rPr>
        <w:t>,</w:t>
      </w:r>
      <w:r w:rsidR="003D041A" w:rsidRPr="6160CCA4">
        <w:rPr>
          <w:b/>
          <w:bCs/>
          <w:sz w:val="28"/>
          <w:szCs w:val="28"/>
        </w:rPr>
        <w:t xml:space="preserve"> </w:t>
      </w:r>
      <w:r w:rsidR="003D041A" w:rsidRPr="6160CCA4">
        <w:rPr>
          <w:sz w:val="28"/>
          <w:szCs w:val="28"/>
        </w:rPr>
        <w:t xml:space="preserve">con </w:t>
      </w:r>
      <w:r w:rsidR="00FB135E" w:rsidRPr="6160CCA4">
        <w:rPr>
          <w:sz w:val="28"/>
          <w:szCs w:val="28"/>
        </w:rPr>
        <w:t xml:space="preserve">síntomas de </w:t>
      </w:r>
      <w:r w:rsidR="003D041A" w:rsidRPr="6160CCA4">
        <w:rPr>
          <w:sz w:val="28"/>
          <w:szCs w:val="28"/>
        </w:rPr>
        <w:t>dolor torácico e inicio de torcedura de manos,</w:t>
      </w:r>
      <w:r w:rsidR="00FB135E" w:rsidRPr="6160CCA4">
        <w:rPr>
          <w:sz w:val="28"/>
          <w:szCs w:val="28"/>
        </w:rPr>
        <w:t xml:space="preserve"> y</w:t>
      </w:r>
      <w:r w:rsidR="003D041A" w:rsidRPr="6160CCA4">
        <w:rPr>
          <w:sz w:val="28"/>
          <w:szCs w:val="28"/>
        </w:rPr>
        <w:t xml:space="preserve"> que le fue diagnosticado </w:t>
      </w:r>
      <w:r w:rsidR="00FB135E" w:rsidRPr="6160CCA4">
        <w:rPr>
          <w:sz w:val="28"/>
          <w:szCs w:val="28"/>
        </w:rPr>
        <w:t>“</w:t>
      </w:r>
      <w:r w:rsidR="003D041A" w:rsidRPr="6160CCA4">
        <w:rPr>
          <w:i/>
          <w:iCs/>
          <w:sz w:val="28"/>
          <w:szCs w:val="28"/>
        </w:rPr>
        <w:t xml:space="preserve">trastorno de ansiedad, trastorno </w:t>
      </w:r>
      <w:r w:rsidR="003D041A" w:rsidRPr="6160CCA4">
        <w:rPr>
          <w:b/>
          <w:bCs/>
          <w:i/>
          <w:iCs/>
          <w:sz w:val="28"/>
          <w:szCs w:val="28"/>
        </w:rPr>
        <w:t>conversivo</w:t>
      </w:r>
      <w:r w:rsidR="003D041A" w:rsidRPr="6160CCA4">
        <w:rPr>
          <w:i/>
          <w:iCs/>
          <w:sz w:val="28"/>
          <w:szCs w:val="28"/>
        </w:rPr>
        <w:t xml:space="preserve"> de personalidad, </w:t>
      </w:r>
      <w:r w:rsidR="00FB135E" w:rsidRPr="6160CCA4">
        <w:rPr>
          <w:i/>
          <w:iCs/>
          <w:sz w:val="28"/>
          <w:szCs w:val="28"/>
        </w:rPr>
        <w:t>síndrome</w:t>
      </w:r>
      <w:r w:rsidR="003D041A" w:rsidRPr="6160CCA4">
        <w:rPr>
          <w:i/>
          <w:iCs/>
          <w:sz w:val="28"/>
          <w:szCs w:val="28"/>
        </w:rPr>
        <w:t xml:space="preserve"> de </w:t>
      </w:r>
      <w:r w:rsidR="00FB135E" w:rsidRPr="6160CCA4">
        <w:rPr>
          <w:i/>
          <w:iCs/>
          <w:sz w:val="28"/>
          <w:szCs w:val="28"/>
        </w:rPr>
        <w:t>abstinencia</w:t>
      </w:r>
      <w:r w:rsidR="003D041A" w:rsidRPr="6160CCA4">
        <w:rPr>
          <w:i/>
          <w:iCs/>
          <w:sz w:val="28"/>
          <w:szCs w:val="28"/>
        </w:rPr>
        <w:t xml:space="preserve"> alcohólica, y dolor </w:t>
      </w:r>
      <w:r w:rsidR="00FB135E" w:rsidRPr="6160CCA4">
        <w:rPr>
          <w:i/>
          <w:iCs/>
          <w:sz w:val="28"/>
          <w:szCs w:val="28"/>
        </w:rPr>
        <w:t>torácico</w:t>
      </w:r>
      <w:r w:rsidR="003D041A" w:rsidRPr="6160CCA4">
        <w:rPr>
          <w:i/>
          <w:iCs/>
          <w:sz w:val="28"/>
          <w:szCs w:val="28"/>
        </w:rPr>
        <w:t xml:space="preserve"> secundario a probable trastorno de ansiedad</w:t>
      </w:r>
      <w:r w:rsidR="00FB135E" w:rsidRPr="6160CCA4">
        <w:rPr>
          <w:i/>
          <w:iCs/>
          <w:sz w:val="28"/>
          <w:szCs w:val="28"/>
        </w:rPr>
        <w:t>”</w:t>
      </w:r>
      <w:r w:rsidR="003D041A" w:rsidRPr="6160CCA4">
        <w:rPr>
          <w:sz w:val="28"/>
          <w:szCs w:val="28"/>
        </w:rPr>
        <w:t>.</w:t>
      </w:r>
    </w:p>
    <w:p w14:paraId="415C8B3C" w14:textId="77777777" w:rsidR="003D041A" w:rsidRPr="007D22E3" w:rsidRDefault="003D041A" w:rsidP="00B0057D">
      <w:pPr>
        <w:spacing w:line="360" w:lineRule="auto"/>
        <w:jc w:val="both"/>
        <w:rPr>
          <w:sz w:val="28"/>
          <w:szCs w:val="28"/>
        </w:rPr>
      </w:pPr>
    </w:p>
    <w:p w14:paraId="16566566" w14:textId="2872E134" w:rsidR="00FB135E" w:rsidRPr="007D22E3" w:rsidRDefault="003D041A" w:rsidP="00B0057D">
      <w:pPr>
        <w:spacing w:line="360" w:lineRule="auto"/>
        <w:jc w:val="both"/>
        <w:rPr>
          <w:sz w:val="28"/>
          <w:szCs w:val="28"/>
        </w:rPr>
      </w:pPr>
      <w:r w:rsidRPr="6160CCA4">
        <w:rPr>
          <w:sz w:val="28"/>
          <w:szCs w:val="28"/>
        </w:rPr>
        <w:t>Que no se</w:t>
      </w:r>
      <w:r w:rsidR="00FB135E" w:rsidRPr="6160CCA4">
        <w:rPr>
          <w:sz w:val="28"/>
          <w:szCs w:val="28"/>
        </w:rPr>
        <w:t xml:space="preserve"> </w:t>
      </w:r>
      <w:r w:rsidRPr="6160CCA4">
        <w:rPr>
          <w:sz w:val="28"/>
          <w:szCs w:val="28"/>
        </w:rPr>
        <w:t xml:space="preserve">le practicó ningún </w:t>
      </w:r>
      <w:r w:rsidR="00FB135E" w:rsidRPr="6160CCA4">
        <w:rPr>
          <w:sz w:val="28"/>
          <w:szCs w:val="28"/>
        </w:rPr>
        <w:t>examen</w:t>
      </w:r>
      <w:r w:rsidRPr="6160CCA4">
        <w:rPr>
          <w:sz w:val="28"/>
          <w:szCs w:val="28"/>
        </w:rPr>
        <w:t xml:space="preserve"> especializado que </w:t>
      </w:r>
      <w:r w:rsidR="00FB135E" w:rsidRPr="6160CCA4">
        <w:rPr>
          <w:sz w:val="28"/>
          <w:szCs w:val="28"/>
        </w:rPr>
        <w:t>determinara</w:t>
      </w:r>
      <w:r w:rsidRPr="6160CCA4">
        <w:rPr>
          <w:sz w:val="28"/>
          <w:szCs w:val="28"/>
        </w:rPr>
        <w:t xml:space="preserve"> </w:t>
      </w:r>
      <w:r w:rsidR="00FB135E" w:rsidRPr="6160CCA4">
        <w:rPr>
          <w:sz w:val="28"/>
          <w:szCs w:val="28"/>
        </w:rPr>
        <w:t>las</w:t>
      </w:r>
      <w:r w:rsidRPr="6160CCA4">
        <w:rPr>
          <w:sz w:val="28"/>
          <w:szCs w:val="28"/>
        </w:rPr>
        <w:t xml:space="preserve"> causas por las que ingreso por urgencias, y</w:t>
      </w:r>
      <w:r w:rsidR="00FB135E" w:rsidRPr="6160CCA4">
        <w:rPr>
          <w:sz w:val="28"/>
          <w:szCs w:val="28"/>
        </w:rPr>
        <w:t xml:space="preserve"> siendo las 17:14</w:t>
      </w:r>
      <w:r w:rsidRPr="6160CCA4">
        <w:rPr>
          <w:sz w:val="28"/>
          <w:szCs w:val="28"/>
        </w:rPr>
        <w:t xml:space="preserve"> le dieron de alta,</w:t>
      </w:r>
      <w:r w:rsidR="00FB135E" w:rsidRPr="6160CCA4">
        <w:rPr>
          <w:sz w:val="28"/>
          <w:szCs w:val="28"/>
        </w:rPr>
        <w:t xml:space="preserve"> por lo que se dirigió a su residencia, pero los síntomas persistían.</w:t>
      </w:r>
    </w:p>
    <w:p w14:paraId="0B7CC36A" w14:textId="77777777" w:rsidR="00FB135E" w:rsidRPr="007D22E3" w:rsidRDefault="00FB135E" w:rsidP="00B0057D">
      <w:pPr>
        <w:spacing w:line="360" w:lineRule="auto"/>
        <w:jc w:val="both"/>
        <w:rPr>
          <w:sz w:val="28"/>
          <w:szCs w:val="28"/>
        </w:rPr>
      </w:pPr>
    </w:p>
    <w:p w14:paraId="4C616651" w14:textId="77777777" w:rsidR="00FB135E" w:rsidRPr="007D22E3" w:rsidRDefault="00FB135E" w:rsidP="00B0057D">
      <w:pPr>
        <w:spacing w:line="360" w:lineRule="auto"/>
        <w:jc w:val="both"/>
        <w:rPr>
          <w:sz w:val="28"/>
          <w:szCs w:val="28"/>
        </w:rPr>
      </w:pPr>
      <w:r w:rsidRPr="489ED13A">
        <w:rPr>
          <w:sz w:val="28"/>
          <w:szCs w:val="28"/>
        </w:rPr>
        <w:t>Que ingresó nuevamente a las 22:09, con cuadro clínico “</w:t>
      </w:r>
      <w:r w:rsidRPr="489ED13A">
        <w:rPr>
          <w:i/>
          <w:iCs/>
          <w:sz w:val="28"/>
          <w:szCs w:val="28"/>
        </w:rPr>
        <w:t>sensación de hormigueo en la cara, manos y piernas bilateral con la misma intensidad, refiere persistencia de la taquicardia y presión torácica que dificulta respiración (..)</w:t>
      </w:r>
      <w:r w:rsidRPr="489ED13A">
        <w:rPr>
          <w:sz w:val="28"/>
          <w:szCs w:val="28"/>
        </w:rPr>
        <w:t xml:space="preserve">”, que le realizaron examen físico, pero que solo revisaron los </w:t>
      </w:r>
      <w:r w:rsidRPr="489ED13A">
        <w:rPr>
          <w:b/>
          <w:bCs/>
          <w:sz w:val="28"/>
          <w:szCs w:val="28"/>
        </w:rPr>
        <w:t>paraclínicos</w:t>
      </w:r>
      <w:r w:rsidRPr="489ED13A">
        <w:rPr>
          <w:sz w:val="28"/>
          <w:szCs w:val="28"/>
        </w:rPr>
        <w:t xml:space="preserve"> tomados al paciente en las horas de la mañana</w:t>
      </w:r>
      <w:r w:rsidR="00E04DD6" w:rsidRPr="489ED13A">
        <w:rPr>
          <w:sz w:val="28"/>
          <w:szCs w:val="28"/>
        </w:rPr>
        <w:t xml:space="preserve"> y siendo las 2:34 del </w:t>
      </w:r>
      <w:r w:rsidR="00E04DD6" w:rsidRPr="489ED13A">
        <w:rPr>
          <w:b/>
          <w:bCs/>
          <w:sz w:val="28"/>
          <w:szCs w:val="28"/>
        </w:rPr>
        <w:t xml:space="preserve">20 de marzo de 2018 </w:t>
      </w:r>
      <w:r w:rsidR="00E04DD6" w:rsidRPr="489ED13A">
        <w:rPr>
          <w:sz w:val="28"/>
          <w:szCs w:val="28"/>
        </w:rPr>
        <w:t>le dan egreso del centro hospitalario.</w:t>
      </w:r>
    </w:p>
    <w:p w14:paraId="4F9EFCBA" w14:textId="77777777" w:rsidR="004C3B20" w:rsidRPr="007D22E3" w:rsidRDefault="004C3B20" w:rsidP="00B0057D">
      <w:pPr>
        <w:spacing w:line="360" w:lineRule="auto"/>
        <w:jc w:val="both"/>
        <w:rPr>
          <w:b/>
          <w:sz w:val="28"/>
          <w:szCs w:val="28"/>
        </w:rPr>
      </w:pPr>
    </w:p>
    <w:p w14:paraId="21525A77" w14:textId="0AB9A4B4" w:rsidR="004C3B20" w:rsidRPr="007D22E3" w:rsidRDefault="004C3B20" w:rsidP="00B0057D">
      <w:pPr>
        <w:spacing w:line="360" w:lineRule="auto"/>
        <w:jc w:val="both"/>
        <w:rPr>
          <w:sz w:val="28"/>
          <w:szCs w:val="28"/>
        </w:rPr>
      </w:pPr>
      <w:r w:rsidRPr="1A782E34">
        <w:rPr>
          <w:sz w:val="28"/>
          <w:szCs w:val="28"/>
        </w:rPr>
        <w:t xml:space="preserve">Que ingresó nuevamente a las 9:14 de la mañana al presentar síntomas de diarrea y vómito, que durante ese día presentó mal estado en general, acrocianosis, signos de </w:t>
      </w:r>
      <w:proofErr w:type="spellStart"/>
      <w:r w:rsidRPr="1A782E34">
        <w:rPr>
          <w:sz w:val="28"/>
          <w:szCs w:val="28"/>
        </w:rPr>
        <w:t>hiperfusión</w:t>
      </w:r>
      <w:proofErr w:type="spellEnd"/>
      <w:r w:rsidRPr="1A782E34">
        <w:rPr>
          <w:sz w:val="28"/>
          <w:szCs w:val="28"/>
        </w:rPr>
        <w:t>, dolor abdominal severo, piel moteada entre otros.</w:t>
      </w:r>
    </w:p>
    <w:p w14:paraId="6F655A79" w14:textId="77777777" w:rsidR="004C3B20" w:rsidRPr="007D22E3" w:rsidRDefault="004C3B20" w:rsidP="00B0057D">
      <w:pPr>
        <w:spacing w:line="360" w:lineRule="auto"/>
        <w:jc w:val="both"/>
        <w:rPr>
          <w:sz w:val="28"/>
          <w:szCs w:val="28"/>
        </w:rPr>
      </w:pPr>
    </w:p>
    <w:p w14:paraId="1E4CCC98" w14:textId="486946F7" w:rsidR="004C3B20" w:rsidRPr="007D22E3" w:rsidRDefault="004C3B20" w:rsidP="00B0057D">
      <w:pPr>
        <w:spacing w:line="360" w:lineRule="auto"/>
        <w:jc w:val="both"/>
        <w:rPr>
          <w:sz w:val="28"/>
          <w:szCs w:val="28"/>
        </w:rPr>
      </w:pPr>
      <w:r w:rsidRPr="6160CCA4">
        <w:rPr>
          <w:sz w:val="28"/>
          <w:szCs w:val="28"/>
        </w:rPr>
        <w:t xml:space="preserve">Que a las 15:19 le iniciaron asistencia “intubación </w:t>
      </w:r>
      <w:proofErr w:type="spellStart"/>
      <w:r w:rsidRPr="6160CCA4">
        <w:rPr>
          <w:sz w:val="28"/>
          <w:szCs w:val="28"/>
        </w:rPr>
        <w:t>ortraqueal</w:t>
      </w:r>
      <w:proofErr w:type="spellEnd"/>
      <w:r w:rsidRPr="6160CCA4">
        <w:rPr>
          <w:sz w:val="28"/>
          <w:szCs w:val="28"/>
        </w:rPr>
        <w:t>”, y siendo las 18:35 el médico tratante declara muerte del señor Jeffer Arley Guerrero Daza</w:t>
      </w:r>
      <w:r w:rsidR="00C5167A" w:rsidRPr="6160CCA4">
        <w:rPr>
          <w:sz w:val="28"/>
          <w:szCs w:val="28"/>
        </w:rPr>
        <w:t xml:space="preserve"> </w:t>
      </w:r>
      <w:r w:rsidR="0077767A" w:rsidRPr="6160CCA4">
        <w:rPr>
          <w:sz w:val="28"/>
          <w:szCs w:val="28"/>
        </w:rPr>
        <w:t>con orden necropsia clínica.</w:t>
      </w:r>
    </w:p>
    <w:p w14:paraId="0351A7C8" w14:textId="77777777" w:rsidR="0077767A" w:rsidRPr="007D22E3" w:rsidRDefault="0077767A" w:rsidP="00B0057D">
      <w:pPr>
        <w:spacing w:line="360" w:lineRule="auto"/>
        <w:jc w:val="both"/>
        <w:rPr>
          <w:sz w:val="28"/>
          <w:szCs w:val="28"/>
        </w:rPr>
      </w:pPr>
    </w:p>
    <w:p w14:paraId="6E9E5ED9" w14:textId="77777777" w:rsidR="0077767A" w:rsidRPr="007D22E3" w:rsidRDefault="0077767A" w:rsidP="1A782E34">
      <w:pPr>
        <w:spacing w:line="360" w:lineRule="auto"/>
        <w:jc w:val="both"/>
        <w:rPr>
          <w:i/>
          <w:iCs/>
          <w:sz w:val="28"/>
          <w:szCs w:val="28"/>
        </w:rPr>
      </w:pPr>
      <w:r w:rsidRPr="1A782E34">
        <w:rPr>
          <w:sz w:val="28"/>
          <w:szCs w:val="28"/>
        </w:rPr>
        <w:t xml:space="preserve">Que el </w:t>
      </w:r>
      <w:r w:rsidRPr="1A782E34">
        <w:rPr>
          <w:b/>
          <w:bCs/>
          <w:sz w:val="28"/>
          <w:szCs w:val="28"/>
        </w:rPr>
        <w:t xml:space="preserve">29 de abril de 2018 </w:t>
      </w:r>
      <w:r w:rsidRPr="1A782E34">
        <w:rPr>
          <w:sz w:val="28"/>
          <w:szCs w:val="28"/>
        </w:rPr>
        <w:t>les fue entregado el informe de patología con el siguiente diagnóstico:</w:t>
      </w:r>
      <w:r w:rsidRPr="1A782E34">
        <w:rPr>
          <w:b/>
          <w:bCs/>
          <w:sz w:val="28"/>
          <w:szCs w:val="28"/>
        </w:rPr>
        <w:t xml:space="preserve"> </w:t>
      </w:r>
      <w:r w:rsidRPr="1A782E34">
        <w:rPr>
          <w:sz w:val="28"/>
          <w:szCs w:val="28"/>
        </w:rPr>
        <w:t>“</w:t>
      </w:r>
      <w:r w:rsidRPr="1A782E34">
        <w:rPr>
          <w:i/>
          <w:iCs/>
          <w:sz w:val="28"/>
          <w:szCs w:val="28"/>
        </w:rPr>
        <w:t>CHOQUE SÉPTICO SECUNDARIO A 2 INFECCIÓN MULTISISTÉMICA POR NEISSERIA MENINGITIDIS SIGNOS HISTOLÓGICOS DE DAÑO CELULAR MULTIORGÁNICO CON: DAÑO ALVEOLAR DIFUSO, DAÑO HEPÁTICO PERICENTRAL, NECROSIS DE LA MEDULA DE LA GLÁNDULA SUPRARRENAL, HEMORRAGIA DE LA PULPA ROJA DEL BAZO, CEREBRO CON CAMBIOS POR HIPOXIA, MIOCARDIO CON HIPOXIA TEMPRANA, RIÑÓN CON NECROSIS TUBULAR AGUDA CON ÁREAS DE NECROSIS”</w:t>
      </w:r>
      <w:r w:rsidR="00505CAB" w:rsidRPr="1A782E34">
        <w:rPr>
          <w:i/>
          <w:iCs/>
          <w:sz w:val="28"/>
          <w:szCs w:val="28"/>
        </w:rPr>
        <w:t>.</w:t>
      </w:r>
    </w:p>
    <w:p w14:paraId="4CA997B4" w14:textId="77777777" w:rsidR="00505CAB" w:rsidRPr="007D22E3" w:rsidRDefault="00505CAB" w:rsidP="00B0057D">
      <w:pPr>
        <w:spacing w:line="360" w:lineRule="auto"/>
        <w:jc w:val="both"/>
        <w:rPr>
          <w:b/>
          <w:sz w:val="28"/>
          <w:szCs w:val="28"/>
        </w:rPr>
      </w:pPr>
    </w:p>
    <w:p w14:paraId="212DC250" w14:textId="68992973" w:rsidR="00505CAB" w:rsidRPr="007D22E3" w:rsidRDefault="00505CAB" w:rsidP="00B0057D">
      <w:pPr>
        <w:spacing w:line="360" w:lineRule="auto"/>
        <w:jc w:val="both"/>
        <w:rPr>
          <w:sz w:val="28"/>
          <w:szCs w:val="28"/>
        </w:rPr>
      </w:pPr>
      <w:r w:rsidRPr="6160CCA4">
        <w:rPr>
          <w:sz w:val="28"/>
          <w:szCs w:val="28"/>
        </w:rPr>
        <w:t>Refiere que a la víctima no le fueron diagnosticadas adecuadamente desde un inicio las dolencia</w:t>
      </w:r>
      <w:r w:rsidR="00751B62" w:rsidRPr="6160CCA4">
        <w:rPr>
          <w:sz w:val="28"/>
          <w:szCs w:val="28"/>
        </w:rPr>
        <w:t>s, y</w:t>
      </w:r>
      <w:r w:rsidR="003A21CA" w:rsidRPr="6160CCA4">
        <w:rPr>
          <w:sz w:val="28"/>
          <w:szCs w:val="28"/>
        </w:rPr>
        <w:t xml:space="preserve"> que</w:t>
      </w:r>
      <w:r w:rsidR="00751B62" w:rsidRPr="6160CCA4">
        <w:rPr>
          <w:sz w:val="28"/>
          <w:szCs w:val="28"/>
        </w:rPr>
        <w:t xml:space="preserve"> no le </w:t>
      </w:r>
      <w:r w:rsidR="003A21CA" w:rsidRPr="6160CCA4">
        <w:rPr>
          <w:sz w:val="28"/>
          <w:szCs w:val="28"/>
        </w:rPr>
        <w:t>realizaron</w:t>
      </w:r>
      <w:r w:rsidR="00751B62" w:rsidRPr="6160CCA4">
        <w:rPr>
          <w:sz w:val="28"/>
          <w:szCs w:val="28"/>
        </w:rPr>
        <w:t xml:space="preserve"> exámenes exhaustivos </w:t>
      </w:r>
      <w:r w:rsidR="003A21CA" w:rsidRPr="6160CCA4">
        <w:rPr>
          <w:sz w:val="28"/>
          <w:szCs w:val="28"/>
        </w:rPr>
        <w:t>que</w:t>
      </w:r>
      <w:r w:rsidR="00751B62" w:rsidRPr="6160CCA4">
        <w:rPr>
          <w:sz w:val="28"/>
          <w:szCs w:val="28"/>
        </w:rPr>
        <w:t xml:space="preserve"> </w:t>
      </w:r>
      <w:r w:rsidR="003A21CA" w:rsidRPr="6160CCA4">
        <w:rPr>
          <w:sz w:val="28"/>
          <w:szCs w:val="28"/>
        </w:rPr>
        <w:t>determinaran</w:t>
      </w:r>
      <w:r w:rsidR="00751B62" w:rsidRPr="6160CCA4">
        <w:rPr>
          <w:sz w:val="28"/>
          <w:szCs w:val="28"/>
        </w:rPr>
        <w:t xml:space="preserve"> la sintomatología</w:t>
      </w:r>
      <w:r w:rsidR="00EF681E" w:rsidRPr="6160CCA4">
        <w:rPr>
          <w:sz w:val="28"/>
          <w:szCs w:val="28"/>
        </w:rPr>
        <w:t xml:space="preserve">, que pese a que el hemograma presentaba leucocitosis y policitemia no le realizaron más exámenes y en ningún </w:t>
      </w:r>
      <w:r w:rsidR="007D22E3" w:rsidRPr="6160CCA4">
        <w:rPr>
          <w:sz w:val="28"/>
          <w:szCs w:val="28"/>
        </w:rPr>
        <w:t>momento</w:t>
      </w:r>
      <w:r w:rsidR="00EF681E" w:rsidRPr="6160CCA4">
        <w:rPr>
          <w:sz w:val="28"/>
          <w:szCs w:val="28"/>
        </w:rPr>
        <w:t xml:space="preserve"> le ordenaron </w:t>
      </w:r>
      <w:r w:rsidR="007D22E3" w:rsidRPr="6160CCA4">
        <w:rPr>
          <w:sz w:val="28"/>
          <w:szCs w:val="28"/>
        </w:rPr>
        <w:t>antibiótico</w:t>
      </w:r>
      <w:r w:rsidR="00EF681E" w:rsidRPr="6160CCA4">
        <w:rPr>
          <w:sz w:val="28"/>
          <w:szCs w:val="28"/>
        </w:rPr>
        <w:t xml:space="preserve"> </w:t>
      </w:r>
      <w:r w:rsidR="007D22E3" w:rsidRPr="6160CCA4">
        <w:rPr>
          <w:sz w:val="28"/>
          <w:szCs w:val="28"/>
        </w:rPr>
        <w:t xml:space="preserve">que permitiera atacar la infección que presentaba. </w:t>
      </w:r>
    </w:p>
    <w:p w14:paraId="73843C71" w14:textId="77777777" w:rsidR="00801BC9" w:rsidRPr="00D64568" w:rsidRDefault="00801BC9" w:rsidP="00B0057D">
      <w:pPr>
        <w:spacing w:line="360" w:lineRule="auto"/>
        <w:jc w:val="both"/>
        <w:rPr>
          <w:sz w:val="28"/>
          <w:szCs w:val="28"/>
        </w:rPr>
      </w:pPr>
    </w:p>
    <w:p w14:paraId="330FC2E6" w14:textId="77777777" w:rsidR="00116D06" w:rsidRPr="00D64568" w:rsidRDefault="00C57F21" w:rsidP="00B0057D">
      <w:pPr>
        <w:spacing w:line="360" w:lineRule="auto"/>
        <w:jc w:val="both"/>
        <w:rPr>
          <w:b/>
          <w:sz w:val="28"/>
          <w:szCs w:val="28"/>
        </w:rPr>
      </w:pPr>
      <w:r w:rsidRPr="00D64568">
        <w:rPr>
          <w:b/>
          <w:sz w:val="28"/>
          <w:szCs w:val="28"/>
        </w:rPr>
        <w:t>2. Trámite procesal</w:t>
      </w:r>
    </w:p>
    <w:p w14:paraId="7EB4B12A" w14:textId="77777777" w:rsidR="00E14F96" w:rsidRPr="00D64568" w:rsidRDefault="00E14F96" w:rsidP="00B0057D">
      <w:pPr>
        <w:spacing w:line="360" w:lineRule="auto"/>
        <w:jc w:val="both"/>
        <w:rPr>
          <w:sz w:val="28"/>
          <w:szCs w:val="28"/>
        </w:rPr>
      </w:pPr>
    </w:p>
    <w:p w14:paraId="74FDA0A0" w14:textId="77777777" w:rsidR="00047398" w:rsidRDefault="00467019" w:rsidP="00B0057D">
      <w:pPr>
        <w:spacing w:line="360" w:lineRule="auto"/>
        <w:jc w:val="both"/>
        <w:rPr>
          <w:sz w:val="28"/>
          <w:szCs w:val="28"/>
        </w:rPr>
      </w:pPr>
      <w:r w:rsidRPr="1A782E34">
        <w:rPr>
          <w:sz w:val="28"/>
          <w:szCs w:val="28"/>
        </w:rPr>
        <w:t xml:space="preserve">La demanda </w:t>
      </w:r>
      <w:proofErr w:type="spellStart"/>
      <w:r w:rsidRPr="1A782E34">
        <w:rPr>
          <w:sz w:val="28"/>
          <w:szCs w:val="28"/>
        </w:rPr>
        <w:t>fué</w:t>
      </w:r>
      <w:proofErr w:type="spellEnd"/>
      <w:r w:rsidR="00436431" w:rsidRPr="1A782E34">
        <w:rPr>
          <w:sz w:val="28"/>
          <w:szCs w:val="28"/>
        </w:rPr>
        <w:t xml:space="preserve"> presentada el </w:t>
      </w:r>
      <w:r w:rsidR="007D22E3" w:rsidRPr="1A782E34">
        <w:rPr>
          <w:sz w:val="28"/>
          <w:szCs w:val="28"/>
        </w:rPr>
        <w:t>3 de agosto de 2020</w:t>
      </w:r>
      <w:r w:rsidR="00801BC9" w:rsidRPr="1A782E34">
        <w:rPr>
          <w:sz w:val="28"/>
          <w:szCs w:val="28"/>
        </w:rPr>
        <w:t xml:space="preserve"> </w:t>
      </w:r>
      <w:r w:rsidR="00AE5DD3" w:rsidRPr="1A782E34">
        <w:rPr>
          <w:sz w:val="28"/>
          <w:szCs w:val="28"/>
        </w:rPr>
        <w:t>(</w:t>
      </w:r>
      <w:r w:rsidR="000F06F9" w:rsidRPr="1A782E34">
        <w:rPr>
          <w:sz w:val="28"/>
          <w:szCs w:val="28"/>
        </w:rPr>
        <w:t>anexo 03</w:t>
      </w:r>
      <w:r w:rsidR="00AE5DD3" w:rsidRPr="1A782E34">
        <w:rPr>
          <w:sz w:val="28"/>
          <w:szCs w:val="28"/>
        </w:rPr>
        <w:t>),</w:t>
      </w:r>
      <w:r w:rsidR="00436431" w:rsidRPr="1A782E34">
        <w:rPr>
          <w:sz w:val="28"/>
          <w:szCs w:val="28"/>
        </w:rPr>
        <w:t xml:space="preserve"> </w:t>
      </w:r>
      <w:r w:rsidR="00047398" w:rsidRPr="1A782E34">
        <w:rPr>
          <w:sz w:val="28"/>
          <w:szCs w:val="28"/>
        </w:rPr>
        <w:t xml:space="preserve">correspondiendo por reparto para su conocimiento y trámite al Juzgado </w:t>
      </w:r>
      <w:r w:rsidR="000F06F9" w:rsidRPr="1A782E34">
        <w:rPr>
          <w:sz w:val="28"/>
          <w:szCs w:val="28"/>
        </w:rPr>
        <w:t>Primero</w:t>
      </w:r>
      <w:r w:rsidR="00801BC9" w:rsidRPr="1A782E34">
        <w:rPr>
          <w:sz w:val="28"/>
          <w:szCs w:val="28"/>
        </w:rPr>
        <w:t xml:space="preserve"> </w:t>
      </w:r>
      <w:r w:rsidR="00047398" w:rsidRPr="1A782E34">
        <w:rPr>
          <w:sz w:val="28"/>
          <w:szCs w:val="28"/>
        </w:rPr>
        <w:t xml:space="preserve">Administrativo de </w:t>
      </w:r>
      <w:r w:rsidR="000F06F9" w:rsidRPr="1A782E34">
        <w:rPr>
          <w:sz w:val="28"/>
          <w:szCs w:val="28"/>
        </w:rPr>
        <w:t xml:space="preserve">Tunja, mediante auto del 4 de septiembre de 2020 se rechazó la demanda por caducidad, el 1° de septiembre de 2020 la parte actora formuló recurso de apelación, concedido para ante esta corporación mediante auto del 5 de octubre de 2020, </w:t>
      </w:r>
      <w:r w:rsidR="00E83CC7" w:rsidRPr="1A782E34">
        <w:rPr>
          <w:sz w:val="28"/>
          <w:szCs w:val="28"/>
        </w:rPr>
        <w:t xml:space="preserve">para surtir el recurso, el proceso fue remitido electrónicamente </w:t>
      </w:r>
      <w:r w:rsidR="000F06F9" w:rsidRPr="1A782E34">
        <w:rPr>
          <w:sz w:val="28"/>
          <w:szCs w:val="28"/>
        </w:rPr>
        <w:t xml:space="preserve">por el </w:t>
      </w:r>
      <w:r w:rsidR="00E83CC7" w:rsidRPr="1A782E34">
        <w:rPr>
          <w:sz w:val="28"/>
          <w:szCs w:val="28"/>
        </w:rPr>
        <w:t xml:space="preserve">juzgado a la oficina de reparto de la DESAJ el </w:t>
      </w:r>
      <w:r w:rsidR="00E83CC7" w:rsidRPr="1A782E34">
        <w:rPr>
          <w:b/>
          <w:bCs/>
          <w:sz w:val="28"/>
          <w:szCs w:val="28"/>
        </w:rPr>
        <w:t>3 de junio del 2021</w:t>
      </w:r>
      <w:r w:rsidR="00E83CC7" w:rsidRPr="1A782E34">
        <w:rPr>
          <w:sz w:val="28"/>
          <w:szCs w:val="28"/>
        </w:rPr>
        <w:t xml:space="preserve">, y de ahí, remitido a esta corporación el </w:t>
      </w:r>
      <w:r w:rsidR="00E83CC7" w:rsidRPr="1A782E34">
        <w:rPr>
          <w:b/>
          <w:bCs/>
          <w:sz w:val="28"/>
          <w:szCs w:val="28"/>
        </w:rPr>
        <w:t xml:space="preserve">8 de junio de 2021 </w:t>
      </w:r>
      <w:r w:rsidR="00E83CC7" w:rsidRPr="1A782E34">
        <w:rPr>
          <w:sz w:val="28"/>
          <w:szCs w:val="28"/>
        </w:rPr>
        <w:t>(anexo 015).</w:t>
      </w:r>
    </w:p>
    <w:p w14:paraId="41080A71" w14:textId="77777777" w:rsidR="00E83CC7" w:rsidRPr="00D64568" w:rsidRDefault="00E83CC7" w:rsidP="00B0057D">
      <w:pPr>
        <w:spacing w:line="360" w:lineRule="auto"/>
        <w:jc w:val="both"/>
        <w:rPr>
          <w:sz w:val="28"/>
          <w:szCs w:val="28"/>
        </w:rPr>
      </w:pPr>
    </w:p>
    <w:p w14:paraId="6C8575AD" w14:textId="77777777" w:rsidR="009815C7" w:rsidRPr="009947EF" w:rsidRDefault="009815C7" w:rsidP="00B0057D">
      <w:pPr>
        <w:spacing w:line="360" w:lineRule="auto"/>
        <w:jc w:val="center"/>
        <w:rPr>
          <w:b/>
          <w:sz w:val="28"/>
          <w:szCs w:val="28"/>
        </w:rPr>
      </w:pPr>
      <w:r w:rsidRPr="009947EF">
        <w:rPr>
          <w:b/>
          <w:sz w:val="28"/>
          <w:szCs w:val="28"/>
        </w:rPr>
        <w:t>II. PROVIDENCIA APELADA</w:t>
      </w:r>
    </w:p>
    <w:p w14:paraId="57006BE0" w14:textId="77777777" w:rsidR="00E66100" w:rsidRPr="009947EF" w:rsidRDefault="00E66100" w:rsidP="00B0057D">
      <w:pPr>
        <w:spacing w:line="360" w:lineRule="auto"/>
        <w:ind w:left="360"/>
        <w:jc w:val="both"/>
        <w:rPr>
          <w:sz w:val="28"/>
          <w:szCs w:val="28"/>
        </w:rPr>
      </w:pPr>
    </w:p>
    <w:p w14:paraId="46375E4B" w14:textId="40DF5DA6" w:rsidR="0002397A" w:rsidRPr="009947EF" w:rsidRDefault="00002350" w:rsidP="00B0057D">
      <w:pPr>
        <w:spacing w:line="360" w:lineRule="auto"/>
        <w:jc w:val="both"/>
        <w:rPr>
          <w:sz w:val="28"/>
          <w:szCs w:val="28"/>
        </w:rPr>
      </w:pPr>
      <w:r w:rsidRPr="6160CCA4">
        <w:rPr>
          <w:sz w:val="28"/>
          <w:szCs w:val="28"/>
        </w:rPr>
        <w:t>Mediante providencia de</w:t>
      </w:r>
      <w:r w:rsidR="00047398" w:rsidRPr="6160CCA4">
        <w:rPr>
          <w:sz w:val="28"/>
          <w:szCs w:val="28"/>
        </w:rPr>
        <w:t xml:space="preserve">l </w:t>
      </w:r>
      <w:r w:rsidR="00E83CC7" w:rsidRPr="6160CCA4">
        <w:rPr>
          <w:sz w:val="28"/>
          <w:szCs w:val="28"/>
        </w:rPr>
        <w:t xml:space="preserve">4 de septiembre </w:t>
      </w:r>
      <w:r w:rsidRPr="6160CCA4">
        <w:rPr>
          <w:sz w:val="28"/>
          <w:szCs w:val="28"/>
        </w:rPr>
        <w:t>de 2020</w:t>
      </w:r>
      <w:r w:rsidR="00F63686" w:rsidRPr="6160CCA4">
        <w:rPr>
          <w:sz w:val="28"/>
          <w:szCs w:val="28"/>
        </w:rPr>
        <w:t>, el</w:t>
      </w:r>
      <w:r w:rsidR="00047398" w:rsidRPr="6160CCA4">
        <w:rPr>
          <w:sz w:val="28"/>
          <w:szCs w:val="28"/>
        </w:rPr>
        <w:t xml:space="preserve"> juez de instancia rechazó </w:t>
      </w:r>
      <w:r w:rsidRPr="6160CCA4">
        <w:rPr>
          <w:sz w:val="28"/>
          <w:szCs w:val="28"/>
        </w:rPr>
        <w:t xml:space="preserve">la </w:t>
      </w:r>
      <w:r w:rsidR="00047398" w:rsidRPr="6160CCA4">
        <w:rPr>
          <w:sz w:val="28"/>
          <w:szCs w:val="28"/>
        </w:rPr>
        <w:t>demanda al considerar que operó el fenómeno de la caducidad del medio de control, y sustentó su decisión de la siguiente forma:</w:t>
      </w:r>
    </w:p>
    <w:p w14:paraId="55294EFE" w14:textId="77777777" w:rsidR="00002350" w:rsidRPr="009947EF" w:rsidRDefault="00002350" w:rsidP="00B0057D">
      <w:pPr>
        <w:spacing w:line="360" w:lineRule="auto"/>
        <w:jc w:val="both"/>
        <w:rPr>
          <w:sz w:val="28"/>
          <w:szCs w:val="28"/>
        </w:rPr>
      </w:pPr>
    </w:p>
    <w:p w14:paraId="2CC847C2" w14:textId="65AC1E66" w:rsidR="00002350" w:rsidRPr="002C1F2F" w:rsidRDefault="00002350" w:rsidP="6160CCA4">
      <w:pPr>
        <w:spacing w:line="360" w:lineRule="auto"/>
        <w:jc w:val="both"/>
        <w:rPr>
          <w:b/>
          <w:bCs/>
          <w:sz w:val="28"/>
          <w:szCs w:val="28"/>
          <w:highlight w:val="cyan"/>
        </w:rPr>
      </w:pPr>
      <w:r w:rsidRPr="1A782E34">
        <w:rPr>
          <w:sz w:val="28"/>
          <w:szCs w:val="28"/>
        </w:rPr>
        <w:t xml:space="preserve">Arguye que la parte actora pretende se tome como fecha a partir de la cual se compute el </w:t>
      </w:r>
      <w:r w:rsidR="008E0BEE" w:rsidRPr="1A782E34">
        <w:rPr>
          <w:sz w:val="28"/>
          <w:szCs w:val="28"/>
        </w:rPr>
        <w:t>término</w:t>
      </w:r>
      <w:r w:rsidRPr="1A782E34">
        <w:rPr>
          <w:sz w:val="28"/>
          <w:szCs w:val="28"/>
        </w:rPr>
        <w:t xml:space="preserve"> de </w:t>
      </w:r>
      <w:r w:rsidR="008E0BEE" w:rsidRPr="1A782E34">
        <w:rPr>
          <w:sz w:val="28"/>
          <w:szCs w:val="28"/>
        </w:rPr>
        <w:t>caducidad</w:t>
      </w:r>
      <w:r w:rsidRPr="1A782E34">
        <w:rPr>
          <w:sz w:val="28"/>
          <w:szCs w:val="28"/>
        </w:rPr>
        <w:t xml:space="preserve"> el </w:t>
      </w:r>
      <w:r w:rsidRPr="1A782E34">
        <w:rPr>
          <w:b/>
          <w:bCs/>
          <w:sz w:val="28"/>
          <w:szCs w:val="28"/>
        </w:rPr>
        <w:t>29 de abril de 2018,</w:t>
      </w:r>
      <w:r w:rsidRPr="1A782E34">
        <w:rPr>
          <w:sz w:val="28"/>
          <w:szCs w:val="28"/>
        </w:rPr>
        <w:t xml:space="preserve"> por ser el día en el que fueron entregados los resultados de la patología</w:t>
      </w:r>
      <w:r w:rsidR="00663B25" w:rsidRPr="1A782E34">
        <w:rPr>
          <w:sz w:val="28"/>
          <w:szCs w:val="28"/>
        </w:rPr>
        <w:t xml:space="preserve">, pero que conforme los hechos de los cuales se deriva la demanda, </w:t>
      </w:r>
      <w:r w:rsidR="00663B25" w:rsidRPr="1A782E34">
        <w:rPr>
          <w:b/>
          <w:bCs/>
          <w:sz w:val="28"/>
          <w:szCs w:val="28"/>
        </w:rPr>
        <w:t xml:space="preserve">fueron anteriores al 20 de marzo de 2018, </w:t>
      </w:r>
      <w:r w:rsidR="00663B25" w:rsidRPr="1A782E34">
        <w:rPr>
          <w:sz w:val="28"/>
          <w:szCs w:val="28"/>
        </w:rPr>
        <w:t xml:space="preserve">de ahí, que para efectos de la caducidad debe tenerse en cuenta </w:t>
      </w:r>
      <w:r w:rsidR="00663B25" w:rsidRPr="1A782E34">
        <w:rPr>
          <w:b/>
          <w:bCs/>
          <w:sz w:val="28"/>
          <w:szCs w:val="28"/>
        </w:rPr>
        <w:t xml:space="preserve">el día siguiente a la muerte del señor </w:t>
      </w:r>
      <w:r w:rsidR="009B28A4" w:rsidRPr="1A782E34">
        <w:rPr>
          <w:b/>
          <w:bCs/>
          <w:sz w:val="28"/>
          <w:szCs w:val="28"/>
        </w:rPr>
        <w:t>Jeffer Arley Guerrero Daza</w:t>
      </w:r>
      <w:r w:rsidR="00663B25" w:rsidRPr="1A782E34">
        <w:rPr>
          <w:b/>
          <w:bCs/>
          <w:sz w:val="28"/>
          <w:szCs w:val="28"/>
        </w:rPr>
        <w:t>, esto es, el 21 de marzo de 2018.</w:t>
      </w:r>
    </w:p>
    <w:p w14:paraId="0FE532C8" w14:textId="66D9D767" w:rsidR="00663B25" w:rsidRPr="002C1F2F" w:rsidRDefault="00663B25" w:rsidP="00B0057D">
      <w:pPr>
        <w:spacing w:line="360" w:lineRule="auto"/>
        <w:jc w:val="both"/>
        <w:rPr>
          <w:sz w:val="28"/>
          <w:szCs w:val="28"/>
        </w:rPr>
      </w:pPr>
    </w:p>
    <w:p w14:paraId="4E2985D3" w14:textId="11099783" w:rsidR="00663B25" w:rsidRPr="002C1F2F" w:rsidRDefault="00663B25" w:rsidP="00B0057D">
      <w:pPr>
        <w:spacing w:line="360" w:lineRule="auto"/>
        <w:jc w:val="both"/>
        <w:rPr>
          <w:sz w:val="28"/>
          <w:szCs w:val="28"/>
        </w:rPr>
      </w:pPr>
      <w:r w:rsidRPr="002C1F2F">
        <w:rPr>
          <w:sz w:val="28"/>
          <w:szCs w:val="28"/>
        </w:rPr>
        <w:t xml:space="preserve">Dice que no puede entenderse que la fecha en que los demandantes conocieron los resultados del estudio de patología, sea la fecha que pueda </w:t>
      </w:r>
      <w:r w:rsidR="00AD3386" w:rsidRPr="002C1F2F">
        <w:rPr>
          <w:sz w:val="28"/>
          <w:szCs w:val="28"/>
        </w:rPr>
        <w:t>tomarse</w:t>
      </w:r>
      <w:r w:rsidRPr="002C1F2F">
        <w:rPr>
          <w:sz w:val="28"/>
          <w:szCs w:val="28"/>
        </w:rPr>
        <w:t xml:space="preserve"> como existencia o manifestación fáctica del daño para </w:t>
      </w:r>
      <w:r w:rsidR="00AD3386" w:rsidRPr="002C1F2F">
        <w:rPr>
          <w:sz w:val="28"/>
          <w:szCs w:val="28"/>
        </w:rPr>
        <w:t xml:space="preserve">computar </w:t>
      </w:r>
      <w:r w:rsidRPr="002C1F2F">
        <w:rPr>
          <w:sz w:val="28"/>
          <w:szCs w:val="28"/>
        </w:rPr>
        <w:t>el término de caducidad, como quiera que el daño alegado no es de tracto sucesivo, sino instantáneo.</w:t>
      </w:r>
    </w:p>
    <w:p w14:paraId="38063FDE" w14:textId="62CCF695" w:rsidR="002C1F2F" w:rsidRPr="002C1F2F" w:rsidRDefault="002C1F2F" w:rsidP="00B0057D">
      <w:pPr>
        <w:spacing w:line="360" w:lineRule="auto"/>
        <w:jc w:val="both"/>
        <w:rPr>
          <w:sz w:val="28"/>
          <w:szCs w:val="28"/>
        </w:rPr>
      </w:pPr>
    </w:p>
    <w:p w14:paraId="41AF2D9F" w14:textId="7CF62F21" w:rsidR="002C1F2F" w:rsidRPr="002C1F2F" w:rsidRDefault="002C1F2F" w:rsidP="002C1F2F">
      <w:pPr>
        <w:spacing w:line="360" w:lineRule="auto"/>
        <w:jc w:val="both"/>
        <w:rPr>
          <w:sz w:val="28"/>
          <w:szCs w:val="28"/>
        </w:rPr>
      </w:pPr>
      <w:r w:rsidRPr="1A782E34">
        <w:rPr>
          <w:sz w:val="28"/>
          <w:szCs w:val="28"/>
        </w:rPr>
        <w:t>Refiere que el daño que hoy se reclama se consolidó el 20 de marzo de 2018, y que para el 3 de agosto de 2020 ya se encontraba configurada la caducidad de la acción puesto que habían transcurrido más de dos años desde que se generó el daño deprecado.</w:t>
      </w:r>
    </w:p>
    <w:p w14:paraId="2F6C2EF2" w14:textId="77777777" w:rsidR="002C1F2F" w:rsidRPr="002C1F2F" w:rsidRDefault="002C1F2F" w:rsidP="00B0057D">
      <w:pPr>
        <w:spacing w:line="360" w:lineRule="auto"/>
        <w:jc w:val="both"/>
        <w:rPr>
          <w:sz w:val="28"/>
          <w:szCs w:val="28"/>
        </w:rPr>
      </w:pPr>
    </w:p>
    <w:p w14:paraId="7323795B" w14:textId="36E7AA24" w:rsidR="002C1F2F" w:rsidRPr="005D2690" w:rsidRDefault="002C1F2F" w:rsidP="00B0057D">
      <w:pPr>
        <w:spacing w:line="360" w:lineRule="auto"/>
        <w:jc w:val="both"/>
        <w:rPr>
          <w:sz w:val="28"/>
          <w:szCs w:val="28"/>
        </w:rPr>
      </w:pPr>
      <w:r w:rsidRPr="1A782E34">
        <w:rPr>
          <w:sz w:val="28"/>
          <w:szCs w:val="28"/>
        </w:rPr>
        <w:t>Que en principio el término de caducidad vencería el 21 de marzo de 2020, pero que</w:t>
      </w:r>
      <w:r w:rsidRPr="1A782E34">
        <w:rPr>
          <w:b/>
          <w:bCs/>
          <w:sz w:val="28"/>
          <w:szCs w:val="28"/>
        </w:rPr>
        <w:t xml:space="preserve"> entre el 16 de marzo y el 30 de junio de 2020 los términos estaban suspendidos por la emergencia sanitaria,</w:t>
      </w:r>
      <w:r w:rsidRPr="1A782E34">
        <w:rPr>
          <w:sz w:val="28"/>
          <w:szCs w:val="28"/>
        </w:rPr>
        <w:t xml:space="preserve"> por lo que a la parte actora le restaban 5 días para la presentación de la demanda ante esta jurisdicción, término que no se suspendió con ocasión al agotamiento del requisito de </w:t>
      </w:r>
      <w:r w:rsidRPr="1A782E34">
        <w:rPr>
          <w:sz w:val="28"/>
          <w:szCs w:val="28"/>
        </w:rPr>
        <w:lastRenderedPageBreak/>
        <w:t>procedibilidad de la conciliación prejudicial, pues dicho trámite se surtió entre el 17 de marzo y el 26 de mayo de este año.</w:t>
      </w:r>
    </w:p>
    <w:p w14:paraId="6FD5BC7A" w14:textId="75AC8E73" w:rsidR="002C1F2F" w:rsidRPr="005D2690" w:rsidRDefault="002C1F2F" w:rsidP="00B0057D">
      <w:pPr>
        <w:spacing w:line="360" w:lineRule="auto"/>
        <w:jc w:val="both"/>
        <w:rPr>
          <w:sz w:val="28"/>
          <w:szCs w:val="28"/>
        </w:rPr>
      </w:pPr>
    </w:p>
    <w:p w14:paraId="6C1CACDC" w14:textId="49674D76" w:rsidR="002C1F2F" w:rsidRPr="005D2690" w:rsidRDefault="002C1F2F" w:rsidP="00B0057D">
      <w:pPr>
        <w:spacing w:line="360" w:lineRule="auto"/>
        <w:jc w:val="both"/>
        <w:rPr>
          <w:sz w:val="28"/>
          <w:szCs w:val="28"/>
        </w:rPr>
      </w:pPr>
      <w:r w:rsidRPr="005D2690">
        <w:rPr>
          <w:sz w:val="28"/>
          <w:szCs w:val="28"/>
        </w:rPr>
        <w:t>Que, por ello, la parte actora tenía hasta el 7 de julio de 2020 para presentar la demanda de la referencia y dado que esta situación ocurrió el 3 de agosto de 2020, es claro que el término de dos años se encontraba fenecido.</w:t>
      </w:r>
    </w:p>
    <w:p w14:paraId="2D157D7E" w14:textId="7E2A2C72" w:rsidR="00013F8A" w:rsidRPr="005D2690" w:rsidRDefault="00013F8A" w:rsidP="00B0057D">
      <w:pPr>
        <w:spacing w:line="360" w:lineRule="auto"/>
        <w:jc w:val="both"/>
        <w:rPr>
          <w:sz w:val="28"/>
          <w:szCs w:val="28"/>
        </w:rPr>
      </w:pPr>
    </w:p>
    <w:p w14:paraId="2C7C18DA" w14:textId="77777777" w:rsidR="002C1E8D" w:rsidRPr="005D2690" w:rsidRDefault="002C1E8D" w:rsidP="00D76837">
      <w:pPr>
        <w:spacing w:line="360" w:lineRule="auto"/>
        <w:jc w:val="center"/>
        <w:rPr>
          <w:b/>
          <w:sz w:val="28"/>
          <w:szCs w:val="28"/>
        </w:rPr>
      </w:pPr>
      <w:r w:rsidRPr="005D2690">
        <w:rPr>
          <w:b/>
          <w:sz w:val="28"/>
          <w:szCs w:val="28"/>
        </w:rPr>
        <w:t>II</w:t>
      </w:r>
      <w:r w:rsidR="009815C7" w:rsidRPr="005D2690">
        <w:rPr>
          <w:b/>
          <w:sz w:val="28"/>
          <w:szCs w:val="28"/>
        </w:rPr>
        <w:t>I</w:t>
      </w:r>
      <w:r w:rsidRPr="005D2690">
        <w:rPr>
          <w:b/>
          <w:sz w:val="28"/>
          <w:szCs w:val="28"/>
        </w:rPr>
        <w:t>. RECURSO DE APELACIÓN</w:t>
      </w:r>
    </w:p>
    <w:p w14:paraId="2FD22103" w14:textId="77777777" w:rsidR="002C1E8D" w:rsidRPr="005D2690" w:rsidRDefault="002C1E8D" w:rsidP="00D76837">
      <w:pPr>
        <w:spacing w:line="360" w:lineRule="auto"/>
        <w:rPr>
          <w:sz w:val="28"/>
          <w:szCs w:val="28"/>
        </w:rPr>
      </w:pPr>
    </w:p>
    <w:p w14:paraId="2B494450" w14:textId="77777777" w:rsidR="00CB4E6D" w:rsidRPr="005D2690" w:rsidRDefault="002C1E8D" w:rsidP="004D5E25">
      <w:pPr>
        <w:spacing w:line="360" w:lineRule="auto"/>
        <w:jc w:val="both"/>
        <w:rPr>
          <w:sz w:val="28"/>
          <w:szCs w:val="28"/>
        </w:rPr>
      </w:pPr>
      <w:r w:rsidRPr="005D2690">
        <w:rPr>
          <w:sz w:val="28"/>
          <w:szCs w:val="28"/>
        </w:rPr>
        <w:t>Inconfo</w:t>
      </w:r>
      <w:r w:rsidR="006410C7" w:rsidRPr="005D2690">
        <w:rPr>
          <w:sz w:val="28"/>
          <w:szCs w:val="28"/>
        </w:rPr>
        <w:t>rme con la decisión</w:t>
      </w:r>
      <w:r w:rsidR="00F82CAE" w:rsidRPr="005D2690">
        <w:rPr>
          <w:sz w:val="28"/>
          <w:szCs w:val="28"/>
        </w:rPr>
        <w:t>,</w:t>
      </w:r>
      <w:r w:rsidR="006410C7" w:rsidRPr="005D2690">
        <w:rPr>
          <w:sz w:val="28"/>
          <w:szCs w:val="28"/>
        </w:rPr>
        <w:t xml:space="preserve"> </w:t>
      </w:r>
      <w:r w:rsidR="00D76837" w:rsidRPr="005D2690">
        <w:rPr>
          <w:sz w:val="28"/>
          <w:szCs w:val="28"/>
        </w:rPr>
        <w:t>l</w:t>
      </w:r>
      <w:r w:rsidR="00B0057D" w:rsidRPr="005D2690">
        <w:rPr>
          <w:sz w:val="28"/>
          <w:szCs w:val="28"/>
        </w:rPr>
        <w:t>a</w:t>
      </w:r>
      <w:r w:rsidRPr="005D2690">
        <w:rPr>
          <w:sz w:val="28"/>
          <w:szCs w:val="28"/>
        </w:rPr>
        <w:t xml:space="preserve"> apoderad</w:t>
      </w:r>
      <w:r w:rsidR="00B0057D" w:rsidRPr="005D2690">
        <w:rPr>
          <w:sz w:val="28"/>
          <w:szCs w:val="28"/>
        </w:rPr>
        <w:t>a</w:t>
      </w:r>
      <w:r w:rsidR="00D76837" w:rsidRPr="005D2690">
        <w:rPr>
          <w:sz w:val="28"/>
          <w:szCs w:val="28"/>
        </w:rPr>
        <w:t xml:space="preserve"> </w:t>
      </w:r>
      <w:r w:rsidRPr="005D2690">
        <w:rPr>
          <w:sz w:val="28"/>
          <w:szCs w:val="28"/>
        </w:rPr>
        <w:t>de la parte actora interpuso y s</w:t>
      </w:r>
      <w:r w:rsidR="00C82836" w:rsidRPr="005D2690">
        <w:rPr>
          <w:sz w:val="28"/>
          <w:szCs w:val="28"/>
        </w:rPr>
        <w:t xml:space="preserve">ustentó el recurso de apelación contra la providencia de rechazo, al </w:t>
      </w:r>
      <w:r w:rsidR="00137B1C" w:rsidRPr="005D2690">
        <w:rPr>
          <w:sz w:val="28"/>
          <w:szCs w:val="28"/>
        </w:rPr>
        <w:t xml:space="preserve">no compartir los argumentos del a quo respecto de que ha operado el fenómeno jurídico de la caducidad, </w:t>
      </w:r>
      <w:r w:rsidR="00C82836" w:rsidRPr="005D2690">
        <w:rPr>
          <w:sz w:val="28"/>
          <w:szCs w:val="28"/>
        </w:rPr>
        <w:t>el cual fundamentó así:</w:t>
      </w:r>
    </w:p>
    <w:p w14:paraId="34CE6AD5" w14:textId="77777777" w:rsidR="00C82836" w:rsidRPr="005D2690" w:rsidRDefault="00C82836" w:rsidP="004D5E25">
      <w:pPr>
        <w:spacing w:line="360" w:lineRule="auto"/>
        <w:jc w:val="both"/>
        <w:rPr>
          <w:sz w:val="28"/>
          <w:szCs w:val="28"/>
        </w:rPr>
      </w:pPr>
    </w:p>
    <w:p w14:paraId="6D27B05F" w14:textId="518FC89A" w:rsidR="005D2690" w:rsidRPr="005D2690" w:rsidRDefault="004D5E25" w:rsidP="004D5E25">
      <w:pPr>
        <w:spacing w:line="360" w:lineRule="auto"/>
        <w:jc w:val="both"/>
        <w:rPr>
          <w:sz w:val="28"/>
          <w:szCs w:val="28"/>
        </w:rPr>
      </w:pPr>
      <w:r w:rsidRPr="489ED13A">
        <w:rPr>
          <w:sz w:val="28"/>
          <w:szCs w:val="28"/>
        </w:rPr>
        <w:t xml:space="preserve">Dice que el </w:t>
      </w:r>
      <w:r w:rsidR="002C1F2F" w:rsidRPr="489ED13A">
        <w:rPr>
          <w:sz w:val="28"/>
          <w:szCs w:val="28"/>
        </w:rPr>
        <w:t xml:space="preserve">11 de marzo de 2020, la OMS </w:t>
      </w:r>
      <w:r w:rsidR="005D2690" w:rsidRPr="489ED13A">
        <w:rPr>
          <w:sz w:val="28"/>
          <w:szCs w:val="28"/>
        </w:rPr>
        <w:t>declaró</w:t>
      </w:r>
      <w:r w:rsidR="002C1F2F" w:rsidRPr="489ED13A">
        <w:rPr>
          <w:sz w:val="28"/>
          <w:szCs w:val="28"/>
        </w:rPr>
        <w:t xml:space="preserve"> el brote de </w:t>
      </w:r>
      <w:r w:rsidR="005D2690" w:rsidRPr="489ED13A">
        <w:rPr>
          <w:sz w:val="28"/>
          <w:szCs w:val="28"/>
        </w:rPr>
        <w:t xml:space="preserve">coronavirus, por lo que mediante Resolución 385 del 12 de marzo de 2020 se declaró el estado de emergencia sanitaria </w:t>
      </w:r>
      <w:r w:rsidR="005D2690" w:rsidRPr="489ED13A">
        <w:rPr>
          <w:b/>
          <w:bCs/>
          <w:sz w:val="28"/>
          <w:szCs w:val="28"/>
        </w:rPr>
        <w:t xml:space="preserve">hasta el 30 de mayo de 2020. </w:t>
      </w:r>
    </w:p>
    <w:p w14:paraId="2798A368" w14:textId="25C19577" w:rsidR="005D2690" w:rsidRPr="005D2690" w:rsidRDefault="005D2690" w:rsidP="004D5E25">
      <w:pPr>
        <w:spacing w:line="360" w:lineRule="auto"/>
        <w:jc w:val="both"/>
        <w:rPr>
          <w:sz w:val="28"/>
          <w:szCs w:val="28"/>
        </w:rPr>
      </w:pPr>
    </w:p>
    <w:p w14:paraId="0E8FB10D" w14:textId="6CD9282B" w:rsidR="005D2690" w:rsidRPr="005D2690" w:rsidRDefault="005D2690" w:rsidP="004D5E25">
      <w:pPr>
        <w:spacing w:line="360" w:lineRule="auto"/>
        <w:jc w:val="both"/>
        <w:rPr>
          <w:sz w:val="28"/>
          <w:szCs w:val="28"/>
        </w:rPr>
      </w:pPr>
      <w:r w:rsidRPr="1A782E34">
        <w:rPr>
          <w:sz w:val="28"/>
          <w:szCs w:val="28"/>
        </w:rPr>
        <w:t>Que mediante Decreto 564 del 15 de abril de 2020 el gobierno nacional decretó la suspensión de términos de prescripción y caducidad, y que en el inciso 2 del artículo 1º señaló: “</w:t>
      </w:r>
      <w:r w:rsidRPr="1A782E34">
        <w:rPr>
          <w:i/>
          <w:iCs/>
          <w:sz w:val="28"/>
          <w:szCs w:val="28"/>
        </w:rPr>
        <w:t>el plazo que restaba para interrumpir prescripción o inoperante la caducidad era inferior a treinta (30) días, interesado tendrá un mes contado a partir del día siguiente al levantamiento de la suspensión, para realizar oportunamente la actuación correspondiente</w:t>
      </w:r>
      <w:r w:rsidRPr="1A782E34">
        <w:rPr>
          <w:sz w:val="28"/>
          <w:szCs w:val="28"/>
        </w:rPr>
        <w:t>”.</w:t>
      </w:r>
    </w:p>
    <w:p w14:paraId="61E6EDD5" w14:textId="733EFA17" w:rsidR="005D2690" w:rsidRPr="005D2690" w:rsidRDefault="005D2690" w:rsidP="004D5E25">
      <w:pPr>
        <w:spacing w:line="360" w:lineRule="auto"/>
        <w:jc w:val="both"/>
        <w:rPr>
          <w:sz w:val="28"/>
          <w:szCs w:val="28"/>
        </w:rPr>
      </w:pPr>
    </w:p>
    <w:p w14:paraId="435988A7" w14:textId="36DACDD7" w:rsidR="005D2690" w:rsidRPr="005D2690" w:rsidRDefault="005D2690" w:rsidP="1A782E34">
      <w:pPr>
        <w:spacing w:line="360" w:lineRule="auto"/>
        <w:jc w:val="both"/>
        <w:rPr>
          <w:sz w:val="28"/>
          <w:szCs w:val="28"/>
        </w:rPr>
      </w:pPr>
      <w:r w:rsidRPr="1A782E34">
        <w:rPr>
          <w:sz w:val="28"/>
          <w:szCs w:val="28"/>
        </w:rPr>
        <w:t xml:space="preserve">Así, señaló que el término con el que contaba para presentar la demanda comenzó a correr a partir del 1º de julio de 2020, que a partir de esa fecha contaba con el término de un mes para radicar la demanda, y que dado que el 31 de julio de 2020 la remitió al correo </w:t>
      </w:r>
      <w:hyperlink r:id="rId13">
        <w:r w:rsidRPr="1A782E34">
          <w:rPr>
            <w:rStyle w:val="Hipervnculo"/>
            <w:color w:val="auto"/>
            <w:sz w:val="28"/>
            <w:szCs w:val="28"/>
          </w:rPr>
          <w:t>ofrepjadmintun@cendoj.ramajudicial.gov.co</w:t>
        </w:r>
      </w:hyperlink>
      <w:r w:rsidRPr="1A782E34">
        <w:rPr>
          <w:sz w:val="28"/>
          <w:szCs w:val="28"/>
        </w:rPr>
        <w:t>, lo hizo dentro del término.</w:t>
      </w:r>
    </w:p>
    <w:p w14:paraId="0B888160" w14:textId="77777777" w:rsidR="005D2690" w:rsidRPr="005D2690" w:rsidRDefault="005D2690" w:rsidP="004D5E25">
      <w:pPr>
        <w:spacing w:line="360" w:lineRule="auto"/>
        <w:jc w:val="both"/>
        <w:rPr>
          <w:sz w:val="28"/>
          <w:szCs w:val="28"/>
        </w:rPr>
      </w:pPr>
    </w:p>
    <w:p w14:paraId="4F3D6B45" w14:textId="378639E2" w:rsidR="005D2690" w:rsidRDefault="005D2690" w:rsidP="489ED13A">
      <w:pPr>
        <w:spacing w:line="360" w:lineRule="auto"/>
        <w:jc w:val="both"/>
        <w:rPr>
          <w:sz w:val="28"/>
          <w:szCs w:val="28"/>
        </w:rPr>
      </w:pPr>
      <w:r w:rsidRPr="489ED13A">
        <w:rPr>
          <w:sz w:val="28"/>
          <w:szCs w:val="28"/>
        </w:rPr>
        <w:lastRenderedPageBreak/>
        <w:t>Que por seguridad jurídica reenvió el correo el 3 de agosto de 2020 fecha en la cual se contaba con el término para radicar la demanda, y que teniendo en cuenta el Decreto 564 del 15 de abril de 2020, a la fecha de radicación del medio de control aún se contaba con término para radicar la acción legal, que pretende la reparación del daño.</w:t>
      </w:r>
    </w:p>
    <w:p w14:paraId="49193BC3" w14:textId="77777777" w:rsidR="005D2690" w:rsidRDefault="005D2690" w:rsidP="003A4B2F">
      <w:pPr>
        <w:spacing w:line="360" w:lineRule="auto"/>
        <w:ind w:left="360"/>
        <w:jc w:val="center"/>
        <w:rPr>
          <w:b/>
          <w:bCs/>
          <w:sz w:val="28"/>
          <w:szCs w:val="28"/>
        </w:rPr>
      </w:pPr>
    </w:p>
    <w:p w14:paraId="6227A14A" w14:textId="0249178D" w:rsidR="002C1E8D" w:rsidRPr="00D64568" w:rsidRDefault="006F6270" w:rsidP="003A4B2F">
      <w:pPr>
        <w:spacing w:line="360" w:lineRule="auto"/>
        <w:ind w:left="360"/>
        <w:jc w:val="center"/>
        <w:rPr>
          <w:b/>
          <w:bCs/>
          <w:sz w:val="28"/>
          <w:szCs w:val="28"/>
        </w:rPr>
      </w:pPr>
      <w:r w:rsidRPr="00D64568">
        <w:rPr>
          <w:b/>
          <w:bCs/>
          <w:sz w:val="28"/>
          <w:szCs w:val="28"/>
        </w:rPr>
        <w:t>I</w:t>
      </w:r>
      <w:r w:rsidR="002958E6" w:rsidRPr="00D64568">
        <w:rPr>
          <w:b/>
          <w:bCs/>
          <w:sz w:val="28"/>
          <w:szCs w:val="28"/>
        </w:rPr>
        <w:t xml:space="preserve">V. </w:t>
      </w:r>
      <w:r w:rsidR="002C1E8D" w:rsidRPr="00D64568">
        <w:rPr>
          <w:b/>
          <w:bCs/>
          <w:sz w:val="28"/>
          <w:szCs w:val="28"/>
        </w:rPr>
        <w:t>CONSIDERACIONES</w:t>
      </w:r>
    </w:p>
    <w:p w14:paraId="256389F9" w14:textId="77777777" w:rsidR="002C1E8D" w:rsidRPr="00D64568" w:rsidRDefault="002C1E8D" w:rsidP="003A4B2F">
      <w:pPr>
        <w:spacing w:line="360" w:lineRule="auto"/>
        <w:rPr>
          <w:b/>
          <w:sz w:val="28"/>
          <w:szCs w:val="28"/>
        </w:rPr>
      </w:pPr>
    </w:p>
    <w:p w14:paraId="76B0DE96" w14:textId="77777777" w:rsidR="00BA5342" w:rsidRPr="00D64568" w:rsidRDefault="00BA5342" w:rsidP="003A4B2F">
      <w:pPr>
        <w:spacing w:line="360" w:lineRule="auto"/>
        <w:jc w:val="both"/>
        <w:rPr>
          <w:b/>
          <w:sz w:val="28"/>
          <w:szCs w:val="28"/>
        </w:rPr>
      </w:pPr>
      <w:r w:rsidRPr="00D64568">
        <w:rPr>
          <w:b/>
          <w:sz w:val="28"/>
          <w:szCs w:val="28"/>
        </w:rPr>
        <w:t xml:space="preserve">1. Competencia </w:t>
      </w:r>
    </w:p>
    <w:p w14:paraId="7A58051E" w14:textId="77777777" w:rsidR="00BA5342" w:rsidRPr="00D64568" w:rsidRDefault="00BA5342" w:rsidP="003A4B2F">
      <w:pPr>
        <w:spacing w:line="360" w:lineRule="auto"/>
        <w:jc w:val="both"/>
        <w:rPr>
          <w:b/>
          <w:sz w:val="28"/>
          <w:szCs w:val="28"/>
        </w:rPr>
      </w:pPr>
    </w:p>
    <w:p w14:paraId="31C96DC7" w14:textId="77777777" w:rsidR="00D30E75" w:rsidRDefault="00D30E75" w:rsidP="00D30E75">
      <w:pPr>
        <w:spacing w:line="360" w:lineRule="auto"/>
        <w:jc w:val="both"/>
        <w:rPr>
          <w:sz w:val="28"/>
          <w:szCs w:val="28"/>
        </w:rPr>
      </w:pPr>
      <w:r>
        <w:rPr>
          <w:sz w:val="28"/>
          <w:szCs w:val="28"/>
        </w:rPr>
        <w:t xml:space="preserve">Se ocupa esta Corporación </w:t>
      </w:r>
      <w:r w:rsidRPr="00AD1BDA">
        <w:rPr>
          <w:sz w:val="28"/>
          <w:szCs w:val="28"/>
        </w:rPr>
        <w:t>de resolver el recurso de apelación interpuesto por la parte demandante en contra de la decisión de</w:t>
      </w:r>
      <w:r>
        <w:rPr>
          <w:sz w:val="28"/>
          <w:szCs w:val="28"/>
        </w:rPr>
        <w:t>l a quo de</w:t>
      </w:r>
      <w:r w:rsidRPr="00AD1BDA">
        <w:rPr>
          <w:sz w:val="28"/>
          <w:szCs w:val="28"/>
        </w:rPr>
        <w:t xml:space="preserve"> </w:t>
      </w:r>
      <w:r>
        <w:rPr>
          <w:sz w:val="28"/>
          <w:szCs w:val="28"/>
        </w:rPr>
        <w:t>rechazar la presente demanda al considerar que el asunto no se demandó dentro de la oportunidad contemplada en el CPACA.</w:t>
      </w:r>
    </w:p>
    <w:p w14:paraId="6C6415EC" w14:textId="1941150D" w:rsidR="00D30E75" w:rsidRPr="00F03EFB" w:rsidRDefault="00D30E75" w:rsidP="6160CCA4">
      <w:pPr>
        <w:spacing w:line="360" w:lineRule="auto"/>
        <w:jc w:val="both"/>
        <w:rPr>
          <w:b/>
          <w:bCs/>
          <w:sz w:val="28"/>
          <w:szCs w:val="28"/>
        </w:rPr>
      </w:pPr>
    </w:p>
    <w:p w14:paraId="56A9E54F" w14:textId="69BF3E64" w:rsidR="00D30E75" w:rsidRDefault="6160CCA4" w:rsidP="6160CCA4">
      <w:pPr>
        <w:spacing w:line="360" w:lineRule="auto"/>
        <w:jc w:val="both"/>
        <w:rPr>
          <w:b/>
          <w:bCs/>
          <w:sz w:val="28"/>
          <w:szCs w:val="28"/>
        </w:rPr>
      </w:pPr>
      <w:r w:rsidRPr="6160CCA4">
        <w:rPr>
          <w:b/>
          <w:bCs/>
          <w:sz w:val="28"/>
          <w:szCs w:val="28"/>
        </w:rPr>
        <w:t xml:space="preserve">2. Procedencia del recurso </w:t>
      </w:r>
    </w:p>
    <w:p w14:paraId="10DAB150" w14:textId="29F21012" w:rsidR="6160CCA4" w:rsidRDefault="6160CCA4" w:rsidP="6160CCA4">
      <w:pPr>
        <w:spacing w:line="360" w:lineRule="auto"/>
        <w:jc w:val="both"/>
        <w:rPr>
          <w:sz w:val="28"/>
          <w:szCs w:val="28"/>
        </w:rPr>
      </w:pPr>
    </w:p>
    <w:p w14:paraId="4ECEFB2A" w14:textId="77777777" w:rsidR="00D30E75" w:rsidRPr="00393816" w:rsidRDefault="00D30E75" w:rsidP="00D30E75">
      <w:pPr>
        <w:spacing w:line="360" w:lineRule="auto"/>
        <w:jc w:val="both"/>
        <w:rPr>
          <w:sz w:val="28"/>
          <w:szCs w:val="28"/>
        </w:rPr>
      </w:pPr>
      <w:r w:rsidRPr="00393816">
        <w:rPr>
          <w:sz w:val="28"/>
          <w:szCs w:val="28"/>
        </w:rPr>
        <w:t>Se tiene, entonces, que en el caso que</w:t>
      </w:r>
      <w:r>
        <w:rPr>
          <w:sz w:val="28"/>
          <w:szCs w:val="28"/>
        </w:rPr>
        <w:t xml:space="preserve"> </w:t>
      </w:r>
      <w:r w:rsidRPr="00393816">
        <w:rPr>
          <w:sz w:val="28"/>
          <w:szCs w:val="28"/>
        </w:rPr>
        <w:t>ocupa</w:t>
      </w:r>
      <w:r>
        <w:rPr>
          <w:sz w:val="28"/>
          <w:szCs w:val="28"/>
        </w:rPr>
        <w:t xml:space="preserve"> la atención de la Sala</w:t>
      </w:r>
      <w:r w:rsidRPr="00393816">
        <w:rPr>
          <w:sz w:val="28"/>
          <w:szCs w:val="28"/>
        </w:rPr>
        <w:t xml:space="preserve"> se trata de </w:t>
      </w:r>
      <w:r>
        <w:rPr>
          <w:sz w:val="28"/>
          <w:szCs w:val="28"/>
        </w:rPr>
        <w:t>resolver la apelación contra el au</w:t>
      </w:r>
      <w:r w:rsidRPr="00393816">
        <w:rPr>
          <w:sz w:val="28"/>
          <w:szCs w:val="28"/>
        </w:rPr>
        <w:t xml:space="preserve">to que puso fin al proceso, como quiera que </w:t>
      </w:r>
      <w:r>
        <w:rPr>
          <w:sz w:val="28"/>
          <w:szCs w:val="28"/>
        </w:rPr>
        <w:t>rechazó la demanda</w:t>
      </w:r>
      <w:r w:rsidRPr="00393816">
        <w:rPr>
          <w:sz w:val="28"/>
          <w:szCs w:val="28"/>
        </w:rPr>
        <w:t xml:space="preserve">, de allí que se ajusta a lo establecido en el numeral </w:t>
      </w:r>
      <w:r>
        <w:rPr>
          <w:sz w:val="28"/>
          <w:szCs w:val="28"/>
        </w:rPr>
        <w:t>1º</w:t>
      </w:r>
      <w:r w:rsidRPr="00393816">
        <w:rPr>
          <w:sz w:val="28"/>
          <w:szCs w:val="28"/>
        </w:rPr>
        <w:t xml:space="preserve"> del artículo 243 del C.P.A.C.A. </w:t>
      </w:r>
    </w:p>
    <w:p w14:paraId="75865092" w14:textId="77777777" w:rsidR="00D30E75" w:rsidRDefault="00D30E75" w:rsidP="00D30E75">
      <w:pPr>
        <w:pStyle w:val="Sangra2detindependiente1"/>
        <w:ind w:firstLine="0"/>
        <w:rPr>
          <w:rFonts w:ascii="Times New Roman" w:hAnsi="Times New Roman"/>
          <w:sz w:val="28"/>
          <w:szCs w:val="28"/>
        </w:rPr>
      </w:pPr>
    </w:p>
    <w:p w14:paraId="3CCDFAD5" w14:textId="77777777" w:rsidR="00D30E75" w:rsidRDefault="00D30E75" w:rsidP="00D30E75">
      <w:pPr>
        <w:pStyle w:val="Sangra2detindependiente1"/>
        <w:ind w:firstLine="0"/>
        <w:rPr>
          <w:rFonts w:ascii="Times New Roman" w:hAnsi="Times New Roman"/>
          <w:sz w:val="28"/>
          <w:szCs w:val="28"/>
          <w:lang w:val="es-CO"/>
        </w:rPr>
      </w:pPr>
      <w:r>
        <w:rPr>
          <w:rFonts w:ascii="Times New Roman" w:hAnsi="Times New Roman"/>
          <w:sz w:val="28"/>
          <w:szCs w:val="28"/>
        </w:rPr>
        <w:t xml:space="preserve">Resulta </w:t>
      </w:r>
      <w:r w:rsidRPr="00393816">
        <w:rPr>
          <w:rFonts w:ascii="Times New Roman" w:hAnsi="Times New Roman"/>
          <w:sz w:val="28"/>
          <w:szCs w:val="28"/>
        </w:rPr>
        <w:t xml:space="preserve">procedente que el recurso de apelación sea desatado por la Sala en tanto que dicha preceptiva </w:t>
      </w:r>
      <w:r w:rsidRPr="00393816">
        <w:rPr>
          <w:rFonts w:ascii="Times New Roman" w:hAnsi="Times New Roman"/>
          <w:sz w:val="28"/>
          <w:szCs w:val="28"/>
          <w:lang w:val="es-CO"/>
        </w:rPr>
        <w:t xml:space="preserve">fija las pautas en materia del recurso de apelación, tanto de sentencias como de autos, bajo el siguiente tenor: </w:t>
      </w:r>
    </w:p>
    <w:p w14:paraId="451C98B7" w14:textId="77777777" w:rsidR="00D30E75" w:rsidRDefault="00D30E75" w:rsidP="00D30E75">
      <w:pPr>
        <w:pStyle w:val="pa8"/>
        <w:spacing w:before="0" w:beforeAutospacing="0" w:after="0" w:afterAutospacing="0"/>
        <w:ind w:left="708"/>
        <w:jc w:val="both"/>
        <w:rPr>
          <w:sz w:val="28"/>
          <w:szCs w:val="28"/>
          <w:lang w:val="es-CO"/>
        </w:rPr>
      </w:pPr>
    </w:p>
    <w:p w14:paraId="751B8E6D" w14:textId="77777777" w:rsidR="00D30E75" w:rsidRDefault="00D30E75" w:rsidP="00D30E75">
      <w:pPr>
        <w:pStyle w:val="pa8"/>
        <w:spacing w:before="0" w:beforeAutospacing="0" w:after="0" w:afterAutospacing="0"/>
        <w:ind w:left="708"/>
        <w:jc w:val="both"/>
        <w:rPr>
          <w:sz w:val="28"/>
          <w:szCs w:val="28"/>
        </w:rPr>
      </w:pPr>
      <w:r w:rsidRPr="00393816">
        <w:rPr>
          <w:sz w:val="28"/>
          <w:szCs w:val="28"/>
          <w:lang w:val="es-CO"/>
        </w:rPr>
        <w:t>“</w:t>
      </w:r>
      <w:r w:rsidRPr="00393816">
        <w:rPr>
          <w:b/>
          <w:sz w:val="28"/>
          <w:szCs w:val="28"/>
        </w:rPr>
        <w:t>Artículo 243</w:t>
      </w:r>
      <w:r w:rsidRPr="00393816">
        <w:rPr>
          <w:sz w:val="28"/>
          <w:szCs w:val="28"/>
        </w:rPr>
        <w:t>.</w:t>
      </w:r>
      <w:r w:rsidRPr="00393816">
        <w:rPr>
          <w:rStyle w:val="apple-converted-space"/>
          <w:rFonts w:eastAsia="Calibri"/>
          <w:sz w:val="28"/>
          <w:szCs w:val="28"/>
        </w:rPr>
        <w:t> </w:t>
      </w:r>
      <w:r w:rsidRPr="00393816">
        <w:rPr>
          <w:sz w:val="28"/>
          <w:szCs w:val="28"/>
        </w:rPr>
        <w:t xml:space="preserve">Apelación. Son apelables las sentencias de primera instancia de los Tribunales y de los Jueces. También serán apelables los siguientes autos proferidos en la misma instancia </w:t>
      </w:r>
      <w:r w:rsidRPr="00393816">
        <w:rPr>
          <w:b/>
          <w:sz w:val="28"/>
          <w:szCs w:val="28"/>
        </w:rPr>
        <w:t>por los jueces administrativos</w:t>
      </w:r>
      <w:r w:rsidRPr="00393816">
        <w:rPr>
          <w:sz w:val="28"/>
          <w:szCs w:val="28"/>
        </w:rPr>
        <w:t>:</w:t>
      </w:r>
    </w:p>
    <w:p w14:paraId="3D33E5A8" w14:textId="77777777" w:rsidR="00D30E75" w:rsidRPr="00393816" w:rsidRDefault="00D30E75" w:rsidP="00D30E75">
      <w:pPr>
        <w:pStyle w:val="pa8"/>
        <w:spacing w:before="0" w:beforeAutospacing="0" w:after="0" w:afterAutospacing="0"/>
        <w:ind w:left="708"/>
        <w:jc w:val="both"/>
        <w:rPr>
          <w:sz w:val="28"/>
          <w:szCs w:val="28"/>
        </w:rPr>
      </w:pPr>
    </w:p>
    <w:p w14:paraId="0AFE33D4" w14:textId="77777777" w:rsidR="00D30E75" w:rsidRPr="00393816" w:rsidRDefault="00D30E75" w:rsidP="00D30E75">
      <w:pPr>
        <w:pStyle w:val="pa8"/>
        <w:spacing w:before="0" w:beforeAutospacing="0" w:after="0" w:afterAutospacing="0"/>
        <w:ind w:left="708"/>
        <w:jc w:val="both"/>
        <w:rPr>
          <w:b/>
          <w:sz w:val="28"/>
          <w:szCs w:val="28"/>
        </w:rPr>
      </w:pPr>
      <w:r w:rsidRPr="00393816">
        <w:rPr>
          <w:b/>
          <w:sz w:val="28"/>
          <w:szCs w:val="28"/>
        </w:rPr>
        <w:t>1.  El que rechace la demanda.</w:t>
      </w:r>
    </w:p>
    <w:p w14:paraId="5516FEAB" w14:textId="77777777" w:rsidR="00D30E75" w:rsidRDefault="00D30E75" w:rsidP="00D30E75">
      <w:pPr>
        <w:pStyle w:val="pa8"/>
        <w:spacing w:before="0" w:beforeAutospacing="0" w:after="0" w:afterAutospacing="0"/>
        <w:ind w:left="708"/>
        <w:jc w:val="both"/>
        <w:rPr>
          <w:sz w:val="28"/>
          <w:szCs w:val="28"/>
        </w:rPr>
      </w:pPr>
      <w:r w:rsidRPr="00393816">
        <w:rPr>
          <w:b/>
          <w:sz w:val="28"/>
          <w:szCs w:val="28"/>
        </w:rPr>
        <w:t xml:space="preserve">2. </w:t>
      </w:r>
      <w:r>
        <w:rPr>
          <w:b/>
          <w:sz w:val="28"/>
          <w:szCs w:val="28"/>
        </w:rPr>
        <w:t>(…)</w:t>
      </w:r>
    </w:p>
    <w:p w14:paraId="6E34B7DE" w14:textId="77777777" w:rsidR="00D30E75" w:rsidRDefault="00D30E75" w:rsidP="00D30E75">
      <w:pPr>
        <w:pStyle w:val="pa8"/>
        <w:spacing w:before="0" w:beforeAutospacing="0" w:after="0" w:afterAutospacing="0"/>
        <w:ind w:left="708"/>
        <w:jc w:val="both"/>
        <w:rPr>
          <w:b/>
          <w:sz w:val="28"/>
          <w:szCs w:val="28"/>
        </w:rPr>
      </w:pPr>
      <w:r w:rsidRPr="00393816">
        <w:rPr>
          <w:b/>
          <w:sz w:val="28"/>
          <w:szCs w:val="28"/>
        </w:rPr>
        <w:lastRenderedPageBreak/>
        <w:t>“Los autos a que se refieren los numerales 1, 2, 3 y 4 relacionados anteriormente, serán apelables cuando sean proferidos por los tribunales administrativos en primera instancia</w:t>
      </w:r>
      <w:r>
        <w:rPr>
          <w:b/>
          <w:sz w:val="28"/>
          <w:szCs w:val="28"/>
        </w:rPr>
        <w:t>”</w:t>
      </w:r>
      <w:r w:rsidRPr="00393816">
        <w:rPr>
          <w:b/>
          <w:sz w:val="28"/>
          <w:szCs w:val="28"/>
        </w:rPr>
        <w:t>.</w:t>
      </w:r>
    </w:p>
    <w:p w14:paraId="777EA001" w14:textId="77777777" w:rsidR="00D30E75" w:rsidRPr="00393816" w:rsidRDefault="00D30E75" w:rsidP="00D30E75">
      <w:pPr>
        <w:pStyle w:val="pa8"/>
        <w:spacing w:before="0" w:beforeAutospacing="0" w:after="0" w:afterAutospacing="0"/>
        <w:ind w:left="708"/>
        <w:jc w:val="both"/>
        <w:rPr>
          <w:sz w:val="28"/>
          <w:szCs w:val="28"/>
        </w:rPr>
      </w:pPr>
      <w:r>
        <w:rPr>
          <w:sz w:val="28"/>
          <w:szCs w:val="28"/>
        </w:rPr>
        <w:t>(…)</w:t>
      </w:r>
    </w:p>
    <w:p w14:paraId="0EC31553" w14:textId="77777777" w:rsidR="00D30E75" w:rsidRDefault="00D30E75" w:rsidP="00D30E75">
      <w:pPr>
        <w:spacing w:line="360" w:lineRule="auto"/>
        <w:jc w:val="both"/>
        <w:rPr>
          <w:sz w:val="28"/>
          <w:szCs w:val="28"/>
        </w:rPr>
      </w:pPr>
    </w:p>
    <w:p w14:paraId="6D15D855" w14:textId="77777777" w:rsidR="00D30E75" w:rsidRPr="00B27039" w:rsidRDefault="00D30E75" w:rsidP="00D30E75">
      <w:pPr>
        <w:spacing w:line="360" w:lineRule="auto"/>
        <w:jc w:val="both"/>
        <w:rPr>
          <w:sz w:val="28"/>
          <w:szCs w:val="28"/>
        </w:rPr>
      </w:pPr>
      <w:r w:rsidRPr="00B27039">
        <w:rPr>
          <w:sz w:val="28"/>
          <w:szCs w:val="28"/>
        </w:rPr>
        <w:t>A su turno, el artículo 62 de la Ley 2080 de 202 que modifica el artículo 243 de la Ley 1437 de 2011, establece:</w:t>
      </w:r>
    </w:p>
    <w:p w14:paraId="7A192425" w14:textId="77777777" w:rsidR="00D30E75" w:rsidRDefault="00D30E75" w:rsidP="00D30E75">
      <w:pPr>
        <w:spacing w:line="360" w:lineRule="auto"/>
        <w:jc w:val="both"/>
      </w:pPr>
    </w:p>
    <w:p w14:paraId="318C959B" w14:textId="77777777" w:rsidR="00D30E75" w:rsidRDefault="00D30E75" w:rsidP="00D30E75">
      <w:pPr>
        <w:ind w:left="708"/>
        <w:jc w:val="both"/>
        <w:rPr>
          <w:sz w:val="28"/>
          <w:szCs w:val="28"/>
        </w:rPr>
      </w:pPr>
      <w:r w:rsidRPr="00B27039">
        <w:rPr>
          <w:sz w:val="28"/>
          <w:szCs w:val="28"/>
        </w:rPr>
        <w:t>“Artículo 243. Apelación. Son apelables las sentencias de primera instancia y los siguientes autos proferidos en la misma instancia:</w:t>
      </w:r>
    </w:p>
    <w:p w14:paraId="79542004" w14:textId="77777777" w:rsidR="00D30E75" w:rsidRPr="00B27039" w:rsidRDefault="00D30E75" w:rsidP="00D30E75">
      <w:pPr>
        <w:ind w:left="708"/>
        <w:jc w:val="both"/>
        <w:rPr>
          <w:sz w:val="28"/>
          <w:szCs w:val="28"/>
        </w:rPr>
      </w:pPr>
      <w:r w:rsidRPr="00B27039">
        <w:rPr>
          <w:sz w:val="28"/>
          <w:szCs w:val="28"/>
        </w:rPr>
        <w:t xml:space="preserve"> </w:t>
      </w:r>
    </w:p>
    <w:p w14:paraId="2B5D28F3" w14:textId="77777777" w:rsidR="00D30E75" w:rsidRPr="00B27039" w:rsidRDefault="00D30E75" w:rsidP="00D30E75">
      <w:pPr>
        <w:ind w:left="708"/>
        <w:jc w:val="both"/>
        <w:rPr>
          <w:b/>
          <w:bCs/>
          <w:sz w:val="28"/>
          <w:szCs w:val="28"/>
        </w:rPr>
      </w:pPr>
      <w:r w:rsidRPr="00B27039">
        <w:rPr>
          <w:b/>
          <w:bCs/>
          <w:sz w:val="28"/>
          <w:szCs w:val="28"/>
        </w:rPr>
        <w:t>1</w:t>
      </w:r>
      <w:r w:rsidRPr="00E52CAB">
        <w:rPr>
          <w:sz w:val="28"/>
          <w:szCs w:val="28"/>
        </w:rPr>
        <w:t>. El que rechace la demanda o su reforma, y el que niegue total o parcialmente el mandamiento ejecutivo.</w:t>
      </w:r>
      <w:r w:rsidRPr="00B27039">
        <w:rPr>
          <w:b/>
          <w:bCs/>
          <w:sz w:val="28"/>
          <w:szCs w:val="28"/>
        </w:rPr>
        <w:t xml:space="preserve"> </w:t>
      </w:r>
    </w:p>
    <w:p w14:paraId="2FF8B08B" w14:textId="77777777" w:rsidR="00D30E75" w:rsidRPr="00B27039" w:rsidRDefault="00D30E75" w:rsidP="00D30E75">
      <w:pPr>
        <w:ind w:left="708"/>
        <w:jc w:val="both"/>
        <w:rPr>
          <w:sz w:val="28"/>
          <w:szCs w:val="28"/>
        </w:rPr>
      </w:pPr>
      <w:r w:rsidRPr="00B27039">
        <w:rPr>
          <w:b/>
          <w:bCs/>
          <w:sz w:val="28"/>
          <w:szCs w:val="28"/>
        </w:rPr>
        <w:t>2. El que por cualquier causa le ponga fin al proceso</w:t>
      </w:r>
      <w:r w:rsidRPr="00B27039">
        <w:rPr>
          <w:sz w:val="28"/>
          <w:szCs w:val="28"/>
        </w:rPr>
        <w:t xml:space="preserve">. </w:t>
      </w:r>
    </w:p>
    <w:p w14:paraId="72999C29" w14:textId="77777777" w:rsidR="00D30E75" w:rsidRPr="00B27039" w:rsidRDefault="00D30E75" w:rsidP="00D30E75">
      <w:pPr>
        <w:ind w:left="708"/>
        <w:jc w:val="both"/>
        <w:rPr>
          <w:sz w:val="28"/>
          <w:szCs w:val="28"/>
        </w:rPr>
      </w:pPr>
      <w:r w:rsidRPr="00B27039">
        <w:rPr>
          <w:sz w:val="28"/>
          <w:szCs w:val="28"/>
        </w:rPr>
        <w:t xml:space="preserve">3. El que apruebe o impruebe conciliaciones extrajudiciales o judiciales. </w:t>
      </w:r>
    </w:p>
    <w:p w14:paraId="0A08BEAB" w14:textId="77777777" w:rsidR="00D30E75" w:rsidRPr="00B27039" w:rsidRDefault="00D30E75" w:rsidP="00D30E75">
      <w:pPr>
        <w:ind w:left="708"/>
        <w:jc w:val="both"/>
        <w:rPr>
          <w:sz w:val="28"/>
          <w:szCs w:val="28"/>
        </w:rPr>
      </w:pPr>
      <w:r w:rsidRPr="00B27039">
        <w:rPr>
          <w:sz w:val="28"/>
          <w:szCs w:val="28"/>
        </w:rPr>
        <w:t xml:space="preserve">El auto que aprueba una conciliación solo podrá ser apelado por el Ministerio Público. </w:t>
      </w:r>
    </w:p>
    <w:p w14:paraId="0C875DA5" w14:textId="77777777" w:rsidR="00D30E75" w:rsidRPr="00B27039" w:rsidRDefault="00D30E75" w:rsidP="00D30E75">
      <w:pPr>
        <w:ind w:left="708"/>
        <w:jc w:val="both"/>
        <w:rPr>
          <w:sz w:val="28"/>
          <w:szCs w:val="28"/>
        </w:rPr>
      </w:pPr>
      <w:r w:rsidRPr="00B27039">
        <w:rPr>
          <w:sz w:val="28"/>
          <w:szCs w:val="28"/>
        </w:rPr>
        <w:t xml:space="preserve">4. El que resuelva el incidente de liquidación de la condena en abstracto o de los perjuicios. </w:t>
      </w:r>
    </w:p>
    <w:p w14:paraId="40204D45" w14:textId="77777777" w:rsidR="00D30E75" w:rsidRPr="00B27039" w:rsidRDefault="00D30E75" w:rsidP="00D30E75">
      <w:pPr>
        <w:ind w:left="708"/>
        <w:jc w:val="both"/>
        <w:rPr>
          <w:sz w:val="28"/>
          <w:szCs w:val="28"/>
        </w:rPr>
      </w:pPr>
      <w:r w:rsidRPr="00B27039">
        <w:rPr>
          <w:sz w:val="28"/>
          <w:szCs w:val="28"/>
        </w:rPr>
        <w:t>5. El que decrete, deniegue o modifique una medida cautelar.</w:t>
      </w:r>
    </w:p>
    <w:p w14:paraId="3241311A" w14:textId="77777777" w:rsidR="00D30E75" w:rsidRPr="00B27039" w:rsidRDefault="00D30E75" w:rsidP="00D30E75">
      <w:pPr>
        <w:ind w:left="708"/>
        <w:jc w:val="both"/>
        <w:rPr>
          <w:sz w:val="28"/>
          <w:szCs w:val="28"/>
        </w:rPr>
      </w:pPr>
      <w:r w:rsidRPr="00B27039">
        <w:rPr>
          <w:sz w:val="28"/>
          <w:szCs w:val="28"/>
        </w:rPr>
        <w:t xml:space="preserve"> 6. El que niegue la intervención de terceros. </w:t>
      </w:r>
    </w:p>
    <w:p w14:paraId="0A056E8B" w14:textId="77777777" w:rsidR="00D30E75" w:rsidRPr="00B27039" w:rsidRDefault="00D30E75" w:rsidP="00D30E75">
      <w:pPr>
        <w:ind w:left="708"/>
        <w:jc w:val="both"/>
        <w:rPr>
          <w:sz w:val="28"/>
          <w:szCs w:val="28"/>
        </w:rPr>
      </w:pPr>
      <w:r w:rsidRPr="00B27039">
        <w:rPr>
          <w:sz w:val="28"/>
          <w:szCs w:val="28"/>
        </w:rPr>
        <w:t>7. El que niegue el decreto o la práctica de pruebas.</w:t>
      </w:r>
    </w:p>
    <w:p w14:paraId="0D6E718A" w14:textId="77777777" w:rsidR="00D30E75" w:rsidRPr="00B27039" w:rsidRDefault="00D30E75" w:rsidP="00D30E75">
      <w:pPr>
        <w:ind w:left="708"/>
        <w:jc w:val="both"/>
        <w:rPr>
          <w:sz w:val="28"/>
          <w:szCs w:val="28"/>
        </w:rPr>
      </w:pPr>
      <w:r w:rsidRPr="00B27039">
        <w:rPr>
          <w:sz w:val="28"/>
          <w:szCs w:val="28"/>
        </w:rPr>
        <w:t xml:space="preserve"> 8. Los demás expresamente previstos como apelables en este código o en norma especial. </w:t>
      </w:r>
    </w:p>
    <w:p w14:paraId="61066098" w14:textId="77777777" w:rsidR="00D30E75" w:rsidRPr="00B27039" w:rsidRDefault="00D30E75" w:rsidP="00D30E75">
      <w:pPr>
        <w:ind w:left="708"/>
        <w:jc w:val="both"/>
        <w:rPr>
          <w:sz w:val="28"/>
          <w:szCs w:val="28"/>
        </w:rPr>
      </w:pPr>
      <w:r w:rsidRPr="00B27039">
        <w:rPr>
          <w:sz w:val="28"/>
          <w:szCs w:val="28"/>
        </w:rPr>
        <w:t xml:space="preserve">Parágrafo 1°. </w:t>
      </w:r>
      <w:r w:rsidRPr="00B27039">
        <w:rPr>
          <w:sz w:val="28"/>
          <w:szCs w:val="28"/>
          <w:u w:val="single"/>
        </w:rPr>
        <w:t>El recurso de apelación contra las sentencias y las providencias listadas en los numerales 1 a 4 de este artículo se concederá en el efecto suspensivo</w:t>
      </w:r>
      <w:r w:rsidRPr="00B27039">
        <w:rPr>
          <w:sz w:val="28"/>
          <w:szCs w:val="28"/>
        </w:rPr>
        <w:t>. La apelación de las demás providencias se surtirá en el efecto devolutivo, salvo norma expresa en contrario. (…)”</w:t>
      </w:r>
    </w:p>
    <w:p w14:paraId="4CB4A087" w14:textId="77777777" w:rsidR="00D30E75" w:rsidRPr="00B27039" w:rsidRDefault="00D30E75" w:rsidP="00D30E75">
      <w:pPr>
        <w:ind w:left="708"/>
        <w:jc w:val="both"/>
        <w:rPr>
          <w:sz w:val="28"/>
          <w:szCs w:val="28"/>
        </w:rPr>
      </w:pPr>
    </w:p>
    <w:p w14:paraId="487F37CE" w14:textId="77777777" w:rsidR="00D30E75" w:rsidRDefault="00D30E75" w:rsidP="00D30E75">
      <w:pPr>
        <w:spacing w:line="360" w:lineRule="auto"/>
        <w:jc w:val="both"/>
      </w:pPr>
    </w:p>
    <w:p w14:paraId="538CAEBB" w14:textId="778DC05A" w:rsidR="00D30E75" w:rsidRDefault="00D30E75" w:rsidP="00D30E75">
      <w:pPr>
        <w:spacing w:line="360" w:lineRule="auto"/>
        <w:jc w:val="both"/>
        <w:rPr>
          <w:sz w:val="28"/>
          <w:szCs w:val="28"/>
        </w:rPr>
      </w:pPr>
      <w:r w:rsidRPr="6160CCA4">
        <w:rPr>
          <w:sz w:val="28"/>
          <w:szCs w:val="28"/>
        </w:rPr>
        <w:t>Así las cosas, concluye la Sala que en este evento como se rechazó la demanda al encontrar configurado el termino de caducidad, es claro que este tipo de decisión encuadra en el numeral 1º del artículo 62 de la Ley 2080 de 2021, de ahí que corresponda resolver la alzada.</w:t>
      </w:r>
    </w:p>
    <w:p w14:paraId="676BC43C" w14:textId="77777777" w:rsidR="00BA5342" w:rsidRPr="00D64568" w:rsidRDefault="00BA5342" w:rsidP="00BA5342">
      <w:pPr>
        <w:spacing w:line="360" w:lineRule="auto"/>
        <w:rPr>
          <w:b/>
          <w:sz w:val="28"/>
          <w:szCs w:val="28"/>
        </w:rPr>
      </w:pPr>
    </w:p>
    <w:p w14:paraId="2C541BBF" w14:textId="79F119F4" w:rsidR="000A79D6" w:rsidRPr="00D64568" w:rsidRDefault="000A79D6" w:rsidP="6160CCA4">
      <w:pPr>
        <w:spacing w:line="360" w:lineRule="auto"/>
        <w:rPr>
          <w:b/>
          <w:bCs/>
          <w:sz w:val="28"/>
          <w:szCs w:val="28"/>
        </w:rPr>
      </w:pPr>
      <w:r w:rsidRPr="6160CCA4">
        <w:rPr>
          <w:b/>
          <w:bCs/>
          <w:sz w:val="28"/>
          <w:szCs w:val="28"/>
        </w:rPr>
        <w:t xml:space="preserve">3. Problema a resolver </w:t>
      </w:r>
    </w:p>
    <w:p w14:paraId="31B94215" w14:textId="77777777" w:rsidR="000A79D6" w:rsidRPr="00D64568" w:rsidRDefault="000A79D6" w:rsidP="00BA5342">
      <w:pPr>
        <w:spacing w:line="360" w:lineRule="auto"/>
        <w:rPr>
          <w:b/>
          <w:sz w:val="28"/>
          <w:szCs w:val="28"/>
        </w:rPr>
      </w:pPr>
    </w:p>
    <w:p w14:paraId="00527AFE" w14:textId="2BF0828B" w:rsidR="000662EF" w:rsidRDefault="000F47F9" w:rsidP="000A79D6">
      <w:pPr>
        <w:spacing w:line="360" w:lineRule="auto"/>
        <w:jc w:val="both"/>
        <w:rPr>
          <w:sz w:val="28"/>
          <w:szCs w:val="28"/>
        </w:rPr>
      </w:pPr>
      <w:r w:rsidRPr="6160CCA4">
        <w:rPr>
          <w:sz w:val="28"/>
          <w:szCs w:val="28"/>
        </w:rPr>
        <w:t>Corresponde a la S</w:t>
      </w:r>
      <w:r w:rsidR="000A79D6" w:rsidRPr="6160CCA4">
        <w:rPr>
          <w:sz w:val="28"/>
          <w:szCs w:val="28"/>
        </w:rPr>
        <w:t xml:space="preserve">ala determinar </w:t>
      </w:r>
      <w:r w:rsidR="00713238" w:rsidRPr="6160CCA4">
        <w:rPr>
          <w:sz w:val="28"/>
          <w:szCs w:val="28"/>
        </w:rPr>
        <w:t xml:space="preserve">en esta oportunidad </w:t>
      </w:r>
      <w:r w:rsidR="00D27A29" w:rsidRPr="6160CCA4">
        <w:rPr>
          <w:sz w:val="28"/>
          <w:szCs w:val="28"/>
        </w:rPr>
        <w:t>si</w:t>
      </w:r>
      <w:r w:rsidR="00960269" w:rsidRPr="6160CCA4">
        <w:rPr>
          <w:sz w:val="28"/>
          <w:szCs w:val="28"/>
        </w:rPr>
        <w:t xml:space="preserve"> el</w:t>
      </w:r>
      <w:r w:rsidR="00D27A29" w:rsidRPr="6160CCA4">
        <w:rPr>
          <w:sz w:val="28"/>
          <w:szCs w:val="28"/>
        </w:rPr>
        <w:t xml:space="preserve"> </w:t>
      </w:r>
      <w:r w:rsidR="00960269" w:rsidRPr="6160CCA4">
        <w:rPr>
          <w:sz w:val="28"/>
          <w:szCs w:val="28"/>
        </w:rPr>
        <w:t xml:space="preserve">medio de control de la referencia ha </w:t>
      </w:r>
      <w:r w:rsidR="00D27A29" w:rsidRPr="6160CCA4">
        <w:rPr>
          <w:sz w:val="28"/>
          <w:szCs w:val="28"/>
        </w:rPr>
        <w:t xml:space="preserve">sido </w:t>
      </w:r>
      <w:r w:rsidR="00960269" w:rsidRPr="6160CCA4">
        <w:rPr>
          <w:sz w:val="28"/>
          <w:szCs w:val="28"/>
        </w:rPr>
        <w:t xml:space="preserve">presentado dentro del término establecido </w:t>
      </w:r>
      <w:r w:rsidR="00D27A29" w:rsidRPr="6160CCA4">
        <w:rPr>
          <w:sz w:val="28"/>
          <w:szCs w:val="28"/>
        </w:rPr>
        <w:t>en</w:t>
      </w:r>
      <w:r w:rsidR="00960269" w:rsidRPr="6160CCA4">
        <w:rPr>
          <w:sz w:val="28"/>
          <w:szCs w:val="28"/>
        </w:rPr>
        <w:t xml:space="preserve"> </w:t>
      </w:r>
      <w:r w:rsidR="00D27A29" w:rsidRPr="6160CCA4">
        <w:rPr>
          <w:sz w:val="28"/>
          <w:szCs w:val="28"/>
        </w:rPr>
        <w:t xml:space="preserve">el </w:t>
      </w:r>
      <w:r w:rsidR="00960269" w:rsidRPr="6160CCA4">
        <w:rPr>
          <w:sz w:val="28"/>
          <w:szCs w:val="28"/>
        </w:rPr>
        <w:t xml:space="preserve">literal i) </w:t>
      </w:r>
      <w:r w:rsidR="00D27A29" w:rsidRPr="6160CCA4">
        <w:rPr>
          <w:sz w:val="28"/>
          <w:szCs w:val="28"/>
        </w:rPr>
        <w:t xml:space="preserve">del </w:t>
      </w:r>
      <w:r w:rsidR="00960269" w:rsidRPr="6160CCA4">
        <w:rPr>
          <w:sz w:val="28"/>
          <w:szCs w:val="28"/>
        </w:rPr>
        <w:t>artículo</w:t>
      </w:r>
      <w:r w:rsidR="00D27A29" w:rsidRPr="6160CCA4">
        <w:rPr>
          <w:sz w:val="28"/>
          <w:szCs w:val="28"/>
        </w:rPr>
        <w:t xml:space="preserve"> 164 del</w:t>
      </w:r>
      <w:r w:rsidR="00960269" w:rsidRPr="6160CCA4">
        <w:rPr>
          <w:sz w:val="28"/>
          <w:szCs w:val="28"/>
        </w:rPr>
        <w:t xml:space="preserve"> CPACA, </w:t>
      </w:r>
      <w:r w:rsidR="000A79D6" w:rsidRPr="6160CCA4">
        <w:rPr>
          <w:sz w:val="28"/>
          <w:szCs w:val="28"/>
        </w:rPr>
        <w:t xml:space="preserve">como quiera que la parte </w:t>
      </w:r>
      <w:r w:rsidR="00D30E75" w:rsidRPr="6160CCA4">
        <w:rPr>
          <w:sz w:val="28"/>
          <w:szCs w:val="28"/>
        </w:rPr>
        <w:t xml:space="preserve">demandante alega que la </w:t>
      </w:r>
      <w:r w:rsidR="00D30E75" w:rsidRPr="6160CCA4">
        <w:rPr>
          <w:sz w:val="28"/>
          <w:szCs w:val="28"/>
        </w:rPr>
        <w:lastRenderedPageBreak/>
        <w:t xml:space="preserve">fecha de </w:t>
      </w:r>
      <w:r w:rsidR="00073BD6" w:rsidRPr="6160CCA4">
        <w:rPr>
          <w:sz w:val="28"/>
          <w:szCs w:val="28"/>
        </w:rPr>
        <w:t>presentación</w:t>
      </w:r>
      <w:r w:rsidR="00D30E75" w:rsidRPr="6160CCA4">
        <w:rPr>
          <w:sz w:val="28"/>
          <w:szCs w:val="28"/>
        </w:rPr>
        <w:t xml:space="preserve"> de</w:t>
      </w:r>
      <w:r w:rsidR="00073BD6" w:rsidRPr="6160CCA4">
        <w:rPr>
          <w:sz w:val="28"/>
          <w:szCs w:val="28"/>
        </w:rPr>
        <w:t xml:space="preserve"> </w:t>
      </w:r>
      <w:r w:rsidR="00D30E75" w:rsidRPr="6160CCA4">
        <w:rPr>
          <w:sz w:val="28"/>
          <w:szCs w:val="28"/>
        </w:rPr>
        <w:t xml:space="preserve">la </w:t>
      </w:r>
      <w:r w:rsidR="00073BD6" w:rsidRPr="6160CCA4">
        <w:rPr>
          <w:sz w:val="28"/>
          <w:szCs w:val="28"/>
        </w:rPr>
        <w:t>demanda</w:t>
      </w:r>
      <w:r w:rsidR="00D30E75" w:rsidRPr="6160CCA4">
        <w:rPr>
          <w:sz w:val="28"/>
          <w:szCs w:val="28"/>
        </w:rPr>
        <w:t xml:space="preserve"> es el </w:t>
      </w:r>
      <w:r w:rsidR="00073BD6" w:rsidRPr="6160CCA4">
        <w:rPr>
          <w:b/>
          <w:bCs/>
          <w:sz w:val="28"/>
          <w:szCs w:val="28"/>
        </w:rPr>
        <w:t>31 de julio de 2020</w:t>
      </w:r>
      <w:r w:rsidR="000662EF" w:rsidRPr="6160CCA4">
        <w:rPr>
          <w:b/>
          <w:bCs/>
          <w:sz w:val="28"/>
          <w:szCs w:val="28"/>
        </w:rPr>
        <w:t xml:space="preserve">, </w:t>
      </w:r>
      <w:r w:rsidR="00073BD6" w:rsidRPr="6160CCA4">
        <w:rPr>
          <w:sz w:val="28"/>
          <w:szCs w:val="28"/>
        </w:rPr>
        <w:t xml:space="preserve">que con ocasión de la expedición del Decreto 564 del 15 de abril de 2020 </w:t>
      </w:r>
      <w:r w:rsidR="000662EF" w:rsidRPr="6160CCA4">
        <w:rPr>
          <w:sz w:val="28"/>
          <w:szCs w:val="28"/>
        </w:rPr>
        <w:t>inciso 2 artículo 1º, los términos empezaron acorrer el 1º de julio de 2020, de ahí que contaba con un mes para radicar la demanda.</w:t>
      </w:r>
    </w:p>
    <w:p w14:paraId="0DDF5A51" w14:textId="167D4C26" w:rsidR="6160CCA4" w:rsidRDefault="6160CCA4" w:rsidP="6160CCA4">
      <w:pPr>
        <w:spacing w:line="360" w:lineRule="auto"/>
        <w:jc w:val="both"/>
        <w:rPr>
          <w:sz w:val="28"/>
          <w:szCs w:val="28"/>
        </w:rPr>
      </w:pPr>
    </w:p>
    <w:p w14:paraId="4095441B" w14:textId="77777777" w:rsidR="002C1E8D" w:rsidRPr="00D64568" w:rsidRDefault="002C1E8D" w:rsidP="002C1E8D">
      <w:pPr>
        <w:numPr>
          <w:ilvl w:val="12"/>
          <w:numId w:val="0"/>
        </w:numPr>
        <w:spacing w:line="360" w:lineRule="auto"/>
        <w:jc w:val="both"/>
        <w:rPr>
          <w:sz w:val="28"/>
          <w:szCs w:val="28"/>
        </w:rPr>
      </w:pPr>
      <w:r w:rsidRPr="00D64568">
        <w:rPr>
          <w:sz w:val="28"/>
          <w:szCs w:val="28"/>
        </w:rPr>
        <w:t xml:space="preserve">Con tal fin, </w:t>
      </w:r>
      <w:r w:rsidR="0078152C" w:rsidRPr="00D64568">
        <w:rPr>
          <w:sz w:val="28"/>
          <w:szCs w:val="28"/>
        </w:rPr>
        <w:t xml:space="preserve">previamente se </w:t>
      </w:r>
      <w:r w:rsidR="0078152C" w:rsidRPr="00265ABD">
        <w:rPr>
          <w:sz w:val="28"/>
          <w:szCs w:val="28"/>
        </w:rPr>
        <w:t xml:space="preserve">hará mención a </w:t>
      </w:r>
      <w:r w:rsidRPr="00265ABD">
        <w:rPr>
          <w:sz w:val="28"/>
          <w:szCs w:val="28"/>
        </w:rPr>
        <w:t>la</w:t>
      </w:r>
      <w:r w:rsidR="00585FE4" w:rsidRPr="00265ABD">
        <w:rPr>
          <w:sz w:val="28"/>
          <w:szCs w:val="28"/>
        </w:rPr>
        <w:t xml:space="preserve">s reglas de </w:t>
      </w:r>
      <w:r w:rsidRPr="00265ABD">
        <w:rPr>
          <w:sz w:val="28"/>
          <w:szCs w:val="28"/>
        </w:rPr>
        <w:t xml:space="preserve">caducidad </w:t>
      </w:r>
      <w:r w:rsidR="0078152C" w:rsidRPr="00265ABD">
        <w:rPr>
          <w:sz w:val="28"/>
          <w:szCs w:val="28"/>
        </w:rPr>
        <w:t xml:space="preserve">para el medio de control de </w:t>
      </w:r>
      <w:r w:rsidR="00585FE4" w:rsidRPr="00265ABD">
        <w:rPr>
          <w:sz w:val="28"/>
          <w:szCs w:val="28"/>
        </w:rPr>
        <w:t xml:space="preserve">reparación directa y su aplicación al </w:t>
      </w:r>
      <w:r w:rsidRPr="00265ABD">
        <w:rPr>
          <w:sz w:val="28"/>
          <w:szCs w:val="28"/>
        </w:rPr>
        <w:t xml:space="preserve">caso </w:t>
      </w:r>
      <w:r w:rsidRPr="00D64568">
        <w:rPr>
          <w:sz w:val="28"/>
          <w:szCs w:val="28"/>
        </w:rPr>
        <w:t>concreto.</w:t>
      </w:r>
    </w:p>
    <w:p w14:paraId="39629FCB" w14:textId="77777777" w:rsidR="00062D48" w:rsidRPr="00D64568" w:rsidRDefault="00062D48" w:rsidP="0078755E">
      <w:pPr>
        <w:spacing w:line="360" w:lineRule="auto"/>
        <w:jc w:val="both"/>
        <w:rPr>
          <w:color w:val="FF0000"/>
          <w:sz w:val="28"/>
          <w:szCs w:val="28"/>
        </w:rPr>
      </w:pPr>
    </w:p>
    <w:p w14:paraId="1798FC60" w14:textId="77777777" w:rsidR="002C1E8D" w:rsidRPr="00D64568" w:rsidRDefault="006A4238" w:rsidP="002C1E8D">
      <w:pPr>
        <w:spacing w:line="360" w:lineRule="auto"/>
        <w:jc w:val="both"/>
        <w:rPr>
          <w:b/>
          <w:sz w:val="28"/>
          <w:szCs w:val="28"/>
        </w:rPr>
      </w:pPr>
      <w:r w:rsidRPr="00D64568">
        <w:rPr>
          <w:b/>
          <w:sz w:val="28"/>
          <w:szCs w:val="28"/>
        </w:rPr>
        <w:t>3</w:t>
      </w:r>
      <w:r w:rsidR="002C1E8D" w:rsidRPr="00D64568">
        <w:rPr>
          <w:b/>
          <w:sz w:val="28"/>
          <w:szCs w:val="28"/>
        </w:rPr>
        <w:t>. La caducidad en el medio de control de reparación directa</w:t>
      </w:r>
    </w:p>
    <w:p w14:paraId="6316A93E" w14:textId="77777777" w:rsidR="002C1E8D" w:rsidRPr="00D64568" w:rsidRDefault="002C1E8D" w:rsidP="0078755E">
      <w:pPr>
        <w:spacing w:line="360" w:lineRule="auto"/>
        <w:jc w:val="both"/>
        <w:rPr>
          <w:b/>
          <w:sz w:val="28"/>
          <w:szCs w:val="28"/>
        </w:rPr>
      </w:pPr>
    </w:p>
    <w:p w14:paraId="77679C77" w14:textId="77777777" w:rsidR="002C1E8D" w:rsidRPr="00D64568" w:rsidRDefault="002C1E8D" w:rsidP="002C1E8D">
      <w:pPr>
        <w:spacing w:line="360" w:lineRule="auto"/>
        <w:jc w:val="both"/>
        <w:rPr>
          <w:sz w:val="28"/>
          <w:szCs w:val="28"/>
        </w:rPr>
      </w:pPr>
      <w:r w:rsidRPr="00D64568">
        <w:rPr>
          <w:sz w:val="28"/>
          <w:szCs w:val="28"/>
        </w:rPr>
        <w:t>La caducidad es una limitación</w:t>
      </w:r>
      <w:r w:rsidR="00A37128">
        <w:rPr>
          <w:sz w:val="28"/>
          <w:szCs w:val="28"/>
        </w:rPr>
        <w:t xml:space="preserve"> temporal del derecho de acción, </w:t>
      </w:r>
      <w:r w:rsidRPr="00D64568">
        <w:rPr>
          <w:sz w:val="28"/>
          <w:szCs w:val="28"/>
        </w:rPr>
        <w:t xml:space="preserve">y es entendida como el plazo perentorio fijado por la ley para el ejercicio de una acción judicial, hoy medio de control ante la jurisdicción contencioso administrativa, so pena de perder la oportunidad de que la administración de justicia la conozca. </w:t>
      </w:r>
    </w:p>
    <w:p w14:paraId="5CEA857A" w14:textId="77777777" w:rsidR="002C1E8D" w:rsidRPr="00D64568" w:rsidRDefault="002C1E8D" w:rsidP="002C1E8D">
      <w:pPr>
        <w:jc w:val="both"/>
        <w:rPr>
          <w:sz w:val="28"/>
          <w:szCs w:val="28"/>
        </w:rPr>
      </w:pPr>
    </w:p>
    <w:p w14:paraId="2C0F8A17" w14:textId="77777777" w:rsidR="002C1E8D" w:rsidRPr="00D64568" w:rsidRDefault="002C1E8D" w:rsidP="002C1E8D">
      <w:pPr>
        <w:spacing w:line="360" w:lineRule="auto"/>
        <w:jc w:val="both"/>
        <w:rPr>
          <w:sz w:val="28"/>
          <w:szCs w:val="28"/>
        </w:rPr>
      </w:pPr>
      <w:r w:rsidRPr="00D64568">
        <w:rPr>
          <w:sz w:val="28"/>
          <w:szCs w:val="28"/>
        </w:rPr>
        <w:t>Esta figura garantiza el principio de seguridad jurídica</w:t>
      </w:r>
      <w:r w:rsidR="00A37128">
        <w:rPr>
          <w:sz w:val="28"/>
          <w:szCs w:val="28"/>
        </w:rPr>
        <w:t xml:space="preserve">, </w:t>
      </w:r>
      <w:r w:rsidRPr="00D64568">
        <w:rPr>
          <w:sz w:val="28"/>
          <w:szCs w:val="28"/>
        </w:rPr>
        <w:t xml:space="preserve">al imponer a los interesados la carga procesal de poner en funcionamiento el aparato de justicia dentro de los plazos fijados por el legislador, de suerte que vencido el plazo establecido se configura el fenómeno de la caducidad. En tal sentido, la declaración de caducidad es una decisión sancionatoria que opera </w:t>
      </w:r>
      <w:r w:rsidRPr="00D64568">
        <w:rPr>
          <w:i/>
          <w:sz w:val="28"/>
          <w:szCs w:val="28"/>
        </w:rPr>
        <w:t>ipso iure</w:t>
      </w:r>
      <w:r w:rsidRPr="00D64568">
        <w:rPr>
          <w:sz w:val="28"/>
          <w:szCs w:val="28"/>
        </w:rPr>
        <w:t xml:space="preserve"> ante el incumplimiento de la carga procesal de accionar dentro del término previsto por la ley para hacer efectivo un derecho.</w:t>
      </w:r>
    </w:p>
    <w:p w14:paraId="6B3155FE" w14:textId="77777777" w:rsidR="00062D48" w:rsidRPr="00D64568" w:rsidRDefault="00062D48" w:rsidP="002C1E8D">
      <w:pPr>
        <w:spacing w:line="360" w:lineRule="auto"/>
        <w:jc w:val="both"/>
        <w:rPr>
          <w:sz w:val="28"/>
          <w:szCs w:val="28"/>
        </w:rPr>
      </w:pPr>
    </w:p>
    <w:p w14:paraId="5EBCCF9B" w14:textId="77777777" w:rsidR="002C1E8D" w:rsidRPr="00D64568" w:rsidRDefault="002C1E8D" w:rsidP="002C1E8D">
      <w:pPr>
        <w:spacing w:line="360" w:lineRule="auto"/>
        <w:jc w:val="both"/>
        <w:rPr>
          <w:sz w:val="28"/>
          <w:szCs w:val="28"/>
        </w:rPr>
      </w:pPr>
      <w:r w:rsidRPr="1A782E34">
        <w:rPr>
          <w:sz w:val="28"/>
          <w:szCs w:val="28"/>
        </w:rPr>
        <w:t>En relación con el término de caducidad del medio de control de reparación directa, el literal i)</w:t>
      </w:r>
      <w:r w:rsidR="000E321D" w:rsidRPr="1A782E34">
        <w:rPr>
          <w:sz w:val="28"/>
          <w:szCs w:val="28"/>
        </w:rPr>
        <w:t xml:space="preserve"> del numeral 2° </w:t>
      </w:r>
      <w:r w:rsidRPr="1A782E34">
        <w:rPr>
          <w:sz w:val="28"/>
          <w:szCs w:val="28"/>
        </w:rPr>
        <w:t xml:space="preserve">del artículo 164 del C.P.A.C.A., dispone que la demanda deberá presentarse dentro del término de dos (2) años, contados </w:t>
      </w:r>
      <w:r w:rsidRPr="1A782E34">
        <w:rPr>
          <w:sz w:val="28"/>
          <w:szCs w:val="28"/>
          <w:u w:val="single"/>
        </w:rPr>
        <w:t>a partir del día siguiente al de la ocurrencia de la acción u omisión causante del daño,</w:t>
      </w:r>
      <w:r w:rsidRPr="1A782E34">
        <w:rPr>
          <w:sz w:val="28"/>
          <w:szCs w:val="28"/>
        </w:rPr>
        <w:t xml:space="preserve"> o de cuando el demandante tuvo o debió tener conocimiento del mismo si fue en fecha posterior y siempre que pruebe la imposibilidad de haberlo conocido en la fecha de su ocurrencia.</w:t>
      </w:r>
    </w:p>
    <w:p w14:paraId="0C756187" w14:textId="77777777" w:rsidR="002C1E8D" w:rsidRPr="00D64568" w:rsidRDefault="002C1E8D" w:rsidP="002C1E8D">
      <w:pPr>
        <w:jc w:val="both"/>
        <w:rPr>
          <w:sz w:val="28"/>
          <w:szCs w:val="28"/>
        </w:rPr>
      </w:pPr>
    </w:p>
    <w:p w14:paraId="0E2B20F5" w14:textId="77777777" w:rsidR="002C1E8D" w:rsidRPr="00D64568" w:rsidRDefault="002C1E8D" w:rsidP="002C1E8D">
      <w:pPr>
        <w:spacing w:line="360" w:lineRule="auto"/>
        <w:jc w:val="both"/>
        <w:rPr>
          <w:sz w:val="28"/>
          <w:szCs w:val="28"/>
        </w:rPr>
      </w:pPr>
      <w:r w:rsidRPr="1A782E34">
        <w:rPr>
          <w:b/>
          <w:bCs/>
          <w:sz w:val="28"/>
          <w:szCs w:val="28"/>
        </w:rPr>
        <w:lastRenderedPageBreak/>
        <w:t>Sobre el momento a partir del cual debe contabilizarse el término de caducidad</w:t>
      </w:r>
      <w:r w:rsidRPr="00D64568">
        <w:rPr>
          <w:sz w:val="28"/>
          <w:szCs w:val="28"/>
        </w:rPr>
        <w:t xml:space="preserve">, la jurisprudencia de </w:t>
      </w:r>
      <w:smartTag w:uri="urn:schemas-microsoft-com:office:smarttags" w:element="PersonName">
        <w:smartTagPr>
          <w:attr w:name="ProductID" w:val="la Secci￳n Tercera"/>
        </w:smartTagPr>
        <w:r w:rsidRPr="00D64568">
          <w:rPr>
            <w:sz w:val="28"/>
            <w:szCs w:val="28"/>
          </w:rPr>
          <w:t>la Sección Tercera</w:t>
        </w:r>
      </w:smartTag>
      <w:r w:rsidRPr="00D64568">
        <w:rPr>
          <w:sz w:val="28"/>
          <w:szCs w:val="28"/>
        </w:rPr>
        <w:t xml:space="preserve"> del Consejo de Estado ha considerado que </w:t>
      </w:r>
      <w:r w:rsidRPr="1A782E34">
        <w:rPr>
          <w:b/>
          <w:bCs/>
          <w:sz w:val="28"/>
          <w:szCs w:val="28"/>
        </w:rPr>
        <w:t>no pueden aplicarse criterios absolutos</w:t>
      </w:r>
      <w:r w:rsidRPr="00D64568">
        <w:rPr>
          <w:sz w:val="28"/>
          <w:szCs w:val="28"/>
        </w:rPr>
        <w:t>; así, en sentencia del 5 de diciembre de 2005</w:t>
      </w:r>
      <w:r w:rsidRPr="00D64568">
        <w:rPr>
          <w:rStyle w:val="Refdenotaalpie"/>
        </w:rPr>
        <w:footnoteReference w:id="1"/>
      </w:r>
      <w:r w:rsidRPr="00D64568">
        <w:rPr>
          <w:sz w:val="28"/>
          <w:szCs w:val="28"/>
        </w:rPr>
        <w:t>, precisó lo siguiente:</w:t>
      </w:r>
    </w:p>
    <w:p w14:paraId="41AA7EA1" w14:textId="435616C6" w:rsidR="1A782E34" w:rsidRDefault="1A782E34" w:rsidP="1A782E34">
      <w:pPr>
        <w:spacing w:line="360" w:lineRule="auto"/>
        <w:jc w:val="both"/>
        <w:rPr>
          <w:sz w:val="28"/>
          <w:szCs w:val="28"/>
        </w:rPr>
      </w:pPr>
    </w:p>
    <w:p w14:paraId="294D96B8" w14:textId="77777777" w:rsidR="004237E0" w:rsidRPr="00D64568" w:rsidRDefault="004237E0" w:rsidP="00BE09C5">
      <w:pPr>
        <w:ind w:left="709" w:right="51"/>
        <w:jc w:val="both"/>
        <w:rPr>
          <w:sz w:val="28"/>
          <w:szCs w:val="28"/>
          <w:lang w:val="es-CO"/>
        </w:rPr>
      </w:pPr>
      <w:r w:rsidRPr="00D64568">
        <w:rPr>
          <w:sz w:val="28"/>
          <w:szCs w:val="28"/>
          <w:lang w:val="es-CO"/>
        </w:rPr>
        <w:t>“Sobre el momento a partir del cual debe contabilizarse el término de caducidad, la Sala, en sentencia del siete de septiembre de 2000, se pronunció en los siguientes términos:</w:t>
      </w:r>
    </w:p>
    <w:p w14:paraId="209BD09C" w14:textId="77777777" w:rsidR="00BE09C5" w:rsidRPr="00D64568" w:rsidRDefault="00BE09C5" w:rsidP="00BE09C5">
      <w:pPr>
        <w:ind w:left="709" w:right="51"/>
        <w:jc w:val="both"/>
        <w:rPr>
          <w:sz w:val="28"/>
          <w:szCs w:val="28"/>
          <w:lang w:val="es-CO"/>
        </w:rPr>
      </w:pPr>
    </w:p>
    <w:p w14:paraId="149EBA41" w14:textId="77777777" w:rsidR="004237E0" w:rsidRPr="00D64568" w:rsidRDefault="004237E0" w:rsidP="00805047">
      <w:pPr>
        <w:ind w:left="709" w:right="51"/>
        <w:jc w:val="both"/>
        <w:rPr>
          <w:sz w:val="28"/>
          <w:szCs w:val="28"/>
          <w:lang w:val="es-CO"/>
        </w:rPr>
      </w:pPr>
      <w:r w:rsidRPr="00D64568">
        <w:rPr>
          <w:sz w:val="28"/>
          <w:szCs w:val="28"/>
          <w:lang w:val="es-CO"/>
        </w:rPr>
        <w:t xml:space="preserve">“La determinación del momento a partir del cual se produce la caducidad de la acción no presenta problemas cuando la realización del hecho, operación, ocupación u omisión coincide con la producción del daño. No obstante, cuando el perjuicio se produce o </w:t>
      </w:r>
      <w:r w:rsidRPr="00D64568">
        <w:rPr>
          <w:b/>
          <w:sz w:val="28"/>
          <w:szCs w:val="28"/>
          <w:lang w:val="es-CO"/>
        </w:rPr>
        <w:t>se manifiesta en un momento posterior o se trata de daños permanentes, de tracto sucesivo o que se agravan con el tiempo, surgen dificultades para su determinación</w:t>
      </w:r>
      <w:r w:rsidRPr="00D64568">
        <w:rPr>
          <w:sz w:val="28"/>
          <w:szCs w:val="28"/>
          <w:lang w:val="es-CO"/>
        </w:rPr>
        <w:t>.</w:t>
      </w:r>
    </w:p>
    <w:p w14:paraId="285C1154" w14:textId="77777777" w:rsidR="004237E0" w:rsidRPr="00D64568" w:rsidRDefault="004237E0" w:rsidP="00805047">
      <w:pPr>
        <w:ind w:left="709" w:right="51"/>
        <w:jc w:val="both"/>
        <w:rPr>
          <w:sz w:val="28"/>
          <w:szCs w:val="28"/>
          <w:lang w:val="es-CO"/>
        </w:rPr>
      </w:pPr>
      <w:r w:rsidRPr="00D64568">
        <w:rPr>
          <w:sz w:val="28"/>
          <w:szCs w:val="28"/>
          <w:lang w:val="es-CO"/>
        </w:rPr>
        <w:t xml:space="preserve">(...) </w:t>
      </w:r>
    </w:p>
    <w:p w14:paraId="6F118274" w14:textId="77777777" w:rsidR="004237E0" w:rsidRPr="00D64568" w:rsidRDefault="004237E0" w:rsidP="00805047">
      <w:pPr>
        <w:ind w:left="709" w:right="51"/>
        <w:jc w:val="both"/>
        <w:rPr>
          <w:sz w:val="28"/>
          <w:szCs w:val="28"/>
          <w:lang w:val="es-CO"/>
        </w:rPr>
      </w:pPr>
      <w:r w:rsidRPr="00D64568">
        <w:rPr>
          <w:sz w:val="28"/>
          <w:szCs w:val="28"/>
          <w:lang w:val="es-CO"/>
        </w:rPr>
        <w:t>“Una primera regla puede inferirse de las providencias citadas</w:t>
      </w:r>
      <w:r w:rsidRPr="00D64568">
        <w:rPr>
          <w:rStyle w:val="Refdenotaalpie"/>
          <w:sz w:val="28"/>
          <w:szCs w:val="28"/>
          <w:lang w:val="es-CO"/>
        </w:rPr>
        <w:footnoteReference w:id="2"/>
      </w:r>
      <w:r w:rsidRPr="00D64568">
        <w:rPr>
          <w:sz w:val="28"/>
          <w:szCs w:val="28"/>
          <w:lang w:val="es-CO"/>
        </w:rPr>
        <w:t>: no es posible aislar las afirmaciones que en ellas se hace relacionadas con el fenómeno de la caducidad de la acción, para deducir criterios de aplicación general, pues deben tenerse en cuenta las circunstancias particulares del caso. Es decir, dichas afirmaciones deben ser entendidas dentro del contexto de la decisión.</w:t>
      </w:r>
    </w:p>
    <w:p w14:paraId="0305C844" w14:textId="05E75659" w:rsidR="1A782E34" w:rsidRDefault="1A782E34" w:rsidP="1A782E34">
      <w:pPr>
        <w:ind w:left="709" w:right="51"/>
        <w:jc w:val="both"/>
        <w:rPr>
          <w:sz w:val="28"/>
          <w:szCs w:val="28"/>
          <w:lang w:val="es-CO"/>
        </w:rPr>
      </w:pPr>
    </w:p>
    <w:p w14:paraId="0DC68C29" w14:textId="77777777" w:rsidR="004237E0" w:rsidRPr="00D64568" w:rsidRDefault="004237E0" w:rsidP="00805047">
      <w:pPr>
        <w:ind w:left="709" w:right="51"/>
        <w:jc w:val="both"/>
        <w:rPr>
          <w:sz w:val="28"/>
          <w:szCs w:val="28"/>
          <w:lang w:val="es-CO"/>
        </w:rPr>
      </w:pPr>
      <w:r w:rsidRPr="00D64568">
        <w:rPr>
          <w:sz w:val="28"/>
          <w:szCs w:val="28"/>
          <w:lang w:val="es-CO"/>
        </w:rPr>
        <w:t>“Una segunda regla que ha sido adoptada por la Sala en varias providencias</w:t>
      </w:r>
      <w:r w:rsidRPr="00D64568">
        <w:rPr>
          <w:rStyle w:val="Refdenotaalpie"/>
          <w:sz w:val="28"/>
          <w:szCs w:val="28"/>
          <w:lang w:val="es-CO"/>
        </w:rPr>
        <w:footnoteReference w:id="3"/>
      </w:r>
      <w:r w:rsidRPr="00D64568">
        <w:rPr>
          <w:sz w:val="28"/>
          <w:szCs w:val="28"/>
          <w:lang w:val="es-CO"/>
        </w:rPr>
        <w:t xml:space="preserve"> </w:t>
      </w:r>
      <w:r w:rsidRPr="00D64568">
        <w:rPr>
          <w:b/>
          <w:sz w:val="28"/>
          <w:szCs w:val="28"/>
          <w:lang w:val="es-CO"/>
        </w:rPr>
        <w:t xml:space="preserve">es la de preferir en la interpretación de los casos complejos la aplicación del principio </w:t>
      </w:r>
      <w:r w:rsidRPr="00D64568">
        <w:rPr>
          <w:b/>
          <w:iCs/>
          <w:sz w:val="28"/>
          <w:szCs w:val="28"/>
          <w:lang w:val="es-CO"/>
        </w:rPr>
        <w:t xml:space="preserve">pro </w:t>
      </w:r>
      <w:proofErr w:type="spellStart"/>
      <w:r w:rsidRPr="00D64568">
        <w:rPr>
          <w:b/>
          <w:iCs/>
          <w:sz w:val="28"/>
          <w:szCs w:val="28"/>
          <w:lang w:val="es-CO"/>
        </w:rPr>
        <w:t>damato</w:t>
      </w:r>
      <w:proofErr w:type="spellEnd"/>
      <w:r w:rsidRPr="00D64568">
        <w:rPr>
          <w:sz w:val="28"/>
          <w:szCs w:val="28"/>
          <w:lang w:val="es-CO"/>
        </w:rPr>
        <w:t xml:space="preserve">, lo cual implica un alivio de los rigores de la caducidad con respecto a las víctimas titulares del derecho al resarcimiento. </w:t>
      </w:r>
    </w:p>
    <w:p w14:paraId="14FBC9A7" w14:textId="77777777" w:rsidR="004237E0" w:rsidRPr="00D64568" w:rsidRDefault="004237E0" w:rsidP="00805047">
      <w:pPr>
        <w:ind w:left="709" w:right="51"/>
        <w:jc w:val="both"/>
        <w:rPr>
          <w:sz w:val="28"/>
          <w:szCs w:val="28"/>
          <w:lang w:val="es-CO"/>
        </w:rPr>
      </w:pPr>
      <w:r w:rsidRPr="00D64568">
        <w:rPr>
          <w:sz w:val="28"/>
          <w:szCs w:val="28"/>
          <w:lang w:val="es-CO"/>
        </w:rPr>
        <w:t>(…)</w:t>
      </w:r>
    </w:p>
    <w:p w14:paraId="1A73CD75" w14:textId="348B7768" w:rsidR="00FF61C1" w:rsidRPr="00D64568" w:rsidRDefault="00FF61C1" w:rsidP="00805047">
      <w:pPr>
        <w:ind w:left="709" w:right="51"/>
        <w:jc w:val="both"/>
        <w:rPr>
          <w:sz w:val="28"/>
          <w:szCs w:val="28"/>
          <w:lang w:val="es-CO"/>
        </w:rPr>
      </w:pPr>
      <w:r w:rsidRPr="489ED13A">
        <w:rPr>
          <w:sz w:val="28"/>
          <w:szCs w:val="28"/>
          <w:lang w:val="es-CO"/>
        </w:rPr>
        <w:t xml:space="preserve">"En síntesis, en un tema tan complejo como el de la caducidad, que involucra de una parte razones de equidad y de otra el interés de la seguridad jurídica, </w:t>
      </w:r>
      <w:r w:rsidRPr="489ED13A">
        <w:rPr>
          <w:b/>
          <w:bCs/>
          <w:sz w:val="28"/>
          <w:szCs w:val="28"/>
          <w:lang w:val="es-CO"/>
        </w:rPr>
        <w:t>no es posible establecer criterios absolutos, pues todo depende de las circunstancias que rodean el caso concreto</w:t>
      </w:r>
      <w:r w:rsidRPr="489ED13A">
        <w:rPr>
          <w:sz w:val="28"/>
          <w:szCs w:val="28"/>
          <w:lang w:val="es-CO"/>
        </w:rPr>
        <w:t>. No obstante, no debe perderse de vista que, de conformidad con la ley, para establecer el término de caducidad se debe tener en cuenta el momento de la producción del hecho, omisión, operación u ocupación generadores del perjuicio.</w:t>
      </w:r>
    </w:p>
    <w:p w14:paraId="679DC769" w14:textId="77777777" w:rsidR="00FF61C1" w:rsidRPr="00D64568" w:rsidRDefault="00FF61C1" w:rsidP="00805047">
      <w:pPr>
        <w:ind w:left="709" w:right="51"/>
        <w:jc w:val="both"/>
        <w:rPr>
          <w:sz w:val="28"/>
          <w:szCs w:val="28"/>
          <w:lang w:val="es-CO"/>
        </w:rPr>
      </w:pPr>
      <w:r w:rsidRPr="00D64568">
        <w:rPr>
          <w:sz w:val="28"/>
          <w:szCs w:val="28"/>
          <w:lang w:val="es-CO"/>
        </w:rPr>
        <w:t>(…)</w:t>
      </w:r>
    </w:p>
    <w:p w14:paraId="2AF7F30B" w14:textId="77777777" w:rsidR="004237E0" w:rsidRPr="00D64568" w:rsidRDefault="004237E0" w:rsidP="00805047">
      <w:pPr>
        <w:ind w:left="709" w:right="51"/>
        <w:jc w:val="both"/>
        <w:rPr>
          <w:sz w:val="28"/>
          <w:szCs w:val="28"/>
        </w:rPr>
      </w:pPr>
      <w:r w:rsidRPr="00D64568">
        <w:rPr>
          <w:b/>
          <w:sz w:val="28"/>
          <w:szCs w:val="28"/>
        </w:rPr>
        <w:lastRenderedPageBreak/>
        <w:t xml:space="preserve">“Para la solución de los casos difíciles como los de los daños que se agravan con el tiempo, </w:t>
      </w:r>
      <w:r w:rsidRPr="00D64568">
        <w:rPr>
          <w:sz w:val="28"/>
          <w:szCs w:val="28"/>
        </w:rPr>
        <w:t>o de aquellos que se producen sucesivamente, o de los que son el resultado de hechos sucesivos,</w:t>
      </w:r>
      <w:r w:rsidRPr="00D64568">
        <w:rPr>
          <w:b/>
          <w:sz w:val="28"/>
          <w:szCs w:val="28"/>
        </w:rPr>
        <w:t xml:space="preserve"> el juez debe tener la máxima prudencia para definir el término de caducidad de la acción de tal manera que si bien dé aplicación a la norma legal, la cual está prevista como garantía de seguridad jurídica, no omita por razones formales la reparación de los daños que la merecen”</w:t>
      </w:r>
      <w:r w:rsidRPr="00D64568">
        <w:rPr>
          <w:rStyle w:val="Refdenotaalpie"/>
          <w:b/>
          <w:sz w:val="28"/>
          <w:szCs w:val="28"/>
        </w:rPr>
        <w:t xml:space="preserve"> </w:t>
      </w:r>
      <w:r w:rsidRPr="00D64568">
        <w:rPr>
          <w:rStyle w:val="Refdenotaalpie"/>
          <w:b/>
          <w:sz w:val="28"/>
          <w:szCs w:val="28"/>
        </w:rPr>
        <w:footnoteReference w:id="4"/>
      </w:r>
      <w:r w:rsidRPr="00D64568">
        <w:rPr>
          <w:rStyle w:val="Refdenotaalpie"/>
          <w:sz w:val="28"/>
          <w:szCs w:val="28"/>
        </w:rPr>
        <w:t>“</w:t>
      </w:r>
      <w:r w:rsidR="00FF61C1" w:rsidRPr="00D64568">
        <w:rPr>
          <w:sz w:val="28"/>
          <w:szCs w:val="28"/>
        </w:rPr>
        <w:t>(Destacado de la Sala)</w:t>
      </w:r>
      <w:r w:rsidR="00BE09C5" w:rsidRPr="00D64568">
        <w:rPr>
          <w:sz w:val="28"/>
          <w:szCs w:val="28"/>
        </w:rPr>
        <w:t>.</w:t>
      </w:r>
    </w:p>
    <w:p w14:paraId="0533B60E" w14:textId="77777777" w:rsidR="004237E0" w:rsidRPr="00D64568" w:rsidRDefault="004237E0" w:rsidP="004237E0">
      <w:pPr>
        <w:spacing w:line="360" w:lineRule="auto"/>
        <w:ind w:left="567" w:right="335"/>
        <w:jc w:val="both"/>
        <w:rPr>
          <w:i/>
          <w:sz w:val="26"/>
          <w:szCs w:val="26"/>
        </w:rPr>
      </w:pPr>
    </w:p>
    <w:p w14:paraId="2BDBEE62" w14:textId="6FD0087D" w:rsidR="002C1E8D" w:rsidRPr="00D64568" w:rsidRDefault="002C1E8D" w:rsidP="00331392">
      <w:pPr>
        <w:spacing w:line="360" w:lineRule="auto"/>
        <w:ind w:right="51"/>
        <w:jc w:val="both"/>
        <w:rPr>
          <w:sz w:val="28"/>
          <w:szCs w:val="28"/>
        </w:rPr>
      </w:pPr>
      <w:r w:rsidRPr="00D64568">
        <w:rPr>
          <w:sz w:val="28"/>
          <w:szCs w:val="28"/>
        </w:rPr>
        <w:t>En tal sentido, la jurisprudencia del Consejo de Estado ha precisado que el</w:t>
      </w:r>
      <w:r w:rsidRPr="00D64568">
        <w:rPr>
          <w:b/>
          <w:sz w:val="28"/>
          <w:szCs w:val="28"/>
        </w:rPr>
        <w:t xml:space="preserve"> </w:t>
      </w:r>
      <w:r w:rsidRPr="00D64568">
        <w:rPr>
          <w:sz w:val="28"/>
          <w:szCs w:val="28"/>
        </w:rPr>
        <w:t>daño puede provenir de un acontecimiento de agotamiento instantáneo y ocasionalmente de un hecho</w:t>
      </w:r>
      <w:r w:rsidR="00FF61C1" w:rsidRPr="00D64568">
        <w:rPr>
          <w:sz w:val="28"/>
          <w:szCs w:val="28"/>
        </w:rPr>
        <w:t xml:space="preserve"> que se produce progresivamente.</w:t>
      </w:r>
      <w:r w:rsidRPr="00D64568">
        <w:rPr>
          <w:sz w:val="28"/>
          <w:szCs w:val="28"/>
        </w:rPr>
        <w:t xml:space="preserve"> </w:t>
      </w:r>
      <w:r w:rsidR="00FF61C1" w:rsidRPr="00D64568">
        <w:rPr>
          <w:sz w:val="28"/>
          <w:szCs w:val="28"/>
        </w:rPr>
        <w:t>C</w:t>
      </w:r>
      <w:r w:rsidRPr="00D64568">
        <w:rPr>
          <w:sz w:val="28"/>
          <w:szCs w:val="28"/>
        </w:rPr>
        <w:t xml:space="preserve">uando el hecho es de agotamiento instantáneo, el </w:t>
      </w:r>
      <w:r w:rsidRPr="00D64568">
        <w:rPr>
          <w:sz w:val="28"/>
          <w:szCs w:val="28"/>
          <w:u w:val="single"/>
        </w:rPr>
        <w:t>término de caducidad por regla general se contabiliza a partir del día siguiente al de la producción del acontecimiento dañoso,</w:t>
      </w:r>
      <w:r w:rsidRPr="00D64568">
        <w:rPr>
          <w:sz w:val="28"/>
          <w:szCs w:val="28"/>
        </w:rPr>
        <w:t xml:space="preserve"> mientras que</w:t>
      </w:r>
      <w:r w:rsidR="000662EF">
        <w:rPr>
          <w:sz w:val="28"/>
          <w:szCs w:val="28"/>
        </w:rPr>
        <w:t>,</w:t>
      </w:r>
      <w:r w:rsidRPr="00D64568">
        <w:rPr>
          <w:sz w:val="28"/>
          <w:szCs w:val="28"/>
        </w:rPr>
        <w:t xml:space="preserve"> en el caso de producción paulatina de daños, el término corre de manera independiente para cada uno de los daños derivados de los diferentes eventos sucesivos. Sobre este aspecto, ha advertido que </w:t>
      </w:r>
      <w:r w:rsidRPr="00D64568">
        <w:rPr>
          <w:sz w:val="28"/>
          <w:szCs w:val="28"/>
          <w:u w:val="single"/>
        </w:rPr>
        <w:t xml:space="preserve">no debe confundirse la producción de daños sucesivos con el agravamiento de sus efectos, ya que en el último caso el término empieza a contabilizarse desde la producción del hecho que le </w:t>
      </w:r>
      <w:proofErr w:type="spellStart"/>
      <w:r w:rsidRPr="00D64568">
        <w:rPr>
          <w:sz w:val="28"/>
          <w:szCs w:val="28"/>
          <w:u w:val="single"/>
        </w:rPr>
        <w:t>di</w:t>
      </w:r>
      <w:r w:rsidR="00FF2B35" w:rsidRPr="00D64568">
        <w:rPr>
          <w:sz w:val="28"/>
          <w:szCs w:val="28"/>
          <w:u w:val="single"/>
        </w:rPr>
        <w:t>ó</w:t>
      </w:r>
      <w:proofErr w:type="spellEnd"/>
      <w:r w:rsidRPr="00D64568">
        <w:rPr>
          <w:sz w:val="28"/>
          <w:szCs w:val="28"/>
          <w:u w:val="single"/>
        </w:rPr>
        <w:t xml:space="preserve"> origen</w:t>
      </w:r>
      <w:r w:rsidRPr="00D64568">
        <w:rPr>
          <w:rStyle w:val="Refdenotaalpie"/>
          <w:sz w:val="28"/>
          <w:szCs w:val="28"/>
        </w:rPr>
        <w:footnoteReference w:id="5"/>
      </w:r>
      <w:r w:rsidRPr="00D64568">
        <w:rPr>
          <w:sz w:val="28"/>
          <w:szCs w:val="28"/>
        </w:rPr>
        <w:t>.</w:t>
      </w:r>
    </w:p>
    <w:p w14:paraId="2F550164" w14:textId="77777777" w:rsidR="002C1E8D" w:rsidRPr="00D64568" w:rsidRDefault="002C1E8D" w:rsidP="00331392">
      <w:pPr>
        <w:spacing w:line="360" w:lineRule="auto"/>
        <w:ind w:right="268"/>
        <w:jc w:val="both"/>
        <w:rPr>
          <w:sz w:val="28"/>
          <w:szCs w:val="28"/>
        </w:rPr>
      </w:pPr>
    </w:p>
    <w:p w14:paraId="6B23205C" w14:textId="77777777" w:rsidR="008029AB" w:rsidRDefault="008029AB" w:rsidP="008029AB">
      <w:pPr>
        <w:pStyle w:val="Textoindependiente21"/>
        <w:rPr>
          <w:rFonts w:ascii="Times New Roman" w:hAnsi="Times New Roman"/>
          <w:szCs w:val="28"/>
        </w:rPr>
      </w:pPr>
      <w:r w:rsidRPr="00D64568">
        <w:rPr>
          <w:rFonts w:ascii="Times New Roman" w:hAnsi="Times New Roman"/>
          <w:szCs w:val="28"/>
        </w:rPr>
        <w:t>Sobre la caducidad ha dicho la Corte Constitucional</w:t>
      </w:r>
      <w:r w:rsidRPr="00D64568">
        <w:rPr>
          <w:rStyle w:val="Refdenotaalpie"/>
          <w:rFonts w:ascii="Times New Roman" w:hAnsi="Times New Roman"/>
          <w:szCs w:val="28"/>
        </w:rPr>
        <w:footnoteReference w:id="6"/>
      </w:r>
      <w:r w:rsidRPr="00D64568">
        <w:rPr>
          <w:rFonts w:ascii="Times New Roman" w:hAnsi="Times New Roman"/>
          <w:szCs w:val="28"/>
        </w:rPr>
        <w:t xml:space="preserve">: ‘que </w:t>
      </w:r>
      <w:r w:rsidRPr="00D64568">
        <w:rPr>
          <w:rFonts w:ascii="Times New Roman" w:hAnsi="Times New Roman"/>
          <w:b/>
          <w:szCs w:val="28"/>
        </w:rPr>
        <w:t>es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excusas algunas para revivirlos.</w:t>
      </w:r>
      <w:r w:rsidRPr="00D64568">
        <w:rPr>
          <w:rFonts w:ascii="Times New Roman" w:hAnsi="Times New Roman"/>
          <w:szCs w:val="28"/>
        </w:rPr>
        <w:t xml:space="preserve"> Dichos plazos constituyen entonces una garantía para la seguridad jurídica y el interés general.</w:t>
      </w:r>
    </w:p>
    <w:p w14:paraId="3D9D4AC1" w14:textId="77777777" w:rsidR="006E4355" w:rsidRDefault="006E4355" w:rsidP="006E4355">
      <w:pPr>
        <w:tabs>
          <w:tab w:val="left" w:pos="709"/>
        </w:tabs>
        <w:spacing w:line="360" w:lineRule="auto"/>
        <w:jc w:val="both"/>
        <w:rPr>
          <w:color w:val="000000"/>
          <w:sz w:val="28"/>
          <w:szCs w:val="28"/>
          <w:lang w:val="es-ES_tradnl"/>
        </w:rPr>
      </w:pPr>
    </w:p>
    <w:p w14:paraId="5649A627" w14:textId="77777777" w:rsidR="006E4355" w:rsidRPr="00D64568" w:rsidRDefault="006E4355" w:rsidP="006E4355">
      <w:pPr>
        <w:tabs>
          <w:tab w:val="left" w:pos="709"/>
        </w:tabs>
        <w:spacing w:line="360" w:lineRule="auto"/>
        <w:jc w:val="both"/>
        <w:rPr>
          <w:sz w:val="28"/>
          <w:szCs w:val="28"/>
          <w:lang w:val="es-CO"/>
        </w:rPr>
      </w:pPr>
      <w:r w:rsidRPr="00D64568">
        <w:rPr>
          <w:sz w:val="28"/>
          <w:szCs w:val="28"/>
          <w:lang w:val="es-CO"/>
        </w:rPr>
        <w:t>El artículo 164 del CPACA establece:</w:t>
      </w:r>
    </w:p>
    <w:p w14:paraId="6278106A" w14:textId="77777777" w:rsidR="006E4355" w:rsidRPr="00D64568" w:rsidRDefault="006E4355" w:rsidP="006E4355">
      <w:pPr>
        <w:tabs>
          <w:tab w:val="left" w:pos="709"/>
        </w:tabs>
        <w:ind w:left="708"/>
        <w:jc w:val="both"/>
        <w:rPr>
          <w:sz w:val="28"/>
          <w:szCs w:val="28"/>
          <w:lang w:val="es-CO"/>
        </w:rPr>
      </w:pPr>
    </w:p>
    <w:p w14:paraId="331AA214" w14:textId="77777777" w:rsidR="006E4355" w:rsidRPr="00D64568" w:rsidRDefault="006E4355" w:rsidP="006E4355">
      <w:pPr>
        <w:tabs>
          <w:tab w:val="left" w:pos="709"/>
        </w:tabs>
        <w:ind w:left="708"/>
        <w:jc w:val="both"/>
        <w:rPr>
          <w:sz w:val="28"/>
          <w:szCs w:val="28"/>
        </w:rPr>
      </w:pPr>
      <w:r w:rsidRPr="00D64568">
        <w:rPr>
          <w:sz w:val="28"/>
          <w:szCs w:val="28"/>
          <w:lang w:val="es-CO"/>
        </w:rPr>
        <w:t xml:space="preserve">“La </w:t>
      </w:r>
      <w:r w:rsidRPr="00D64568">
        <w:rPr>
          <w:sz w:val="28"/>
          <w:szCs w:val="28"/>
        </w:rPr>
        <w:t>demanda deberá ser presentada:</w:t>
      </w:r>
    </w:p>
    <w:p w14:paraId="1FC89E80" w14:textId="77777777" w:rsidR="006E4355" w:rsidRPr="00D64568" w:rsidRDefault="006E4355" w:rsidP="006E4355">
      <w:pPr>
        <w:tabs>
          <w:tab w:val="left" w:pos="709"/>
        </w:tabs>
        <w:ind w:left="708"/>
        <w:jc w:val="both"/>
        <w:rPr>
          <w:sz w:val="28"/>
          <w:szCs w:val="28"/>
        </w:rPr>
      </w:pPr>
      <w:r w:rsidRPr="00D64568">
        <w:rPr>
          <w:sz w:val="28"/>
          <w:szCs w:val="28"/>
        </w:rPr>
        <w:lastRenderedPageBreak/>
        <w:t>(…)</w:t>
      </w:r>
    </w:p>
    <w:p w14:paraId="6E75680B" w14:textId="77777777" w:rsidR="006E4355" w:rsidRPr="00D64568" w:rsidRDefault="006E4355" w:rsidP="006E4355">
      <w:pPr>
        <w:tabs>
          <w:tab w:val="left" w:pos="709"/>
        </w:tabs>
        <w:ind w:left="708"/>
        <w:jc w:val="both"/>
        <w:rPr>
          <w:sz w:val="28"/>
          <w:szCs w:val="28"/>
        </w:rPr>
      </w:pPr>
      <w:r w:rsidRPr="00D64568">
        <w:rPr>
          <w:sz w:val="28"/>
          <w:szCs w:val="28"/>
        </w:rPr>
        <w:t xml:space="preserve">i) </w:t>
      </w:r>
      <w:r w:rsidRPr="00D64568">
        <w:rPr>
          <w:sz w:val="28"/>
          <w:szCs w:val="28"/>
          <w:u w:val="single"/>
        </w:rPr>
        <w:t>Cuando se pretenda la reparación directa</w:t>
      </w:r>
      <w:r w:rsidRPr="00D64568">
        <w:rPr>
          <w:sz w:val="28"/>
          <w:szCs w:val="28"/>
        </w:rPr>
        <w:t xml:space="preserve">, la demanda deberá presentarse </w:t>
      </w:r>
      <w:r w:rsidRPr="00D64568">
        <w:rPr>
          <w:sz w:val="28"/>
          <w:szCs w:val="28"/>
          <w:u w:val="single"/>
        </w:rPr>
        <w:t>dentro del término de dos (2) años</w:t>
      </w:r>
      <w:r w:rsidRPr="00D64568">
        <w:rPr>
          <w:sz w:val="28"/>
          <w:szCs w:val="28"/>
        </w:rPr>
        <w:t xml:space="preserve">, </w:t>
      </w:r>
      <w:r w:rsidRPr="00D64568">
        <w:rPr>
          <w:b/>
          <w:sz w:val="28"/>
          <w:szCs w:val="28"/>
          <w:u w:val="single"/>
        </w:rPr>
        <w:t>contados a partir del día siguiente al de la ocurrencia de la acción</w:t>
      </w:r>
      <w:r w:rsidRPr="00D64568">
        <w:rPr>
          <w:b/>
          <w:sz w:val="28"/>
          <w:szCs w:val="28"/>
        </w:rPr>
        <w:t xml:space="preserve"> </w:t>
      </w:r>
      <w:r w:rsidRPr="00D64568">
        <w:rPr>
          <w:b/>
          <w:sz w:val="28"/>
          <w:szCs w:val="28"/>
          <w:u w:val="single"/>
        </w:rPr>
        <w:t>u omisión causante del daño</w:t>
      </w:r>
      <w:r w:rsidRPr="00D64568">
        <w:rPr>
          <w:sz w:val="28"/>
          <w:szCs w:val="28"/>
        </w:rPr>
        <w:t>, o de cuando el demandante tuvo o debió tener conocimiento del mismo si fue en fecha posterior y siempre que pruebe la imposibilidad de haberlo conocido en la fecha de su ocurrencia (…)”</w:t>
      </w:r>
    </w:p>
    <w:p w14:paraId="29255C24" w14:textId="77777777" w:rsidR="006E4355" w:rsidRPr="00D64568" w:rsidRDefault="006E4355" w:rsidP="006E4355">
      <w:pPr>
        <w:tabs>
          <w:tab w:val="left" w:pos="709"/>
        </w:tabs>
        <w:spacing w:line="360" w:lineRule="auto"/>
        <w:jc w:val="both"/>
        <w:rPr>
          <w:sz w:val="28"/>
          <w:szCs w:val="28"/>
          <w:lang w:val="es-CO"/>
        </w:rPr>
      </w:pPr>
    </w:p>
    <w:p w14:paraId="194CAB85" w14:textId="77777777" w:rsidR="006E4355" w:rsidRPr="00D64568" w:rsidRDefault="006E4355" w:rsidP="006E4355">
      <w:pPr>
        <w:tabs>
          <w:tab w:val="left" w:pos="709"/>
        </w:tabs>
        <w:spacing w:line="360" w:lineRule="auto"/>
        <w:jc w:val="both"/>
        <w:rPr>
          <w:sz w:val="28"/>
          <w:szCs w:val="28"/>
          <w:lang w:val="es-CO"/>
        </w:rPr>
      </w:pPr>
      <w:r w:rsidRPr="00D64568">
        <w:rPr>
          <w:sz w:val="28"/>
          <w:szCs w:val="28"/>
          <w:lang w:val="es-CO"/>
        </w:rPr>
        <w:t>De</w:t>
      </w:r>
      <w:r w:rsidRPr="00D64568">
        <w:rPr>
          <w:sz w:val="28"/>
          <w:szCs w:val="28"/>
        </w:rPr>
        <w:t xml:space="preserve"> lo anterior se infiere que el término de caducidad debe contarse a partir del día siguiente a la ocurrencia de los hechos, o a partir del momento en que se tuvo conocimiento de estos, sin importar que los perjuicios se hubiesen prolongado en el tiempo.</w:t>
      </w:r>
    </w:p>
    <w:p w14:paraId="2D5CCA03" w14:textId="77777777" w:rsidR="006E4355" w:rsidRDefault="006E4355" w:rsidP="008029AB">
      <w:pPr>
        <w:pStyle w:val="Textoindependiente21"/>
        <w:rPr>
          <w:rFonts w:ascii="Times New Roman" w:hAnsi="Times New Roman"/>
          <w:szCs w:val="28"/>
        </w:rPr>
      </w:pPr>
    </w:p>
    <w:p w14:paraId="5BBE8D82" w14:textId="77777777" w:rsidR="00A37128" w:rsidRDefault="00A37128" w:rsidP="489ED13A">
      <w:pPr>
        <w:pStyle w:val="Textoindependiente21"/>
        <w:rPr>
          <w:rFonts w:ascii="Times New Roman" w:hAnsi="Times New Roman"/>
        </w:rPr>
      </w:pPr>
      <w:r w:rsidRPr="1A782E34">
        <w:rPr>
          <w:rFonts w:ascii="Times New Roman" w:hAnsi="Times New Roman"/>
        </w:rPr>
        <w:t xml:space="preserve">Por último, ha de considerarse que la caducidad del medio de control solamente admite </w:t>
      </w:r>
      <w:r w:rsidRPr="1A782E34">
        <w:rPr>
          <w:rFonts w:ascii="Times New Roman" w:hAnsi="Times New Roman"/>
          <w:b/>
          <w:bCs/>
        </w:rPr>
        <w:t>suspensión</w:t>
      </w:r>
      <w:r w:rsidRPr="1A782E34">
        <w:rPr>
          <w:rFonts w:ascii="Times New Roman" w:hAnsi="Times New Roman"/>
        </w:rPr>
        <w:t xml:space="preserve"> cuando para presentarse la demanda debe agotarse el requisito de la </w:t>
      </w:r>
      <w:r w:rsidR="006E4355" w:rsidRPr="1A782E34">
        <w:rPr>
          <w:rFonts w:ascii="Times New Roman" w:hAnsi="Times New Roman"/>
        </w:rPr>
        <w:t>conciliación</w:t>
      </w:r>
      <w:r w:rsidRPr="1A782E34">
        <w:rPr>
          <w:rFonts w:ascii="Times New Roman" w:hAnsi="Times New Roman"/>
        </w:rPr>
        <w:t xml:space="preserve"> </w:t>
      </w:r>
      <w:r w:rsidR="006E4355" w:rsidRPr="1A782E34">
        <w:rPr>
          <w:rFonts w:ascii="Times New Roman" w:hAnsi="Times New Roman"/>
        </w:rPr>
        <w:t xml:space="preserve">prejudicial </w:t>
      </w:r>
      <w:r w:rsidRPr="1A782E34">
        <w:rPr>
          <w:rFonts w:ascii="Times New Roman" w:hAnsi="Times New Roman"/>
        </w:rPr>
        <w:t xml:space="preserve">regulada en el </w:t>
      </w:r>
      <w:r w:rsidR="006E4355" w:rsidRPr="1A782E34">
        <w:rPr>
          <w:rFonts w:ascii="Times New Roman" w:hAnsi="Times New Roman"/>
        </w:rPr>
        <w:t>numeral</w:t>
      </w:r>
      <w:r w:rsidRPr="1A782E34">
        <w:rPr>
          <w:rFonts w:ascii="Times New Roman" w:hAnsi="Times New Roman"/>
        </w:rPr>
        <w:t xml:space="preserve"> 1</w:t>
      </w:r>
      <w:r w:rsidR="006E4355" w:rsidRPr="1A782E34">
        <w:rPr>
          <w:rFonts w:ascii="Times New Roman" w:hAnsi="Times New Roman"/>
        </w:rPr>
        <w:t>°</w:t>
      </w:r>
      <w:r w:rsidRPr="1A782E34">
        <w:rPr>
          <w:rFonts w:ascii="Times New Roman" w:hAnsi="Times New Roman"/>
        </w:rPr>
        <w:t xml:space="preserve"> del </w:t>
      </w:r>
      <w:r w:rsidR="006E4355" w:rsidRPr="1A782E34">
        <w:rPr>
          <w:rFonts w:ascii="Times New Roman" w:hAnsi="Times New Roman"/>
        </w:rPr>
        <w:t>artículo</w:t>
      </w:r>
      <w:r w:rsidRPr="1A782E34">
        <w:rPr>
          <w:rFonts w:ascii="Times New Roman" w:hAnsi="Times New Roman"/>
        </w:rPr>
        <w:t xml:space="preserve"> 161 del CPACA pa</w:t>
      </w:r>
      <w:r w:rsidRPr="489ED13A">
        <w:rPr>
          <w:rFonts w:ascii="Times New Roman" w:hAnsi="Times New Roman"/>
        </w:rPr>
        <w:t xml:space="preserve">ra el </w:t>
      </w:r>
      <w:r w:rsidR="006E4355" w:rsidRPr="489ED13A">
        <w:rPr>
          <w:rFonts w:ascii="Times New Roman" w:hAnsi="Times New Roman"/>
        </w:rPr>
        <w:t>ejercicio</w:t>
      </w:r>
      <w:r w:rsidRPr="489ED13A">
        <w:rPr>
          <w:rFonts w:ascii="Times New Roman" w:hAnsi="Times New Roman"/>
        </w:rPr>
        <w:t xml:space="preserve"> del medio</w:t>
      </w:r>
      <w:r w:rsidR="006E4355" w:rsidRPr="489ED13A">
        <w:rPr>
          <w:rFonts w:ascii="Times New Roman" w:hAnsi="Times New Roman"/>
        </w:rPr>
        <w:t xml:space="preserve"> </w:t>
      </w:r>
      <w:r w:rsidRPr="489ED13A">
        <w:rPr>
          <w:rFonts w:ascii="Times New Roman" w:hAnsi="Times New Roman"/>
        </w:rPr>
        <w:t xml:space="preserve">de control de </w:t>
      </w:r>
      <w:r w:rsidR="006E4355" w:rsidRPr="489ED13A">
        <w:rPr>
          <w:rFonts w:ascii="Times New Roman" w:hAnsi="Times New Roman"/>
        </w:rPr>
        <w:t>reparación</w:t>
      </w:r>
      <w:r w:rsidRPr="489ED13A">
        <w:rPr>
          <w:rFonts w:ascii="Times New Roman" w:hAnsi="Times New Roman"/>
        </w:rPr>
        <w:t xml:space="preserve"> </w:t>
      </w:r>
      <w:r w:rsidR="006E4355" w:rsidRPr="489ED13A">
        <w:rPr>
          <w:rFonts w:ascii="Times New Roman" w:hAnsi="Times New Roman"/>
        </w:rPr>
        <w:t>directa</w:t>
      </w:r>
      <w:r w:rsidRPr="489ED13A">
        <w:rPr>
          <w:rFonts w:ascii="Times New Roman" w:hAnsi="Times New Roman"/>
        </w:rPr>
        <w:t xml:space="preserve">, entre otros, y sólo </w:t>
      </w:r>
      <w:r w:rsidR="006E4355" w:rsidRPr="489ED13A">
        <w:rPr>
          <w:rFonts w:ascii="Times New Roman" w:hAnsi="Times New Roman"/>
        </w:rPr>
        <w:t>excepcionalmente s</w:t>
      </w:r>
      <w:r w:rsidRPr="489ED13A">
        <w:rPr>
          <w:rFonts w:ascii="Times New Roman" w:hAnsi="Times New Roman"/>
        </w:rPr>
        <w:t>e</w:t>
      </w:r>
      <w:r w:rsidR="006E4355" w:rsidRPr="489ED13A">
        <w:rPr>
          <w:rFonts w:ascii="Times New Roman" w:hAnsi="Times New Roman"/>
        </w:rPr>
        <w:t xml:space="preserve"> considera</w:t>
      </w:r>
      <w:r w:rsidRPr="489ED13A">
        <w:rPr>
          <w:rFonts w:ascii="Times New Roman" w:hAnsi="Times New Roman"/>
        </w:rPr>
        <w:t xml:space="preserve"> que en </w:t>
      </w:r>
      <w:r w:rsidR="006E4355" w:rsidRPr="489ED13A">
        <w:rPr>
          <w:rFonts w:ascii="Times New Roman" w:hAnsi="Times New Roman"/>
        </w:rPr>
        <w:t>estos</w:t>
      </w:r>
      <w:r w:rsidRPr="489ED13A">
        <w:rPr>
          <w:rFonts w:ascii="Times New Roman" w:hAnsi="Times New Roman"/>
        </w:rPr>
        <w:t xml:space="preserve"> </w:t>
      </w:r>
      <w:r w:rsidR="006E4355" w:rsidRPr="489ED13A">
        <w:rPr>
          <w:rFonts w:ascii="Times New Roman" w:hAnsi="Times New Roman"/>
        </w:rPr>
        <w:t>casos</w:t>
      </w:r>
      <w:r w:rsidRPr="489ED13A">
        <w:rPr>
          <w:rFonts w:ascii="Times New Roman" w:hAnsi="Times New Roman"/>
        </w:rPr>
        <w:t xml:space="preserve"> no </w:t>
      </w:r>
      <w:r w:rsidR="006E4355" w:rsidRPr="489ED13A">
        <w:rPr>
          <w:rFonts w:ascii="Times New Roman" w:hAnsi="Times New Roman"/>
        </w:rPr>
        <w:t>h</w:t>
      </w:r>
      <w:r w:rsidRPr="489ED13A">
        <w:rPr>
          <w:rFonts w:ascii="Times New Roman" w:hAnsi="Times New Roman"/>
        </w:rPr>
        <w:t xml:space="preserve">ay </w:t>
      </w:r>
      <w:r w:rsidR="006E4355" w:rsidRPr="489ED13A">
        <w:rPr>
          <w:rFonts w:ascii="Times New Roman" w:hAnsi="Times New Roman"/>
        </w:rPr>
        <w:t>lugar</w:t>
      </w:r>
      <w:r w:rsidRPr="489ED13A">
        <w:rPr>
          <w:rFonts w:ascii="Times New Roman" w:hAnsi="Times New Roman"/>
        </w:rPr>
        <w:t xml:space="preserve"> a considerar la caducidad </w:t>
      </w:r>
      <w:r w:rsidR="006E4355" w:rsidRPr="489ED13A">
        <w:rPr>
          <w:rFonts w:ascii="Times New Roman" w:hAnsi="Times New Roman"/>
        </w:rPr>
        <w:t xml:space="preserve">cuando se </w:t>
      </w:r>
      <w:r w:rsidRPr="489ED13A">
        <w:rPr>
          <w:rFonts w:ascii="Times New Roman" w:hAnsi="Times New Roman"/>
        </w:rPr>
        <w:t>trata de reclamar la indemnización de daños originados en l</w:t>
      </w:r>
      <w:r w:rsidR="006E4355" w:rsidRPr="489ED13A">
        <w:rPr>
          <w:rFonts w:ascii="Times New Roman" w:hAnsi="Times New Roman"/>
        </w:rPr>
        <w:t>a</w:t>
      </w:r>
      <w:r w:rsidRPr="489ED13A">
        <w:rPr>
          <w:rFonts w:ascii="Times New Roman" w:hAnsi="Times New Roman"/>
        </w:rPr>
        <w:t xml:space="preserve"> violación de los derechos humanos por delitos de lesa humanidad</w:t>
      </w:r>
      <w:r w:rsidR="00FC4571" w:rsidRPr="489ED13A">
        <w:rPr>
          <w:rStyle w:val="Refdenotaalpie"/>
          <w:rFonts w:ascii="Times New Roman" w:hAnsi="Times New Roman"/>
        </w:rPr>
        <w:footnoteReference w:id="7"/>
      </w:r>
      <w:r w:rsidRPr="489ED13A">
        <w:rPr>
          <w:rFonts w:ascii="Times New Roman" w:hAnsi="Times New Roman"/>
        </w:rPr>
        <w:t xml:space="preserve">. Por fuera de esta </w:t>
      </w:r>
      <w:r w:rsidR="006E4355" w:rsidRPr="489ED13A">
        <w:rPr>
          <w:rFonts w:ascii="Times New Roman" w:hAnsi="Times New Roman"/>
        </w:rPr>
        <w:t>excepción no existe la posibilidad reconocida en la jurisprudencia de no aplicar el término legal para el ejercicio del medio de control de reparación directa.</w:t>
      </w:r>
    </w:p>
    <w:p w14:paraId="3847ABD0" w14:textId="77777777" w:rsidR="008029AB" w:rsidRPr="00D64568" w:rsidRDefault="008029AB" w:rsidP="00331392">
      <w:pPr>
        <w:spacing w:line="360" w:lineRule="auto"/>
        <w:ind w:right="268"/>
        <w:jc w:val="both"/>
        <w:rPr>
          <w:sz w:val="28"/>
          <w:szCs w:val="28"/>
        </w:rPr>
      </w:pPr>
    </w:p>
    <w:p w14:paraId="30972082" w14:textId="77777777" w:rsidR="002C1E8D" w:rsidRPr="00934BE1" w:rsidRDefault="00A37128" w:rsidP="00934BE1">
      <w:pPr>
        <w:tabs>
          <w:tab w:val="left" w:pos="709"/>
        </w:tabs>
        <w:spacing w:line="360" w:lineRule="auto"/>
        <w:jc w:val="both"/>
        <w:rPr>
          <w:b/>
          <w:sz w:val="28"/>
          <w:szCs w:val="28"/>
        </w:rPr>
      </w:pPr>
      <w:r w:rsidRPr="00934BE1">
        <w:rPr>
          <w:b/>
          <w:sz w:val="28"/>
          <w:szCs w:val="28"/>
        </w:rPr>
        <w:t>4</w:t>
      </w:r>
      <w:r w:rsidR="002C1E8D" w:rsidRPr="00934BE1">
        <w:rPr>
          <w:b/>
          <w:sz w:val="28"/>
          <w:szCs w:val="28"/>
        </w:rPr>
        <w:t>. Solución al caso concreto</w:t>
      </w:r>
    </w:p>
    <w:p w14:paraId="30C6DBD1" w14:textId="77777777" w:rsidR="00B418E4" w:rsidRPr="00934BE1" w:rsidRDefault="00B418E4" w:rsidP="00934BE1">
      <w:pPr>
        <w:tabs>
          <w:tab w:val="left" w:pos="709"/>
        </w:tabs>
        <w:spacing w:line="360" w:lineRule="auto"/>
        <w:jc w:val="both"/>
        <w:rPr>
          <w:sz w:val="28"/>
          <w:szCs w:val="28"/>
          <w:lang w:val="es-CO"/>
        </w:rPr>
      </w:pPr>
    </w:p>
    <w:p w14:paraId="3FEF59BD" w14:textId="77777777" w:rsidR="00BE493C" w:rsidRPr="00934BE1" w:rsidRDefault="00BE493C" w:rsidP="1A782E34">
      <w:pPr>
        <w:pStyle w:val="BodyText23"/>
        <w:rPr>
          <w:color w:val="000000"/>
          <w:sz w:val="28"/>
          <w:szCs w:val="28"/>
          <w:lang w:eastAsia="es-ES"/>
        </w:rPr>
      </w:pPr>
      <w:r w:rsidRPr="1A782E34">
        <w:rPr>
          <w:color w:val="000000" w:themeColor="text1"/>
          <w:sz w:val="28"/>
          <w:szCs w:val="28"/>
          <w:lang w:eastAsia="es-ES"/>
        </w:rPr>
        <w:t xml:space="preserve">A efectos de determinar si la demanda de reparación directa de la referencia fue radicada dentro del término de caducidad de los dos (2) años previstos en el artículo 164 del C.P.A.C.A., es menester tener presente que el Consejo Superior de la Judicatura mediante Acuerdos PCSJA-11517, PCSJA20-11518, PCSJA-11519, PCSJA-11521, PCSJA20-11526, PCSJA-11527, PCSJA-11528, PCSJA-11529, PCSJA-11532, PCSJA-11546, PCSJA-11549, PCSJA-11556 y </w:t>
      </w:r>
      <w:r w:rsidRPr="1A782E34">
        <w:rPr>
          <w:color w:val="000000" w:themeColor="text1"/>
          <w:sz w:val="28"/>
          <w:szCs w:val="28"/>
          <w:lang w:eastAsia="es-ES"/>
        </w:rPr>
        <w:lastRenderedPageBreak/>
        <w:t>PCSJA-11567 suspendió los términos judiciales a partir del 16 de marzo de 2020 por motivos de salubridad pública y fuerza mayor con ocasión de la pandemia de la COVID-19.</w:t>
      </w:r>
    </w:p>
    <w:p w14:paraId="3E915580" w14:textId="55BFF38D" w:rsidR="00BE493C" w:rsidRPr="00934BE1" w:rsidRDefault="00BE493C" w:rsidP="00934BE1">
      <w:pPr>
        <w:pStyle w:val="BodyText23"/>
        <w:rPr>
          <w:sz w:val="28"/>
          <w:szCs w:val="28"/>
          <w:shd w:val="clear" w:color="auto" w:fill="FAF9F8"/>
        </w:rPr>
      </w:pPr>
      <w:r w:rsidRPr="00934BE1">
        <w:rPr>
          <w:sz w:val="28"/>
          <w:szCs w:val="28"/>
          <w:shd w:val="clear" w:color="auto" w:fill="FAF9F8"/>
        </w:rPr>
        <w:t xml:space="preserve"> </w:t>
      </w:r>
    </w:p>
    <w:p w14:paraId="6889ECDC" w14:textId="77777777" w:rsidR="00BE493C" w:rsidRPr="00934BE1" w:rsidRDefault="00BE493C" w:rsidP="1A782E34">
      <w:pPr>
        <w:pStyle w:val="BodyText23"/>
        <w:rPr>
          <w:color w:val="000000"/>
          <w:sz w:val="28"/>
          <w:szCs w:val="28"/>
          <w:lang w:eastAsia="es-ES"/>
        </w:rPr>
      </w:pPr>
      <w:r w:rsidRPr="1A782E34">
        <w:rPr>
          <w:color w:val="000000" w:themeColor="text1"/>
          <w:sz w:val="28"/>
          <w:szCs w:val="28"/>
          <w:lang w:eastAsia="es-ES"/>
        </w:rPr>
        <w:t>Posteriormente, mediante Acuerdo PCSJA-11581 del 27 de mayo de 2020 el Consejo Superior de la Judicatura dispuso el levantamiento de términos judiciales, a partir del 1º de julio de 2020.</w:t>
      </w:r>
    </w:p>
    <w:p w14:paraId="0E509A34" w14:textId="77777777" w:rsidR="00BE493C" w:rsidRPr="00934BE1" w:rsidRDefault="00BE493C" w:rsidP="1A782E34">
      <w:pPr>
        <w:pStyle w:val="BodyText23"/>
        <w:rPr>
          <w:color w:val="000000"/>
          <w:sz w:val="28"/>
          <w:szCs w:val="28"/>
          <w:lang w:eastAsia="es-ES"/>
        </w:rPr>
      </w:pPr>
    </w:p>
    <w:p w14:paraId="45386E0B" w14:textId="66349716" w:rsidR="00BE493C" w:rsidRPr="00934BE1" w:rsidRDefault="00BE493C" w:rsidP="00934BE1">
      <w:pPr>
        <w:pStyle w:val="BodyText23"/>
        <w:rPr>
          <w:color w:val="000000"/>
          <w:sz w:val="28"/>
          <w:szCs w:val="28"/>
          <w:lang w:val="es-ES_tradnl" w:eastAsia="es-ES"/>
        </w:rPr>
      </w:pPr>
      <w:r w:rsidRPr="00934BE1">
        <w:rPr>
          <w:color w:val="000000"/>
          <w:sz w:val="28"/>
          <w:szCs w:val="28"/>
          <w:lang w:val="es-ES_tradnl" w:eastAsia="es-ES"/>
        </w:rPr>
        <w:t>Por su parte, el artículo 1</w:t>
      </w:r>
      <w:r w:rsidR="00934BE1" w:rsidRPr="00934BE1">
        <w:rPr>
          <w:color w:val="000000"/>
          <w:sz w:val="28"/>
          <w:szCs w:val="28"/>
          <w:lang w:val="es-ES_tradnl" w:eastAsia="es-ES"/>
        </w:rPr>
        <w:t>º</w:t>
      </w:r>
      <w:r w:rsidRPr="00934BE1">
        <w:rPr>
          <w:color w:val="000000"/>
          <w:sz w:val="28"/>
          <w:szCs w:val="28"/>
          <w:lang w:val="es-ES_tradnl" w:eastAsia="es-ES"/>
        </w:rPr>
        <w:t xml:space="preserve"> del Decreto Legislativo No. 564 de 2020 efectuó precisiones respecto a la suspensión de términos de prescripción y caducidad, en los siguientes términos:</w:t>
      </w:r>
    </w:p>
    <w:p w14:paraId="20E27BD5" w14:textId="77777777" w:rsidR="00BE493C" w:rsidRPr="00934BE1" w:rsidRDefault="00BE493C" w:rsidP="00934BE1">
      <w:pPr>
        <w:spacing w:line="360" w:lineRule="auto"/>
        <w:ind w:right="-81"/>
        <w:jc w:val="both"/>
        <w:rPr>
          <w:color w:val="000000"/>
          <w:sz w:val="28"/>
          <w:szCs w:val="28"/>
          <w:lang w:val="es-ES_tradnl"/>
        </w:rPr>
      </w:pPr>
    </w:p>
    <w:p w14:paraId="2BB55A12" w14:textId="77777777" w:rsidR="00BE493C" w:rsidRPr="00934BE1" w:rsidRDefault="00BE493C" w:rsidP="489ED13A">
      <w:pPr>
        <w:ind w:left="567" w:right="-79"/>
        <w:jc w:val="both"/>
        <w:rPr>
          <w:color w:val="000000"/>
          <w:sz w:val="28"/>
          <w:szCs w:val="28"/>
          <w:u w:val="single"/>
        </w:rPr>
      </w:pPr>
      <w:r w:rsidRPr="1A782E34">
        <w:rPr>
          <w:color w:val="000000" w:themeColor="text1"/>
          <w:sz w:val="28"/>
          <w:szCs w:val="28"/>
        </w:rPr>
        <w:t>“</w:t>
      </w:r>
      <w:r w:rsidRPr="1A782E34">
        <w:rPr>
          <w:b/>
          <w:bCs/>
          <w:color w:val="000000" w:themeColor="text1"/>
          <w:sz w:val="28"/>
          <w:szCs w:val="28"/>
        </w:rPr>
        <w:t>Artículo 1. Suspensión términos de prescripción y caducidad</w:t>
      </w:r>
      <w:r w:rsidRPr="1A782E34">
        <w:rPr>
          <w:color w:val="000000" w:themeColor="text1"/>
          <w:sz w:val="28"/>
          <w:szCs w:val="28"/>
        </w:rPr>
        <w:t xml:space="preserve">. Los términos de prescripción y de caducidad previstos en cualquier norma sustancial o procesal para derechos, acciones, medios control o presentar demandas ante la Judicial o ante los tribunales arbitrales, sean de meses o años, se encuentran </w:t>
      </w:r>
      <w:r w:rsidRPr="1A782E34">
        <w:rPr>
          <w:color w:val="000000" w:themeColor="text1"/>
          <w:sz w:val="28"/>
          <w:szCs w:val="28"/>
          <w:u w:val="single"/>
        </w:rPr>
        <w:t>suspendidos desde el 16 marzo 2020 hasta el día que Consejo Superior de la Judicatura disponga la reanudación los términos judiciales.</w:t>
      </w:r>
    </w:p>
    <w:p w14:paraId="674D2726" w14:textId="77777777" w:rsidR="00BE493C" w:rsidRPr="00934BE1" w:rsidRDefault="00BE493C" w:rsidP="1A782E34">
      <w:pPr>
        <w:ind w:left="567" w:right="-79"/>
        <w:jc w:val="both"/>
        <w:rPr>
          <w:color w:val="000000"/>
          <w:sz w:val="28"/>
          <w:szCs w:val="28"/>
        </w:rPr>
      </w:pPr>
    </w:p>
    <w:p w14:paraId="15E3C901" w14:textId="0EC9071D" w:rsidR="00BE493C" w:rsidRPr="00934BE1" w:rsidRDefault="00BE493C" w:rsidP="1A782E34">
      <w:pPr>
        <w:ind w:left="567" w:right="-79"/>
        <w:jc w:val="both"/>
        <w:rPr>
          <w:color w:val="000000"/>
          <w:sz w:val="28"/>
          <w:szCs w:val="28"/>
        </w:rPr>
      </w:pPr>
      <w:r w:rsidRPr="1A782E34">
        <w:rPr>
          <w:color w:val="000000" w:themeColor="text1"/>
          <w:sz w:val="28"/>
          <w:szCs w:val="28"/>
        </w:rPr>
        <w:t xml:space="preserve">El conteo los términos prescripción y caducidad </w:t>
      </w:r>
      <w:r w:rsidRPr="1A782E34">
        <w:rPr>
          <w:color w:val="000000" w:themeColor="text1"/>
          <w:sz w:val="28"/>
          <w:szCs w:val="28"/>
          <w:u w:val="single"/>
        </w:rPr>
        <w:t>se reanudará a partir del día hábil siguiente a la fecha en que cese la suspensión términos judiciales ordenada por Consejo Superior de la Judicatur</w:t>
      </w:r>
      <w:r w:rsidRPr="1A782E34">
        <w:rPr>
          <w:color w:val="000000" w:themeColor="text1"/>
          <w:sz w:val="28"/>
          <w:szCs w:val="28"/>
        </w:rPr>
        <w:t xml:space="preserve">a. No obstante, cuando al decretarse la suspensión de términos por dicha Corporación, </w:t>
      </w:r>
      <w:r w:rsidRPr="1A782E34">
        <w:rPr>
          <w:color w:val="000000" w:themeColor="text1"/>
          <w:sz w:val="28"/>
          <w:szCs w:val="28"/>
          <w:u w:val="single"/>
        </w:rPr>
        <w:t>el plazo que restaba para interrumpir prescripción o hacer inoperante la caducidad era inferior a treinta (30) días, interesado tendrá un mes, contado a partir del día siguiente al levantamiento de la suspensión, para realizar oportunamente la actuación correspondiente</w:t>
      </w:r>
      <w:r w:rsidRPr="1A782E34">
        <w:rPr>
          <w:color w:val="000000" w:themeColor="text1"/>
          <w:sz w:val="28"/>
          <w:szCs w:val="28"/>
        </w:rPr>
        <w:t>.”</w:t>
      </w:r>
    </w:p>
    <w:p w14:paraId="5EA2E9ED" w14:textId="77777777" w:rsidR="00BE493C" w:rsidRPr="00934BE1" w:rsidRDefault="00BE493C" w:rsidP="489ED13A">
      <w:pPr>
        <w:spacing w:line="360" w:lineRule="auto"/>
        <w:ind w:right="-81"/>
        <w:jc w:val="both"/>
        <w:rPr>
          <w:color w:val="000000"/>
          <w:sz w:val="28"/>
          <w:szCs w:val="28"/>
          <w:highlight w:val="cyan"/>
        </w:rPr>
      </w:pPr>
    </w:p>
    <w:p w14:paraId="68061EBE" w14:textId="75CA6A96" w:rsidR="00934BE1" w:rsidRPr="00934BE1" w:rsidRDefault="00BE493C" w:rsidP="6160CCA4">
      <w:pPr>
        <w:spacing w:line="360" w:lineRule="auto"/>
        <w:ind w:right="-81"/>
        <w:jc w:val="both"/>
        <w:rPr>
          <w:color w:val="000000"/>
          <w:sz w:val="28"/>
          <w:szCs w:val="28"/>
        </w:rPr>
      </w:pPr>
      <w:r w:rsidRPr="6160CCA4">
        <w:rPr>
          <w:color w:val="000000" w:themeColor="text1"/>
          <w:sz w:val="28"/>
          <w:szCs w:val="28"/>
        </w:rPr>
        <w:t xml:space="preserve">De acuerdo de lo anterior, ha de colegirse que el cómputo del término de caducidad fue suspendido desde el 16 de marzo de 2020 y hasta el 30 de junio del mismo año, conforme se dispuso en los referidos acuerdos expedidos por el Consejo Superior de la Judicatura, reanudándose el mismo a partir del 1° de julio de 2020. </w:t>
      </w:r>
    </w:p>
    <w:p w14:paraId="30D14B1E" w14:textId="77777777" w:rsidR="00934BE1" w:rsidRPr="00934BE1" w:rsidRDefault="00934BE1" w:rsidP="00BE493C">
      <w:pPr>
        <w:spacing w:line="360" w:lineRule="auto"/>
        <w:ind w:right="-81"/>
        <w:jc w:val="both"/>
        <w:rPr>
          <w:color w:val="000000"/>
          <w:sz w:val="28"/>
          <w:szCs w:val="28"/>
          <w:lang w:val="es-ES_tradnl"/>
        </w:rPr>
      </w:pPr>
    </w:p>
    <w:p w14:paraId="2AF51CA4" w14:textId="2049F979" w:rsidR="00BE493C" w:rsidRPr="00934BE1" w:rsidRDefault="00934BE1" w:rsidP="00BE493C">
      <w:pPr>
        <w:spacing w:line="360" w:lineRule="auto"/>
        <w:ind w:right="-81"/>
        <w:jc w:val="both"/>
        <w:rPr>
          <w:color w:val="000000"/>
          <w:sz w:val="28"/>
          <w:szCs w:val="28"/>
          <w:lang w:val="es-ES_tradnl"/>
        </w:rPr>
      </w:pPr>
      <w:r w:rsidRPr="00934BE1">
        <w:rPr>
          <w:color w:val="000000"/>
          <w:sz w:val="28"/>
          <w:szCs w:val="28"/>
          <w:lang w:val="es-ES_tradnl"/>
        </w:rPr>
        <w:lastRenderedPageBreak/>
        <w:t xml:space="preserve">Lo anterior, como una </w:t>
      </w:r>
      <w:r w:rsidR="00BE493C" w:rsidRPr="00934BE1">
        <w:rPr>
          <w:color w:val="000000"/>
          <w:sz w:val="28"/>
          <w:szCs w:val="28"/>
          <w:lang w:val="es-ES_tradnl"/>
        </w:rPr>
        <w:t>excepción garantista del cómputo del término de prescripción y caducidad respecto de los casos en que el plazo que restaba para interrumpir la prescripción o hacer inoperante la caducidad era inferior a treinta (30) días, evento en el que se le concedió al interesado un mes contado a partir del día siguiente al levantamiento de la suspensión, para realizar la actuación correspondiente.</w:t>
      </w:r>
    </w:p>
    <w:p w14:paraId="18587681" w14:textId="77777777" w:rsidR="00BE493C" w:rsidRPr="00934BE1" w:rsidRDefault="00BE493C" w:rsidP="00BE493C">
      <w:pPr>
        <w:spacing w:line="360" w:lineRule="auto"/>
        <w:ind w:right="-81"/>
        <w:jc w:val="both"/>
        <w:rPr>
          <w:color w:val="000000"/>
          <w:sz w:val="28"/>
          <w:szCs w:val="28"/>
          <w:lang w:val="es-ES_tradnl"/>
        </w:rPr>
      </w:pPr>
    </w:p>
    <w:p w14:paraId="1FA0C6BD" w14:textId="1658B6D1" w:rsidR="00BE493C" w:rsidRPr="00934BE1" w:rsidRDefault="00BE493C" w:rsidP="00BE493C">
      <w:pPr>
        <w:tabs>
          <w:tab w:val="left" w:pos="709"/>
        </w:tabs>
        <w:spacing w:line="360" w:lineRule="auto"/>
        <w:jc w:val="both"/>
        <w:rPr>
          <w:color w:val="000000"/>
          <w:sz w:val="28"/>
          <w:szCs w:val="28"/>
          <w:lang w:val="es-ES_tradnl"/>
        </w:rPr>
      </w:pPr>
      <w:r w:rsidRPr="00934BE1">
        <w:rPr>
          <w:color w:val="000000"/>
          <w:sz w:val="28"/>
          <w:szCs w:val="28"/>
          <w:lang w:val="es-ES_tradnl"/>
        </w:rPr>
        <w:t xml:space="preserve">Bajo dicha precisión, </w:t>
      </w:r>
      <w:r w:rsidR="00934BE1" w:rsidRPr="00934BE1">
        <w:rPr>
          <w:color w:val="000000"/>
          <w:sz w:val="28"/>
          <w:szCs w:val="28"/>
          <w:lang w:val="es-ES_tradnl"/>
        </w:rPr>
        <w:t>entra la Sala a resolver la alzada, teniendo en cuenta lo siguiente:</w:t>
      </w:r>
    </w:p>
    <w:p w14:paraId="0E3FC8A0" w14:textId="717ECFDE" w:rsidR="00934BE1" w:rsidRDefault="00934BE1" w:rsidP="00BE493C">
      <w:pPr>
        <w:tabs>
          <w:tab w:val="left" w:pos="709"/>
        </w:tabs>
        <w:spacing w:line="360" w:lineRule="auto"/>
        <w:jc w:val="both"/>
        <w:rPr>
          <w:color w:val="000000"/>
          <w:sz w:val="28"/>
          <w:szCs w:val="28"/>
          <w:lang w:val="es-ES_tradnl"/>
        </w:rPr>
      </w:pPr>
    </w:p>
    <w:p w14:paraId="5A36B89C" w14:textId="43FAE4B7" w:rsidR="00934BE1" w:rsidRPr="0015574E" w:rsidRDefault="00413167" w:rsidP="489ED13A">
      <w:pPr>
        <w:tabs>
          <w:tab w:val="left" w:pos="709"/>
        </w:tabs>
        <w:spacing w:line="360" w:lineRule="auto"/>
        <w:jc w:val="both"/>
        <w:rPr>
          <w:b/>
          <w:bCs/>
          <w:color w:val="000000"/>
          <w:sz w:val="28"/>
          <w:szCs w:val="28"/>
          <w:highlight w:val="cyan"/>
        </w:rPr>
      </w:pPr>
      <w:r w:rsidRPr="1A782E34">
        <w:rPr>
          <w:color w:val="000000" w:themeColor="text1"/>
          <w:sz w:val="28"/>
          <w:szCs w:val="28"/>
        </w:rPr>
        <w:t>En el ca</w:t>
      </w:r>
      <w:r w:rsidR="00934BE1" w:rsidRPr="1A782E34">
        <w:rPr>
          <w:color w:val="000000" w:themeColor="text1"/>
          <w:sz w:val="28"/>
          <w:szCs w:val="28"/>
        </w:rPr>
        <w:t>so</w:t>
      </w:r>
      <w:r w:rsidRPr="1A782E34">
        <w:rPr>
          <w:color w:val="000000" w:themeColor="text1"/>
          <w:sz w:val="28"/>
          <w:szCs w:val="28"/>
        </w:rPr>
        <w:t xml:space="preserve"> concreto la parte actora pretende </w:t>
      </w:r>
      <w:r w:rsidR="001602D1" w:rsidRPr="1A782E34">
        <w:rPr>
          <w:color w:val="000000" w:themeColor="text1"/>
          <w:sz w:val="28"/>
          <w:szCs w:val="28"/>
        </w:rPr>
        <w:t>se d</w:t>
      </w:r>
      <w:r w:rsidRPr="1A782E34">
        <w:rPr>
          <w:color w:val="000000" w:themeColor="text1"/>
          <w:sz w:val="28"/>
          <w:szCs w:val="28"/>
        </w:rPr>
        <w:t xml:space="preserve">eclare responsable al Hospital </w:t>
      </w:r>
      <w:r w:rsidR="00934BE1" w:rsidRPr="1A782E34">
        <w:rPr>
          <w:color w:val="000000" w:themeColor="text1"/>
          <w:sz w:val="28"/>
          <w:szCs w:val="28"/>
        </w:rPr>
        <w:t xml:space="preserve">San Rafael </w:t>
      </w:r>
      <w:r w:rsidRPr="1A782E34">
        <w:rPr>
          <w:color w:val="000000" w:themeColor="text1"/>
          <w:sz w:val="28"/>
          <w:szCs w:val="28"/>
        </w:rPr>
        <w:t xml:space="preserve">de </w:t>
      </w:r>
      <w:r w:rsidR="00934BE1" w:rsidRPr="1A782E34">
        <w:rPr>
          <w:color w:val="000000" w:themeColor="text1"/>
          <w:sz w:val="28"/>
          <w:szCs w:val="28"/>
        </w:rPr>
        <w:t xml:space="preserve">Tunja </w:t>
      </w:r>
      <w:r w:rsidRPr="1A782E34">
        <w:rPr>
          <w:color w:val="000000" w:themeColor="text1"/>
          <w:sz w:val="28"/>
          <w:szCs w:val="28"/>
        </w:rPr>
        <w:t xml:space="preserve">por los perjuicios </w:t>
      </w:r>
      <w:r w:rsidR="00934BE1" w:rsidRPr="1A782E34">
        <w:rPr>
          <w:color w:val="000000" w:themeColor="text1"/>
          <w:sz w:val="28"/>
          <w:szCs w:val="28"/>
        </w:rPr>
        <w:t xml:space="preserve">ocasionados a los demandantes con ocasión del fallecimiento del señor </w:t>
      </w:r>
      <w:r w:rsidR="00934BE1" w:rsidRPr="1A782E34">
        <w:rPr>
          <w:b/>
          <w:bCs/>
          <w:color w:val="000000" w:themeColor="text1"/>
          <w:sz w:val="28"/>
          <w:szCs w:val="28"/>
        </w:rPr>
        <w:t>Jeffer Arley Guerrero Daza</w:t>
      </w:r>
      <w:r w:rsidR="00934BE1" w:rsidRPr="1A782E34">
        <w:rPr>
          <w:color w:val="000000" w:themeColor="text1"/>
          <w:sz w:val="28"/>
          <w:szCs w:val="28"/>
        </w:rPr>
        <w:t xml:space="preserve"> ocurrida el </w:t>
      </w:r>
      <w:r w:rsidR="00934BE1" w:rsidRPr="1A782E34">
        <w:rPr>
          <w:b/>
          <w:bCs/>
          <w:color w:val="000000" w:themeColor="text1"/>
          <w:sz w:val="28"/>
          <w:szCs w:val="28"/>
        </w:rPr>
        <w:t>20 de marzo de 2018.</w:t>
      </w:r>
    </w:p>
    <w:p w14:paraId="0B251FB8" w14:textId="2A3E8427" w:rsidR="003536BA" w:rsidRDefault="003536BA" w:rsidP="00BE493C">
      <w:pPr>
        <w:tabs>
          <w:tab w:val="left" w:pos="709"/>
        </w:tabs>
        <w:spacing w:line="360" w:lineRule="auto"/>
        <w:jc w:val="both"/>
        <w:rPr>
          <w:color w:val="000000"/>
          <w:sz w:val="28"/>
          <w:szCs w:val="28"/>
          <w:lang w:val="es-ES_tradnl"/>
        </w:rPr>
      </w:pPr>
    </w:p>
    <w:p w14:paraId="6E5BAC7D" w14:textId="6FE9CC77" w:rsidR="003536BA" w:rsidRDefault="003536BA" w:rsidP="6160CCA4">
      <w:pPr>
        <w:tabs>
          <w:tab w:val="left" w:pos="709"/>
        </w:tabs>
        <w:spacing w:line="360" w:lineRule="auto"/>
        <w:jc w:val="both"/>
        <w:rPr>
          <w:color w:val="000000"/>
          <w:sz w:val="28"/>
          <w:szCs w:val="28"/>
        </w:rPr>
      </w:pPr>
      <w:r w:rsidRPr="6160CCA4">
        <w:rPr>
          <w:color w:val="000000" w:themeColor="text1"/>
          <w:sz w:val="28"/>
          <w:szCs w:val="28"/>
        </w:rPr>
        <w:t xml:space="preserve">El material probatorio arrimado al expediente permite evidenciar: </w:t>
      </w:r>
    </w:p>
    <w:p w14:paraId="512FED21" w14:textId="77777777" w:rsidR="003536BA" w:rsidRDefault="003536BA" w:rsidP="00BE493C">
      <w:pPr>
        <w:tabs>
          <w:tab w:val="left" w:pos="709"/>
        </w:tabs>
        <w:spacing w:line="360" w:lineRule="auto"/>
        <w:jc w:val="both"/>
        <w:rPr>
          <w:color w:val="000000"/>
          <w:sz w:val="28"/>
          <w:szCs w:val="28"/>
          <w:lang w:val="es-ES_tradnl"/>
        </w:rPr>
      </w:pPr>
    </w:p>
    <w:p w14:paraId="3B608963" w14:textId="1CEBD7F3" w:rsidR="003536BA" w:rsidRPr="0015574E" w:rsidRDefault="003536BA" w:rsidP="003536BA">
      <w:pPr>
        <w:pStyle w:val="Prrafodelista"/>
        <w:numPr>
          <w:ilvl w:val="0"/>
          <w:numId w:val="6"/>
        </w:numPr>
        <w:tabs>
          <w:tab w:val="left" w:pos="709"/>
        </w:tabs>
        <w:spacing w:line="360" w:lineRule="auto"/>
        <w:jc w:val="both"/>
        <w:rPr>
          <w:color w:val="000000"/>
          <w:sz w:val="28"/>
          <w:szCs w:val="28"/>
          <w:lang w:val="es-ES_tradnl"/>
        </w:rPr>
      </w:pPr>
      <w:r>
        <w:rPr>
          <w:color w:val="000000"/>
          <w:sz w:val="28"/>
          <w:szCs w:val="28"/>
          <w:lang w:val="es-ES_tradnl"/>
        </w:rPr>
        <w:t xml:space="preserve">Fecha de radicación de </w:t>
      </w:r>
      <w:r w:rsidRPr="003536BA">
        <w:rPr>
          <w:color w:val="000000"/>
          <w:sz w:val="28"/>
          <w:szCs w:val="28"/>
          <w:lang w:val="es-ES_tradnl"/>
        </w:rPr>
        <w:t xml:space="preserve">la demanda </w:t>
      </w:r>
      <w:r>
        <w:rPr>
          <w:b/>
          <w:bCs/>
          <w:color w:val="000000"/>
          <w:sz w:val="28"/>
          <w:szCs w:val="28"/>
          <w:lang w:val="es-ES_tradnl"/>
        </w:rPr>
        <w:t xml:space="preserve">3 de agosto de 2020 </w:t>
      </w:r>
      <w:r w:rsidRPr="0015574E">
        <w:rPr>
          <w:color w:val="000000"/>
          <w:sz w:val="28"/>
          <w:szCs w:val="28"/>
          <w:lang w:val="es-ES_tradnl"/>
        </w:rPr>
        <w:t>(anexo 03).</w:t>
      </w:r>
    </w:p>
    <w:p w14:paraId="09A17FF7" w14:textId="063929B6" w:rsidR="0015574E" w:rsidRPr="0015574E" w:rsidRDefault="0015574E" w:rsidP="6160CCA4">
      <w:pPr>
        <w:pStyle w:val="Prrafodelista"/>
        <w:numPr>
          <w:ilvl w:val="0"/>
          <w:numId w:val="6"/>
        </w:numPr>
        <w:tabs>
          <w:tab w:val="left" w:pos="709"/>
        </w:tabs>
        <w:spacing w:line="360" w:lineRule="auto"/>
        <w:jc w:val="both"/>
        <w:rPr>
          <w:color w:val="000000"/>
          <w:sz w:val="28"/>
          <w:szCs w:val="28"/>
        </w:rPr>
      </w:pPr>
      <w:r w:rsidRPr="6160CCA4">
        <w:rPr>
          <w:color w:val="000000" w:themeColor="text1"/>
          <w:sz w:val="28"/>
          <w:szCs w:val="28"/>
        </w:rPr>
        <w:t xml:space="preserve">Solicitud de conciliación </w:t>
      </w:r>
      <w:r w:rsidRPr="6160CCA4">
        <w:rPr>
          <w:b/>
          <w:bCs/>
          <w:color w:val="000000" w:themeColor="text1"/>
          <w:sz w:val="28"/>
          <w:szCs w:val="28"/>
        </w:rPr>
        <w:t xml:space="preserve">17 de marzo de 2020 </w:t>
      </w:r>
      <w:r w:rsidRPr="6160CCA4">
        <w:rPr>
          <w:color w:val="000000" w:themeColor="text1"/>
          <w:sz w:val="28"/>
          <w:szCs w:val="28"/>
        </w:rPr>
        <w:t xml:space="preserve">(anexo 04 </w:t>
      </w:r>
      <w:proofErr w:type="spellStart"/>
      <w:r w:rsidRPr="6160CCA4">
        <w:rPr>
          <w:color w:val="000000" w:themeColor="text1"/>
          <w:sz w:val="28"/>
          <w:szCs w:val="28"/>
        </w:rPr>
        <w:t>demandaanexos</w:t>
      </w:r>
      <w:proofErr w:type="spellEnd"/>
      <w:r w:rsidRPr="6160CCA4">
        <w:rPr>
          <w:color w:val="000000" w:themeColor="text1"/>
          <w:sz w:val="28"/>
          <w:szCs w:val="28"/>
        </w:rPr>
        <w:t xml:space="preserve"> f. 116) </w:t>
      </w:r>
    </w:p>
    <w:p w14:paraId="28BA6464" w14:textId="449C4042" w:rsidR="0015574E" w:rsidRPr="0015574E" w:rsidRDefault="0015574E" w:rsidP="489ED13A">
      <w:pPr>
        <w:pStyle w:val="Prrafodelista"/>
        <w:numPr>
          <w:ilvl w:val="0"/>
          <w:numId w:val="6"/>
        </w:numPr>
        <w:tabs>
          <w:tab w:val="left" w:pos="709"/>
        </w:tabs>
        <w:spacing w:line="360" w:lineRule="auto"/>
        <w:jc w:val="both"/>
        <w:rPr>
          <w:color w:val="000000"/>
          <w:sz w:val="28"/>
          <w:szCs w:val="28"/>
        </w:rPr>
      </w:pPr>
      <w:r w:rsidRPr="1A782E34">
        <w:rPr>
          <w:color w:val="000000" w:themeColor="text1"/>
          <w:sz w:val="28"/>
          <w:szCs w:val="28"/>
        </w:rPr>
        <w:t xml:space="preserve">Acta de conciliación extrajudicial </w:t>
      </w:r>
      <w:r w:rsidRPr="1A782E34">
        <w:rPr>
          <w:b/>
          <w:bCs/>
          <w:color w:val="000000" w:themeColor="text1"/>
          <w:sz w:val="28"/>
          <w:szCs w:val="28"/>
        </w:rPr>
        <w:t xml:space="preserve">26 de mayo de 2020 </w:t>
      </w:r>
      <w:r w:rsidRPr="1A782E34">
        <w:rPr>
          <w:color w:val="000000" w:themeColor="text1"/>
          <w:sz w:val="28"/>
          <w:szCs w:val="28"/>
        </w:rPr>
        <w:t xml:space="preserve">(anexo 04 demanda anexos f. 118) </w:t>
      </w:r>
    </w:p>
    <w:p w14:paraId="6DF886B9" w14:textId="1BA5548B" w:rsidR="0015574E" w:rsidRPr="0015574E" w:rsidRDefault="0015574E" w:rsidP="003536BA">
      <w:pPr>
        <w:pStyle w:val="Prrafodelista"/>
        <w:numPr>
          <w:ilvl w:val="0"/>
          <w:numId w:val="6"/>
        </w:numPr>
        <w:tabs>
          <w:tab w:val="left" w:pos="709"/>
        </w:tabs>
        <w:spacing w:line="360" w:lineRule="auto"/>
        <w:jc w:val="both"/>
        <w:rPr>
          <w:color w:val="000000"/>
          <w:sz w:val="28"/>
          <w:szCs w:val="28"/>
          <w:lang w:val="es-ES_tradnl"/>
        </w:rPr>
      </w:pPr>
      <w:r>
        <w:rPr>
          <w:color w:val="000000"/>
          <w:sz w:val="28"/>
          <w:szCs w:val="28"/>
          <w:lang w:val="es-ES_tradnl"/>
        </w:rPr>
        <w:t xml:space="preserve">Suspensión de términos por la emergencia sanitaria del </w:t>
      </w:r>
      <w:r>
        <w:rPr>
          <w:b/>
          <w:bCs/>
          <w:color w:val="000000"/>
          <w:sz w:val="28"/>
          <w:szCs w:val="28"/>
          <w:lang w:val="es-ES_tradnl"/>
        </w:rPr>
        <w:t xml:space="preserve">16 de marzo de 2020 </w:t>
      </w:r>
      <w:r>
        <w:rPr>
          <w:color w:val="000000"/>
          <w:sz w:val="28"/>
          <w:szCs w:val="28"/>
          <w:lang w:val="es-ES_tradnl"/>
        </w:rPr>
        <w:t xml:space="preserve">hasta el </w:t>
      </w:r>
      <w:r>
        <w:rPr>
          <w:b/>
          <w:bCs/>
          <w:color w:val="000000"/>
          <w:sz w:val="28"/>
          <w:szCs w:val="28"/>
          <w:lang w:val="es-ES_tradnl"/>
        </w:rPr>
        <w:t>30 de junio de 2020</w:t>
      </w:r>
    </w:p>
    <w:p w14:paraId="30A917BD" w14:textId="490352DD" w:rsidR="0015574E" w:rsidRPr="0015574E" w:rsidRDefault="00E0486D" w:rsidP="003536BA">
      <w:pPr>
        <w:pStyle w:val="Prrafodelista"/>
        <w:numPr>
          <w:ilvl w:val="0"/>
          <w:numId w:val="6"/>
        </w:numPr>
        <w:tabs>
          <w:tab w:val="left" w:pos="709"/>
        </w:tabs>
        <w:spacing w:line="360" w:lineRule="auto"/>
        <w:jc w:val="both"/>
        <w:rPr>
          <w:color w:val="000000"/>
          <w:sz w:val="28"/>
          <w:szCs w:val="28"/>
          <w:lang w:val="es-ES_tradnl"/>
        </w:rPr>
      </w:pPr>
      <w:r>
        <w:rPr>
          <w:color w:val="000000"/>
          <w:sz w:val="28"/>
          <w:szCs w:val="28"/>
          <w:lang w:val="es-ES_tradnl"/>
        </w:rPr>
        <w:t xml:space="preserve">Reanudación de términos </w:t>
      </w:r>
      <w:r>
        <w:rPr>
          <w:b/>
          <w:bCs/>
          <w:color w:val="000000"/>
          <w:sz w:val="28"/>
          <w:szCs w:val="28"/>
          <w:lang w:val="es-ES_tradnl"/>
        </w:rPr>
        <w:t>1º de julio de 2020</w:t>
      </w:r>
    </w:p>
    <w:p w14:paraId="5F31C988" w14:textId="49A878B5" w:rsidR="00934BE1" w:rsidRDefault="00934BE1" w:rsidP="00475FDD">
      <w:pPr>
        <w:tabs>
          <w:tab w:val="left" w:pos="709"/>
        </w:tabs>
        <w:spacing w:line="360" w:lineRule="auto"/>
        <w:jc w:val="both"/>
        <w:rPr>
          <w:color w:val="000000"/>
          <w:sz w:val="28"/>
          <w:szCs w:val="28"/>
          <w:lang w:val="es-ES_tradnl"/>
        </w:rPr>
      </w:pPr>
    </w:p>
    <w:p w14:paraId="3B0E3A78" w14:textId="7A001C52" w:rsidR="00475FDD" w:rsidRDefault="00475FDD" w:rsidP="6160CCA4">
      <w:pPr>
        <w:spacing w:line="360" w:lineRule="auto"/>
        <w:ind w:right="-79"/>
        <w:jc w:val="both"/>
        <w:rPr>
          <w:sz w:val="28"/>
          <w:szCs w:val="28"/>
        </w:rPr>
      </w:pPr>
      <w:r w:rsidRPr="6160CCA4">
        <w:rPr>
          <w:sz w:val="28"/>
          <w:szCs w:val="28"/>
        </w:rPr>
        <w:t xml:space="preserve">Advierte la Sala que si bien aparece como fecha de radicación de la demanda el </w:t>
      </w:r>
      <w:r w:rsidRPr="6160CCA4">
        <w:rPr>
          <w:b/>
          <w:bCs/>
          <w:sz w:val="28"/>
          <w:szCs w:val="28"/>
        </w:rPr>
        <w:t xml:space="preserve">3 de agosto de 2020 </w:t>
      </w:r>
      <w:r w:rsidRPr="6160CCA4">
        <w:rPr>
          <w:sz w:val="28"/>
          <w:szCs w:val="28"/>
        </w:rPr>
        <w:t xml:space="preserve">desde la cuenta electrónica </w:t>
      </w:r>
      <w:hyperlink r:id="rId14">
        <w:r w:rsidRPr="6160CCA4">
          <w:rPr>
            <w:rStyle w:val="Hipervnculo"/>
            <w:sz w:val="28"/>
            <w:szCs w:val="28"/>
          </w:rPr>
          <w:t>abogadadianaherrera@gmail.com</w:t>
        </w:r>
      </w:hyperlink>
      <w:r w:rsidRPr="6160CCA4">
        <w:rPr>
          <w:sz w:val="28"/>
          <w:szCs w:val="28"/>
        </w:rPr>
        <w:t>, a la cuenta</w:t>
      </w:r>
      <w:r w:rsidRPr="6160CCA4">
        <w:rPr>
          <w:b/>
          <w:bCs/>
          <w:sz w:val="28"/>
          <w:szCs w:val="28"/>
        </w:rPr>
        <w:t xml:space="preserve"> </w:t>
      </w:r>
      <w:hyperlink r:id="rId15">
        <w:r w:rsidRPr="6160CCA4">
          <w:rPr>
            <w:rStyle w:val="Hipervnculo"/>
            <w:sz w:val="28"/>
            <w:szCs w:val="28"/>
          </w:rPr>
          <w:t>ofrepjadmintun@cendoj.ramajudicial.gov.co</w:t>
        </w:r>
      </w:hyperlink>
      <w:r w:rsidRPr="6160CCA4">
        <w:rPr>
          <w:sz w:val="28"/>
          <w:szCs w:val="28"/>
        </w:rPr>
        <w:t>,</w:t>
      </w:r>
      <w:r w:rsidRPr="6160CCA4">
        <w:rPr>
          <w:b/>
          <w:bCs/>
          <w:sz w:val="28"/>
          <w:szCs w:val="28"/>
        </w:rPr>
        <w:t xml:space="preserve"> </w:t>
      </w:r>
      <w:r w:rsidRPr="6160CCA4">
        <w:rPr>
          <w:sz w:val="28"/>
          <w:szCs w:val="28"/>
        </w:rPr>
        <w:t>siendo las 16:47; datos tomados por el a quo para resolver sobre la oportunidad de demandar en término.</w:t>
      </w:r>
    </w:p>
    <w:p w14:paraId="110A38E1" w14:textId="396DF531" w:rsidR="00475FDD" w:rsidRDefault="00475FDD" w:rsidP="6160CCA4">
      <w:pPr>
        <w:spacing w:line="360" w:lineRule="auto"/>
        <w:ind w:right="-79"/>
        <w:jc w:val="both"/>
        <w:rPr>
          <w:sz w:val="28"/>
          <w:szCs w:val="28"/>
        </w:rPr>
      </w:pPr>
    </w:p>
    <w:p w14:paraId="6902683B" w14:textId="761F5B6D" w:rsidR="00475FDD" w:rsidRDefault="00475FDD" w:rsidP="00475FDD">
      <w:pPr>
        <w:spacing w:line="360" w:lineRule="auto"/>
        <w:ind w:right="-79"/>
        <w:jc w:val="both"/>
        <w:rPr>
          <w:sz w:val="28"/>
          <w:szCs w:val="28"/>
        </w:rPr>
      </w:pPr>
      <w:r w:rsidRPr="1A782E34">
        <w:rPr>
          <w:sz w:val="28"/>
          <w:szCs w:val="28"/>
        </w:rPr>
        <w:t xml:space="preserve">Debe tenerse en cuenta </w:t>
      </w:r>
      <w:r w:rsidR="00E0486D" w:rsidRPr="1A782E34">
        <w:rPr>
          <w:sz w:val="28"/>
          <w:szCs w:val="28"/>
        </w:rPr>
        <w:t xml:space="preserve">que la demanda se presentó el </w:t>
      </w:r>
      <w:r w:rsidR="00E0486D" w:rsidRPr="1A782E34">
        <w:rPr>
          <w:b/>
          <w:bCs/>
          <w:sz w:val="28"/>
          <w:szCs w:val="28"/>
        </w:rPr>
        <w:t xml:space="preserve">31 de julio de 2020, </w:t>
      </w:r>
      <w:r w:rsidRPr="1A782E34">
        <w:rPr>
          <w:sz w:val="28"/>
          <w:szCs w:val="28"/>
        </w:rPr>
        <w:t>lo cual se desprende d</w:t>
      </w:r>
      <w:r w:rsidR="00E0486D" w:rsidRPr="1A782E34">
        <w:rPr>
          <w:sz w:val="28"/>
          <w:szCs w:val="28"/>
        </w:rPr>
        <w:t xml:space="preserve">el pantallazo del correo electrónico enviado desde la cuenta </w:t>
      </w:r>
      <w:hyperlink r:id="rId16">
        <w:r w:rsidR="00E0486D" w:rsidRPr="1A782E34">
          <w:rPr>
            <w:rStyle w:val="Hipervnculo"/>
            <w:b/>
            <w:bCs/>
            <w:sz w:val="28"/>
            <w:szCs w:val="28"/>
          </w:rPr>
          <w:t>abogadadianaherrera@gmail.com</w:t>
        </w:r>
      </w:hyperlink>
      <w:r w:rsidR="00E0486D" w:rsidRPr="1A782E34">
        <w:rPr>
          <w:b/>
          <w:bCs/>
          <w:sz w:val="28"/>
          <w:szCs w:val="28"/>
        </w:rPr>
        <w:t xml:space="preserve">, </w:t>
      </w:r>
      <w:r w:rsidR="00E0486D" w:rsidRPr="1A782E34">
        <w:rPr>
          <w:sz w:val="28"/>
          <w:szCs w:val="28"/>
        </w:rPr>
        <w:t xml:space="preserve">a la cuenta </w:t>
      </w:r>
      <w:hyperlink r:id="rId17">
        <w:r w:rsidR="00E0486D" w:rsidRPr="1A782E34">
          <w:rPr>
            <w:rStyle w:val="Hipervnculo"/>
            <w:b/>
            <w:bCs/>
            <w:sz w:val="28"/>
            <w:szCs w:val="28"/>
          </w:rPr>
          <w:t>ofrepjadmintun@cendoj.ramajudicial.gov.co</w:t>
        </w:r>
      </w:hyperlink>
      <w:r w:rsidR="00E0486D" w:rsidRPr="1A782E34">
        <w:rPr>
          <w:b/>
          <w:bCs/>
          <w:sz w:val="28"/>
          <w:szCs w:val="28"/>
        </w:rPr>
        <w:t xml:space="preserve">, </w:t>
      </w:r>
      <w:r w:rsidR="00E0486D" w:rsidRPr="1A782E34">
        <w:rPr>
          <w:sz w:val="28"/>
          <w:szCs w:val="28"/>
        </w:rPr>
        <w:t>siendo las 16:58</w:t>
      </w:r>
      <w:r w:rsidRPr="1A782E34">
        <w:rPr>
          <w:sz w:val="28"/>
          <w:szCs w:val="28"/>
        </w:rPr>
        <w:t xml:space="preserve">, que fuere allegado con el recurso, en el cual, además se advierte la respuesta automática de que la misma fue recibida en esa fecha y hora. </w:t>
      </w:r>
    </w:p>
    <w:p w14:paraId="298A6DB8" w14:textId="3E9FEFA7" w:rsidR="0052573D" w:rsidRPr="0052573D" w:rsidRDefault="0052573D" w:rsidP="00475FDD">
      <w:pPr>
        <w:spacing w:line="360" w:lineRule="auto"/>
        <w:ind w:right="-79"/>
        <w:jc w:val="both"/>
        <w:rPr>
          <w:sz w:val="28"/>
          <w:szCs w:val="28"/>
        </w:rPr>
      </w:pPr>
    </w:p>
    <w:p w14:paraId="295E9A6C" w14:textId="05A12DEE" w:rsidR="0052573D" w:rsidRPr="0052573D" w:rsidRDefault="0052573D" w:rsidP="1A782E34">
      <w:pPr>
        <w:tabs>
          <w:tab w:val="left" w:pos="709"/>
        </w:tabs>
        <w:spacing w:line="360" w:lineRule="auto"/>
        <w:jc w:val="both"/>
        <w:rPr>
          <w:sz w:val="28"/>
          <w:szCs w:val="28"/>
          <w:lang w:val="es-CO"/>
        </w:rPr>
      </w:pPr>
      <w:r w:rsidRPr="1A782E34">
        <w:rPr>
          <w:sz w:val="28"/>
          <w:szCs w:val="28"/>
        </w:rPr>
        <w:t xml:space="preserve">Que la solicitud de conciliación prejudicial fue presentada ante la Procuraduría 68 Judicial I para Asuntos Administrativos el </w:t>
      </w:r>
      <w:r w:rsidRPr="1A782E34">
        <w:rPr>
          <w:b/>
          <w:bCs/>
          <w:sz w:val="28"/>
          <w:szCs w:val="28"/>
        </w:rPr>
        <w:t>17 de marzo de 2020,</w:t>
      </w:r>
      <w:r w:rsidRPr="1A782E34">
        <w:rPr>
          <w:sz w:val="28"/>
          <w:szCs w:val="28"/>
        </w:rPr>
        <w:t xml:space="preserve"> llevándose a cabo la diligencia de conciliación el </w:t>
      </w:r>
      <w:r w:rsidRPr="1A782E34">
        <w:rPr>
          <w:b/>
          <w:bCs/>
          <w:sz w:val="28"/>
          <w:szCs w:val="28"/>
        </w:rPr>
        <w:t>26 de mayo de 2020</w:t>
      </w:r>
      <w:r w:rsidRPr="1A782E34">
        <w:rPr>
          <w:sz w:val="28"/>
          <w:szCs w:val="28"/>
        </w:rPr>
        <w:t xml:space="preserve">, lapso durante el cual, no corrieron términos judiciales. </w:t>
      </w:r>
    </w:p>
    <w:p w14:paraId="18B9C245" w14:textId="77777777" w:rsidR="0052573D" w:rsidRDefault="0052573D" w:rsidP="00475FDD">
      <w:pPr>
        <w:spacing w:line="360" w:lineRule="auto"/>
        <w:ind w:right="-79"/>
        <w:jc w:val="both"/>
        <w:rPr>
          <w:sz w:val="28"/>
          <w:szCs w:val="28"/>
        </w:rPr>
      </w:pPr>
    </w:p>
    <w:p w14:paraId="046DB4E0" w14:textId="1DBA2651" w:rsidR="00D847D0" w:rsidRDefault="00475FDD" w:rsidP="00E95D02">
      <w:pPr>
        <w:spacing w:line="360" w:lineRule="auto"/>
        <w:ind w:right="-79"/>
        <w:jc w:val="both"/>
        <w:rPr>
          <w:b/>
          <w:bCs/>
          <w:sz w:val="28"/>
          <w:szCs w:val="28"/>
        </w:rPr>
      </w:pPr>
      <w:r w:rsidRPr="6160CCA4">
        <w:rPr>
          <w:sz w:val="28"/>
          <w:szCs w:val="28"/>
        </w:rPr>
        <w:t>Bajo esta</w:t>
      </w:r>
      <w:r w:rsidR="0052573D" w:rsidRPr="6160CCA4">
        <w:rPr>
          <w:sz w:val="28"/>
          <w:szCs w:val="28"/>
        </w:rPr>
        <w:t xml:space="preserve">s </w:t>
      </w:r>
      <w:r w:rsidRPr="6160CCA4">
        <w:rPr>
          <w:sz w:val="28"/>
          <w:szCs w:val="28"/>
        </w:rPr>
        <w:t>precisi</w:t>
      </w:r>
      <w:r w:rsidR="0052573D" w:rsidRPr="6160CCA4">
        <w:rPr>
          <w:sz w:val="28"/>
          <w:szCs w:val="28"/>
        </w:rPr>
        <w:t>ones</w:t>
      </w:r>
      <w:r w:rsidRPr="6160CCA4">
        <w:rPr>
          <w:sz w:val="28"/>
          <w:szCs w:val="28"/>
        </w:rPr>
        <w:t xml:space="preserve">, para esta Sala, contrario a lo establecido por el Juez de instancia, en el presente caso el medio de control </w:t>
      </w:r>
      <w:r w:rsidRPr="6160CCA4">
        <w:rPr>
          <w:b/>
          <w:bCs/>
          <w:sz w:val="28"/>
          <w:szCs w:val="28"/>
        </w:rPr>
        <w:t>no se encuentra caducado</w:t>
      </w:r>
      <w:r w:rsidRPr="6160CCA4">
        <w:rPr>
          <w:sz w:val="28"/>
          <w:szCs w:val="28"/>
        </w:rPr>
        <w:t>, si se</w:t>
      </w:r>
      <w:r w:rsidR="001E58F6" w:rsidRPr="6160CCA4">
        <w:rPr>
          <w:sz w:val="28"/>
          <w:szCs w:val="28"/>
        </w:rPr>
        <w:t xml:space="preserve"> tiene en cuenta que </w:t>
      </w:r>
      <w:r w:rsidR="002E1B62" w:rsidRPr="6160CCA4">
        <w:rPr>
          <w:sz w:val="28"/>
          <w:szCs w:val="28"/>
        </w:rPr>
        <w:t xml:space="preserve">el escrito de demanda </w:t>
      </w:r>
      <w:r w:rsidR="001E58F6" w:rsidRPr="6160CCA4">
        <w:rPr>
          <w:sz w:val="28"/>
          <w:szCs w:val="28"/>
        </w:rPr>
        <w:t xml:space="preserve">se radicó el </w:t>
      </w:r>
      <w:r w:rsidR="001E58F6" w:rsidRPr="6160CCA4">
        <w:rPr>
          <w:b/>
          <w:bCs/>
          <w:sz w:val="28"/>
          <w:szCs w:val="28"/>
        </w:rPr>
        <w:t xml:space="preserve">31 de julio de 2020, </w:t>
      </w:r>
      <w:r w:rsidR="001E58F6" w:rsidRPr="6160CCA4">
        <w:rPr>
          <w:sz w:val="28"/>
          <w:szCs w:val="28"/>
        </w:rPr>
        <w:t>que</w:t>
      </w:r>
      <w:r w:rsidR="001E58F6" w:rsidRPr="6160CCA4">
        <w:rPr>
          <w:b/>
          <w:bCs/>
          <w:sz w:val="28"/>
          <w:szCs w:val="28"/>
        </w:rPr>
        <w:t xml:space="preserve"> </w:t>
      </w:r>
      <w:r w:rsidR="001E58F6" w:rsidRPr="6160CCA4">
        <w:rPr>
          <w:sz w:val="28"/>
          <w:szCs w:val="28"/>
        </w:rPr>
        <w:t>a partir del</w:t>
      </w:r>
      <w:r w:rsidR="001E58F6" w:rsidRPr="6160CCA4">
        <w:rPr>
          <w:b/>
          <w:bCs/>
          <w:sz w:val="28"/>
          <w:szCs w:val="28"/>
        </w:rPr>
        <w:t xml:space="preserve"> </w:t>
      </w:r>
      <w:r w:rsidR="001E58F6" w:rsidRPr="6160CCA4">
        <w:rPr>
          <w:sz w:val="28"/>
          <w:szCs w:val="28"/>
        </w:rPr>
        <w:t xml:space="preserve">fallecimiento del señor Jeffer Arley Guerrero Daza ocurrido el </w:t>
      </w:r>
      <w:r w:rsidR="001E58F6" w:rsidRPr="6160CCA4">
        <w:rPr>
          <w:b/>
          <w:bCs/>
          <w:sz w:val="28"/>
          <w:szCs w:val="28"/>
        </w:rPr>
        <w:t xml:space="preserve">20 de marzo de 2018 </w:t>
      </w:r>
      <w:r w:rsidR="001E58F6" w:rsidRPr="6160CCA4">
        <w:rPr>
          <w:sz w:val="28"/>
          <w:szCs w:val="28"/>
        </w:rPr>
        <w:t>comenzaron a contabilizarse los dos años de que trata el artículo 164 del CPACA</w:t>
      </w:r>
      <w:r w:rsidR="002E1B62" w:rsidRPr="6160CCA4">
        <w:rPr>
          <w:sz w:val="28"/>
          <w:szCs w:val="28"/>
        </w:rPr>
        <w:t xml:space="preserve">, es decir, entre el </w:t>
      </w:r>
      <w:r w:rsidR="002E1B62" w:rsidRPr="6160CCA4">
        <w:rPr>
          <w:b/>
          <w:bCs/>
          <w:sz w:val="28"/>
          <w:szCs w:val="28"/>
        </w:rPr>
        <w:t>21 de marzo de 2018</w:t>
      </w:r>
      <w:r w:rsidR="002E1B62" w:rsidRPr="6160CCA4">
        <w:rPr>
          <w:sz w:val="28"/>
          <w:szCs w:val="28"/>
        </w:rPr>
        <w:t xml:space="preserve"> y el </w:t>
      </w:r>
      <w:r w:rsidR="002E1B62" w:rsidRPr="6160CCA4">
        <w:rPr>
          <w:b/>
          <w:bCs/>
          <w:sz w:val="28"/>
          <w:szCs w:val="28"/>
        </w:rPr>
        <w:t>21 de marzo de 2020</w:t>
      </w:r>
      <w:r w:rsidR="00D847D0" w:rsidRPr="6160CCA4">
        <w:rPr>
          <w:b/>
          <w:bCs/>
          <w:sz w:val="28"/>
          <w:szCs w:val="28"/>
        </w:rPr>
        <w:t xml:space="preserve">, </w:t>
      </w:r>
      <w:r w:rsidR="00D847D0" w:rsidRPr="6160CCA4">
        <w:rPr>
          <w:sz w:val="28"/>
          <w:szCs w:val="28"/>
        </w:rPr>
        <w:t>y</w:t>
      </w:r>
      <w:r w:rsidR="00D847D0" w:rsidRPr="6160CCA4">
        <w:rPr>
          <w:b/>
          <w:bCs/>
          <w:sz w:val="28"/>
          <w:szCs w:val="28"/>
        </w:rPr>
        <w:t xml:space="preserve"> </w:t>
      </w:r>
      <w:r w:rsidR="00D847D0" w:rsidRPr="6160CCA4">
        <w:rPr>
          <w:sz w:val="28"/>
          <w:szCs w:val="28"/>
        </w:rPr>
        <w:t xml:space="preserve">que la suspensión de los términos judiciales con ocasión de la pandemia causada por el COVID-19 corrió entre el </w:t>
      </w:r>
      <w:r w:rsidR="00D847D0" w:rsidRPr="6160CCA4">
        <w:rPr>
          <w:b/>
          <w:bCs/>
          <w:sz w:val="28"/>
          <w:szCs w:val="28"/>
        </w:rPr>
        <w:t xml:space="preserve">16 de marzo de 2020 </w:t>
      </w:r>
      <w:r w:rsidR="00D847D0" w:rsidRPr="6160CCA4">
        <w:rPr>
          <w:sz w:val="28"/>
          <w:szCs w:val="28"/>
        </w:rPr>
        <w:t>y el</w:t>
      </w:r>
      <w:r w:rsidR="00D847D0" w:rsidRPr="6160CCA4">
        <w:rPr>
          <w:b/>
          <w:bCs/>
          <w:sz w:val="28"/>
          <w:szCs w:val="28"/>
        </w:rPr>
        <w:t xml:space="preserve"> 30 de junio de 2020.</w:t>
      </w:r>
    </w:p>
    <w:p w14:paraId="1ADE7E9B" w14:textId="77777777" w:rsidR="00D847D0" w:rsidRDefault="00D847D0" w:rsidP="00E95D02">
      <w:pPr>
        <w:spacing w:line="360" w:lineRule="auto"/>
        <w:ind w:right="-79"/>
        <w:jc w:val="both"/>
        <w:rPr>
          <w:b/>
          <w:bCs/>
          <w:sz w:val="28"/>
          <w:szCs w:val="28"/>
        </w:rPr>
      </w:pPr>
    </w:p>
    <w:p w14:paraId="44244700" w14:textId="0A9B0A73" w:rsidR="00E0486D" w:rsidRPr="00E95D02" w:rsidRDefault="00D847D0" w:rsidP="00E95D02">
      <w:pPr>
        <w:spacing w:line="360" w:lineRule="auto"/>
        <w:ind w:right="-79"/>
        <w:jc w:val="both"/>
        <w:rPr>
          <w:sz w:val="28"/>
          <w:szCs w:val="28"/>
        </w:rPr>
      </w:pPr>
      <w:r w:rsidRPr="1A782E34">
        <w:rPr>
          <w:sz w:val="28"/>
          <w:szCs w:val="28"/>
        </w:rPr>
        <w:t xml:space="preserve">En consecuencia, a la fecha en que se suspendieron los términos procesales, </w:t>
      </w:r>
      <w:r w:rsidRPr="1A782E34">
        <w:rPr>
          <w:b/>
          <w:bCs/>
          <w:sz w:val="28"/>
          <w:szCs w:val="28"/>
        </w:rPr>
        <w:t>restaban  6 días para culminar el plazo que tenía la parte actora para presentar en tiempo la demanda de reparación directa</w:t>
      </w:r>
      <w:r w:rsidRPr="1A782E34">
        <w:rPr>
          <w:sz w:val="28"/>
          <w:szCs w:val="28"/>
        </w:rPr>
        <w:t xml:space="preserve">, que en atención al Decreto Legislativo 564 de 2020 </w:t>
      </w:r>
      <w:r w:rsidR="00E0486D" w:rsidRPr="1A782E34">
        <w:rPr>
          <w:sz w:val="28"/>
          <w:szCs w:val="28"/>
        </w:rPr>
        <w:t xml:space="preserve">al reanudarse el cómputo de la caducidad a partir del </w:t>
      </w:r>
      <w:r w:rsidR="00E0486D" w:rsidRPr="1A782E34">
        <w:rPr>
          <w:b/>
          <w:bCs/>
          <w:sz w:val="28"/>
          <w:szCs w:val="28"/>
        </w:rPr>
        <w:t>1° de julio de 2020</w:t>
      </w:r>
      <w:r w:rsidR="00E0486D" w:rsidRPr="1A782E34">
        <w:rPr>
          <w:sz w:val="28"/>
          <w:szCs w:val="28"/>
        </w:rPr>
        <w:t xml:space="preserve"> la </w:t>
      </w:r>
      <w:r w:rsidR="00E95D02" w:rsidRPr="1A782E34">
        <w:rPr>
          <w:sz w:val="28"/>
          <w:szCs w:val="28"/>
        </w:rPr>
        <w:t>p</w:t>
      </w:r>
      <w:r w:rsidR="00E0486D" w:rsidRPr="1A782E34">
        <w:rPr>
          <w:sz w:val="28"/>
          <w:szCs w:val="28"/>
        </w:rPr>
        <w:t xml:space="preserve">arte </w:t>
      </w:r>
      <w:r w:rsidRPr="1A782E34">
        <w:rPr>
          <w:sz w:val="28"/>
          <w:szCs w:val="28"/>
        </w:rPr>
        <w:t xml:space="preserve">demandante contaba con un mes para </w:t>
      </w:r>
      <w:r w:rsidR="00244CB8" w:rsidRPr="1A782E34">
        <w:rPr>
          <w:sz w:val="28"/>
          <w:szCs w:val="28"/>
        </w:rPr>
        <w:t>entablar</w:t>
      </w:r>
      <w:r w:rsidRPr="1A782E34">
        <w:rPr>
          <w:sz w:val="28"/>
          <w:szCs w:val="28"/>
        </w:rPr>
        <w:t xml:space="preserve"> la </w:t>
      </w:r>
      <w:r w:rsidR="00244CB8" w:rsidRPr="1A782E34">
        <w:rPr>
          <w:sz w:val="28"/>
          <w:szCs w:val="28"/>
        </w:rPr>
        <w:t>demanda</w:t>
      </w:r>
      <w:r w:rsidRPr="1A782E34">
        <w:rPr>
          <w:sz w:val="28"/>
          <w:szCs w:val="28"/>
        </w:rPr>
        <w:t>,</w:t>
      </w:r>
      <w:r w:rsidR="00E0486D" w:rsidRPr="1A782E34">
        <w:rPr>
          <w:sz w:val="28"/>
          <w:szCs w:val="28"/>
        </w:rPr>
        <w:t xml:space="preserve"> </w:t>
      </w:r>
      <w:r w:rsidR="00244CB8" w:rsidRPr="1A782E34">
        <w:rPr>
          <w:sz w:val="28"/>
          <w:szCs w:val="28"/>
        </w:rPr>
        <w:t xml:space="preserve">esto es, </w:t>
      </w:r>
      <w:r w:rsidR="00E0486D" w:rsidRPr="1A782E34">
        <w:rPr>
          <w:sz w:val="28"/>
          <w:szCs w:val="28"/>
        </w:rPr>
        <w:t xml:space="preserve">hasta el </w:t>
      </w:r>
      <w:r w:rsidR="00E0486D" w:rsidRPr="1A782E34">
        <w:rPr>
          <w:b/>
          <w:bCs/>
          <w:sz w:val="28"/>
          <w:szCs w:val="28"/>
        </w:rPr>
        <w:t>31 de julio de 2020</w:t>
      </w:r>
      <w:r w:rsidR="00E0486D" w:rsidRPr="1A782E34">
        <w:rPr>
          <w:sz w:val="28"/>
          <w:szCs w:val="28"/>
        </w:rPr>
        <w:t xml:space="preserve">, por lo que fuerza concluir que la misma fue presentada oportunamente, razón por la que se revocará el auto apelado.  </w:t>
      </w:r>
    </w:p>
    <w:p w14:paraId="7C64475A" w14:textId="77777777" w:rsidR="00E0486D" w:rsidRDefault="00E0486D" w:rsidP="00ED704F">
      <w:pPr>
        <w:tabs>
          <w:tab w:val="left" w:pos="709"/>
        </w:tabs>
        <w:spacing w:line="360" w:lineRule="auto"/>
        <w:jc w:val="both"/>
        <w:rPr>
          <w:sz w:val="28"/>
          <w:szCs w:val="28"/>
          <w:lang w:val="es-CO"/>
        </w:rPr>
      </w:pPr>
    </w:p>
    <w:p w14:paraId="0E7CB2F5" w14:textId="7638D962" w:rsidR="00E0486D" w:rsidRPr="00244CB8" w:rsidRDefault="00244CB8" w:rsidP="00ED704F">
      <w:pPr>
        <w:tabs>
          <w:tab w:val="left" w:pos="709"/>
        </w:tabs>
        <w:spacing w:line="360" w:lineRule="auto"/>
        <w:jc w:val="both"/>
        <w:rPr>
          <w:sz w:val="28"/>
          <w:szCs w:val="28"/>
          <w:lang w:val="es-CO"/>
        </w:rPr>
      </w:pPr>
      <w:r w:rsidRPr="6160CCA4">
        <w:rPr>
          <w:sz w:val="28"/>
          <w:szCs w:val="28"/>
          <w:lang w:val="es-CO"/>
        </w:rPr>
        <w:t xml:space="preserve">Advierte la Sala que, el Decreto 564 de 2020 señaló que si restaban menos de 30 días para que operara la caducidad cuando se suspendieron los términos con ocasión de la COVID 19,- tal como en este caso en el que faltaban 6 días-, la parte demandante tenía un mes contado a partir del levantamiento de la suspensión para presentar oportunamente la demanda, de ahí que, al establecer que lo hizo el </w:t>
      </w:r>
      <w:r w:rsidRPr="6160CCA4">
        <w:rPr>
          <w:b/>
          <w:bCs/>
          <w:sz w:val="28"/>
          <w:szCs w:val="28"/>
          <w:lang w:val="es-CO"/>
        </w:rPr>
        <w:t xml:space="preserve">31 de julio de 2020, </w:t>
      </w:r>
      <w:r w:rsidRPr="6160CCA4">
        <w:rPr>
          <w:sz w:val="28"/>
          <w:szCs w:val="28"/>
          <w:lang w:val="es-CO"/>
        </w:rPr>
        <w:t>la demanda se presentó oportunamente.</w:t>
      </w:r>
    </w:p>
    <w:p w14:paraId="5F0FFBA4" w14:textId="77777777" w:rsidR="00E0486D" w:rsidRDefault="00E0486D" w:rsidP="00A5766B">
      <w:pPr>
        <w:spacing w:line="360" w:lineRule="auto"/>
        <w:jc w:val="both"/>
        <w:rPr>
          <w:color w:val="000000"/>
          <w:sz w:val="28"/>
          <w:szCs w:val="28"/>
          <w:shd w:val="clear" w:color="auto" w:fill="FFFFFF"/>
        </w:rPr>
      </w:pPr>
    </w:p>
    <w:p w14:paraId="17D2423C" w14:textId="04C5F7D1" w:rsidR="00AD0A2D" w:rsidRPr="00D64568" w:rsidRDefault="00A5766B" w:rsidP="00B22680">
      <w:pPr>
        <w:pStyle w:val="Textoindependiente21"/>
        <w:rPr>
          <w:rFonts w:ascii="Times New Roman" w:hAnsi="Times New Roman"/>
          <w:color w:val="auto"/>
          <w:szCs w:val="28"/>
        </w:rPr>
      </w:pPr>
      <w:r w:rsidRPr="00D64568">
        <w:rPr>
          <w:rFonts w:ascii="Times New Roman" w:hAnsi="Times New Roman"/>
          <w:color w:val="auto"/>
          <w:szCs w:val="28"/>
        </w:rPr>
        <w:t xml:space="preserve">Por lo anterior, se </w:t>
      </w:r>
      <w:r w:rsidR="00B13A47">
        <w:rPr>
          <w:rFonts w:ascii="Times New Roman" w:hAnsi="Times New Roman"/>
          <w:color w:val="auto"/>
          <w:szCs w:val="28"/>
        </w:rPr>
        <w:t xml:space="preserve">revocará </w:t>
      </w:r>
      <w:r w:rsidRPr="00D64568">
        <w:rPr>
          <w:rFonts w:ascii="Times New Roman" w:hAnsi="Times New Roman"/>
          <w:color w:val="auto"/>
          <w:szCs w:val="28"/>
        </w:rPr>
        <w:t xml:space="preserve">la decisión contenida en el auto del </w:t>
      </w:r>
      <w:r w:rsidR="00B13A47">
        <w:rPr>
          <w:rFonts w:ascii="Times New Roman" w:hAnsi="Times New Roman"/>
          <w:color w:val="auto"/>
          <w:szCs w:val="28"/>
        </w:rPr>
        <w:t xml:space="preserve">4 </w:t>
      </w:r>
      <w:r w:rsidRPr="00D64568">
        <w:rPr>
          <w:rFonts w:ascii="Times New Roman" w:hAnsi="Times New Roman"/>
          <w:color w:val="auto"/>
          <w:szCs w:val="28"/>
        </w:rPr>
        <w:t xml:space="preserve">de </w:t>
      </w:r>
      <w:r w:rsidR="00B13A47">
        <w:rPr>
          <w:rFonts w:ascii="Times New Roman" w:hAnsi="Times New Roman"/>
          <w:color w:val="auto"/>
          <w:szCs w:val="28"/>
        </w:rPr>
        <w:t xml:space="preserve">septiembre </w:t>
      </w:r>
      <w:r w:rsidRPr="00D64568">
        <w:rPr>
          <w:rFonts w:ascii="Times New Roman" w:hAnsi="Times New Roman"/>
          <w:color w:val="auto"/>
          <w:szCs w:val="28"/>
        </w:rPr>
        <w:t xml:space="preserve">de </w:t>
      </w:r>
      <w:r w:rsidR="00B13A47">
        <w:rPr>
          <w:rFonts w:ascii="Times New Roman" w:hAnsi="Times New Roman"/>
          <w:color w:val="auto"/>
          <w:szCs w:val="28"/>
        </w:rPr>
        <w:t xml:space="preserve">2020 </w:t>
      </w:r>
      <w:r w:rsidRPr="00D64568">
        <w:rPr>
          <w:rFonts w:ascii="Times New Roman" w:hAnsi="Times New Roman"/>
          <w:color w:val="auto"/>
          <w:szCs w:val="28"/>
        </w:rPr>
        <w:t xml:space="preserve">proferida por el Juzgado </w:t>
      </w:r>
      <w:r w:rsidR="00B13A47">
        <w:rPr>
          <w:rFonts w:ascii="Times New Roman" w:hAnsi="Times New Roman"/>
          <w:color w:val="auto"/>
          <w:szCs w:val="28"/>
        </w:rPr>
        <w:t xml:space="preserve">Primero </w:t>
      </w:r>
      <w:r w:rsidRPr="00D64568">
        <w:rPr>
          <w:rFonts w:ascii="Times New Roman" w:hAnsi="Times New Roman"/>
          <w:color w:val="auto"/>
          <w:szCs w:val="28"/>
        </w:rPr>
        <w:t xml:space="preserve">Administrativo del Circuito de </w:t>
      </w:r>
      <w:r w:rsidR="00B13A47">
        <w:rPr>
          <w:rFonts w:ascii="Times New Roman" w:hAnsi="Times New Roman"/>
          <w:color w:val="auto"/>
          <w:szCs w:val="28"/>
        </w:rPr>
        <w:t>Tunja.</w:t>
      </w:r>
    </w:p>
    <w:p w14:paraId="031D12C2" w14:textId="77777777" w:rsidR="005B3427" w:rsidRPr="00D64568" w:rsidRDefault="005B3427" w:rsidP="005B3427">
      <w:pPr>
        <w:pStyle w:val="Textoindependiente21"/>
        <w:rPr>
          <w:rFonts w:ascii="Times New Roman" w:hAnsi="Times New Roman"/>
          <w:color w:val="auto"/>
          <w:szCs w:val="28"/>
        </w:rPr>
      </w:pPr>
    </w:p>
    <w:p w14:paraId="0D655533" w14:textId="77777777" w:rsidR="002C1E8D" w:rsidRPr="00D64568" w:rsidRDefault="002C1E8D" w:rsidP="005B3427">
      <w:pPr>
        <w:pStyle w:val="Textoindependiente21"/>
        <w:tabs>
          <w:tab w:val="left" w:pos="2895"/>
          <w:tab w:val="center" w:pos="4420"/>
          <w:tab w:val="left" w:pos="6845"/>
          <w:tab w:val="right" w:pos="8602"/>
        </w:tabs>
        <w:jc w:val="center"/>
        <w:rPr>
          <w:rFonts w:ascii="Times New Roman" w:hAnsi="Times New Roman"/>
          <w:b/>
          <w:color w:val="auto"/>
          <w:szCs w:val="28"/>
        </w:rPr>
      </w:pPr>
      <w:r w:rsidRPr="00D64568">
        <w:rPr>
          <w:rFonts w:ascii="Times New Roman" w:hAnsi="Times New Roman"/>
          <w:b/>
          <w:color w:val="auto"/>
          <w:szCs w:val="28"/>
        </w:rPr>
        <w:t>RESUEL</w:t>
      </w:r>
      <w:r w:rsidR="00331392" w:rsidRPr="00D64568">
        <w:rPr>
          <w:rFonts w:ascii="Times New Roman" w:hAnsi="Times New Roman"/>
          <w:b/>
          <w:color w:val="auto"/>
          <w:szCs w:val="28"/>
        </w:rPr>
        <w:t>VE</w:t>
      </w:r>
    </w:p>
    <w:p w14:paraId="03824C44" w14:textId="77777777" w:rsidR="00331392" w:rsidRPr="00D64568" w:rsidRDefault="00331392" w:rsidP="005B3427">
      <w:pPr>
        <w:pStyle w:val="Textoindependiente21"/>
        <w:tabs>
          <w:tab w:val="left" w:pos="6845"/>
          <w:tab w:val="right" w:pos="8602"/>
        </w:tabs>
        <w:rPr>
          <w:rFonts w:ascii="Times New Roman" w:hAnsi="Times New Roman"/>
          <w:b/>
          <w:color w:val="auto"/>
          <w:szCs w:val="28"/>
        </w:rPr>
      </w:pPr>
    </w:p>
    <w:p w14:paraId="38B482CD" w14:textId="3DC0223C" w:rsidR="009B0B1B" w:rsidRPr="00D64568" w:rsidRDefault="00E96F75" w:rsidP="6160CCA4">
      <w:pPr>
        <w:pStyle w:val="Textoindependiente21"/>
        <w:rPr>
          <w:rFonts w:ascii="Times New Roman" w:hAnsi="Times New Roman"/>
          <w:color w:val="auto"/>
        </w:rPr>
      </w:pPr>
      <w:r w:rsidRPr="6160CCA4">
        <w:rPr>
          <w:rFonts w:ascii="Times New Roman" w:hAnsi="Times New Roman"/>
          <w:b/>
          <w:bCs/>
        </w:rPr>
        <w:t>PRIMERO</w:t>
      </w:r>
      <w:r w:rsidR="009B0B1B" w:rsidRPr="6160CCA4">
        <w:rPr>
          <w:rFonts w:ascii="Times New Roman" w:hAnsi="Times New Roman"/>
          <w:b/>
          <w:bCs/>
        </w:rPr>
        <w:t>:</w:t>
      </w:r>
      <w:r w:rsidRPr="6160CCA4">
        <w:rPr>
          <w:rFonts w:ascii="Times New Roman" w:hAnsi="Times New Roman"/>
          <w:b/>
          <w:bCs/>
        </w:rPr>
        <w:t xml:space="preserve"> </w:t>
      </w:r>
      <w:r w:rsidR="00B13A47" w:rsidRPr="6160CCA4">
        <w:rPr>
          <w:rFonts w:ascii="Times New Roman" w:hAnsi="Times New Roman"/>
          <w:b/>
          <w:bCs/>
        </w:rPr>
        <w:t>REVOCAR</w:t>
      </w:r>
      <w:r w:rsidR="00D40E67" w:rsidRPr="6160CCA4">
        <w:rPr>
          <w:rFonts w:ascii="Times New Roman" w:hAnsi="Times New Roman"/>
          <w:b/>
          <w:bCs/>
        </w:rPr>
        <w:t xml:space="preserve"> </w:t>
      </w:r>
      <w:r w:rsidR="00D40E67" w:rsidRPr="6160CCA4">
        <w:rPr>
          <w:rFonts w:ascii="Times New Roman" w:hAnsi="Times New Roman"/>
        </w:rPr>
        <w:t xml:space="preserve">la decisión proferida </w:t>
      </w:r>
      <w:r w:rsidR="00A95C11" w:rsidRPr="6160CCA4">
        <w:rPr>
          <w:rFonts w:ascii="Times New Roman" w:hAnsi="Times New Roman"/>
        </w:rPr>
        <w:t>por</w:t>
      </w:r>
      <w:r w:rsidR="00D40E67" w:rsidRPr="6160CCA4">
        <w:rPr>
          <w:rFonts w:ascii="Times New Roman" w:hAnsi="Times New Roman"/>
        </w:rPr>
        <w:t xml:space="preserve"> el Juzgado </w:t>
      </w:r>
      <w:r w:rsidR="00B13A47" w:rsidRPr="6160CCA4">
        <w:rPr>
          <w:rFonts w:ascii="Times New Roman" w:hAnsi="Times New Roman"/>
          <w:color w:val="auto"/>
        </w:rPr>
        <w:t xml:space="preserve">Primero </w:t>
      </w:r>
      <w:r w:rsidR="00A5766B" w:rsidRPr="6160CCA4">
        <w:rPr>
          <w:rFonts w:ascii="Times New Roman" w:hAnsi="Times New Roman"/>
          <w:color w:val="auto"/>
        </w:rPr>
        <w:t xml:space="preserve">Administrativo del Circuito de </w:t>
      </w:r>
      <w:r w:rsidR="00B13A47" w:rsidRPr="6160CCA4">
        <w:rPr>
          <w:rFonts w:ascii="Times New Roman" w:hAnsi="Times New Roman"/>
          <w:color w:val="auto"/>
        </w:rPr>
        <w:t xml:space="preserve">Tunja </w:t>
      </w:r>
      <w:r w:rsidR="00DE1CA2" w:rsidRPr="6160CCA4">
        <w:rPr>
          <w:rFonts w:ascii="Times New Roman" w:hAnsi="Times New Roman"/>
        </w:rPr>
        <w:t xml:space="preserve">del </w:t>
      </w:r>
      <w:r w:rsidR="00B13A47" w:rsidRPr="6160CCA4">
        <w:rPr>
          <w:rFonts w:ascii="Times New Roman" w:hAnsi="Times New Roman"/>
          <w:color w:val="auto"/>
        </w:rPr>
        <w:t xml:space="preserve">4 </w:t>
      </w:r>
      <w:r w:rsidR="00A5766B" w:rsidRPr="6160CCA4">
        <w:rPr>
          <w:rFonts w:ascii="Times New Roman" w:hAnsi="Times New Roman"/>
          <w:color w:val="auto"/>
        </w:rPr>
        <w:t xml:space="preserve">de </w:t>
      </w:r>
      <w:r w:rsidR="00B13A47" w:rsidRPr="6160CCA4">
        <w:rPr>
          <w:rFonts w:ascii="Times New Roman" w:hAnsi="Times New Roman"/>
          <w:color w:val="auto"/>
        </w:rPr>
        <w:t xml:space="preserve">septiembre </w:t>
      </w:r>
      <w:r w:rsidR="00A5766B" w:rsidRPr="6160CCA4">
        <w:rPr>
          <w:rFonts w:ascii="Times New Roman" w:hAnsi="Times New Roman"/>
          <w:color w:val="auto"/>
        </w:rPr>
        <w:t xml:space="preserve">de </w:t>
      </w:r>
      <w:r w:rsidR="00B13A47" w:rsidRPr="6160CCA4">
        <w:rPr>
          <w:rFonts w:ascii="Times New Roman" w:hAnsi="Times New Roman"/>
          <w:color w:val="auto"/>
        </w:rPr>
        <w:t>2020</w:t>
      </w:r>
      <w:r w:rsidR="009B0B1B" w:rsidRPr="6160CCA4">
        <w:rPr>
          <w:rFonts w:ascii="Times New Roman" w:hAnsi="Times New Roman"/>
        </w:rPr>
        <w:t xml:space="preserve">, </w:t>
      </w:r>
      <w:r w:rsidR="00D40E67" w:rsidRPr="6160CCA4">
        <w:rPr>
          <w:rFonts w:ascii="Times New Roman" w:hAnsi="Times New Roman"/>
        </w:rPr>
        <w:t xml:space="preserve">mediante </w:t>
      </w:r>
      <w:r w:rsidR="00DE1CA2" w:rsidRPr="6160CCA4">
        <w:rPr>
          <w:rFonts w:ascii="Times New Roman" w:hAnsi="Times New Roman"/>
        </w:rPr>
        <w:t xml:space="preserve">el </w:t>
      </w:r>
      <w:r w:rsidR="00D40E67" w:rsidRPr="6160CCA4">
        <w:rPr>
          <w:rFonts w:ascii="Times New Roman" w:hAnsi="Times New Roman"/>
        </w:rPr>
        <w:t xml:space="preserve">cual </w:t>
      </w:r>
      <w:r w:rsidR="00A5766B" w:rsidRPr="6160CCA4">
        <w:rPr>
          <w:rFonts w:ascii="Times New Roman" w:hAnsi="Times New Roman"/>
        </w:rPr>
        <w:t>rechazó la demanda por caducidad</w:t>
      </w:r>
      <w:r w:rsidR="00B13A47" w:rsidRPr="6160CCA4">
        <w:rPr>
          <w:rFonts w:ascii="Times New Roman" w:hAnsi="Times New Roman"/>
        </w:rPr>
        <w:t xml:space="preserve">, </w:t>
      </w:r>
      <w:r w:rsidR="009B0B1B" w:rsidRPr="6160CCA4">
        <w:rPr>
          <w:rFonts w:ascii="Times New Roman" w:hAnsi="Times New Roman"/>
        </w:rPr>
        <w:t>por las razones aquí expuestas.</w:t>
      </w:r>
    </w:p>
    <w:p w14:paraId="000AD1DC" w14:textId="77777777" w:rsidR="00331392" w:rsidRPr="00D64568" w:rsidRDefault="00331392" w:rsidP="00A5766B">
      <w:pPr>
        <w:tabs>
          <w:tab w:val="left" w:pos="748"/>
        </w:tabs>
        <w:spacing w:line="360" w:lineRule="auto"/>
        <w:jc w:val="both"/>
        <w:rPr>
          <w:bCs/>
          <w:sz w:val="28"/>
          <w:szCs w:val="28"/>
        </w:rPr>
      </w:pPr>
    </w:p>
    <w:p w14:paraId="3A21A12A" w14:textId="77777777" w:rsidR="00ED6F0D" w:rsidRPr="00D64568" w:rsidRDefault="00331392" w:rsidP="6160CCA4">
      <w:pPr>
        <w:tabs>
          <w:tab w:val="left" w:pos="748"/>
        </w:tabs>
        <w:spacing w:line="360" w:lineRule="auto"/>
        <w:jc w:val="both"/>
        <w:rPr>
          <w:b/>
          <w:bCs/>
          <w:sz w:val="28"/>
          <w:szCs w:val="28"/>
        </w:rPr>
      </w:pPr>
      <w:r w:rsidRPr="6160CCA4">
        <w:rPr>
          <w:b/>
          <w:bCs/>
          <w:sz w:val="28"/>
          <w:szCs w:val="28"/>
        </w:rPr>
        <w:t xml:space="preserve"> SEGUNDO.</w:t>
      </w:r>
      <w:r w:rsidRPr="6160CCA4">
        <w:rPr>
          <w:sz w:val="28"/>
          <w:szCs w:val="28"/>
        </w:rPr>
        <w:t xml:space="preserve"> </w:t>
      </w:r>
      <w:r w:rsidR="00DE1CA2" w:rsidRPr="6160CCA4">
        <w:rPr>
          <w:sz w:val="28"/>
          <w:szCs w:val="28"/>
        </w:rPr>
        <w:t>Sin costa</w:t>
      </w:r>
      <w:r w:rsidR="00DE1CA2" w:rsidRPr="6160CCA4">
        <w:rPr>
          <w:b/>
          <w:bCs/>
          <w:sz w:val="28"/>
          <w:szCs w:val="28"/>
        </w:rPr>
        <w:t xml:space="preserve">s </w:t>
      </w:r>
      <w:r w:rsidR="00DE1CA2" w:rsidRPr="6160CCA4">
        <w:rPr>
          <w:sz w:val="28"/>
          <w:szCs w:val="28"/>
        </w:rPr>
        <w:t>en esta instancia</w:t>
      </w:r>
      <w:r w:rsidR="00DE1CA2" w:rsidRPr="6160CCA4">
        <w:rPr>
          <w:b/>
          <w:bCs/>
          <w:sz w:val="28"/>
          <w:szCs w:val="28"/>
        </w:rPr>
        <w:t>.</w:t>
      </w:r>
    </w:p>
    <w:p w14:paraId="3730A399" w14:textId="77777777" w:rsidR="00DD2730" w:rsidRPr="00D64568" w:rsidRDefault="00DD2730" w:rsidP="00A5766B">
      <w:pPr>
        <w:spacing w:line="360" w:lineRule="auto"/>
        <w:jc w:val="both"/>
        <w:rPr>
          <w:b/>
          <w:sz w:val="28"/>
          <w:szCs w:val="28"/>
        </w:rPr>
      </w:pPr>
    </w:p>
    <w:p w14:paraId="6000F5CD" w14:textId="77777777" w:rsidR="00331392" w:rsidRPr="00D64568" w:rsidRDefault="00331392" w:rsidP="00A5766B">
      <w:pPr>
        <w:spacing w:line="360" w:lineRule="auto"/>
        <w:jc w:val="both"/>
        <w:rPr>
          <w:b/>
          <w:sz w:val="28"/>
          <w:szCs w:val="28"/>
        </w:rPr>
      </w:pPr>
      <w:r w:rsidRPr="00D64568">
        <w:rPr>
          <w:b/>
          <w:sz w:val="28"/>
          <w:szCs w:val="28"/>
        </w:rPr>
        <w:t>TERCERO.</w:t>
      </w:r>
      <w:r w:rsidR="00DE1CA2" w:rsidRPr="00D64568">
        <w:rPr>
          <w:b/>
          <w:sz w:val="28"/>
          <w:szCs w:val="28"/>
        </w:rPr>
        <w:t xml:space="preserve"> </w:t>
      </w:r>
      <w:r w:rsidRPr="00D64568">
        <w:rPr>
          <w:sz w:val="28"/>
          <w:szCs w:val="28"/>
        </w:rPr>
        <w:t>Una vez en firme la presente providencia, por secretaría envíese el expediente al despacho de origen</w:t>
      </w:r>
      <w:r w:rsidR="00DE1CA2" w:rsidRPr="00D64568">
        <w:rPr>
          <w:sz w:val="28"/>
          <w:szCs w:val="28"/>
        </w:rPr>
        <w:t>.</w:t>
      </w:r>
    </w:p>
    <w:p w14:paraId="1FE2B5C8" w14:textId="77777777" w:rsidR="00A43766" w:rsidRPr="00D64568" w:rsidRDefault="00A43766" w:rsidP="00A5766B">
      <w:pPr>
        <w:spacing w:line="360" w:lineRule="auto"/>
        <w:jc w:val="both"/>
        <w:rPr>
          <w:sz w:val="28"/>
          <w:szCs w:val="28"/>
        </w:rPr>
      </w:pPr>
    </w:p>
    <w:p w14:paraId="57647A3E" w14:textId="77777777" w:rsidR="00331392" w:rsidRPr="00D64568" w:rsidRDefault="00331392" w:rsidP="00A5766B">
      <w:pPr>
        <w:spacing w:line="360" w:lineRule="auto"/>
        <w:jc w:val="both"/>
        <w:rPr>
          <w:sz w:val="28"/>
          <w:szCs w:val="28"/>
        </w:rPr>
      </w:pPr>
      <w:r w:rsidRPr="00D64568">
        <w:rPr>
          <w:sz w:val="28"/>
          <w:szCs w:val="28"/>
        </w:rPr>
        <w:t>Esta providencia fue estudiada y aprobada en Sala de decisión No 2 de la fecha.</w:t>
      </w:r>
    </w:p>
    <w:p w14:paraId="44B28C64" w14:textId="77777777" w:rsidR="00A43766" w:rsidRPr="00D64568" w:rsidRDefault="00A43766" w:rsidP="00A5766B">
      <w:pPr>
        <w:spacing w:line="360" w:lineRule="auto"/>
        <w:jc w:val="center"/>
        <w:outlineLvl w:val="0"/>
        <w:rPr>
          <w:sz w:val="28"/>
          <w:szCs w:val="28"/>
        </w:rPr>
      </w:pPr>
    </w:p>
    <w:p w14:paraId="4E6D4F08" w14:textId="6BB88CC8" w:rsidR="00A43766" w:rsidRPr="00D64568" w:rsidRDefault="002C1E8D" w:rsidP="00AD0A2D">
      <w:pPr>
        <w:spacing w:line="360" w:lineRule="auto"/>
        <w:jc w:val="center"/>
        <w:outlineLvl w:val="0"/>
        <w:rPr>
          <w:sz w:val="28"/>
          <w:szCs w:val="28"/>
        </w:rPr>
      </w:pPr>
      <w:r w:rsidRPr="1A782E34">
        <w:rPr>
          <w:sz w:val="28"/>
          <w:szCs w:val="28"/>
        </w:rPr>
        <w:t>Notifíquese y cúmplase</w:t>
      </w:r>
    </w:p>
    <w:p w14:paraId="527DB21C" w14:textId="77777777" w:rsidR="00331392" w:rsidRPr="00D64568" w:rsidRDefault="00331392" w:rsidP="00AD0A2D">
      <w:pPr>
        <w:spacing w:line="360" w:lineRule="auto"/>
        <w:jc w:val="center"/>
        <w:rPr>
          <w:b/>
          <w:bCs/>
          <w:iCs/>
          <w:sz w:val="28"/>
          <w:szCs w:val="28"/>
        </w:rPr>
      </w:pPr>
      <w:r w:rsidRPr="00D64568">
        <w:rPr>
          <w:b/>
          <w:bCs/>
          <w:iCs/>
          <w:sz w:val="28"/>
          <w:szCs w:val="28"/>
        </w:rPr>
        <w:t>LUÍS ERNESTO ARCINIEGAS TRIANA</w:t>
      </w:r>
    </w:p>
    <w:p w14:paraId="569B2D6D" w14:textId="5CCD106C" w:rsidR="00331392" w:rsidRPr="00D64568" w:rsidRDefault="00331392" w:rsidP="1A782E34">
      <w:pPr>
        <w:spacing w:line="360" w:lineRule="auto"/>
        <w:jc w:val="center"/>
        <w:rPr>
          <w:sz w:val="28"/>
          <w:szCs w:val="28"/>
        </w:rPr>
      </w:pPr>
      <w:r w:rsidRPr="1A782E34">
        <w:rPr>
          <w:sz w:val="28"/>
          <w:szCs w:val="28"/>
        </w:rPr>
        <w:t xml:space="preserve">Magistrado  </w:t>
      </w:r>
    </w:p>
    <w:p w14:paraId="22D6684E" w14:textId="77777777" w:rsidR="00331392" w:rsidRPr="00D64568" w:rsidRDefault="00331392" w:rsidP="00FB77C1">
      <w:pPr>
        <w:spacing w:line="360" w:lineRule="auto"/>
        <w:jc w:val="center"/>
        <w:rPr>
          <w:b/>
          <w:bCs/>
          <w:iCs/>
          <w:sz w:val="28"/>
          <w:szCs w:val="28"/>
        </w:rPr>
      </w:pPr>
      <w:r w:rsidRPr="00D64568">
        <w:rPr>
          <w:b/>
          <w:bCs/>
          <w:iCs/>
          <w:sz w:val="28"/>
          <w:szCs w:val="28"/>
        </w:rPr>
        <w:t>JOSÉ ASCENCIÓN FERNÁNDEZ OSORIO</w:t>
      </w:r>
    </w:p>
    <w:p w14:paraId="5EFDB60E" w14:textId="480621CA" w:rsidR="00B13A47" w:rsidRDefault="00331392" w:rsidP="1A782E34">
      <w:pPr>
        <w:spacing w:line="360" w:lineRule="auto"/>
        <w:jc w:val="center"/>
        <w:rPr>
          <w:sz w:val="28"/>
          <w:szCs w:val="28"/>
        </w:rPr>
      </w:pPr>
      <w:r w:rsidRPr="1A782E34">
        <w:rPr>
          <w:sz w:val="28"/>
          <w:szCs w:val="28"/>
        </w:rPr>
        <w:t>Magistrado</w:t>
      </w:r>
    </w:p>
    <w:p w14:paraId="19E7CFDA" w14:textId="1AB4EFDF" w:rsidR="00B13A47" w:rsidRPr="00D64568" w:rsidRDefault="00B13A47" w:rsidP="00B13A47">
      <w:pPr>
        <w:spacing w:line="360" w:lineRule="auto"/>
        <w:jc w:val="center"/>
        <w:rPr>
          <w:b/>
          <w:bCs/>
          <w:sz w:val="28"/>
          <w:szCs w:val="28"/>
        </w:rPr>
      </w:pPr>
      <w:r>
        <w:rPr>
          <w:b/>
          <w:bCs/>
          <w:iCs/>
          <w:sz w:val="28"/>
          <w:szCs w:val="28"/>
        </w:rPr>
        <w:t>DAYÁN ALBERTO BLANCO LEGUÍZAMO</w:t>
      </w:r>
    </w:p>
    <w:p w14:paraId="5B0CECDD" w14:textId="0F485A9E" w:rsidR="00B13A47" w:rsidRPr="00D64568" w:rsidRDefault="00B13A47" w:rsidP="00FB4539">
      <w:pPr>
        <w:spacing w:line="360" w:lineRule="auto"/>
        <w:jc w:val="center"/>
        <w:rPr>
          <w:b/>
          <w:sz w:val="28"/>
          <w:szCs w:val="28"/>
        </w:rPr>
      </w:pPr>
      <w:r w:rsidRPr="00D64568">
        <w:rPr>
          <w:bCs/>
          <w:iCs/>
          <w:sz w:val="28"/>
          <w:szCs w:val="28"/>
        </w:rPr>
        <w:t>Magistrad</w:t>
      </w:r>
      <w:r>
        <w:rPr>
          <w:bCs/>
          <w:iCs/>
          <w:sz w:val="28"/>
          <w:szCs w:val="28"/>
        </w:rPr>
        <w:t>o</w:t>
      </w:r>
    </w:p>
    <w:sectPr w:rsidR="00B13A47" w:rsidRPr="00D64568" w:rsidSect="00752917">
      <w:headerReference w:type="even" r:id="rId18"/>
      <w:headerReference w:type="default" r:id="rId19"/>
      <w:headerReference w:type="first" r:id="rId20"/>
      <w:pgSz w:w="12242" w:h="18722"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091D5" w14:textId="77777777" w:rsidR="002542BB" w:rsidRDefault="002542BB" w:rsidP="002C1E8D">
      <w:r>
        <w:separator/>
      </w:r>
    </w:p>
  </w:endnote>
  <w:endnote w:type="continuationSeparator" w:id="0">
    <w:p w14:paraId="6EA5B4D1" w14:textId="77777777" w:rsidR="002542BB" w:rsidRDefault="002542BB" w:rsidP="002C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784F" w14:textId="77777777" w:rsidR="002542BB" w:rsidRDefault="002542BB" w:rsidP="002C1E8D">
      <w:r>
        <w:separator/>
      </w:r>
    </w:p>
  </w:footnote>
  <w:footnote w:type="continuationSeparator" w:id="0">
    <w:p w14:paraId="353B6AA7" w14:textId="77777777" w:rsidR="002542BB" w:rsidRDefault="002542BB" w:rsidP="002C1E8D">
      <w:r>
        <w:continuationSeparator/>
      </w:r>
    </w:p>
  </w:footnote>
  <w:footnote w:id="1">
    <w:p w14:paraId="491C637C" w14:textId="77777777" w:rsidR="0035407F" w:rsidRPr="001E2C7B" w:rsidRDefault="0035407F" w:rsidP="002C1E8D">
      <w:pPr>
        <w:jc w:val="both"/>
      </w:pPr>
      <w:r>
        <w:rPr>
          <w:rStyle w:val="Refdenotaalpie"/>
        </w:rPr>
        <w:footnoteRef/>
      </w:r>
      <w:r>
        <w:t xml:space="preserve"> </w:t>
      </w:r>
      <w:r w:rsidRPr="008A47F3">
        <w:rPr>
          <w:sz w:val="16"/>
          <w:szCs w:val="16"/>
        </w:rPr>
        <w:t xml:space="preserve">Consejo de Estado, Sección Tercera, sentencia de 5 de diciembre de </w:t>
      </w:r>
      <w:smartTag w:uri="urn:schemas-microsoft-com:office:smarttags" w:element="metricconverter">
        <w:smartTagPr>
          <w:attr w:name="ProductID" w:val="2005, C"/>
        </w:smartTagPr>
        <w:r w:rsidRPr="008A47F3">
          <w:rPr>
            <w:sz w:val="16"/>
            <w:szCs w:val="16"/>
          </w:rPr>
          <w:t>2005, C</w:t>
        </w:r>
      </w:smartTag>
      <w:r w:rsidRPr="008A47F3">
        <w:rPr>
          <w:sz w:val="16"/>
          <w:szCs w:val="16"/>
        </w:rPr>
        <w:t xml:space="preserve">.P. Alier </w:t>
      </w:r>
      <w:proofErr w:type="gramStart"/>
      <w:r w:rsidRPr="008A47F3">
        <w:rPr>
          <w:sz w:val="16"/>
          <w:szCs w:val="16"/>
        </w:rPr>
        <w:t>Eduardo  Hernández</w:t>
      </w:r>
      <w:proofErr w:type="gramEnd"/>
      <w:r w:rsidRPr="008A47F3">
        <w:rPr>
          <w:sz w:val="16"/>
          <w:szCs w:val="16"/>
        </w:rPr>
        <w:t xml:space="preserve"> Enríquez, </w:t>
      </w:r>
      <w:proofErr w:type="spellStart"/>
      <w:r w:rsidRPr="008A47F3">
        <w:rPr>
          <w:sz w:val="16"/>
          <w:szCs w:val="16"/>
        </w:rPr>
        <w:t>Exp</w:t>
      </w:r>
      <w:proofErr w:type="spellEnd"/>
      <w:r w:rsidRPr="008A47F3">
        <w:rPr>
          <w:sz w:val="16"/>
          <w:szCs w:val="16"/>
        </w:rPr>
        <w:t>: 54001-23-31-000-1993-07753-01(14801).</w:t>
      </w:r>
    </w:p>
  </w:footnote>
  <w:footnote w:id="2">
    <w:p w14:paraId="612164D6" w14:textId="77777777" w:rsidR="0035407F" w:rsidRPr="0038235C" w:rsidRDefault="0035407F" w:rsidP="0038235C">
      <w:pPr>
        <w:pStyle w:val="Textonotapie"/>
        <w:jc w:val="both"/>
      </w:pPr>
      <w:r w:rsidRPr="0038235C">
        <w:rPr>
          <w:rStyle w:val="Refdenotaalpie"/>
        </w:rPr>
        <w:footnoteRef/>
      </w:r>
      <w:r w:rsidRPr="0038235C">
        <w:t xml:space="preserve"> Se refiere a las sentencias del 27 de septiembre de 1993, expediente 10.762 y de enero 28 de 1994, expediente 8610, así como al auto del 15 de febrero de 1996, expediente 11.239.</w:t>
      </w:r>
    </w:p>
  </w:footnote>
  <w:footnote w:id="3">
    <w:p w14:paraId="592648F2" w14:textId="77777777" w:rsidR="0035407F" w:rsidRPr="0038235C" w:rsidRDefault="0035407F" w:rsidP="0038235C">
      <w:pPr>
        <w:pStyle w:val="Textonotapie"/>
        <w:jc w:val="both"/>
      </w:pPr>
      <w:r w:rsidRPr="0038235C">
        <w:rPr>
          <w:rStyle w:val="Refdenotaalpie"/>
        </w:rPr>
        <w:footnoteRef/>
      </w:r>
      <w:r w:rsidRPr="0038235C">
        <w:t xml:space="preserve"> En este sentido, </w:t>
      </w:r>
      <w:proofErr w:type="gramStart"/>
      <w:r w:rsidRPr="0038235C">
        <w:t>ver</w:t>
      </w:r>
      <w:proofErr w:type="gramEnd"/>
      <w:r w:rsidRPr="0038235C">
        <w:t xml:space="preserve"> por ejemplo, sentencias del 9 de diciembre de 1996, </w:t>
      </w:r>
      <w:proofErr w:type="spellStart"/>
      <w:r w:rsidRPr="0038235C">
        <w:t>exp</w:t>
      </w:r>
      <w:proofErr w:type="spellEnd"/>
      <w:r w:rsidRPr="0038235C">
        <w:t xml:space="preserve">: 12.090 y del 10 de abril de 1997, </w:t>
      </w:r>
      <w:proofErr w:type="spellStart"/>
      <w:r w:rsidRPr="0038235C">
        <w:t>exp</w:t>
      </w:r>
      <w:proofErr w:type="spellEnd"/>
      <w:r w:rsidRPr="0038235C">
        <w:t>: 10.954</w:t>
      </w:r>
    </w:p>
  </w:footnote>
  <w:footnote w:id="4">
    <w:p w14:paraId="2CC958A3" w14:textId="77777777" w:rsidR="0035407F" w:rsidRPr="002B2B0F" w:rsidRDefault="0035407F" w:rsidP="0038235C">
      <w:pPr>
        <w:pStyle w:val="Textonotapie"/>
        <w:jc w:val="both"/>
      </w:pPr>
      <w:r w:rsidRPr="0038235C">
        <w:rPr>
          <w:rStyle w:val="Refdenotaalpie"/>
        </w:rPr>
        <w:footnoteRef/>
      </w:r>
      <w:r w:rsidRPr="0038235C">
        <w:t xml:space="preserve"> Consejo de Estado, Sección Tercera, Sentencia del 7 de septiembre de 2000, expediente 13.126.</w:t>
      </w:r>
      <w:r w:rsidRPr="002B2B0F">
        <w:t xml:space="preserve"> </w:t>
      </w:r>
    </w:p>
  </w:footnote>
  <w:footnote w:id="5">
    <w:p w14:paraId="435A2E32" w14:textId="77777777" w:rsidR="0035407F" w:rsidRPr="002B2B0F" w:rsidRDefault="0035407F" w:rsidP="002B2B0F">
      <w:pPr>
        <w:pStyle w:val="Textonotapie"/>
        <w:jc w:val="both"/>
      </w:pPr>
      <w:r w:rsidRPr="002B2B0F">
        <w:rPr>
          <w:rStyle w:val="Refdenotaalpie"/>
        </w:rPr>
        <w:footnoteRef/>
      </w:r>
      <w:r w:rsidRPr="002B2B0F">
        <w:t xml:space="preserve"> Consejo de Estado, Sección Tercera, Subsección A, sentencia de 10 de marzo de </w:t>
      </w:r>
      <w:smartTag w:uri="urn:schemas-microsoft-com:office:smarttags" w:element="metricconverter">
        <w:smartTagPr>
          <w:attr w:name="ProductID" w:val="2011, C"/>
        </w:smartTagPr>
        <w:r w:rsidRPr="002B2B0F">
          <w:t>2011, C</w:t>
        </w:r>
      </w:smartTag>
      <w:r w:rsidRPr="002B2B0F">
        <w:t xml:space="preserve">.P. Hernán Andrade Rincón, </w:t>
      </w:r>
      <w:proofErr w:type="spellStart"/>
      <w:r w:rsidRPr="002B2B0F">
        <w:t>Exp</w:t>
      </w:r>
      <w:proofErr w:type="spellEnd"/>
      <w:r w:rsidRPr="002B2B0F">
        <w:t xml:space="preserve">: 20109. </w:t>
      </w:r>
    </w:p>
  </w:footnote>
  <w:footnote w:id="6">
    <w:p w14:paraId="75AB0ADA" w14:textId="77777777" w:rsidR="008029AB" w:rsidRPr="008029AB" w:rsidRDefault="008029AB" w:rsidP="008029AB">
      <w:pPr>
        <w:pStyle w:val="Textonotapie"/>
        <w:rPr>
          <w:sz w:val="18"/>
          <w:szCs w:val="18"/>
          <w:lang w:val="es-CO"/>
        </w:rPr>
      </w:pPr>
      <w:r w:rsidRPr="008029AB">
        <w:rPr>
          <w:rStyle w:val="Refdenotaalpie"/>
          <w:sz w:val="18"/>
          <w:szCs w:val="18"/>
        </w:rPr>
        <w:footnoteRef/>
      </w:r>
      <w:r w:rsidRPr="008029AB">
        <w:rPr>
          <w:sz w:val="18"/>
          <w:szCs w:val="18"/>
        </w:rPr>
        <w:t xml:space="preserve"> Corte Constitucional. Sentencia C-781 del 13 de octubre de 1999, M. P.: Carlos Gaviria Díaz.</w:t>
      </w:r>
    </w:p>
  </w:footnote>
  <w:footnote w:id="7">
    <w:p w14:paraId="3DCC5378" w14:textId="77777777" w:rsidR="00FC4571" w:rsidRPr="00FC4571" w:rsidRDefault="00FC4571">
      <w:pPr>
        <w:pStyle w:val="Textonotapie"/>
        <w:rPr>
          <w:sz w:val="18"/>
          <w:szCs w:val="18"/>
          <w:lang w:val="es-CO"/>
        </w:rPr>
      </w:pPr>
      <w:r w:rsidRPr="00FC4571">
        <w:rPr>
          <w:rStyle w:val="Refdenotaalpie"/>
          <w:sz w:val="18"/>
          <w:szCs w:val="18"/>
        </w:rPr>
        <w:footnoteRef/>
      </w:r>
      <w:r w:rsidRPr="00FC4571">
        <w:rPr>
          <w:sz w:val="18"/>
          <w:szCs w:val="18"/>
        </w:rPr>
        <w:t xml:space="preserve"> </w:t>
      </w:r>
      <w:r w:rsidRPr="00FC4571">
        <w:rPr>
          <w:bCs/>
          <w:sz w:val="18"/>
          <w:szCs w:val="18"/>
          <w:shd w:val="clear" w:color="auto" w:fill="FFFFFF"/>
          <w:lang w:eastAsia="es-CO"/>
        </w:rPr>
        <w:t>Constitucional SU 659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C706" w14:textId="77777777" w:rsidR="0035407F" w:rsidRDefault="0035407F" w:rsidP="0075291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18FFC7" w14:textId="77777777" w:rsidR="0035407F" w:rsidRDefault="0035407F" w:rsidP="0075291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D933" w14:textId="77777777" w:rsidR="0035407F" w:rsidRDefault="0035407F" w:rsidP="0075291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3427">
      <w:rPr>
        <w:rStyle w:val="Nmerodepgina"/>
        <w:noProof/>
      </w:rPr>
      <w:t>16</w:t>
    </w:r>
    <w:r>
      <w:rPr>
        <w:rStyle w:val="Nmerodepgina"/>
      </w:rPr>
      <w:fldChar w:fldCharType="end"/>
    </w:r>
  </w:p>
  <w:tbl>
    <w:tblPr>
      <w:tblW w:w="5245" w:type="dxa"/>
      <w:jc w:val="center"/>
      <w:tblLook w:val="01E0" w:firstRow="1" w:lastRow="1" w:firstColumn="1" w:lastColumn="1" w:noHBand="0" w:noVBand="0"/>
    </w:tblPr>
    <w:tblGrid>
      <w:gridCol w:w="1735"/>
      <w:gridCol w:w="284"/>
      <w:gridCol w:w="3226"/>
    </w:tblGrid>
    <w:tr w:rsidR="00C13447" w:rsidRPr="00C13447" w14:paraId="24A99491" w14:textId="77777777" w:rsidTr="00466B14">
      <w:trPr>
        <w:trHeight w:val="142"/>
        <w:jc w:val="center"/>
      </w:trPr>
      <w:tc>
        <w:tcPr>
          <w:tcW w:w="1735" w:type="dxa"/>
        </w:tcPr>
        <w:p w14:paraId="17AE5C49" w14:textId="77777777" w:rsidR="00C13447" w:rsidRPr="00C13447" w:rsidRDefault="00C13447" w:rsidP="00C13447">
          <w:r w:rsidRPr="00C13447">
            <w:t>Medio de Control</w:t>
          </w:r>
        </w:p>
      </w:tc>
      <w:tc>
        <w:tcPr>
          <w:tcW w:w="284" w:type="dxa"/>
        </w:tcPr>
        <w:p w14:paraId="17171F6F" w14:textId="77777777" w:rsidR="00C13447" w:rsidRPr="00C13447" w:rsidRDefault="00C13447" w:rsidP="00C13447">
          <w:r w:rsidRPr="00C13447">
            <w:t>:</w:t>
          </w:r>
        </w:p>
      </w:tc>
      <w:tc>
        <w:tcPr>
          <w:tcW w:w="3226" w:type="dxa"/>
        </w:tcPr>
        <w:p w14:paraId="6D1DA0AA" w14:textId="77777777" w:rsidR="00C13447" w:rsidRPr="00C13447" w:rsidRDefault="00C13447" w:rsidP="00C13447">
          <w:r w:rsidRPr="00C13447">
            <w:t>Reparación directa</w:t>
          </w:r>
        </w:p>
      </w:tc>
    </w:tr>
    <w:tr w:rsidR="00C13447" w:rsidRPr="00C13447" w14:paraId="3B8CB83F" w14:textId="77777777" w:rsidTr="00466B14">
      <w:trPr>
        <w:trHeight w:val="205"/>
        <w:jc w:val="center"/>
      </w:trPr>
      <w:tc>
        <w:tcPr>
          <w:tcW w:w="1735" w:type="dxa"/>
        </w:tcPr>
        <w:p w14:paraId="18B54D6E" w14:textId="77777777" w:rsidR="00C13447" w:rsidRPr="00C13447" w:rsidRDefault="00C13447" w:rsidP="00C13447">
          <w:r w:rsidRPr="00C13447">
            <w:t xml:space="preserve">Demandante   </w:t>
          </w:r>
        </w:p>
      </w:tc>
      <w:tc>
        <w:tcPr>
          <w:tcW w:w="284" w:type="dxa"/>
        </w:tcPr>
        <w:p w14:paraId="7E6824C3" w14:textId="77777777" w:rsidR="00C13447" w:rsidRPr="00C13447" w:rsidRDefault="00C13447" w:rsidP="00C13447">
          <w:r w:rsidRPr="00C13447">
            <w:t>:</w:t>
          </w:r>
        </w:p>
      </w:tc>
      <w:tc>
        <w:tcPr>
          <w:tcW w:w="3226" w:type="dxa"/>
        </w:tcPr>
        <w:p w14:paraId="7C5748B1" w14:textId="77777777" w:rsidR="00C13447" w:rsidRPr="00C13447" w:rsidRDefault="00466B14" w:rsidP="00C13447">
          <w:r>
            <w:t xml:space="preserve">Antonio </w:t>
          </w:r>
          <w:r w:rsidR="00C13447" w:rsidRPr="00C13447">
            <w:t>José Guerrero Sáenz</w:t>
          </w:r>
          <w:r>
            <w:t xml:space="preserve"> y Otros</w:t>
          </w:r>
        </w:p>
      </w:tc>
    </w:tr>
    <w:tr w:rsidR="00C13447" w:rsidRPr="00C13447" w14:paraId="61FE5B2F" w14:textId="77777777" w:rsidTr="00466B14">
      <w:trPr>
        <w:trHeight w:val="109"/>
        <w:jc w:val="center"/>
      </w:trPr>
      <w:tc>
        <w:tcPr>
          <w:tcW w:w="1735" w:type="dxa"/>
        </w:tcPr>
        <w:p w14:paraId="20850BCD" w14:textId="77777777" w:rsidR="00C13447" w:rsidRPr="00C13447" w:rsidRDefault="00C13447" w:rsidP="00C13447">
          <w:r w:rsidRPr="00C13447">
            <w:t xml:space="preserve">Demandado                       </w:t>
          </w:r>
        </w:p>
      </w:tc>
      <w:tc>
        <w:tcPr>
          <w:tcW w:w="284" w:type="dxa"/>
        </w:tcPr>
        <w:p w14:paraId="2B2272D1" w14:textId="77777777" w:rsidR="00C13447" w:rsidRPr="00C13447" w:rsidRDefault="00C13447" w:rsidP="00C13447">
          <w:r w:rsidRPr="00C13447">
            <w:t>:</w:t>
          </w:r>
        </w:p>
      </w:tc>
      <w:tc>
        <w:tcPr>
          <w:tcW w:w="3226" w:type="dxa"/>
        </w:tcPr>
        <w:p w14:paraId="639B905E" w14:textId="77777777" w:rsidR="00C13447" w:rsidRPr="00C13447" w:rsidRDefault="00C13447" w:rsidP="00C13447">
          <w:pPr>
            <w:jc w:val="both"/>
          </w:pPr>
          <w:r w:rsidRPr="00C13447">
            <w:rPr>
              <w:lang w:val="es-ES_tradnl"/>
            </w:rPr>
            <w:t xml:space="preserve">E.S.E Hospital San Rafael de Tunja   </w:t>
          </w:r>
        </w:p>
      </w:tc>
    </w:tr>
    <w:tr w:rsidR="00C13447" w:rsidRPr="00C13447" w14:paraId="08D6BA33" w14:textId="77777777" w:rsidTr="00466B14">
      <w:trPr>
        <w:trHeight w:val="273"/>
        <w:jc w:val="center"/>
      </w:trPr>
      <w:tc>
        <w:tcPr>
          <w:tcW w:w="1735" w:type="dxa"/>
        </w:tcPr>
        <w:p w14:paraId="75FD0FA2" w14:textId="77777777" w:rsidR="00C13447" w:rsidRPr="00C13447" w:rsidRDefault="00C13447" w:rsidP="00C13447">
          <w:r w:rsidRPr="00C13447">
            <w:t xml:space="preserve">Expediente </w:t>
          </w:r>
        </w:p>
      </w:tc>
      <w:tc>
        <w:tcPr>
          <w:tcW w:w="284" w:type="dxa"/>
        </w:tcPr>
        <w:p w14:paraId="084DB9D5" w14:textId="77777777" w:rsidR="00C13447" w:rsidRPr="00C13447" w:rsidRDefault="00C13447" w:rsidP="00C13447">
          <w:r w:rsidRPr="00C13447">
            <w:t>:</w:t>
          </w:r>
        </w:p>
      </w:tc>
      <w:tc>
        <w:tcPr>
          <w:tcW w:w="3226" w:type="dxa"/>
        </w:tcPr>
        <w:p w14:paraId="28DEDD26" w14:textId="77777777" w:rsidR="00C13447" w:rsidRPr="00C13447" w:rsidRDefault="00C13447" w:rsidP="00C13447">
          <w:r w:rsidRPr="00C13447">
            <w:t>15001-33-33-001-2020-00084-01</w:t>
          </w:r>
        </w:p>
      </w:tc>
    </w:tr>
  </w:tbl>
  <w:p w14:paraId="30B1DD44" w14:textId="77777777" w:rsidR="0035407F" w:rsidRPr="00F70409" w:rsidRDefault="0035407F" w:rsidP="007C6166">
    <w:pPr>
      <w:pStyle w:val="Encabezado"/>
      <w:rPr>
        <w:rFonts w:ascii="Times New Roman" w:hAnsi="Times New Roman" w:cs="Times New Roman"/>
        <w:sz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B33F" w14:textId="77777777" w:rsidR="00C13447" w:rsidRPr="00D64568" w:rsidRDefault="00C13447" w:rsidP="00C13447">
    <w:pPr>
      <w:jc w:val="center"/>
      <w:outlineLvl w:val="0"/>
      <w:rPr>
        <w:b/>
        <w:sz w:val="28"/>
        <w:szCs w:val="28"/>
      </w:rPr>
    </w:pPr>
    <w:r w:rsidRPr="00D64568">
      <w:rPr>
        <w:b/>
        <w:sz w:val="28"/>
        <w:szCs w:val="28"/>
      </w:rPr>
      <w:t>REPÚBLICA DE COLOMBIA</w:t>
    </w:r>
  </w:p>
  <w:p w14:paraId="029D5327" w14:textId="77777777" w:rsidR="00C13447" w:rsidRPr="00D64568" w:rsidRDefault="00C13447" w:rsidP="00C13447">
    <w:pPr>
      <w:jc w:val="center"/>
      <w:rPr>
        <w:b/>
        <w:sz w:val="28"/>
        <w:szCs w:val="28"/>
      </w:rPr>
    </w:pPr>
    <w:r w:rsidRPr="00D64568">
      <w:rPr>
        <w:b/>
        <w:noProof/>
        <w:sz w:val="28"/>
        <w:szCs w:val="28"/>
        <w:lang w:val="es-CO" w:eastAsia="es-CO"/>
      </w:rPr>
      <w:drawing>
        <wp:inline distT="0" distB="0" distL="0" distR="0" wp14:anchorId="357929DB" wp14:editId="04479499">
          <wp:extent cx="476250"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p w14:paraId="688BBBC8" w14:textId="77777777" w:rsidR="00C13447" w:rsidRPr="00D64568" w:rsidRDefault="00C13447" w:rsidP="00C13447">
    <w:pPr>
      <w:pStyle w:val="Encabezado"/>
      <w:jc w:val="center"/>
      <w:outlineLvl w:val="0"/>
      <w:rPr>
        <w:rFonts w:ascii="Times New Roman" w:hAnsi="Times New Roman" w:cs="Times New Roman"/>
        <w:b/>
        <w:sz w:val="28"/>
        <w:szCs w:val="28"/>
      </w:rPr>
    </w:pPr>
    <w:r w:rsidRPr="00D64568">
      <w:rPr>
        <w:rFonts w:ascii="Times New Roman" w:hAnsi="Times New Roman" w:cs="Times New Roman"/>
        <w:b/>
        <w:sz w:val="28"/>
        <w:szCs w:val="28"/>
      </w:rPr>
      <w:t>TRIBUNAL ADMINISTRATIVO DE BOYACÁ</w:t>
    </w:r>
  </w:p>
  <w:p w14:paraId="53AFE5D6" w14:textId="77777777" w:rsidR="00C13447" w:rsidRPr="00C13447" w:rsidRDefault="00C13447" w:rsidP="00C13447">
    <w:pPr>
      <w:pStyle w:val="Encabezado"/>
      <w:jc w:val="center"/>
      <w:outlineLvl w:val="0"/>
      <w:rPr>
        <w:rFonts w:ascii="Times New Roman" w:hAnsi="Times New Roman" w:cs="Times New Roman"/>
        <w:b/>
        <w:sz w:val="28"/>
        <w:szCs w:val="28"/>
      </w:rPr>
    </w:pPr>
    <w:r w:rsidRPr="00D64568">
      <w:rPr>
        <w:rFonts w:ascii="Times New Roman" w:hAnsi="Times New Roman" w:cs="Times New Roman"/>
        <w:b/>
        <w:sz w:val="28"/>
        <w:szCs w:val="28"/>
      </w:rPr>
      <w:t>SALA DE DECISIÓN No.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61CA"/>
    <w:multiLevelType w:val="hybridMultilevel"/>
    <w:tmpl w:val="F586D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822F83"/>
    <w:multiLevelType w:val="hybridMultilevel"/>
    <w:tmpl w:val="AE848628"/>
    <w:lvl w:ilvl="0" w:tplc="240A0001">
      <w:numFmt w:val="bullet"/>
      <w:lvlText w:val=""/>
      <w:lvlJc w:val="left"/>
      <w:pPr>
        <w:ind w:left="360" w:hanging="360"/>
      </w:pPr>
      <w:rPr>
        <w:rFonts w:ascii="Symbol" w:eastAsia="Times New Roman" w:hAnsi="Symbo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5C63C1"/>
    <w:multiLevelType w:val="hybridMultilevel"/>
    <w:tmpl w:val="F672359C"/>
    <w:lvl w:ilvl="0" w:tplc="E66EAA98">
      <w:start w:val="2"/>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1215BAC"/>
    <w:multiLevelType w:val="hybridMultilevel"/>
    <w:tmpl w:val="51AC884C"/>
    <w:lvl w:ilvl="0" w:tplc="41D6174C">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4EDE6279"/>
    <w:multiLevelType w:val="hybridMultilevel"/>
    <w:tmpl w:val="3BB88954"/>
    <w:lvl w:ilvl="0" w:tplc="4866C4A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0257F1"/>
    <w:multiLevelType w:val="hybridMultilevel"/>
    <w:tmpl w:val="2BDCE778"/>
    <w:lvl w:ilvl="0" w:tplc="E4529B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8D"/>
    <w:rsid w:val="00002350"/>
    <w:rsid w:val="00004B3A"/>
    <w:rsid w:val="000064C2"/>
    <w:rsid w:val="00010377"/>
    <w:rsid w:val="0001224C"/>
    <w:rsid w:val="00013F8A"/>
    <w:rsid w:val="00015289"/>
    <w:rsid w:val="0001767D"/>
    <w:rsid w:val="0002397A"/>
    <w:rsid w:val="000261A7"/>
    <w:rsid w:val="00031470"/>
    <w:rsid w:val="00031696"/>
    <w:rsid w:val="00031BCB"/>
    <w:rsid w:val="0003550E"/>
    <w:rsid w:val="000366C7"/>
    <w:rsid w:val="000374F7"/>
    <w:rsid w:val="0003776C"/>
    <w:rsid w:val="00047398"/>
    <w:rsid w:val="0005130C"/>
    <w:rsid w:val="00061CB4"/>
    <w:rsid w:val="00062D48"/>
    <w:rsid w:val="00065529"/>
    <w:rsid w:val="000662EF"/>
    <w:rsid w:val="00073BD6"/>
    <w:rsid w:val="00074B34"/>
    <w:rsid w:val="00082404"/>
    <w:rsid w:val="00084873"/>
    <w:rsid w:val="00091098"/>
    <w:rsid w:val="00093A1F"/>
    <w:rsid w:val="00093BFC"/>
    <w:rsid w:val="000966A0"/>
    <w:rsid w:val="000A5259"/>
    <w:rsid w:val="000A79D6"/>
    <w:rsid w:val="000B01D4"/>
    <w:rsid w:val="000B0632"/>
    <w:rsid w:val="000B7786"/>
    <w:rsid w:val="000C0DA8"/>
    <w:rsid w:val="000C2B9C"/>
    <w:rsid w:val="000D2680"/>
    <w:rsid w:val="000D3D17"/>
    <w:rsid w:val="000E069D"/>
    <w:rsid w:val="000E2BC7"/>
    <w:rsid w:val="000E321D"/>
    <w:rsid w:val="000E475C"/>
    <w:rsid w:val="000F06F9"/>
    <w:rsid w:val="000F4021"/>
    <w:rsid w:val="000F47F9"/>
    <w:rsid w:val="000F5359"/>
    <w:rsid w:val="000F7683"/>
    <w:rsid w:val="00104ABA"/>
    <w:rsid w:val="00105EDB"/>
    <w:rsid w:val="00110BA6"/>
    <w:rsid w:val="00116D06"/>
    <w:rsid w:val="001223D5"/>
    <w:rsid w:val="00123031"/>
    <w:rsid w:val="00124318"/>
    <w:rsid w:val="00125F23"/>
    <w:rsid w:val="00126F41"/>
    <w:rsid w:val="0013116D"/>
    <w:rsid w:val="00133AD3"/>
    <w:rsid w:val="00137B1C"/>
    <w:rsid w:val="00143D15"/>
    <w:rsid w:val="00150343"/>
    <w:rsid w:val="0015574E"/>
    <w:rsid w:val="001566ED"/>
    <w:rsid w:val="00156864"/>
    <w:rsid w:val="00157A2F"/>
    <w:rsid w:val="001602D1"/>
    <w:rsid w:val="00163B12"/>
    <w:rsid w:val="00165D1A"/>
    <w:rsid w:val="001710E5"/>
    <w:rsid w:val="001754B5"/>
    <w:rsid w:val="0017602C"/>
    <w:rsid w:val="001879FD"/>
    <w:rsid w:val="00195F73"/>
    <w:rsid w:val="00197CF8"/>
    <w:rsid w:val="001A6C83"/>
    <w:rsid w:val="001A6F7F"/>
    <w:rsid w:val="001A7410"/>
    <w:rsid w:val="001C3C3B"/>
    <w:rsid w:val="001C6D04"/>
    <w:rsid w:val="001D13B5"/>
    <w:rsid w:val="001D6E97"/>
    <w:rsid w:val="001D7A41"/>
    <w:rsid w:val="001E288E"/>
    <w:rsid w:val="001E2BFB"/>
    <w:rsid w:val="001E48D6"/>
    <w:rsid w:val="001E58F6"/>
    <w:rsid w:val="001E7CE3"/>
    <w:rsid w:val="001F03E2"/>
    <w:rsid w:val="001F373F"/>
    <w:rsid w:val="001F3B05"/>
    <w:rsid w:val="001F3C38"/>
    <w:rsid w:val="001F7016"/>
    <w:rsid w:val="001F7E2B"/>
    <w:rsid w:val="001F7FEA"/>
    <w:rsid w:val="002069CC"/>
    <w:rsid w:val="00206E55"/>
    <w:rsid w:val="00222EB3"/>
    <w:rsid w:val="00227BE7"/>
    <w:rsid w:val="002347D4"/>
    <w:rsid w:val="00236C65"/>
    <w:rsid w:val="002401F7"/>
    <w:rsid w:val="00242423"/>
    <w:rsid w:val="00244CB8"/>
    <w:rsid w:val="00253FDE"/>
    <w:rsid w:val="00254071"/>
    <w:rsid w:val="002542BB"/>
    <w:rsid w:val="002544B6"/>
    <w:rsid w:val="00254999"/>
    <w:rsid w:val="00255AB7"/>
    <w:rsid w:val="00257E74"/>
    <w:rsid w:val="00263920"/>
    <w:rsid w:val="00265ABD"/>
    <w:rsid w:val="00273434"/>
    <w:rsid w:val="00277702"/>
    <w:rsid w:val="00277FB3"/>
    <w:rsid w:val="00283A45"/>
    <w:rsid w:val="002924C9"/>
    <w:rsid w:val="002930DE"/>
    <w:rsid w:val="002943C3"/>
    <w:rsid w:val="002958E6"/>
    <w:rsid w:val="002A3534"/>
    <w:rsid w:val="002A449E"/>
    <w:rsid w:val="002A737D"/>
    <w:rsid w:val="002B2B0F"/>
    <w:rsid w:val="002B4FF0"/>
    <w:rsid w:val="002B5292"/>
    <w:rsid w:val="002B5FDC"/>
    <w:rsid w:val="002B679C"/>
    <w:rsid w:val="002C1E8D"/>
    <w:rsid w:val="002C1F2F"/>
    <w:rsid w:val="002C4B27"/>
    <w:rsid w:val="002C60D5"/>
    <w:rsid w:val="002C6329"/>
    <w:rsid w:val="002C70C3"/>
    <w:rsid w:val="002D18AF"/>
    <w:rsid w:val="002E1B62"/>
    <w:rsid w:val="002E3835"/>
    <w:rsid w:val="002E39BC"/>
    <w:rsid w:val="002E60B0"/>
    <w:rsid w:val="002F0B20"/>
    <w:rsid w:val="002F7CDE"/>
    <w:rsid w:val="003036DA"/>
    <w:rsid w:val="00306CB8"/>
    <w:rsid w:val="003108D1"/>
    <w:rsid w:val="00312785"/>
    <w:rsid w:val="0031388A"/>
    <w:rsid w:val="00313DA5"/>
    <w:rsid w:val="00315B4E"/>
    <w:rsid w:val="0031719B"/>
    <w:rsid w:val="0032530C"/>
    <w:rsid w:val="00331392"/>
    <w:rsid w:val="00340625"/>
    <w:rsid w:val="00344F74"/>
    <w:rsid w:val="00352B11"/>
    <w:rsid w:val="0035302B"/>
    <w:rsid w:val="003536BA"/>
    <w:rsid w:val="00353BBF"/>
    <w:rsid w:val="0035407F"/>
    <w:rsid w:val="00355671"/>
    <w:rsid w:val="00356EED"/>
    <w:rsid w:val="003616AD"/>
    <w:rsid w:val="003641B4"/>
    <w:rsid w:val="00370FD7"/>
    <w:rsid w:val="0037217D"/>
    <w:rsid w:val="0038235C"/>
    <w:rsid w:val="00383337"/>
    <w:rsid w:val="00384BCE"/>
    <w:rsid w:val="003867F3"/>
    <w:rsid w:val="00390721"/>
    <w:rsid w:val="00390B11"/>
    <w:rsid w:val="003A21CA"/>
    <w:rsid w:val="003A2F61"/>
    <w:rsid w:val="003A3FA9"/>
    <w:rsid w:val="003A4B2F"/>
    <w:rsid w:val="003B19E0"/>
    <w:rsid w:val="003B272E"/>
    <w:rsid w:val="003C1557"/>
    <w:rsid w:val="003D041A"/>
    <w:rsid w:val="003D417E"/>
    <w:rsid w:val="003D61D0"/>
    <w:rsid w:val="003E1DAF"/>
    <w:rsid w:val="003E3BB7"/>
    <w:rsid w:val="003E56E2"/>
    <w:rsid w:val="003E58C2"/>
    <w:rsid w:val="003F1B78"/>
    <w:rsid w:val="003F1F32"/>
    <w:rsid w:val="003F3454"/>
    <w:rsid w:val="003F3723"/>
    <w:rsid w:val="003F4406"/>
    <w:rsid w:val="003F541B"/>
    <w:rsid w:val="003F55A2"/>
    <w:rsid w:val="003F5E52"/>
    <w:rsid w:val="004029F6"/>
    <w:rsid w:val="00403A97"/>
    <w:rsid w:val="00403ACC"/>
    <w:rsid w:val="00406DF0"/>
    <w:rsid w:val="00413167"/>
    <w:rsid w:val="00417172"/>
    <w:rsid w:val="004178A9"/>
    <w:rsid w:val="00417FAB"/>
    <w:rsid w:val="00421032"/>
    <w:rsid w:val="00421447"/>
    <w:rsid w:val="00421BE6"/>
    <w:rsid w:val="00421F72"/>
    <w:rsid w:val="004237E0"/>
    <w:rsid w:val="00424E17"/>
    <w:rsid w:val="00430853"/>
    <w:rsid w:val="0043137A"/>
    <w:rsid w:val="004346E6"/>
    <w:rsid w:val="00436431"/>
    <w:rsid w:val="00452581"/>
    <w:rsid w:val="004548B8"/>
    <w:rsid w:val="00461543"/>
    <w:rsid w:val="00463A93"/>
    <w:rsid w:val="00466B14"/>
    <w:rsid w:val="00467019"/>
    <w:rsid w:val="00473398"/>
    <w:rsid w:val="00475FDD"/>
    <w:rsid w:val="004861FB"/>
    <w:rsid w:val="004916C7"/>
    <w:rsid w:val="00492A72"/>
    <w:rsid w:val="004A5D86"/>
    <w:rsid w:val="004A6C0D"/>
    <w:rsid w:val="004B2263"/>
    <w:rsid w:val="004B52BA"/>
    <w:rsid w:val="004B57B0"/>
    <w:rsid w:val="004B7084"/>
    <w:rsid w:val="004C3B20"/>
    <w:rsid w:val="004C4D2C"/>
    <w:rsid w:val="004C5708"/>
    <w:rsid w:val="004D2524"/>
    <w:rsid w:val="004D5E25"/>
    <w:rsid w:val="004D6EB7"/>
    <w:rsid w:val="004E1094"/>
    <w:rsid w:val="004E4844"/>
    <w:rsid w:val="004F120A"/>
    <w:rsid w:val="004F2BE3"/>
    <w:rsid w:val="004F4128"/>
    <w:rsid w:val="004F45C5"/>
    <w:rsid w:val="004F6F45"/>
    <w:rsid w:val="0050392A"/>
    <w:rsid w:val="00504472"/>
    <w:rsid w:val="00505CAB"/>
    <w:rsid w:val="00506CA5"/>
    <w:rsid w:val="0050765A"/>
    <w:rsid w:val="00507D51"/>
    <w:rsid w:val="00511B56"/>
    <w:rsid w:val="0052573D"/>
    <w:rsid w:val="00533043"/>
    <w:rsid w:val="00533599"/>
    <w:rsid w:val="00534695"/>
    <w:rsid w:val="00534B25"/>
    <w:rsid w:val="005401FC"/>
    <w:rsid w:val="00543497"/>
    <w:rsid w:val="00555178"/>
    <w:rsid w:val="00555922"/>
    <w:rsid w:val="005559B0"/>
    <w:rsid w:val="0055634E"/>
    <w:rsid w:val="005613FA"/>
    <w:rsid w:val="00562682"/>
    <w:rsid w:val="00563C89"/>
    <w:rsid w:val="0057027E"/>
    <w:rsid w:val="00570968"/>
    <w:rsid w:val="00572A30"/>
    <w:rsid w:val="0057683F"/>
    <w:rsid w:val="00582A52"/>
    <w:rsid w:val="00583E00"/>
    <w:rsid w:val="00584889"/>
    <w:rsid w:val="00584B9A"/>
    <w:rsid w:val="00585FE4"/>
    <w:rsid w:val="00592285"/>
    <w:rsid w:val="00592457"/>
    <w:rsid w:val="00592570"/>
    <w:rsid w:val="00592779"/>
    <w:rsid w:val="00596060"/>
    <w:rsid w:val="005A0216"/>
    <w:rsid w:val="005A327D"/>
    <w:rsid w:val="005B3427"/>
    <w:rsid w:val="005C35CC"/>
    <w:rsid w:val="005C4E96"/>
    <w:rsid w:val="005C6977"/>
    <w:rsid w:val="005C736B"/>
    <w:rsid w:val="005D2690"/>
    <w:rsid w:val="005E1289"/>
    <w:rsid w:val="005F19EA"/>
    <w:rsid w:val="005F5AED"/>
    <w:rsid w:val="005F6315"/>
    <w:rsid w:val="005F69C9"/>
    <w:rsid w:val="006074F9"/>
    <w:rsid w:val="006078F8"/>
    <w:rsid w:val="006120D5"/>
    <w:rsid w:val="00614E3B"/>
    <w:rsid w:val="006150C0"/>
    <w:rsid w:val="0061662F"/>
    <w:rsid w:val="00621DC7"/>
    <w:rsid w:val="00630F05"/>
    <w:rsid w:val="006410C7"/>
    <w:rsid w:val="006437CF"/>
    <w:rsid w:val="006451CE"/>
    <w:rsid w:val="00646FE2"/>
    <w:rsid w:val="006478BA"/>
    <w:rsid w:val="00653DD4"/>
    <w:rsid w:val="00654BAD"/>
    <w:rsid w:val="006619E6"/>
    <w:rsid w:val="00663B25"/>
    <w:rsid w:val="006648AB"/>
    <w:rsid w:val="00670249"/>
    <w:rsid w:val="00670947"/>
    <w:rsid w:val="006714E9"/>
    <w:rsid w:val="00677096"/>
    <w:rsid w:val="00683D1A"/>
    <w:rsid w:val="00685E91"/>
    <w:rsid w:val="006904ED"/>
    <w:rsid w:val="00690825"/>
    <w:rsid w:val="00691399"/>
    <w:rsid w:val="0069546D"/>
    <w:rsid w:val="0069602E"/>
    <w:rsid w:val="006A0632"/>
    <w:rsid w:val="006A4238"/>
    <w:rsid w:val="006A603D"/>
    <w:rsid w:val="006B0A41"/>
    <w:rsid w:val="006B2AFC"/>
    <w:rsid w:val="006C5CD9"/>
    <w:rsid w:val="006D372D"/>
    <w:rsid w:val="006E4355"/>
    <w:rsid w:val="006E5764"/>
    <w:rsid w:val="006F6270"/>
    <w:rsid w:val="00703B10"/>
    <w:rsid w:val="0071036C"/>
    <w:rsid w:val="00710BF7"/>
    <w:rsid w:val="00713238"/>
    <w:rsid w:val="007144D6"/>
    <w:rsid w:val="00715E20"/>
    <w:rsid w:val="0071750B"/>
    <w:rsid w:val="00721A81"/>
    <w:rsid w:val="0072408B"/>
    <w:rsid w:val="00726483"/>
    <w:rsid w:val="00731BC1"/>
    <w:rsid w:val="007321BA"/>
    <w:rsid w:val="007442B5"/>
    <w:rsid w:val="00745F92"/>
    <w:rsid w:val="00751B62"/>
    <w:rsid w:val="0075229A"/>
    <w:rsid w:val="00752917"/>
    <w:rsid w:val="00755615"/>
    <w:rsid w:val="00757BD6"/>
    <w:rsid w:val="00773EF7"/>
    <w:rsid w:val="00775D9D"/>
    <w:rsid w:val="0077767A"/>
    <w:rsid w:val="0078152C"/>
    <w:rsid w:val="0078755E"/>
    <w:rsid w:val="007878EA"/>
    <w:rsid w:val="00790AE9"/>
    <w:rsid w:val="007958B1"/>
    <w:rsid w:val="0079671D"/>
    <w:rsid w:val="00797E1C"/>
    <w:rsid w:val="007A3E4A"/>
    <w:rsid w:val="007A6747"/>
    <w:rsid w:val="007A6900"/>
    <w:rsid w:val="007B0270"/>
    <w:rsid w:val="007B1661"/>
    <w:rsid w:val="007C6166"/>
    <w:rsid w:val="007D22E3"/>
    <w:rsid w:val="007D6CC0"/>
    <w:rsid w:val="007D7F4F"/>
    <w:rsid w:val="007E40E3"/>
    <w:rsid w:val="007E7BA6"/>
    <w:rsid w:val="007F01AF"/>
    <w:rsid w:val="007F5066"/>
    <w:rsid w:val="007F71E3"/>
    <w:rsid w:val="007F7502"/>
    <w:rsid w:val="00800C84"/>
    <w:rsid w:val="00801BC9"/>
    <w:rsid w:val="008029AB"/>
    <w:rsid w:val="00805047"/>
    <w:rsid w:val="00810969"/>
    <w:rsid w:val="008122B6"/>
    <w:rsid w:val="00812F67"/>
    <w:rsid w:val="008130F2"/>
    <w:rsid w:val="0081314B"/>
    <w:rsid w:val="008139AB"/>
    <w:rsid w:val="00820256"/>
    <w:rsid w:val="00823765"/>
    <w:rsid w:val="00825495"/>
    <w:rsid w:val="008314FA"/>
    <w:rsid w:val="00831CE7"/>
    <w:rsid w:val="00837524"/>
    <w:rsid w:val="00841E58"/>
    <w:rsid w:val="00841FD7"/>
    <w:rsid w:val="008437D5"/>
    <w:rsid w:val="00857B90"/>
    <w:rsid w:val="008721CF"/>
    <w:rsid w:val="008809B2"/>
    <w:rsid w:val="00883718"/>
    <w:rsid w:val="0088625F"/>
    <w:rsid w:val="00894661"/>
    <w:rsid w:val="00895B25"/>
    <w:rsid w:val="008A496E"/>
    <w:rsid w:val="008A797D"/>
    <w:rsid w:val="008B2365"/>
    <w:rsid w:val="008C1C5A"/>
    <w:rsid w:val="008C29BC"/>
    <w:rsid w:val="008D24A6"/>
    <w:rsid w:val="008D351E"/>
    <w:rsid w:val="008E0BEE"/>
    <w:rsid w:val="008E19E9"/>
    <w:rsid w:val="008E34CB"/>
    <w:rsid w:val="008E4E7D"/>
    <w:rsid w:val="008F2219"/>
    <w:rsid w:val="008F31ED"/>
    <w:rsid w:val="008F501D"/>
    <w:rsid w:val="00900E61"/>
    <w:rsid w:val="00903A2F"/>
    <w:rsid w:val="0090516C"/>
    <w:rsid w:val="00905798"/>
    <w:rsid w:val="00905D4C"/>
    <w:rsid w:val="009077EF"/>
    <w:rsid w:val="00911DAB"/>
    <w:rsid w:val="00921787"/>
    <w:rsid w:val="00922CF6"/>
    <w:rsid w:val="009340AD"/>
    <w:rsid w:val="00934BE1"/>
    <w:rsid w:val="00935A08"/>
    <w:rsid w:val="0093700D"/>
    <w:rsid w:val="0094178A"/>
    <w:rsid w:val="00942FB2"/>
    <w:rsid w:val="00943B2F"/>
    <w:rsid w:val="00947473"/>
    <w:rsid w:val="00951A19"/>
    <w:rsid w:val="00956CF6"/>
    <w:rsid w:val="00960269"/>
    <w:rsid w:val="00971923"/>
    <w:rsid w:val="00976D90"/>
    <w:rsid w:val="0097777C"/>
    <w:rsid w:val="00980A56"/>
    <w:rsid w:val="00980C25"/>
    <w:rsid w:val="009815C7"/>
    <w:rsid w:val="00982609"/>
    <w:rsid w:val="00987662"/>
    <w:rsid w:val="00992296"/>
    <w:rsid w:val="009947EF"/>
    <w:rsid w:val="009A3F90"/>
    <w:rsid w:val="009A4BEB"/>
    <w:rsid w:val="009B0ADC"/>
    <w:rsid w:val="009B0B1B"/>
    <w:rsid w:val="009B28A4"/>
    <w:rsid w:val="009B407D"/>
    <w:rsid w:val="009B5B1E"/>
    <w:rsid w:val="009E04FF"/>
    <w:rsid w:val="009E35D9"/>
    <w:rsid w:val="009E3B5A"/>
    <w:rsid w:val="009E4BD2"/>
    <w:rsid w:val="009F1451"/>
    <w:rsid w:val="009F2470"/>
    <w:rsid w:val="009F3565"/>
    <w:rsid w:val="00A01D60"/>
    <w:rsid w:val="00A116EE"/>
    <w:rsid w:val="00A1263C"/>
    <w:rsid w:val="00A1488D"/>
    <w:rsid w:val="00A14CB4"/>
    <w:rsid w:val="00A22064"/>
    <w:rsid w:val="00A2252D"/>
    <w:rsid w:val="00A30C42"/>
    <w:rsid w:val="00A35730"/>
    <w:rsid w:val="00A37128"/>
    <w:rsid w:val="00A40966"/>
    <w:rsid w:val="00A42ADF"/>
    <w:rsid w:val="00A43766"/>
    <w:rsid w:val="00A447E6"/>
    <w:rsid w:val="00A44887"/>
    <w:rsid w:val="00A45176"/>
    <w:rsid w:val="00A5766B"/>
    <w:rsid w:val="00A65A8C"/>
    <w:rsid w:val="00A679AA"/>
    <w:rsid w:val="00A70DFA"/>
    <w:rsid w:val="00A74CCC"/>
    <w:rsid w:val="00A8132B"/>
    <w:rsid w:val="00A8153C"/>
    <w:rsid w:val="00A82CCB"/>
    <w:rsid w:val="00A841BD"/>
    <w:rsid w:val="00A8458F"/>
    <w:rsid w:val="00A84900"/>
    <w:rsid w:val="00A90000"/>
    <w:rsid w:val="00A910B7"/>
    <w:rsid w:val="00A954EC"/>
    <w:rsid w:val="00A95C11"/>
    <w:rsid w:val="00A960F5"/>
    <w:rsid w:val="00A961AD"/>
    <w:rsid w:val="00AA243A"/>
    <w:rsid w:val="00AA3945"/>
    <w:rsid w:val="00AA68C4"/>
    <w:rsid w:val="00AB1A4F"/>
    <w:rsid w:val="00AB47B4"/>
    <w:rsid w:val="00AC2B1D"/>
    <w:rsid w:val="00AC51E2"/>
    <w:rsid w:val="00AD0A2D"/>
    <w:rsid w:val="00AD3386"/>
    <w:rsid w:val="00AD344A"/>
    <w:rsid w:val="00AD7551"/>
    <w:rsid w:val="00AD79E8"/>
    <w:rsid w:val="00AE27C6"/>
    <w:rsid w:val="00AE3D3A"/>
    <w:rsid w:val="00AE5DD3"/>
    <w:rsid w:val="00AE6E2D"/>
    <w:rsid w:val="00AE791E"/>
    <w:rsid w:val="00AF5845"/>
    <w:rsid w:val="00B0057D"/>
    <w:rsid w:val="00B019F0"/>
    <w:rsid w:val="00B022CD"/>
    <w:rsid w:val="00B037A0"/>
    <w:rsid w:val="00B0399A"/>
    <w:rsid w:val="00B049C7"/>
    <w:rsid w:val="00B06B87"/>
    <w:rsid w:val="00B06EEE"/>
    <w:rsid w:val="00B13A47"/>
    <w:rsid w:val="00B151C1"/>
    <w:rsid w:val="00B20D73"/>
    <w:rsid w:val="00B22680"/>
    <w:rsid w:val="00B263C1"/>
    <w:rsid w:val="00B34123"/>
    <w:rsid w:val="00B3417D"/>
    <w:rsid w:val="00B34D13"/>
    <w:rsid w:val="00B418E4"/>
    <w:rsid w:val="00B50BAA"/>
    <w:rsid w:val="00B61CC5"/>
    <w:rsid w:val="00B61D92"/>
    <w:rsid w:val="00B631F6"/>
    <w:rsid w:val="00B64D36"/>
    <w:rsid w:val="00B72FBE"/>
    <w:rsid w:val="00B73CAE"/>
    <w:rsid w:val="00B75239"/>
    <w:rsid w:val="00B755A3"/>
    <w:rsid w:val="00B76511"/>
    <w:rsid w:val="00B8607F"/>
    <w:rsid w:val="00B86FB6"/>
    <w:rsid w:val="00B90F66"/>
    <w:rsid w:val="00B9360B"/>
    <w:rsid w:val="00B95063"/>
    <w:rsid w:val="00B968DD"/>
    <w:rsid w:val="00B972CC"/>
    <w:rsid w:val="00BA0BAF"/>
    <w:rsid w:val="00BA3BCD"/>
    <w:rsid w:val="00BA4315"/>
    <w:rsid w:val="00BA5342"/>
    <w:rsid w:val="00BA5BE8"/>
    <w:rsid w:val="00BA6B95"/>
    <w:rsid w:val="00BA7933"/>
    <w:rsid w:val="00BC1A3A"/>
    <w:rsid w:val="00BD1011"/>
    <w:rsid w:val="00BD69FE"/>
    <w:rsid w:val="00BD75C7"/>
    <w:rsid w:val="00BE09C5"/>
    <w:rsid w:val="00BE493C"/>
    <w:rsid w:val="00BE5733"/>
    <w:rsid w:val="00BE6C3F"/>
    <w:rsid w:val="00BF354B"/>
    <w:rsid w:val="00BF6BDE"/>
    <w:rsid w:val="00C0224D"/>
    <w:rsid w:val="00C049FB"/>
    <w:rsid w:val="00C13258"/>
    <w:rsid w:val="00C13447"/>
    <w:rsid w:val="00C15565"/>
    <w:rsid w:val="00C21210"/>
    <w:rsid w:val="00C22F71"/>
    <w:rsid w:val="00C24C9A"/>
    <w:rsid w:val="00C32EEE"/>
    <w:rsid w:val="00C34834"/>
    <w:rsid w:val="00C42B99"/>
    <w:rsid w:val="00C45F99"/>
    <w:rsid w:val="00C508CF"/>
    <w:rsid w:val="00C5167A"/>
    <w:rsid w:val="00C57BE9"/>
    <w:rsid w:val="00C57F21"/>
    <w:rsid w:val="00C67613"/>
    <w:rsid w:val="00C704C4"/>
    <w:rsid w:val="00C72EF0"/>
    <w:rsid w:val="00C7547C"/>
    <w:rsid w:val="00C82836"/>
    <w:rsid w:val="00C873FA"/>
    <w:rsid w:val="00C96EE8"/>
    <w:rsid w:val="00CA1FD4"/>
    <w:rsid w:val="00CA7089"/>
    <w:rsid w:val="00CB2D1C"/>
    <w:rsid w:val="00CB46FA"/>
    <w:rsid w:val="00CB4E6D"/>
    <w:rsid w:val="00CC2D54"/>
    <w:rsid w:val="00CC36CF"/>
    <w:rsid w:val="00CC4EB9"/>
    <w:rsid w:val="00CC51A8"/>
    <w:rsid w:val="00CC5426"/>
    <w:rsid w:val="00CC7983"/>
    <w:rsid w:val="00CD0A35"/>
    <w:rsid w:val="00CD2F54"/>
    <w:rsid w:val="00CD34D9"/>
    <w:rsid w:val="00CD476C"/>
    <w:rsid w:val="00CF13F9"/>
    <w:rsid w:val="00CF305D"/>
    <w:rsid w:val="00D008D0"/>
    <w:rsid w:val="00D013B8"/>
    <w:rsid w:val="00D039F6"/>
    <w:rsid w:val="00D03B5B"/>
    <w:rsid w:val="00D05328"/>
    <w:rsid w:val="00D13886"/>
    <w:rsid w:val="00D2148E"/>
    <w:rsid w:val="00D228C5"/>
    <w:rsid w:val="00D2343F"/>
    <w:rsid w:val="00D24604"/>
    <w:rsid w:val="00D266BA"/>
    <w:rsid w:val="00D27A29"/>
    <w:rsid w:val="00D30E75"/>
    <w:rsid w:val="00D337DB"/>
    <w:rsid w:val="00D33F5B"/>
    <w:rsid w:val="00D36635"/>
    <w:rsid w:val="00D40E67"/>
    <w:rsid w:val="00D42E89"/>
    <w:rsid w:val="00D431A6"/>
    <w:rsid w:val="00D46F26"/>
    <w:rsid w:val="00D53FA2"/>
    <w:rsid w:val="00D55663"/>
    <w:rsid w:val="00D55FBE"/>
    <w:rsid w:val="00D5708B"/>
    <w:rsid w:val="00D64568"/>
    <w:rsid w:val="00D64695"/>
    <w:rsid w:val="00D64DB7"/>
    <w:rsid w:val="00D668A4"/>
    <w:rsid w:val="00D70442"/>
    <w:rsid w:val="00D72709"/>
    <w:rsid w:val="00D740B7"/>
    <w:rsid w:val="00D74B18"/>
    <w:rsid w:val="00D7533E"/>
    <w:rsid w:val="00D75E6D"/>
    <w:rsid w:val="00D76837"/>
    <w:rsid w:val="00D8066C"/>
    <w:rsid w:val="00D81670"/>
    <w:rsid w:val="00D839A7"/>
    <w:rsid w:val="00D847D0"/>
    <w:rsid w:val="00D85EBC"/>
    <w:rsid w:val="00DA120E"/>
    <w:rsid w:val="00DA1530"/>
    <w:rsid w:val="00DA405F"/>
    <w:rsid w:val="00DB06C8"/>
    <w:rsid w:val="00DB18FD"/>
    <w:rsid w:val="00DB1B11"/>
    <w:rsid w:val="00DB1BD5"/>
    <w:rsid w:val="00DC5907"/>
    <w:rsid w:val="00DC6F84"/>
    <w:rsid w:val="00DD0C24"/>
    <w:rsid w:val="00DD2730"/>
    <w:rsid w:val="00DD2AE0"/>
    <w:rsid w:val="00DD316E"/>
    <w:rsid w:val="00DD34A8"/>
    <w:rsid w:val="00DE1CA2"/>
    <w:rsid w:val="00DE3B61"/>
    <w:rsid w:val="00DF0BE0"/>
    <w:rsid w:val="00DF125B"/>
    <w:rsid w:val="00DF3F35"/>
    <w:rsid w:val="00DF692F"/>
    <w:rsid w:val="00DF6DAE"/>
    <w:rsid w:val="00E0486D"/>
    <w:rsid w:val="00E04DD6"/>
    <w:rsid w:val="00E058AF"/>
    <w:rsid w:val="00E14A0F"/>
    <w:rsid w:val="00E14F96"/>
    <w:rsid w:val="00E41F94"/>
    <w:rsid w:val="00E47CC1"/>
    <w:rsid w:val="00E500CD"/>
    <w:rsid w:val="00E5041D"/>
    <w:rsid w:val="00E56AFA"/>
    <w:rsid w:val="00E66100"/>
    <w:rsid w:val="00E6635E"/>
    <w:rsid w:val="00E73C08"/>
    <w:rsid w:val="00E766D6"/>
    <w:rsid w:val="00E82CAF"/>
    <w:rsid w:val="00E8302C"/>
    <w:rsid w:val="00E83CC7"/>
    <w:rsid w:val="00E86934"/>
    <w:rsid w:val="00E95D02"/>
    <w:rsid w:val="00E96279"/>
    <w:rsid w:val="00E96F75"/>
    <w:rsid w:val="00EA4229"/>
    <w:rsid w:val="00EB05CF"/>
    <w:rsid w:val="00EB1F6B"/>
    <w:rsid w:val="00EB4E23"/>
    <w:rsid w:val="00ED66B1"/>
    <w:rsid w:val="00ED6F0D"/>
    <w:rsid w:val="00ED704F"/>
    <w:rsid w:val="00EE172C"/>
    <w:rsid w:val="00EE173E"/>
    <w:rsid w:val="00EE1F43"/>
    <w:rsid w:val="00EE22AE"/>
    <w:rsid w:val="00EF1CE1"/>
    <w:rsid w:val="00EF5B3B"/>
    <w:rsid w:val="00EF681E"/>
    <w:rsid w:val="00F13292"/>
    <w:rsid w:val="00F1470E"/>
    <w:rsid w:val="00F15A4F"/>
    <w:rsid w:val="00F222EC"/>
    <w:rsid w:val="00F2270C"/>
    <w:rsid w:val="00F23E2D"/>
    <w:rsid w:val="00F25B0F"/>
    <w:rsid w:val="00F27982"/>
    <w:rsid w:val="00F36CCB"/>
    <w:rsid w:val="00F37E42"/>
    <w:rsid w:val="00F41A08"/>
    <w:rsid w:val="00F41AAF"/>
    <w:rsid w:val="00F43C39"/>
    <w:rsid w:val="00F43DB3"/>
    <w:rsid w:val="00F44518"/>
    <w:rsid w:val="00F46A47"/>
    <w:rsid w:val="00F55207"/>
    <w:rsid w:val="00F5618B"/>
    <w:rsid w:val="00F561C4"/>
    <w:rsid w:val="00F56BE8"/>
    <w:rsid w:val="00F63686"/>
    <w:rsid w:val="00F63C97"/>
    <w:rsid w:val="00F66633"/>
    <w:rsid w:val="00F712E1"/>
    <w:rsid w:val="00F717A9"/>
    <w:rsid w:val="00F71C83"/>
    <w:rsid w:val="00F774AB"/>
    <w:rsid w:val="00F82CAE"/>
    <w:rsid w:val="00F8391F"/>
    <w:rsid w:val="00F903D9"/>
    <w:rsid w:val="00F96C9B"/>
    <w:rsid w:val="00FA086C"/>
    <w:rsid w:val="00FA36FD"/>
    <w:rsid w:val="00FA4CD8"/>
    <w:rsid w:val="00FB135E"/>
    <w:rsid w:val="00FB2527"/>
    <w:rsid w:val="00FB293F"/>
    <w:rsid w:val="00FB2B20"/>
    <w:rsid w:val="00FB2DC1"/>
    <w:rsid w:val="00FB4539"/>
    <w:rsid w:val="00FB5D80"/>
    <w:rsid w:val="00FB77C1"/>
    <w:rsid w:val="00FB77D4"/>
    <w:rsid w:val="00FB78CB"/>
    <w:rsid w:val="00FC0CD6"/>
    <w:rsid w:val="00FC232F"/>
    <w:rsid w:val="00FC4571"/>
    <w:rsid w:val="00FE50A9"/>
    <w:rsid w:val="00FE5598"/>
    <w:rsid w:val="00FF29BD"/>
    <w:rsid w:val="00FF2B35"/>
    <w:rsid w:val="00FF554F"/>
    <w:rsid w:val="00FF61C1"/>
    <w:rsid w:val="0345A364"/>
    <w:rsid w:val="0622B1AA"/>
    <w:rsid w:val="11EF1C96"/>
    <w:rsid w:val="16C28DB9"/>
    <w:rsid w:val="1A782E34"/>
    <w:rsid w:val="215A0E8C"/>
    <w:rsid w:val="22CD610C"/>
    <w:rsid w:val="231F4602"/>
    <w:rsid w:val="23F1F312"/>
    <w:rsid w:val="244EE36E"/>
    <w:rsid w:val="2850CD23"/>
    <w:rsid w:val="28BD1303"/>
    <w:rsid w:val="2D1D8FD3"/>
    <w:rsid w:val="3046EA1B"/>
    <w:rsid w:val="315A2E5F"/>
    <w:rsid w:val="32743401"/>
    <w:rsid w:val="4583C034"/>
    <w:rsid w:val="47CE58D6"/>
    <w:rsid w:val="489ED13A"/>
    <w:rsid w:val="49C71993"/>
    <w:rsid w:val="4DAB90E3"/>
    <w:rsid w:val="50437569"/>
    <w:rsid w:val="57A679E0"/>
    <w:rsid w:val="58BF1736"/>
    <w:rsid w:val="5A9A52A3"/>
    <w:rsid w:val="5F2E58BA"/>
    <w:rsid w:val="6160CCA4"/>
    <w:rsid w:val="61A066BE"/>
    <w:rsid w:val="6265F97C"/>
    <w:rsid w:val="659D9A3E"/>
    <w:rsid w:val="66EF49AC"/>
    <w:rsid w:val="69DF01EA"/>
    <w:rsid w:val="6A22C9E9"/>
    <w:rsid w:val="6A78F8E7"/>
    <w:rsid w:val="6C14C948"/>
    <w:rsid w:val="6F4C6A0A"/>
    <w:rsid w:val="72840ACC"/>
    <w:rsid w:val="74F2883D"/>
    <w:rsid w:val="79EC3C0F"/>
    <w:rsid w:val="7E076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5D9CF04"/>
  <w15:docId w15:val="{A9F97ADB-62AA-49AD-A50A-007B9E0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88D"/>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A1488D"/>
    <w:rPr>
      <w:rFonts w:ascii="Arial" w:hAnsi="Arial" w:cs="Arial"/>
      <w:kern w:val="28"/>
      <w:sz w:val="24"/>
      <w:lang w:val="es-ES_tradnl" w:eastAsia="es-ES"/>
    </w:rPr>
  </w:style>
  <w:style w:type="paragraph" w:styleId="Encabezado">
    <w:name w:val="header"/>
    <w:basedOn w:val="Normal"/>
    <w:link w:val="EncabezadoCar"/>
    <w:rsid w:val="00A1488D"/>
    <w:pPr>
      <w:tabs>
        <w:tab w:val="center" w:pos="4252"/>
        <w:tab w:val="right" w:pos="8504"/>
      </w:tabs>
    </w:pPr>
    <w:rPr>
      <w:rFonts w:ascii="Arial" w:eastAsia="Calibri" w:hAnsi="Arial" w:cs="Arial"/>
      <w:kern w:val="28"/>
      <w:sz w:val="24"/>
      <w:szCs w:val="22"/>
      <w:lang w:val="es-ES_tradnl"/>
    </w:rPr>
  </w:style>
  <w:style w:type="character" w:customStyle="1" w:styleId="EncabezadoCar1">
    <w:name w:val="Encabezado Car1"/>
    <w:uiPriority w:val="99"/>
    <w:semiHidden/>
    <w:rsid w:val="00A1488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1488D"/>
  </w:style>
  <w:style w:type="paragraph" w:customStyle="1" w:styleId="Textoindependiente22">
    <w:name w:val="Texto independiente 22"/>
    <w:basedOn w:val="Normal"/>
    <w:rsid w:val="00A1488D"/>
    <w:pPr>
      <w:overflowPunct w:val="0"/>
      <w:autoSpaceDE w:val="0"/>
      <w:autoSpaceDN w:val="0"/>
      <w:adjustRightInd w:val="0"/>
      <w:spacing w:line="360" w:lineRule="auto"/>
      <w:jc w:val="both"/>
    </w:pPr>
    <w:rPr>
      <w:rFonts w:ascii="Arial" w:hAnsi="Arial"/>
      <w:color w:val="000000"/>
      <w:sz w:val="28"/>
      <w:lang w:val="es-ES_tradnl"/>
    </w:rPr>
  </w:style>
  <w:style w:type="paragraph" w:customStyle="1" w:styleId="BodyText21">
    <w:name w:val="Body Text 21"/>
    <w:basedOn w:val="Normal"/>
    <w:rsid w:val="00A1488D"/>
    <w:pPr>
      <w:overflowPunct w:val="0"/>
      <w:autoSpaceDE w:val="0"/>
      <w:autoSpaceDN w:val="0"/>
      <w:adjustRightInd w:val="0"/>
      <w:spacing w:line="480" w:lineRule="auto"/>
      <w:jc w:val="both"/>
      <w:textAlignment w:val="baseline"/>
    </w:pPr>
    <w:rPr>
      <w:rFonts w:ascii="Arial" w:hAnsi="Arial"/>
      <w:sz w:val="24"/>
      <w:lang w:val="es-ES_tradnl"/>
    </w:rPr>
  </w:style>
  <w:style w:type="paragraph" w:customStyle="1" w:styleId="Textoindependiente21">
    <w:name w:val="Texto independiente 21"/>
    <w:basedOn w:val="Normal"/>
    <w:rsid w:val="00A1488D"/>
    <w:pPr>
      <w:overflowPunct w:val="0"/>
      <w:autoSpaceDE w:val="0"/>
      <w:autoSpaceDN w:val="0"/>
      <w:adjustRightInd w:val="0"/>
      <w:spacing w:line="360" w:lineRule="auto"/>
      <w:jc w:val="both"/>
      <w:textAlignment w:val="baseline"/>
    </w:pPr>
    <w:rPr>
      <w:rFonts w:ascii="Arial" w:hAnsi="Arial"/>
      <w:color w:val="000000"/>
      <w:sz w:val="28"/>
      <w:lang w:val="es-ES_tradnl"/>
    </w:rPr>
  </w:style>
  <w:style w:type="paragraph" w:styleId="Textoindependiente">
    <w:name w:val="Body Text"/>
    <w:basedOn w:val="Normal"/>
    <w:link w:val="TextoindependienteCar"/>
    <w:uiPriority w:val="99"/>
    <w:rsid w:val="002C1E8D"/>
    <w:pPr>
      <w:spacing w:after="120"/>
    </w:pPr>
  </w:style>
  <w:style w:type="character" w:customStyle="1" w:styleId="TextoindependienteCar">
    <w:name w:val="Texto independiente Car"/>
    <w:link w:val="Textoindependiente"/>
    <w:uiPriority w:val="99"/>
    <w:rsid w:val="002C1E8D"/>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Footnote Text Cha"/>
    <w:basedOn w:val="Normal"/>
    <w:link w:val="TextonotapieCar"/>
    <w:rsid w:val="002C1E8D"/>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rsid w:val="002C1E8D"/>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
    <w:rsid w:val="002C1E8D"/>
    <w:rPr>
      <w:vertAlign w:val="superscript"/>
    </w:rPr>
  </w:style>
  <w:style w:type="paragraph" w:customStyle="1" w:styleId="Textoindependiente23">
    <w:name w:val="Texto independiente 23"/>
    <w:basedOn w:val="Normal"/>
    <w:link w:val="BodyText2Car"/>
    <w:rsid w:val="002C1E8D"/>
    <w:pPr>
      <w:spacing w:line="360" w:lineRule="auto"/>
      <w:jc w:val="both"/>
    </w:pPr>
    <w:rPr>
      <w:rFonts w:ascii="Arial" w:hAnsi="Arial"/>
      <w:sz w:val="28"/>
    </w:rPr>
  </w:style>
  <w:style w:type="character" w:customStyle="1" w:styleId="BodyText2Car">
    <w:name w:val="Body Text 2 Car"/>
    <w:link w:val="Textoindependiente23"/>
    <w:rsid w:val="002C1E8D"/>
    <w:rPr>
      <w:rFonts w:ascii="Arial" w:eastAsia="Times New Roman" w:hAnsi="Arial" w:cs="Times New Roman"/>
      <w:sz w:val="28"/>
      <w:szCs w:val="20"/>
      <w:lang w:val="es-ES" w:eastAsia="es-ES"/>
    </w:rPr>
  </w:style>
  <w:style w:type="paragraph" w:styleId="Sangra2detindependiente">
    <w:name w:val="Body Text Indent 2"/>
    <w:basedOn w:val="Normal"/>
    <w:link w:val="Sangra2detindependienteCar"/>
    <w:rsid w:val="002C1E8D"/>
    <w:pPr>
      <w:spacing w:after="120" w:line="480" w:lineRule="auto"/>
      <w:ind w:left="283"/>
    </w:pPr>
  </w:style>
  <w:style w:type="character" w:customStyle="1" w:styleId="Sangra2detindependienteCar">
    <w:name w:val="Sangría 2 de t. independiente Car"/>
    <w:link w:val="Sangra2detindependiente"/>
    <w:rsid w:val="002C1E8D"/>
    <w:rPr>
      <w:rFonts w:ascii="Times New Roman" w:eastAsia="Times New Roman" w:hAnsi="Times New Roman" w:cs="Times New Roman"/>
      <w:sz w:val="20"/>
      <w:szCs w:val="20"/>
      <w:lang w:val="es-ES" w:eastAsia="es-ES"/>
    </w:rPr>
  </w:style>
  <w:style w:type="paragraph" w:styleId="Sinespaciado">
    <w:name w:val="No Spacing"/>
    <w:uiPriority w:val="1"/>
    <w:qFormat/>
    <w:rsid w:val="002C1E8D"/>
    <w:rPr>
      <w:rFonts w:ascii="Times New Roman" w:eastAsia="Times New Roman" w:hAnsi="Times New Roman"/>
      <w:lang w:val="es-ES" w:eastAsia="es-ES"/>
    </w:rPr>
  </w:style>
  <w:style w:type="paragraph" w:styleId="Prrafodelista">
    <w:name w:val="List Paragraph"/>
    <w:basedOn w:val="Normal"/>
    <w:uiPriority w:val="34"/>
    <w:qFormat/>
    <w:rsid w:val="002C1E8D"/>
    <w:pPr>
      <w:ind w:left="708"/>
    </w:pPr>
    <w:rPr>
      <w:sz w:val="24"/>
      <w:szCs w:val="24"/>
    </w:rPr>
  </w:style>
  <w:style w:type="paragraph" w:styleId="Sangra3detindependiente">
    <w:name w:val="Body Text Indent 3"/>
    <w:basedOn w:val="Normal"/>
    <w:link w:val="Sangra3detindependienteCar"/>
    <w:rsid w:val="002C1E8D"/>
    <w:pPr>
      <w:spacing w:after="120"/>
      <w:ind w:left="283"/>
    </w:pPr>
    <w:rPr>
      <w:sz w:val="16"/>
      <w:szCs w:val="16"/>
      <w:lang w:val="x-none" w:eastAsia="x-none"/>
    </w:rPr>
  </w:style>
  <w:style w:type="character" w:customStyle="1" w:styleId="Sangra3detindependienteCar">
    <w:name w:val="Sangría 3 de t. independiente Car"/>
    <w:link w:val="Sangra3detindependiente"/>
    <w:rsid w:val="002C1E8D"/>
    <w:rPr>
      <w:rFonts w:ascii="Times New Roman" w:eastAsia="Times New Roman" w:hAnsi="Times New Roman" w:cs="Times New Roman"/>
      <w:sz w:val="16"/>
      <w:szCs w:val="16"/>
      <w:lang w:val="x-none" w:eastAsia="x-none"/>
    </w:rPr>
  </w:style>
  <w:style w:type="paragraph" w:styleId="Textodebloque">
    <w:name w:val="Block Text"/>
    <w:basedOn w:val="Normal"/>
    <w:rsid w:val="002C1E8D"/>
    <w:pPr>
      <w:autoSpaceDE w:val="0"/>
      <w:autoSpaceDN w:val="0"/>
      <w:adjustRightInd w:val="0"/>
      <w:spacing w:after="220"/>
      <w:ind w:left="720" w:right="432" w:firstLine="360"/>
      <w:jc w:val="both"/>
    </w:pPr>
    <w:rPr>
      <w:rFonts w:ascii="Century Gothic" w:hAnsi="Century Gothic"/>
      <w:sz w:val="22"/>
      <w:szCs w:val="22"/>
      <w:lang w:val="es-CO"/>
    </w:rPr>
  </w:style>
  <w:style w:type="paragraph" w:styleId="Piedepgina">
    <w:name w:val="footer"/>
    <w:basedOn w:val="Normal"/>
    <w:link w:val="PiedepginaCar"/>
    <w:uiPriority w:val="99"/>
    <w:unhideWhenUsed/>
    <w:rsid w:val="00BE5733"/>
    <w:pPr>
      <w:tabs>
        <w:tab w:val="center" w:pos="4419"/>
        <w:tab w:val="right" w:pos="8838"/>
      </w:tabs>
    </w:pPr>
  </w:style>
  <w:style w:type="character" w:customStyle="1" w:styleId="PiedepginaCar">
    <w:name w:val="Pie de página Car"/>
    <w:link w:val="Piedepgina"/>
    <w:uiPriority w:val="99"/>
    <w:rsid w:val="00BE573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BD1011"/>
    <w:rPr>
      <w:rFonts w:ascii="Segoe UI" w:hAnsi="Segoe UI" w:cs="Segoe UI"/>
      <w:sz w:val="18"/>
      <w:szCs w:val="18"/>
    </w:rPr>
  </w:style>
  <w:style w:type="character" w:customStyle="1" w:styleId="TextodegloboCar">
    <w:name w:val="Texto de globo Car"/>
    <w:link w:val="Textodeglobo"/>
    <w:uiPriority w:val="99"/>
    <w:semiHidden/>
    <w:rsid w:val="00BD1011"/>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6451CE"/>
    <w:pPr>
      <w:spacing w:before="100" w:beforeAutospacing="1" w:after="100" w:afterAutospacing="1"/>
    </w:pPr>
    <w:rPr>
      <w:sz w:val="24"/>
      <w:szCs w:val="24"/>
    </w:rPr>
  </w:style>
  <w:style w:type="character" w:customStyle="1" w:styleId="apple-converted-space">
    <w:name w:val="apple-converted-space"/>
    <w:basedOn w:val="Fuentedeprrafopredeter"/>
    <w:rsid w:val="006451CE"/>
  </w:style>
  <w:style w:type="paragraph" w:customStyle="1" w:styleId="Sangra2detindependiente1">
    <w:name w:val="Sangría 2 de t. independiente1"/>
    <w:basedOn w:val="Normal"/>
    <w:rsid w:val="00BA5342"/>
    <w:pPr>
      <w:overflowPunct w:val="0"/>
      <w:autoSpaceDE w:val="0"/>
      <w:autoSpaceDN w:val="0"/>
      <w:adjustRightInd w:val="0"/>
      <w:spacing w:line="360" w:lineRule="auto"/>
      <w:ind w:firstLine="1418"/>
      <w:jc w:val="both"/>
      <w:textAlignment w:val="baseline"/>
    </w:pPr>
    <w:rPr>
      <w:rFonts w:ascii="Arial" w:hAnsi="Arial"/>
      <w:sz w:val="24"/>
    </w:rPr>
  </w:style>
  <w:style w:type="paragraph" w:customStyle="1" w:styleId="pa8">
    <w:name w:val="pa8"/>
    <w:basedOn w:val="Normal"/>
    <w:rsid w:val="00BA5342"/>
    <w:pPr>
      <w:spacing w:before="100" w:beforeAutospacing="1" w:after="100" w:afterAutospacing="1"/>
    </w:pPr>
    <w:rPr>
      <w:sz w:val="24"/>
      <w:szCs w:val="24"/>
    </w:rPr>
  </w:style>
  <w:style w:type="paragraph" w:customStyle="1" w:styleId="Default">
    <w:name w:val="Default"/>
    <w:rsid w:val="00FB77C1"/>
    <w:pPr>
      <w:autoSpaceDE w:val="0"/>
      <w:autoSpaceDN w:val="0"/>
      <w:adjustRightInd w:val="0"/>
    </w:pPr>
    <w:rPr>
      <w:rFonts w:ascii="Arial" w:hAnsi="Arial" w:cs="Arial"/>
      <w:color w:val="000000"/>
      <w:sz w:val="24"/>
      <w:szCs w:val="24"/>
    </w:rPr>
  </w:style>
  <w:style w:type="character" w:customStyle="1" w:styleId="Cuerpodeltexto2Negrita">
    <w:name w:val="Cuerpo del texto (2) + Negrita"/>
    <w:rsid w:val="00137B1C"/>
    <w:rPr>
      <w:rFonts w:ascii="Times New Roman" w:eastAsia="Times New Roman" w:hAnsi="Times New Roman" w:cs="Times New Roman"/>
      <w:b/>
      <w:bCs/>
      <w:i/>
      <w:iCs/>
      <w:smallCaps w:val="0"/>
      <w:strike w:val="0"/>
      <w:color w:val="000000"/>
      <w:spacing w:val="-10"/>
      <w:w w:val="100"/>
      <w:position w:val="0"/>
      <w:sz w:val="26"/>
      <w:szCs w:val="26"/>
      <w:u w:val="none"/>
      <w:lang w:val="es-ES" w:eastAsia="es-ES" w:bidi="es-ES"/>
    </w:rPr>
  </w:style>
  <w:style w:type="character" w:customStyle="1" w:styleId="Cuerpodeltexto3">
    <w:name w:val="Cuerpo del texto (3)"/>
    <w:rsid w:val="00137B1C"/>
    <w:rPr>
      <w:rFonts w:ascii="Times New Roman" w:eastAsia="Times New Roman" w:hAnsi="Times New Roman" w:cs="Times New Roman"/>
      <w:b/>
      <w:bCs/>
      <w:i/>
      <w:iCs/>
      <w:smallCaps w:val="0"/>
      <w:strike w:val="0"/>
      <w:color w:val="000000"/>
      <w:spacing w:val="-10"/>
      <w:w w:val="100"/>
      <w:position w:val="0"/>
      <w:sz w:val="26"/>
      <w:szCs w:val="26"/>
      <w:u w:val="single"/>
      <w:lang w:val="es-ES" w:eastAsia="es-ES" w:bidi="es-ES"/>
    </w:rPr>
  </w:style>
  <w:style w:type="character" w:customStyle="1" w:styleId="Cuerpodeltexto318pto">
    <w:name w:val="Cuerpo del texto (3) + 18 pto"/>
    <w:aliases w:val="Sin cursiva,Espaciado 0 pto,Cuerpo del texto (2) + 12 pto,Negrita,Cuerpo del texto (2) + 14 pto,Cuerpo del texto (2) + 17 pto"/>
    <w:rsid w:val="00137B1C"/>
    <w:rPr>
      <w:rFonts w:ascii="Times New Roman" w:eastAsia="Times New Roman" w:hAnsi="Times New Roman" w:cs="Times New Roman"/>
      <w:b/>
      <w:bCs/>
      <w:i/>
      <w:iCs/>
      <w:smallCaps w:val="0"/>
      <w:strike w:val="0"/>
      <w:color w:val="000000"/>
      <w:spacing w:val="0"/>
      <w:w w:val="100"/>
      <w:position w:val="0"/>
      <w:sz w:val="36"/>
      <w:szCs w:val="36"/>
      <w:u w:val="single"/>
      <w:lang w:val="es-ES" w:eastAsia="es-ES" w:bidi="es-ES"/>
    </w:rPr>
  </w:style>
  <w:style w:type="character" w:customStyle="1" w:styleId="Cuerpodeltexto2">
    <w:name w:val="Cuerpo del texto (2)_"/>
    <w:link w:val="Cuerpodeltexto20"/>
    <w:rsid w:val="00C82836"/>
    <w:rPr>
      <w:rFonts w:ascii="Times New Roman" w:eastAsia="Times New Roman" w:hAnsi="Times New Roman"/>
      <w:i/>
      <w:iCs/>
      <w:spacing w:val="-10"/>
      <w:sz w:val="26"/>
      <w:szCs w:val="26"/>
      <w:shd w:val="clear" w:color="auto" w:fill="FFFFFF"/>
    </w:rPr>
  </w:style>
  <w:style w:type="paragraph" w:customStyle="1" w:styleId="Cuerpodeltexto20">
    <w:name w:val="Cuerpo del texto (2)"/>
    <w:basedOn w:val="Normal"/>
    <w:link w:val="Cuerpodeltexto2"/>
    <w:rsid w:val="00C82836"/>
    <w:pPr>
      <w:widowControl w:val="0"/>
      <w:shd w:val="clear" w:color="auto" w:fill="FFFFFF"/>
      <w:spacing w:line="298" w:lineRule="exact"/>
      <w:ind w:hanging="420"/>
    </w:pPr>
    <w:rPr>
      <w:i/>
      <w:iCs/>
      <w:spacing w:val="-10"/>
      <w:sz w:val="26"/>
      <w:szCs w:val="26"/>
      <w:lang w:val="es-CO" w:eastAsia="es-CO"/>
    </w:rPr>
  </w:style>
  <w:style w:type="character" w:customStyle="1" w:styleId="Cuerpodeltexto5">
    <w:name w:val="Cuerpo del texto (5)"/>
    <w:rsid w:val="00FB5D80"/>
    <w:rPr>
      <w:rFonts w:ascii="Times New Roman" w:eastAsia="Times New Roman" w:hAnsi="Times New Roman" w:cs="Times New Roman"/>
      <w:b/>
      <w:bCs/>
      <w:i w:val="0"/>
      <w:iCs w:val="0"/>
      <w:smallCaps w:val="0"/>
      <w:strike w:val="0"/>
      <w:color w:val="000000"/>
      <w:spacing w:val="0"/>
      <w:w w:val="100"/>
      <w:position w:val="0"/>
      <w:sz w:val="24"/>
      <w:szCs w:val="24"/>
      <w:u w:val="single"/>
      <w:lang w:val="es-ES" w:eastAsia="es-ES" w:bidi="es-ES"/>
    </w:rPr>
  </w:style>
  <w:style w:type="character" w:styleId="Hipervnculo">
    <w:name w:val="Hyperlink"/>
    <w:uiPriority w:val="99"/>
    <w:unhideWhenUsed/>
    <w:rsid w:val="0038235C"/>
    <w:rPr>
      <w:color w:val="0000FF"/>
      <w:u w:val="single"/>
    </w:rPr>
  </w:style>
  <w:style w:type="character" w:styleId="Mencinsinresolver">
    <w:name w:val="Unresolved Mention"/>
    <w:basedOn w:val="Fuentedeprrafopredeter"/>
    <w:uiPriority w:val="99"/>
    <w:semiHidden/>
    <w:unhideWhenUsed/>
    <w:rsid w:val="005D2690"/>
    <w:rPr>
      <w:color w:val="605E5C"/>
      <w:shd w:val="clear" w:color="auto" w:fill="E1DFDD"/>
    </w:rPr>
  </w:style>
  <w:style w:type="paragraph" w:customStyle="1" w:styleId="BodyText23">
    <w:name w:val="Body Text 23"/>
    <w:basedOn w:val="Normal"/>
    <w:rsid w:val="00BE493C"/>
    <w:pPr>
      <w:spacing w:line="360" w:lineRule="auto"/>
      <w:jc w:val="both"/>
    </w:pPr>
    <w:rPr>
      <w:sz w:val="24"/>
      <w:lang w:eastAsia="es-CO"/>
    </w:rPr>
  </w:style>
  <w:style w:type="table" w:styleId="Tablaconcuadrcula">
    <w:name w:val="Table Grid"/>
    <w:basedOn w:val="Tablanormal"/>
    <w:uiPriority w:val="39"/>
    <w:rsid w:val="00951A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16767">
      <w:bodyDiv w:val="1"/>
      <w:marLeft w:val="0"/>
      <w:marRight w:val="0"/>
      <w:marTop w:val="0"/>
      <w:marBottom w:val="0"/>
      <w:divBdr>
        <w:top w:val="none" w:sz="0" w:space="0" w:color="auto"/>
        <w:left w:val="none" w:sz="0" w:space="0" w:color="auto"/>
        <w:bottom w:val="none" w:sz="0" w:space="0" w:color="auto"/>
        <w:right w:val="none" w:sz="0" w:space="0" w:color="auto"/>
      </w:divBdr>
    </w:div>
    <w:div w:id="1299653449">
      <w:bodyDiv w:val="1"/>
      <w:marLeft w:val="0"/>
      <w:marRight w:val="0"/>
      <w:marTop w:val="0"/>
      <w:marBottom w:val="0"/>
      <w:divBdr>
        <w:top w:val="none" w:sz="0" w:space="0" w:color="auto"/>
        <w:left w:val="none" w:sz="0" w:space="0" w:color="auto"/>
        <w:bottom w:val="none" w:sz="0" w:space="0" w:color="auto"/>
        <w:right w:val="none" w:sz="0" w:space="0" w:color="auto"/>
      </w:divBdr>
    </w:div>
    <w:div w:id="14566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repjadmintun@cendoj.ramajudicial.gov.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frepjadmintun@cendoj.ramajudicial.gov.co" TargetMode="External"/><Relationship Id="rId17" Type="http://schemas.openxmlformats.org/officeDocument/2006/relationships/hyperlink" Target="mailto:ofrepjadmintun@cendoj.ramajudicial.gov.co" TargetMode="External"/><Relationship Id="rId2" Type="http://schemas.openxmlformats.org/officeDocument/2006/relationships/customXml" Target="../customXml/item2.xml"/><Relationship Id="rId16" Type="http://schemas.openxmlformats.org/officeDocument/2006/relationships/hyperlink" Target="mailto:abogadadianaherrera@g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ogadadianaherrera@gmail.com" TargetMode="External"/><Relationship Id="rId5" Type="http://schemas.openxmlformats.org/officeDocument/2006/relationships/numbering" Target="numbering.xml"/><Relationship Id="rId15" Type="http://schemas.openxmlformats.org/officeDocument/2006/relationships/hyperlink" Target="mailto:ofrepjadmintun@cendoj.ramajudicial.gov.co"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ogadadianaherrera@gmail.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D990-E373-4169-BDB2-DDEDB4F49F30}">
  <ds:schemaRefs>
    <ds:schemaRef ds:uri="http://schemas.microsoft.com/sharepoint/v3/contenttype/forms"/>
  </ds:schemaRefs>
</ds:datastoreItem>
</file>

<file path=customXml/itemProps2.xml><?xml version="1.0" encoding="utf-8"?>
<ds:datastoreItem xmlns:ds="http://schemas.openxmlformats.org/officeDocument/2006/customXml" ds:itemID="{B63082E5-1ED8-441C-B347-4E7F677C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8A6C8-314E-4060-86CF-A237AD9E1B2C}">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EA4D4F9D-F84D-4F11-AC1E-CC33B771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5359</Words>
  <Characters>29476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dc:creator>
  <cp:keywords/>
  <cp:lastModifiedBy>Relatoria Tribunal Administrativo - Boyaca - Seccional Tunja</cp:lastModifiedBy>
  <cp:revision>4</cp:revision>
  <cp:lastPrinted>2019-03-27T14:28:00Z</cp:lastPrinted>
  <dcterms:created xsi:type="dcterms:W3CDTF">2022-10-28T19:55:00Z</dcterms:created>
  <dcterms:modified xsi:type="dcterms:W3CDTF">2022-10-28T19:55:00Z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550500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