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E525" w14:textId="5C3471D3" w:rsidR="008A64CC" w:rsidRPr="00231F76" w:rsidRDefault="00231F76" w:rsidP="00231F76">
      <w:pPr>
        <w:spacing w:after="0" w:line="240" w:lineRule="auto"/>
        <w:jc w:val="both"/>
        <w:rPr>
          <w:rFonts w:ascii="Arial" w:hAnsi="Arial" w:cs="Arial"/>
          <w:b/>
          <w:sz w:val="24"/>
          <w:szCs w:val="24"/>
          <w:lang w:val="es" w:eastAsia="es-CO"/>
        </w:rPr>
      </w:pPr>
      <w:r w:rsidRPr="00231F76">
        <w:rPr>
          <w:rFonts w:ascii="Arial" w:hAnsi="Arial" w:cs="Arial"/>
          <w:b/>
          <w:sz w:val="24"/>
          <w:szCs w:val="24"/>
          <w:lang w:val="es" w:eastAsia="es-CO"/>
        </w:rPr>
        <w:t>LIQUIDACIÓN DE CRÉDITO EN PROCESO EJECUTIVO - E</w:t>
      </w:r>
      <w:r w:rsidRPr="00231F76">
        <w:rPr>
          <w:rFonts w:ascii="Arial" w:hAnsi="Arial" w:cs="Arial"/>
          <w:b/>
          <w:sz w:val="24"/>
          <w:szCs w:val="24"/>
          <w:lang w:val="es-CO"/>
        </w:rPr>
        <w:t>xige</w:t>
      </w:r>
      <w:r w:rsidRPr="00231F76">
        <w:rPr>
          <w:rFonts w:ascii="Arial" w:hAnsi="Arial" w:cs="Arial"/>
          <w:b/>
          <w:sz w:val="24"/>
          <w:szCs w:val="24"/>
          <w:lang w:val="es-CO"/>
        </w:rPr>
        <w:t xml:space="preserve"> como condición previa que se halle ejecutoriado el auto o sentencia que ordene seguir adelante con la ejecución. </w:t>
      </w:r>
      <w:r w:rsidRPr="00231F76">
        <w:rPr>
          <w:rFonts w:ascii="Arial" w:hAnsi="Arial" w:cs="Arial"/>
          <w:b/>
          <w:sz w:val="24"/>
          <w:szCs w:val="24"/>
          <w:lang w:val="es" w:eastAsia="es-CO"/>
        </w:rPr>
        <w:t xml:space="preserve"> </w:t>
      </w:r>
    </w:p>
    <w:p w14:paraId="389A001A" w14:textId="77777777" w:rsidR="00231F76" w:rsidRPr="00231F76" w:rsidRDefault="00231F76" w:rsidP="00231F76">
      <w:pPr>
        <w:spacing w:after="0" w:line="240" w:lineRule="auto"/>
        <w:jc w:val="both"/>
        <w:rPr>
          <w:rFonts w:ascii="Arial" w:hAnsi="Arial" w:cs="Arial"/>
          <w:sz w:val="24"/>
          <w:szCs w:val="24"/>
          <w:lang w:val="es" w:eastAsia="es-CO"/>
        </w:rPr>
      </w:pPr>
    </w:p>
    <w:p w14:paraId="790C7E96" w14:textId="380218F4" w:rsidR="008A64CC" w:rsidRPr="00231F76" w:rsidRDefault="008A64CC" w:rsidP="00231F76">
      <w:pPr>
        <w:spacing w:after="0" w:line="240" w:lineRule="auto"/>
        <w:jc w:val="both"/>
        <w:rPr>
          <w:rFonts w:ascii="Arial" w:hAnsi="Arial" w:cs="Arial"/>
          <w:sz w:val="24"/>
          <w:szCs w:val="24"/>
          <w:lang w:val="es-CO"/>
        </w:rPr>
      </w:pPr>
      <w:r w:rsidRPr="00231F76">
        <w:rPr>
          <w:rFonts w:ascii="Arial" w:hAnsi="Arial" w:cs="Arial"/>
          <w:sz w:val="24"/>
          <w:szCs w:val="24"/>
          <w:lang w:val="es" w:eastAsia="es-CO"/>
        </w:rPr>
        <w:t>El problema jurídico en el sub judice se contrae a determinar si resulta procedente desatar el recurso de alzada contra la modificación de la liquidación del crédito, teniendo en cuenta que no se encontraba en firme la orden de seguir adelante la ejecución</w:t>
      </w:r>
      <w:r w:rsidR="00231F76" w:rsidRPr="00231F76">
        <w:rPr>
          <w:rFonts w:ascii="Arial" w:hAnsi="Arial" w:cs="Arial"/>
          <w:sz w:val="24"/>
          <w:szCs w:val="24"/>
          <w:lang w:val="es" w:eastAsia="es-CO"/>
        </w:rPr>
        <w:t xml:space="preserve">. </w:t>
      </w:r>
      <w:r w:rsidRPr="00231F76">
        <w:rPr>
          <w:rFonts w:ascii="Arial" w:hAnsi="Arial" w:cs="Arial"/>
          <w:sz w:val="24"/>
          <w:szCs w:val="24"/>
          <w:lang w:val="es-CO"/>
        </w:rPr>
        <w:t>Sea del caso señalar que el proceso ejecutivo se inicia con la orden de pago que profiere la autoridad judicial, que puede ser controvertida o no por el ejecutado. Si el demandado se opone a la ejecución, lo hará ya sea con la interposición del recurso de reposición para alegar la falta de requisitos formales del título o la falta de ciertos requisitos de la demanda o por la existencia de excepciones previas y/o con la presentación de las excepciones de fondo. Así y dependiendo de que exista o no un cuestionamiento formal o de fondo respecto del título ejecutivo, se abrirá camino a dictar la orden de seguir adelante con la ejecución.</w:t>
      </w:r>
      <w:r w:rsidR="00231F76">
        <w:rPr>
          <w:rFonts w:ascii="Arial" w:hAnsi="Arial" w:cs="Arial"/>
          <w:sz w:val="24"/>
          <w:szCs w:val="24"/>
          <w:lang w:val="es-CO"/>
        </w:rPr>
        <w:t xml:space="preserve"> </w:t>
      </w:r>
      <w:proofErr w:type="gramStart"/>
      <w:r w:rsidRPr="00231F76">
        <w:rPr>
          <w:rFonts w:ascii="Arial" w:hAnsi="Arial" w:cs="Arial"/>
          <w:sz w:val="24"/>
          <w:szCs w:val="24"/>
          <w:lang w:val="es-CO"/>
        </w:rPr>
        <w:t>Es</w:t>
      </w:r>
      <w:proofErr w:type="gramEnd"/>
      <w:r w:rsidRPr="00231F76">
        <w:rPr>
          <w:rFonts w:ascii="Arial" w:hAnsi="Arial" w:cs="Arial"/>
          <w:sz w:val="24"/>
          <w:szCs w:val="24"/>
          <w:lang w:val="es-CO"/>
        </w:rPr>
        <w:t xml:space="preserve"> así que el mandamiento ejecutivo, es una orden judicial provisional de cumplir perentoriamente con una obligación que reúna las condiciones de un título ejecutivo, esto es que sea expresa, clara, actualmente exigible y que provenga del deudor. En tanto la orden de seguir adelante con la ejecución, ya sea que se adopte por auto o por sentencia, según se propongan o no mecanismos de defensa por el ejecutado, se constituye en una orden judicial definitiva. La orden de seguir adelante significa que el juez encuentra que el título ejecutivo se ajusta por completo a la legalidad y que, por tanto, el deudor debe proceder a honrar la obligación insatisfecha. En esta etapa, queda agotada la defensa del ejecutado y lo que queda por resolver, es únicamente la satisfacción definitiva y completa del crédito cobrado judicialmente. De ahí que las acciones que debe desplegar la justicia a partir de la ejecutoria de la orden de seguir adelante con la ejecución estarán entonces encaminadas exclusivamente a obtener el pago a favor del acreedor y una vez ese hecho se produzca, se deberá disponer la terminación del proceso ejecutivo.</w:t>
      </w:r>
      <w:r w:rsidR="00231F76" w:rsidRPr="00231F76">
        <w:rPr>
          <w:rFonts w:ascii="Arial" w:hAnsi="Arial" w:cs="Arial"/>
          <w:sz w:val="24"/>
          <w:szCs w:val="24"/>
          <w:lang w:val="es-CO"/>
        </w:rPr>
        <w:t xml:space="preserve"> </w:t>
      </w:r>
      <w:r w:rsidRPr="00231F76">
        <w:rPr>
          <w:rFonts w:ascii="Arial" w:hAnsi="Arial" w:cs="Arial"/>
          <w:sz w:val="24"/>
          <w:szCs w:val="24"/>
          <w:lang w:val="es-CO"/>
        </w:rPr>
        <w:t xml:space="preserve">Es precisamente en virtud de lo anterior, que el numeral 1º del artículo 446 de la Ley 1564 de 2012, exige como condición previa para la liquidación del crédito, que se halle ejecutoriado el auto o sentencia que ordene seguir adelante con la ejecución. </w:t>
      </w:r>
      <w:r w:rsidRPr="00231F76">
        <w:rPr>
          <w:rFonts w:ascii="Arial" w:hAnsi="Arial" w:cs="Arial"/>
          <w:color w:val="000000" w:themeColor="text1"/>
          <w:sz w:val="24"/>
          <w:szCs w:val="24"/>
          <w:lang w:val="es" w:eastAsia="es-CO"/>
        </w:rPr>
        <w:t xml:space="preserve">Ahora bien, precisado lo anterior, luego de ordenar seguir adelante la ejecución, se procederá a realizar la liquidación del crédito conforme a las previsiones del artículo 446 del C.G.P.; acto procesal que esta </w:t>
      </w:r>
      <w:r w:rsidRPr="00231F76">
        <w:rPr>
          <w:rFonts w:ascii="Arial" w:hAnsi="Arial" w:cs="Arial"/>
          <w:sz w:val="24"/>
          <w:szCs w:val="24"/>
          <w:lang w:val="es-CO"/>
        </w:rPr>
        <w:t xml:space="preserve">encaminado a precisar y concretar el valor de la ejecución, con la previa realización de las operaciones matemáticas que se requieran e incluyendo los distintos </w:t>
      </w:r>
      <w:r w:rsidRPr="00231F76">
        <w:rPr>
          <w:rFonts w:ascii="Arial" w:hAnsi="Arial" w:cs="Arial"/>
          <w:i/>
          <w:iCs/>
          <w:sz w:val="24"/>
          <w:szCs w:val="24"/>
          <w:lang w:val="es-CO"/>
        </w:rPr>
        <w:t>ítems</w:t>
      </w:r>
      <w:r w:rsidRPr="00231F76">
        <w:rPr>
          <w:rFonts w:ascii="Arial" w:hAnsi="Arial" w:cs="Arial"/>
          <w:sz w:val="24"/>
          <w:szCs w:val="24"/>
          <w:lang w:val="es-CO"/>
        </w:rPr>
        <w:t xml:space="preserve"> o componentes por los cuales se libró el mandamiento y luego se ordenó seguir adelante con la ejecución – capital, intereses, costas, etc.-</w:t>
      </w:r>
      <w:r w:rsidR="00231F76" w:rsidRPr="00231F76">
        <w:rPr>
          <w:rFonts w:ascii="Arial" w:hAnsi="Arial" w:cs="Arial"/>
          <w:sz w:val="24"/>
          <w:szCs w:val="24"/>
          <w:lang w:val="es-CO"/>
        </w:rPr>
        <w:t xml:space="preserve"> </w:t>
      </w:r>
      <w:r w:rsidRPr="00231F76">
        <w:rPr>
          <w:rFonts w:ascii="Arial" w:hAnsi="Arial" w:cs="Arial"/>
          <w:sz w:val="24"/>
          <w:szCs w:val="24"/>
          <w:lang w:val="es-CO"/>
        </w:rPr>
        <w:t xml:space="preserve">No sobra recordar que, tanto al juez como a las partes, luego de la ejecutoria del mandamiento ejecutivo, les queda cerrada cualquier posibilidad de incluir nuevos </w:t>
      </w:r>
      <w:r w:rsidRPr="00231F76">
        <w:rPr>
          <w:rFonts w:ascii="Arial" w:hAnsi="Arial" w:cs="Arial"/>
          <w:i/>
          <w:sz w:val="24"/>
          <w:szCs w:val="24"/>
          <w:lang w:val="es-CO"/>
        </w:rPr>
        <w:t>ítems</w:t>
      </w:r>
      <w:r w:rsidRPr="00231F76">
        <w:rPr>
          <w:rFonts w:ascii="Arial" w:hAnsi="Arial" w:cs="Arial"/>
          <w:sz w:val="24"/>
          <w:szCs w:val="24"/>
          <w:lang w:val="es-CO"/>
        </w:rPr>
        <w:t xml:space="preserve"> o conceptos no reconocidos previamente en la estimación para el pago. Lo anterior, encuentra sustento legal en lo preceptuado por el numeral 1º del artículo 446 del C.G.P.</w:t>
      </w:r>
      <w:r w:rsidR="00231F76" w:rsidRPr="00231F76">
        <w:rPr>
          <w:rFonts w:ascii="Arial" w:hAnsi="Arial" w:cs="Arial"/>
          <w:sz w:val="24"/>
          <w:szCs w:val="24"/>
          <w:lang w:val="es-CO"/>
        </w:rPr>
        <w:t xml:space="preserve"> </w:t>
      </w:r>
      <w:r w:rsidRPr="00231F76">
        <w:rPr>
          <w:rFonts w:ascii="Arial" w:hAnsi="Arial" w:cs="Arial"/>
          <w:sz w:val="24"/>
          <w:szCs w:val="24"/>
          <w:lang w:val="es-CO"/>
        </w:rPr>
        <w:t xml:space="preserve">En consecuencia, la liquidación del crédito sólo podrá incluir aquello que fue reconocido en el mandamiento ejecutivo, incluyendo las agencias y costas procesales - éstas últimas que se causan y concretan en la providencia que ordena seguir adelante con la ejecución-. </w:t>
      </w:r>
      <w:r w:rsidR="00231F76" w:rsidRPr="00231F76">
        <w:rPr>
          <w:rFonts w:ascii="Arial" w:hAnsi="Arial" w:cs="Arial"/>
          <w:sz w:val="24"/>
          <w:szCs w:val="24"/>
          <w:lang w:val="es-CO"/>
        </w:rPr>
        <w:t xml:space="preserve"> </w:t>
      </w:r>
      <w:r w:rsidRPr="00231F76">
        <w:rPr>
          <w:rFonts w:ascii="Arial" w:hAnsi="Arial" w:cs="Arial"/>
          <w:sz w:val="24"/>
          <w:szCs w:val="24"/>
          <w:lang w:val="es-CO"/>
        </w:rPr>
        <w:t xml:space="preserve">Al descender al caso concreto observa el Despacho que se han surtido las siguientes actuaciones procesales que son relevantes para desatar el recurso que se estudia: </w:t>
      </w:r>
    </w:p>
    <w:tbl>
      <w:tblPr>
        <w:tblStyle w:val="Tablaconcuadrcula"/>
        <w:tblW w:w="0" w:type="auto"/>
        <w:tblLook w:val="04A0" w:firstRow="1" w:lastRow="0" w:firstColumn="1" w:lastColumn="0" w:noHBand="0" w:noVBand="1"/>
      </w:tblPr>
      <w:tblGrid>
        <w:gridCol w:w="2943"/>
        <w:gridCol w:w="2943"/>
        <w:gridCol w:w="2944"/>
      </w:tblGrid>
      <w:tr w:rsidR="008A64CC" w:rsidRPr="00231F76" w14:paraId="435E9333" w14:textId="77777777" w:rsidTr="005262AC">
        <w:tc>
          <w:tcPr>
            <w:tcW w:w="2943" w:type="dxa"/>
          </w:tcPr>
          <w:p w14:paraId="6F614A6F" w14:textId="77777777" w:rsidR="008A64CC" w:rsidRPr="00231F76" w:rsidRDefault="008A64CC" w:rsidP="00231F76">
            <w:pPr>
              <w:pStyle w:val="Sinespaciado"/>
              <w:widowControl w:val="0"/>
              <w:jc w:val="center"/>
              <w:rPr>
                <w:rFonts w:ascii="Arial" w:hAnsi="Arial" w:cs="Arial"/>
                <w:b/>
                <w:bCs/>
                <w:lang w:val="es-CO"/>
              </w:rPr>
            </w:pPr>
            <w:r w:rsidRPr="00231F76">
              <w:rPr>
                <w:rFonts w:ascii="Arial" w:hAnsi="Arial" w:cs="Arial"/>
                <w:b/>
                <w:bCs/>
                <w:lang w:val="es-CO"/>
              </w:rPr>
              <w:t>Clase de providencia</w:t>
            </w:r>
          </w:p>
        </w:tc>
        <w:tc>
          <w:tcPr>
            <w:tcW w:w="2943" w:type="dxa"/>
          </w:tcPr>
          <w:p w14:paraId="02716D9A" w14:textId="77777777" w:rsidR="008A64CC" w:rsidRPr="00231F76" w:rsidRDefault="008A64CC" w:rsidP="00231F76">
            <w:pPr>
              <w:pStyle w:val="Sinespaciado"/>
              <w:widowControl w:val="0"/>
              <w:jc w:val="center"/>
              <w:rPr>
                <w:rFonts w:ascii="Arial" w:hAnsi="Arial" w:cs="Arial"/>
                <w:b/>
                <w:bCs/>
                <w:lang w:val="es-CO"/>
              </w:rPr>
            </w:pPr>
            <w:r w:rsidRPr="00231F76">
              <w:rPr>
                <w:rFonts w:ascii="Arial" w:hAnsi="Arial" w:cs="Arial"/>
                <w:b/>
                <w:bCs/>
                <w:lang w:val="es-CO"/>
              </w:rPr>
              <w:t>Fecha</w:t>
            </w:r>
          </w:p>
        </w:tc>
        <w:tc>
          <w:tcPr>
            <w:tcW w:w="2944" w:type="dxa"/>
          </w:tcPr>
          <w:p w14:paraId="5486685D" w14:textId="77777777" w:rsidR="008A64CC" w:rsidRPr="00231F76" w:rsidRDefault="008A64CC" w:rsidP="00231F76">
            <w:pPr>
              <w:pStyle w:val="Sinespaciado"/>
              <w:widowControl w:val="0"/>
              <w:jc w:val="center"/>
              <w:rPr>
                <w:rFonts w:ascii="Arial" w:hAnsi="Arial" w:cs="Arial"/>
                <w:b/>
                <w:bCs/>
                <w:lang w:val="es-CO"/>
              </w:rPr>
            </w:pPr>
            <w:r w:rsidRPr="00231F76">
              <w:rPr>
                <w:rFonts w:ascii="Arial" w:hAnsi="Arial" w:cs="Arial"/>
                <w:b/>
                <w:bCs/>
                <w:lang w:val="es-CO"/>
              </w:rPr>
              <w:t>Recurso</w:t>
            </w:r>
          </w:p>
        </w:tc>
      </w:tr>
      <w:tr w:rsidR="008A64CC" w:rsidRPr="00231F76" w14:paraId="30D66B53" w14:textId="77777777" w:rsidTr="005262AC">
        <w:tc>
          <w:tcPr>
            <w:tcW w:w="2943" w:type="dxa"/>
          </w:tcPr>
          <w:p w14:paraId="1E41ED16"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 xml:space="preserve">Mandamiento de Pago </w:t>
            </w:r>
          </w:p>
        </w:tc>
        <w:tc>
          <w:tcPr>
            <w:tcW w:w="2943" w:type="dxa"/>
          </w:tcPr>
          <w:p w14:paraId="62312B7F"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11 de abril de 2019</w:t>
            </w:r>
          </w:p>
        </w:tc>
        <w:tc>
          <w:tcPr>
            <w:tcW w:w="2944" w:type="dxa"/>
          </w:tcPr>
          <w:p w14:paraId="135EA46B"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 xml:space="preserve">Reposición. Desatado con providencia de fecha 28 de noviembre de 2019, confirmando decisión de fecha 11 de abril de 2019.  </w:t>
            </w:r>
          </w:p>
        </w:tc>
      </w:tr>
      <w:tr w:rsidR="008A64CC" w:rsidRPr="00231F76" w14:paraId="1B6E9333" w14:textId="77777777" w:rsidTr="005262AC">
        <w:tc>
          <w:tcPr>
            <w:tcW w:w="2943" w:type="dxa"/>
          </w:tcPr>
          <w:p w14:paraId="2CE00973"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 xml:space="preserve">Sentencia seguir </w:t>
            </w:r>
            <w:r w:rsidRPr="00231F76">
              <w:rPr>
                <w:rFonts w:ascii="Arial" w:hAnsi="Arial" w:cs="Arial"/>
                <w:lang w:val="es-CO"/>
              </w:rPr>
              <w:lastRenderedPageBreak/>
              <w:t>adelante la ejecución</w:t>
            </w:r>
          </w:p>
        </w:tc>
        <w:tc>
          <w:tcPr>
            <w:tcW w:w="2943" w:type="dxa"/>
          </w:tcPr>
          <w:p w14:paraId="29D74065"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lastRenderedPageBreak/>
              <w:t>18 de noviembre de 2020</w:t>
            </w:r>
          </w:p>
        </w:tc>
        <w:tc>
          <w:tcPr>
            <w:tcW w:w="2944" w:type="dxa"/>
          </w:tcPr>
          <w:p w14:paraId="41CE1E56"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 xml:space="preserve">Apelación. Desatado con </w:t>
            </w:r>
            <w:r w:rsidRPr="00231F76">
              <w:rPr>
                <w:rFonts w:ascii="Arial" w:hAnsi="Arial" w:cs="Arial"/>
                <w:lang w:val="es-CO"/>
              </w:rPr>
              <w:lastRenderedPageBreak/>
              <w:t>providencia de fecha 27 de enero de 2022</w:t>
            </w:r>
          </w:p>
        </w:tc>
      </w:tr>
      <w:tr w:rsidR="008A64CC" w:rsidRPr="00231F76" w14:paraId="71356B7C" w14:textId="77777777" w:rsidTr="005262AC">
        <w:tc>
          <w:tcPr>
            <w:tcW w:w="2943" w:type="dxa"/>
          </w:tcPr>
          <w:p w14:paraId="7C11C9B7"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lastRenderedPageBreak/>
              <w:t>Modificación de la liquidación del crédito</w:t>
            </w:r>
          </w:p>
        </w:tc>
        <w:tc>
          <w:tcPr>
            <w:tcW w:w="2943" w:type="dxa"/>
          </w:tcPr>
          <w:p w14:paraId="5174688A"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10 de junio de 2021</w:t>
            </w:r>
          </w:p>
        </w:tc>
        <w:tc>
          <w:tcPr>
            <w:tcW w:w="2944" w:type="dxa"/>
          </w:tcPr>
          <w:p w14:paraId="79DB6818" w14:textId="77777777"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 xml:space="preserve">Apelación. </w:t>
            </w:r>
          </w:p>
        </w:tc>
      </w:tr>
    </w:tbl>
    <w:p w14:paraId="0EFB2981" w14:textId="69BE2A24" w:rsidR="008A64CC" w:rsidRPr="00231F76" w:rsidRDefault="008A64CC" w:rsidP="00231F76">
      <w:pPr>
        <w:pStyle w:val="Sinespaciado"/>
        <w:widowControl w:val="0"/>
        <w:jc w:val="both"/>
        <w:rPr>
          <w:rFonts w:ascii="Arial" w:hAnsi="Arial" w:cs="Arial"/>
          <w:lang w:val="es-CO"/>
        </w:rPr>
      </w:pPr>
      <w:r w:rsidRPr="00231F76">
        <w:rPr>
          <w:rFonts w:ascii="Arial" w:hAnsi="Arial" w:cs="Arial"/>
          <w:lang w:val="es-CO"/>
        </w:rPr>
        <w:t xml:space="preserve">Nótese que, si bien es cierto la Juez A quo continuo con el trámite procesal dentro del proceso ejecutivo que se estudia, lo cierto es que solamente hasta el 27 de enero de 2022, la Sala de Decisión </w:t>
      </w:r>
      <w:proofErr w:type="spellStart"/>
      <w:r w:rsidRPr="00231F76">
        <w:rPr>
          <w:rFonts w:ascii="Arial" w:hAnsi="Arial" w:cs="Arial"/>
          <w:lang w:val="es-CO"/>
        </w:rPr>
        <w:t>N°</w:t>
      </w:r>
      <w:proofErr w:type="spellEnd"/>
      <w:r w:rsidRPr="00231F76">
        <w:rPr>
          <w:rFonts w:ascii="Arial" w:hAnsi="Arial" w:cs="Arial"/>
          <w:lang w:val="es-CO"/>
        </w:rPr>
        <w:t xml:space="preserve"> 6 desató el recurso de apelación que había sido interpuesto contra la decisión que ordenó seguir adelante la ejecución; decisión que dispuso modificar las sumas por las cuales se había librado el mandamiento ejecutivo por parte de la Juez de Instancia. </w:t>
      </w:r>
      <w:r w:rsidR="00231F76" w:rsidRPr="00231F76">
        <w:rPr>
          <w:rFonts w:ascii="Arial" w:hAnsi="Arial" w:cs="Arial"/>
          <w:lang w:val="es-CO"/>
        </w:rPr>
        <w:t xml:space="preserve"> </w:t>
      </w:r>
      <w:r w:rsidRPr="00231F76">
        <w:rPr>
          <w:rFonts w:ascii="Arial" w:hAnsi="Arial" w:cs="Arial"/>
          <w:lang w:val="es-CO"/>
        </w:rPr>
        <w:t>Es así que, al no encontrase en firme la decisión de seguir adelante la ejecución, no era procedente que la Juez A quo impartiera decisión alguna frente a la liquidación del crédito dentro de la actuación de la referencia siendo que lo procedente era esperar que la orden de seguir adelante con la ejecución cobrara ejecutoria, tal y como lo exige el numeral 1º del artículo 446 del C.G.P, por lo tanto, el Ponente, se abstendrá de emitir un pronunciamiento de fondo sobre el auto apelado.</w:t>
      </w:r>
      <w:r w:rsidR="00231F76" w:rsidRPr="00231F76">
        <w:rPr>
          <w:rFonts w:ascii="Arial" w:hAnsi="Arial" w:cs="Arial"/>
          <w:lang w:val="es-CO"/>
        </w:rPr>
        <w:t xml:space="preserve"> </w:t>
      </w:r>
      <w:r w:rsidRPr="00231F76">
        <w:rPr>
          <w:rFonts w:ascii="Arial" w:hAnsi="Arial" w:cs="Arial"/>
          <w:lang w:val="es-CO"/>
        </w:rPr>
        <w:t xml:space="preserve">Por tanto, se devolverá el expediente al Juzgado de Origen para que las partes se pronuncien sobre la liquidación del crédito atendiendo lo resuelto en providencia de fecha 27 de enero de 2022, proferida por la Sala de Decisión </w:t>
      </w:r>
      <w:proofErr w:type="spellStart"/>
      <w:r w:rsidRPr="00231F76">
        <w:rPr>
          <w:rFonts w:ascii="Arial" w:hAnsi="Arial" w:cs="Arial"/>
          <w:lang w:val="es-CO"/>
        </w:rPr>
        <w:t>N°</w:t>
      </w:r>
      <w:proofErr w:type="spellEnd"/>
      <w:r w:rsidRPr="00231F76">
        <w:rPr>
          <w:rFonts w:ascii="Arial" w:hAnsi="Arial" w:cs="Arial"/>
          <w:lang w:val="es-CO"/>
        </w:rPr>
        <w:t xml:space="preserve"> 6, por medio de la cual se desató el recurso de apelación contra la decisión que ordenó seguir adelante la ejecución. </w:t>
      </w:r>
    </w:p>
    <w:p w14:paraId="45DCF96C" w14:textId="77777777" w:rsidR="008A64CC" w:rsidRPr="00231F76" w:rsidRDefault="008A64CC" w:rsidP="00231F76">
      <w:pPr>
        <w:spacing w:after="0" w:line="240" w:lineRule="auto"/>
        <w:jc w:val="both"/>
        <w:outlineLvl w:val="4"/>
        <w:rPr>
          <w:rFonts w:ascii="Arial" w:hAnsi="Arial" w:cs="Arial"/>
          <w:b/>
          <w:bCs/>
          <w:iCs/>
          <w:sz w:val="24"/>
          <w:szCs w:val="24"/>
          <w:lang w:eastAsia="es-ES"/>
        </w:rPr>
      </w:pPr>
    </w:p>
    <w:p w14:paraId="64CFEF0D" w14:textId="7EAAD85C" w:rsidR="00DF28F0" w:rsidRPr="000638FC" w:rsidRDefault="00DF28F0" w:rsidP="00DF28F0">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0638FC">
        <w:rPr>
          <w:rFonts w:ascii="Arial" w:hAnsi="Arial" w:cs="Arial"/>
          <w:b/>
          <w:bCs/>
          <w:sz w:val="24"/>
          <w:szCs w:val="24"/>
          <w:lang w:val="es-CO"/>
        </w:rPr>
        <w:t>NOTA DE RELATORÍA:</w:t>
      </w:r>
      <w:r w:rsidRPr="000638FC">
        <w:rPr>
          <w:rFonts w:ascii="Arial" w:hAnsi="Arial" w:cs="Arial"/>
          <w:bCs/>
          <w:lang w:val="es-CO"/>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14:paraId="1812BD9C" w14:textId="77777777" w:rsidR="00DF28F0" w:rsidRDefault="00DF28F0" w:rsidP="00DF28F0"/>
    <w:tbl>
      <w:tblPr>
        <w:tblStyle w:val="Tablaconcuadrcula"/>
        <w:tblW w:w="0" w:type="auto"/>
        <w:tblLook w:val="04A0" w:firstRow="1" w:lastRow="0" w:firstColumn="1" w:lastColumn="0" w:noHBand="0" w:noVBand="1"/>
      </w:tblPr>
      <w:tblGrid>
        <w:gridCol w:w="8830"/>
      </w:tblGrid>
      <w:tr w:rsidR="00DF28F0" w14:paraId="14FD0318" w14:textId="77777777" w:rsidTr="005262AC">
        <w:tc>
          <w:tcPr>
            <w:tcW w:w="8828" w:type="dxa"/>
          </w:tcPr>
          <w:bookmarkEnd w:id="0"/>
          <w:p w14:paraId="4F7FF7ED" w14:textId="5A44D471" w:rsidR="00DF28F0" w:rsidRDefault="00DF28F0" w:rsidP="005262AC">
            <w:r>
              <w:fldChar w:fldCharType="begin"/>
            </w:r>
            <w:r>
              <w:instrText xml:space="preserve"> HYPERLINK "</w:instrText>
            </w:r>
            <w:r w:rsidRPr="00DF28F0">
              <w:instrText>https://samai.azurewebsites.net/Vistas/Casos/list_procesos.aspx?guid=150013333013201800129021500123</w:instrText>
            </w:r>
            <w:r>
              <w:instrText xml:space="preserve">" </w:instrText>
            </w:r>
            <w:r>
              <w:fldChar w:fldCharType="separate"/>
            </w:r>
            <w:r w:rsidRPr="00565727">
              <w:rPr>
                <w:rStyle w:val="Hipervnculo"/>
              </w:rPr>
              <w:t>https://samai.azurewebsites.net/Vistas/Casos/list_procesos.aspx?guid=150013333013201800129021500123</w:t>
            </w:r>
            <w:r>
              <w:fldChar w:fldCharType="end"/>
            </w:r>
          </w:p>
          <w:p w14:paraId="2200D520" w14:textId="3CE59B34" w:rsidR="00DF28F0" w:rsidRDefault="00DF28F0" w:rsidP="005262AC"/>
        </w:tc>
      </w:tr>
      <w:bookmarkEnd w:id="1"/>
      <w:bookmarkEnd w:id="2"/>
      <w:bookmarkEnd w:id="3"/>
      <w:bookmarkEnd w:id="4"/>
    </w:tbl>
    <w:p w14:paraId="76007769" w14:textId="77777777" w:rsidR="008A64CC" w:rsidRDefault="008A64CC" w:rsidP="00FA0DD4">
      <w:pPr>
        <w:spacing w:after="0" w:line="360" w:lineRule="auto"/>
        <w:jc w:val="both"/>
        <w:outlineLvl w:val="4"/>
        <w:rPr>
          <w:rFonts w:ascii="Verdana" w:hAnsi="Verdana" w:cs="Arial"/>
          <w:b/>
          <w:bCs/>
          <w:iCs/>
          <w:lang w:eastAsia="es-ES"/>
        </w:rPr>
      </w:pPr>
    </w:p>
    <w:p w14:paraId="68D2A39C" w14:textId="196C9799" w:rsidR="00FA0DD4" w:rsidRPr="00873ED1" w:rsidRDefault="00FA0DD4" w:rsidP="00FA0DD4">
      <w:pPr>
        <w:spacing w:after="0" w:line="360" w:lineRule="auto"/>
        <w:jc w:val="both"/>
        <w:outlineLvl w:val="4"/>
        <w:rPr>
          <w:rFonts w:ascii="Verdana" w:hAnsi="Verdana" w:cs="Arial"/>
          <w:b/>
          <w:bCs/>
          <w:iCs/>
          <w:lang w:eastAsia="es-ES"/>
        </w:rPr>
      </w:pPr>
      <w:r w:rsidRPr="00873ED1">
        <w:rPr>
          <w:rFonts w:ascii="Verdana" w:hAnsi="Verdana"/>
          <w:noProof/>
          <w:lang w:val="es-MX" w:eastAsia="es-MX"/>
        </w:rPr>
        <w:drawing>
          <wp:anchor distT="0" distB="0" distL="114300" distR="114300" simplePos="0" relativeHeight="251659264" behindDoc="0" locked="0" layoutInCell="1" allowOverlap="1" wp14:anchorId="6606642F" wp14:editId="1E3E571D">
            <wp:simplePos x="0" y="0"/>
            <wp:positionH relativeFrom="margin">
              <wp:align>center</wp:align>
            </wp:positionH>
            <wp:positionV relativeFrom="paragraph">
              <wp:posOffset>0</wp:posOffset>
            </wp:positionV>
            <wp:extent cx="704850" cy="663575"/>
            <wp:effectExtent l="0" t="0" r="0" b="3175"/>
            <wp:wrapSquare wrapText="right"/>
            <wp:docPr id="11" name="Imagen 3"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Rama_Judicial_3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663575"/>
                    </a:xfrm>
                    <a:prstGeom prst="rect">
                      <a:avLst/>
                    </a:prstGeom>
                    <a:noFill/>
                  </pic:spPr>
                </pic:pic>
              </a:graphicData>
            </a:graphic>
            <wp14:sizeRelH relativeFrom="page">
              <wp14:pctWidth>0</wp14:pctWidth>
            </wp14:sizeRelH>
            <wp14:sizeRelV relativeFrom="page">
              <wp14:pctHeight>0</wp14:pctHeight>
            </wp14:sizeRelV>
          </wp:anchor>
        </w:drawing>
      </w:r>
    </w:p>
    <w:p w14:paraId="73DB8630" w14:textId="77777777" w:rsidR="00FA0DD4" w:rsidRPr="00873ED1" w:rsidRDefault="00FA0DD4" w:rsidP="00FA0DD4">
      <w:pPr>
        <w:spacing w:after="0" w:line="360" w:lineRule="auto"/>
        <w:jc w:val="both"/>
        <w:outlineLvl w:val="4"/>
        <w:rPr>
          <w:rFonts w:ascii="Verdana" w:hAnsi="Verdana" w:cs="Arial"/>
          <w:b/>
          <w:bCs/>
          <w:iCs/>
          <w:lang w:eastAsia="es-ES"/>
        </w:rPr>
      </w:pPr>
      <w:bookmarkStart w:id="5" w:name="_GoBack"/>
    </w:p>
    <w:bookmarkEnd w:id="5"/>
    <w:p w14:paraId="47B7DC91" w14:textId="77777777" w:rsidR="00FA0DD4" w:rsidRPr="00873ED1" w:rsidRDefault="00FA0DD4" w:rsidP="00FA0DD4">
      <w:pPr>
        <w:spacing w:after="0" w:line="360" w:lineRule="auto"/>
        <w:jc w:val="both"/>
        <w:outlineLvl w:val="4"/>
        <w:rPr>
          <w:rFonts w:ascii="Verdana" w:hAnsi="Verdana" w:cs="Arial"/>
          <w:b/>
          <w:bCs/>
          <w:iCs/>
          <w:lang w:eastAsia="es-ES"/>
        </w:rPr>
      </w:pPr>
    </w:p>
    <w:p w14:paraId="73958DB3" w14:textId="77777777" w:rsidR="00FA0DD4" w:rsidRPr="00873ED1" w:rsidRDefault="00FA0DD4" w:rsidP="00FA0DD4">
      <w:pPr>
        <w:spacing w:after="0" w:line="360" w:lineRule="auto"/>
        <w:jc w:val="center"/>
        <w:outlineLvl w:val="4"/>
        <w:rPr>
          <w:rFonts w:ascii="Verdana" w:hAnsi="Verdana" w:cs="Arial"/>
          <w:b/>
          <w:bCs/>
          <w:iCs/>
          <w:lang w:eastAsia="es-ES"/>
        </w:rPr>
      </w:pPr>
      <w:r w:rsidRPr="00873ED1">
        <w:rPr>
          <w:rFonts w:ascii="Verdana" w:hAnsi="Verdana" w:cs="Arial"/>
          <w:b/>
          <w:bCs/>
          <w:iCs/>
          <w:lang w:eastAsia="es-ES"/>
        </w:rPr>
        <w:t>TRIBUNAL ADMINISTRATIVO DE BOYACA</w:t>
      </w:r>
    </w:p>
    <w:p w14:paraId="4B6A02DD" w14:textId="77777777" w:rsidR="00FA0DD4" w:rsidRPr="00873ED1" w:rsidRDefault="00FA0DD4" w:rsidP="00FA0DD4">
      <w:pPr>
        <w:spacing w:after="0" w:line="360" w:lineRule="auto"/>
        <w:jc w:val="center"/>
        <w:rPr>
          <w:rFonts w:ascii="Verdana" w:hAnsi="Verdana" w:cs="Microsoft Sans Serif"/>
          <w:b/>
        </w:rPr>
      </w:pPr>
      <w:r w:rsidRPr="00873ED1">
        <w:rPr>
          <w:rFonts w:ascii="Verdana" w:hAnsi="Verdana" w:cs="Microsoft Sans Serif"/>
          <w:b/>
        </w:rPr>
        <w:t>DESPACHO No. 4</w:t>
      </w:r>
    </w:p>
    <w:p w14:paraId="3CFCB56C" w14:textId="77777777" w:rsidR="00FA0DD4" w:rsidRPr="00873ED1" w:rsidRDefault="00FA0DD4" w:rsidP="00FA0DD4">
      <w:pPr>
        <w:spacing w:after="0" w:line="360" w:lineRule="auto"/>
        <w:jc w:val="center"/>
        <w:rPr>
          <w:rFonts w:ascii="Verdana" w:hAnsi="Verdana" w:cs="Arial"/>
          <w:b/>
          <w:lang w:val="es-MX" w:eastAsia="es-ES"/>
        </w:rPr>
      </w:pPr>
      <w:r w:rsidRPr="00873ED1">
        <w:rPr>
          <w:rFonts w:ascii="Verdana" w:hAnsi="Verdana" w:cs="Arial"/>
          <w:b/>
          <w:lang w:val="es-MX" w:eastAsia="es-ES"/>
        </w:rPr>
        <w:t>MAGISTRADO PONENTE: FELIX ALBERTO RODRÍGUEZ RIVEROS</w:t>
      </w:r>
    </w:p>
    <w:p w14:paraId="45C8C19B" w14:textId="77777777" w:rsidR="00FA0DD4" w:rsidRPr="00461700" w:rsidRDefault="00FA0DD4" w:rsidP="00FA0DD4">
      <w:pPr>
        <w:spacing w:after="0" w:line="360" w:lineRule="auto"/>
        <w:jc w:val="both"/>
        <w:rPr>
          <w:rFonts w:ascii="Verdana" w:hAnsi="Verdana" w:cs="Arial"/>
          <w:b/>
          <w:lang w:eastAsia="es-ES"/>
        </w:rPr>
      </w:pPr>
    </w:p>
    <w:p w14:paraId="41B83B30" w14:textId="1C922FA8" w:rsidR="00FA0DD4" w:rsidRPr="009F294A" w:rsidRDefault="00FA0DD4" w:rsidP="00FA0DD4">
      <w:pPr>
        <w:spacing w:after="0" w:line="360" w:lineRule="auto"/>
        <w:jc w:val="both"/>
        <w:rPr>
          <w:rFonts w:ascii="Verdana" w:hAnsi="Verdana" w:cs="Arial"/>
        </w:rPr>
      </w:pPr>
      <w:r w:rsidRPr="009F294A">
        <w:rPr>
          <w:rFonts w:ascii="Verdana" w:hAnsi="Verdana" w:cs="Arial"/>
          <w:lang w:eastAsia="es-ES"/>
        </w:rPr>
        <w:t>Tunja,</w:t>
      </w:r>
      <w:r>
        <w:rPr>
          <w:rFonts w:ascii="Verdana" w:hAnsi="Verdana" w:cs="Arial"/>
          <w:lang w:eastAsia="es-ES"/>
        </w:rPr>
        <w:t xml:space="preserve"> </w:t>
      </w:r>
      <w:r w:rsidR="00E120C8">
        <w:rPr>
          <w:rFonts w:ascii="Verdana" w:hAnsi="Verdana" w:cs="Arial"/>
          <w:lang w:eastAsia="es-ES"/>
        </w:rPr>
        <w:t>dieciséis</w:t>
      </w:r>
      <w:r>
        <w:rPr>
          <w:rFonts w:ascii="Verdana" w:hAnsi="Verdana" w:cs="Arial"/>
          <w:lang w:eastAsia="es-ES"/>
        </w:rPr>
        <w:t xml:space="preserve"> (</w:t>
      </w:r>
      <w:r w:rsidR="00E120C8">
        <w:rPr>
          <w:rFonts w:ascii="Verdana" w:hAnsi="Verdana" w:cs="Arial"/>
          <w:lang w:eastAsia="es-ES"/>
        </w:rPr>
        <w:t>16</w:t>
      </w:r>
      <w:r>
        <w:rPr>
          <w:rFonts w:ascii="Verdana" w:hAnsi="Verdana" w:cs="Arial"/>
          <w:lang w:eastAsia="es-ES"/>
        </w:rPr>
        <w:t xml:space="preserve">) de </w:t>
      </w:r>
      <w:r w:rsidR="00E120C8">
        <w:rPr>
          <w:rFonts w:ascii="Verdana" w:hAnsi="Verdana" w:cs="Arial"/>
          <w:lang w:eastAsia="es-ES"/>
        </w:rPr>
        <w:t>agosto</w:t>
      </w:r>
      <w:r>
        <w:rPr>
          <w:rFonts w:ascii="Verdana" w:hAnsi="Verdana" w:cs="Arial"/>
          <w:lang w:eastAsia="es-ES"/>
        </w:rPr>
        <w:t xml:space="preserve"> de dos mil veintidós (2022)</w:t>
      </w:r>
    </w:p>
    <w:p w14:paraId="53C37F25" w14:textId="77777777" w:rsidR="00FA0DD4" w:rsidRPr="009F294A" w:rsidRDefault="00FA0DD4" w:rsidP="00FA0DD4">
      <w:pPr>
        <w:spacing w:after="0" w:line="360" w:lineRule="auto"/>
        <w:ind w:left="708"/>
        <w:jc w:val="both"/>
        <w:rPr>
          <w:rFonts w:ascii="Verdana" w:hAnsi="Verdana" w:cs="Arial"/>
          <w:b/>
          <w:lang w:eastAsia="es-ES"/>
        </w:rPr>
      </w:pPr>
    </w:p>
    <w:p w14:paraId="0DF19F10" w14:textId="77777777" w:rsidR="00FA0DD4" w:rsidRPr="00AA1313" w:rsidRDefault="00FA0DD4" w:rsidP="00FA0DD4">
      <w:pPr>
        <w:tabs>
          <w:tab w:val="left" w:pos="0"/>
        </w:tabs>
        <w:spacing w:line="360" w:lineRule="auto"/>
        <w:jc w:val="both"/>
        <w:rPr>
          <w:rFonts w:ascii="Verdana" w:hAnsi="Verdana"/>
          <w:b/>
        </w:rPr>
      </w:pPr>
      <w:r>
        <w:rPr>
          <w:rFonts w:ascii="Verdana" w:hAnsi="Verdana"/>
          <w:b/>
        </w:rPr>
        <w:t xml:space="preserve">                  </w:t>
      </w:r>
      <w:r w:rsidRPr="00AA1313">
        <w:rPr>
          <w:rFonts w:ascii="Verdana" w:hAnsi="Verdana"/>
          <w:b/>
        </w:rPr>
        <w:t>REFERENCIA:   EJECUTIVO</w:t>
      </w:r>
    </w:p>
    <w:p w14:paraId="096FDC84" w14:textId="77777777" w:rsidR="00FA0DD4" w:rsidRPr="00AA1313" w:rsidRDefault="00FA0DD4" w:rsidP="00FA0DD4">
      <w:pPr>
        <w:tabs>
          <w:tab w:val="left" w:pos="0"/>
        </w:tabs>
        <w:spacing w:line="360" w:lineRule="auto"/>
        <w:jc w:val="both"/>
        <w:rPr>
          <w:rFonts w:ascii="Verdana" w:hAnsi="Verdana"/>
          <w:b/>
        </w:rPr>
      </w:pPr>
      <w:r w:rsidRPr="00AA1313">
        <w:rPr>
          <w:rFonts w:ascii="Verdana" w:hAnsi="Verdana"/>
          <w:b/>
        </w:rPr>
        <w:tab/>
      </w:r>
      <w:r w:rsidRPr="00AA1313">
        <w:rPr>
          <w:rFonts w:ascii="Verdana" w:hAnsi="Verdana"/>
          <w:b/>
        </w:rPr>
        <w:tab/>
        <w:t>DEMANDANTE: LUCILA ELSA CORTÉS DE PEÑA</w:t>
      </w:r>
    </w:p>
    <w:p w14:paraId="236B742B" w14:textId="77777777" w:rsidR="00FA0DD4" w:rsidRPr="00AA1313" w:rsidRDefault="00FA0DD4" w:rsidP="00FA0DD4">
      <w:pPr>
        <w:tabs>
          <w:tab w:val="left" w:pos="0"/>
        </w:tabs>
        <w:spacing w:line="360" w:lineRule="auto"/>
        <w:ind w:left="1416"/>
        <w:jc w:val="both"/>
        <w:rPr>
          <w:rFonts w:ascii="Verdana" w:hAnsi="Verdana"/>
          <w:b/>
        </w:rPr>
      </w:pPr>
      <w:r w:rsidRPr="00AA1313">
        <w:rPr>
          <w:rFonts w:ascii="Verdana" w:hAnsi="Verdana"/>
          <w:b/>
        </w:rPr>
        <w:t xml:space="preserve">DEMANDADOS: </w:t>
      </w:r>
      <w:r>
        <w:rPr>
          <w:rFonts w:ascii="Verdana" w:hAnsi="Verdana"/>
          <w:b/>
        </w:rPr>
        <w:t xml:space="preserve">UNIDAD ADMINISTRATIVA DE GESTION PENSIONAL Y CONTRIBUCIONES PARAFISCALES- </w:t>
      </w:r>
      <w:r w:rsidRPr="00AA1313">
        <w:rPr>
          <w:rFonts w:ascii="Verdana" w:hAnsi="Verdana"/>
          <w:b/>
        </w:rPr>
        <w:t xml:space="preserve">UGPP </w:t>
      </w:r>
    </w:p>
    <w:p w14:paraId="6C5462A5" w14:textId="77777777" w:rsidR="00FA0DD4" w:rsidRPr="00AA1313" w:rsidRDefault="00FA0DD4" w:rsidP="00FA0DD4">
      <w:pPr>
        <w:tabs>
          <w:tab w:val="left" w:pos="0"/>
        </w:tabs>
        <w:spacing w:line="360" w:lineRule="auto"/>
        <w:jc w:val="both"/>
        <w:rPr>
          <w:rFonts w:ascii="Verdana" w:hAnsi="Verdana"/>
          <w:b/>
        </w:rPr>
      </w:pPr>
      <w:r w:rsidRPr="00AA1313">
        <w:rPr>
          <w:rFonts w:ascii="Verdana" w:hAnsi="Verdana"/>
          <w:b/>
        </w:rPr>
        <w:lastRenderedPageBreak/>
        <w:tab/>
      </w:r>
      <w:r w:rsidRPr="00AA1313">
        <w:rPr>
          <w:rFonts w:ascii="Verdana" w:hAnsi="Verdana"/>
          <w:b/>
        </w:rPr>
        <w:tab/>
        <w:t xml:space="preserve">RADICADO: </w:t>
      </w:r>
      <w:bookmarkStart w:id="6" w:name="_Hlk117673923"/>
      <w:r w:rsidRPr="00AA1313">
        <w:rPr>
          <w:rFonts w:ascii="Verdana" w:hAnsi="Verdana"/>
          <w:b/>
        </w:rPr>
        <w:t>150013333013 201800129 0</w:t>
      </w:r>
      <w:r>
        <w:rPr>
          <w:rFonts w:ascii="Verdana" w:hAnsi="Verdana"/>
          <w:b/>
        </w:rPr>
        <w:t>2</w:t>
      </w:r>
      <w:r w:rsidRPr="00AA1313">
        <w:rPr>
          <w:rFonts w:ascii="Verdana" w:hAnsi="Verdana"/>
          <w:b/>
        </w:rPr>
        <w:t xml:space="preserve"> </w:t>
      </w:r>
      <w:bookmarkEnd w:id="6"/>
    </w:p>
    <w:p w14:paraId="7C5949A7" w14:textId="77777777" w:rsidR="00FA0DD4" w:rsidRPr="009A6ED5" w:rsidRDefault="00FA0DD4" w:rsidP="00FA0DD4">
      <w:pPr>
        <w:spacing w:after="0" w:line="360" w:lineRule="auto"/>
        <w:jc w:val="both"/>
        <w:rPr>
          <w:rFonts w:ascii="Verdana" w:eastAsia="Calibri" w:hAnsi="Verdana" w:cs="Arial"/>
          <w:sz w:val="24"/>
          <w:szCs w:val="24"/>
          <w:lang w:val="es-ES_tradnl" w:eastAsia="es-ES"/>
        </w:rPr>
      </w:pPr>
    </w:p>
    <w:p w14:paraId="086B734C" w14:textId="77777777" w:rsidR="00FA0DD4" w:rsidRPr="009A6ED5" w:rsidRDefault="00FA0DD4" w:rsidP="00FA0DD4">
      <w:pPr>
        <w:numPr>
          <w:ilvl w:val="0"/>
          <w:numId w:val="1"/>
        </w:numPr>
        <w:spacing w:after="0" w:line="360" w:lineRule="auto"/>
        <w:jc w:val="center"/>
        <w:rPr>
          <w:rFonts w:ascii="Verdana" w:hAnsi="Verdana" w:cs="Arial"/>
          <w:b/>
          <w:sz w:val="24"/>
          <w:szCs w:val="24"/>
        </w:rPr>
      </w:pPr>
      <w:r w:rsidRPr="009A6ED5">
        <w:rPr>
          <w:rFonts w:ascii="Verdana" w:hAnsi="Verdana" w:cs="Arial"/>
          <w:b/>
          <w:sz w:val="24"/>
          <w:szCs w:val="24"/>
        </w:rPr>
        <w:t>ASUNTO A RESOLVER</w:t>
      </w:r>
    </w:p>
    <w:p w14:paraId="1D32E62E" w14:textId="77777777" w:rsidR="00FA0DD4" w:rsidRPr="009A6ED5" w:rsidRDefault="00FA0DD4" w:rsidP="00FA0DD4">
      <w:pPr>
        <w:pStyle w:val="Default"/>
        <w:spacing w:line="360" w:lineRule="auto"/>
        <w:ind w:left="360"/>
        <w:jc w:val="both"/>
        <w:rPr>
          <w:rFonts w:ascii="Verdana" w:hAnsi="Verdana"/>
        </w:rPr>
      </w:pPr>
    </w:p>
    <w:p w14:paraId="44B535B2" w14:textId="77777777" w:rsidR="00FA0DD4" w:rsidRPr="009A6ED5" w:rsidRDefault="00FA0DD4" w:rsidP="00FA0DD4">
      <w:pPr>
        <w:spacing w:after="0" w:line="360" w:lineRule="auto"/>
        <w:ind w:left="20" w:right="20"/>
        <w:jc w:val="both"/>
        <w:rPr>
          <w:rFonts w:ascii="Verdana" w:hAnsi="Verdana"/>
          <w:sz w:val="24"/>
          <w:szCs w:val="24"/>
        </w:rPr>
      </w:pPr>
      <w:r w:rsidRPr="009A6ED5">
        <w:rPr>
          <w:rFonts w:ascii="Verdana" w:hAnsi="Verdana"/>
          <w:sz w:val="24"/>
          <w:szCs w:val="24"/>
        </w:rPr>
        <w:t xml:space="preserve">Procede el Despacho a resolver el recurso de apelación interpuesto por la UGPP contra el auto de </w:t>
      </w:r>
      <w:bookmarkStart w:id="7" w:name="_Hlk57739034"/>
      <w:r w:rsidRPr="009A6ED5">
        <w:rPr>
          <w:rFonts w:ascii="Verdana" w:hAnsi="Verdana"/>
          <w:sz w:val="24"/>
          <w:szCs w:val="24"/>
        </w:rPr>
        <w:t>10 de junio de 2021, proferido por el Juzgado Trece Administrativo Oral del Circuito Judicial de Tunja, a través del cual modificó la liquidación del crédito presentada por la parte ejecutante</w:t>
      </w:r>
      <w:bookmarkEnd w:id="7"/>
      <w:r w:rsidRPr="009A6ED5">
        <w:rPr>
          <w:rFonts w:ascii="Verdana" w:hAnsi="Verdana"/>
          <w:sz w:val="24"/>
          <w:szCs w:val="24"/>
        </w:rPr>
        <w:t>.</w:t>
      </w:r>
    </w:p>
    <w:p w14:paraId="76D9D656" w14:textId="77777777" w:rsidR="00FA0DD4" w:rsidRPr="009A6ED5" w:rsidRDefault="00FA0DD4" w:rsidP="00FA0DD4">
      <w:pPr>
        <w:spacing w:after="0" w:line="360" w:lineRule="auto"/>
        <w:jc w:val="both"/>
        <w:rPr>
          <w:rFonts w:ascii="Verdana" w:eastAsia="MS Mincho" w:hAnsi="Verdana" w:cs="Arial"/>
          <w:sz w:val="24"/>
          <w:szCs w:val="24"/>
          <w:lang w:val="es-ES_tradnl" w:eastAsia="es-ES"/>
        </w:rPr>
      </w:pPr>
    </w:p>
    <w:p w14:paraId="1E0097EE" w14:textId="77777777" w:rsidR="00FA0DD4" w:rsidRPr="009A6ED5" w:rsidRDefault="00FA0DD4" w:rsidP="00FA0DD4">
      <w:pPr>
        <w:numPr>
          <w:ilvl w:val="0"/>
          <w:numId w:val="1"/>
        </w:numPr>
        <w:spacing w:after="0" w:line="360" w:lineRule="auto"/>
        <w:jc w:val="center"/>
        <w:rPr>
          <w:rFonts w:ascii="Verdana" w:eastAsia="MS Mincho" w:hAnsi="Verdana" w:cs="Tahoma"/>
          <w:b/>
          <w:sz w:val="24"/>
          <w:szCs w:val="24"/>
          <w:lang w:val="es-ES_tradnl" w:eastAsia="es-ES"/>
        </w:rPr>
      </w:pPr>
      <w:r w:rsidRPr="009A6ED5">
        <w:rPr>
          <w:rFonts w:ascii="Verdana" w:eastAsia="MS Mincho" w:hAnsi="Verdana" w:cs="Tahoma"/>
          <w:b/>
          <w:sz w:val="24"/>
          <w:szCs w:val="24"/>
          <w:lang w:val="es-ES_tradnl" w:eastAsia="es-ES"/>
        </w:rPr>
        <w:t xml:space="preserve"> ANTECEDENTES</w:t>
      </w:r>
    </w:p>
    <w:p w14:paraId="17D15483" w14:textId="77777777" w:rsidR="00FA0DD4" w:rsidRPr="009A6ED5" w:rsidRDefault="00FA0DD4" w:rsidP="00FA0DD4">
      <w:pPr>
        <w:spacing w:after="0" w:line="360" w:lineRule="auto"/>
        <w:rPr>
          <w:rFonts w:ascii="Verdana" w:eastAsia="MS Mincho" w:hAnsi="Verdana" w:cs="Tahoma"/>
          <w:b/>
          <w:sz w:val="24"/>
          <w:szCs w:val="24"/>
          <w:lang w:val="es-ES_tradnl" w:eastAsia="es-ES"/>
        </w:rPr>
      </w:pPr>
    </w:p>
    <w:p w14:paraId="54A3F144" w14:textId="77777777" w:rsidR="00FA0DD4" w:rsidRPr="009A6ED5" w:rsidRDefault="00FA0DD4" w:rsidP="00FA0DD4">
      <w:pPr>
        <w:numPr>
          <w:ilvl w:val="1"/>
          <w:numId w:val="1"/>
        </w:numPr>
        <w:spacing w:after="0" w:line="360" w:lineRule="auto"/>
        <w:rPr>
          <w:rFonts w:ascii="Verdana" w:eastAsia="MS Mincho" w:hAnsi="Verdana" w:cs="Tahoma"/>
          <w:b/>
          <w:sz w:val="24"/>
          <w:szCs w:val="24"/>
          <w:lang w:val="es-ES_tradnl" w:eastAsia="es-ES"/>
        </w:rPr>
      </w:pPr>
      <w:r w:rsidRPr="009A6ED5">
        <w:rPr>
          <w:rFonts w:ascii="Verdana" w:eastAsia="MS Mincho" w:hAnsi="Verdana" w:cs="Tahoma"/>
          <w:b/>
          <w:sz w:val="24"/>
          <w:szCs w:val="24"/>
          <w:lang w:val="es-ES_tradnl" w:eastAsia="es-ES"/>
        </w:rPr>
        <w:t xml:space="preserve">De la demanda ejecutiva: </w:t>
      </w:r>
    </w:p>
    <w:p w14:paraId="306BA914" w14:textId="77777777" w:rsidR="00FA0DD4" w:rsidRPr="009A6ED5" w:rsidRDefault="00FA0DD4" w:rsidP="00FA0DD4">
      <w:pPr>
        <w:spacing w:after="0" w:line="360" w:lineRule="auto"/>
        <w:ind w:right="-91"/>
        <w:jc w:val="both"/>
        <w:rPr>
          <w:rFonts w:ascii="Verdana" w:eastAsia="MS Mincho" w:hAnsi="Verdana"/>
          <w:sz w:val="24"/>
          <w:szCs w:val="24"/>
          <w:lang w:val="es-ES_tradnl" w:eastAsia="es-ES"/>
        </w:rPr>
      </w:pPr>
    </w:p>
    <w:p w14:paraId="2D4222E8" w14:textId="77777777" w:rsidR="00FA0DD4" w:rsidRPr="009A6ED5" w:rsidRDefault="00FA0DD4" w:rsidP="00FA0DD4">
      <w:pPr>
        <w:spacing w:after="0" w:line="360" w:lineRule="auto"/>
        <w:ind w:left="20" w:right="20"/>
        <w:jc w:val="both"/>
        <w:rPr>
          <w:rFonts w:ascii="Verdana" w:hAnsi="Verdana"/>
          <w:sz w:val="24"/>
          <w:szCs w:val="24"/>
        </w:rPr>
      </w:pPr>
      <w:r w:rsidRPr="009A6ED5">
        <w:rPr>
          <w:rFonts w:ascii="Verdana" w:hAnsi="Verdana"/>
          <w:sz w:val="24"/>
          <w:szCs w:val="24"/>
        </w:rPr>
        <w:t>La señora LUCILA ELSA CÓRTES DE PEÑA a través de apoderada judicial interpuso demanda ejecutiva en contra de la UNIDAD ADMINISTRATIVA ESPECIAL DE GESTIÓN PENSIONAL Y CONTRIBUCIONES PARAFISCALES DE LA PROTECCION SOCIAL – UGPP-, con el propósito de que se librara mandamiento de pago por las sumas correspondientes al cumplimiento de la sentencia proferida el 30 de septiembre de 2014 por el Juzgado Primero Administrativo de Descongestión del Circuito Judicial de Tunja adicionada mediante sentencia del 10 de diciembre de 2015 proferida por el Tribunal Administrativo de Boyacá (</w:t>
      </w:r>
      <w:proofErr w:type="spellStart"/>
      <w:r w:rsidRPr="009A6ED5">
        <w:rPr>
          <w:rFonts w:ascii="Verdana" w:hAnsi="Verdana"/>
          <w:sz w:val="24"/>
          <w:szCs w:val="24"/>
        </w:rPr>
        <w:t>fl</w:t>
      </w:r>
      <w:proofErr w:type="spellEnd"/>
      <w:r w:rsidRPr="009A6ED5">
        <w:rPr>
          <w:rFonts w:ascii="Verdana" w:hAnsi="Verdana"/>
          <w:sz w:val="24"/>
          <w:szCs w:val="24"/>
        </w:rPr>
        <w:t xml:space="preserve">. 7-16 y 18-38). </w:t>
      </w:r>
    </w:p>
    <w:p w14:paraId="5D41F26D" w14:textId="77777777" w:rsidR="00FA0DD4" w:rsidRPr="00873ED1" w:rsidRDefault="00FA0DD4" w:rsidP="00FA0DD4">
      <w:pPr>
        <w:spacing w:after="0" w:line="360" w:lineRule="auto"/>
        <w:ind w:right="-91"/>
        <w:jc w:val="both"/>
        <w:rPr>
          <w:rFonts w:ascii="Verdana" w:eastAsia="MS Mincho" w:hAnsi="Verdana"/>
          <w:lang w:val="es-ES_tradnl" w:eastAsia="es-ES"/>
        </w:rPr>
      </w:pPr>
    </w:p>
    <w:p w14:paraId="45FE18C3" w14:textId="77777777" w:rsidR="003E6381" w:rsidRPr="009A6ED5" w:rsidRDefault="00FA0DD4" w:rsidP="00FA0DD4">
      <w:pPr>
        <w:spacing w:after="0" w:line="360" w:lineRule="auto"/>
        <w:ind w:right="-91" w:firstLine="3"/>
        <w:jc w:val="both"/>
        <w:rPr>
          <w:rFonts w:ascii="Verdana" w:eastAsia="MS Mincho" w:hAnsi="Verdana"/>
          <w:sz w:val="24"/>
          <w:szCs w:val="24"/>
          <w:lang w:val="es-ES_tradnl" w:eastAsia="es-ES"/>
        </w:rPr>
      </w:pPr>
      <w:r w:rsidRPr="009A6ED5">
        <w:rPr>
          <w:rFonts w:ascii="Verdana" w:eastAsia="MS Mincho" w:hAnsi="Verdana"/>
          <w:sz w:val="24"/>
          <w:szCs w:val="24"/>
          <w:lang w:val="es-ES_tradnl" w:eastAsia="es-ES"/>
        </w:rPr>
        <w:t xml:space="preserve">Como título ejecutivo allegó la sentencia proferida dentro de la acción de nulidad y restablecimiento del derecho No. 15001333100420120006200 por el Juzgado 1º Administrativo de Descongestión de Tunja fechada el </w:t>
      </w:r>
      <w:r w:rsidR="003E6381" w:rsidRPr="009A6ED5">
        <w:rPr>
          <w:rFonts w:ascii="Verdana" w:eastAsia="MS Mincho" w:hAnsi="Verdana"/>
          <w:sz w:val="24"/>
          <w:szCs w:val="24"/>
          <w:lang w:val="es-ES_tradnl" w:eastAsia="es-ES"/>
        </w:rPr>
        <w:t>30 de septiembre de 2014</w:t>
      </w:r>
      <w:r w:rsidRPr="009A6ED5">
        <w:rPr>
          <w:rFonts w:ascii="Verdana" w:eastAsia="MS Mincho" w:hAnsi="Verdana"/>
          <w:sz w:val="24"/>
          <w:szCs w:val="24"/>
          <w:lang w:val="es-ES_tradnl" w:eastAsia="es-ES"/>
        </w:rPr>
        <w:t xml:space="preserve"> (</w:t>
      </w:r>
      <w:proofErr w:type="spellStart"/>
      <w:r w:rsidRPr="009A6ED5">
        <w:rPr>
          <w:rFonts w:ascii="Verdana" w:eastAsia="MS Mincho" w:hAnsi="Verdana"/>
          <w:sz w:val="24"/>
          <w:szCs w:val="24"/>
          <w:lang w:val="es-ES_tradnl" w:eastAsia="es-ES"/>
        </w:rPr>
        <w:t>fl</w:t>
      </w:r>
      <w:proofErr w:type="spellEnd"/>
      <w:r w:rsidRPr="009A6ED5">
        <w:rPr>
          <w:rFonts w:ascii="Verdana" w:eastAsia="MS Mincho" w:hAnsi="Verdana"/>
          <w:sz w:val="24"/>
          <w:szCs w:val="24"/>
          <w:lang w:val="es-ES_tradnl" w:eastAsia="es-ES"/>
        </w:rPr>
        <w:t xml:space="preserve">. </w:t>
      </w:r>
      <w:r w:rsidR="003E6381" w:rsidRPr="009A6ED5">
        <w:rPr>
          <w:rFonts w:ascii="Verdana" w:eastAsia="MS Mincho" w:hAnsi="Verdana"/>
          <w:sz w:val="24"/>
          <w:szCs w:val="24"/>
          <w:lang w:val="es-ES_tradnl" w:eastAsia="es-ES"/>
        </w:rPr>
        <w:t>61-79</w:t>
      </w:r>
      <w:r w:rsidRPr="009A6ED5">
        <w:rPr>
          <w:rFonts w:ascii="Verdana" w:eastAsia="MS Mincho" w:hAnsi="Verdana"/>
          <w:sz w:val="24"/>
          <w:szCs w:val="24"/>
          <w:lang w:val="es-ES_tradnl" w:eastAsia="es-ES"/>
        </w:rPr>
        <w:t xml:space="preserve">), por medio de la cual se resolvió declarar la nulidad de la Resolución No. </w:t>
      </w:r>
      <w:r w:rsidR="003E6381" w:rsidRPr="009A6ED5">
        <w:rPr>
          <w:rFonts w:ascii="Verdana" w:eastAsia="MS Mincho" w:hAnsi="Verdana"/>
          <w:sz w:val="24"/>
          <w:szCs w:val="24"/>
          <w:lang w:val="es-ES_tradnl" w:eastAsia="es-ES"/>
        </w:rPr>
        <w:t>UGM 014860 del 24 de octubre de 2011</w:t>
      </w:r>
      <w:r w:rsidRPr="009A6ED5">
        <w:rPr>
          <w:rFonts w:ascii="Verdana" w:eastAsia="MS Mincho" w:hAnsi="Verdana"/>
          <w:sz w:val="24"/>
          <w:szCs w:val="24"/>
          <w:lang w:val="es-ES_tradnl" w:eastAsia="es-ES"/>
        </w:rPr>
        <w:t xml:space="preserve"> y ordenó reliquidar la pensión de jubilación de la actora incluyendo la</w:t>
      </w:r>
      <w:r w:rsidR="003E6381" w:rsidRPr="009A6ED5">
        <w:rPr>
          <w:rFonts w:ascii="Verdana" w:eastAsia="MS Mincho" w:hAnsi="Verdana"/>
          <w:sz w:val="24"/>
          <w:szCs w:val="24"/>
          <w:lang w:val="es-ES_tradnl" w:eastAsia="es-ES"/>
        </w:rPr>
        <w:t xml:space="preserve"> asignación básica, bonificación por servicios, prima de servicios, prima de vacaciones y prima de navidad.</w:t>
      </w:r>
    </w:p>
    <w:p w14:paraId="4008D086" w14:textId="77777777" w:rsidR="003E6381" w:rsidRPr="009A6ED5" w:rsidRDefault="003E6381" w:rsidP="00FA0DD4">
      <w:pPr>
        <w:spacing w:after="0" w:line="360" w:lineRule="auto"/>
        <w:ind w:right="-91" w:firstLine="3"/>
        <w:jc w:val="both"/>
        <w:rPr>
          <w:rFonts w:ascii="Verdana" w:eastAsia="MS Mincho" w:hAnsi="Verdana"/>
          <w:sz w:val="24"/>
          <w:szCs w:val="24"/>
          <w:lang w:val="es-ES_tradnl" w:eastAsia="es-ES"/>
        </w:rPr>
      </w:pPr>
    </w:p>
    <w:p w14:paraId="2D347CCC" w14:textId="2FD8B539" w:rsidR="00FA0DD4" w:rsidRPr="009A6ED5" w:rsidRDefault="00FA0DD4" w:rsidP="71886034">
      <w:pPr>
        <w:spacing w:after="0" w:line="360" w:lineRule="auto"/>
        <w:ind w:right="-91" w:firstLine="3"/>
        <w:jc w:val="both"/>
        <w:rPr>
          <w:rFonts w:ascii="Verdana" w:eastAsia="MS Mincho" w:hAnsi="Verdana"/>
          <w:sz w:val="24"/>
          <w:szCs w:val="24"/>
          <w:lang w:eastAsia="es-ES"/>
        </w:rPr>
      </w:pPr>
      <w:r w:rsidRPr="71886034">
        <w:rPr>
          <w:rFonts w:ascii="Verdana" w:eastAsia="MS Mincho" w:hAnsi="Verdana"/>
          <w:sz w:val="24"/>
          <w:szCs w:val="24"/>
          <w:lang w:eastAsia="es-ES"/>
        </w:rPr>
        <w:t xml:space="preserve"> </w:t>
      </w:r>
      <w:r w:rsidR="00252952" w:rsidRPr="71886034">
        <w:rPr>
          <w:rFonts w:ascii="Verdana" w:eastAsia="MS Mincho" w:hAnsi="Verdana"/>
          <w:sz w:val="24"/>
          <w:szCs w:val="24"/>
          <w:lang w:eastAsia="es-ES"/>
        </w:rPr>
        <w:t>Así</w:t>
      </w:r>
      <w:r w:rsidR="003E6381" w:rsidRPr="71886034">
        <w:rPr>
          <w:rFonts w:ascii="Verdana" w:eastAsia="MS Mincho" w:hAnsi="Verdana"/>
          <w:sz w:val="24"/>
          <w:szCs w:val="24"/>
          <w:lang w:eastAsia="es-ES"/>
        </w:rPr>
        <w:t xml:space="preserve"> mismo, allegó la sentencia de fecha 10 de diciembre de </w:t>
      </w:r>
      <w:r w:rsidR="00A60ACD" w:rsidRPr="71886034">
        <w:rPr>
          <w:rFonts w:ascii="Verdana" w:eastAsia="MS Mincho" w:hAnsi="Verdana"/>
          <w:sz w:val="24"/>
          <w:szCs w:val="24"/>
          <w:lang w:eastAsia="es-ES"/>
        </w:rPr>
        <w:t>2015</w:t>
      </w:r>
      <w:r w:rsidR="00252952" w:rsidRPr="71886034">
        <w:rPr>
          <w:rFonts w:ascii="Verdana" w:eastAsia="MS Mincho" w:hAnsi="Verdana"/>
          <w:sz w:val="24"/>
          <w:szCs w:val="24"/>
          <w:lang w:eastAsia="es-ES"/>
        </w:rPr>
        <w:t>, proferida por el Tribunal Administrativo de Boyacá, por</w:t>
      </w:r>
      <w:r w:rsidR="00FD1776" w:rsidRPr="71886034">
        <w:rPr>
          <w:rFonts w:ascii="Verdana" w:eastAsia="MS Mincho" w:hAnsi="Verdana"/>
          <w:sz w:val="24"/>
          <w:szCs w:val="24"/>
          <w:lang w:eastAsia="es-ES"/>
        </w:rPr>
        <w:t xml:space="preserve"> medio</w:t>
      </w:r>
      <w:r w:rsidR="00252952" w:rsidRPr="71886034">
        <w:rPr>
          <w:rFonts w:ascii="Verdana" w:eastAsia="MS Mincho" w:hAnsi="Verdana"/>
          <w:sz w:val="24"/>
          <w:szCs w:val="24"/>
          <w:lang w:eastAsia="es-ES"/>
        </w:rPr>
        <w:t xml:space="preserve"> de la cual</w:t>
      </w:r>
      <w:r w:rsidR="00FD1776" w:rsidRPr="71886034">
        <w:rPr>
          <w:rFonts w:ascii="Verdana" w:eastAsia="MS Mincho" w:hAnsi="Verdana"/>
          <w:sz w:val="24"/>
          <w:szCs w:val="24"/>
          <w:lang w:eastAsia="es-ES"/>
        </w:rPr>
        <w:t xml:space="preserve"> </w:t>
      </w:r>
      <w:r w:rsidR="00A60ACD" w:rsidRPr="71886034">
        <w:rPr>
          <w:rFonts w:ascii="Verdana" w:eastAsia="MS Mincho" w:hAnsi="Verdana"/>
          <w:sz w:val="24"/>
          <w:szCs w:val="24"/>
          <w:lang w:eastAsia="es-ES"/>
        </w:rPr>
        <w:lastRenderedPageBreak/>
        <w:t>se adicionó la sentencia de primera instancia</w:t>
      </w:r>
      <w:r w:rsidR="00E46BC2" w:rsidRPr="71886034">
        <w:rPr>
          <w:rFonts w:ascii="Verdana" w:eastAsia="MS Mincho" w:hAnsi="Verdana"/>
          <w:sz w:val="24"/>
          <w:szCs w:val="24"/>
          <w:lang w:eastAsia="es-ES"/>
        </w:rPr>
        <w:t xml:space="preserve">, junto con la constancia de ejecutoria de la misma. (anexo 1 </w:t>
      </w:r>
      <w:proofErr w:type="spellStart"/>
      <w:r w:rsidR="00E46BC2" w:rsidRPr="71886034">
        <w:rPr>
          <w:rFonts w:ascii="Verdana" w:eastAsia="MS Mincho" w:hAnsi="Verdana"/>
          <w:sz w:val="24"/>
          <w:szCs w:val="24"/>
          <w:lang w:eastAsia="es-ES"/>
        </w:rPr>
        <w:t>fl</w:t>
      </w:r>
      <w:proofErr w:type="spellEnd"/>
      <w:r w:rsidR="00E46BC2" w:rsidRPr="71886034">
        <w:rPr>
          <w:rFonts w:ascii="Verdana" w:eastAsia="MS Mincho" w:hAnsi="Verdana"/>
          <w:sz w:val="24"/>
          <w:szCs w:val="24"/>
          <w:lang w:eastAsia="es-ES"/>
        </w:rPr>
        <w:t>. 41)</w:t>
      </w:r>
    </w:p>
    <w:p w14:paraId="51A468F6" w14:textId="77777777" w:rsidR="00FA0DD4" w:rsidRPr="009A6ED5" w:rsidRDefault="00FA0DD4" w:rsidP="00FA0DD4">
      <w:pPr>
        <w:spacing w:after="0" w:line="360" w:lineRule="auto"/>
        <w:rPr>
          <w:rFonts w:ascii="Verdana" w:eastAsia="MS Mincho" w:hAnsi="Verdana" w:cs="Tahoma"/>
          <w:sz w:val="24"/>
          <w:szCs w:val="24"/>
          <w:lang w:val="es-ES_tradnl" w:eastAsia="es-ES"/>
        </w:rPr>
      </w:pPr>
    </w:p>
    <w:p w14:paraId="2B5B90D1" w14:textId="77777777" w:rsidR="00FA0DD4" w:rsidRPr="009A6ED5" w:rsidRDefault="00FA0DD4" w:rsidP="00FA0DD4">
      <w:pPr>
        <w:spacing w:after="0" w:line="360" w:lineRule="auto"/>
        <w:jc w:val="both"/>
        <w:rPr>
          <w:rFonts w:ascii="Verdana" w:eastAsia="MS Mincho" w:hAnsi="Verdana" w:cs="Tahoma"/>
          <w:sz w:val="24"/>
          <w:szCs w:val="24"/>
          <w:lang w:val="es-ES_tradnl" w:eastAsia="es-ES"/>
        </w:rPr>
      </w:pPr>
      <w:r w:rsidRPr="009A6ED5">
        <w:rPr>
          <w:rFonts w:ascii="Verdana" w:eastAsia="MS Mincho" w:hAnsi="Verdana" w:cs="Tahoma"/>
          <w:sz w:val="24"/>
          <w:szCs w:val="24"/>
          <w:lang w:val="es-ES_tradnl" w:eastAsia="es-ES"/>
        </w:rPr>
        <w:t xml:space="preserve">Afirmó que efectuó la solicitud de cumplimiento del fallo el </w:t>
      </w:r>
      <w:r w:rsidR="00E46BC2" w:rsidRPr="009A6ED5">
        <w:rPr>
          <w:rFonts w:ascii="Verdana" w:eastAsia="MS Mincho" w:hAnsi="Verdana" w:cs="Tahoma"/>
          <w:sz w:val="24"/>
          <w:szCs w:val="24"/>
          <w:lang w:val="es-ES_tradnl" w:eastAsia="es-ES"/>
        </w:rPr>
        <w:t>05 de julio de 2016</w:t>
      </w:r>
      <w:r w:rsidRPr="009A6ED5">
        <w:rPr>
          <w:rFonts w:ascii="Verdana" w:eastAsia="MS Mincho" w:hAnsi="Verdana" w:cs="Tahoma"/>
          <w:sz w:val="24"/>
          <w:szCs w:val="24"/>
          <w:lang w:val="es-ES_tradnl" w:eastAsia="es-ES"/>
        </w:rPr>
        <w:t xml:space="preserve"> y mediante Resolución No.</w:t>
      </w:r>
      <w:r w:rsidR="00E46BC2" w:rsidRPr="009A6ED5">
        <w:rPr>
          <w:rFonts w:ascii="Verdana" w:eastAsia="MS Mincho" w:hAnsi="Verdana" w:cs="Tahoma"/>
          <w:sz w:val="24"/>
          <w:szCs w:val="24"/>
          <w:lang w:val="es-ES_tradnl" w:eastAsia="es-ES"/>
        </w:rPr>
        <w:t xml:space="preserve"> RDP 039790 de fecha 21 de octubre de 2016</w:t>
      </w:r>
      <w:r w:rsidRPr="009A6ED5">
        <w:rPr>
          <w:rFonts w:ascii="Verdana" w:eastAsia="MS Mincho" w:hAnsi="Verdana" w:cs="Tahoma"/>
          <w:sz w:val="24"/>
          <w:szCs w:val="24"/>
          <w:lang w:val="es-ES_tradnl" w:eastAsia="es-ES"/>
        </w:rPr>
        <w:t xml:space="preserve"> le fue reconocida la suma de $</w:t>
      </w:r>
      <w:r w:rsidR="00E46BC2" w:rsidRPr="009A6ED5">
        <w:rPr>
          <w:rFonts w:ascii="Verdana" w:eastAsia="MS Mincho" w:hAnsi="Verdana" w:cs="Tahoma"/>
          <w:sz w:val="24"/>
          <w:szCs w:val="24"/>
          <w:lang w:val="es-ES_tradnl" w:eastAsia="es-ES"/>
        </w:rPr>
        <w:t>40.036.660</w:t>
      </w:r>
      <w:r w:rsidRPr="009A6ED5">
        <w:rPr>
          <w:rFonts w:ascii="Verdana" w:eastAsia="MS Mincho" w:hAnsi="Verdana" w:cs="Tahoma"/>
          <w:sz w:val="24"/>
          <w:szCs w:val="24"/>
          <w:lang w:val="es-ES_tradnl" w:eastAsia="es-ES"/>
        </w:rPr>
        <w:t xml:space="preserve"> por concepto de mesadas atrasadas, intereses moratorios e indexación, la cual le pagaron con la nómina de pensionados en </w:t>
      </w:r>
      <w:r w:rsidR="00E46BC2" w:rsidRPr="009A6ED5">
        <w:rPr>
          <w:rFonts w:ascii="Verdana" w:eastAsia="MS Mincho" w:hAnsi="Verdana" w:cs="Tahoma"/>
          <w:sz w:val="24"/>
          <w:szCs w:val="24"/>
          <w:lang w:val="es-ES_tradnl" w:eastAsia="es-ES"/>
        </w:rPr>
        <w:t>diciembre de 2016</w:t>
      </w:r>
      <w:r w:rsidRPr="009A6ED5">
        <w:rPr>
          <w:rFonts w:ascii="Verdana" w:eastAsia="MS Mincho" w:hAnsi="Verdana" w:cs="Tahoma"/>
          <w:sz w:val="24"/>
          <w:szCs w:val="24"/>
          <w:lang w:val="es-ES_tradnl" w:eastAsia="es-ES"/>
        </w:rPr>
        <w:t xml:space="preserve">. </w:t>
      </w:r>
    </w:p>
    <w:p w14:paraId="72CF6788" w14:textId="77777777" w:rsidR="00FA0DD4" w:rsidRPr="009A6ED5" w:rsidRDefault="00FA0DD4" w:rsidP="00FA0DD4">
      <w:pPr>
        <w:spacing w:after="0" w:line="360" w:lineRule="auto"/>
        <w:jc w:val="both"/>
        <w:rPr>
          <w:rFonts w:ascii="Verdana" w:eastAsia="MS Mincho" w:hAnsi="Verdana" w:cs="Tahoma"/>
          <w:sz w:val="24"/>
          <w:szCs w:val="24"/>
          <w:lang w:val="es-ES_tradnl" w:eastAsia="es-ES"/>
        </w:rPr>
      </w:pPr>
    </w:p>
    <w:p w14:paraId="19C3C2CC" w14:textId="77777777" w:rsidR="00FA0DD4" w:rsidRPr="009A6ED5" w:rsidRDefault="00FA0DD4" w:rsidP="00FA0DD4">
      <w:pPr>
        <w:spacing w:after="0" w:line="360" w:lineRule="auto"/>
        <w:jc w:val="both"/>
        <w:rPr>
          <w:rFonts w:ascii="Verdana" w:eastAsia="MS Mincho" w:hAnsi="Verdana" w:cs="Tahoma"/>
          <w:sz w:val="24"/>
          <w:szCs w:val="24"/>
          <w:lang w:val="es-ES_tradnl" w:eastAsia="es-ES"/>
        </w:rPr>
      </w:pPr>
      <w:r w:rsidRPr="009A6ED5">
        <w:rPr>
          <w:rFonts w:ascii="Verdana" w:eastAsia="MS Mincho" w:hAnsi="Verdana" w:cs="Tahoma"/>
          <w:sz w:val="24"/>
          <w:szCs w:val="24"/>
          <w:lang w:val="es-ES_tradnl" w:eastAsia="es-ES"/>
        </w:rPr>
        <w:t xml:space="preserve">Sin embargo, consideró que dicho reconocimiento no acogió estrictamente lo ordenado en la sentencia, por lo que solicitó la ejecución de la misma (sic). </w:t>
      </w:r>
    </w:p>
    <w:p w14:paraId="0614BF4A" w14:textId="77777777" w:rsidR="00FA0DD4" w:rsidRPr="009A6ED5" w:rsidRDefault="00FA0DD4" w:rsidP="00FA0DD4">
      <w:pPr>
        <w:spacing w:after="0" w:line="360" w:lineRule="auto"/>
        <w:jc w:val="both"/>
        <w:rPr>
          <w:rFonts w:ascii="Verdana" w:eastAsia="MS Mincho" w:hAnsi="Verdana" w:cs="Tahoma"/>
          <w:sz w:val="24"/>
          <w:szCs w:val="24"/>
          <w:lang w:val="es-ES_tradnl" w:eastAsia="es-ES"/>
        </w:rPr>
      </w:pPr>
      <w:r w:rsidRPr="00873ED1">
        <w:rPr>
          <w:rFonts w:ascii="Verdana" w:eastAsia="MS Mincho" w:hAnsi="Verdana" w:cs="Tahoma"/>
          <w:lang w:val="es-ES_tradnl" w:eastAsia="es-ES"/>
        </w:rPr>
        <w:t xml:space="preserve">  </w:t>
      </w:r>
    </w:p>
    <w:p w14:paraId="64FB2FAE" w14:textId="77777777" w:rsidR="00FA0DD4" w:rsidRPr="009A6ED5" w:rsidRDefault="00FA0DD4" w:rsidP="00FA0DD4">
      <w:pPr>
        <w:pStyle w:val="Prrafodelista"/>
        <w:numPr>
          <w:ilvl w:val="1"/>
          <w:numId w:val="1"/>
        </w:numPr>
        <w:spacing w:line="360" w:lineRule="auto"/>
        <w:rPr>
          <w:rFonts w:ascii="Verdana" w:eastAsia="MS Mincho" w:hAnsi="Verdana" w:cs="Tahoma"/>
          <w:b/>
          <w:lang w:val="es-ES_tradnl"/>
        </w:rPr>
      </w:pPr>
      <w:r w:rsidRPr="009A6ED5">
        <w:rPr>
          <w:rFonts w:ascii="Verdana" w:eastAsia="MS Mincho" w:hAnsi="Verdana" w:cs="Tahoma"/>
          <w:b/>
          <w:lang w:val="es-ES_tradnl"/>
        </w:rPr>
        <w:t xml:space="preserve">El mandamiento de pago:  </w:t>
      </w:r>
    </w:p>
    <w:p w14:paraId="13611016" w14:textId="77777777" w:rsidR="00FA0DD4" w:rsidRPr="009A6ED5" w:rsidRDefault="00FA0DD4" w:rsidP="00FA0DD4">
      <w:pPr>
        <w:autoSpaceDE w:val="0"/>
        <w:autoSpaceDN w:val="0"/>
        <w:adjustRightInd w:val="0"/>
        <w:spacing w:after="0" w:line="360" w:lineRule="auto"/>
        <w:jc w:val="both"/>
        <w:rPr>
          <w:rFonts w:ascii="Verdana" w:hAnsi="Verdana" w:cs="Tahoma"/>
          <w:sz w:val="24"/>
          <w:szCs w:val="24"/>
          <w:lang w:eastAsia="es-ES"/>
        </w:rPr>
      </w:pPr>
    </w:p>
    <w:p w14:paraId="0DB2E8B9" w14:textId="2D486AA4" w:rsidR="00FA0DD4" w:rsidRPr="009A6ED5" w:rsidRDefault="00FA0DD4" w:rsidP="00FA0DD4">
      <w:pPr>
        <w:autoSpaceDE w:val="0"/>
        <w:autoSpaceDN w:val="0"/>
        <w:adjustRightInd w:val="0"/>
        <w:spacing w:after="0" w:line="360" w:lineRule="auto"/>
        <w:jc w:val="both"/>
        <w:rPr>
          <w:rFonts w:ascii="Verdana" w:hAnsi="Verdana" w:cs="Tahoma"/>
          <w:sz w:val="24"/>
          <w:szCs w:val="24"/>
          <w:lang w:eastAsia="es-ES"/>
        </w:rPr>
      </w:pPr>
      <w:r w:rsidRPr="71886034">
        <w:rPr>
          <w:rFonts w:ascii="Verdana" w:hAnsi="Verdana" w:cs="Tahoma"/>
          <w:sz w:val="24"/>
          <w:szCs w:val="24"/>
          <w:lang w:eastAsia="es-ES"/>
        </w:rPr>
        <w:t xml:space="preserve">Mediante proveído fechado el </w:t>
      </w:r>
      <w:r w:rsidR="00331518" w:rsidRPr="71886034">
        <w:rPr>
          <w:rFonts w:ascii="Verdana" w:hAnsi="Verdana" w:cs="Tahoma"/>
          <w:sz w:val="24"/>
          <w:szCs w:val="24"/>
          <w:lang w:eastAsia="es-ES"/>
        </w:rPr>
        <w:t>11 de abril de 2019</w:t>
      </w:r>
      <w:r w:rsidRPr="71886034">
        <w:rPr>
          <w:rFonts w:ascii="Verdana" w:hAnsi="Verdana" w:cs="Tahoma"/>
          <w:sz w:val="24"/>
          <w:szCs w:val="24"/>
          <w:lang w:eastAsia="es-ES"/>
        </w:rPr>
        <w:t xml:space="preserve"> el Juzgado </w:t>
      </w:r>
      <w:r w:rsidR="0028077C" w:rsidRPr="71886034">
        <w:rPr>
          <w:rFonts w:ascii="Verdana" w:hAnsi="Verdana" w:cs="Tahoma"/>
          <w:sz w:val="24"/>
          <w:szCs w:val="24"/>
          <w:lang w:eastAsia="es-ES"/>
        </w:rPr>
        <w:t>Trece</w:t>
      </w:r>
      <w:r w:rsidRPr="71886034">
        <w:rPr>
          <w:rFonts w:ascii="Verdana" w:hAnsi="Verdana" w:cs="Tahoma"/>
          <w:sz w:val="24"/>
          <w:szCs w:val="24"/>
          <w:lang w:eastAsia="es-ES"/>
        </w:rPr>
        <w:t xml:space="preserve"> Administrativo Oral del Circuito Judicial de </w:t>
      </w:r>
      <w:r w:rsidR="0028077C" w:rsidRPr="71886034">
        <w:rPr>
          <w:rFonts w:ascii="Verdana" w:hAnsi="Verdana" w:cs="Tahoma"/>
          <w:sz w:val="24"/>
          <w:szCs w:val="24"/>
          <w:lang w:eastAsia="es-ES"/>
        </w:rPr>
        <w:t>Tunja</w:t>
      </w:r>
      <w:r w:rsidRPr="71886034">
        <w:rPr>
          <w:rFonts w:ascii="Verdana" w:hAnsi="Verdana" w:cs="Tahoma"/>
          <w:sz w:val="24"/>
          <w:szCs w:val="24"/>
          <w:lang w:eastAsia="es-ES"/>
        </w:rPr>
        <w:t xml:space="preserve"> resolvió librar mandamiento de pago a favor de la señora </w:t>
      </w:r>
      <w:r w:rsidR="0028077C" w:rsidRPr="71886034">
        <w:rPr>
          <w:rFonts w:ascii="Verdana" w:hAnsi="Verdana" w:cs="Tahoma"/>
          <w:sz w:val="24"/>
          <w:szCs w:val="24"/>
          <w:lang w:eastAsia="es-ES"/>
        </w:rPr>
        <w:t xml:space="preserve">LUCILA ELSA </w:t>
      </w:r>
      <w:proofErr w:type="spellStart"/>
      <w:r w:rsidR="0028077C" w:rsidRPr="71886034">
        <w:rPr>
          <w:rFonts w:ascii="Verdana" w:hAnsi="Verdana" w:cs="Tahoma"/>
          <w:sz w:val="24"/>
          <w:szCs w:val="24"/>
          <w:lang w:eastAsia="es-ES"/>
        </w:rPr>
        <w:t>CORTéS</w:t>
      </w:r>
      <w:proofErr w:type="spellEnd"/>
      <w:r w:rsidR="0028077C" w:rsidRPr="71886034">
        <w:rPr>
          <w:rFonts w:ascii="Verdana" w:hAnsi="Verdana" w:cs="Tahoma"/>
          <w:sz w:val="24"/>
          <w:szCs w:val="24"/>
          <w:lang w:eastAsia="es-ES"/>
        </w:rPr>
        <w:t xml:space="preserve"> DE PEÑA</w:t>
      </w:r>
      <w:r w:rsidRPr="71886034">
        <w:rPr>
          <w:rFonts w:ascii="Verdana" w:hAnsi="Verdana" w:cs="Tahoma"/>
          <w:sz w:val="24"/>
          <w:szCs w:val="24"/>
          <w:lang w:eastAsia="es-ES"/>
        </w:rPr>
        <w:t xml:space="preserve"> en contra de la </w:t>
      </w:r>
      <w:r w:rsidR="0028077C" w:rsidRPr="71886034">
        <w:rPr>
          <w:rFonts w:ascii="Verdana" w:hAnsi="Verdana" w:cs="Tahoma"/>
          <w:sz w:val="24"/>
          <w:szCs w:val="24"/>
          <w:lang w:eastAsia="es-ES"/>
        </w:rPr>
        <w:t>UNIDAD ADMINISTRATIVA ES</w:t>
      </w:r>
      <w:r w:rsidR="00097CD2" w:rsidRPr="71886034">
        <w:rPr>
          <w:rFonts w:ascii="Verdana" w:hAnsi="Verdana" w:cs="Tahoma"/>
          <w:sz w:val="24"/>
          <w:szCs w:val="24"/>
          <w:lang w:eastAsia="es-ES"/>
        </w:rPr>
        <w:t>P</w:t>
      </w:r>
      <w:r w:rsidR="0028077C" w:rsidRPr="71886034">
        <w:rPr>
          <w:rFonts w:ascii="Verdana" w:hAnsi="Verdana" w:cs="Tahoma"/>
          <w:sz w:val="24"/>
          <w:szCs w:val="24"/>
          <w:lang w:eastAsia="es-ES"/>
        </w:rPr>
        <w:t>ECIAL DE GESTION PENSIONAL Y CONTRIBUCIONES PARAFISCALES DE LA PR</w:t>
      </w:r>
      <w:r w:rsidR="00097CD2" w:rsidRPr="71886034">
        <w:rPr>
          <w:rFonts w:ascii="Verdana" w:hAnsi="Verdana" w:cs="Tahoma"/>
          <w:sz w:val="24"/>
          <w:szCs w:val="24"/>
          <w:lang w:eastAsia="es-ES"/>
        </w:rPr>
        <w:t>O</w:t>
      </w:r>
      <w:r w:rsidR="0028077C" w:rsidRPr="71886034">
        <w:rPr>
          <w:rFonts w:ascii="Verdana" w:hAnsi="Verdana" w:cs="Tahoma"/>
          <w:sz w:val="24"/>
          <w:szCs w:val="24"/>
          <w:lang w:eastAsia="es-ES"/>
        </w:rPr>
        <w:t>TECCION SOCIAL- UGPP,</w:t>
      </w:r>
      <w:r w:rsidRPr="71886034">
        <w:rPr>
          <w:rFonts w:ascii="Verdana" w:hAnsi="Verdana" w:cs="Tahoma"/>
          <w:sz w:val="24"/>
          <w:szCs w:val="24"/>
          <w:lang w:eastAsia="es-ES"/>
        </w:rPr>
        <w:t xml:space="preserve"> por las siguientes sumas de dinero: </w:t>
      </w:r>
    </w:p>
    <w:p w14:paraId="2396B4AF" w14:textId="77777777" w:rsidR="00FA0DD4" w:rsidRPr="00873ED1" w:rsidRDefault="00FA0DD4" w:rsidP="00FA0DD4">
      <w:pPr>
        <w:autoSpaceDE w:val="0"/>
        <w:autoSpaceDN w:val="0"/>
        <w:adjustRightInd w:val="0"/>
        <w:spacing w:after="0" w:line="360" w:lineRule="auto"/>
        <w:jc w:val="both"/>
        <w:rPr>
          <w:rFonts w:ascii="Verdana" w:hAnsi="Verdana" w:cs="Tahoma"/>
          <w:lang w:eastAsia="es-ES"/>
        </w:rPr>
      </w:pPr>
    </w:p>
    <w:p w14:paraId="679E6F3E" w14:textId="77777777" w:rsidR="00FA0DD4" w:rsidRPr="00873ED1" w:rsidRDefault="00FA0DD4" w:rsidP="00FA0DD4">
      <w:pPr>
        <w:pStyle w:val="Prrafodelista"/>
        <w:numPr>
          <w:ilvl w:val="0"/>
          <w:numId w:val="2"/>
        </w:numPr>
        <w:autoSpaceDE w:val="0"/>
        <w:autoSpaceDN w:val="0"/>
        <w:adjustRightInd w:val="0"/>
        <w:spacing w:line="360" w:lineRule="auto"/>
        <w:jc w:val="both"/>
        <w:rPr>
          <w:rFonts w:ascii="Verdana" w:hAnsi="Verdana" w:cs="Tahoma"/>
          <w:sz w:val="22"/>
          <w:szCs w:val="22"/>
        </w:rPr>
      </w:pPr>
      <w:r w:rsidRPr="00873ED1">
        <w:rPr>
          <w:rFonts w:ascii="Verdana" w:hAnsi="Verdana" w:cs="Tahoma"/>
          <w:sz w:val="22"/>
          <w:szCs w:val="22"/>
        </w:rPr>
        <w:t>Por</w:t>
      </w:r>
      <w:r w:rsidR="0028077C">
        <w:rPr>
          <w:rFonts w:ascii="Verdana" w:hAnsi="Verdana" w:cs="Tahoma"/>
          <w:sz w:val="22"/>
          <w:szCs w:val="22"/>
        </w:rPr>
        <w:t xml:space="preserve"> valor de TRENTA Y TRES MILLONES QUIENTOS CINCUENTA Y SIETE MIL TRESCIENTOS CUARENTA Y NUEVE PESOS CON NOVENTA Y CUATRO CENTAVOS</w:t>
      </w:r>
      <w:r w:rsidRPr="00873ED1">
        <w:rPr>
          <w:rFonts w:ascii="Verdana" w:hAnsi="Verdana" w:cs="Tahoma"/>
          <w:sz w:val="22"/>
          <w:szCs w:val="22"/>
        </w:rPr>
        <w:t xml:space="preserve"> la suma de $</w:t>
      </w:r>
      <w:r w:rsidR="004B4375">
        <w:rPr>
          <w:rFonts w:ascii="Verdana" w:hAnsi="Verdana" w:cs="Tahoma"/>
          <w:sz w:val="22"/>
          <w:szCs w:val="22"/>
        </w:rPr>
        <w:t>33.357.349.94</w:t>
      </w:r>
      <w:r w:rsidRPr="00873ED1">
        <w:rPr>
          <w:rFonts w:ascii="Verdana" w:hAnsi="Verdana" w:cs="Tahoma"/>
          <w:sz w:val="22"/>
          <w:szCs w:val="22"/>
        </w:rPr>
        <w:t xml:space="preserve"> por concepto de saldo insoluto de </w:t>
      </w:r>
      <w:r w:rsidR="004B4375">
        <w:rPr>
          <w:rFonts w:ascii="Verdana" w:hAnsi="Verdana" w:cs="Tahoma"/>
          <w:sz w:val="22"/>
          <w:szCs w:val="22"/>
        </w:rPr>
        <w:t>capital</w:t>
      </w:r>
      <w:r w:rsidRPr="00873ED1">
        <w:rPr>
          <w:rFonts w:ascii="Verdana" w:hAnsi="Verdana" w:cs="Tahoma"/>
          <w:sz w:val="22"/>
          <w:szCs w:val="22"/>
        </w:rPr>
        <w:t xml:space="preserve">. </w:t>
      </w:r>
    </w:p>
    <w:p w14:paraId="441E9D47" w14:textId="77777777" w:rsidR="00FA0DD4" w:rsidRPr="00873ED1" w:rsidRDefault="00FA0DD4" w:rsidP="00FA0DD4">
      <w:pPr>
        <w:pStyle w:val="Prrafodelista"/>
        <w:numPr>
          <w:ilvl w:val="0"/>
          <w:numId w:val="2"/>
        </w:numPr>
        <w:autoSpaceDE w:val="0"/>
        <w:autoSpaceDN w:val="0"/>
        <w:adjustRightInd w:val="0"/>
        <w:spacing w:line="360" w:lineRule="auto"/>
        <w:jc w:val="both"/>
        <w:rPr>
          <w:rFonts w:ascii="Verdana" w:hAnsi="Verdana" w:cs="Tahoma"/>
          <w:sz w:val="22"/>
          <w:szCs w:val="22"/>
        </w:rPr>
      </w:pPr>
      <w:r w:rsidRPr="00873ED1">
        <w:rPr>
          <w:rFonts w:ascii="Verdana" w:hAnsi="Verdana" w:cs="Tahoma"/>
          <w:sz w:val="22"/>
          <w:szCs w:val="22"/>
        </w:rPr>
        <w:t xml:space="preserve">Por la suma de </w:t>
      </w:r>
      <w:r w:rsidR="004B4375">
        <w:rPr>
          <w:rFonts w:ascii="Verdana" w:hAnsi="Verdana" w:cs="Tahoma"/>
          <w:sz w:val="22"/>
          <w:szCs w:val="22"/>
        </w:rPr>
        <w:t>CUATRO MILLONES SEISCIENTOS CUARENTA Y S</w:t>
      </w:r>
      <w:r w:rsidR="00883569">
        <w:rPr>
          <w:rFonts w:ascii="Verdana" w:hAnsi="Verdana" w:cs="Tahoma"/>
          <w:sz w:val="22"/>
          <w:szCs w:val="22"/>
        </w:rPr>
        <w:t>I</w:t>
      </w:r>
      <w:r w:rsidR="004B4375">
        <w:rPr>
          <w:rFonts w:ascii="Verdana" w:hAnsi="Verdana" w:cs="Tahoma"/>
          <w:sz w:val="22"/>
          <w:szCs w:val="22"/>
        </w:rPr>
        <w:t xml:space="preserve">ETE MIL SEISCIENTOS PESOS, CON CATORCE CENTAVOS </w:t>
      </w:r>
      <w:r w:rsidRPr="00873ED1">
        <w:rPr>
          <w:rFonts w:ascii="Verdana" w:hAnsi="Verdana" w:cs="Tahoma"/>
          <w:sz w:val="22"/>
          <w:szCs w:val="22"/>
        </w:rPr>
        <w:t>$</w:t>
      </w:r>
      <w:r w:rsidR="004B4375">
        <w:rPr>
          <w:rFonts w:ascii="Verdana" w:hAnsi="Verdana" w:cs="Tahoma"/>
          <w:sz w:val="22"/>
          <w:szCs w:val="22"/>
        </w:rPr>
        <w:t>4.467.600.14</w:t>
      </w:r>
      <w:r w:rsidRPr="00873ED1">
        <w:rPr>
          <w:rFonts w:ascii="Verdana" w:hAnsi="Verdana" w:cs="Tahoma"/>
          <w:sz w:val="22"/>
          <w:szCs w:val="22"/>
        </w:rPr>
        <w:t xml:space="preserve"> por concepto </w:t>
      </w:r>
      <w:r w:rsidR="004B4375">
        <w:rPr>
          <w:rFonts w:ascii="Verdana" w:hAnsi="Verdana" w:cs="Tahoma"/>
          <w:sz w:val="22"/>
          <w:szCs w:val="22"/>
        </w:rPr>
        <w:t>de saldo de intereses moratorios causados desde el 1° de julio de 2018</w:t>
      </w:r>
      <w:r w:rsidR="004B4375">
        <w:rPr>
          <w:rStyle w:val="Refdenotaalpie"/>
          <w:rFonts w:ascii="Verdana" w:hAnsi="Verdana" w:cs="Tahoma"/>
          <w:sz w:val="22"/>
          <w:szCs w:val="22"/>
        </w:rPr>
        <w:footnoteReference w:id="1"/>
      </w:r>
      <w:r w:rsidR="004B4375">
        <w:rPr>
          <w:rFonts w:ascii="Verdana" w:hAnsi="Verdana" w:cs="Tahoma"/>
          <w:sz w:val="22"/>
          <w:szCs w:val="22"/>
        </w:rPr>
        <w:t>, hasta el 30 de noviembre de 2018</w:t>
      </w:r>
      <w:r w:rsidR="004B4375">
        <w:rPr>
          <w:rStyle w:val="Refdenotaalpie"/>
          <w:rFonts w:ascii="Verdana" w:hAnsi="Verdana" w:cs="Tahoma"/>
          <w:sz w:val="22"/>
          <w:szCs w:val="22"/>
        </w:rPr>
        <w:footnoteReference w:id="2"/>
      </w:r>
      <w:r w:rsidR="004B4375">
        <w:rPr>
          <w:rFonts w:ascii="Verdana" w:hAnsi="Verdana" w:cs="Tahoma"/>
          <w:sz w:val="22"/>
          <w:szCs w:val="22"/>
        </w:rPr>
        <w:t>. (</w:t>
      </w:r>
      <w:proofErr w:type="spellStart"/>
      <w:r w:rsidR="004B4375">
        <w:rPr>
          <w:rFonts w:ascii="Verdana" w:hAnsi="Verdana" w:cs="Tahoma"/>
          <w:sz w:val="22"/>
          <w:szCs w:val="22"/>
        </w:rPr>
        <w:t>fl</w:t>
      </w:r>
      <w:proofErr w:type="spellEnd"/>
      <w:r w:rsidR="004B4375">
        <w:rPr>
          <w:rFonts w:ascii="Verdana" w:hAnsi="Verdana" w:cs="Tahoma"/>
          <w:sz w:val="22"/>
          <w:szCs w:val="22"/>
        </w:rPr>
        <w:t>. 97-100)</w:t>
      </w:r>
    </w:p>
    <w:p w14:paraId="65847B04" w14:textId="77777777" w:rsidR="00FA0DD4" w:rsidRPr="00873ED1" w:rsidRDefault="00FA0DD4" w:rsidP="00FA0DD4">
      <w:pPr>
        <w:autoSpaceDE w:val="0"/>
        <w:autoSpaceDN w:val="0"/>
        <w:adjustRightInd w:val="0"/>
        <w:spacing w:after="0" w:line="360" w:lineRule="auto"/>
        <w:jc w:val="both"/>
        <w:rPr>
          <w:rFonts w:ascii="Verdana" w:hAnsi="Verdana" w:cs="Tahoma"/>
        </w:rPr>
      </w:pPr>
    </w:p>
    <w:p w14:paraId="26703A92" w14:textId="7CEE5B97" w:rsidR="00FA0DD4" w:rsidRPr="009A6ED5" w:rsidRDefault="004B4375"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Frente a l</w:t>
      </w:r>
      <w:r w:rsidR="00FA0DD4" w:rsidRPr="71886034">
        <w:rPr>
          <w:rFonts w:ascii="Verdana" w:hAnsi="Verdana" w:cs="Tahoma"/>
          <w:sz w:val="24"/>
          <w:szCs w:val="24"/>
        </w:rPr>
        <w:t xml:space="preserve">a anterior decisión </w:t>
      </w:r>
      <w:r w:rsidR="008935FA" w:rsidRPr="71886034">
        <w:rPr>
          <w:rFonts w:ascii="Verdana" w:hAnsi="Verdana" w:cs="Tahoma"/>
          <w:sz w:val="24"/>
          <w:szCs w:val="24"/>
        </w:rPr>
        <w:t xml:space="preserve">la UNIDAD ADMINISTRATIVA ESPECIAL DE GESTION </w:t>
      </w:r>
      <w:r w:rsidR="001C7B9D" w:rsidRPr="71886034">
        <w:rPr>
          <w:rFonts w:ascii="Verdana" w:hAnsi="Verdana" w:cs="Tahoma"/>
          <w:sz w:val="24"/>
          <w:szCs w:val="24"/>
        </w:rPr>
        <w:t>PENSIONAL</w:t>
      </w:r>
      <w:r w:rsidR="006D6C2D" w:rsidRPr="71886034">
        <w:rPr>
          <w:rFonts w:ascii="Verdana" w:hAnsi="Verdana" w:cs="Tahoma"/>
          <w:sz w:val="24"/>
          <w:szCs w:val="24"/>
        </w:rPr>
        <w:t xml:space="preserve"> Y CONTRIBUCIONES PARAFISCALES DE LA </w:t>
      </w:r>
      <w:r w:rsidR="006D6C2D" w:rsidRPr="71886034">
        <w:rPr>
          <w:rFonts w:ascii="Verdana" w:hAnsi="Verdana" w:cs="Tahoma"/>
          <w:sz w:val="24"/>
          <w:szCs w:val="24"/>
        </w:rPr>
        <w:lastRenderedPageBreak/>
        <w:t>PROTECCION SOCIAL- UGPP, interpuso recurso de reposición el cual fue desatado con providencia de fecha 28 de mayo de 2019</w:t>
      </w:r>
      <w:r w:rsidR="00FA0DD4" w:rsidRPr="71886034">
        <w:rPr>
          <w:rFonts w:ascii="Verdana" w:hAnsi="Verdana" w:cs="Tahoma"/>
          <w:sz w:val="24"/>
          <w:szCs w:val="24"/>
        </w:rPr>
        <w:t xml:space="preserve"> (</w:t>
      </w:r>
      <w:proofErr w:type="spellStart"/>
      <w:r w:rsidR="00FA0DD4" w:rsidRPr="71886034">
        <w:rPr>
          <w:rFonts w:ascii="Verdana" w:hAnsi="Verdana" w:cs="Tahoma"/>
          <w:sz w:val="24"/>
          <w:szCs w:val="24"/>
        </w:rPr>
        <w:t>fl</w:t>
      </w:r>
      <w:proofErr w:type="spellEnd"/>
      <w:r w:rsidR="00FA0DD4" w:rsidRPr="71886034">
        <w:rPr>
          <w:rFonts w:ascii="Verdana" w:hAnsi="Verdana" w:cs="Tahoma"/>
          <w:sz w:val="24"/>
          <w:szCs w:val="24"/>
        </w:rPr>
        <w:t xml:space="preserve">. </w:t>
      </w:r>
      <w:r w:rsidR="006D6C2D" w:rsidRPr="71886034">
        <w:rPr>
          <w:rFonts w:ascii="Verdana" w:hAnsi="Verdana" w:cs="Tahoma"/>
          <w:sz w:val="24"/>
          <w:szCs w:val="24"/>
        </w:rPr>
        <w:t>193-195</w:t>
      </w:r>
      <w:r w:rsidR="00FA0DD4" w:rsidRPr="71886034">
        <w:rPr>
          <w:rFonts w:ascii="Verdana" w:hAnsi="Verdana" w:cs="Tahoma"/>
          <w:sz w:val="24"/>
          <w:szCs w:val="24"/>
        </w:rPr>
        <w:t xml:space="preserve">). </w:t>
      </w:r>
    </w:p>
    <w:p w14:paraId="3A83BF04" w14:textId="77777777" w:rsidR="00FA0DD4" w:rsidRPr="009A6ED5" w:rsidRDefault="00FA0DD4" w:rsidP="00FA0DD4">
      <w:pPr>
        <w:autoSpaceDE w:val="0"/>
        <w:autoSpaceDN w:val="0"/>
        <w:adjustRightInd w:val="0"/>
        <w:spacing w:after="0" w:line="360" w:lineRule="auto"/>
        <w:jc w:val="both"/>
        <w:rPr>
          <w:rFonts w:ascii="Verdana" w:hAnsi="Verdana" w:cs="Tahoma"/>
          <w:b/>
          <w:sz w:val="24"/>
          <w:szCs w:val="24"/>
        </w:rPr>
      </w:pPr>
    </w:p>
    <w:p w14:paraId="6B43DD55" w14:textId="77777777" w:rsidR="00FA0DD4" w:rsidRPr="009A6ED5" w:rsidRDefault="00FA0DD4" w:rsidP="00FA0DD4">
      <w:pPr>
        <w:pStyle w:val="Prrafodelista"/>
        <w:numPr>
          <w:ilvl w:val="1"/>
          <w:numId w:val="2"/>
        </w:numPr>
        <w:autoSpaceDE w:val="0"/>
        <w:autoSpaceDN w:val="0"/>
        <w:adjustRightInd w:val="0"/>
        <w:spacing w:line="360" w:lineRule="auto"/>
        <w:jc w:val="both"/>
        <w:rPr>
          <w:rFonts w:ascii="Verdana" w:hAnsi="Verdana" w:cs="Tahoma"/>
          <w:b/>
        </w:rPr>
      </w:pPr>
      <w:r w:rsidRPr="009A6ED5">
        <w:rPr>
          <w:rFonts w:ascii="Verdana" w:hAnsi="Verdana" w:cs="Tahoma"/>
          <w:b/>
        </w:rPr>
        <w:t xml:space="preserve">Auto ordena seguir adelante la ejecución: </w:t>
      </w:r>
    </w:p>
    <w:p w14:paraId="258F00C3" w14:textId="77777777" w:rsidR="00FA0DD4" w:rsidRPr="009A6ED5" w:rsidRDefault="00FA0DD4" w:rsidP="00FA0DD4">
      <w:pPr>
        <w:autoSpaceDE w:val="0"/>
        <w:autoSpaceDN w:val="0"/>
        <w:adjustRightInd w:val="0"/>
        <w:spacing w:after="0" w:line="360" w:lineRule="auto"/>
        <w:jc w:val="both"/>
        <w:rPr>
          <w:rFonts w:ascii="Verdana" w:hAnsi="Verdana" w:cs="Tahoma"/>
          <w:sz w:val="24"/>
          <w:szCs w:val="24"/>
        </w:rPr>
      </w:pPr>
    </w:p>
    <w:p w14:paraId="7A1D0E7B" w14:textId="64E72796" w:rsidR="00FA0DD4" w:rsidRPr="009A6ED5" w:rsidRDefault="00FA0DD4"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 xml:space="preserve">Mediante proveído fechado el </w:t>
      </w:r>
      <w:r w:rsidR="006D6C2D" w:rsidRPr="71886034">
        <w:rPr>
          <w:rFonts w:ascii="Verdana" w:hAnsi="Verdana" w:cs="Tahoma"/>
          <w:sz w:val="24"/>
          <w:szCs w:val="24"/>
        </w:rPr>
        <w:t xml:space="preserve">18 de </w:t>
      </w:r>
      <w:r w:rsidR="007653EE" w:rsidRPr="71886034">
        <w:rPr>
          <w:rFonts w:ascii="Verdana" w:hAnsi="Verdana" w:cs="Tahoma"/>
          <w:sz w:val="24"/>
          <w:szCs w:val="24"/>
        </w:rPr>
        <w:t xml:space="preserve">noviembre </w:t>
      </w:r>
      <w:r w:rsidR="006D6C2D" w:rsidRPr="71886034">
        <w:rPr>
          <w:rFonts w:ascii="Verdana" w:hAnsi="Verdana" w:cs="Tahoma"/>
          <w:sz w:val="24"/>
          <w:szCs w:val="24"/>
        </w:rPr>
        <w:t>de 2020,</w:t>
      </w:r>
      <w:r w:rsidRPr="71886034">
        <w:rPr>
          <w:rFonts w:ascii="Verdana" w:hAnsi="Verdana" w:cs="Tahoma"/>
          <w:sz w:val="24"/>
          <w:szCs w:val="24"/>
        </w:rPr>
        <w:t xml:space="preserve"> el Juzgado </w:t>
      </w:r>
      <w:r w:rsidR="006D6C2D" w:rsidRPr="71886034">
        <w:rPr>
          <w:rFonts w:ascii="Verdana" w:hAnsi="Verdana" w:cs="Tahoma"/>
          <w:sz w:val="24"/>
          <w:szCs w:val="24"/>
        </w:rPr>
        <w:t>Trece</w:t>
      </w:r>
      <w:r w:rsidRPr="71886034">
        <w:rPr>
          <w:rFonts w:ascii="Verdana" w:hAnsi="Verdana" w:cs="Tahoma"/>
          <w:sz w:val="24"/>
          <w:szCs w:val="24"/>
        </w:rPr>
        <w:t xml:space="preserve"> Administrativo Oral del Circuito Judicial de </w:t>
      </w:r>
      <w:r w:rsidR="006D6C2D" w:rsidRPr="71886034">
        <w:rPr>
          <w:rFonts w:ascii="Verdana" w:hAnsi="Verdana" w:cs="Tahoma"/>
          <w:sz w:val="24"/>
          <w:szCs w:val="24"/>
        </w:rPr>
        <w:t>Tunja</w:t>
      </w:r>
      <w:r w:rsidRPr="71886034">
        <w:rPr>
          <w:rFonts w:ascii="Verdana" w:hAnsi="Verdana" w:cs="Tahoma"/>
          <w:sz w:val="24"/>
          <w:szCs w:val="24"/>
        </w:rPr>
        <w:t xml:space="preserve"> resolvió ordenar seguir adelante con la ejecución en contra de la </w:t>
      </w:r>
      <w:r w:rsidR="006D6C2D" w:rsidRPr="71886034">
        <w:rPr>
          <w:rFonts w:ascii="Verdana" w:hAnsi="Verdana" w:cs="Tahoma"/>
          <w:sz w:val="24"/>
          <w:szCs w:val="24"/>
        </w:rPr>
        <w:t>UNIDAD ADMINISTRATIVA ESPECIAL DE GESTION PENSIONAL Y CONTRIBUCIONES PARAFISCALES DE LA PROTECCION SOCIAL- UGPP</w:t>
      </w:r>
      <w:r w:rsidRPr="71886034">
        <w:rPr>
          <w:rFonts w:ascii="Verdana" w:hAnsi="Verdana" w:cs="Tahoma"/>
          <w:sz w:val="24"/>
          <w:szCs w:val="24"/>
        </w:rPr>
        <w:t xml:space="preserve"> y a favor de la señora </w:t>
      </w:r>
      <w:r w:rsidR="006D6C2D" w:rsidRPr="71886034">
        <w:rPr>
          <w:rFonts w:ascii="Verdana" w:hAnsi="Verdana" w:cs="Tahoma"/>
          <w:sz w:val="24"/>
          <w:szCs w:val="24"/>
        </w:rPr>
        <w:t xml:space="preserve">LUCILA ELSA CÓRTES DE </w:t>
      </w:r>
      <w:bookmarkStart w:id="8" w:name="_Int_wdUFFOxS"/>
      <w:r w:rsidR="006D6C2D" w:rsidRPr="71886034">
        <w:rPr>
          <w:rFonts w:ascii="Verdana" w:hAnsi="Verdana" w:cs="Tahoma"/>
          <w:sz w:val="24"/>
          <w:szCs w:val="24"/>
        </w:rPr>
        <w:t>PEÑA, para</w:t>
      </w:r>
      <w:bookmarkEnd w:id="8"/>
      <w:r w:rsidRPr="71886034">
        <w:rPr>
          <w:rFonts w:ascii="Verdana" w:hAnsi="Verdana" w:cs="Tahoma"/>
          <w:sz w:val="24"/>
          <w:szCs w:val="24"/>
        </w:rPr>
        <w:t xml:space="preserve"> el cumplimiento de las obligaciones </w:t>
      </w:r>
      <w:r w:rsidR="006D6C2D" w:rsidRPr="71886034">
        <w:rPr>
          <w:rFonts w:ascii="Verdana" w:hAnsi="Verdana" w:cs="Tahoma"/>
          <w:sz w:val="24"/>
          <w:szCs w:val="24"/>
        </w:rPr>
        <w:t>determinadas en el mandamiento ejecutivo de fecha 11 de abril de 2019</w:t>
      </w:r>
      <w:r w:rsidR="008364A7" w:rsidRPr="71886034">
        <w:rPr>
          <w:rFonts w:ascii="Verdana" w:hAnsi="Verdana" w:cs="Tahoma"/>
          <w:sz w:val="24"/>
          <w:szCs w:val="24"/>
        </w:rPr>
        <w:t xml:space="preserve">. Ordenó </w:t>
      </w:r>
      <w:r w:rsidRPr="71886034">
        <w:rPr>
          <w:rFonts w:ascii="Verdana" w:hAnsi="Verdana" w:cs="Tahoma"/>
          <w:sz w:val="24"/>
          <w:szCs w:val="24"/>
        </w:rPr>
        <w:t>liquidar el crédito conforme lo dispone el artículo 446 del C.G.P., y condenó en costas a la demandada</w:t>
      </w:r>
      <w:r w:rsidR="008364A7" w:rsidRPr="71886034">
        <w:rPr>
          <w:rFonts w:ascii="Verdana" w:hAnsi="Verdana" w:cs="Tahoma"/>
          <w:sz w:val="24"/>
          <w:szCs w:val="24"/>
        </w:rPr>
        <w:t>-UGPP</w:t>
      </w:r>
      <w:r w:rsidRPr="71886034">
        <w:rPr>
          <w:rFonts w:ascii="Verdana" w:hAnsi="Verdana" w:cs="Tahoma"/>
          <w:sz w:val="24"/>
          <w:szCs w:val="24"/>
        </w:rPr>
        <w:t>, (</w:t>
      </w:r>
      <w:proofErr w:type="spellStart"/>
      <w:r w:rsidRPr="71886034">
        <w:rPr>
          <w:rFonts w:ascii="Verdana" w:hAnsi="Verdana" w:cs="Tahoma"/>
          <w:sz w:val="24"/>
          <w:szCs w:val="24"/>
        </w:rPr>
        <w:t>fl</w:t>
      </w:r>
      <w:proofErr w:type="spellEnd"/>
      <w:r w:rsidRPr="71886034">
        <w:rPr>
          <w:rFonts w:ascii="Verdana" w:hAnsi="Verdana" w:cs="Tahoma"/>
          <w:sz w:val="24"/>
          <w:szCs w:val="24"/>
        </w:rPr>
        <w:t xml:space="preserve">. </w:t>
      </w:r>
      <w:proofErr w:type="spellStart"/>
      <w:r w:rsidR="008364A7" w:rsidRPr="71886034">
        <w:rPr>
          <w:rFonts w:ascii="Verdana" w:hAnsi="Verdana" w:cs="Tahoma"/>
          <w:sz w:val="24"/>
          <w:szCs w:val="24"/>
        </w:rPr>
        <w:t>Exp.digital</w:t>
      </w:r>
      <w:proofErr w:type="spellEnd"/>
      <w:r w:rsidR="008364A7" w:rsidRPr="71886034">
        <w:rPr>
          <w:rFonts w:ascii="Verdana" w:hAnsi="Verdana" w:cs="Tahoma"/>
          <w:sz w:val="24"/>
          <w:szCs w:val="24"/>
        </w:rPr>
        <w:t xml:space="preserve"> 047</w:t>
      </w:r>
      <w:r w:rsidRPr="71886034">
        <w:rPr>
          <w:rFonts w:ascii="Verdana" w:hAnsi="Verdana" w:cs="Tahoma"/>
          <w:sz w:val="24"/>
          <w:szCs w:val="24"/>
        </w:rPr>
        <w:t xml:space="preserve">). </w:t>
      </w:r>
    </w:p>
    <w:p w14:paraId="47C17620" w14:textId="77777777" w:rsidR="008364A7" w:rsidRPr="009A6ED5" w:rsidRDefault="008364A7" w:rsidP="00FA0DD4">
      <w:pPr>
        <w:autoSpaceDE w:val="0"/>
        <w:autoSpaceDN w:val="0"/>
        <w:adjustRightInd w:val="0"/>
        <w:spacing w:after="0" w:line="360" w:lineRule="auto"/>
        <w:jc w:val="both"/>
        <w:rPr>
          <w:rFonts w:ascii="Verdana" w:hAnsi="Verdana" w:cs="Tahoma"/>
          <w:sz w:val="24"/>
          <w:szCs w:val="24"/>
        </w:rPr>
      </w:pPr>
    </w:p>
    <w:p w14:paraId="63DD83C3" w14:textId="53A522EC" w:rsidR="00FA0DD4" w:rsidRPr="009A6ED5" w:rsidRDefault="00FA0DD4"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 xml:space="preserve">En cumplimiento del auto anterior, el apoderado judicial de la ejecutante presentó actualización de la liquidación del crédito el </w:t>
      </w:r>
      <w:r w:rsidR="00571C55" w:rsidRPr="71886034">
        <w:rPr>
          <w:rFonts w:ascii="Verdana" w:hAnsi="Verdana" w:cs="Tahoma"/>
          <w:sz w:val="24"/>
          <w:szCs w:val="24"/>
        </w:rPr>
        <w:t>23 de febrero de 2021</w:t>
      </w:r>
      <w:r w:rsidRPr="71886034">
        <w:rPr>
          <w:rFonts w:ascii="Verdana" w:hAnsi="Verdana" w:cs="Tahoma"/>
          <w:sz w:val="24"/>
          <w:szCs w:val="24"/>
        </w:rPr>
        <w:t xml:space="preserve">, presentando como resumen de la liquidación el siguiente: </w:t>
      </w:r>
    </w:p>
    <w:p w14:paraId="4414BD63" w14:textId="77777777" w:rsidR="00FA0DD4" w:rsidRPr="00873ED1" w:rsidRDefault="00FA0DD4" w:rsidP="00FA0DD4">
      <w:pPr>
        <w:autoSpaceDE w:val="0"/>
        <w:autoSpaceDN w:val="0"/>
        <w:adjustRightInd w:val="0"/>
        <w:spacing w:after="0" w:line="360" w:lineRule="auto"/>
        <w:jc w:val="both"/>
        <w:rPr>
          <w:rFonts w:ascii="Verdana" w:hAnsi="Verdana" w:cs="Tahoma"/>
        </w:rPr>
      </w:pPr>
    </w:p>
    <w:tbl>
      <w:tblPr>
        <w:tblStyle w:val="Tablaconcuadrcula"/>
        <w:tblW w:w="0" w:type="auto"/>
        <w:tblLook w:val="04A0" w:firstRow="1" w:lastRow="0" w:firstColumn="1" w:lastColumn="0" w:noHBand="0" w:noVBand="1"/>
      </w:tblPr>
      <w:tblGrid>
        <w:gridCol w:w="4415"/>
        <w:gridCol w:w="4415"/>
      </w:tblGrid>
      <w:tr w:rsidR="00FA0DD4" w:rsidRPr="00873ED1" w14:paraId="34F4E154" w14:textId="77777777" w:rsidTr="00942B27">
        <w:tc>
          <w:tcPr>
            <w:tcW w:w="4415" w:type="dxa"/>
          </w:tcPr>
          <w:p w14:paraId="6AB247DE" w14:textId="77777777" w:rsidR="00FA0DD4" w:rsidRPr="00873ED1" w:rsidRDefault="00FA0DD4" w:rsidP="00942B27">
            <w:pPr>
              <w:autoSpaceDE w:val="0"/>
              <w:autoSpaceDN w:val="0"/>
              <w:adjustRightInd w:val="0"/>
              <w:spacing w:after="0" w:line="360" w:lineRule="auto"/>
              <w:jc w:val="center"/>
              <w:rPr>
                <w:rFonts w:ascii="Verdana" w:hAnsi="Verdana" w:cs="Tahoma"/>
                <w:b/>
              </w:rPr>
            </w:pPr>
            <w:r w:rsidRPr="00873ED1">
              <w:rPr>
                <w:rFonts w:ascii="Verdana" w:hAnsi="Verdana" w:cs="Tahoma"/>
                <w:b/>
              </w:rPr>
              <w:t>CONCEPTO</w:t>
            </w:r>
          </w:p>
        </w:tc>
        <w:tc>
          <w:tcPr>
            <w:tcW w:w="4415" w:type="dxa"/>
          </w:tcPr>
          <w:p w14:paraId="547C05BC" w14:textId="77777777" w:rsidR="00FA0DD4" w:rsidRPr="00873ED1" w:rsidRDefault="00FA0DD4" w:rsidP="00942B27">
            <w:pPr>
              <w:autoSpaceDE w:val="0"/>
              <w:autoSpaceDN w:val="0"/>
              <w:adjustRightInd w:val="0"/>
              <w:spacing w:after="0" w:line="360" w:lineRule="auto"/>
              <w:jc w:val="center"/>
              <w:rPr>
                <w:rFonts w:ascii="Verdana" w:hAnsi="Verdana" w:cs="Tahoma"/>
                <w:b/>
              </w:rPr>
            </w:pPr>
            <w:r w:rsidRPr="00873ED1">
              <w:rPr>
                <w:rFonts w:ascii="Verdana" w:hAnsi="Verdana" w:cs="Tahoma"/>
                <w:b/>
              </w:rPr>
              <w:t>LIQ. DESPACHO</w:t>
            </w:r>
          </w:p>
        </w:tc>
      </w:tr>
      <w:tr w:rsidR="00FA0DD4" w:rsidRPr="00873ED1" w14:paraId="5D6C62DC" w14:textId="77777777" w:rsidTr="00942B27">
        <w:tc>
          <w:tcPr>
            <w:tcW w:w="4415" w:type="dxa"/>
          </w:tcPr>
          <w:p w14:paraId="317519CD" w14:textId="77777777" w:rsidR="00FA0DD4" w:rsidRPr="00873ED1" w:rsidRDefault="00FA0DD4" w:rsidP="00942B27">
            <w:pPr>
              <w:autoSpaceDE w:val="0"/>
              <w:autoSpaceDN w:val="0"/>
              <w:adjustRightInd w:val="0"/>
              <w:spacing w:after="0" w:line="360" w:lineRule="auto"/>
              <w:jc w:val="both"/>
              <w:rPr>
                <w:rFonts w:ascii="Verdana" w:hAnsi="Verdana" w:cs="Tahoma"/>
              </w:rPr>
            </w:pPr>
            <w:r w:rsidRPr="00873ED1">
              <w:rPr>
                <w:rFonts w:ascii="Verdana" w:hAnsi="Verdana" w:cs="Tahoma"/>
              </w:rPr>
              <w:t xml:space="preserve">Saldo </w:t>
            </w:r>
            <w:r w:rsidR="00571C55">
              <w:rPr>
                <w:rFonts w:ascii="Verdana" w:hAnsi="Verdana" w:cs="Tahoma"/>
              </w:rPr>
              <w:t xml:space="preserve">insoluto de capital </w:t>
            </w:r>
            <w:r w:rsidRPr="00873ED1">
              <w:rPr>
                <w:rFonts w:ascii="Verdana" w:hAnsi="Verdana" w:cs="Tahoma"/>
              </w:rPr>
              <w:t xml:space="preserve"> </w:t>
            </w:r>
          </w:p>
        </w:tc>
        <w:tc>
          <w:tcPr>
            <w:tcW w:w="4415" w:type="dxa"/>
          </w:tcPr>
          <w:p w14:paraId="746B8F7B" w14:textId="77777777" w:rsidR="00FA0DD4" w:rsidRPr="00873ED1" w:rsidRDefault="00FA0DD4" w:rsidP="00942B27">
            <w:pPr>
              <w:autoSpaceDE w:val="0"/>
              <w:autoSpaceDN w:val="0"/>
              <w:adjustRightInd w:val="0"/>
              <w:spacing w:after="0" w:line="360" w:lineRule="auto"/>
              <w:jc w:val="right"/>
              <w:rPr>
                <w:rFonts w:ascii="Verdana" w:hAnsi="Verdana" w:cs="Tahoma"/>
              </w:rPr>
            </w:pPr>
            <w:r w:rsidRPr="00873ED1">
              <w:rPr>
                <w:rFonts w:ascii="Verdana" w:hAnsi="Verdana" w:cs="Tahoma"/>
              </w:rPr>
              <w:t>$</w:t>
            </w:r>
            <w:r w:rsidR="00571C55">
              <w:rPr>
                <w:rFonts w:ascii="Verdana" w:hAnsi="Verdana" w:cs="Tahoma"/>
              </w:rPr>
              <w:t>33.557.349</w:t>
            </w:r>
          </w:p>
        </w:tc>
      </w:tr>
      <w:tr w:rsidR="00FA0DD4" w:rsidRPr="00873ED1" w14:paraId="52BD8FAB" w14:textId="77777777" w:rsidTr="00942B27">
        <w:tc>
          <w:tcPr>
            <w:tcW w:w="4415" w:type="dxa"/>
          </w:tcPr>
          <w:p w14:paraId="22197175" w14:textId="77777777" w:rsidR="00FA0DD4" w:rsidRPr="00873ED1" w:rsidRDefault="00571C55" w:rsidP="00942B27">
            <w:pPr>
              <w:autoSpaceDE w:val="0"/>
              <w:autoSpaceDN w:val="0"/>
              <w:adjustRightInd w:val="0"/>
              <w:spacing w:after="0" w:line="360" w:lineRule="auto"/>
              <w:jc w:val="both"/>
              <w:rPr>
                <w:rFonts w:ascii="Verdana" w:hAnsi="Verdana" w:cs="Tahoma"/>
              </w:rPr>
            </w:pPr>
            <w:r>
              <w:rPr>
                <w:rFonts w:ascii="Verdana" w:hAnsi="Verdana" w:cs="Tahoma"/>
              </w:rPr>
              <w:t>Intereses Moratorios desde el 1 de julio de 2018 hasta el 30 de noviembre de 2018</w:t>
            </w:r>
          </w:p>
        </w:tc>
        <w:tc>
          <w:tcPr>
            <w:tcW w:w="4415" w:type="dxa"/>
          </w:tcPr>
          <w:p w14:paraId="45225FAF" w14:textId="77777777" w:rsidR="00FA0DD4" w:rsidRPr="00873ED1" w:rsidRDefault="00FA0DD4" w:rsidP="00942B27">
            <w:pPr>
              <w:autoSpaceDE w:val="0"/>
              <w:autoSpaceDN w:val="0"/>
              <w:adjustRightInd w:val="0"/>
              <w:spacing w:after="0" w:line="360" w:lineRule="auto"/>
              <w:jc w:val="right"/>
              <w:rPr>
                <w:rFonts w:ascii="Verdana" w:hAnsi="Verdana" w:cs="Tahoma"/>
              </w:rPr>
            </w:pPr>
            <w:r w:rsidRPr="00873ED1">
              <w:rPr>
                <w:rFonts w:ascii="Verdana" w:hAnsi="Verdana" w:cs="Tahoma"/>
              </w:rPr>
              <w:t>$</w:t>
            </w:r>
            <w:r w:rsidR="00571C55">
              <w:rPr>
                <w:rFonts w:ascii="Verdana" w:hAnsi="Verdana" w:cs="Tahoma"/>
              </w:rPr>
              <w:t>4.467.600</w:t>
            </w:r>
          </w:p>
        </w:tc>
      </w:tr>
      <w:tr w:rsidR="00FA0DD4" w:rsidRPr="00873ED1" w14:paraId="59EDC96C" w14:textId="77777777" w:rsidTr="00942B27">
        <w:tc>
          <w:tcPr>
            <w:tcW w:w="4415" w:type="dxa"/>
          </w:tcPr>
          <w:p w14:paraId="4D3D7DD2" w14:textId="77777777" w:rsidR="00FA0DD4" w:rsidRPr="00873ED1" w:rsidRDefault="00FA0DD4" w:rsidP="00942B27">
            <w:pPr>
              <w:autoSpaceDE w:val="0"/>
              <w:autoSpaceDN w:val="0"/>
              <w:adjustRightInd w:val="0"/>
              <w:spacing w:after="0" w:line="360" w:lineRule="auto"/>
              <w:jc w:val="both"/>
              <w:rPr>
                <w:rFonts w:ascii="Verdana" w:hAnsi="Verdana" w:cs="Tahoma"/>
              </w:rPr>
            </w:pPr>
            <w:r w:rsidRPr="00873ED1">
              <w:rPr>
                <w:rFonts w:ascii="Verdana" w:hAnsi="Verdana" w:cs="Tahoma"/>
              </w:rPr>
              <w:t>Intereses moratorios</w:t>
            </w:r>
            <w:r w:rsidR="00571C55">
              <w:rPr>
                <w:rFonts w:ascii="Verdana" w:hAnsi="Verdana" w:cs="Tahoma"/>
              </w:rPr>
              <w:t xml:space="preserve"> desde el 1 de diciembre de 2018 al 31 de enero de 2021</w:t>
            </w:r>
            <w:r w:rsidRPr="00873ED1">
              <w:rPr>
                <w:rFonts w:ascii="Verdana" w:hAnsi="Verdana" w:cs="Tahoma"/>
              </w:rPr>
              <w:t xml:space="preserve"> </w:t>
            </w:r>
          </w:p>
        </w:tc>
        <w:tc>
          <w:tcPr>
            <w:tcW w:w="4415" w:type="dxa"/>
          </w:tcPr>
          <w:p w14:paraId="4B10ADF1" w14:textId="77777777" w:rsidR="00FA0DD4" w:rsidRPr="00873ED1" w:rsidRDefault="00FA0DD4" w:rsidP="00942B27">
            <w:pPr>
              <w:autoSpaceDE w:val="0"/>
              <w:autoSpaceDN w:val="0"/>
              <w:adjustRightInd w:val="0"/>
              <w:spacing w:after="0" w:line="360" w:lineRule="auto"/>
              <w:jc w:val="right"/>
              <w:rPr>
                <w:rFonts w:ascii="Verdana" w:hAnsi="Verdana" w:cs="Tahoma"/>
              </w:rPr>
            </w:pPr>
            <w:r w:rsidRPr="00873ED1">
              <w:rPr>
                <w:rFonts w:ascii="Verdana" w:hAnsi="Verdana" w:cs="Tahoma"/>
              </w:rPr>
              <w:t>$</w:t>
            </w:r>
            <w:r w:rsidR="00571C55">
              <w:rPr>
                <w:rFonts w:ascii="Verdana" w:hAnsi="Verdana" w:cs="Tahoma"/>
              </w:rPr>
              <w:t>18.402.266</w:t>
            </w:r>
          </w:p>
        </w:tc>
      </w:tr>
      <w:tr w:rsidR="00FA0DD4" w:rsidRPr="00873ED1" w14:paraId="22534AB3" w14:textId="77777777" w:rsidTr="00942B27">
        <w:tc>
          <w:tcPr>
            <w:tcW w:w="4415" w:type="dxa"/>
          </w:tcPr>
          <w:p w14:paraId="12550A08" w14:textId="77777777" w:rsidR="00FA0DD4" w:rsidRPr="00873ED1" w:rsidRDefault="00FA0DD4" w:rsidP="00942B27">
            <w:pPr>
              <w:autoSpaceDE w:val="0"/>
              <w:autoSpaceDN w:val="0"/>
              <w:adjustRightInd w:val="0"/>
              <w:spacing w:after="0" w:line="360" w:lineRule="auto"/>
              <w:jc w:val="both"/>
              <w:rPr>
                <w:rFonts w:ascii="Verdana" w:hAnsi="Verdana" w:cs="Tahoma"/>
                <w:b/>
              </w:rPr>
            </w:pPr>
            <w:r w:rsidRPr="00873ED1">
              <w:rPr>
                <w:rFonts w:ascii="Verdana" w:hAnsi="Verdana" w:cs="Tahoma"/>
                <w:b/>
              </w:rPr>
              <w:t>TOTAL</w:t>
            </w:r>
          </w:p>
        </w:tc>
        <w:tc>
          <w:tcPr>
            <w:tcW w:w="4415" w:type="dxa"/>
          </w:tcPr>
          <w:p w14:paraId="636E878E" w14:textId="77777777" w:rsidR="00FA0DD4" w:rsidRPr="00873ED1" w:rsidRDefault="00FA0DD4" w:rsidP="00942B27">
            <w:pPr>
              <w:autoSpaceDE w:val="0"/>
              <w:autoSpaceDN w:val="0"/>
              <w:adjustRightInd w:val="0"/>
              <w:spacing w:after="0" w:line="360" w:lineRule="auto"/>
              <w:jc w:val="right"/>
              <w:rPr>
                <w:rFonts w:ascii="Verdana" w:hAnsi="Verdana" w:cs="Tahoma"/>
                <w:b/>
              </w:rPr>
            </w:pPr>
            <w:r w:rsidRPr="00873ED1">
              <w:rPr>
                <w:rFonts w:ascii="Verdana" w:hAnsi="Verdana" w:cs="Tahoma"/>
                <w:b/>
              </w:rPr>
              <w:t>$</w:t>
            </w:r>
            <w:r w:rsidR="00700100">
              <w:rPr>
                <w:rFonts w:ascii="Verdana" w:hAnsi="Verdana" w:cs="Tahoma"/>
                <w:b/>
              </w:rPr>
              <w:t>56.607.215</w:t>
            </w:r>
          </w:p>
        </w:tc>
      </w:tr>
    </w:tbl>
    <w:p w14:paraId="70656F05" w14:textId="07DA1365" w:rsidR="00FA0DD4" w:rsidRDefault="00FA0DD4" w:rsidP="00FA0DD4">
      <w:pPr>
        <w:autoSpaceDE w:val="0"/>
        <w:autoSpaceDN w:val="0"/>
        <w:adjustRightInd w:val="0"/>
        <w:spacing w:after="0" w:line="360" w:lineRule="auto"/>
        <w:jc w:val="both"/>
        <w:rPr>
          <w:rFonts w:ascii="Verdana" w:hAnsi="Verdana" w:cs="Tahoma"/>
          <w:b/>
        </w:rPr>
      </w:pPr>
    </w:p>
    <w:p w14:paraId="088A28E5" w14:textId="45DD639D" w:rsidR="007653EE" w:rsidRDefault="007653EE" w:rsidP="00FA0DD4">
      <w:pPr>
        <w:autoSpaceDE w:val="0"/>
        <w:autoSpaceDN w:val="0"/>
        <w:adjustRightInd w:val="0"/>
        <w:spacing w:after="0" w:line="360" w:lineRule="auto"/>
        <w:jc w:val="both"/>
        <w:rPr>
          <w:rFonts w:ascii="Verdana" w:hAnsi="Verdana" w:cs="Tahoma"/>
          <w:bCs/>
          <w:sz w:val="24"/>
          <w:szCs w:val="24"/>
        </w:rPr>
      </w:pPr>
      <w:r w:rsidRPr="009A6ED5">
        <w:rPr>
          <w:rFonts w:ascii="Verdana" w:hAnsi="Verdana" w:cs="Tahoma"/>
          <w:bCs/>
          <w:sz w:val="24"/>
          <w:szCs w:val="24"/>
        </w:rPr>
        <w:t>Sin embargo, evidencia el Despacho que la apoderada de la parte ejecutada</w:t>
      </w:r>
      <w:r w:rsidR="009A6ED5">
        <w:rPr>
          <w:rFonts w:ascii="Verdana" w:hAnsi="Verdana" w:cs="Tahoma"/>
          <w:bCs/>
          <w:sz w:val="24"/>
          <w:szCs w:val="24"/>
        </w:rPr>
        <w:t>- UGPP</w:t>
      </w:r>
      <w:r w:rsidRPr="009A6ED5">
        <w:rPr>
          <w:rFonts w:ascii="Verdana" w:hAnsi="Verdana" w:cs="Tahoma"/>
          <w:bCs/>
          <w:sz w:val="24"/>
          <w:szCs w:val="24"/>
        </w:rPr>
        <w:t xml:space="preserve"> interpuso recurso de alzada contra la decisión de fecha 18 de noviembre de 2020, que declaró no probada la excepción de </w:t>
      </w:r>
      <w:proofErr w:type="gramStart"/>
      <w:r w:rsidRPr="009A6ED5">
        <w:rPr>
          <w:rFonts w:ascii="Verdana" w:hAnsi="Verdana" w:cs="Tahoma"/>
          <w:bCs/>
          <w:sz w:val="24"/>
          <w:szCs w:val="24"/>
        </w:rPr>
        <w:t>pago  y</w:t>
      </w:r>
      <w:proofErr w:type="gramEnd"/>
      <w:r w:rsidRPr="009A6ED5">
        <w:rPr>
          <w:rFonts w:ascii="Verdana" w:hAnsi="Verdana" w:cs="Tahoma"/>
          <w:bCs/>
          <w:sz w:val="24"/>
          <w:szCs w:val="24"/>
        </w:rPr>
        <w:t xml:space="preserve"> dispuso seguir adelante la ejecución. </w:t>
      </w:r>
    </w:p>
    <w:p w14:paraId="0BD7E1B1" w14:textId="77777777" w:rsidR="009A6ED5" w:rsidRPr="009A6ED5" w:rsidRDefault="009A6ED5" w:rsidP="00FA0DD4">
      <w:pPr>
        <w:autoSpaceDE w:val="0"/>
        <w:autoSpaceDN w:val="0"/>
        <w:adjustRightInd w:val="0"/>
        <w:spacing w:after="0" w:line="360" w:lineRule="auto"/>
        <w:jc w:val="both"/>
        <w:rPr>
          <w:rFonts w:ascii="Verdana" w:hAnsi="Verdana" w:cs="Tahoma"/>
          <w:bCs/>
          <w:sz w:val="24"/>
          <w:szCs w:val="24"/>
        </w:rPr>
      </w:pPr>
    </w:p>
    <w:p w14:paraId="7EEC9CE2" w14:textId="6BFD0833" w:rsidR="00791522" w:rsidRPr="009A6ED5" w:rsidRDefault="007653EE" w:rsidP="71886034">
      <w:pPr>
        <w:spacing w:line="360" w:lineRule="auto"/>
        <w:jc w:val="both"/>
        <w:rPr>
          <w:rFonts w:ascii="Verdana" w:hAnsi="Verdana"/>
          <w:color w:val="000000"/>
          <w:sz w:val="24"/>
          <w:szCs w:val="24"/>
          <w:lang w:val="es"/>
        </w:rPr>
      </w:pPr>
      <w:r w:rsidRPr="71886034">
        <w:rPr>
          <w:rFonts w:ascii="Verdana" w:hAnsi="Verdana" w:cs="Tahoma"/>
          <w:sz w:val="24"/>
          <w:szCs w:val="24"/>
        </w:rPr>
        <w:t xml:space="preserve">El mencionado recurso fue desatado en providencia fechada el  27 de enero de 2022 por este Tribunal, que, además, </w:t>
      </w:r>
      <w:r w:rsidR="004865B2" w:rsidRPr="71886034">
        <w:rPr>
          <w:rFonts w:ascii="Verdana" w:hAnsi="Verdana" w:cs="Tahoma"/>
          <w:sz w:val="24"/>
          <w:szCs w:val="24"/>
        </w:rPr>
        <w:t xml:space="preserve">resolvió modificar </w:t>
      </w:r>
      <w:r w:rsidR="00446781" w:rsidRPr="71886034">
        <w:rPr>
          <w:rFonts w:ascii="Verdana" w:hAnsi="Verdana" w:cs="Tahoma"/>
          <w:sz w:val="24"/>
          <w:szCs w:val="24"/>
        </w:rPr>
        <w:t xml:space="preserve">la sentencia de seguir adelante la ejecución, declarando probada </w:t>
      </w:r>
      <w:r w:rsidR="009A6ED5" w:rsidRPr="71886034">
        <w:rPr>
          <w:rFonts w:ascii="Verdana" w:hAnsi="Verdana" w:cs="Tahoma"/>
          <w:sz w:val="24"/>
          <w:szCs w:val="24"/>
        </w:rPr>
        <w:t>la</w:t>
      </w:r>
      <w:r w:rsidR="00446781" w:rsidRPr="71886034">
        <w:rPr>
          <w:rFonts w:ascii="Verdana" w:hAnsi="Verdana" w:cs="Tahoma"/>
          <w:sz w:val="24"/>
          <w:szCs w:val="24"/>
        </w:rPr>
        <w:t xml:space="preserve"> excepción de pago parcial que había sido propuesta por la UGPP</w:t>
      </w:r>
      <w:r w:rsidR="004865B2" w:rsidRPr="71886034">
        <w:rPr>
          <w:rFonts w:ascii="Verdana" w:hAnsi="Verdana" w:cs="Tahoma"/>
          <w:sz w:val="24"/>
          <w:szCs w:val="24"/>
        </w:rPr>
        <w:t xml:space="preserve"> y seguir </w:t>
      </w:r>
      <w:r w:rsidR="004865B2" w:rsidRPr="71886034">
        <w:rPr>
          <w:rFonts w:ascii="Verdana" w:hAnsi="Verdana" w:cs="Tahoma"/>
          <w:sz w:val="24"/>
          <w:szCs w:val="24"/>
        </w:rPr>
        <w:lastRenderedPageBreak/>
        <w:t xml:space="preserve">adelante la </w:t>
      </w:r>
      <w:r w:rsidR="00791522" w:rsidRPr="71886034">
        <w:rPr>
          <w:rFonts w:ascii="Verdana" w:hAnsi="Verdana" w:cs="Tahoma"/>
          <w:sz w:val="24"/>
          <w:szCs w:val="24"/>
        </w:rPr>
        <w:t>ejecución</w:t>
      </w:r>
      <w:r w:rsidR="004865B2" w:rsidRPr="71886034">
        <w:rPr>
          <w:rFonts w:ascii="Verdana" w:hAnsi="Verdana" w:cs="Tahoma"/>
          <w:sz w:val="24"/>
          <w:szCs w:val="24"/>
        </w:rPr>
        <w:t xml:space="preserve"> por las siguientes sumas de </w:t>
      </w:r>
      <w:r w:rsidR="00791522" w:rsidRPr="71886034">
        <w:rPr>
          <w:rFonts w:ascii="Verdana" w:hAnsi="Verdana" w:cs="Tahoma"/>
          <w:sz w:val="24"/>
          <w:szCs w:val="24"/>
        </w:rPr>
        <w:t>dinero</w:t>
      </w:r>
      <w:r w:rsidR="004865B2" w:rsidRPr="71886034">
        <w:rPr>
          <w:rFonts w:ascii="Verdana" w:hAnsi="Verdana" w:cs="Tahoma"/>
          <w:sz w:val="24"/>
          <w:szCs w:val="24"/>
        </w:rPr>
        <w:t xml:space="preserve">: i) </w:t>
      </w:r>
      <w:r w:rsidR="004865B2" w:rsidRPr="71886034">
        <w:rPr>
          <w:rFonts w:ascii="Verdana" w:hAnsi="Verdana"/>
          <w:color w:val="000000" w:themeColor="text1"/>
          <w:sz w:val="24"/>
          <w:szCs w:val="24"/>
          <w:lang w:val="es"/>
        </w:rPr>
        <w:t>Por la suma de ONCE MILLONES NOVECIENTOS CINCUENTA Y TRES MIL SETECIENTOS VEINTISEIS PESOS ($11.953.726), por concepto de saldo a capital al 30 de noviembre de 2018</w:t>
      </w:r>
      <w:r w:rsidR="00791522" w:rsidRPr="71886034">
        <w:rPr>
          <w:rFonts w:ascii="Verdana" w:hAnsi="Verdana"/>
          <w:color w:val="000000" w:themeColor="text1"/>
          <w:sz w:val="24"/>
          <w:szCs w:val="24"/>
          <w:lang w:val="es"/>
        </w:rPr>
        <w:t xml:space="preserve">, </w:t>
      </w:r>
      <w:proofErr w:type="spellStart"/>
      <w:r w:rsidR="00791522" w:rsidRPr="71886034">
        <w:rPr>
          <w:rFonts w:ascii="Verdana" w:hAnsi="Verdana"/>
          <w:color w:val="000000" w:themeColor="text1"/>
          <w:sz w:val="24"/>
          <w:szCs w:val="24"/>
          <w:lang w:val="es"/>
        </w:rPr>
        <w:t>ii</w:t>
      </w:r>
      <w:proofErr w:type="spellEnd"/>
      <w:r w:rsidR="00791522" w:rsidRPr="71886034">
        <w:rPr>
          <w:rFonts w:ascii="Verdana" w:hAnsi="Verdana"/>
          <w:color w:val="000000" w:themeColor="text1"/>
          <w:sz w:val="24"/>
          <w:szCs w:val="24"/>
          <w:lang w:val="es"/>
        </w:rPr>
        <w:t xml:space="preserve">) Por la suma de UN MILLÓN DOSCIENTOS TREINTA Y OCHO MIL CUARENTA Y NUEVE PESOS ($1.238.049) por concepto de los intereses moratorios, liquidados al 30 de noviembre de 2018 y, </w:t>
      </w:r>
      <w:proofErr w:type="spellStart"/>
      <w:r w:rsidR="00791522" w:rsidRPr="71886034">
        <w:rPr>
          <w:rFonts w:ascii="Verdana" w:hAnsi="Verdana"/>
          <w:color w:val="000000" w:themeColor="text1"/>
          <w:sz w:val="24"/>
          <w:szCs w:val="24"/>
          <w:lang w:val="es"/>
        </w:rPr>
        <w:t>iii</w:t>
      </w:r>
      <w:proofErr w:type="spellEnd"/>
      <w:r w:rsidR="00791522" w:rsidRPr="71886034">
        <w:rPr>
          <w:rFonts w:ascii="Verdana" w:hAnsi="Verdana"/>
          <w:color w:val="000000" w:themeColor="text1"/>
          <w:sz w:val="24"/>
          <w:szCs w:val="24"/>
          <w:lang w:val="es"/>
        </w:rPr>
        <w:t xml:space="preserve">) </w:t>
      </w:r>
      <w:r w:rsidR="00791522" w:rsidRPr="71886034">
        <w:rPr>
          <w:rFonts w:ascii="Verdana" w:hAnsi="Verdana"/>
          <w:sz w:val="24"/>
          <w:szCs w:val="24"/>
        </w:rPr>
        <w:t>Por los intereses moratorios que se causen con posterioridad hasta cuando se efectúe el pago total de la obligación.</w:t>
      </w:r>
    </w:p>
    <w:p w14:paraId="7E610348" w14:textId="77777777" w:rsidR="00FA0DD4" w:rsidRPr="009A6ED5" w:rsidRDefault="00FA0DD4" w:rsidP="00FA0DD4">
      <w:pPr>
        <w:pStyle w:val="Prrafodelista"/>
        <w:numPr>
          <w:ilvl w:val="1"/>
          <w:numId w:val="2"/>
        </w:numPr>
        <w:autoSpaceDE w:val="0"/>
        <w:autoSpaceDN w:val="0"/>
        <w:adjustRightInd w:val="0"/>
        <w:spacing w:line="360" w:lineRule="auto"/>
        <w:jc w:val="both"/>
        <w:rPr>
          <w:rFonts w:ascii="Verdana" w:hAnsi="Verdana" w:cs="Tahoma"/>
          <w:b/>
        </w:rPr>
      </w:pPr>
      <w:r w:rsidRPr="009A6ED5">
        <w:rPr>
          <w:rFonts w:ascii="Verdana" w:hAnsi="Verdana" w:cs="Tahoma"/>
          <w:b/>
        </w:rPr>
        <w:t xml:space="preserve">La providencia apelada: </w:t>
      </w:r>
    </w:p>
    <w:p w14:paraId="6AC7D3B8" w14:textId="77777777" w:rsidR="00FA0DD4" w:rsidRPr="009A6ED5" w:rsidRDefault="00FA0DD4" w:rsidP="00FA0DD4">
      <w:pPr>
        <w:autoSpaceDE w:val="0"/>
        <w:autoSpaceDN w:val="0"/>
        <w:adjustRightInd w:val="0"/>
        <w:spacing w:after="0" w:line="360" w:lineRule="auto"/>
        <w:jc w:val="both"/>
        <w:rPr>
          <w:rFonts w:ascii="Verdana" w:hAnsi="Verdana" w:cs="Tahoma"/>
          <w:sz w:val="24"/>
          <w:szCs w:val="24"/>
        </w:rPr>
      </w:pPr>
    </w:p>
    <w:p w14:paraId="0F122FB6" w14:textId="74B96FA2" w:rsidR="00700100" w:rsidRPr="009A6ED5" w:rsidRDefault="00FA0DD4"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 xml:space="preserve">Mediante auto proferido el </w:t>
      </w:r>
      <w:r w:rsidR="00700100" w:rsidRPr="71886034">
        <w:rPr>
          <w:rFonts w:ascii="Verdana" w:hAnsi="Verdana" w:cs="Tahoma"/>
          <w:sz w:val="24"/>
          <w:szCs w:val="24"/>
        </w:rPr>
        <w:t>10 de junio de 2021,</w:t>
      </w:r>
      <w:r w:rsidRPr="71886034">
        <w:rPr>
          <w:rFonts w:ascii="Verdana" w:hAnsi="Verdana" w:cs="Tahoma"/>
          <w:sz w:val="24"/>
          <w:szCs w:val="24"/>
        </w:rPr>
        <w:t xml:space="preserve"> el Juzgado </w:t>
      </w:r>
      <w:r w:rsidR="00700100" w:rsidRPr="71886034">
        <w:rPr>
          <w:rFonts w:ascii="Verdana" w:hAnsi="Verdana" w:cs="Tahoma"/>
          <w:sz w:val="24"/>
          <w:szCs w:val="24"/>
        </w:rPr>
        <w:t>Trece</w:t>
      </w:r>
      <w:r w:rsidRPr="71886034">
        <w:rPr>
          <w:rFonts w:ascii="Verdana" w:hAnsi="Verdana" w:cs="Tahoma"/>
          <w:sz w:val="24"/>
          <w:szCs w:val="24"/>
        </w:rPr>
        <w:t xml:space="preserve"> Administrativo Oral del Circuito Judicial de </w:t>
      </w:r>
      <w:r w:rsidR="00700100" w:rsidRPr="71886034">
        <w:rPr>
          <w:rFonts w:ascii="Verdana" w:hAnsi="Verdana" w:cs="Tahoma"/>
          <w:sz w:val="24"/>
          <w:szCs w:val="24"/>
        </w:rPr>
        <w:t>Tunja</w:t>
      </w:r>
      <w:r w:rsidRPr="71886034">
        <w:rPr>
          <w:rFonts w:ascii="Verdana" w:hAnsi="Verdana" w:cs="Tahoma"/>
          <w:sz w:val="24"/>
          <w:szCs w:val="24"/>
        </w:rPr>
        <w:t xml:space="preserve"> resolvió modificar la liquidación del crédito presentada por la parte ejecutante, al considerar que la misma no se ajustaba a los parámetros señalados en el mandamiento de pago y en el auto que ordenó seguir adelante la ejecución, teniendo en cuenta que </w:t>
      </w:r>
      <w:r w:rsidR="00700100" w:rsidRPr="71886034">
        <w:rPr>
          <w:rFonts w:ascii="Verdana" w:hAnsi="Verdana" w:cs="Tahoma"/>
          <w:sz w:val="24"/>
          <w:szCs w:val="24"/>
        </w:rPr>
        <w:t>los intereses moratorios</w:t>
      </w:r>
      <w:r w:rsidR="00EA292E" w:rsidRPr="71886034">
        <w:rPr>
          <w:rFonts w:ascii="Verdana" w:hAnsi="Verdana" w:cs="Tahoma"/>
          <w:sz w:val="24"/>
          <w:szCs w:val="24"/>
        </w:rPr>
        <w:t xml:space="preserve"> liquidados corresponden a los intereses sobre el capital insoluto entre el 1 de diciembre de 2018 y el 31 de enero de 2021. </w:t>
      </w:r>
    </w:p>
    <w:p w14:paraId="47BD01F4" w14:textId="77777777" w:rsidR="00EA292E" w:rsidRPr="009A6ED5" w:rsidRDefault="00EA292E" w:rsidP="00FA0DD4">
      <w:pPr>
        <w:autoSpaceDE w:val="0"/>
        <w:autoSpaceDN w:val="0"/>
        <w:adjustRightInd w:val="0"/>
        <w:spacing w:after="0" w:line="360" w:lineRule="auto"/>
        <w:jc w:val="both"/>
        <w:rPr>
          <w:rFonts w:ascii="Verdana" w:hAnsi="Verdana" w:cs="Tahoma"/>
          <w:sz w:val="24"/>
          <w:szCs w:val="24"/>
        </w:rPr>
      </w:pPr>
    </w:p>
    <w:p w14:paraId="3900C741" w14:textId="1D0B3C2F" w:rsidR="00FA0DD4" w:rsidRPr="009A6ED5" w:rsidRDefault="00FA0DD4"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 xml:space="preserve">Por lo anterior, estableció el valor del crédito discriminado de la siguiente forma: </w:t>
      </w:r>
    </w:p>
    <w:p w14:paraId="6DE8EBBE" w14:textId="77777777" w:rsidR="00FA0DD4" w:rsidRPr="009A6ED5" w:rsidRDefault="00FA0DD4" w:rsidP="00FA0DD4">
      <w:pPr>
        <w:autoSpaceDE w:val="0"/>
        <w:autoSpaceDN w:val="0"/>
        <w:adjustRightInd w:val="0"/>
        <w:spacing w:after="0" w:line="360" w:lineRule="auto"/>
        <w:jc w:val="both"/>
        <w:rPr>
          <w:rFonts w:ascii="Verdana" w:hAnsi="Verdana" w:cs="Tahoma"/>
          <w:sz w:val="24"/>
          <w:szCs w:val="24"/>
        </w:rPr>
      </w:pPr>
    </w:p>
    <w:p w14:paraId="1BA8BDC7" w14:textId="77777777" w:rsidR="00EA292E" w:rsidRPr="00EA292E" w:rsidRDefault="00EA292E" w:rsidP="00EA292E">
      <w:pPr>
        <w:pStyle w:val="Prrafodelista"/>
        <w:numPr>
          <w:ilvl w:val="0"/>
          <w:numId w:val="3"/>
        </w:numPr>
        <w:autoSpaceDE w:val="0"/>
        <w:autoSpaceDN w:val="0"/>
        <w:adjustRightInd w:val="0"/>
        <w:spacing w:line="360" w:lineRule="auto"/>
        <w:jc w:val="both"/>
        <w:rPr>
          <w:rFonts w:ascii="Verdana" w:eastAsiaTheme="minorHAnsi" w:hAnsi="Verdana" w:cs="Calibri"/>
          <w:sz w:val="22"/>
          <w:szCs w:val="22"/>
          <w:lang w:val="es-CO" w:eastAsia="en-US"/>
        </w:rPr>
      </w:pPr>
      <w:r w:rsidRPr="00EA292E">
        <w:rPr>
          <w:rFonts w:ascii="Verdana" w:hAnsi="Verdana" w:cs="Tahoma"/>
        </w:rPr>
        <w:t>Por valor de TREINTA Y TRES MILLONES QUINIENTOS CINCUENTA Y SISTE MIL TRESCIENTOS CUARENTA Y NUEVE PESOS CON NOVENTA Y CUATRO CENTAVOS ($33.557.348.94) por concepto de saldo insoluto de capital.</w:t>
      </w:r>
    </w:p>
    <w:p w14:paraId="3385488C" w14:textId="77777777" w:rsidR="00EA292E" w:rsidRPr="009A6ED5" w:rsidRDefault="00EA292E" w:rsidP="00EA292E">
      <w:pPr>
        <w:pStyle w:val="Prrafodelista"/>
        <w:autoSpaceDE w:val="0"/>
        <w:autoSpaceDN w:val="0"/>
        <w:adjustRightInd w:val="0"/>
        <w:spacing w:line="360" w:lineRule="auto"/>
        <w:jc w:val="both"/>
        <w:rPr>
          <w:rFonts w:ascii="Verdana" w:eastAsiaTheme="minorHAnsi" w:hAnsi="Verdana" w:cs="Calibri"/>
          <w:lang w:val="es-CO" w:eastAsia="en-US"/>
        </w:rPr>
      </w:pPr>
    </w:p>
    <w:p w14:paraId="1B3CE0C1" w14:textId="77777777" w:rsidR="00EA292E" w:rsidRPr="009A6ED5" w:rsidRDefault="00EA292E" w:rsidP="00EA292E">
      <w:pPr>
        <w:pStyle w:val="Prrafodelista"/>
        <w:numPr>
          <w:ilvl w:val="0"/>
          <w:numId w:val="3"/>
        </w:numPr>
        <w:autoSpaceDE w:val="0"/>
        <w:autoSpaceDN w:val="0"/>
        <w:adjustRightInd w:val="0"/>
        <w:spacing w:line="360" w:lineRule="auto"/>
        <w:jc w:val="both"/>
        <w:rPr>
          <w:rFonts w:ascii="Verdana" w:eastAsiaTheme="minorHAnsi" w:hAnsi="Verdana" w:cs="Calibri"/>
          <w:lang w:val="es-CO" w:eastAsia="en-US"/>
        </w:rPr>
      </w:pPr>
      <w:r w:rsidRPr="009A6ED5">
        <w:rPr>
          <w:rFonts w:ascii="Verdana" w:hAnsi="Verdana" w:cs="Tahoma"/>
        </w:rPr>
        <w:t xml:space="preserve">Por valor de </w:t>
      </w:r>
      <w:r w:rsidRPr="009A6ED5">
        <w:rPr>
          <w:rFonts w:ascii="Verdana" w:eastAsiaTheme="minorHAnsi" w:hAnsi="Verdana" w:cs="Calibri"/>
          <w:lang w:val="es-CO" w:eastAsia="en-US"/>
        </w:rPr>
        <w:t xml:space="preserve">VEINTIDOS MILLONES OCHOCIENTOS SESENTA Y DOS MIL SEISCIENTOS CINCUENTA Y SEIS PESOS CON CATORCE CENTAVOS ($22.862.656,14), por concepto de intereses moratorios causados desde el 1º de julio de 2018 (día siguiente al pago realizado con ocasión de la Resolución No. 3512 de 2017), hasta el 30 de noviembre de 2018 (fecha del pago de lo reconocido </w:t>
      </w:r>
      <w:r w:rsidRPr="009A6ED5">
        <w:rPr>
          <w:rFonts w:ascii="Verdana" w:eastAsiaTheme="minorHAnsi" w:hAnsi="Verdana" w:cs="Calibri"/>
          <w:lang w:val="es-CO" w:eastAsia="en-US"/>
        </w:rPr>
        <w:lastRenderedPageBreak/>
        <w:t xml:space="preserve">en la Resolución No. 3965018 de 2018), y del 1° de diciembre de 2018 al 31 de enero de 2021 (fecha de liquidación del crédito). </w:t>
      </w:r>
    </w:p>
    <w:p w14:paraId="098700F1" w14:textId="77777777" w:rsidR="00EA292E" w:rsidRPr="009A6ED5" w:rsidRDefault="00EA292E" w:rsidP="00FA0DD4">
      <w:pPr>
        <w:autoSpaceDE w:val="0"/>
        <w:autoSpaceDN w:val="0"/>
        <w:adjustRightInd w:val="0"/>
        <w:spacing w:after="0" w:line="360" w:lineRule="auto"/>
        <w:jc w:val="both"/>
        <w:rPr>
          <w:rFonts w:ascii="Verdana" w:hAnsi="Verdana" w:cs="Tahoma"/>
          <w:sz w:val="24"/>
          <w:szCs w:val="24"/>
        </w:rPr>
      </w:pPr>
    </w:p>
    <w:p w14:paraId="1B3BD334" w14:textId="77777777" w:rsidR="00FA0DD4" w:rsidRPr="009A6ED5" w:rsidRDefault="00FA0DD4" w:rsidP="00FA0DD4">
      <w:pPr>
        <w:pStyle w:val="Prrafodelista"/>
        <w:numPr>
          <w:ilvl w:val="1"/>
          <w:numId w:val="2"/>
        </w:numPr>
        <w:autoSpaceDE w:val="0"/>
        <w:autoSpaceDN w:val="0"/>
        <w:adjustRightInd w:val="0"/>
        <w:spacing w:line="360" w:lineRule="auto"/>
        <w:jc w:val="both"/>
        <w:rPr>
          <w:rFonts w:ascii="Verdana" w:hAnsi="Verdana" w:cs="Tahoma"/>
          <w:b/>
        </w:rPr>
      </w:pPr>
      <w:r w:rsidRPr="009A6ED5">
        <w:rPr>
          <w:rFonts w:ascii="Verdana" w:hAnsi="Verdana" w:cs="Tahoma"/>
          <w:b/>
        </w:rPr>
        <w:t xml:space="preserve">El recurso de apelación: </w:t>
      </w:r>
    </w:p>
    <w:p w14:paraId="61222776" w14:textId="77777777" w:rsidR="00FA0DD4" w:rsidRPr="009A6ED5" w:rsidRDefault="00FA0DD4" w:rsidP="00FA0DD4">
      <w:pPr>
        <w:autoSpaceDE w:val="0"/>
        <w:autoSpaceDN w:val="0"/>
        <w:adjustRightInd w:val="0"/>
        <w:spacing w:after="0" w:line="360" w:lineRule="auto"/>
        <w:jc w:val="both"/>
        <w:rPr>
          <w:rFonts w:ascii="Verdana" w:hAnsi="Verdana" w:cs="Tahoma"/>
          <w:b/>
          <w:sz w:val="24"/>
          <w:szCs w:val="24"/>
        </w:rPr>
      </w:pPr>
      <w:r w:rsidRPr="009A6ED5">
        <w:rPr>
          <w:rFonts w:ascii="Verdana" w:hAnsi="Verdana" w:cs="Tahoma"/>
          <w:b/>
          <w:sz w:val="24"/>
          <w:szCs w:val="24"/>
        </w:rPr>
        <w:t xml:space="preserve">  </w:t>
      </w:r>
    </w:p>
    <w:p w14:paraId="7650D532" w14:textId="6E15B334" w:rsidR="00EA292E" w:rsidRPr="009A6ED5" w:rsidRDefault="00FA0DD4"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 xml:space="preserve">Estando dentro del término legal, </w:t>
      </w:r>
      <w:r w:rsidR="00EA292E" w:rsidRPr="71886034">
        <w:rPr>
          <w:rFonts w:ascii="Verdana" w:hAnsi="Verdana" w:cs="Tahoma"/>
          <w:sz w:val="24"/>
          <w:szCs w:val="24"/>
        </w:rPr>
        <w:t>la</w:t>
      </w:r>
      <w:r w:rsidRPr="71886034">
        <w:rPr>
          <w:rFonts w:ascii="Verdana" w:hAnsi="Verdana" w:cs="Tahoma"/>
          <w:sz w:val="24"/>
          <w:szCs w:val="24"/>
        </w:rPr>
        <w:t xml:space="preserve"> apoderad</w:t>
      </w:r>
      <w:r w:rsidR="00EA292E" w:rsidRPr="71886034">
        <w:rPr>
          <w:rFonts w:ascii="Verdana" w:hAnsi="Verdana" w:cs="Tahoma"/>
          <w:sz w:val="24"/>
          <w:szCs w:val="24"/>
        </w:rPr>
        <w:t>a</w:t>
      </w:r>
      <w:r w:rsidRPr="71886034">
        <w:rPr>
          <w:rFonts w:ascii="Verdana" w:hAnsi="Verdana" w:cs="Tahoma"/>
          <w:sz w:val="24"/>
          <w:szCs w:val="24"/>
        </w:rPr>
        <w:t xml:space="preserve"> judicial de la parte ejecuta</w:t>
      </w:r>
      <w:r w:rsidR="00EA292E" w:rsidRPr="71886034">
        <w:rPr>
          <w:rFonts w:ascii="Verdana" w:hAnsi="Verdana" w:cs="Tahoma"/>
          <w:sz w:val="24"/>
          <w:szCs w:val="24"/>
        </w:rPr>
        <w:t>da</w:t>
      </w:r>
      <w:r w:rsidR="00F451D1" w:rsidRPr="71886034">
        <w:rPr>
          <w:rFonts w:ascii="Verdana" w:hAnsi="Verdana" w:cs="Tahoma"/>
          <w:sz w:val="24"/>
          <w:szCs w:val="24"/>
        </w:rPr>
        <w:t>- UGPP</w:t>
      </w:r>
      <w:r w:rsidR="00212F50" w:rsidRPr="71886034">
        <w:rPr>
          <w:rFonts w:ascii="Verdana" w:hAnsi="Verdana" w:cs="Tahoma"/>
          <w:sz w:val="24"/>
          <w:szCs w:val="24"/>
        </w:rPr>
        <w:t xml:space="preserve"> interpuso recurso de apelación en contra del auto proferido el 10 de junio de 2021, solicitando su revocatoria y que en su lugar se apruebe otro atendiendo que se están indexando los intereses moratorios. </w:t>
      </w:r>
    </w:p>
    <w:p w14:paraId="160FDE9F" w14:textId="77777777" w:rsidR="00EA292E" w:rsidRPr="009A6ED5" w:rsidRDefault="00EA292E" w:rsidP="00FA0DD4">
      <w:pPr>
        <w:autoSpaceDE w:val="0"/>
        <w:autoSpaceDN w:val="0"/>
        <w:adjustRightInd w:val="0"/>
        <w:spacing w:after="0" w:line="360" w:lineRule="auto"/>
        <w:jc w:val="both"/>
        <w:rPr>
          <w:rFonts w:ascii="Verdana" w:hAnsi="Verdana" w:cs="Tahoma"/>
          <w:sz w:val="24"/>
          <w:szCs w:val="24"/>
        </w:rPr>
      </w:pPr>
    </w:p>
    <w:p w14:paraId="79DC2C2F" w14:textId="6CC3DCD8" w:rsidR="00212F50" w:rsidRDefault="00FA0DD4"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Sustentó su solicitud manifestando que</w:t>
      </w:r>
      <w:r w:rsidR="00212F50" w:rsidRPr="71886034">
        <w:rPr>
          <w:rFonts w:ascii="Verdana" w:hAnsi="Verdana" w:cs="Tahoma"/>
          <w:sz w:val="24"/>
          <w:szCs w:val="24"/>
        </w:rPr>
        <w:t xml:space="preserve"> </w:t>
      </w:r>
      <w:r w:rsidR="00BD4BC3" w:rsidRPr="71886034">
        <w:rPr>
          <w:rFonts w:ascii="Verdana" w:hAnsi="Verdana" w:cs="Tahoma"/>
          <w:sz w:val="24"/>
          <w:szCs w:val="24"/>
        </w:rPr>
        <w:t xml:space="preserve">no es posible la aplicación de la indexación </w:t>
      </w:r>
      <w:r w:rsidR="00F451D1" w:rsidRPr="71886034">
        <w:rPr>
          <w:rFonts w:ascii="Verdana" w:hAnsi="Verdana" w:cs="Tahoma"/>
          <w:sz w:val="24"/>
          <w:szCs w:val="24"/>
        </w:rPr>
        <w:t xml:space="preserve">de los intereses </w:t>
      </w:r>
      <w:r w:rsidR="00BD4BC3" w:rsidRPr="71886034">
        <w:rPr>
          <w:rFonts w:ascii="Verdana" w:hAnsi="Verdana" w:cs="Tahoma"/>
          <w:sz w:val="24"/>
          <w:szCs w:val="24"/>
        </w:rPr>
        <w:t>conforme a lo plasmad</w:t>
      </w:r>
      <w:r w:rsidR="00F451D1" w:rsidRPr="71886034">
        <w:rPr>
          <w:rFonts w:ascii="Verdana" w:hAnsi="Verdana" w:cs="Tahoma"/>
          <w:sz w:val="24"/>
          <w:szCs w:val="24"/>
        </w:rPr>
        <w:t xml:space="preserve">o </w:t>
      </w:r>
      <w:r w:rsidR="00BD4BC3" w:rsidRPr="71886034">
        <w:rPr>
          <w:rFonts w:ascii="Verdana" w:hAnsi="Verdana" w:cs="Tahoma"/>
          <w:sz w:val="24"/>
          <w:szCs w:val="24"/>
        </w:rPr>
        <w:t xml:space="preserve">en la liquidación del crédito presentada por la parte ejecutante, toda vez que cuando se ordenó el restablecimiento del derecho con la correspondiente indexación, se dio cumplimiento con la expedición de: i) Resolución </w:t>
      </w:r>
      <w:proofErr w:type="spellStart"/>
      <w:r w:rsidR="00BD4BC3" w:rsidRPr="71886034">
        <w:rPr>
          <w:rFonts w:ascii="Verdana" w:hAnsi="Verdana" w:cs="Tahoma"/>
          <w:sz w:val="24"/>
          <w:szCs w:val="24"/>
        </w:rPr>
        <w:t>N°</w:t>
      </w:r>
      <w:proofErr w:type="spellEnd"/>
      <w:r w:rsidR="00BD4BC3" w:rsidRPr="71886034">
        <w:rPr>
          <w:rFonts w:ascii="Verdana" w:hAnsi="Verdana" w:cs="Tahoma"/>
          <w:sz w:val="24"/>
          <w:szCs w:val="24"/>
        </w:rPr>
        <w:t xml:space="preserve"> PAP 007207 del 27 de julio de 2010, la cual ordenó el pago de la indexación por un va</w:t>
      </w:r>
      <w:r w:rsidR="00A665AC" w:rsidRPr="71886034">
        <w:rPr>
          <w:rFonts w:ascii="Verdana" w:hAnsi="Verdana" w:cs="Tahoma"/>
          <w:sz w:val="24"/>
          <w:szCs w:val="24"/>
        </w:rPr>
        <w:t>lor</w:t>
      </w:r>
      <w:r w:rsidR="00BD4BC3" w:rsidRPr="71886034">
        <w:rPr>
          <w:rFonts w:ascii="Verdana" w:hAnsi="Verdana" w:cs="Tahoma"/>
          <w:sz w:val="24"/>
          <w:szCs w:val="24"/>
        </w:rPr>
        <w:t xml:space="preserve"> de $ 3.303.859.21; </w:t>
      </w:r>
      <w:proofErr w:type="spellStart"/>
      <w:r w:rsidR="00BD4BC3" w:rsidRPr="71886034">
        <w:rPr>
          <w:rFonts w:ascii="Verdana" w:hAnsi="Verdana" w:cs="Tahoma"/>
          <w:sz w:val="24"/>
          <w:szCs w:val="24"/>
        </w:rPr>
        <w:t>ii</w:t>
      </w:r>
      <w:proofErr w:type="spellEnd"/>
      <w:r w:rsidR="00BD4BC3" w:rsidRPr="71886034">
        <w:rPr>
          <w:rFonts w:ascii="Verdana" w:hAnsi="Verdana" w:cs="Tahoma"/>
          <w:sz w:val="24"/>
          <w:szCs w:val="24"/>
        </w:rPr>
        <w:t xml:space="preserve">) Resolución RDP 039790 del 21 de octubre de 2016, indexación reconocida por un valor de $ 4.848.722.36. </w:t>
      </w:r>
    </w:p>
    <w:p w14:paraId="2A9725C8" w14:textId="77777777" w:rsidR="009A6ED5" w:rsidRPr="009A6ED5" w:rsidRDefault="009A6ED5" w:rsidP="00FA0DD4">
      <w:pPr>
        <w:autoSpaceDE w:val="0"/>
        <w:autoSpaceDN w:val="0"/>
        <w:adjustRightInd w:val="0"/>
        <w:spacing w:after="0" w:line="360" w:lineRule="auto"/>
        <w:jc w:val="both"/>
        <w:rPr>
          <w:rFonts w:ascii="Verdana" w:hAnsi="Verdana" w:cs="Tahoma"/>
          <w:sz w:val="24"/>
          <w:szCs w:val="24"/>
        </w:rPr>
      </w:pPr>
    </w:p>
    <w:p w14:paraId="20F72EAD" w14:textId="28D24F42" w:rsidR="00F451D1" w:rsidRPr="009A6ED5" w:rsidRDefault="001F7ECE" w:rsidP="00FA0DD4">
      <w:pPr>
        <w:autoSpaceDE w:val="0"/>
        <w:autoSpaceDN w:val="0"/>
        <w:adjustRightInd w:val="0"/>
        <w:spacing w:after="0" w:line="360" w:lineRule="auto"/>
        <w:jc w:val="both"/>
        <w:rPr>
          <w:rFonts w:ascii="Verdana" w:hAnsi="Verdana" w:cs="Tahoma"/>
          <w:sz w:val="24"/>
          <w:szCs w:val="24"/>
        </w:rPr>
      </w:pPr>
      <w:r w:rsidRPr="009A6ED5">
        <w:rPr>
          <w:rFonts w:ascii="Verdana" w:hAnsi="Verdana" w:cs="Tahoma"/>
          <w:sz w:val="24"/>
          <w:szCs w:val="24"/>
        </w:rPr>
        <w:t>Seguidamente</w:t>
      </w:r>
      <w:r w:rsidR="00F451D1" w:rsidRPr="009A6ED5">
        <w:rPr>
          <w:rFonts w:ascii="Verdana" w:hAnsi="Verdana" w:cs="Tahoma"/>
          <w:sz w:val="24"/>
          <w:szCs w:val="24"/>
        </w:rPr>
        <w:t xml:space="preserve"> hizo una explicación del procedimiento</w:t>
      </w:r>
      <w:r w:rsidRPr="009A6ED5">
        <w:rPr>
          <w:rFonts w:ascii="Verdana" w:hAnsi="Verdana" w:cs="Tahoma"/>
          <w:sz w:val="24"/>
          <w:szCs w:val="24"/>
        </w:rPr>
        <w:t xml:space="preserve"> aritmético para calcular los intereses moratorios y concluyó que “</w:t>
      </w:r>
      <w:r w:rsidRPr="009A6ED5">
        <w:rPr>
          <w:rFonts w:ascii="Verdana" w:hAnsi="Verdana" w:cs="Tahoma"/>
          <w:i/>
          <w:iCs/>
          <w:sz w:val="24"/>
          <w:szCs w:val="24"/>
        </w:rPr>
        <w:t xml:space="preserve">al ordenar el reconocimiento de los intereses por mora concomitante con la indexación se estaría condenando a la entidad a un doble pago por la misma causa” </w:t>
      </w:r>
      <w:r w:rsidRPr="009A6ED5">
        <w:rPr>
          <w:rFonts w:ascii="Verdana" w:hAnsi="Verdana" w:cs="Tahoma"/>
          <w:sz w:val="24"/>
          <w:szCs w:val="24"/>
        </w:rPr>
        <w:t>(doc.059 E.D.)</w:t>
      </w:r>
    </w:p>
    <w:p w14:paraId="14743929" w14:textId="77777777" w:rsidR="001F7ECE" w:rsidRPr="009A6ED5" w:rsidRDefault="001F7ECE" w:rsidP="00FA0DD4">
      <w:pPr>
        <w:autoSpaceDE w:val="0"/>
        <w:autoSpaceDN w:val="0"/>
        <w:adjustRightInd w:val="0"/>
        <w:spacing w:after="0" w:line="360" w:lineRule="auto"/>
        <w:jc w:val="both"/>
        <w:rPr>
          <w:rFonts w:ascii="Verdana" w:hAnsi="Verdana" w:cs="Tahoma"/>
          <w:sz w:val="24"/>
          <w:szCs w:val="24"/>
        </w:rPr>
      </w:pPr>
    </w:p>
    <w:p w14:paraId="0E9810A5" w14:textId="7DE8EA69" w:rsidR="00BD4BC3" w:rsidRPr="009A6ED5" w:rsidRDefault="00BD4BC3" w:rsidP="00FA0DD4">
      <w:pPr>
        <w:autoSpaceDE w:val="0"/>
        <w:autoSpaceDN w:val="0"/>
        <w:adjustRightInd w:val="0"/>
        <w:spacing w:after="0" w:line="360" w:lineRule="auto"/>
        <w:jc w:val="both"/>
        <w:rPr>
          <w:rFonts w:ascii="Verdana" w:hAnsi="Verdana" w:cs="Tahoma"/>
          <w:sz w:val="24"/>
          <w:szCs w:val="24"/>
        </w:rPr>
      </w:pPr>
      <w:r w:rsidRPr="71886034">
        <w:rPr>
          <w:rFonts w:ascii="Verdana" w:hAnsi="Verdana" w:cs="Tahoma"/>
          <w:sz w:val="24"/>
          <w:szCs w:val="24"/>
        </w:rPr>
        <w:t xml:space="preserve">Finalmente arguyó que </w:t>
      </w:r>
      <w:r w:rsidR="00BB1A14" w:rsidRPr="71886034">
        <w:rPr>
          <w:rFonts w:ascii="Verdana" w:hAnsi="Verdana" w:cs="Tahoma"/>
          <w:sz w:val="24"/>
          <w:szCs w:val="24"/>
        </w:rPr>
        <w:t>el reconocimiento de la indexación y de los intereses moratorios e</w:t>
      </w:r>
      <w:r w:rsidR="00BB5F46" w:rsidRPr="71886034">
        <w:rPr>
          <w:rFonts w:ascii="Verdana" w:hAnsi="Verdana" w:cs="Tahoma"/>
          <w:sz w:val="24"/>
          <w:szCs w:val="24"/>
        </w:rPr>
        <w:t>s incompatible al generar un doble pago de la condena impuesta</w:t>
      </w:r>
      <w:r w:rsidR="00A665AC" w:rsidRPr="71886034">
        <w:rPr>
          <w:rFonts w:ascii="Verdana" w:hAnsi="Verdana" w:cs="Tahoma"/>
          <w:sz w:val="24"/>
          <w:szCs w:val="24"/>
        </w:rPr>
        <w:t>, por lo que no habría lugar a pagar el valor de $22.862.656.14</w:t>
      </w:r>
      <w:r w:rsidR="00BB5F46" w:rsidRPr="71886034">
        <w:rPr>
          <w:rFonts w:ascii="Verdana" w:hAnsi="Verdana" w:cs="Tahoma"/>
          <w:sz w:val="24"/>
          <w:szCs w:val="24"/>
        </w:rPr>
        <w:t>.</w:t>
      </w:r>
      <w:r w:rsidR="00F451D1" w:rsidRPr="71886034">
        <w:rPr>
          <w:rFonts w:ascii="Verdana" w:hAnsi="Verdana" w:cs="Tahoma"/>
          <w:sz w:val="24"/>
          <w:szCs w:val="24"/>
        </w:rPr>
        <w:t>, impuesto en la decisión que se recurre.</w:t>
      </w:r>
      <w:r w:rsidR="00BB5F46" w:rsidRPr="71886034">
        <w:rPr>
          <w:rFonts w:ascii="Verdana" w:hAnsi="Verdana" w:cs="Tahoma"/>
          <w:sz w:val="24"/>
          <w:szCs w:val="24"/>
        </w:rPr>
        <w:t xml:space="preserve"> </w:t>
      </w:r>
      <w:r w:rsidR="00A665AC" w:rsidRPr="71886034">
        <w:rPr>
          <w:rFonts w:ascii="Verdana" w:hAnsi="Verdana" w:cs="Tahoma"/>
          <w:sz w:val="24"/>
          <w:szCs w:val="24"/>
        </w:rPr>
        <w:t>(doc.059 E.D.)</w:t>
      </w:r>
    </w:p>
    <w:p w14:paraId="7AC3504C" w14:textId="700255FB" w:rsidR="00FA0DD4" w:rsidRDefault="00FA0DD4" w:rsidP="00FA0DD4">
      <w:pPr>
        <w:keepNext/>
        <w:spacing w:after="0" w:line="360" w:lineRule="auto"/>
        <w:ind w:left="1080"/>
        <w:jc w:val="center"/>
        <w:outlineLvl w:val="0"/>
        <w:rPr>
          <w:rFonts w:ascii="Verdana" w:eastAsia="MS Mincho" w:hAnsi="Verdana" w:cs="Arial"/>
          <w:b/>
          <w:lang w:val="es-ES_tradnl" w:eastAsia="es-ES"/>
        </w:rPr>
      </w:pPr>
    </w:p>
    <w:p w14:paraId="24A96AFB" w14:textId="77777777" w:rsidR="006F3C0D" w:rsidRPr="006F3C0D" w:rsidRDefault="006F3C0D" w:rsidP="00FA0DD4">
      <w:pPr>
        <w:keepNext/>
        <w:spacing w:after="0" w:line="360" w:lineRule="auto"/>
        <w:ind w:left="1080"/>
        <w:jc w:val="center"/>
        <w:outlineLvl w:val="0"/>
        <w:rPr>
          <w:rFonts w:ascii="Verdana" w:eastAsia="MS Mincho" w:hAnsi="Verdana" w:cs="Arial"/>
          <w:b/>
          <w:sz w:val="24"/>
          <w:szCs w:val="24"/>
          <w:lang w:val="es-ES_tradnl" w:eastAsia="es-ES"/>
        </w:rPr>
      </w:pPr>
    </w:p>
    <w:p w14:paraId="31EC62F4" w14:textId="77777777" w:rsidR="00FA0DD4" w:rsidRPr="006F3C0D" w:rsidRDefault="00FA0DD4" w:rsidP="00FA0DD4">
      <w:pPr>
        <w:keepNext/>
        <w:spacing w:after="0" w:line="360" w:lineRule="auto"/>
        <w:ind w:left="1080"/>
        <w:jc w:val="center"/>
        <w:outlineLvl w:val="0"/>
        <w:rPr>
          <w:rFonts w:ascii="Verdana" w:eastAsia="MS Mincho" w:hAnsi="Verdana" w:cs="Arial"/>
          <w:b/>
          <w:sz w:val="24"/>
          <w:szCs w:val="24"/>
          <w:lang w:val="es-ES_tradnl" w:eastAsia="es-ES"/>
        </w:rPr>
      </w:pPr>
      <w:r w:rsidRPr="006F3C0D">
        <w:rPr>
          <w:rFonts w:ascii="Verdana" w:eastAsia="MS Mincho" w:hAnsi="Verdana" w:cs="Arial"/>
          <w:b/>
          <w:sz w:val="24"/>
          <w:szCs w:val="24"/>
          <w:lang w:val="es-ES_tradnl" w:eastAsia="es-ES"/>
        </w:rPr>
        <w:t>IV. CONSIDERACIONES</w:t>
      </w:r>
    </w:p>
    <w:p w14:paraId="549D017B" w14:textId="77777777" w:rsidR="00FA0DD4" w:rsidRPr="006F3C0D" w:rsidRDefault="00FA0DD4" w:rsidP="00FA0DD4">
      <w:pPr>
        <w:keepNext/>
        <w:spacing w:after="0" w:line="360" w:lineRule="auto"/>
        <w:ind w:left="1080"/>
        <w:jc w:val="center"/>
        <w:outlineLvl w:val="0"/>
        <w:rPr>
          <w:rFonts w:ascii="Verdana" w:eastAsia="MS Mincho" w:hAnsi="Verdana" w:cs="Arial"/>
          <w:b/>
          <w:sz w:val="24"/>
          <w:szCs w:val="24"/>
          <w:lang w:val="es-ES_tradnl" w:eastAsia="es-ES"/>
        </w:rPr>
      </w:pPr>
    </w:p>
    <w:p w14:paraId="261AE19D" w14:textId="78F45A6D" w:rsidR="003C6DCF" w:rsidRPr="006F3C0D" w:rsidRDefault="00FA0DD4" w:rsidP="00FA0DD4">
      <w:pPr>
        <w:spacing w:after="0" w:line="360" w:lineRule="auto"/>
        <w:ind w:right="20"/>
        <w:jc w:val="both"/>
        <w:rPr>
          <w:rFonts w:ascii="Verdana" w:hAnsi="Verdana"/>
          <w:b/>
          <w:sz w:val="24"/>
          <w:szCs w:val="24"/>
          <w:lang w:val="es" w:eastAsia="es-CO"/>
        </w:rPr>
      </w:pPr>
      <w:r w:rsidRPr="006F3C0D">
        <w:rPr>
          <w:rFonts w:ascii="Verdana" w:hAnsi="Verdana"/>
          <w:b/>
          <w:sz w:val="24"/>
          <w:szCs w:val="24"/>
          <w:lang w:val="es" w:eastAsia="es-CO"/>
        </w:rPr>
        <w:t>4.1.-</w:t>
      </w:r>
      <w:r w:rsidR="003C6DCF" w:rsidRPr="006F3C0D">
        <w:rPr>
          <w:rFonts w:ascii="Verdana" w:hAnsi="Verdana"/>
          <w:b/>
          <w:sz w:val="24"/>
          <w:szCs w:val="24"/>
          <w:lang w:val="es" w:eastAsia="es-CO"/>
        </w:rPr>
        <w:t xml:space="preserve"> Cuestión Previa </w:t>
      </w:r>
      <w:r w:rsidRPr="006F3C0D">
        <w:rPr>
          <w:rFonts w:ascii="Verdana" w:hAnsi="Verdana"/>
          <w:b/>
          <w:sz w:val="24"/>
          <w:szCs w:val="24"/>
          <w:lang w:val="es" w:eastAsia="es-CO"/>
        </w:rPr>
        <w:t xml:space="preserve"> </w:t>
      </w:r>
    </w:p>
    <w:p w14:paraId="7A764A40" w14:textId="513E028E" w:rsidR="003C6DCF" w:rsidRPr="006F3C0D" w:rsidRDefault="003C6DCF" w:rsidP="00FA0DD4">
      <w:pPr>
        <w:spacing w:after="0" w:line="360" w:lineRule="auto"/>
        <w:ind w:right="20"/>
        <w:jc w:val="both"/>
        <w:rPr>
          <w:rFonts w:ascii="Verdana" w:hAnsi="Verdana"/>
          <w:b/>
          <w:sz w:val="24"/>
          <w:szCs w:val="24"/>
          <w:lang w:val="es" w:eastAsia="es-CO"/>
        </w:rPr>
      </w:pPr>
    </w:p>
    <w:p w14:paraId="368445DC" w14:textId="7BBBB164" w:rsidR="003C6DCF" w:rsidRPr="006F3C0D" w:rsidRDefault="003C6DCF" w:rsidP="71886034">
      <w:pPr>
        <w:spacing w:after="0" w:line="360" w:lineRule="auto"/>
        <w:ind w:right="20"/>
        <w:jc w:val="both"/>
        <w:rPr>
          <w:rFonts w:ascii="Verdana" w:hAnsi="Verdana"/>
          <w:sz w:val="24"/>
          <w:szCs w:val="24"/>
          <w:lang w:val="es" w:eastAsia="es-CO"/>
        </w:rPr>
      </w:pPr>
      <w:r w:rsidRPr="71886034">
        <w:rPr>
          <w:rFonts w:ascii="Verdana" w:hAnsi="Verdana"/>
          <w:sz w:val="24"/>
          <w:szCs w:val="24"/>
          <w:lang w:val="es" w:eastAsia="es-CO"/>
        </w:rPr>
        <w:t xml:space="preserve">Sea del caso precisar que una vez revisadas las piezas procesales y las diferentes actuaciones surtidas dentro del presente medio de control, avizora el Despacho </w:t>
      </w:r>
      <w:r w:rsidR="00504646" w:rsidRPr="71886034">
        <w:rPr>
          <w:rFonts w:ascii="Verdana" w:hAnsi="Verdana"/>
          <w:sz w:val="24"/>
          <w:szCs w:val="24"/>
          <w:lang w:val="es" w:eastAsia="es-CO"/>
        </w:rPr>
        <w:t xml:space="preserve">que </w:t>
      </w:r>
      <w:r w:rsidRPr="71886034">
        <w:rPr>
          <w:rFonts w:ascii="Verdana" w:hAnsi="Verdana"/>
          <w:sz w:val="24"/>
          <w:szCs w:val="24"/>
          <w:lang w:val="es" w:eastAsia="es-CO"/>
        </w:rPr>
        <w:t xml:space="preserve">el </w:t>
      </w:r>
      <w:r w:rsidR="00504646" w:rsidRPr="71886034">
        <w:rPr>
          <w:rFonts w:ascii="Verdana" w:hAnsi="Verdana"/>
          <w:sz w:val="24"/>
          <w:szCs w:val="24"/>
          <w:lang w:val="es" w:eastAsia="es-CO"/>
        </w:rPr>
        <w:t>J</w:t>
      </w:r>
      <w:r w:rsidRPr="71886034">
        <w:rPr>
          <w:rFonts w:ascii="Verdana" w:hAnsi="Verdana"/>
          <w:sz w:val="24"/>
          <w:szCs w:val="24"/>
          <w:lang w:val="es" w:eastAsia="es-CO"/>
        </w:rPr>
        <w:t xml:space="preserve">uzgado </w:t>
      </w:r>
      <w:r w:rsidR="00504646" w:rsidRPr="71886034">
        <w:rPr>
          <w:rFonts w:ascii="Verdana" w:hAnsi="Verdana"/>
          <w:sz w:val="24"/>
          <w:szCs w:val="24"/>
          <w:lang w:val="es" w:eastAsia="es-CO"/>
        </w:rPr>
        <w:t>Tr</w:t>
      </w:r>
      <w:r w:rsidRPr="71886034">
        <w:rPr>
          <w:rFonts w:ascii="Verdana" w:hAnsi="Verdana"/>
          <w:sz w:val="24"/>
          <w:szCs w:val="24"/>
          <w:lang w:val="es" w:eastAsia="es-CO"/>
        </w:rPr>
        <w:t xml:space="preserve">ece Administrativo del Circuito Judicial de Tunja, en providencia de fecha </w:t>
      </w:r>
      <w:r w:rsidR="00D64627" w:rsidRPr="71886034">
        <w:rPr>
          <w:rFonts w:ascii="Verdana" w:hAnsi="Verdana"/>
          <w:sz w:val="24"/>
          <w:szCs w:val="24"/>
          <w:lang w:val="es" w:eastAsia="es-CO"/>
        </w:rPr>
        <w:t>04 de marzo de 2020, decretó medida cautelar consistente en el embargo de algunos dineros, decisión que fue recurrida por la Unidad Administrativa Especial de Gestión Pensional y Contribuciones parafiscales</w:t>
      </w:r>
      <w:r w:rsidR="004E580E" w:rsidRPr="71886034">
        <w:rPr>
          <w:rFonts w:ascii="Verdana" w:hAnsi="Verdana"/>
          <w:sz w:val="24"/>
          <w:szCs w:val="24"/>
          <w:lang w:val="es" w:eastAsia="es-CO"/>
        </w:rPr>
        <w:t>-</w:t>
      </w:r>
      <w:r w:rsidR="00D64627" w:rsidRPr="71886034">
        <w:rPr>
          <w:rFonts w:ascii="Verdana" w:hAnsi="Verdana"/>
          <w:sz w:val="24"/>
          <w:szCs w:val="24"/>
          <w:lang w:val="es" w:eastAsia="es-CO"/>
        </w:rPr>
        <w:t xml:space="preserve"> UGPP y desatada en providencia proferida p</w:t>
      </w:r>
      <w:r w:rsidR="004E580E" w:rsidRPr="71886034">
        <w:rPr>
          <w:rFonts w:ascii="Verdana" w:hAnsi="Verdana"/>
          <w:sz w:val="24"/>
          <w:szCs w:val="24"/>
          <w:lang w:val="es" w:eastAsia="es-CO"/>
        </w:rPr>
        <w:t>or</w:t>
      </w:r>
      <w:r w:rsidR="00D64627" w:rsidRPr="71886034">
        <w:rPr>
          <w:rFonts w:ascii="Verdana" w:hAnsi="Verdana"/>
          <w:sz w:val="24"/>
          <w:szCs w:val="24"/>
          <w:lang w:val="es" w:eastAsia="es-CO"/>
        </w:rPr>
        <w:t xml:space="preserve"> este Despacho el 15 de julio de 2021, confirmando la decisión de la Juez de instancia de fecha 4 de marzo de 2020. </w:t>
      </w:r>
    </w:p>
    <w:p w14:paraId="51B02102" w14:textId="6CEF24FD" w:rsidR="00D64627" w:rsidRPr="006F3C0D" w:rsidRDefault="00D64627" w:rsidP="00FA0DD4">
      <w:pPr>
        <w:spacing w:after="0" w:line="360" w:lineRule="auto"/>
        <w:ind w:right="20"/>
        <w:jc w:val="both"/>
        <w:rPr>
          <w:rFonts w:ascii="Verdana" w:hAnsi="Verdana"/>
          <w:bCs/>
          <w:sz w:val="24"/>
          <w:szCs w:val="24"/>
          <w:lang w:val="es" w:eastAsia="es-CO"/>
        </w:rPr>
      </w:pPr>
    </w:p>
    <w:p w14:paraId="2D6AE0E4" w14:textId="2B44DBBD" w:rsidR="00D64627" w:rsidRPr="006F3C0D" w:rsidRDefault="00D64627" w:rsidP="71886034">
      <w:pPr>
        <w:spacing w:after="0" w:line="360" w:lineRule="auto"/>
        <w:ind w:right="20"/>
        <w:jc w:val="both"/>
        <w:rPr>
          <w:rFonts w:ascii="Verdana" w:hAnsi="Verdana"/>
          <w:sz w:val="24"/>
          <w:szCs w:val="24"/>
          <w:lang w:val="es" w:eastAsia="es-CO"/>
        </w:rPr>
      </w:pPr>
      <w:r w:rsidRPr="71886034">
        <w:rPr>
          <w:rFonts w:ascii="Verdana" w:hAnsi="Verdana"/>
          <w:sz w:val="24"/>
          <w:szCs w:val="24"/>
          <w:lang w:val="es" w:eastAsia="es-CO"/>
        </w:rPr>
        <w:t xml:space="preserve">Sin </w:t>
      </w:r>
      <w:r w:rsidR="004E580E" w:rsidRPr="71886034">
        <w:rPr>
          <w:rFonts w:ascii="Verdana" w:hAnsi="Verdana"/>
          <w:sz w:val="24"/>
          <w:szCs w:val="24"/>
          <w:lang w:val="es" w:eastAsia="es-CO"/>
        </w:rPr>
        <w:t>embargo</w:t>
      </w:r>
      <w:r w:rsidRPr="71886034">
        <w:rPr>
          <w:rFonts w:ascii="Verdana" w:hAnsi="Verdana"/>
          <w:sz w:val="24"/>
          <w:szCs w:val="24"/>
          <w:lang w:val="es" w:eastAsia="es-CO"/>
        </w:rPr>
        <w:t>, por error involuntario, con fecha 28 de octubre de 2021</w:t>
      </w:r>
      <w:r w:rsidR="004E580E" w:rsidRPr="71886034">
        <w:rPr>
          <w:rFonts w:ascii="Verdana" w:hAnsi="Verdana"/>
          <w:sz w:val="24"/>
          <w:szCs w:val="24"/>
          <w:lang w:val="es" w:eastAsia="es-CO"/>
        </w:rPr>
        <w:t xml:space="preserve">, nuevamente se profirió decisión de fondo referente a la imposición </w:t>
      </w:r>
      <w:r w:rsidR="00504646" w:rsidRPr="71886034">
        <w:rPr>
          <w:rFonts w:ascii="Verdana" w:hAnsi="Verdana"/>
          <w:sz w:val="24"/>
          <w:szCs w:val="24"/>
          <w:lang w:val="es" w:eastAsia="es-CO"/>
        </w:rPr>
        <w:t xml:space="preserve">de la </w:t>
      </w:r>
      <w:r w:rsidR="004E580E" w:rsidRPr="71886034">
        <w:rPr>
          <w:rFonts w:ascii="Verdana" w:hAnsi="Verdana"/>
          <w:sz w:val="24"/>
          <w:szCs w:val="24"/>
          <w:lang w:val="es" w:eastAsia="es-CO"/>
        </w:rPr>
        <w:t xml:space="preserve">medida cautelar de embargo de dineros que había sido decretada por la Juez de Instancia. </w:t>
      </w:r>
    </w:p>
    <w:p w14:paraId="65BA08B3" w14:textId="2CECB084" w:rsidR="004E580E" w:rsidRPr="006F3C0D" w:rsidRDefault="004E580E" w:rsidP="00FA0DD4">
      <w:pPr>
        <w:spacing w:after="0" w:line="360" w:lineRule="auto"/>
        <w:ind w:right="20"/>
        <w:jc w:val="both"/>
        <w:rPr>
          <w:rFonts w:ascii="Verdana" w:hAnsi="Verdana"/>
          <w:bCs/>
          <w:sz w:val="24"/>
          <w:szCs w:val="24"/>
          <w:lang w:val="es" w:eastAsia="es-CO"/>
        </w:rPr>
      </w:pPr>
    </w:p>
    <w:p w14:paraId="093FE5DC" w14:textId="40E58731" w:rsidR="00E15CA8" w:rsidRPr="006F3C0D" w:rsidRDefault="004E580E" w:rsidP="00E15CA8">
      <w:pPr>
        <w:spacing w:after="0" w:line="360" w:lineRule="auto"/>
        <w:jc w:val="both"/>
        <w:textAlignment w:val="baseline"/>
        <w:rPr>
          <w:rFonts w:ascii="Verdana" w:hAnsi="Verdana"/>
          <w:sz w:val="24"/>
          <w:szCs w:val="24"/>
        </w:rPr>
      </w:pPr>
      <w:r w:rsidRPr="71886034">
        <w:rPr>
          <w:rFonts w:ascii="Verdana" w:hAnsi="Verdana"/>
          <w:sz w:val="24"/>
          <w:szCs w:val="24"/>
          <w:lang w:val="es" w:eastAsia="es-CO"/>
        </w:rPr>
        <w:t xml:space="preserve">En consecuencia, </w:t>
      </w:r>
      <w:r w:rsidRPr="71886034">
        <w:rPr>
          <w:rFonts w:ascii="Verdana" w:hAnsi="Verdana"/>
          <w:b/>
          <w:bCs/>
          <w:sz w:val="24"/>
          <w:szCs w:val="24"/>
          <w:lang w:val="es" w:eastAsia="es-CO"/>
        </w:rPr>
        <w:t xml:space="preserve">se </w:t>
      </w:r>
      <w:r w:rsidR="00E15CA8" w:rsidRPr="71886034">
        <w:rPr>
          <w:rFonts w:ascii="Verdana" w:hAnsi="Verdana"/>
          <w:b/>
          <w:bCs/>
          <w:sz w:val="24"/>
          <w:szCs w:val="24"/>
          <w:lang w:val="es" w:eastAsia="es-CO"/>
        </w:rPr>
        <w:t>dejará</w:t>
      </w:r>
      <w:r w:rsidRPr="71886034">
        <w:rPr>
          <w:rFonts w:ascii="Verdana" w:hAnsi="Verdana"/>
          <w:b/>
          <w:bCs/>
          <w:sz w:val="24"/>
          <w:szCs w:val="24"/>
          <w:lang w:val="es" w:eastAsia="es-CO"/>
        </w:rPr>
        <w:t xml:space="preserve"> sin efecto</w:t>
      </w:r>
      <w:r w:rsidR="00E15CA8" w:rsidRPr="71886034">
        <w:rPr>
          <w:rFonts w:ascii="Verdana" w:hAnsi="Verdana"/>
          <w:b/>
          <w:bCs/>
          <w:sz w:val="24"/>
          <w:szCs w:val="24"/>
          <w:lang w:val="es" w:eastAsia="es-CO"/>
        </w:rPr>
        <w:t>s</w:t>
      </w:r>
      <w:r w:rsidRPr="71886034">
        <w:rPr>
          <w:rFonts w:ascii="Verdana" w:hAnsi="Verdana"/>
          <w:b/>
          <w:bCs/>
          <w:sz w:val="24"/>
          <w:szCs w:val="24"/>
          <w:lang w:val="es" w:eastAsia="es-CO"/>
        </w:rPr>
        <w:t xml:space="preserve"> </w:t>
      </w:r>
      <w:r w:rsidR="00E15CA8" w:rsidRPr="71886034">
        <w:rPr>
          <w:rFonts w:ascii="Verdana" w:hAnsi="Verdana"/>
          <w:b/>
          <w:bCs/>
          <w:sz w:val="24"/>
          <w:szCs w:val="24"/>
          <w:lang w:val="es" w:eastAsia="es-CO"/>
        </w:rPr>
        <w:t xml:space="preserve">la providencia </w:t>
      </w:r>
      <w:r w:rsidRPr="71886034">
        <w:rPr>
          <w:rFonts w:ascii="Verdana" w:hAnsi="Verdana"/>
          <w:b/>
          <w:bCs/>
          <w:sz w:val="24"/>
          <w:szCs w:val="24"/>
          <w:lang w:val="es" w:eastAsia="es-CO"/>
        </w:rPr>
        <w:t>de fecha 28 de octubre de 2021</w:t>
      </w:r>
      <w:r w:rsidRPr="71886034">
        <w:rPr>
          <w:rFonts w:ascii="Verdana" w:hAnsi="Verdana"/>
          <w:sz w:val="24"/>
          <w:szCs w:val="24"/>
          <w:lang w:val="es" w:eastAsia="es-CO"/>
        </w:rPr>
        <w:t xml:space="preserve">, a través del cual se desató el recurso de apelación interpuesto contra la decisión del Juzgado </w:t>
      </w:r>
      <w:r w:rsidRPr="00E120C8">
        <w:rPr>
          <w:rFonts w:ascii="Verdana" w:hAnsi="Verdana"/>
          <w:sz w:val="24"/>
          <w:szCs w:val="24"/>
          <w:lang w:val="es" w:eastAsia="es-CO"/>
        </w:rPr>
        <w:t>Trece</w:t>
      </w:r>
      <w:r w:rsidRPr="71886034">
        <w:rPr>
          <w:rFonts w:ascii="Verdana" w:hAnsi="Verdana"/>
          <w:sz w:val="24"/>
          <w:szCs w:val="24"/>
          <w:lang w:val="es" w:eastAsia="es-CO"/>
        </w:rPr>
        <w:t xml:space="preserve"> Administrativo del circuito Judicial de Tunja, que resolvió decretar una medida cautelar de embargo </w:t>
      </w:r>
      <w:r w:rsidR="00E15CA8" w:rsidRPr="006F3C0D">
        <w:rPr>
          <w:rFonts w:ascii="Verdana" w:hAnsi="Verdana" w:cs="Arial"/>
          <w:sz w:val="24"/>
          <w:szCs w:val="24"/>
        </w:rPr>
        <w:t xml:space="preserve">y retención de </w:t>
      </w:r>
      <w:r w:rsidR="00E15CA8" w:rsidRPr="006F3C0D">
        <w:rPr>
          <w:rFonts w:ascii="Verdana" w:hAnsi="Verdana"/>
          <w:sz w:val="24"/>
          <w:szCs w:val="24"/>
        </w:rPr>
        <w:t xml:space="preserve">dineros que tenga o llegue a tener la UGPP en las cuentas Nos.  </w:t>
      </w:r>
      <w:r w:rsidR="00E15CA8" w:rsidRPr="006F3C0D">
        <w:rPr>
          <w:rFonts w:ascii="Verdana" w:hAnsi="Verdana" w:cs="Arial"/>
          <w:sz w:val="24"/>
          <w:szCs w:val="24"/>
        </w:rPr>
        <w:t xml:space="preserve">110-026-00169-03, 110-02600137-0, 110-02600138-8, 11002600140-4 del Banco Popular, </w:t>
      </w:r>
      <w:r w:rsidR="00E15CA8" w:rsidRPr="006F3C0D">
        <w:rPr>
          <w:rFonts w:ascii="Verdana" w:hAnsi="Verdana"/>
          <w:sz w:val="24"/>
          <w:szCs w:val="24"/>
        </w:rPr>
        <w:t>en tanto que una providencia ilegal no ata al juez</w:t>
      </w:r>
      <w:r w:rsidR="00E15CA8" w:rsidRPr="006F3C0D">
        <w:rPr>
          <w:rStyle w:val="Refdenotaalpie"/>
          <w:rFonts w:ascii="Verdana" w:hAnsi="Verdana"/>
          <w:sz w:val="24"/>
          <w:szCs w:val="24"/>
        </w:rPr>
        <w:footnoteReference w:id="3"/>
      </w:r>
      <w:r w:rsidR="00E15CA8" w:rsidRPr="006F3C0D">
        <w:rPr>
          <w:rFonts w:ascii="Verdana" w:hAnsi="Verdana"/>
          <w:sz w:val="24"/>
          <w:szCs w:val="24"/>
        </w:rPr>
        <w:t xml:space="preserve">. </w:t>
      </w:r>
    </w:p>
    <w:p w14:paraId="0F3C8A9A" w14:textId="3CB03110" w:rsidR="004E580E" w:rsidRPr="006F3C0D" w:rsidRDefault="004E580E" w:rsidP="00FA0DD4">
      <w:pPr>
        <w:spacing w:after="0" w:line="360" w:lineRule="auto"/>
        <w:ind w:right="20"/>
        <w:jc w:val="both"/>
        <w:rPr>
          <w:rFonts w:ascii="Verdana" w:hAnsi="Verdana"/>
          <w:bCs/>
          <w:sz w:val="24"/>
          <w:szCs w:val="24"/>
          <w:lang w:val="es" w:eastAsia="es-CO"/>
        </w:rPr>
      </w:pPr>
    </w:p>
    <w:p w14:paraId="7B7940C0" w14:textId="77777777" w:rsidR="00E15CA8" w:rsidRPr="006F3C0D" w:rsidRDefault="00E15CA8" w:rsidP="00E15CA8">
      <w:pPr>
        <w:spacing w:after="0" w:line="360" w:lineRule="auto"/>
        <w:jc w:val="both"/>
        <w:textAlignment w:val="baseline"/>
        <w:rPr>
          <w:rFonts w:ascii="Verdana" w:hAnsi="Verdana"/>
          <w:sz w:val="24"/>
          <w:szCs w:val="24"/>
        </w:rPr>
      </w:pPr>
      <w:r w:rsidRPr="006F3C0D">
        <w:rPr>
          <w:rFonts w:ascii="Verdana" w:hAnsi="Verdana"/>
          <w:sz w:val="24"/>
          <w:szCs w:val="24"/>
        </w:rPr>
        <w:t>El Consejo de Estado se ha pronunciado a este respecto en los siguientes términos:</w:t>
      </w:r>
    </w:p>
    <w:p w14:paraId="75B6117D" w14:textId="77777777" w:rsidR="00E15CA8" w:rsidRPr="00BF1C54" w:rsidRDefault="00E15CA8" w:rsidP="00E15CA8">
      <w:pPr>
        <w:spacing w:after="0" w:line="360" w:lineRule="auto"/>
        <w:jc w:val="both"/>
        <w:textAlignment w:val="baseline"/>
        <w:rPr>
          <w:rFonts w:ascii="Verdana" w:hAnsi="Verdana"/>
          <w:sz w:val="24"/>
          <w:szCs w:val="24"/>
        </w:rPr>
      </w:pPr>
    </w:p>
    <w:p w14:paraId="64C9DF78" w14:textId="77777777" w:rsidR="00E15CA8" w:rsidRPr="00BF1C54" w:rsidRDefault="00E15CA8" w:rsidP="00E15CA8">
      <w:pPr>
        <w:spacing w:after="0" w:line="240" w:lineRule="auto"/>
        <w:ind w:left="567"/>
        <w:jc w:val="both"/>
        <w:textAlignment w:val="baseline"/>
        <w:rPr>
          <w:rFonts w:ascii="Verdana" w:hAnsi="Verdana"/>
          <w:i/>
          <w:iCs/>
        </w:rPr>
      </w:pPr>
      <w:r w:rsidRPr="00BF1C54">
        <w:rPr>
          <w:rFonts w:ascii="Verdana" w:hAnsi="Verdana"/>
          <w:i/>
          <w:iCs/>
        </w:rPr>
        <w:t xml:space="preserve">“Esta Sección ha señalado que es deber del juez revocar o modificar las providencias </w:t>
      </w:r>
      <w:r>
        <w:rPr>
          <w:rFonts w:ascii="Verdana" w:hAnsi="Verdana"/>
          <w:i/>
          <w:iCs/>
        </w:rPr>
        <w:t>i</w:t>
      </w:r>
      <w:r w:rsidRPr="00BF1C54">
        <w:rPr>
          <w:rFonts w:ascii="Verdana" w:hAnsi="Verdana"/>
          <w:i/>
          <w:iCs/>
        </w:rPr>
        <w:t>legales, aún después de estar en firmes pues tales providencias no atan al juez para proceder a resolver la contienda conforme lo señala el orden jurídico”.</w:t>
      </w:r>
    </w:p>
    <w:p w14:paraId="2F8EF090" w14:textId="77777777" w:rsidR="00E15CA8" w:rsidRDefault="00E15CA8" w:rsidP="00E15CA8">
      <w:pPr>
        <w:spacing w:after="0" w:line="360" w:lineRule="auto"/>
        <w:jc w:val="both"/>
        <w:textAlignment w:val="baseline"/>
      </w:pPr>
    </w:p>
    <w:p w14:paraId="19AF825B" w14:textId="441CFD08" w:rsidR="00E15CA8" w:rsidRPr="006F3C0D" w:rsidRDefault="00E15CA8" w:rsidP="00E15CA8">
      <w:pPr>
        <w:spacing w:after="0" w:line="360" w:lineRule="auto"/>
        <w:jc w:val="both"/>
        <w:textAlignment w:val="baseline"/>
        <w:rPr>
          <w:rFonts w:ascii="Verdana" w:hAnsi="Verdana"/>
          <w:sz w:val="24"/>
          <w:szCs w:val="24"/>
        </w:rPr>
      </w:pPr>
      <w:r w:rsidRPr="006F3C0D">
        <w:rPr>
          <w:rFonts w:ascii="Verdana" w:hAnsi="Verdana"/>
          <w:sz w:val="24"/>
          <w:szCs w:val="24"/>
        </w:rPr>
        <w:lastRenderedPageBreak/>
        <w:t xml:space="preserve">En el mismo sentido, la Corte Constitucional ha dicho que a pesar de que las providencias se encuentren </w:t>
      </w:r>
      <w:bookmarkStart w:id="9" w:name="_Int_hJP11Yqu"/>
      <w:r w:rsidRPr="006F3C0D">
        <w:rPr>
          <w:rFonts w:ascii="Verdana" w:hAnsi="Verdana"/>
          <w:sz w:val="24"/>
          <w:szCs w:val="24"/>
        </w:rPr>
        <w:t>ejecutoriadas</w:t>
      </w:r>
      <w:bookmarkEnd w:id="9"/>
      <w:r w:rsidRPr="71886034">
        <w:rPr>
          <w:rFonts w:ascii="Verdana" w:hAnsi="Verdana"/>
          <w:sz w:val="24"/>
          <w:szCs w:val="24"/>
        </w:rPr>
        <w:t xml:space="preserve"> el juez puede corregir en cualquier tiempo las decisiones adoptadas en autos ilegales en ejercicio de la facultad de dirección del proceso</w:t>
      </w:r>
      <w:r w:rsidRPr="006F3C0D">
        <w:rPr>
          <w:rStyle w:val="Refdenotaalpie"/>
          <w:rFonts w:ascii="Verdana" w:hAnsi="Verdana"/>
          <w:sz w:val="24"/>
          <w:szCs w:val="24"/>
        </w:rPr>
        <w:footnoteReference w:id="4"/>
      </w:r>
      <w:r w:rsidRPr="006F3C0D">
        <w:rPr>
          <w:rFonts w:ascii="Verdana" w:hAnsi="Verdana"/>
          <w:sz w:val="24"/>
          <w:szCs w:val="24"/>
        </w:rPr>
        <w:t xml:space="preserve"> y la Corte Suprema de Justicia, por su parte, ha señalado que “… los autos ilegales no atan al Juez ni a las partes para continuar el yerro o edificar en el error decisiones posteriores y, por consiguiente, por ser decisiones que pugnan con el ordenamiento jurídico, no se constituyen ley del proceso, ni hace tránsito a cosa juzgada”</w:t>
      </w:r>
      <w:r w:rsidRPr="006F3C0D">
        <w:rPr>
          <w:rStyle w:val="Refdenotaalpie"/>
          <w:rFonts w:ascii="Verdana" w:hAnsi="Verdana"/>
          <w:sz w:val="24"/>
          <w:szCs w:val="24"/>
        </w:rPr>
        <w:footnoteReference w:id="5"/>
      </w:r>
      <w:r w:rsidRPr="006F3C0D">
        <w:rPr>
          <w:rFonts w:ascii="Verdana" w:hAnsi="Verdana"/>
          <w:sz w:val="24"/>
          <w:szCs w:val="24"/>
        </w:rPr>
        <w:t>.</w:t>
      </w:r>
    </w:p>
    <w:p w14:paraId="4E570575" w14:textId="77777777" w:rsidR="00E15CA8" w:rsidRDefault="00E15CA8" w:rsidP="00FA0DD4">
      <w:pPr>
        <w:spacing w:after="0" w:line="360" w:lineRule="auto"/>
        <w:ind w:right="20"/>
        <w:jc w:val="both"/>
        <w:rPr>
          <w:rFonts w:ascii="Verdana" w:hAnsi="Verdana"/>
          <w:bCs/>
          <w:lang w:val="es" w:eastAsia="es-CO"/>
        </w:rPr>
      </w:pPr>
    </w:p>
    <w:p w14:paraId="264EB988" w14:textId="270B6C6B" w:rsidR="00FA0DD4" w:rsidRPr="00410982" w:rsidRDefault="00FA0DD4" w:rsidP="00FA0DD4">
      <w:pPr>
        <w:spacing w:after="0" w:line="360" w:lineRule="auto"/>
        <w:ind w:right="20"/>
        <w:jc w:val="both"/>
        <w:rPr>
          <w:rFonts w:ascii="Verdana" w:hAnsi="Verdana"/>
          <w:b/>
          <w:sz w:val="24"/>
          <w:szCs w:val="24"/>
          <w:lang w:val="es" w:eastAsia="es-CO"/>
        </w:rPr>
      </w:pPr>
      <w:r w:rsidRPr="00410982">
        <w:rPr>
          <w:rFonts w:ascii="Verdana" w:hAnsi="Verdana"/>
          <w:b/>
          <w:sz w:val="24"/>
          <w:szCs w:val="24"/>
          <w:lang w:val="es" w:eastAsia="es-CO"/>
        </w:rPr>
        <w:t>Problema Jurídico</w:t>
      </w:r>
    </w:p>
    <w:p w14:paraId="353054D3" w14:textId="77777777" w:rsidR="00FA0DD4" w:rsidRPr="00410982" w:rsidRDefault="00FA0DD4" w:rsidP="00FA0DD4">
      <w:pPr>
        <w:spacing w:after="0" w:line="360" w:lineRule="auto"/>
        <w:ind w:right="20"/>
        <w:jc w:val="both"/>
        <w:rPr>
          <w:rFonts w:ascii="Verdana" w:hAnsi="Verdana"/>
          <w:sz w:val="24"/>
          <w:szCs w:val="24"/>
          <w:lang w:val="es" w:eastAsia="es-CO"/>
        </w:rPr>
      </w:pPr>
    </w:p>
    <w:p w14:paraId="0C231E8C" w14:textId="76FF2369" w:rsidR="00791522" w:rsidRPr="00410982" w:rsidRDefault="00FA0DD4" w:rsidP="0042095F">
      <w:pPr>
        <w:spacing w:after="0" w:line="360" w:lineRule="auto"/>
        <w:ind w:right="20"/>
        <w:jc w:val="both"/>
        <w:rPr>
          <w:rFonts w:ascii="Verdana" w:hAnsi="Verdana"/>
          <w:sz w:val="24"/>
          <w:szCs w:val="24"/>
          <w:lang w:val="es" w:eastAsia="es-CO"/>
        </w:rPr>
      </w:pPr>
      <w:r w:rsidRPr="71886034">
        <w:rPr>
          <w:rFonts w:ascii="Verdana" w:hAnsi="Verdana"/>
          <w:sz w:val="24"/>
          <w:szCs w:val="24"/>
          <w:lang w:val="es" w:eastAsia="es-CO"/>
        </w:rPr>
        <w:t xml:space="preserve">El problema jurídico en el sub judice se contrae a determinar </w:t>
      </w:r>
      <w:r w:rsidR="00791522" w:rsidRPr="71886034">
        <w:rPr>
          <w:rFonts w:ascii="Verdana" w:hAnsi="Verdana"/>
          <w:sz w:val="24"/>
          <w:szCs w:val="24"/>
          <w:lang w:val="es" w:eastAsia="es-CO"/>
        </w:rPr>
        <w:t xml:space="preserve">si resulta procedente </w:t>
      </w:r>
      <w:r w:rsidR="00AD1879" w:rsidRPr="71886034">
        <w:rPr>
          <w:rFonts w:ascii="Verdana" w:hAnsi="Verdana"/>
          <w:sz w:val="24"/>
          <w:szCs w:val="24"/>
          <w:lang w:val="es" w:eastAsia="es-CO"/>
        </w:rPr>
        <w:t>desatar</w:t>
      </w:r>
      <w:r w:rsidR="00791522" w:rsidRPr="71886034">
        <w:rPr>
          <w:rFonts w:ascii="Verdana" w:hAnsi="Verdana"/>
          <w:sz w:val="24"/>
          <w:szCs w:val="24"/>
          <w:lang w:val="es" w:eastAsia="es-CO"/>
        </w:rPr>
        <w:t xml:space="preserve"> el recurso de </w:t>
      </w:r>
      <w:r w:rsidR="00AD1879" w:rsidRPr="71886034">
        <w:rPr>
          <w:rFonts w:ascii="Verdana" w:hAnsi="Verdana"/>
          <w:sz w:val="24"/>
          <w:szCs w:val="24"/>
          <w:lang w:val="es" w:eastAsia="es-CO"/>
        </w:rPr>
        <w:t>alzada</w:t>
      </w:r>
      <w:r w:rsidR="00791522" w:rsidRPr="71886034">
        <w:rPr>
          <w:rFonts w:ascii="Verdana" w:hAnsi="Verdana"/>
          <w:sz w:val="24"/>
          <w:szCs w:val="24"/>
          <w:lang w:val="es" w:eastAsia="es-CO"/>
        </w:rPr>
        <w:t xml:space="preserve"> contra la </w:t>
      </w:r>
      <w:r w:rsidR="00AD1879" w:rsidRPr="71886034">
        <w:rPr>
          <w:rFonts w:ascii="Verdana" w:hAnsi="Verdana"/>
          <w:sz w:val="24"/>
          <w:szCs w:val="24"/>
          <w:lang w:val="es" w:eastAsia="es-CO"/>
        </w:rPr>
        <w:t>modificación</w:t>
      </w:r>
      <w:r w:rsidR="00791522" w:rsidRPr="71886034">
        <w:rPr>
          <w:rFonts w:ascii="Verdana" w:hAnsi="Verdana"/>
          <w:sz w:val="24"/>
          <w:szCs w:val="24"/>
          <w:lang w:val="es" w:eastAsia="es-CO"/>
        </w:rPr>
        <w:t xml:space="preserve"> de la liquidación del crédito, </w:t>
      </w:r>
      <w:r w:rsidR="00AD1879" w:rsidRPr="71886034">
        <w:rPr>
          <w:rFonts w:ascii="Verdana" w:hAnsi="Verdana"/>
          <w:sz w:val="24"/>
          <w:szCs w:val="24"/>
          <w:lang w:val="es" w:eastAsia="es-CO"/>
        </w:rPr>
        <w:t xml:space="preserve">teniendo en cuenta que </w:t>
      </w:r>
      <w:r w:rsidR="00791522" w:rsidRPr="71886034">
        <w:rPr>
          <w:rFonts w:ascii="Verdana" w:hAnsi="Verdana"/>
          <w:sz w:val="24"/>
          <w:szCs w:val="24"/>
          <w:lang w:val="es" w:eastAsia="es-CO"/>
        </w:rPr>
        <w:t>no se enc</w:t>
      </w:r>
      <w:r w:rsidR="00AD1879" w:rsidRPr="71886034">
        <w:rPr>
          <w:rFonts w:ascii="Verdana" w:hAnsi="Verdana"/>
          <w:sz w:val="24"/>
          <w:szCs w:val="24"/>
          <w:lang w:val="es" w:eastAsia="es-CO"/>
        </w:rPr>
        <w:t>ontraba</w:t>
      </w:r>
      <w:r w:rsidR="00791522" w:rsidRPr="71886034">
        <w:rPr>
          <w:rFonts w:ascii="Verdana" w:hAnsi="Verdana"/>
          <w:sz w:val="24"/>
          <w:szCs w:val="24"/>
          <w:lang w:val="es" w:eastAsia="es-CO"/>
        </w:rPr>
        <w:t xml:space="preserve"> en firme la orden de seguir adelante la ejecución</w:t>
      </w:r>
    </w:p>
    <w:p w14:paraId="4AFF8EA4" w14:textId="77777777" w:rsidR="00791522" w:rsidRPr="00410982" w:rsidRDefault="00791522" w:rsidP="0042095F">
      <w:pPr>
        <w:spacing w:after="0" w:line="360" w:lineRule="auto"/>
        <w:ind w:right="20"/>
        <w:jc w:val="both"/>
        <w:rPr>
          <w:rFonts w:ascii="Verdana" w:hAnsi="Verdana"/>
          <w:sz w:val="24"/>
          <w:szCs w:val="24"/>
          <w:lang w:val="es" w:eastAsia="es-CO"/>
        </w:rPr>
      </w:pPr>
    </w:p>
    <w:p w14:paraId="78A2FA9D" w14:textId="77777777" w:rsidR="00FA0DD4" w:rsidRPr="00410982" w:rsidRDefault="00FA0DD4" w:rsidP="00FA0DD4">
      <w:pPr>
        <w:spacing w:after="0" w:line="360" w:lineRule="auto"/>
        <w:ind w:right="20"/>
        <w:jc w:val="both"/>
        <w:rPr>
          <w:rFonts w:ascii="Verdana" w:hAnsi="Verdana"/>
          <w:b/>
          <w:bCs/>
          <w:color w:val="000000" w:themeColor="text1"/>
          <w:sz w:val="24"/>
          <w:szCs w:val="24"/>
          <w:lang w:val="es" w:eastAsia="es-CO"/>
        </w:rPr>
      </w:pPr>
      <w:r w:rsidRPr="00410982">
        <w:rPr>
          <w:rFonts w:ascii="Verdana" w:hAnsi="Verdana"/>
          <w:b/>
          <w:bCs/>
          <w:color w:val="000000" w:themeColor="text1"/>
          <w:sz w:val="24"/>
          <w:szCs w:val="24"/>
          <w:lang w:val="es" w:eastAsia="es-CO"/>
        </w:rPr>
        <w:t xml:space="preserve">4.2.- Resolución del caso: </w:t>
      </w:r>
    </w:p>
    <w:p w14:paraId="1F756215" w14:textId="77777777" w:rsidR="00FA0DD4" w:rsidRPr="00410982" w:rsidRDefault="00FA0DD4" w:rsidP="00FA0DD4">
      <w:pPr>
        <w:spacing w:after="0" w:line="360" w:lineRule="auto"/>
        <w:ind w:right="20"/>
        <w:jc w:val="both"/>
        <w:rPr>
          <w:rFonts w:ascii="Verdana" w:hAnsi="Verdana"/>
          <w:color w:val="000000" w:themeColor="text1"/>
          <w:sz w:val="24"/>
          <w:szCs w:val="24"/>
          <w:lang w:val="es" w:eastAsia="es-CO"/>
        </w:rPr>
      </w:pPr>
    </w:p>
    <w:p w14:paraId="44ED8397" w14:textId="7FABBDE7" w:rsidR="00AD1879" w:rsidRPr="00410982" w:rsidRDefault="00AD1879" w:rsidP="00AD1879">
      <w:pPr>
        <w:pStyle w:val="Sinespaciado"/>
        <w:widowControl w:val="0"/>
        <w:spacing w:line="360" w:lineRule="auto"/>
        <w:jc w:val="both"/>
        <w:rPr>
          <w:rFonts w:ascii="Verdana" w:hAnsi="Verdana" w:cs="Arial"/>
          <w:lang w:val="es-CO"/>
        </w:rPr>
      </w:pPr>
      <w:r w:rsidRPr="71886034">
        <w:rPr>
          <w:rFonts w:ascii="Verdana" w:hAnsi="Verdana" w:cs="Arial"/>
          <w:lang w:val="es-CO"/>
        </w:rPr>
        <w:t>Sea del caso señalar que el proceso ejecutivo se inicia con la orden de pago que profiere la autoridad judicial, que puede ser controvertida o no por el ejecutado. Si el demandado se opone a la ejecución, lo hará ya sea con la interposición del recurso de reposición para alegar la falta de requisitos formales del título o la falta de ciertos requisitos de la demanda o por la existencia de excepciones previas y/o con la presentación de las excepciones de fondo. Así y dependiendo de que exista o no un cuestionamiento formal o de fondo respecto del título ejecutivo, se abrirá camino a dictar la orden de seguir adelante con la ejecución.</w:t>
      </w:r>
    </w:p>
    <w:p w14:paraId="66DDFF43" w14:textId="77777777" w:rsidR="00AD1879" w:rsidRPr="00410982" w:rsidRDefault="00AD1879" w:rsidP="00AD1879">
      <w:pPr>
        <w:pStyle w:val="Sinespaciado"/>
        <w:widowControl w:val="0"/>
        <w:jc w:val="both"/>
        <w:rPr>
          <w:rFonts w:ascii="Verdana" w:hAnsi="Verdana" w:cs="Arial"/>
          <w:lang w:val="es-CO"/>
        </w:rPr>
      </w:pPr>
    </w:p>
    <w:p w14:paraId="6D968B26" w14:textId="198E0F16" w:rsidR="00AD1879" w:rsidRPr="00410982" w:rsidRDefault="00AD1879" w:rsidP="00AD1879">
      <w:pPr>
        <w:pStyle w:val="Sinespaciado"/>
        <w:widowControl w:val="0"/>
        <w:spacing w:line="360" w:lineRule="auto"/>
        <w:jc w:val="both"/>
        <w:rPr>
          <w:rFonts w:ascii="Verdana" w:hAnsi="Verdana" w:cs="Arial"/>
          <w:lang w:val="es-CO"/>
        </w:rPr>
      </w:pPr>
      <w:r w:rsidRPr="00410982">
        <w:rPr>
          <w:rFonts w:ascii="Verdana" w:hAnsi="Verdana" w:cs="Arial"/>
          <w:lang w:val="es-CO"/>
        </w:rPr>
        <w:t>Es así que el mandamiento ejecutivo, es una orden judicial provisional de cumplir perentoriamente con una obligación que reúna las condiciones de un título ejecutivo, esto es que sea expresa, clara, actualmente exigible y que provenga del deudor</w:t>
      </w:r>
      <w:r w:rsidRPr="00410982">
        <w:rPr>
          <w:rStyle w:val="Refdenotaalpie"/>
          <w:rFonts w:ascii="Verdana" w:hAnsi="Verdana" w:cs="Arial"/>
          <w:lang w:val="es-CO"/>
        </w:rPr>
        <w:footnoteReference w:id="6"/>
      </w:r>
      <w:r w:rsidRPr="00410982">
        <w:rPr>
          <w:rFonts w:ascii="Verdana" w:hAnsi="Verdana" w:cs="Arial"/>
          <w:lang w:val="es-CO"/>
        </w:rPr>
        <w:t xml:space="preserve">. En tanto la orden de seguir adelante con la </w:t>
      </w:r>
      <w:r w:rsidRPr="00410982">
        <w:rPr>
          <w:rFonts w:ascii="Verdana" w:hAnsi="Verdana" w:cs="Arial"/>
          <w:lang w:val="es-CO"/>
        </w:rPr>
        <w:lastRenderedPageBreak/>
        <w:t xml:space="preserve">ejecución, ya sea que se adopte por auto o por sentencia, según se propongan o no mecanismos de defensa por el ejecutado, se constituye en una orden judicial definitiva. </w:t>
      </w:r>
    </w:p>
    <w:p w14:paraId="43651A87" w14:textId="77777777" w:rsidR="00AD1879" w:rsidRPr="00410982" w:rsidRDefault="00AD1879" w:rsidP="00AD1879">
      <w:pPr>
        <w:pStyle w:val="Sinespaciado"/>
        <w:widowControl w:val="0"/>
        <w:jc w:val="both"/>
        <w:rPr>
          <w:rFonts w:ascii="Verdana" w:hAnsi="Verdana" w:cs="Arial"/>
          <w:lang w:val="es-CO"/>
        </w:rPr>
      </w:pPr>
    </w:p>
    <w:p w14:paraId="42EF2DB3" w14:textId="76D57E60" w:rsidR="00AD1879" w:rsidRPr="00410982" w:rsidRDefault="00AD1879" w:rsidP="00AD1879">
      <w:pPr>
        <w:pStyle w:val="Sinespaciado"/>
        <w:widowControl w:val="0"/>
        <w:spacing w:line="360" w:lineRule="auto"/>
        <w:jc w:val="both"/>
        <w:rPr>
          <w:rFonts w:ascii="Verdana" w:hAnsi="Verdana" w:cs="Arial"/>
          <w:lang w:val="es-CO"/>
        </w:rPr>
      </w:pPr>
      <w:r w:rsidRPr="71886034">
        <w:rPr>
          <w:rFonts w:ascii="Verdana" w:hAnsi="Verdana" w:cs="Arial"/>
          <w:lang w:val="es-CO"/>
        </w:rPr>
        <w:t xml:space="preserve">La orden de seguir </w:t>
      </w:r>
      <w:bookmarkStart w:id="10" w:name="_Int_HuiJvksU"/>
      <w:r w:rsidRPr="71886034">
        <w:rPr>
          <w:rFonts w:ascii="Verdana" w:hAnsi="Verdana" w:cs="Arial"/>
          <w:lang w:val="es-CO"/>
        </w:rPr>
        <w:t>adelante</w:t>
      </w:r>
      <w:bookmarkEnd w:id="10"/>
      <w:r w:rsidRPr="71886034">
        <w:rPr>
          <w:rFonts w:ascii="Verdana" w:hAnsi="Verdana" w:cs="Arial"/>
          <w:lang w:val="es-CO"/>
        </w:rPr>
        <w:t xml:space="preserve"> significa que el juez encuentra que el título ejecutivo se ajusta por completo a la legalidad y que, por tanto, el deudor debe proceder a honrar la obligación insatisfecha. En esta etapa, queda agotada la defensa del ejecutado y lo que queda por resolver, es únicamente la satisfacción definitiva y completa del crédito cobrado judicialmente. De ahí que las acciones que debe desplegar la justicia a partir de la ejecutoria de la orden de seguir adelante con la </w:t>
      </w:r>
      <w:bookmarkStart w:id="11" w:name="_Int_i8mN2YoS"/>
      <w:r w:rsidRPr="71886034">
        <w:rPr>
          <w:rFonts w:ascii="Verdana" w:hAnsi="Verdana" w:cs="Arial"/>
          <w:lang w:val="es-CO"/>
        </w:rPr>
        <w:t>ejecución</w:t>
      </w:r>
      <w:bookmarkEnd w:id="11"/>
      <w:r w:rsidRPr="71886034">
        <w:rPr>
          <w:rFonts w:ascii="Verdana" w:hAnsi="Verdana" w:cs="Arial"/>
          <w:lang w:val="es-CO"/>
        </w:rPr>
        <w:t xml:space="preserve"> estarán entonces encaminadas exclusivamente a obtener el pago a favor del acreedor y una vez ese hecho se produzca, se deberá disponer la terminación del proceso ejecutivo.</w:t>
      </w:r>
    </w:p>
    <w:p w14:paraId="6CB90CD5" w14:textId="77777777" w:rsidR="00AD1879" w:rsidRPr="00410982" w:rsidRDefault="00AD1879" w:rsidP="00AD1879">
      <w:pPr>
        <w:pStyle w:val="Sinespaciado"/>
        <w:widowControl w:val="0"/>
        <w:jc w:val="both"/>
        <w:rPr>
          <w:rFonts w:ascii="Verdana" w:hAnsi="Verdana" w:cs="Arial"/>
          <w:lang w:val="es-CO"/>
        </w:rPr>
      </w:pPr>
    </w:p>
    <w:p w14:paraId="122E3B4C" w14:textId="28894B43" w:rsidR="00AD1879" w:rsidRPr="00410982" w:rsidRDefault="00AD1879" w:rsidP="00AD1879">
      <w:pPr>
        <w:pStyle w:val="Sinespaciado"/>
        <w:widowControl w:val="0"/>
        <w:spacing w:line="360" w:lineRule="auto"/>
        <w:jc w:val="both"/>
        <w:rPr>
          <w:rFonts w:ascii="Verdana" w:hAnsi="Verdana" w:cs="Arial"/>
          <w:lang w:val="es-CO"/>
        </w:rPr>
      </w:pPr>
      <w:r w:rsidRPr="71886034">
        <w:rPr>
          <w:rFonts w:ascii="Verdana" w:hAnsi="Verdana" w:cs="Arial"/>
          <w:lang w:val="es-CO"/>
        </w:rPr>
        <w:t xml:space="preserve">Es precisamente en virtud de lo anterior, que el numeral 1º del artículo 446 de la Ley 1564 de 2012, exige como condición previa para la liquidación del crédito, que se halle ejecutoriado el auto o sentencia que ordene seguir adelante con la ejecución. </w:t>
      </w:r>
    </w:p>
    <w:p w14:paraId="515DA1A7" w14:textId="77777777" w:rsidR="007653EE" w:rsidRPr="00410982" w:rsidRDefault="007653EE" w:rsidP="00FA0DD4">
      <w:pPr>
        <w:spacing w:after="0" w:line="360" w:lineRule="auto"/>
        <w:ind w:right="20"/>
        <w:jc w:val="both"/>
        <w:rPr>
          <w:rFonts w:ascii="Verdana" w:hAnsi="Verdana"/>
          <w:color w:val="000000" w:themeColor="text1"/>
          <w:sz w:val="24"/>
          <w:szCs w:val="24"/>
          <w:lang w:val="es" w:eastAsia="es-CO"/>
        </w:rPr>
      </w:pPr>
    </w:p>
    <w:p w14:paraId="0BC2E0E3" w14:textId="44D915A6" w:rsidR="00B8792A" w:rsidRPr="00410982" w:rsidRDefault="004B518B" w:rsidP="004B518B">
      <w:pPr>
        <w:spacing w:after="0" w:line="360" w:lineRule="auto"/>
        <w:ind w:right="20"/>
        <w:jc w:val="both"/>
        <w:rPr>
          <w:rFonts w:ascii="Verdana" w:hAnsi="Verdana" w:cs="Arial"/>
          <w:sz w:val="24"/>
          <w:szCs w:val="24"/>
          <w:lang w:val="es-CO"/>
        </w:rPr>
      </w:pPr>
      <w:r w:rsidRPr="71886034">
        <w:rPr>
          <w:rFonts w:ascii="Verdana" w:hAnsi="Verdana"/>
          <w:color w:val="000000" w:themeColor="text1"/>
          <w:sz w:val="24"/>
          <w:szCs w:val="24"/>
          <w:lang w:val="es" w:eastAsia="es-CO"/>
        </w:rPr>
        <w:t xml:space="preserve">Ahora bien, precisado lo anterior, luego de ordenar seguir adelante la ejecución, se procederá a realizar la liquidación del crédito conforme a las previsiones del </w:t>
      </w:r>
      <w:r w:rsidR="004767DB" w:rsidRPr="71886034">
        <w:rPr>
          <w:rFonts w:ascii="Verdana" w:hAnsi="Verdana"/>
          <w:color w:val="000000" w:themeColor="text1"/>
          <w:sz w:val="24"/>
          <w:szCs w:val="24"/>
          <w:lang w:val="es" w:eastAsia="es-CO"/>
        </w:rPr>
        <w:t>artículo</w:t>
      </w:r>
      <w:r w:rsidRPr="71886034">
        <w:rPr>
          <w:rFonts w:ascii="Verdana" w:hAnsi="Verdana"/>
          <w:color w:val="000000" w:themeColor="text1"/>
          <w:sz w:val="24"/>
          <w:szCs w:val="24"/>
          <w:lang w:val="es" w:eastAsia="es-CO"/>
        </w:rPr>
        <w:t xml:space="preserve"> 446 del C.G.P.; acto procesal que esta </w:t>
      </w:r>
      <w:r w:rsidR="00B8792A" w:rsidRPr="71886034">
        <w:rPr>
          <w:rFonts w:ascii="Verdana" w:hAnsi="Verdana" w:cs="Arial"/>
          <w:sz w:val="24"/>
          <w:szCs w:val="24"/>
          <w:lang w:val="es-CO"/>
        </w:rPr>
        <w:t xml:space="preserve">encaminado a precisar y concretar el valor de la ejecución, con la previa realización de las operaciones matemáticas que se requieran e incluyendo los distintos </w:t>
      </w:r>
      <w:r w:rsidR="00B8792A" w:rsidRPr="71886034">
        <w:rPr>
          <w:rFonts w:ascii="Verdana" w:hAnsi="Verdana" w:cs="Arial"/>
          <w:i/>
          <w:iCs/>
          <w:sz w:val="24"/>
          <w:szCs w:val="24"/>
          <w:lang w:val="es-CO"/>
        </w:rPr>
        <w:t>ítems</w:t>
      </w:r>
      <w:r w:rsidR="00B8792A" w:rsidRPr="71886034">
        <w:rPr>
          <w:rFonts w:ascii="Verdana" w:hAnsi="Verdana" w:cs="Arial"/>
          <w:sz w:val="24"/>
          <w:szCs w:val="24"/>
          <w:lang w:val="es-CO"/>
        </w:rPr>
        <w:t xml:space="preserve"> o componentes por los cuales se libró el mandamiento y luego se ordenó seguir adelante con la ejecución – capital, intereses, costas, etc.-</w:t>
      </w:r>
    </w:p>
    <w:p w14:paraId="4E3A0BE0" w14:textId="77777777" w:rsidR="00B8792A" w:rsidRPr="00410982" w:rsidRDefault="00B8792A" w:rsidP="00B8792A">
      <w:pPr>
        <w:pStyle w:val="Sinespaciado"/>
        <w:widowControl w:val="0"/>
        <w:jc w:val="both"/>
        <w:rPr>
          <w:rFonts w:ascii="Verdana" w:hAnsi="Verdana" w:cs="Arial"/>
          <w:lang w:val="es-CO"/>
        </w:rPr>
      </w:pPr>
    </w:p>
    <w:p w14:paraId="316444EC" w14:textId="222ED16B" w:rsidR="00EA403C" w:rsidRPr="00410982" w:rsidRDefault="00B8792A" w:rsidP="00B8792A">
      <w:pPr>
        <w:autoSpaceDE w:val="0"/>
        <w:autoSpaceDN w:val="0"/>
        <w:adjustRightInd w:val="0"/>
        <w:spacing w:after="0" w:line="360" w:lineRule="auto"/>
        <w:jc w:val="both"/>
        <w:rPr>
          <w:rFonts w:ascii="Verdana" w:hAnsi="Verdana" w:cs="Tahoma"/>
          <w:sz w:val="24"/>
          <w:szCs w:val="24"/>
        </w:rPr>
      </w:pPr>
      <w:r w:rsidRPr="00410982">
        <w:rPr>
          <w:rFonts w:ascii="Verdana" w:hAnsi="Verdana" w:cs="Arial"/>
          <w:sz w:val="24"/>
          <w:szCs w:val="24"/>
          <w:lang w:val="es-CO"/>
        </w:rPr>
        <w:t xml:space="preserve">No sobra recordar que, tanto al juez como a las partes, luego de la ejecutoria del mandamiento ejecutivo, les queda cerrada cualquier posibilidad de incluir nuevos </w:t>
      </w:r>
      <w:r w:rsidRPr="00410982">
        <w:rPr>
          <w:rFonts w:ascii="Verdana" w:hAnsi="Verdana" w:cs="Arial"/>
          <w:i/>
          <w:sz w:val="24"/>
          <w:szCs w:val="24"/>
          <w:lang w:val="es-CO"/>
        </w:rPr>
        <w:t>ítems</w:t>
      </w:r>
      <w:r w:rsidRPr="00410982">
        <w:rPr>
          <w:rFonts w:ascii="Verdana" w:hAnsi="Verdana" w:cs="Arial"/>
          <w:sz w:val="24"/>
          <w:szCs w:val="24"/>
          <w:lang w:val="es-CO"/>
        </w:rPr>
        <w:t xml:space="preserve"> o conceptos no reconocidos previamente en la estimación para el pago. Lo anterior, encuentra sustento legal en lo preceptuado por el numeral 1º del artículo 446 del C.G.P.</w:t>
      </w:r>
    </w:p>
    <w:p w14:paraId="6EB4D744" w14:textId="77777777" w:rsidR="005C5316" w:rsidRPr="00410982" w:rsidRDefault="005C5316" w:rsidP="00FA0DD4">
      <w:pPr>
        <w:autoSpaceDE w:val="0"/>
        <w:autoSpaceDN w:val="0"/>
        <w:adjustRightInd w:val="0"/>
        <w:spacing w:after="0" w:line="360" w:lineRule="auto"/>
        <w:jc w:val="both"/>
        <w:rPr>
          <w:rFonts w:ascii="Verdana" w:hAnsi="Verdana" w:cs="Tahoma"/>
          <w:sz w:val="24"/>
          <w:szCs w:val="24"/>
        </w:rPr>
      </w:pPr>
    </w:p>
    <w:p w14:paraId="0A9CF52D" w14:textId="5CBF38C9" w:rsidR="00B8792A" w:rsidRPr="00410982" w:rsidRDefault="00B8792A" w:rsidP="00B8792A">
      <w:pPr>
        <w:pStyle w:val="Sinespaciado"/>
        <w:widowControl w:val="0"/>
        <w:spacing w:line="360" w:lineRule="auto"/>
        <w:jc w:val="both"/>
        <w:rPr>
          <w:rFonts w:ascii="Verdana" w:hAnsi="Verdana" w:cs="Arial"/>
          <w:lang w:val="es-CO"/>
        </w:rPr>
      </w:pPr>
      <w:r w:rsidRPr="00410982">
        <w:rPr>
          <w:rFonts w:ascii="Verdana" w:hAnsi="Verdana" w:cs="Arial"/>
          <w:lang w:val="es-CO"/>
        </w:rPr>
        <w:lastRenderedPageBreak/>
        <w:t xml:space="preserve">En consecuencia, la liquidación del crédito sólo podrá incluir aquello que fue reconocido en el mandamiento ejecutivo, incluyendo las agencias y costas procesales - éstas últimas que se causan y concretan en la providencia que ordena seguir adelante con la ejecución-. </w:t>
      </w:r>
    </w:p>
    <w:p w14:paraId="2EF2665D" w14:textId="244DD47B" w:rsidR="00F1293E" w:rsidRPr="00410982" w:rsidRDefault="00F1293E" w:rsidP="00B8792A">
      <w:pPr>
        <w:pStyle w:val="Sinespaciado"/>
        <w:widowControl w:val="0"/>
        <w:spacing w:line="360" w:lineRule="auto"/>
        <w:jc w:val="both"/>
        <w:rPr>
          <w:rFonts w:ascii="Verdana" w:hAnsi="Verdana" w:cs="Arial"/>
          <w:lang w:val="es-CO"/>
        </w:rPr>
      </w:pPr>
    </w:p>
    <w:p w14:paraId="448F1897" w14:textId="1CDF4ED0" w:rsidR="004B518B" w:rsidRPr="00410982" w:rsidRDefault="004B518B" w:rsidP="00B8792A">
      <w:pPr>
        <w:pStyle w:val="Sinespaciado"/>
        <w:widowControl w:val="0"/>
        <w:spacing w:line="360" w:lineRule="auto"/>
        <w:jc w:val="both"/>
        <w:rPr>
          <w:rFonts w:ascii="Verdana" w:hAnsi="Verdana" w:cs="Arial"/>
          <w:lang w:val="es-CO"/>
        </w:rPr>
      </w:pPr>
      <w:r w:rsidRPr="00410982">
        <w:rPr>
          <w:rFonts w:ascii="Verdana" w:hAnsi="Verdana" w:cs="Arial"/>
          <w:lang w:val="es-CO"/>
        </w:rPr>
        <w:t xml:space="preserve">Al descender al caso concreto observa el Despacho que se han surtido las siguientes actuaciones procesales que son relevantes para desatar el recurso que se estudia: </w:t>
      </w:r>
    </w:p>
    <w:tbl>
      <w:tblPr>
        <w:tblStyle w:val="Tablaconcuadrcula"/>
        <w:tblW w:w="0" w:type="auto"/>
        <w:tblLook w:val="04A0" w:firstRow="1" w:lastRow="0" w:firstColumn="1" w:lastColumn="0" w:noHBand="0" w:noVBand="1"/>
      </w:tblPr>
      <w:tblGrid>
        <w:gridCol w:w="2943"/>
        <w:gridCol w:w="2943"/>
        <w:gridCol w:w="2944"/>
      </w:tblGrid>
      <w:tr w:rsidR="00137C58" w14:paraId="60CAB81E" w14:textId="77777777" w:rsidTr="71886034">
        <w:tc>
          <w:tcPr>
            <w:tcW w:w="2943" w:type="dxa"/>
          </w:tcPr>
          <w:p w14:paraId="74883CCC" w14:textId="6BE94A08" w:rsidR="00137C58" w:rsidRPr="00137C58" w:rsidRDefault="00137C58" w:rsidP="00137C58">
            <w:pPr>
              <w:pStyle w:val="Sinespaciado"/>
              <w:widowControl w:val="0"/>
              <w:spacing w:line="360" w:lineRule="auto"/>
              <w:jc w:val="center"/>
              <w:rPr>
                <w:rFonts w:ascii="Verdana" w:hAnsi="Verdana" w:cs="Arial"/>
                <w:b/>
                <w:bCs/>
                <w:sz w:val="22"/>
                <w:szCs w:val="22"/>
                <w:lang w:val="es-CO"/>
              </w:rPr>
            </w:pPr>
            <w:r w:rsidRPr="00137C58">
              <w:rPr>
                <w:rFonts w:ascii="Verdana" w:hAnsi="Verdana" w:cs="Arial"/>
                <w:b/>
                <w:bCs/>
                <w:sz w:val="22"/>
                <w:szCs w:val="22"/>
                <w:lang w:val="es-CO"/>
              </w:rPr>
              <w:t>Clase de providencia</w:t>
            </w:r>
          </w:p>
        </w:tc>
        <w:tc>
          <w:tcPr>
            <w:tcW w:w="2943" w:type="dxa"/>
          </w:tcPr>
          <w:p w14:paraId="299159D1" w14:textId="6FC9F6D6" w:rsidR="00137C58" w:rsidRPr="00137C58" w:rsidRDefault="00137C58" w:rsidP="00137C58">
            <w:pPr>
              <w:pStyle w:val="Sinespaciado"/>
              <w:widowControl w:val="0"/>
              <w:spacing w:line="360" w:lineRule="auto"/>
              <w:jc w:val="center"/>
              <w:rPr>
                <w:rFonts w:ascii="Verdana" w:hAnsi="Verdana" w:cs="Arial"/>
                <w:b/>
                <w:bCs/>
                <w:sz w:val="22"/>
                <w:szCs w:val="22"/>
                <w:lang w:val="es-CO"/>
              </w:rPr>
            </w:pPr>
            <w:r w:rsidRPr="00137C58">
              <w:rPr>
                <w:rFonts w:ascii="Verdana" w:hAnsi="Verdana" w:cs="Arial"/>
                <w:b/>
                <w:bCs/>
                <w:sz w:val="22"/>
                <w:szCs w:val="22"/>
                <w:lang w:val="es-CO"/>
              </w:rPr>
              <w:t>Fecha</w:t>
            </w:r>
          </w:p>
        </w:tc>
        <w:tc>
          <w:tcPr>
            <w:tcW w:w="2944" w:type="dxa"/>
          </w:tcPr>
          <w:p w14:paraId="482F7C92" w14:textId="7370F6E5" w:rsidR="00137C58" w:rsidRPr="00137C58" w:rsidRDefault="00A040E1" w:rsidP="00137C58">
            <w:pPr>
              <w:pStyle w:val="Sinespaciado"/>
              <w:widowControl w:val="0"/>
              <w:spacing w:line="360" w:lineRule="auto"/>
              <w:jc w:val="center"/>
              <w:rPr>
                <w:rFonts w:ascii="Verdana" w:hAnsi="Verdana" w:cs="Arial"/>
                <w:b/>
                <w:bCs/>
                <w:sz w:val="22"/>
                <w:szCs w:val="22"/>
                <w:lang w:val="es-CO"/>
              </w:rPr>
            </w:pPr>
            <w:r>
              <w:rPr>
                <w:rFonts w:ascii="Verdana" w:hAnsi="Verdana" w:cs="Arial"/>
                <w:b/>
                <w:bCs/>
                <w:sz w:val="22"/>
                <w:szCs w:val="22"/>
                <w:lang w:val="es-CO"/>
              </w:rPr>
              <w:t>Recurso</w:t>
            </w:r>
          </w:p>
        </w:tc>
      </w:tr>
      <w:tr w:rsidR="00137C58" w14:paraId="06BF77C7" w14:textId="77777777" w:rsidTr="71886034">
        <w:tc>
          <w:tcPr>
            <w:tcW w:w="2943" w:type="dxa"/>
          </w:tcPr>
          <w:p w14:paraId="5C0630E3" w14:textId="111D663C" w:rsidR="00137C58" w:rsidRDefault="00137C58"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 xml:space="preserve">Mandamiento de Pago </w:t>
            </w:r>
          </w:p>
        </w:tc>
        <w:tc>
          <w:tcPr>
            <w:tcW w:w="2943" w:type="dxa"/>
          </w:tcPr>
          <w:p w14:paraId="748E5412" w14:textId="78A865AA" w:rsidR="00137C58" w:rsidRDefault="00A040E1"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11 de abril de 2019</w:t>
            </w:r>
          </w:p>
        </w:tc>
        <w:tc>
          <w:tcPr>
            <w:tcW w:w="2944" w:type="dxa"/>
          </w:tcPr>
          <w:p w14:paraId="133C2E0E" w14:textId="7780B361" w:rsidR="00137C58" w:rsidRDefault="00A040E1" w:rsidP="00B8792A">
            <w:pPr>
              <w:pStyle w:val="Sinespaciado"/>
              <w:widowControl w:val="0"/>
              <w:spacing w:line="360" w:lineRule="auto"/>
              <w:jc w:val="both"/>
              <w:rPr>
                <w:rFonts w:ascii="Verdana" w:hAnsi="Verdana" w:cs="Arial"/>
                <w:sz w:val="22"/>
                <w:szCs w:val="22"/>
                <w:lang w:val="es-CO"/>
              </w:rPr>
            </w:pPr>
            <w:r w:rsidRPr="71886034">
              <w:rPr>
                <w:rFonts w:ascii="Verdana" w:hAnsi="Verdana" w:cs="Arial"/>
                <w:sz w:val="22"/>
                <w:szCs w:val="22"/>
                <w:lang w:val="es-CO"/>
              </w:rPr>
              <w:t xml:space="preserve">Reposición. Desatado con providencia de fecha 28 de noviembre de 2019, confirmando decisión de fecha 11 de abril de 2019.  </w:t>
            </w:r>
          </w:p>
        </w:tc>
      </w:tr>
      <w:tr w:rsidR="00A040E1" w14:paraId="583D1F65" w14:textId="77777777" w:rsidTr="71886034">
        <w:tc>
          <w:tcPr>
            <w:tcW w:w="2943" w:type="dxa"/>
          </w:tcPr>
          <w:p w14:paraId="69C489B7" w14:textId="7B17EA62" w:rsidR="00A040E1" w:rsidRDefault="00A040E1"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Sentencia seguir adelante la ejecución</w:t>
            </w:r>
          </w:p>
        </w:tc>
        <w:tc>
          <w:tcPr>
            <w:tcW w:w="2943" w:type="dxa"/>
          </w:tcPr>
          <w:p w14:paraId="33E428B1" w14:textId="3E044EBA" w:rsidR="00A040E1" w:rsidRDefault="00A040E1"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18 de noviembre de 2020</w:t>
            </w:r>
          </w:p>
        </w:tc>
        <w:tc>
          <w:tcPr>
            <w:tcW w:w="2944" w:type="dxa"/>
          </w:tcPr>
          <w:p w14:paraId="52F9E7C4" w14:textId="2C82F1BA" w:rsidR="00A040E1" w:rsidRDefault="00A040E1"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Apelación. Desatado con providencia de fecha 27 de enero de 2022</w:t>
            </w:r>
          </w:p>
        </w:tc>
      </w:tr>
      <w:tr w:rsidR="00A040E1" w14:paraId="48DBAB25" w14:textId="77777777" w:rsidTr="71886034">
        <w:tc>
          <w:tcPr>
            <w:tcW w:w="2943" w:type="dxa"/>
          </w:tcPr>
          <w:p w14:paraId="0E9211E9" w14:textId="33C28599" w:rsidR="00A040E1" w:rsidRDefault="00A040E1"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Modificación de la liquidación del crédito</w:t>
            </w:r>
          </w:p>
        </w:tc>
        <w:tc>
          <w:tcPr>
            <w:tcW w:w="2943" w:type="dxa"/>
          </w:tcPr>
          <w:p w14:paraId="14C5DFBA" w14:textId="2CF7B6DF" w:rsidR="00A040E1" w:rsidRDefault="00A040E1"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10 de junio de 2021</w:t>
            </w:r>
          </w:p>
        </w:tc>
        <w:tc>
          <w:tcPr>
            <w:tcW w:w="2944" w:type="dxa"/>
          </w:tcPr>
          <w:p w14:paraId="0624B25F" w14:textId="35F5E935" w:rsidR="00A040E1" w:rsidRDefault="00A040E1" w:rsidP="00B8792A">
            <w:pPr>
              <w:pStyle w:val="Sinespaciado"/>
              <w:widowControl w:val="0"/>
              <w:spacing w:line="360" w:lineRule="auto"/>
              <w:jc w:val="both"/>
              <w:rPr>
                <w:rFonts w:ascii="Verdana" w:hAnsi="Verdana" w:cs="Arial"/>
                <w:sz w:val="22"/>
                <w:szCs w:val="22"/>
                <w:lang w:val="es-CO"/>
              </w:rPr>
            </w:pPr>
            <w:r>
              <w:rPr>
                <w:rFonts w:ascii="Verdana" w:hAnsi="Verdana" w:cs="Arial"/>
                <w:sz w:val="22"/>
                <w:szCs w:val="22"/>
                <w:lang w:val="es-CO"/>
              </w:rPr>
              <w:t xml:space="preserve">Apelación. </w:t>
            </w:r>
          </w:p>
        </w:tc>
      </w:tr>
    </w:tbl>
    <w:p w14:paraId="71BF1A0E" w14:textId="08DEA0A3" w:rsidR="00F1293E" w:rsidRPr="00410982" w:rsidRDefault="00830A14" w:rsidP="00B8792A">
      <w:pPr>
        <w:pStyle w:val="Sinespaciado"/>
        <w:widowControl w:val="0"/>
        <w:spacing w:line="360" w:lineRule="auto"/>
        <w:jc w:val="both"/>
        <w:rPr>
          <w:rFonts w:ascii="Verdana" w:hAnsi="Verdana" w:cs="Arial"/>
          <w:lang w:val="es-CO"/>
        </w:rPr>
      </w:pPr>
      <w:r w:rsidRPr="71886034">
        <w:rPr>
          <w:rFonts w:ascii="Verdana" w:hAnsi="Verdana" w:cs="Arial"/>
          <w:lang w:val="es-CO"/>
        </w:rPr>
        <w:t>Nótese</w:t>
      </w:r>
      <w:r w:rsidR="00A040E1" w:rsidRPr="71886034">
        <w:rPr>
          <w:rFonts w:ascii="Verdana" w:hAnsi="Verdana" w:cs="Arial"/>
          <w:lang w:val="es-CO"/>
        </w:rPr>
        <w:t xml:space="preserve"> que, si bien</w:t>
      </w:r>
      <w:r w:rsidR="003C6DCF" w:rsidRPr="71886034">
        <w:rPr>
          <w:rFonts w:ascii="Verdana" w:hAnsi="Verdana" w:cs="Arial"/>
          <w:lang w:val="es-CO"/>
        </w:rPr>
        <w:t xml:space="preserve"> </w:t>
      </w:r>
      <w:r w:rsidR="00A040E1" w:rsidRPr="71886034">
        <w:rPr>
          <w:rFonts w:ascii="Verdana" w:hAnsi="Verdana" w:cs="Arial"/>
          <w:lang w:val="es-CO"/>
        </w:rPr>
        <w:t xml:space="preserve">es cierto la Juez A quo continuo con el </w:t>
      </w:r>
      <w:bookmarkStart w:id="12" w:name="_Int_fgZWpK93"/>
      <w:r w:rsidR="00A040E1" w:rsidRPr="71886034">
        <w:rPr>
          <w:rFonts w:ascii="Verdana" w:hAnsi="Verdana" w:cs="Arial"/>
          <w:lang w:val="es-CO"/>
        </w:rPr>
        <w:t>trámite</w:t>
      </w:r>
      <w:bookmarkEnd w:id="12"/>
      <w:r w:rsidR="00A040E1" w:rsidRPr="71886034">
        <w:rPr>
          <w:rFonts w:ascii="Verdana" w:hAnsi="Verdana" w:cs="Arial"/>
          <w:lang w:val="es-CO"/>
        </w:rPr>
        <w:t xml:space="preserve"> procesal dentro de</w:t>
      </w:r>
      <w:r w:rsidR="00263734" w:rsidRPr="71886034">
        <w:rPr>
          <w:rFonts w:ascii="Verdana" w:hAnsi="Verdana" w:cs="Arial"/>
          <w:lang w:val="es-CO"/>
        </w:rPr>
        <w:t>l</w:t>
      </w:r>
      <w:r w:rsidR="00A040E1" w:rsidRPr="71886034">
        <w:rPr>
          <w:rFonts w:ascii="Verdana" w:hAnsi="Verdana" w:cs="Arial"/>
          <w:lang w:val="es-CO"/>
        </w:rPr>
        <w:t xml:space="preserve"> proceso ejecutivo que se estudia, lo cierto es que </w:t>
      </w:r>
      <w:r w:rsidR="00263734" w:rsidRPr="71886034">
        <w:rPr>
          <w:rFonts w:ascii="Verdana" w:hAnsi="Verdana" w:cs="Arial"/>
          <w:lang w:val="es-CO"/>
        </w:rPr>
        <w:t>solamente hasta</w:t>
      </w:r>
      <w:r w:rsidR="008C3607" w:rsidRPr="71886034">
        <w:rPr>
          <w:rFonts w:ascii="Verdana" w:hAnsi="Verdana" w:cs="Arial"/>
          <w:lang w:val="es-CO"/>
        </w:rPr>
        <w:t xml:space="preserve"> el 27 de enero de 2022, la Sala de Decisión </w:t>
      </w:r>
      <w:proofErr w:type="spellStart"/>
      <w:r w:rsidR="008C3607" w:rsidRPr="71886034">
        <w:rPr>
          <w:rFonts w:ascii="Verdana" w:hAnsi="Verdana" w:cs="Arial"/>
          <w:lang w:val="es-CO"/>
        </w:rPr>
        <w:t>N°</w:t>
      </w:r>
      <w:proofErr w:type="spellEnd"/>
      <w:r w:rsidR="008C3607" w:rsidRPr="71886034">
        <w:rPr>
          <w:rFonts w:ascii="Verdana" w:hAnsi="Verdana" w:cs="Arial"/>
          <w:lang w:val="es-CO"/>
        </w:rPr>
        <w:t xml:space="preserve"> 6 desató el recurso de apelación que había sido interpuesto contra la decisión que ordenó seguir adelante la ejecución; decisión que dispuso modificar las sumas por las cuales se había librado el mandamiento ejecutivo por parte de la Juez de Instancia. </w:t>
      </w:r>
    </w:p>
    <w:p w14:paraId="7F00879D" w14:textId="525F9589" w:rsidR="008C3607" w:rsidRPr="00410982" w:rsidRDefault="008C3607" w:rsidP="00B8792A">
      <w:pPr>
        <w:pStyle w:val="Sinespaciado"/>
        <w:widowControl w:val="0"/>
        <w:spacing w:line="360" w:lineRule="auto"/>
        <w:jc w:val="both"/>
        <w:rPr>
          <w:rFonts w:ascii="Verdana" w:hAnsi="Verdana" w:cs="Arial"/>
          <w:lang w:val="es-CO"/>
        </w:rPr>
      </w:pPr>
    </w:p>
    <w:p w14:paraId="0A57CD91" w14:textId="3C0D6559" w:rsidR="003C6DCF" w:rsidRDefault="008C3607" w:rsidP="003C6DCF">
      <w:pPr>
        <w:pStyle w:val="Sinespaciado"/>
        <w:widowControl w:val="0"/>
        <w:spacing w:line="360" w:lineRule="auto"/>
        <w:jc w:val="both"/>
        <w:rPr>
          <w:rFonts w:ascii="Verdana" w:hAnsi="Verdana" w:cs="Arial"/>
          <w:lang w:val="es-CO"/>
        </w:rPr>
      </w:pPr>
      <w:r w:rsidRPr="00410982">
        <w:rPr>
          <w:rFonts w:ascii="Verdana" w:hAnsi="Verdana" w:cs="Arial"/>
          <w:lang w:val="es-CO"/>
        </w:rPr>
        <w:t xml:space="preserve">Es así que, al no encontrase en firme </w:t>
      </w:r>
      <w:r w:rsidR="00504646">
        <w:rPr>
          <w:rFonts w:ascii="Verdana" w:hAnsi="Verdana" w:cs="Arial"/>
          <w:lang w:val="es-CO"/>
        </w:rPr>
        <w:t>la</w:t>
      </w:r>
      <w:r w:rsidRPr="00410982">
        <w:rPr>
          <w:rFonts w:ascii="Verdana" w:hAnsi="Verdana" w:cs="Arial"/>
          <w:lang w:val="es-CO"/>
        </w:rPr>
        <w:t xml:space="preserve"> decisión de seguir adelante la ejecución, no era procedente </w:t>
      </w:r>
      <w:r w:rsidR="003C6DCF" w:rsidRPr="00410982">
        <w:rPr>
          <w:rFonts w:ascii="Verdana" w:hAnsi="Verdana" w:cs="Arial"/>
          <w:lang w:val="es-CO"/>
        </w:rPr>
        <w:t>que la Juez A quo</w:t>
      </w:r>
      <w:r w:rsidRPr="00410982">
        <w:rPr>
          <w:rFonts w:ascii="Verdana" w:hAnsi="Verdana" w:cs="Arial"/>
          <w:lang w:val="es-CO"/>
        </w:rPr>
        <w:t xml:space="preserve"> imparti</w:t>
      </w:r>
      <w:r w:rsidR="00504646">
        <w:rPr>
          <w:rFonts w:ascii="Verdana" w:hAnsi="Verdana" w:cs="Arial"/>
          <w:lang w:val="es-CO"/>
        </w:rPr>
        <w:t>era</w:t>
      </w:r>
      <w:r w:rsidRPr="00410982">
        <w:rPr>
          <w:rFonts w:ascii="Verdana" w:hAnsi="Verdana" w:cs="Arial"/>
          <w:lang w:val="es-CO"/>
        </w:rPr>
        <w:t xml:space="preserve"> decisión alguna frente a la liquidación del crédito </w:t>
      </w:r>
      <w:r w:rsidR="003C6DCF" w:rsidRPr="00410982">
        <w:rPr>
          <w:rFonts w:ascii="Verdana" w:hAnsi="Verdana" w:cs="Arial"/>
          <w:lang w:val="es-CO"/>
        </w:rPr>
        <w:t xml:space="preserve">dentro de la actuación de la referencia siendo que lo procedente era esperar que la orden de seguir adelante con la ejecución cobrara ejecutoria, tal y como lo exige el numeral 1º del artículo 446 del C.G.P, por lo tanto, </w:t>
      </w:r>
      <w:r w:rsidR="00504646">
        <w:rPr>
          <w:rFonts w:ascii="Verdana" w:hAnsi="Verdana" w:cs="Arial"/>
          <w:lang w:val="es-CO"/>
        </w:rPr>
        <w:t>el</w:t>
      </w:r>
      <w:r w:rsidR="003C6DCF" w:rsidRPr="00410982">
        <w:rPr>
          <w:rFonts w:ascii="Verdana" w:hAnsi="Verdana" w:cs="Arial"/>
          <w:lang w:val="es-CO"/>
        </w:rPr>
        <w:t xml:space="preserve"> Ponente, se abstendrá de emitir un pronunciamiento de fondo sobre el auto apelado.</w:t>
      </w:r>
    </w:p>
    <w:p w14:paraId="68F5D4E1" w14:textId="39F4BBDE" w:rsidR="00504646" w:rsidRDefault="00504646" w:rsidP="003C6DCF">
      <w:pPr>
        <w:pStyle w:val="Sinespaciado"/>
        <w:widowControl w:val="0"/>
        <w:spacing w:line="360" w:lineRule="auto"/>
        <w:jc w:val="both"/>
        <w:rPr>
          <w:rFonts w:ascii="Verdana" w:hAnsi="Verdana" w:cs="Arial"/>
          <w:lang w:val="es-CO"/>
        </w:rPr>
      </w:pPr>
    </w:p>
    <w:p w14:paraId="7CD7FE59" w14:textId="318458B3" w:rsidR="00504646" w:rsidRPr="00410982" w:rsidRDefault="00504646" w:rsidP="003C6DCF">
      <w:pPr>
        <w:pStyle w:val="Sinespaciado"/>
        <w:widowControl w:val="0"/>
        <w:spacing w:line="360" w:lineRule="auto"/>
        <w:jc w:val="both"/>
        <w:rPr>
          <w:rFonts w:ascii="Verdana" w:hAnsi="Verdana" w:cs="Arial"/>
          <w:lang w:val="es-CO"/>
        </w:rPr>
      </w:pPr>
      <w:r w:rsidRPr="71886034">
        <w:rPr>
          <w:rFonts w:ascii="Verdana" w:hAnsi="Verdana" w:cs="Arial"/>
          <w:lang w:val="es-CO"/>
        </w:rPr>
        <w:lastRenderedPageBreak/>
        <w:t xml:space="preserve">Por tanto, se devolverá el expediente al Juzgado de Origen para que las partes se pronuncien sobre la liquidación del crédito atendiendo lo resuelto en providencia de fecha 27 de enero de 2022, proferida por la Sala de Decisión </w:t>
      </w:r>
      <w:proofErr w:type="spellStart"/>
      <w:r w:rsidRPr="71886034">
        <w:rPr>
          <w:rFonts w:ascii="Verdana" w:hAnsi="Verdana" w:cs="Arial"/>
          <w:lang w:val="es-CO"/>
        </w:rPr>
        <w:t>N°</w:t>
      </w:r>
      <w:proofErr w:type="spellEnd"/>
      <w:r w:rsidRPr="71886034">
        <w:rPr>
          <w:rFonts w:ascii="Verdana" w:hAnsi="Verdana" w:cs="Arial"/>
          <w:lang w:val="es-CO"/>
        </w:rPr>
        <w:t xml:space="preserve"> </w:t>
      </w:r>
      <w:bookmarkStart w:id="13" w:name="_Int_uT1EmOxS"/>
      <w:r w:rsidRPr="71886034">
        <w:rPr>
          <w:rFonts w:ascii="Verdana" w:hAnsi="Verdana" w:cs="Arial"/>
          <w:lang w:val="es-CO"/>
        </w:rPr>
        <w:t>6, por</w:t>
      </w:r>
      <w:bookmarkEnd w:id="13"/>
      <w:r w:rsidRPr="71886034">
        <w:rPr>
          <w:rFonts w:ascii="Verdana" w:hAnsi="Verdana" w:cs="Arial"/>
          <w:lang w:val="es-CO"/>
        </w:rPr>
        <w:t xml:space="preserve"> medio de la cual se desató </w:t>
      </w:r>
      <w:bookmarkStart w:id="14" w:name="_Int_XKOq9A7l"/>
      <w:r w:rsidRPr="71886034">
        <w:rPr>
          <w:rFonts w:ascii="Verdana" w:hAnsi="Verdana" w:cs="Arial"/>
          <w:lang w:val="es-CO"/>
        </w:rPr>
        <w:t>el recurso</w:t>
      </w:r>
      <w:bookmarkEnd w:id="14"/>
      <w:r w:rsidRPr="71886034">
        <w:rPr>
          <w:rFonts w:ascii="Verdana" w:hAnsi="Verdana" w:cs="Arial"/>
          <w:lang w:val="es-CO"/>
        </w:rPr>
        <w:t xml:space="preserve"> de apelación contra la decisión que ordenó seguir adelante la ejecución. </w:t>
      </w:r>
    </w:p>
    <w:p w14:paraId="37F87A38" w14:textId="6575DF95" w:rsidR="008C3607" w:rsidRPr="00410982" w:rsidRDefault="008C3607" w:rsidP="00B8792A">
      <w:pPr>
        <w:pStyle w:val="Sinespaciado"/>
        <w:widowControl w:val="0"/>
        <w:spacing w:line="360" w:lineRule="auto"/>
        <w:jc w:val="both"/>
        <w:rPr>
          <w:rFonts w:ascii="Verdana" w:hAnsi="Verdana" w:cs="Arial"/>
          <w:lang w:val="es-CO"/>
        </w:rPr>
      </w:pPr>
    </w:p>
    <w:p w14:paraId="00BD4CBA" w14:textId="77777777" w:rsidR="00FA0DD4" w:rsidRPr="00410982" w:rsidRDefault="00FA0DD4" w:rsidP="00FA0DD4">
      <w:pPr>
        <w:spacing w:after="0" w:line="360" w:lineRule="auto"/>
        <w:ind w:left="20"/>
        <w:jc w:val="both"/>
        <w:rPr>
          <w:rFonts w:ascii="Verdana" w:hAnsi="Verdana" w:cs="Arial"/>
          <w:sz w:val="24"/>
          <w:szCs w:val="24"/>
        </w:rPr>
      </w:pPr>
      <w:r w:rsidRPr="00410982">
        <w:rPr>
          <w:rFonts w:ascii="Verdana" w:hAnsi="Verdana" w:cs="Arial"/>
          <w:sz w:val="24"/>
          <w:szCs w:val="24"/>
        </w:rPr>
        <w:t>En mérito de lo brevemente expuesto, el Despacho No. 4</w:t>
      </w:r>
    </w:p>
    <w:p w14:paraId="7935303E" w14:textId="77777777" w:rsidR="00FA0DD4" w:rsidRPr="00410982" w:rsidRDefault="00FA0DD4" w:rsidP="00FA0DD4">
      <w:pPr>
        <w:spacing w:after="0" w:line="360" w:lineRule="auto"/>
        <w:ind w:left="20"/>
        <w:jc w:val="both"/>
        <w:rPr>
          <w:rFonts w:ascii="Verdana" w:hAnsi="Verdana" w:cs="Arial"/>
          <w:sz w:val="24"/>
          <w:szCs w:val="24"/>
        </w:rPr>
      </w:pPr>
    </w:p>
    <w:p w14:paraId="0888AEF8" w14:textId="77777777" w:rsidR="00FA0DD4" w:rsidRPr="00410982" w:rsidRDefault="00FA0DD4" w:rsidP="00FA0DD4">
      <w:pPr>
        <w:pStyle w:val="Cuerpodeltexto0"/>
        <w:shd w:val="clear" w:color="auto" w:fill="auto"/>
        <w:spacing w:line="360" w:lineRule="auto"/>
        <w:ind w:left="20"/>
        <w:jc w:val="center"/>
        <w:rPr>
          <w:rStyle w:val="Notaalpie5"/>
          <w:sz w:val="24"/>
          <w:szCs w:val="24"/>
        </w:rPr>
      </w:pPr>
      <w:r w:rsidRPr="00410982">
        <w:rPr>
          <w:rFonts w:ascii="Verdana" w:hAnsi="Verdana"/>
          <w:b/>
          <w:sz w:val="24"/>
          <w:szCs w:val="24"/>
        </w:rPr>
        <w:t>RESUELVE:</w:t>
      </w:r>
    </w:p>
    <w:p w14:paraId="7EAD0315" w14:textId="77777777" w:rsidR="00FA0DD4" w:rsidRPr="00410982" w:rsidRDefault="00FA0DD4" w:rsidP="00FA0DD4">
      <w:pPr>
        <w:pStyle w:val="Cuerpodeltexto0"/>
        <w:shd w:val="clear" w:color="auto" w:fill="auto"/>
        <w:spacing w:line="360" w:lineRule="auto"/>
        <w:ind w:left="20"/>
        <w:rPr>
          <w:rStyle w:val="Notaalpie5"/>
          <w:sz w:val="24"/>
          <w:szCs w:val="24"/>
        </w:rPr>
      </w:pPr>
    </w:p>
    <w:p w14:paraId="444810E6" w14:textId="41D67010" w:rsidR="00E15CA8" w:rsidRPr="00410982" w:rsidRDefault="00FA0DD4" w:rsidP="00FA0DD4">
      <w:pPr>
        <w:pStyle w:val="Cuerpodeltexto0"/>
        <w:shd w:val="clear" w:color="auto" w:fill="auto"/>
        <w:spacing w:line="360" w:lineRule="auto"/>
        <w:ind w:left="20"/>
        <w:jc w:val="both"/>
        <w:rPr>
          <w:rFonts w:ascii="Verdana" w:hAnsi="Verdana"/>
          <w:sz w:val="24"/>
          <w:szCs w:val="24"/>
        </w:rPr>
      </w:pPr>
      <w:proofErr w:type="gramStart"/>
      <w:r w:rsidRPr="71886034">
        <w:rPr>
          <w:rStyle w:val="Notaalpie5"/>
          <w:b/>
          <w:bCs/>
          <w:sz w:val="24"/>
          <w:szCs w:val="24"/>
        </w:rPr>
        <w:t>PRIMERO</w:t>
      </w:r>
      <w:r w:rsidR="00164A5B" w:rsidRPr="71886034">
        <w:rPr>
          <w:rStyle w:val="Notaalpie5"/>
          <w:b/>
          <w:bCs/>
          <w:sz w:val="24"/>
          <w:szCs w:val="24"/>
        </w:rPr>
        <w:t>.-</w:t>
      </w:r>
      <w:proofErr w:type="gramEnd"/>
      <w:r w:rsidRPr="71886034">
        <w:rPr>
          <w:rStyle w:val="Notaalpie5"/>
          <w:b/>
          <w:bCs/>
          <w:sz w:val="24"/>
          <w:szCs w:val="24"/>
        </w:rPr>
        <w:t xml:space="preserve"> </w:t>
      </w:r>
      <w:r w:rsidR="00E15CA8" w:rsidRPr="71886034">
        <w:rPr>
          <w:rFonts w:ascii="Verdana" w:hAnsi="Verdana"/>
          <w:b/>
          <w:bCs/>
          <w:sz w:val="24"/>
          <w:szCs w:val="24"/>
        </w:rPr>
        <w:t xml:space="preserve">DÉJAR SIN EFECTOS </w:t>
      </w:r>
      <w:r w:rsidR="00E15CA8" w:rsidRPr="71886034">
        <w:rPr>
          <w:rFonts w:ascii="Verdana" w:hAnsi="Verdana"/>
          <w:sz w:val="24"/>
          <w:szCs w:val="24"/>
        </w:rPr>
        <w:t xml:space="preserve">la providencia de fecha 28 de octubre de 2021, por las razones expuestas líneas anteriores. </w:t>
      </w:r>
    </w:p>
    <w:p w14:paraId="66E6A972" w14:textId="77777777" w:rsidR="00E15CA8" w:rsidRPr="00410982" w:rsidRDefault="00E15CA8" w:rsidP="00FA0DD4">
      <w:pPr>
        <w:pStyle w:val="Cuerpodeltexto0"/>
        <w:shd w:val="clear" w:color="auto" w:fill="auto"/>
        <w:spacing w:line="360" w:lineRule="auto"/>
        <w:ind w:left="20"/>
        <w:jc w:val="both"/>
        <w:rPr>
          <w:rStyle w:val="Notaalpie5"/>
          <w:b/>
          <w:sz w:val="24"/>
          <w:szCs w:val="24"/>
        </w:rPr>
      </w:pPr>
    </w:p>
    <w:p w14:paraId="43E5C5A7" w14:textId="45D7D8B9" w:rsidR="00164A5B" w:rsidRPr="00410982" w:rsidRDefault="00E15CA8" w:rsidP="00164A5B">
      <w:pPr>
        <w:pStyle w:val="Cuerpodeltexto0"/>
        <w:shd w:val="clear" w:color="auto" w:fill="auto"/>
        <w:spacing w:line="360" w:lineRule="auto"/>
        <w:ind w:left="20"/>
        <w:jc w:val="both"/>
        <w:rPr>
          <w:rFonts w:ascii="Verdana" w:hAnsi="Verdana"/>
          <w:sz w:val="24"/>
          <w:szCs w:val="24"/>
        </w:rPr>
      </w:pPr>
      <w:proofErr w:type="gramStart"/>
      <w:r w:rsidRPr="71886034">
        <w:rPr>
          <w:rStyle w:val="Notaalpie5"/>
          <w:b/>
          <w:bCs/>
          <w:sz w:val="24"/>
          <w:szCs w:val="24"/>
        </w:rPr>
        <w:t>SEGUNDO.-</w:t>
      </w:r>
      <w:proofErr w:type="gramEnd"/>
      <w:r w:rsidRPr="71886034">
        <w:rPr>
          <w:rStyle w:val="Notaalpie5"/>
          <w:b/>
          <w:bCs/>
          <w:sz w:val="24"/>
          <w:szCs w:val="24"/>
        </w:rPr>
        <w:t xml:space="preserve"> ABSTENERSE de</w:t>
      </w:r>
      <w:r w:rsidRPr="71886034">
        <w:rPr>
          <w:rStyle w:val="Notaalpie5"/>
          <w:sz w:val="24"/>
          <w:szCs w:val="24"/>
        </w:rPr>
        <w:t xml:space="preserve"> pronunciarse </w:t>
      </w:r>
      <w:bookmarkStart w:id="15" w:name="_Int_FMIHox66"/>
      <w:r w:rsidRPr="71886034">
        <w:rPr>
          <w:rStyle w:val="Notaalpie5"/>
          <w:sz w:val="24"/>
          <w:szCs w:val="24"/>
        </w:rPr>
        <w:t>de fondo</w:t>
      </w:r>
      <w:bookmarkEnd w:id="15"/>
      <w:r w:rsidRPr="71886034">
        <w:rPr>
          <w:rStyle w:val="Notaalpie5"/>
          <w:sz w:val="24"/>
          <w:szCs w:val="24"/>
        </w:rPr>
        <w:t xml:space="preserve"> </w:t>
      </w:r>
      <w:r w:rsidR="00164A5B" w:rsidRPr="71886034">
        <w:rPr>
          <w:rStyle w:val="Notaalpie5"/>
          <w:sz w:val="24"/>
          <w:szCs w:val="24"/>
        </w:rPr>
        <w:t xml:space="preserve">frente a la apelación interpuesta en contra del auto de 10 de junio de 2021, por los motivos expuestos en la parte motiva de esta providencia. </w:t>
      </w:r>
    </w:p>
    <w:p w14:paraId="4296B4B6" w14:textId="6DCDD33F" w:rsidR="00FA0DD4" w:rsidRPr="00410982" w:rsidRDefault="00FA0DD4" w:rsidP="00FA0DD4">
      <w:pPr>
        <w:pStyle w:val="Cuerpodeltexto0"/>
        <w:shd w:val="clear" w:color="auto" w:fill="auto"/>
        <w:spacing w:line="360" w:lineRule="auto"/>
        <w:ind w:left="20"/>
        <w:jc w:val="both"/>
        <w:rPr>
          <w:rFonts w:ascii="Verdana" w:hAnsi="Verdana"/>
          <w:sz w:val="24"/>
          <w:szCs w:val="24"/>
        </w:rPr>
      </w:pPr>
    </w:p>
    <w:p w14:paraId="2A9F8096" w14:textId="50794E13" w:rsidR="00FA0DD4" w:rsidRPr="00410982" w:rsidRDefault="00164A5B" w:rsidP="00FA0DD4">
      <w:pPr>
        <w:pStyle w:val="Cuerpodeltexto0"/>
        <w:shd w:val="clear" w:color="auto" w:fill="auto"/>
        <w:spacing w:line="360" w:lineRule="auto"/>
        <w:ind w:left="20"/>
        <w:jc w:val="both"/>
        <w:rPr>
          <w:rFonts w:ascii="Verdana" w:hAnsi="Verdana"/>
          <w:sz w:val="24"/>
          <w:szCs w:val="24"/>
        </w:rPr>
      </w:pPr>
      <w:r w:rsidRPr="00410982">
        <w:rPr>
          <w:rFonts w:ascii="Verdana" w:hAnsi="Verdana"/>
          <w:b/>
          <w:sz w:val="24"/>
          <w:szCs w:val="24"/>
        </w:rPr>
        <w:t>TERCERO</w:t>
      </w:r>
      <w:r w:rsidR="00FA0DD4" w:rsidRPr="00410982">
        <w:rPr>
          <w:rFonts w:ascii="Verdana" w:hAnsi="Verdana"/>
          <w:b/>
          <w:sz w:val="24"/>
          <w:szCs w:val="24"/>
        </w:rPr>
        <w:t xml:space="preserve">: </w:t>
      </w:r>
      <w:r w:rsidR="00FA0DD4" w:rsidRPr="00410982">
        <w:rPr>
          <w:rFonts w:ascii="Verdana" w:hAnsi="Verdana"/>
          <w:sz w:val="24"/>
          <w:szCs w:val="24"/>
        </w:rPr>
        <w:t>Oportunamente vuelva el expediente al Juzgado de origen, para lo de su cargo.</w:t>
      </w:r>
    </w:p>
    <w:p w14:paraId="6BE96C28" w14:textId="77777777" w:rsidR="00FA0DD4" w:rsidRPr="00410982" w:rsidRDefault="00FA0DD4" w:rsidP="00FA0DD4">
      <w:pPr>
        <w:spacing w:after="0" w:line="360" w:lineRule="auto"/>
        <w:jc w:val="both"/>
        <w:rPr>
          <w:rFonts w:ascii="Verdana" w:hAnsi="Verdana" w:cs="Arial"/>
          <w:sz w:val="24"/>
          <w:szCs w:val="24"/>
        </w:rPr>
      </w:pPr>
    </w:p>
    <w:p w14:paraId="74E71E42" w14:textId="77777777" w:rsidR="00FA0DD4" w:rsidRPr="00410982" w:rsidRDefault="00FA0DD4" w:rsidP="00FA0DD4">
      <w:pPr>
        <w:spacing w:after="0" w:line="360" w:lineRule="auto"/>
        <w:jc w:val="both"/>
        <w:rPr>
          <w:rFonts w:ascii="Verdana" w:hAnsi="Verdana" w:cs="Arial"/>
          <w:b/>
          <w:sz w:val="24"/>
          <w:szCs w:val="24"/>
        </w:rPr>
      </w:pPr>
      <w:r w:rsidRPr="00410982">
        <w:rPr>
          <w:rFonts w:ascii="Verdana" w:hAnsi="Verdana" w:cs="Arial"/>
          <w:b/>
          <w:sz w:val="24"/>
          <w:szCs w:val="24"/>
        </w:rPr>
        <w:t>NOTIFÍQUESE Y CUMPLASE</w:t>
      </w:r>
    </w:p>
    <w:p w14:paraId="6180C130" w14:textId="77777777" w:rsidR="00FA0DD4" w:rsidRPr="00EE5C07" w:rsidRDefault="00FA0DD4" w:rsidP="00FA0DD4">
      <w:pPr>
        <w:spacing w:after="0" w:line="360" w:lineRule="auto"/>
        <w:jc w:val="both"/>
        <w:rPr>
          <w:rFonts w:ascii="Verdana" w:hAnsi="Verdana"/>
          <w:lang w:val="es-ES_tradnl"/>
        </w:rPr>
      </w:pPr>
    </w:p>
    <w:p w14:paraId="5CD87E5B" w14:textId="199AA958" w:rsidR="003C6DCF" w:rsidRPr="00EE5C07" w:rsidRDefault="00FA0DD4" w:rsidP="00FA0DD4">
      <w:pPr>
        <w:spacing w:after="0" w:line="360" w:lineRule="auto"/>
        <w:jc w:val="both"/>
      </w:pPr>
      <w:r w:rsidRPr="416098F1">
        <w:rPr>
          <w:rFonts w:ascii="Verdana" w:hAnsi="Verdana"/>
        </w:rPr>
        <w:t xml:space="preserve">                                       </w:t>
      </w:r>
    </w:p>
    <w:p w14:paraId="068A7DFC" w14:textId="77777777" w:rsidR="00FA0DD4" w:rsidRPr="00EE5C07" w:rsidRDefault="00FA0DD4" w:rsidP="00FA0DD4">
      <w:pPr>
        <w:spacing w:after="0" w:line="360" w:lineRule="auto"/>
        <w:jc w:val="center"/>
        <w:rPr>
          <w:rFonts w:ascii="Verdana" w:hAnsi="Verdana"/>
          <w:b/>
          <w:lang w:val="es-ES_tradnl"/>
        </w:rPr>
      </w:pPr>
      <w:r w:rsidRPr="00EE5C07">
        <w:rPr>
          <w:rFonts w:ascii="Verdana" w:hAnsi="Verdana"/>
          <w:b/>
          <w:bCs/>
        </w:rPr>
        <w:t>FELIX ALBERTO RODRIGUEZ RIVEROS</w:t>
      </w:r>
    </w:p>
    <w:p w14:paraId="0A0FF010" w14:textId="77777777" w:rsidR="00FA0DD4" w:rsidRPr="002A6FFE" w:rsidRDefault="00FA0DD4" w:rsidP="00FA0DD4">
      <w:pPr>
        <w:spacing w:after="0" w:line="360" w:lineRule="auto"/>
        <w:jc w:val="center"/>
        <w:rPr>
          <w:rFonts w:ascii="Verdana" w:hAnsi="Verdana"/>
          <w:color w:val="000000"/>
          <w:lang w:val="es" w:eastAsia="es-CO"/>
        </w:rPr>
      </w:pPr>
      <w:r w:rsidRPr="00385662">
        <w:rPr>
          <w:rFonts w:ascii="Verdana" w:hAnsi="Verdana"/>
          <w:b/>
        </w:rPr>
        <w:t xml:space="preserve">Magistrado </w:t>
      </w:r>
    </w:p>
    <w:p w14:paraId="20793C2E" w14:textId="77777777" w:rsidR="002A57B3" w:rsidRDefault="002A57B3"/>
    <w:sectPr w:rsidR="002A57B3" w:rsidSect="006462EC">
      <w:headerReference w:type="even" r:id="rId12"/>
      <w:headerReference w:type="default" r:id="rId13"/>
      <w:footerReference w:type="default" r:id="rId14"/>
      <w:pgSz w:w="12242" w:h="18722" w:code="14"/>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81580" w14:textId="77777777" w:rsidR="003120DE" w:rsidRDefault="003120DE" w:rsidP="004B4375">
      <w:pPr>
        <w:spacing w:after="0" w:line="240" w:lineRule="auto"/>
      </w:pPr>
      <w:r>
        <w:separator/>
      </w:r>
    </w:p>
  </w:endnote>
  <w:endnote w:type="continuationSeparator" w:id="0">
    <w:p w14:paraId="056C9D82" w14:textId="77777777" w:rsidR="003120DE" w:rsidRDefault="003120DE" w:rsidP="004B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424CB" w14:textId="77777777" w:rsidR="00063496" w:rsidRDefault="00563C7B">
    <w:pPr>
      <w:pStyle w:val="Piedepgina"/>
      <w:jc w:val="right"/>
    </w:pPr>
    <w:r>
      <w:fldChar w:fldCharType="begin"/>
    </w:r>
    <w:r>
      <w:instrText>PAGE   \* MERGEFORMAT</w:instrText>
    </w:r>
    <w:r>
      <w:fldChar w:fldCharType="separate"/>
    </w:r>
    <w:r>
      <w:rPr>
        <w:noProof/>
      </w:rPr>
      <w:t>8</w:t>
    </w:r>
    <w:r>
      <w:fldChar w:fldCharType="end"/>
    </w:r>
  </w:p>
  <w:p w14:paraId="2D344B0D" w14:textId="77777777" w:rsidR="00063496" w:rsidRDefault="003120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263D" w14:textId="77777777" w:rsidR="003120DE" w:rsidRDefault="003120DE" w:rsidP="004B4375">
      <w:pPr>
        <w:spacing w:after="0" w:line="240" w:lineRule="auto"/>
      </w:pPr>
      <w:r>
        <w:separator/>
      </w:r>
    </w:p>
  </w:footnote>
  <w:footnote w:type="continuationSeparator" w:id="0">
    <w:p w14:paraId="5222D7D5" w14:textId="77777777" w:rsidR="003120DE" w:rsidRDefault="003120DE" w:rsidP="004B4375">
      <w:pPr>
        <w:spacing w:after="0" w:line="240" w:lineRule="auto"/>
      </w:pPr>
      <w:r>
        <w:continuationSeparator/>
      </w:r>
    </w:p>
  </w:footnote>
  <w:footnote w:id="1">
    <w:p w14:paraId="7CFD6431" w14:textId="77777777" w:rsidR="004B4375" w:rsidRPr="004B4375" w:rsidRDefault="004B4375">
      <w:pPr>
        <w:pStyle w:val="Textonotapie"/>
        <w:rPr>
          <w:lang w:val="es-MX"/>
        </w:rPr>
      </w:pPr>
      <w:r>
        <w:rPr>
          <w:rStyle w:val="Refdenotaalpie"/>
        </w:rPr>
        <w:footnoteRef/>
      </w:r>
      <w:r>
        <w:t xml:space="preserve"> </w:t>
      </w:r>
      <w:r>
        <w:rPr>
          <w:lang w:val="es-MX"/>
        </w:rPr>
        <w:t xml:space="preserve">Dia siguiente al pago realizado con ocasión de la Resolución </w:t>
      </w:r>
      <w:proofErr w:type="spellStart"/>
      <w:r>
        <w:rPr>
          <w:lang w:val="es-MX"/>
        </w:rPr>
        <w:t>N°</w:t>
      </w:r>
      <w:proofErr w:type="spellEnd"/>
      <w:r>
        <w:rPr>
          <w:lang w:val="es-MX"/>
        </w:rPr>
        <w:t xml:space="preserve"> 3512 de 2017</w:t>
      </w:r>
    </w:p>
  </w:footnote>
  <w:footnote w:id="2">
    <w:p w14:paraId="1FF99693" w14:textId="77777777" w:rsidR="004B4375" w:rsidRPr="004B4375" w:rsidRDefault="004B4375">
      <w:pPr>
        <w:pStyle w:val="Textonotapie"/>
        <w:rPr>
          <w:lang w:val="es-MX"/>
        </w:rPr>
      </w:pPr>
      <w:r>
        <w:rPr>
          <w:rStyle w:val="Refdenotaalpie"/>
        </w:rPr>
        <w:footnoteRef/>
      </w:r>
      <w:r>
        <w:t xml:space="preserve"> </w:t>
      </w:r>
      <w:r>
        <w:rPr>
          <w:lang w:val="es-MX"/>
        </w:rPr>
        <w:t xml:space="preserve">Fecha del pago de lo reconocido en la Resolución </w:t>
      </w:r>
      <w:proofErr w:type="spellStart"/>
      <w:r>
        <w:rPr>
          <w:lang w:val="es-MX"/>
        </w:rPr>
        <w:t>N°</w:t>
      </w:r>
      <w:proofErr w:type="spellEnd"/>
      <w:r>
        <w:rPr>
          <w:lang w:val="es-MX"/>
        </w:rPr>
        <w:t xml:space="preserve"> 3965018 de 2018</w:t>
      </w:r>
    </w:p>
  </w:footnote>
  <w:footnote w:id="3">
    <w:p w14:paraId="0F4DA454" w14:textId="77777777" w:rsidR="00E15CA8" w:rsidRPr="00C4790D" w:rsidRDefault="00E15CA8" w:rsidP="00E15CA8">
      <w:pPr>
        <w:pStyle w:val="Textonotapie"/>
      </w:pPr>
      <w:r>
        <w:rPr>
          <w:rStyle w:val="Refdenotaalpie"/>
        </w:rPr>
        <w:footnoteRef/>
      </w:r>
      <w:r>
        <w:t xml:space="preserve"> Consejo de Estado, Sala de lo Contencioso Administrativo, Sección Cuarta, auto de 24 de septiembre de 2008, </w:t>
      </w:r>
      <w:proofErr w:type="spellStart"/>
      <w:r>
        <w:t>exp</w:t>
      </w:r>
      <w:proofErr w:type="spellEnd"/>
      <w:r>
        <w:t>. 16.992.</w:t>
      </w:r>
    </w:p>
  </w:footnote>
  <w:footnote w:id="4">
    <w:p w14:paraId="7D289FD1" w14:textId="77777777" w:rsidR="00E15CA8" w:rsidRPr="00F611FF" w:rsidRDefault="00E15CA8" w:rsidP="00E15CA8">
      <w:pPr>
        <w:pStyle w:val="Textonotapie"/>
      </w:pPr>
      <w:r>
        <w:rPr>
          <w:rStyle w:val="Refdenotaalpie"/>
        </w:rPr>
        <w:footnoteRef/>
      </w:r>
      <w:r>
        <w:t xml:space="preserve"> Corte constitucional, sentencia T-429 de 19 de mayo de 2011</w:t>
      </w:r>
    </w:p>
  </w:footnote>
  <w:footnote w:id="5">
    <w:p w14:paraId="1A880F10" w14:textId="77777777" w:rsidR="00E15CA8" w:rsidRPr="00C4790D" w:rsidRDefault="00E15CA8" w:rsidP="00E15CA8">
      <w:pPr>
        <w:pStyle w:val="Textonotapie"/>
      </w:pPr>
      <w:r>
        <w:rPr>
          <w:rStyle w:val="Refdenotaalpie"/>
        </w:rPr>
        <w:footnoteRef/>
      </w:r>
      <w:r>
        <w:t xml:space="preserve"> Corte Suprema de Justicia, Sala de Casación Civil, auto 99 de 25 de agosto de 1988.</w:t>
      </w:r>
    </w:p>
  </w:footnote>
  <w:footnote w:id="6">
    <w:p w14:paraId="12A58617" w14:textId="77777777" w:rsidR="00AD1879" w:rsidRPr="00470607" w:rsidRDefault="00AD1879" w:rsidP="00AD1879">
      <w:pPr>
        <w:pStyle w:val="Textonotapie"/>
        <w:rPr>
          <w:rFonts w:ascii="Arial" w:hAnsi="Arial" w:cs="Arial"/>
          <w:sz w:val="18"/>
          <w:szCs w:val="18"/>
          <w:lang w:val="es-CO"/>
        </w:rPr>
      </w:pPr>
      <w:r w:rsidRPr="00470607">
        <w:rPr>
          <w:rStyle w:val="Refdenotaalpie"/>
          <w:rFonts w:ascii="Arial" w:hAnsi="Arial" w:cs="Arial"/>
          <w:sz w:val="18"/>
          <w:szCs w:val="18"/>
        </w:rPr>
        <w:footnoteRef/>
      </w:r>
      <w:r w:rsidRPr="00470607">
        <w:rPr>
          <w:rFonts w:ascii="Arial" w:hAnsi="Arial" w:cs="Arial"/>
          <w:sz w:val="18"/>
          <w:szCs w:val="18"/>
        </w:rPr>
        <w:t xml:space="preserve"> </w:t>
      </w:r>
      <w:r w:rsidRPr="00470607">
        <w:rPr>
          <w:rFonts w:ascii="Arial" w:hAnsi="Arial" w:cs="Arial"/>
          <w:sz w:val="18"/>
          <w:szCs w:val="18"/>
          <w:lang w:val="es-CO"/>
        </w:rPr>
        <w:t>Articulo 422 C.G.P.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59DFA" w14:textId="77777777" w:rsidR="00063496" w:rsidRDefault="00563C7B">
    <w:pPr>
      <w:pStyle w:val="Encabezamientoopiedepgina0"/>
      <w:framePr w:h="173" w:wrap="none" w:vAnchor="text" w:hAnchor="page" w:x="6506" w:y="3295"/>
      <w:shd w:val="clear" w:color="auto" w:fill="auto"/>
      <w:jc w:val="both"/>
    </w:pPr>
    <w:r>
      <w:rPr>
        <w:rStyle w:val="Encabezamientoopiedepgina7pto"/>
        <w:rFonts w:eastAsiaTheme="minorHAnsi"/>
      </w:rPr>
      <w:t>Medio de Control</w:t>
    </w:r>
  </w:p>
  <w:p w14:paraId="38BA4308" w14:textId="77777777" w:rsidR="00063496" w:rsidRDefault="00563C7B">
    <w:pPr>
      <w:pStyle w:val="Encabezamientoopiedepgina0"/>
      <w:framePr w:h="235" w:wrap="none" w:vAnchor="text" w:hAnchor="page" w:x="12703" w:y="3295"/>
      <w:shd w:val="clear" w:color="auto" w:fill="auto"/>
      <w:jc w:val="both"/>
    </w:pP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sidRPr="00684EC6">
      <w:rPr>
        <w:rStyle w:val="EncabezamientoopiedepginaArialUnicodeMS"/>
        <w:noProof/>
      </w:rPr>
      <w:t>10</w:t>
    </w:r>
    <w:r>
      <w:rPr>
        <w:rStyle w:val="EncabezamientoopiedepginaArialUnicodeMS"/>
      </w:rPr>
      <w:fldChar w:fldCharType="end"/>
    </w:r>
  </w:p>
  <w:p w14:paraId="5CAA611F" w14:textId="77777777" w:rsidR="00063496" w:rsidRDefault="003120DE">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166AA" w14:textId="77777777" w:rsidR="00063496" w:rsidRDefault="00563C7B" w:rsidP="006266F3">
    <w:pPr>
      <w:pStyle w:val="Encabezamientoopiedepgina0"/>
      <w:framePr w:w="12093" w:h="523" w:wrap="none" w:vAnchor="text" w:hAnchor="page" w:x="2373" w:y="3180"/>
      <w:shd w:val="clear" w:color="auto" w:fill="auto"/>
      <w:tabs>
        <w:tab w:val="right" w:pos="10526"/>
      </w:tabs>
    </w:pPr>
    <w:r>
      <w:rPr>
        <w:rStyle w:val="Encabezamientoopiedepgina7pto"/>
        <w:rFonts w:eastAsiaTheme="minorHAnsi"/>
      </w:rPr>
      <w:tab/>
    </w: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sidRPr="00C83C2E">
      <w:rPr>
        <w:rStyle w:val="EncabezamientoopiedepginaArialUnicodeMS"/>
        <w:noProof/>
      </w:rPr>
      <w:t>8</w:t>
    </w:r>
    <w:r>
      <w:rPr>
        <w:rStyle w:val="EncabezamientoopiedepginaArialUnicodeMS"/>
      </w:rPr>
      <w:fldChar w:fldCharType="end"/>
    </w:r>
  </w:p>
</w:hdr>
</file>

<file path=word/intelligence2.xml><?xml version="1.0" encoding="utf-8"?>
<int2:intelligence xmlns:int2="http://schemas.microsoft.com/office/intelligence/2020/intelligence">
  <int2:observations>
    <int2:bookmark int2:bookmarkName="_Int_hJP11Yqu" int2:invalidationBookmarkName="" int2:hashCode="1kgTrE+8A3trXg" int2:id="8OGkeDlG"/>
    <int2:bookmark int2:bookmarkName="_Int_wdUFFOxS" int2:invalidationBookmarkName="" int2:hashCode="BJd4LFu0JWXBTf" int2:id="jgOf6lzC"/>
    <int2:bookmark int2:bookmarkName="_Int_FMIHox66" int2:invalidationBookmarkName="" int2:hashCode="w2o6gvP3LbF7nl" int2:id="DEBzKssb"/>
    <int2:bookmark int2:bookmarkName="_Int_XKOq9A7l" int2:invalidationBookmarkName="" int2:hashCode="z5XEuW8TFj5PcW" int2:id="8tyCgfkH"/>
    <int2:bookmark int2:bookmarkName="_Int_uT1EmOxS" int2:invalidationBookmarkName="" int2:hashCode="ZJLLRxRNINCm40" int2:id="78jKi03U"/>
    <int2:bookmark int2:bookmarkName="_Int_fgZWpK93" int2:invalidationBookmarkName="" int2:hashCode="hRZlTM2zPAUCIW" int2:id="9qEzKf9w"/>
    <int2:bookmark int2:bookmarkName="_Int_i8mN2YoS" int2:invalidationBookmarkName="" int2:hashCode="REiBQxpx087agQ" int2:id="cWY5f4kF"/>
    <int2:bookmark int2:bookmarkName="_Int_HuiJvksU" int2:invalidationBookmarkName="" int2:hashCode="XnP5mTc9+rTPA8" int2:id="HEecNEG2"/>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1E5B"/>
    <w:multiLevelType w:val="hybridMultilevel"/>
    <w:tmpl w:val="CF801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8E132F"/>
    <w:multiLevelType w:val="hybridMultilevel"/>
    <w:tmpl w:val="CF801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C98312C"/>
    <w:multiLevelType w:val="multilevel"/>
    <w:tmpl w:val="99A4AF3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4FE4137E"/>
    <w:multiLevelType w:val="multilevel"/>
    <w:tmpl w:val="D442A07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D4"/>
    <w:rsid w:val="00054613"/>
    <w:rsid w:val="00097CD2"/>
    <w:rsid w:val="000C10E0"/>
    <w:rsid w:val="00137C58"/>
    <w:rsid w:val="00164A5B"/>
    <w:rsid w:val="00195C34"/>
    <w:rsid w:val="001C7B9D"/>
    <w:rsid w:val="001F7ECE"/>
    <w:rsid w:val="00212F50"/>
    <w:rsid w:val="00231F76"/>
    <w:rsid w:val="00252952"/>
    <w:rsid w:val="00263734"/>
    <w:rsid w:val="0028077C"/>
    <w:rsid w:val="002A57B3"/>
    <w:rsid w:val="002B3C46"/>
    <w:rsid w:val="002E7656"/>
    <w:rsid w:val="003120DE"/>
    <w:rsid w:val="00331518"/>
    <w:rsid w:val="003C6DCF"/>
    <w:rsid w:val="003E6381"/>
    <w:rsid w:val="00410982"/>
    <w:rsid w:val="0042095F"/>
    <w:rsid w:val="00446781"/>
    <w:rsid w:val="004767DB"/>
    <w:rsid w:val="004865B2"/>
    <w:rsid w:val="004B4375"/>
    <w:rsid w:val="004B518B"/>
    <w:rsid w:val="004C3A3F"/>
    <w:rsid w:val="004E580E"/>
    <w:rsid w:val="00504646"/>
    <w:rsid w:val="00551D50"/>
    <w:rsid w:val="00563C7B"/>
    <w:rsid w:val="00571C55"/>
    <w:rsid w:val="005C5316"/>
    <w:rsid w:val="00623FF1"/>
    <w:rsid w:val="00684A82"/>
    <w:rsid w:val="006D6C2D"/>
    <w:rsid w:val="006F3C0D"/>
    <w:rsid w:val="00700100"/>
    <w:rsid w:val="007653EE"/>
    <w:rsid w:val="00767126"/>
    <w:rsid w:val="00791522"/>
    <w:rsid w:val="007B2B69"/>
    <w:rsid w:val="00830A14"/>
    <w:rsid w:val="008364A7"/>
    <w:rsid w:val="00883569"/>
    <w:rsid w:val="008935FA"/>
    <w:rsid w:val="008A64CC"/>
    <w:rsid w:val="008C3607"/>
    <w:rsid w:val="009A6ED5"/>
    <w:rsid w:val="00A040E1"/>
    <w:rsid w:val="00A60ACD"/>
    <w:rsid w:val="00A665AC"/>
    <w:rsid w:val="00A67CA0"/>
    <w:rsid w:val="00AD1879"/>
    <w:rsid w:val="00B8792A"/>
    <w:rsid w:val="00BB1A14"/>
    <w:rsid w:val="00BB5F46"/>
    <w:rsid w:val="00BC7790"/>
    <w:rsid w:val="00BD4BC3"/>
    <w:rsid w:val="00CC58AA"/>
    <w:rsid w:val="00D64627"/>
    <w:rsid w:val="00DF28F0"/>
    <w:rsid w:val="00E06001"/>
    <w:rsid w:val="00E120C8"/>
    <w:rsid w:val="00E15CA8"/>
    <w:rsid w:val="00E46BC2"/>
    <w:rsid w:val="00EA292E"/>
    <w:rsid w:val="00EA403C"/>
    <w:rsid w:val="00F1293E"/>
    <w:rsid w:val="00F451D1"/>
    <w:rsid w:val="00FA0DD4"/>
    <w:rsid w:val="00FD1776"/>
    <w:rsid w:val="00FF31AE"/>
    <w:rsid w:val="052216B4"/>
    <w:rsid w:val="0BA3FF68"/>
    <w:rsid w:val="0EDBA02A"/>
    <w:rsid w:val="130FE1F1"/>
    <w:rsid w:val="175C3255"/>
    <w:rsid w:val="1C271F75"/>
    <w:rsid w:val="2D5ADC86"/>
    <w:rsid w:val="2F72871C"/>
    <w:rsid w:val="3215254C"/>
    <w:rsid w:val="37F581BF"/>
    <w:rsid w:val="384227D0"/>
    <w:rsid w:val="3B887E4B"/>
    <w:rsid w:val="3BED8E03"/>
    <w:rsid w:val="3D072B3B"/>
    <w:rsid w:val="3D85F9CD"/>
    <w:rsid w:val="3DDDFC93"/>
    <w:rsid w:val="40E470F3"/>
    <w:rsid w:val="43ADB4AC"/>
    <w:rsid w:val="4BB8C691"/>
    <w:rsid w:val="4F30A37D"/>
    <w:rsid w:val="4F5581A3"/>
    <w:rsid w:val="512272D3"/>
    <w:rsid w:val="5383D9B5"/>
    <w:rsid w:val="581D9A73"/>
    <w:rsid w:val="58759D39"/>
    <w:rsid w:val="5B0DB490"/>
    <w:rsid w:val="5EE34B26"/>
    <w:rsid w:val="5FCE5745"/>
    <w:rsid w:val="7065A781"/>
    <w:rsid w:val="709A9C26"/>
    <w:rsid w:val="71886034"/>
    <w:rsid w:val="73926660"/>
    <w:rsid w:val="74959DC2"/>
    <w:rsid w:val="76675FE2"/>
    <w:rsid w:val="7E6BDB6A"/>
    <w:rsid w:val="7F8C73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2F86"/>
  <w15:chartTrackingRefBased/>
  <w15:docId w15:val="{89C776A8-BE62-40E8-9F8D-90395B49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0DD4"/>
    <w:pPr>
      <w:spacing w:after="200" w:line="276" w:lineRule="auto"/>
    </w:pPr>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A0DD4"/>
    <w:pPr>
      <w:spacing w:after="120" w:line="240" w:lineRule="auto"/>
    </w:pPr>
    <w:rPr>
      <w:rFonts w:ascii="Times New Roman" w:eastAsia="MS Mincho" w:hAnsi="Times New Roman"/>
      <w:sz w:val="20"/>
      <w:szCs w:val="20"/>
      <w:lang w:val="es-ES_tradnl" w:eastAsia="es-ES"/>
    </w:rPr>
  </w:style>
  <w:style w:type="character" w:customStyle="1" w:styleId="TextoindependienteCar">
    <w:name w:val="Texto independiente Car"/>
    <w:basedOn w:val="Fuentedeprrafopredeter"/>
    <w:link w:val="Textoindependiente"/>
    <w:rsid w:val="00FA0DD4"/>
    <w:rPr>
      <w:rFonts w:ascii="Times New Roman" w:eastAsia="MS Mincho" w:hAnsi="Times New Roman" w:cs="Times New Roman"/>
      <w:sz w:val="20"/>
      <w:szCs w:val="20"/>
      <w:lang w:val="es-ES_tradnl" w:eastAsia="es-ES"/>
    </w:rPr>
  </w:style>
  <w:style w:type="paragraph" w:styleId="Piedepgina">
    <w:name w:val="footer"/>
    <w:basedOn w:val="Normal"/>
    <w:link w:val="PiedepginaCar"/>
    <w:uiPriority w:val="99"/>
    <w:rsid w:val="00FA0DD4"/>
    <w:pPr>
      <w:tabs>
        <w:tab w:val="center" w:pos="4419"/>
        <w:tab w:val="right" w:pos="8838"/>
      </w:tabs>
    </w:pPr>
  </w:style>
  <w:style w:type="character" w:customStyle="1" w:styleId="PiedepginaCar">
    <w:name w:val="Pie de página Car"/>
    <w:basedOn w:val="Fuentedeprrafopredeter"/>
    <w:link w:val="Piedepgina"/>
    <w:uiPriority w:val="99"/>
    <w:rsid w:val="00FA0DD4"/>
    <w:rPr>
      <w:rFonts w:ascii="Calibri" w:eastAsia="Times New Roman" w:hAnsi="Calibri" w:cs="Times New Roman"/>
      <w:lang w:val="es-ES"/>
    </w:rPr>
  </w:style>
  <w:style w:type="paragraph" w:customStyle="1" w:styleId="Default">
    <w:name w:val="Default"/>
    <w:rsid w:val="00FA0DD4"/>
    <w:pPr>
      <w:autoSpaceDE w:val="0"/>
      <w:autoSpaceDN w:val="0"/>
      <w:adjustRightInd w:val="0"/>
      <w:spacing w:after="0" w:line="240" w:lineRule="auto"/>
    </w:pPr>
    <w:rPr>
      <w:rFonts w:ascii="Corbel" w:eastAsia="Times New Roman" w:hAnsi="Corbel" w:cs="Corbel"/>
      <w:color w:val="000000"/>
      <w:sz w:val="24"/>
      <w:szCs w:val="24"/>
      <w:lang w:val="es-ES" w:eastAsia="es-ES"/>
    </w:rPr>
  </w:style>
  <w:style w:type="character" w:customStyle="1" w:styleId="Cuerpodeltexto">
    <w:name w:val="Cuerpo del texto_"/>
    <w:link w:val="Cuerpodeltexto0"/>
    <w:rsid w:val="00FA0DD4"/>
    <w:rPr>
      <w:sz w:val="26"/>
      <w:szCs w:val="26"/>
      <w:shd w:val="clear" w:color="auto" w:fill="FFFFFF"/>
    </w:rPr>
  </w:style>
  <w:style w:type="paragraph" w:customStyle="1" w:styleId="Cuerpodeltexto0">
    <w:name w:val="Cuerpo del texto"/>
    <w:basedOn w:val="Normal"/>
    <w:link w:val="Cuerpodeltexto"/>
    <w:rsid w:val="00FA0DD4"/>
    <w:pPr>
      <w:shd w:val="clear" w:color="auto" w:fill="FFFFFF"/>
      <w:spacing w:after="0" w:line="0" w:lineRule="atLeast"/>
    </w:pPr>
    <w:rPr>
      <w:rFonts w:asciiTheme="minorHAnsi" w:eastAsiaTheme="minorHAnsi" w:hAnsiTheme="minorHAnsi" w:cstheme="minorBidi"/>
      <w:sz w:val="26"/>
      <w:szCs w:val="26"/>
      <w:lang w:val="es-CO"/>
    </w:rPr>
  </w:style>
  <w:style w:type="character" w:customStyle="1" w:styleId="Encabezamientoopiedepgina">
    <w:name w:val="Encabezamiento o pie de página_"/>
    <w:link w:val="Encabezamientoopiedepgina0"/>
    <w:rsid w:val="00FA0DD4"/>
    <w:rPr>
      <w:shd w:val="clear" w:color="auto" w:fill="FFFFFF"/>
    </w:rPr>
  </w:style>
  <w:style w:type="character" w:customStyle="1" w:styleId="Encabezamientoopiedepgina7pto">
    <w:name w:val="Encabezamiento o pie de página + 7 pto"/>
    <w:rsid w:val="00FA0DD4"/>
    <w:rPr>
      <w:rFonts w:ascii="Times New Roman" w:eastAsia="Times New Roman" w:hAnsi="Times New Roman" w:cs="Times New Roman"/>
      <w:b w:val="0"/>
      <w:bCs w:val="0"/>
      <w:i w:val="0"/>
      <w:iCs w:val="0"/>
      <w:smallCaps w:val="0"/>
      <w:strike w:val="0"/>
      <w:spacing w:val="0"/>
      <w:sz w:val="14"/>
      <w:szCs w:val="14"/>
    </w:rPr>
  </w:style>
  <w:style w:type="character" w:customStyle="1" w:styleId="EncabezamientoopiedepginaArialUnicodeMS">
    <w:name w:val="Encabezamiento o pie de página + Arial Unicode MS"/>
    <w:aliases w:val="11 pto"/>
    <w:rsid w:val="00FA0DD4"/>
    <w:rPr>
      <w:rFonts w:ascii="Arial Unicode MS" w:eastAsia="Arial Unicode MS" w:hAnsi="Arial Unicode MS" w:cs="Arial Unicode MS"/>
      <w:b w:val="0"/>
      <w:bCs w:val="0"/>
      <w:i w:val="0"/>
      <w:iCs w:val="0"/>
      <w:smallCaps w:val="0"/>
      <w:strike w:val="0"/>
      <w:spacing w:val="0"/>
      <w:sz w:val="22"/>
      <w:szCs w:val="22"/>
    </w:rPr>
  </w:style>
  <w:style w:type="paragraph" w:customStyle="1" w:styleId="Encabezamientoopiedepgina0">
    <w:name w:val="Encabezamiento o pie de página"/>
    <w:basedOn w:val="Normal"/>
    <w:link w:val="Encabezamientoopiedepgina"/>
    <w:rsid w:val="00FA0DD4"/>
    <w:pPr>
      <w:shd w:val="clear" w:color="auto" w:fill="FFFFFF"/>
      <w:spacing w:after="0" w:line="240" w:lineRule="auto"/>
    </w:pPr>
    <w:rPr>
      <w:rFonts w:asciiTheme="minorHAnsi" w:eastAsiaTheme="minorHAnsi" w:hAnsiTheme="minorHAnsi" w:cstheme="minorBidi"/>
      <w:lang w:val="es-CO"/>
    </w:rPr>
  </w:style>
  <w:style w:type="character" w:customStyle="1" w:styleId="Notaalpie5">
    <w:name w:val="Nota al pie + 5"/>
    <w:aliases w:val="5 pto,Nota al pie + 11,Cuerpo del texto (4) + Times New Roman,8,Espaciado 2 pto,Nota al pie + 10 pto,Cuerpo del texto + 9,Cuerpo del texto + 10,Cuerpo del texto + Times New Roman,11"/>
    <w:rsid w:val="00FA0DD4"/>
    <w:rPr>
      <w:rFonts w:ascii="Verdana" w:eastAsia="Verdana" w:hAnsi="Verdana" w:cs="Verdana"/>
      <w:b w:val="0"/>
      <w:bCs w:val="0"/>
      <w:i w:val="0"/>
      <w:iCs w:val="0"/>
      <w:smallCaps w:val="0"/>
      <w:strike w:val="0"/>
      <w:spacing w:val="0"/>
      <w:sz w:val="11"/>
      <w:szCs w:val="11"/>
    </w:rPr>
  </w:style>
  <w:style w:type="table" w:styleId="Tablaconcuadrcula">
    <w:name w:val="Table Grid"/>
    <w:basedOn w:val="Tablanormal"/>
    <w:uiPriority w:val="39"/>
    <w:rsid w:val="00FA0DD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0DD4"/>
    <w:pPr>
      <w:spacing w:after="0" w:line="240" w:lineRule="auto"/>
      <w:ind w:left="720"/>
    </w:pPr>
    <w:rPr>
      <w:rFonts w:ascii="Times New Roman" w:hAnsi="Times New Roman"/>
      <w:sz w:val="24"/>
      <w:szCs w:val="24"/>
      <w:lang w:eastAsia="es-ES"/>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
    <w:uiPriority w:val="99"/>
    <w:unhideWhenUsed/>
    <w:qFormat/>
    <w:rsid w:val="004B4375"/>
    <w:pPr>
      <w:spacing w:after="0" w:line="240" w:lineRule="auto"/>
    </w:pPr>
    <w:rPr>
      <w:sz w:val="20"/>
      <w:szCs w:val="20"/>
    </w:rPr>
  </w:style>
  <w:style w:type="character" w:customStyle="1" w:styleId="TextonotapieCar">
    <w:name w:val="Texto nota pie Car"/>
    <w:aliases w:val="Footnote Text Char Char Char Char Char Car1,Footnote Text Char Char Char Char Car1,Footnote reference Car1,FA Fu Car1,texto de nota al pie Car1,Footnote Text Char Car1,Footnote Text Char Char Char Char Char Char Char Char Car1"/>
    <w:basedOn w:val="Fuentedeprrafopredeter"/>
    <w:link w:val="Textonotapie"/>
    <w:uiPriority w:val="99"/>
    <w:semiHidden/>
    <w:rsid w:val="004B4375"/>
    <w:rPr>
      <w:rFonts w:ascii="Calibri" w:eastAsia="Times New Roman" w:hAnsi="Calibri" w:cs="Times New Roman"/>
      <w:sz w:val="20"/>
      <w:szCs w:val="20"/>
      <w:lang w:val="es-ES"/>
    </w:rPr>
  </w:style>
  <w:style w:type="character" w:styleId="Refdenotaalpie">
    <w:name w:val="footnote reference"/>
    <w:aliases w:val="Ref. de nota al pie 2,Texto de nota al pie,Ref,de nota al pie,FC,Appel note d,Appel note de,Appel note de bas de p,Appel note de bas de,referencia nota al pie,Fago Fußnotenzeichen,Appel note de bas de page,Footnotes refss,BVI fnr,4_G"/>
    <w:basedOn w:val="Fuentedeprrafopredeter"/>
    <w:link w:val="4GChar"/>
    <w:uiPriority w:val="99"/>
    <w:unhideWhenUsed/>
    <w:qFormat/>
    <w:rsid w:val="004B4375"/>
    <w:rPr>
      <w:vertAlign w:val="superscript"/>
    </w:rPr>
  </w:style>
  <w:style w:type="paragraph" w:styleId="Sinespaciado">
    <w:name w:val="No Spacing"/>
    <w:link w:val="SinespaciadoCar"/>
    <w:uiPriority w:val="1"/>
    <w:qFormat/>
    <w:rsid w:val="00B8792A"/>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B8792A"/>
    <w:rPr>
      <w:rFonts w:ascii="Times New Roman" w:eastAsia="Times New Roman" w:hAnsi="Times New Roman" w:cs="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rsid w:val="00AD1879"/>
    <w:rPr>
      <w:rFonts w:ascii="Times New Roman" w:eastAsia="Times New Roman" w:hAnsi="Times New Roman"/>
      <w:lang w:val="x-none" w:eastAsia="x-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AD1879"/>
    <w:pPr>
      <w:spacing w:after="0" w:line="240" w:lineRule="auto"/>
      <w:jc w:val="both"/>
    </w:pPr>
    <w:rPr>
      <w:rFonts w:asciiTheme="minorHAnsi" w:eastAsiaTheme="minorHAnsi" w:hAnsiTheme="minorHAnsi" w:cstheme="minorBidi"/>
      <w:vertAlign w:val="superscript"/>
      <w:lang w:val="es-CO"/>
    </w:rPr>
  </w:style>
  <w:style w:type="character" w:styleId="Hipervnculo">
    <w:name w:val="Hyperlink"/>
    <w:basedOn w:val="Fuentedeprrafopredeter"/>
    <w:uiPriority w:val="99"/>
    <w:unhideWhenUsed/>
    <w:rsid w:val="00DF28F0"/>
    <w:rPr>
      <w:color w:val="0563C1" w:themeColor="hyperlink"/>
      <w:u w:val="single"/>
    </w:rPr>
  </w:style>
  <w:style w:type="character" w:styleId="Mencinsinresolver">
    <w:name w:val="Unresolved Mention"/>
    <w:basedOn w:val="Fuentedeprrafopredeter"/>
    <w:uiPriority w:val="99"/>
    <w:semiHidden/>
    <w:unhideWhenUsed/>
    <w:rsid w:val="00DF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e763915dccc24fdd"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9193-5D6C-4751-8A72-8EB546E73590}">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661AE418-E35A-4C8C-9C9C-3A2074C24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368A9-0B78-4A87-85E6-FA70645E38E2}">
  <ds:schemaRefs>
    <ds:schemaRef ds:uri="http://schemas.microsoft.com/sharepoint/v3/contenttype/forms"/>
  </ds:schemaRefs>
</ds:datastoreItem>
</file>

<file path=customXml/itemProps4.xml><?xml version="1.0" encoding="utf-8"?>
<ds:datastoreItem xmlns:ds="http://schemas.openxmlformats.org/officeDocument/2006/customXml" ds:itemID="{A79B0FFD-B2C9-46DD-AB9F-92E715AA4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3540</Words>
  <Characters>19475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03 Administrativo Transitorio - Boyacá - Duitama</dc:creator>
  <cp:keywords/>
  <dc:description/>
  <cp:lastModifiedBy>Relatoria Tribunal Administrativo - Boyaca - Seccional Tunja</cp:lastModifiedBy>
  <cp:revision>2</cp:revision>
  <dcterms:created xsi:type="dcterms:W3CDTF">2022-10-26T16:00:00Z</dcterms:created>
  <dcterms:modified xsi:type="dcterms:W3CDTF">2022-10-26T16:00:00Z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ies>
</file>