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826D" w14:textId="5663EF62" w:rsidR="00320D28" w:rsidRPr="001F1961" w:rsidRDefault="001F1961" w:rsidP="001F1961">
      <w:pPr>
        <w:pStyle w:val="Encabezado"/>
        <w:jc w:val="both"/>
        <w:rPr>
          <w:b/>
          <w:szCs w:val="24"/>
        </w:rPr>
      </w:pPr>
      <w:r w:rsidRPr="001F1961">
        <w:rPr>
          <w:b/>
          <w:szCs w:val="24"/>
        </w:rPr>
        <w:t xml:space="preserve">RECURSO DE QUEJA - Se declara mal denegado el recurso de apelación contra sentencia por extemporáneo, teniendo en cuenta el artículo 205 del CAPACA., modificado por el </w:t>
      </w:r>
      <w:r w:rsidRPr="001F1961">
        <w:rPr>
          <w:rStyle w:val="Textoennegrita"/>
          <w:szCs w:val="24"/>
        </w:rPr>
        <w:t>numeral 2° del artículo 52 de la Ley 2080 de 2021</w:t>
      </w:r>
      <w:r>
        <w:rPr>
          <w:rStyle w:val="Textoennegrita"/>
          <w:szCs w:val="24"/>
        </w:rPr>
        <w:t xml:space="preserve"> y</w:t>
      </w:r>
      <w:r w:rsidRPr="001F1961">
        <w:rPr>
          <w:rStyle w:val="Textoennegrita"/>
          <w:szCs w:val="24"/>
        </w:rPr>
        <w:t xml:space="preserve"> en aplicación del auto de unificación del Consejo de Estado.</w:t>
      </w:r>
    </w:p>
    <w:p w14:paraId="27F6B818" w14:textId="77777777" w:rsidR="001F1961" w:rsidRPr="001F1961" w:rsidRDefault="001F1961" w:rsidP="001F1961">
      <w:pPr>
        <w:pStyle w:val="Encabezado"/>
        <w:rPr>
          <w:b/>
          <w:szCs w:val="24"/>
        </w:rPr>
      </w:pPr>
    </w:p>
    <w:p w14:paraId="18CE3CEF" w14:textId="4C73801F" w:rsidR="001F1961" w:rsidRPr="001F1961" w:rsidRDefault="001F1961" w:rsidP="001F1961">
      <w:pPr>
        <w:tabs>
          <w:tab w:val="left" w:pos="709"/>
        </w:tabs>
        <w:jc w:val="both"/>
        <w:rPr>
          <w:rFonts w:ascii="Arial" w:eastAsia="Calibri" w:hAnsi="Arial" w:cs="Arial"/>
          <w:sz w:val="24"/>
          <w:szCs w:val="24"/>
          <w:lang w:val="es-CO" w:eastAsia="es-CO"/>
        </w:rPr>
      </w:pPr>
      <w:r w:rsidRPr="001F1961">
        <w:rPr>
          <w:rFonts w:ascii="Arial" w:hAnsi="Arial" w:cs="Arial"/>
          <w:sz w:val="24"/>
          <w:szCs w:val="24"/>
          <w:lang w:val="es-CO"/>
        </w:rPr>
        <w:t xml:space="preserve">El juez de primera instancia consideró que el termino para impugnar la sentencia feneció el </w:t>
      </w:r>
      <w:r w:rsidRPr="001F1961">
        <w:rPr>
          <w:rFonts w:ascii="Arial" w:hAnsi="Arial" w:cs="Arial"/>
          <w:bCs/>
          <w:sz w:val="24"/>
          <w:szCs w:val="24"/>
          <w:lang w:val="es-CO"/>
        </w:rPr>
        <w:t>28 de febrero de 2022 a las 5:00 p.m.,</w:t>
      </w:r>
      <w:r w:rsidRPr="001F1961">
        <w:rPr>
          <w:rFonts w:ascii="Arial" w:hAnsi="Arial" w:cs="Arial"/>
          <w:b/>
          <w:bCs/>
          <w:sz w:val="24"/>
          <w:szCs w:val="24"/>
          <w:lang w:val="es-CO"/>
        </w:rPr>
        <w:t xml:space="preserve"> </w:t>
      </w:r>
      <w:r w:rsidRPr="001F1961">
        <w:rPr>
          <w:rFonts w:ascii="Arial" w:hAnsi="Arial" w:cs="Arial"/>
          <w:sz w:val="24"/>
          <w:szCs w:val="24"/>
          <w:lang w:val="es-CO"/>
        </w:rPr>
        <w:t xml:space="preserve">pues es esta fecha fenecía el término de los 10 días de que trata el numeral 1° del artículo </w:t>
      </w:r>
      <w:r w:rsidRPr="001F1961">
        <w:rPr>
          <w:rFonts w:ascii="Arial" w:hAnsi="Arial" w:cs="Arial"/>
          <w:sz w:val="24"/>
          <w:szCs w:val="24"/>
        </w:rPr>
        <w:t>247 del C.P.A.C.A.</w:t>
      </w:r>
      <w:r w:rsidRPr="001F1961">
        <w:rPr>
          <w:rFonts w:ascii="Arial" w:hAnsi="Arial" w:cs="Arial"/>
          <w:sz w:val="24"/>
          <w:szCs w:val="24"/>
          <w:lang w:val="es-CO"/>
        </w:rPr>
        <w:t>Así, resultaría razonable concluir que la actuación en efecto fue extemporánea y, en tal sentido, el impugnante habría incumplido con el requisito de la oportunidad para presentar el recurso de apelación dando efectivamente lugar al rechazo del mismo por extemporaneidad.</w:t>
      </w:r>
      <w:r w:rsidRPr="001F1961">
        <w:rPr>
          <w:rFonts w:ascii="Arial" w:hAnsi="Arial" w:cs="Arial"/>
          <w:sz w:val="24"/>
          <w:szCs w:val="24"/>
          <w:lang w:val="es-CO"/>
        </w:rPr>
        <w:t xml:space="preserve"> </w:t>
      </w:r>
      <w:r w:rsidRPr="001F1961">
        <w:rPr>
          <w:rFonts w:ascii="Arial" w:hAnsi="Arial" w:cs="Arial"/>
          <w:bCs/>
          <w:sz w:val="24"/>
          <w:szCs w:val="24"/>
          <w:lang w:val="es-CO"/>
        </w:rPr>
        <w:t>Sin embargo,</w:t>
      </w:r>
      <w:r w:rsidRPr="001F1961">
        <w:rPr>
          <w:rFonts w:ascii="Arial" w:hAnsi="Arial" w:cs="Arial"/>
          <w:b/>
          <w:bCs/>
          <w:sz w:val="24"/>
          <w:szCs w:val="24"/>
          <w:lang w:val="es-CO"/>
        </w:rPr>
        <w:t xml:space="preserve"> </w:t>
      </w:r>
      <w:r w:rsidRPr="001F1961">
        <w:rPr>
          <w:rStyle w:val="Textoennegrita"/>
          <w:rFonts w:ascii="Arial" w:hAnsi="Arial" w:cs="Arial"/>
          <w:b w:val="0"/>
          <w:sz w:val="24"/>
          <w:szCs w:val="24"/>
        </w:rPr>
        <w:t>frente</w:t>
      </w:r>
      <w:r w:rsidRPr="001F1961">
        <w:rPr>
          <w:rStyle w:val="Textoennegrita"/>
          <w:rFonts w:ascii="Arial" w:hAnsi="Arial" w:cs="Arial"/>
          <w:b w:val="0"/>
          <w:sz w:val="24"/>
          <w:szCs w:val="24"/>
        </w:rPr>
        <w:t xml:space="preserve"> a la notificación por medios electrónicos, el numeral 2° del artículo 52 de la Ley 2080 de 2021 </w:t>
      </w:r>
      <w:r w:rsidRPr="001F1961">
        <w:rPr>
          <w:rStyle w:val="Textoennegrita"/>
          <w:rFonts w:ascii="Arial" w:hAnsi="Arial" w:cs="Arial"/>
          <w:b w:val="0"/>
          <w:bCs w:val="0"/>
          <w:sz w:val="24"/>
          <w:szCs w:val="24"/>
        </w:rPr>
        <w:t>que</w:t>
      </w:r>
      <w:r w:rsidRPr="001F1961">
        <w:rPr>
          <w:rStyle w:val="Textoennegrita"/>
          <w:rFonts w:ascii="Arial" w:hAnsi="Arial" w:cs="Arial"/>
          <w:b w:val="0"/>
          <w:sz w:val="24"/>
          <w:szCs w:val="24"/>
        </w:rPr>
        <w:t xml:space="preserve"> </w:t>
      </w:r>
      <w:r w:rsidRPr="001F1961">
        <w:rPr>
          <w:rStyle w:val="Textoennegrita"/>
          <w:rFonts w:ascii="Arial" w:hAnsi="Arial" w:cs="Arial"/>
          <w:b w:val="0"/>
          <w:bCs w:val="0"/>
          <w:sz w:val="24"/>
          <w:szCs w:val="24"/>
        </w:rPr>
        <w:t>m</w:t>
      </w:r>
      <w:r w:rsidRPr="001F1961">
        <w:rPr>
          <w:rFonts w:ascii="Arial" w:hAnsi="Arial" w:cs="Arial"/>
          <w:sz w:val="24"/>
          <w:szCs w:val="24"/>
        </w:rPr>
        <w:t>odificó el artículo </w:t>
      </w:r>
      <w:hyperlink r:id="rId11" w:anchor="205">
        <w:r w:rsidRPr="001F1961">
          <w:rPr>
            <w:rStyle w:val="Hipervnculo"/>
            <w:rFonts w:ascii="Arial" w:hAnsi="Arial" w:cs="Arial"/>
            <w:color w:val="auto"/>
            <w:sz w:val="24"/>
            <w:szCs w:val="24"/>
            <w:u w:val="none"/>
          </w:rPr>
          <w:t>205</w:t>
        </w:r>
        <w:r w:rsidRPr="001F1961">
          <w:rPr>
            <w:rStyle w:val="Hipervnculo"/>
            <w:rFonts w:ascii="Arial" w:hAnsi="Arial" w:cs="Arial"/>
            <w:color w:val="auto"/>
            <w:sz w:val="24"/>
            <w:szCs w:val="24"/>
          </w:rPr>
          <w:t> </w:t>
        </w:r>
      </w:hyperlink>
      <w:r w:rsidRPr="001F1961">
        <w:rPr>
          <w:rFonts w:ascii="Arial" w:hAnsi="Arial" w:cs="Arial"/>
          <w:sz w:val="24"/>
          <w:szCs w:val="24"/>
        </w:rPr>
        <w:t>de la Ley 1437 de 2011, dispone que “</w:t>
      </w:r>
      <w:r w:rsidRPr="001F1961">
        <w:rPr>
          <w:rFonts w:ascii="Arial" w:hAnsi="Arial" w:cs="Arial"/>
          <w:iCs/>
          <w:sz w:val="24"/>
          <w:szCs w:val="24"/>
        </w:rPr>
        <w:t>La notificación de la providencia se entenderá realizada una vez transcurridos dos (2) días hábiles siguientes al envío del mensaje y los términos empezarán a correr a partir del día siguiente al de la notificación”.</w:t>
      </w:r>
      <w:r w:rsidRPr="001F1961">
        <w:rPr>
          <w:rFonts w:ascii="Arial" w:hAnsi="Arial" w:cs="Arial"/>
          <w:i/>
          <w:iCs/>
          <w:sz w:val="24"/>
          <w:szCs w:val="24"/>
          <w:u w:val="single"/>
        </w:rPr>
        <w:t xml:space="preserve"> </w:t>
      </w:r>
      <w:r w:rsidRPr="001F1961">
        <w:rPr>
          <w:rFonts w:ascii="Arial" w:hAnsi="Arial" w:cs="Arial"/>
          <w:sz w:val="24"/>
          <w:szCs w:val="24"/>
        </w:rPr>
        <w:t>Esta disposición no establece distinción con respecto a la providencia por notificar, pues la expresión que utiliza es genérica: “notificación por medios electrónicos”, lo cual resulta aplicable a la totalidad de las notificaciones que se realizan en la Ley 2080 de 2021.</w:t>
      </w:r>
      <w:r w:rsidRPr="001F1961">
        <w:rPr>
          <w:rFonts w:ascii="Arial" w:hAnsi="Arial" w:cs="Arial"/>
          <w:sz w:val="24"/>
          <w:szCs w:val="24"/>
        </w:rPr>
        <w:t xml:space="preserve"> </w:t>
      </w:r>
      <w:r w:rsidRPr="001F1961">
        <w:rPr>
          <w:rFonts w:ascii="Arial" w:hAnsi="Arial" w:cs="Arial"/>
          <w:sz w:val="24"/>
          <w:szCs w:val="24"/>
        </w:rPr>
        <w:t xml:space="preserve">Por tanto, cuando el mensaje de datos incluye la providencia a ser notificada, materialmente estamos en presencia de la </w:t>
      </w:r>
      <w:r w:rsidRPr="001F1961">
        <w:rPr>
          <w:rFonts w:ascii="Arial" w:hAnsi="Arial" w:cs="Arial"/>
          <w:bCs/>
          <w:sz w:val="24"/>
          <w:szCs w:val="24"/>
        </w:rPr>
        <w:t>notificación por medios electrónicos</w:t>
      </w:r>
      <w:r w:rsidRPr="001F1961">
        <w:rPr>
          <w:rFonts w:ascii="Arial" w:hAnsi="Arial" w:cs="Arial"/>
          <w:sz w:val="24"/>
          <w:szCs w:val="24"/>
        </w:rPr>
        <w:t xml:space="preserve"> del artículo 205 del CPACA, motivo por el cual deben darse las consecuencias que apareja dicha notificación, es decir, que la misma se entiende realizada una vez transcurridos dos (2) días siguientes al envío del mensaje.</w:t>
      </w:r>
      <w:r w:rsidRPr="001F1961">
        <w:rPr>
          <w:rFonts w:ascii="Arial" w:hAnsi="Arial" w:cs="Arial"/>
          <w:sz w:val="24"/>
          <w:szCs w:val="24"/>
        </w:rPr>
        <w:t xml:space="preserve"> </w:t>
      </w:r>
      <w:r w:rsidRPr="001F1961">
        <w:rPr>
          <w:rFonts w:ascii="Arial" w:hAnsi="Arial" w:cs="Arial"/>
          <w:sz w:val="24"/>
          <w:szCs w:val="24"/>
        </w:rPr>
        <w:t>Ahora, es necesario indicar que en auto de unificación jurisprudencial del 29 de noviembre de 2022, la Sala Plena del Consejo de Estado adoptó la siguiente regla que resulta vinculante: “</w:t>
      </w:r>
      <w:bookmarkStart w:id="0" w:name="_Hlk125008951"/>
      <w:r w:rsidRPr="001F1961">
        <w:rPr>
          <w:rFonts w:ascii="Arial" w:hAnsi="Arial" w:cs="Arial"/>
          <w:iCs/>
          <w:sz w:val="24"/>
          <w:szCs w:val="24"/>
        </w:rPr>
        <w:t xml:space="preserve">La notificación de las sentencias por vía electrónica prevista en el inciso primero del artículo 203 del CPACA </w:t>
      </w:r>
      <w:r w:rsidRPr="001F1961">
        <w:rPr>
          <w:rFonts w:ascii="Arial" w:hAnsi="Arial" w:cs="Arial"/>
          <w:bCs/>
          <w:iCs/>
          <w:sz w:val="24"/>
          <w:szCs w:val="24"/>
        </w:rPr>
        <w:t>se entenderá realizada una vez transcurridos dos (2) días hábiles siguientes al envío del mensaje</w:t>
      </w:r>
      <w:r w:rsidRPr="001F1961">
        <w:rPr>
          <w:rFonts w:ascii="Arial" w:hAnsi="Arial" w:cs="Arial"/>
          <w:iCs/>
          <w:sz w:val="24"/>
          <w:szCs w:val="24"/>
        </w:rPr>
        <w:t xml:space="preserve"> y los términos empezarán a correr a partir del día siguiente al de la notificación</w:t>
      </w:r>
      <w:bookmarkEnd w:id="0"/>
      <w:r w:rsidRPr="001F1961">
        <w:rPr>
          <w:rFonts w:ascii="Arial" w:hAnsi="Arial" w:cs="Arial"/>
          <w:iCs/>
          <w:sz w:val="24"/>
          <w:szCs w:val="24"/>
        </w:rPr>
        <w:t>, de conformidad con lo dispuesto en el numeral 2 del artículo 205 del CPACA”</w:t>
      </w:r>
      <w:r w:rsidRPr="001F1961">
        <w:rPr>
          <w:rFonts w:ascii="Arial" w:hAnsi="Arial" w:cs="Arial"/>
          <w:iCs/>
          <w:sz w:val="24"/>
          <w:szCs w:val="24"/>
        </w:rPr>
        <w:t>.</w:t>
      </w:r>
      <w:r w:rsidRPr="001F1961">
        <w:rPr>
          <w:rFonts w:ascii="Arial" w:hAnsi="Arial" w:cs="Arial"/>
          <w:i/>
          <w:iCs/>
          <w:sz w:val="24"/>
          <w:szCs w:val="24"/>
        </w:rPr>
        <w:t xml:space="preserve"> </w:t>
      </w:r>
      <w:r w:rsidRPr="001F1961">
        <w:rPr>
          <w:rFonts w:ascii="Arial" w:hAnsi="Arial" w:cs="Arial"/>
          <w:sz w:val="24"/>
          <w:szCs w:val="24"/>
        </w:rPr>
        <w:t xml:space="preserve">Entonces, de acuerdo con lo establecido en el numeral segundo de la norma en cita, al haberse notificado la sentencia el 14 de febrero de 2022, el término de los diez (10) se deben contar a partir de los dos (2) días hábiles siguientes a dicha notificación, es decir, a partir del día </w:t>
      </w:r>
      <w:r w:rsidRPr="001F1961">
        <w:rPr>
          <w:rFonts w:ascii="Arial" w:hAnsi="Arial" w:cs="Arial"/>
          <w:bCs/>
          <w:sz w:val="24"/>
          <w:szCs w:val="24"/>
        </w:rPr>
        <w:t>17 de febrero de 2022</w:t>
      </w:r>
      <w:r w:rsidRPr="001F1961">
        <w:rPr>
          <w:rFonts w:ascii="Arial" w:hAnsi="Arial" w:cs="Arial"/>
          <w:sz w:val="24"/>
          <w:szCs w:val="24"/>
        </w:rPr>
        <w:t xml:space="preserve">, venciendo dicho término el día </w:t>
      </w:r>
      <w:r w:rsidRPr="001F1961">
        <w:rPr>
          <w:rFonts w:ascii="Arial" w:hAnsi="Arial" w:cs="Arial"/>
          <w:bCs/>
          <w:sz w:val="24"/>
          <w:szCs w:val="24"/>
        </w:rPr>
        <w:t>2 de marzo de 2022 a las 5:00 p.m.</w:t>
      </w:r>
      <w:r w:rsidRPr="001F1961">
        <w:rPr>
          <w:rFonts w:ascii="Arial" w:hAnsi="Arial" w:cs="Arial"/>
          <w:bCs/>
          <w:sz w:val="24"/>
          <w:szCs w:val="24"/>
        </w:rPr>
        <w:t xml:space="preserve"> </w:t>
      </w:r>
      <w:r w:rsidRPr="001F1961">
        <w:rPr>
          <w:rFonts w:ascii="Arial" w:hAnsi="Arial" w:cs="Arial"/>
          <w:sz w:val="24"/>
          <w:szCs w:val="24"/>
        </w:rPr>
        <w:t xml:space="preserve">El escrito de apelación fue recibido el </w:t>
      </w:r>
      <w:r w:rsidRPr="001F1961">
        <w:rPr>
          <w:rFonts w:ascii="Arial" w:hAnsi="Arial" w:cs="Arial"/>
          <w:bCs/>
          <w:sz w:val="24"/>
          <w:szCs w:val="24"/>
        </w:rPr>
        <w:t>28 de febrero de 2022,</w:t>
      </w:r>
      <w:r w:rsidRPr="001F1961">
        <w:rPr>
          <w:rFonts w:ascii="Arial" w:hAnsi="Arial" w:cs="Arial"/>
          <w:sz w:val="24"/>
          <w:szCs w:val="24"/>
        </w:rPr>
        <w:t xml:space="preserve"> por lo que fuerza concluir que </w:t>
      </w:r>
      <w:r w:rsidRPr="001F1961">
        <w:rPr>
          <w:rFonts w:ascii="Arial" w:hAnsi="Arial" w:cs="Arial"/>
          <w:bCs/>
          <w:sz w:val="24"/>
          <w:szCs w:val="24"/>
        </w:rPr>
        <w:t>el mismo fue presentado oportunamente</w:t>
      </w:r>
      <w:r w:rsidRPr="001F1961">
        <w:rPr>
          <w:rFonts w:ascii="Arial" w:hAnsi="Arial" w:cs="Arial"/>
          <w:b/>
          <w:bCs/>
          <w:sz w:val="24"/>
          <w:szCs w:val="24"/>
        </w:rPr>
        <w:t>.</w:t>
      </w:r>
      <w:r w:rsidRPr="001F1961">
        <w:rPr>
          <w:rFonts w:ascii="Arial" w:hAnsi="Arial" w:cs="Arial"/>
          <w:b/>
          <w:bCs/>
          <w:sz w:val="24"/>
          <w:szCs w:val="24"/>
        </w:rPr>
        <w:t xml:space="preserve"> </w:t>
      </w:r>
      <w:r w:rsidRPr="001F1961">
        <w:rPr>
          <w:rFonts w:ascii="Arial" w:eastAsia="Batang" w:hAnsi="Arial" w:cs="Arial"/>
          <w:sz w:val="24"/>
          <w:szCs w:val="24"/>
        </w:rPr>
        <w:t xml:space="preserve">Bajo estos supuestos, considera el despacho que el recurso de apelación estuvo mal denegado como quiera que se presentó oportunamente, </w:t>
      </w:r>
      <w:r w:rsidRPr="001F1961">
        <w:rPr>
          <w:rFonts w:ascii="Arial" w:hAnsi="Arial" w:cs="Arial"/>
          <w:sz w:val="24"/>
          <w:szCs w:val="24"/>
        </w:rPr>
        <w:t>pues con la obligatoriedad de realizar las notificaciones por canales electrónicos los términos y los traslados que se hacen en las providencias así notificadas se empiezan a contar dos (2) días hábiles siguientes al del envió del mensaje y, en consecuencia, el término respectivo empezará a correr a partir del día siguiente.</w:t>
      </w:r>
      <w:r>
        <w:rPr>
          <w:rFonts w:ascii="Arial" w:hAnsi="Arial" w:cs="Arial"/>
          <w:sz w:val="24"/>
          <w:szCs w:val="24"/>
        </w:rPr>
        <w:t xml:space="preserve"> </w:t>
      </w:r>
      <w:r w:rsidRPr="001F1961">
        <w:rPr>
          <w:rFonts w:ascii="Arial" w:eastAsia="Calibri" w:hAnsi="Arial" w:cs="Arial"/>
          <w:sz w:val="24"/>
          <w:szCs w:val="24"/>
          <w:lang w:val="es-CO" w:eastAsia="es-CO"/>
        </w:rPr>
        <w:t xml:space="preserve">De manera que, procede conceder el recurso de apelación contra la sentencia del </w:t>
      </w:r>
      <w:r w:rsidRPr="001F1961">
        <w:rPr>
          <w:rFonts w:ascii="Arial" w:eastAsia="Calibri" w:hAnsi="Arial" w:cs="Arial"/>
          <w:bCs/>
          <w:sz w:val="24"/>
          <w:szCs w:val="24"/>
          <w:lang w:val="es-CO" w:eastAsia="es-CO"/>
        </w:rPr>
        <w:t>11 de febrero de 2022</w:t>
      </w:r>
      <w:r w:rsidRPr="001F1961">
        <w:rPr>
          <w:rFonts w:ascii="Arial" w:eastAsia="Calibri" w:hAnsi="Arial" w:cs="Arial"/>
          <w:sz w:val="24"/>
          <w:szCs w:val="24"/>
          <w:lang w:val="es-CO" w:eastAsia="es-CO"/>
        </w:rPr>
        <w:t xml:space="preserve"> proferida por el Juzgado Décimo Administrativo de Tunja.</w:t>
      </w:r>
    </w:p>
    <w:p w14:paraId="3B046249" w14:textId="77777777" w:rsidR="001F1961" w:rsidRPr="005D66D8" w:rsidRDefault="001F1961" w:rsidP="001F1961">
      <w:pPr>
        <w:spacing w:line="360" w:lineRule="auto"/>
        <w:jc w:val="both"/>
        <w:rPr>
          <w:sz w:val="28"/>
          <w:szCs w:val="28"/>
        </w:rPr>
      </w:pPr>
    </w:p>
    <w:p w14:paraId="144BFB6E" w14:textId="58B748FC" w:rsidR="002266C3" w:rsidRPr="000638FC" w:rsidRDefault="002266C3" w:rsidP="002266C3">
      <w:pPr>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lang w:val="es-CO"/>
        </w:rPr>
        <w:t>NOTA DE RELATORÍA:</w:t>
      </w:r>
      <w:r w:rsidRPr="000638FC">
        <w:rPr>
          <w:rFonts w:ascii="Arial" w:hAnsi="Arial" w:cs="Arial"/>
          <w:bCs/>
          <w:lang w:val="es-CO"/>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14:paraId="41F9797C" w14:textId="77777777" w:rsidR="002266C3" w:rsidRDefault="002266C3" w:rsidP="002266C3"/>
    <w:tbl>
      <w:tblPr>
        <w:tblStyle w:val="Tablaconcuadrcula"/>
        <w:tblW w:w="0" w:type="auto"/>
        <w:tblLook w:val="04A0" w:firstRow="1" w:lastRow="0" w:firstColumn="1" w:lastColumn="0" w:noHBand="0" w:noVBand="1"/>
      </w:tblPr>
      <w:tblGrid>
        <w:gridCol w:w="8830"/>
      </w:tblGrid>
      <w:tr w:rsidR="002266C3" w14:paraId="6433B557" w14:textId="77777777" w:rsidTr="0084726A">
        <w:tc>
          <w:tcPr>
            <w:tcW w:w="8828" w:type="dxa"/>
          </w:tcPr>
          <w:bookmarkEnd w:id="1"/>
          <w:p w14:paraId="463099E2" w14:textId="41C706C9" w:rsidR="002266C3" w:rsidRDefault="002266C3" w:rsidP="0084726A">
            <w:r>
              <w:fldChar w:fldCharType="begin"/>
            </w:r>
            <w:r>
              <w:instrText xml:space="preserve"> HYPERLINK "</w:instrText>
            </w:r>
            <w:r w:rsidRPr="002266C3">
              <w:instrText>https://samai.azurewebsites.net/Vistas/Casos/list_procesos.aspx?guid=150013333010201800076011500123</w:instrText>
            </w:r>
            <w:r>
              <w:instrText xml:space="preserve">" </w:instrText>
            </w:r>
            <w:r>
              <w:fldChar w:fldCharType="separate"/>
            </w:r>
            <w:r w:rsidRPr="008B0CFA">
              <w:rPr>
                <w:rStyle w:val="Hipervnculo"/>
              </w:rPr>
              <w:t>https://samai.azurewebsites.net/Vistas/Casos/list_procesos.aspx?guid=150013333010201800076011500123</w:t>
            </w:r>
            <w:r>
              <w:fldChar w:fldCharType="end"/>
            </w:r>
          </w:p>
          <w:p w14:paraId="1AB671AD" w14:textId="1E3A85ED" w:rsidR="002266C3" w:rsidRDefault="002266C3" w:rsidP="0084726A"/>
        </w:tc>
      </w:tr>
      <w:bookmarkEnd w:id="2"/>
      <w:bookmarkEnd w:id="3"/>
      <w:bookmarkEnd w:id="4"/>
      <w:bookmarkEnd w:id="5"/>
    </w:tbl>
    <w:p w14:paraId="2EC0ACFD" w14:textId="77777777" w:rsidR="002266C3" w:rsidRDefault="002266C3" w:rsidP="002266C3"/>
    <w:p w14:paraId="61685FFE" w14:textId="10AA4D85" w:rsidR="00320D28" w:rsidRPr="00860DA4" w:rsidRDefault="00320D28" w:rsidP="00320D28">
      <w:pPr>
        <w:pStyle w:val="Encabezado"/>
        <w:rPr>
          <w:rFonts w:ascii="Times New Roman" w:hAnsi="Times New Roman"/>
          <w:sz w:val="28"/>
          <w:szCs w:val="28"/>
        </w:rPr>
      </w:pPr>
      <w:bookmarkStart w:id="6" w:name="_GoBack"/>
      <w:bookmarkEnd w:id="6"/>
      <w:r w:rsidRPr="00860DA4">
        <w:rPr>
          <w:rFonts w:ascii="Times New Roman" w:hAnsi="Times New Roman"/>
          <w:sz w:val="28"/>
          <w:szCs w:val="28"/>
        </w:rPr>
        <w:t>Tunja,</w:t>
      </w:r>
      <w:r w:rsidR="00DA3327">
        <w:rPr>
          <w:rFonts w:ascii="Times New Roman" w:hAnsi="Times New Roman"/>
          <w:sz w:val="28"/>
          <w:szCs w:val="28"/>
        </w:rPr>
        <w:t xml:space="preserve"> </w:t>
      </w:r>
      <w:r w:rsidR="001E478C">
        <w:rPr>
          <w:rFonts w:ascii="Times New Roman" w:hAnsi="Times New Roman"/>
          <w:sz w:val="28"/>
          <w:szCs w:val="28"/>
        </w:rPr>
        <w:t>13 de diciembre de 2022</w:t>
      </w:r>
    </w:p>
    <w:p w14:paraId="7C378FA7" w14:textId="77777777" w:rsidR="00320D28" w:rsidRDefault="00320D28" w:rsidP="00320D28">
      <w:pPr>
        <w:pStyle w:val="Sinespaciado"/>
      </w:pPr>
    </w:p>
    <w:p w14:paraId="7A8EE796" w14:textId="77777777" w:rsidR="00320D28" w:rsidRPr="00860DA4" w:rsidRDefault="00320D28" w:rsidP="00320D28">
      <w:pPr>
        <w:pStyle w:val="Sinespaciado"/>
      </w:pPr>
    </w:p>
    <w:tbl>
      <w:tblPr>
        <w:tblW w:w="8897" w:type="dxa"/>
        <w:tblLook w:val="01E0" w:firstRow="1" w:lastRow="1" w:firstColumn="1" w:lastColumn="1" w:noHBand="0" w:noVBand="0"/>
      </w:tblPr>
      <w:tblGrid>
        <w:gridCol w:w="2310"/>
        <w:gridCol w:w="669"/>
        <w:gridCol w:w="5918"/>
      </w:tblGrid>
      <w:tr w:rsidR="00320D28" w:rsidRPr="00860DA4" w14:paraId="693C7AD0" w14:textId="77777777" w:rsidTr="6A6BBF05">
        <w:trPr>
          <w:trHeight w:val="286"/>
        </w:trPr>
        <w:tc>
          <w:tcPr>
            <w:tcW w:w="2310" w:type="dxa"/>
          </w:tcPr>
          <w:p w14:paraId="57575150" w14:textId="0EE045CE" w:rsidR="00320D28" w:rsidRPr="00860DA4" w:rsidRDefault="00320D28" w:rsidP="007A1505">
            <w:pPr>
              <w:rPr>
                <w:sz w:val="28"/>
                <w:szCs w:val="28"/>
              </w:rPr>
            </w:pPr>
            <w:r w:rsidRPr="6A6BBF05">
              <w:rPr>
                <w:sz w:val="28"/>
                <w:szCs w:val="28"/>
              </w:rPr>
              <w:t xml:space="preserve">Medio de </w:t>
            </w:r>
            <w:r w:rsidR="3B0F6286" w:rsidRPr="6A6BBF05">
              <w:rPr>
                <w:sz w:val="28"/>
                <w:szCs w:val="28"/>
              </w:rPr>
              <w:t>c</w:t>
            </w:r>
            <w:r w:rsidRPr="6A6BBF05">
              <w:rPr>
                <w:sz w:val="28"/>
                <w:szCs w:val="28"/>
              </w:rPr>
              <w:t>ontrol</w:t>
            </w:r>
          </w:p>
        </w:tc>
        <w:tc>
          <w:tcPr>
            <w:tcW w:w="669" w:type="dxa"/>
          </w:tcPr>
          <w:p w14:paraId="4BD75296" w14:textId="77777777" w:rsidR="00320D28" w:rsidRPr="00860DA4" w:rsidRDefault="00320D28" w:rsidP="007A1505">
            <w:pPr>
              <w:rPr>
                <w:sz w:val="28"/>
                <w:szCs w:val="28"/>
              </w:rPr>
            </w:pPr>
            <w:r w:rsidRPr="00860DA4">
              <w:rPr>
                <w:sz w:val="28"/>
                <w:szCs w:val="28"/>
              </w:rPr>
              <w:t>:</w:t>
            </w:r>
          </w:p>
        </w:tc>
        <w:tc>
          <w:tcPr>
            <w:tcW w:w="5918" w:type="dxa"/>
          </w:tcPr>
          <w:p w14:paraId="1E882D3F" w14:textId="70F0ABE4" w:rsidR="00320D28" w:rsidRPr="00860DA4" w:rsidRDefault="00B143EB" w:rsidP="007A1505">
            <w:pPr>
              <w:rPr>
                <w:b/>
                <w:sz w:val="28"/>
                <w:szCs w:val="28"/>
              </w:rPr>
            </w:pPr>
            <w:r>
              <w:rPr>
                <w:b/>
                <w:sz w:val="28"/>
                <w:szCs w:val="28"/>
              </w:rPr>
              <w:t>Nulidad y restablecimiento del derecho</w:t>
            </w:r>
            <w:r w:rsidR="00B11AE9">
              <w:rPr>
                <w:b/>
                <w:sz w:val="28"/>
                <w:szCs w:val="28"/>
              </w:rPr>
              <w:t xml:space="preserve"> </w:t>
            </w:r>
          </w:p>
        </w:tc>
      </w:tr>
      <w:tr w:rsidR="00320D28" w:rsidRPr="00860DA4" w14:paraId="11EA7815" w14:textId="77777777" w:rsidTr="6A6BBF05">
        <w:trPr>
          <w:trHeight w:val="273"/>
        </w:trPr>
        <w:tc>
          <w:tcPr>
            <w:tcW w:w="2310" w:type="dxa"/>
          </w:tcPr>
          <w:p w14:paraId="50406EDA" w14:textId="77777777" w:rsidR="00320D28" w:rsidRPr="00860DA4" w:rsidRDefault="00320D28" w:rsidP="007A1505">
            <w:pPr>
              <w:rPr>
                <w:sz w:val="28"/>
                <w:szCs w:val="28"/>
              </w:rPr>
            </w:pPr>
            <w:r w:rsidRPr="00860DA4">
              <w:rPr>
                <w:sz w:val="28"/>
                <w:szCs w:val="28"/>
              </w:rPr>
              <w:t xml:space="preserve">Demandante   </w:t>
            </w:r>
          </w:p>
        </w:tc>
        <w:tc>
          <w:tcPr>
            <w:tcW w:w="669" w:type="dxa"/>
          </w:tcPr>
          <w:p w14:paraId="52E9939C" w14:textId="77777777" w:rsidR="00320D28" w:rsidRPr="00860DA4" w:rsidRDefault="00320D28" w:rsidP="007A1505">
            <w:pPr>
              <w:rPr>
                <w:sz w:val="28"/>
                <w:szCs w:val="28"/>
              </w:rPr>
            </w:pPr>
            <w:r w:rsidRPr="00860DA4">
              <w:rPr>
                <w:sz w:val="28"/>
                <w:szCs w:val="28"/>
              </w:rPr>
              <w:t>:</w:t>
            </w:r>
          </w:p>
        </w:tc>
        <w:tc>
          <w:tcPr>
            <w:tcW w:w="5918" w:type="dxa"/>
          </w:tcPr>
          <w:p w14:paraId="65D0AF85" w14:textId="593E19C3" w:rsidR="00320D28" w:rsidRPr="00860DA4" w:rsidRDefault="00B143EB" w:rsidP="0058500A">
            <w:pPr>
              <w:rPr>
                <w:b/>
                <w:sz w:val="28"/>
                <w:szCs w:val="28"/>
              </w:rPr>
            </w:pPr>
            <w:r>
              <w:rPr>
                <w:b/>
                <w:sz w:val="28"/>
                <w:szCs w:val="28"/>
              </w:rPr>
              <w:t xml:space="preserve">Jorge Hernando Pedraza Vargas </w:t>
            </w:r>
            <w:r w:rsidR="0058500A">
              <w:rPr>
                <w:b/>
                <w:sz w:val="28"/>
                <w:szCs w:val="28"/>
              </w:rPr>
              <w:t xml:space="preserve"> </w:t>
            </w:r>
            <w:r w:rsidR="003D175C">
              <w:rPr>
                <w:b/>
                <w:sz w:val="28"/>
                <w:szCs w:val="28"/>
              </w:rPr>
              <w:t xml:space="preserve"> </w:t>
            </w:r>
          </w:p>
        </w:tc>
      </w:tr>
      <w:tr w:rsidR="00320D28" w:rsidRPr="00860DA4" w14:paraId="42DD6EBB" w14:textId="77777777" w:rsidTr="6A6BBF05">
        <w:trPr>
          <w:trHeight w:val="325"/>
        </w:trPr>
        <w:tc>
          <w:tcPr>
            <w:tcW w:w="2310" w:type="dxa"/>
          </w:tcPr>
          <w:p w14:paraId="6B0D6D48" w14:textId="77777777" w:rsidR="00320D28" w:rsidRPr="00860DA4" w:rsidRDefault="00320D28" w:rsidP="007A1505">
            <w:pPr>
              <w:rPr>
                <w:sz w:val="28"/>
                <w:szCs w:val="28"/>
              </w:rPr>
            </w:pPr>
            <w:r w:rsidRPr="00860DA4">
              <w:rPr>
                <w:sz w:val="28"/>
                <w:szCs w:val="28"/>
              </w:rPr>
              <w:t xml:space="preserve">Demandado                       </w:t>
            </w:r>
          </w:p>
        </w:tc>
        <w:tc>
          <w:tcPr>
            <w:tcW w:w="669" w:type="dxa"/>
          </w:tcPr>
          <w:p w14:paraId="7D265113" w14:textId="77777777" w:rsidR="00320D28" w:rsidRPr="00860DA4" w:rsidRDefault="00320D28" w:rsidP="007A1505">
            <w:pPr>
              <w:rPr>
                <w:sz w:val="28"/>
                <w:szCs w:val="28"/>
              </w:rPr>
            </w:pPr>
            <w:r w:rsidRPr="00860DA4">
              <w:rPr>
                <w:sz w:val="28"/>
                <w:szCs w:val="28"/>
              </w:rPr>
              <w:t>:</w:t>
            </w:r>
          </w:p>
        </w:tc>
        <w:tc>
          <w:tcPr>
            <w:tcW w:w="5918" w:type="dxa"/>
          </w:tcPr>
          <w:p w14:paraId="420131B9" w14:textId="4AA120DD" w:rsidR="00320D28" w:rsidRPr="00860DA4" w:rsidRDefault="00B143EB" w:rsidP="0058500A">
            <w:pPr>
              <w:jc w:val="both"/>
              <w:rPr>
                <w:b/>
                <w:sz w:val="28"/>
                <w:szCs w:val="28"/>
              </w:rPr>
            </w:pPr>
            <w:r>
              <w:rPr>
                <w:b/>
                <w:sz w:val="28"/>
                <w:szCs w:val="28"/>
                <w:lang w:val="es-ES_tradnl"/>
              </w:rPr>
              <w:t>Departamento de Boyacá</w:t>
            </w:r>
          </w:p>
        </w:tc>
      </w:tr>
      <w:tr w:rsidR="00320D28" w:rsidRPr="00860DA4" w14:paraId="035970D2" w14:textId="77777777" w:rsidTr="6A6BBF05">
        <w:trPr>
          <w:trHeight w:val="273"/>
        </w:trPr>
        <w:tc>
          <w:tcPr>
            <w:tcW w:w="2310" w:type="dxa"/>
          </w:tcPr>
          <w:p w14:paraId="43EDE4AF" w14:textId="77777777" w:rsidR="00320D28" w:rsidRPr="00860DA4" w:rsidRDefault="00320D28" w:rsidP="007A1505">
            <w:pPr>
              <w:rPr>
                <w:sz w:val="28"/>
                <w:szCs w:val="28"/>
              </w:rPr>
            </w:pPr>
            <w:r w:rsidRPr="00860DA4">
              <w:rPr>
                <w:sz w:val="28"/>
                <w:szCs w:val="28"/>
              </w:rPr>
              <w:t xml:space="preserve">Expediente </w:t>
            </w:r>
          </w:p>
        </w:tc>
        <w:tc>
          <w:tcPr>
            <w:tcW w:w="669" w:type="dxa"/>
          </w:tcPr>
          <w:p w14:paraId="186AE4DE" w14:textId="77777777" w:rsidR="00320D28" w:rsidRPr="00860DA4" w:rsidRDefault="00320D28" w:rsidP="007A1505">
            <w:pPr>
              <w:rPr>
                <w:sz w:val="28"/>
                <w:szCs w:val="28"/>
              </w:rPr>
            </w:pPr>
            <w:r w:rsidRPr="00860DA4">
              <w:rPr>
                <w:sz w:val="28"/>
                <w:szCs w:val="28"/>
              </w:rPr>
              <w:t>:</w:t>
            </w:r>
          </w:p>
        </w:tc>
        <w:tc>
          <w:tcPr>
            <w:tcW w:w="5918" w:type="dxa"/>
          </w:tcPr>
          <w:p w14:paraId="57DAE393" w14:textId="29602EDC" w:rsidR="00320D28" w:rsidRPr="00860DA4" w:rsidRDefault="00320D28" w:rsidP="0058500A">
            <w:pPr>
              <w:rPr>
                <w:b/>
                <w:sz w:val="28"/>
                <w:szCs w:val="28"/>
              </w:rPr>
            </w:pPr>
            <w:bookmarkStart w:id="7" w:name="_Hlk125013901"/>
            <w:r w:rsidRPr="00860DA4">
              <w:rPr>
                <w:b/>
                <w:sz w:val="28"/>
                <w:szCs w:val="28"/>
              </w:rPr>
              <w:t>15</w:t>
            </w:r>
            <w:r w:rsidR="00B143EB">
              <w:rPr>
                <w:b/>
                <w:sz w:val="28"/>
                <w:szCs w:val="28"/>
              </w:rPr>
              <w:t>001</w:t>
            </w:r>
            <w:r w:rsidR="0058500A">
              <w:rPr>
                <w:b/>
                <w:sz w:val="28"/>
                <w:szCs w:val="28"/>
              </w:rPr>
              <w:t>-3</w:t>
            </w:r>
            <w:r w:rsidR="003D175C">
              <w:rPr>
                <w:b/>
                <w:sz w:val="28"/>
                <w:szCs w:val="28"/>
              </w:rPr>
              <w:t>3-3</w:t>
            </w:r>
            <w:r w:rsidR="0058500A">
              <w:rPr>
                <w:b/>
                <w:sz w:val="28"/>
                <w:szCs w:val="28"/>
              </w:rPr>
              <w:t>3</w:t>
            </w:r>
            <w:r w:rsidRPr="00860DA4">
              <w:rPr>
                <w:b/>
                <w:sz w:val="28"/>
                <w:szCs w:val="28"/>
              </w:rPr>
              <w:t>-</w:t>
            </w:r>
            <w:r w:rsidR="00D85E3E">
              <w:rPr>
                <w:b/>
                <w:sz w:val="28"/>
                <w:szCs w:val="28"/>
              </w:rPr>
              <w:t>0</w:t>
            </w:r>
            <w:r w:rsidR="00B143EB">
              <w:rPr>
                <w:b/>
                <w:sz w:val="28"/>
                <w:szCs w:val="28"/>
              </w:rPr>
              <w:t>10</w:t>
            </w:r>
            <w:r w:rsidRPr="00860DA4">
              <w:rPr>
                <w:b/>
                <w:sz w:val="28"/>
                <w:szCs w:val="28"/>
              </w:rPr>
              <w:t>-20</w:t>
            </w:r>
            <w:r w:rsidR="0058500A">
              <w:rPr>
                <w:b/>
                <w:sz w:val="28"/>
                <w:szCs w:val="28"/>
              </w:rPr>
              <w:t>1</w:t>
            </w:r>
            <w:r w:rsidR="00B143EB">
              <w:rPr>
                <w:b/>
                <w:sz w:val="28"/>
                <w:szCs w:val="28"/>
              </w:rPr>
              <w:t>8</w:t>
            </w:r>
            <w:r w:rsidRPr="00860DA4">
              <w:rPr>
                <w:b/>
                <w:sz w:val="28"/>
                <w:szCs w:val="28"/>
              </w:rPr>
              <w:t>-00</w:t>
            </w:r>
            <w:r w:rsidR="00B143EB">
              <w:rPr>
                <w:b/>
                <w:sz w:val="28"/>
                <w:szCs w:val="28"/>
              </w:rPr>
              <w:t>076</w:t>
            </w:r>
            <w:r w:rsidR="003D175C">
              <w:rPr>
                <w:b/>
                <w:sz w:val="28"/>
                <w:szCs w:val="28"/>
              </w:rPr>
              <w:t>-</w:t>
            </w:r>
            <w:r w:rsidRPr="00860DA4">
              <w:rPr>
                <w:b/>
                <w:sz w:val="28"/>
                <w:szCs w:val="28"/>
              </w:rPr>
              <w:t>0</w:t>
            </w:r>
            <w:r w:rsidR="00B11AE9">
              <w:rPr>
                <w:b/>
                <w:sz w:val="28"/>
                <w:szCs w:val="28"/>
              </w:rPr>
              <w:t>1</w:t>
            </w:r>
            <w:bookmarkEnd w:id="7"/>
          </w:p>
        </w:tc>
      </w:tr>
    </w:tbl>
    <w:p w14:paraId="1949E9C7" w14:textId="77777777" w:rsidR="00320D28" w:rsidRPr="00860DA4" w:rsidRDefault="00320D28" w:rsidP="00320D28">
      <w:pPr>
        <w:tabs>
          <w:tab w:val="left" w:pos="1440"/>
          <w:tab w:val="left" w:pos="1712"/>
        </w:tabs>
        <w:spacing w:line="360" w:lineRule="auto"/>
        <w:jc w:val="both"/>
        <w:rPr>
          <w:sz w:val="28"/>
          <w:szCs w:val="28"/>
        </w:rPr>
      </w:pPr>
    </w:p>
    <w:p w14:paraId="439A47B1" w14:textId="4669070C" w:rsidR="00320D28" w:rsidRPr="00860DA4" w:rsidRDefault="00320D28" w:rsidP="00320D28">
      <w:pPr>
        <w:tabs>
          <w:tab w:val="left" w:pos="1440"/>
          <w:tab w:val="left" w:pos="1712"/>
        </w:tabs>
        <w:spacing w:line="360" w:lineRule="auto"/>
        <w:jc w:val="both"/>
        <w:rPr>
          <w:b/>
          <w:sz w:val="28"/>
          <w:szCs w:val="28"/>
        </w:rPr>
      </w:pPr>
      <w:r w:rsidRPr="00860DA4">
        <w:rPr>
          <w:sz w:val="28"/>
          <w:szCs w:val="28"/>
        </w:rPr>
        <w:t xml:space="preserve">Magistrado </w:t>
      </w:r>
      <w:r w:rsidR="002257E4" w:rsidRPr="00860DA4">
        <w:rPr>
          <w:sz w:val="28"/>
          <w:szCs w:val="28"/>
        </w:rPr>
        <w:t>Ponente</w:t>
      </w:r>
      <w:r w:rsidR="002257E4">
        <w:rPr>
          <w:sz w:val="28"/>
          <w:szCs w:val="28"/>
        </w:rPr>
        <w:t>:</w:t>
      </w:r>
      <w:r w:rsidRPr="00860DA4">
        <w:rPr>
          <w:sz w:val="28"/>
          <w:szCs w:val="28"/>
        </w:rPr>
        <w:t xml:space="preserve">    </w:t>
      </w:r>
      <w:r w:rsidRPr="00860DA4">
        <w:rPr>
          <w:b/>
          <w:sz w:val="28"/>
          <w:szCs w:val="28"/>
        </w:rPr>
        <w:t xml:space="preserve">Luis Ernesto Arciniegas Triana </w:t>
      </w:r>
    </w:p>
    <w:p w14:paraId="10BD2752" w14:textId="77777777" w:rsidR="00320D28" w:rsidRDefault="00320D28" w:rsidP="00320D28">
      <w:pPr>
        <w:pStyle w:val="Sinespaciado"/>
      </w:pPr>
    </w:p>
    <w:p w14:paraId="439A3C58" w14:textId="77777777" w:rsidR="00320D28" w:rsidRPr="00860DA4" w:rsidRDefault="00320D28" w:rsidP="00320D28">
      <w:pPr>
        <w:pStyle w:val="Sinespaciado"/>
      </w:pPr>
    </w:p>
    <w:p w14:paraId="0F09E7B8" w14:textId="0D53D2E8" w:rsidR="00320D28" w:rsidRDefault="0017359B" w:rsidP="64DFB1A6">
      <w:pPr>
        <w:tabs>
          <w:tab w:val="left" w:pos="709"/>
        </w:tabs>
        <w:spacing w:line="360" w:lineRule="auto"/>
        <w:jc w:val="both"/>
        <w:rPr>
          <w:rFonts w:eastAsia="Batang"/>
          <w:sz w:val="28"/>
          <w:szCs w:val="28"/>
        </w:rPr>
      </w:pPr>
      <w:bookmarkStart w:id="8" w:name="37"/>
      <w:r w:rsidRPr="6A6BBF05">
        <w:rPr>
          <w:rFonts w:eastAsia="Batang"/>
          <w:sz w:val="28"/>
          <w:szCs w:val="28"/>
        </w:rPr>
        <w:t xml:space="preserve">Ingresa </w:t>
      </w:r>
      <w:r w:rsidR="00B143EB" w:rsidRPr="6A6BBF05">
        <w:rPr>
          <w:rFonts w:eastAsia="Batang"/>
          <w:sz w:val="28"/>
          <w:szCs w:val="28"/>
        </w:rPr>
        <w:t>proceso</w:t>
      </w:r>
      <w:r w:rsidR="0058500A" w:rsidRPr="6A6BBF05">
        <w:rPr>
          <w:rFonts w:eastAsia="Batang"/>
          <w:sz w:val="28"/>
          <w:szCs w:val="28"/>
        </w:rPr>
        <w:t xml:space="preserve"> al despacho para resolver el </w:t>
      </w:r>
      <w:r w:rsidR="0058500A" w:rsidRPr="6A6BBF05">
        <w:rPr>
          <w:rFonts w:eastAsia="Batang"/>
          <w:b/>
          <w:bCs/>
          <w:sz w:val="28"/>
          <w:szCs w:val="28"/>
        </w:rPr>
        <w:t>recurso de queja</w:t>
      </w:r>
      <w:r w:rsidR="0058500A" w:rsidRPr="6A6BBF05">
        <w:rPr>
          <w:rFonts w:eastAsia="Batang"/>
          <w:sz w:val="28"/>
          <w:szCs w:val="28"/>
        </w:rPr>
        <w:t xml:space="preserve"> </w:t>
      </w:r>
      <w:r w:rsidR="00320D28" w:rsidRPr="6A6BBF05">
        <w:rPr>
          <w:rFonts w:eastAsia="Batang"/>
          <w:sz w:val="28"/>
          <w:szCs w:val="28"/>
        </w:rPr>
        <w:t xml:space="preserve">interpuesto por la parte actora, </w:t>
      </w:r>
      <w:r w:rsidR="00C979F3" w:rsidRPr="6A6BBF05">
        <w:rPr>
          <w:rFonts w:eastAsia="Batang"/>
          <w:sz w:val="28"/>
          <w:szCs w:val="28"/>
        </w:rPr>
        <w:t xml:space="preserve">contra </w:t>
      </w:r>
      <w:r w:rsidR="0058500A" w:rsidRPr="6A6BBF05">
        <w:rPr>
          <w:rFonts w:eastAsia="Batang"/>
          <w:sz w:val="28"/>
          <w:szCs w:val="28"/>
        </w:rPr>
        <w:t xml:space="preserve">el auto del </w:t>
      </w:r>
      <w:r w:rsidR="00B143EB" w:rsidRPr="6A6BBF05">
        <w:rPr>
          <w:rFonts w:eastAsia="Batang"/>
          <w:sz w:val="28"/>
          <w:szCs w:val="28"/>
        </w:rPr>
        <w:t xml:space="preserve">25 </w:t>
      </w:r>
      <w:r w:rsidR="002257E4" w:rsidRPr="6A6BBF05">
        <w:rPr>
          <w:rFonts w:eastAsia="Batang"/>
          <w:sz w:val="28"/>
          <w:szCs w:val="28"/>
        </w:rPr>
        <w:t xml:space="preserve">de </w:t>
      </w:r>
      <w:r w:rsidR="00B143EB" w:rsidRPr="6A6BBF05">
        <w:rPr>
          <w:rFonts w:eastAsia="Batang"/>
          <w:sz w:val="28"/>
          <w:szCs w:val="28"/>
        </w:rPr>
        <w:t xml:space="preserve">marzo de 2022, </w:t>
      </w:r>
      <w:r w:rsidR="0058500A" w:rsidRPr="6A6BBF05">
        <w:rPr>
          <w:rFonts w:eastAsia="Batang"/>
          <w:sz w:val="28"/>
          <w:szCs w:val="28"/>
        </w:rPr>
        <w:t xml:space="preserve">mediante el cual el Juzgado </w:t>
      </w:r>
      <w:r w:rsidR="00B143EB" w:rsidRPr="6A6BBF05">
        <w:rPr>
          <w:rFonts w:eastAsia="Batang"/>
          <w:sz w:val="28"/>
          <w:szCs w:val="28"/>
        </w:rPr>
        <w:t xml:space="preserve">Décimo </w:t>
      </w:r>
      <w:r w:rsidR="0058500A" w:rsidRPr="6A6BBF05">
        <w:rPr>
          <w:rFonts w:eastAsia="Batang"/>
          <w:sz w:val="28"/>
          <w:szCs w:val="28"/>
        </w:rPr>
        <w:t xml:space="preserve">Administrativo de </w:t>
      </w:r>
      <w:r w:rsidR="00B143EB" w:rsidRPr="6A6BBF05">
        <w:rPr>
          <w:rFonts w:eastAsia="Batang"/>
          <w:sz w:val="28"/>
          <w:szCs w:val="28"/>
        </w:rPr>
        <w:t xml:space="preserve">Tunja </w:t>
      </w:r>
      <w:r w:rsidR="002257E4" w:rsidRPr="6A6BBF05">
        <w:rPr>
          <w:rFonts w:eastAsia="Batang"/>
          <w:b/>
          <w:bCs/>
          <w:sz w:val="28"/>
          <w:szCs w:val="28"/>
        </w:rPr>
        <w:t>rechaz</w:t>
      </w:r>
      <w:r w:rsidR="45A7EA4C" w:rsidRPr="6A6BBF05">
        <w:rPr>
          <w:rFonts w:eastAsia="Batang"/>
          <w:b/>
          <w:bCs/>
          <w:sz w:val="28"/>
          <w:szCs w:val="28"/>
        </w:rPr>
        <w:t>ó</w:t>
      </w:r>
      <w:r w:rsidR="002257E4" w:rsidRPr="6A6BBF05">
        <w:rPr>
          <w:rFonts w:eastAsia="Batang"/>
          <w:b/>
          <w:bCs/>
          <w:sz w:val="28"/>
          <w:szCs w:val="28"/>
        </w:rPr>
        <w:t xml:space="preserve"> </w:t>
      </w:r>
      <w:r w:rsidR="0058500A" w:rsidRPr="6A6BBF05">
        <w:rPr>
          <w:rFonts w:eastAsia="Batang"/>
          <w:b/>
          <w:bCs/>
          <w:sz w:val="28"/>
          <w:szCs w:val="28"/>
        </w:rPr>
        <w:t>por extemporáneo</w:t>
      </w:r>
      <w:r w:rsidR="0058500A" w:rsidRPr="6A6BBF05">
        <w:rPr>
          <w:rFonts w:eastAsia="Batang"/>
          <w:sz w:val="28"/>
          <w:szCs w:val="28"/>
        </w:rPr>
        <w:t xml:space="preserve"> el recurso de apelación</w:t>
      </w:r>
      <w:r w:rsidR="00B143EB" w:rsidRPr="6A6BBF05">
        <w:rPr>
          <w:rFonts w:eastAsia="Batang"/>
          <w:sz w:val="28"/>
          <w:szCs w:val="28"/>
        </w:rPr>
        <w:t xml:space="preserve"> formulado </w:t>
      </w:r>
      <w:r w:rsidR="0058500A" w:rsidRPr="6A6BBF05">
        <w:rPr>
          <w:rFonts w:eastAsia="Batang"/>
          <w:sz w:val="28"/>
          <w:szCs w:val="28"/>
        </w:rPr>
        <w:t xml:space="preserve">contra </w:t>
      </w:r>
      <w:r w:rsidR="002257E4" w:rsidRPr="6A6BBF05">
        <w:rPr>
          <w:rFonts w:eastAsia="Batang"/>
          <w:sz w:val="28"/>
          <w:szCs w:val="28"/>
        </w:rPr>
        <w:t xml:space="preserve">la </w:t>
      </w:r>
      <w:r w:rsidR="00B143EB" w:rsidRPr="6A6BBF05">
        <w:rPr>
          <w:rFonts w:eastAsia="Batang"/>
          <w:sz w:val="28"/>
          <w:szCs w:val="28"/>
        </w:rPr>
        <w:t xml:space="preserve">sentencia </w:t>
      </w:r>
      <w:r w:rsidR="002257E4" w:rsidRPr="6A6BBF05">
        <w:rPr>
          <w:rFonts w:eastAsia="Batang"/>
          <w:sz w:val="28"/>
          <w:szCs w:val="28"/>
        </w:rPr>
        <w:t xml:space="preserve">del </w:t>
      </w:r>
      <w:r w:rsidR="00B143EB" w:rsidRPr="6A6BBF05">
        <w:rPr>
          <w:rFonts w:eastAsia="Batang"/>
          <w:sz w:val="28"/>
          <w:szCs w:val="28"/>
        </w:rPr>
        <w:t xml:space="preserve">11 </w:t>
      </w:r>
      <w:r w:rsidR="002257E4" w:rsidRPr="6A6BBF05">
        <w:rPr>
          <w:rFonts w:eastAsia="Batang"/>
          <w:sz w:val="28"/>
          <w:szCs w:val="28"/>
        </w:rPr>
        <w:t xml:space="preserve">de </w:t>
      </w:r>
      <w:r w:rsidR="00B143EB" w:rsidRPr="6A6BBF05">
        <w:rPr>
          <w:rFonts w:eastAsia="Batang"/>
          <w:sz w:val="28"/>
          <w:szCs w:val="28"/>
        </w:rPr>
        <w:t xml:space="preserve">febrero </w:t>
      </w:r>
      <w:r w:rsidR="002257E4" w:rsidRPr="6A6BBF05">
        <w:rPr>
          <w:rFonts w:eastAsia="Batang"/>
          <w:sz w:val="28"/>
          <w:szCs w:val="28"/>
        </w:rPr>
        <w:t>de 202</w:t>
      </w:r>
      <w:r w:rsidR="00B143EB" w:rsidRPr="6A6BBF05">
        <w:rPr>
          <w:rFonts w:eastAsia="Batang"/>
          <w:sz w:val="28"/>
          <w:szCs w:val="28"/>
        </w:rPr>
        <w:t>2</w:t>
      </w:r>
      <w:r w:rsidR="1A16B436" w:rsidRPr="6A6BBF05">
        <w:rPr>
          <w:rFonts w:eastAsia="Batang"/>
          <w:sz w:val="28"/>
          <w:szCs w:val="28"/>
        </w:rPr>
        <w:t>,</w:t>
      </w:r>
      <w:r w:rsidR="0058500A" w:rsidRPr="6A6BBF05">
        <w:rPr>
          <w:rFonts w:eastAsia="Batang"/>
          <w:sz w:val="28"/>
          <w:szCs w:val="28"/>
        </w:rPr>
        <w:t xml:space="preserve"> </w:t>
      </w:r>
      <w:r w:rsidR="002257E4" w:rsidRPr="6A6BBF05">
        <w:rPr>
          <w:rFonts w:eastAsia="Batang"/>
          <w:sz w:val="28"/>
          <w:szCs w:val="28"/>
        </w:rPr>
        <w:t xml:space="preserve">que </w:t>
      </w:r>
      <w:r w:rsidR="00B143EB" w:rsidRPr="6A6BBF05">
        <w:rPr>
          <w:rFonts w:eastAsia="Batang"/>
          <w:sz w:val="28"/>
          <w:szCs w:val="28"/>
        </w:rPr>
        <w:t xml:space="preserve">negó las pretensiones de la demanda.  </w:t>
      </w:r>
    </w:p>
    <w:p w14:paraId="0A0B38F7" w14:textId="77777777" w:rsidR="00320D28" w:rsidRDefault="00320D28" w:rsidP="00320D28">
      <w:pPr>
        <w:tabs>
          <w:tab w:val="left" w:pos="709"/>
        </w:tabs>
        <w:spacing w:line="360" w:lineRule="auto"/>
        <w:jc w:val="both"/>
        <w:rPr>
          <w:rFonts w:eastAsia="Batang"/>
          <w:sz w:val="28"/>
        </w:rPr>
      </w:pPr>
    </w:p>
    <w:p w14:paraId="5244011A" w14:textId="77777777" w:rsidR="00320D28" w:rsidRDefault="00320D28" w:rsidP="00320D28">
      <w:pPr>
        <w:numPr>
          <w:ilvl w:val="0"/>
          <w:numId w:val="1"/>
        </w:numPr>
        <w:tabs>
          <w:tab w:val="left" w:pos="709"/>
        </w:tabs>
        <w:overflowPunct w:val="0"/>
        <w:autoSpaceDE w:val="0"/>
        <w:autoSpaceDN w:val="0"/>
        <w:adjustRightInd w:val="0"/>
        <w:spacing w:line="360" w:lineRule="auto"/>
        <w:jc w:val="center"/>
        <w:rPr>
          <w:rFonts w:eastAsia="Batang"/>
          <w:b/>
          <w:sz w:val="28"/>
        </w:rPr>
      </w:pPr>
      <w:r>
        <w:rPr>
          <w:rFonts w:eastAsia="Batang"/>
          <w:b/>
          <w:sz w:val="28"/>
        </w:rPr>
        <w:t>ANTECEDENTES</w:t>
      </w:r>
    </w:p>
    <w:p w14:paraId="15EB36F6" w14:textId="77777777" w:rsidR="00320D28" w:rsidRPr="00A6292C" w:rsidRDefault="00320D28" w:rsidP="00320D28">
      <w:pPr>
        <w:tabs>
          <w:tab w:val="left" w:pos="709"/>
        </w:tabs>
        <w:spacing w:line="360" w:lineRule="auto"/>
        <w:jc w:val="both"/>
        <w:rPr>
          <w:rFonts w:eastAsia="Batang"/>
          <w:sz w:val="28"/>
          <w:szCs w:val="28"/>
        </w:rPr>
      </w:pPr>
    </w:p>
    <w:p w14:paraId="5FC613B7" w14:textId="768609B7" w:rsidR="000F346D" w:rsidRPr="00501AE0" w:rsidRDefault="000F346D" w:rsidP="00320D28">
      <w:pPr>
        <w:tabs>
          <w:tab w:val="left" w:pos="709"/>
        </w:tabs>
        <w:spacing w:line="360" w:lineRule="auto"/>
        <w:jc w:val="both"/>
        <w:rPr>
          <w:sz w:val="28"/>
          <w:szCs w:val="28"/>
        </w:rPr>
      </w:pPr>
      <w:r w:rsidRPr="6A6BBF05">
        <w:rPr>
          <w:rFonts w:eastAsia="Batang"/>
          <w:sz w:val="28"/>
          <w:szCs w:val="28"/>
        </w:rPr>
        <w:t>A t</w:t>
      </w:r>
      <w:r w:rsidR="64A76F7A" w:rsidRPr="6A6BBF05">
        <w:rPr>
          <w:rFonts w:eastAsia="Batang"/>
          <w:sz w:val="28"/>
          <w:szCs w:val="28"/>
        </w:rPr>
        <w:t xml:space="preserve">ravés </w:t>
      </w:r>
      <w:r w:rsidRPr="6A6BBF05">
        <w:rPr>
          <w:rFonts w:eastAsia="Batang"/>
          <w:sz w:val="28"/>
          <w:szCs w:val="28"/>
        </w:rPr>
        <w:t xml:space="preserve">del medio de control de </w:t>
      </w:r>
      <w:r w:rsidR="00F333A0" w:rsidRPr="6A6BBF05">
        <w:rPr>
          <w:rFonts w:eastAsia="Batang"/>
          <w:sz w:val="28"/>
          <w:szCs w:val="28"/>
        </w:rPr>
        <w:t>nulidad y restablecimiento del derecho</w:t>
      </w:r>
      <w:r w:rsidRPr="6A6BBF05">
        <w:rPr>
          <w:rFonts w:eastAsia="Batang"/>
          <w:sz w:val="28"/>
          <w:szCs w:val="28"/>
        </w:rPr>
        <w:t xml:space="preserve">, </w:t>
      </w:r>
      <w:r w:rsidR="00A6292C" w:rsidRPr="6A6BBF05">
        <w:rPr>
          <w:rFonts w:eastAsia="Batang"/>
          <w:sz w:val="28"/>
          <w:szCs w:val="28"/>
        </w:rPr>
        <w:t xml:space="preserve">el señor Jorge Hernando Pedraza Vargas, </w:t>
      </w:r>
      <w:r w:rsidRPr="6A6BBF05">
        <w:rPr>
          <w:rFonts w:eastAsia="Batang"/>
          <w:sz w:val="28"/>
          <w:szCs w:val="28"/>
        </w:rPr>
        <w:t xml:space="preserve">presenta demanda </w:t>
      </w:r>
      <w:r w:rsidR="00A6292C" w:rsidRPr="6A6BBF05">
        <w:rPr>
          <w:rFonts w:eastAsia="Batang"/>
          <w:sz w:val="28"/>
          <w:szCs w:val="28"/>
        </w:rPr>
        <w:t>en contra del Departamento de Boyacá</w:t>
      </w:r>
      <w:r w:rsidR="24719BEC" w:rsidRPr="6A6BBF05">
        <w:rPr>
          <w:rFonts w:eastAsia="Batang"/>
          <w:sz w:val="28"/>
          <w:szCs w:val="28"/>
        </w:rPr>
        <w:t xml:space="preserve"> </w:t>
      </w:r>
      <w:r w:rsidRPr="6A6BBF05">
        <w:rPr>
          <w:rFonts w:eastAsia="Batang"/>
          <w:sz w:val="28"/>
          <w:szCs w:val="28"/>
        </w:rPr>
        <w:t xml:space="preserve">para que se </w:t>
      </w:r>
      <w:r w:rsidR="00A6292C" w:rsidRPr="6A6BBF05">
        <w:rPr>
          <w:sz w:val="28"/>
          <w:szCs w:val="28"/>
        </w:rPr>
        <w:t>declare la nulidad del Decreto No. 623 del 27 de diciembre de 2017, por medio del cual el Gobernador de Boyacá, designa a la señora LUZ DARY GUERRERO MORENO, identificada con cédula de ciudadanía No. 1.049.602.195 en el empleo de Asesor de Control Interno, código 105, grado 11 de la ÉSE Hospital San Rafael de Tunja, para el periodo comprendido del 1o de enero de 2018 al 31 de diciembre de 2021.</w:t>
      </w:r>
    </w:p>
    <w:p w14:paraId="4E519F87" w14:textId="42957129" w:rsidR="00A6292C" w:rsidRDefault="00A6292C" w:rsidP="00320D28">
      <w:pPr>
        <w:tabs>
          <w:tab w:val="left" w:pos="709"/>
        </w:tabs>
        <w:spacing w:line="360" w:lineRule="auto"/>
        <w:jc w:val="both"/>
        <w:rPr>
          <w:sz w:val="28"/>
          <w:szCs w:val="28"/>
        </w:rPr>
      </w:pPr>
    </w:p>
    <w:p w14:paraId="3A5B8409" w14:textId="3DE23F46" w:rsidR="00A6292C" w:rsidRPr="00501AE0" w:rsidRDefault="00205648" w:rsidP="64DFB1A6">
      <w:pPr>
        <w:tabs>
          <w:tab w:val="left" w:pos="709"/>
        </w:tabs>
        <w:spacing w:line="360" w:lineRule="auto"/>
        <w:jc w:val="both"/>
        <w:rPr>
          <w:rFonts w:eastAsia="Batang"/>
          <w:sz w:val="28"/>
          <w:szCs w:val="28"/>
        </w:rPr>
      </w:pPr>
      <w:r w:rsidRPr="00501AE0">
        <w:rPr>
          <w:rFonts w:eastAsia="Batang"/>
          <w:sz w:val="28"/>
          <w:szCs w:val="28"/>
        </w:rPr>
        <w:t xml:space="preserve">Mediante auto del </w:t>
      </w:r>
      <w:r w:rsidR="00A6292C" w:rsidRPr="00501AE0">
        <w:rPr>
          <w:rFonts w:eastAsia="Batang"/>
          <w:sz w:val="28"/>
          <w:szCs w:val="28"/>
        </w:rPr>
        <w:t>26 de marzo de 2019 el juzgado Décimo Administrativo admitió la demanda, se surtieron las notificaciones y audiencias del caso, y finalmente, el 11 de febrero profirió sentencia de primera instancia, negando las pretensiones de la demanda.</w:t>
      </w:r>
    </w:p>
    <w:p w14:paraId="2BA23433" w14:textId="08B96538" w:rsidR="002F7DBD" w:rsidRPr="00501AE0" w:rsidRDefault="002F7DBD" w:rsidP="64DFB1A6">
      <w:pPr>
        <w:tabs>
          <w:tab w:val="left" w:pos="709"/>
        </w:tabs>
        <w:spacing w:line="360" w:lineRule="auto"/>
        <w:jc w:val="both"/>
        <w:rPr>
          <w:rFonts w:eastAsia="Batang"/>
          <w:sz w:val="28"/>
          <w:szCs w:val="28"/>
        </w:rPr>
      </w:pPr>
    </w:p>
    <w:p w14:paraId="4B6CBCE8" w14:textId="2905CFD8" w:rsidR="002F7DBD" w:rsidRPr="00501AE0" w:rsidRDefault="002F7DBD" w:rsidP="64DFB1A6">
      <w:pPr>
        <w:tabs>
          <w:tab w:val="left" w:pos="709"/>
        </w:tabs>
        <w:spacing w:line="360" w:lineRule="auto"/>
        <w:jc w:val="both"/>
        <w:rPr>
          <w:rFonts w:eastAsia="Batang"/>
          <w:sz w:val="28"/>
          <w:szCs w:val="28"/>
        </w:rPr>
      </w:pPr>
      <w:r w:rsidRPr="00501AE0">
        <w:rPr>
          <w:rFonts w:eastAsia="Batang"/>
          <w:sz w:val="28"/>
          <w:szCs w:val="28"/>
        </w:rPr>
        <w:t xml:space="preserve">El acto de notificación de la sentencia se surtió el </w:t>
      </w:r>
      <w:r w:rsidRPr="00501AE0">
        <w:rPr>
          <w:rFonts w:eastAsia="Batang"/>
          <w:b/>
          <w:sz w:val="28"/>
          <w:szCs w:val="28"/>
        </w:rPr>
        <w:t xml:space="preserve">14 de febrero de 2022 </w:t>
      </w:r>
      <w:r w:rsidRPr="00501AE0">
        <w:rPr>
          <w:rFonts w:eastAsia="Batang"/>
          <w:sz w:val="28"/>
          <w:szCs w:val="28"/>
        </w:rPr>
        <w:t>a las siguientes cuentas de correo del demandante</w:t>
      </w:r>
      <w:r w:rsidRPr="00501AE0">
        <w:rPr>
          <w:sz w:val="28"/>
          <w:szCs w:val="28"/>
        </w:rPr>
        <w:t>: klymayo@yahoo.com; drcolmenares@yahoo.es;</w:t>
      </w:r>
    </w:p>
    <w:p w14:paraId="67E97C8D" w14:textId="77777777" w:rsidR="00A6292C" w:rsidRPr="00501AE0" w:rsidRDefault="00A6292C" w:rsidP="64DFB1A6">
      <w:pPr>
        <w:tabs>
          <w:tab w:val="left" w:pos="709"/>
        </w:tabs>
        <w:spacing w:line="360" w:lineRule="auto"/>
        <w:jc w:val="both"/>
        <w:rPr>
          <w:rFonts w:eastAsia="Batang"/>
          <w:sz w:val="28"/>
          <w:szCs w:val="28"/>
        </w:rPr>
      </w:pPr>
    </w:p>
    <w:p w14:paraId="4405F9E1" w14:textId="7AF59EC5" w:rsidR="0019217A" w:rsidRPr="00501AE0" w:rsidRDefault="00E407E4" w:rsidP="00E407E4">
      <w:pPr>
        <w:tabs>
          <w:tab w:val="left" w:pos="709"/>
        </w:tabs>
        <w:spacing w:line="360" w:lineRule="auto"/>
        <w:jc w:val="both"/>
        <w:rPr>
          <w:sz w:val="28"/>
          <w:szCs w:val="28"/>
        </w:rPr>
      </w:pPr>
      <w:r w:rsidRPr="00501AE0">
        <w:rPr>
          <w:rFonts w:eastAsia="Batang"/>
          <w:sz w:val="28"/>
          <w:szCs w:val="28"/>
        </w:rPr>
        <w:t xml:space="preserve">En contra de </w:t>
      </w:r>
      <w:r w:rsidR="0019217A" w:rsidRPr="00501AE0">
        <w:rPr>
          <w:rFonts w:eastAsia="Batang"/>
          <w:sz w:val="28"/>
          <w:szCs w:val="28"/>
        </w:rPr>
        <w:t xml:space="preserve">dicha providencia, el apoderado de la parte actora </w:t>
      </w:r>
      <w:r w:rsidRPr="00501AE0">
        <w:rPr>
          <w:rFonts w:eastAsia="Batang"/>
          <w:sz w:val="28"/>
          <w:szCs w:val="28"/>
        </w:rPr>
        <w:t xml:space="preserve">presentó el recurso de apelación </w:t>
      </w:r>
      <w:r w:rsidR="009E6822" w:rsidRPr="00501AE0">
        <w:rPr>
          <w:rFonts w:eastAsia="Batang"/>
          <w:sz w:val="28"/>
          <w:szCs w:val="28"/>
        </w:rPr>
        <w:t xml:space="preserve">el </w:t>
      </w:r>
      <w:r w:rsidR="009E6822" w:rsidRPr="00501AE0">
        <w:rPr>
          <w:rFonts w:eastAsia="Batang"/>
          <w:b/>
          <w:sz w:val="28"/>
          <w:szCs w:val="28"/>
        </w:rPr>
        <w:t xml:space="preserve">28 de </w:t>
      </w:r>
      <w:r w:rsidR="0043345D" w:rsidRPr="00501AE0">
        <w:rPr>
          <w:rFonts w:eastAsia="Batang"/>
          <w:b/>
          <w:sz w:val="28"/>
          <w:szCs w:val="28"/>
        </w:rPr>
        <w:t>febrero</w:t>
      </w:r>
      <w:r w:rsidR="009E6822" w:rsidRPr="00501AE0">
        <w:rPr>
          <w:rFonts w:eastAsia="Batang"/>
          <w:b/>
          <w:sz w:val="28"/>
          <w:szCs w:val="28"/>
        </w:rPr>
        <w:t xml:space="preserve"> de 2022 </w:t>
      </w:r>
      <w:r w:rsidR="009E6822" w:rsidRPr="00501AE0">
        <w:rPr>
          <w:rFonts w:eastAsia="Batang"/>
          <w:sz w:val="28"/>
          <w:szCs w:val="28"/>
        </w:rPr>
        <w:t xml:space="preserve">siendo las 17:01, </w:t>
      </w:r>
      <w:r w:rsidR="0043345D" w:rsidRPr="00501AE0">
        <w:rPr>
          <w:rFonts w:eastAsia="Batang"/>
          <w:sz w:val="28"/>
          <w:szCs w:val="28"/>
        </w:rPr>
        <w:t>(</w:t>
      </w:r>
      <w:r w:rsidR="009E6822" w:rsidRPr="00501AE0">
        <w:rPr>
          <w:rFonts w:eastAsia="Batang"/>
          <w:sz w:val="28"/>
          <w:szCs w:val="28"/>
        </w:rPr>
        <w:t xml:space="preserve">índice 65 del </w:t>
      </w:r>
      <w:r w:rsidR="0043345D" w:rsidRPr="00501AE0">
        <w:rPr>
          <w:rFonts w:eastAsia="Batang"/>
          <w:sz w:val="28"/>
          <w:szCs w:val="28"/>
        </w:rPr>
        <w:t>registro</w:t>
      </w:r>
      <w:r w:rsidR="009E6822" w:rsidRPr="00501AE0">
        <w:rPr>
          <w:rFonts w:eastAsia="Batang"/>
          <w:sz w:val="28"/>
          <w:szCs w:val="28"/>
        </w:rPr>
        <w:t xml:space="preserve"> SAMAI</w:t>
      </w:r>
      <w:r w:rsidR="0043345D" w:rsidRPr="00501AE0">
        <w:rPr>
          <w:rFonts w:eastAsia="Batang"/>
          <w:sz w:val="28"/>
          <w:szCs w:val="28"/>
        </w:rPr>
        <w:t xml:space="preserve">), </w:t>
      </w:r>
      <w:r w:rsidR="00504C06" w:rsidRPr="00501AE0">
        <w:rPr>
          <w:rFonts w:eastAsia="Batang"/>
          <w:sz w:val="28"/>
          <w:szCs w:val="28"/>
        </w:rPr>
        <w:t xml:space="preserve">el cual </w:t>
      </w:r>
      <w:r w:rsidR="0019217A" w:rsidRPr="00501AE0">
        <w:rPr>
          <w:rFonts w:eastAsia="Batang"/>
          <w:sz w:val="28"/>
          <w:szCs w:val="28"/>
        </w:rPr>
        <w:t>fue</w:t>
      </w:r>
      <w:r w:rsidR="00504C06" w:rsidRPr="00501AE0">
        <w:rPr>
          <w:rFonts w:eastAsia="Batang"/>
          <w:sz w:val="28"/>
          <w:szCs w:val="28"/>
        </w:rPr>
        <w:t xml:space="preserve"> </w:t>
      </w:r>
      <w:r w:rsidR="0043345D" w:rsidRPr="00501AE0">
        <w:rPr>
          <w:rFonts w:eastAsia="Batang"/>
          <w:sz w:val="28"/>
          <w:szCs w:val="28"/>
        </w:rPr>
        <w:t xml:space="preserve">rechazado </w:t>
      </w:r>
      <w:r w:rsidRPr="00501AE0">
        <w:rPr>
          <w:rFonts w:eastAsia="Batang"/>
          <w:sz w:val="28"/>
          <w:szCs w:val="28"/>
        </w:rPr>
        <w:t xml:space="preserve">por extemporáneo </w:t>
      </w:r>
      <w:r w:rsidR="00192B52" w:rsidRPr="00501AE0">
        <w:rPr>
          <w:rFonts w:eastAsia="Batang"/>
          <w:sz w:val="28"/>
          <w:szCs w:val="28"/>
        </w:rPr>
        <w:t xml:space="preserve">en auto del </w:t>
      </w:r>
      <w:r w:rsidR="0043345D" w:rsidRPr="00501AE0">
        <w:rPr>
          <w:rFonts w:eastAsia="Batang"/>
          <w:b/>
          <w:sz w:val="28"/>
          <w:szCs w:val="28"/>
        </w:rPr>
        <w:t>25 de marzo de 2022</w:t>
      </w:r>
      <w:r w:rsidR="0019217A" w:rsidRPr="00501AE0">
        <w:rPr>
          <w:rFonts w:eastAsia="Batang"/>
          <w:sz w:val="28"/>
          <w:szCs w:val="28"/>
        </w:rPr>
        <w:t xml:space="preserve"> </w:t>
      </w:r>
      <w:r w:rsidRPr="00501AE0">
        <w:rPr>
          <w:rFonts w:eastAsia="Batang"/>
          <w:sz w:val="28"/>
          <w:szCs w:val="28"/>
        </w:rPr>
        <w:t>(</w:t>
      </w:r>
      <w:r w:rsidR="0043345D" w:rsidRPr="00501AE0">
        <w:rPr>
          <w:rFonts w:eastAsia="Batang"/>
          <w:sz w:val="28"/>
          <w:szCs w:val="28"/>
        </w:rPr>
        <w:t>índice 70</w:t>
      </w:r>
      <w:r w:rsidR="0019217A" w:rsidRPr="00501AE0">
        <w:rPr>
          <w:rFonts w:eastAsia="Batang"/>
          <w:sz w:val="28"/>
          <w:szCs w:val="28"/>
        </w:rPr>
        <w:t>)</w:t>
      </w:r>
      <w:r w:rsidR="0043345D" w:rsidRPr="00501AE0">
        <w:rPr>
          <w:rFonts w:eastAsia="Batang"/>
          <w:sz w:val="28"/>
          <w:szCs w:val="28"/>
        </w:rPr>
        <w:t xml:space="preserve">, al considerar </w:t>
      </w:r>
      <w:r w:rsidRPr="00501AE0">
        <w:rPr>
          <w:rFonts w:eastAsia="Batang"/>
          <w:sz w:val="28"/>
          <w:szCs w:val="28"/>
        </w:rPr>
        <w:t>que</w:t>
      </w:r>
      <w:r w:rsidR="0043345D" w:rsidRPr="00501AE0">
        <w:rPr>
          <w:rFonts w:eastAsia="Batang"/>
          <w:sz w:val="28"/>
          <w:szCs w:val="28"/>
        </w:rPr>
        <w:t xml:space="preserve"> </w:t>
      </w:r>
      <w:r w:rsidR="00504C06" w:rsidRPr="00501AE0">
        <w:rPr>
          <w:rFonts w:eastAsia="Batang"/>
          <w:sz w:val="28"/>
          <w:szCs w:val="28"/>
        </w:rPr>
        <w:t xml:space="preserve">de conformidad con </w:t>
      </w:r>
      <w:r w:rsidR="0019217A" w:rsidRPr="00501AE0">
        <w:rPr>
          <w:rFonts w:eastAsia="Batang"/>
          <w:sz w:val="28"/>
          <w:szCs w:val="28"/>
        </w:rPr>
        <w:t xml:space="preserve">los </w:t>
      </w:r>
      <w:r w:rsidR="00504C06" w:rsidRPr="00501AE0">
        <w:rPr>
          <w:rFonts w:eastAsia="Batang"/>
          <w:sz w:val="28"/>
          <w:szCs w:val="28"/>
        </w:rPr>
        <w:t>artículo</w:t>
      </w:r>
      <w:r w:rsidR="0019217A" w:rsidRPr="00501AE0">
        <w:rPr>
          <w:rFonts w:eastAsia="Batang"/>
          <w:sz w:val="28"/>
          <w:szCs w:val="28"/>
        </w:rPr>
        <w:t xml:space="preserve">s 243 y </w:t>
      </w:r>
      <w:r w:rsidR="00504C06" w:rsidRPr="00501AE0">
        <w:rPr>
          <w:rFonts w:eastAsia="Batang"/>
          <w:sz w:val="28"/>
          <w:szCs w:val="28"/>
        </w:rPr>
        <w:t>24</w:t>
      </w:r>
      <w:r w:rsidR="0043345D" w:rsidRPr="00501AE0">
        <w:rPr>
          <w:rFonts w:eastAsia="Batang"/>
          <w:sz w:val="28"/>
          <w:szCs w:val="28"/>
        </w:rPr>
        <w:t>7</w:t>
      </w:r>
      <w:r w:rsidR="00504C06" w:rsidRPr="00501AE0">
        <w:rPr>
          <w:rFonts w:eastAsia="Batang"/>
          <w:sz w:val="28"/>
          <w:szCs w:val="28"/>
        </w:rPr>
        <w:t xml:space="preserve"> del CPACA</w:t>
      </w:r>
      <w:r w:rsidR="0043345D" w:rsidRPr="00501AE0">
        <w:rPr>
          <w:rFonts w:eastAsia="Batang"/>
          <w:sz w:val="28"/>
          <w:szCs w:val="28"/>
        </w:rPr>
        <w:t xml:space="preserve">, </w:t>
      </w:r>
      <w:r w:rsidR="0043345D" w:rsidRPr="00501AE0">
        <w:rPr>
          <w:sz w:val="28"/>
          <w:szCs w:val="28"/>
        </w:rPr>
        <w:t>la parte actora contaba hasta el día 28 de febrero de 2022</w:t>
      </w:r>
      <w:r w:rsidR="005052E5" w:rsidRPr="00501AE0">
        <w:rPr>
          <w:sz w:val="28"/>
          <w:szCs w:val="28"/>
        </w:rPr>
        <w:t xml:space="preserve"> </w:t>
      </w:r>
      <w:r w:rsidR="0043345D" w:rsidRPr="00501AE0">
        <w:rPr>
          <w:sz w:val="28"/>
          <w:szCs w:val="28"/>
        </w:rPr>
        <w:t xml:space="preserve">para interponer oportunamente el recurso de apelación en contra de la sentencia de primera instancia. </w:t>
      </w:r>
    </w:p>
    <w:p w14:paraId="3BD8E699" w14:textId="0B135F51" w:rsidR="00EE4D62" w:rsidRPr="00501AE0" w:rsidRDefault="00EE4D62" w:rsidP="00E407E4">
      <w:pPr>
        <w:tabs>
          <w:tab w:val="left" w:pos="709"/>
        </w:tabs>
        <w:spacing w:line="360" w:lineRule="auto"/>
        <w:jc w:val="both"/>
        <w:rPr>
          <w:sz w:val="28"/>
          <w:szCs w:val="28"/>
        </w:rPr>
      </w:pPr>
    </w:p>
    <w:p w14:paraId="145846C4" w14:textId="36E9B9CD" w:rsidR="003A2E57" w:rsidRPr="00501AE0" w:rsidRDefault="00EE4D62" w:rsidP="00501AE0">
      <w:pPr>
        <w:tabs>
          <w:tab w:val="left" w:pos="709"/>
        </w:tabs>
        <w:spacing w:line="360" w:lineRule="auto"/>
        <w:jc w:val="both"/>
        <w:rPr>
          <w:sz w:val="28"/>
          <w:szCs w:val="28"/>
        </w:rPr>
      </w:pPr>
      <w:r w:rsidRPr="6A6BBF05">
        <w:rPr>
          <w:sz w:val="28"/>
          <w:szCs w:val="28"/>
        </w:rPr>
        <w:t>Dice que el apoderado de la parte actora interpuso el recurso de apelación contra la sentencia, el día 28 de febrero de 2022, a las 5:01 P.M., de modo que se debe entender presentado en forma extemporánea, toda vez que el horario laboral de los Juzgados Administrativos de la ciudad de Tunja, es de lunes a viernes de 8:00 A.M. a 12 M. y de 1:00 P.M. a 5:00 P.M.</w:t>
      </w:r>
      <w:r w:rsidR="41E4C194" w:rsidRPr="6A6BBF05">
        <w:rPr>
          <w:sz w:val="28"/>
          <w:szCs w:val="28"/>
        </w:rPr>
        <w:t>,</w:t>
      </w:r>
      <w:r w:rsidR="00501AE0" w:rsidRPr="6A6BBF05">
        <w:rPr>
          <w:sz w:val="28"/>
          <w:szCs w:val="28"/>
        </w:rPr>
        <w:t xml:space="preserve"> por lo que</w:t>
      </w:r>
      <w:r w:rsidR="00C93577" w:rsidRPr="6A6BBF05">
        <w:rPr>
          <w:rFonts w:eastAsia="Batang"/>
          <w:sz w:val="28"/>
          <w:szCs w:val="28"/>
        </w:rPr>
        <w:t xml:space="preserve"> negó por extemporáneo el recurso de apelación </w:t>
      </w:r>
      <w:r w:rsidR="00501AE0" w:rsidRPr="6A6BBF05">
        <w:rPr>
          <w:rFonts w:eastAsia="Batang"/>
          <w:sz w:val="28"/>
          <w:szCs w:val="28"/>
        </w:rPr>
        <w:t>formulado.</w:t>
      </w:r>
    </w:p>
    <w:p w14:paraId="170393EE" w14:textId="77777777" w:rsidR="00EE4D62" w:rsidRPr="00501AE0" w:rsidRDefault="00EE4D62" w:rsidP="00320D28">
      <w:pPr>
        <w:tabs>
          <w:tab w:val="left" w:pos="709"/>
        </w:tabs>
        <w:spacing w:line="360" w:lineRule="auto"/>
        <w:jc w:val="both"/>
        <w:rPr>
          <w:rFonts w:eastAsia="Batang"/>
          <w:sz w:val="28"/>
          <w:szCs w:val="28"/>
        </w:rPr>
      </w:pPr>
    </w:p>
    <w:p w14:paraId="454840D8" w14:textId="64B9950C" w:rsidR="00EE4D62" w:rsidRPr="00501AE0" w:rsidRDefault="00320D28" w:rsidP="00320D28">
      <w:pPr>
        <w:tabs>
          <w:tab w:val="left" w:pos="709"/>
        </w:tabs>
        <w:spacing w:line="360" w:lineRule="auto"/>
        <w:jc w:val="both"/>
        <w:rPr>
          <w:sz w:val="28"/>
          <w:szCs w:val="28"/>
        </w:rPr>
      </w:pPr>
      <w:r w:rsidRPr="00501AE0">
        <w:rPr>
          <w:rFonts w:eastAsia="Batang"/>
          <w:sz w:val="28"/>
          <w:szCs w:val="28"/>
        </w:rPr>
        <w:t>En auto de</w:t>
      </w:r>
      <w:r w:rsidR="009D7BC5" w:rsidRPr="00501AE0">
        <w:rPr>
          <w:rFonts w:eastAsia="Batang"/>
          <w:sz w:val="28"/>
          <w:szCs w:val="28"/>
        </w:rPr>
        <w:t xml:space="preserve">l </w:t>
      </w:r>
      <w:r w:rsidR="00EE4D62" w:rsidRPr="00501AE0">
        <w:rPr>
          <w:rFonts w:eastAsia="Batang"/>
          <w:b/>
          <w:sz w:val="28"/>
          <w:szCs w:val="28"/>
        </w:rPr>
        <w:t>13 de mayo de 2022</w:t>
      </w:r>
      <w:r w:rsidR="001D1D55" w:rsidRPr="00501AE0">
        <w:rPr>
          <w:rFonts w:eastAsia="Batang"/>
          <w:sz w:val="28"/>
          <w:szCs w:val="28"/>
        </w:rPr>
        <w:t>, r</w:t>
      </w:r>
      <w:r w:rsidR="00B76145" w:rsidRPr="00501AE0">
        <w:rPr>
          <w:rFonts w:eastAsia="Batang"/>
          <w:sz w:val="28"/>
          <w:szCs w:val="28"/>
        </w:rPr>
        <w:t>esolvió</w:t>
      </w:r>
      <w:r w:rsidR="001D1D55" w:rsidRPr="00501AE0">
        <w:rPr>
          <w:rFonts w:eastAsia="Batang"/>
          <w:sz w:val="28"/>
          <w:szCs w:val="28"/>
        </w:rPr>
        <w:t xml:space="preserve"> </w:t>
      </w:r>
      <w:r w:rsidR="00DD796D" w:rsidRPr="00501AE0">
        <w:rPr>
          <w:rFonts w:eastAsia="Batang"/>
          <w:sz w:val="28"/>
          <w:szCs w:val="28"/>
        </w:rPr>
        <w:t xml:space="preserve">no reponer </w:t>
      </w:r>
      <w:r w:rsidR="00EE4D62" w:rsidRPr="00501AE0">
        <w:rPr>
          <w:rFonts w:eastAsia="Batang"/>
          <w:sz w:val="28"/>
          <w:szCs w:val="28"/>
        </w:rPr>
        <w:t>la decisión d</w:t>
      </w:r>
      <w:r w:rsidR="00DB49A4" w:rsidRPr="00501AE0">
        <w:rPr>
          <w:rFonts w:eastAsia="Batang"/>
          <w:sz w:val="28"/>
          <w:szCs w:val="28"/>
        </w:rPr>
        <w:t xml:space="preserve">e rechazó </w:t>
      </w:r>
      <w:r w:rsidR="00192B52" w:rsidRPr="00501AE0">
        <w:rPr>
          <w:rFonts w:eastAsia="Batang"/>
          <w:sz w:val="28"/>
          <w:szCs w:val="28"/>
        </w:rPr>
        <w:t xml:space="preserve">por extemporáneo </w:t>
      </w:r>
      <w:r w:rsidR="00EE4D62" w:rsidRPr="00501AE0">
        <w:rPr>
          <w:rFonts w:eastAsia="Batang"/>
          <w:sz w:val="28"/>
          <w:szCs w:val="28"/>
        </w:rPr>
        <w:t>d</w:t>
      </w:r>
      <w:r w:rsidR="00192B52" w:rsidRPr="00501AE0">
        <w:rPr>
          <w:rFonts w:eastAsia="Batang"/>
          <w:sz w:val="28"/>
          <w:szCs w:val="28"/>
        </w:rPr>
        <w:t xml:space="preserve">el recurso de </w:t>
      </w:r>
      <w:r w:rsidR="00DB49A4" w:rsidRPr="00501AE0">
        <w:rPr>
          <w:rFonts w:eastAsia="Batang"/>
          <w:sz w:val="28"/>
          <w:szCs w:val="28"/>
        </w:rPr>
        <w:t>apelaci</w:t>
      </w:r>
      <w:r w:rsidR="00DD796D" w:rsidRPr="00501AE0">
        <w:rPr>
          <w:rFonts w:eastAsia="Batang"/>
          <w:sz w:val="28"/>
          <w:szCs w:val="28"/>
        </w:rPr>
        <w:t>ón</w:t>
      </w:r>
      <w:r w:rsidR="00EE4D62" w:rsidRPr="00501AE0">
        <w:rPr>
          <w:rFonts w:eastAsia="Batang"/>
          <w:sz w:val="28"/>
          <w:szCs w:val="28"/>
        </w:rPr>
        <w:t xml:space="preserve">, reiterando que, </w:t>
      </w:r>
      <w:r w:rsidR="00EE4D62" w:rsidRPr="00501AE0">
        <w:rPr>
          <w:sz w:val="28"/>
          <w:szCs w:val="28"/>
        </w:rPr>
        <w:t xml:space="preserve">si bien el demandante radicó el memorial de impugnación dentro de los 10 días, esto es el 28 de febrero, lo hizo de manera extemporánea, por cuanto lo presentó, como se evidencia dentro del expediente digital, el </w:t>
      </w:r>
      <w:r w:rsidR="00EE4D62" w:rsidRPr="00501AE0">
        <w:rPr>
          <w:b/>
          <w:sz w:val="28"/>
          <w:szCs w:val="28"/>
        </w:rPr>
        <w:t>28 de febrero de 2022, a las 5:01 pm</w:t>
      </w:r>
      <w:r w:rsidR="00EE4D62" w:rsidRPr="00501AE0">
        <w:rPr>
          <w:sz w:val="28"/>
          <w:szCs w:val="28"/>
        </w:rPr>
        <w:t>.</w:t>
      </w:r>
    </w:p>
    <w:p w14:paraId="2CEA4AB8" w14:textId="77777777" w:rsidR="00EE4D62" w:rsidRPr="00501AE0" w:rsidRDefault="00EE4D62" w:rsidP="00320D28">
      <w:pPr>
        <w:tabs>
          <w:tab w:val="left" w:pos="709"/>
        </w:tabs>
        <w:spacing w:line="360" w:lineRule="auto"/>
        <w:jc w:val="both"/>
        <w:rPr>
          <w:rFonts w:eastAsia="Batang"/>
          <w:sz w:val="28"/>
          <w:szCs w:val="28"/>
        </w:rPr>
      </w:pPr>
    </w:p>
    <w:p w14:paraId="13D89F93" w14:textId="7B3E2084" w:rsidR="00D2782A" w:rsidRPr="00501AE0" w:rsidRDefault="00EE4D62" w:rsidP="00320D28">
      <w:pPr>
        <w:tabs>
          <w:tab w:val="left" w:pos="709"/>
        </w:tabs>
        <w:spacing w:line="360" w:lineRule="auto"/>
        <w:jc w:val="both"/>
        <w:rPr>
          <w:rFonts w:eastAsia="Batang"/>
          <w:sz w:val="28"/>
          <w:szCs w:val="28"/>
        </w:rPr>
      </w:pPr>
      <w:r w:rsidRPr="00501AE0">
        <w:rPr>
          <w:rFonts w:eastAsia="Batang"/>
          <w:sz w:val="28"/>
          <w:szCs w:val="28"/>
        </w:rPr>
        <w:t>Finalmente,</w:t>
      </w:r>
      <w:r w:rsidR="00501AE0" w:rsidRPr="00501AE0">
        <w:rPr>
          <w:rFonts w:eastAsia="Batang"/>
          <w:sz w:val="28"/>
          <w:szCs w:val="28"/>
        </w:rPr>
        <w:t xml:space="preserve"> </w:t>
      </w:r>
      <w:r w:rsidRPr="00501AE0">
        <w:rPr>
          <w:rFonts w:eastAsia="Batang"/>
          <w:sz w:val="28"/>
          <w:szCs w:val="28"/>
        </w:rPr>
        <w:t xml:space="preserve">concede </w:t>
      </w:r>
      <w:r w:rsidR="00DD796D" w:rsidRPr="00501AE0">
        <w:rPr>
          <w:rFonts w:eastAsia="Batang"/>
          <w:sz w:val="28"/>
          <w:szCs w:val="28"/>
        </w:rPr>
        <w:t xml:space="preserve">para ante esta corporación el recurso de queja. </w:t>
      </w:r>
    </w:p>
    <w:p w14:paraId="1FBEABEB" w14:textId="74D1D02A" w:rsidR="00501AE0" w:rsidRDefault="00501AE0" w:rsidP="6A6BBF05">
      <w:pPr>
        <w:tabs>
          <w:tab w:val="left" w:pos="709"/>
        </w:tabs>
        <w:spacing w:line="360" w:lineRule="auto"/>
        <w:jc w:val="both"/>
        <w:rPr>
          <w:rFonts w:eastAsia="Batang"/>
          <w:sz w:val="28"/>
          <w:szCs w:val="28"/>
        </w:rPr>
      </w:pPr>
    </w:p>
    <w:p w14:paraId="5F5E4ED4" w14:textId="77777777" w:rsidR="00501AE0" w:rsidRDefault="00501AE0" w:rsidP="00320D28">
      <w:pPr>
        <w:tabs>
          <w:tab w:val="left" w:pos="709"/>
        </w:tabs>
        <w:spacing w:line="360" w:lineRule="auto"/>
        <w:jc w:val="both"/>
        <w:rPr>
          <w:rFonts w:eastAsia="Batang"/>
          <w:sz w:val="28"/>
        </w:rPr>
      </w:pPr>
    </w:p>
    <w:p w14:paraId="45B14670" w14:textId="1698200F" w:rsidR="00320D28" w:rsidRPr="007A1442" w:rsidRDefault="322D85CC" w:rsidP="6A6BBF05">
      <w:pPr>
        <w:numPr>
          <w:ilvl w:val="0"/>
          <w:numId w:val="1"/>
        </w:numPr>
        <w:tabs>
          <w:tab w:val="left" w:pos="709"/>
        </w:tabs>
        <w:overflowPunct w:val="0"/>
        <w:autoSpaceDE w:val="0"/>
        <w:autoSpaceDN w:val="0"/>
        <w:adjustRightInd w:val="0"/>
        <w:spacing w:line="360" w:lineRule="auto"/>
        <w:jc w:val="center"/>
        <w:rPr>
          <w:rFonts w:eastAsia="Batang"/>
          <w:b/>
          <w:bCs/>
          <w:sz w:val="28"/>
          <w:szCs w:val="28"/>
        </w:rPr>
      </w:pPr>
      <w:r w:rsidRPr="6A6BBF05">
        <w:rPr>
          <w:rFonts w:eastAsia="Batang"/>
          <w:b/>
          <w:bCs/>
          <w:sz w:val="28"/>
          <w:szCs w:val="28"/>
        </w:rPr>
        <w:t xml:space="preserve">El </w:t>
      </w:r>
      <w:r w:rsidR="00320D28" w:rsidRPr="6A6BBF05">
        <w:rPr>
          <w:rFonts w:eastAsia="Batang"/>
          <w:b/>
          <w:bCs/>
          <w:sz w:val="28"/>
          <w:szCs w:val="28"/>
        </w:rPr>
        <w:t>RECURSO DE QUEJA</w:t>
      </w:r>
    </w:p>
    <w:p w14:paraId="3CE82283" w14:textId="77777777" w:rsidR="00320D28" w:rsidRPr="007A1442" w:rsidRDefault="00320D28" w:rsidP="00320D28">
      <w:pPr>
        <w:tabs>
          <w:tab w:val="left" w:pos="709"/>
        </w:tabs>
        <w:spacing w:line="360" w:lineRule="auto"/>
        <w:ind w:left="360"/>
        <w:jc w:val="center"/>
        <w:rPr>
          <w:rFonts w:eastAsia="Batang"/>
          <w:b/>
          <w:sz w:val="28"/>
          <w:szCs w:val="28"/>
        </w:rPr>
      </w:pPr>
    </w:p>
    <w:p w14:paraId="3080BDAE" w14:textId="6DA02609" w:rsidR="00320D28" w:rsidRPr="007A1442" w:rsidRDefault="00320D28" w:rsidP="00320D28">
      <w:pPr>
        <w:tabs>
          <w:tab w:val="left" w:pos="709"/>
        </w:tabs>
        <w:spacing w:line="360" w:lineRule="auto"/>
        <w:jc w:val="both"/>
        <w:rPr>
          <w:rFonts w:eastAsia="Batang"/>
          <w:sz w:val="28"/>
          <w:szCs w:val="28"/>
        </w:rPr>
      </w:pPr>
      <w:r w:rsidRPr="007A1442">
        <w:rPr>
          <w:rFonts w:eastAsia="Batang"/>
          <w:sz w:val="28"/>
          <w:szCs w:val="28"/>
        </w:rPr>
        <w:t xml:space="preserve">El apoderado de la parte actora </w:t>
      </w:r>
      <w:r w:rsidR="00DD796D" w:rsidRPr="007A1442">
        <w:rPr>
          <w:rFonts w:eastAsia="Batang"/>
          <w:sz w:val="28"/>
          <w:szCs w:val="28"/>
        </w:rPr>
        <w:t>inter</w:t>
      </w:r>
      <w:r w:rsidR="00B76145" w:rsidRPr="007A1442">
        <w:rPr>
          <w:rFonts w:eastAsia="Batang"/>
          <w:sz w:val="28"/>
          <w:szCs w:val="28"/>
        </w:rPr>
        <w:t>puso</w:t>
      </w:r>
      <w:r w:rsidRPr="007A1442">
        <w:rPr>
          <w:rFonts w:eastAsia="Batang"/>
          <w:sz w:val="28"/>
          <w:szCs w:val="28"/>
        </w:rPr>
        <w:t xml:space="preserve"> recurso de </w:t>
      </w:r>
      <w:r w:rsidR="0096317E" w:rsidRPr="007A1442">
        <w:rPr>
          <w:rFonts w:eastAsia="Batang"/>
          <w:sz w:val="28"/>
          <w:szCs w:val="28"/>
        </w:rPr>
        <w:t xml:space="preserve">reposición y en subsidio el de </w:t>
      </w:r>
      <w:r w:rsidRPr="007A1442">
        <w:rPr>
          <w:rFonts w:eastAsia="Batang"/>
          <w:sz w:val="28"/>
          <w:szCs w:val="28"/>
        </w:rPr>
        <w:t>queja para que se revoque el auto de</w:t>
      </w:r>
      <w:r w:rsidR="00192B52" w:rsidRPr="007A1442">
        <w:rPr>
          <w:rFonts w:eastAsia="Batang"/>
          <w:sz w:val="28"/>
          <w:szCs w:val="28"/>
        </w:rPr>
        <w:t xml:space="preserve">l </w:t>
      </w:r>
      <w:r w:rsidR="00501AE0" w:rsidRPr="007A1442">
        <w:rPr>
          <w:rFonts w:eastAsia="Batang"/>
          <w:b/>
          <w:sz w:val="28"/>
          <w:szCs w:val="28"/>
        </w:rPr>
        <w:t>25 de marzo de 2022,</w:t>
      </w:r>
      <w:r w:rsidR="0096317E" w:rsidRPr="007A1442">
        <w:rPr>
          <w:rFonts w:eastAsia="Batang"/>
          <w:sz w:val="28"/>
          <w:szCs w:val="28"/>
        </w:rPr>
        <w:t xml:space="preserve"> </w:t>
      </w:r>
      <w:r w:rsidRPr="007A1442">
        <w:rPr>
          <w:rFonts w:eastAsia="Batang"/>
          <w:sz w:val="28"/>
          <w:szCs w:val="28"/>
        </w:rPr>
        <w:t>y en su lugar se conceda el re</w:t>
      </w:r>
      <w:r w:rsidR="00192B52" w:rsidRPr="007A1442">
        <w:rPr>
          <w:rFonts w:eastAsia="Batang"/>
          <w:sz w:val="28"/>
          <w:szCs w:val="28"/>
        </w:rPr>
        <w:t>curso de apelación</w:t>
      </w:r>
      <w:r w:rsidR="00501AE0" w:rsidRPr="007A1442">
        <w:rPr>
          <w:rFonts w:eastAsia="Batang"/>
          <w:sz w:val="28"/>
          <w:szCs w:val="28"/>
        </w:rPr>
        <w:t xml:space="preserve"> formulado.</w:t>
      </w:r>
      <w:r w:rsidR="00192B52" w:rsidRPr="007A1442">
        <w:rPr>
          <w:rFonts w:eastAsia="Batang"/>
          <w:sz w:val="28"/>
          <w:szCs w:val="28"/>
        </w:rPr>
        <w:t xml:space="preserve"> </w:t>
      </w:r>
    </w:p>
    <w:p w14:paraId="55F977A1" w14:textId="37743FF6" w:rsidR="00DD796D" w:rsidRPr="007A1442" w:rsidRDefault="00DD796D" w:rsidP="00320D28">
      <w:pPr>
        <w:tabs>
          <w:tab w:val="left" w:pos="709"/>
        </w:tabs>
        <w:spacing w:line="360" w:lineRule="auto"/>
        <w:jc w:val="both"/>
        <w:rPr>
          <w:rFonts w:eastAsia="Batang"/>
          <w:sz w:val="28"/>
          <w:szCs w:val="28"/>
        </w:rPr>
      </w:pPr>
    </w:p>
    <w:p w14:paraId="4A316DEF" w14:textId="006F6060" w:rsidR="000F33BD" w:rsidRPr="007A1442" w:rsidRDefault="00501AE0" w:rsidP="00320D28">
      <w:pPr>
        <w:tabs>
          <w:tab w:val="left" w:pos="709"/>
        </w:tabs>
        <w:spacing w:line="360" w:lineRule="auto"/>
        <w:jc w:val="both"/>
        <w:rPr>
          <w:sz w:val="28"/>
          <w:szCs w:val="28"/>
        </w:rPr>
      </w:pPr>
      <w:r w:rsidRPr="007A1442">
        <w:rPr>
          <w:rFonts w:eastAsia="Batang"/>
          <w:sz w:val="28"/>
          <w:szCs w:val="28"/>
        </w:rPr>
        <w:t xml:space="preserve">Dice que se </w:t>
      </w:r>
      <w:r w:rsidRPr="007A1442">
        <w:rPr>
          <w:sz w:val="28"/>
          <w:szCs w:val="28"/>
        </w:rPr>
        <w:t>incurre en exceso ritual manifiesto por el hecho de rechazar el recurso de apelación interpuesto extemporáneamente por el apoderado de la parte actora</w:t>
      </w:r>
      <w:r w:rsidR="007A1442" w:rsidRPr="007A1442">
        <w:rPr>
          <w:sz w:val="28"/>
          <w:szCs w:val="28"/>
        </w:rPr>
        <w:t>, y que la providencia citada como referencia en el auto de rechazo diferente del presente caso, toda vez, que hay un minuto de extemporaneidad y no nueve.</w:t>
      </w:r>
    </w:p>
    <w:p w14:paraId="4BD0EC29" w14:textId="2900BDF5" w:rsidR="007A1442" w:rsidRPr="007A1442" w:rsidRDefault="007A1442" w:rsidP="00320D28">
      <w:pPr>
        <w:tabs>
          <w:tab w:val="left" w:pos="709"/>
        </w:tabs>
        <w:spacing w:line="360" w:lineRule="auto"/>
        <w:jc w:val="both"/>
        <w:rPr>
          <w:sz w:val="28"/>
          <w:szCs w:val="28"/>
        </w:rPr>
      </w:pPr>
    </w:p>
    <w:p w14:paraId="00ABF09B" w14:textId="351752C5" w:rsidR="0090184F" w:rsidRPr="007A1442" w:rsidRDefault="007A1442" w:rsidP="00320D28">
      <w:pPr>
        <w:tabs>
          <w:tab w:val="left" w:pos="709"/>
        </w:tabs>
        <w:spacing w:line="360" w:lineRule="auto"/>
        <w:jc w:val="both"/>
        <w:rPr>
          <w:sz w:val="28"/>
          <w:szCs w:val="28"/>
        </w:rPr>
      </w:pPr>
      <w:r w:rsidRPr="007A1442">
        <w:rPr>
          <w:sz w:val="28"/>
          <w:szCs w:val="28"/>
        </w:rPr>
        <w:t xml:space="preserve">Solicita revocar el auto de fecha 25 de marzo de 2022, </w:t>
      </w:r>
      <w:proofErr w:type="gramStart"/>
      <w:r w:rsidRPr="007A1442">
        <w:rPr>
          <w:sz w:val="28"/>
          <w:szCs w:val="28"/>
        </w:rPr>
        <w:t>y</w:t>
      </w:r>
      <w:proofErr w:type="gramEnd"/>
      <w:r w:rsidRPr="007A1442">
        <w:rPr>
          <w:sz w:val="28"/>
          <w:szCs w:val="28"/>
        </w:rPr>
        <w:t xml:space="preserve"> en consecuencia, se conceda el recurso de Apelación.</w:t>
      </w:r>
    </w:p>
    <w:p w14:paraId="5ACF1B18" w14:textId="77777777" w:rsidR="007A1442" w:rsidRDefault="007A1442" w:rsidP="00320D28">
      <w:pPr>
        <w:tabs>
          <w:tab w:val="left" w:pos="709"/>
        </w:tabs>
        <w:spacing w:line="360" w:lineRule="auto"/>
        <w:jc w:val="both"/>
        <w:rPr>
          <w:rFonts w:eastAsia="Batang"/>
          <w:sz w:val="28"/>
        </w:rPr>
      </w:pPr>
    </w:p>
    <w:p w14:paraId="2B148D57" w14:textId="77777777" w:rsidR="00320D28" w:rsidRPr="000D2F5E" w:rsidRDefault="00320D28" w:rsidP="00320D28">
      <w:pPr>
        <w:tabs>
          <w:tab w:val="left" w:pos="709"/>
        </w:tabs>
        <w:spacing w:line="360" w:lineRule="auto"/>
        <w:jc w:val="center"/>
        <w:rPr>
          <w:rFonts w:eastAsia="Batang"/>
          <w:b/>
          <w:sz w:val="28"/>
        </w:rPr>
      </w:pPr>
      <w:r w:rsidRPr="000D2F5E">
        <w:rPr>
          <w:rFonts w:eastAsia="Batang"/>
          <w:b/>
          <w:sz w:val="28"/>
        </w:rPr>
        <w:t>III. CONSIDERACIONES</w:t>
      </w:r>
    </w:p>
    <w:p w14:paraId="4E7F1B9F" w14:textId="77777777" w:rsidR="00320D28" w:rsidRPr="0062661C" w:rsidRDefault="00320D28" w:rsidP="0062661C">
      <w:pPr>
        <w:tabs>
          <w:tab w:val="left" w:pos="709"/>
        </w:tabs>
        <w:spacing w:line="360" w:lineRule="auto"/>
        <w:jc w:val="center"/>
        <w:rPr>
          <w:rFonts w:eastAsia="Batang"/>
          <w:b/>
          <w:sz w:val="28"/>
          <w:szCs w:val="28"/>
        </w:rPr>
      </w:pPr>
    </w:p>
    <w:p w14:paraId="5991C61B" w14:textId="78A83F9C" w:rsidR="001C483E" w:rsidRPr="001C483E" w:rsidRDefault="0062661C" w:rsidP="0062661C">
      <w:pPr>
        <w:spacing w:line="360" w:lineRule="auto"/>
        <w:rPr>
          <w:sz w:val="28"/>
          <w:szCs w:val="28"/>
          <w:lang w:val="es-CO" w:eastAsia="es-CO"/>
        </w:rPr>
      </w:pPr>
      <w:r w:rsidRPr="0062661C">
        <w:rPr>
          <w:sz w:val="28"/>
          <w:szCs w:val="28"/>
          <w:lang w:val="es-CO" w:eastAsia="es-CO"/>
        </w:rPr>
        <w:t>C</w:t>
      </w:r>
      <w:r w:rsidR="001C483E" w:rsidRPr="001C483E">
        <w:rPr>
          <w:sz w:val="28"/>
          <w:szCs w:val="28"/>
          <w:lang w:val="es-CO" w:eastAsia="es-CO"/>
        </w:rPr>
        <w:t>onforme el numeral 3° del artículo 125 de la Ley 1437 de 2011, modificado por el artículo 20 de la Ley 2080 de 2021, corresponde al Magistrado Ponente resolver el recurso de queja.</w:t>
      </w:r>
    </w:p>
    <w:p w14:paraId="21FCF58B" w14:textId="77777777" w:rsidR="001C483E" w:rsidRDefault="001C483E" w:rsidP="003C7587">
      <w:pPr>
        <w:tabs>
          <w:tab w:val="left" w:pos="709"/>
        </w:tabs>
        <w:spacing w:line="360" w:lineRule="auto"/>
        <w:jc w:val="both"/>
        <w:rPr>
          <w:rFonts w:eastAsia="Batang"/>
          <w:sz w:val="28"/>
        </w:rPr>
      </w:pPr>
    </w:p>
    <w:p w14:paraId="666ED3A0" w14:textId="7189C65B" w:rsidR="007A1442" w:rsidRDefault="0062661C" w:rsidP="6A6BBF05">
      <w:pPr>
        <w:tabs>
          <w:tab w:val="left" w:pos="709"/>
        </w:tabs>
        <w:spacing w:line="360" w:lineRule="auto"/>
        <w:jc w:val="both"/>
        <w:rPr>
          <w:rFonts w:eastAsia="Batang"/>
          <w:sz w:val="28"/>
          <w:szCs w:val="28"/>
        </w:rPr>
      </w:pPr>
      <w:r w:rsidRPr="6A6BBF05">
        <w:rPr>
          <w:rFonts w:eastAsia="Batang"/>
          <w:sz w:val="28"/>
          <w:szCs w:val="28"/>
        </w:rPr>
        <w:t>E</w:t>
      </w:r>
      <w:r w:rsidR="00636446" w:rsidRPr="6A6BBF05">
        <w:rPr>
          <w:rFonts w:eastAsia="Batang"/>
          <w:sz w:val="28"/>
          <w:szCs w:val="28"/>
        </w:rPr>
        <w:t xml:space="preserve">l despacho </w:t>
      </w:r>
      <w:r w:rsidR="6A6BD499" w:rsidRPr="6A6BBF05">
        <w:rPr>
          <w:rFonts w:eastAsia="Batang"/>
          <w:sz w:val="28"/>
          <w:szCs w:val="28"/>
        </w:rPr>
        <w:t xml:space="preserve">debe </w:t>
      </w:r>
      <w:r w:rsidR="00636446" w:rsidRPr="6A6BBF05">
        <w:rPr>
          <w:rFonts w:eastAsia="Batang"/>
          <w:sz w:val="28"/>
          <w:szCs w:val="28"/>
        </w:rPr>
        <w:t xml:space="preserve">determinar si </w:t>
      </w:r>
      <w:r w:rsidRPr="6A6BBF05">
        <w:rPr>
          <w:rFonts w:eastAsia="Batang"/>
          <w:sz w:val="28"/>
          <w:szCs w:val="28"/>
        </w:rPr>
        <w:t xml:space="preserve">es procedente revocar el auto del </w:t>
      </w:r>
      <w:r w:rsidRPr="6A6BBF05">
        <w:rPr>
          <w:rFonts w:eastAsia="Batang"/>
          <w:b/>
          <w:bCs/>
          <w:sz w:val="28"/>
          <w:szCs w:val="28"/>
        </w:rPr>
        <w:t xml:space="preserve">25 de marzo de 2022 </w:t>
      </w:r>
      <w:r w:rsidRPr="6A6BBF05">
        <w:rPr>
          <w:rFonts w:eastAsia="Batang"/>
          <w:sz w:val="28"/>
          <w:szCs w:val="28"/>
        </w:rPr>
        <w:t>mediante el cual</w:t>
      </w:r>
      <w:r w:rsidRPr="6A6BBF05">
        <w:rPr>
          <w:rFonts w:eastAsia="Batang"/>
          <w:b/>
          <w:bCs/>
          <w:sz w:val="28"/>
          <w:szCs w:val="28"/>
        </w:rPr>
        <w:t xml:space="preserve"> </w:t>
      </w:r>
      <w:r w:rsidRPr="6A6BBF05">
        <w:rPr>
          <w:rFonts w:eastAsia="Batang"/>
          <w:sz w:val="28"/>
          <w:szCs w:val="28"/>
        </w:rPr>
        <w:t>el</w:t>
      </w:r>
      <w:r w:rsidRPr="6A6BBF05">
        <w:rPr>
          <w:rFonts w:eastAsia="Batang"/>
          <w:b/>
          <w:bCs/>
          <w:sz w:val="28"/>
          <w:szCs w:val="28"/>
        </w:rPr>
        <w:t xml:space="preserve"> </w:t>
      </w:r>
      <w:r w:rsidR="00636446" w:rsidRPr="6A6BBF05">
        <w:rPr>
          <w:rFonts w:eastAsia="Batang"/>
          <w:sz w:val="28"/>
          <w:szCs w:val="28"/>
        </w:rPr>
        <w:t xml:space="preserve">a quo </w:t>
      </w:r>
      <w:r w:rsidRPr="6A6BBF05">
        <w:rPr>
          <w:rFonts w:eastAsia="Batang"/>
          <w:sz w:val="28"/>
          <w:szCs w:val="28"/>
        </w:rPr>
        <w:t xml:space="preserve">rechazó </w:t>
      </w:r>
      <w:r w:rsidR="00636446" w:rsidRPr="6A6BBF05">
        <w:rPr>
          <w:rFonts w:eastAsia="Batang"/>
          <w:sz w:val="28"/>
          <w:szCs w:val="28"/>
        </w:rPr>
        <w:t xml:space="preserve">el recurso de apelación por extemporáneo, o </w:t>
      </w:r>
      <w:r w:rsidR="007A1442" w:rsidRPr="6A6BBF05">
        <w:rPr>
          <w:rFonts w:eastAsia="Batang"/>
          <w:sz w:val="28"/>
          <w:szCs w:val="28"/>
        </w:rPr>
        <w:t>si,</w:t>
      </w:r>
      <w:r w:rsidR="00636446" w:rsidRPr="6A6BBF05">
        <w:rPr>
          <w:rFonts w:eastAsia="Batang"/>
          <w:sz w:val="28"/>
          <w:szCs w:val="28"/>
        </w:rPr>
        <w:t xml:space="preserve"> por el contrario, le asiste razón a la parte actora </w:t>
      </w:r>
      <w:r w:rsidR="007A1442" w:rsidRPr="6A6BBF05">
        <w:rPr>
          <w:rFonts w:eastAsia="Batang"/>
          <w:sz w:val="28"/>
          <w:szCs w:val="28"/>
        </w:rPr>
        <w:t xml:space="preserve">al considerar que se incurre en un exceso de ritual manifiesto al rechazar el recurso por tardar un minuto en radicarlo el día </w:t>
      </w:r>
      <w:r w:rsidR="007A1442" w:rsidRPr="6A6BBF05">
        <w:rPr>
          <w:rFonts w:eastAsia="Batang"/>
          <w:b/>
          <w:bCs/>
          <w:sz w:val="28"/>
          <w:szCs w:val="28"/>
        </w:rPr>
        <w:t>28 de febrero de 2022.</w:t>
      </w:r>
    </w:p>
    <w:p w14:paraId="05A97F97" w14:textId="77777777" w:rsidR="00BA518A" w:rsidRDefault="00BA518A" w:rsidP="003C7587">
      <w:pPr>
        <w:tabs>
          <w:tab w:val="left" w:pos="709"/>
        </w:tabs>
        <w:spacing w:line="360" w:lineRule="auto"/>
        <w:jc w:val="both"/>
        <w:rPr>
          <w:rFonts w:eastAsia="Batang"/>
          <w:sz w:val="28"/>
        </w:rPr>
      </w:pPr>
    </w:p>
    <w:p w14:paraId="1FFC39B6" w14:textId="77777777" w:rsidR="00072E7F" w:rsidRDefault="00552BDA" w:rsidP="00072E7F">
      <w:pPr>
        <w:tabs>
          <w:tab w:val="left" w:pos="709"/>
        </w:tabs>
        <w:spacing w:line="360" w:lineRule="auto"/>
        <w:jc w:val="both"/>
        <w:rPr>
          <w:sz w:val="28"/>
          <w:szCs w:val="28"/>
        </w:rPr>
      </w:pPr>
      <w:r w:rsidRPr="6A6BBF05">
        <w:rPr>
          <w:sz w:val="28"/>
          <w:szCs w:val="28"/>
        </w:rPr>
        <w:t xml:space="preserve">El artículo 245 de la Ley 1437 de 2011, </w:t>
      </w:r>
      <w:r w:rsidR="007A1442" w:rsidRPr="6A6BBF05">
        <w:rPr>
          <w:sz w:val="28"/>
          <w:szCs w:val="28"/>
        </w:rPr>
        <w:t>modificado por el artículo 65 de la Ley 2080 de 2021</w:t>
      </w:r>
      <w:r w:rsidRPr="6A6BBF05">
        <w:rPr>
          <w:sz w:val="28"/>
          <w:szCs w:val="28"/>
        </w:rPr>
        <w:t>, dispone:</w:t>
      </w:r>
    </w:p>
    <w:p w14:paraId="5916E7EB" w14:textId="788735C8" w:rsidR="6A6BBF05" w:rsidRDefault="6A6BBF05" w:rsidP="6A6BBF05">
      <w:pPr>
        <w:tabs>
          <w:tab w:val="left" w:pos="709"/>
        </w:tabs>
        <w:spacing w:line="360" w:lineRule="auto"/>
        <w:jc w:val="both"/>
        <w:rPr>
          <w:sz w:val="28"/>
          <w:szCs w:val="28"/>
        </w:rPr>
      </w:pPr>
    </w:p>
    <w:p w14:paraId="27EC5E44" w14:textId="2A3EC0E1" w:rsidR="007A1442" w:rsidRPr="00072E7F" w:rsidRDefault="00552BDA" w:rsidP="00072E7F">
      <w:pPr>
        <w:tabs>
          <w:tab w:val="left" w:pos="709"/>
        </w:tabs>
        <w:ind w:left="709"/>
        <w:jc w:val="both"/>
        <w:rPr>
          <w:sz w:val="28"/>
          <w:szCs w:val="28"/>
        </w:rPr>
      </w:pPr>
      <w:r w:rsidRPr="00072E7F">
        <w:rPr>
          <w:b/>
          <w:sz w:val="28"/>
          <w:szCs w:val="28"/>
        </w:rPr>
        <w:t>“</w:t>
      </w:r>
      <w:bookmarkStart w:id="9" w:name="245"/>
      <w:r w:rsidR="007A1442" w:rsidRPr="00072E7F">
        <w:rPr>
          <w:b/>
          <w:bCs/>
          <w:sz w:val="28"/>
          <w:szCs w:val="28"/>
        </w:rPr>
        <w:t>ARTÍCULO 245. QUEJA.</w:t>
      </w:r>
      <w:bookmarkEnd w:id="9"/>
      <w:r w:rsidR="007A1442" w:rsidRPr="00072E7F">
        <w:rPr>
          <w:sz w:val="28"/>
          <w:szCs w:val="28"/>
        </w:rPr>
        <w:t> Este recurso se interpondrá ante el superior cuando no se conceda, se rechace o se declare desierta la apelación, para que esta se conceda, de ser procedente.</w:t>
      </w:r>
    </w:p>
    <w:p w14:paraId="6DEF4FA2" w14:textId="77777777" w:rsidR="00072E7F" w:rsidRDefault="00072E7F" w:rsidP="00B16D79">
      <w:pPr>
        <w:pStyle w:val="NormalWeb"/>
        <w:spacing w:before="0" w:beforeAutospacing="0" w:after="0" w:afterAutospacing="0"/>
        <w:ind w:left="708"/>
        <w:jc w:val="both"/>
        <w:rPr>
          <w:sz w:val="28"/>
          <w:szCs w:val="28"/>
        </w:rPr>
      </w:pPr>
    </w:p>
    <w:p w14:paraId="31E92C1F" w14:textId="59069E2F" w:rsidR="007A1442" w:rsidRPr="00B16D79" w:rsidRDefault="007A1442" w:rsidP="00B16D79">
      <w:pPr>
        <w:pStyle w:val="NormalWeb"/>
        <w:spacing w:before="0" w:beforeAutospacing="0" w:after="0" w:afterAutospacing="0"/>
        <w:ind w:left="708"/>
        <w:jc w:val="both"/>
        <w:rPr>
          <w:sz w:val="28"/>
          <w:szCs w:val="28"/>
        </w:rPr>
      </w:pPr>
      <w:r w:rsidRPr="6A6BBF05">
        <w:rPr>
          <w:sz w:val="28"/>
          <w:szCs w:val="28"/>
        </w:rPr>
        <w:t>Asimismo, cuando el recurso de apelación se conceda en un efecto diferente al señalado en la ley y cuando no se concedan los recursos extraordinarios de revisión y unificación de jurisprudencia previstos en este código.</w:t>
      </w:r>
    </w:p>
    <w:p w14:paraId="3F39B8FF" w14:textId="1F33BF9C" w:rsidR="6A6BBF05" w:rsidRDefault="6A6BBF05" w:rsidP="6A6BBF05">
      <w:pPr>
        <w:pStyle w:val="NormalWeb"/>
        <w:spacing w:before="0" w:beforeAutospacing="0" w:after="0" w:afterAutospacing="0"/>
        <w:ind w:left="708"/>
        <w:jc w:val="both"/>
        <w:rPr>
          <w:sz w:val="28"/>
          <w:szCs w:val="28"/>
        </w:rPr>
      </w:pPr>
    </w:p>
    <w:p w14:paraId="6990F65A" w14:textId="64555A0A" w:rsidR="00552BDA" w:rsidRPr="00B16D79" w:rsidRDefault="007A1442" w:rsidP="00B16D79">
      <w:pPr>
        <w:pStyle w:val="NormalWeb"/>
        <w:spacing w:before="0" w:beforeAutospacing="0" w:after="0" w:afterAutospacing="0"/>
        <w:ind w:left="708"/>
        <w:jc w:val="both"/>
        <w:rPr>
          <w:sz w:val="28"/>
          <w:szCs w:val="28"/>
        </w:rPr>
      </w:pPr>
      <w:r w:rsidRPr="00B16D79">
        <w:rPr>
          <w:sz w:val="28"/>
          <w:szCs w:val="28"/>
        </w:rPr>
        <w:t>Para su trámite e interposición se aplicará lo establecido en el artículo </w:t>
      </w:r>
      <w:hyperlink r:id="rId12" w:anchor="353" w:history="1">
        <w:r w:rsidRPr="00B16D79">
          <w:rPr>
            <w:rStyle w:val="Hipervnculo"/>
            <w:color w:val="auto"/>
            <w:sz w:val="28"/>
            <w:szCs w:val="28"/>
          </w:rPr>
          <w:t>353</w:t>
        </w:r>
      </w:hyperlink>
      <w:r w:rsidRPr="00B16D79">
        <w:rPr>
          <w:sz w:val="28"/>
          <w:szCs w:val="28"/>
        </w:rPr>
        <w:t> del Código General del Proceso</w:t>
      </w:r>
      <w:r w:rsidR="00552BDA" w:rsidRPr="00B16D79">
        <w:rPr>
          <w:sz w:val="28"/>
          <w:szCs w:val="28"/>
        </w:rPr>
        <w:t>”.</w:t>
      </w:r>
    </w:p>
    <w:p w14:paraId="24771DB4" w14:textId="77777777" w:rsidR="003C7587" w:rsidRPr="00B16D79" w:rsidRDefault="003C7587" w:rsidP="00B16D79">
      <w:pPr>
        <w:tabs>
          <w:tab w:val="left" w:pos="709"/>
        </w:tabs>
        <w:jc w:val="both"/>
        <w:rPr>
          <w:sz w:val="28"/>
          <w:szCs w:val="28"/>
        </w:rPr>
      </w:pPr>
    </w:p>
    <w:p w14:paraId="44780902" w14:textId="77777777" w:rsidR="0028167A" w:rsidRPr="0028167A" w:rsidRDefault="0028167A" w:rsidP="00B16D79">
      <w:pPr>
        <w:rPr>
          <w:sz w:val="28"/>
          <w:szCs w:val="28"/>
          <w:lang w:val="es-CO" w:eastAsia="es-CO"/>
        </w:rPr>
      </w:pPr>
      <w:r w:rsidRPr="0028167A">
        <w:rPr>
          <w:sz w:val="28"/>
          <w:szCs w:val="28"/>
          <w:lang w:val="es-CO" w:eastAsia="es-CO"/>
        </w:rPr>
        <w:t>Por su parte, el artículo 353 del Código General del Proceso, dispuso:</w:t>
      </w:r>
    </w:p>
    <w:p w14:paraId="30E3813E" w14:textId="77777777" w:rsidR="00B16D79" w:rsidRDefault="00B16D79" w:rsidP="00B16D79">
      <w:pPr>
        <w:ind w:left="708"/>
        <w:jc w:val="both"/>
        <w:rPr>
          <w:sz w:val="28"/>
          <w:szCs w:val="28"/>
          <w:lang w:val="es-CO" w:eastAsia="es-CO"/>
        </w:rPr>
      </w:pPr>
    </w:p>
    <w:p w14:paraId="4BFE5C0E" w14:textId="6E00D475" w:rsidR="0028167A" w:rsidRPr="0028167A" w:rsidRDefault="0028167A" w:rsidP="00B16D79">
      <w:pPr>
        <w:ind w:left="708"/>
        <w:jc w:val="both"/>
        <w:rPr>
          <w:sz w:val="28"/>
          <w:szCs w:val="28"/>
          <w:lang w:val="es-CO" w:eastAsia="es-CO"/>
        </w:rPr>
      </w:pPr>
      <w:r w:rsidRPr="6A6BBF05">
        <w:rPr>
          <w:sz w:val="28"/>
          <w:szCs w:val="28"/>
          <w:lang w:val="es-CO" w:eastAsia="es-CO"/>
        </w:rPr>
        <w:t>“</w:t>
      </w:r>
      <w:r w:rsidRPr="6A6BBF05">
        <w:rPr>
          <w:b/>
          <w:bCs/>
          <w:sz w:val="28"/>
          <w:szCs w:val="28"/>
          <w:lang w:val="es-CO" w:eastAsia="es-CO"/>
        </w:rPr>
        <w:t>ARTÍCULO 353. INTERPOSICIÓN Y TRÁMITE</w:t>
      </w:r>
      <w:r w:rsidRPr="6A6BBF05">
        <w:rPr>
          <w:sz w:val="28"/>
          <w:szCs w:val="28"/>
          <w:lang w:val="es-CO" w:eastAsia="es-CO"/>
        </w:rPr>
        <w:t>. El recurso de queja deberá interponerse en subsidio del de reposición contra el auto que denegó la apelación o la casación, salvo cuando este sea consecuencia de la reposición interpuesta por la parte contraria, caso en el cual deberá interponerse directamente dentro de la ejecutoria.</w:t>
      </w:r>
    </w:p>
    <w:p w14:paraId="25C47191" w14:textId="6AD1AC6C" w:rsidR="6A6BBF05" w:rsidRDefault="6A6BBF05" w:rsidP="6A6BBF05">
      <w:pPr>
        <w:ind w:left="708"/>
        <w:jc w:val="both"/>
        <w:rPr>
          <w:sz w:val="28"/>
          <w:szCs w:val="28"/>
          <w:lang w:val="es-CO" w:eastAsia="es-CO"/>
        </w:rPr>
      </w:pPr>
    </w:p>
    <w:p w14:paraId="781E661D" w14:textId="77777777" w:rsidR="0028167A" w:rsidRPr="0028167A" w:rsidRDefault="0028167A" w:rsidP="00B16D79">
      <w:pPr>
        <w:ind w:left="708"/>
        <w:jc w:val="both"/>
        <w:rPr>
          <w:sz w:val="28"/>
          <w:szCs w:val="28"/>
          <w:lang w:val="es-CO" w:eastAsia="es-CO"/>
        </w:rPr>
      </w:pPr>
      <w:r w:rsidRPr="6A6BBF05">
        <w:rPr>
          <w:sz w:val="28"/>
          <w:szCs w:val="28"/>
          <w:lang w:val="es-CO" w:eastAsia="es-CO"/>
        </w:rPr>
        <w:t>Denegada la reposición, o interpuesta la queja, según el caso, el juez ordenará la reproducción de las piezas procesales necesarias, para lo cual se procederá en la forma prevista para el trámite de la apelación. Expedidas las copias se remitirán al superior, quien podrá ordenar al inferior que remita copias de otras piezas del expediente.</w:t>
      </w:r>
    </w:p>
    <w:p w14:paraId="2ED42A0C" w14:textId="330348B1" w:rsidR="6A6BBF05" w:rsidRDefault="6A6BBF05" w:rsidP="6A6BBF05">
      <w:pPr>
        <w:ind w:left="708"/>
        <w:jc w:val="both"/>
        <w:rPr>
          <w:sz w:val="28"/>
          <w:szCs w:val="28"/>
          <w:lang w:val="es-CO" w:eastAsia="es-CO"/>
        </w:rPr>
      </w:pPr>
    </w:p>
    <w:p w14:paraId="41406F5B" w14:textId="77777777" w:rsidR="0028167A" w:rsidRPr="0028167A" w:rsidRDefault="0028167A" w:rsidP="00B16D79">
      <w:pPr>
        <w:ind w:left="708"/>
        <w:jc w:val="both"/>
        <w:rPr>
          <w:sz w:val="28"/>
          <w:szCs w:val="28"/>
          <w:lang w:val="es-CO" w:eastAsia="es-CO"/>
        </w:rPr>
      </w:pPr>
      <w:r w:rsidRPr="6A6BBF05">
        <w:rPr>
          <w:sz w:val="28"/>
          <w:szCs w:val="28"/>
          <w:lang w:val="es-CO" w:eastAsia="es-CO"/>
        </w:rPr>
        <w:t>El escrito se mantendrá en la secretaría por tres (3) días a disposición de la otra parte para que manifieste lo que estime oportuno, y surtido el traslado se decidirá el recurso.</w:t>
      </w:r>
    </w:p>
    <w:p w14:paraId="5744E368" w14:textId="5FA81148" w:rsidR="6A6BBF05" w:rsidRDefault="6A6BBF05" w:rsidP="6A6BBF05">
      <w:pPr>
        <w:ind w:left="708"/>
        <w:jc w:val="both"/>
        <w:rPr>
          <w:sz w:val="28"/>
          <w:szCs w:val="28"/>
          <w:lang w:val="es-CO" w:eastAsia="es-CO"/>
        </w:rPr>
      </w:pPr>
    </w:p>
    <w:p w14:paraId="5FFCC39C" w14:textId="6956A9CC" w:rsidR="0028167A" w:rsidRPr="00B16D79" w:rsidRDefault="0028167A" w:rsidP="00B16D79">
      <w:pPr>
        <w:ind w:left="708"/>
        <w:jc w:val="both"/>
        <w:rPr>
          <w:sz w:val="28"/>
          <w:szCs w:val="28"/>
          <w:lang w:val="es-CO" w:eastAsia="es-CO"/>
        </w:rPr>
      </w:pPr>
      <w:r w:rsidRPr="6A6BBF05">
        <w:rPr>
          <w:sz w:val="28"/>
          <w:szCs w:val="28"/>
          <w:lang w:val="es-CO" w:eastAsia="es-CO"/>
        </w:rPr>
        <w:t xml:space="preserve">Si </w:t>
      </w:r>
      <w:r w:rsidR="2A246181" w:rsidRPr="6A6BBF05">
        <w:rPr>
          <w:sz w:val="28"/>
          <w:szCs w:val="28"/>
          <w:lang w:val="es-CO" w:eastAsia="es-CO"/>
        </w:rPr>
        <w:t>la superior estima indebida</w:t>
      </w:r>
      <w:r w:rsidR="00B16D79" w:rsidRPr="6A6BBF05">
        <w:rPr>
          <w:sz w:val="28"/>
          <w:szCs w:val="28"/>
          <w:lang w:val="es-CO" w:eastAsia="es-CO"/>
        </w:rPr>
        <w:t xml:space="preserve"> </w:t>
      </w:r>
      <w:r w:rsidRPr="6A6BBF05">
        <w:rPr>
          <w:sz w:val="28"/>
          <w:szCs w:val="28"/>
          <w:lang w:val="es-CO" w:eastAsia="es-CO"/>
        </w:rPr>
        <w:t>la denegación de la apelación o de la casación, la admitirá y comunicará su decisión al inferior, con indicación del efecto en que corresponda en el primer caso.”</w:t>
      </w:r>
    </w:p>
    <w:p w14:paraId="7BF863EA" w14:textId="77777777" w:rsidR="00201D17" w:rsidRDefault="00201D17" w:rsidP="00201D17">
      <w:pPr>
        <w:spacing w:line="360" w:lineRule="auto"/>
        <w:jc w:val="both"/>
        <w:rPr>
          <w:color w:val="000000"/>
          <w:sz w:val="27"/>
          <w:szCs w:val="27"/>
          <w:lang w:val="es-CO" w:eastAsia="es-CO"/>
        </w:rPr>
      </w:pPr>
    </w:p>
    <w:p w14:paraId="7EE9116F" w14:textId="5A165C47" w:rsidR="0028167A" w:rsidRPr="00A64062" w:rsidRDefault="00B16D79" w:rsidP="00A64062">
      <w:pPr>
        <w:spacing w:line="360" w:lineRule="auto"/>
        <w:jc w:val="both"/>
        <w:rPr>
          <w:sz w:val="28"/>
          <w:szCs w:val="28"/>
          <w:lang w:val="es-CO" w:eastAsia="es-CO"/>
        </w:rPr>
      </w:pPr>
      <w:r w:rsidRPr="00A64062">
        <w:rPr>
          <w:sz w:val="28"/>
          <w:szCs w:val="28"/>
          <w:lang w:val="es-CO" w:eastAsia="es-CO"/>
        </w:rPr>
        <w:t xml:space="preserve">De conformidad con lo anterior, </w:t>
      </w:r>
      <w:r w:rsidR="0028167A" w:rsidRPr="00A64062">
        <w:rPr>
          <w:sz w:val="28"/>
          <w:szCs w:val="28"/>
          <w:lang w:val="es-CO" w:eastAsia="es-CO"/>
        </w:rPr>
        <w:t xml:space="preserve">para que se torne procedente el recurso de queja, </w:t>
      </w:r>
      <w:r w:rsidRPr="00A64062">
        <w:rPr>
          <w:sz w:val="28"/>
          <w:szCs w:val="28"/>
          <w:lang w:val="es-CO" w:eastAsia="es-CO"/>
        </w:rPr>
        <w:t xml:space="preserve">debe </w:t>
      </w:r>
      <w:r w:rsidR="0028167A" w:rsidRPr="00A64062">
        <w:rPr>
          <w:sz w:val="28"/>
          <w:szCs w:val="28"/>
          <w:lang w:val="es-CO" w:eastAsia="es-CO"/>
        </w:rPr>
        <w:t xml:space="preserve">interponerse en subsidio del de reposición contra el auto que denegó la apelación, circunstancia que cumplió la </w:t>
      </w:r>
      <w:r w:rsidRPr="00A64062">
        <w:rPr>
          <w:sz w:val="28"/>
          <w:szCs w:val="28"/>
          <w:lang w:val="es-CO" w:eastAsia="es-CO"/>
        </w:rPr>
        <w:t>parte actora</w:t>
      </w:r>
      <w:r w:rsidR="0028167A" w:rsidRPr="00A64062">
        <w:rPr>
          <w:sz w:val="28"/>
          <w:szCs w:val="28"/>
          <w:lang w:val="es-CO" w:eastAsia="es-CO"/>
        </w:rPr>
        <w:t>, toda vez que contra la providencia que rechazó la apelación presentó reposición y de forma subsidiaria la queja.</w:t>
      </w:r>
    </w:p>
    <w:p w14:paraId="19E8FA8B" w14:textId="41814304" w:rsidR="00914C47" w:rsidRPr="00A64062" w:rsidRDefault="00914C47" w:rsidP="00A64062">
      <w:pPr>
        <w:tabs>
          <w:tab w:val="left" w:pos="709"/>
        </w:tabs>
        <w:spacing w:line="360" w:lineRule="auto"/>
        <w:jc w:val="both"/>
        <w:rPr>
          <w:sz w:val="28"/>
          <w:szCs w:val="28"/>
        </w:rPr>
      </w:pPr>
    </w:p>
    <w:p w14:paraId="2A267955" w14:textId="22AC21E0" w:rsidR="003A6652" w:rsidRPr="00A64062" w:rsidRDefault="00201D17" w:rsidP="00A64062">
      <w:pPr>
        <w:tabs>
          <w:tab w:val="left" w:pos="709"/>
        </w:tabs>
        <w:spacing w:line="360" w:lineRule="auto"/>
        <w:jc w:val="both"/>
        <w:rPr>
          <w:sz w:val="28"/>
          <w:szCs w:val="28"/>
        </w:rPr>
      </w:pPr>
      <w:r w:rsidRPr="00A64062">
        <w:rPr>
          <w:sz w:val="28"/>
          <w:szCs w:val="28"/>
        </w:rPr>
        <w:t>En el sub examine, el apoderado de la parte actora formul</w:t>
      </w:r>
      <w:r w:rsidR="00C834F2" w:rsidRPr="00A64062">
        <w:rPr>
          <w:sz w:val="28"/>
          <w:szCs w:val="28"/>
        </w:rPr>
        <w:t>ó</w:t>
      </w:r>
      <w:r w:rsidRPr="00A64062">
        <w:rPr>
          <w:sz w:val="28"/>
          <w:szCs w:val="28"/>
        </w:rPr>
        <w:t xml:space="preserve"> recurso de queja contra la decisión </w:t>
      </w:r>
      <w:r w:rsidR="00072E7F" w:rsidRPr="00A64062">
        <w:rPr>
          <w:sz w:val="28"/>
          <w:szCs w:val="28"/>
        </w:rPr>
        <w:t xml:space="preserve">del Juzgado décimo Administrativo de Tunja, mediante la cual </w:t>
      </w:r>
      <w:r w:rsidRPr="00A64062">
        <w:rPr>
          <w:sz w:val="28"/>
          <w:szCs w:val="28"/>
        </w:rPr>
        <w:t>rechaz</w:t>
      </w:r>
      <w:r w:rsidR="00072E7F" w:rsidRPr="00A64062">
        <w:rPr>
          <w:sz w:val="28"/>
          <w:szCs w:val="28"/>
        </w:rPr>
        <w:t xml:space="preserve">ó </w:t>
      </w:r>
      <w:r w:rsidRPr="00A64062">
        <w:rPr>
          <w:sz w:val="28"/>
          <w:szCs w:val="28"/>
        </w:rPr>
        <w:t xml:space="preserve">el recurso de apelación </w:t>
      </w:r>
      <w:r w:rsidR="00072E7F" w:rsidRPr="00A64062">
        <w:rPr>
          <w:sz w:val="28"/>
          <w:szCs w:val="28"/>
        </w:rPr>
        <w:t xml:space="preserve">formulado contra la sentencia de primera instancia, </w:t>
      </w:r>
      <w:r w:rsidRPr="00A64062">
        <w:rPr>
          <w:sz w:val="28"/>
          <w:szCs w:val="28"/>
        </w:rPr>
        <w:t>por extemporáneo</w:t>
      </w:r>
      <w:r w:rsidR="003A6652" w:rsidRPr="00A64062">
        <w:rPr>
          <w:sz w:val="28"/>
          <w:szCs w:val="28"/>
        </w:rPr>
        <w:t>.</w:t>
      </w:r>
    </w:p>
    <w:p w14:paraId="01459CF1" w14:textId="77777777" w:rsidR="003A6652" w:rsidRPr="00A64062" w:rsidRDefault="003A6652" w:rsidP="00A64062">
      <w:pPr>
        <w:tabs>
          <w:tab w:val="left" w:pos="709"/>
        </w:tabs>
        <w:spacing w:line="360" w:lineRule="auto"/>
        <w:jc w:val="both"/>
        <w:rPr>
          <w:sz w:val="28"/>
          <w:szCs w:val="28"/>
        </w:rPr>
      </w:pPr>
    </w:p>
    <w:p w14:paraId="551E0D10" w14:textId="141B451C" w:rsidR="00201D17" w:rsidRPr="00A64062" w:rsidRDefault="003A6652" w:rsidP="00A64062">
      <w:pPr>
        <w:tabs>
          <w:tab w:val="left" w:pos="709"/>
        </w:tabs>
        <w:spacing w:line="360" w:lineRule="auto"/>
        <w:jc w:val="both"/>
        <w:rPr>
          <w:sz w:val="28"/>
          <w:szCs w:val="28"/>
        </w:rPr>
      </w:pPr>
      <w:r w:rsidRPr="6F3DB9EA">
        <w:rPr>
          <w:sz w:val="28"/>
          <w:szCs w:val="28"/>
        </w:rPr>
        <w:t xml:space="preserve">La tesis del apelante </w:t>
      </w:r>
      <w:r w:rsidR="54E4D86C" w:rsidRPr="6F3DB9EA">
        <w:rPr>
          <w:sz w:val="28"/>
          <w:szCs w:val="28"/>
        </w:rPr>
        <w:t xml:space="preserve">consiste </w:t>
      </w:r>
      <w:r w:rsidRPr="6F3DB9EA">
        <w:rPr>
          <w:sz w:val="28"/>
          <w:szCs w:val="28"/>
        </w:rPr>
        <w:t>en que si bien radicó el recurso a las 5:01 p.m</w:t>
      </w:r>
      <w:r w:rsidR="00D92457" w:rsidRPr="6F3DB9EA">
        <w:rPr>
          <w:sz w:val="28"/>
          <w:szCs w:val="28"/>
        </w:rPr>
        <w:t>.,</w:t>
      </w:r>
      <w:r w:rsidR="008D1FF1" w:rsidRPr="6F3DB9EA">
        <w:rPr>
          <w:sz w:val="28"/>
          <w:szCs w:val="28"/>
        </w:rPr>
        <w:t xml:space="preserve"> del día 28 de </w:t>
      </w:r>
      <w:r w:rsidR="001167C2" w:rsidRPr="6F3DB9EA">
        <w:rPr>
          <w:sz w:val="28"/>
          <w:szCs w:val="28"/>
        </w:rPr>
        <w:t>febrero</w:t>
      </w:r>
      <w:r w:rsidR="008D1FF1" w:rsidRPr="6F3DB9EA">
        <w:rPr>
          <w:sz w:val="28"/>
          <w:szCs w:val="28"/>
        </w:rPr>
        <w:t xml:space="preserve"> de 2022, </w:t>
      </w:r>
      <w:r w:rsidRPr="6F3DB9EA">
        <w:rPr>
          <w:sz w:val="28"/>
          <w:szCs w:val="28"/>
        </w:rPr>
        <w:t xml:space="preserve">se incurre en </w:t>
      </w:r>
      <w:r w:rsidR="008D1FF1" w:rsidRPr="6F3DB9EA">
        <w:rPr>
          <w:sz w:val="28"/>
          <w:szCs w:val="28"/>
        </w:rPr>
        <w:t>defecto</w:t>
      </w:r>
      <w:r w:rsidRPr="6F3DB9EA">
        <w:rPr>
          <w:sz w:val="28"/>
          <w:szCs w:val="28"/>
        </w:rPr>
        <w:t xml:space="preserve"> procedimental por exceso de ritual manifiesto, al no tener en cuenta que</w:t>
      </w:r>
      <w:r w:rsidR="7F54997C" w:rsidRPr="6F3DB9EA">
        <w:rPr>
          <w:sz w:val="28"/>
          <w:szCs w:val="28"/>
        </w:rPr>
        <w:t xml:space="preserve"> el r</w:t>
      </w:r>
      <w:r w:rsidR="737A6780" w:rsidRPr="6F3DB9EA">
        <w:rPr>
          <w:sz w:val="28"/>
          <w:szCs w:val="28"/>
        </w:rPr>
        <w:t>ec</w:t>
      </w:r>
      <w:r w:rsidR="09635ADA" w:rsidRPr="6F3DB9EA">
        <w:rPr>
          <w:sz w:val="28"/>
          <w:szCs w:val="28"/>
        </w:rPr>
        <w:t>hazo</w:t>
      </w:r>
      <w:r w:rsidRPr="6F3DB9EA">
        <w:rPr>
          <w:sz w:val="28"/>
          <w:szCs w:val="28"/>
        </w:rPr>
        <w:t xml:space="preserve"> fue solo un minut</w:t>
      </w:r>
      <w:r w:rsidR="005C2C81" w:rsidRPr="6F3DB9EA">
        <w:rPr>
          <w:sz w:val="28"/>
          <w:szCs w:val="28"/>
        </w:rPr>
        <w:t xml:space="preserve">o </w:t>
      </w:r>
      <w:r w:rsidR="2F7D170B" w:rsidRPr="6F3DB9EA">
        <w:rPr>
          <w:sz w:val="28"/>
          <w:szCs w:val="28"/>
        </w:rPr>
        <w:t>de</w:t>
      </w:r>
      <w:r w:rsidR="005C2C81" w:rsidRPr="6F3DB9EA">
        <w:rPr>
          <w:sz w:val="28"/>
          <w:szCs w:val="28"/>
        </w:rPr>
        <w:t xml:space="preserve"> tardanza en radicar el mismo. </w:t>
      </w:r>
      <w:r w:rsidRPr="6F3DB9EA">
        <w:rPr>
          <w:sz w:val="28"/>
          <w:szCs w:val="28"/>
        </w:rPr>
        <w:t xml:space="preserve"> </w:t>
      </w:r>
      <w:r w:rsidR="00201D17" w:rsidRPr="6F3DB9EA">
        <w:rPr>
          <w:sz w:val="28"/>
          <w:szCs w:val="28"/>
        </w:rPr>
        <w:t xml:space="preserve"> </w:t>
      </w:r>
    </w:p>
    <w:p w14:paraId="4458B658" w14:textId="1A58336D" w:rsidR="00201D17" w:rsidRPr="00A64062" w:rsidRDefault="00201D17" w:rsidP="00A64062">
      <w:pPr>
        <w:tabs>
          <w:tab w:val="left" w:pos="709"/>
        </w:tabs>
        <w:spacing w:line="360" w:lineRule="auto"/>
        <w:jc w:val="both"/>
        <w:rPr>
          <w:sz w:val="28"/>
          <w:szCs w:val="28"/>
        </w:rPr>
      </w:pPr>
    </w:p>
    <w:p w14:paraId="4D976B9A" w14:textId="673CFD5F" w:rsidR="00EB3EC5" w:rsidRPr="00A64062" w:rsidRDefault="00072E7F" w:rsidP="00A64062">
      <w:pPr>
        <w:tabs>
          <w:tab w:val="left" w:pos="709"/>
        </w:tabs>
        <w:spacing w:line="360" w:lineRule="auto"/>
        <w:jc w:val="both"/>
        <w:rPr>
          <w:sz w:val="28"/>
          <w:szCs w:val="28"/>
        </w:rPr>
      </w:pPr>
      <w:bookmarkStart w:id="10" w:name="_Hlk125009046"/>
      <w:r w:rsidRPr="6F3DB9EA">
        <w:rPr>
          <w:sz w:val="28"/>
          <w:szCs w:val="28"/>
        </w:rPr>
        <w:t>A</w:t>
      </w:r>
      <w:r w:rsidR="23D16BFB" w:rsidRPr="6F3DB9EA">
        <w:rPr>
          <w:sz w:val="28"/>
          <w:szCs w:val="28"/>
        </w:rPr>
        <w:t xml:space="preserve"> </w:t>
      </w:r>
      <w:r w:rsidRPr="6F3DB9EA">
        <w:rPr>
          <w:sz w:val="28"/>
          <w:szCs w:val="28"/>
        </w:rPr>
        <w:t>efecto</w:t>
      </w:r>
      <w:r w:rsidR="3B0D4479" w:rsidRPr="6F3DB9EA">
        <w:rPr>
          <w:sz w:val="28"/>
          <w:szCs w:val="28"/>
        </w:rPr>
        <w:t>s de resolver</w:t>
      </w:r>
      <w:r w:rsidRPr="6F3DB9EA">
        <w:rPr>
          <w:sz w:val="28"/>
          <w:szCs w:val="28"/>
        </w:rPr>
        <w:t>, s</w:t>
      </w:r>
      <w:r w:rsidR="0008010F" w:rsidRPr="6F3DB9EA">
        <w:rPr>
          <w:sz w:val="28"/>
          <w:szCs w:val="28"/>
        </w:rPr>
        <w:t>e encuentra que</w:t>
      </w:r>
      <w:r w:rsidR="007A625D" w:rsidRPr="6F3DB9EA">
        <w:rPr>
          <w:sz w:val="28"/>
          <w:szCs w:val="28"/>
        </w:rPr>
        <w:t xml:space="preserve"> </w:t>
      </w:r>
      <w:r w:rsidR="00011115" w:rsidRPr="6F3DB9EA">
        <w:rPr>
          <w:sz w:val="28"/>
          <w:szCs w:val="28"/>
        </w:rPr>
        <w:t xml:space="preserve">el </w:t>
      </w:r>
      <w:r w:rsidRPr="6F3DB9EA">
        <w:rPr>
          <w:sz w:val="28"/>
          <w:szCs w:val="28"/>
        </w:rPr>
        <w:t>j</w:t>
      </w:r>
      <w:r w:rsidR="00011115" w:rsidRPr="6F3DB9EA">
        <w:rPr>
          <w:sz w:val="28"/>
          <w:szCs w:val="28"/>
        </w:rPr>
        <w:t xml:space="preserve">uzgado </w:t>
      </w:r>
      <w:r w:rsidRPr="6F3DB9EA">
        <w:rPr>
          <w:sz w:val="28"/>
          <w:szCs w:val="28"/>
        </w:rPr>
        <w:t xml:space="preserve">de primera instancia </w:t>
      </w:r>
      <w:r w:rsidR="00011115" w:rsidRPr="6F3DB9EA">
        <w:rPr>
          <w:sz w:val="28"/>
          <w:szCs w:val="28"/>
        </w:rPr>
        <w:t xml:space="preserve">profirió sentencia el </w:t>
      </w:r>
      <w:r w:rsidR="00011115" w:rsidRPr="6F3DB9EA">
        <w:rPr>
          <w:b/>
          <w:bCs/>
          <w:sz w:val="28"/>
          <w:szCs w:val="28"/>
        </w:rPr>
        <w:t xml:space="preserve">11 de febrero de 2022, </w:t>
      </w:r>
      <w:r w:rsidRPr="6F3DB9EA">
        <w:rPr>
          <w:sz w:val="28"/>
          <w:szCs w:val="28"/>
        </w:rPr>
        <w:t xml:space="preserve">que la misma fue notificada </w:t>
      </w:r>
      <w:r w:rsidR="0070252A" w:rsidRPr="6F3DB9EA">
        <w:rPr>
          <w:sz w:val="28"/>
          <w:szCs w:val="28"/>
        </w:rPr>
        <w:t xml:space="preserve">electrónicamente el </w:t>
      </w:r>
      <w:r w:rsidR="0070252A" w:rsidRPr="6F3DB9EA">
        <w:rPr>
          <w:b/>
          <w:bCs/>
          <w:sz w:val="28"/>
          <w:szCs w:val="28"/>
        </w:rPr>
        <w:t xml:space="preserve">14 de febrero del mismo año, </w:t>
      </w:r>
      <w:r w:rsidR="0070252A" w:rsidRPr="6F3DB9EA">
        <w:rPr>
          <w:sz w:val="28"/>
          <w:szCs w:val="28"/>
        </w:rPr>
        <w:t xml:space="preserve">según consta en el índice 64 del registro del proceso en SAMAI del juzgado, y que el </w:t>
      </w:r>
      <w:r w:rsidR="0070252A" w:rsidRPr="6F3DB9EA">
        <w:rPr>
          <w:b/>
          <w:bCs/>
          <w:sz w:val="28"/>
          <w:szCs w:val="28"/>
        </w:rPr>
        <w:t xml:space="preserve">28 de febrero de 2022 </w:t>
      </w:r>
      <w:r w:rsidR="0070252A" w:rsidRPr="6F3DB9EA">
        <w:rPr>
          <w:sz w:val="28"/>
          <w:szCs w:val="28"/>
        </w:rPr>
        <w:t>el apoderado de la actora presenta recurso de apelación</w:t>
      </w:r>
      <w:r w:rsidR="00690DA5" w:rsidRPr="6F3DB9EA">
        <w:rPr>
          <w:sz w:val="28"/>
          <w:szCs w:val="28"/>
        </w:rPr>
        <w:t xml:space="preserve"> (</w:t>
      </w:r>
      <w:r w:rsidR="008C0B25" w:rsidRPr="6F3DB9EA">
        <w:rPr>
          <w:sz w:val="28"/>
          <w:szCs w:val="28"/>
        </w:rPr>
        <w:t>Índice</w:t>
      </w:r>
      <w:r w:rsidR="00690DA5" w:rsidRPr="6F3DB9EA">
        <w:rPr>
          <w:sz w:val="28"/>
          <w:szCs w:val="28"/>
        </w:rPr>
        <w:t xml:space="preserve"> 65 </w:t>
      </w:r>
      <w:r w:rsidR="008C0B25" w:rsidRPr="6F3DB9EA">
        <w:rPr>
          <w:sz w:val="28"/>
          <w:szCs w:val="28"/>
        </w:rPr>
        <w:t>registro del proceso en SAMAI del juzgado)</w:t>
      </w:r>
      <w:r w:rsidR="00EB3EC5" w:rsidRPr="6F3DB9EA">
        <w:rPr>
          <w:sz w:val="28"/>
          <w:szCs w:val="28"/>
        </w:rPr>
        <w:t xml:space="preserve">y, posteriormente, mediante auto del </w:t>
      </w:r>
      <w:r w:rsidR="00EB3EC5" w:rsidRPr="6F3DB9EA">
        <w:rPr>
          <w:b/>
          <w:bCs/>
          <w:sz w:val="28"/>
          <w:szCs w:val="28"/>
        </w:rPr>
        <w:t xml:space="preserve">25 de marzo de 2022 </w:t>
      </w:r>
      <w:r w:rsidR="00EB3EC5" w:rsidRPr="6F3DB9EA">
        <w:rPr>
          <w:sz w:val="28"/>
          <w:szCs w:val="28"/>
        </w:rPr>
        <w:t xml:space="preserve">se </w:t>
      </w:r>
      <w:r w:rsidR="7F557511" w:rsidRPr="6F3DB9EA">
        <w:rPr>
          <w:sz w:val="28"/>
          <w:szCs w:val="28"/>
        </w:rPr>
        <w:t>rechazó</w:t>
      </w:r>
      <w:r w:rsidR="00EB3EC5" w:rsidRPr="6F3DB9EA">
        <w:rPr>
          <w:sz w:val="28"/>
          <w:szCs w:val="28"/>
        </w:rPr>
        <w:t xml:space="preserve"> el </w:t>
      </w:r>
      <w:r w:rsidR="004BC031" w:rsidRPr="6F3DB9EA">
        <w:rPr>
          <w:sz w:val="28"/>
          <w:szCs w:val="28"/>
        </w:rPr>
        <w:t>recurso</w:t>
      </w:r>
      <w:r w:rsidR="00EB3EC5" w:rsidRPr="6F3DB9EA">
        <w:rPr>
          <w:sz w:val="28"/>
          <w:szCs w:val="28"/>
        </w:rPr>
        <w:t xml:space="preserve"> por extemporáneo. </w:t>
      </w:r>
    </w:p>
    <w:bookmarkEnd w:id="10"/>
    <w:p w14:paraId="496ADEA3" w14:textId="23EBEF3B" w:rsidR="00EB3EC5" w:rsidRPr="00A64062" w:rsidRDefault="00EB3EC5" w:rsidP="00A64062">
      <w:pPr>
        <w:tabs>
          <w:tab w:val="left" w:pos="709"/>
        </w:tabs>
        <w:spacing w:line="360" w:lineRule="auto"/>
        <w:jc w:val="both"/>
        <w:rPr>
          <w:sz w:val="28"/>
          <w:szCs w:val="28"/>
        </w:rPr>
      </w:pPr>
    </w:p>
    <w:p w14:paraId="295A0A67" w14:textId="4B7F7508" w:rsidR="000E435C" w:rsidRPr="00A64062" w:rsidRDefault="000E435C" w:rsidP="00A64062">
      <w:pPr>
        <w:tabs>
          <w:tab w:val="left" w:pos="709"/>
        </w:tabs>
        <w:spacing w:line="360" w:lineRule="auto"/>
        <w:jc w:val="both"/>
        <w:rPr>
          <w:sz w:val="28"/>
          <w:szCs w:val="28"/>
        </w:rPr>
      </w:pPr>
      <w:bookmarkStart w:id="11" w:name="_Hlk125009125"/>
      <w:r w:rsidRPr="00A64062">
        <w:rPr>
          <w:sz w:val="28"/>
          <w:szCs w:val="28"/>
        </w:rPr>
        <w:t>E</w:t>
      </w:r>
      <w:r w:rsidR="005B695E" w:rsidRPr="00A64062">
        <w:rPr>
          <w:sz w:val="28"/>
          <w:szCs w:val="28"/>
        </w:rPr>
        <w:t>l artículo 247 del C.P.A.C.A.,</w:t>
      </w:r>
      <w:r w:rsidRPr="00A64062">
        <w:rPr>
          <w:sz w:val="28"/>
          <w:szCs w:val="28"/>
        </w:rPr>
        <w:t xml:space="preserve"> modificado por el artículo 67 de la Ley 2080 de 2021</w:t>
      </w:r>
      <w:r w:rsidR="005B695E" w:rsidRPr="00A64062">
        <w:rPr>
          <w:sz w:val="28"/>
          <w:szCs w:val="28"/>
        </w:rPr>
        <w:t xml:space="preserve"> establece el trámite que debe surtirse frente al recurso de apelación contra sentencias:</w:t>
      </w:r>
    </w:p>
    <w:p w14:paraId="6E5127D4" w14:textId="77777777" w:rsidR="000E435C" w:rsidRPr="000E435C" w:rsidRDefault="000E435C" w:rsidP="003C7587">
      <w:pPr>
        <w:tabs>
          <w:tab w:val="left" w:pos="709"/>
        </w:tabs>
        <w:spacing w:line="360" w:lineRule="auto"/>
        <w:jc w:val="both"/>
      </w:pPr>
    </w:p>
    <w:p w14:paraId="27FAC75F" w14:textId="77777777" w:rsidR="000E435C" w:rsidRPr="000E435C" w:rsidRDefault="005B695E" w:rsidP="000E435C">
      <w:pPr>
        <w:tabs>
          <w:tab w:val="left" w:pos="709"/>
        </w:tabs>
        <w:ind w:left="709"/>
        <w:jc w:val="both"/>
        <w:rPr>
          <w:sz w:val="28"/>
          <w:szCs w:val="28"/>
        </w:rPr>
      </w:pPr>
      <w:r w:rsidRPr="000E435C">
        <w:rPr>
          <w:sz w:val="28"/>
          <w:szCs w:val="28"/>
        </w:rPr>
        <w:t>“</w:t>
      </w:r>
      <w:r w:rsidRPr="000E435C">
        <w:rPr>
          <w:b/>
          <w:sz w:val="28"/>
          <w:szCs w:val="28"/>
        </w:rPr>
        <w:t>Artículo 247. Trámite del recurso de apelación contra sentencias</w:t>
      </w:r>
      <w:r w:rsidRPr="000E435C">
        <w:rPr>
          <w:sz w:val="28"/>
          <w:szCs w:val="28"/>
        </w:rPr>
        <w:t>. El recurso de apelación contra las sentencias proferidas en primera instancia se tramitará de acuerdo con el siguiente procedimiento:</w:t>
      </w:r>
    </w:p>
    <w:p w14:paraId="248A0F3E" w14:textId="77777777" w:rsidR="000E435C" w:rsidRPr="000E435C" w:rsidRDefault="000E435C" w:rsidP="000E435C">
      <w:pPr>
        <w:tabs>
          <w:tab w:val="left" w:pos="709"/>
        </w:tabs>
        <w:ind w:left="709"/>
        <w:jc w:val="both"/>
        <w:rPr>
          <w:sz w:val="28"/>
          <w:szCs w:val="28"/>
        </w:rPr>
      </w:pPr>
    </w:p>
    <w:p w14:paraId="2D456002" w14:textId="759D09B3" w:rsidR="00EB3EC5" w:rsidRPr="000E435C" w:rsidRDefault="005B695E" w:rsidP="000E435C">
      <w:pPr>
        <w:tabs>
          <w:tab w:val="left" w:pos="709"/>
        </w:tabs>
        <w:ind w:left="709"/>
        <w:jc w:val="both"/>
        <w:rPr>
          <w:sz w:val="28"/>
          <w:szCs w:val="28"/>
        </w:rPr>
      </w:pPr>
      <w:r w:rsidRPr="000E435C">
        <w:rPr>
          <w:sz w:val="28"/>
          <w:szCs w:val="28"/>
        </w:rPr>
        <w:t>1. El recurso deberá interponerse y sustentarse ante la autoridad que profirió la providencia, dentro de los diez (10) días siguientes a su notificación. Este término también aplica para las sentencias dictadas en audiencia (…)</w:t>
      </w:r>
    </w:p>
    <w:p w14:paraId="21510482" w14:textId="3C26B8E2" w:rsidR="0070252A" w:rsidRPr="000E435C" w:rsidRDefault="0070252A" w:rsidP="003C7587">
      <w:pPr>
        <w:tabs>
          <w:tab w:val="left" w:pos="709"/>
        </w:tabs>
        <w:spacing w:line="360" w:lineRule="auto"/>
        <w:jc w:val="both"/>
        <w:rPr>
          <w:sz w:val="28"/>
          <w:szCs w:val="28"/>
        </w:rPr>
      </w:pPr>
    </w:p>
    <w:p w14:paraId="4EE39538" w14:textId="3AA9B773" w:rsidR="00715B3C" w:rsidRDefault="000E435C" w:rsidP="6A6BBF05">
      <w:pPr>
        <w:tabs>
          <w:tab w:val="left" w:pos="709"/>
        </w:tabs>
        <w:spacing w:line="360" w:lineRule="auto"/>
        <w:jc w:val="both"/>
        <w:rPr>
          <w:sz w:val="28"/>
          <w:szCs w:val="28"/>
        </w:rPr>
      </w:pPr>
      <w:r w:rsidRPr="6A6BBF05">
        <w:rPr>
          <w:sz w:val="28"/>
          <w:szCs w:val="28"/>
          <w:lang w:val="es-CO"/>
        </w:rPr>
        <w:t xml:space="preserve">Ahora, a </w:t>
      </w:r>
      <w:r w:rsidR="00E7652B" w:rsidRPr="6A6BBF05">
        <w:rPr>
          <w:sz w:val="28"/>
          <w:szCs w:val="28"/>
          <w:lang w:val="es-CO"/>
        </w:rPr>
        <w:t>fin de establecer la hora en que podría ser presentado el recurso de apelación como mensaje de datos vía correo electrónico, e</w:t>
      </w:r>
      <w:r w:rsidR="007C638C" w:rsidRPr="6A6BBF05">
        <w:rPr>
          <w:sz w:val="28"/>
          <w:szCs w:val="28"/>
          <w:lang w:val="es-CO"/>
        </w:rPr>
        <w:t xml:space="preserve">l inciso 4° del artículo 109 del Código General del Proceso, por remisión expresa del artículo 306 del CPACA, </w:t>
      </w:r>
      <w:r w:rsidR="00206663" w:rsidRPr="6A6BBF05">
        <w:rPr>
          <w:sz w:val="28"/>
          <w:szCs w:val="28"/>
          <w:lang w:val="es-CO"/>
        </w:rPr>
        <w:t xml:space="preserve">establece </w:t>
      </w:r>
      <w:r w:rsidR="00206663" w:rsidRPr="00E7652B">
        <w:rPr>
          <w:sz w:val="28"/>
          <w:szCs w:val="28"/>
          <w:shd w:val="clear" w:color="auto" w:fill="FFFFFF"/>
        </w:rPr>
        <w:t>el manejo que los juzgados le deben dar a los memoriales radicados electrónicamente</w:t>
      </w:r>
      <w:r w:rsidR="77116B38" w:rsidRPr="00E7652B">
        <w:rPr>
          <w:sz w:val="28"/>
          <w:szCs w:val="28"/>
          <w:shd w:val="clear" w:color="auto" w:fill="FFFFFF"/>
        </w:rPr>
        <w:t>:</w:t>
      </w:r>
    </w:p>
    <w:p w14:paraId="64A173F6" w14:textId="43ECA251" w:rsidR="6A6BBF05" w:rsidRDefault="6A6BBF05" w:rsidP="6A6BBF05">
      <w:pPr>
        <w:tabs>
          <w:tab w:val="left" w:pos="709"/>
        </w:tabs>
        <w:spacing w:line="360" w:lineRule="auto"/>
        <w:jc w:val="both"/>
        <w:rPr>
          <w:sz w:val="28"/>
          <w:szCs w:val="28"/>
        </w:rPr>
      </w:pPr>
    </w:p>
    <w:p w14:paraId="068EF4D4" w14:textId="2DC5CF76" w:rsidR="00FD0AB1" w:rsidRDefault="00FD0AB1" w:rsidP="00FD0AB1">
      <w:pPr>
        <w:tabs>
          <w:tab w:val="left" w:pos="709"/>
        </w:tabs>
        <w:ind w:left="708"/>
        <w:jc w:val="both"/>
        <w:rPr>
          <w:bCs/>
          <w:sz w:val="28"/>
          <w:szCs w:val="28"/>
          <w:lang w:val="es-CO"/>
        </w:rPr>
      </w:pPr>
      <w:r w:rsidRPr="00FD0AB1">
        <w:rPr>
          <w:b/>
          <w:sz w:val="28"/>
          <w:szCs w:val="28"/>
          <w:lang w:val="es-CO"/>
        </w:rPr>
        <w:lastRenderedPageBreak/>
        <w:t>“</w:t>
      </w:r>
      <w:r w:rsidR="00715B3C" w:rsidRPr="00FD0AB1">
        <w:rPr>
          <w:b/>
          <w:sz w:val="28"/>
          <w:szCs w:val="28"/>
          <w:lang w:val="es-CO"/>
        </w:rPr>
        <w:t>Artículo 109. Presentación y trámite de memoriales e incorporación de escritos y comunicaciones</w:t>
      </w:r>
      <w:r>
        <w:rPr>
          <w:bCs/>
          <w:sz w:val="28"/>
          <w:szCs w:val="28"/>
          <w:lang w:val="es-CO"/>
        </w:rPr>
        <w:t xml:space="preserve">. </w:t>
      </w:r>
      <w:r w:rsidR="00715B3C" w:rsidRPr="00FD0AB1">
        <w:rPr>
          <w:bCs/>
          <w:sz w:val="28"/>
          <w:szCs w:val="28"/>
          <w:lang w:val="es-CO"/>
        </w:rPr>
        <w:t>El secretario hará constar la fecha y hora de presentación de los memoriales y comunicaciones que reciba y los agregará al expediente respectivo; los ingresará inmediatamente al despacho solo cuando el juez deba pronunciarse sobre ellos fuera de audiencia. Sin embargo, cuando se trate del ejercicio de un recurso o de una facultad que tenga señalado un término común, el secretario deberá esperar a que este transcurra en relación con todas las partes.</w:t>
      </w:r>
      <w:r w:rsidR="00715B3C" w:rsidRPr="00FD0AB1">
        <w:rPr>
          <w:bCs/>
          <w:sz w:val="28"/>
          <w:szCs w:val="28"/>
          <w:lang w:val="es-CO"/>
        </w:rPr>
        <w:br/>
      </w:r>
      <w:r w:rsidR="00715B3C" w:rsidRPr="00FD0AB1">
        <w:rPr>
          <w:bCs/>
          <w:sz w:val="28"/>
          <w:szCs w:val="28"/>
          <w:lang w:val="es-CO"/>
        </w:rPr>
        <w:br/>
        <w:t>Los memoriales podrán presentarse y las comunicaciones transmitirse por cualquier medio idóneo.</w:t>
      </w:r>
    </w:p>
    <w:p w14:paraId="0584D5ED" w14:textId="77777777" w:rsidR="00FD0AB1" w:rsidRDefault="00715B3C" w:rsidP="00FD0AB1">
      <w:pPr>
        <w:tabs>
          <w:tab w:val="left" w:pos="709"/>
        </w:tabs>
        <w:ind w:left="708"/>
        <w:jc w:val="both"/>
        <w:rPr>
          <w:bCs/>
          <w:sz w:val="28"/>
          <w:szCs w:val="28"/>
          <w:lang w:val="es-CO"/>
        </w:rPr>
      </w:pPr>
      <w:r w:rsidRPr="00FD0AB1">
        <w:rPr>
          <w:bCs/>
          <w:sz w:val="28"/>
          <w:szCs w:val="28"/>
          <w:lang w:val="es-CO"/>
        </w:rPr>
        <w:br/>
        <w:t>Las autoridades judiciales llevarán un estricto control y relación de los mensajes recibidos que incluya la fecha y hora de recepción. También mantendrán el buzón del correo electrónico con disponibilidad suficiente para recibir los mensajes de datos.</w:t>
      </w:r>
    </w:p>
    <w:p w14:paraId="26A31448" w14:textId="77777777" w:rsidR="00FD0AB1" w:rsidRPr="00FD0AB1" w:rsidRDefault="00715B3C" w:rsidP="00FD0AB1">
      <w:pPr>
        <w:tabs>
          <w:tab w:val="left" w:pos="709"/>
        </w:tabs>
        <w:ind w:left="708"/>
        <w:jc w:val="both"/>
        <w:rPr>
          <w:b/>
          <w:sz w:val="28"/>
          <w:szCs w:val="28"/>
          <w:u w:val="single"/>
          <w:lang w:val="es-CO"/>
        </w:rPr>
      </w:pPr>
      <w:r w:rsidRPr="00FD0AB1">
        <w:rPr>
          <w:bCs/>
          <w:sz w:val="28"/>
          <w:szCs w:val="28"/>
          <w:lang w:val="es-CO"/>
        </w:rPr>
        <w:br/>
      </w:r>
      <w:r w:rsidRPr="00FD0AB1">
        <w:rPr>
          <w:b/>
          <w:sz w:val="28"/>
          <w:szCs w:val="28"/>
          <w:u w:val="single"/>
          <w:lang w:val="es-CO"/>
        </w:rPr>
        <w:t>Los memoriales, incluidos los mensajes de datos, se entenderán presentados oportunamente si son recibidos antes del cierre del despacho del día en que vence el término.</w:t>
      </w:r>
    </w:p>
    <w:p w14:paraId="4ED8B2AA" w14:textId="7E5EE67A" w:rsidR="00715B3C" w:rsidRPr="00FD0AB1" w:rsidRDefault="00715B3C" w:rsidP="00FD0AB1">
      <w:pPr>
        <w:tabs>
          <w:tab w:val="left" w:pos="709"/>
        </w:tabs>
        <w:ind w:left="708"/>
        <w:jc w:val="both"/>
        <w:rPr>
          <w:bCs/>
          <w:sz w:val="28"/>
          <w:szCs w:val="28"/>
          <w:lang w:val="es-CO"/>
        </w:rPr>
      </w:pPr>
      <w:r w:rsidRPr="00FD0AB1">
        <w:rPr>
          <w:bCs/>
          <w:sz w:val="28"/>
          <w:szCs w:val="28"/>
          <w:lang w:val="es-CO"/>
        </w:rPr>
        <w:br/>
        <w:t>PARÁGRAFO. La Sala Administrativa del Consejo Superior de la Judicatura reglamentará la forma de presentar memoriales en centros administrativos, de apoyo, secretarías conjuntas, centros de radicación o similares, con destino a un determinado despacho judicial. En esos casos, la presentación se entenderá realizada el día en que fue radicado el memorial en alguna de estas dependencias</w:t>
      </w:r>
      <w:r w:rsidR="00E7652B">
        <w:rPr>
          <w:bCs/>
          <w:sz w:val="28"/>
          <w:szCs w:val="28"/>
          <w:lang w:val="es-CO"/>
        </w:rPr>
        <w:t>”</w:t>
      </w:r>
      <w:r w:rsidRPr="00FD0AB1">
        <w:rPr>
          <w:bCs/>
          <w:sz w:val="28"/>
          <w:szCs w:val="28"/>
          <w:lang w:val="es-CO"/>
        </w:rPr>
        <w:t>.</w:t>
      </w:r>
    </w:p>
    <w:p w14:paraId="5BDE3C66" w14:textId="77777777" w:rsidR="00FD0AB1" w:rsidRPr="00FD0AB1" w:rsidRDefault="00FD0AB1" w:rsidP="00FD0AB1">
      <w:pPr>
        <w:tabs>
          <w:tab w:val="left" w:pos="709"/>
        </w:tabs>
        <w:spacing w:line="360" w:lineRule="auto"/>
        <w:jc w:val="both"/>
        <w:rPr>
          <w:bCs/>
          <w:sz w:val="28"/>
          <w:szCs w:val="28"/>
          <w:lang w:val="es-CO"/>
        </w:rPr>
      </w:pPr>
    </w:p>
    <w:bookmarkEnd w:id="8"/>
    <w:p w14:paraId="310DCD41" w14:textId="77777777" w:rsidR="00FD0AB1" w:rsidRDefault="00FD0AB1" w:rsidP="00FD0AB1">
      <w:pPr>
        <w:tabs>
          <w:tab w:val="left" w:pos="709"/>
        </w:tabs>
        <w:spacing w:line="360" w:lineRule="auto"/>
        <w:jc w:val="both"/>
        <w:rPr>
          <w:bCs/>
          <w:lang w:val="es-CO"/>
        </w:rPr>
      </w:pPr>
    </w:p>
    <w:p w14:paraId="65E76476" w14:textId="0002A896" w:rsidR="00E7652B" w:rsidRPr="00E7652B" w:rsidRDefault="00715B3C" w:rsidP="00E7652B">
      <w:pPr>
        <w:pStyle w:val="Textoindependiente"/>
        <w:tabs>
          <w:tab w:val="left" w:pos="57"/>
        </w:tabs>
        <w:spacing w:after="0" w:line="360" w:lineRule="auto"/>
        <w:jc w:val="both"/>
        <w:rPr>
          <w:sz w:val="28"/>
          <w:szCs w:val="28"/>
          <w:shd w:val="clear" w:color="auto" w:fill="FFFFFF"/>
        </w:rPr>
      </w:pPr>
      <w:r w:rsidRPr="00E7652B">
        <w:rPr>
          <w:sz w:val="28"/>
          <w:szCs w:val="28"/>
          <w:shd w:val="clear" w:color="auto" w:fill="FFFFFF"/>
        </w:rPr>
        <w:t xml:space="preserve">De </w:t>
      </w:r>
      <w:r w:rsidR="654E5163" w:rsidRPr="00E7652B">
        <w:rPr>
          <w:sz w:val="28"/>
          <w:szCs w:val="28"/>
          <w:shd w:val="clear" w:color="auto" w:fill="FFFFFF"/>
        </w:rPr>
        <w:t xml:space="preserve">lo dispuesto en </w:t>
      </w:r>
      <w:r w:rsidRPr="00E7652B">
        <w:rPr>
          <w:sz w:val="28"/>
          <w:szCs w:val="28"/>
          <w:shd w:val="clear" w:color="auto" w:fill="FFFFFF"/>
        </w:rPr>
        <w:t xml:space="preserve">esta norma </w:t>
      </w:r>
      <w:r w:rsidR="00E7652B" w:rsidRPr="00E7652B">
        <w:rPr>
          <w:sz w:val="28"/>
          <w:szCs w:val="28"/>
          <w:shd w:val="clear" w:color="auto" w:fill="FFFFFF"/>
        </w:rPr>
        <w:t xml:space="preserve">se </w:t>
      </w:r>
      <w:r w:rsidR="00E7652B" w:rsidRPr="64DFB1A6">
        <w:rPr>
          <w:sz w:val="28"/>
          <w:szCs w:val="28"/>
          <w:lang w:val="es-CO"/>
        </w:rPr>
        <w:t xml:space="preserve">establece que solamente podrán considerarse oportunas aquellas actuaciones radicadas </w:t>
      </w:r>
      <w:r w:rsidR="00E7652B" w:rsidRPr="6A6BBF05">
        <w:rPr>
          <w:b/>
          <w:bCs/>
          <w:sz w:val="28"/>
          <w:szCs w:val="28"/>
          <w:lang w:val="es-CO"/>
        </w:rPr>
        <w:t xml:space="preserve">antes del cierre del despacho </w:t>
      </w:r>
      <w:r w:rsidR="00E7652B" w:rsidRPr="64DFB1A6">
        <w:rPr>
          <w:sz w:val="28"/>
          <w:szCs w:val="28"/>
          <w:lang w:val="es-CO"/>
        </w:rPr>
        <w:t>del día en que vence el término</w:t>
      </w:r>
      <w:r w:rsidR="00E7652B" w:rsidRPr="00E7652B">
        <w:rPr>
          <w:sz w:val="28"/>
          <w:szCs w:val="28"/>
          <w:lang w:val="es-CO" w:eastAsia="es-CO"/>
        </w:rPr>
        <w:t>, es decir, que l</w:t>
      </w:r>
      <w:r w:rsidRPr="00E7652B">
        <w:rPr>
          <w:sz w:val="28"/>
          <w:szCs w:val="28"/>
          <w:lang w:val="es-CO" w:eastAsia="es-CO"/>
        </w:rPr>
        <w:t xml:space="preserve">o </w:t>
      </w:r>
      <w:r w:rsidR="00E7652B" w:rsidRPr="00E7652B">
        <w:rPr>
          <w:sz w:val="28"/>
          <w:szCs w:val="28"/>
          <w:lang w:val="es-CO" w:eastAsia="es-CO"/>
        </w:rPr>
        <w:t xml:space="preserve">enviado </w:t>
      </w:r>
      <w:r w:rsidRPr="00E7652B">
        <w:rPr>
          <w:sz w:val="28"/>
          <w:szCs w:val="28"/>
          <w:lang w:val="es-CO" w:eastAsia="es-CO"/>
        </w:rPr>
        <w:t>por fuera del horario del Despacho se entiende como no recibido de manera oportuna.</w:t>
      </w:r>
    </w:p>
    <w:p w14:paraId="72B14940" w14:textId="77777777" w:rsidR="00E7652B" w:rsidRDefault="00E7652B" w:rsidP="007C638C">
      <w:pPr>
        <w:pStyle w:val="Textoindependiente"/>
        <w:tabs>
          <w:tab w:val="left" w:pos="57"/>
        </w:tabs>
        <w:rPr>
          <w:rFonts w:ascii="Open Sans" w:hAnsi="Open Sans"/>
          <w:color w:val="464646"/>
          <w:sz w:val="23"/>
          <w:szCs w:val="23"/>
          <w:lang w:val="es-CO" w:eastAsia="es-CO"/>
        </w:rPr>
      </w:pPr>
    </w:p>
    <w:p w14:paraId="245FAA3D" w14:textId="382900C6" w:rsidR="00206663" w:rsidRPr="00E7652B" w:rsidRDefault="00206663" w:rsidP="64DFB1A6">
      <w:pPr>
        <w:shd w:val="clear" w:color="auto" w:fill="FFFFFF" w:themeFill="background1"/>
        <w:spacing w:line="360" w:lineRule="auto"/>
        <w:jc w:val="both"/>
        <w:rPr>
          <w:sz w:val="28"/>
          <w:szCs w:val="28"/>
          <w:lang w:val="es-CO" w:eastAsia="es-CO"/>
        </w:rPr>
      </w:pPr>
      <w:r w:rsidRPr="00E7652B">
        <w:rPr>
          <w:sz w:val="28"/>
          <w:szCs w:val="28"/>
          <w:lang w:val="es-CO" w:eastAsia="es-CO"/>
        </w:rPr>
        <w:t>Al respecto el Consejo de Estado por vía de tutela</w:t>
      </w:r>
      <w:r w:rsidRPr="00E7652B">
        <w:rPr>
          <w:rStyle w:val="Refdenotaalpie"/>
          <w:sz w:val="28"/>
          <w:szCs w:val="28"/>
          <w:lang w:val="es-CO" w:eastAsia="es-CO"/>
        </w:rPr>
        <w:footnoteReference w:id="1"/>
      </w:r>
      <w:r w:rsidRPr="00E7652B">
        <w:rPr>
          <w:sz w:val="28"/>
          <w:szCs w:val="28"/>
          <w:lang w:val="es-CO" w:eastAsia="es-CO"/>
        </w:rPr>
        <w:t xml:space="preserve"> </w:t>
      </w:r>
      <w:r w:rsidR="6DA80027" w:rsidRPr="00E7652B">
        <w:rPr>
          <w:sz w:val="28"/>
          <w:szCs w:val="28"/>
          <w:lang w:val="es-CO" w:eastAsia="es-CO"/>
        </w:rPr>
        <w:t xml:space="preserve">ha </w:t>
      </w:r>
      <w:r w:rsidR="7660DFDC" w:rsidRPr="00E7652B">
        <w:rPr>
          <w:sz w:val="28"/>
          <w:szCs w:val="28"/>
          <w:lang w:val="es-CO" w:eastAsia="es-CO"/>
        </w:rPr>
        <w:t>señalado</w:t>
      </w:r>
      <w:r w:rsidR="003C7587">
        <w:rPr>
          <w:sz w:val="28"/>
          <w:szCs w:val="28"/>
          <w:lang w:val="es-CO" w:eastAsia="es-CO"/>
        </w:rPr>
        <w:t>:</w:t>
      </w:r>
    </w:p>
    <w:p w14:paraId="5FD16938" w14:textId="77777777" w:rsidR="00E7652B" w:rsidRDefault="00E7652B" w:rsidP="00206663">
      <w:pPr>
        <w:ind w:left="709"/>
        <w:jc w:val="both"/>
        <w:rPr>
          <w:sz w:val="28"/>
          <w:szCs w:val="28"/>
        </w:rPr>
      </w:pPr>
    </w:p>
    <w:p w14:paraId="2154D1C3" w14:textId="229F9986" w:rsidR="00206663" w:rsidRPr="00206663" w:rsidRDefault="00206663" w:rsidP="00206663">
      <w:pPr>
        <w:ind w:left="709"/>
        <w:jc w:val="both"/>
        <w:rPr>
          <w:sz w:val="28"/>
          <w:szCs w:val="28"/>
        </w:rPr>
      </w:pPr>
      <w:r w:rsidRPr="64DFB1A6">
        <w:rPr>
          <w:sz w:val="28"/>
          <w:szCs w:val="28"/>
        </w:rPr>
        <w:t xml:space="preserve">“En ese orden de ideas, </w:t>
      </w:r>
      <w:r w:rsidRPr="64DFB1A6">
        <w:rPr>
          <w:sz w:val="28"/>
          <w:szCs w:val="28"/>
          <w:u w:val="single"/>
        </w:rPr>
        <w:t xml:space="preserve">la autorización de emplear medios electrónicos y de radicar solicitudes válidamente hasta antes de las 12 de la noche del vencimiento del término, </w:t>
      </w:r>
      <w:r w:rsidRPr="64DFB1A6">
        <w:rPr>
          <w:b/>
          <w:bCs/>
          <w:sz w:val="28"/>
          <w:szCs w:val="28"/>
          <w:u w:val="single"/>
        </w:rPr>
        <w:t>se refiere a aquellos procedimientos que se adelanten ante autoridades en ejercicio de funciones administrativas</w:t>
      </w:r>
      <w:r w:rsidRPr="64DFB1A6">
        <w:rPr>
          <w:sz w:val="28"/>
          <w:szCs w:val="28"/>
        </w:rPr>
        <w:t xml:space="preserve"> </w:t>
      </w:r>
      <w:r w:rsidRPr="64DFB1A6">
        <w:rPr>
          <w:b/>
          <w:bCs/>
          <w:sz w:val="28"/>
          <w:szCs w:val="28"/>
          <w:u w:val="single"/>
        </w:rPr>
        <w:t>exclusivamente</w:t>
      </w:r>
      <w:r w:rsidRPr="64DFB1A6">
        <w:rPr>
          <w:sz w:val="28"/>
          <w:szCs w:val="28"/>
        </w:rPr>
        <w:t>.</w:t>
      </w:r>
    </w:p>
    <w:p w14:paraId="4DFFE321" w14:textId="77777777" w:rsidR="00206663" w:rsidRPr="00206663" w:rsidRDefault="00206663" w:rsidP="00206663">
      <w:pPr>
        <w:ind w:left="709"/>
        <w:jc w:val="both"/>
        <w:rPr>
          <w:sz w:val="28"/>
          <w:szCs w:val="28"/>
        </w:rPr>
      </w:pPr>
    </w:p>
    <w:p w14:paraId="6CB95927" w14:textId="77777777" w:rsidR="00206663" w:rsidRPr="00206663" w:rsidRDefault="00206663" w:rsidP="00206663">
      <w:pPr>
        <w:ind w:left="709"/>
        <w:jc w:val="both"/>
        <w:rPr>
          <w:sz w:val="28"/>
          <w:szCs w:val="28"/>
        </w:rPr>
      </w:pPr>
      <w:r w:rsidRPr="00206663">
        <w:rPr>
          <w:sz w:val="28"/>
          <w:szCs w:val="28"/>
        </w:rPr>
        <w:t>El procedimiento jurisdiccional se encuentra regulado en la Parte Segunda de ese Código, a partir del artículo 103, acápite que no regula lo correspondiente a la oportunidad de los actos procesales, cuando son remitidos por medios electrónicos.</w:t>
      </w:r>
    </w:p>
    <w:p w14:paraId="57C3CCBE" w14:textId="77777777" w:rsidR="00206663" w:rsidRPr="00206663" w:rsidRDefault="00206663" w:rsidP="00206663">
      <w:pPr>
        <w:ind w:left="709"/>
        <w:jc w:val="both"/>
        <w:rPr>
          <w:sz w:val="28"/>
          <w:szCs w:val="28"/>
        </w:rPr>
      </w:pPr>
    </w:p>
    <w:p w14:paraId="0D92862B" w14:textId="77777777" w:rsidR="00206663" w:rsidRPr="00206663" w:rsidRDefault="00206663" w:rsidP="00206663">
      <w:pPr>
        <w:ind w:left="709"/>
        <w:jc w:val="both"/>
        <w:rPr>
          <w:sz w:val="28"/>
          <w:szCs w:val="28"/>
          <w:u w:val="single"/>
        </w:rPr>
      </w:pPr>
      <w:r w:rsidRPr="00206663">
        <w:rPr>
          <w:sz w:val="28"/>
          <w:szCs w:val="28"/>
          <w:u w:val="single"/>
        </w:rPr>
        <w:t xml:space="preserve">Ese vacío, obliga en criterio de este juzgado a remitirse a las normas del Código General del Proceso, de acuerdo con las voces </w:t>
      </w:r>
      <w:r w:rsidRPr="00206663">
        <w:rPr>
          <w:b/>
          <w:bCs/>
          <w:sz w:val="28"/>
          <w:szCs w:val="28"/>
          <w:u w:val="single"/>
        </w:rPr>
        <w:t>del artículo 306 de la Ley 1437 de 2011, situación que impuso a su vez, dar aplicación a lo dispuesto en el artículo 109 del estatuto general.</w:t>
      </w:r>
    </w:p>
    <w:p w14:paraId="4931DDBD" w14:textId="77777777" w:rsidR="00206663" w:rsidRPr="00206663" w:rsidRDefault="00206663" w:rsidP="00206663">
      <w:pPr>
        <w:ind w:left="709"/>
        <w:jc w:val="both"/>
        <w:rPr>
          <w:sz w:val="28"/>
          <w:szCs w:val="28"/>
        </w:rPr>
      </w:pPr>
    </w:p>
    <w:p w14:paraId="19146564" w14:textId="3764DBEB" w:rsidR="00206663" w:rsidRPr="00FC4E76" w:rsidRDefault="00206663" w:rsidP="00206663">
      <w:pPr>
        <w:ind w:left="709"/>
        <w:jc w:val="both"/>
        <w:rPr>
          <w:sz w:val="28"/>
          <w:szCs w:val="28"/>
        </w:rPr>
      </w:pPr>
      <w:r w:rsidRPr="00206663">
        <w:rPr>
          <w:sz w:val="28"/>
          <w:szCs w:val="28"/>
        </w:rPr>
        <w:t xml:space="preserve">Esa disposición no riñe con la naturaleza de los juicios que se adelantan ante esta jurisdicción, si se tiene en cuenta que el artículo 103 del Código de Procedimiento Administrativo y de lo Contencioso Administrativo, inciso tercero, establece que en cumplimiento del deber constitucional de  colaboración para el buen  funcionamiento de la administración de justicia, </w:t>
      </w:r>
      <w:r w:rsidRPr="00206663">
        <w:rPr>
          <w:b/>
          <w:bCs/>
          <w:sz w:val="28"/>
          <w:szCs w:val="28"/>
          <w:u w:val="single"/>
        </w:rPr>
        <w:t xml:space="preserve">estará en la obligación de cumplir con las cargas procesales, dentro de las cuales se enlista aquella referida a interponer y sustentar los recursos dentro de la oportunidad legal, la que para el caso concreto no solamente se refiere a la fecha límite, toda vez que </w:t>
      </w:r>
      <w:r w:rsidRPr="00FC4E76">
        <w:rPr>
          <w:b/>
          <w:bCs/>
          <w:sz w:val="28"/>
          <w:szCs w:val="28"/>
          <w:u w:val="single"/>
        </w:rPr>
        <w:t>además debe radicarse, aun por medios electrónicos, antes de la hora de cierre del despacho judicial donde se tramita el proceso”</w:t>
      </w:r>
      <w:r w:rsidRPr="00FC4E76">
        <w:rPr>
          <w:sz w:val="28"/>
          <w:szCs w:val="28"/>
        </w:rPr>
        <w:t>.</w:t>
      </w:r>
    </w:p>
    <w:p w14:paraId="3E827CFA" w14:textId="77777777" w:rsidR="00206663" w:rsidRPr="00FC4E76" w:rsidRDefault="00206663" w:rsidP="00206663">
      <w:pPr>
        <w:jc w:val="both"/>
        <w:rPr>
          <w:rFonts w:ascii="Arial" w:hAnsi="Arial" w:cs="Arial"/>
          <w:sz w:val="24"/>
          <w:szCs w:val="24"/>
        </w:rPr>
      </w:pPr>
    </w:p>
    <w:p w14:paraId="461DD1AD" w14:textId="77777777" w:rsidR="00E7652B" w:rsidRPr="00FC4E76" w:rsidRDefault="00E7652B" w:rsidP="00E7652B">
      <w:pPr>
        <w:pStyle w:val="Textoindependiente"/>
        <w:tabs>
          <w:tab w:val="left" w:pos="57"/>
        </w:tabs>
        <w:rPr>
          <w:bCs/>
          <w:lang w:val="es-CO"/>
        </w:rPr>
      </w:pPr>
    </w:p>
    <w:p w14:paraId="6B2CF483" w14:textId="29391F9A" w:rsidR="000E435C" w:rsidRPr="00FC4E76" w:rsidRDefault="000E435C" w:rsidP="00FC4E76">
      <w:pPr>
        <w:tabs>
          <w:tab w:val="left" w:pos="709"/>
        </w:tabs>
        <w:spacing w:line="360" w:lineRule="auto"/>
        <w:jc w:val="both"/>
        <w:rPr>
          <w:sz w:val="28"/>
          <w:szCs w:val="28"/>
        </w:rPr>
      </w:pPr>
      <w:r w:rsidRPr="6A6BBF05">
        <w:rPr>
          <w:sz w:val="28"/>
          <w:szCs w:val="28"/>
          <w:lang w:val="es-CO"/>
        </w:rPr>
        <w:t xml:space="preserve">El juez de primera instancia consideró que el termino para impugnar la sentencia feneció el </w:t>
      </w:r>
      <w:r w:rsidRPr="6A6BBF05">
        <w:rPr>
          <w:b/>
          <w:bCs/>
          <w:sz w:val="28"/>
          <w:szCs w:val="28"/>
          <w:lang w:val="es-CO"/>
        </w:rPr>
        <w:t xml:space="preserve">28 de febrero de 2022 a las 5:00 </w:t>
      </w:r>
      <w:r w:rsidR="321F4CB2" w:rsidRPr="6A6BBF05">
        <w:rPr>
          <w:b/>
          <w:bCs/>
          <w:sz w:val="28"/>
          <w:szCs w:val="28"/>
          <w:lang w:val="es-CO"/>
        </w:rPr>
        <w:t>p.m.</w:t>
      </w:r>
      <w:r w:rsidRPr="6A6BBF05">
        <w:rPr>
          <w:b/>
          <w:bCs/>
          <w:sz w:val="28"/>
          <w:szCs w:val="28"/>
          <w:lang w:val="es-CO"/>
        </w:rPr>
        <w:t xml:space="preserve">, </w:t>
      </w:r>
      <w:r w:rsidRPr="6A6BBF05">
        <w:rPr>
          <w:sz w:val="28"/>
          <w:szCs w:val="28"/>
          <w:lang w:val="es-CO"/>
        </w:rPr>
        <w:t xml:space="preserve">pues es esta fecha fenecía el término de los 10 días de que trata el numeral 1° del artículo </w:t>
      </w:r>
      <w:r w:rsidRPr="6A6BBF05">
        <w:rPr>
          <w:sz w:val="28"/>
          <w:szCs w:val="28"/>
        </w:rPr>
        <w:t>247 del C.P.A.C.A.</w:t>
      </w:r>
    </w:p>
    <w:p w14:paraId="5D399BC3" w14:textId="06197131" w:rsidR="000E435C" w:rsidRPr="00FC4E76" w:rsidRDefault="000E435C" w:rsidP="00FC4E76">
      <w:pPr>
        <w:tabs>
          <w:tab w:val="left" w:pos="709"/>
        </w:tabs>
        <w:spacing w:line="360" w:lineRule="auto"/>
        <w:jc w:val="both"/>
        <w:rPr>
          <w:bCs/>
          <w:sz w:val="28"/>
          <w:szCs w:val="28"/>
          <w:lang w:val="es-CO"/>
        </w:rPr>
      </w:pPr>
    </w:p>
    <w:p w14:paraId="32E8BAD1" w14:textId="748DC640" w:rsidR="00AA6898" w:rsidRPr="00FC4E76" w:rsidRDefault="000E435C" w:rsidP="6A6BBF05">
      <w:pPr>
        <w:tabs>
          <w:tab w:val="left" w:pos="709"/>
        </w:tabs>
        <w:spacing w:line="360" w:lineRule="auto"/>
        <w:jc w:val="both"/>
        <w:rPr>
          <w:b/>
          <w:bCs/>
          <w:sz w:val="28"/>
          <w:szCs w:val="28"/>
          <w:lang w:val="es-CO"/>
        </w:rPr>
      </w:pPr>
      <w:r w:rsidRPr="6F3DB9EA">
        <w:rPr>
          <w:sz w:val="28"/>
          <w:szCs w:val="28"/>
          <w:lang w:val="es-CO"/>
        </w:rPr>
        <w:t xml:space="preserve">Así, </w:t>
      </w:r>
      <w:r w:rsidR="00E7652B" w:rsidRPr="6F3DB9EA">
        <w:rPr>
          <w:sz w:val="28"/>
          <w:szCs w:val="28"/>
          <w:lang w:val="es-CO"/>
        </w:rPr>
        <w:t>resulta</w:t>
      </w:r>
      <w:r w:rsidRPr="6F3DB9EA">
        <w:rPr>
          <w:sz w:val="28"/>
          <w:szCs w:val="28"/>
          <w:lang w:val="es-CO"/>
        </w:rPr>
        <w:t xml:space="preserve">ría </w:t>
      </w:r>
      <w:r w:rsidR="00E7652B" w:rsidRPr="6F3DB9EA">
        <w:rPr>
          <w:sz w:val="28"/>
          <w:szCs w:val="28"/>
          <w:lang w:val="es-CO"/>
        </w:rPr>
        <w:t xml:space="preserve">razonable concluir que la actuación </w:t>
      </w:r>
      <w:r w:rsidRPr="6F3DB9EA">
        <w:rPr>
          <w:sz w:val="28"/>
          <w:szCs w:val="28"/>
          <w:lang w:val="es-CO"/>
        </w:rPr>
        <w:t xml:space="preserve">en efecto </w:t>
      </w:r>
      <w:r w:rsidR="00E7652B" w:rsidRPr="6F3DB9EA">
        <w:rPr>
          <w:sz w:val="28"/>
          <w:szCs w:val="28"/>
          <w:lang w:val="es-CO"/>
        </w:rPr>
        <w:t>fue extemporánea</w:t>
      </w:r>
      <w:r w:rsidR="00FE1341" w:rsidRPr="6F3DB9EA">
        <w:rPr>
          <w:sz w:val="28"/>
          <w:szCs w:val="28"/>
          <w:lang w:val="es-CO"/>
        </w:rPr>
        <w:t xml:space="preserve"> y</w:t>
      </w:r>
      <w:r w:rsidR="7B17B277" w:rsidRPr="6F3DB9EA">
        <w:rPr>
          <w:sz w:val="28"/>
          <w:szCs w:val="28"/>
          <w:lang w:val="es-CO"/>
        </w:rPr>
        <w:t>,</w:t>
      </w:r>
      <w:r w:rsidR="00FE1341" w:rsidRPr="6F3DB9EA">
        <w:rPr>
          <w:sz w:val="28"/>
          <w:szCs w:val="28"/>
          <w:lang w:val="es-CO"/>
        </w:rPr>
        <w:t xml:space="preserve"> en tal sentido, </w:t>
      </w:r>
      <w:r w:rsidR="12597FB9" w:rsidRPr="6F3DB9EA">
        <w:rPr>
          <w:sz w:val="28"/>
          <w:szCs w:val="28"/>
          <w:lang w:val="es-CO"/>
        </w:rPr>
        <w:t xml:space="preserve">el </w:t>
      </w:r>
      <w:r w:rsidR="0D91682D" w:rsidRPr="6F3DB9EA">
        <w:rPr>
          <w:sz w:val="28"/>
          <w:szCs w:val="28"/>
          <w:lang w:val="es-CO"/>
        </w:rPr>
        <w:t>impugnante</w:t>
      </w:r>
      <w:r w:rsidR="00FE1341" w:rsidRPr="6F3DB9EA">
        <w:rPr>
          <w:sz w:val="28"/>
          <w:szCs w:val="28"/>
          <w:lang w:val="es-CO"/>
        </w:rPr>
        <w:t xml:space="preserve"> </w:t>
      </w:r>
      <w:r w:rsidR="2FCA0C13" w:rsidRPr="6F3DB9EA">
        <w:rPr>
          <w:sz w:val="28"/>
          <w:szCs w:val="28"/>
          <w:lang w:val="es-CO"/>
        </w:rPr>
        <w:t xml:space="preserve">habría </w:t>
      </w:r>
      <w:r w:rsidR="00FE1341" w:rsidRPr="6F3DB9EA">
        <w:rPr>
          <w:sz w:val="28"/>
          <w:szCs w:val="28"/>
          <w:lang w:val="es-CO"/>
        </w:rPr>
        <w:t>incumpl</w:t>
      </w:r>
      <w:r w:rsidR="4A443D23" w:rsidRPr="6F3DB9EA">
        <w:rPr>
          <w:sz w:val="28"/>
          <w:szCs w:val="28"/>
          <w:lang w:val="es-CO"/>
        </w:rPr>
        <w:t>i</w:t>
      </w:r>
      <w:r w:rsidR="3215BF77" w:rsidRPr="6F3DB9EA">
        <w:rPr>
          <w:sz w:val="28"/>
          <w:szCs w:val="28"/>
          <w:lang w:val="es-CO"/>
        </w:rPr>
        <w:t xml:space="preserve">do </w:t>
      </w:r>
      <w:r w:rsidR="00FE1341" w:rsidRPr="6F3DB9EA">
        <w:rPr>
          <w:sz w:val="28"/>
          <w:szCs w:val="28"/>
          <w:lang w:val="es-CO"/>
        </w:rPr>
        <w:t xml:space="preserve">con el </w:t>
      </w:r>
      <w:r w:rsidR="007C638C" w:rsidRPr="6F3DB9EA">
        <w:rPr>
          <w:sz w:val="28"/>
          <w:szCs w:val="28"/>
          <w:lang w:val="es-CO"/>
        </w:rPr>
        <w:t xml:space="preserve">requisito de la oportunidad para presentar </w:t>
      </w:r>
      <w:r w:rsidRPr="6F3DB9EA">
        <w:rPr>
          <w:sz w:val="28"/>
          <w:szCs w:val="28"/>
          <w:lang w:val="es-CO"/>
        </w:rPr>
        <w:t xml:space="preserve">el recurso de apelación dando </w:t>
      </w:r>
      <w:r w:rsidR="00FE1341" w:rsidRPr="6F3DB9EA">
        <w:rPr>
          <w:sz w:val="28"/>
          <w:szCs w:val="28"/>
          <w:lang w:val="es-CO"/>
        </w:rPr>
        <w:t xml:space="preserve">efectivamente </w:t>
      </w:r>
      <w:r w:rsidR="007C638C" w:rsidRPr="6F3DB9EA">
        <w:rPr>
          <w:sz w:val="28"/>
          <w:szCs w:val="28"/>
          <w:lang w:val="es-CO"/>
        </w:rPr>
        <w:t xml:space="preserve">lugar al rechazo del </w:t>
      </w:r>
      <w:r w:rsidRPr="6F3DB9EA">
        <w:rPr>
          <w:sz w:val="28"/>
          <w:szCs w:val="28"/>
          <w:lang w:val="es-CO"/>
        </w:rPr>
        <w:t xml:space="preserve">mismo </w:t>
      </w:r>
      <w:r w:rsidR="007C638C" w:rsidRPr="6F3DB9EA">
        <w:rPr>
          <w:sz w:val="28"/>
          <w:szCs w:val="28"/>
          <w:lang w:val="es-CO"/>
        </w:rPr>
        <w:t>por extemporaneidad</w:t>
      </w:r>
      <w:r w:rsidR="0E691CC9" w:rsidRPr="6F3DB9EA">
        <w:rPr>
          <w:sz w:val="28"/>
          <w:szCs w:val="28"/>
          <w:lang w:val="es-CO"/>
        </w:rPr>
        <w:t>.</w:t>
      </w:r>
    </w:p>
    <w:p w14:paraId="7483C238" w14:textId="74DDE7E8" w:rsidR="00AA6898" w:rsidRPr="00FC4E76" w:rsidRDefault="00AA6898" w:rsidP="6A6BBF05">
      <w:pPr>
        <w:tabs>
          <w:tab w:val="left" w:pos="709"/>
        </w:tabs>
        <w:spacing w:line="360" w:lineRule="auto"/>
        <w:jc w:val="both"/>
        <w:rPr>
          <w:sz w:val="28"/>
          <w:szCs w:val="28"/>
          <w:lang w:val="es-CO"/>
        </w:rPr>
      </w:pPr>
    </w:p>
    <w:p w14:paraId="181B3554" w14:textId="70312568" w:rsidR="00AA6898" w:rsidRPr="00FC4E76" w:rsidRDefault="0E691CC9" w:rsidP="6A6BBF05">
      <w:pPr>
        <w:tabs>
          <w:tab w:val="left" w:pos="709"/>
        </w:tabs>
        <w:spacing w:line="360" w:lineRule="auto"/>
        <w:jc w:val="both"/>
        <w:rPr>
          <w:b/>
          <w:bCs/>
          <w:sz w:val="28"/>
          <w:szCs w:val="28"/>
          <w:lang w:val="es-CO"/>
        </w:rPr>
      </w:pPr>
      <w:r w:rsidRPr="6A6BBF05">
        <w:rPr>
          <w:b/>
          <w:bCs/>
          <w:sz w:val="28"/>
          <w:szCs w:val="28"/>
          <w:lang w:val="es-CO"/>
        </w:rPr>
        <w:t>S</w:t>
      </w:r>
      <w:r w:rsidR="000E435C" w:rsidRPr="6A6BBF05">
        <w:rPr>
          <w:b/>
          <w:bCs/>
          <w:sz w:val="28"/>
          <w:szCs w:val="28"/>
          <w:lang w:val="es-CO"/>
        </w:rPr>
        <w:t>in embargo, f</w:t>
      </w:r>
      <w:r w:rsidR="61D33ABA" w:rsidRPr="6A6BBF05">
        <w:rPr>
          <w:rStyle w:val="Textoennegrita"/>
          <w:sz w:val="28"/>
          <w:szCs w:val="28"/>
        </w:rPr>
        <w:t>frente</w:t>
      </w:r>
      <w:r w:rsidR="005D66D8" w:rsidRPr="6A6BBF05">
        <w:rPr>
          <w:rStyle w:val="Textoennegrita"/>
          <w:sz w:val="28"/>
          <w:szCs w:val="28"/>
        </w:rPr>
        <w:t xml:space="preserve"> </w:t>
      </w:r>
      <w:r w:rsidR="00AA6898" w:rsidRPr="6A6BBF05">
        <w:rPr>
          <w:rStyle w:val="Textoennegrita"/>
          <w:sz w:val="28"/>
          <w:szCs w:val="28"/>
        </w:rPr>
        <w:t xml:space="preserve">a la notificación por medios electrónicos, el numeral 2° del artículo 52 de la Ley 2080 de 2021 </w:t>
      </w:r>
      <w:r w:rsidR="00AA6898" w:rsidRPr="6A6BBF05">
        <w:rPr>
          <w:rStyle w:val="Textoennegrita"/>
          <w:b w:val="0"/>
          <w:bCs w:val="0"/>
          <w:sz w:val="28"/>
          <w:szCs w:val="28"/>
        </w:rPr>
        <w:t>que</w:t>
      </w:r>
      <w:r w:rsidR="00AA6898" w:rsidRPr="6A6BBF05">
        <w:rPr>
          <w:rStyle w:val="Textoennegrita"/>
          <w:sz w:val="28"/>
          <w:szCs w:val="28"/>
        </w:rPr>
        <w:t xml:space="preserve"> </w:t>
      </w:r>
      <w:bookmarkStart w:id="12" w:name="52"/>
      <w:bookmarkEnd w:id="12"/>
      <w:r w:rsidR="00AA6898" w:rsidRPr="6A6BBF05">
        <w:rPr>
          <w:rStyle w:val="Textoennegrita"/>
          <w:b w:val="0"/>
          <w:bCs w:val="0"/>
          <w:sz w:val="28"/>
          <w:szCs w:val="28"/>
        </w:rPr>
        <w:t>m</w:t>
      </w:r>
      <w:r w:rsidR="00AA6898" w:rsidRPr="6A6BBF05">
        <w:rPr>
          <w:sz w:val="28"/>
          <w:szCs w:val="28"/>
        </w:rPr>
        <w:t>odificó el artículo </w:t>
      </w:r>
      <w:hyperlink r:id="rId13" w:anchor="205">
        <w:r w:rsidR="00AA6898" w:rsidRPr="6A6BBF05">
          <w:rPr>
            <w:rStyle w:val="Hipervnculo"/>
            <w:color w:val="auto"/>
            <w:sz w:val="28"/>
            <w:szCs w:val="28"/>
          </w:rPr>
          <w:t>205 </w:t>
        </w:r>
      </w:hyperlink>
      <w:r w:rsidR="00AA6898" w:rsidRPr="6A6BBF05">
        <w:rPr>
          <w:sz w:val="28"/>
          <w:szCs w:val="28"/>
        </w:rPr>
        <w:t>de la Ley 1437 de 2011, dispone que “</w:t>
      </w:r>
      <w:r w:rsidR="00AA6898" w:rsidRPr="6A6BBF05">
        <w:rPr>
          <w:i/>
          <w:iCs/>
          <w:sz w:val="28"/>
          <w:szCs w:val="28"/>
          <w:u w:val="single"/>
        </w:rPr>
        <w:t>La notificación de la providencia se entenderá realizada una vez transcurridos dos (2) días hábiles siguientes al envío del mensaje y los términos empezarán a correr a partir del día siguiente al de la notificación”.</w:t>
      </w:r>
    </w:p>
    <w:p w14:paraId="66D99FF8" w14:textId="77777777" w:rsidR="00AA6898" w:rsidRPr="00FC4E76" w:rsidRDefault="00AA6898" w:rsidP="00FC4E76">
      <w:pPr>
        <w:shd w:val="clear" w:color="auto" w:fill="FFFFFF"/>
        <w:spacing w:line="360" w:lineRule="auto"/>
        <w:jc w:val="both"/>
        <w:rPr>
          <w:rFonts w:ascii="Verdana" w:hAnsi="Verdana"/>
          <w:b/>
          <w:bCs/>
          <w:u w:val="single"/>
        </w:rPr>
      </w:pPr>
    </w:p>
    <w:p w14:paraId="45DADFBC" w14:textId="77777777" w:rsidR="00AA6898" w:rsidRPr="00A64062" w:rsidRDefault="00AA6898" w:rsidP="00A64062">
      <w:pPr>
        <w:shd w:val="clear" w:color="auto" w:fill="FFFFFF"/>
        <w:spacing w:line="360" w:lineRule="auto"/>
        <w:jc w:val="both"/>
        <w:rPr>
          <w:sz w:val="28"/>
          <w:szCs w:val="28"/>
        </w:rPr>
      </w:pPr>
      <w:r w:rsidRPr="00A64062">
        <w:rPr>
          <w:sz w:val="28"/>
          <w:szCs w:val="28"/>
        </w:rPr>
        <w:t>Esta disposición no establece distinción con respecto a la providencia por notificar, pues la expresión que utiliza es genérica: “notificación por medios electrónicos”, lo cual resulta aplicable a la totalidad de las notificaciones que se realizan en la Ley 2080 de 2021.</w:t>
      </w:r>
    </w:p>
    <w:p w14:paraId="78C605B0" w14:textId="77777777" w:rsidR="00AA6898" w:rsidRPr="00A64062" w:rsidRDefault="00AA6898" w:rsidP="00A64062">
      <w:pPr>
        <w:shd w:val="clear" w:color="auto" w:fill="FFFFFF"/>
        <w:spacing w:line="360" w:lineRule="auto"/>
        <w:jc w:val="both"/>
        <w:rPr>
          <w:b/>
          <w:bCs/>
          <w:sz w:val="28"/>
          <w:szCs w:val="28"/>
          <w:u w:val="single"/>
        </w:rPr>
      </w:pPr>
    </w:p>
    <w:p w14:paraId="5FD51B56" w14:textId="4055F195" w:rsidR="00AA6898" w:rsidRPr="00A64062" w:rsidRDefault="00AA6898" w:rsidP="6A6BBF05">
      <w:pPr>
        <w:shd w:val="clear" w:color="auto" w:fill="FFFFFF" w:themeFill="background1"/>
        <w:spacing w:line="360" w:lineRule="auto"/>
        <w:jc w:val="both"/>
        <w:rPr>
          <w:sz w:val="28"/>
          <w:szCs w:val="28"/>
        </w:rPr>
      </w:pPr>
      <w:r w:rsidRPr="6A6BBF05">
        <w:rPr>
          <w:sz w:val="28"/>
          <w:szCs w:val="28"/>
        </w:rPr>
        <w:t xml:space="preserve">Por tanto, cuando el mensaje de datos incluye la providencia a ser notificada, materialmente estamos en presencia de la </w:t>
      </w:r>
      <w:r w:rsidRPr="6A6BBF05">
        <w:rPr>
          <w:b/>
          <w:bCs/>
          <w:sz w:val="28"/>
          <w:szCs w:val="28"/>
        </w:rPr>
        <w:t>notificación por medios electrónicos</w:t>
      </w:r>
      <w:r w:rsidRPr="6A6BBF05">
        <w:rPr>
          <w:sz w:val="28"/>
          <w:szCs w:val="28"/>
        </w:rPr>
        <w:t xml:space="preserve"> del artículo 205 del CPACA, motivo por el cual deben darse las consecuencias que apareja dicha notificación, es decir, que la misma se entiende realizada una vez transcurridos </w:t>
      </w:r>
      <w:r w:rsidR="09962AA5" w:rsidRPr="6A6BBF05">
        <w:rPr>
          <w:sz w:val="28"/>
          <w:szCs w:val="28"/>
        </w:rPr>
        <w:t>dos (</w:t>
      </w:r>
      <w:r w:rsidRPr="6A6BBF05">
        <w:rPr>
          <w:sz w:val="28"/>
          <w:szCs w:val="28"/>
        </w:rPr>
        <w:t>2</w:t>
      </w:r>
      <w:r w:rsidR="36AF35C3" w:rsidRPr="6A6BBF05">
        <w:rPr>
          <w:sz w:val="28"/>
          <w:szCs w:val="28"/>
        </w:rPr>
        <w:t>)</w:t>
      </w:r>
      <w:r w:rsidRPr="6A6BBF05">
        <w:rPr>
          <w:sz w:val="28"/>
          <w:szCs w:val="28"/>
        </w:rPr>
        <w:t xml:space="preserve"> días siguientes al envío del mensaje.</w:t>
      </w:r>
    </w:p>
    <w:p w14:paraId="53AB301C" w14:textId="696173EB" w:rsidR="00FC4E76" w:rsidRPr="00A64062" w:rsidRDefault="00FC4E76" w:rsidP="00A64062">
      <w:pPr>
        <w:shd w:val="clear" w:color="auto" w:fill="FFFFFF"/>
        <w:spacing w:line="360" w:lineRule="auto"/>
        <w:jc w:val="both"/>
        <w:rPr>
          <w:sz w:val="28"/>
          <w:szCs w:val="28"/>
        </w:rPr>
      </w:pPr>
    </w:p>
    <w:p w14:paraId="5E2845C2" w14:textId="4121055A" w:rsidR="00FC4E76" w:rsidRPr="00A64062" w:rsidRDefault="00FC4E76" w:rsidP="6A6BBF05">
      <w:pPr>
        <w:spacing w:line="360" w:lineRule="auto"/>
        <w:ind w:right="-91"/>
        <w:jc w:val="both"/>
        <w:rPr>
          <w:i/>
          <w:iCs/>
          <w:sz w:val="28"/>
          <w:szCs w:val="28"/>
        </w:rPr>
      </w:pPr>
      <w:r w:rsidRPr="6A6BBF05">
        <w:rPr>
          <w:sz w:val="28"/>
          <w:szCs w:val="28"/>
        </w:rPr>
        <w:t xml:space="preserve">Ahora, es necesario indicar </w:t>
      </w:r>
      <w:proofErr w:type="gramStart"/>
      <w:r w:rsidRPr="6A6BBF05">
        <w:rPr>
          <w:sz w:val="28"/>
          <w:szCs w:val="28"/>
        </w:rPr>
        <w:t>que</w:t>
      </w:r>
      <w:proofErr w:type="gramEnd"/>
      <w:r w:rsidRPr="6A6BBF05">
        <w:rPr>
          <w:sz w:val="28"/>
          <w:szCs w:val="28"/>
        </w:rPr>
        <w:t xml:space="preserve"> en auto de unificación jurisprudencial del 29 de noviembre de 2022, la Sala Plena del Consejo de Estado adoptó la siguiente regla</w:t>
      </w:r>
      <w:r w:rsidR="6839D11E" w:rsidRPr="6A6BBF05">
        <w:rPr>
          <w:sz w:val="28"/>
          <w:szCs w:val="28"/>
        </w:rPr>
        <w:t xml:space="preserve"> que resulta vinculante</w:t>
      </w:r>
      <w:r w:rsidRPr="6A6BBF05">
        <w:rPr>
          <w:sz w:val="28"/>
          <w:szCs w:val="28"/>
        </w:rPr>
        <w:t xml:space="preserve">: </w:t>
      </w:r>
    </w:p>
    <w:p w14:paraId="41D0F1E8" w14:textId="79ECE24A" w:rsidR="00FC4E76" w:rsidRPr="00A64062" w:rsidRDefault="00FC4E76" w:rsidP="6A6BBF05">
      <w:pPr>
        <w:spacing w:line="360" w:lineRule="auto"/>
        <w:ind w:right="-91"/>
        <w:jc w:val="both"/>
        <w:rPr>
          <w:sz w:val="28"/>
          <w:szCs w:val="28"/>
        </w:rPr>
      </w:pPr>
    </w:p>
    <w:p w14:paraId="1B75760A" w14:textId="1E880C19" w:rsidR="00FC4E76" w:rsidRPr="00A64062" w:rsidRDefault="00FC4E76" w:rsidP="6A6BBF05">
      <w:pPr>
        <w:ind w:left="540" w:right="450"/>
        <w:jc w:val="both"/>
        <w:rPr>
          <w:i/>
          <w:iCs/>
          <w:sz w:val="28"/>
          <w:szCs w:val="28"/>
        </w:rPr>
      </w:pPr>
      <w:r w:rsidRPr="6A6BBF05">
        <w:rPr>
          <w:sz w:val="28"/>
          <w:szCs w:val="28"/>
        </w:rPr>
        <w:t>“</w:t>
      </w:r>
      <w:r w:rsidRPr="6A6BBF05">
        <w:rPr>
          <w:i/>
          <w:iCs/>
          <w:sz w:val="28"/>
          <w:szCs w:val="28"/>
        </w:rPr>
        <w:t xml:space="preserve">La notificación de las sentencias por vía electrónica prevista en el inciso primero del artículo 203 del CPACA </w:t>
      </w:r>
      <w:r w:rsidRPr="6A6BBF05">
        <w:rPr>
          <w:b/>
          <w:bCs/>
          <w:i/>
          <w:iCs/>
          <w:sz w:val="28"/>
          <w:szCs w:val="28"/>
        </w:rPr>
        <w:t>se entenderá realizada una vez transcurridos dos (2) días hábiles siguientes al envío del mensaje</w:t>
      </w:r>
      <w:r w:rsidRPr="6A6BBF05">
        <w:rPr>
          <w:i/>
          <w:iCs/>
          <w:sz w:val="28"/>
          <w:szCs w:val="28"/>
        </w:rPr>
        <w:t xml:space="preserve"> y los términos empezarán a correr a partir del día siguiente al de la notificación, de conformidad con lo dispuesto en el numeral 2 del artículo 205 del CPACA”</w:t>
      </w:r>
    </w:p>
    <w:p w14:paraId="0D868963" w14:textId="77777777" w:rsidR="00AA6898" w:rsidRPr="00A64062" w:rsidRDefault="00AA6898" w:rsidP="00A64062">
      <w:pPr>
        <w:shd w:val="clear" w:color="auto" w:fill="FFFFFF"/>
        <w:spacing w:line="360" w:lineRule="auto"/>
        <w:jc w:val="both"/>
        <w:rPr>
          <w:b/>
          <w:bCs/>
          <w:i/>
          <w:iCs/>
          <w:sz w:val="28"/>
          <w:szCs w:val="28"/>
          <w:u w:val="single"/>
        </w:rPr>
      </w:pPr>
    </w:p>
    <w:p w14:paraId="7D5157F4" w14:textId="13F9E974" w:rsidR="00AA6898" w:rsidRPr="00A64062" w:rsidRDefault="00AA6898" w:rsidP="00A64062">
      <w:pPr>
        <w:spacing w:line="360" w:lineRule="auto"/>
        <w:ind w:right="-91"/>
        <w:jc w:val="both"/>
        <w:rPr>
          <w:b/>
          <w:bCs/>
          <w:sz w:val="28"/>
          <w:szCs w:val="28"/>
          <w:u w:val="single"/>
        </w:rPr>
      </w:pPr>
      <w:r w:rsidRPr="00A64062">
        <w:rPr>
          <w:sz w:val="28"/>
          <w:szCs w:val="28"/>
        </w:rPr>
        <w:t>Entonces, de acuerdo con lo establecido en el numeral segundo de la norma en cita, al haberse</w:t>
      </w:r>
      <w:r w:rsidR="004F1EC4" w:rsidRPr="00A64062">
        <w:rPr>
          <w:sz w:val="28"/>
          <w:szCs w:val="28"/>
        </w:rPr>
        <w:t xml:space="preserve"> notificado la sentencia el </w:t>
      </w:r>
      <w:r w:rsidR="004F1EC4" w:rsidRPr="00A64062">
        <w:rPr>
          <w:b/>
          <w:sz w:val="28"/>
          <w:szCs w:val="28"/>
        </w:rPr>
        <w:t>14 de febrero de 2022</w:t>
      </w:r>
      <w:r w:rsidRPr="00A64062">
        <w:rPr>
          <w:sz w:val="28"/>
          <w:szCs w:val="28"/>
        </w:rPr>
        <w:t xml:space="preserve">, el término de los diez (10) se deben contar a partir de los dos (2) días hábiles siguientes a dicha notificación, es decir, a partir del día </w:t>
      </w:r>
      <w:r w:rsidRPr="00A64062">
        <w:rPr>
          <w:b/>
          <w:bCs/>
          <w:sz w:val="28"/>
          <w:szCs w:val="28"/>
        </w:rPr>
        <w:t>1</w:t>
      </w:r>
      <w:r w:rsidR="004F1EC4" w:rsidRPr="00A64062">
        <w:rPr>
          <w:b/>
          <w:bCs/>
          <w:sz w:val="28"/>
          <w:szCs w:val="28"/>
        </w:rPr>
        <w:t>7</w:t>
      </w:r>
      <w:r w:rsidRPr="00A64062">
        <w:rPr>
          <w:b/>
          <w:bCs/>
          <w:sz w:val="28"/>
          <w:szCs w:val="28"/>
        </w:rPr>
        <w:t xml:space="preserve"> de </w:t>
      </w:r>
      <w:r w:rsidR="004F1EC4" w:rsidRPr="00A64062">
        <w:rPr>
          <w:b/>
          <w:bCs/>
          <w:sz w:val="28"/>
          <w:szCs w:val="28"/>
        </w:rPr>
        <w:t xml:space="preserve">febrero </w:t>
      </w:r>
      <w:r w:rsidRPr="00A64062">
        <w:rPr>
          <w:b/>
          <w:bCs/>
          <w:sz w:val="28"/>
          <w:szCs w:val="28"/>
        </w:rPr>
        <w:t>de 2022</w:t>
      </w:r>
      <w:r w:rsidRPr="00A64062">
        <w:rPr>
          <w:sz w:val="28"/>
          <w:szCs w:val="28"/>
        </w:rPr>
        <w:t xml:space="preserve">, venciendo dicho término el día </w:t>
      </w:r>
      <w:r w:rsidR="004F1EC4" w:rsidRPr="00A64062">
        <w:rPr>
          <w:b/>
          <w:bCs/>
          <w:sz w:val="28"/>
          <w:szCs w:val="28"/>
          <w:u w:val="single"/>
        </w:rPr>
        <w:t xml:space="preserve">2 de marzo </w:t>
      </w:r>
      <w:r w:rsidRPr="00A64062">
        <w:rPr>
          <w:b/>
          <w:bCs/>
          <w:sz w:val="28"/>
          <w:szCs w:val="28"/>
          <w:u w:val="single"/>
        </w:rPr>
        <w:t>de 2022</w:t>
      </w:r>
      <w:r w:rsidR="004F1EC4" w:rsidRPr="00A64062">
        <w:rPr>
          <w:b/>
          <w:bCs/>
          <w:sz w:val="28"/>
          <w:szCs w:val="28"/>
          <w:u w:val="single"/>
        </w:rPr>
        <w:t xml:space="preserve"> a las 5:00 p.m.</w:t>
      </w:r>
    </w:p>
    <w:p w14:paraId="34A8264D" w14:textId="77777777" w:rsidR="00AA6898" w:rsidRPr="00A64062" w:rsidRDefault="00AA6898" w:rsidP="00A64062">
      <w:pPr>
        <w:spacing w:line="360" w:lineRule="auto"/>
        <w:ind w:right="-91"/>
        <w:jc w:val="both"/>
        <w:rPr>
          <w:sz w:val="28"/>
          <w:szCs w:val="28"/>
        </w:rPr>
      </w:pPr>
    </w:p>
    <w:p w14:paraId="31D218C9" w14:textId="2BE86AAC" w:rsidR="00AA6898" w:rsidRPr="00A64062" w:rsidRDefault="00AA6898" w:rsidP="6A6BBF05">
      <w:pPr>
        <w:spacing w:line="360" w:lineRule="auto"/>
        <w:ind w:right="-91"/>
        <w:jc w:val="both"/>
        <w:rPr>
          <w:b/>
          <w:bCs/>
          <w:sz w:val="28"/>
          <w:szCs w:val="28"/>
        </w:rPr>
      </w:pPr>
      <w:r w:rsidRPr="6A6BBF05">
        <w:rPr>
          <w:sz w:val="28"/>
          <w:szCs w:val="28"/>
        </w:rPr>
        <w:t xml:space="preserve">El escrito de </w:t>
      </w:r>
      <w:r w:rsidR="004F1EC4" w:rsidRPr="6A6BBF05">
        <w:rPr>
          <w:sz w:val="28"/>
          <w:szCs w:val="28"/>
        </w:rPr>
        <w:t xml:space="preserve">apelación </w:t>
      </w:r>
      <w:r w:rsidRPr="6A6BBF05">
        <w:rPr>
          <w:sz w:val="28"/>
          <w:szCs w:val="28"/>
        </w:rPr>
        <w:t xml:space="preserve">fue recibido el </w:t>
      </w:r>
      <w:r w:rsidR="004F1EC4" w:rsidRPr="6A6BBF05">
        <w:rPr>
          <w:b/>
          <w:bCs/>
          <w:sz w:val="28"/>
          <w:szCs w:val="28"/>
        </w:rPr>
        <w:t>28 de febrero de 2022,</w:t>
      </w:r>
      <w:r w:rsidR="004F1EC4" w:rsidRPr="6A6BBF05">
        <w:rPr>
          <w:sz w:val="28"/>
          <w:szCs w:val="28"/>
        </w:rPr>
        <w:t xml:space="preserve"> </w:t>
      </w:r>
      <w:r w:rsidRPr="6A6BBF05">
        <w:rPr>
          <w:sz w:val="28"/>
          <w:szCs w:val="28"/>
        </w:rPr>
        <w:t xml:space="preserve">por lo que fuerza concluir que </w:t>
      </w:r>
      <w:r w:rsidRPr="6A6BBF05">
        <w:rPr>
          <w:b/>
          <w:bCs/>
          <w:sz w:val="28"/>
          <w:szCs w:val="28"/>
        </w:rPr>
        <w:t xml:space="preserve">el </w:t>
      </w:r>
      <w:r w:rsidR="004F1EC4" w:rsidRPr="6A6BBF05">
        <w:rPr>
          <w:b/>
          <w:bCs/>
          <w:sz w:val="28"/>
          <w:szCs w:val="28"/>
        </w:rPr>
        <w:t xml:space="preserve">mismo </w:t>
      </w:r>
      <w:r w:rsidRPr="6A6BBF05">
        <w:rPr>
          <w:b/>
          <w:bCs/>
          <w:sz w:val="28"/>
          <w:szCs w:val="28"/>
        </w:rPr>
        <w:t>fue presentado oportunamente.</w:t>
      </w:r>
    </w:p>
    <w:p w14:paraId="0E511584" w14:textId="57B311F0" w:rsidR="00243F50" w:rsidRPr="00A64062" w:rsidRDefault="00243F50" w:rsidP="6A6BBF05">
      <w:pPr>
        <w:spacing w:line="360" w:lineRule="auto"/>
        <w:ind w:right="-91"/>
        <w:jc w:val="both"/>
        <w:rPr>
          <w:b/>
          <w:bCs/>
          <w:sz w:val="28"/>
          <w:szCs w:val="28"/>
        </w:rPr>
      </w:pPr>
    </w:p>
    <w:p w14:paraId="18FFB0FE" w14:textId="14A8DCDA" w:rsidR="00243F50" w:rsidRPr="005D66D8" w:rsidRDefault="00243F50" w:rsidP="00A64062">
      <w:pPr>
        <w:spacing w:line="360" w:lineRule="auto"/>
        <w:jc w:val="both"/>
        <w:rPr>
          <w:sz w:val="28"/>
          <w:szCs w:val="28"/>
        </w:rPr>
      </w:pPr>
      <w:r w:rsidRPr="6A6BBF05">
        <w:rPr>
          <w:rFonts w:eastAsia="Batang"/>
          <w:sz w:val="28"/>
          <w:szCs w:val="28"/>
        </w:rPr>
        <w:lastRenderedPageBreak/>
        <w:t xml:space="preserve">Bajo estos supuestos, considera el despacho que el recurso de apelación estuvo mal denegado como quiera que se presentó </w:t>
      </w:r>
      <w:r w:rsidR="003A7E9A" w:rsidRPr="6A6BBF05">
        <w:rPr>
          <w:rFonts w:eastAsia="Batang"/>
          <w:sz w:val="28"/>
          <w:szCs w:val="28"/>
        </w:rPr>
        <w:t>oportunamente</w:t>
      </w:r>
      <w:r w:rsidRPr="6A6BBF05">
        <w:rPr>
          <w:rFonts w:eastAsia="Batang"/>
          <w:sz w:val="28"/>
          <w:szCs w:val="28"/>
        </w:rPr>
        <w:t xml:space="preserve">, </w:t>
      </w:r>
      <w:r w:rsidRPr="6A6BBF05">
        <w:rPr>
          <w:sz w:val="28"/>
          <w:szCs w:val="28"/>
        </w:rPr>
        <w:t xml:space="preserve">pues con la obligatoriedad de realizar las notificaciones por canales electrónicos los términos y los traslados que se hacen en las providencias así notificadas se empiezan a contar </w:t>
      </w:r>
      <w:r w:rsidR="58B66EB9" w:rsidRPr="6A6BBF05">
        <w:rPr>
          <w:sz w:val="28"/>
          <w:szCs w:val="28"/>
        </w:rPr>
        <w:t>dos (2)</w:t>
      </w:r>
      <w:r w:rsidRPr="6A6BBF05">
        <w:rPr>
          <w:sz w:val="28"/>
          <w:szCs w:val="28"/>
        </w:rPr>
        <w:t xml:space="preserve"> días hábiles siguientes al del envió del mensaje y, en consecuencia, el término respectivo empezará a correr a partir del día siguiente.</w:t>
      </w:r>
    </w:p>
    <w:p w14:paraId="4339E7C3" w14:textId="1F7D00FA" w:rsidR="00243F50" w:rsidRPr="005D66D8" w:rsidRDefault="00243F50" w:rsidP="005D66D8">
      <w:pPr>
        <w:spacing w:line="360" w:lineRule="auto"/>
        <w:jc w:val="both"/>
        <w:rPr>
          <w:rFonts w:eastAsia="Batang"/>
          <w:sz w:val="28"/>
          <w:szCs w:val="28"/>
        </w:rPr>
      </w:pPr>
    </w:p>
    <w:p w14:paraId="7B032C8B" w14:textId="0BB581FB" w:rsidR="00243F50" w:rsidRPr="005D66D8" w:rsidRDefault="00355E97" w:rsidP="6A6BBF05">
      <w:pPr>
        <w:spacing w:line="360" w:lineRule="auto"/>
        <w:jc w:val="both"/>
        <w:rPr>
          <w:rFonts w:eastAsia="Calibri"/>
          <w:sz w:val="28"/>
          <w:szCs w:val="28"/>
          <w:lang w:val="es-CO" w:eastAsia="es-CO"/>
        </w:rPr>
      </w:pPr>
      <w:r w:rsidRPr="6F3DB9EA">
        <w:rPr>
          <w:rFonts w:eastAsia="Calibri"/>
          <w:sz w:val="28"/>
          <w:szCs w:val="28"/>
          <w:lang w:val="es-CO" w:eastAsia="es-CO"/>
        </w:rPr>
        <w:t>D</w:t>
      </w:r>
      <w:r w:rsidR="00243F50" w:rsidRPr="6F3DB9EA">
        <w:rPr>
          <w:rFonts w:eastAsia="Calibri"/>
          <w:sz w:val="28"/>
          <w:szCs w:val="28"/>
          <w:lang w:val="es-CO" w:eastAsia="es-CO"/>
        </w:rPr>
        <w:t>e manera que</w:t>
      </w:r>
      <w:r w:rsidRPr="6F3DB9EA">
        <w:rPr>
          <w:rFonts w:eastAsia="Calibri"/>
          <w:sz w:val="28"/>
          <w:szCs w:val="28"/>
          <w:lang w:val="es-CO" w:eastAsia="es-CO"/>
        </w:rPr>
        <w:t xml:space="preserve">, </w:t>
      </w:r>
      <w:r w:rsidR="1445C7F2" w:rsidRPr="6F3DB9EA">
        <w:rPr>
          <w:rFonts w:eastAsia="Calibri"/>
          <w:sz w:val="28"/>
          <w:szCs w:val="28"/>
          <w:lang w:val="es-CO" w:eastAsia="es-CO"/>
        </w:rPr>
        <w:t>procede conceder</w:t>
      </w:r>
      <w:r w:rsidR="00243F50" w:rsidRPr="6F3DB9EA">
        <w:rPr>
          <w:rFonts w:eastAsia="Calibri"/>
          <w:sz w:val="28"/>
          <w:szCs w:val="28"/>
          <w:lang w:val="es-CO" w:eastAsia="es-CO"/>
        </w:rPr>
        <w:t xml:space="preserve"> el recurso de apelación contra </w:t>
      </w:r>
      <w:r w:rsidRPr="6F3DB9EA">
        <w:rPr>
          <w:rFonts w:eastAsia="Calibri"/>
          <w:sz w:val="28"/>
          <w:szCs w:val="28"/>
          <w:lang w:val="es-CO" w:eastAsia="es-CO"/>
        </w:rPr>
        <w:t xml:space="preserve">la sentencia del </w:t>
      </w:r>
      <w:r w:rsidRPr="6F3DB9EA">
        <w:rPr>
          <w:rFonts w:eastAsia="Calibri"/>
          <w:b/>
          <w:bCs/>
          <w:sz w:val="28"/>
          <w:szCs w:val="28"/>
          <w:lang w:val="es-CO" w:eastAsia="es-CO"/>
        </w:rPr>
        <w:t>11 de febrero de 2022</w:t>
      </w:r>
      <w:r w:rsidR="00243F50" w:rsidRPr="6F3DB9EA">
        <w:rPr>
          <w:rFonts w:eastAsia="Calibri"/>
          <w:sz w:val="28"/>
          <w:szCs w:val="28"/>
          <w:lang w:val="es-CO" w:eastAsia="es-CO"/>
        </w:rPr>
        <w:t xml:space="preserve"> proferid</w:t>
      </w:r>
      <w:r w:rsidRPr="6F3DB9EA">
        <w:rPr>
          <w:rFonts w:eastAsia="Calibri"/>
          <w:sz w:val="28"/>
          <w:szCs w:val="28"/>
          <w:lang w:val="es-CO" w:eastAsia="es-CO"/>
        </w:rPr>
        <w:t xml:space="preserve">a </w:t>
      </w:r>
      <w:r w:rsidR="00243F50" w:rsidRPr="6F3DB9EA">
        <w:rPr>
          <w:rFonts w:eastAsia="Calibri"/>
          <w:sz w:val="28"/>
          <w:szCs w:val="28"/>
          <w:lang w:val="es-CO" w:eastAsia="es-CO"/>
        </w:rPr>
        <w:t xml:space="preserve">por el Juzgado </w:t>
      </w:r>
      <w:r w:rsidRPr="6F3DB9EA">
        <w:rPr>
          <w:rFonts w:eastAsia="Calibri"/>
          <w:sz w:val="28"/>
          <w:szCs w:val="28"/>
          <w:lang w:val="es-CO" w:eastAsia="es-CO"/>
        </w:rPr>
        <w:t>Décimo</w:t>
      </w:r>
      <w:r w:rsidR="00243F50" w:rsidRPr="6F3DB9EA">
        <w:rPr>
          <w:rFonts w:eastAsia="Calibri"/>
          <w:sz w:val="28"/>
          <w:szCs w:val="28"/>
          <w:lang w:val="es-CO" w:eastAsia="es-CO"/>
        </w:rPr>
        <w:t xml:space="preserve"> Administrativo de </w:t>
      </w:r>
      <w:r w:rsidRPr="6F3DB9EA">
        <w:rPr>
          <w:rFonts w:eastAsia="Calibri"/>
          <w:sz w:val="28"/>
          <w:szCs w:val="28"/>
          <w:lang w:val="es-CO" w:eastAsia="es-CO"/>
        </w:rPr>
        <w:t>Tunja</w:t>
      </w:r>
      <w:r w:rsidR="00701173" w:rsidRPr="6F3DB9EA">
        <w:rPr>
          <w:rFonts w:eastAsia="Calibri"/>
          <w:sz w:val="28"/>
          <w:szCs w:val="28"/>
          <w:lang w:val="es-CO" w:eastAsia="es-CO"/>
        </w:rPr>
        <w:t>.</w:t>
      </w:r>
    </w:p>
    <w:bookmarkEnd w:id="11"/>
    <w:p w14:paraId="43D0DD5D" w14:textId="77777777" w:rsidR="00243F50" w:rsidRPr="005D66D8" w:rsidRDefault="00243F50" w:rsidP="005D66D8">
      <w:pPr>
        <w:spacing w:line="360" w:lineRule="auto"/>
        <w:jc w:val="both"/>
        <w:rPr>
          <w:sz w:val="28"/>
          <w:szCs w:val="28"/>
        </w:rPr>
      </w:pPr>
    </w:p>
    <w:p w14:paraId="02057C2F" w14:textId="77777777" w:rsidR="00701173" w:rsidRPr="005D66D8" w:rsidRDefault="00701173" w:rsidP="005D66D8">
      <w:pPr>
        <w:pStyle w:val="BodyText21"/>
        <w:spacing w:line="360" w:lineRule="auto"/>
        <w:rPr>
          <w:rFonts w:ascii="Times New Roman" w:hAnsi="Times New Roman"/>
          <w:sz w:val="28"/>
          <w:szCs w:val="28"/>
        </w:rPr>
      </w:pPr>
      <w:r w:rsidRPr="005D66D8">
        <w:rPr>
          <w:rFonts w:ascii="Times New Roman" w:hAnsi="Times New Roman"/>
          <w:sz w:val="28"/>
          <w:szCs w:val="28"/>
        </w:rPr>
        <w:t xml:space="preserve">En mérito de lo expuesto, el Despacho </w:t>
      </w:r>
      <w:proofErr w:type="spellStart"/>
      <w:r w:rsidRPr="005D66D8">
        <w:rPr>
          <w:rFonts w:ascii="Times New Roman" w:hAnsi="Times New Roman"/>
          <w:sz w:val="28"/>
          <w:szCs w:val="28"/>
        </w:rPr>
        <w:t>N°</w:t>
      </w:r>
      <w:proofErr w:type="spellEnd"/>
      <w:r w:rsidRPr="005D66D8">
        <w:rPr>
          <w:rFonts w:ascii="Times New Roman" w:hAnsi="Times New Roman"/>
          <w:sz w:val="28"/>
          <w:szCs w:val="28"/>
        </w:rPr>
        <w:t xml:space="preserve"> 2 del Tribunal Administrativo de Boyacá </w:t>
      </w:r>
    </w:p>
    <w:p w14:paraId="2779BE1D" w14:textId="77777777" w:rsidR="00701173" w:rsidRPr="00C068A4" w:rsidRDefault="00701173" w:rsidP="00701173">
      <w:pPr>
        <w:spacing w:line="360" w:lineRule="auto"/>
        <w:jc w:val="center"/>
        <w:rPr>
          <w:b/>
          <w:bCs/>
          <w:sz w:val="28"/>
          <w:szCs w:val="28"/>
        </w:rPr>
      </w:pPr>
      <w:r w:rsidRPr="00C068A4">
        <w:rPr>
          <w:b/>
          <w:bCs/>
          <w:sz w:val="28"/>
          <w:szCs w:val="28"/>
        </w:rPr>
        <w:t>RESUELVE</w:t>
      </w:r>
    </w:p>
    <w:p w14:paraId="047F2A5E" w14:textId="77777777" w:rsidR="00701173" w:rsidRPr="00C068A4" w:rsidRDefault="00701173" w:rsidP="00701173">
      <w:pPr>
        <w:spacing w:line="360" w:lineRule="auto"/>
        <w:jc w:val="both"/>
        <w:rPr>
          <w:b/>
          <w:bCs/>
          <w:sz w:val="28"/>
          <w:szCs w:val="28"/>
        </w:rPr>
      </w:pPr>
    </w:p>
    <w:p w14:paraId="2D96D0A6" w14:textId="694A5999" w:rsidR="00701173" w:rsidRDefault="1844F1DB" w:rsidP="6A6BBF05">
      <w:pPr>
        <w:spacing w:line="360" w:lineRule="auto"/>
        <w:jc w:val="both"/>
        <w:rPr>
          <w:sz w:val="28"/>
          <w:szCs w:val="28"/>
          <w:lang w:val="es-CO"/>
        </w:rPr>
      </w:pPr>
      <w:r w:rsidRPr="6F3DB9EA">
        <w:rPr>
          <w:b/>
          <w:bCs/>
          <w:sz w:val="28"/>
          <w:szCs w:val="28"/>
        </w:rPr>
        <w:t xml:space="preserve">PRIMERO. </w:t>
      </w:r>
      <w:r w:rsidR="00701173" w:rsidRPr="6F3DB9EA">
        <w:rPr>
          <w:b/>
          <w:bCs/>
          <w:sz w:val="28"/>
          <w:szCs w:val="28"/>
        </w:rPr>
        <w:t>ESTÍMASE MAL DENEGADO</w:t>
      </w:r>
      <w:r w:rsidR="00701173" w:rsidRPr="6F3DB9EA">
        <w:rPr>
          <w:sz w:val="28"/>
          <w:szCs w:val="28"/>
        </w:rPr>
        <w:t xml:space="preserve"> el recurso de apelación formulado contra la sentencia proferida el 11 de febrero de 2022 por el Juzgado </w:t>
      </w:r>
      <w:r w:rsidR="00701173" w:rsidRPr="6F3DB9EA">
        <w:rPr>
          <w:rFonts w:eastAsia="Calibri"/>
          <w:sz w:val="28"/>
          <w:szCs w:val="28"/>
          <w:lang w:val="es-CO" w:eastAsia="es-CO"/>
        </w:rPr>
        <w:t>Décimo Administrativo de Tunja</w:t>
      </w:r>
      <w:r w:rsidR="390F26BC" w:rsidRPr="6F3DB9EA">
        <w:rPr>
          <w:rFonts w:eastAsia="Calibri"/>
          <w:sz w:val="28"/>
          <w:szCs w:val="28"/>
          <w:lang w:val="es-CO" w:eastAsia="es-CO"/>
        </w:rPr>
        <w:t xml:space="preserve">. </w:t>
      </w:r>
      <w:r w:rsidR="232481C5" w:rsidRPr="6F3DB9EA">
        <w:rPr>
          <w:rFonts w:eastAsia="Calibri"/>
          <w:sz w:val="28"/>
          <w:szCs w:val="28"/>
          <w:lang w:val="es-CO" w:eastAsia="es-CO"/>
        </w:rPr>
        <w:t xml:space="preserve"> </w:t>
      </w:r>
      <w:r w:rsidR="232481C5" w:rsidRPr="6F3DB9EA">
        <w:rPr>
          <w:sz w:val="28"/>
          <w:szCs w:val="28"/>
          <w:lang w:val="es-CO"/>
        </w:rPr>
        <w:t>E</w:t>
      </w:r>
      <w:r w:rsidR="5F37A7BB" w:rsidRPr="6F3DB9EA">
        <w:rPr>
          <w:sz w:val="28"/>
          <w:szCs w:val="28"/>
          <w:lang w:val="es-CO"/>
        </w:rPr>
        <w:t>n consecuencia</w:t>
      </w:r>
      <w:r w:rsidR="232481C5" w:rsidRPr="6F3DB9EA">
        <w:rPr>
          <w:sz w:val="28"/>
          <w:szCs w:val="28"/>
          <w:lang w:val="es-CO"/>
        </w:rPr>
        <w:t>,</w:t>
      </w:r>
      <w:r w:rsidR="0D987AFA" w:rsidRPr="6F3DB9EA">
        <w:rPr>
          <w:sz w:val="28"/>
          <w:szCs w:val="28"/>
          <w:lang w:val="es-CO"/>
        </w:rPr>
        <w:t xml:space="preserve"> </w:t>
      </w:r>
      <w:r w:rsidR="0D987AFA" w:rsidRPr="6F3DB9EA">
        <w:rPr>
          <w:b/>
          <w:bCs/>
          <w:sz w:val="28"/>
          <w:szCs w:val="28"/>
          <w:lang w:val="es-CO"/>
        </w:rPr>
        <w:t xml:space="preserve">SE REVOCA </w:t>
      </w:r>
      <w:r w:rsidR="0D987AFA" w:rsidRPr="6F3DB9EA">
        <w:rPr>
          <w:sz w:val="28"/>
          <w:szCs w:val="28"/>
        </w:rPr>
        <w:t xml:space="preserve">el auto del 25 de marzo de 2022 </w:t>
      </w:r>
      <w:r w:rsidR="2108BB92" w:rsidRPr="6F3DB9EA">
        <w:rPr>
          <w:sz w:val="28"/>
          <w:szCs w:val="28"/>
        </w:rPr>
        <w:t xml:space="preserve">dictado por el a quo </w:t>
      </w:r>
      <w:r w:rsidR="5BFD3FFC" w:rsidRPr="6F3DB9EA">
        <w:rPr>
          <w:sz w:val="28"/>
          <w:szCs w:val="28"/>
        </w:rPr>
        <w:t>y</w:t>
      </w:r>
      <w:r w:rsidR="0D987AFA" w:rsidRPr="6F3DB9EA">
        <w:rPr>
          <w:sz w:val="28"/>
          <w:szCs w:val="28"/>
        </w:rPr>
        <w:t xml:space="preserve"> </w:t>
      </w:r>
      <w:r w:rsidR="35B81783" w:rsidRPr="6F3DB9EA">
        <w:rPr>
          <w:sz w:val="28"/>
          <w:szCs w:val="28"/>
        </w:rPr>
        <w:t xml:space="preserve">en su lugar </w:t>
      </w:r>
      <w:r w:rsidR="0D987AFA" w:rsidRPr="6F3DB9EA">
        <w:rPr>
          <w:sz w:val="28"/>
          <w:szCs w:val="28"/>
        </w:rPr>
        <w:t xml:space="preserve">se </w:t>
      </w:r>
      <w:r w:rsidR="232481C5" w:rsidRPr="6F3DB9EA">
        <w:rPr>
          <w:b/>
          <w:bCs/>
          <w:sz w:val="28"/>
          <w:szCs w:val="28"/>
          <w:lang w:val="es-CO"/>
        </w:rPr>
        <w:t>CONC</w:t>
      </w:r>
      <w:r w:rsidR="659E3E1F" w:rsidRPr="6F3DB9EA">
        <w:rPr>
          <w:b/>
          <w:bCs/>
          <w:sz w:val="28"/>
          <w:szCs w:val="28"/>
          <w:lang w:val="es-CO"/>
        </w:rPr>
        <w:t xml:space="preserve">EDE </w:t>
      </w:r>
      <w:r w:rsidR="5C81721E" w:rsidRPr="6F3DB9EA">
        <w:rPr>
          <w:sz w:val="28"/>
          <w:szCs w:val="28"/>
          <w:lang w:val="es-CO"/>
        </w:rPr>
        <w:t xml:space="preserve">el recurso de apelación </w:t>
      </w:r>
      <w:r w:rsidR="659E3E1F" w:rsidRPr="6F3DB9EA">
        <w:rPr>
          <w:sz w:val="28"/>
          <w:szCs w:val="28"/>
          <w:lang w:val="es-CO"/>
        </w:rPr>
        <w:t xml:space="preserve">para ante esta </w:t>
      </w:r>
      <w:r w:rsidR="1741DC90" w:rsidRPr="6F3DB9EA">
        <w:rPr>
          <w:sz w:val="28"/>
          <w:szCs w:val="28"/>
          <w:lang w:val="es-CO"/>
        </w:rPr>
        <w:t>corporación</w:t>
      </w:r>
      <w:r w:rsidR="659E3E1F" w:rsidRPr="6F3DB9EA">
        <w:rPr>
          <w:sz w:val="28"/>
          <w:szCs w:val="28"/>
          <w:lang w:val="es-CO"/>
        </w:rPr>
        <w:t>.</w:t>
      </w:r>
    </w:p>
    <w:p w14:paraId="682E97CF" w14:textId="3B80B37D" w:rsidR="6F3DB9EA" w:rsidRDefault="6F3DB9EA" w:rsidP="6F3DB9EA">
      <w:pPr>
        <w:spacing w:line="360" w:lineRule="auto"/>
        <w:jc w:val="both"/>
        <w:rPr>
          <w:b/>
          <w:bCs/>
          <w:sz w:val="28"/>
          <w:szCs w:val="28"/>
          <w:lang w:val="es-CO"/>
        </w:rPr>
      </w:pPr>
    </w:p>
    <w:p w14:paraId="23D972CF" w14:textId="5AC12A7C" w:rsidR="2FD5B341" w:rsidRDefault="2FD5B341" w:rsidP="6F3DB9EA">
      <w:pPr>
        <w:spacing w:line="360" w:lineRule="auto"/>
        <w:jc w:val="both"/>
        <w:rPr>
          <w:sz w:val="28"/>
          <w:szCs w:val="28"/>
          <w:lang w:val="es-CO"/>
        </w:rPr>
      </w:pPr>
      <w:r w:rsidRPr="6F3DB9EA">
        <w:rPr>
          <w:b/>
          <w:bCs/>
          <w:sz w:val="28"/>
          <w:szCs w:val="28"/>
          <w:lang w:val="es-CO"/>
        </w:rPr>
        <w:t xml:space="preserve">SEGUNDO. </w:t>
      </w:r>
      <w:r w:rsidRPr="6F3DB9EA">
        <w:rPr>
          <w:sz w:val="28"/>
          <w:szCs w:val="28"/>
          <w:lang w:val="es-CO"/>
        </w:rPr>
        <w:t>Ejecutoriada esta providencia, ingrese el proceso al despacho para decidir sobre la admisión del recurso de apelación.</w:t>
      </w:r>
    </w:p>
    <w:p w14:paraId="4335F562" w14:textId="33839282" w:rsidR="6A6BBF05" w:rsidRDefault="6A6BBF05" w:rsidP="6A6BBF05">
      <w:pPr>
        <w:spacing w:line="360" w:lineRule="auto"/>
        <w:jc w:val="both"/>
        <w:rPr>
          <w:sz w:val="28"/>
          <w:szCs w:val="28"/>
        </w:rPr>
      </w:pPr>
    </w:p>
    <w:p w14:paraId="54E6D152" w14:textId="77777777" w:rsidR="00701173" w:rsidRPr="00C068A4" w:rsidRDefault="00701173" w:rsidP="00701173">
      <w:pPr>
        <w:spacing w:line="360" w:lineRule="auto"/>
        <w:jc w:val="both"/>
        <w:rPr>
          <w:sz w:val="28"/>
          <w:szCs w:val="28"/>
        </w:rPr>
      </w:pPr>
    </w:p>
    <w:p w14:paraId="35F90CA8" w14:textId="09AC66A2" w:rsidR="00701173" w:rsidRPr="00C068A4" w:rsidRDefault="00701173" w:rsidP="00701173">
      <w:pPr>
        <w:spacing w:line="360" w:lineRule="auto"/>
        <w:jc w:val="center"/>
        <w:outlineLvl w:val="0"/>
        <w:rPr>
          <w:sz w:val="28"/>
          <w:szCs w:val="28"/>
        </w:rPr>
      </w:pPr>
      <w:r w:rsidRPr="6A6BBF05">
        <w:rPr>
          <w:sz w:val="28"/>
          <w:szCs w:val="28"/>
        </w:rPr>
        <w:t>Notifíquese y cúmplase</w:t>
      </w:r>
      <w:r w:rsidR="03AD38B6" w:rsidRPr="6A6BBF05">
        <w:rPr>
          <w:sz w:val="28"/>
          <w:szCs w:val="28"/>
        </w:rPr>
        <w:t>,</w:t>
      </w:r>
    </w:p>
    <w:p w14:paraId="50348C14" w14:textId="77777777" w:rsidR="00701173" w:rsidRPr="00064449" w:rsidRDefault="00701173" w:rsidP="00701173">
      <w:pPr>
        <w:spacing w:line="360" w:lineRule="auto"/>
        <w:jc w:val="center"/>
        <w:outlineLvl w:val="0"/>
        <w:rPr>
          <w:sz w:val="28"/>
          <w:szCs w:val="28"/>
        </w:rPr>
      </w:pPr>
    </w:p>
    <w:p w14:paraId="0AEEBC00" w14:textId="77777777" w:rsidR="00701173" w:rsidRPr="00064449" w:rsidRDefault="00701173" w:rsidP="00701173">
      <w:pPr>
        <w:spacing w:line="360" w:lineRule="auto"/>
        <w:jc w:val="center"/>
        <w:outlineLvl w:val="0"/>
        <w:rPr>
          <w:sz w:val="28"/>
          <w:szCs w:val="28"/>
        </w:rPr>
      </w:pPr>
    </w:p>
    <w:p w14:paraId="03AF1296" w14:textId="77777777" w:rsidR="00701173" w:rsidRPr="00064449" w:rsidRDefault="00701173" w:rsidP="00701173">
      <w:pPr>
        <w:spacing w:line="360" w:lineRule="auto"/>
        <w:jc w:val="center"/>
        <w:outlineLvl w:val="0"/>
        <w:rPr>
          <w:sz w:val="28"/>
          <w:szCs w:val="28"/>
        </w:rPr>
      </w:pPr>
      <w:r w:rsidRPr="00064449">
        <w:rPr>
          <w:b/>
          <w:sz w:val="28"/>
          <w:szCs w:val="28"/>
        </w:rPr>
        <w:t>LUIS ERNESTO ARCINIEGAS TRIANA</w:t>
      </w:r>
    </w:p>
    <w:p w14:paraId="6E68BC03" w14:textId="77777777" w:rsidR="00701173" w:rsidRPr="00130AE2" w:rsidRDefault="00701173" w:rsidP="00701173">
      <w:pPr>
        <w:spacing w:line="360" w:lineRule="auto"/>
        <w:jc w:val="center"/>
        <w:rPr>
          <w:b/>
          <w:bCs/>
          <w:sz w:val="28"/>
          <w:szCs w:val="28"/>
        </w:rPr>
      </w:pPr>
      <w:r w:rsidRPr="00064449">
        <w:rPr>
          <w:sz w:val="28"/>
          <w:szCs w:val="28"/>
        </w:rPr>
        <w:t>Magistrado</w:t>
      </w:r>
    </w:p>
    <w:p w14:paraId="7724B1CA" w14:textId="3F38D30D" w:rsidR="00E4300E" w:rsidRPr="0088459A" w:rsidRDefault="00E4300E" w:rsidP="00701173">
      <w:pPr>
        <w:autoSpaceDE w:val="0"/>
        <w:autoSpaceDN w:val="0"/>
        <w:adjustRightInd w:val="0"/>
        <w:spacing w:line="360" w:lineRule="auto"/>
        <w:jc w:val="both"/>
        <w:rPr>
          <w:sz w:val="28"/>
          <w:szCs w:val="28"/>
        </w:rPr>
      </w:pPr>
    </w:p>
    <w:sectPr w:rsidR="00E4300E" w:rsidRPr="0088459A" w:rsidSect="00B72195">
      <w:headerReference w:type="even" r:id="rId14"/>
      <w:headerReference w:type="default" r:id="rId15"/>
      <w:headerReference w:type="first" r:id="rId16"/>
      <w:pgSz w:w="12242" w:h="18722"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E149" w14:textId="77777777" w:rsidR="00D57905" w:rsidRDefault="00D57905" w:rsidP="00320D28">
      <w:r>
        <w:separator/>
      </w:r>
    </w:p>
  </w:endnote>
  <w:endnote w:type="continuationSeparator" w:id="0">
    <w:p w14:paraId="39BDCC8B" w14:textId="77777777" w:rsidR="00D57905" w:rsidRDefault="00D57905" w:rsidP="0032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6A8AD" w14:textId="77777777" w:rsidR="00D57905" w:rsidRDefault="00D57905" w:rsidP="00320D28">
      <w:r>
        <w:separator/>
      </w:r>
    </w:p>
  </w:footnote>
  <w:footnote w:type="continuationSeparator" w:id="0">
    <w:p w14:paraId="3C183EBF" w14:textId="77777777" w:rsidR="00D57905" w:rsidRDefault="00D57905" w:rsidP="00320D28">
      <w:r>
        <w:continuationSeparator/>
      </w:r>
    </w:p>
  </w:footnote>
  <w:footnote w:id="1">
    <w:p w14:paraId="0C24CADF" w14:textId="018A3AF7" w:rsidR="00206663" w:rsidRPr="00206663" w:rsidRDefault="00206663" w:rsidP="00206663">
      <w:pPr>
        <w:jc w:val="both"/>
      </w:pPr>
      <w:r w:rsidRPr="00206663">
        <w:rPr>
          <w:rStyle w:val="Refdenotaalpie"/>
        </w:rPr>
        <w:footnoteRef/>
      </w:r>
      <w:r w:rsidRPr="00206663">
        <w:t xml:space="preserve"> Radicación número: 11001-03-15-000-2018-01566-00(AC) 15 de junio de 2018</w:t>
      </w:r>
    </w:p>
    <w:p w14:paraId="3F7CB070" w14:textId="7A878342" w:rsidR="00206663" w:rsidRDefault="0020666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0953" w14:textId="77777777" w:rsidR="007A1505" w:rsidRDefault="00403EE7" w:rsidP="007A15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7A7D29" w14:textId="77777777" w:rsidR="007A1505" w:rsidRDefault="007A1505" w:rsidP="007A150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E654" w14:textId="77777777" w:rsidR="007A1505" w:rsidRDefault="00403EE7" w:rsidP="007A15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1F03">
      <w:rPr>
        <w:rStyle w:val="Nmerodepgina"/>
        <w:noProof/>
      </w:rPr>
      <w:t>8</w:t>
    </w:r>
    <w:r>
      <w:rPr>
        <w:rStyle w:val="Nmerodepgina"/>
      </w:rPr>
      <w:fldChar w:fldCharType="end"/>
    </w:r>
  </w:p>
  <w:tbl>
    <w:tblPr>
      <w:tblW w:w="5387" w:type="dxa"/>
      <w:jc w:val="center"/>
      <w:tblLook w:val="01E0" w:firstRow="1" w:lastRow="1" w:firstColumn="1" w:lastColumn="1" w:noHBand="0" w:noVBand="0"/>
    </w:tblPr>
    <w:tblGrid>
      <w:gridCol w:w="1701"/>
      <w:gridCol w:w="284"/>
      <w:gridCol w:w="3402"/>
    </w:tblGrid>
    <w:tr w:rsidR="00072E7F" w:rsidRPr="00072E7F" w14:paraId="6CD068AC" w14:textId="77777777" w:rsidTr="00072E7F">
      <w:trPr>
        <w:trHeight w:val="142"/>
        <w:jc w:val="center"/>
      </w:trPr>
      <w:tc>
        <w:tcPr>
          <w:tcW w:w="1701" w:type="dxa"/>
        </w:tcPr>
        <w:p w14:paraId="1AB833CF" w14:textId="77777777" w:rsidR="00072E7F" w:rsidRPr="00072E7F" w:rsidRDefault="00072E7F" w:rsidP="00072E7F">
          <w:r w:rsidRPr="00072E7F">
            <w:t>Medio de Control</w:t>
          </w:r>
        </w:p>
      </w:tc>
      <w:tc>
        <w:tcPr>
          <w:tcW w:w="284" w:type="dxa"/>
        </w:tcPr>
        <w:p w14:paraId="27A85F39" w14:textId="77777777" w:rsidR="00072E7F" w:rsidRPr="00072E7F" w:rsidRDefault="00072E7F" w:rsidP="00072E7F">
          <w:r w:rsidRPr="00072E7F">
            <w:t>:</w:t>
          </w:r>
        </w:p>
      </w:tc>
      <w:tc>
        <w:tcPr>
          <w:tcW w:w="3402" w:type="dxa"/>
        </w:tcPr>
        <w:p w14:paraId="0159CB14" w14:textId="77777777" w:rsidR="00072E7F" w:rsidRPr="00072E7F" w:rsidRDefault="00072E7F" w:rsidP="00072E7F">
          <w:r w:rsidRPr="00072E7F">
            <w:t xml:space="preserve">Nulidad y restablecimiento del derecho </w:t>
          </w:r>
        </w:p>
      </w:tc>
    </w:tr>
    <w:tr w:rsidR="00072E7F" w:rsidRPr="00072E7F" w14:paraId="5DA0EE38" w14:textId="77777777" w:rsidTr="00072E7F">
      <w:trPr>
        <w:trHeight w:val="80"/>
        <w:jc w:val="center"/>
      </w:trPr>
      <w:tc>
        <w:tcPr>
          <w:tcW w:w="1701" w:type="dxa"/>
        </w:tcPr>
        <w:p w14:paraId="124C8759" w14:textId="77777777" w:rsidR="00072E7F" w:rsidRPr="00072E7F" w:rsidRDefault="00072E7F" w:rsidP="00072E7F">
          <w:r w:rsidRPr="00072E7F">
            <w:t xml:space="preserve">Demandante   </w:t>
          </w:r>
        </w:p>
      </w:tc>
      <w:tc>
        <w:tcPr>
          <w:tcW w:w="284" w:type="dxa"/>
        </w:tcPr>
        <w:p w14:paraId="1CF11FE6" w14:textId="77777777" w:rsidR="00072E7F" w:rsidRPr="00072E7F" w:rsidRDefault="00072E7F" w:rsidP="00072E7F">
          <w:r w:rsidRPr="00072E7F">
            <w:t>:</w:t>
          </w:r>
        </w:p>
      </w:tc>
      <w:tc>
        <w:tcPr>
          <w:tcW w:w="3402" w:type="dxa"/>
        </w:tcPr>
        <w:p w14:paraId="696187BB" w14:textId="77777777" w:rsidR="00072E7F" w:rsidRPr="00072E7F" w:rsidRDefault="00072E7F" w:rsidP="00072E7F">
          <w:r w:rsidRPr="00072E7F">
            <w:t xml:space="preserve">Jorge Hernando Pedraza Vargas   </w:t>
          </w:r>
        </w:p>
      </w:tc>
    </w:tr>
    <w:tr w:rsidR="00072E7F" w:rsidRPr="00072E7F" w14:paraId="4BD06E66" w14:textId="77777777" w:rsidTr="00072E7F">
      <w:trPr>
        <w:trHeight w:val="80"/>
        <w:jc w:val="center"/>
      </w:trPr>
      <w:tc>
        <w:tcPr>
          <w:tcW w:w="1701" w:type="dxa"/>
        </w:tcPr>
        <w:p w14:paraId="01DFB9A8" w14:textId="77777777" w:rsidR="00072E7F" w:rsidRPr="00072E7F" w:rsidRDefault="00072E7F" w:rsidP="00072E7F">
          <w:r w:rsidRPr="00072E7F">
            <w:t xml:space="preserve">Demandado                       </w:t>
          </w:r>
        </w:p>
      </w:tc>
      <w:tc>
        <w:tcPr>
          <w:tcW w:w="284" w:type="dxa"/>
        </w:tcPr>
        <w:p w14:paraId="7EE2174D" w14:textId="77777777" w:rsidR="00072E7F" w:rsidRPr="00072E7F" w:rsidRDefault="00072E7F" w:rsidP="00072E7F">
          <w:r w:rsidRPr="00072E7F">
            <w:t>:</w:t>
          </w:r>
        </w:p>
      </w:tc>
      <w:tc>
        <w:tcPr>
          <w:tcW w:w="3402" w:type="dxa"/>
        </w:tcPr>
        <w:p w14:paraId="42A4EACC" w14:textId="77777777" w:rsidR="00072E7F" w:rsidRPr="00072E7F" w:rsidRDefault="00072E7F" w:rsidP="00072E7F">
          <w:pPr>
            <w:jc w:val="both"/>
          </w:pPr>
          <w:r w:rsidRPr="00072E7F">
            <w:rPr>
              <w:lang w:val="es-ES_tradnl"/>
            </w:rPr>
            <w:t>Departamento de Boyacá</w:t>
          </w:r>
        </w:p>
      </w:tc>
    </w:tr>
    <w:tr w:rsidR="00072E7F" w:rsidRPr="00072E7F" w14:paraId="095FE34D" w14:textId="77777777" w:rsidTr="00072E7F">
      <w:trPr>
        <w:trHeight w:val="273"/>
        <w:jc w:val="center"/>
      </w:trPr>
      <w:tc>
        <w:tcPr>
          <w:tcW w:w="1701" w:type="dxa"/>
        </w:tcPr>
        <w:p w14:paraId="1628142D" w14:textId="77777777" w:rsidR="00072E7F" w:rsidRPr="00072E7F" w:rsidRDefault="00072E7F" w:rsidP="00072E7F">
          <w:r w:rsidRPr="00072E7F">
            <w:t xml:space="preserve">Expediente </w:t>
          </w:r>
        </w:p>
      </w:tc>
      <w:tc>
        <w:tcPr>
          <w:tcW w:w="284" w:type="dxa"/>
        </w:tcPr>
        <w:p w14:paraId="1A9AC303" w14:textId="77777777" w:rsidR="00072E7F" w:rsidRPr="00072E7F" w:rsidRDefault="00072E7F" w:rsidP="00072E7F">
          <w:r w:rsidRPr="00072E7F">
            <w:t>:</w:t>
          </w:r>
        </w:p>
      </w:tc>
      <w:tc>
        <w:tcPr>
          <w:tcW w:w="3402" w:type="dxa"/>
        </w:tcPr>
        <w:p w14:paraId="3E381A90" w14:textId="77777777" w:rsidR="00072E7F" w:rsidRPr="00072E7F" w:rsidRDefault="00072E7F" w:rsidP="00072E7F">
          <w:r w:rsidRPr="00072E7F">
            <w:t>15001-33-33-010-2018-00076-01</w:t>
          </w:r>
        </w:p>
      </w:tc>
    </w:tr>
  </w:tbl>
  <w:p w14:paraId="77001799" w14:textId="77777777" w:rsidR="007A1505" w:rsidRPr="00F70409" w:rsidRDefault="007A1505" w:rsidP="003A27A3">
    <w:pPr>
      <w:pStyle w:val="Encabezado"/>
      <w:rPr>
        <w:rFonts w:ascii="Times New Roman" w:hAnsi="Times New Roman" w:cs="Times New Roman"/>
        <w:sz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F2C0" w14:textId="77777777" w:rsidR="00501AE0" w:rsidRPr="00860DA4" w:rsidRDefault="00501AE0" w:rsidP="00501AE0">
    <w:pPr>
      <w:jc w:val="center"/>
      <w:outlineLvl w:val="0"/>
      <w:rPr>
        <w:b/>
        <w:sz w:val="28"/>
        <w:szCs w:val="28"/>
      </w:rPr>
    </w:pPr>
    <w:r w:rsidRPr="00860DA4">
      <w:rPr>
        <w:b/>
        <w:sz w:val="28"/>
        <w:szCs w:val="28"/>
      </w:rPr>
      <w:t>REPÚBLICA DE COLOMBIA</w:t>
    </w:r>
  </w:p>
  <w:p w14:paraId="294C932E" w14:textId="77777777" w:rsidR="00501AE0" w:rsidRPr="00860DA4" w:rsidRDefault="00501AE0" w:rsidP="00501AE0">
    <w:pPr>
      <w:jc w:val="center"/>
      <w:rPr>
        <w:b/>
        <w:sz w:val="28"/>
        <w:szCs w:val="28"/>
      </w:rPr>
    </w:pPr>
    <w:r>
      <w:rPr>
        <w:noProof/>
      </w:rPr>
      <w:drawing>
        <wp:inline distT="0" distB="0" distL="0" distR="0" wp14:anchorId="11C6FD95" wp14:editId="19FAF315">
          <wp:extent cx="476250"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476250" cy="485775"/>
                  </a:xfrm>
                  <a:prstGeom prst="rect">
                    <a:avLst/>
                  </a:prstGeom>
                </pic:spPr>
              </pic:pic>
            </a:graphicData>
          </a:graphic>
        </wp:inline>
      </w:drawing>
    </w:r>
  </w:p>
  <w:p w14:paraId="79B726F8" w14:textId="77777777" w:rsidR="00501AE0" w:rsidRDefault="00501AE0" w:rsidP="00501AE0">
    <w:pPr>
      <w:pStyle w:val="Encabezado"/>
      <w:jc w:val="center"/>
      <w:outlineLvl w:val="0"/>
      <w:rPr>
        <w:rFonts w:ascii="Times New Roman" w:hAnsi="Times New Roman"/>
        <w:b/>
        <w:sz w:val="28"/>
        <w:szCs w:val="28"/>
      </w:rPr>
    </w:pPr>
    <w:r w:rsidRPr="00860DA4">
      <w:rPr>
        <w:rFonts w:ascii="Times New Roman" w:hAnsi="Times New Roman"/>
        <w:b/>
        <w:sz w:val="28"/>
        <w:szCs w:val="28"/>
      </w:rPr>
      <w:t>TRIBUNAL ADMINISTRATIVO DE BOYACÁ</w:t>
    </w:r>
  </w:p>
  <w:p w14:paraId="040858E5" w14:textId="4B4C2EB7" w:rsidR="00501AE0" w:rsidRPr="00501AE0" w:rsidRDefault="00501AE0" w:rsidP="00501AE0">
    <w:pPr>
      <w:pStyle w:val="Encabezado"/>
      <w:jc w:val="center"/>
      <w:outlineLvl w:val="0"/>
      <w:rPr>
        <w:rFonts w:ascii="Times New Roman" w:hAnsi="Times New Roman"/>
        <w:b/>
        <w:sz w:val="28"/>
        <w:szCs w:val="28"/>
      </w:rPr>
    </w:pPr>
    <w:r>
      <w:rPr>
        <w:rFonts w:ascii="Times New Roman" w:hAnsi="Times New Roman"/>
        <w:b/>
        <w:sz w:val="28"/>
        <w:szCs w:val="28"/>
      </w:rPr>
      <w:t>DESPACHO No. 2</w:t>
    </w:r>
  </w:p>
</w:hdr>
</file>

<file path=word/intelligence2.xml><?xml version="1.0" encoding="utf-8"?>
<int2:intelligence xmlns:int2="http://schemas.microsoft.com/office/intelligence/2020/intelligence">
  <int2:observations>
    <int2:textHash int2:hashCode="MqitpMj8SMcbyc" int2:id="4Tc64SGh">
      <int2:state int2:type="AugLoop_Text_Critique" int2:value="Rejected"/>
    </int2:textHash>
    <int2:bookmark int2:bookmarkName="_Int_g8EqCt1O" int2:invalidationBookmarkName="" int2:hashCode="hvfkN/qlp/zhXR" int2:id="8Ug0N0Y6">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B7A38"/>
    <w:multiLevelType w:val="hybridMultilevel"/>
    <w:tmpl w:val="A68CC9E6"/>
    <w:lvl w:ilvl="0" w:tplc="B476A75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628B299C"/>
    <w:multiLevelType w:val="hybridMultilevel"/>
    <w:tmpl w:val="0DB8B986"/>
    <w:lvl w:ilvl="0" w:tplc="848EA38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C0F4B4E"/>
    <w:multiLevelType w:val="hybridMultilevel"/>
    <w:tmpl w:val="8340D044"/>
    <w:lvl w:ilvl="0" w:tplc="DDDA9E6E">
      <w:start w:val="3"/>
      <w:numFmt w:val="bullet"/>
      <w:lvlText w:val="-"/>
      <w:lvlJc w:val="left"/>
      <w:pPr>
        <w:ind w:left="720" w:hanging="360"/>
      </w:pPr>
      <w:rPr>
        <w:rFonts w:ascii="Times New Roman" w:eastAsia="Batang"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D92177D"/>
    <w:multiLevelType w:val="hybridMultilevel"/>
    <w:tmpl w:val="AC4E9F80"/>
    <w:lvl w:ilvl="0" w:tplc="2AE2693A">
      <w:start w:val="1"/>
      <w:numFmt w:val="decimal"/>
      <w:lvlText w:val="%1."/>
      <w:lvlJc w:val="left"/>
      <w:pPr>
        <w:tabs>
          <w:tab w:val="num" w:pos="720"/>
        </w:tabs>
        <w:ind w:left="720" w:hanging="360"/>
      </w:pPr>
    </w:lvl>
    <w:lvl w:ilvl="1" w:tplc="70BEC2FE" w:tentative="1">
      <w:start w:val="1"/>
      <w:numFmt w:val="decimal"/>
      <w:lvlText w:val="%2."/>
      <w:lvlJc w:val="left"/>
      <w:pPr>
        <w:tabs>
          <w:tab w:val="num" w:pos="1440"/>
        </w:tabs>
        <w:ind w:left="1440" w:hanging="360"/>
      </w:pPr>
    </w:lvl>
    <w:lvl w:ilvl="2" w:tplc="0D5C03EE" w:tentative="1">
      <w:start w:val="1"/>
      <w:numFmt w:val="decimal"/>
      <w:lvlText w:val="%3."/>
      <w:lvlJc w:val="left"/>
      <w:pPr>
        <w:tabs>
          <w:tab w:val="num" w:pos="2160"/>
        </w:tabs>
        <w:ind w:left="2160" w:hanging="360"/>
      </w:pPr>
    </w:lvl>
    <w:lvl w:ilvl="3" w:tplc="FDFA023A" w:tentative="1">
      <w:start w:val="1"/>
      <w:numFmt w:val="decimal"/>
      <w:lvlText w:val="%4."/>
      <w:lvlJc w:val="left"/>
      <w:pPr>
        <w:tabs>
          <w:tab w:val="num" w:pos="2880"/>
        </w:tabs>
        <w:ind w:left="2880" w:hanging="360"/>
      </w:pPr>
    </w:lvl>
    <w:lvl w:ilvl="4" w:tplc="A1E2EE4C" w:tentative="1">
      <w:start w:val="1"/>
      <w:numFmt w:val="decimal"/>
      <w:lvlText w:val="%5."/>
      <w:lvlJc w:val="left"/>
      <w:pPr>
        <w:tabs>
          <w:tab w:val="num" w:pos="3600"/>
        </w:tabs>
        <w:ind w:left="3600" w:hanging="360"/>
      </w:pPr>
    </w:lvl>
    <w:lvl w:ilvl="5" w:tplc="925C3A1E" w:tentative="1">
      <w:start w:val="1"/>
      <w:numFmt w:val="decimal"/>
      <w:lvlText w:val="%6."/>
      <w:lvlJc w:val="left"/>
      <w:pPr>
        <w:tabs>
          <w:tab w:val="num" w:pos="4320"/>
        </w:tabs>
        <w:ind w:left="4320" w:hanging="360"/>
      </w:pPr>
    </w:lvl>
    <w:lvl w:ilvl="6" w:tplc="F31AF696" w:tentative="1">
      <w:start w:val="1"/>
      <w:numFmt w:val="decimal"/>
      <w:lvlText w:val="%7."/>
      <w:lvlJc w:val="left"/>
      <w:pPr>
        <w:tabs>
          <w:tab w:val="num" w:pos="5040"/>
        </w:tabs>
        <w:ind w:left="5040" w:hanging="360"/>
      </w:pPr>
    </w:lvl>
    <w:lvl w:ilvl="7" w:tplc="8E4091DA" w:tentative="1">
      <w:start w:val="1"/>
      <w:numFmt w:val="decimal"/>
      <w:lvlText w:val="%8."/>
      <w:lvlJc w:val="left"/>
      <w:pPr>
        <w:tabs>
          <w:tab w:val="num" w:pos="5760"/>
        </w:tabs>
        <w:ind w:left="5760" w:hanging="360"/>
      </w:pPr>
    </w:lvl>
    <w:lvl w:ilvl="8" w:tplc="DF1E24FA"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28"/>
    <w:rsid w:val="00011115"/>
    <w:rsid w:val="0001289B"/>
    <w:rsid w:val="00014599"/>
    <w:rsid w:val="00016D3A"/>
    <w:rsid w:val="00024262"/>
    <w:rsid w:val="000326AB"/>
    <w:rsid w:val="00056005"/>
    <w:rsid w:val="0006559E"/>
    <w:rsid w:val="00066945"/>
    <w:rsid w:val="00072E7F"/>
    <w:rsid w:val="0008010F"/>
    <w:rsid w:val="000924A4"/>
    <w:rsid w:val="000A4AF0"/>
    <w:rsid w:val="000C5FF2"/>
    <w:rsid w:val="000D2F5E"/>
    <w:rsid w:val="000D6448"/>
    <w:rsid w:val="000E435C"/>
    <w:rsid w:val="000E4EEC"/>
    <w:rsid w:val="000F33BD"/>
    <w:rsid w:val="000F346D"/>
    <w:rsid w:val="001167C2"/>
    <w:rsid w:val="00130B71"/>
    <w:rsid w:val="0014152D"/>
    <w:rsid w:val="00153420"/>
    <w:rsid w:val="00173566"/>
    <w:rsid w:val="0017359B"/>
    <w:rsid w:val="0018425E"/>
    <w:rsid w:val="0019217A"/>
    <w:rsid w:val="00192B52"/>
    <w:rsid w:val="0019734D"/>
    <w:rsid w:val="001A2139"/>
    <w:rsid w:val="001C237C"/>
    <w:rsid w:val="001C483E"/>
    <w:rsid w:val="001D1B4A"/>
    <w:rsid w:val="001D1D55"/>
    <w:rsid w:val="001D684A"/>
    <w:rsid w:val="001E478C"/>
    <w:rsid w:val="001F1961"/>
    <w:rsid w:val="00201D17"/>
    <w:rsid w:val="00203F65"/>
    <w:rsid w:val="00205648"/>
    <w:rsid w:val="00206663"/>
    <w:rsid w:val="002120B2"/>
    <w:rsid w:val="002257E4"/>
    <w:rsid w:val="002266C3"/>
    <w:rsid w:val="0023466B"/>
    <w:rsid w:val="00241EF5"/>
    <w:rsid w:val="00243F50"/>
    <w:rsid w:val="00253B9F"/>
    <w:rsid w:val="00267294"/>
    <w:rsid w:val="00271419"/>
    <w:rsid w:val="0028167A"/>
    <w:rsid w:val="00283E53"/>
    <w:rsid w:val="00295273"/>
    <w:rsid w:val="002B02F2"/>
    <w:rsid w:val="002C017B"/>
    <w:rsid w:val="002F1B14"/>
    <w:rsid w:val="002F666B"/>
    <w:rsid w:val="002F7DBD"/>
    <w:rsid w:val="00302659"/>
    <w:rsid w:val="003203F0"/>
    <w:rsid w:val="00320D28"/>
    <w:rsid w:val="00355E97"/>
    <w:rsid w:val="003647D0"/>
    <w:rsid w:val="00391066"/>
    <w:rsid w:val="00393670"/>
    <w:rsid w:val="003959D5"/>
    <w:rsid w:val="003A27A3"/>
    <w:rsid w:val="003A2E57"/>
    <w:rsid w:val="003A5EA7"/>
    <w:rsid w:val="003A6652"/>
    <w:rsid w:val="003A7E9A"/>
    <w:rsid w:val="003C7587"/>
    <w:rsid w:val="003D175C"/>
    <w:rsid w:val="003E0583"/>
    <w:rsid w:val="003E1E2E"/>
    <w:rsid w:val="00403EE7"/>
    <w:rsid w:val="0043027C"/>
    <w:rsid w:val="0043345D"/>
    <w:rsid w:val="00434E4B"/>
    <w:rsid w:val="00457C47"/>
    <w:rsid w:val="004871D0"/>
    <w:rsid w:val="00496DAD"/>
    <w:rsid w:val="004A5822"/>
    <w:rsid w:val="004B5F48"/>
    <w:rsid w:val="004BC031"/>
    <w:rsid w:val="004D64EE"/>
    <w:rsid w:val="004F1EC4"/>
    <w:rsid w:val="00501AE0"/>
    <w:rsid w:val="00504C06"/>
    <w:rsid w:val="005052E5"/>
    <w:rsid w:val="00512AF2"/>
    <w:rsid w:val="00513C69"/>
    <w:rsid w:val="005209B8"/>
    <w:rsid w:val="0053018A"/>
    <w:rsid w:val="00552BDA"/>
    <w:rsid w:val="005553CB"/>
    <w:rsid w:val="00563822"/>
    <w:rsid w:val="00564CD9"/>
    <w:rsid w:val="0058500A"/>
    <w:rsid w:val="00590E17"/>
    <w:rsid w:val="00593EF0"/>
    <w:rsid w:val="005B565E"/>
    <w:rsid w:val="005B695E"/>
    <w:rsid w:val="005C2C81"/>
    <w:rsid w:val="005D2E93"/>
    <w:rsid w:val="005D66D8"/>
    <w:rsid w:val="005F17D1"/>
    <w:rsid w:val="0062661C"/>
    <w:rsid w:val="00633C73"/>
    <w:rsid w:val="0063481B"/>
    <w:rsid w:val="00636446"/>
    <w:rsid w:val="00642DBE"/>
    <w:rsid w:val="006528D4"/>
    <w:rsid w:val="00690DA5"/>
    <w:rsid w:val="00691E5C"/>
    <w:rsid w:val="006B316D"/>
    <w:rsid w:val="006C1C9C"/>
    <w:rsid w:val="00701173"/>
    <w:rsid w:val="0070252A"/>
    <w:rsid w:val="00703F42"/>
    <w:rsid w:val="0071244C"/>
    <w:rsid w:val="0071280D"/>
    <w:rsid w:val="00715B3C"/>
    <w:rsid w:val="00734E9D"/>
    <w:rsid w:val="007370B7"/>
    <w:rsid w:val="007808F8"/>
    <w:rsid w:val="007912D8"/>
    <w:rsid w:val="007952C4"/>
    <w:rsid w:val="007A1442"/>
    <w:rsid w:val="007A1505"/>
    <w:rsid w:val="007A45F9"/>
    <w:rsid w:val="007A625D"/>
    <w:rsid w:val="007C638C"/>
    <w:rsid w:val="008214C0"/>
    <w:rsid w:val="008528FC"/>
    <w:rsid w:val="00852D29"/>
    <w:rsid w:val="00870D22"/>
    <w:rsid w:val="00872075"/>
    <w:rsid w:val="0088459A"/>
    <w:rsid w:val="008919FC"/>
    <w:rsid w:val="008C0B25"/>
    <w:rsid w:val="008C0E32"/>
    <w:rsid w:val="008D1FF1"/>
    <w:rsid w:val="008D7494"/>
    <w:rsid w:val="0090184F"/>
    <w:rsid w:val="00914C47"/>
    <w:rsid w:val="009151CD"/>
    <w:rsid w:val="00926FBA"/>
    <w:rsid w:val="00934095"/>
    <w:rsid w:val="00944A55"/>
    <w:rsid w:val="00953AAF"/>
    <w:rsid w:val="0096317E"/>
    <w:rsid w:val="00977606"/>
    <w:rsid w:val="00980B7D"/>
    <w:rsid w:val="009D7BC5"/>
    <w:rsid w:val="009E621A"/>
    <w:rsid w:val="009E6822"/>
    <w:rsid w:val="00A3762D"/>
    <w:rsid w:val="00A57AF5"/>
    <w:rsid w:val="00A6292C"/>
    <w:rsid w:val="00A64062"/>
    <w:rsid w:val="00A773DA"/>
    <w:rsid w:val="00AA6898"/>
    <w:rsid w:val="00AE308F"/>
    <w:rsid w:val="00B11AE9"/>
    <w:rsid w:val="00B143EB"/>
    <w:rsid w:val="00B16526"/>
    <w:rsid w:val="00B16D79"/>
    <w:rsid w:val="00B271E3"/>
    <w:rsid w:val="00B35BD3"/>
    <w:rsid w:val="00B51DEF"/>
    <w:rsid w:val="00B72195"/>
    <w:rsid w:val="00B76145"/>
    <w:rsid w:val="00B7C6E4"/>
    <w:rsid w:val="00B846A0"/>
    <w:rsid w:val="00B92BD5"/>
    <w:rsid w:val="00B96A75"/>
    <w:rsid w:val="00BA518A"/>
    <w:rsid w:val="00BC0252"/>
    <w:rsid w:val="00BC4831"/>
    <w:rsid w:val="00BD29CE"/>
    <w:rsid w:val="00C41A1F"/>
    <w:rsid w:val="00C41BDC"/>
    <w:rsid w:val="00C42A7F"/>
    <w:rsid w:val="00C51683"/>
    <w:rsid w:val="00C54484"/>
    <w:rsid w:val="00C834F2"/>
    <w:rsid w:val="00C93577"/>
    <w:rsid w:val="00C979F3"/>
    <w:rsid w:val="00CB3695"/>
    <w:rsid w:val="00CC1312"/>
    <w:rsid w:val="00D25C84"/>
    <w:rsid w:val="00D2782A"/>
    <w:rsid w:val="00D55022"/>
    <w:rsid w:val="00D573AF"/>
    <w:rsid w:val="00D57905"/>
    <w:rsid w:val="00D70048"/>
    <w:rsid w:val="00D85E3E"/>
    <w:rsid w:val="00D92457"/>
    <w:rsid w:val="00DA3327"/>
    <w:rsid w:val="00DB34F1"/>
    <w:rsid w:val="00DB49A4"/>
    <w:rsid w:val="00DC205C"/>
    <w:rsid w:val="00DC4CCC"/>
    <w:rsid w:val="00DD19A5"/>
    <w:rsid w:val="00DD796D"/>
    <w:rsid w:val="00E07826"/>
    <w:rsid w:val="00E23AD3"/>
    <w:rsid w:val="00E24ED7"/>
    <w:rsid w:val="00E25B22"/>
    <w:rsid w:val="00E407E4"/>
    <w:rsid w:val="00E4300E"/>
    <w:rsid w:val="00E43138"/>
    <w:rsid w:val="00E64A96"/>
    <w:rsid w:val="00E66F99"/>
    <w:rsid w:val="00E7652B"/>
    <w:rsid w:val="00EA1F03"/>
    <w:rsid w:val="00EA5DB3"/>
    <w:rsid w:val="00EA7A60"/>
    <w:rsid w:val="00EB3EC5"/>
    <w:rsid w:val="00EB64E6"/>
    <w:rsid w:val="00EC10E7"/>
    <w:rsid w:val="00EE4D62"/>
    <w:rsid w:val="00EE5C03"/>
    <w:rsid w:val="00F221D4"/>
    <w:rsid w:val="00F333A0"/>
    <w:rsid w:val="00F43DC5"/>
    <w:rsid w:val="00F53C82"/>
    <w:rsid w:val="00F66B5C"/>
    <w:rsid w:val="00F70740"/>
    <w:rsid w:val="00F82BF8"/>
    <w:rsid w:val="00F83C2E"/>
    <w:rsid w:val="00F84F0A"/>
    <w:rsid w:val="00FA2EF7"/>
    <w:rsid w:val="00FC36C3"/>
    <w:rsid w:val="00FC4828"/>
    <w:rsid w:val="00FC4E76"/>
    <w:rsid w:val="00FD0AB1"/>
    <w:rsid w:val="00FE1341"/>
    <w:rsid w:val="00FE7BF5"/>
    <w:rsid w:val="00FF2C8F"/>
    <w:rsid w:val="015FD452"/>
    <w:rsid w:val="0366190D"/>
    <w:rsid w:val="03AD38B6"/>
    <w:rsid w:val="03E603CE"/>
    <w:rsid w:val="058B3807"/>
    <w:rsid w:val="06670233"/>
    <w:rsid w:val="068B9756"/>
    <w:rsid w:val="08E8FAB3"/>
    <w:rsid w:val="093DF35D"/>
    <w:rsid w:val="09635ADA"/>
    <w:rsid w:val="09962AA5"/>
    <w:rsid w:val="09D4C521"/>
    <w:rsid w:val="0AB2F7B8"/>
    <w:rsid w:val="0BB748B5"/>
    <w:rsid w:val="0D850F15"/>
    <w:rsid w:val="0D91682D"/>
    <w:rsid w:val="0D987AFA"/>
    <w:rsid w:val="0DB4199D"/>
    <w:rsid w:val="0E691CC9"/>
    <w:rsid w:val="111F2CEC"/>
    <w:rsid w:val="12597FB9"/>
    <w:rsid w:val="1437F1D1"/>
    <w:rsid w:val="1445C7F2"/>
    <w:rsid w:val="1482AC9C"/>
    <w:rsid w:val="167BF667"/>
    <w:rsid w:val="16CB81F6"/>
    <w:rsid w:val="1741DC90"/>
    <w:rsid w:val="17723384"/>
    <w:rsid w:val="1844F1DB"/>
    <w:rsid w:val="19C65A04"/>
    <w:rsid w:val="1A16B436"/>
    <w:rsid w:val="1D54BDD2"/>
    <w:rsid w:val="1D91CF07"/>
    <w:rsid w:val="1E668ADC"/>
    <w:rsid w:val="1FEDE74C"/>
    <w:rsid w:val="2108BB92"/>
    <w:rsid w:val="22DA4FF7"/>
    <w:rsid w:val="232481C5"/>
    <w:rsid w:val="23A8A91E"/>
    <w:rsid w:val="23D16BFB"/>
    <w:rsid w:val="24719BEC"/>
    <w:rsid w:val="267189D3"/>
    <w:rsid w:val="269D8EED"/>
    <w:rsid w:val="26E782DB"/>
    <w:rsid w:val="293AD581"/>
    <w:rsid w:val="2996AFBC"/>
    <w:rsid w:val="29D1A879"/>
    <w:rsid w:val="2A246181"/>
    <w:rsid w:val="2B9A92A6"/>
    <w:rsid w:val="2B9FD376"/>
    <w:rsid w:val="2BBD13E7"/>
    <w:rsid w:val="2CE6BD06"/>
    <w:rsid w:val="2F7D170B"/>
    <w:rsid w:val="2FCA0C13"/>
    <w:rsid w:val="2FD5B341"/>
    <w:rsid w:val="30378625"/>
    <w:rsid w:val="306225C7"/>
    <w:rsid w:val="3209D42A"/>
    <w:rsid w:val="3215BF77"/>
    <w:rsid w:val="321F4CB2"/>
    <w:rsid w:val="322D85CC"/>
    <w:rsid w:val="323D82B5"/>
    <w:rsid w:val="348B0C87"/>
    <w:rsid w:val="35A7BE2C"/>
    <w:rsid w:val="35B81783"/>
    <w:rsid w:val="36AF35C3"/>
    <w:rsid w:val="38296FAD"/>
    <w:rsid w:val="390F26BC"/>
    <w:rsid w:val="3AABB150"/>
    <w:rsid w:val="3B0D4479"/>
    <w:rsid w:val="3B0F6286"/>
    <w:rsid w:val="3C3BAB05"/>
    <w:rsid w:val="3DF12113"/>
    <w:rsid w:val="3F357815"/>
    <w:rsid w:val="403B7F12"/>
    <w:rsid w:val="40B7E3AB"/>
    <w:rsid w:val="4135AA3C"/>
    <w:rsid w:val="41E4C194"/>
    <w:rsid w:val="445020C2"/>
    <w:rsid w:val="45A7EA4C"/>
    <w:rsid w:val="4A443D23"/>
    <w:rsid w:val="4C7EBBBD"/>
    <w:rsid w:val="5147CC27"/>
    <w:rsid w:val="52D261B1"/>
    <w:rsid w:val="53710B47"/>
    <w:rsid w:val="5466448C"/>
    <w:rsid w:val="547F6CE9"/>
    <w:rsid w:val="54E4D86C"/>
    <w:rsid w:val="5817E38F"/>
    <w:rsid w:val="58B66EB9"/>
    <w:rsid w:val="593AA0DB"/>
    <w:rsid w:val="59436D66"/>
    <w:rsid w:val="5BF9A303"/>
    <w:rsid w:val="5BFD3FFC"/>
    <w:rsid w:val="5C471E7C"/>
    <w:rsid w:val="5C81721E"/>
    <w:rsid w:val="5D215165"/>
    <w:rsid w:val="5EAFD8A0"/>
    <w:rsid w:val="5F37A7BB"/>
    <w:rsid w:val="5F8E5884"/>
    <w:rsid w:val="5FA780E1"/>
    <w:rsid w:val="5FAA03CA"/>
    <w:rsid w:val="61D33ABA"/>
    <w:rsid w:val="61EA405F"/>
    <w:rsid w:val="63EDBDF5"/>
    <w:rsid w:val="64483EBB"/>
    <w:rsid w:val="64A76F7A"/>
    <w:rsid w:val="64BCDCB0"/>
    <w:rsid w:val="64DFB1A6"/>
    <w:rsid w:val="654E5163"/>
    <w:rsid w:val="659E3E1F"/>
    <w:rsid w:val="66026114"/>
    <w:rsid w:val="6620263D"/>
    <w:rsid w:val="67CE24EF"/>
    <w:rsid w:val="6839D11E"/>
    <w:rsid w:val="68A5D18C"/>
    <w:rsid w:val="68BFC70F"/>
    <w:rsid w:val="69353ACA"/>
    <w:rsid w:val="69F56E6A"/>
    <w:rsid w:val="6A6BBF05"/>
    <w:rsid w:val="6A6BD499"/>
    <w:rsid w:val="6A748289"/>
    <w:rsid w:val="6ADA6F03"/>
    <w:rsid w:val="6B5ECF65"/>
    <w:rsid w:val="6BC4CE1E"/>
    <w:rsid w:val="6BDF6CCD"/>
    <w:rsid w:val="6D1D361D"/>
    <w:rsid w:val="6D9F339C"/>
    <w:rsid w:val="6DA80027"/>
    <w:rsid w:val="6DF6DF5C"/>
    <w:rsid w:val="6E08ABED"/>
    <w:rsid w:val="6E2B3822"/>
    <w:rsid w:val="6F3DB9EA"/>
    <w:rsid w:val="6FB5CDAC"/>
    <w:rsid w:val="6FC70883"/>
    <w:rsid w:val="6FE83CBC"/>
    <w:rsid w:val="70E604DF"/>
    <w:rsid w:val="737A6780"/>
    <w:rsid w:val="73D943DB"/>
    <w:rsid w:val="75B8DC3B"/>
    <w:rsid w:val="75CAA0FE"/>
    <w:rsid w:val="7660DFDC"/>
    <w:rsid w:val="76FE1243"/>
    <w:rsid w:val="7710E49D"/>
    <w:rsid w:val="77116B38"/>
    <w:rsid w:val="773AC530"/>
    <w:rsid w:val="77AF8E33"/>
    <w:rsid w:val="79D85F23"/>
    <w:rsid w:val="7A48855F"/>
    <w:rsid w:val="7A66F3D5"/>
    <w:rsid w:val="7A8EC788"/>
    <w:rsid w:val="7B17B277"/>
    <w:rsid w:val="7BCB2D63"/>
    <w:rsid w:val="7C9450B4"/>
    <w:rsid w:val="7CCEB4DB"/>
    <w:rsid w:val="7F49104E"/>
    <w:rsid w:val="7F54997C"/>
    <w:rsid w:val="7F5575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506DB"/>
  <w15:chartTrackingRefBased/>
  <w15:docId w15:val="{4F988B8B-9419-471E-8B2C-1E170A28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D28"/>
    <w:rPr>
      <w:rFonts w:ascii="Times New Roman" w:eastAsia="Times New Roman" w:hAnsi="Times New Roman"/>
      <w:lang w:val="es-ES" w:eastAsia="es-ES"/>
    </w:rPr>
  </w:style>
  <w:style w:type="paragraph" w:styleId="Ttulo2">
    <w:name w:val="heading 2"/>
    <w:basedOn w:val="Normal"/>
    <w:link w:val="Ttulo2Car"/>
    <w:uiPriority w:val="9"/>
    <w:qFormat/>
    <w:rsid w:val="00715B3C"/>
    <w:pPr>
      <w:spacing w:before="100" w:beforeAutospacing="1" w:after="100" w:afterAutospacing="1"/>
      <w:outlineLvl w:val="1"/>
    </w:pPr>
    <w:rPr>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320D28"/>
    <w:rPr>
      <w:rFonts w:ascii="Arial" w:hAnsi="Arial" w:cs="Arial"/>
      <w:kern w:val="28"/>
      <w:sz w:val="24"/>
      <w:lang w:val="es-ES_tradnl" w:eastAsia="es-ES"/>
    </w:rPr>
  </w:style>
  <w:style w:type="paragraph" w:styleId="Encabezado">
    <w:name w:val="header"/>
    <w:basedOn w:val="Normal"/>
    <w:link w:val="EncabezadoCar"/>
    <w:rsid w:val="00320D28"/>
    <w:pPr>
      <w:tabs>
        <w:tab w:val="center" w:pos="4252"/>
        <w:tab w:val="right" w:pos="8504"/>
      </w:tabs>
    </w:pPr>
    <w:rPr>
      <w:rFonts w:ascii="Arial" w:eastAsia="Calibri" w:hAnsi="Arial" w:cs="Arial"/>
      <w:kern w:val="28"/>
      <w:sz w:val="24"/>
      <w:szCs w:val="22"/>
      <w:lang w:val="es-ES_tradnl"/>
    </w:rPr>
  </w:style>
  <w:style w:type="character" w:customStyle="1" w:styleId="EncabezadoCar1">
    <w:name w:val="Encabezado Car1"/>
    <w:uiPriority w:val="99"/>
    <w:semiHidden/>
    <w:rsid w:val="00320D28"/>
    <w:rPr>
      <w:rFonts w:ascii="Times New Roman" w:eastAsia="Times New Roman" w:hAnsi="Times New Roman" w:cs="Times New Roman"/>
      <w:sz w:val="20"/>
      <w:szCs w:val="20"/>
      <w:lang w:eastAsia="es-ES"/>
    </w:rPr>
  </w:style>
  <w:style w:type="character" w:styleId="Nmerodepgina">
    <w:name w:val="page number"/>
    <w:basedOn w:val="Fuentedeprrafopredeter"/>
    <w:rsid w:val="00320D28"/>
  </w:style>
  <w:style w:type="paragraph" w:styleId="Textoindependiente">
    <w:name w:val="Body Text"/>
    <w:basedOn w:val="Normal"/>
    <w:link w:val="TextoindependienteCar"/>
    <w:uiPriority w:val="99"/>
    <w:rsid w:val="00320D28"/>
    <w:pPr>
      <w:spacing w:after="120"/>
    </w:pPr>
  </w:style>
  <w:style w:type="character" w:customStyle="1" w:styleId="TextoindependienteCar">
    <w:name w:val="Texto independiente Car"/>
    <w:link w:val="Textoindependiente"/>
    <w:uiPriority w:val="99"/>
    <w:rsid w:val="00320D28"/>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Footnote Text Cha"/>
    <w:basedOn w:val="Normal"/>
    <w:link w:val="TextonotapieCar"/>
    <w:qFormat/>
    <w:rsid w:val="00320D28"/>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rsid w:val="00320D28"/>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qFormat/>
    <w:rsid w:val="00320D28"/>
    <w:rPr>
      <w:vertAlign w:val="superscript"/>
    </w:rPr>
  </w:style>
  <w:style w:type="paragraph" w:styleId="Sinespaciado">
    <w:name w:val="No Spacing"/>
    <w:uiPriority w:val="1"/>
    <w:qFormat/>
    <w:rsid w:val="00320D28"/>
    <w:rPr>
      <w:rFonts w:ascii="Times New Roman" w:eastAsia="Times New Roman" w:hAnsi="Times New Roman"/>
      <w:lang w:val="es-ES" w:eastAsia="es-ES"/>
    </w:rPr>
  </w:style>
  <w:style w:type="character" w:customStyle="1" w:styleId="apple-converted-space">
    <w:name w:val="apple-converted-space"/>
    <w:basedOn w:val="Fuentedeprrafopredeter"/>
    <w:rsid w:val="00320D28"/>
  </w:style>
  <w:style w:type="paragraph" w:styleId="Piedepgina">
    <w:name w:val="footer"/>
    <w:basedOn w:val="Normal"/>
    <w:link w:val="PiedepginaCar"/>
    <w:uiPriority w:val="99"/>
    <w:unhideWhenUsed/>
    <w:rsid w:val="0018425E"/>
    <w:pPr>
      <w:tabs>
        <w:tab w:val="center" w:pos="4252"/>
        <w:tab w:val="right" w:pos="8504"/>
      </w:tabs>
    </w:pPr>
  </w:style>
  <w:style w:type="character" w:customStyle="1" w:styleId="PiedepginaCar">
    <w:name w:val="Pie de página Car"/>
    <w:link w:val="Piedepgina"/>
    <w:uiPriority w:val="99"/>
    <w:rsid w:val="0018425E"/>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0D6448"/>
    <w:rPr>
      <w:rFonts w:ascii="Segoe UI" w:hAnsi="Segoe UI" w:cs="Segoe UI"/>
      <w:sz w:val="18"/>
      <w:szCs w:val="18"/>
    </w:rPr>
  </w:style>
  <w:style w:type="character" w:customStyle="1" w:styleId="TextodegloboCar">
    <w:name w:val="Texto de globo Car"/>
    <w:link w:val="Textodeglobo"/>
    <w:uiPriority w:val="99"/>
    <w:semiHidden/>
    <w:rsid w:val="000D6448"/>
    <w:rPr>
      <w:rFonts w:ascii="Segoe UI" w:eastAsia="Times New Roman" w:hAnsi="Segoe UI" w:cs="Segoe UI"/>
      <w:sz w:val="18"/>
      <w:szCs w:val="18"/>
      <w:lang w:eastAsia="es-ES"/>
    </w:rPr>
  </w:style>
  <w:style w:type="paragraph" w:customStyle="1" w:styleId="Sinespaciado1">
    <w:name w:val="Sin espaciado1"/>
    <w:rsid w:val="007808F8"/>
    <w:rPr>
      <w:rFonts w:ascii="Times New Roman" w:hAnsi="Times New Roman"/>
      <w:sz w:val="24"/>
      <w:szCs w:val="24"/>
      <w:lang w:eastAsia="es-ES"/>
    </w:rPr>
  </w:style>
  <w:style w:type="paragraph" w:styleId="NormalWeb">
    <w:name w:val="Normal (Web)"/>
    <w:basedOn w:val="Normal"/>
    <w:uiPriority w:val="99"/>
    <w:unhideWhenUsed/>
    <w:rsid w:val="000A4AF0"/>
    <w:pPr>
      <w:spacing w:before="100" w:beforeAutospacing="1" w:after="100" w:afterAutospacing="1"/>
    </w:pPr>
    <w:rPr>
      <w:sz w:val="24"/>
      <w:szCs w:val="24"/>
    </w:rPr>
  </w:style>
  <w:style w:type="paragraph" w:customStyle="1" w:styleId="Enconsecueencia">
    <w:name w:val="En consecueencia"/>
    <w:basedOn w:val="Normal"/>
    <w:rsid w:val="00B35BD3"/>
    <w:pPr>
      <w:tabs>
        <w:tab w:val="left" w:pos="1276"/>
      </w:tabs>
      <w:overflowPunct w:val="0"/>
      <w:autoSpaceDE w:val="0"/>
      <w:autoSpaceDN w:val="0"/>
      <w:adjustRightInd w:val="0"/>
      <w:jc w:val="both"/>
    </w:pPr>
    <w:rPr>
      <w:rFonts w:ascii="Arial" w:hAnsi="Arial"/>
      <w:sz w:val="22"/>
      <w:lang w:val="es-ES_tradnl"/>
    </w:rPr>
  </w:style>
  <w:style w:type="character" w:customStyle="1" w:styleId="baj">
    <w:name w:val="b_aj"/>
    <w:rsid w:val="00130B71"/>
  </w:style>
  <w:style w:type="character" w:styleId="Hipervnculo">
    <w:name w:val="Hyperlink"/>
    <w:uiPriority w:val="99"/>
    <w:unhideWhenUsed/>
    <w:rsid w:val="00130B71"/>
    <w:rPr>
      <w:color w:val="0000FF"/>
      <w:u w:val="single"/>
    </w:rPr>
  </w:style>
  <w:style w:type="character" w:styleId="Mencinsinresolver">
    <w:name w:val="Unresolved Mention"/>
    <w:basedOn w:val="Fuentedeprrafopredeter"/>
    <w:uiPriority w:val="99"/>
    <w:semiHidden/>
    <w:unhideWhenUsed/>
    <w:rsid w:val="00B16526"/>
    <w:rPr>
      <w:color w:val="605E5C"/>
      <w:shd w:val="clear" w:color="auto" w:fill="E1DFDD"/>
    </w:rPr>
  </w:style>
  <w:style w:type="character" w:styleId="nfasis">
    <w:name w:val="Emphasis"/>
    <w:basedOn w:val="Fuentedeprrafopredeter"/>
    <w:uiPriority w:val="20"/>
    <w:qFormat/>
    <w:rsid w:val="00715B3C"/>
    <w:rPr>
      <w:i/>
      <w:iCs/>
    </w:rPr>
  </w:style>
  <w:style w:type="character" w:customStyle="1" w:styleId="Ttulo2Car">
    <w:name w:val="Título 2 Car"/>
    <w:basedOn w:val="Fuentedeprrafopredeter"/>
    <w:link w:val="Ttulo2"/>
    <w:uiPriority w:val="9"/>
    <w:rsid w:val="00715B3C"/>
    <w:rPr>
      <w:rFonts w:ascii="Times New Roman" w:eastAsia="Times New Roman" w:hAnsi="Times New Roman"/>
      <w:b/>
      <w:bCs/>
      <w:sz w:val="36"/>
      <w:szCs w:val="36"/>
    </w:rPr>
  </w:style>
  <w:style w:type="paragraph" w:customStyle="1" w:styleId="BodyText21">
    <w:name w:val="Body Text 21"/>
    <w:basedOn w:val="Normal"/>
    <w:rsid w:val="001A2139"/>
    <w:pPr>
      <w:overflowPunct w:val="0"/>
      <w:autoSpaceDE w:val="0"/>
      <w:autoSpaceDN w:val="0"/>
      <w:adjustRightInd w:val="0"/>
      <w:spacing w:line="480" w:lineRule="auto"/>
      <w:jc w:val="both"/>
      <w:textAlignment w:val="baseline"/>
    </w:pPr>
    <w:rPr>
      <w:rFonts w:ascii="Arial" w:hAnsi="Arial"/>
      <w:sz w:val="24"/>
      <w:lang w:val="es-ES_tradnl"/>
    </w:rPr>
  </w:style>
  <w:style w:type="character" w:styleId="Textoennegrita">
    <w:name w:val="Strong"/>
    <w:basedOn w:val="Fuentedeprrafopredeter"/>
    <w:uiPriority w:val="22"/>
    <w:qFormat/>
    <w:rsid w:val="002B02F2"/>
    <w:rPr>
      <w:b/>
      <w:bCs/>
    </w:rPr>
  </w:style>
  <w:style w:type="table" w:styleId="Tablaconcuadrcula">
    <w:name w:val="Table Grid"/>
    <w:basedOn w:val="Tablanormal"/>
    <w:uiPriority w:val="39"/>
    <w:rsid w:val="002266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02963">
      <w:bodyDiv w:val="1"/>
      <w:marLeft w:val="0"/>
      <w:marRight w:val="0"/>
      <w:marTop w:val="0"/>
      <w:marBottom w:val="0"/>
      <w:divBdr>
        <w:top w:val="none" w:sz="0" w:space="0" w:color="auto"/>
        <w:left w:val="none" w:sz="0" w:space="0" w:color="auto"/>
        <w:bottom w:val="none" w:sz="0" w:space="0" w:color="auto"/>
        <w:right w:val="none" w:sz="0" w:space="0" w:color="auto"/>
      </w:divBdr>
    </w:div>
    <w:div w:id="291206808">
      <w:bodyDiv w:val="1"/>
      <w:marLeft w:val="0"/>
      <w:marRight w:val="0"/>
      <w:marTop w:val="0"/>
      <w:marBottom w:val="0"/>
      <w:divBdr>
        <w:top w:val="none" w:sz="0" w:space="0" w:color="auto"/>
        <w:left w:val="none" w:sz="0" w:space="0" w:color="auto"/>
        <w:bottom w:val="none" w:sz="0" w:space="0" w:color="auto"/>
        <w:right w:val="none" w:sz="0" w:space="0" w:color="auto"/>
      </w:divBdr>
    </w:div>
    <w:div w:id="493301629">
      <w:bodyDiv w:val="1"/>
      <w:marLeft w:val="0"/>
      <w:marRight w:val="0"/>
      <w:marTop w:val="0"/>
      <w:marBottom w:val="0"/>
      <w:divBdr>
        <w:top w:val="none" w:sz="0" w:space="0" w:color="auto"/>
        <w:left w:val="none" w:sz="0" w:space="0" w:color="auto"/>
        <w:bottom w:val="none" w:sz="0" w:space="0" w:color="auto"/>
        <w:right w:val="none" w:sz="0" w:space="0" w:color="auto"/>
      </w:divBdr>
    </w:div>
    <w:div w:id="740755274">
      <w:bodyDiv w:val="1"/>
      <w:marLeft w:val="0"/>
      <w:marRight w:val="0"/>
      <w:marTop w:val="0"/>
      <w:marBottom w:val="0"/>
      <w:divBdr>
        <w:top w:val="none" w:sz="0" w:space="0" w:color="auto"/>
        <w:left w:val="none" w:sz="0" w:space="0" w:color="auto"/>
        <w:bottom w:val="none" w:sz="0" w:space="0" w:color="auto"/>
        <w:right w:val="none" w:sz="0" w:space="0" w:color="auto"/>
      </w:divBdr>
    </w:div>
    <w:div w:id="1102995871">
      <w:bodyDiv w:val="1"/>
      <w:marLeft w:val="0"/>
      <w:marRight w:val="0"/>
      <w:marTop w:val="0"/>
      <w:marBottom w:val="0"/>
      <w:divBdr>
        <w:top w:val="none" w:sz="0" w:space="0" w:color="auto"/>
        <w:left w:val="none" w:sz="0" w:space="0" w:color="auto"/>
        <w:bottom w:val="none" w:sz="0" w:space="0" w:color="auto"/>
        <w:right w:val="none" w:sz="0" w:space="0" w:color="auto"/>
      </w:divBdr>
    </w:div>
    <w:div w:id="1185095678">
      <w:bodyDiv w:val="1"/>
      <w:marLeft w:val="0"/>
      <w:marRight w:val="0"/>
      <w:marTop w:val="0"/>
      <w:marBottom w:val="0"/>
      <w:divBdr>
        <w:top w:val="none" w:sz="0" w:space="0" w:color="auto"/>
        <w:left w:val="none" w:sz="0" w:space="0" w:color="auto"/>
        <w:bottom w:val="none" w:sz="0" w:space="0" w:color="auto"/>
        <w:right w:val="none" w:sz="0" w:space="0" w:color="auto"/>
      </w:divBdr>
    </w:div>
    <w:div w:id="1275090659">
      <w:bodyDiv w:val="1"/>
      <w:marLeft w:val="0"/>
      <w:marRight w:val="0"/>
      <w:marTop w:val="0"/>
      <w:marBottom w:val="0"/>
      <w:divBdr>
        <w:top w:val="none" w:sz="0" w:space="0" w:color="auto"/>
        <w:left w:val="none" w:sz="0" w:space="0" w:color="auto"/>
        <w:bottom w:val="none" w:sz="0" w:space="0" w:color="auto"/>
        <w:right w:val="none" w:sz="0" w:space="0" w:color="auto"/>
      </w:divBdr>
    </w:div>
    <w:div w:id="1468938417">
      <w:bodyDiv w:val="1"/>
      <w:marLeft w:val="0"/>
      <w:marRight w:val="0"/>
      <w:marTop w:val="0"/>
      <w:marBottom w:val="0"/>
      <w:divBdr>
        <w:top w:val="none" w:sz="0" w:space="0" w:color="auto"/>
        <w:left w:val="none" w:sz="0" w:space="0" w:color="auto"/>
        <w:bottom w:val="none" w:sz="0" w:space="0" w:color="auto"/>
        <w:right w:val="none" w:sz="0" w:space="0" w:color="auto"/>
      </w:divBdr>
    </w:div>
    <w:div w:id="1565485774">
      <w:bodyDiv w:val="1"/>
      <w:marLeft w:val="0"/>
      <w:marRight w:val="0"/>
      <w:marTop w:val="0"/>
      <w:marBottom w:val="0"/>
      <w:divBdr>
        <w:top w:val="none" w:sz="0" w:space="0" w:color="auto"/>
        <w:left w:val="none" w:sz="0" w:space="0" w:color="auto"/>
        <w:bottom w:val="none" w:sz="0" w:space="0" w:color="auto"/>
        <w:right w:val="none" w:sz="0" w:space="0" w:color="auto"/>
      </w:divBdr>
    </w:div>
    <w:div w:id="1581021875">
      <w:bodyDiv w:val="1"/>
      <w:marLeft w:val="0"/>
      <w:marRight w:val="0"/>
      <w:marTop w:val="0"/>
      <w:marBottom w:val="0"/>
      <w:divBdr>
        <w:top w:val="none" w:sz="0" w:space="0" w:color="auto"/>
        <w:left w:val="none" w:sz="0" w:space="0" w:color="auto"/>
        <w:bottom w:val="none" w:sz="0" w:space="0" w:color="auto"/>
        <w:right w:val="none" w:sz="0" w:space="0" w:color="auto"/>
      </w:divBdr>
    </w:div>
    <w:div w:id="1942452899">
      <w:bodyDiv w:val="1"/>
      <w:marLeft w:val="0"/>
      <w:marRight w:val="0"/>
      <w:marTop w:val="0"/>
      <w:marBottom w:val="0"/>
      <w:divBdr>
        <w:top w:val="none" w:sz="0" w:space="0" w:color="auto"/>
        <w:left w:val="none" w:sz="0" w:space="0" w:color="auto"/>
        <w:bottom w:val="none" w:sz="0" w:space="0" w:color="auto"/>
        <w:right w:val="none" w:sz="0" w:space="0" w:color="auto"/>
      </w:divBdr>
    </w:div>
    <w:div w:id="20807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4124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564_2012_pr008.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41249" TargetMode="External"/><Relationship Id="R995ff7e621ce4f56"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033fef4fd03b5379dc61962ffcf9fa3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da58def42a8fad0772b43408546d2a7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f39911f4-d6d2-45e4-af5f-97661dfba13f}"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wjf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CD8B7-F442-40C2-BEF6-3E6AB186C48E}">
  <ds:schemaRefs>
    <ds:schemaRef ds:uri="http://schemas.microsoft.com/sharepoint/v3/contenttype/forms"/>
  </ds:schemaRefs>
</ds:datastoreItem>
</file>

<file path=customXml/itemProps2.xml><?xml version="1.0" encoding="utf-8"?>
<ds:datastoreItem xmlns:ds="http://schemas.openxmlformats.org/officeDocument/2006/customXml" ds:itemID="{CE5C4EA8-4521-438D-8992-B9BD66ECC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03826-769A-4C0D-9057-4AE72E7489BF}">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4.xml><?xml version="1.0" encoding="utf-8"?>
<ds:datastoreItem xmlns:ds="http://schemas.openxmlformats.org/officeDocument/2006/customXml" ds:itemID="{9113F8B9-4EFA-4C7E-9754-44844939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3089</Words>
  <Characters>16993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dc:creator>
  <cp:keywords/>
  <dc:description/>
  <cp:lastModifiedBy>Relatoria Tribunal Administrativo - Boyacá - Seccional Tunja</cp:lastModifiedBy>
  <cp:revision>2</cp:revision>
  <cp:lastPrinted>2017-09-21T15:57:00Z</cp:lastPrinted>
  <dcterms:created xsi:type="dcterms:W3CDTF">2023-01-19T14:57:00Z</dcterms:created>
  <dcterms:modified xsi:type="dcterms:W3CDTF">2023-01-19T14:57:00Z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