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B66EA" w14:textId="5FF04DEF" w:rsidR="00CA7BC6" w:rsidRDefault="00CA7BC6" w:rsidP="007F3C07">
      <w:pPr>
        <w:pStyle w:val="Prrafodelista"/>
        <w:widowControl w:val="0"/>
        <w:tabs>
          <w:tab w:val="left" w:pos="-720"/>
        </w:tabs>
        <w:suppressAutoHyphens/>
        <w:ind w:left="0"/>
        <w:contextualSpacing/>
        <w:jc w:val="both"/>
        <w:rPr>
          <w:rFonts w:ascii="Arial" w:hAnsi="Arial" w:cs="Arial"/>
          <w:b/>
          <w:sz w:val="24"/>
          <w:szCs w:val="24"/>
        </w:rPr>
      </w:pPr>
      <w:r>
        <w:rPr>
          <w:rFonts w:ascii="Arial" w:hAnsi="Arial" w:cs="Arial"/>
          <w:b/>
          <w:sz w:val="24"/>
          <w:szCs w:val="24"/>
        </w:rPr>
        <w:t xml:space="preserve">PROCESO EJECUTIVO – Etapas procesales. </w:t>
      </w:r>
    </w:p>
    <w:p w14:paraId="507F2F1C" w14:textId="77777777" w:rsidR="00CA7BC6" w:rsidRDefault="00CA7BC6" w:rsidP="007F3C07">
      <w:pPr>
        <w:pStyle w:val="Prrafodelista"/>
        <w:widowControl w:val="0"/>
        <w:tabs>
          <w:tab w:val="left" w:pos="-720"/>
        </w:tabs>
        <w:suppressAutoHyphens/>
        <w:ind w:left="0"/>
        <w:contextualSpacing/>
        <w:jc w:val="both"/>
        <w:rPr>
          <w:rFonts w:ascii="Arial" w:hAnsi="Arial" w:cs="Arial"/>
          <w:b/>
          <w:sz w:val="24"/>
          <w:szCs w:val="24"/>
        </w:rPr>
      </w:pPr>
    </w:p>
    <w:p w14:paraId="75549649" w14:textId="5D98059F" w:rsidR="00CA7BC6" w:rsidRDefault="00CA7BC6" w:rsidP="007F3C07">
      <w:pPr>
        <w:pStyle w:val="Prrafodelista"/>
        <w:widowControl w:val="0"/>
        <w:tabs>
          <w:tab w:val="left" w:pos="-720"/>
        </w:tabs>
        <w:suppressAutoHyphens/>
        <w:ind w:left="0"/>
        <w:contextualSpacing/>
        <w:jc w:val="both"/>
        <w:rPr>
          <w:rFonts w:ascii="Arial" w:eastAsia="Arial" w:hAnsi="Arial" w:cs="Arial"/>
          <w:sz w:val="24"/>
          <w:szCs w:val="24"/>
          <w:lang w:val="es"/>
        </w:rPr>
      </w:pPr>
      <w:r w:rsidRPr="00CA7BC6">
        <w:rPr>
          <w:rFonts w:ascii="Arial" w:hAnsi="Arial" w:cs="Arial"/>
          <w:sz w:val="24"/>
          <w:szCs w:val="24"/>
        </w:rPr>
        <w:t>Respecto de la posibilidad de reformar la demanda en el proceso ejecutivo, en</w:t>
      </w:r>
      <w:r w:rsidRPr="10644CC7">
        <w:rPr>
          <w:rFonts w:ascii="Arial" w:eastAsia="Calibri" w:hAnsi="Arial" w:cs="Arial"/>
          <w:sz w:val="24"/>
          <w:szCs w:val="24"/>
          <w:lang w:val="es-CO" w:eastAsia="en-US"/>
        </w:rPr>
        <w:t xml:space="preserve"> virtud de inciso final del artículo 299, y de los artículos 104, 152 -7, y 155-7 de la Ley 1437 de 2011 (normatividad vigente al momento de la presentación de la demanda, esto es 23 de junio de 2017), se asigna la competencia de procesos ejecutivos -</w:t>
      </w:r>
      <w:r w:rsidRPr="007F3C07">
        <w:rPr>
          <w:rFonts w:ascii="Arial" w:eastAsia="Calibri" w:hAnsi="Arial" w:cs="Arial"/>
          <w:iCs/>
          <w:sz w:val="24"/>
          <w:szCs w:val="24"/>
          <w:lang w:val="es-CO" w:eastAsia="en-US"/>
        </w:rPr>
        <w:t>distintos de los derivados de ejecución de providencias judiciales</w:t>
      </w:r>
      <w:r w:rsidRPr="007F3C07">
        <w:rPr>
          <w:rFonts w:ascii="Arial" w:eastAsia="Calibri" w:hAnsi="Arial" w:cs="Arial"/>
          <w:sz w:val="24"/>
          <w:szCs w:val="24"/>
          <w:lang w:val="es-CO" w:eastAsia="en-US"/>
        </w:rPr>
        <w:t>-</w:t>
      </w:r>
      <w:r w:rsidRPr="10644CC7">
        <w:rPr>
          <w:rFonts w:ascii="Arial" w:eastAsia="Calibri" w:hAnsi="Arial" w:cs="Arial"/>
          <w:sz w:val="24"/>
          <w:szCs w:val="24"/>
          <w:lang w:val="es-CO" w:eastAsia="en-US"/>
        </w:rPr>
        <w:t xml:space="preserve"> a los tribunales administrativos cuando su cuantía exceda de 1500 SMLMV y a los juzgados administrativos cuando su cuantía no supere dicho monto. </w:t>
      </w:r>
      <w:r w:rsidRPr="10644CC7">
        <w:rPr>
          <w:rFonts w:ascii="Arial" w:eastAsia="Calibri" w:hAnsi="Arial" w:cs="Arial"/>
          <w:i/>
          <w:iCs/>
          <w:sz w:val="24"/>
          <w:szCs w:val="24"/>
          <w:lang w:val="es-CO" w:eastAsia="en-US"/>
        </w:rPr>
        <w:t xml:space="preserve"> </w:t>
      </w:r>
      <w:r>
        <w:rPr>
          <w:rFonts w:ascii="Arial" w:eastAsia="Calibri" w:hAnsi="Arial" w:cs="Arial"/>
          <w:i/>
          <w:iCs/>
          <w:sz w:val="24"/>
          <w:szCs w:val="24"/>
          <w:lang w:val="es-CO" w:eastAsia="en-US"/>
        </w:rPr>
        <w:t xml:space="preserve"> </w:t>
      </w:r>
      <w:r w:rsidRPr="0082270E">
        <w:rPr>
          <w:rFonts w:ascii="Arial" w:hAnsi="Arial" w:cs="Arial"/>
          <w:sz w:val="24"/>
          <w:szCs w:val="24"/>
        </w:rPr>
        <w:t xml:space="preserve">Sin embargo, la Ley 1437 de 2011 no previó un procedimiento especial para el proceso ejecutivo, por lo que, en virtud del artículo 299 </w:t>
      </w:r>
      <w:r w:rsidRPr="10644CC7">
        <w:rPr>
          <w:rFonts w:ascii="Arial" w:hAnsi="Arial" w:cs="Arial"/>
          <w:i/>
          <w:iCs/>
          <w:sz w:val="24"/>
          <w:szCs w:val="24"/>
        </w:rPr>
        <w:t xml:space="preserve">ibidem </w:t>
      </w:r>
      <w:r w:rsidRPr="0082270E">
        <w:rPr>
          <w:rFonts w:ascii="Arial" w:hAnsi="Arial" w:cs="Arial"/>
          <w:sz w:val="24"/>
          <w:szCs w:val="24"/>
        </w:rPr>
        <w:t>vigente</w:t>
      </w:r>
      <w:r w:rsidRPr="10644CC7">
        <w:rPr>
          <w:rFonts w:ascii="Arial" w:hAnsi="Arial" w:cs="Arial"/>
          <w:i/>
          <w:iCs/>
          <w:sz w:val="24"/>
          <w:szCs w:val="24"/>
        </w:rPr>
        <w:t>,</w:t>
      </w:r>
      <w:r w:rsidRPr="0082270E">
        <w:rPr>
          <w:rFonts w:ascii="Arial" w:hAnsi="Arial" w:cs="Arial"/>
          <w:sz w:val="24"/>
          <w:szCs w:val="24"/>
        </w:rPr>
        <w:t xml:space="preserve"> se deben aplicar las reglas establecidas en el Código General del Proceso, respecto de los procesos ejecutivos de mayor cuantía. </w:t>
      </w:r>
      <w:r w:rsidRPr="3CE3F0DF">
        <w:rPr>
          <w:rFonts w:ascii="Arial" w:hAnsi="Arial" w:cs="Arial"/>
          <w:sz w:val="24"/>
          <w:szCs w:val="24"/>
        </w:rPr>
        <w:t>Para los procesos ejecutivos de conocimiento de la Jurisdicción de lo Contenciosa Administrativo, se encuentra establecidas las siguientes etapas procesales:</w:t>
      </w:r>
      <w:r>
        <w:rPr>
          <w:rFonts w:ascii="Arial" w:hAnsi="Arial" w:cs="Arial"/>
          <w:sz w:val="24"/>
          <w:szCs w:val="24"/>
        </w:rPr>
        <w:t xml:space="preserve"> - </w:t>
      </w:r>
      <w:r>
        <w:rPr>
          <w:rFonts w:ascii="Arial" w:hAnsi="Arial" w:cs="Arial"/>
          <w:sz w:val="24"/>
          <w:szCs w:val="24"/>
        </w:rPr>
        <w:t>Presentada la demanda, acompañada del documento que preste mérito ejecutivo, el juez deberá librar el mandamiento de pago que ordene al demandado el cumplimiento de la obligación en la forma pedida, si fuere procedente, o en la que aquel considere legal, lo que habilita al ejecutado a que formule las excepciones que considere pertinentes o las que establezca la ley en el caso de obligaciones contenidas en una providencia, conciliación o transacción aprobada por el juez.</w:t>
      </w:r>
      <w:r>
        <w:rPr>
          <w:rFonts w:ascii="Arial" w:hAnsi="Arial" w:cs="Arial"/>
          <w:sz w:val="24"/>
          <w:szCs w:val="24"/>
        </w:rPr>
        <w:t xml:space="preserve">  - </w:t>
      </w:r>
      <w:r w:rsidRPr="00B854FA">
        <w:rPr>
          <w:rFonts w:ascii="Arial" w:hAnsi="Arial" w:cs="Arial"/>
          <w:sz w:val="24"/>
          <w:szCs w:val="24"/>
        </w:rPr>
        <w:t>Si el ejecutado no propone excepciones oportunamente, el juez ordenará, por medio de auto que no admite recurso, el remate y el avalúo de los bienes embargados y de los que posteriormente se embarguen, si fuere el caso, o seguir adelante la ejecución para el cumplimiento de las obligaciones determinadas en el mandamiento ejecutivo, practicar la liquidación del crédito y condenar en costas al ejecutado.</w:t>
      </w:r>
      <w:r>
        <w:rPr>
          <w:rFonts w:ascii="Arial" w:hAnsi="Arial" w:cs="Arial"/>
          <w:sz w:val="24"/>
          <w:szCs w:val="24"/>
        </w:rPr>
        <w:t xml:space="preserve"> - </w:t>
      </w:r>
      <w:r w:rsidRPr="40EF63BF">
        <w:rPr>
          <w:rFonts w:ascii="Arial" w:hAnsi="Arial" w:cs="Arial"/>
          <w:sz w:val="24"/>
          <w:szCs w:val="24"/>
        </w:rPr>
        <w:t xml:space="preserve">Si el ejecutado propone excepciones procedentes, surtido el traslado correspondiente, se llevará a cabo la audiencia inicial y el juez proferirá la sentencia, en los términos del artículo 443 del Código General del Proceso, respecto de la cual procede el recurso de apelación. </w:t>
      </w:r>
      <w:r>
        <w:rPr>
          <w:rFonts w:ascii="Arial" w:hAnsi="Arial" w:cs="Arial"/>
          <w:sz w:val="24"/>
          <w:szCs w:val="24"/>
        </w:rPr>
        <w:t>-</w:t>
      </w:r>
      <w:r w:rsidRPr="3CE3F0DF">
        <w:rPr>
          <w:rFonts w:ascii="Arial" w:eastAsia="Arial" w:hAnsi="Arial" w:cs="Arial"/>
          <w:sz w:val="24"/>
          <w:szCs w:val="24"/>
        </w:rPr>
        <w:t>Seguidamente del a</w:t>
      </w:r>
      <w:proofErr w:type="spellStart"/>
      <w:r w:rsidRPr="3CE3F0DF">
        <w:rPr>
          <w:rFonts w:ascii="Arial" w:eastAsia="Arial" w:hAnsi="Arial" w:cs="Arial"/>
          <w:sz w:val="24"/>
          <w:szCs w:val="24"/>
          <w:lang w:val="es"/>
        </w:rPr>
        <w:t>uto</w:t>
      </w:r>
      <w:proofErr w:type="spellEnd"/>
      <w:r w:rsidRPr="3CE3F0DF">
        <w:rPr>
          <w:rFonts w:ascii="Arial" w:eastAsia="Arial" w:hAnsi="Arial" w:cs="Arial"/>
          <w:sz w:val="24"/>
          <w:szCs w:val="24"/>
          <w:lang w:val="es"/>
        </w:rPr>
        <w:t xml:space="preserve"> que ordena continuar la ejecución en los términos del artículo 440 ibidem, liquidación del crédito -artículo 446-, y finalmente el remate en pública subasta de los bienes -si hubiere lugar a ello artículo 452 del CGP-.</w:t>
      </w:r>
    </w:p>
    <w:p w14:paraId="4F25A56C" w14:textId="72480190" w:rsidR="00CA7BC6" w:rsidRDefault="00CA7BC6" w:rsidP="007F3C07">
      <w:pPr>
        <w:pStyle w:val="Prrafodelista"/>
        <w:widowControl w:val="0"/>
        <w:tabs>
          <w:tab w:val="left" w:pos="-720"/>
        </w:tabs>
        <w:suppressAutoHyphens/>
        <w:ind w:left="0"/>
        <w:contextualSpacing/>
        <w:jc w:val="both"/>
        <w:rPr>
          <w:b/>
          <w:bCs/>
          <w:sz w:val="24"/>
          <w:szCs w:val="24"/>
          <w:lang w:val="es"/>
        </w:rPr>
      </w:pPr>
    </w:p>
    <w:p w14:paraId="4F70EFA4" w14:textId="17623046" w:rsidR="00CA7BC6" w:rsidRPr="00CA7BC6" w:rsidRDefault="00CA7BC6" w:rsidP="007F3C07">
      <w:pPr>
        <w:pStyle w:val="Prrafodelista"/>
        <w:widowControl w:val="0"/>
        <w:tabs>
          <w:tab w:val="left" w:pos="-720"/>
        </w:tabs>
        <w:suppressAutoHyphens/>
        <w:ind w:left="0"/>
        <w:contextualSpacing/>
        <w:jc w:val="both"/>
        <w:rPr>
          <w:rFonts w:ascii="Arial" w:hAnsi="Arial" w:cs="Arial"/>
          <w:b/>
          <w:bCs/>
          <w:sz w:val="24"/>
          <w:szCs w:val="24"/>
          <w:lang w:val="es"/>
        </w:rPr>
      </w:pPr>
      <w:r>
        <w:rPr>
          <w:rFonts w:ascii="Arial" w:hAnsi="Arial" w:cs="Arial"/>
          <w:b/>
          <w:bCs/>
          <w:sz w:val="24"/>
          <w:szCs w:val="24"/>
          <w:lang w:val="es"/>
        </w:rPr>
        <w:t>RECURSO DE APELACIÓN – Rechazo por falta de sustentación</w:t>
      </w:r>
      <w:r w:rsidR="007F3C07">
        <w:rPr>
          <w:rFonts w:ascii="Arial" w:hAnsi="Arial" w:cs="Arial"/>
          <w:b/>
          <w:bCs/>
          <w:sz w:val="24"/>
          <w:szCs w:val="24"/>
          <w:lang w:val="es"/>
        </w:rPr>
        <w:t>.</w:t>
      </w:r>
    </w:p>
    <w:p w14:paraId="49165F10" w14:textId="77777777" w:rsidR="00CA7BC6" w:rsidRPr="00CA7BC6" w:rsidRDefault="00CA7BC6" w:rsidP="007F3C07">
      <w:pPr>
        <w:pStyle w:val="Prrafodelista"/>
        <w:ind w:left="0"/>
        <w:rPr>
          <w:rFonts w:ascii="Arial" w:hAnsi="Arial" w:cs="Arial"/>
          <w:b/>
          <w:bCs/>
          <w:sz w:val="24"/>
          <w:szCs w:val="24"/>
          <w:lang w:val="es"/>
        </w:rPr>
      </w:pPr>
    </w:p>
    <w:p w14:paraId="2C6F677C" w14:textId="1D9F9A0F" w:rsidR="00CA7BC6" w:rsidRPr="00CA7BC6" w:rsidRDefault="00CA7BC6" w:rsidP="007F3C07">
      <w:pPr>
        <w:pStyle w:val="Prrafodelista"/>
        <w:widowControl w:val="0"/>
        <w:suppressAutoHyphens/>
        <w:ind w:left="0"/>
        <w:contextualSpacing/>
        <w:jc w:val="both"/>
        <w:rPr>
          <w:rFonts w:ascii="Arial" w:hAnsi="Arial" w:cs="Arial"/>
          <w:sz w:val="24"/>
          <w:szCs w:val="24"/>
        </w:rPr>
      </w:pPr>
      <w:r w:rsidRPr="0A4A898A">
        <w:rPr>
          <w:rFonts w:ascii="Arial" w:hAnsi="Arial" w:cs="Arial"/>
          <w:sz w:val="24"/>
          <w:szCs w:val="24"/>
        </w:rPr>
        <w:t xml:space="preserve">En el </w:t>
      </w:r>
      <w:r w:rsidRPr="0A4A898A">
        <w:rPr>
          <w:rFonts w:ascii="Arial" w:hAnsi="Arial" w:cs="Arial"/>
          <w:i/>
          <w:iCs/>
          <w:sz w:val="24"/>
          <w:szCs w:val="24"/>
        </w:rPr>
        <w:t xml:space="preserve">sub examine, </w:t>
      </w:r>
      <w:r w:rsidRPr="0A4A898A">
        <w:rPr>
          <w:rFonts w:ascii="Arial" w:hAnsi="Arial" w:cs="Arial"/>
          <w:sz w:val="24"/>
          <w:szCs w:val="24"/>
        </w:rPr>
        <w:t xml:space="preserve">el </w:t>
      </w:r>
      <w:r w:rsidRPr="0A4A898A">
        <w:rPr>
          <w:rFonts w:ascii="Arial" w:hAnsi="Arial" w:cs="Arial"/>
          <w:i/>
          <w:iCs/>
          <w:sz w:val="24"/>
          <w:szCs w:val="24"/>
        </w:rPr>
        <w:t xml:space="preserve">a quo </w:t>
      </w:r>
      <w:r w:rsidRPr="0A4A898A">
        <w:rPr>
          <w:rFonts w:ascii="Arial" w:hAnsi="Arial" w:cs="Arial"/>
          <w:sz w:val="24"/>
          <w:szCs w:val="24"/>
        </w:rPr>
        <w:t xml:space="preserve">rechazó la reforma a la demanda bajo argumentaciones netamente procesales, entendió que de conformidad con lo establecido en el inciso cuarto del artículo 392 del C.G.P., no había lugar para la reforma de la demanda en los procesos ejecutivos de menor y mínima cuantía. </w:t>
      </w:r>
      <w:r w:rsidRPr="3CE3F0DF">
        <w:rPr>
          <w:rFonts w:ascii="Arial" w:hAnsi="Arial" w:cs="Arial"/>
          <w:sz w:val="24"/>
          <w:szCs w:val="24"/>
        </w:rPr>
        <w:t xml:space="preserve">Por su parte, en el escrito de apelación se presentaron argumentaciones del orden sustancial, atinentes a la existencia de una obligación clara, expresa y exigible contenida en un título ejecutivo, indicando que existía diferencia con el concepto de título valor del Código de Comercio. </w:t>
      </w:r>
      <w:r>
        <w:rPr>
          <w:rFonts w:ascii="Arial" w:hAnsi="Arial" w:cs="Arial"/>
          <w:sz w:val="24"/>
          <w:szCs w:val="24"/>
        </w:rPr>
        <w:t xml:space="preserve">De manera que, el Despacho no encuentra que se haya formulado reparo concreto en contra de las motivaciones que llevaron al juez de instancia a rechazar la reforma a la demanda. </w:t>
      </w:r>
      <w:r w:rsidRPr="3CE3F0DF">
        <w:rPr>
          <w:rFonts w:ascii="Arial" w:hAnsi="Arial" w:cs="Arial"/>
          <w:sz w:val="24"/>
          <w:szCs w:val="24"/>
        </w:rPr>
        <w:t xml:space="preserve">Tal como ha indicado la citada jurisprudencia, es imperioso que el apelante exponga puntalmente las razones por las cuales no comparte las consideraciones de la providencia que recurre en apelación y la determinación misma, de manera que el </w:t>
      </w:r>
      <w:r w:rsidRPr="3CE3F0DF">
        <w:rPr>
          <w:rFonts w:ascii="Arial" w:hAnsi="Arial" w:cs="Arial"/>
          <w:i/>
          <w:iCs/>
          <w:sz w:val="24"/>
          <w:szCs w:val="24"/>
        </w:rPr>
        <w:t xml:space="preserve">ad </w:t>
      </w:r>
      <w:proofErr w:type="spellStart"/>
      <w:r w:rsidRPr="3CE3F0DF">
        <w:rPr>
          <w:rFonts w:ascii="Arial" w:hAnsi="Arial" w:cs="Arial"/>
          <w:i/>
          <w:iCs/>
          <w:sz w:val="24"/>
          <w:szCs w:val="24"/>
        </w:rPr>
        <w:t>quem</w:t>
      </w:r>
      <w:proofErr w:type="spellEnd"/>
      <w:r w:rsidRPr="3CE3F0DF">
        <w:rPr>
          <w:rFonts w:ascii="Arial" w:hAnsi="Arial" w:cs="Arial"/>
          <w:sz w:val="24"/>
          <w:szCs w:val="24"/>
        </w:rPr>
        <w:t xml:space="preserve"> pueda estudiar la corrección de </w:t>
      </w:r>
      <w:r w:rsidRPr="3CE3F0DF">
        <w:rPr>
          <w:rFonts w:ascii="Arial" w:hAnsi="Arial" w:cs="Arial"/>
          <w:sz w:val="24"/>
          <w:szCs w:val="24"/>
        </w:rPr>
        <w:lastRenderedPageBreak/>
        <w:t>lo resuelto por el juez de instancia en función de sus fundamentos.</w:t>
      </w:r>
      <w:r>
        <w:rPr>
          <w:rFonts w:ascii="Arial" w:hAnsi="Arial" w:cs="Arial"/>
          <w:sz w:val="24"/>
          <w:szCs w:val="24"/>
        </w:rPr>
        <w:t xml:space="preserve"> </w:t>
      </w:r>
      <w:r w:rsidRPr="0A4A898A">
        <w:rPr>
          <w:rFonts w:ascii="Arial" w:hAnsi="Arial" w:cs="Arial"/>
          <w:sz w:val="24"/>
          <w:szCs w:val="24"/>
        </w:rPr>
        <w:t xml:space="preserve">De lo contrario, si no existe relación entre los argumentos de apelación frente a las consideraciones expuestas por el </w:t>
      </w:r>
      <w:r w:rsidRPr="0A4A898A">
        <w:rPr>
          <w:rFonts w:ascii="Arial" w:hAnsi="Arial" w:cs="Arial"/>
          <w:i/>
          <w:iCs/>
          <w:sz w:val="24"/>
          <w:szCs w:val="24"/>
        </w:rPr>
        <w:t>a quo</w:t>
      </w:r>
      <w:r w:rsidRPr="0A4A898A">
        <w:rPr>
          <w:rFonts w:ascii="Arial" w:hAnsi="Arial" w:cs="Arial"/>
          <w:sz w:val="24"/>
          <w:szCs w:val="24"/>
        </w:rPr>
        <w:t>, es como si no se hubiese sustentado el recurso de apelación, y un panorama así impone el rechazo de del recurso de apelación por falta de sustentación.</w:t>
      </w:r>
      <w:r>
        <w:rPr>
          <w:rFonts w:ascii="Arial" w:hAnsi="Arial" w:cs="Arial"/>
          <w:sz w:val="24"/>
          <w:szCs w:val="24"/>
        </w:rPr>
        <w:t xml:space="preserve">  </w:t>
      </w:r>
      <w:r w:rsidRPr="3CE3F0DF">
        <w:rPr>
          <w:rFonts w:ascii="Arial" w:hAnsi="Arial" w:cs="Arial"/>
          <w:sz w:val="24"/>
          <w:szCs w:val="24"/>
        </w:rPr>
        <w:t xml:space="preserve">En el caso particular, si el apelante hubiera presentado argumentaciones de orden procesal que controvirtieran lo argüido y lo resuelto por el juez de instancia, en punto de exponer las razones por las cuales, en su consideración, en el proceso ejecutivo sí era posible presentar reforma a la demanda, se hubiera abierto la competencia superior para resolver de fondo. </w:t>
      </w:r>
    </w:p>
    <w:p w14:paraId="48E1CA00" w14:textId="77777777" w:rsidR="00CA7BC6" w:rsidRDefault="00CA7BC6" w:rsidP="007F3C07">
      <w:pPr>
        <w:widowControl w:val="0"/>
        <w:contextualSpacing/>
        <w:jc w:val="both"/>
        <w:rPr>
          <w:rFonts w:ascii="Arial" w:hAnsi="Arial" w:cs="Arial"/>
          <w:sz w:val="24"/>
          <w:szCs w:val="24"/>
        </w:rPr>
      </w:pPr>
    </w:p>
    <w:p w14:paraId="6DD73D33" w14:textId="1B30F26D" w:rsidR="00CA7BC6" w:rsidRDefault="007F3C07" w:rsidP="007F3C07">
      <w:pPr>
        <w:pStyle w:val="Prrafodelista"/>
        <w:widowControl w:val="0"/>
        <w:tabs>
          <w:tab w:val="left" w:pos="-720"/>
        </w:tabs>
        <w:suppressAutoHyphens/>
        <w:ind w:left="0"/>
        <w:contextualSpacing/>
        <w:jc w:val="both"/>
        <w:rPr>
          <w:rFonts w:ascii="Arial" w:hAnsi="Arial" w:cs="Arial"/>
          <w:b/>
          <w:bCs/>
          <w:sz w:val="24"/>
          <w:szCs w:val="24"/>
          <w:lang w:val="es"/>
        </w:rPr>
      </w:pPr>
      <w:r w:rsidRPr="00CA7BC6">
        <w:rPr>
          <w:rFonts w:ascii="Arial" w:hAnsi="Arial" w:cs="Arial"/>
          <w:b/>
          <w:bCs/>
          <w:sz w:val="24"/>
          <w:szCs w:val="24"/>
          <w:lang w:val="es"/>
        </w:rPr>
        <w:t xml:space="preserve">REFORMA DE LA DEMANDA EN PROCESO EJECUTIVO - </w:t>
      </w:r>
      <w:r>
        <w:rPr>
          <w:rFonts w:ascii="Arial" w:hAnsi="Arial" w:cs="Arial"/>
          <w:b/>
          <w:bCs/>
          <w:sz w:val="24"/>
          <w:szCs w:val="24"/>
          <w:lang w:val="es"/>
        </w:rPr>
        <w:t>No fue incorporada</w:t>
      </w:r>
      <w:r w:rsidR="00017BEA">
        <w:rPr>
          <w:rFonts w:ascii="Arial" w:hAnsi="Arial" w:cs="Arial"/>
          <w:b/>
          <w:bCs/>
          <w:sz w:val="24"/>
          <w:szCs w:val="24"/>
          <w:lang w:val="es"/>
        </w:rPr>
        <w:t xml:space="preserve"> por el legislador</w:t>
      </w:r>
      <w:r>
        <w:rPr>
          <w:rFonts w:ascii="Arial" w:hAnsi="Arial" w:cs="Arial"/>
          <w:b/>
          <w:bCs/>
          <w:sz w:val="24"/>
          <w:szCs w:val="24"/>
          <w:lang w:val="es"/>
        </w:rPr>
        <w:t xml:space="preserve"> como como una de las etapas previstas para el trámite de este proceso.</w:t>
      </w:r>
    </w:p>
    <w:p w14:paraId="49D6ABE0" w14:textId="77777777" w:rsidR="007F3C07" w:rsidRDefault="007F3C07" w:rsidP="007F3C07">
      <w:pPr>
        <w:pStyle w:val="Prrafodelista"/>
        <w:widowControl w:val="0"/>
        <w:tabs>
          <w:tab w:val="left" w:pos="-720"/>
        </w:tabs>
        <w:suppressAutoHyphens/>
        <w:ind w:left="0"/>
        <w:contextualSpacing/>
        <w:jc w:val="both"/>
        <w:rPr>
          <w:rFonts w:ascii="Arial" w:hAnsi="Arial" w:cs="Arial"/>
          <w:sz w:val="24"/>
          <w:szCs w:val="24"/>
        </w:rPr>
      </w:pPr>
    </w:p>
    <w:p w14:paraId="2A3EA626" w14:textId="57999BA1" w:rsidR="00CA7BC6" w:rsidRDefault="00CA7BC6" w:rsidP="007F3C07">
      <w:pPr>
        <w:widowControl w:val="0"/>
        <w:contextualSpacing/>
        <w:jc w:val="both"/>
        <w:rPr>
          <w:rFonts w:ascii="Arial" w:hAnsi="Arial" w:cs="Arial"/>
          <w:sz w:val="24"/>
          <w:szCs w:val="24"/>
        </w:rPr>
      </w:pPr>
      <w:r w:rsidRPr="3CE3F0DF">
        <w:rPr>
          <w:rFonts w:ascii="Arial" w:hAnsi="Arial" w:cs="Arial"/>
          <w:sz w:val="24"/>
          <w:szCs w:val="24"/>
        </w:rPr>
        <w:t>En gracia de discusión, para efectos de claridad y en garantía del principio de acceso a la justicia, el Despacho encuentra que, de conformidad con el marco normativo expuesto, la reforma de la demanda no fue incorporada como una de las etapas previstas para el proceso ejecutivo independientemente de que se tramite como un ejecutivo de mayor cuantía (previo a la reforma incorporada por la Ley 2080 de 2020) o, que debido a la reforma del C.P.A.C.A., se tramite como un ejecutivo de mínima cuantía.</w:t>
      </w:r>
      <w:r w:rsidR="007F3C07">
        <w:rPr>
          <w:rFonts w:ascii="Arial" w:hAnsi="Arial" w:cs="Arial"/>
          <w:sz w:val="24"/>
          <w:szCs w:val="24"/>
        </w:rPr>
        <w:t xml:space="preserve"> </w:t>
      </w:r>
      <w:r w:rsidRPr="3CE3F0DF">
        <w:rPr>
          <w:rFonts w:ascii="Arial" w:hAnsi="Arial" w:cs="Arial"/>
          <w:sz w:val="24"/>
          <w:szCs w:val="24"/>
        </w:rPr>
        <w:t>Tal instit</w:t>
      </w:r>
      <w:bookmarkStart w:id="0" w:name="_GoBack"/>
      <w:bookmarkEnd w:id="0"/>
      <w:r w:rsidRPr="3CE3F0DF">
        <w:rPr>
          <w:rFonts w:ascii="Arial" w:hAnsi="Arial" w:cs="Arial"/>
          <w:sz w:val="24"/>
          <w:szCs w:val="24"/>
        </w:rPr>
        <w:t>uto se encuentra previsto para los procesos ordinarios, salvo aquellos que la excluyen expresamente, y no es posible trasladar dicha institución a los procesos ejecutivos en atención a su propia naturaleza. La pretensión ejecutiva procede ante la existencia de un derecho - obligación, en los términos del artículo 442 del C.G.P., - clara, expresa y actualmente exigible- que, de cara a su cumplimiento compulsivo - excepcional – en contraposición al voluntario – regla -, impone un procedimiento ágil y eficiente, el que se vería afectado  si se le incorporan figuras que no fueron consideradas por el legislador con el consecuente impacto en las formas de cada juicio, en los términos del artículo 29 de la Constitución Política.  Se insiste, la reforma de la demanda está prevista, en lo fundamental, para que quien llegue a la jurisdicción a efectos de reclamar un derecho, tenga la posibilidad de, eventualmente, replantear su demanda a efectos de perfeccionar algunos de los aspectos que resultan relevantes para la decisión del juez, lo cual es razonable en tratándose de trámites en los que se va a pedir la declaración de un derecho, m</w:t>
      </w:r>
      <w:r w:rsidR="007F3C07">
        <w:rPr>
          <w:rFonts w:ascii="Arial" w:hAnsi="Arial" w:cs="Arial"/>
          <w:sz w:val="24"/>
          <w:szCs w:val="24"/>
        </w:rPr>
        <w:t>as</w:t>
      </w:r>
      <w:r w:rsidRPr="3CE3F0DF">
        <w:rPr>
          <w:rFonts w:ascii="Arial" w:hAnsi="Arial" w:cs="Arial"/>
          <w:sz w:val="24"/>
          <w:szCs w:val="24"/>
        </w:rPr>
        <w:t xml:space="preserve"> no en procesos donde ese derecho - obligación es presupuesto en cuanto ya goza de reconocimiento y se halla documentado en el título, en los términos del artículo 442 del CGP. </w:t>
      </w:r>
    </w:p>
    <w:p w14:paraId="3AF441D6" w14:textId="478E911F" w:rsidR="007F3C07" w:rsidRDefault="007F3C07" w:rsidP="007F3C07">
      <w:pPr>
        <w:widowControl w:val="0"/>
        <w:contextualSpacing/>
        <w:jc w:val="both"/>
        <w:rPr>
          <w:rFonts w:ascii="Arial" w:hAnsi="Arial" w:cs="Arial"/>
          <w:sz w:val="24"/>
          <w:szCs w:val="24"/>
        </w:rPr>
      </w:pPr>
    </w:p>
    <w:p w14:paraId="2B19F266" w14:textId="49425DDD" w:rsidR="007F3C07" w:rsidRPr="000638FC" w:rsidRDefault="007F3C07" w:rsidP="007F3C07">
      <w:pPr>
        <w:jc w:val="both"/>
        <w:rPr>
          <w:rFonts w:ascii="Arial" w:hAnsi="Arial" w:cs="Arial"/>
          <w:iCs/>
          <w:sz w:val="24"/>
          <w:szCs w:val="24"/>
        </w:rPr>
      </w:pPr>
      <w:bookmarkStart w:id="1" w:name="_Hlk105513629"/>
      <w:bookmarkStart w:id="2" w:name="_Hlk106288379"/>
      <w:bookmarkStart w:id="3" w:name="_Hlk110245706"/>
      <w:bookmarkStart w:id="4" w:name="_Hlk112925902"/>
      <w:bookmarkStart w:id="5" w:name="_Hlk113373568"/>
      <w:r w:rsidRPr="000638FC">
        <w:rPr>
          <w:rFonts w:ascii="Arial" w:hAnsi="Arial" w:cs="Arial"/>
          <w:b/>
          <w:bCs/>
          <w:sz w:val="24"/>
          <w:szCs w:val="24"/>
          <w:lang w:val="es-CO"/>
        </w:rPr>
        <w:t>NOTA DE RELATORÍA:</w:t>
      </w:r>
      <w:r w:rsidRPr="000638FC">
        <w:rPr>
          <w:rFonts w:ascii="Arial" w:hAnsi="Arial" w:cs="Arial"/>
          <w:bCs/>
          <w:lang w:val="es-CO"/>
        </w:rPr>
        <w:t xml:space="preserve"> </w:t>
      </w:r>
      <w:r w:rsidRPr="000638FC">
        <w:rPr>
          <w:rFonts w:ascii="Arial" w:hAnsi="Arial" w:cs="Arial"/>
          <w:iCs/>
          <w:sz w:val="24"/>
          <w:szCs w:val="24"/>
        </w:rPr>
        <w:t>La providencia que se presenta al público ha sido modificada solo para incluir sus anteriores descriptores y restrictores, mas no para variar su contenido. Por lo anterior, el código de seguridad del mismo no corresponde al de la original.</w:t>
      </w:r>
      <w:r>
        <w:rPr>
          <w:rFonts w:ascii="Arial" w:hAnsi="Arial" w:cs="Arial"/>
          <w:iCs/>
          <w:szCs w:val="24"/>
        </w:rPr>
        <w:t xml:space="preserve"> </w:t>
      </w:r>
      <w:r w:rsidRPr="000638FC">
        <w:rPr>
          <w:rFonts w:ascii="Arial" w:hAnsi="Arial" w:cs="Arial"/>
          <w:iCs/>
          <w:sz w:val="24"/>
          <w:szCs w:val="24"/>
        </w:rPr>
        <w:t xml:space="preserve"> Para validar la integridad de la providencia los interesados pueden consultarla y descargarla a través de la plataforma SAMAI siguiendo este link: </w:t>
      </w:r>
    </w:p>
    <w:p w14:paraId="1D7505A1" w14:textId="77777777" w:rsidR="007F3C07" w:rsidRDefault="007F3C07" w:rsidP="007F3C07"/>
    <w:tbl>
      <w:tblPr>
        <w:tblStyle w:val="Tablaconcuadrcula"/>
        <w:tblW w:w="0" w:type="auto"/>
        <w:tblInd w:w="0" w:type="dxa"/>
        <w:tblLook w:val="04A0" w:firstRow="1" w:lastRow="0" w:firstColumn="1" w:lastColumn="0" w:noHBand="0" w:noVBand="1"/>
      </w:tblPr>
      <w:tblGrid>
        <w:gridCol w:w="8828"/>
      </w:tblGrid>
      <w:tr w:rsidR="007F3C07" w14:paraId="306D9E48" w14:textId="77777777" w:rsidTr="00176B0C">
        <w:tc>
          <w:tcPr>
            <w:tcW w:w="8828" w:type="dxa"/>
          </w:tcPr>
          <w:bookmarkEnd w:id="1"/>
          <w:p w14:paraId="2D65AB69" w14:textId="32DD4B5E" w:rsidR="007F3C07" w:rsidRDefault="007F3C07" w:rsidP="00176B0C">
            <w:pPr>
              <w:tabs>
                <w:tab w:val="left" w:pos="1199"/>
              </w:tabs>
            </w:pPr>
            <w:r>
              <w:tab/>
            </w:r>
            <w:r w:rsidRPr="007F3C07">
              <w:t>https://samai.azurewebsites.net/Vistas/Casos/list_procesos.aspx?guid=150013333014202000091011500123</w:t>
            </w:r>
          </w:p>
        </w:tc>
      </w:tr>
    </w:tbl>
    <w:bookmarkEnd w:id="2"/>
    <w:bookmarkEnd w:id="3"/>
    <w:bookmarkEnd w:id="4"/>
    <w:bookmarkEnd w:id="5"/>
    <w:p w14:paraId="6EB5DD9A" w14:textId="79CC19B1" w:rsidR="000740CF" w:rsidRDefault="000740CF" w:rsidP="3CE3F0DF">
      <w:pPr>
        <w:spacing w:line="276" w:lineRule="auto"/>
        <w:ind w:right="-234"/>
        <w:contextualSpacing/>
        <w:jc w:val="both"/>
        <w:rPr>
          <w:rFonts w:ascii="Arial" w:hAnsi="Arial" w:cs="Arial"/>
          <w:sz w:val="24"/>
          <w:szCs w:val="24"/>
        </w:rPr>
      </w:pPr>
      <w:r w:rsidRPr="3CE3F0DF">
        <w:rPr>
          <w:rFonts w:ascii="Arial" w:hAnsi="Arial" w:cs="Arial"/>
          <w:sz w:val="24"/>
          <w:szCs w:val="24"/>
        </w:rPr>
        <w:t>Tunja,</w:t>
      </w:r>
      <w:r w:rsidR="00C8359B" w:rsidRPr="3CE3F0DF">
        <w:rPr>
          <w:rFonts w:ascii="Arial" w:hAnsi="Arial" w:cs="Arial"/>
          <w:sz w:val="24"/>
          <w:szCs w:val="24"/>
        </w:rPr>
        <w:t xml:space="preserve"> </w:t>
      </w:r>
      <w:r w:rsidR="7F7D2C40" w:rsidRPr="3CE3F0DF">
        <w:rPr>
          <w:rFonts w:ascii="Arial" w:eastAsia="Arial" w:hAnsi="Arial" w:cs="Arial"/>
          <w:color w:val="000000" w:themeColor="text1"/>
          <w:sz w:val="24"/>
          <w:szCs w:val="24"/>
        </w:rPr>
        <w:t xml:space="preserve">catorce (14) de marzo de dos mil veintitrés (2023). </w:t>
      </w:r>
      <w:r w:rsidR="7F7D2C40" w:rsidRPr="3CE3F0DF">
        <w:rPr>
          <w:rFonts w:ascii="Arial" w:eastAsia="Arial" w:hAnsi="Arial" w:cs="Arial"/>
          <w:sz w:val="24"/>
          <w:szCs w:val="24"/>
        </w:rPr>
        <w:t xml:space="preserve"> </w:t>
      </w:r>
    </w:p>
    <w:p w14:paraId="36122CF2" w14:textId="0875D15E" w:rsidR="005E0B52" w:rsidRDefault="005E0B52" w:rsidP="00CB0A46">
      <w:pPr>
        <w:spacing w:line="276" w:lineRule="auto"/>
        <w:ind w:right="-234"/>
        <w:contextualSpacing/>
        <w:jc w:val="both"/>
        <w:rPr>
          <w:rFonts w:ascii="Arial" w:hAnsi="Arial" w:cs="Arial"/>
          <w:iCs/>
          <w:sz w:val="24"/>
          <w:szCs w:val="24"/>
        </w:rPr>
      </w:pPr>
    </w:p>
    <w:tbl>
      <w:tblPr>
        <w:tblStyle w:val="Tablaconcuadrcula"/>
        <w:tblW w:w="8930" w:type="dxa"/>
        <w:tblInd w:w="137" w:type="dxa"/>
        <w:tblLook w:val="04A0" w:firstRow="1" w:lastRow="0" w:firstColumn="1" w:lastColumn="0" w:noHBand="0" w:noVBand="1"/>
      </w:tblPr>
      <w:tblGrid>
        <w:gridCol w:w="2410"/>
        <w:gridCol w:w="6520"/>
      </w:tblGrid>
      <w:tr w:rsidR="00C734D0" w:rsidRPr="00E11609" w14:paraId="2DB8B7D7" w14:textId="77777777" w:rsidTr="00453396">
        <w:tc>
          <w:tcPr>
            <w:tcW w:w="2410" w:type="dxa"/>
            <w:tcBorders>
              <w:top w:val="single" w:sz="4" w:space="0" w:color="auto"/>
              <w:left w:val="single" w:sz="4" w:space="0" w:color="auto"/>
              <w:bottom w:val="single" w:sz="4" w:space="0" w:color="auto"/>
              <w:right w:val="single" w:sz="4" w:space="0" w:color="auto"/>
            </w:tcBorders>
            <w:hideMark/>
          </w:tcPr>
          <w:p w14:paraId="5A4265CC" w14:textId="77777777" w:rsidR="00C734D0" w:rsidRPr="00E11609" w:rsidRDefault="00C734D0" w:rsidP="00CB0A46">
            <w:pPr>
              <w:widowControl w:val="0"/>
              <w:tabs>
                <w:tab w:val="left" w:pos="7655"/>
              </w:tabs>
              <w:spacing w:line="276" w:lineRule="auto"/>
              <w:ind w:right="-234"/>
              <w:jc w:val="both"/>
              <w:rPr>
                <w:rFonts w:ascii="Arial" w:hAnsi="Arial" w:cs="Arial"/>
                <w:b/>
                <w:iCs/>
                <w:sz w:val="24"/>
                <w:szCs w:val="22"/>
                <w:lang w:val="en-US"/>
              </w:rPr>
            </w:pPr>
            <w:r w:rsidRPr="00E11609">
              <w:rPr>
                <w:rFonts w:ascii="Arial" w:hAnsi="Arial" w:cs="Arial"/>
                <w:b/>
                <w:iCs/>
                <w:sz w:val="24"/>
                <w:szCs w:val="22"/>
              </w:rPr>
              <w:t>Radicación:</w:t>
            </w:r>
          </w:p>
        </w:tc>
        <w:tc>
          <w:tcPr>
            <w:tcW w:w="6520" w:type="dxa"/>
            <w:tcBorders>
              <w:top w:val="single" w:sz="4" w:space="0" w:color="auto"/>
              <w:left w:val="single" w:sz="4" w:space="0" w:color="auto"/>
              <w:bottom w:val="single" w:sz="4" w:space="0" w:color="auto"/>
              <w:right w:val="single" w:sz="4" w:space="0" w:color="auto"/>
            </w:tcBorders>
            <w:hideMark/>
          </w:tcPr>
          <w:p w14:paraId="404838D2" w14:textId="79A6EC07" w:rsidR="00C734D0" w:rsidRPr="006D25DB" w:rsidRDefault="00C734D0" w:rsidP="00CB0A46">
            <w:pPr>
              <w:widowControl w:val="0"/>
              <w:tabs>
                <w:tab w:val="left" w:pos="7655"/>
              </w:tabs>
              <w:spacing w:line="276" w:lineRule="auto"/>
              <w:ind w:right="-234"/>
              <w:jc w:val="both"/>
              <w:rPr>
                <w:rFonts w:ascii="Arial" w:hAnsi="Arial" w:cs="Arial"/>
                <w:iCs/>
                <w:sz w:val="24"/>
                <w:szCs w:val="22"/>
              </w:rPr>
            </w:pPr>
            <w:r w:rsidRPr="006D25DB">
              <w:rPr>
                <w:rFonts w:ascii="Arial" w:hAnsi="Arial" w:cs="Arial"/>
                <w:iCs/>
                <w:sz w:val="24"/>
                <w:szCs w:val="22"/>
              </w:rPr>
              <w:t>15001</w:t>
            </w:r>
            <w:r w:rsidR="0085081F" w:rsidRPr="006D25DB">
              <w:rPr>
                <w:rFonts w:ascii="Arial" w:hAnsi="Arial" w:cs="Arial"/>
                <w:iCs/>
                <w:sz w:val="24"/>
                <w:szCs w:val="22"/>
              </w:rPr>
              <w:t>-</w:t>
            </w:r>
            <w:r w:rsidR="00E11609" w:rsidRPr="006D25DB">
              <w:rPr>
                <w:rFonts w:ascii="Arial" w:hAnsi="Arial" w:cs="Arial"/>
                <w:iCs/>
                <w:sz w:val="24"/>
                <w:szCs w:val="22"/>
              </w:rPr>
              <w:t>3</w:t>
            </w:r>
            <w:r w:rsidRPr="006D25DB">
              <w:rPr>
                <w:rFonts w:ascii="Arial" w:hAnsi="Arial" w:cs="Arial"/>
                <w:iCs/>
                <w:sz w:val="24"/>
                <w:szCs w:val="22"/>
              </w:rPr>
              <w:t>3</w:t>
            </w:r>
            <w:r w:rsidR="0085081F" w:rsidRPr="006D25DB">
              <w:rPr>
                <w:rFonts w:ascii="Arial" w:hAnsi="Arial" w:cs="Arial"/>
                <w:iCs/>
                <w:sz w:val="24"/>
                <w:szCs w:val="22"/>
              </w:rPr>
              <w:t>-</w:t>
            </w:r>
            <w:r w:rsidRPr="006D25DB">
              <w:rPr>
                <w:rFonts w:ascii="Arial" w:hAnsi="Arial" w:cs="Arial"/>
                <w:iCs/>
                <w:sz w:val="24"/>
                <w:szCs w:val="22"/>
              </w:rPr>
              <w:t>33</w:t>
            </w:r>
            <w:r w:rsidR="0085081F" w:rsidRPr="006D25DB">
              <w:rPr>
                <w:rFonts w:ascii="Arial" w:hAnsi="Arial" w:cs="Arial"/>
                <w:iCs/>
                <w:sz w:val="24"/>
                <w:szCs w:val="22"/>
              </w:rPr>
              <w:t>-</w:t>
            </w:r>
            <w:r w:rsidRPr="006D25DB">
              <w:rPr>
                <w:rFonts w:ascii="Arial" w:hAnsi="Arial" w:cs="Arial"/>
                <w:iCs/>
                <w:sz w:val="24"/>
                <w:szCs w:val="22"/>
              </w:rPr>
              <w:t>0</w:t>
            </w:r>
            <w:r w:rsidR="006D25DB">
              <w:rPr>
                <w:rFonts w:ascii="Arial" w:hAnsi="Arial" w:cs="Arial"/>
                <w:iCs/>
                <w:sz w:val="24"/>
                <w:szCs w:val="22"/>
              </w:rPr>
              <w:t>14</w:t>
            </w:r>
            <w:r w:rsidR="0085081F" w:rsidRPr="006D25DB">
              <w:rPr>
                <w:rFonts w:ascii="Arial" w:hAnsi="Arial" w:cs="Arial"/>
                <w:iCs/>
                <w:sz w:val="24"/>
                <w:szCs w:val="22"/>
              </w:rPr>
              <w:t>-</w:t>
            </w:r>
            <w:r w:rsidRPr="006D25DB">
              <w:rPr>
                <w:rFonts w:ascii="Arial" w:hAnsi="Arial" w:cs="Arial"/>
                <w:iCs/>
                <w:sz w:val="24"/>
                <w:szCs w:val="22"/>
              </w:rPr>
              <w:t>20</w:t>
            </w:r>
            <w:r w:rsidR="00E11609" w:rsidRPr="006D25DB">
              <w:rPr>
                <w:rFonts w:ascii="Arial" w:hAnsi="Arial" w:cs="Arial"/>
                <w:iCs/>
                <w:sz w:val="24"/>
                <w:szCs w:val="22"/>
              </w:rPr>
              <w:t>20</w:t>
            </w:r>
            <w:r w:rsidR="0085081F" w:rsidRPr="006D25DB">
              <w:rPr>
                <w:rFonts w:ascii="Arial" w:hAnsi="Arial" w:cs="Arial"/>
                <w:iCs/>
                <w:sz w:val="24"/>
                <w:szCs w:val="22"/>
              </w:rPr>
              <w:t>-</w:t>
            </w:r>
            <w:r w:rsidRPr="006D25DB">
              <w:rPr>
                <w:rFonts w:ascii="Arial" w:hAnsi="Arial" w:cs="Arial"/>
                <w:iCs/>
                <w:sz w:val="24"/>
                <w:szCs w:val="22"/>
              </w:rPr>
              <w:t>00</w:t>
            </w:r>
            <w:r w:rsidR="00E11609" w:rsidRPr="006D25DB">
              <w:rPr>
                <w:rFonts w:ascii="Arial" w:hAnsi="Arial" w:cs="Arial"/>
                <w:iCs/>
                <w:sz w:val="24"/>
                <w:szCs w:val="22"/>
              </w:rPr>
              <w:t>091</w:t>
            </w:r>
            <w:r w:rsidRPr="006D25DB">
              <w:rPr>
                <w:rFonts w:ascii="Arial" w:hAnsi="Arial" w:cs="Arial"/>
                <w:iCs/>
                <w:sz w:val="24"/>
                <w:szCs w:val="22"/>
              </w:rPr>
              <w:t>-0</w:t>
            </w:r>
            <w:r w:rsidR="00E11609" w:rsidRPr="006D25DB">
              <w:rPr>
                <w:rFonts w:ascii="Arial" w:hAnsi="Arial" w:cs="Arial"/>
                <w:iCs/>
                <w:sz w:val="24"/>
                <w:szCs w:val="22"/>
              </w:rPr>
              <w:t>1</w:t>
            </w:r>
          </w:p>
        </w:tc>
      </w:tr>
      <w:tr w:rsidR="00C734D0" w:rsidRPr="00E11609" w14:paraId="2072AB5A" w14:textId="77777777" w:rsidTr="00453396">
        <w:tc>
          <w:tcPr>
            <w:tcW w:w="2410" w:type="dxa"/>
            <w:tcBorders>
              <w:top w:val="single" w:sz="4" w:space="0" w:color="auto"/>
              <w:left w:val="single" w:sz="4" w:space="0" w:color="auto"/>
              <w:bottom w:val="single" w:sz="4" w:space="0" w:color="auto"/>
              <w:right w:val="single" w:sz="4" w:space="0" w:color="auto"/>
            </w:tcBorders>
          </w:tcPr>
          <w:p w14:paraId="22718DFF" w14:textId="2386B5F1" w:rsidR="00C734D0" w:rsidRPr="00E11609" w:rsidRDefault="0085081F" w:rsidP="00CB0A46">
            <w:pPr>
              <w:widowControl w:val="0"/>
              <w:tabs>
                <w:tab w:val="left" w:pos="7655"/>
              </w:tabs>
              <w:spacing w:line="276" w:lineRule="auto"/>
              <w:ind w:right="-234"/>
              <w:jc w:val="both"/>
              <w:rPr>
                <w:rFonts w:ascii="Arial" w:hAnsi="Arial" w:cs="Arial"/>
                <w:b/>
                <w:iCs/>
                <w:sz w:val="24"/>
                <w:szCs w:val="22"/>
              </w:rPr>
            </w:pPr>
            <w:r w:rsidRPr="00E11609">
              <w:rPr>
                <w:rFonts w:ascii="Arial" w:hAnsi="Arial" w:cs="Arial"/>
                <w:b/>
                <w:iCs/>
                <w:sz w:val="24"/>
                <w:szCs w:val="22"/>
              </w:rPr>
              <w:t>Medio de Control:</w:t>
            </w:r>
          </w:p>
        </w:tc>
        <w:tc>
          <w:tcPr>
            <w:tcW w:w="6520" w:type="dxa"/>
            <w:tcBorders>
              <w:top w:val="single" w:sz="4" w:space="0" w:color="auto"/>
              <w:left w:val="single" w:sz="4" w:space="0" w:color="auto"/>
              <w:bottom w:val="single" w:sz="4" w:space="0" w:color="auto"/>
              <w:right w:val="single" w:sz="4" w:space="0" w:color="auto"/>
            </w:tcBorders>
          </w:tcPr>
          <w:p w14:paraId="79612FC6" w14:textId="7D9572F2" w:rsidR="00C734D0" w:rsidRPr="006D25DB" w:rsidRDefault="00E11609" w:rsidP="00CB0A46">
            <w:pPr>
              <w:widowControl w:val="0"/>
              <w:tabs>
                <w:tab w:val="left" w:pos="7655"/>
              </w:tabs>
              <w:spacing w:line="276" w:lineRule="auto"/>
              <w:ind w:right="-234"/>
              <w:jc w:val="both"/>
              <w:rPr>
                <w:rFonts w:ascii="Arial" w:hAnsi="Arial" w:cs="Arial"/>
                <w:iCs/>
                <w:sz w:val="24"/>
                <w:szCs w:val="22"/>
              </w:rPr>
            </w:pPr>
            <w:r w:rsidRPr="006D25DB">
              <w:rPr>
                <w:rFonts w:ascii="Arial" w:hAnsi="Arial" w:cs="Arial"/>
                <w:iCs/>
                <w:sz w:val="24"/>
                <w:szCs w:val="22"/>
              </w:rPr>
              <w:t>Ejecutivo</w:t>
            </w:r>
          </w:p>
        </w:tc>
      </w:tr>
      <w:tr w:rsidR="0085081F" w:rsidRPr="00E11609" w14:paraId="46573BA0" w14:textId="77777777" w:rsidTr="00453396">
        <w:tc>
          <w:tcPr>
            <w:tcW w:w="2410" w:type="dxa"/>
            <w:tcBorders>
              <w:top w:val="single" w:sz="4" w:space="0" w:color="auto"/>
              <w:left w:val="single" w:sz="4" w:space="0" w:color="auto"/>
              <w:bottom w:val="single" w:sz="4" w:space="0" w:color="auto"/>
              <w:right w:val="single" w:sz="4" w:space="0" w:color="auto"/>
            </w:tcBorders>
            <w:hideMark/>
          </w:tcPr>
          <w:p w14:paraId="6A246F3D" w14:textId="7B2B34C9" w:rsidR="0085081F" w:rsidRPr="00E11609" w:rsidRDefault="0085081F" w:rsidP="00CB0A46">
            <w:pPr>
              <w:widowControl w:val="0"/>
              <w:tabs>
                <w:tab w:val="left" w:pos="7655"/>
              </w:tabs>
              <w:spacing w:line="276" w:lineRule="auto"/>
              <w:ind w:right="-234"/>
              <w:jc w:val="both"/>
              <w:rPr>
                <w:rFonts w:ascii="Arial" w:hAnsi="Arial" w:cs="Arial"/>
                <w:b/>
                <w:iCs/>
                <w:sz w:val="24"/>
                <w:szCs w:val="22"/>
              </w:rPr>
            </w:pPr>
            <w:r w:rsidRPr="00E11609">
              <w:rPr>
                <w:rFonts w:ascii="Arial" w:hAnsi="Arial" w:cs="Arial"/>
                <w:b/>
                <w:iCs/>
                <w:sz w:val="24"/>
                <w:szCs w:val="22"/>
              </w:rPr>
              <w:t xml:space="preserve">Demandantes:  </w:t>
            </w:r>
          </w:p>
        </w:tc>
        <w:tc>
          <w:tcPr>
            <w:tcW w:w="6520" w:type="dxa"/>
            <w:tcBorders>
              <w:top w:val="single" w:sz="4" w:space="0" w:color="auto"/>
              <w:left w:val="single" w:sz="4" w:space="0" w:color="auto"/>
              <w:bottom w:val="single" w:sz="4" w:space="0" w:color="auto"/>
              <w:right w:val="single" w:sz="4" w:space="0" w:color="auto"/>
            </w:tcBorders>
            <w:hideMark/>
          </w:tcPr>
          <w:p w14:paraId="12CC654F" w14:textId="3931C630" w:rsidR="0085081F" w:rsidRPr="006D25DB" w:rsidRDefault="00E11609" w:rsidP="00CB0A46">
            <w:pPr>
              <w:widowControl w:val="0"/>
              <w:tabs>
                <w:tab w:val="left" w:pos="7655"/>
              </w:tabs>
              <w:spacing w:line="276" w:lineRule="auto"/>
              <w:ind w:right="-234"/>
              <w:jc w:val="both"/>
              <w:rPr>
                <w:rFonts w:ascii="Arial" w:hAnsi="Arial" w:cs="Arial"/>
                <w:iCs/>
                <w:sz w:val="24"/>
                <w:szCs w:val="22"/>
              </w:rPr>
            </w:pPr>
            <w:proofErr w:type="spellStart"/>
            <w:r w:rsidRPr="006D25DB">
              <w:rPr>
                <w:rFonts w:ascii="Arial" w:hAnsi="Arial" w:cs="Arial"/>
                <w:iCs/>
                <w:sz w:val="24"/>
                <w:szCs w:val="22"/>
              </w:rPr>
              <w:t>Blanicher</w:t>
            </w:r>
            <w:proofErr w:type="spellEnd"/>
            <w:r w:rsidRPr="006D25DB">
              <w:rPr>
                <w:rFonts w:ascii="Arial" w:hAnsi="Arial" w:cs="Arial"/>
                <w:iCs/>
                <w:sz w:val="24"/>
                <w:szCs w:val="22"/>
              </w:rPr>
              <w:t xml:space="preserve"> Riaño Patiño</w:t>
            </w:r>
          </w:p>
        </w:tc>
      </w:tr>
      <w:tr w:rsidR="00C734D0" w:rsidRPr="00E11609" w14:paraId="51FD6CB2" w14:textId="77777777" w:rsidTr="00453396">
        <w:tc>
          <w:tcPr>
            <w:tcW w:w="2410" w:type="dxa"/>
            <w:tcBorders>
              <w:top w:val="single" w:sz="4" w:space="0" w:color="auto"/>
              <w:left w:val="single" w:sz="4" w:space="0" w:color="auto"/>
              <w:bottom w:val="single" w:sz="4" w:space="0" w:color="auto"/>
              <w:right w:val="single" w:sz="4" w:space="0" w:color="auto"/>
            </w:tcBorders>
            <w:hideMark/>
          </w:tcPr>
          <w:p w14:paraId="1B973E3F" w14:textId="43950180" w:rsidR="00C734D0" w:rsidRPr="00E11609" w:rsidRDefault="0085081F" w:rsidP="00CB0A46">
            <w:pPr>
              <w:widowControl w:val="0"/>
              <w:tabs>
                <w:tab w:val="left" w:pos="7655"/>
              </w:tabs>
              <w:spacing w:line="276" w:lineRule="auto"/>
              <w:ind w:right="-234"/>
              <w:jc w:val="both"/>
              <w:rPr>
                <w:rFonts w:ascii="Arial" w:hAnsi="Arial" w:cs="Arial"/>
                <w:b/>
                <w:iCs/>
                <w:sz w:val="24"/>
                <w:szCs w:val="22"/>
              </w:rPr>
            </w:pPr>
            <w:r w:rsidRPr="00E11609">
              <w:rPr>
                <w:rFonts w:ascii="Arial" w:hAnsi="Arial" w:cs="Arial"/>
                <w:b/>
                <w:iCs/>
                <w:sz w:val="24"/>
                <w:szCs w:val="22"/>
              </w:rPr>
              <w:t>Demandados:</w:t>
            </w:r>
          </w:p>
        </w:tc>
        <w:tc>
          <w:tcPr>
            <w:tcW w:w="6520" w:type="dxa"/>
            <w:tcBorders>
              <w:top w:val="single" w:sz="4" w:space="0" w:color="auto"/>
              <w:left w:val="single" w:sz="4" w:space="0" w:color="auto"/>
              <w:bottom w:val="single" w:sz="4" w:space="0" w:color="auto"/>
              <w:right w:val="single" w:sz="4" w:space="0" w:color="auto"/>
            </w:tcBorders>
            <w:hideMark/>
          </w:tcPr>
          <w:p w14:paraId="143BB78E" w14:textId="36B2A3E6" w:rsidR="00C734D0" w:rsidRPr="006D25DB" w:rsidRDefault="00E11609" w:rsidP="00CB0A46">
            <w:pPr>
              <w:widowControl w:val="0"/>
              <w:tabs>
                <w:tab w:val="left" w:pos="7655"/>
              </w:tabs>
              <w:spacing w:line="276" w:lineRule="auto"/>
              <w:ind w:right="-234"/>
              <w:jc w:val="both"/>
              <w:rPr>
                <w:rFonts w:ascii="Arial" w:hAnsi="Arial" w:cs="Arial"/>
                <w:iCs/>
                <w:sz w:val="24"/>
                <w:szCs w:val="22"/>
              </w:rPr>
            </w:pPr>
            <w:r w:rsidRPr="006D25DB">
              <w:rPr>
                <w:rFonts w:ascii="Arial" w:hAnsi="Arial" w:cs="Arial"/>
                <w:iCs/>
                <w:sz w:val="24"/>
                <w:szCs w:val="22"/>
              </w:rPr>
              <w:t>Departamento de Boyacá – Secretaría de Educación</w:t>
            </w:r>
          </w:p>
        </w:tc>
      </w:tr>
      <w:tr w:rsidR="0085081F" w:rsidRPr="00E11609" w14:paraId="202E6EC0" w14:textId="77777777" w:rsidTr="00453396">
        <w:tc>
          <w:tcPr>
            <w:tcW w:w="2410" w:type="dxa"/>
            <w:hideMark/>
          </w:tcPr>
          <w:p w14:paraId="0ECC97B1" w14:textId="1B5E84A6" w:rsidR="0085081F" w:rsidRPr="00E11609" w:rsidRDefault="0085081F" w:rsidP="00CB0A46">
            <w:pPr>
              <w:widowControl w:val="0"/>
              <w:tabs>
                <w:tab w:val="left" w:pos="7655"/>
              </w:tabs>
              <w:spacing w:line="276" w:lineRule="auto"/>
              <w:ind w:right="-234"/>
              <w:jc w:val="both"/>
              <w:rPr>
                <w:rFonts w:ascii="Arial" w:hAnsi="Arial" w:cs="Arial"/>
                <w:b/>
                <w:iCs/>
                <w:sz w:val="24"/>
                <w:szCs w:val="22"/>
              </w:rPr>
            </w:pPr>
            <w:r w:rsidRPr="00E11609">
              <w:rPr>
                <w:rFonts w:ascii="Arial" w:hAnsi="Arial" w:cs="Arial"/>
                <w:b/>
                <w:iCs/>
                <w:sz w:val="24"/>
                <w:szCs w:val="22"/>
              </w:rPr>
              <w:t>Asunto:</w:t>
            </w:r>
          </w:p>
        </w:tc>
        <w:tc>
          <w:tcPr>
            <w:tcW w:w="6520" w:type="dxa"/>
            <w:hideMark/>
          </w:tcPr>
          <w:p w14:paraId="59E42363" w14:textId="372565D5" w:rsidR="0085081F" w:rsidRPr="006D25DB" w:rsidRDefault="00E11609" w:rsidP="00CB0A46">
            <w:pPr>
              <w:widowControl w:val="0"/>
              <w:tabs>
                <w:tab w:val="left" w:pos="7655"/>
              </w:tabs>
              <w:spacing w:line="276" w:lineRule="auto"/>
              <w:ind w:right="-234"/>
              <w:jc w:val="both"/>
              <w:rPr>
                <w:rFonts w:ascii="Arial" w:hAnsi="Arial" w:cs="Arial"/>
                <w:iCs/>
                <w:sz w:val="24"/>
                <w:szCs w:val="22"/>
              </w:rPr>
            </w:pPr>
            <w:r w:rsidRPr="006D25DB">
              <w:rPr>
                <w:rFonts w:ascii="Arial" w:hAnsi="Arial" w:cs="Arial"/>
                <w:iCs/>
                <w:sz w:val="24"/>
                <w:szCs w:val="22"/>
              </w:rPr>
              <w:t xml:space="preserve">Confirma auto que rechazó reforma de la demanda </w:t>
            </w:r>
          </w:p>
        </w:tc>
      </w:tr>
    </w:tbl>
    <w:p w14:paraId="16061C66" w14:textId="77777777" w:rsidR="0082270E" w:rsidRDefault="0082270E" w:rsidP="00CB0A46">
      <w:pPr>
        <w:spacing w:line="276" w:lineRule="auto"/>
        <w:ind w:right="-234"/>
        <w:contextualSpacing/>
        <w:jc w:val="both"/>
        <w:rPr>
          <w:rFonts w:ascii="Arial" w:hAnsi="Arial" w:cs="Arial"/>
          <w:iCs/>
          <w:sz w:val="24"/>
          <w:szCs w:val="24"/>
        </w:rPr>
      </w:pPr>
    </w:p>
    <w:p w14:paraId="5627625F" w14:textId="49F42A73" w:rsidR="00C157DC" w:rsidRDefault="3C88573A" w:rsidP="00CB0A46">
      <w:pPr>
        <w:pStyle w:val="Prrafodelista"/>
        <w:widowControl w:val="0"/>
        <w:numPr>
          <w:ilvl w:val="0"/>
          <w:numId w:val="26"/>
        </w:numPr>
        <w:suppressAutoHyphens/>
        <w:spacing w:line="276" w:lineRule="auto"/>
        <w:ind w:left="0" w:right="-234" w:firstLine="0"/>
        <w:contextualSpacing/>
        <w:jc w:val="both"/>
        <w:rPr>
          <w:rFonts w:ascii="Arial" w:hAnsi="Arial" w:cs="Arial"/>
          <w:iCs/>
          <w:sz w:val="24"/>
          <w:szCs w:val="24"/>
        </w:rPr>
      </w:pPr>
      <w:r w:rsidRPr="00DC241C">
        <w:rPr>
          <w:rFonts w:ascii="Arial" w:hAnsi="Arial" w:cs="Arial"/>
          <w:sz w:val="24"/>
          <w:szCs w:val="24"/>
        </w:rPr>
        <w:t xml:space="preserve">El </w:t>
      </w:r>
      <w:r w:rsidR="00581369">
        <w:rPr>
          <w:rFonts w:ascii="Arial" w:hAnsi="Arial" w:cs="Arial"/>
          <w:sz w:val="24"/>
          <w:szCs w:val="24"/>
        </w:rPr>
        <w:t>D</w:t>
      </w:r>
      <w:r w:rsidRPr="00DC241C">
        <w:rPr>
          <w:rFonts w:ascii="Arial" w:hAnsi="Arial" w:cs="Arial"/>
          <w:sz w:val="24"/>
          <w:szCs w:val="24"/>
        </w:rPr>
        <w:t>espacho procede</w:t>
      </w:r>
      <w:r w:rsidR="00DB7338" w:rsidRPr="00DC241C">
        <w:rPr>
          <w:rFonts w:ascii="Arial" w:hAnsi="Arial" w:cs="Arial"/>
          <w:iCs/>
          <w:sz w:val="24"/>
          <w:szCs w:val="24"/>
        </w:rPr>
        <w:t xml:space="preserve"> a resolver lo que en derecho corresponda, respecto del recurso de apelación interpuesto por el apoderado de la parte ejecutante contra el auto del 5 de octubre de 2020</w:t>
      </w:r>
      <w:r w:rsidR="00D2697F">
        <w:rPr>
          <w:rStyle w:val="Refdenotaalpie"/>
          <w:rFonts w:ascii="Arial" w:hAnsi="Arial" w:cs="Arial"/>
          <w:iCs/>
          <w:sz w:val="24"/>
          <w:szCs w:val="24"/>
        </w:rPr>
        <w:footnoteReference w:id="2"/>
      </w:r>
      <w:r w:rsidR="00DB7338" w:rsidRPr="00DC241C">
        <w:rPr>
          <w:rFonts w:ascii="Arial" w:hAnsi="Arial" w:cs="Arial"/>
          <w:iCs/>
          <w:sz w:val="24"/>
          <w:szCs w:val="24"/>
        </w:rPr>
        <w:t xml:space="preserve"> proferido por el Juzgado Catorce Administrativo Oral del Circuito Judicial de Tunja, por medio del cual se </w:t>
      </w:r>
      <w:r w:rsidR="3DB7F4A6" w:rsidRPr="00DC241C">
        <w:rPr>
          <w:rFonts w:ascii="Arial" w:hAnsi="Arial" w:cs="Arial"/>
          <w:sz w:val="24"/>
          <w:szCs w:val="24"/>
        </w:rPr>
        <w:t>rechazó</w:t>
      </w:r>
      <w:r w:rsidR="00DB7338" w:rsidRPr="00DC241C">
        <w:rPr>
          <w:rFonts w:ascii="Arial" w:hAnsi="Arial" w:cs="Arial"/>
          <w:iCs/>
          <w:sz w:val="24"/>
          <w:szCs w:val="24"/>
        </w:rPr>
        <w:t xml:space="preserve"> la reforma </w:t>
      </w:r>
      <w:r w:rsidR="5EE46F60" w:rsidRPr="00DC241C">
        <w:rPr>
          <w:rFonts w:ascii="Arial" w:hAnsi="Arial" w:cs="Arial"/>
          <w:sz w:val="24"/>
          <w:szCs w:val="24"/>
        </w:rPr>
        <w:t>a</w:t>
      </w:r>
      <w:r w:rsidR="00DB7338" w:rsidRPr="00DC241C">
        <w:rPr>
          <w:rFonts w:ascii="Arial" w:hAnsi="Arial" w:cs="Arial"/>
          <w:iCs/>
          <w:sz w:val="24"/>
          <w:szCs w:val="24"/>
        </w:rPr>
        <w:t xml:space="preserve"> la demanda.</w:t>
      </w:r>
    </w:p>
    <w:p w14:paraId="1ECDE18D" w14:textId="77777777" w:rsidR="00C232CC" w:rsidRPr="00C232CC" w:rsidRDefault="00C232CC" w:rsidP="00C232CC">
      <w:pPr>
        <w:pStyle w:val="Prrafodelista"/>
        <w:widowControl w:val="0"/>
        <w:suppressAutoHyphens/>
        <w:spacing w:line="276" w:lineRule="auto"/>
        <w:ind w:left="0" w:right="-234"/>
        <w:contextualSpacing/>
        <w:jc w:val="both"/>
        <w:rPr>
          <w:rFonts w:ascii="Arial" w:hAnsi="Arial" w:cs="Arial"/>
          <w:iCs/>
          <w:sz w:val="24"/>
          <w:szCs w:val="24"/>
        </w:rPr>
      </w:pPr>
    </w:p>
    <w:p w14:paraId="0CE1A206" w14:textId="42B42D5F" w:rsidR="00C7780A" w:rsidRPr="008F6286" w:rsidRDefault="00C7780A" w:rsidP="00CB0A46">
      <w:pPr>
        <w:pStyle w:val="Ttulo1"/>
        <w:numPr>
          <w:ilvl w:val="0"/>
          <w:numId w:val="25"/>
        </w:numPr>
        <w:ind w:right="-234"/>
        <w:jc w:val="center"/>
        <w:rPr>
          <w:rFonts w:ascii="Arial" w:eastAsia="Calibri" w:hAnsi="Arial" w:cs="Arial"/>
          <w:b/>
          <w:lang w:val="es-CO" w:eastAsia="en-US"/>
        </w:rPr>
      </w:pPr>
      <w:r w:rsidRPr="008F6286">
        <w:rPr>
          <w:rFonts w:ascii="Arial" w:eastAsia="Calibri" w:hAnsi="Arial" w:cs="Arial"/>
          <w:b/>
          <w:color w:val="auto"/>
          <w:sz w:val="24"/>
          <w:lang w:val="es-CO" w:eastAsia="en-US"/>
        </w:rPr>
        <w:t>ANTECEDENTES</w:t>
      </w:r>
    </w:p>
    <w:p w14:paraId="7EDDE419" w14:textId="77777777" w:rsidR="00C7780A" w:rsidRPr="00EA66CF" w:rsidRDefault="00C7780A" w:rsidP="00CB0A46">
      <w:pPr>
        <w:spacing w:line="276" w:lineRule="auto"/>
        <w:ind w:right="-234"/>
        <w:jc w:val="both"/>
        <w:rPr>
          <w:rFonts w:ascii="Arial" w:hAnsi="Arial" w:cs="Arial"/>
          <w:sz w:val="24"/>
          <w:szCs w:val="24"/>
          <w:highlight w:val="yellow"/>
        </w:rPr>
      </w:pPr>
    </w:p>
    <w:p w14:paraId="7ED586F1" w14:textId="4526FDDA" w:rsidR="009F2325" w:rsidRPr="008F6286" w:rsidRDefault="00480D63" w:rsidP="00CB0A46">
      <w:pPr>
        <w:pStyle w:val="Ttulo2"/>
        <w:ind w:right="-234"/>
        <w:rPr>
          <w:rFonts w:ascii="Arial" w:hAnsi="Arial" w:cs="Arial"/>
          <w:b/>
          <w:color w:val="auto"/>
          <w:sz w:val="24"/>
          <w:szCs w:val="24"/>
        </w:rPr>
      </w:pPr>
      <w:r w:rsidRPr="008F6286">
        <w:rPr>
          <w:rFonts w:ascii="Arial" w:hAnsi="Arial" w:cs="Arial"/>
          <w:b/>
          <w:color w:val="auto"/>
          <w:sz w:val="24"/>
          <w:szCs w:val="24"/>
        </w:rPr>
        <w:t>Demanda</w:t>
      </w:r>
      <w:r w:rsidR="00435D37" w:rsidRPr="008F6286">
        <w:rPr>
          <w:rStyle w:val="Refdenotaalpie"/>
          <w:rFonts w:ascii="Arial" w:hAnsi="Arial" w:cs="Arial"/>
          <w:b/>
          <w:color w:val="auto"/>
          <w:sz w:val="24"/>
          <w:szCs w:val="24"/>
        </w:rPr>
        <w:footnoteReference w:id="3"/>
      </w:r>
    </w:p>
    <w:p w14:paraId="7ACF3241" w14:textId="490A1014" w:rsidR="009F2325" w:rsidRDefault="009F2325" w:rsidP="00CB0A46">
      <w:pPr>
        <w:spacing w:line="276" w:lineRule="auto"/>
        <w:ind w:right="-234"/>
        <w:jc w:val="both"/>
        <w:rPr>
          <w:rFonts w:ascii="Arial" w:hAnsi="Arial" w:cs="Arial"/>
          <w:sz w:val="24"/>
          <w:szCs w:val="24"/>
        </w:rPr>
      </w:pPr>
    </w:p>
    <w:p w14:paraId="218496BC" w14:textId="6F1A2186" w:rsidR="00C7780A" w:rsidRPr="0082270E" w:rsidRDefault="00C7780A" w:rsidP="00CB0A46">
      <w:pPr>
        <w:pStyle w:val="Prrafodelista"/>
        <w:widowControl w:val="0"/>
        <w:numPr>
          <w:ilvl w:val="0"/>
          <w:numId w:val="26"/>
        </w:numPr>
        <w:suppressAutoHyphens/>
        <w:spacing w:line="276" w:lineRule="auto"/>
        <w:ind w:left="0" w:right="-234" w:firstLine="0"/>
        <w:contextualSpacing/>
        <w:jc w:val="both"/>
        <w:rPr>
          <w:rFonts w:ascii="Arial" w:hAnsi="Arial" w:cs="Arial"/>
          <w:sz w:val="24"/>
          <w:szCs w:val="24"/>
        </w:rPr>
      </w:pPr>
      <w:r w:rsidRPr="0082270E">
        <w:rPr>
          <w:rFonts w:ascii="Arial" w:hAnsi="Arial" w:cs="Arial"/>
          <w:sz w:val="24"/>
          <w:szCs w:val="24"/>
        </w:rPr>
        <w:t xml:space="preserve">El señor </w:t>
      </w:r>
      <w:proofErr w:type="spellStart"/>
      <w:r w:rsidRPr="0082270E">
        <w:rPr>
          <w:rFonts w:ascii="Arial" w:hAnsi="Arial" w:cs="Arial"/>
          <w:sz w:val="24"/>
          <w:szCs w:val="24"/>
        </w:rPr>
        <w:t>Blanicher</w:t>
      </w:r>
      <w:proofErr w:type="spellEnd"/>
      <w:r w:rsidRPr="0082270E">
        <w:rPr>
          <w:rFonts w:ascii="Arial" w:hAnsi="Arial" w:cs="Arial"/>
          <w:sz w:val="24"/>
          <w:szCs w:val="24"/>
        </w:rPr>
        <w:t xml:space="preserve"> Riaño Patiño</w:t>
      </w:r>
      <w:r w:rsidRPr="0082270E">
        <w:rPr>
          <w:rFonts w:ascii="Arial" w:hAnsi="Arial" w:cs="Arial"/>
          <w:b/>
          <w:bCs/>
          <w:sz w:val="24"/>
          <w:szCs w:val="24"/>
        </w:rPr>
        <w:t xml:space="preserve">, </w:t>
      </w:r>
      <w:r w:rsidR="00BA56E4" w:rsidRPr="0082270E">
        <w:rPr>
          <w:rFonts w:ascii="Arial" w:hAnsi="Arial" w:cs="Arial"/>
          <w:sz w:val="24"/>
          <w:szCs w:val="24"/>
        </w:rPr>
        <w:t>por conducto</w:t>
      </w:r>
      <w:r w:rsidRPr="0082270E">
        <w:rPr>
          <w:rFonts w:ascii="Arial" w:hAnsi="Arial" w:cs="Arial"/>
          <w:sz w:val="24"/>
          <w:szCs w:val="24"/>
        </w:rPr>
        <w:t xml:space="preserve"> apoderado</w:t>
      </w:r>
      <w:r w:rsidR="00184882" w:rsidRPr="0082270E">
        <w:rPr>
          <w:rFonts w:ascii="Arial" w:hAnsi="Arial" w:cs="Arial"/>
          <w:sz w:val="24"/>
          <w:szCs w:val="24"/>
        </w:rPr>
        <w:t xml:space="preserve"> judicial</w:t>
      </w:r>
      <w:r w:rsidR="657594C3" w:rsidRPr="7B53DE16">
        <w:rPr>
          <w:rFonts w:ascii="Arial" w:hAnsi="Arial" w:cs="Arial"/>
          <w:sz w:val="24"/>
          <w:szCs w:val="24"/>
        </w:rPr>
        <w:t>,</w:t>
      </w:r>
      <w:r w:rsidRPr="0082270E">
        <w:rPr>
          <w:rFonts w:ascii="Arial" w:hAnsi="Arial" w:cs="Arial"/>
          <w:sz w:val="24"/>
          <w:szCs w:val="24"/>
        </w:rPr>
        <w:t xml:space="preserve"> presentó demanda ejecutiva para el pago de la </w:t>
      </w:r>
      <w:r w:rsidRPr="0082270E">
        <w:rPr>
          <w:rFonts w:ascii="Arial" w:hAnsi="Arial" w:cs="Arial"/>
          <w:b/>
          <w:bCs/>
          <w:sz w:val="24"/>
          <w:szCs w:val="24"/>
        </w:rPr>
        <w:t xml:space="preserve">bonificación del 15 % </w:t>
      </w:r>
      <w:r w:rsidRPr="0082270E">
        <w:rPr>
          <w:rFonts w:ascii="Arial" w:hAnsi="Arial" w:cs="Arial"/>
          <w:sz w:val="24"/>
          <w:szCs w:val="24"/>
        </w:rPr>
        <w:t>que prevé el artículo 5º del Decreto 1171 de 2004, por laborar como docente en un área rural de difícil acceso, para los años 2005, 2006</w:t>
      </w:r>
      <w:r w:rsidR="00C95F0D" w:rsidRPr="0082270E">
        <w:rPr>
          <w:rFonts w:ascii="Arial" w:hAnsi="Arial" w:cs="Arial"/>
          <w:sz w:val="24"/>
          <w:szCs w:val="24"/>
        </w:rPr>
        <w:t xml:space="preserve"> y</w:t>
      </w:r>
      <w:r w:rsidRPr="0082270E">
        <w:rPr>
          <w:rFonts w:ascii="Arial" w:hAnsi="Arial" w:cs="Arial"/>
          <w:sz w:val="24"/>
          <w:szCs w:val="24"/>
        </w:rPr>
        <w:t xml:space="preserve"> 2007, sobre los valores base que se detallan en la demanda mes a mes, junto con los intereses moratorios respectivos.  </w:t>
      </w:r>
    </w:p>
    <w:p w14:paraId="76976350" w14:textId="77777777" w:rsidR="00C7780A" w:rsidRPr="00EA66CF" w:rsidRDefault="00C7780A" w:rsidP="00CB0A46">
      <w:pPr>
        <w:pStyle w:val="paragraph"/>
        <w:spacing w:before="0" w:beforeAutospacing="0" w:after="0" w:afterAutospacing="0" w:line="276" w:lineRule="auto"/>
        <w:ind w:right="-234"/>
        <w:jc w:val="both"/>
        <w:textAlignment w:val="baseline"/>
        <w:rPr>
          <w:rStyle w:val="normaltextrun"/>
          <w:rFonts w:ascii="Arial" w:hAnsi="Arial" w:cs="Arial"/>
          <w:highlight w:val="yellow"/>
        </w:rPr>
      </w:pPr>
    </w:p>
    <w:p w14:paraId="4EB6A6CC" w14:textId="30FEA8FE" w:rsidR="00CB3AC6" w:rsidRPr="0082270E" w:rsidRDefault="0054355E" w:rsidP="00CB0A46">
      <w:pPr>
        <w:pStyle w:val="Default"/>
        <w:spacing w:line="276" w:lineRule="auto"/>
        <w:ind w:right="-234"/>
        <w:jc w:val="both"/>
        <w:rPr>
          <w:rStyle w:val="normaltextrun"/>
          <w:rFonts w:ascii="Arial" w:hAnsi="Arial" w:cs="Arial"/>
        </w:rPr>
      </w:pPr>
      <w:r w:rsidRPr="7EB00AC6">
        <w:rPr>
          <w:rStyle w:val="normaltextrun"/>
          <w:rFonts w:ascii="Arial" w:hAnsi="Arial" w:cs="Arial"/>
        </w:rPr>
        <w:t>2</w:t>
      </w:r>
      <w:r w:rsidR="00C7780A" w:rsidRPr="7EB00AC6">
        <w:rPr>
          <w:rStyle w:val="normaltextrun"/>
          <w:rFonts w:ascii="Arial" w:hAnsi="Arial" w:cs="Arial"/>
        </w:rPr>
        <w:t>.1. La parte ejecutante adujo que el título</w:t>
      </w:r>
      <w:r w:rsidR="696C6ACA" w:rsidRPr="7EB00AC6">
        <w:rPr>
          <w:rStyle w:val="normaltextrun"/>
          <w:rFonts w:ascii="Arial" w:hAnsi="Arial" w:cs="Arial"/>
        </w:rPr>
        <w:t xml:space="preserve"> base del cobro </w:t>
      </w:r>
      <w:r w:rsidR="00C7780A" w:rsidRPr="7EB00AC6">
        <w:rPr>
          <w:rStyle w:val="normaltextrun"/>
          <w:rFonts w:ascii="Arial" w:hAnsi="Arial" w:cs="Arial"/>
        </w:rPr>
        <w:t xml:space="preserve">estaba conformado por el artículo 24-6 de la Ley 715 de 2001, el Decreto Nacional 1171 de 2004, los </w:t>
      </w:r>
      <w:r w:rsidR="60F352E3" w:rsidRPr="7EB00AC6">
        <w:rPr>
          <w:rStyle w:val="normaltextrun"/>
          <w:rFonts w:ascii="Arial" w:hAnsi="Arial" w:cs="Arial"/>
        </w:rPr>
        <w:t>d</w:t>
      </w:r>
      <w:r w:rsidR="00C7780A" w:rsidRPr="7EB00AC6">
        <w:rPr>
          <w:rStyle w:val="normaltextrun"/>
          <w:rFonts w:ascii="Arial" w:hAnsi="Arial" w:cs="Arial"/>
        </w:rPr>
        <w:t xml:space="preserve">ecretos </w:t>
      </w:r>
      <w:r w:rsidR="776F3115" w:rsidRPr="7EB00AC6">
        <w:rPr>
          <w:rStyle w:val="normaltextrun"/>
          <w:rFonts w:ascii="Arial" w:hAnsi="Arial" w:cs="Arial"/>
        </w:rPr>
        <w:t>d</w:t>
      </w:r>
      <w:r w:rsidR="00C7780A" w:rsidRPr="7EB00AC6">
        <w:rPr>
          <w:rStyle w:val="normaltextrun"/>
          <w:rFonts w:ascii="Arial" w:hAnsi="Arial" w:cs="Arial"/>
        </w:rPr>
        <w:t>epartamentales 1399 de 2008 y 181 de 2010, que establecían las</w:t>
      </w:r>
      <w:r w:rsidR="00C7780A" w:rsidRPr="7EB00AC6">
        <w:rPr>
          <w:rFonts w:ascii="Arial" w:hAnsi="Arial" w:cs="Arial"/>
        </w:rPr>
        <w:t xml:space="preserve"> sedes educativas ubicadas en áreas rurales de difícil acceso y reconocían el derecho a una bonificación equivalente al 15% del salario mensual devengado, a los docentes y directivos docentes que labor</w:t>
      </w:r>
      <w:r w:rsidR="69D03824" w:rsidRPr="7EB00AC6">
        <w:rPr>
          <w:rFonts w:ascii="Arial" w:hAnsi="Arial" w:cs="Arial"/>
        </w:rPr>
        <w:t>aran</w:t>
      </w:r>
      <w:r w:rsidR="00C7780A" w:rsidRPr="7EB00AC6">
        <w:rPr>
          <w:rFonts w:ascii="Arial" w:hAnsi="Arial" w:cs="Arial"/>
        </w:rPr>
        <w:t xml:space="preserve"> en establecimientos educativos señalados en dichos decretos</w:t>
      </w:r>
      <w:r w:rsidR="00CB3AC6" w:rsidRPr="7EB00AC6">
        <w:rPr>
          <w:rStyle w:val="normaltextrun"/>
          <w:rFonts w:ascii="Arial" w:hAnsi="Arial" w:cs="Arial"/>
        </w:rPr>
        <w:t xml:space="preserve">. </w:t>
      </w:r>
    </w:p>
    <w:p w14:paraId="026EE572" w14:textId="5EEA0B20" w:rsidR="008420F3" w:rsidRPr="0082270E" w:rsidRDefault="008420F3" w:rsidP="00CB0A46">
      <w:pPr>
        <w:pStyle w:val="Default"/>
        <w:spacing w:line="276" w:lineRule="auto"/>
        <w:ind w:right="-234"/>
        <w:jc w:val="both"/>
        <w:rPr>
          <w:rFonts w:ascii="Arial" w:hAnsi="Arial" w:cs="Arial"/>
        </w:rPr>
      </w:pPr>
    </w:p>
    <w:p w14:paraId="5B38C5EC" w14:textId="06905C89" w:rsidR="00C40156" w:rsidRPr="0082270E" w:rsidRDefault="008420F3" w:rsidP="00CB0A46">
      <w:pPr>
        <w:pStyle w:val="Prrafodelista"/>
        <w:widowControl w:val="0"/>
        <w:numPr>
          <w:ilvl w:val="0"/>
          <w:numId w:val="26"/>
        </w:numPr>
        <w:suppressAutoHyphens/>
        <w:spacing w:line="276" w:lineRule="auto"/>
        <w:ind w:left="0" w:right="-234" w:firstLine="0"/>
        <w:contextualSpacing/>
        <w:jc w:val="both"/>
        <w:rPr>
          <w:rFonts w:ascii="Arial" w:hAnsi="Arial" w:cs="Arial"/>
          <w:sz w:val="24"/>
          <w:szCs w:val="24"/>
        </w:rPr>
      </w:pPr>
      <w:r w:rsidRPr="0082270E">
        <w:rPr>
          <w:rFonts w:ascii="Arial" w:hAnsi="Arial" w:cs="Arial"/>
          <w:sz w:val="24"/>
          <w:szCs w:val="24"/>
        </w:rPr>
        <w:t xml:space="preserve">Mediante proveído de </w:t>
      </w:r>
      <w:r w:rsidR="00CB3AC6" w:rsidRPr="0082270E">
        <w:rPr>
          <w:rFonts w:ascii="Arial" w:hAnsi="Arial" w:cs="Arial"/>
          <w:sz w:val="24"/>
          <w:szCs w:val="24"/>
        </w:rPr>
        <w:t>10 de septiembre de 2020</w:t>
      </w:r>
      <w:r w:rsidR="00957879" w:rsidRPr="0082270E">
        <w:rPr>
          <w:rStyle w:val="Refdenotaalpie"/>
          <w:rFonts w:ascii="Arial" w:hAnsi="Arial" w:cs="Arial"/>
          <w:sz w:val="24"/>
          <w:szCs w:val="24"/>
        </w:rPr>
        <w:footnoteReference w:id="4"/>
      </w:r>
      <w:r w:rsidR="00CB3AC6" w:rsidRPr="0082270E">
        <w:rPr>
          <w:rFonts w:ascii="Arial" w:hAnsi="Arial" w:cs="Arial"/>
          <w:sz w:val="24"/>
          <w:szCs w:val="24"/>
        </w:rPr>
        <w:t xml:space="preserve">, el Juzgado </w:t>
      </w:r>
      <w:r w:rsidR="00CB3AC6" w:rsidRPr="0082270E">
        <w:rPr>
          <w:rFonts w:ascii="Arial" w:eastAsia="Calibri" w:hAnsi="Arial" w:cs="Arial"/>
          <w:sz w:val="24"/>
          <w:szCs w:val="24"/>
          <w:lang w:val="es-CO"/>
        </w:rPr>
        <w:t>Catorce</w:t>
      </w:r>
      <w:r w:rsidR="00CB3AC6" w:rsidRPr="0082270E">
        <w:rPr>
          <w:rFonts w:ascii="Arial" w:hAnsi="Arial" w:cs="Arial"/>
          <w:sz w:val="24"/>
          <w:szCs w:val="24"/>
          <w:lang w:val="es-CO"/>
        </w:rPr>
        <w:t xml:space="preserve"> Administrativo Oral del Circuito Judicial de Tunja</w:t>
      </w:r>
      <w:r w:rsidR="001D1287" w:rsidRPr="0082270E">
        <w:rPr>
          <w:rFonts w:ascii="Arial" w:hAnsi="Arial" w:cs="Arial"/>
          <w:sz w:val="24"/>
          <w:szCs w:val="24"/>
          <w:lang w:val="es-CO"/>
        </w:rPr>
        <w:t xml:space="preserve">, dispuso negar la solicitud de mandamiento de pago efectuada por el señor </w:t>
      </w:r>
      <w:proofErr w:type="spellStart"/>
      <w:r w:rsidR="001D1287" w:rsidRPr="0082270E">
        <w:rPr>
          <w:rFonts w:ascii="Arial" w:hAnsi="Arial" w:cs="Arial"/>
          <w:sz w:val="24"/>
          <w:szCs w:val="24"/>
          <w:lang w:val="es-CO"/>
        </w:rPr>
        <w:t>Blanicher</w:t>
      </w:r>
      <w:proofErr w:type="spellEnd"/>
      <w:r w:rsidR="001D1287" w:rsidRPr="0082270E">
        <w:rPr>
          <w:rFonts w:ascii="Arial" w:hAnsi="Arial" w:cs="Arial"/>
          <w:sz w:val="24"/>
          <w:szCs w:val="24"/>
          <w:lang w:val="es-CO"/>
        </w:rPr>
        <w:t xml:space="preserve"> Riaño Patiño, por cuanto consideró que los documentos allegados con la demanda, en ningún caso constituían un título ejecutivo que pudiera ser reclamado ante la Jurisdicción de lo Contencioso Administrativo, en razón a que no se </w:t>
      </w:r>
      <w:r w:rsidR="3FF8C102" w:rsidRPr="0082270E">
        <w:rPr>
          <w:rFonts w:ascii="Arial" w:hAnsi="Arial" w:cs="Arial"/>
          <w:sz w:val="24"/>
          <w:szCs w:val="24"/>
          <w:lang w:val="es-CO"/>
        </w:rPr>
        <w:t xml:space="preserve">correspondían a ninguno de los referidos </w:t>
      </w:r>
      <w:r w:rsidR="001D1287" w:rsidRPr="0082270E">
        <w:rPr>
          <w:rFonts w:ascii="Arial" w:hAnsi="Arial" w:cs="Arial"/>
          <w:sz w:val="24"/>
          <w:szCs w:val="24"/>
          <w:lang w:val="es-CO"/>
        </w:rPr>
        <w:t xml:space="preserve">en el </w:t>
      </w:r>
      <w:r w:rsidR="001D1287" w:rsidRPr="0082270E">
        <w:rPr>
          <w:rFonts w:ascii="Arial" w:hAnsi="Arial" w:cs="Arial"/>
          <w:sz w:val="24"/>
          <w:szCs w:val="24"/>
          <w:lang w:val="es-CO"/>
        </w:rPr>
        <w:lastRenderedPageBreak/>
        <w:t xml:space="preserve">artículo 297 del CPACA., pues correspondían a disposiciones de carácter general que no contenían obligaciones claras, expresas y exigibles en favor </w:t>
      </w:r>
      <w:r w:rsidR="00C279AB" w:rsidRPr="0082270E">
        <w:rPr>
          <w:rFonts w:ascii="Arial" w:hAnsi="Arial" w:cs="Arial"/>
          <w:sz w:val="24"/>
          <w:szCs w:val="24"/>
          <w:lang w:val="es-CO"/>
        </w:rPr>
        <w:t>del ejecutante</w:t>
      </w:r>
      <w:r w:rsidR="001D1287" w:rsidRPr="0082270E">
        <w:rPr>
          <w:rFonts w:ascii="Arial" w:hAnsi="Arial" w:cs="Arial"/>
          <w:sz w:val="24"/>
          <w:szCs w:val="24"/>
          <w:lang w:val="es-CO"/>
        </w:rPr>
        <w:t xml:space="preserve">.  </w:t>
      </w:r>
    </w:p>
    <w:p w14:paraId="27EB800B" w14:textId="77777777" w:rsidR="00C40156" w:rsidRPr="0082270E" w:rsidRDefault="00C40156" w:rsidP="00CB0A46">
      <w:pPr>
        <w:pStyle w:val="Default"/>
        <w:spacing w:line="276" w:lineRule="auto"/>
        <w:ind w:right="-234"/>
        <w:jc w:val="both"/>
        <w:rPr>
          <w:rFonts w:ascii="Arial" w:hAnsi="Arial" w:cs="Arial"/>
          <w:lang w:val="es-CO"/>
        </w:rPr>
      </w:pPr>
    </w:p>
    <w:p w14:paraId="6D33E0E9" w14:textId="278A514D" w:rsidR="00CB3AC6" w:rsidRPr="00266B44" w:rsidRDefault="001E1B9F" w:rsidP="00CB0A46">
      <w:pPr>
        <w:pStyle w:val="Default"/>
        <w:spacing w:line="276" w:lineRule="auto"/>
        <w:ind w:right="-234"/>
        <w:jc w:val="both"/>
        <w:rPr>
          <w:rFonts w:ascii="Arial" w:hAnsi="Arial" w:cs="Arial"/>
        </w:rPr>
      </w:pPr>
      <w:r w:rsidRPr="10644CC7">
        <w:rPr>
          <w:rFonts w:ascii="Arial" w:hAnsi="Arial" w:cs="Arial"/>
          <w:lang w:val="es-CO"/>
        </w:rPr>
        <w:t>3</w:t>
      </w:r>
      <w:r w:rsidR="00C40156" w:rsidRPr="10644CC7">
        <w:rPr>
          <w:rFonts w:ascii="Arial" w:hAnsi="Arial" w:cs="Arial"/>
          <w:lang w:val="es-CO"/>
        </w:rPr>
        <w:t>.1. Concluyó que los documentos aducidos como título ejecutivo complejo no reunían las condiciones formales ni sustanciales, para librar mandamiento de pago</w:t>
      </w:r>
      <w:r w:rsidR="00957879" w:rsidRPr="10644CC7">
        <w:rPr>
          <w:rFonts w:ascii="Arial" w:hAnsi="Arial" w:cs="Arial"/>
          <w:lang w:val="es-CO"/>
        </w:rPr>
        <w:t>, por lo que resolvió negar dicha solicitud</w:t>
      </w:r>
      <w:r w:rsidR="00C40156" w:rsidRPr="10644CC7">
        <w:rPr>
          <w:rFonts w:ascii="Arial" w:hAnsi="Arial" w:cs="Arial"/>
          <w:lang w:val="es-CO"/>
        </w:rPr>
        <w:t>.</w:t>
      </w:r>
    </w:p>
    <w:p w14:paraId="2821439E" w14:textId="6781792A" w:rsidR="00AD6EF6" w:rsidRPr="00C7780A" w:rsidRDefault="00AD6EF6" w:rsidP="00CB0A46">
      <w:pPr>
        <w:spacing w:line="276" w:lineRule="auto"/>
        <w:ind w:right="-234"/>
        <w:contextualSpacing/>
        <w:rPr>
          <w:rFonts w:ascii="Arial" w:eastAsia="Calibri" w:hAnsi="Arial" w:cs="Arial"/>
          <w:b/>
          <w:sz w:val="24"/>
          <w:szCs w:val="24"/>
          <w:lang w:val="es-CO" w:eastAsia="en-US"/>
        </w:rPr>
      </w:pPr>
    </w:p>
    <w:p w14:paraId="70DED503" w14:textId="1794DE75" w:rsidR="00BA56E4" w:rsidRPr="008F6286" w:rsidRDefault="00480D63" w:rsidP="00CB0A46">
      <w:pPr>
        <w:pStyle w:val="Ttulo2"/>
        <w:ind w:right="-234"/>
        <w:rPr>
          <w:rFonts w:ascii="Arial" w:eastAsia="Calibri" w:hAnsi="Arial" w:cs="Arial"/>
          <w:b/>
          <w:color w:val="auto"/>
          <w:sz w:val="24"/>
          <w:szCs w:val="24"/>
          <w:lang w:val="es-CO" w:eastAsia="en-US"/>
        </w:rPr>
      </w:pPr>
      <w:r w:rsidRPr="008F6286">
        <w:rPr>
          <w:rFonts w:ascii="Arial" w:eastAsia="Calibri" w:hAnsi="Arial" w:cs="Arial"/>
          <w:b/>
          <w:color w:val="auto"/>
          <w:sz w:val="24"/>
          <w:szCs w:val="24"/>
          <w:lang w:val="es-CO" w:eastAsia="en-US"/>
        </w:rPr>
        <w:t>Reforma de la demanda</w:t>
      </w:r>
      <w:r w:rsidR="00435D37" w:rsidRPr="008F6286">
        <w:rPr>
          <w:rStyle w:val="Refdenotaalpie"/>
          <w:rFonts w:ascii="Arial" w:eastAsia="Calibri" w:hAnsi="Arial" w:cs="Arial"/>
          <w:b/>
          <w:color w:val="auto"/>
          <w:sz w:val="24"/>
          <w:szCs w:val="24"/>
          <w:lang w:val="es-CO" w:eastAsia="en-US"/>
        </w:rPr>
        <w:footnoteReference w:id="5"/>
      </w:r>
    </w:p>
    <w:p w14:paraId="7B06B5C8" w14:textId="77777777" w:rsidR="00BA56E4" w:rsidRDefault="00BA56E4" w:rsidP="00CB0A46">
      <w:pPr>
        <w:overflowPunct w:val="0"/>
        <w:autoSpaceDE w:val="0"/>
        <w:autoSpaceDN w:val="0"/>
        <w:adjustRightInd w:val="0"/>
        <w:spacing w:line="276" w:lineRule="auto"/>
        <w:ind w:right="-234"/>
        <w:contextualSpacing/>
        <w:jc w:val="both"/>
        <w:textAlignment w:val="baseline"/>
        <w:rPr>
          <w:rFonts w:ascii="Arial" w:eastAsia="Calibri" w:hAnsi="Arial" w:cs="Arial"/>
          <w:sz w:val="24"/>
          <w:szCs w:val="24"/>
          <w:lang w:val="es-CO" w:eastAsia="en-US"/>
        </w:rPr>
      </w:pPr>
    </w:p>
    <w:p w14:paraId="5509F129" w14:textId="77777777" w:rsidR="0082270E" w:rsidRDefault="00C40156" w:rsidP="00CB0A46">
      <w:pPr>
        <w:pStyle w:val="Prrafodelista"/>
        <w:widowControl w:val="0"/>
        <w:numPr>
          <w:ilvl w:val="0"/>
          <w:numId w:val="26"/>
        </w:numPr>
        <w:tabs>
          <w:tab w:val="left" w:pos="-720"/>
        </w:tabs>
        <w:suppressAutoHyphens/>
        <w:spacing w:line="276" w:lineRule="auto"/>
        <w:ind w:left="0" w:right="-234" w:firstLine="0"/>
        <w:contextualSpacing/>
        <w:jc w:val="both"/>
        <w:rPr>
          <w:rFonts w:ascii="Arial" w:eastAsia="Calibri" w:hAnsi="Arial" w:cs="Arial"/>
          <w:sz w:val="24"/>
          <w:szCs w:val="24"/>
          <w:lang w:val="es-CO" w:eastAsia="en-US"/>
        </w:rPr>
      </w:pPr>
      <w:r w:rsidRPr="10644CC7">
        <w:rPr>
          <w:rFonts w:ascii="Arial" w:eastAsia="Calibri" w:hAnsi="Arial" w:cs="Arial"/>
          <w:sz w:val="24"/>
          <w:szCs w:val="24"/>
          <w:lang w:val="es-CO" w:eastAsia="en-US"/>
        </w:rPr>
        <w:t xml:space="preserve">Mediante correo electrónico de 11 de septiembre </w:t>
      </w:r>
      <w:r w:rsidR="00AB7C36" w:rsidRPr="10644CC7">
        <w:rPr>
          <w:rFonts w:ascii="Arial" w:eastAsia="Calibri" w:hAnsi="Arial" w:cs="Arial"/>
          <w:sz w:val="24"/>
          <w:szCs w:val="24"/>
          <w:lang w:val="es-CO" w:eastAsia="en-US"/>
        </w:rPr>
        <w:t xml:space="preserve">de 2020 </w:t>
      </w:r>
      <w:r w:rsidRPr="10644CC7">
        <w:rPr>
          <w:rFonts w:ascii="Arial" w:eastAsia="Calibri" w:hAnsi="Arial" w:cs="Arial"/>
          <w:sz w:val="24"/>
          <w:szCs w:val="24"/>
          <w:lang w:val="es-CO" w:eastAsia="en-US"/>
        </w:rPr>
        <w:t>el apoderado de la parte</w:t>
      </w:r>
      <w:r w:rsidR="00590449" w:rsidRPr="10644CC7">
        <w:rPr>
          <w:rFonts w:ascii="Arial" w:eastAsia="Calibri" w:hAnsi="Arial" w:cs="Arial"/>
          <w:sz w:val="24"/>
          <w:szCs w:val="24"/>
          <w:lang w:val="es-CO" w:eastAsia="en-US"/>
        </w:rPr>
        <w:t xml:space="preserve"> ejecutante</w:t>
      </w:r>
      <w:r w:rsidR="00AB7C36" w:rsidRPr="10644CC7">
        <w:rPr>
          <w:rFonts w:ascii="Arial" w:eastAsia="Calibri" w:hAnsi="Arial" w:cs="Arial"/>
          <w:sz w:val="24"/>
          <w:szCs w:val="24"/>
          <w:lang w:val="es-CO" w:eastAsia="en-US"/>
        </w:rPr>
        <w:t xml:space="preserve"> presentó escrito donde reformó </w:t>
      </w:r>
      <w:r w:rsidR="00BA56E4" w:rsidRPr="10644CC7">
        <w:rPr>
          <w:rFonts w:ascii="Arial" w:eastAsia="Calibri" w:hAnsi="Arial" w:cs="Arial"/>
          <w:sz w:val="24"/>
          <w:szCs w:val="24"/>
          <w:lang w:val="es-CO" w:eastAsia="en-US"/>
        </w:rPr>
        <w:t>la demanda</w:t>
      </w:r>
      <w:r w:rsidR="00184882" w:rsidRPr="10644CC7">
        <w:rPr>
          <w:rFonts w:ascii="Arial" w:eastAsia="Calibri" w:hAnsi="Arial" w:cs="Arial"/>
          <w:sz w:val="24"/>
          <w:szCs w:val="24"/>
          <w:lang w:val="es-CO" w:eastAsia="en-US"/>
        </w:rPr>
        <w:t>.</w:t>
      </w:r>
    </w:p>
    <w:p w14:paraId="2ECBEDF8" w14:textId="77777777" w:rsidR="0082270E" w:rsidRDefault="0082270E" w:rsidP="00CB0A46">
      <w:pPr>
        <w:pStyle w:val="Prrafodelista"/>
        <w:widowControl w:val="0"/>
        <w:tabs>
          <w:tab w:val="left" w:pos="-720"/>
        </w:tabs>
        <w:suppressAutoHyphens/>
        <w:spacing w:line="276" w:lineRule="auto"/>
        <w:ind w:left="0" w:right="-234"/>
        <w:contextualSpacing/>
        <w:jc w:val="both"/>
        <w:rPr>
          <w:rFonts w:ascii="Arial" w:eastAsia="Calibri" w:hAnsi="Arial" w:cs="Arial"/>
          <w:sz w:val="24"/>
          <w:szCs w:val="24"/>
          <w:lang w:val="es-CO" w:eastAsia="en-US"/>
        </w:rPr>
      </w:pPr>
    </w:p>
    <w:p w14:paraId="5943C1BB" w14:textId="6EF03EE0" w:rsidR="000E5CE4" w:rsidRPr="0082270E" w:rsidRDefault="00184882" w:rsidP="00CB0A46">
      <w:pPr>
        <w:pStyle w:val="Prrafodelista"/>
        <w:widowControl w:val="0"/>
        <w:numPr>
          <w:ilvl w:val="0"/>
          <w:numId w:val="26"/>
        </w:numPr>
        <w:suppressAutoHyphens/>
        <w:spacing w:line="276" w:lineRule="auto"/>
        <w:ind w:left="0" w:right="-234" w:firstLine="0"/>
        <w:contextualSpacing/>
        <w:jc w:val="both"/>
        <w:rPr>
          <w:rFonts w:ascii="Arial" w:eastAsia="Calibri" w:hAnsi="Arial" w:cs="Arial"/>
          <w:sz w:val="24"/>
          <w:szCs w:val="24"/>
          <w:lang w:val="es-CO" w:eastAsia="en-US"/>
        </w:rPr>
      </w:pPr>
      <w:r w:rsidRPr="10644CC7">
        <w:rPr>
          <w:rFonts w:ascii="Arial" w:eastAsia="Calibri" w:hAnsi="Arial" w:cs="Arial"/>
          <w:sz w:val="24"/>
          <w:szCs w:val="24"/>
          <w:lang w:val="es-CO" w:eastAsia="en-US"/>
        </w:rPr>
        <w:t xml:space="preserve">En tal sentido </w:t>
      </w:r>
      <w:r w:rsidR="00BA56E4" w:rsidRPr="10644CC7">
        <w:rPr>
          <w:rFonts w:ascii="Arial" w:eastAsia="Calibri" w:hAnsi="Arial" w:cs="Arial"/>
          <w:sz w:val="24"/>
          <w:szCs w:val="24"/>
          <w:lang w:val="es-CO" w:eastAsia="en-US"/>
        </w:rPr>
        <w:t>s</w:t>
      </w:r>
      <w:r w:rsidR="00957879" w:rsidRPr="10644CC7">
        <w:rPr>
          <w:rFonts w:ascii="Arial" w:eastAsia="Calibri" w:hAnsi="Arial" w:cs="Arial"/>
          <w:sz w:val="24"/>
          <w:szCs w:val="24"/>
          <w:lang w:val="es-CO" w:eastAsia="en-US"/>
        </w:rPr>
        <w:t>olicitó se librara mandamiento de pago por</w:t>
      </w:r>
      <w:r w:rsidR="00E17BDB" w:rsidRPr="10644CC7">
        <w:rPr>
          <w:rFonts w:ascii="Arial" w:eastAsia="Calibri" w:hAnsi="Arial" w:cs="Arial"/>
          <w:sz w:val="24"/>
          <w:szCs w:val="24"/>
          <w:lang w:val="es-CO" w:eastAsia="en-US"/>
        </w:rPr>
        <w:t xml:space="preserve">: </w:t>
      </w:r>
      <w:r w:rsidR="00957879" w:rsidRPr="10644CC7">
        <w:rPr>
          <w:rFonts w:ascii="Arial" w:eastAsia="Calibri" w:hAnsi="Arial" w:cs="Arial"/>
          <w:b/>
          <w:bCs/>
          <w:sz w:val="24"/>
          <w:szCs w:val="24"/>
          <w:lang w:val="es-CO" w:eastAsia="en-US"/>
        </w:rPr>
        <w:t>i)</w:t>
      </w:r>
      <w:r w:rsidR="00957879" w:rsidRPr="10644CC7">
        <w:rPr>
          <w:rFonts w:ascii="Arial" w:eastAsia="Calibri" w:hAnsi="Arial" w:cs="Arial"/>
          <w:b/>
          <w:bCs/>
          <w:i/>
          <w:iCs/>
          <w:sz w:val="24"/>
          <w:szCs w:val="24"/>
          <w:lang w:val="es-CO" w:eastAsia="en-US"/>
        </w:rPr>
        <w:t xml:space="preserve"> </w:t>
      </w:r>
      <w:r w:rsidR="00957879" w:rsidRPr="10644CC7">
        <w:rPr>
          <w:rFonts w:ascii="Arial" w:eastAsia="Calibri" w:hAnsi="Arial" w:cs="Arial"/>
          <w:sz w:val="24"/>
          <w:szCs w:val="24"/>
          <w:lang w:val="es-CO" w:eastAsia="en-US"/>
        </w:rPr>
        <w:t xml:space="preserve">el valor correspondiente </w:t>
      </w:r>
      <w:r w:rsidR="00957879" w:rsidRPr="10644CC7">
        <w:rPr>
          <w:rFonts w:ascii="Arial" w:eastAsia="Calibri" w:hAnsi="Arial" w:cs="Arial"/>
          <w:i/>
          <w:iCs/>
          <w:sz w:val="24"/>
          <w:szCs w:val="24"/>
          <w:lang w:val="es-CO" w:eastAsia="en-US"/>
        </w:rPr>
        <w:t>“</w:t>
      </w:r>
      <w:r w:rsidR="00E17BDB" w:rsidRPr="10644CC7">
        <w:rPr>
          <w:rFonts w:ascii="Arial" w:eastAsia="Calibri" w:hAnsi="Arial" w:cs="Arial"/>
          <w:i/>
          <w:iCs/>
          <w:sz w:val="24"/>
          <w:szCs w:val="24"/>
          <w:lang w:val="es-CO" w:eastAsia="en-US"/>
        </w:rPr>
        <w:t xml:space="preserve">al 15% sobre la asignación básica mensual, establecido de conformidad con la Ley 715 de 2001 art. 24 inc. 6º, Decreto Nacional 1171 de 2004 y en los Decretos </w:t>
      </w:r>
      <w:r w:rsidR="372B1855" w:rsidRPr="10644CC7">
        <w:rPr>
          <w:rFonts w:ascii="Arial" w:eastAsia="Calibri" w:hAnsi="Arial" w:cs="Arial"/>
          <w:i/>
          <w:iCs/>
          <w:sz w:val="24"/>
          <w:szCs w:val="24"/>
          <w:lang w:val="es-CO" w:eastAsia="en-US"/>
        </w:rPr>
        <w:t xml:space="preserve">(sic) </w:t>
      </w:r>
      <w:r w:rsidR="00E17BDB" w:rsidRPr="10644CC7">
        <w:rPr>
          <w:rFonts w:ascii="Arial" w:eastAsia="Calibri" w:hAnsi="Arial" w:cs="Arial"/>
          <w:i/>
          <w:iCs/>
          <w:sz w:val="24"/>
          <w:szCs w:val="24"/>
          <w:lang w:val="es-CO" w:eastAsia="en-US"/>
        </w:rPr>
        <w:t>Departamentales</w:t>
      </w:r>
      <w:r w:rsidR="67A2587B" w:rsidRPr="10644CC7">
        <w:rPr>
          <w:rFonts w:ascii="Arial" w:eastAsia="Calibri" w:hAnsi="Arial" w:cs="Arial"/>
          <w:i/>
          <w:iCs/>
          <w:sz w:val="24"/>
          <w:szCs w:val="24"/>
          <w:lang w:val="es-CO" w:eastAsia="en-US"/>
        </w:rPr>
        <w:t xml:space="preserve"> (sic)</w:t>
      </w:r>
      <w:r w:rsidR="00E17BDB" w:rsidRPr="10644CC7">
        <w:rPr>
          <w:rFonts w:ascii="Arial" w:eastAsia="Calibri" w:hAnsi="Arial" w:cs="Arial"/>
          <w:i/>
          <w:iCs/>
          <w:sz w:val="24"/>
          <w:szCs w:val="24"/>
          <w:lang w:val="es-CO" w:eastAsia="en-US"/>
        </w:rPr>
        <w:t xml:space="preserve"> 0181 de 2010 y 01399 de 2008 por la prestación del servicio en la Institución Educativa El Marfil desde el día 24 de Enero de 2005 y hasta el 23 de Noviembre del año 2007 en el Municipio</w:t>
      </w:r>
      <w:r w:rsidR="215B342A" w:rsidRPr="10644CC7">
        <w:rPr>
          <w:rFonts w:ascii="Arial" w:eastAsia="Calibri" w:hAnsi="Arial" w:cs="Arial"/>
          <w:i/>
          <w:iCs/>
          <w:sz w:val="24"/>
          <w:szCs w:val="24"/>
          <w:lang w:val="es-CO" w:eastAsia="en-US"/>
        </w:rPr>
        <w:t xml:space="preserve"> (sic)</w:t>
      </w:r>
      <w:r w:rsidR="00E17BDB" w:rsidRPr="10644CC7">
        <w:rPr>
          <w:rFonts w:ascii="Arial" w:eastAsia="Calibri" w:hAnsi="Arial" w:cs="Arial"/>
          <w:i/>
          <w:iCs/>
          <w:sz w:val="24"/>
          <w:szCs w:val="24"/>
          <w:lang w:val="es-CO" w:eastAsia="en-US"/>
        </w:rPr>
        <w:t xml:space="preserve"> de Puerto Boyacá</w:t>
      </w:r>
      <w:r w:rsidR="00957879" w:rsidRPr="10644CC7">
        <w:rPr>
          <w:rFonts w:ascii="Arial" w:eastAsia="Calibri" w:hAnsi="Arial" w:cs="Arial"/>
          <w:i/>
          <w:iCs/>
          <w:sz w:val="24"/>
          <w:szCs w:val="24"/>
          <w:lang w:val="es-CO" w:eastAsia="en-US"/>
        </w:rPr>
        <w:t>”</w:t>
      </w:r>
      <w:r w:rsidRPr="10644CC7">
        <w:rPr>
          <w:rFonts w:ascii="Arial" w:eastAsia="Calibri" w:hAnsi="Arial" w:cs="Arial"/>
          <w:i/>
          <w:iCs/>
          <w:sz w:val="24"/>
          <w:szCs w:val="24"/>
          <w:lang w:val="es-CO" w:eastAsia="en-US"/>
        </w:rPr>
        <w:t xml:space="preserve">; </w:t>
      </w:r>
      <w:proofErr w:type="spellStart"/>
      <w:r w:rsidR="00957879" w:rsidRPr="10644CC7">
        <w:rPr>
          <w:rFonts w:ascii="Arial" w:eastAsia="Calibri" w:hAnsi="Arial" w:cs="Arial"/>
          <w:b/>
          <w:bCs/>
          <w:sz w:val="24"/>
          <w:szCs w:val="24"/>
          <w:lang w:val="es-CO" w:eastAsia="en-US"/>
        </w:rPr>
        <w:t>ii</w:t>
      </w:r>
      <w:proofErr w:type="spellEnd"/>
      <w:r w:rsidR="00957879" w:rsidRPr="10644CC7">
        <w:rPr>
          <w:rFonts w:ascii="Arial" w:eastAsia="Calibri" w:hAnsi="Arial" w:cs="Arial"/>
          <w:b/>
          <w:bCs/>
          <w:i/>
          <w:iCs/>
          <w:sz w:val="24"/>
          <w:szCs w:val="24"/>
          <w:lang w:val="es-CO" w:eastAsia="en-US"/>
        </w:rPr>
        <w:t>)</w:t>
      </w:r>
      <w:r w:rsidR="007C443F" w:rsidRPr="10644CC7">
        <w:rPr>
          <w:rFonts w:ascii="Arial" w:eastAsia="Calibri" w:hAnsi="Arial" w:cs="Arial"/>
          <w:b/>
          <w:bCs/>
          <w:i/>
          <w:iCs/>
          <w:sz w:val="24"/>
          <w:szCs w:val="24"/>
          <w:lang w:val="es-CO" w:eastAsia="en-US"/>
        </w:rPr>
        <w:t xml:space="preserve"> </w:t>
      </w:r>
      <w:r w:rsidR="007C443F" w:rsidRPr="10644CC7">
        <w:rPr>
          <w:rFonts w:ascii="Arial" w:eastAsia="Calibri" w:hAnsi="Arial" w:cs="Arial"/>
          <w:sz w:val="24"/>
          <w:szCs w:val="24"/>
          <w:lang w:val="es-CO" w:eastAsia="en-US"/>
        </w:rPr>
        <w:t>reconocimiento y pago</w:t>
      </w:r>
      <w:r w:rsidR="007C443F" w:rsidRPr="10644CC7">
        <w:rPr>
          <w:rFonts w:ascii="Arial" w:eastAsia="Calibri" w:hAnsi="Arial" w:cs="Arial"/>
          <w:b/>
          <w:bCs/>
          <w:i/>
          <w:iCs/>
          <w:sz w:val="24"/>
          <w:szCs w:val="24"/>
          <w:lang w:val="es-CO" w:eastAsia="en-US"/>
        </w:rPr>
        <w:t xml:space="preserve"> </w:t>
      </w:r>
      <w:r w:rsidR="000E5CE4" w:rsidRPr="10644CC7">
        <w:rPr>
          <w:rFonts w:ascii="Arial" w:eastAsia="Calibri" w:hAnsi="Arial" w:cs="Arial"/>
          <w:sz w:val="24"/>
          <w:szCs w:val="24"/>
          <w:lang w:val="es-CO" w:eastAsia="en-US"/>
        </w:rPr>
        <w:t>de</w:t>
      </w:r>
      <w:r w:rsidR="002D5D47" w:rsidRPr="10644CC7">
        <w:rPr>
          <w:rFonts w:ascii="Arial" w:eastAsia="Calibri" w:hAnsi="Arial" w:cs="Arial"/>
          <w:sz w:val="24"/>
          <w:szCs w:val="24"/>
          <w:lang w:val="es-CO" w:eastAsia="en-US"/>
        </w:rPr>
        <w:t xml:space="preserve"> </w:t>
      </w:r>
      <w:r w:rsidR="00957879" w:rsidRPr="10644CC7">
        <w:rPr>
          <w:rFonts w:ascii="Arial" w:eastAsia="Calibri" w:hAnsi="Arial" w:cs="Arial"/>
          <w:sz w:val="24"/>
          <w:szCs w:val="24"/>
          <w:lang w:val="es-CO" w:eastAsia="en-US"/>
        </w:rPr>
        <w:t xml:space="preserve">los respectivos </w:t>
      </w:r>
      <w:r w:rsidR="000E5CE4" w:rsidRPr="10644CC7">
        <w:rPr>
          <w:rFonts w:ascii="Arial" w:eastAsia="Calibri" w:hAnsi="Arial" w:cs="Arial"/>
          <w:sz w:val="24"/>
          <w:szCs w:val="24"/>
          <w:lang w:val="es-CO" w:eastAsia="en-US"/>
        </w:rPr>
        <w:t xml:space="preserve">intereses </w:t>
      </w:r>
      <w:r w:rsidR="00957879" w:rsidRPr="10644CC7">
        <w:rPr>
          <w:rFonts w:ascii="Arial" w:eastAsia="Calibri" w:hAnsi="Arial" w:cs="Arial"/>
          <w:sz w:val="24"/>
          <w:szCs w:val="24"/>
          <w:lang w:val="es-CO" w:eastAsia="en-US"/>
        </w:rPr>
        <w:t>moratorios</w:t>
      </w:r>
      <w:r w:rsidR="00D81EA6" w:rsidRPr="10644CC7">
        <w:rPr>
          <w:rFonts w:ascii="Arial" w:eastAsia="Calibri" w:hAnsi="Arial" w:cs="Arial"/>
          <w:sz w:val="24"/>
          <w:szCs w:val="24"/>
          <w:lang w:val="es-CO" w:eastAsia="en-US"/>
        </w:rPr>
        <w:t xml:space="preserve">, causados desde que se hicieron exigibles hasta el pago total de la obligación </w:t>
      </w:r>
      <w:r w:rsidR="000E5CE4" w:rsidRPr="10644CC7">
        <w:rPr>
          <w:rFonts w:ascii="Arial" w:eastAsia="Calibri" w:hAnsi="Arial" w:cs="Arial"/>
          <w:sz w:val="24"/>
          <w:szCs w:val="24"/>
          <w:lang w:val="es-CO" w:eastAsia="en-US"/>
        </w:rPr>
        <w:t xml:space="preserve">y </w:t>
      </w:r>
      <w:proofErr w:type="spellStart"/>
      <w:r w:rsidR="000E5CE4" w:rsidRPr="10644CC7">
        <w:rPr>
          <w:rFonts w:ascii="Arial" w:eastAsia="Calibri" w:hAnsi="Arial" w:cs="Arial"/>
          <w:b/>
          <w:bCs/>
          <w:sz w:val="24"/>
          <w:szCs w:val="24"/>
          <w:lang w:val="es-CO" w:eastAsia="en-US"/>
        </w:rPr>
        <w:t>iii</w:t>
      </w:r>
      <w:proofErr w:type="spellEnd"/>
      <w:r w:rsidR="000E5CE4" w:rsidRPr="10644CC7">
        <w:rPr>
          <w:rFonts w:ascii="Arial" w:eastAsia="Calibri" w:hAnsi="Arial" w:cs="Arial"/>
          <w:b/>
          <w:bCs/>
          <w:sz w:val="24"/>
          <w:szCs w:val="24"/>
          <w:lang w:val="es-CO" w:eastAsia="en-US"/>
        </w:rPr>
        <w:t xml:space="preserve">) </w:t>
      </w:r>
      <w:r w:rsidR="008420F3" w:rsidRPr="10644CC7">
        <w:rPr>
          <w:rFonts w:ascii="Arial" w:eastAsia="Calibri" w:hAnsi="Arial" w:cs="Arial"/>
          <w:sz w:val="24"/>
          <w:szCs w:val="24"/>
          <w:lang w:val="es-CO" w:eastAsia="en-US"/>
        </w:rPr>
        <w:t xml:space="preserve">finalmente se </w:t>
      </w:r>
      <w:r w:rsidR="007C443F" w:rsidRPr="10644CC7">
        <w:rPr>
          <w:rFonts w:ascii="Arial" w:eastAsia="Calibri" w:hAnsi="Arial" w:cs="Arial"/>
          <w:sz w:val="24"/>
          <w:szCs w:val="24"/>
          <w:lang w:val="es-CO" w:eastAsia="en-US"/>
        </w:rPr>
        <w:t>condena en</w:t>
      </w:r>
      <w:r w:rsidR="000E5CE4" w:rsidRPr="10644CC7">
        <w:rPr>
          <w:rFonts w:ascii="Arial" w:eastAsia="Calibri" w:hAnsi="Arial" w:cs="Arial"/>
          <w:sz w:val="24"/>
          <w:szCs w:val="24"/>
          <w:lang w:val="es-CO" w:eastAsia="en-US"/>
        </w:rPr>
        <w:t xml:space="preserve"> costas a la demandada</w:t>
      </w:r>
      <w:r w:rsidR="00957879" w:rsidRPr="10644CC7">
        <w:rPr>
          <w:rFonts w:ascii="Arial" w:eastAsia="Calibri" w:hAnsi="Arial" w:cs="Arial"/>
          <w:sz w:val="24"/>
          <w:szCs w:val="24"/>
          <w:lang w:val="es-CO" w:eastAsia="en-US"/>
        </w:rPr>
        <w:t>.</w:t>
      </w:r>
    </w:p>
    <w:p w14:paraId="6C896908" w14:textId="77777777" w:rsidR="00D81EA6" w:rsidRDefault="00D81EA6" w:rsidP="00CB0A46">
      <w:pPr>
        <w:overflowPunct w:val="0"/>
        <w:autoSpaceDE w:val="0"/>
        <w:autoSpaceDN w:val="0"/>
        <w:adjustRightInd w:val="0"/>
        <w:spacing w:line="276" w:lineRule="auto"/>
        <w:ind w:right="-234"/>
        <w:contextualSpacing/>
        <w:jc w:val="both"/>
        <w:textAlignment w:val="baseline"/>
        <w:rPr>
          <w:rFonts w:ascii="Arial" w:eastAsia="Calibri" w:hAnsi="Arial" w:cs="Arial"/>
          <w:sz w:val="24"/>
          <w:szCs w:val="24"/>
          <w:lang w:val="es-CO" w:eastAsia="en-US"/>
        </w:rPr>
      </w:pPr>
    </w:p>
    <w:p w14:paraId="31C30F3C" w14:textId="4D0F0B61" w:rsidR="007C443F" w:rsidRDefault="000F3727" w:rsidP="00CB0A46">
      <w:pPr>
        <w:overflowPunct w:val="0"/>
        <w:autoSpaceDE w:val="0"/>
        <w:autoSpaceDN w:val="0"/>
        <w:adjustRightInd w:val="0"/>
        <w:spacing w:line="276" w:lineRule="auto"/>
        <w:ind w:right="-234"/>
        <w:contextualSpacing/>
        <w:jc w:val="both"/>
        <w:textAlignment w:val="baseline"/>
        <w:rPr>
          <w:rFonts w:ascii="Arial" w:eastAsia="Calibri" w:hAnsi="Arial" w:cs="Arial"/>
          <w:sz w:val="24"/>
          <w:szCs w:val="24"/>
          <w:lang w:val="es-CO" w:eastAsia="en-US"/>
        </w:rPr>
      </w:pPr>
      <w:r w:rsidRPr="10644CC7">
        <w:rPr>
          <w:rFonts w:ascii="Arial" w:eastAsia="Calibri" w:hAnsi="Arial" w:cs="Arial"/>
          <w:sz w:val="24"/>
          <w:szCs w:val="24"/>
          <w:lang w:val="es-CO" w:eastAsia="en-US"/>
        </w:rPr>
        <w:t>5</w:t>
      </w:r>
      <w:r w:rsidR="007C443F" w:rsidRPr="10644CC7">
        <w:rPr>
          <w:rFonts w:ascii="Arial" w:eastAsia="Calibri" w:hAnsi="Arial" w:cs="Arial"/>
          <w:sz w:val="24"/>
          <w:szCs w:val="24"/>
          <w:lang w:val="es-CO" w:eastAsia="en-US"/>
        </w:rPr>
        <w:t>.1</w:t>
      </w:r>
      <w:r w:rsidRPr="10644CC7">
        <w:rPr>
          <w:rFonts w:ascii="Arial" w:eastAsia="Calibri" w:hAnsi="Arial" w:cs="Arial"/>
          <w:sz w:val="24"/>
          <w:szCs w:val="24"/>
          <w:lang w:val="es-CO" w:eastAsia="en-US"/>
        </w:rPr>
        <w:t>.</w:t>
      </w:r>
      <w:r w:rsidR="007C443F" w:rsidRPr="10644CC7">
        <w:rPr>
          <w:rFonts w:ascii="Arial" w:eastAsia="Calibri" w:hAnsi="Arial" w:cs="Arial"/>
          <w:sz w:val="24"/>
          <w:szCs w:val="24"/>
          <w:lang w:val="es-CO" w:eastAsia="en-US"/>
        </w:rPr>
        <w:t xml:space="preserve"> Indicó l</w:t>
      </w:r>
      <w:r w:rsidR="39167588" w:rsidRPr="10644CC7">
        <w:rPr>
          <w:rFonts w:ascii="Arial" w:eastAsia="Calibri" w:hAnsi="Arial" w:cs="Arial"/>
          <w:sz w:val="24"/>
          <w:szCs w:val="24"/>
          <w:lang w:val="es-CO" w:eastAsia="en-US"/>
        </w:rPr>
        <w:t xml:space="preserve">as condiciones en las cuales </w:t>
      </w:r>
      <w:r w:rsidR="007C443F" w:rsidRPr="10644CC7">
        <w:rPr>
          <w:rFonts w:ascii="Arial" w:eastAsia="Calibri" w:hAnsi="Arial" w:cs="Arial"/>
          <w:sz w:val="24"/>
          <w:szCs w:val="24"/>
          <w:lang w:val="es-CO" w:eastAsia="en-US"/>
        </w:rPr>
        <w:t xml:space="preserve">fue creada y </w:t>
      </w:r>
      <w:r w:rsidR="00957879" w:rsidRPr="10644CC7">
        <w:rPr>
          <w:rFonts w:ascii="Arial" w:eastAsia="Calibri" w:hAnsi="Arial" w:cs="Arial"/>
          <w:sz w:val="24"/>
          <w:szCs w:val="24"/>
          <w:lang w:val="es-CO" w:eastAsia="en-US"/>
        </w:rPr>
        <w:t>reglamentada la bonificación</w:t>
      </w:r>
      <w:r w:rsidR="007C443F" w:rsidRPr="10644CC7">
        <w:rPr>
          <w:rFonts w:ascii="Arial" w:eastAsia="Calibri" w:hAnsi="Arial" w:cs="Arial"/>
          <w:sz w:val="24"/>
          <w:szCs w:val="24"/>
          <w:lang w:val="es-CO" w:eastAsia="en-US"/>
        </w:rPr>
        <w:t xml:space="preserve"> para docentes y directivos docentes que labora</w:t>
      </w:r>
      <w:r w:rsidR="002F0383" w:rsidRPr="10644CC7">
        <w:rPr>
          <w:rFonts w:ascii="Arial" w:eastAsia="Calibri" w:hAnsi="Arial" w:cs="Arial"/>
          <w:sz w:val="24"/>
          <w:szCs w:val="24"/>
          <w:lang w:val="es-CO" w:eastAsia="en-US"/>
        </w:rPr>
        <w:t>ban</w:t>
      </w:r>
      <w:r w:rsidR="007C443F" w:rsidRPr="10644CC7">
        <w:rPr>
          <w:rFonts w:ascii="Arial" w:eastAsia="Calibri" w:hAnsi="Arial" w:cs="Arial"/>
          <w:sz w:val="24"/>
          <w:szCs w:val="24"/>
          <w:lang w:val="es-CO" w:eastAsia="en-US"/>
        </w:rPr>
        <w:t xml:space="preserve"> en áreas rurales de difícil acceso</w:t>
      </w:r>
      <w:r w:rsidR="006F2798" w:rsidRPr="10644CC7">
        <w:rPr>
          <w:rFonts w:ascii="Arial" w:eastAsia="Calibri" w:hAnsi="Arial" w:cs="Arial"/>
          <w:sz w:val="24"/>
          <w:szCs w:val="24"/>
          <w:lang w:val="es-CO" w:eastAsia="en-US"/>
        </w:rPr>
        <w:t xml:space="preserve"> equivalente al 15% del salario devengado</w:t>
      </w:r>
      <w:r w:rsidR="00C81546" w:rsidRPr="10644CC7">
        <w:rPr>
          <w:rFonts w:ascii="Arial" w:eastAsia="Calibri" w:hAnsi="Arial" w:cs="Arial"/>
          <w:sz w:val="24"/>
          <w:szCs w:val="24"/>
          <w:lang w:val="es-CO" w:eastAsia="en-US"/>
        </w:rPr>
        <w:t xml:space="preserve">; en tal sentido aportó los certificados de tiempo de servicios expedido por la Secretaría de Educación de Boyacá para los años 2005, 2006 y 2007 del señor </w:t>
      </w:r>
      <w:proofErr w:type="spellStart"/>
      <w:r w:rsidR="00C81546" w:rsidRPr="10644CC7">
        <w:rPr>
          <w:rFonts w:ascii="Arial" w:eastAsia="Calibri" w:hAnsi="Arial" w:cs="Arial"/>
          <w:sz w:val="24"/>
          <w:szCs w:val="24"/>
          <w:lang w:val="es-CO" w:eastAsia="en-US"/>
        </w:rPr>
        <w:t>Blanicher</w:t>
      </w:r>
      <w:proofErr w:type="spellEnd"/>
      <w:r w:rsidR="00C81546" w:rsidRPr="10644CC7">
        <w:rPr>
          <w:rFonts w:ascii="Arial" w:eastAsia="Calibri" w:hAnsi="Arial" w:cs="Arial"/>
          <w:sz w:val="24"/>
          <w:szCs w:val="24"/>
          <w:lang w:val="es-CO" w:eastAsia="en-US"/>
        </w:rPr>
        <w:t xml:space="preserve"> Riaño Patiño</w:t>
      </w:r>
      <w:r w:rsidR="00EF661C" w:rsidRPr="10644CC7">
        <w:rPr>
          <w:rFonts w:ascii="Arial" w:eastAsia="Calibri" w:hAnsi="Arial" w:cs="Arial"/>
          <w:sz w:val="24"/>
          <w:szCs w:val="24"/>
          <w:lang w:val="es-CO" w:eastAsia="en-US"/>
        </w:rPr>
        <w:t xml:space="preserve">. </w:t>
      </w:r>
      <w:r w:rsidR="00C81546" w:rsidRPr="10644CC7">
        <w:rPr>
          <w:rFonts w:ascii="Arial" w:eastAsia="Calibri" w:hAnsi="Arial" w:cs="Arial"/>
          <w:sz w:val="24"/>
          <w:szCs w:val="24"/>
          <w:lang w:val="es-CO" w:eastAsia="en-US"/>
        </w:rPr>
        <w:t xml:space="preserve"> </w:t>
      </w:r>
    </w:p>
    <w:p w14:paraId="71A617CC" w14:textId="77777777" w:rsidR="007C443F" w:rsidRDefault="007C443F" w:rsidP="00CB0A46">
      <w:pPr>
        <w:overflowPunct w:val="0"/>
        <w:autoSpaceDE w:val="0"/>
        <w:autoSpaceDN w:val="0"/>
        <w:adjustRightInd w:val="0"/>
        <w:spacing w:line="276" w:lineRule="auto"/>
        <w:ind w:right="-234"/>
        <w:contextualSpacing/>
        <w:jc w:val="both"/>
        <w:textAlignment w:val="baseline"/>
        <w:rPr>
          <w:rFonts w:ascii="Arial" w:eastAsia="Calibri" w:hAnsi="Arial" w:cs="Arial"/>
          <w:sz w:val="24"/>
          <w:szCs w:val="24"/>
          <w:lang w:val="es-CO" w:eastAsia="en-US"/>
        </w:rPr>
      </w:pPr>
    </w:p>
    <w:p w14:paraId="3517EBFC" w14:textId="3F26E58F" w:rsidR="008B70E4" w:rsidRDefault="000F3727" w:rsidP="00CB0A46">
      <w:pPr>
        <w:overflowPunct w:val="0"/>
        <w:autoSpaceDE w:val="0"/>
        <w:autoSpaceDN w:val="0"/>
        <w:adjustRightInd w:val="0"/>
        <w:spacing w:line="276" w:lineRule="auto"/>
        <w:ind w:right="-234"/>
        <w:contextualSpacing/>
        <w:jc w:val="both"/>
        <w:textAlignment w:val="baseline"/>
        <w:rPr>
          <w:rFonts w:ascii="Arial" w:eastAsia="Calibri" w:hAnsi="Arial" w:cs="Arial"/>
          <w:i/>
          <w:iCs/>
          <w:sz w:val="24"/>
          <w:szCs w:val="24"/>
          <w:lang w:val="es-CO" w:eastAsia="en-US"/>
        </w:rPr>
      </w:pPr>
      <w:r w:rsidRPr="10644CC7">
        <w:rPr>
          <w:rFonts w:ascii="Arial" w:eastAsia="Calibri" w:hAnsi="Arial" w:cs="Arial"/>
          <w:sz w:val="24"/>
          <w:szCs w:val="24"/>
          <w:lang w:val="es-CO" w:eastAsia="en-US"/>
        </w:rPr>
        <w:t>5</w:t>
      </w:r>
      <w:r w:rsidR="00435D37" w:rsidRPr="10644CC7">
        <w:rPr>
          <w:rFonts w:ascii="Arial" w:eastAsia="Calibri" w:hAnsi="Arial" w:cs="Arial"/>
          <w:sz w:val="24"/>
          <w:szCs w:val="24"/>
          <w:lang w:val="es-CO" w:eastAsia="en-US"/>
        </w:rPr>
        <w:t xml:space="preserve">.2. </w:t>
      </w:r>
      <w:r w:rsidR="007B394E" w:rsidRPr="10644CC7">
        <w:rPr>
          <w:rFonts w:ascii="Arial" w:eastAsia="Calibri" w:hAnsi="Arial" w:cs="Arial"/>
          <w:sz w:val="24"/>
          <w:szCs w:val="24"/>
          <w:lang w:val="es-CO" w:eastAsia="en-US"/>
        </w:rPr>
        <w:t>Precis</w:t>
      </w:r>
      <w:r w:rsidR="00957879" w:rsidRPr="10644CC7">
        <w:rPr>
          <w:rFonts w:ascii="Arial" w:eastAsia="Calibri" w:hAnsi="Arial" w:cs="Arial"/>
          <w:sz w:val="24"/>
          <w:szCs w:val="24"/>
          <w:lang w:val="es-CO" w:eastAsia="en-US"/>
        </w:rPr>
        <w:t xml:space="preserve">ó que el derecho se </w:t>
      </w:r>
      <w:r w:rsidR="50B937E7" w:rsidRPr="10644CC7">
        <w:rPr>
          <w:rFonts w:ascii="Arial" w:eastAsia="Calibri" w:hAnsi="Arial" w:cs="Arial"/>
          <w:sz w:val="24"/>
          <w:szCs w:val="24"/>
          <w:lang w:val="es-CO" w:eastAsia="en-US"/>
        </w:rPr>
        <w:t>hallaba</w:t>
      </w:r>
      <w:r w:rsidR="00957879" w:rsidRPr="10644CC7">
        <w:rPr>
          <w:rFonts w:ascii="Arial" w:eastAsia="Calibri" w:hAnsi="Arial" w:cs="Arial"/>
          <w:sz w:val="24"/>
          <w:szCs w:val="24"/>
          <w:lang w:val="es-CO" w:eastAsia="en-US"/>
        </w:rPr>
        <w:t xml:space="preserve"> incorporado en un título ejecutivo </w:t>
      </w:r>
      <w:r w:rsidR="008B70E4" w:rsidRPr="10644CC7">
        <w:rPr>
          <w:rFonts w:ascii="Arial" w:eastAsia="Calibri" w:hAnsi="Arial" w:cs="Arial"/>
          <w:sz w:val="24"/>
          <w:szCs w:val="24"/>
          <w:lang w:val="es-CO" w:eastAsia="en-US"/>
        </w:rPr>
        <w:t>compuesto el cual</w:t>
      </w:r>
      <w:r w:rsidR="00ED3DEB" w:rsidRPr="10644CC7">
        <w:rPr>
          <w:rFonts w:ascii="Arial" w:eastAsia="Calibri" w:hAnsi="Arial" w:cs="Arial"/>
          <w:sz w:val="24"/>
          <w:szCs w:val="24"/>
          <w:lang w:val="es-CO" w:eastAsia="en-US"/>
        </w:rPr>
        <w:t xml:space="preserve"> reunía</w:t>
      </w:r>
      <w:r w:rsidR="008B70E4" w:rsidRPr="10644CC7">
        <w:rPr>
          <w:rFonts w:ascii="Arial" w:eastAsia="Calibri" w:hAnsi="Arial" w:cs="Arial"/>
          <w:sz w:val="24"/>
          <w:szCs w:val="24"/>
          <w:lang w:val="es-CO" w:eastAsia="en-US"/>
        </w:rPr>
        <w:t xml:space="preserve"> las condiciones formales previstas en la Ley en tanto que</w:t>
      </w:r>
      <w:r w:rsidR="008B70E4" w:rsidRPr="10644CC7">
        <w:rPr>
          <w:rFonts w:ascii="Arial" w:eastAsia="Calibri" w:hAnsi="Arial" w:cs="Arial"/>
          <w:i/>
          <w:iCs/>
          <w:sz w:val="24"/>
          <w:szCs w:val="24"/>
          <w:lang w:val="es-CO" w:eastAsia="en-US"/>
        </w:rPr>
        <w:t>: “i)</w:t>
      </w:r>
      <w:r w:rsidR="00480D63" w:rsidRPr="10644CC7">
        <w:rPr>
          <w:rFonts w:ascii="Arial" w:eastAsia="Calibri" w:hAnsi="Arial" w:cs="Arial"/>
          <w:i/>
          <w:iCs/>
          <w:sz w:val="24"/>
          <w:szCs w:val="24"/>
          <w:lang w:val="es-CO" w:eastAsia="en-US"/>
        </w:rPr>
        <w:t xml:space="preserve"> </w:t>
      </w:r>
      <w:r w:rsidR="008B70E4" w:rsidRPr="10644CC7">
        <w:rPr>
          <w:rFonts w:ascii="Arial" w:eastAsia="Calibri" w:hAnsi="Arial" w:cs="Arial"/>
          <w:i/>
          <w:iCs/>
          <w:sz w:val="24"/>
          <w:szCs w:val="24"/>
          <w:lang w:val="es-CO" w:eastAsia="en-US"/>
        </w:rPr>
        <w:t xml:space="preserve">emanan del deudor y </w:t>
      </w:r>
      <w:r w:rsidR="1868E821" w:rsidRPr="10644CC7">
        <w:rPr>
          <w:rFonts w:ascii="Arial" w:eastAsia="Calibri" w:hAnsi="Arial" w:cs="Arial"/>
          <w:i/>
          <w:iCs/>
          <w:sz w:val="24"/>
          <w:szCs w:val="24"/>
          <w:lang w:val="es-CO" w:eastAsia="en-US"/>
        </w:rPr>
        <w:t>[eran]</w:t>
      </w:r>
      <w:r w:rsidR="008B70E4" w:rsidRPr="10644CC7">
        <w:rPr>
          <w:rFonts w:ascii="Arial" w:eastAsia="Calibri" w:hAnsi="Arial" w:cs="Arial"/>
          <w:i/>
          <w:iCs/>
          <w:sz w:val="24"/>
          <w:szCs w:val="24"/>
          <w:lang w:val="es-CO" w:eastAsia="en-US"/>
        </w:rPr>
        <w:t xml:space="preserve"> actos administrativos ejecutoriados y vigentes, </w:t>
      </w:r>
      <w:proofErr w:type="spellStart"/>
      <w:r w:rsidR="008B70E4" w:rsidRPr="10644CC7">
        <w:rPr>
          <w:rFonts w:ascii="Arial" w:eastAsia="Calibri" w:hAnsi="Arial" w:cs="Arial"/>
          <w:i/>
          <w:iCs/>
          <w:sz w:val="24"/>
          <w:szCs w:val="24"/>
          <w:lang w:val="es-CO" w:eastAsia="en-US"/>
        </w:rPr>
        <w:t>ii</w:t>
      </w:r>
      <w:proofErr w:type="spellEnd"/>
      <w:r w:rsidR="00480D63" w:rsidRPr="10644CC7">
        <w:rPr>
          <w:rFonts w:ascii="Arial" w:eastAsia="Calibri" w:hAnsi="Arial" w:cs="Arial"/>
          <w:i/>
          <w:iCs/>
          <w:sz w:val="24"/>
          <w:szCs w:val="24"/>
          <w:lang w:val="es-CO" w:eastAsia="en-US"/>
        </w:rPr>
        <w:t>)</w:t>
      </w:r>
      <w:r w:rsidR="008B70E4" w:rsidRPr="10644CC7">
        <w:rPr>
          <w:rFonts w:ascii="Arial" w:eastAsia="Calibri" w:hAnsi="Arial" w:cs="Arial"/>
          <w:i/>
          <w:iCs/>
          <w:sz w:val="24"/>
          <w:szCs w:val="24"/>
          <w:lang w:val="es-CO" w:eastAsia="en-US"/>
        </w:rPr>
        <w:t xml:space="preserve"> la obligación </w:t>
      </w:r>
      <w:r w:rsidR="1ECF7E85" w:rsidRPr="10644CC7">
        <w:rPr>
          <w:rFonts w:ascii="Arial" w:eastAsia="Calibri" w:hAnsi="Arial" w:cs="Arial"/>
          <w:i/>
          <w:iCs/>
          <w:sz w:val="24"/>
          <w:szCs w:val="24"/>
          <w:lang w:val="es-CO" w:eastAsia="en-US"/>
        </w:rPr>
        <w:t>[era]</w:t>
      </w:r>
      <w:r w:rsidR="008B70E4" w:rsidRPr="10644CC7">
        <w:rPr>
          <w:rFonts w:ascii="Arial" w:eastAsia="Calibri" w:hAnsi="Arial" w:cs="Arial"/>
          <w:i/>
          <w:iCs/>
          <w:sz w:val="24"/>
          <w:szCs w:val="24"/>
          <w:lang w:val="es-CO" w:eastAsia="en-US"/>
        </w:rPr>
        <w:t xml:space="preserve"> expresa porque tanto la Ley como los decretos redacta</w:t>
      </w:r>
      <w:r w:rsidR="4455385C" w:rsidRPr="10644CC7">
        <w:rPr>
          <w:rFonts w:ascii="Arial" w:eastAsia="Calibri" w:hAnsi="Arial" w:cs="Arial"/>
          <w:i/>
          <w:iCs/>
          <w:sz w:val="24"/>
          <w:szCs w:val="24"/>
          <w:lang w:val="es-CO" w:eastAsia="en-US"/>
        </w:rPr>
        <w:t>[</w:t>
      </w:r>
      <w:proofErr w:type="spellStart"/>
      <w:r w:rsidR="4455385C" w:rsidRPr="10644CC7">
        <w:rPr>
          <w:rFonts w:ascii="Arial" w:eastAsia="Calibri" w:hAnsi="Arial" w:cs="Arial"/>
          <w:i/>
          <w:iCs/>
          <w:sz w:val="24"/>
          <w:szCs w:val="24"/>
          <w:lang w:val="es-CO" w:eastAsia="en-US"/>
        </w:rPr>
        <w:t>ban</w:t>
      </w:r>
      <w:proofErr w:type="spellEnd"/>
      <w:r w:rsidR="4455385C" w:rsidRPr="10644CC7">
        <w:rPr>
          <w:rFonts w:ascii="Arial" w:eastAsia="Calibri" w:hAnsi="Arial" w:cs="Arial"/>
          <w:i/>
          <w:iCs/>
          <w:sz w:val="24"/>
          <w:szCs w:val="24"/>
          <w:lang w:val="es-CO" w:eastAsia="en-US"/>
        </w:rPr>
        <w:t>]</w:t>
      </w:r>
      <w:r w:rsidR="008B70E4" w:rsidRPr="10644CC7">
        <w:rPr>
          <w:rFonts w:ascii="Arial" w:eastAsia="Calibri" w:hAnsi="Arial" w:cs="Arial"/>
          <w:i/>
          <w:iCs/>
          <w:sz w:val="24"/>
          <w:szCs w:val="24"/>
          <w:lang w:val="es-CO" w:eastAsia="en-US"/>
        </w:rPr>
        <w:t xml:space="preserve"> en forma precisa los términos y condiciones de los docentes y directivos docentes que adquieren el derecho y también consagra</w:t>
      </w:r>
      <w:r w:rsidR="3C9AF930" w:rsidRPr="10644CC7">
        <w:rPr>
          <w:rFonts w:ascii="Arial" w:eastAsia="Calibri" w:hAnsi="Arial" w:cs="Arial"/>
          <w:i/>
          <w:iCs/>
          <w:sz w:val="24"/>
          <w:szCs w:val="24"/>
          <w:lang w:val="es-CO" w:eastAsia="en-US"/>
        </w:rPr>
        <w:t>[</w:t>
      </w:r>
      <w:proofErr w:type="spellStart"/>
      <w:r w:rsidR="3C9AF930" w:rsidRPr="10644CC7">
        <w:rPr>
          <w:rFonts w:ascii="Arial" w:eastAsia="Calibri" w:hAnsi="Arial" w:cs="Arial"/>
          <w:i/>
          <w:iCs/>
          <w:sz w:val="24"/>
          <w:szCs w:val="24"/>
          <w:lang w:val="es-CO" w:eastAsia="en-US"/>
        </w:rPr>
        <w:t>ban</w:t>
      </w:r>
      <w:proofErr w:type="spellEnd"/>
      <w:r w:rsidR="3C9AF930" w:rsidRPr="10644CC7">
        <w:rPr>
          <w:rFonts w:ascii="Arial" w:eastAsia="Calibri" w:hAnsi="Arial" w:cs="Arial"/>
          <w:i/>
          <w:iCs/>
          <w:sz w:val="24"/>
          <w:szCs w:val="24"/>
          <w:lang w:val="es-CO" w:eastAsia="en-US"/>
        </w:rPr>
        <w:t>]</w:t>
      </w:r>
      <w:r w:rsidR="008B70E4" w:rsidRPr="10644CC7">
        <w:rPr>
          <w:rFonts w:ascii="Arial" w:eastAsia="Calibri" w:hAnsi="Arial" w:cs="Arial"/>
          <w:i/>
          <w:iCs/>
          <w:sz w:val="24"/>
          <w:szCs w:val="24"/>
          <w:lang w:val="es-CO" w:eastAsia="en-US"/>
        </w:rPr>
        <w:t xml:space="preserve"> la acreencia expresa en el sentido que tanto los Decretos Nacional y departamentales </w:t>
      </w:r>
      <w:proofErr w:type="spellStart"/>
      <w:r w:rsidR="008B70E4" w:rsidRPr="10644CC7">
        <w:rPr>
          <w:rFonts w:ascii="Arial" w:eastAsia="Calibri" w:hAnsi="Arial" w:cs="Arial"/>
          <w:i/>
          <w:iCs/>
          <w:sz w:val="24"/>
          <w:szCs w:val="24"/>
          <w:lang w:val="es-CO" w:eastAsia="en-US"/>
        </w:rPr>
        <w:t>establec</w:t>
      </w:r>
      <w:proofErr w:type="spellEnd"/>
      <w:r w:rsidR="6356C7F8" w:rsidRPr="10644CC7">
        <w:rPr>
          <w:rFonts w:ascii="Arial" w:eastAsia="Calibri" w:hAnsi="Arial" w:cs="Arial"/>
          <w:i/>
          <w:iCs/>
          <w:sz w:val="24"/>
          <w:szCs w:val="24"/>
          <w:lang w:val="es-CO" w:eastAsia="en-US"/>
        </w:rPr>
        <w:t>[</w:t>
      </w:r>
      <w:proofErr w:type="spellStart"/>
      <w:r w:rsidR="6356C7F8" w:rsidRPr="10644CC7">
        <w:rPr>
          <w:rFonts w:ascii="Arial" w:eastAsia="Calibri" w:hAnsi="Arial" w:cs="Arial"/>
          <w:i/>
          <w:iCs/>
          <w:sz w:val="24"/>
          <w:szCs w:val="24"/>
          <w:lang w:val="es-CO" w:eastAsia="en-US"/>
        </w:rPr>
        <w:t>ían</w:t>
      </w:r>
      <w:proofErr w:type="spellEnd"/>
      <w:r w:rsidR="6356C7F8" w:rsidRPr="10644CC7">
        <w:rPr>
          <w:rFonts w:ascii="Arial" w:eastAsia="Calibri" w:hAnsi="Arial" w:cs="Arial"/>
          <w:i/>
          <w:iCs/>
          <w:sz w:val="24"/>
          <w:szCs w:val="24"/>
          <w:lang w:val="es-CO" w:eastAsia="en-US"/>
        </w:rPr>
        <w:t>]</w:t>
      </w:r>
      <w:r w:rsidR="008B70E4" w:rsidRPr="10644CC7">
        <w:rPr>
          <w:rFonts w:ascii="Arial" w:eastAsia="Calibri" w:hAnsi="Arial" w:cs="Arial"/>
          <w:i/>
          <w:iCs/>
          <w:sz w:val="24"/>
          <w:szCs w:val="24"/>
          <w:lang w:val="es-CO" w:eastAsia="en-US"/>
        </w:rPr>
        <w:t xml:space="preserve"> el valor exacto que debe pagarse al definir que sea el 15% del salario que </w:t>
      </w:r>
      <w:proofErr w:type="spellStart"/>
      <w:r w:rsidR="008B70E4" w:rsidRPr="10644CC7">
        <w:rPr>
          <w:rFonts w:ascii="Arial" w:eastAsia="Calibri" w:hAnsi="Arial" w:cs="Arial"/>
          <w:i/>
          <w:iCs/>
          <w:sz w:val="24"/>
          <w:szCs w:val="24"/>
          <w:lang w:val="es-CO" w:eastAsia="en-US"/>
        </w:rPr>
        <w:t>deveng</w:t>
      </w:r>
      <w:proofErr w:type="spellEnd"/>
      <w:r w:rsidR="73F4B505" w:rsidRPr="10644CC7">
        <w:rPr>
          <w:rFonts w:ascii="Arial" w:eastAsia="Calibri" w:hAnsi="Arial" w:cs="Arial"/>
          <w:i/>
          <w:iCs/>
          <w:sz w:val="24"/>
          <w:szCs w:val="24"/>
          <w:lang w:val="es-CO" w:eastAsia="en-US"/>
        </w:rPr>
        <w:t>[aran]</w:t>
      </w:r>
      <w:r w:rsidR="008B70E4" w:rsidRPr="10644CC7">
        <w:rPr>
          <w:rFonts w:ascii="Arial" w:eastAsia="Calibri" w:hAnsi="Arial" w:cs="Arial"/>
          <w:i/>
          <w:iCs/>
          <w:sz w:val="24"/>
          <w:szCs w:val="24"/>
          <w:lang w:val="es-CO" w:eastAsia="en-US"/>
        </w:rPr>
        <w:t xml:space="preserve">; y, </w:t>
      </w:r>
      <w:proofErr w:type="spellStart"/>
      <w:r w:rsidR="008B70E4" w:rsidRPr="10644CC7">
        <w:rPr>
          <w:rFonts w:ascii="Arial" w:eastAsia="Calibri" w:hAnsi="Arial" w:cs="Arial"/>
          <w:i/>
          <w:iCs/>
          <w:sz w:val="24"/>
          <w:szCs w:val="24"/>
          <w:lang w:val="es-CO" w:eastAsia="en-US"/>
        </w:rPr>
        <w:t>iii</w:t>
      </w:r>
      <w:proofErr w:type="spellEnd"/>
      <w:r w:rsidR="00480D63" w:rsidRPr="10644CC7">
        <w:rPr>
          <w:rFonts w:ascii="Arial" w:eastAsia="Calibri" w:hAnsi="Arial" w:cs="Arial"/>
          <w:i/>
          <w:iCs/>
          <w:sz w:val="24"/>
          <w:szCs w:val="24"/>
          <w:lang w:val="es-CO" w:eastAsia="en-US"/>
        </w:rPr>
        <w:t>)</w:t>
      </w:r>
      <w:r w:rsidR="008B70E4" w:rsidRPr="10644CC7">
        <w:rPr>
          <w:rFonts w:ascii="Arial" w:eastAsia="Calibri" w:hAnsi="Arial" w:cs="Arial"/>
          <w:i/>
          <w:iCs/>
          <w:sz w:val="24"/>
          <w:szCs w:val="24"/>
          <w:lang w:val="es-CO" w:eastAsia="en-US"/>
        </w:rPr>
        <w:t xml:space="preserve"> </w:t>
      </w:r>
      <w:r w:rsidR="1C7B8DD1" w:rsidRPr="10644CC7">
        <w:rPr>
          <w:rFonts w:ascii="Arial" w:eastAsia="Calibri" w:hAnsi="Arial" w:cs="Arial"/>
          <w:i/>
          <w:iCs/>
          <w:sz w:val="24"/>
          <w:szCs w:val="24"/>
          <w:lang w:val="es-CO" w:eastAsia="en-US"/>
        </w:rPr>
        <w:t>[era]</w:t>
      </w:r>
      <w:r w:rsidR="008B70E4" w:rsidRPr="10644CC7">
        <w:rPr>
          <w:rFonts w:ascii="Arial" w:eastAsia="Calibri" w:hAnsi="Arial" w:cs="Arial"/>
          <w:i/>
          <w:iCs/>
          <w:sz w:val="24"/>
          <w:szCs w:val="24"/>
          <w:lang w:val="es-CO" w:eastAsia="en-US"/>
        </w:rPr>
        <w:t xml:space="preserve"> una obligación clara porque se </w:t>
      </w:r>
      <w:proofErr w:type="spellStart"/>
      <w:r w:rsidR="008B70E4" w:rsidRPr="10644CC7">
        <w:rPr>
          <w:rFonts w:ascii="Arial" w:eastAsia="Calibri" w:hAnsi="Arial" w:cs="Arial"/>
          <w:i/>
          <w:iCs/>
          <w:sz w:val="24"/>
          <w:szCs w:val="24"/>
          <w:lang w:val="es-CO" w:eastAsia="en-US"/>
        </w:rPr>
        <w:t>pued</w:t>
      </w:r>
      <w:proofErr w:type="spellEnd"/>
      <w:r w:rsidR="2C8E3D79" w:rsidRPr="10644CC7">
        <w:rPr>
          <w:rFonts w:ascii="Arial" w:eastAsia="Calibri" w:hAnsi="Arial" w:cs="Arial"/>
          <w:i/>
          <w:iCs/>
          <w:sz w:val="24"/>
          <w:szCs w:val="24"/>
          <w:lang w:val="es-CO" w:eastAsia="en-US"/>
        </w:rPr>
        <w:t>[</w:t>
      </w:r>
      <w:proofErr w:type="spellStart"/>
      <w:r w:rsidR="2C8E3D79" w:rsidRPr="10644CC7">
        <w:rPr>
          <w:rFonts w:ascii="Arial" w:eastAsia="Calibri" w:hAnsi="Arial" w:cs="Arial"/>
          <w:i/>
          <w:iCs/>
          <w:sz w:val="24"/>
          <w:szCs w:val="24"/>
          <w:lang w:val="es-CO" w:eastAsia="en-US"/>
        </w:rPr>
        <w:t>ía</w:t>
      </w:r>
      <w:proofErr w:type="spellEnd"/>
      <w:r w:rsidR="2C8E3D79" w:rsidRPr="10644CC7">
        <w:rPr>
          <w:rFonts w:ascii="Arial" w:eastAsia="Calibri" w:hAnsi="Arial" w:cs="Arial"/>
          <w:i/>
          <w:iCs/>
          <w:sz w:val="24"/>
          <w:szCs w:val="24"/>
          <w:lang w:val="es-CO" w:eastAsia="en-US"/>
        </w:rPr>
        <w:t>]</w:t>
      </w:r>
      <w:r w:rsidR="008B70E4" w:rsidRPr="10644CC7">
        <w:rPr>
          <w:rFonts w:ascii="Arial" w:eastAsia="Calibri" w:hAnsi="Arial" w:cs="Arial"/>
          <w:i/>
          <w:iCs/>
          <w:sz w:val="24"/>
          <w:szCs w:val="24"/>
          <w:lang w:val="es-CO" w:eastAsia="en-US"/>
        </w:rPr>
        <w:t xml:space="preserve"> establecer a través de los certificados de Historia Laboral y Devengados, el lugar</w:t>
      </w:r>
      <w:r w:rsidR="008B70E4" w:rsidRPr="10644CC7">
        <w:rPr>
          <w:i/>
          <w:iCs/>
        </w:rPr>
        <w:t xml:space="preserve"> </w:t>
      </w:r>
      <w:r w:rsidR="008B70E4" w:rsidRPr="10644CC7">
        <w:rPr>
          <w:rFonts w:ascii="Arial" w:eastAsia="Calibri" w:hAnsi="Arial" w:cs="Arial"/>
          <w:i/>
          <w:iCs/>
          <w:sz w:val="24"/>
          <w:szCs w:val="24"/>
          <w:lang w:val="es-CO" w:eastAsia="en-US"/>
        </w:rPr>
        <w:t>de servicio como docentes y la base del valor mensual percibido para calcular el porcentaje reconocido”.</w:t>
      </w:r>
    </w:p>
    <w:p w14:paraId="4A49C695" w14:textId="0B541D78" w:rsidR="00480D63" w:rsidRDefault="00480D63" w:rsidP="00CB0A46">
      <w:pPr>
        <w:overflowPunct w:val="0"/>
        <w:autoSpaceDE w:val="0"/>
        <w:autoSpaceDN w:val="0"/>
        <w:adjustRightInd w:val="0"/>
        <w:spacing w:line="276" w:lineRule="auto"/>
        <w:ind w:right="-234"/>
        <w:contextualSpacing/>
        <w:jc w:val="both"/>
        <w:textAlignment w:val="baseline"/>
        <w:rPr>
          <w:rFonts w:ascii="Arial" w:eastAsia="Calibri" w:hAnsi="Arial" w:cs="Arial"/>
          <w:i/>
          <w:sz w:val="24"/>
          <w:szCs w:val="24"/>
          <w:lang w:val="es-CO" w:eastAsia="en-US"/>
        </w:rPr>
      </w:pPr>
    </w:p>
    <w:p w14:paraId="5DCC2C18" w14:textId="686280D5" w:rsidR="00A14C7B" w:rsidRDefault="000F3727" w:rsidP="00CB0A46">
      <w:pPr>
        <w:overflowPunct w:val="0"/>
        <w:autoSpaceDE w:val="0"/>
        <w:autoSpaceDN w:val="0"/>
        <w:adjustRightInd w:val="0"/>
        <w:spacing w:line="276" w:lineRule="auto"/>
        <w:ind w:right="-234"/>
        <w:contextualSpacing/>
        <w:jc w:val="both"/>
        <w:textAlignment w:val="baseline"/>
        <w:rPr>
          <w:rFonts w:ascii="Arial" w:eastAsia="Calibri" w:hAnsi="Arial" w:cs="Arial"/>
          <w:sz w:val="24"/>
          <w:szCs w:val="24"/>
          <w:lang w:val="es-CO" w:eastAsia="en-US"/>
        </w:rPr>
      </w:pPr>
      <w:r w:rsidRPr="10644CC7">
        <w:rPr>
          <w:rFonts w:ascii="Arial" w:eastAsia="Calibri" w:hAnsi="Arial" w:cs="Arial"/>
          <w:sz w:val="24"/>
          <w:szCs w:val="24"/>
          <w:lang w:val="es-CO" w:eastAsia="en-US"/>
        </w:rPr>
        <w:t>5</w:t>
      </w:r>
      <w:r w:rsidR="00435D37" w:rsidRPr="10644CC7">
        <w:rPr>
          <w:rFonts w:ascii="Arial" w:eastAsia="Calibri" w:hAnsi="Arial" w:cs="Arial"/>
          <w:sz w:val="24"/>
          <w:szCs w:val="24"/>
          <w:lang w:val="es-CO" w:eastAsia="en-US"/>
        </w:rPr>
        <w:t xml:space="preserve">.3. </w:t>
      </w:r>
      <w:r w:rsidR="00480D63" w:rsidRPr="10644CC7">
        <w:rPr>
          <w:rFonts w:ascii="Arial" w:eastAsia="Calibri" w:hAnsi="Arial" w:cs="Arial"/>
          <w:sz w:val="24"/>
          <w:szCs w:val="24"/>
          <w:lang w:val="es-CO" w:eastAsia="en-US"/>
        </w:rPr>
        <w:t xml:space="preserve">Mencionó que los actos administrativos contenidos en los </w:t>
      </w:r>
      <w:r w:rsidR="4815A5CB" w:rsidRPr="10644CC7">
        <w:rPr>
          <w:rFonts w:ascii="Arial" w:eastAsia="Calibri" w:hAnsi="Arial" w:cs="Arial"/>
          <w:sz w:val="24"/>
          <w:szCs w:val="24"/>
          <w:lang w:val="es-CO" w:eastAsia="en-US"/>
        </w:rPr>
        <w:t>d</w:t>
      </w:r>
      <w:r w:rsidR="00480D63" w:rsidRPr="10644CC7">
        <w:rPr>
          <w:rFonts w:ascii="Arial" w:eastAsia="Calibri" w:hAnsi="Arial" w:cs="Arial"/>
          <w:sz w:val="24"/>
          <w:szCs w:val="24"/>
          <w:lang w:val="es-CO" w:eastAsia="en-US"/>
        </w:rPr>
        <w:t xml:space="preserve">ecretos 1171 de 2004, </w:t>
      </w:r>
      <w:r w:rsidR="389973C4" w:rsidRPr="10644CC7">
        <w:rPr>
          <w:rFonts w:ascii="Arial" w:eastAsia="Calibri" w:hAnsi="Arial" w:cs="Arial"/>
          <w:sz w:val="24"/>
          <w:szCs w:val="24"/>
          <w:lang w:val="es-CO" w:eastAsia="en-US"/>
        </w:rPr>
        <w:t xml:space="preserve">001399 de 2008 y </w:t>
      </w:r>
      <w:r w:rsidR="00480D63" w:rsidRPr="10644CC7">
        <w:rPr>
          <w:rFonts w:ascii="Arial" w:eastAsia="Calibri" w:hAnsi="Arial" w:cs="Arial"/>
          <w:sz w:val="24"/>
          <w:szCs w:val="24"/>
          <w:lang w:val="es-CO" w:eastAsia="en-US"/>
        </w:rPr>
        <w:t xml:space="preserve">0181 de 2010 </w:t>
      </w:r>
      <w:r w:rsidR="1B1F1DBE" w:rsidRPr="10644CC7">
        <w:rPr>
          <w:rFonts w:ascii="Arial" w:eastAsia="Calibri" w:hAnsi="Arial" w:cs="Arial"/>
          <w:sz w:val="24"/>
          <w:szCs w:val="24"/>
          <w:lang w:val="es-CO" w:eastAsia="en-US"/>
        </w:rPr>
        <w:t>eran</w:t>
      </w:r>
      <w:r w:rsidR="00480D63" w:rsidRPr="10644CC7">
        <w:rPr>
          <w:rFonts w:ascii="Arial" w:eastAsia="Calibri" w:hAnsi="Arial" w:cs="Arial"/>
          <w:sz w:val="24"/>
          <w:szCs w:val="24"/>
          <w:lang w:val="es-CO" w:eastAsia="en-US"/>
        </w:rPr>
        <w:t xml:space="preserve"> documentos públicos y auténticos que materializa</w:t>
      </w:r>
      <w:r w:rsidR="0F4DD782" w:rsidRPr="10644CC7">
        <w:rPr>
          <w:rFonts w:ascii="Arial" w:eastAsia="Calibri" w:hAnsi="Arial" w:cs="Arial"/>
          <w:sz w:val="24"/>
          <w:szCs w:val="24"/>
          <w:lang w:val="es-CO" w:eastAsia="en-US"/>
        </w:rPr>
        <w:t>ban</w:t>
      </w:r>
      <w:r w:rsidR="00480D63" w:rsidRPr="10644CC7">
        <w:rPr>
          <w:rFonts w:ascii="Arial" w:eastAsia="Calibri" w:hAnsi="Arial" w:cs="Arial"/>
          <w:sz w:val="24"/>
          <w:szCs w:val="24"/>
          <w:lang w:val="es-CO" w:eastAsia="en-US"/>
        </w:rPr>
        <w:t xml:space="preserve"> </w:t>
      </w:r>
      <w:r w:rsidR="00A56BC9" w:rsidRPr="10644CC7">
        <w:rPr>
          <w:rFonts w:ascii="Arial" w:eastAsia="Calibri" w:hAnsi="Arial" w:cs="Arial"/>
          <w:sz w:val="24"/>
          <w:szCs w:val="24"/>
          <w:lang w:val="es-CO" w:eastAsia="en-US"/>
        </w:rPr>
        <w:t>una</w:t>
      </w:r>
      <w:r w:rsidR="00480D63" w:rsidRPr="10644CC7">
        <w:rPr>
          <w:rFonts w:ascii="Arial" w:eastAsia="Calibri" w:hAnsi="Arial" w:cs="Arial"/>
          <w:sz w:val="24"/>
          <w:szCs w:val="24"/>
          <w:lang w:val="es-CO" w:eastAsia="en-US"/>
        </w:rPr>
        <w:t xml:space="preserve"> obligación clara, expresa y exigible a cargo del </w:t>
      </w:r>
      <w:r w:rsidR="00F75417" w:rsidRPr="10644CC7">
        <w:rPr>
          <w:rFonts w:ascii="Arial" w:eastAsia="Calibri" w:hAnsi="Arial" w:cs="Arial"/>
          <w:sz w:val="24"/>
          <w:szCs w:val="24"/>
          <w:lang w:val="es-CO" w:eastAsia="en-US"/>
        </w:rPr>
        <w:t>d</w:t>
      </w:r>
      <w:r w:rsidR="00480D63" w:rsidRPr="10644CC7">
        <w:rPr>
          <w:rFonts w:ascii="Arial" w:eastAsia="Calibri" w:hAnsi="Arial" w:cs="Arial"/>
          <w:sz w:val="24"/>
          <w:szCs w:val="24"/>
          <w:lang w:val="es-CO" w:eastAsia="en-US"/>
        </w:rPr>
        <w:t xml:space="preserve">epartamento de Boyacá, </w:t>
      </w:r>
      <w:r w:rsidR="00A56BC9" w:rsidRPr="10644CC7">
        <w:rPr>
          <w:rFonts w:ascii="Arial" w:eastAsia="Calibri" w:hAnsi="Arial" w:cs="Arial"/>
          <w:sz w:val="24"/>
          <w:szCs w:val="24"/>
          <w:lang w:val="es-CO" w:eastAsia="en-US"/>
        </w:rPr>
        <w:t xml:space="preserve">al cual le correspondía </w:t>
      </w:r>
      <w:r w:rsidR="00480D63" w:rsidRPr="10644CC7">
        <w:rPr>
          <w:rFonts w:ascii="Arial" w:eastAsia="Calibri" w:hAnsi="Arial" w:cs="Arial"/>
          <w:sz w:val="24"/>
          <w:szCs w:val="24"/>
          <w:lang w:val="es-CO" w:eastAsia="en-US"/>
        </w:rPr>
        <w:t>pagar a los docentes y directivos docentes una bonificación equivalente al 15% del salario devengado por laborar en zona</w:t>
      </w:r>
      <w:r w:rsidR="004E4F9C" w:rsidRPr="10644CC7">
        <w:rPr>
          <w:rFonts w:ascii="Arial" w:eastAsia="Calibri" w:hAnsi="Arial" w:cs="Arial"/>
          <w:sz w:val="24"/>
          <w:szCs w:val="24"/>
          <w:lang w:val="es-CO" w:eastAsia="en-US"/>
        </w:rPr>
        <w:t>s</w:t>
      </w:r>
      <w:r w:rsidR="00480D63" w:rsidRPr="10644CC7">
        <w:rPr>
          <w:rFonts w:ascii="Arial" w:eastAsia="Calibri" w:hAnsi="Arial" w:cs="Arial"/>
          <w:sz w:val="24"/>
          <w:szCs w:val="24"/>
          <w:lang w:val="es-CO" w:eastAsia="en-US"/>
        </w:rPr>
        <w:t xml:space="preserve"> de difícil acceso.</w:t>
      </w:r>
    </w:p>
    <w:p w14:paraId="167ED960" w14:textId="77777777" w:rsidR="00A14C7B" w:rsidRDefault="00A14C7B" w:rsidP="00CB0A46">
      <w:pPr>
        <w:overflowPunct w:val="0"/>
        <w:autoSpaceDE w:val="0"/>
        <w:autoSpaceDN w:val="0"/>
        <w:adjustRightInd w:val="0"/>
        <w:spacing w:line="276" w:lineRule="auto"/>
        <w:ind w:right="-234"/>
        <w:contextualSpacing/>
        <w:jc w:val="both"/>
        <w:textAlignment w:val="baseline"/>
        <w:rPr>
          <w:rFonts w:ascii="Arial" w:eastAsia="Calibri" w:hAnsi="Arial" w:cs="Arial"/>
          <w:sz w:val="24"/>
          <w:szCs w:val="24"/>
          <w:lang w:val="es-CO" w:eastAsia="en-US"/>
        </w:rPr>
      </w:pPr>
    </w:p>
    <w:p w14:paraId="42032AAB" w14:textId="71291077" w:rsidR="008420F3" w:rsidRDefault="000F3727" w:rsidP="00CB0A46">
      <w:pPr>
        <w:overflowPunct w:val="0"/>
        <w:autoSpaceDE w:val="0"/>
        <w:autoSpaceDN w:val="0"/>
        <w:adjustRightInd w:val="0"/>
        <w:spacing w:line="276" w:lineRule="auto"/>
        <w:ind w:right="-234"/>
        <w:contextualSpacing/>
        <w:jc w:val="both"/>
        <w:textAlignment w:val="baseline"/>
        <w:rPr>
          <w:rFonts w:ascii="Arial" w:eastAsia="Calibri" w:hAnsi="Arial" w:cs="Arial"/>
          <w:sz w:val="24"/>
          <w:szCs w:val="24"/>
          <w:lang w:val="es-CO" w:eastAsia="en-US"/>
        </w:rPr>
      </w:pPr>
      <w:r w:rsidRPr="10644CC7">
        <w:rPr>
          <w:rFonts w:ascii="Arial" w:eastAsia="Calibri" w:hAnsi="Arial" w:cs="Arial"/>
          <w:sz w:val="24"/>
          <w:szCs w:val="24"/>
          <w:lang w:val="es-CO" w:eastAsia="en-US"/>
        </w:rPr>
        <w:t>5</w:t>
      </w:r>
      <w:r w:rsidR="004E4F9C" w:rsidRPr="10644CC7">
        <w:rPr>
          <w:rFonts w:ascii="Arial" w:eastAsia="Calibri" w:hAnsi="Arial" w:cs="Arial"/>
          <w:sz w:val="24"/>
          <w:szCs w:val="24"/>
          <w:lang w:val="es-CO" w:eastAsia="en-US"/>
        </w:rPr>
        <w:t xml:space="preserve">.4. </w:t>
      </w:r>
      <w:r w:rsidR="00D71E5D" w:rsidRPr="10644CC7">
        <w:rPr>
          <w:rFonts w:ascii="Arial" w:eastAsia="Calibri" w:hAnsi="Arial" w:cs="Arial"/>
          <w:sz w:val="24"/>
          <w:szCs w:val="24"/>
          <w:lang w:val="es-CO" w:eastAsia="en-US"/>
        </w:rPr>
        <w:t xml:space="preserve">Concluyó solicitando </w:t>
      </w:r>
      <w:r w:rsidR="26B6A7E3" w:rsidRPr="10644CC7">
        <w:rPr>
          <w:rFonts w:ascii="Arial" w:eastAsia="Calibri" w:hAnsi="Arial" w:cs="Arial"/>
          <w:sz w:val="24"/>
          <w:szCs w:val="24"/>
          <w:lang w:val="es-CO" w:eastAsia="en-US"/>
        </w:rPr>
        <w:t xml:space="preserve">que </w:t>
      </w:r>
      <w:r w:rsidR="00D71E5D" w:rsidRPr="10644CC7">
        <w:rPr>
          <w:rFonts w:ascii="Arial" w:eastAsia="Calibri" w:hAnsi="Arial" w:cs="Arial"/>
          <w:sz w:val="24"/>
          <w:szCs w:val="24"/>
          <w:lang w:val="es-CO" w:eastAsia="en-US"/>
        </w:rPr>
        <w:t>se librara mandamiento ejecutivo con base en las pruebas aportadas y los fundamentos fácticos establecidos para el ca</w:t>
      </w:r>
      <w:r w:rsidR="008420F3" w:rsidRPr="10644CC7">
        <w:rPr>
          <w:rFonts w:ascii="Arial" w:eastAsia="Calibri" w:hAnsi="Arial" w:cs="Arial"/>
          <w:sz w:val="24"/>
          <w:szCs w:val="24"/>
          <w:lang w:val="es-CO" w:eastAsia="en-US"/>
        </w:rPr>
        <w:t>s</w:t>
      </w:r>
      <w:r w:rsidR="00D71E5D" w:rsidRPr="10644CC7">
        <w:rPr>
          <w:rFonts w:ascii="Arial" w:eastAsia="Calibri" w:hAnsi="Arial" w:cs="Arial"/>
          <w:sz w:val="24"/>
          <w:szCs w:val="24"/>
          <w:lang w:val="es-CO" w:eastAsia="en-US"/>
        </w:rPr>
        <w:t xml:space="preserve">o concreto. </w:t>
      </w:r>
    </w:p>
    <w:p w14:paraId="2DFBC569" w14:textId="77777777" w:rsidR="008420F3" w:rsidRDefault="008420F3" w:rsidP="00CB0A46">
      <w:pPr>
        <w:overflowPunct w:val="0"/>
        <w:autoSpaceDE w:val="0"/>
        <w:autoSpaceDN w:val="0"/>
        <w:adjustRightInd w:val="0"/>
        <w:spacing w:line="276" w:lineRule="auto"/>
        <w:ind w:right="-234"/>
        <w:contextualSpacing/>
        <w:jc w:val="both"/>
        <w:textAlignment w:val="baseline"/>
        <w:rPr>
          <w:rFonts w:ascii="Arial" w:eastAsia="Calibri" w:hAnsi="Arial" w:cs="Arial"/>
          <w:sz w:val="24"/>
          <w:szCs w:val="24"/>
          <w:lang w:val="es-CO" w:eastAsia="en-US"/>
        </w:rPr>
      </w:pPr>
    </w:p>
    <w:p w14:paraId="34FB482E" w14:textId="77147A76" w:rsidR="00480D63" w:rsidRPr="00480D63" w:rsidRDefault="008420F3" w:rsidP="00CB0A46">
      <w:pPr>
        <w:overflowPunct w:val="0"/>
        <w:autoSpaceDE w:val="0"/>
        <w:autoSpaceDN w:val="0"/>
        <w:adjustRightInd w:val="0"/>
        <w:spacing w:line="276" w:lineRule="auto"/>
        <w:ind w:right="-234"/>
        <w:contextualSpacing/>
        <w:jc w:val="both"/>
        <w:textAlignment w:val="baseline"/>
        <w:rPr>
          <w:rFonts w:ascii="Arial" w:eastAsia="Calibri" w:hAnsi="Arial" w:cs="Arial"/>
          <w:sz w:val="24"/>
          <w:szCs w:val="24"/>
          <w:lang w:val="es-CO" w:eastAsia="en-US"/>
        </w:rPr>
      </w:pPr>
      <w:r>
        <w:rPr>
          <w:rFonts w:ascii="Arial" w:eastAsia="Calibri" w:hAnsi="Arial" w:cs="Arial"/>
          <w:sz w:val="24"/>
          <w:szCs w:val="24"/>
          <w:lang w:val="es-CO" w:eastAsia="en-US"/>
        </w:rPr>
        <w:t xml:space="preserve">5.5. </w:t>
      </w:r>
      <w:r w:rsidR="00480D63">
        <w:rPr>
          <w:rFonts w:ascii="Arial" w:eastAsia="Calibri" w:hAnsi="Arial" w:cs="Arial"/>
          <w:sz w:val="24"/>
          <w:szCs w:val="24"/>
          <w:lang w:val="es-CO" w:eastAsia="en-US"/>
        </w:rPr>
        <w:t>Finalmente</w:t>
      </w:r>
      <w:r w:rsidR="00480D63" w:rsidRPr="00480D63">
        <w:rPr>
          <w:rFonts w:ascii="Arial" w:eastAsia="Calibri" w:hAnsi="Arial" w:cs="Arial"/>
          <w:sz w:val="24"/>
          <w:szCs w:val="24"/>
          <w:lang w:val="es-CO" w:eastAsia="en-US"/>
        </w:rPr>
        <w:t>, estimó la cuantía en $</w:t>
      </w:r>
      <w:r w:rsidR="00435D37">
        <w:rPr>
          <w:rFonts w:ascii="Arial" w:eastAsia="Calibri" w:hAnsi="Arial" w:cs="Arial"/>
          <w:sz w:val="24"/>
          <w:szCs w:val="24"/>
          <w:lang w:val="es-CO" w:eastAsia="en-US"/>
        </w:rPr>
        <w:t>3.</w:t>
      </w:r>
      <w:r w:rsidR="00480D63" w:rsidRPr="00480D63">
        <w:rPr>
          <w:rFonts w:ascii="Arial" w:eastAsia="Calibri" w:hAnsi="Arial" w:cs="Arial"/>
          <w:sz w:val="24"/>
          <w:szCs w:val="24"/>
          <w:lang w:val="es-CO" w:eastAsia="en-US"/>
        </w:rPr>
        <w:t>547.991.</w:t>
      </w:r>
    </w:p>
    <w:p w14:paraId="2A1C55C8" w14:textId="77777777" w:rsidR="008B70E4" w:rsidRDefault="008B70E4" w:rsidP="00CB0A46">
      <w:pPr>
        <w:overflowPunct w:val="0"/>
        <w:autoSpaceDE w:val="0"/>
        <w:autoSpaceDN w:val="0"/>
        <w:adjustRightInd w:val="0"/>
        <w:spacing w:line="276" w:lineRule="auto"/>
        <w:ind w:right="-234"/>
        <w:contextualSpacing/>
        <w:jc w:val="both"/>
        <w:textAlignment w:val="baseline"/>
        <w:rPr>
          <w:rFonts w:ascii="Arial" w:eastAsia="Calibri" w:hAnsi="Arial" w:cs="Arial"/>
          <w:sz w:val="24"/>
          <w:szCs w:val="24"/>
          <w:lang w:val="es-CO" w:eastAsia="en-US"/>
        </w:rPr>
      </w:pPr>
    </w:p>
    <w:p w14:paraId="1BF46314" w14:textId="3070109C" w:rsidR="0082270E" w:rsidRDefault="00435D37" w:rsidP="00CB0A46">
      <w:pPr>
        <w:pStyle w:val="Ttulo2"/>
        <w:ind w:right="-234"/>
        <w:rPr>
          <w:rFonts w:ascii="Arial" w:eastAsia="Calibri" w:hAnsi="Arial" w:cs="Arial"/>
          <w:b/>
          <w:color w:val="auto"/>
          <w:sz w:val="24"/>
          <w:szCs w:val="24"/>
          <w:lang w:val="es-CO" w:eastAsia="en-US"/>
        </w:rPr>
      </w:pPr>
      <w:r w:rsidRPr="008F6286">
        <w:rPr>
          <w:rFonts w:ascii="Arial" w:eastAsia="Calibri" w:hAnsi="Arial" w:cs="Arial"/>
          <w:b/>
          <w:color w:val="auto"/>
          <w:sz w:val="24"/>
          <w:szCs w:val="24"/>
          <w:lang w:val="es-CO" w:eastAsia="en-US"/>
        </w:rPr>
        <w:t>Auto impugnado</w:t>
      </w:r>
      <w:r w:rsidRPr="008F6286">
        <w:rPr>
          <w:rStyle w:val="Refdenotaalpie"/>
          <w:rFonts w:ascii="Arial" w:eastAsia="Calibri" w:hAnsi="Arial" w:cs="Arial"/>
          <w:b/>
          <w:color w:val="auto"/>
          <w:sz w:val="24"/>
          <w:szCs w:val="24"/>
          <w:lang w:val="es-CO" w:eastAsia="en-US"/>
        </w:rPr>
        <w:footnoteReference w:id="6"/>
      </w:r>
    </w:p>
    <w:p w14:paraId="563A02DE" w14:textId="77777777" w:rsidR="0082270E" w:rsidRPr="0082270E" w:rsidRDefault="0082270E" w:rsidP="00CB0A46">
      <w:pPr>
        <w:ind w:right="-234"/>
        <w:rPr>
          <w:rFonts w:eastAsia="Calibri"/>
          <w:lang w:val="es-CO" w:eastAsia="en-US"/>
        </w:rPr>
      </w:pPr>
    </w:p>
    <w:p w14:paraId="22DFEA25" w14:textId="189D383C" w:rsidR="00ED3DEB" w:rsidRPr="0082270E" w:rsidRDefault="009948E4" w:rsidP="00CB0A46">
      <w:pPr>
        <w:pStyle w:val="Prrafodelista"/>
        <w:widowControl w:val="0"/>
        <w:numPr>
          <w:ilvl w:val="0"/>
          <w:numId w:val="26"/>
        </w:numPr>
        <w:suppressAutoHyphens/>
        <w:spacing w:line="276" w:lineRule="auto"/>
        <w:ind w:left="0" w:right="-234" w:firstLine="0"/>
        <w:contextualSpacing/>
        <w:jc w:val="both"/>
        <w:rPr>
          <w:rFonts w:ascii="Arial" w:eastAsia="Calibri" w:hAnsi="Arial" w:cs="Arial"/>
          <w:sz w:val="24"/>
          <w:szCs w:val="24"/>
          <w:lang w:val="es-CO" w:eastAsia="en-US"/>
        </w:rPr>
      </w:pPr>
      <w:r w:rsidRPr="10644CC7">
        <w:rPr>
          <w:rFonts w:ascii="Arial" w:eastAsia="Calibri" w:hAnsi="Arial" w:cs="Arial"/>
          <w:sz w:val="24"/>
          <w:szCs w:val="24"/>
          <w:lang w:val="es-CO" w:eastAsia="en-US"/>
        </w:rPr>
        <w:t>En</w:t>
      </w:r>
      <w:r w:rsidR="00435D37" w:rsidRPr="10644CC7">
        <w:rPr>
          <w:rFonts w:ascii="Arial" w:eastAsia="Calibri" w:hAnsi="Arial" w:cs="Arial"/>
          <w:sz w:val="24"/>
          <w:szCs w:val="24"/>
          <w:lang w:val="es-CO" w:eastAsia="en-US"/>
        </w:rPr>
        <w:t xml:space="preserve"> proveído de 5 de octubre de 2020</w:t>
      </w:r>
      <w:r w:rsidR="00086B6B" w:rsidRPr="10644CC7">
        <w:rPr>
          <w:rFonts w:ascii="Arial" w:eastAsia="Calibri" w:hAnsi="Arial" w:cs="Arial"/>
          <w:sz w:val="24"/>
          <w:szCs w:val="24"/>
          <w:lang w:val="es-CO" w:eastAsia="en-US"/>
        </w:rPr>
        <w:t xml:space="preserve">, el </w:t>
      </w:r>
      <w:r w:rsidR="00086B6B" w:rsidRPr="10644CC7">
        <w:rPr>
          <w:rFonts w:ascii="Arial" w:eastAsia="Calibri" w:hAnsi="Arial" w:cs="Arial"/>
          <w:i/>
          <w:iCs/>
          <w:sz w:val="24"/>
          <w:szCs w:val="24"/>
          <w:lang w:val="es-CO" w:eastAsia="en-US"/>
        </w:rPr>
        <w:t xml:space="preserve">a quo </w:t>
      </w:r>
      <w:r w:rsidR="2E44A7D0" w:rsidRPr="10644CC7">
        <w:rPr>
          <w:rFonts w:ascii="Arial" w:eastAsia="Calibri" w:hAnsi="Arial" w:cs="Arial"/>
          <w:sz w:val="24"/>
          <w:szCs w:val="24"/>
          <w:lang w:val="es-CO" w:eastAsia="en-US"/>
        </w:rPr>
        <w:t>rechazó la</w:t>
      </w:r>
      <w:r w:rsidR="00D71E5D" w:rsidRPr="10644CC7">
        <w:rPr>
          <w:rFonts w:ascii="Arial" w:eastAsia="Calibri" w:hAnsi="Arial" w:cs="Arial"/>
          <w:sz w:val="24"/>
          <w:szCs w:val="24"/>
          <w:lang w:val="es-CO" w:eastAsia="en-US"/>
        </w:rPr>
        <w:t xml:space="preserve"> </w:t>
      </w:r>
      <w:r w:rsidR="00086B6B" w:rsidRPr="10644CC7">
        <w:rPr>
          <w:rFonts w:ascii="Arial" w:eastAsia="Calibri" w:hAnsi="Arial" w:cs="Arial"/>
          <w:sz w:val="24"/>
          <w:szCs w:val="24"/>
          <w:lang w:val="es-CO" w:eastAsia="en-US"/>
        </w:rPr>
        <w:t xml:space="preserve">reforma </w:t>
      </w:r>
      <w:r w:rsidR="5A39FBF7" w:rsidRPr="10644CC7">
        <w:rPr>
          <w:rFonts w:ascii="Arial" w:eastAsia="Calibri" w:hAnsi="Arial" w:cs="Arial"/>
          <w:sz w:val="24"/>
          <w:szCs w:val="24"/>
          <w:lang w:val="es-CO" w:eastAsia="en-US"/>
        </w:rPr>
        <w:t>a la demanda,</w:t>
      </w:r>
      <w:r w:rsidR="000C5C3C" w:rsidRPr="10644CC7">
        <w:rPr>
          <w:rFonts w:ascii="Arial" w:eastAsia="Calibri" w:hAnsi="Arial" w:cs="Arial"/>
          <w:sz w:val="24"/>
          <w:szCs w:val="24"/>
          <w:lang w:val="es-CO" w:eastAsia="en-US"/>
        </w:rPr>
        <w:t xml:space="preserve"> con los siguientes argumentos: </w:t>
      </w:r>
    </w:p>
    <w:p w14:paraId="687BB734" w14:textId="77777777" w:rsidR="00ED3DEB" w:rsidRDefault="00ED3DEB" w:rsidP="00CB0A46">
      <w:pPr>
        <w:overflowPunct w:val="0"/>
        <w:autoSpaceDE w:val="0"/>
        <w:autoSpaceDN w:val="0"/>
        <w:adjustRightInd w:val="0"/>
        <w:spacing w:line="276" w:lineRule="auto"/>
        <w:ind w:right="-234"/>
        <w:contextualSpacing/>
        <w:jc w:val="both"/>
        <w:textAlignment w:val="baseline"/>
        <w:rPr>
          <w:rFonts w:ascii="Arial" w:eastAsia="Calibri" w:hAnsi="Arial" w:cs="Arial"/>
          <w:sz w:val="24"/>
          <w:szCs w:val="24"/>
          <w:lang w:val="es-CO" w:eastAsia="en-US"/>
        </w:rPr>
      </w:pPr>
    </w:p>
    <w:p w14:paraId="783737D7" w14:textId="26783CD6" w:rsidR="00E81956" w:rsidRDefault="000F3727" w:rsidP="00CB0A46">
      <w:pPr>
        <w:overflowPunct w:val="0"/>
        <w:autoSpaceDE w:val="0"/>
        <w:autoSpaceDN w:val="0"/>
        <w:adjustRightInd w:val="0"/>
        <w:spacing w:line="276" w:lineRule="auto"/>
        <w:ind w:right="-234"/>
        <w:contextualSpacing/>
        <w:jc w:val="both"/>
        <w:textAlignment w:val="baseline"/>
        <w:rPr>
          <w:rFonts w:ascii="Arial" w:eastAsia="Calibri" w:hAnsi="Arial" w:cs="Arial"/>
          <w:sz w:val="24"/>
          <w:szCs w:val="24"/>
          <w:lang w:val="es-CO" w:eastAsia="en-US"/>
        </w:rPr>
      </w:pPr>
      <w:r>
        <w:rPr>
          <w:rFonts w:ascii="Arial" w:eastAsia="Calibri" w:hAnsi="Arial" w:cs="Arial"/>
          <w:sz w:val="24"/>
          <w:szCs w:val="24"/>
          <w:lang w:val="es-CO" w:eastAsia="en-US"/>
        </w:rPr>
        <w:t>6</w:t>
      </w:r>
      <w:r w:rsidR="000C5C3C">
        <w:rPr>
          <w:rFonts w:ascii="Arial" w:eastAsia="Calibri" w:hAnsi="Arial" w:cs="Arial"/>
          <w:sz w:val="24"/>
          <w:szCs w:val="24"/>
          <w:lang w:val="es-CO" w:eastAsia="en-US"/>
        </w:rPr>
        <w:t xml:space="preserve">.1 </w:t>
      </w:r>
      <w:r w:rsidR="00E14319">
        <w:rPr>
          <w:rFonts w:ascii="Arial" w:eastAsia="Calibri" w:hAnsi="Arial" w:cs="Arial"/>
          <w:sz w:val="24"/>
          <w:szCs w:val="24"/>
          <w:lang w:val="es-CO" w:eastAsia="en-US"/>
        </w:rPr>
        <w:t>Indicó que</w:t>
      </w:r>
      <w:r w:rsidR="00086B6B">
        <w:rPr>
          <w:rFonts w:ascii="Arial" w:eastAsia="Calibri" w:hAnsi="Arial" w:cs="Arial"/>
          <w:sz w:val="24"/>
          <w:szCs w:val="24"/>
          <w:lang w:val="es-CO" w:eastAsia="en-US"/>
        </w:rPr>
        <w:t xml:space="preserve"> conforme</w:t>
      </w:r>
      <w:r w:rsidR="008F1449">
        <w:rPr>
          <w:rFonts w:ascii="Arial" w:eastAsia="Calibri" w:hAnsi="Arial" w:cs="Arial"/>
          <w:sz w:val="24"/>
          <w:szCs w:val="24"/>
          <w:lang w:val="es-CO" w:eastAsia="en-US"/>
        </w:rPr>
        <w:t xml:space="preserve"> </w:t>
      </w:r>
      <w:r w:rsidR="08F3BED6">
        <w:rPr>
          <w:rFonts w:ascii="Arial" w:eastAsia="Calibri" w:hAnsi="Arial" w:cs="Arial"/>
          <w:sz w:val="24"/>
          <w:szCs w:val="24"/>
          <w:lang w:val="es-CO" w:eastAsia="en-US"/>
        </w:rPr>
        <w:t xml:space="preserve">con el inciso cuarto </w:t>
      </w:r>
      <w:r w:rsidR="00086B6B" w:rsidRPr="00086B6B">
        <w:rPr>
          <w:rFonts w:ascii="Arial" w:eastAsia="Calibri" w:hAnsi="Arial" w:cs="Arial"/>
          <w:sz w:val="24"/>
          <w:szCs w:val="24"/>
          <w:lang w:val="es-CO" w:eastAsia="en-US"/>
        </w:rPr>
        <w:t>del artículo 392 del CGP</w:t>
      </w:r>
      <w:r w:rsidR="0F1E8511" w:rsidRPr="00086B6B">
        <w:rPr>
          <w:rFonts w:ascii="Arial" w:eastAsia="Calibri" w:hAnsi="Arial" w:cs="Arial"/>
          <w:sz w:val="24"/>
          <w:szCs w:val="24"/>
          <w:lang w:val="es-CO" w:eastAsia="en-US"/>
        </w:rPr>
        <w:t>.</w:t>
      </w:r>
      <w:r w:rsidR="00E14319">
        <w:rPr>
          <w:rStyle w:val="Refdenotaalpie"/>
          <w:rFonts w:ascii="Arial" w:eastAsia="Calibri" w:hAnsi="Arial" w:cs="Arial"/>
          <w:sz w:val="24"/>
          <w:szCs w:val="24"/>
          <w:lang w:val="es-CO" w:eastAsia="en-US"/>
        </w:rPr>
        <w:footnoteReference w:id="7"/>
      </w:r>
      <w:r w:rsidR="00086B6B" w:rsidRPr="00086B6B">
        <w:rPr>
          <w:rFonts w:ascii="Arial" w:eastAsia="Calibri" w:hAnsi="Arial" w:cs="Arial"/>
          <w:sz w:val="24"/>
          <w:szCs w:val="24"/>
          <w:lang w:val="es-CO" w:eastAsia="en-US"/>
        </w:rPr>
        <w:t xml:space="preserve">, </w:t>
      </w:r>
      <w:r w:rsidR="000C5C3C">
        <w:rPr>
          <w:rFonts w:ascii="Arial" w:eastAsia="Calibri" w:hAnsi="Arial" w:cs="Arial"/>
          <w:sz w:val="24"/>
          <w:szCs w:val="24"/>
          <w:lang w:val="es-CO" w:eastAsia="en-US"/>
        </w:rPr>
        <w:t xml:space="preserve">y </w:t>
      </w:r>
      <w:r w:rsidR="00B135AB">
        <w:rPr>
          <w:rFonts w:ascii="Arial" w:eastAsia="Calibri" w:hAnsi="Arial" w:cs="Arial"/>
          <w:sz w:val="24"/>
          <w:szCs w:val="24"/>
          <w:lang w:val="es-CO" w:eastAsia="en-US"/>
        </w:rPr>
        <w:t xml:space="preserve">con la </w:t>
      </w:r>
      <w:r w:rsidR="000E4AA6">
        <w:rPr>
          <w:rFonts w:ascii="Arial" w:eastAsia="Calibri" w:hAnsi="Arial" w:cs="Arial"/>
          <w:sz w:val="24"/>
          <w:szCs w:val="24"/>
          <w:lang w:val="es-CO" w:eastAsia="en-US"/>
        </w:rPr>
        <w:t>posición de la Corporación</w:t>
      </w:r>
      <w:r w:rsidR="000E4AA6">
        <w:rPr>
          <w:rStyle w:val="Refdenotaalpie"/>
          <w:rFonts w:ascii="Arial" w:eastAsia="Calibri" w:hAnsi="Arial" w:cs="Arial"/>
          <w:sz w:val="24"/>
          <w:szCs w:val="24"/>
          <w:lang w:val="es-CO" w:eastAsia="en-US"/>
        </w:rPr>
        <w:footnoteReference w:id="8"/>
      </w:r>
      <w:r w:rsidR="00E81956">
        <w:rPr>
          <w:rFonts w:ascii="Arial" w:eastAsia="Calibri" w:hAnsi="Arial" w:cs="Arial"/>
          <w:sz w:val="24"/>
          <w:szCs w:val="24"/>
          <w:lang w:val="es-CO" w:eastAsia="en-US"/>
        </w:rPr>
        <w:t xml:space="preserve">, </w:t>
      </w:r>
      <w:r w:rsidR="53045BE7">
        <w:rPr>
          <w:rFonts w:ascii="Arial" w:eastAsia="Calibri" w:hAnsi="Arial" w:cs="Arial"/>
          <w:sz w:val="24"/>
          <w:szCs w:val="24"/>
          <w:lang w:val="es-CO" w:eastAsia="en-US"/>
        </w:rPr>
        <w:t xml:space="preserve">la reforma a la demanda </w:t>
      </w:r>
      <w:r w:rsidR="008F1449" w:rsidRPr="008A1BFD">
        <w:rPr>
          <w:rFonts w:ascii="Arial" w:eastAsia="Calibri" w:hAnsi="Arial" w:cs="Arial"/>
          <w:sz w:val="24"/>
          <w:szCs w:val="24"/>
          <w:lang w:val="es-CO" w:eastAsia="en-US"/>
        </w:rPr>
        <w:t>no proced</w:t>
      </w:r>
      <w:r w:rsidR="65070D51" w:rsidRPr="008A1BFD">
        <w:rPr>
          <w:rFonts w:ascii="Arial" w:eastAsia="Calibri" w:hAnsi="Arial" w:cs="Arial"/>
          <w:sz w:val="24"/>
          <w:szCs w:val="24"/>
          <w:lang w:val="es-CO" w:eastAsia="en-US"/>
        </w:rPr>
        <w:t>ía</w:t>
      </w:r>
      <w:r w:rsidR="398C6E90" w:rsidRPr="008A1BFD">
        <w:rPr>
          <w:rFonts w:ascii="Arial" w:eastAsia="Calibri" w:hAnsi="Arial" w:cs="Arial"/>
          <w:sz w:val="24"/>
          <w:szCs w:val="24"/>
          <w:lang w:val="es-CO" w:eastAsia="en-US"/>
        </w:rPr>
        <w:t xml:space="preserve"> </w:t>
      </w:r>
      <w:r w:rsidR="00086B6B" w:rsidRPr="008A1BFD">
        <w:rPr>
          <w:rFonts w:ascii="Arial" w:eastAsia="Calibri" w:hAnsi="Arial" w:cs="Arial"/>
          <w:sz w:val="24"/>
          <w:szCs w:val="24"/>
          <w:lang w:val="es-CO" w:eastAsia="en-US"/>
        </w:rPr>
        <w:t>en procesos</w:t>
      </w:r>
      <w:r w:rsidR="000C5C3C" w:rsidRPr="008A1BFD">
        <w:rPr>
          <w:rFonts w:ascii="Arial" w:eastAsia="Calibri" w:hAnsi="Arial" w:cs="Arial"/>
          <w:sz w:val="24"/>
          <w:szCs w:val="24"/>
          <w:lang w:val="es-CO" w:eastAsia="en-US"/>
        </w:rPr>
        <w:t xml:space="preserve"> ejecutivos de menor y</w:t>
      </w:r>
      <w:r w:rsidR="00086B6B" w:rsidRPr="008A1BFD">
        <w:rPr>
          <w:rFonts w:ascii="Arial" w:eastAsia="Calibri" w:hAnsi="Arial" w:cs="Arial"/>
          <w:sz w:val="24"/>
          <w:szCs w:val="24"/>
          <w:lang w:val="es-CO" w:eastAsia="en-US"/>
        </w:rPr>
        <w:t xml:space="preserve"> mínima cuantía</w:t>
      </w:r>
      <w:r w:rsidR="00E81956" w:rsidRPr="008A1BFD">
        <w:rPr>
          <w:rFonts w:ascii="Arial" w:eastAsia="Calibri" w:hAnsi="Arial" w:cs="Arial"/>
          <w:sz w:val="24"/>
          <w:szCs w:val="24"/>
          <w:lang w:val="es-CO" w:eastAsia="en-US"/>
        </w:rPr>
        <w:t>.</w:t>
      </w:r>
    </w:p>
    <w:p w14:paraId="1FEF60A3" w14:textId="77777777" w:rsidR="00ED3DEB" w:rsidRDefault="00ED3DEB" w:rsidP="00CB0A46">
      <w:pPr>
        <w:overflowPunct w:val="0"/>
        <w:autoSpaceDE w:val="0"/>
        <w:autoSpaceDN w:val="0"/>
        <w:adjustRightInd w:val="0"/>
        <w:spacing w:line="276" w:lineRule="auto"/>
        <w:ind w:right="-234"/>
        <w:contextualSpacing/>
        <w:jc w:val="both"/>
        <w:textAlignment w:val="baseline"/>
        <w:rPr>
          <w:rFonts w:ascii="Arial" w:eastAsia="Calibri" w:hAnsi="Arial" w:cs="Arial"/>
          <w:sz w:val="24"/>
          <w:szCs w:val="24"/>
          <w:lang w:val="es-CO" w:eastAsia="en-US"/>
        </w:rPr>
      </w:pPr>
    </w:p>
    <w:p w14:paraId="19CBADE9" w14:textId="32058995" w:rsidR="00EA020E" w:rsidRDefault="000F3727" w:rsidP="00CB0A46">
      <w:pPr>
        <w:overflowPunct w:val="0"/>
        <w:autoSpaceDE w:val="0"/>
        <w:autoSpaceDN w:val="0"/>
        <w:adjustRightInd w:val="0"/>
        <w:spacing w:line="276" w:lineRule="auto"/>
        <w:ind w:right="-234"/>
        <w:contextualSpacing/>
        <w:jc w:val="both"/>
        <w:textAlignment w:val="baseline"/>
        <w:rPr>
          <w:rFonts w:ascii="Arial" w:eastAsia="Calibri" w:hAnsi="Arial" w:cs="Arial"/>
          <w:sz w:val="24"/>
          <w:szCs w:val="24"/>
          <w:lang w:val="es-CO" w:eastAsia="en-US"/>
        </w:rPr>
      </w:pPr>
      <w:r>
        <w:rPr>
          <w:rFonts w:ascii="Arial" w:eastAsia="Calibri" w:hAnsi="Arial" w:cs="Arial"/>
          <w:sz w:val="24"/>
          <w:szCs w:val="24"/>
          <w:lang w:val="es-CO" w:eastAsia="en-US"/>
        </w:rPr>
        <w:t>6</w:t>
      </w:r>
      <w:r w:rsidR="00605EE8">
        <w:rPr>
          <w:rFonts w:ascii="Arial" w:eastAsia="Calibri" w:hAnsi="Arial" w:cs="Arial"/>
          <w:sz w:val="24"/>
          <w:szCs w:val="24"/>
          <w:lang w:val="es-CO" w:eastAsia="en-US"/>
        </w:rPr>
        <w:t xml:space="preserve">.2 </w:t>
      </w:r>
      <w:r w:rsidR="00E81956">
        <w:rPr>
          <w:rFonts w:ascii="Arial" w:eastAsia="Calibri" w:hAnsi="Arial" w:cs="Arial"/>
          <w:sz w:val="24"/>
          <w:szCs w:val="24"/>
          <w:lang w:val="es-CO" w:eastAsia="en-US"/>
        </w:rPr>
        <w:t xml:space="preserve">Precisó </w:t>
      </w:r>
      <w:r w:rsidR="00605EE8">
        <w:rPr>
          <w:rFonts w:ascii="Arial" w:eastAsia="Calibri" w:hAnsi="Arial" w:cs="Arial"/>
          <w:sz w:val="24"/>
          <w:szCs w:val="24"/>
          <w:lang w:val="es-CO" w:eastAsia="en-US"/>
        </w:rPr>
        <w:t xml:space="preserve">que </w:t>
      </w:r>
      <w:r w:rsidR="00086B6B">
        <w:rPr>
          <w:rFonts w:ascii="Arial" w:eastAsia="Calibri" w:hAnsi="Arial" w:cs="Arial"/>
          <w:sz w:val="24"/>
          <w:szCs w:val="24"/>
          <w:lang w:val="es-CO" w:eastAsia="en-US"/>
        </w:rPr>
        <w:t xml:space="preserve">las pretensiones </w:t>
      </w:r>
      <w:r w:rsidR="00086B6B" w:rsidRPr="00086B6B">
        <w:rPr>
          <w:rFonts w:ascii="Arial" w:eastAsia="Calibri" w:hAnsi="Arial" w:cs="Arial"/>
          <w:sz w:val="24"/>
          <w:szCs w:val="24"/>
          <w:lang w:val="es-CO" w:eastAsia="en-US"/>
        </w:rPr>
        <w:t>no supera</w:t>
      </w:r>
      <w:r w:rsidR="00E81956">
        <w:rPr>
          <w:rFonts w:ascii="Arial" w:eastAsia="Calibri" w:hAnsi="Arial" w:cs="Arial"/>
          <w:sz w:val="24"/>
          <w:szCs w:val="24"/>
          <w:lang w:val="es-CO" w:eastAsia="en-US"/>
        </w:rPr>
        <w:t>ban</w:t>
      </w:r>
      <w:r w:rsidR="00086B6B" w:rsidRPr="00086B6B">
        <w:rPr>
          <w:rFonts w:ascii="Arial" w:eastAsia="Calibri" w:hAnsi="Arial" w:cs="Arial"/>
          <w:sz w:val="24"/>
          <w:szCs w:val="24"/>
          <w:lang w:val="es-CO" w:eastAsia="en-US"/>
        </w:rPr>
        <w:t xml:space="preserve"> los 40 SMLMV de que trata</w:t>
      </w:r>
      <w:r w:rsidR="00E81956">
        <w:rPr>
          <w:rFonts w:ascii="Arial" w:eastAsia="Calibri" w:hAnsi="Arial" w:cs="Arial"/>
          <w:sz w:val="24"/>
          <w:szCs w:val="24"/>
          <w:lang w:val="es-CO" w:eastAsia="en-US"/>
        </w:rPr>
        <w:t>ba</w:t>
      </w:r>
      <w:r w:rsidR="00086B6B" w:rsidRPr="00086B6B">
        <w:rPr>
          <w:rFonts w:ascii="Arial" w:eastAsia="Calibri" w:hAnsi="Arial" w:cs="Arial"/>
          <w:sz w:val="24"/>
          <w:szCs w:val="24"/>
          <w:lang w:val="es-CO" w:eastAsia="en-US"/>
        </w:rPr>
        <w:t xml:space="preserve"> el artículo 25 del CGP</w:t>
      </w:r>
      <w:r w:rsidR="15873CDF" w:rsidRPr="00086B6B">
        <w:rPr>
          <w:rFonts w:ascii="Arial" w:eastAsia="Calibri" w:hAnsi="Arial" w:cs="Arial"/>
          <w:sz w:val="24"/>
          <w:szCs w:val="24"/>
          <w:lang w:val="es-CO" w:eastAsia="en-US"/>
        </w:rPr>
        <w:t>.,</w:t>
      </w:r>
      <w:r w:rsidR="00605EE8">
        <w:rPr>
          <w:rStyle w:val="Refdenotaalpie"/>
          <w:rFonts w:ascii="Arial" w:eastAsia="Calibri" w:hAnsi="Arial" w:cs="Arial"/>
          <w:sz w:val="24"/>
          <w:szCs w:val="24"/>
          <w:lang w:val="es-CO" w:eastAsia="en-US"/>
        </w:rPr>
        <w:footnoteReference w:id="9"/>
      </w:r>
      <w:r w:rsidR="009948E4">
        <w:rPr>
          <w:rFonts w:ascii="Arial" w:eastAsia="Calibri" w:hAnsi="Arial" w:cs="Arial"/>
          <w:sz w:val="24"/>
          <w:szCs w:val="24"/>
          <w:lang w:val="es-CO" w:eastAsia="en-US"/>
        </w:rPr>
        <w:t xml:space="preserve"> </w:t>
      </w:r>
      <w:r w:rsidR="00E81956">
        <w:rPr>
          <w:rFonts w:ascii="Arial" w:eastAsia="Calibri" w:hAnsi="Arial" w:cs="Arial"/>
          <w:sz w:val="24"/>
          <w:szCs w:val="24"/>
          <w:lang w:val="es-CO" w:eastAsia="en-US"/>
        </w:rPr>
        <w:t xml:space="preserve">por cuanto la cuantía se había estimado en </w:t>
      </w:r>
      <w:r w:rsidR="008420F3">
        <w:rPr>
          <w:rFonts w:ascii="Arial" w:eastAsia="Calibri" w:hAnsi="Arial" w:cs="Arial"/>
          <w:sz w:val="24"/>
          <w:szCs w:val="24"/>
          <w:lang w:val="es-CO" w:eastAsia="en-US"/>
        </w:rPr>
        <w:t>$</w:t>
      </w:r>
      <w:r w:rsidR="00E81956">
        <w:rPr>
          <w:rFonts w:ascii="Arial" w:eastAsia="Calibri" w:hAnsi="Arial" w:cs="Arial"/>
          <w:sz w:val="24"/>
          <w:szCs w:val="24"/>
          <w:lang w:val="es-CO" w:eastAsia="en-US"/>
        </w:rPr>
        <w:t>3´547.991</w:t>
      </w:r>
      <w:r w:rsidR="008420F3">
        <w:rPr>
          <w:rFonts w:ascii="Arial" w:eastAsia="Calibri" w:hAnsi="Arial" w:cs="Arial"/>
          <w:sz w:val="24"/>
          <w:szCs w:val="24"/>
          <w:lang w:val="es-CO" w:eastAsia="en-US"/>
        </w:rPr>
        <w:t>. por lo que f</w:t>
      </w:r>
      <w:r w:rsidR="00605EE8">
        <w:rPr>
          <w:rFonts w:ascii="Arial" w:eastAsia="Calibri" w:hAnsi="Arial" w:cs="Arial"/>
          <w:sz w:val="24"/>
          <w:szCs w:val="24"/>
          <w:lang w:val="es-CO" w:eastAsia="en-US"/>
        </w:rPr>
        <w:t>inalmente dispuso</w:t>
      </w:r>
      <w:r w:rsidR="00E81956">
        <w:rPr>
          <w:rFonts w:ascii="Arial" w:eastAsia="Calibri" w:hAnsi="Arial" w:cs="Arial"/>
          <w:sz w:val="24"/>
          <w:szCs w:val="24"/>
          <w:lang w:val="es-CO" w:eastAsia="en-US"/>
        </w:rPr>
        <w:t xml:space="preserve"> </w:t>
      </w:r>
      <w:r w:rsidR="009948E4">
        <w:rPr>
          <w:rFonts w:ascii="Arial" w:eastAsia="Calibri" w:hAnsi="Arial" w:cs="Arial"/>
          <w:sz w:val="24"/>
          <w:szCs w:val="24"/>
          <w:lang w:val="es-CO" w:eastAsia="en-US"/>
        </w:rPr>
        <w:t>no acceder</w:t>
      </w:r>
      <w:r w:rsidR="008420F3">
        <w:rPr>
          <w:rFonts w:ascii="Arial" w:eastAsia="Calibri" w:hAnsi="Arial" w:cs="Arial"/>
          <w:sz w:val="24"/>
          <w:szCs w:val="24"/>
          <w:lang w:val="es-CO" w:eastAsia="en-US"/>
        </w:rPr>
        <w:t xml:space="preserve"> </w:t>
      </w:r>
      <w:r w:rsidR="009948E4">
        <w:rPr>
          <w:rFonts w:ascii="Arial" w:eastAsia="Calibri" w:hAnsi="Arial" w:cs="Arial"/>
          <w:sz w:val="24"/>
          <w:szCs w:val="24"/>
          <w:lang w:val="es-CO" w:eastAsia="en-US"/>
        </w:rPr>
        <w:t xml:space="preserve">a la solicitud. </w:t>
      </w:r>
    </w:p>
    <w:p w14:paraId="27FD96C5" w14:textId="52DA9CA2" w:rsidR="00A60463" w:rsidRDefault="009948E4" w:rsidP="00CB0A46">
      <w:pPr>
        <w:pStyle w:val="Ttulo2"/>
        <w:ind w:right="-234"/>
        <w:rPr>
          <w:rFonts w:ascii="Arial" w:eastAsia="Calibri" w:hAnsi="Arial" w:cs="Arial"/>
          <w:b/>
          <w:color w:val="auto"/>
          <w:sz w:val="24"/>
          <w:szCs w:val="24"/>
          <w:lang w:val="es-CO" w:eastAsia="en-US"/>
        </w:rPr>
      </w:pPr>
      <w:r w:rsidRPr="008F6286">
        <w:rPr>
          <w:rFonts w:ascii="Arial" w:eastAsia="Calibri" w:hAnsi="Arial" w:cs="Arial"/>
          <w:b/>
          <w:color w:val="auto"/>
          <w:sz w:val="24"/>
          <w:szCs w:val="24"/>
          <w:lang w:val="es-CO" w:eastAsia="en-US"/>
        </w:rPr>
        <w:lastRenderedPageBreak/>
        <w:t>Recurso de reposición y en subsidio apelación</w:t>
      </w:r>
      <w:r w:rsidRPr="008F6286">
        <w:rPr>
          <w:rStyle w:val="Refdenotaalpie"/>
          <w:rFonts w:ascii="Arial" w:eastAsia="Calibri" w:hAnsi="Arial" w:cs="Arial"/>
          <w:b/>
          <w:color w:val="auto"/>
          <w:sz w:val="24"/>
          <w:szCs w:val="24"/>
          <w:lang w:val="es-CO" w:eastAsia="en-US"/>
        </w:rPr>
        <w:footnoteReference w:id="10"/>
      </w:r>
    </w:p>
    <w:p w14:paraId="27B7DD2D" w14:textId="77777777" w:rsidR="0082270E" w:rsidRPr="0082270E" w:rsidRDefault="0082270E" w:rsidP="00CB0A46">
      <w:pPr>
        <w:ind w:right="-234"/>
        <w:rPr>
          <w:rFonts w:eastAsia="Calibri"/>
          <w:lang w:val="es-CO" w:eastAsia="en-US"/>
        </w:rPr>
      </w:pPr>
    </w:p>
    <w:p w14:paraId="15D07C49" w14:textId="0CF7E9D1" w:rsidR="009948E4" w:rsidRPr="0082270E" w:rsidRDefault="009948E4" w:rsidP="00CB0A46">
      <w:pPr>
        <w:pStyle w:val="Prrafodelista"/>
        <w:widowControl w:val="0"/>
        <w:numPr>
          <w:ilvl w:val="0"/>
          <w:numId w:val="26"/>
        </w:numPr>
        <w:suppressAutoHyphens/>
        <w:spacing w:line="276" w:lineRule="auto"/>
        <w:ind w:left="0" w:right="-234" w:firstLine="0"/>
        <w:contextualSpacing/>
        <w:jc w:val="both"/>
        <w:rPr>
          <w:rFonts w:ascii="Arial" w:hAnsi="Arial" w:cs="Arial"/>
          <w:sz w:val="24"/>
          <w:szCs w:val="24"/>
        </w:rPr>
      </w:pPr>
      <w:r w:rsidRPr="3CE3F0DF">
        <w:rPr>
          <w:rFonts w:ascii="Arial" w:hAnsi="Arial" w:cs="Arial"/>
          <w:sz w:val="24"/>
          <w:szCs w:val="24"/>
        </w:rPr>
        <w:t xml:space="preserve">El 9 de octubre de 2020 la parte ejecutante interpuso recurso de reposición y en subsidio apelación contra el auto proferido el </w:t>
      </w:r>
      <w:r w:rsidR="00BA6A0F" w:rsidRPr="3CE3F0DF">
        <w:rPr>
          <w:rFonts w:ascii="Arial" w:hAnsi="Arial" w:cs="Arial"/>
          <w:sz w:val="24"/>
          <w:szCs w:val="24"/>
        </w:rPr>
        <w:t>5</w:t>
      </w:r>
      <w:r w:rsidRPr="3CE3F0DF">
        <w:rPr>
          <w:rFonts w:ascii="Arial" w:hAnsi="Arial" w:cs="Arial"/>
          <w:sz w:val="24"/>
          <w:szCs w:val="24"/>
        </w:rPr>
        <w:t xml:space="preserve"> de </w:t>
      </w:r>
      <w:r w:rsidR="00BA6A0F" w:rsidRPr="3CE3F0DF">
        <w:rPr>
          <w:rFonts w:ascii="Arial" w:hAnsi="Arial" w:cs="Arial"/>
          <w:sz w:val="24"/>
          <w:szCs w:val="24"/>
        </w:rPr>
        <w:t>octu</w:t>
      </w:r>
      <w:r w:rsidRPr="3CE3F0DF">
        <w:rPr>
          <w:rFonts w:ascii="Arial" w:hAnsi="Arial" w:cs="Arial"/>
          <w:sz w:val="24"/>
          <w:szCs w:val="24"/>
        </w:rPr>
        <w:t xml:space="preserve">bre de 2020. </w:t>
      </w:r>
      <w:r w:rsidR="00BA6A0F" w:rsidRPr="3CE3F0DF">
        <w:rPr>
          <w:rFonts w:ascii="Arial" w:hAnsi="Arial" w:cs="Arial"/>
          <w:sz w:val="24"/>
          <w:szCs w:val="24"/>
        </w:rPr>
        <w:t>Solicitó</w:t>
      </w:r>
      <w:r w:rsidR="40D5076B" w:rsidRPr="3CE3F0DF">
        <w:rPr>
          <w:rFonts w:ascii="Arial" w:hAnsi="Arial" w:cs="Arial"/>
          <w:sz w:val="24"/>
          <w:szCs w:val="24"/>
        </w:rPr>
        <w:t xml:space="preserve"> que </w:t>
      </w:r>
      <w:r w:rsidR="758ABA9E" w:rsidRPr="3CE3F0DF">
        <w:rPr>
          <w:rFonts w:ascii="Arial" w:hAnsi="Arial" w:cs="Arial"/>
          <w:sz w:val="24"/>
          <w:szCs w:val="24"/>
        </w:rPr>
        <w:t>se revocara</w:t>
      </w:r>
      <w:r w:rsidR="00BA6A0F" w:rsidRPr="3CE3F0DF">
        <w:rPr>
          <w:rFonts w:ascii="Arial" w:hAnsi="Arial" w:cs="Arial"/>
          <w:sz w:val="24"/>
          <w:szCs w:val="24"/>
        </w:rPr>
        <w:t xml:space="preserve"> la decisión y </w:t>
      </w:r>
      <w:r w:rsidR="16FC4EE1" w:rsidRPr="3CE3F0DF">
        <w:rPr>
          <w:rFonts w:ascii="Arial" w:hAnsi="Arial" w:cs="Arial"/>
          <w:sz w:val="24"/>
          <w:szCs w:val="24"/>
        </w:rPr>
        <w:t>se librara</w:t>
      </w:r>
      <w:r w:rsidR="00BA6A0F" w:rsidRPr="3CE3F0DF">
        <w:rPr>
          <w:rFonts w:ascii="Arial" w:hAnsi="Arial" w:cs="Arial"/>
          <w:sz w:val="24"/>
          <w:szCs w:val="24"/>
        </w:rPr>
        <w:t xml:space="preserve"> mandamiento </w:t>
      </w:r>
      <w:r w:rsidR="008E3807" w:rsidRPr="3CE3F0DF">
        <w:rPr>
          <w:rFonts w:ascii="Arial" w:hAnsi="Arial" w:cs="Arial"/>
          <w:sz w:val="24"/>
          <w:szCs w:val="24"/>
        </w:rPr>
        <w:t xml:space="preserve">ejecutivo con fundamento </w:t>
      </w:r>
      <w:r w:rsidR="008A1BFD" w:rsidRPr="3CE3F0DF">
        <w:rPr>
          <w:rFonts w:ascii="Arial" w:hAnsi="Arial" w:cs="Arial"/>
          <w:sz w:val="24"/>
          <w:szCs w:val="24"/>
        </w:rPr>
        <w:t>en</w:t>
      </w:r>
      <w:r w:rsidR="00BA6A0F" w:rsidRPr="3CE3F0DF">
        <w:rPr>
          <w:rFonts w:ascii="Arial" w:hAnsi="Arial" w:cs="Arial"/>
          <w:sz w:val="24"/>
          <w:szCs w:val="24"/>
        </w:rPr>
        <w:t xml:space="preserve"> la reforma</w:t>
      </w:r>
      <w:r w:rsidR="008A1BFD" w:rsidRPr="3CE3F0DF">
        <w:rPr>
          <w:rFonts w:ascii="Arial" w:hAnsi="Arial" w:cs="Arial"/>
          <w:sz w:val="24"/>
          <w:szCs w:val="24"/>
        </w:rPr>
        <w:t xml:space="preserve"> </w:t>
      </w:r>
      <w:r w:rsidR="0C95E683" w:rsidRPr="3CE3F0DF">
        <w:rPr>
          <w:rFonts w:ascii="Arial" w:hAnsi="Arial" w:cs="Arial"/>
          <w:sz w:val="24"/>
          <w:szCs w:val="24"/>
        </w:rPr>
        <w:t>a la demanda</w:t>
      </w:r>
      <w:r w:rsidR="00BA6A0F" w:rsidRPr="3CE3F0DF">
        <w:rPr>
          <w:rFonts w:ascii="Arial" w:hAnsi="Arial" w:cs="Arial"/>
          <w:sz w:val="24"/>
          <w:szCs w:val="24"/>
        </w:rPr>
        <w:t xml:space="preserve">. </w:t>
      </w:r>
      <w:r w:rsidRPr="3CE3F0DF">
        <w:rPr>
          <w:rFonts w:ascii="Arial" w:hAnsi="Arial" w:cs="Arial"/>
          <w:sz w:val="24"/>
          <w:szCs w:val="24"/>
        </w:rPr>
        <w:t>Señaló</w:t>
      </w:r>
      <w:r w:rsidR="02748620" w:rsidRPr="3CE3F0DF">
        <w:rPr>
          <w:rFonts w:ascii="Arial" w:hAnsi="Arial" w:cs="Arial"/>
          <w:sz w:val="24"/>
          <w:szCs w:val="24"/>
        </w:rPr>
        <w:t>,</w:t>
      </w:r>
      <w:r w:rsidRPr="3CE3F0DF">
        <w:rPr>
          <w:rFonts w:ascii="Arial" w:hAnsi="Arial" w:cs="Arial"/>
          <w:sz w:val="24"/>
          <w:szCs w:val="24"/>
        </w:rPr>
        <w:t xml:space="preserve"> como argumentos de inconformidad</w:t>
      </w:r>
      <w:r w:rsidR="4DB1F831" w:rsidRPr="3CE3F0DF">
        <w:rPr>
          <w:rFonts w:ascii="Arial" w:hAnsi="Arial" w:cs="Arial"/>
          <w:sz w:val="24"/>
          <w:szCs w:val="24"/>
        </w:rPr>
        <w:t>,</w:t>
      </w:r>
      <w:r w:rsidRPr="3CE3F0DF">
        <w:rPr>
          <w:rFonts w:ascii="Arial" w:hAnsi="Arial" w:cs="Arial"/>
          <w:sz w:val="24"/>
          <w:szCs w:val="24"/>
        </w:rPr>
        <w:t xml:space="preserve"> los que se destacan a continuación:</w:t>
      </w:r>
    </w:p>
    <w:p w14:paraId="71E4A508" w14:textId="77777777" w:rsidR="006F4BCB" w:rsidRDefault="006F4BCB" w:rsidP="00CB0A46">
      <w:pPr>
        <w:overflowPunct w:val="0"/>
        <w:autoSpaceDE w:val="0"/>
        <w:autoSpaceDN w:val="0"/>
        <w:adjustRightInd w:val="0"/>
        <w:spacing w:line="276" w:lineRule="auto"/>
        <w:ind w:right="-234"/>
        <w:contextualSpacing/>
        <w:jc w:val="both"/>
        <w:textAlignment w:val="baseline"/>
        <w:rPr>
          <w:rFonts w:ascii="Arial" w:hAnsi="Arial" w:cs="Arial"/>
          <w:sz w:val="24"/>
          <w:szCs w:val="24"/>
        </w:rPr>
      </w:pPr>
    </w:p>
    <w:p w14:paraId="5CA3B699" w14:textId="74E8A77C" w:rsidR="006A7191" w:rsidRDefault="000F3727" w:rsidP="3CE3F0DF">
      <w:pPr>
        <w:overflowPunct w:val="0"/>
        <w:autoSpaceDE w:val="0"/>
        <w:autoSpaceDN w:val="0"/>
        <w:adjustRightInd w:val="0"/>
        <w:spacing w:line="276" w:lineRule="auto"/>
        <w:ind w:right="-234"/>
        <w:contextualSpacing/>
        <w:jc w:val="both"/>
        <w:textAlignment w:val="baseline"/>
        <w:rPr>
          <w:rFonts w:ascii="Arial" w:eastAsia="Calibri" w:hAnsi="Arial" w:cs="Arial"/>
          <w:i/>
          <w:iCs/>
          <w:sz w:val="24"/>
          <w:szCs w:val="24"/>
          <w:lang w:val="es-CO" w:eastAsia="en-US"/>
        </w:rPr>
      </w:pPr>
      <w:r w:rsidRPr="3CE3F0DF">
        <w:rPr>
          <w:rFonts w:ascii="Arial" w:hAnsi="Arial" w:cs="Arial"/>
          <w:sz w:val="24"/>
          <w:szCs w:val="24"/>
        </w:rPr>
        <w:t>7</w:t>
      </w:r>
      <w:r w:rsidR="0041696C" w:rsidRPr="3CE3F0DF">
        <w:rPr>
          <w:rFonts w:ascii="Arial" w:hAnsi="Arial" w:cs="Arial"/>
          <w:sz w:val="24"/>
          <w:szCs w:val="24"/>
        </w:rPr>
        <w:t>.</w:t>
      </w:r>
      <w:r w:rsidR="00BF35D4" w:rsidRPr="3CE3F0DF">
        <w:rPr>
          <w:rFonts w:ascii="Arial" w:hAnsi="Arial" w:cs="Arial"/>
          <w:sz w:val="24"/>
          <w:szCs w:val="24"/>
        </w:rPr>
        <w:t>1</w:t>
      </w:r>
      <w:r w:rsidR="008D7936" w:rsidRPr="3CE3F0DF">
        <w:rPr>
          <w:rFonts w:ascii="Arial" w:hAnsi="Arial" w:cs="Arial"/>
          <w:sz w:val="24"/>
          <w:szCs w:val="24"/>
        </w:rPr>
        <w:t>.</w:t>
      </w:r>
      <w:r w:rsidR="0041696C" w:rsidRPr="3CE3F0DF">
        <w:rPr>
          <w:rFonts w:ascii="Arial" w:hAnsi="Arial" w:cs="Arial"/>
          <w:sz w:val="24"/>
          <w:szCs w:val="24"/>
        </w:rPr>
        <w:t xml:space="preserve"> </w:t>
      </w:r>
      <w:r w:rsidR="006F4BCB" w:rsidRPr="3CE3F0DF">
        <w:rPr>
          <w:rFonts w:ascii="Arial" w:hAnsi="Arial" w:cs="Arial"/>
          <w:sz w:val="24"/>
          <w:szCs w:val="24"/>
        </w:rPr>
        <w:t>Con fundamento en el artículo 93 del C</w:t>
      </w:r>
      <w:r w:rsidR="00D112D5" w:rsidRPr="3CE3F0DF">
        <w:rPr>
          <w:rFonts w:ascii="Arial" w:hAnsi="Arial" w:cs="Arial"/>
          <w:sz w:val="24"/>
          <w:szCs w:val="24"/>
        </w:rPr>
        <w:t>.</w:t>
      </w:r>
      <w:r w:rsidR="006F4BCB" w:rsidRPr="3CE3F0DF">
        <w:rPr>
          <w:rFonts w:ascii="Arial" w:hAnsi="Arial" w:cs="Arial"/>
          <w:sz w:val="24"/>
          <w:szCs w:val="24"/>
        </w:rPr>
        <w:t>G</w:t>
      </w:r>
      <w:r w:rsidR="00D112D5" w:rsidRPr="3CE3F0DF">
        <w:rPr>
          <w:rFonts w:ascii="Arial" w:hAnsi="Arial" w:cs="Arial"/>
          <w:sz w:val="24"/>
          <w:szCs w:val="24"/>
        </w:rPr>
        <w:t>.</w:t>
      </w:r>
      <w:r w:rsidR="006F4BCB" w:rsidRPr="3CE3F0DF">
        <w:rPr>
          <w:rFonts w:ascii="Arial" w:hAnsi="Arial" w:cs="Arial"/>
          <w:sz w:val="24"/>
          <w:szCs w:val="24"/>
        </w:rPr>
        <w:t xml:space="preserve">P., presentó reforma </w:t>
      </w:r>
      <w:r w:rsidR="5CA4189E" w:rsidRPr="3CE3F0DF">
        <w:rPr>
          <w:rFonts w:ascii="Arial" w:hAnsi="Arial" w:cs="Arial"/>
          <w:sz w:val="24"/>
          <w:szCs w:val="24"/>
        </w:rPr>
        <w:t>a la demanda</w:t>
      </w:r>
      <w:r w:rsidR="006A7191" w:rsidRPr="3CE3F0DF">
        <w:rPr>
          <w:rFonts w:ascii="Arial" w:hAnsi="Arial" w:cs="Arial"/>
          <w:sz w:val="24"/>
          <w:szCs w:val="24"/>
        </w:rPr>
        <w:t>,</w:t>
      </w:r>
      <w:r w:rsidR="006F4BCB" w:rsidRPr="3CE3F0DF">
        <w:rPr>
          <w:rFonts w:ascii="Arial" w:hAnsi="Arial" w:cs="Arial"/>
          <w:sz w:val="24"/>
          <w:szCs w:val="24"/>
        </w:rPr>
        <w:t xml:space="preserve"> y en tal sentido solicitó </w:t>
      </w:r>
      <w:r w:rsidR="0B803E18" w:rsidRPr="3CE3F0DF">
        <w:rPr>
          <w:rFonts w:ascii="Arial" w:hAnsi="Arial" w:cs="Arial"/>
          <w:sz w:val="24"/>
          <w:szCs w:val="24"/>
        </w:rPr>
        <w:t xml:space="preserve">que </w:t>
      </w:r>
      <w:r w:rsidR="00AA1F5C" w:rsidRPr="3CE3F0DF">
        <w:rPr>
          <w:rFonts w:ascii="Arial" w:eastAsia="Calibri" w:hAnsi="Arial" w:cs="Arial"/>
          <w:sz w:val="24"/>
          <w:szCs w:val="24"/>
          <w:lang w:val="es-CO" w:eastAsia="en-US"/>
        </w:rPr>
        <w:t xml:space="preserve">se librara </w:t>
      </w:r>
      <w:r w:rsidR="005D68B3" w:rsidRPr="3CE3F0DF">
        <w:rPr>
          <w:rFonts w:ascii="Arial" w:eastAsia="Calibri" w:hAnsi="Arial" w:cs="Arial"/>
          <w:sz w:val="24"/>
          <w:szCs w:val="24"/>
          <w:lang w:val="es-CO" w:eastAsia="en-US"/>
        </w:rPr>
        <w:t xml:space="preserve">mandamiento </w:t>
      </w:r>
      <w:r w:rsidR="006F4BCB" w:rsidRPr="3CE3F0DF">
        <w:rPr>
          <w:rFonts w:ascii="Arial" w:eastAsia="Calibri" w:hAnsi="Arial" w:cs="Arial"/>
          <w:sz w:val="24"/>
          <w:szCs w:val="24"/>
          <w:lang w:val="es-CO" w:eastAsia="en-US"/>
        </w:rPr>
        <w:t xml:space="preserve">ejecutivo a favor del docente </w:t>
      </w:r>
      <w:proofErr w:type="spellStart"/>
      <w:r w:rsidR="006F4BCB" w:rsidRPr="3CE3F0DF">
        <w:rPr>
          <w:rFonts w:ascii="Arial" w:eastAsia="Calibri" w:hAnsi="Arial" w:cs="Arial"/>
          <w:sz w:val="24"/>
          <w:szCs w:val="24"/>
          <w:lang w:val="es-CO" w:eastAsia="en-US"/>
        </w:rPr>
        <w:t>Blanicher</w:t>
      </w:r>
      <w:proofErr w:type="spellEnd"/>
      <w:r w:rsidR="006F4BCB" w:rsidRPr="3CE3F0DF">
        <w:rPr>
          <w:rFonts w:ascii="Arial" w:eastAsia="Calibri" w:hAnsi="Arial" w:cs="Arial"/>
          <w:sz w:val="24"/>
          <w:szCs w:val="24"/>
          <w:lang w:val="es-CO" w:eastAsia="en-US"/>
        </w:rPr>
        <w:t xml:space="preserve"> Riaño Patiño</w:t>
      </w:r>
      <w:r w:rsidR="006A7191" w:rsidRPr="3CE3F0DF">
        <w:rPr>
          <w:rFonts w:ascii="Arial" w:eastAsia="Calibri" w:hAnsi="Arial" w:cs="Arial"/>
          <w:sz w:val="24"/>
          <w:szCs w:val="24"/>
          <w:lang w:val="es-CO" w:eastAsia="en-US"/>
        </w:rPr>
        <w:t>,</w:t>
      </w:r>
      <w:r w:rsidR="004F1968" w:rsidRPr="3CE3F0DF">
        <w:rPr>
          <w:rFonts w:ascii="Arial" w:eastAsia="Calibri" w:hAnsi="Arial" w:cs="Arial"/>
          <w:sz w:val="24"/>
          <w:szCs w:val="24"/>
          <w:lang w:val="es-CO" w:eastAsia="en-US"/>
        </w:rPr>
        <w:t xml:space="preserve"> </w:t>
      </w:r>
      <w:r w:rsidR="00F86560" w:rsidRPr="3CE3F0DF">
        <w:rPr>
          <w:rFonts w:ascii="Arial" w:eastAsia="Calibri" w:hAnsi="Arial" w:cs="Arial"/>
          <w:i/>
          <w:iCs/>
          <w:sz w:val="24"/>
          <w:szCs w:val="24"/>
          <w:lang w:val="es-CO" w:eastAsia="en-US"/>
        </w:rPr>
        <w:t>“</w:t>
      </w:r>
      <w:proofErr w:type="spellStart"/>
      <w:r w:rsidR="00F86560" w:rsidRPr="3CE3F0DF">
        <w:rPr>
          <w:rFonts w:ascii="Arial" w:eastAsia="Calibri" w:hAnsi="Arial" w:cs="Arial"/>
          <w:i/>
          <w:iCs/>
          <w:sz w:val="24"/>
          <w:szCs w:val="24"/>
          <w:lang w:val="es-CO" w:eastAsia="en-US"/>
        </w:rPr>
        <w:t>adjunt</w:t>
      </w:r>
      <w:proofErr w:type="spellEnd"/>
      <w:r w:rsidR="00F86560" w:rsidRPr="3CE3F0DF">
        <w:rPr>
          <w:rFonts w:ascii="Arial" w:eastAsia="Calibri" w:hAnsi="Arial" w:cs="Arial"/>
          <w:i/>
          <w:iCs/>
          <w:sz w:val="24"/>
          <w:szCs w:val="24"/>
          <w:lang w:val="es-CO" w:eastAsia="en-US"/>
        </w:rPr>
        <w:t xml:space="preserve">[ando] los documentos que </w:t>
      </w:r>
      <w:proofErr w:type="spellStart"/>
      <w:r w:rsidR="00F86560" w:rsidRPr="3CE3F0DF">
        <w:rPr>
          <w:rFonts w:ascii="Arial" w:eastAsia="Calibri" w:hAnsi="Arial" w:cs="Arial"/>
          <w:i/>
          <w:iCs/>
          <w:sz w:val="24"/>
          <w:szCs w:val="24"/>
          <w:lang w:val="es-CO" w:eastAsia="en-US"/>
        </w:rPr>
        <w:t>exi</w:t>
      </w:r>
      <w:proofErr w:type="spellEnd"/>
      <w:r w:rsidR="2DC9096C" w:rsidRPr="3CE3F0DF">
        <w:rPr>
          <w:rFonts w:ascii="Arial" w:eastAsia="Calibri" w:hAnsi="Arial" w:cs="Arial"/>
          <w:i/>
          <w:iCs/>
          <w:sz w:val="24"/>
          <w:szCs w:val="24"/>
          <w:lang w:val="es-CO" w:eastAsia="en-US"/>
        </w:rPr>
        <w:t>[</w:t>
      </w:r>
      <w:proofErr w:type="spellStart"/>
      <w:r w:rsidR="2DC9096C" w:rsidRPr="3CE3F0DF">
        <w:rPr>
          <w:rFonts w:ascii="Arial" w:eastAsia="Calibri" w:hAnsi="Arial" w:cs="Arial"/>
          <w:i/>
          <w:iCs/>
          <w:sz w:val="24"/>
          <w:szCs w:val="24"/>
          <w:lang w:val="es-CO" w:eastAsia="en-US"/>
        </w:rPr>
        <w:t>gía</w:t>
      </w:r>
      <w:proofErr w:type="spellEnd"/>
      <w:r w:rsidR="2DC9096C" w:rsidRPr="3CE3F0DF">
        <w:rPr>
          <w:rFonts w:ascii="Arial" w:eastAsia="Calibri" w:hAnsi="Arial" w:cs="Arial"/>
          <w:i/>
          <w:iCs/>
          <w:sz w:val="24"/>
          <w:szCs w:val="24"/>
          <w:lang w:val="es-CO" w:eastAsia="en-US"/>
        </w:rPr>
        <w:t>]</w:t>
      </w:r>
      <w:r w:rsidR="00F86560" w:rsidRPr="3CE3F0DF">
        <w:rPr>
          <w:rFonts w:ascii="Arial" w:eastAsia="Calibri" w:hAnsi="Arial" w:cs="Arial"/>
          <w:i/>
          <w:iCs/>
          <w:sz w:val="24"/>
          <w:szCs w:val="24"/>
          <w:lang w:val="es-CO" w:eastAsia="en-US"/>
        </w:rPr>
        <w:t xml:space="preserve"> la ley, por constituir un título complejo y que sí e</w:t>
      </w:r>
      <w:r w:rsidR="710633D3" w:rsidRPr="3CE3F0DF">
        <w:rPr>
          <w:rFonts w:ascii="Arial" w:eastAsia="Calibri" w:hAnsi="Arial" w:cs="Arial"/>
          <w:i/>
          <w:iCs/>
          <w:sz w:val="24"/>
          <w:szCs w:val="24"/>
          <w:lang w:val="es-CO" w:eastAsia="en-US"/>
        </w:rPr>
        <w:t>[</w:t>
      </w:r>
      <w:proofErr w:type="spellStart"/>
      <w:r w:rsidR="710633D3" w:rsidRPr="3CE3F0DF">
        <w:rPr>
          <w:rFonts w:ascii="Arial" w:eastAsia="Calibri" w:hAnsi="Arial" w:cs="Arial"/>
          <w:i/>
          <w:iCs/>
          <w:sz w:val="24"/>
          <w:szCs w:val="24"/>
          <w:lang w:val="es-CO" w:eastAsia="en-US"/>
        </w:rPr>
        <w:t>ra</w:t>
      </w:r>
      <w:proofErr w:type="spellEnd"/>
      <w:r w:rsidR="710633D3" w:rsidRPr="3CE3F0DF">
        <w:rPr>
          <w:rFonts w:ascii="Arial" w:eastAsia="Calibri" w:hAnsi="Arial" w:cs="Arial"/>
          <w:i/>
          <w:iCs/>
          <w:sz w:val="24"/>
          <w:szCs w:val="24"/>
          <w:lang w:val="es-CO" w:eastAsia="en-US"/>
        </w:rPr>
        <w:t>]</w:t>
      </w:r>
      <w:r w:rsidR="00F86560" w:rsidRPr="3CE3F0DF">
        <w:rPr>
          <w:rFonts w:ascii="Arial" w:eastAsia="Calibri" w:hAnsi="Arial" w:cs="Arial"/>
          <w:i/>
          <w:iCs/>
          <w:sz w:val="24"/>
          <w:szCs w:val="24"/>
          <w:lang w:val="es-CO" w:eastAsia="en-US"/>
        </w:rPr>
        <w:t xml:space="preserve"> clara, expresa y exigible. El ACTO ADMINISTRATIVO” </w:t>
      </w:r>
      <w:r w:rsidR="00F86560" w:rsidRPr="3CE3F0DF">
        <w:rPr>
          <w:rFonts w:ascii="Arial" w:eastAsia="Calibri" w:hAnsi="Arial" w:cs="Arial"/>
          <w:sz w:val="24"/>
          <w:szCs w:val="24"/>
          <w:lang w:val="es-CO" w:eastAsia="en-US"/>
        </w:rPr>
        <w:t xml:space="preserve">(sic). </w:t>
      </w:r>
    </w:p>
    <w:p w14:paraId="2D657130" w14:textId="77777777" w:rsidR="006A7191" w:rsidRDefault="006A7191" w:rsidP="00CB0A46">
      <w:pPr>
        <w:overflowPunct w:val="0"/>
        <w:autoSpaceDE w:val="0"/>
        <w:autoSpaceDN w:val="0"/>
        <w:adjustRightInd w:val="0"/>
        <w:spacing w:line="276" w:lineRule="auto"/>
        <w:ind w:right="-234"/>
        <w:contextualSpacing/>
        <w:jc w:val="both"/>
        <w:textAlignment w:val="baseline"/>
        <w:rPr>
          <w:rFonts w:ascii="Arial" w:eastAsia="Calibri" w:hAnsi="Arial" w:cs="Arial"/>
          <w:sz w:val="24"/>
          <w:szCs w:val="24"/>
          <w:lang w:val="es-CO" w:eastAsia="en-US"/>
        </w:rPr>
      </w:pPr>
    </w:p>
    <w:p w14:paraId="79B8D61E" w14:textId="3E0454BC" w:rsidR="004276B5" w:rsidRDefault="000F3727" w:rsidP="00CB0A46">
      <w:pPr>
        <w:overflowPunct w:val="0"/>
        <w:autoSpaceDE w:val="0"/>
        <w:autoSpaceDN w:val="0"/>
        <w:adjustRightInd w:val="0"/>
        <w:spacing w:line="276" w:lineRule="auto"/>
        <w:ind w:right="-234"/>
        <w:contextualSpacing/>
        <w:jc w:val="both"/>
        <w:textAlignment w:val="baseline"/>
        <w:rPr>
          <w:rFonts w:ascii="Arial" w:eastAsia="Calibri" w:hAnsi="Arial" w:cs="Arial"/>
          <w:sz w:val="24"/>
          <w:szCs w:val="24"/>
          <w:lang w:val="es-CO" w:eastAsia="en-US"/>
        </w:rPr>
      </w:pPr>
      <w:r w:rsidRPr="3CE3F0DF">
        <w:rPr>
          <w:rFonts w:ascii="Arial" w:eastAsia="Calibri" w:hAnsi="Arial" w:cs="Arial"/>
          <w:sz w:val="24"/>
          <w:szCs w:val="24"/>
          <w:lang w:val="es-CO" w:eastAsia="en-US"/>
        </w:rPr>
        <w:t>7</w:t>
      </w:r>
      <w:r w:rsidR="0041696C" w:rsidRPr="3CE3F0DF">
        <w:rPr>
          <w:rFonts w:ascii="Arial" w:eastAsia="Calibri" w:hAnsi="Arial" w:cs="Arial"/>
          <w:sz w:val="24"/>
          <w:szCs w:val="24"/>
          <w:lang w:val="es-CO" w:eastAsia="en-US"/>
        </w:rPr>
        <w:t>.</w:t>
      </w:r>
      <w:r w:rsidR="00BF35D4" w:rsidRPr="3CE3F0DF">
        <w:rPr>
          <w:rFonts w:ascii="Arial" w:eastAsia="Calibri" w:hAnsi="Arial" w:cs="Arial"/>
          <w:sz w:val="24"/>
          <w:szCs w:val="24"/>
          <w:lang w:val="es-CO" w:eastAsia="en-US"/>
        </w:rPr>
        <w:t>2</w:t>
      </w:r>
      <w:r w:rsidR="008D7936" w:rsidRPr="3CE3F0DF">
        <w:rPr>
          <w:rFonts w:ascii="Arial" w:eastAsia="Calibri" w:hAnsi="Arial" w:cs="Arial"/>
          <w:sz w:val="24"/>
          <w:szCs w:val="24"/>
          <w:lang w:val="es-CO" w:eastAsia="en-US"/>
        </w:rPr>
        <w:t>.</w:t>
      </w:r>
      <w:r w:rsidRPr="3CE3F0DF">
        <w:rPr>
          <w:rFonts w:ascii="Arial" w:eastAsia="Calibri" w:hAnsi="Arial" w:cs="Arial"/>
          <w:sz w:val="24"/>
          <w:szCs w:val="24"/>
          <w:lang w:val="es-CO" w:eastAsia="en-US"/>
        </w:rPr>
        <w:t xml:space="preserve"> </w:t>
      </w:r>
      <w:r w:rsidR="004F1968" w:rsidRPr="3CE3F0DF">
        <w:rPr>
          <w:rFonts w:ascii="Arial" w:eastAsia="Calibri" w:hAnsi="Arial" w:cs="Arial"/>
          <w:sz w:val="24"/>
          <w:szCs w:val="24"/>
          <w:lang w:val="es-CO" w:eastAsia="en-US"/>
        </w:rPr>
        <w:t>Insistió que debía libr</w:t>
      </w:r>
      <w:r w:rsidR="00530594" w:rsidRPr="3CE3F0DF">
        <w:rPr>
          <w:rFonts w:ascii="Arial" w:eastAsia="Calibri" w:hAnsi="Arial" w:cs="Arial"/>
          <w:sz w:val="24"/>
          <w:szCs w:val="24"/>
          <w:lang w:val="es-CO" w:eastAsia="en-US"/>
        </w:rPr>
        <w:t>a</w:t>
      </w:r>
      <w:r w:rsidR="004F1968" w:rsidRPr="3CE3F0DF">
        <w:rPr>
          <w:rFonts w:ascii="Arial" w:eastAsia="Calibri" w:hAnsi="Arial" w:cs="Arial"/>
          <w:sz w:val="24"/>
          <w:szCs w:val="24"/>
          <w:lang w:val="es-CO" w:eastAsia="en-US"/>
        </w:rPr>
        <w:t xml:space="preserve">se mandamiento ejecutivo </w:t>
      </w:r>
      <w:r w:rsidR="004276B5" w:rsidRPr="3CE3F0DF">
        <w:rPr>
          <w:rFonts w:ascii="Arial" w:eastAsia="Calibri" w:hAnsi="Arial" w:cs="Arial"/>
          <w:sz w:val="24"/>
          <w:szCs w:val="24"/>
          <w:lang w:val="es-CO" w:eastAsia="en-US"/>
        </w:rPr>
        <w:t xml:space="preserve">con </w:t>
      </w:r>
      <w:r w:rsidR="00E01E5E" w:rsidRPr="3CE3F0DF">
        <w:rPr>
          <w:rFonts w:ascii="Arial" w:eastAsia="Calibri" w:hAnsi="Arial" w:cs="Arial"/>
          <w:sz w:val="24"/>
          <w:szCs w:val="24"/>
          <w:lang w:val="es-CO" w:eastAsia="en-US"/>
        </w:rPr>
        <w:t>base</w:t>
      </w:r>
      <w:r w:rsidR="004276B5" w:rsidRPr="3CE3F0DF">
        <w:rPr>
          <w:rFonts w:ascii="Arial" w:eastAsia="Calibri" w:hAnsi="Arial" w:cs="Arial"/>
          <w:sz w:val="24"/>
          <w:szCs w:val="24"/>
          <w:lang w:val="es-CO" w:eastAsia="en-US"/>
        </w:rPr>
        <w:t xml:space="preserve"> </w:t>
      </w:r>
      <w:r w:rsidR="00530594" w:rsidRPr="3CE3F0DF">
        <w:rPr>
          <w:rFonts w:ascii="Arial" w:eastAsia="Calibri" w:hAnsi="Arial" w:cs="Arial"/>
          <w:sz w:val="24"/>
          <w:szCs w:val="24"/>
          <w:lang w:val="es-CO" w:eastAsia="en-US"/>
        </w:rPr>
        <w:t>en e</w:t>
      </w:r>
      <w:r w:rsidR="004276B5" w:rsidRPr="3CE3F0DF">
        <w:rPr>
          <w:rFonts w:ascii="Arial" w:eastAsia="Calibri" w:hAnsi="Arial" w:cs="Arial"/>
          <w:sz w:val="24"/>
          <w:szCs w:val="24"/>
          <w:lang w:val="es-CO" w:eastAsia="en-US"/>
        </w:rPr>
        <w:t xml:space="preserve">l </w:t>
      </w:r>
      <w:r w:rsidR="00E01E5E" w:rsidRPr="3CE3F0DF">
        <w:rPr>
          <w:rFonts w:ascii="Arial" w:eastAsia="Calibri" w:hAnsi="Arial" w:cs="Arial"/>
          <w:sz w:val="24"/>
          <w:szCs w:val="24"/>
          <w:lang w:val="es-CO" w:eastAsia="en-US"/>
        </w:rPr>
        <w:t xml:space="preserve">numeral 7 del </w:t>
      </w:r>
      <w:r w:rsidR="004276B5" w:rsidRPr="3CE3F0DF">
        <w:rPr>
          <w:rFonts w:ascii="Arial" w:eastAsia="Calibri" w:hAnsi="Arial" w:cs="Arial"/>
          <w:sz w:val="24"/>
          <w:szCs w:val="24"/>
          <w:lang w:val="es-CO" w:eastAsia="en-US"/>
        </w:rPr>
        <w:t>art</w:t>
      </w:r>
      <w:r w:rsidR="00E01E5E" w:rsidRPr="3CE3F0DF">
        <w:rPr>
          <w:rFonts w:ascii="Arial" w:eastAsia="Calibri" w:hAnsi="Arial" w:cs="Arial"/>
          <w:sz w:val="24"/>
          <w:szCs w:val="24"/>
          <w:lang w:val="es-CO" w:eastAsia="en-US"/>
        </w:rPr>
        <w:t>í</w:t>
      </w:r>
      <w:r w:rsidR="004276B5" w:rsidRPr="3CE3F0DF">
        <w:rPr>
          <w:rFonts w:ascii="Arial" w:eastAsia="Calibri" w:hAnsi="Arial" w:cs="Arial"/>
          <w:sz w:val="24"/>
          <w:szCs w:val="24"/>
          <w:lang w:val="es-CO" w:eastAsia="en-US"/>
        </w:rPr>
        <w:t>culo 155 del CPACA</w:t>
      </w:r>
      <w:r w:rsidR="735D1175" w:rsidRPr="3CE3F0DF">
        <w:rPr>
          <w:rFonts w:ascii="Arial" w:eastAsia="Calibri" w:hAnsi="Arial" w:cs="Arial"/>
          <w:sz w:val="24"/>
          <w:szCs w:val="24"/>
          <w:lang w:val="es-CO" w:eastAsia="en-US"/>
        </w:rPr>
        <w:t>.</w:t>
      </w:r>
      <w:r w:rsidR="00E01E5E" w:rsidRPr="3CE3F0DF">
        <w:rPr>
          <w:rFonts w:ascii="Arial" w:eastAsia="Calibri" w:hAnsi="Arial" w:cs="Arial"/>
          <w:sz w:val="24"/>
          <w:szCs w:val="24"/>
          <w:lang w:val="es-CO" w:eastAsia="en-US"/>
        </w:rPr>
        <w:t xml:space="preserve">, </w:t>
      </w:r>
      <w:r w:rsidR="004F1968" w:rsidRPr="3CE3F0DF">
        <w:rPr>
          <w:rFonts w:ascii="Arial" w:eastAsia="Calibri" w:hAnsi="Arial" w:cs="Arial"/>
          <w:sz w:val="24"/>
          <w:szCs w:val="24"/>
          <w:lang w:val="es-CO" w:eastAsia="en-US"/>
        </w:rPr>
        <w:t>por cuanto e</w:t>
      </w:r>
      <w:r w:rsidR="00EB560C" w:rsidRPr="3CE3F0DF">
        <w:rPr>
          <w:rFonts w:ascii="Arial" w:eastAsia="Calibri" w:hAnsi="Arial" w:cs="Arial"/>
          <w:sz w:val="24"/>
          <w:szCs w:val="24"/>
          <w:lang w:val="es-CO" w:eastAsia="en-US"/>
        </w:rPr>
        <w:t>ra</w:t>
      </w:r>
      <w:r w:rsidR="004F1968" w:rsidRPr="3CE3F0DF">
        <w:rPr>
          <w:rFonts w:ascii="Arial" w:eastAsia="Calibri" w:hAnsi="Arial" w:cs="Arial"/>
          <w:sz w:val="24"/>
          <w:szCs w:val="24"/>
          <w:lang w:val="es-CO" w:eastAsia="en-US"/>
        </w:rPr>
        <w:t xml:space="preserve"> un proceso ejecutivo </w:t>
      </w:r>
      <w:r w:rsidR="00AF5BFD" w:rsidRPr="3CE3F0DF">
        <w:rPr>
          <w:rFonts w:ascii="Arial" w:eastAsia="Calibri" w:hAnsi="Arial" w:cs="Arial"/>
          <w:sz w:val="24"/>
          <w:szCs w:val="24"/>
          <w:lang w:val="es-CO" w:eastAsia="en-US"/>
        </w:rPr>
        <w:t>y consta</w:t>
      </w:r>
      <w:r w:rsidR="00530594" w:rsidRPr="3CE3F0DF">
        <w:rPr>
          <w:rFonts w:ascii="Arial" w:eastAsia="Calibri" w:hAnsi="Arial" w:cs="Arial"/>
          <w:sz w:val="24"/>
          <w:szCs w:val="24"/>
          <w:lang w:val="es-CO" w:eastAsia="en-US"/>
        </w:rPr>
        <w:t>ba</w:t>
      </w:r>
      <w:r w:rsidR="00AF5BFD" w:rsidRPr="3CE3F0DF">
        <w:rPr>
          <w:rFonts w:ascii="Arial" w:eastAsia="Calibri" w:hAnsi="Arial" w:cs="Arial"/>
          <w:sz w:val="24"/>
          <w:szCs w:val="24"/>
          <w:lang w:val="es-CO" w:eastAsia="en-US"/>
        </w:rPr>
        <w:t xml:space="preserve"> de un título complejo </w:t>
      </w:r>
      <w:r w:rsidR="00AF5BFD" w:rsidRPr="3CE3F0DF">
        <w:rPr>
          <w:rFonts w:ascii="Arial" w:eastAsia="Calibri" w:hAnsi="Arial" w:cs="Arial"/>
          <w:i/>
          <w:iCs/>
          <w:sz w:val="24"/>
          <w:szCs w:val="24"/>
          <w:lang w:val="es-CO" w:eastAsia="en-US"/>
        </w:rPr>
        <w:t>–acto administrativo–</w:t>
      </w:r>
      <w:r w:rsidR="00AF5BFD" w:rsidRPr="3CE3F0DF">
        <w:rPr>
          <w:rFonts w:ascii="Arial" w:eastAsia="Calibri" w:hAnsi="Arial" w:cs="Arial"/>
          <w:sz w:val="24"/>
          <w:szCs w:val="24"/>
          <w:lang w:val="es-CO" w:eastAsia="en-US"/>
        </w:rPr>
        <w:t xml:space="preserve"> </w:t>
      </w:r>
      <w:r w:rsidR="00E01E5E" w:rsidRPr="3CE3F0DF">
        <w:rPr>
          <w:rFonts w:ascii="Arial" w:eastAsia="Calibri" w:hAnsi="Arial" w:cs="Arial"/>
          <w:sz w:val="24"/>
          <w:szCs w:val="24"/>
          <w:lang w:val="es-CO" w:eastAsia="en-US"/>
        </w:rPr>
        <w:t xml:space="preserve">y </w:t>
      </w:r>
      <w:r w:rsidR="00AF5BFD" w:rsidRPr="3CE3F0DF">
        <w:rPr>
          <w:rFonts w:ascii="Arial" w:eastAsia="Calibri" w:hAnsi="Arial" w:cs="Arial"/>
          <w:sz w:val="24"/>
          <w:szCs w:val="24"/>
          <w:lang w:val="es-CO" w:eastAsia="en-US"/>
        </w:rPr>
        <w:t>no</w:t>
      </w:r>
      <w:r w:rsidR="00E01E5E" w:rsidRPr="3CE3F0DF">
        <w:rPr>
          <w:rFonts w:ascii="Arial" w:eastAsia="Calibri" w:hAnsi="Arial" w:cs="Arial"/>
          <w:sz w:val="24"/>
          <w:szCs w:val="24"/>
          <w:lang w:val="es-CO" w:eastAsia="en-US"/>
        </w:rPr>
        <w:t xml:space="preserve"> supera</w:t>
      </w:r>
      <w:r w:rsidR="00530594" w:rsidRPr="3CE3F0DF">
        <w:rPr>
          <w:rFonts w:ascii="Arial" w:eastAsia="Calibri" w:hAnsi="Arial" w:cs="Arial"/>
          <w:sz w:val="24"/>
          <w:szCs w:val="24"/>
          <w:lang w:val="es-CO" w:eastAsia="en-US"/>
        </w:rPr>
        <w:t>ba</w:t>
      </w:r>
      <w:r w:rsidR="00E01E5E" w:rsidRPr="3CE3F0DF">
        <w:rPr>
          <w:rFonts w:ascii="Arial" w:eastAsia="Calibri" w:hAnsi="Arial" w:cs="Arial"/>
          <w:sz w:val="24"/>
          <w:szCs w:val="24"/>
          <w:lang w:val="es-CO" w:eastAsia="en-US"/>
        </w:rPr>
        <w:t xml:space="preserve"> los 1.500 </w:t>
      </w:r>
      <w:r w:rsidR="00AF5BFD" w:rsidRPr="3CE3F0DF">
        <w:rPr>
          <w:rFonts w:ascii="Arial" w:eastAsia="Calibri" w:hAnsi="Arial" w:cs="Arial"/>
          <w:sz w:val="24"/>
          <w:szCs w:val="24"/>
          <w:lang w:val="es-CO" w:eastAsia="en-US"/>
        </w:rPr>
        <w:t xml:space="preserve">SMLMV. </w:t>
      </w:r>
    </w:p>
    <w:p w14:paraId="0AB732AA" w14:textId="311F6D7D" w:rsidR="00AF5BFD" w:rsidRDefault="00AF5BFD" w:rsidP="00CB0A46">
      <w:pPr>
        <w:overflowPunct w:val="0"/>
        <w:autoSpaceDE w:val="0"/>
        <w:autoSpaceDN w:val="0"/>
        <w:adjustRightInd w:val="0"/>
        <w:spacing w:line="276" w:lineRule="auto"/>
        <w:ind w:right="-234"/>
        <w:contextualSpacing/>
        <w:jc w:val="both"/>
        <w:textAlignment w:val="baseline"/>
        <w:rPr>
          <w:rFonts w:ascii="Arial" w:eastAsia="Calibri" w:hAnsi="Arial" w:cs="Arial"/>
          <w:sz w:val="24"/>
          <w:szCs w:val="24"/>
          <w:lang w:val="es-CO" w:eastAsia="en-US"/>
        </w:rPr>
      </w:pPr>
    </w:p>
    <w:p w14:paraId="385BC31C" w14:textId="22E77087" w:rsidR="004276B5" w:rsidRPr="00605EE8" w:rsidRDefault="000F3727" w:rsidP="00CB0A46">
      <w:pPr>
        <w:autoSpaceDE w:val="0"/>
        <w:autoSpaceDN w:val="0"/>
        <w:adjustRightInd w:val="0"/>
        <w:spacing w:line="276" w:lineRule="auto"/>
        <w:ind w:right="-234"/>
        <w:jc w:val="both"/>
        <w:rPr>
          <w:rFonts w:ascii="Arial" w:eastAsia="Calibri" w:hAnsi="Arial" w:cs="Arial"/>
          <w:sz w:val="24"/>
          <w:szCs w:val="24"/>
          <w:lang w:val="es-CO" w:eastAsia="en-US"/>
        </w:rPr>
      </w:pPr>
      <w:r w:rsidRPr="10644CC7">
        <w:rPr>
          <w:rFonts w:ascii="Arial" w:eastAsiaTheme="minorEastAsia" w:hAnsi="Arial" w:cs="Arial"/>
          <w:sz w:val="24"/>
          <w:szCs w:val="24"/>
          <w:lang w:val="es-CO" w:eastAsia="en-US"/>
        </w:rPr>
        <w:t>7</w:t>
      </w:r>
      <w:r w:rsidR="0071425F" w:rsidRPr="10644CC7">
        <w:rPr>
          <w:rFonts w:ascii="Arial" w:eastAsiaTheme="minorEastAsia" w:hAnsi="Arial" w:cs="Arial"/>
          <w:sz w:val="24"/>
          <w:szCs w:val="24"/>
          <w:lang w:val="es-CO" w:eastAsia="en-US"/>
        </w:rPr>
        <w:t>.</w:t>
      </w:r>
      <w:r w:rsidR="00BF35D4" w:rsidRPr="10644CC7">
        <w:rPr>
          <w:rFonts w:ascii="Arial" w:eastAsiaTheme="minorEastAsia" w:hAnsi="Arial" w:cs="Arial"/>
          <w:sz w:val="24"/>
          <w:szCs w:val="24"/>
          <w:lang w:val="es-CO" w:eastAsia="en-US"/>
        </w:rPr>
        <w:t>3</w:t>
      </w:r>
      <w:r w:rsidR="0071425F" w:rsidRPr="10644CC7">
        <w:rPr>
          <w:rFonts w:ascii="Arial" w:eastAsiaTheme="minorEastAsia" w:hAnsi="Arial" w:cs="Arial"/>
          <w:sz w:val="24"/>
          <w:szCs w:val="24"/>
          <w:lang w:val="es-CO" w:eastAsia="en-US"/>
        </w:rPr>
        <w:t xml:space="preserve">. </w:t>
      </w:r>
      <w:r w:rsidR="00AF5BFD" w:rsidRPr="10644CC7">
        <w:rPr>
          <w:rFonts w:ascii="Arial" w:eastAsiaTheme="minorEastAsia" w:hAnsi="Arial" w:cs="Arial"/>
          <w:sz w:val="24"/>
          <w:szCs w:val="24"/>
          <w:lang w:val="es-CO" w:eastAsia="en-US"/>
        </w:rPr>
        <w:t>Concluyó que no est</w:t>
      </w:r>
      <w:r w:rsidR="0071425F" w:rsidRPr="10644CC7">
        <w:rPr>
          <w:rFonts w:ascii="Arial" w:eastAsiaTheme="minorEastAsia" w:hAnsi="Arial" w:cs="Arial"/>
          <w:sz w:val="24"/>
          <w:szCs w:val="24"/>
          <w:lang w:val="es-CO" w:eastAsia="en-US"/>
        </w:rPr>
        <w:t>aba</w:t>
      </w:r>
      <w:r w:rsidR="00AF5BFD" w:rsidRPr="10644CC7">
        <w:rPr>
          <w:rFonts w:ascii="Arial" w:eastAsiaTheme="minorEastAsia" w:hAnsi="Arial" w:cs="Arial"/>
          <w:sz w:val="24"/>
          <w:szCs w:val="24"/>
          <w:lang w:val="es-CO" w:eastAsia="en-US"/>
        </w:rPr>
        <w:t xml:space="preserve"> solicitando se libr</w:t>
      </w:r>
      <w:r w:rsidR="0071425F" w:rsidRPr="10644CC7">
        <w:rPr>
          <w:rFonts w:ascii="Arial" w:eastAsiaTheme="minorEastAsia" w:hAnsi="Arial" w:cs="Arial"/>
          <w:sz w:val="24"/>
          <w:szCs w:val="24"/>
          <w:lang w:val="es-CO" w:eastAsia="en-US"/>
        </w:rPr>
        <w:t>ara</w:t>
      </w:r>
      <w:r w:rsidR="00AF5BFD" w:rsidRPr="10644CC7">
        <w:rPr>
          <w:rFonts w:ascii="Arial" w:eastAsiaTheme="minorEastAsia" w:hAnsi="Arial" w:cs="Arial"/>
          <w:sz w:val="24"/>
          <w:szCs w:val="24"/>
          <w:lang w:val="es-CO" w:eastAsia="en-US"/>
        </w:rPr>
        <w:t xml:space="preserve"> mandamiento ejecutivo con base a un </w:t>
      </w:r>
      <w:r w:rsidR="0071425F" w:rsidRPr="10644CC7">
        <w:rPr>
          <w:rFonts w:ascii="Arial" w:eastAsiaTheme="minorEastAsia" w:hAnsi="Arial" w:cs="Arial"/>
          <w:sz w:val="24"/>
          <w:szCs w:val="24"/>
          <w:lang w:val="es-CO" w:eastAsia="en-US"/>
        </w:rPr>
        <w:t xml:space="preserve">título valor </w:t>
      </w:r>
      <w:r w:rsidR="00AF5BFD" w:rsidRPr="10644CC7">
        <w:rPr>
          <w:rFonts w:ascii="Arial" w:eastAsiaTheme="minorEastAsia" w:hAnsi="Arial" w:cs="Arial"/>
          <w:sz w:val="24"/>
          <w:szCs w:val="24"/>
          <w:lang w:val="es-CO" w:eastAsia="en-US"/>
        </w:rPr>
        <w:t>como lo establec</w:t>
      </w:r>
      <w:r w:rsidR="77E66A18" w:rsidRPr="10644CC7">
        <w:rPr>
          <w:rFonts w:ascii="Arial" w:eastAsiaTheme="minorEastAsia" w:hAnsi="Arial" w:cs="Arial"/>
          <w:sz w:val="24"/>
          <w:szCs w:val="24"/>
          <w:lang w:val="es-CO" w:eastAsia="en-US"/>
        </w:rPr>
        <w:t>ía</w:t>
      </w:r>
      <w:r w:rsidR="00AF5BFD" w:rsidRPr="10644CC7">
        <w:rPr>
          <w:rFonts w:ascii="Arial" w:eastAsiaTheme="minorEastAsia" w:hAnsi="Arial" w:cs="Arial"/>
          <w:sz w:val="24"/>
          <w:szCs w:val="24"/>
          <w:lang w:val="es-CO" w:eastAsia="en-US"/>
        </w:rPr>
        <w:t xml:space="preserve"> el Código de Comercio, sino con</w:t>
      </w:r>
      <w:r w:rsidR="0071425F" w:rsidRPr="10644CC7">
        <w:rPr>
          <w:rFonts w:ascii="Arial" w:eastAsiaTheme="minorEastAsia" w:hAnsi="Arial" w:cs="Arial"/>
          <w:sz w:val="24"/>
          <w:szCs w:val="24"/>
          <w:lang w:val="es-CO" w:eastAsia="en-US"/>
        </w:rPr>
        <w:t xml:space="preserve"> </w:t>
      </w:r>
      <w:r w:rsidR="00AF5BFD" w:rsidRPr="10644CC7">
        <w:rPr>
          <w:rFonts w:ascii="Arial" w:eastAsiaTheme="minorEastAsia" w:hAnsi="Arial" w:cs="Arial"/>
          <w:sz w:val="24"/>
          <w:szCs w:val="24"/>
          <w:lang w:val="es-CO" w:eastAsia="en-US"/>
        </w:rPr>
        <w:t xml:space="preserve">un </w:t>
      </w:r>
      <w:r w:rsidR="0071425F" w:rsidRPr="10644CC7">
        <w:rPr>
          <w:rFonts w:ascii="Arial" w:eastAsiaTheme="minorEastAsia" w:hAnsi="Arial" w:cs="Arial"/>
          <w:sz w:val="24"/>
          <w:szCs w:val="24"/>
          <w:lang w:val="es-CO" w:eastAsia="en-US"/>
        </w:rPr>
        <w:t>acto administrativo teniendo en cuenta</w:t>
      </w:r>
      <w:r w:rsidR="00AF5BFD" w:rsidRPr="10644CC7">
        <w:rPr>
          <w:rFonts w:ascii="Arial" w:eastAsiaTheme="minorEastAsia" w:hAnsi="Arial" w:cs="Arial"/>
          <w:sz w:val="24"/>
          <w:szCs w:val="24"/>
          <w:lang w:val="es-CO" w:eastAsia="en-US"/>
        </w:rPr>
        <w:t xml:space="preserve"> la reforma a la demanda</w:t>
      </w:r>
      <w:r w:rsidR="0071425F" w:rsidRPr="10644CC7">
        <w:rPr>
          <w:rFonts w:ascii="Arial" w:eastAsiaTheme="minorEastAsia" w:hAnsi="Arial" w:cs="Arial"/>
          <w:sz w:val="24"/>
          <w:szCs w:val="24"/>
          <w:lang w:val="es-CO" w:eastAsia="en-US"/>
        </w:rPr>
        <w:t xml:space="preserve"> </w:t>
      </w:r>
      <w:r w:rsidR="00AF5BFD" w:rsidRPr="10644CC7">
        <w:rPr>
          <w:rFonts w:ascii="Arial" w:eastAsiaTheme="minorEastAsia" w:hAnsi="Arial" w:cs="Arial"/>
          <w:sz w:val="24"/>
          <w:szCs w:val="24"/>
          <w:lang w:val="es-CO" w:eastAsia="en-US"/>
        </w:rPr>
        <w:t xml:space="preserve">con fundamento en el </w:t>
      </w:r>
      <w:r w:rsidR="0071425F" w:rsidRPr="10644CC7">
        <w:rPr>
          <w:rFonts w:ascii="Arial" w:eastAsiaTheme="minorEastAsia" w:hAnsi="Arial" w:cs="Arial"/>
          <w:sz w:val="24"/>
          <w:szCs w:val="24"/>
          <w:lang w:val="es-CO" w:eastAsia="en-US"/>
        </w:rPr>
        <w:t>a</w:t>
      </w:r>
      <w:r w:rsidR="00AF5BFD" w:rsidRPr="10644CC7">
        <w:rPr>
          <w:rFonts w:ascii="Arial" w:eastAsiaTheme="minorEastAsia" w:hAnsi="Arial" w:cs="Arial"/>
          <w:sz w:val="24"/>
          <w:szCs w:val="24"/>
          <w:lang w:val="es-CO" w:eastAsia="en-US"/>
        </w:rPr>
        <w:t>rt</w:t>
      </w:r>
      <w:r w:rsidR="0071425F" w:rsidRPr="10644CC7">
        <w:rPr>
          <w:rFonts w:ascii="Arial" w:eastAsiaTheme="minorEastAsia" w:hAnsi="Arial" w:cs="Arial"/>
          <w:sz w:val="24"/>
          <w:szCs w:val="24"/>
          <w:lang w:val="es-CO" w:eastAsia="en-US"/>
        </w:rPr>
        <w:t xml:space="preserve">ículo </w:t>
      </w:r>
      <w:r w:rsidR="00AF5BFD" w:rsidRPr="10644CC7">
        <w:rPr>
          <w:rFonts w:ascii="Arial" w:eastAsiaTheme="minorEastAsia" w:hAnsi="Arial" w:cs="Arial"/>
          <w:sz w:val="24"/>
          <w:szCs w:val="24"/>
          <w:lang w:val="es-CO" w:eastAsia="en-US"/>
        </w:rPr>
        <w:t>93 del CGP.</w:t>
      </w:r>
    </w:p>
    <w:p w14:paraId="303D8524" w14:textId="1706D20A" w:rsidR="005D68B3" w:rsidRPr="005D68B3" w:rsidRDefault="00AA1F5C" w:rsidP="00CB0A46">
      <w:pPr>
        <w:overflowPunct w:val="0"/>
        <w:autoSpaceDE w:val="0"/>
        <w:autoSpaceDN w:val="0"/>
        <w:adjustRightInd w:val="0"/>
        <w:spacing w:line="276" w:lineRule="auto"/>
        <w:ind w:right="-234"/>
        <w:contextualSpacing/>
        <w:jc w:val="both"/>
        <w:textAlignment w:val="baseline"/>
        <w:rPr>
          <w:rFonts w:ascii="Arial" w:eastAsia="Calibri" w:hAnsi="Arial" w:cs="Arial"/>
          <w:sz w:val="24"/>
          <w:szCs w:val="24"/>
          <w:lang w:val="es-CO" w:eastAsia="en-US"/>
        </w:rPr>
      </w:pPr>
      <w:r w:rsidRPr="00AA1F5C">
        <w:rPr>
          <w:rFonts w:ascii="Arial" w:eastAsia="Calibri" w:hAnsi="Arial" w:cs="Arial"/>
          <w:i/>
          <w:sz w:val="24"/>
          <w:szCs w:val="24"/>
          <w:lang w:val="es-CO" w:eastAsia="en-US"/>
        </w:rPr>
        <w:t xml:space="preserve"> </w:t>
      </w:r>
    </w:p>
    <w:p w14:paraId="188C5281" w14:textId="77777777" w:rsidR="00605EE8" w:rsidRPr="008F6286" w:rsidRDefault="0071425F" w:rsidP="00CB0A46">
      <w:pPr>
        <w:pStyle w:val="Ttulo2"/>
        <w:ind w:right="-234"/>
        <w:rPr>
          <w:rFonts w:ascii="Arial" w:eastAsia="Calibri" w:hAnsi="Arial" w:cs="Arial"/>
          <w:b/>
          <w:color w:val="auto"/>
          <w:sz w:val="24"/>
          <w:szCs w:val="24"/>
          <w:lang w:val="es-CO" w:eastAsia="en-US"/>
        </w:rPr>
      </w:pPr>
      <w:r w:rsidRPr="008F6286">
        <w:rPr>
          <w:rFonts w:ascii="Arial" w:eastAsia="Calibri" w:hAnsi="Arial" w:cs="Arial"/>
          <w:b/>
          <w:color w:val="auto"/>
          <w:sz w:val="24"/>
          <w:szCs w:val="24"/>
          <w:lang w:val="es-CO" w:eastAsia="en-US"/>
        </w:rPr>
        <w:t>Decisión del recurso de reposición</w:t>
      </w:r>
      <w:r w:rsidRPr="008F6286">
        <w:rPr>
          <w:rStyle w:val="Refdenotaalpie"/>
          <w:rFonts w:ascii="Arial" w:eastAsia="Calibri" w:hAnsi="Arial" w:cs="Arial"/>
          <w:b/>
          <w:color w:val="auto"/>
          <w:sz w:val="24"/>
          <w:szCs w:val="24"/>
          <w:lang w:val="es-CO" w:eastAsia="en-US"/>
        </w:rPr>
        <w:footnoteReference w:id="11"/>
      </w:r>
    </w:p>
    <w:p w14:paraId="46692555" w14:textId="26DDA890" w:rsidR="00605EE8" w:rsidRDefault="00605EE8" w:rsidP="00CB0A46">
      <w:pPr>
        <w:overflowPunct w:val="0"/>
        <w:autoSpaceDE w:val="0"/>
        <w:autoSpaceDN w:val="0"/>
        <w:adjustRightInd w:val="0"/>
        <w:spacing w:line="276" w:lineRule="auto"/>
        <w:ind w:right="-234"/>
        <w:contextualSpacing/>
        <w:jc w:val="both"/>
        <w:textAlignment w:val="baseline"/>
        <w:rPr>
          <w:rFonts w:ascii="Arial" w:eastAsia="Calibri" w:hAnsi="Arial" w:cs="Arial"/>
          <w:b/>
          <w:sz w:val="24"/>
          <w:szCs w:val="24"/>
          <w:lang w:val="es-CO" w:eastAsia="en-US"/>
        </w:rPr>
      </w:pPr>
    </w:p>
    <w:p w14:paraId="6E692183" w14:textId="79FF30BF" w:rsidR="001E1B9F" w:rsidRPr="00C232CC" w:rsidRDefault="008D7936" w:rsidP="00C232CC">
      <w:pPr>
        <w:pStyle w:val="Prrafodelista"/>
        <w:widowControl w:val="0"/>
        <w:numPr>
          <w:ilvl w:val="0"/>
          <w:numId w:val="26"/>
        </w:numPr>
        <w:suppressAutoHyphens/>
        <w:spacing w:line="276" w:lineRule="auto"/>
        <w:ind w:left="0" w:right="-234" w:firstLine="0"/>
        <w:contextualSpacing/>
        <w:jc w:val="both"/>
        <w:rPr>
          <w:rFonts w:ascii="Arial" w:hAnsi="Arial" w:cs="Arial"/>
          <w:sz w:val="24"/>
          <w:szCs w:val="24"/>
        </w:rPr>
      </w:pPr>
      <w:r w:rsidRPr="10644CC7">
        <w:rPr>
          <w:rFonts w:ascii="Arial" w:eastAsia="Calibri" w:hAnsi="Arial" w:cs="Arial"/>
          <w:sz w:val="24"/>
          <w:szCs w:val="24"/>
          <w:lang w:val="es-CO" w:eastAsia="en-US"/>
        </w:rPr>
        <w:t>En auto de</w:t>
      </w:r>
      <w:r w:rsidR="0071425F" w:rsidRPr="10644CC7">
        <w:rPr>
          <w:rFonts w:ascii="Arial" w:eastAsia="Calibri" w:hAnsi="Arial" w:cs="Arial"/>
          <w:sz w:val="24"/>
          <w:szCs w:val="24"/>
          <w:lang w:val="es-CO" w:eastAsia="en-US"/>
        </w:rPr>
        <w:t xml:space="preserve"> 10 de diciembre de 2020</w:t>
      </w:r>
      <w:r w:rsidRPr="10644CC7">
        <w:rPr>
          <w:rFonts w:ascii="Arial" w:eastAsia="Calibri" w:hAnsi="Arial" w:cs="Arial"/>
          <w:sz w:val="24"/>
          <w:szCs w:val="24"/>
          <w:lang w:val="es-CO" w:eastAsia="en-US"/>
        </w:rPr>
        <w:t>,</w:t>
      </w:r>
      <w:r w:rsidR="0071425F" w:rsidRPr="10644CC7">
        <w:rPr>
          <w:rFonts w:ascii="Arial" w:eastAsia="Calibri" w:hAnsi="Arial" w:cs="Arial"/>
          <w:sz w:val="24"/>
          <w:szCs w:val="24"/>
          <w:lang w:val="es-CO" w:eastAsia="en-US"/>
        </w:rPr>
        <w:t xml:space="preserve"> el Juzgado Catorce Administrativo del Circuito Judicial de Tunja declaró improcedente el recurso de reposición</w:t>
      </w:r>
      <w:r w:rsidR="24315CA5" w:rsidRPr="10644CC7">
        <w:rPr>
          <w:rFonts w:ascii="Arial" w:eastAsia="Calibri" w:hAnsi="Arial" w:cs="Arial"/>
          <w:sz w:val="24"/>
          <w:szCs w:val="24"/>
          <w:lang w:val="es-CO" w:eastAsia="en-US"/>
        </w:rPr>
        <w:t xml:space="preserve"> y</w:t>
      </w:r>
      <w:r w:rsidR="00521722" w:rsidRPr="10644CC7">
        <w:rPr>
          <w:rFonts w:ascii="Arial" w:eastAsia="Calibri" w:hAnsi="Arial" w:cs="Arial"/>
          <w:sz w:val="24"/>
          <w:szCs w:val="24"/>
          <w:lang w:val="es-CO" w:eastAsia="en-US"/>
        </w:rPr>
        <w:t xml:space="preserve"> concedió </w:t>
      </w:r>
      <w:r w:rsidR="0071425F" w:rsidRPr="10644CC7">
        <w:rPr>
          <w:rFonts w:ascii="Arial" w:eastAsia="Calibri" w:hAnsi="Arial" w:cs="Arial"/>
          <w:sz w:val="24"/>
          <w:szCs w:val="24"/>
          <w:lang w:val="es-CO" w:eastAsia="en-US"/>
        </w:rPr>
        <w:t>el de apelación</w:t>
      </w:r>
      <w:r w:rsidRPr="10644CC7">
        <w:rPr>
          <w:rFonts w:ascii="Arial" w:eastAsia="Calibri" w:hAnsi="Arial" w:cs="Arial"/>
          <w:sz w:val="24"/>
          <w:szCs w:val="24"/>
          <w:lang w:val="es-CO" w:eastAsia="en-US"/>
        </w:rPr>
        <w:t xml:space="preserve"> presentado y sustentado por el apoderado de la parte ejecutante contra el auto de 5 de octubre de 2020</w:t>
      </w:r>
      <w:r w:rsidR="00530594" w:rsidRPr="10644CC7">
        <w:rPr>
          <w:rFonts w:ascii="Arial" w:eastAsia="Calibri" w:hAnsi="Arial" w:cs="Arial"/>
          <w:sz w:val="24"/>
          <w:szCs w:val="24"/>
          <w:lang w:val="es-CO" w:eastAsia="en-US"/>
        </w:rPr>
        <w:t>,</w:t>
      </w:r>
      <w:r w:rsidR="006359AB" w:rsidRPr="10644CC7">
        <w:rPr>
          <w:rFonts w:ascii="Arial" w:eastAsia="Calibri" w:hAnsi="Arial" w:cs="Arial"/>
          <w:sz w:val="24"/>
          <w:szCs w:val="24"/>
          <w:lang w:val="es-CO" w:eastAsia="en-US"/>
        </w:rPr>
        <w:t xml:space="preserve"> que negó la solicitud de reforma de la demanda</w:t>
      </w:r>
      <w:r w:rsidR="0071425F" w:rsidRPr="10644CC7">
        <w:rPr>
          <w:rFonts w:ascii="Arial" w:eastAsia="Calibri" w:hAnsi="Arial" w:cs="Arial"/>
          <w:sz w:val="24"/>
          <w:szCs w:val="24"/>
          <w:lang w:val="es-CO" w:eastAsia="en-US"/>
        </w:rPr>
        <w:t xml:space="preserve">. </w:t>
      </w:r>
    </w:p>
    <w:p w14:paraId="4DFDFC2F" w14:textId="77777777" w:rsidR="00C232CC" w:rsidRPr="00C232CC" w:rsidRDefault="00C232CC" w:rsidP="00C232CC">
      <w:pPr>
        <w:pStyle w:val="Prrafodelista"/>
        <w:widowControl w:val="0"/>
        <w:suppressAutoHyphens/>
        <w:spacing w:line="276" w:lineRule="auto"/>
        <w:ind w:left="0" w:right="-234"/>
        <w:contextualSpacing/>
        <w:jc w:val="both"/>
        <w:rPr>
          <w:rFonts w:ascii="Arial" w:hAnsi="Arial" w:cs="Arial"/>
          <w:sz w:val="24"/>
          <w:szCs w:val="24"/>
        </w:rPr>
      </w:pPr>
    </w:p>
    <w:p w14:paraId="48694ED2" w14:textId="08F61F52" w:rsidR="00206851" w:rsidRPr="008F6286" w:rsidRDefault="001E1B9F" w:rsidP="00CB0A46">
      <w:pPr>
        <w:pStyle w:val="Ttulo1"/>
        <w:numPr>
          <w:ilvl w:val="0"/>
          <w:numId w:val="25"/>
        </w:numPr>
        <w:ind w:right="-234"/>
        <w:jc w:val="center"/>
        <w:rPr>
          <w:rFonts w:ascii="Arial" w:eastAsia="Calibri" w:hAnsi="Arial" w:cs="Arial"/>
          <w:b/>
          <w:color w:val="auto"/>
          <w:sz w:val="24"/>
          <w:lang w:val="es-CO" w:eastAsia="en-US"/>
        </w:rPr>
      </w:pPr>
      <w:r w:rsidRPr="008F6286">
        <w:rPr>
          <w:rFonts w:ascii="Arial" w:eastAsia="Calibri" w:hAnsi="Arial" w:cs="Arial"/>
          <w:b/>
          <w:color w:val="auto"/>
          <w:sz w:val="24"/>
          <w:lang w:val="es-CO" w:eastAsia="en-US"/>
        </w:rPr>
        <w:t>CONSIDERACIONES</w:t>
      </w:r>
    </w:p>
    <w:p w14:paraId="25BB0A06" w14:textId="77777777" w:rsidR="00B64769" w:rsidRDefault="00B64769" w:rsidP="00CB0A46">
      <w:pPr>
        <w:spacing w:line="276" w:lineRule="auto"/>
        <w:ind w:right="-234"/>
        <w:contextualSpacing/>
        <w:rPr>
          <w:rFonts w:ascii="Arial" w:eastAsia="Calibri" w:hAnsi="Arial" w:cs="Arial"/>
          <w:b/>
          <w:sz w:val="24"/>
          <w:szCs w:val="24"/>
          <w:lang w:val="es-CO" w:eastAsia="en-US"/>
        </w:rPr>
      </w:pPr>
    </w:p>
    <w:p w14:paraId="1399A4FE" w14:textId="7CD728DA" w:rsidR="007C60C4" w:rsidRDefault="5ED813EC" w:rsidP="3CE3F0DF">
      <w:pPr>
        <w:pStyle w:val="Ttulo2"/>
        <w:ind w:right="-234"/>
        <w:rPr>
          <w:rFonts w:ascii="Arial" w:hAnsi="Arial" w:cs="Arial"/>
          <w:b/>
          <w:bCs/>
          <w:color w:val="auto"/>
          <w:sz w:val="24"/>
          <w:szCs w:val="24"/>
        </w:rPr>
      </w:pPr>
      <w:r w:rsidRPr="3CE3F0DF">
        <w:rPr>
          <w:rFonts w:ascii="Arial" w:hAnsi="Arial" w:cs="Arial"/>
          <w:b/>
          <w:bCs/>
          <w:color w:val="auto"/>
          <w:sz w:val="24"/>
          <w:szCs w:val="24"/>
        </w:rPr>
        <w:t xml:space="preserve">1. </w:t>
      </w:r>
      <w:r w:rsidR="007C60C4" w:rsidRPr="3CE3F0DF">
        <w:rPr>
          <w:rFonts w:ascii="Arial" w:hAnsi="Arial" w:cs="Arial"/>
          <w:b/>
          <w:bCs/>
          <w:color w:val="auto"/>
          <w:sz w:val="24"/>
          <w:szCs w:val="24"/>
        </w:rPr>
        <w:t>Competencia para conocer del presente asunto como excepción a la regla prevista en el artículo 104 del CPACA</w:t>
      </w:r>
    </w:p>
    <w:p w14:paraId="28CA93EB" w14:textId="7E9972F6" w:rsidR="0082270E" w:rsidRDefault="0082270E" w:rsidP="00CB0A46">
      <w:pPr>
        <w:ind w:right="-234"/>
      </w:pPr>
    </w:p>
    <w:p w14:paraId="5FDC4A57" w14:textId="211CD8EE" w:rsidR="0082270E" w:rsidRDefault="0082270E" w:rsidP="00CB0A46">
      <w:pPr>
        <w:ind w:right="-234"/>
      </w:pPr>
    </w:p>
    <w:p w14:paraId="1AEE7A2C" w14:textId="010E0C2C" w:rsidR="0082270E" w:rsidRDefault="0082270E" w:rsidP="00CB0A46">
      <w:pPr>
        <w:pStyle w:val="Prrafodelista"/>
        <w:widowControl w:val="0"/>
        <w:numPr>
          <w:ilvl w:val="0"/>
          <w:numId w:val="26"/>
        </w:numPr>
        <w:suppressAutoHyphens/>
        <w:spacing w:line="276" w:lineRule="auto"/>
        <w:ind w:left="0" w:right="-234" w:firstLine="0"/>
        <w:contextualSpacing/>
        <w:jc w:val="both"/>
        <w:rPr>
          <w:rFonts w:ascii="Arial" w:eastAsia="Calibri" w:hAnsi="Arial" w:cs="Arial"/>
          <w:sz w:val="24"/>
          <w:szCs w:val="24"/>
          <w:lang w:val="es-CO" w:eastAsia="en-US"/>
        </w:rPr>
      </w:pPr>
      <w:r w:rsidRPr="3CE3F0DF">
        <w:rPr>
          <w:rFonts w:ascii="Arial" w:eastAsia="Calibri" w:hAnsi="Arial" w:cs="Arial"/>
          <w:sz w:val="24"/>
          <w:szCs w:val="24"/>
          <w:lang w:val="es-CO" w:eastAsia="en-US"/>
        </w:rPr>
        <w:t xml:space="preserve">En </w:t>
      </w:r>
      <w:r w:rsidR="00206851" w:rsidRPr="3CE3F0DF">
        <w:rPr>
          <w:rFonts w:ascii="Arial" w:eastAsia="Calibri" w:hAnsi="Arial" w:cs="Arial"/>
          <w:sz w:val="24"/>
          <w:szCs w:val="24"/>
          <w:lang w:val="es-CO" w:eastAsia="en-US"/>
        </w:rPr>
        <w:t xml:space="preserve">relación con los asuntos de conocimiento de la </w:t>
      </w:r>
      <w:r w:rsidR="668B8A5B" w:rsidRPr="3CE3F0DF">
        <w:rPr>
          <w:rFonts w:ascii="Arial" w:eastAsia="Calibri" w:hAnsi="Arial" w:cs="Arial"/>
          <w:sz w:val="24"/>
          <w:szCs w:val="24"/>
          <w:lang w:val="es-CO" w:eastAsia="en-US"/>
        </w:rPr>
        <w:t>J</w:t>
      </w:r>
      <w:r w:rsidR="00206851" w:rsidRPr="3CE3F0DF">
        <w:rPr>
          <w:rFonts w:ascii="Arial" w:eastAsia="Calibri" w:hAnsi="Arial" w:cs="Arial"/>
          <w:sz w:val="24"/>
          <w:szCs w:val="24"/>
          <w:lang w:val="es-CO" w:eastAsia="en-US"/>
        </w:rPr>
        <w:t xml:space="preserve">urisdicción de lo </w:t>
      </w:r>
      <w:r w:rsidR="4B723B08" w:rsidRPr="3CE3F0DF">
        <w:rPr>
          <w:rFonts w:ascii="Arial" w:eastAsia="Calibri" w:hAnsi="Arial" w:cs="Arial"/>
          <w:sz w:val="24"/>
          <w:szCs w:val="24"/>
          <w:lang w:val="es-CO" w:eastAsia="en-US"/>
        </w:rPr>
        <w:t>C</w:t>
      </w:r>
      <w:r w:rsidR="00206851" w:rsidRPr="3CE3F0DF">
        <w:rPr>
          <w:rFonts w:ascii="Arial" w:eastAsia="Calibri" w:hAnsi="Arial" w:cs="Arial"/>
          <w:sz w:val="24"/>
          <w:szCs w:val="24"/>
          <w:lang w:val="es-CO" w:eastAsia="en-US"/>
        </w:rPr>
        <w:t xml:space="preserve">ontencioso </w:t>
      </w:r>
      <w:r w:rsidR="42EA9747" w:rsidRPr="3CE3F0DF">
        <w:rPr>
          <w:rFonts w:ascii="Arial" w:eastAsia="Calibri" w:hAnsi="Arial" w:cs="Arial"/>
          <w:sz w:val="24"/>
          <w:szCs w:val="24"/>
          <w:lang w:val="es-CO" w:eastAsia="en-US"/>
        </w:rPr>
        <w:t>A</w:t>
      </w:r>
      <w:r w:rsidR="00206851" w:rsidRPr="3CE3F0DF">
        <w:rPr>
          <w:rFonts w:ascii="Arial" w:eastAsia="Calibri" w:hAnsi="Arial" w:cs="Arial"/>
          <w:sz w:val="24"/>
          <w:szCs w:val="24"/>
          <w:lang w:val="es-CO" w:eastAsia="en-US"/>
        </w:rPr>
        <w:t xml:space="preserve">dministrativo, </w:t>
      </w:r>
      <w:r w:rsidR="00806EF3" w:rsidRPr="3CE3F0DF">
        <w:rPr>
          <w:rFonts w:ascii="Arial" w:eastAsia="Calibri" w:hAnsi="Arial" w:cs="Arial"/>
          <w:sz w:val="24"/>
          <w:szCs w:val="24"/>
          <w:lang w:val="es-CO" w:eastAsia="en-US"/>
        </w:rPr>
        <w:t xml:space="preserve">de conformidad con lo dispuesto en </w:t>
      </w:r>
      <w:r w:rsidR="007640FC" w:rsidRPr="3CE3F0DF">
        <w:rPr>
          <w:rFonts w:ascii="Arial" w:eastAsia="Calibri" w:hAnsi="Arial" w:cs="Arial"/>
          <w:sz w:val="24"/>
          <w:szCs w:val="24"/>
          <w:lang w:val="es-CO" w:eastAsia="en-US"/>
        </w:rPr>
        <w:t>los</w:t>
      </w:r>
      <w:r w:rsidR="00206851" w:rsidRPr="3CE3F0DF">
        <w:rPr>
          <w:rFonts w:ascii="Arial" w:eastAsia="Calibri" w:hAnsi="Arial" w:cs="Arial"/>
          <w:sz w:val="24"/>
          <w:szCs w:val="24"/>
          <w:lang w:val="es-CO" w:eastAsia="en-US"/>
        </w:rPr>
        <w:t xml:space="preserve"> artículo</w:t>
      </w:r>
      <w:r w:rsidR="007640FC" w:rsidRPr="3CE3F0DF">
        <w:rPr>
          <w:rFonts w:ascii="Arial" w:eastAsia="Calibri" w:hAnsi="Arial" w:cs="Arial"/>
          <w:sz w:val="24"/>
          <w:szCs w:val="24"/>
          <w:lang w:val="es-CO" w:eastAsia="en-US"/>
        </w:rPr>
        <w:t>s</w:t>
      </w:r>
      <w:r w:rsidR="00206851" w:rsidRPr="3CE3F0DF">
        <w:rPr>
          <w:rFonts w:ascii="Arial" w:eastAsia="Calibri" w:hAnsi="Arial" w:cs="Arial"/>
          <w:sz w:val="24"/>
          <w:szCs w:val="24"/>
          <w:lang w:val="es-CO" w:eastAsia="en-US"/>
        </w:rPr>
        <w:t xml:space="preserve"> 104-6 y 297-4 de la Ley 1437 de 2011, </w:t>
      </w:r>
      <w:r w:rsidR="2A97F309" w:rsidRPr="3CE3F0DF">
        <w:rPr>
          <w:rFonts w:ascii="Arial" w:eastAsia="Calibri" w:hAnsi="Arial" w:cs="Arial"/>
          <w:sz w:val="24"/>
          <w:szCs w:val="24"/>
          <w:lang w:val="es-CO" w:eastAsia="en-US"/>
        </w:rPr>
        <w:t xml:space="preserve">ésta </w:t>
      </w:r>
      <w:r w:rsidR="1C90A550" w:rsidRPr="3CE3F0DF">
        <w:rPr>
          <w:rFonts w:ascii="Arial" w:eastAsia="Calibri" w:hAnsi="Arial" w:cs="Arial"/>
          <w:sz w:val="24"/>
          <w:szCs w:val="24"/>
          <w:lang w:val="es-CO" w:eastAsia="en-US"/>
        </w:rPr>
        <w:t xml:space="preserve">sólo </w:t>
      </w:r>
      <w:r w:rsidR="00206851" w:rsidRPr="3CE3F0DF">
        <w:rPr>
          <w:rFonts w:ascii="Arial" w:eastAsia="Calibri" w:hAnsi="Arial" w:cs="Arial"/>
          <w:sz w:val="24"/>
          <w:szCs w:val="24"/>
          <w:lang w:val="es-CO" w:eastAsia="en-US"/>
        </w:rPr>
        <w:t>conoce de procesos ejecutivos cuyo título</w:t>
      </w:r>
      <w:r w:rsidR="3DC3EB1A" w:rsidRPr="3CE3F0DF">
        <w:rPr>
          <w:rFonts w:ascii="Arial" w:eastAsia="Calibri" w:hAnsi="Arial" w:cs="Arial"/>
          <w:sz w:val="24"/>
          <w:szCs w:val="24"/>
          <w:lang w:val="es-CO" w:eastAsia="en-US"/>
        </w:rPr>
        <w:t xml:space="preserve"> </w:t>
      </w:r>
      <w:r w:rsidR="3DC3EB1A" w:rsidRPr="3CE3F0DF">
        <w:rPr>
          <w:rFonts w:ascii="Arial" w:eastAsia="Calibri" w:hAnsi="Arial" w:cs="Arial"/>
          <w:sz w:val="24"/>
          <w:szCs w:val="24"/>
          <w:lang w:val="es-CO" w:eastAsia="en-US"/>
        </w:rPr>
        <w:lastRenderedPageBreak/>
        <w:t xml:space="preserve">base de recaudo sean actos administrativos en cuento correspondan a originados en </w:t>
      </w:r>
      <w:r w:rsidR="00206851" w:rsidRPr="3CE3F0DF">
        <w:rPr>
          <w:rFonts w:ascii="Arial" w:eastAsia="Calibri" w:hAnsi="Arial" w:cs="Arial"/>
          <w:sz w:val="24"/>
          <w:szCs w:val="24"/>
          <w:lang w:val="es-CO" w:eastAsia="en-US"/>
        </w:rPr>
        <w:t>la actividad contractual de la administración pública</w:t>
      </w:r>
      <w:r w:rsidR="00196DD2" w:rsidRPr="3CE3F0DF">
        <w:rPr>
          <w:rFonts w:ascii="Arial" w:eastAsia="Calibri" w:hAnsi="Arial" w:cs="Arial"/>
          <w:sz w:val="24"/>
          <w:szCs w:val="24"/>
          <w:lang w:val="es-CO" w:eastAsia="en-US"/>
        </w:rPr>
        <w:t>.</w:t>
      </w:r>
    </w:p>
    <w:p w14:paraId="2CA8E2A6" w14:textId="77777777" w:rsidR="0082270E" w:rsidRDefault="0082270E" w:rsidP="00CB0A46">
      <w:pPr>
        <w:pStyle w:val="Prrafodelista"/>
        <w:widowControl w:val="0"/>
        <w:tabs>
          <w:tab w:val="left" w:pos="-720"/>
        </w:tabs>
        <w:suppressAutoHyphens/>
        <w:spacing w:line="276" w:lineRule="auto"/>
        <w:ind w:left="0" w:right="-234"/>
        <w:contextualSpacing/>
        <w:jc w:val="both"/>
        <w:rPr>
          <w:rFonts w:ascii="Arial" w:eastAsia="Calibri" w:hAnsi="Arial" w:cs="Arial"/>
          <w:sz w:val="24"/>
          <w:szCs w:val="24"/>
          <w:lang w:val="es-CO" w:eastAsia="en-US"/>
        </w:rPr>
      </w:pPr>
    </w:p>
    <w:p w14:paraId="36F9C8DB" w14:textId="4D0A575F" w:rsidR="0082270E" w:rsidRDefault="42A39535" w:rsidP="00CB0A46">
      <w:pPr>
        <w:pStyle w:val="Prrafodelista"/>
        <w:widowControl w:val="0"/>
        <w:numPr>
          <w:ilvl w:val="0"/>
          <w:numId w:val="26"/>
        </w:numPr>
        <w:suppressAutoHyphens/>
        <w:spacing w:line="276" w:lineRule="auto"/>
        <w:ind w:left="0" w:right="-234" w:firstLine="0"/>
        <w:contextualSpacing/>
        <w:jc w:val="both"/>
        <w:rPr>
          <w:rFonts w:ascii="Arial" w:eastAsia="Calibri" w:hAnsi="Arial" w:cs="Arial"/>
          <w:sz w:val="24"/>
          <w:szCs w:val="24"/>
          <w:lang w:val="es-CO" w:eastAsia="en-US"/>
        </w:rPr>
      </w:pPr>
      <w:r w:rsidRPr="3CE3F0DF">
        <w:rPr>
          <w:rFonts w:ascii="Arial" w:eastAsia="Calibri" w:hAnsi="Arial" w:cs="Arial"/>
          <w:sz w:val="24"/>
          <w:szCs w:val="24"/>
          <w:lang w:val="es-CO" w:eastAsia="en-US"/>
        </w:rPr>
        <w:t>M</w:t>
      </w:r>
      <w:r w:rsidR="001A5C17" w:rsidRPr="3CE3F0DF">
        <w:rPr>
          <w:rFonts w:ascii="Arial" w:eastAsia="Calibri" w:hAnsi="Arial" w:cs="Arial"/>
          <w:sz w:val="24"/>
          <w:szCs w:val="24"/>
          <w:lang w:val="es-CO" w:eastAsia="en-US"/>
        </w:rPr>
        <w:t xml:space="preserve">ientras que, a la jurisdicción ordinaria en su </w:t>
      </w:r>
      <w:r w:rsidR="7F85E4D4" w:rsidRPr="3CE3F0DF">
        <w:rPr>
          <w:rFonts w:ascii="Arial" w:eastAsia="Calibri" w:hAnsi="Arial" w:cs="Arial"/>
          <w:sz w:val="24"/>
          <w:szCs w:val="24"/>
          <w:lang w:val="es-CO" w:eastAsia="en-US"/>
        </w:rPr>
        <w:t>E</w:t>
      </w:r>
      <w:r w:rsidR="001A5C17" w:rsidRPr="3CE3F0DF">
        <w:rPr>
          <w:rFonts w:ascii="Arial" w:eastAsia="Calibri" w:hAnsi="Arial" w:cs="Arial"/>
          <w:sz w:val="24"/>
          <w:szCs w:val="24"/>
          <w:lang w:val="es-CO" w:eastAsia="en-US"/>
        </w:rPr>
        <w:t xml:space="preserve">specialidad </w:t>
      </w:r>
      <w:r w:rsidR="6024F3F7" w:rsidRPr="3CE3F0DF">
        <w:rPr>
          <w:rFonts w:ascii="Arial" w:eastAsia="Calibri" w:hAnsi="Arial" w:cs="Arial"/>
          <w:sz w:val="24"/>
          <w:szCs w:val="24"/>
          <w:lang w:val="es-CO" w:eastAsia="en-US"/>
        </w:rPr>
        <w:t xml:space="preserve">del </w:t>
      </w:r>
      <w:r w:rsidR="7CDEF34A" w:rsidRPr="3CE3F0DF">
        <w:rPr>
          <w:rFonts w:ascii="Arial" w:eastAsia="Calibri" w:hAnsi="Arial" w:cs="Arial"/>
          <w:sz w:val="24"/>
          <w:szCs w:val="24"/>
          <w:lang w:val="es-CO" w:eastAsia="en-US"/>
        </w:rPr>
        <w:t>T</w:t>
      </w:r>
      <w:r w:rsidR="6024F3F7" w:rsidRPr="3CE3F0DF">
        <w:rPr>
          <w:rFonts w:ascii="Arial" w:eastAsia="Calibri" w:hAnsi="Arial" w:cs="Arial"/>
          <w:sz w:val="24"/>
          <w:szCs w:val="24"/>
          <w:lang w:val="es-CO" w:eastAsia="en-US"/>
        </w:rPr>
        <w:t xml:space="preserve">rabajo y la </w:t>
      </w:r>
      <w:r w:rsidR="4BF85300" w:rsidRPr="3CE3F0DF">
        <w:rPr>
          <w:rFonts w:ascii="Arial" w:eastAsia="Calibri" w:hAnsi="Arial" w:cs="Arial"/>
          <w:sz w:val="24"/>
          <w:szCs w:val="24"/>
          <w:lang w:val="es-CO" w:eastAsia="en-US"/>
        </w:rPr>
        <w:t>S</w:t>
      </w:r>
      <w:r w:rsidR="6024F3F7" w:rsidRPr="3CE3F0DF">
        <w:rPr>
          <w:rFonts w:ascii="Arial" w:eastAsia="Calibri" w:hAnsi="Arial" w:cs="Arial"/>
          <w:sz w:val="24"/>
          <w:szCs w:val="24"/>
          <w:lang w:val="es-CO" w:eastAsia="en-US"/>
        </w:rPr>
        <w:t xml:space="preserve">eguridad </w:t>
      </w:r>
      <w:r w:rsidR="6747592C" w:rsidRPr="3CE3F0DF">
        <w:rPr>
          <w:rFonts w:ascii="Arial" w:eastAsia="Calibri" w:hAnsi="Arial" w:cs="Arial"/>
          <w:sz w:val="24"/>
          <w:szCs w:val="24"/>
          <w:lang w:val="es-CO" w:eastAsia="en-US"/>
        </w:rPr>
        <w:t>S</w:t>
      </w:r>
      <w:r w:rsidR="6024F3F7" w:rsidRPr="3CE3F0DF">
        <w:rPr>
          <w:rFonts w:ascii="Arial" w:eastAsia="Calibri" w:hAnsi="Arial" w:cs="Arial"/>
          <w:sz w:val="24"/>
          <w:szCs w:val="24"/>
          <w:lang w:val="es-CO" w:eastAsia="en-US"/>
        </w:rPr>
        <w:t>ocial,</w:t>
      </w:r>
      <w:r w:rsidR="001A5C17" w:rsidRPr="3CE3F0DF">
        <w:rPr>
          <w:rFonts w:ascii="Arial" w:eastAsia="Calibri" w:hAnsi="Arial" w:cs="Arial"/>
          <w:sz w:val="24"/>
          <w:szCs w:val="24"/>
          <w:lang w:val="es-CO" w:eastAsia="en-US"/>
        </w:rPr>
        <w:t xml:space="preserve"> le corresponde la ejecución de obligaciones que surjan en virtud de la relación laboral y que se encuentren contenidas en documentos que </w:t>
      </w:r>
      <w:r w:rsidR="00196DD2" w:rsidRPr="3CE3F0DF">
        <w:rPr>
          <w:rFonts w:ascii="Arial" w:eastAsia="Calibri" w:hAnsi="Arial" w:cs="Arial"/>
          <w:sz w:val="24"/>
          <w:szCs w:val="24"/>
          <w:lang w:val="es-CO" w:eastAsia="en-US"/>
        </w:rPr>
        <w:t>presten mérito ejecutivo</w:t>
      </w:r>
      <w:r w:rsidR="001A5C17" w:rsidRPr="3CE3F0DF">
        <w:rPr>
          <w:rFonts w:ascii="Arial" w:eastAsia="Calibri" w:hAnsi="Arial" w:cs="Arial"/>
          <w:sz w:val="24"/>
          <w:szCs w:val="24"/>
          <w:lang w:val="es-CO" w:eastAsia="en-US"/>
        </w:rPr>
        <w:t xml:space="preserve">. Ello para resaltar que, dado el carácter especializado de la </w:t>
      </w:r>
      <w:r w:rsidR="179E7D9C" w:rsidRPr="3CE3F0DF">
        <w:rPr>
          <w:rFonts w:ascii="Arial" w:eastAsia="Calibri" w:hAnsi="Arial" w:cs="Arial"/>
          <w:sz w:val="24"/>
          <w:szCs w:val="24"/>
          <w:lang w:val="es-CO" w:eastAsia="en-US"/>
        </w:rPr>
        <w:t>J</w:t>
      </w:r>
      <w:r w:rsidR="001A5C17" w:rsidRPr="3CE3F0DF">
        <w:rPr>
          <w:rFonts w:ascii="Arial" w:eastAsia="Calibri" w:hAnsi="Arial" w:cs="Arial"/>
          <w:sz w:val="24"/>
          <w:szCs w:val="24"/>
          <w:lang w:val="es-CO" w:eastAsia="en-US"/>
        </w:rPr>
        <w:t xml:space="preserve">urisdicción </w:t>
      </w:r>
      <w:r w:rsidR="490A2B99" w:rsidRPr="3CE3F0DF">
        <w:rPr>
          <w:rFonts w:ascii="Arial" w:eastAsia="Calibri" w:hAnsi="Arial" w:cs="Arial"/>
          <w:sz w:val="24"/>
          <w:szCs w:val="24"/>
          <w:lang w:val="es-CO" w:eastAsia="en-US"/>
        </w:rPr>
        <w:t>de lo C</w:t>
      </w:r>
      <w:r w:rsidR="001A5C17" w:rsidRPr="3CE3F0DF">
        <w:rPr>
          <w:rFonts w:ascii="Arial" w:eastAsia="Calibri" w:hAnsi="Arial" w:cs="Arial"/>
          <w:sz w:val="24"/>
          <w:szCs w:val="24"/>
          <w:lang w:val="es-CO" w:eastAsia="en-US"/>
        </w:rPr>
        <w:t xml:space="preserve">ontencioso </w:t>
      </w:r>
      <w:r w:rsidR="429A5A98" w:rsidRPr="3CE3F0DF">
        <w:rPr>
          <w:rFonts w:ascii="Arial" w:eastAsia="Calibri" w:hAnsi="Arial" w:cs="Arial"/>
          <w:sz w:val="24"/>
          <w:szCs w:val="24"/>
          <w:lang w:val="es-CO" w:eastAsia="en-US"/>
        </w:rPr>
        <w:t>A</w:t>
      </w:r>
      <w:r w:rsidR="001A5C17" w:rsidRPr="3CE3F0DF">
        <w:rPr>
          <w:rFonts w:ascii="Arial" w:eastAsia="Calibri" w:hAnsi="Arial" w:cs="Arial"/>
          <w:sz w:val="24"/>
          <w:szCs w:val="24"/>
          <w:lang w:val="es-CO" w:eastAsia="en-US"/>
        </w:rPr>
        <w:t>dministrativ</w:t>
      </w:r>
      <w:r w:rsidR="36351A35" w:rsidRPr="3CE3F0DF">
        <w:rPr>
          <w:rFonts w:ascii="Arial" w:eastAsia="Calibri" w:hAnsi="Arial" w:cs="Arial"/>
          <w:sz w:val="24"/>
          <w:szCs w:val="24"/>
          <w:lang w:val="es-CO" w:eastAsia="en-US"/>
        </w:rPr>
        <w:t>o</w:t>
      </w:r>
      <w:r w:rsidR="001A5C17" w:rsidRPr="3CE3F0DF">
        <w:rPr>
          <w:rFonts w:ascii="Arial" w:eastAsia="Calibri" w:hAnsi="Arial" w:cs="Arial"/>
          <w:sz w:val="24"/>
          <w:szCs w:val="24"/>
          <w:lang w:val="es-CO" w:eastAsia="en-US"/>
        </w:rPr>
        <w:t xml:space="preserve">, su intervención tiene lugar cuando existe debate y controversia en relación con los derechos de los servidores públicos, más no cuando </w:t>
      </w:r>
      <w:r w:rsidR="09EA65A2" w:rsidRPr="3CE3F0DF">
        <w:rPr>
          <w:rFonts w:ascii="Arial" w:eastAsia="Calibri" w:hAnsi="Arial" w:cs="Arial"/>
          <w:sz w:val="24"/>
          <w:szCs w:val="24"/>
          <w:lang w:val="es-CO" w:eastAsia="en-US"/>
        </w:rPr>
        <w:t>é</w:t>
      </w:r>
      <w:r w:rsidR="001A5C17" w:rsidRPr="3CE3F0DF">
        <w:rPr>
          <w:rFonts w:ascii="Arial" w:eastAsia="Calibri" w:hAnsi="Arial" w:cs="Arial"/>
          <w:sz w:val="24"/>
          <w:szCs w:val="24"/>
          <w:lang w:val="es-CO" w:eastAsia="en-US"/>
        </w:rPr>
        <w:t>stos ya se encuentran reconocidos, evento en el cual es la jurisdicción ordinaria laboral la encargada de su ejecución.</w:t>
      </w:r>
    </w:p>
    <w:p w14:paraId="279B5BA4" w14:textId="77777777" w:rsidR="0082270E" w:rsidRPr="0082270E" w:rsidRDefault="0082270E" w:rsidP="00CB0A46">
      <w:pPr>
        <w:pStyle w:val="Prrafodelista"/>
        <w:ind w:right="-234"/>
        <w:rPr>
          <w:rFonts w:ascii="Arial" w:eastAsia="Calibri" w:hAnsi="Arial" w:cs="Arial"/>
          <w:sz w:val="24"/>
          <w:szCs w:val="24"/>
          <w:lang w:val="es-CO" w:eastAsia="en-US"/>
        </w:rPr>
      </w:pPr>
    </w:p>
    <w:p w14:paraId="15D54D07" w14:textId="5BD44B7A" w:rsidR="00206851" w:rsidRPr="0082270E" w:rsidRDefault="001A5C17" w:rsidP="00CB0A46">
      <w:pPr>
        <w:pStyle w:val="Prrafodelista"/>
        <w:widowControl w:val="0"/>
        <w:numPr>
          <w:ilvl w:val="0"/>
          <w:numId w:val="26"/>
        </w:numPr>
        <w:suppressAutoHyphens/>
        <w:spacing w:line="276" w:lineRule="auto"/>
        <w:ind w:left="0" w:right="-234" w:firstLine="0"/>
        <w:contextualSpacing/>
        <w:jc w:val="both"/>
        <w:rPr>
          <w:rFonts w:ascii="Arial" w:eastAsia="Calibri" w:hAnsi="Arial" w:cs="Arial"/>
          <w:sz w:val="24"/>
          <w:szCs w:val="24"/>
          <w:lang w:val="es-CO" w:eastAsia="en-US"/>
        </w:rPr>
      </w:pPr>
      <w:r w:rsidRPr="0082270E">
        <w:rPr>
          <w:rFonts w:ascii="Arial" w:eastAsia="Calibri" w:hAnsi="Arial" w:cs="Arial"/>
          <w:sz w:val="24"/>
          <w:szCs w:val="24"/>
          <w:lang w:val="es-CO" w:eastAsia="en-US"/>
        </w:rPr>
        <w:t>Sin embargo, es de advertir que mediante proveído de 5 de diciembre de 2018</w:t>
      </w:r>
      <w:r w:rsidR="00B64769">
        <w:rPr>
          <w:rStyle w:val="Refdenotaalpie"/>
          <w:rFonts w:ascii="Arial" w:eastAsia="Calibri" w:hAnsi="Arial" w:cs="Arial"/>
          <w:sz w:val="24"/>
          <w:szCs w:val="24"/>
          <w:lang w:val="es-CO" w:eastAsia="en-US"/>
        </w:rPr>
        <w:footnoteReference w:id="12"/>
      </w:r>
      <w:r w:rsidRPr="0082270E">
        <w:rPr>
          <w:rFonts w:ascii="Arial" w:eastAsia="Calibri" w:hAnsi="Arial" w:cs="Arial"/>
          <w:sz w:val="24"/>
          <w:szCs w:val="24"/>
          <w:lang w:val="es-CO" w:eastAsia="en-US"/>
        </w:rPr>
        <w:t xml:space="preserve">, para ese momento la Sala Jurisdiccional Disciplinaria del CS de la J., </w:t>
      </w:r>
      <w:r w:rsidR="00B64769" w:rsidRPr="0082270E">
        <w:rPr>
          <w:rFonts w:ascii="Arial" w:eastAsia="Calibri" w:hAnsi="Arial" w:cs="Arial"/>
          <w:sz w:val="24"/>
          <w:szCs w:val="24"/>
          <w:lang w:val="es-CO" w:eastAsia="en-US"/>
        </w:rPr>
        <w:t xml:space="preserve">dirimió el </w:t>
      </w:r>
      <w:r w:rsidRPr="0082270E">
        <w:rPr>
          <w:rFonts w:ascii="Arial" w:eastAsia="Calibri" w:hAnsi="Arial" w:cs="Arial"/>
          <w:sz w:val="24"/>
          <w:szCs w:val="24"/>
          <w:lang w:val="es-CO" w:eastAsia="en-US"/>
        </w:rPr>
        <w:t xml:space="preserve">conflicto </w:t>
      </w:r>
      <w:r w:rsidR="00B64769" w:rsidRPr="0082270E">
        <w:rPr>
          <w:rFonts w:ascii="Arial" w:eastAsia="Calibri" w:hAnsi="Arial" w:cs="Arial"/>
          <w:sz w:val="24"/>
          <w:szCs w:val="24"/>
          <w:lang w:val="es-CO" w:eastAsia="en-US"/>
        </w:rPr>
        <w:t xml:space="preserve">negativo de jurisdicciones suscitado entre la </w:t>
      </w:r>
      <w:r w:rsidR="006545E5" w:rsidRPr="0082270E">
        <w:rPr>
          <w:rFonts w:ascii="Arial" w:eastAsia="Calibri" w:hAnsi="Arial" w:cs="Arial"/>
          <w:sz w:val="24"/>
          <w:szCs w:val="24"/>
          <w:lang w:val="es-CO" w:eastAsia="en-US"/>
        </w:rPr>
        <w:t>Jurisdicción</w:t>
      </w:r>
      <w:r w:rsidR="00B64769" w:rsidRPr="0082270E">
        <w:rPr>
          <w:rFonts w:ascii="Arial" w:eastAsia="Calibri" w:hAnsi="Arial" w:cs="Arial"/>
          <w:sz w:val="24"/>
          <w:szCs w:val="24"/>
          <w:lang w:val="es-CO" w:eastAsia="en-US"/>
        </w:rPr>
        <w:t xml:space="preserve"> Ordinaria Laboral </w:t>
      </w:r>
      <w:r w:rsidR="006545E5" w:rsidRPr="0082270E">
        <w:rPr>
          <w:rFonts w:ascii="Arial" w:eastAsia="Calibri" w:hAnsi="Arial" w:cs="Arial"/>
          <w:sz w:val="24"/>
          <w:szCs w:val="24"/>
          <w:lang w:val="es-CO" w:eastAsia="en-US"/>
        </w:rPr>
        <w:t>y la Jurisdicción Contencios</w:t>
      </w:r>
      <w:r w:rsidR="266BA764" w:rsidRPr="0082270E">
        <w:rPr>
          <w:rFonts w:ascii="Arial" w:eastAsia="Calibri" w:hAnsi="Arial" w:cs="Arial"/>
          <w:sz w:val="24"/>
          <w:szCs w:val="24"/>
          <w:lang w:val="es-CO" w:eastAsia="en-US"/>
        </w:rPr>
        <w:t>o</w:t>
      </w:r>
      <w:r w:rsidR="006545E5" w:rsidRPr="0082270E">
        <w:rPr>
          <w:rFonts w:ascii="Arial" w:eastAsia="Calibri" w:hAnsi="Arial" w:cs="Arial"/>
          <w:sz w:val="24"/>
          <w:szCs w:val="24"/>
          <w:lang w:val="es-CO" w:eastAsia="en-US"/>
        </w:rPr>
        <w:t xml:space="preserve"> Administrativa asignándole</w:t>
      </w:r>
      <w:r w:rsidR="00B64769" w:rsidRPr="0082270E">
        <w:rPr>
          <w:rFonts w:ascii="Arial" w:eastAsia="Calibri" w:hAnsi="Arial" w:cs="Arial"/>
          <w:sz w:val="24"/>
          <w:szCs w:val="24"/>
          <w:lang w:val="es-CO" w:eastAsia="en-US"/>
        </w:rPr>
        <w:t xml:space="preserve"> a esta última el conocimiento del presente asunto.  </w:t>
      </w:r>
      <w:r w:rsidR="006545E5" w:rsidRPr="0082270E">
        <w:rPr>
          <w:rFonts w:ascii="Arial" w:eastAsia="Calibri" w:hAnsi="Arial" w:cs="Arial"/>
          <w:sz w:val="24"/>
          <w:szCs w:val="24"/>
          <w:lang w:val="es-CO" w:eastAsia="en-US"/>
        </w:rPr>
        <w:t xml:space="preserve">En tal sentido se procederá a tomar decisión de fondo.  </w:t>
      </w:r>
    </w:p>
    <w:p w14:paraId="741B842B" w14:textId="796165A7" w:rsidR="004851D4" w:rsidRDefault="004851D4" w:rsidP="00CB0A46">
      <w:pPr>
        <w:pStyle w:val="Prrafodelista"/>
        <w:widowControl w:val="0"/>
        <w:spacing w:line="276" w:lineRule="auto"/>
        <w:ind w:left="0" w:right="-234"/>
        <w:jc w:val="both"/>
        <w:rPr>
          <w:rFonts w:ascii="Arial" w:hAnsi="Arial" w:cs="Arial"/>
          <w:b/>
          <w:iCs/>
          <w:sz w:val="24"/>
          <w:szCs w:val="24"/>
        </w:rPr>
      </w:pPr>
    </w:p>
    <w:p w14:paraId="2CD9C011" w14:textId="77305D96" w:rsidR="00B87FCE" w:rsidRDefault="3BF4D127" w:rsidP="3CE3F0DF">
      <w:pPr>
        <w:pStyle w:val="Ttulo2"/>
        <w:ind w:right="-234"/>
        <w:rPr>
          <w:rFonts w:ascii="Arial" w:hAnsi="Arial" w:cs="Arial"/>
          <w:b/>
          <w:bCs/>
          <w:color w:val="auto"/>
          <w:sz w:val="24"/>
          <w:szCs w:val="24"/>
        </w:rPr>
      </w:pPr>
      <w:r w:rsidRPr="3CE3F0DF">
        <w:rPr>
          <w:rFonts w:ascii="Arial" w:hAnsi="Arial" w:cs="Arial"/>
          <w:b/>
          <w:bCs/>
          <w:color w:val="auto"/>
          <w:sz w:val="24"/>
          <w:szCs w:val="24"/>
        </w:rPr>
        <w:t xml:space="preserve">2. </w:t>
      </w:r>
      <w:r w:rsidR="005A274B" w:rsidRPr="3CE3F0DF">
        <w:rPr>
          <w:rFonts w:ascii="Arial" w:hAnsi="Arial" w:cs="Arial"/>
          <w:b/>
          <w:bCs/>
          <w:color w:val="auto"/>
          <w:sz w:val="24"/>
          <w:szCs w:val="24"/>
        </w:rPr>
        <w:t>Marco normativo</w:t>
      </w:r>
      <w:r w:rsidR="007C60C4" w:rsidRPr="3CE3F0DF">
        <w:rPr>
          <w:rFonts w:ascii="Arial" w:hAnsi="Arial" w:cs="Arial"/>
          <w:b/>
          <w:bCs/>
          <w:color w:val="auto"/>
          <w:sz w:val="24"/>
          <w:szCs w:val="24"/>
        </w:rPr>
        <w:t xml:space="preserve"> aplicable</w:t>
      </w:r>
      <w:r w:rsidR="005A274B" w:rsidRPr="3CE3F0DF">
        <w:rPr>
          <w:rFonts w:ascii="Arial" w:hAnsi="Arial" w:cs="Arial"/>
          <w:b/>
          <w:bCs/>
          <w:color w:val="auto"/>
          <w:sz w:val="24"/>
          <w:szCs w:val="24"/>
        </w:rPr>
        <w:t xml:space="preserve"> </w:t>
      </w:r>
    </w:p>
    <w:p w14:paraId="2466A103" w14:textId="77777777" w:rsidR="00106339" w:rsidRPr="00106339" w:rsidRDefault="00106339" w:rsidP="00106339"/>
    <w:p w14:paraId="08A558D4" w14:textId="58C70A7B" w:rsidR="00D53792" w:rsidRPr="00995699" w:rsidRDefault="004B201E" w:rsidP="00CB0A46">
      <w:pPr>
        <w:pStyle w:val="Prrafodelista"/>
        <w:widowControl w:val="0"/>
        <w:numPr>
          <w:ilvl w:val="0"/>
          <w:numId w:val="26"/>
        </w:numPr>
        <w:suppressAutoHyphens/>
        <w:spacing w:line="276" w:lineRule="auto"/>
        <w:ind w:left="0" w:right="-234" w:firstLine="0"/>
        <w:contextualSpacing/>
        <w:jc w:val="both"/>
        <w:rPr>
          <w:rFonts w:ascii="Arial" w:eastAsia="Calibri" w:hAnsi="Arial" w:cs="Arial"/>
          <w:sz w:val="24"/>
          <w:szCs w:val="24"/>
          <w:lang w:val="es-CO" w:eastAsia="en-US"/>
        </w:rPr>
      </w:pPr>
      <w:r w:rsidRPr="3CE3F0DF">
        <w:rPr>
          <w:rFonts w:ascii="Arial" w:eastAsia="Calibri" w:hAnsi="Arial" w:cs="Arial"/>
          <w:b/>
          <w:bCs/>
          <w:sz w:val="24"/>
          <w:szCs w:val="24"/>
          <w:lang w:val="es-CO" w:eastAsia="en-US"/>
        </w:rPr>
        <w:t>Sobre la competencia del superior al resolver el recurso</w:t>
      </w:r>
      <w:r w:rsidRPr="3CE3F0DF">
        <w:rPr>
          <w:rFonts w:ascii="Arial" w:eastAsia="Calibri" w:hAnsi="Arial" w:cs="Arial"/>
          <w:sz w:val="24"/>
          <w:szCs w:val="24"/>
          <w:lang w:val="es-CO" w:eastAsia="en-US"/>
        </w:rPr>
        <w:t>, e</w:t>
      </w:r>
      <w:r w:rsidR="000D63E1" w:rsidRPr="3CE3F0DF">
        <w:rPr>
          <w:rFonts w:ascii="Arial" w:eastAsia="Calibri" w:hAnsi="Arial" w:cs="Arial"/>
          <w:sz w:val="24"/>
          <w:szCs w:val="24"/>
          <w:lang w:val="es-CO" w:eastAsia="en-US"/>
        </w:rPr>
        <w:t xml:space="preserve">l artículo 320 del CGP., dispone que </w:t>
      </w:r>
      <w:r w:rsidR="009B2B17" w:rsidRPr="3CE3F0DF">
        <w:rPr>
          <w:rFonts w:ascii="Arial" w:eastAsia="Calibri" w:hAnsi="Arial" w:cs="Arial"/>
          <w:sz w:val="24"/>
          <w:szCs w:val="24"/>
          <w:lang w:val="es-CO" w:eastAsia="en-US"/>
        </w:rPr>
        <w:t>el objeto</w:t>
      </w:r>
      <w:r w:rsidR="000D63E1" w:rsidRPr="3CE3F0DF">
        <w:rPr>
          <w:rFonts w:ascii="Arial" w:eastAsia="Calibri" w:hAnsi="Arial" w:cs="Arial"/>
          <w:sz w:val="24"/>
          <w:szCs w:val="24"/>
          <w:lang w:val="es-CO" w:eastAsia="en-US"/>
        </w:rPr>
        <w:t xml:space="preserve"> del recurso de apelación </w:t>
      </w:r>
      <w:r w:rsidR="00D00E8C" w:rsidRPr="3CE3F0DF">
        <w:rPr>
          <w:rFonts w:ascii="Arial" w:eastAsia="Calibri" w:hAnsi="Arial" w:cs="Arial"/>
          <w:sz w:val="24"/>
          <w:szCs w:val="24"/>
          <w:lang w:val="es-CO" w:eastAsia="en-US"/>
        </w:rPr>
        <w:t xml:space="preserve">consiste en </w:t>
      </w:r>
      <w:r w:rsidR="000D63E1" w:rsidRPr="3CE3F0DF">
        <w:rPr>
          <w:rFonts w:ascii="Arial" w:eastAsia="Calibri" w:hAnsi="Arial" w:cs="Arial"/>
          <w:sz w:val="24"/>
          <w:szCs w:val="24"/>
          <w:lang w:val="es-CO" w:eastAsia="en-US"/>
        </w:rPr>
        <w:t xml:space="preserve">que la parte inconforme </w:t>
      </w:r>
      <w:r w:rsidR="00D00E8C" w:rsidRPr="3CE3F0DF">
        <w:rPr>
          <w:rFonts w:ascii="Arial" w:eastAsia="Calibri" w:hAnsi="Arial" w:cs="Arial"/>
          <w:sz w:val="24"/>
          <w:szCs w:val="24"/>
          <w:lang w:val="es-CO" w:eastAsia="en-US"/>
        </w:rPr>
        <w:t xml:space="preserve">con una decisión adoptada por </w:t>
      </w:r>
      <w:r w:rsidR="000D63E1" w:rsidRPr="3CE3F0DF">
        <w:rPr>
          <w:rFonts w:ascii="Arial" w:eastAsia="Calibri" w:hAnsi="Arial" w:cs="Arial"/>
          <w:sz w:val="24"/>
          <w:szCs w:val="24"/>
          <w:lang w:val="es-CO" w:eastAsia="en-US"/>
        </w:rPr>
        <w:t>el juez de instancia</w:t>
      </w:r>
      <w:r w:rsidR="00D00E8C" w:rsidRPr="3CE3F0DF">
        <w:rPr>
          <w:rFonts w:ascii="Arial" w:eastAsia="Calibri" w:hAnsi="Arial" w:cs="Arial"/>
          <w:sz w:val="24"/>
          <w:szCs w:val="24"/>
          <w:lang w:val="es-CO" w:eastAsia="en-US"/>
        </w:rPr>
        <w:t>, pueda</w:t>
      </w:r>
      <w:r w:rsidR="00C74783" w:rsidRPr="3CE3F0DF">
        <w:rPr>
          <w:rFonts w:ascii="Arial" w:eastAsia="Calibri" w:hAnsi="Arial" w:cs="Arial"/>
          <w:sz w:val="24"/>
          <w:szCs w:val="24"/>
          <w:lang w:val="es-CO" w:eastAsia="en-US"/>
        </w:rPr>
        <w:t xml:space="preserve"> </w:t>
      </w:r>
      <w:r w:rsidR="009B2B17" w:rsidRPr="3CE3F0DF">
        <w:rPr>
          <w:rFonts w:ascii="Arial" w:eastAsia="Calibri" w:hAnsi="Arial" w:cs="Arial"/>
          <w:sz w:val="24"/>
          <w:szCs w:val="24"/>
          <w:lang w:val="es-CO" w:eastAsia="en-US"/>
        </w:rPr>
        <w:t xml:space="preserve">solicitar al superior que </w:t>
      </w:r>
      <w:r w:rsidR="00D00E8C" w:rsidRPr="3CE3F0DF">
        <w:rPr>
          <w:rFonts w:ascii="Arial" w:eastAsia="Calibri" w:hAnsi="Arial" w:cs="Arial"/>
          <w:sz w:val="24"/>
          <w:szCs w:val="24"/>
          <w:lang w:val="es-CO" w:eastAsia="en-US"/>
        </w:rPr>
        <w:t xml:space="preserve">la </w:t>
      </w:r>
      <w:r w:rsidR="009B2B17" w:rsidRPr="3CE3F0DF">
        <w:rPr>
          <w:rFonts w:ascii="Arial" w:eastAsia="Calibri" w:hAnsi="Arial" w:cs="Arial"/>
          <w:sz w:val="24"/>
          <w:szCs w:val="24"/>
          <w:lang w:val="es-CO" w:eastAsia="en-US"/>
        </w:rPr>
        <w:t xml:space="preserve">modifique o </w:t>
      </w:r>
      <w:r w:rsidR="00D00E8C" w:rsidRPr="3CE3F0DF">
        <w:rPr>
          <w:rFonts w:ascii="Arial" w:eastAsia="Calibri" w:hAnsi="Arial" w:cs="Arial"/>
          <w:sz w:val="24"/>
          <w:szCs w:val="24"/>
          <w:lang w:val="es-CO" w:eastAsia="en-US"/>
        </w:rPr>
        <w:t xml:space="preserve">la </w:t>
      </w:r>
      <w:r w:rsidR="009B2B17" w:rsidRPr="3CE3F0DF">
        <w:rPr>
          <w:rFonts w:ascii="Arial" w:eastAsia="Calibri" w:hAnsi="Arial" w:cs="Arial"/>
          <w:sz w:val="24"/>
          <w:szCs w:val="24"/>
          <w:lang w:val="es-CO" w:eastAsia="en-US"/>
        </w:rPr>
        <w:t>revoque</w:t>
      </w:r>
      <w:r w:rsidR="00D00E8C" w:rsidRPr="3CE3F0DF">
        <w:rPr>
          <w:rFonts w:ascii="Arial" w:eastAsia="Calibri" w:hAnsi="Arial" w:cs="Arial"/>
          <w:sz w:val="24"/>
          <w:szCs w:val="24"/>
          <w:lang w:val="es-CO" w:eastAsia="en-US"/>
        </w:rPr>
        <w:t xml:space="preserve"> mediante la presentación de argumentos en</w:t>
      </w:r>
      <w:r w:rsidR="40EE937E" w:rsidRPr="3CE3F0DF">
        <w:rPr>
          <w:rFonts w:ascii="Arial" w:eastAsia="Calibri" w:hAnsi="Arial" w:cs="Arial"/>
          <w:sz w:val="24"/>
          <w:szCs w:val="24"/>
          <w:lang w:val="es-CO" w:eastAsia="en-US"/>
        </w:rPr>
        <w:t xml:space="preserve"> </w:t>
      </w:r>
      <w:r w:rsidR="00D00E8C" w:rsidRPr="3CE3F0DF">
        <w:rPr>
          <w:rFonts w:ascii="Arial" w:eastAsia="Calibri" w:hAnsi="Arial" w:cs="Arial"/>
          <w:sz w:val="24"/>
          <w:szCs w:val="24"/>
          <w:lang w:val="es-CO" w:eastAsia="en-US"/>
        </w:rPr>
        <w:t xml:space="preserve">los cuales exponga las razones </w:t>
      </w:r>
      <w:r w:rsidR="00995699" w:rsidRPr="3CE3F0DF">
        <w:rPr>
          <w:rFonts w:ascii="Arial" w:eastAsia="Calibri" w:hAnsi="Arial" w:cs="Arial"/>
          <w:sz w:val="24"/>
          <w:szCs w:val="24"/>
          <w:lang w:val="es-CO" w:eastAsia="en-US"/>
        </w:rPr>
        <w:t>específicas</w:t>
      </w:r>
      <w:r w:rsidR="009B2B17" w:rsidRPr="3CE3F0DF">
        <w:rPr>
          <w:rFonts w:ascii="Arial" w:eastAsia="Calibri" w:hAnsi="Arial" w:cs="Arial"/>
          <w:sz w:val="24"/>
          <w:szCs w:val="24"/>
          <w:lang w:val="es-CO" w:eastAsia="en-US"/>
        </w:rPr>
        <w:t xml:space="preserve"> de inconformidad.</w:t>
      </w:r>
    </w:p>
    <w:p w14:paraId="22308967" w14:textId="77777777" w:rsidR="000D63E1" w:rsidRDefault="000D63E1" w:rsidP="00CB0A46">
      <w:pPr>
        <w:ind w:left="708" w:right="-234"/>
        <w:contextualSpacing/>
        <w:jc w:val="both"/>
        <w:rPr>
          <w:rFonts w:ascii="Arial" w:eastAsia="Calibri" w:hAnsi="Arial" w:cs="Arial"/>
          <w:iCs/>
          <w:sz w:val="22"/>
          <w:szCs w:val="22"/>
          <w:lang w:val="es-CO" w:eastAsia="en-US"/>
        </w:rPr>
      </w:pPr>
    </w:p>
    <w:p w14:paraId="30594285" w14:textId="1D5E9D8D" w:rsidR="00C56EF6" w:rsidRPr="006E6317" w:rsidRDefault="58717D88" w:rsidP="3CE3F0DF">
      <w:pPr>
        <w:widowControl w:val="0"/>
        <w:ind w:left="708" w:right="-234"/>
        <w:contextualSpacing/>
        <w:jc w:val="both"/>
        <w:rPr>
          <w:rFonts w:ascii="Arial" w:eastAsia="Calibri" w:hAnsi="Arial" w:cs="Arial"/>
          <w:sz w:val="22"/>
          <w:szCs w:val="22"/>
          <w:lang w:val="es-CO" w:eastAsia="en-US"/>
        </w:rPr>
      </w:pPr>
      <w:r w:rsidRPr="3CE3F0DF">
        <w:rPr>
          <w:rFonts w:ascii="Arial" w:eastAsia="Calibri" w:hAnsi="Arial" w:cs="Arial"/>
          <w:i/>
          <w:iCs/>
          <w:sz w:val="22"/>
          <w:szCs w:val="22"/>
          <w:lang w:val="es-CO" w:eastAsia="en-US"/>
        </w:rPr>
        <w:t>“</w:t>
      </w:r>
      <w:r w:rsidR="00C56EF6" w:rsidRPr="3CE3F0DF">
        <w:rPr>
          <w:rFonts w:ascii="Arial" w:eastAsia="Calibri" w:hAnsi="Arial" w:cs="Arial"/>
          <w:i/>
          <w:iCs/>
          <w:sz w:val="22"/>
          <w:szCs w:val="22"/>
          <w:lang w:val="es-CO" w:eastAsia="en-US"/>
        </w:rPr>
        <w:t xml:space="preserve">ARTÍCULO 320. FINES DE LA APELACIÓN. </w:t>
      </w:r>
      <w:r w:rsidR="00C56EF6" w:rsidRPr="3CE3F0DF">
        <w:rPr>
          <w:rFonts w:ascii="Arial" w:eastAsia="Calibri" w:hAnsi="Arial" w:cs="Arial"/>
          <w:b/>
          <w:bCs/>
          <w:i/>
          <w:iCs/>
          <w:sz w:val="22"/>
          <w:szCs w:val="22"/>
          <w:lang w:val="es-CO" w:eastAsia="en-US"/>
        </w:rPr>
        <w:t xml:space="preserve">El recurso de apelación tiene por objeto que el superior examine la cuestión decidida, </w:t>
      </w:r>
      <w:r w:rsidR="00C56EF6" w:rsidRPr="3CE3F0DF">
        <w:rPr>
          <w:rFonts w:ascii="Arial" w:eastAsia="Calibri" w:hAnsi="Arial" w:cs="Arial"/>
          <w:b/>
          <w:bCs/>
          <w:i/>
          <w:iCs/>
          <w:sz w:val="22"/>
          <w:szCs w:val="22"/>
          <w:u w:val="single"/>
          <w:lang w:val="es-CO" w:eastAsia="en-US"/>
        </w:rPr>
        <w:t>únicamente en relación con los reparos concretos formulados por el apelante</w:t>
      </w:r>
      <w:r w:rsidR="00C56EF6" w:rsidRPr="3CE3F0DF">
        <w:rPr>
          <w:rFonts w:ascii="Arial" w:eastAsia="Calibri" w:hAnsi="Arial" w:cs="Arial"/>
          <w:i/>
          <w:iCs/>
          <w:sz w:val="22"/>
          <w:szCs w:val="22"/>
          <w:lang w:val="es-CO" w:eastAsia="en-US"/>
        </w:rPr>
        <w:t>, para que el superior revoque o reforme la decisión</w:t>
      </w:r>
      <w:r w:rsidR="10F8F425" w:rsidRPr="3CE3F0DF">
        <w:rPr>
          <w:rFonts w:ascii="Arial" w:eastAsia="Calibri" w:hAnsi="Arial" w:cs="Arial"/>
          <w:i/>
          <w:iCs/>
          <w:sz w:val="22"/>
          <w:szCs w:val="22"/>
          <w:lang w:val="es-CO" w:eastAsia="en-US"/>
        </w:rPr>
        <w:t>”</w:t>
      </w:r>
      <w:r w:rsidR="00C56EF6" w:rsidRPr="3CE3F0DF">
        <w:rPr>
          <w:rFonts w:ascii="Arial" w:eastAsia="Calibri" w:hAnsi="Arial" w:cs="Arial"/>
          <w:i/>
          <w:iCs/>
          <w:sz w:val="22"/>
          <w:szCs w:val="22"/>
          <w:lang w:val="es-CO" w:eastAsia="en-US"/>
        </w:rPr>
        <w:t xml:space="preserve">. </w:t>
      </w:r>
      <w:r w:rsidR="00C56EF6" w:rsidRPr="3CE3F0DF">
        <w:rPr>
          <w:rFonts w:ascii="Arial" w:eastAsia="Calibri" w:hAnsi="Arial" w:cs="Arial"/>
          <w:sz w:val="22"/>
          <w:szCs w:val="22"/>
          <w:lang w:val="es-CO" w:eastAsia="en-US"/>
        </w:rPr>
        <w:t>(se destaca)</w:t>
      </w:r>
    </w:p>
    <w:p w14:paraId="5220E5F1" w14:textId="148B2715" w:rsidR="10644CC7" w:rsidRDefault="10644CC7" w:rsidP="00CB0A46">
      <w:pPr>
        <w:widowControl w:val="0"/>
        <w:spacing w:line="276" w:lineRule="auto"/>
        <w:ind w:right="-234"/>
        <w:contextualSpacing/>
        <w:jc w:val="both"/>
        <w:rPr>
          <w:rFonts w:ascii="Arial" w:eastAsia="Calibri" w:hAnsi="Arial" w:cs="Arial"/>
          <w:sz w:val="24"/>
          <w:szCs w:val="24"/>
          <w:lang w:val="es-CO" w:eastAsia="en-US"/>
        </w:rPr>
      </w:pPr>
    </w:p>
    <w:p w14:paraId="590C28E6" w14:textId="0B8A85CE" w:rsidR="000D63E1" w:rsidRDefault="000D63E1" w:rsidP="00CB0A46">
      <w:pPr>
        <w:pStyle w:val="Prrafodelista"/>
        <w:widowControl w:val="0"/>
        <w:numPr>
          <w:ilvl w:val="0"/>
          <w:numId w:val="26"/>
        </w:numPr>
        <w:suppressAutoHyphens/>
        <w:spacing w:line="276" w:lineRule="auto"/>
        <w:ind w:left="0" w:right="-234" w:firstLine="0"/>
        <w:contextualSpacing/>
        <w:jc w:val="both"/>
        <w:rPr>
          <w:rFonts w:ascii="Arial" w:eastAsia="Calibri" w:hAnsi="Arial" w:cs="Arial"/>
          <w:sz w:val="24"/>
          <w:szCs w:val="24"/>
          <w:lang w:val="es-CO" w:eastAsia="en-US"/>
        </w:rPr>
      </w:pPr>
      <w:r w:rsidRPr="0A4A898A">
        <w:rPr>
          <w:rFonts w:ascii="Arial" w:eastAsia="Calibri" w:hAnsi="Arial" w:cs="Arial"/>
          <w:sz w:val="24"/>
          <w:szCs w:val="24"/>
          <w:lang w:val="es-CO" w:eastAsia="en-US"/>
        </w:rPr>
        <w:t xml:space="preserve">En el mismo sentido, el artículo 328 </w:t>
      </w:r>
      <w:r w:rsidR="003550DE" w:rsidRPr="0A4A898A">
        <w:rPr>
          <w:rFonts w:ascii="Arial" w:eastAsia="Calibri" w:hAnsi="Arial" w:cs="Arial"/>
          <w:sz w:val="24"/>
          <w:szCs w:val="24"/>
          <w:lang w:val="es-CO" w:eastAsia="en-US"/>
        </w:rPr>
        <w:t>ibidem</w:t>
      </w:r>
      <w:r w:rsidRPr="0A4A898A">
        <w:rPr>
          <w:rFonts w:ascii="Arial" w:eastAsia="Calibri" w:hAnsi="Arial" w:cs="Arial"/>
          <w:sz w:val="24"/>
          <w:szCs w:val="24"/>
          <w:lang w:val="es-CO" w:eastAsia="en-US"/>
        </w:rPr>
        <w:t xml:space="preserve"> establece las limitantes a las que se encuentra sujeto el superior al momento de resolver el recurso de apelación, señalando que debe atender únicamente los argumentos expuestos por el apelante.</w:t>
      </w:r>
    </w:p>
    <w:p w14:paraId="46C64E8F" w14:textId="04AC9864" w:rsidR="00262176" w:rsidRDefault="00262176" w:rsidP="00CB0A46">
      <w:pPr>
        <w:pStyle w:val="Prrafodelista"/>
        <w:widowControl w:val="0"/>
        <w:suppressAutoHyphens/>
        <w:spacing w:line="276" w:lineRule="auto"/>
        <w:ind w:left="0" w:right="-234"/>
        <w:contextualSpacing/>
        <w:jc w:val="both"/>
        <w:rPr>
          <w:rFonts w:ascii="Arial" w:eastAsia="Calibri" w:hAnsi="Arial" w:cs="Arial"/>
          <w:sz w:val="24"/>
          <w:szCs w:val="24"/>
          <w:lang w:val="es-CO" w:eastAsia="en-US"/>
        </w:rPr>
      </w:pPr>
    </w:p>
    <w:p w14:paraId="7C3FA733" w14:textId="6678B902" w:rsidR="00262176" w:rsidRDefault="66E4B8E8" w:rsidP="00CB0A46">
      <w:pPr>
        <w:pStyle w:val="Prrafodelista"/>
        <w:widowControl w:val="0"/>
        <w:suppressAutoHyphens/>
        <w:ind w:right="-234"/>
        <w:contextualSpacing/>
        <w:jc w:val="both"/>
        <w:rPr>
          <w:rFonts w:ascii="Arial" w:eastAsia="Calibri" w:hAnsi="Arial" w:cs="Arial"/>
          <w:sz w:val="22"/>
          <w:szCs w:val="22"/>
          <w:lang w:val="es-CO" w:eastAsia="en-US"/>
        </w:rPr>
      </w:pPr>
      <w:r w:rsidRPr="3CE3F0DF">
        <w:rPr>
          <w:rFonts w:ascii="Arial" w:eastAsia="Calibri" w:hAnsi="Arial" w:cs="Arial"/>
          <w:i/>
          <w:iCs/>
          <w:sz w:val="22"/>
          <w:szCs w:val="22"/>
          <w:lang w:val="es-CO" w:eastAsia="en-US"/>
        </w:rPr>
        <w:t>“</w:t>
      </w:r>
      <w:r w:rsidR="00262176" w:rsidRPr="3CE3F0DF">
        <w:rPr>
          <w:rFonts w:ascii="Arial" w:eastAsia="Calibri" w:hAnsi="Arial" w:cs="Arial"/>
          <w:i/>
          <w:iCs/>
          <w:sz w:val="22"/>
          <w:szCs w:val="22"/>
          <w:lang w:val="es-CO" w:eastAsia="en-US"/>
        </w:rPr>
        <w:t xml:space="preserve">ARTÍCULO 328. COMPETENCIA DEL SUPERIOR. </w:t>
      </w:r>
      <w:r w:rsidR="00262176" w:rsidRPr="3CE3F0DF">
        <w:rPr>
          <w:rFonts w:ascii="Arial" w:eastAsia="Calibri" w:hAnsi="Arial" w:cs="Arial"/>
          <w:b/>
          <w:bCs/>
          <w:i/>
          <w:iCs/>
          <w:sz w:val="22"/>
          <w:szCs w:val="22"/>
          <w:lang w:val="es-CO" w:eastAsia="en-US"/>
        </w:rPr>
        <w:t>El juez de segunda instancia deberá pronunciarse solamente sobre los argumentos expuestos por el apelante</w:t>
      </w:r>
      <w:r w:rsidR="00262176" w:rsidRPr="3CE3F0DF">
        <w:rPr>
          <w:rFonts w:ascii="Arial" w:eastAsia="Calibri" w:hAnsi="Arial" w:cs="Arial"/>
          <w:i/>
          <w:iCs/>
          <w:sz w:val="22"/>
          <w:szCs w:val="22"/>
          <w:lang w:val="es-CO" w:eastAsia="en-US"/>
        </w:rPr>
        <w:t>, sin perjuicio de las decisiones que deba adoptar de oficio, en los casos previstos por la ley</w:t>
      </w:r>
      <w:r w:rsidR="20332EBB" w:rsidRPr="3CE3F0DF">
        <w:rPr>
          <w:rFonts w:ascii="Arial" w:eastAsia="Calibri" w:hAnsi="Arial" w:cs="Arial"/>
          <w:i/>
          <w:iCs/>
          <w:sz w:val="22"/>
          <w:szCs w:val="22"/>
          <w:lang w:val="es-CO" w:eastAsia="en-US"/>
        </w:rPr>
        <w:t>”</w:t>
      </w:r>
      <w:r w:rsidR="00262176" w:rsidRPr="3CE3F0DF">
        <w:rPr>
          <w:rFonts w:ascii="Arial" w:eastAsia="Calibri" w:hAnsi="Arial" w:cs="Arial"/>
          <w:i/>
          <w:iCs/>
          <w:sz w:val="22"/>
          <w:szCs w:val="22"/>
          <w:lang w:val="es-CO" w:eastAsia="en-US"/>
        </w:rPr>
        <w:t>.</w:t>
      </w:r>
      <w:r w:rsidR="00CB0A46" w:rsidRPr="3CE3F0DF">
        <w:rPr>
          <w:rFonts w:ascii="Arial" w:eastAsia="Calibri" w:hAnsi="Arial" w:cs="Arial"/>
          <w:i/>
          <w:iCs/>
          <w:sz w:val="22"/>
          <w:szCs w:val="22"/>
          <w:lang w:val="es-CO" w:eastAsia="en-US"/>
        </w:rPr>
        <w:t xml:space="preserve"> </w:t>
      </w:r>
      <w:r w:rsidR="00CB0A46" w:rsidRPr="3CE3F0DF">
        <w:rPr>
          <w:rFonts w:ascii="Arial" w:eastAsia="Calibri" w:hAnsi="Arial" w:cs="Arial"/>
          <w:sz w:val="22"/>
          <w:szCs w:val="22"/>
          <w:lang w:val="es-CO" w:eastAsia="en-US"/>
        </w:rPr>
        <w:t>(se destaca)</w:t>
      </w:r>
    </w:p>
    <w:p w14:paraId="72B2B376" w14:textId="77777777" w:rsidR="00262176" w:rsidRDefault="00262176" w:rsidP="00CB0A46">
      <w:pPr>
        <w:pStyle w:val="Prrafodelista"/>
        <w:widowControl w:val="0"/>
        <w:suppressAutoHyphens/>
        <w:spacing w:line="276" w:lineRule="auto"/>
        <w:ind w:left="0" w:right="-234"/>
        <w:contextualSpacing/>
        <w:jc w:val="both"/>
        <w:rPr>
          <w:rFonts w:ascii="Arial" w:eastAsia="Calibri" w:hAnsi="Arial" w:cs="Arial"/>
          <w:sz w:val="24"/>
          <w:szCs w:val="24"/>
          <w:lang w:val="es-CO" w:eastAsia="en-US"/>
        </w:rPr>
      </w:pPr>
    </w:p>
    <w:p w14:paraId="571C8A05" w14:textId="29CB8BB6" w:rsidR="00B26DC2" w:rsidRDefault="00BC4E84" w:rsidP="00CB0A46">
      <w:pPr>
        <w:pStyle w:val="Prrafodelista"/>
        <w:widowControl w:val="0"/>
        <w:numPr>
          <w:ilvl w:val="0"/>
          <w:numId w:val="26"/>
        </w:numPr>
        <w:suppressAutoHyphens/>
        <w:spacing w:line="276" w:lineRule="auto"/>
        <w:ind w:left="0" w:right="-234" w:firstLine="0"/>
        <w:contextualSpacing/>
        <w:jc w:val="both"/>
        <w:rPr>
          <w:rFonts w:ascii="Arial" w:eastAsia="Calibri" w:hAnsi="Arial" w:cs="Arial"/>
          <w:sz w:val="24"/>
          <w:szCs w:val="24"/>
          <w:lang w:val="es-CO" w:eastAsia="en-US"/>
        </w:rPr>
      </w:pPr>
      <w:r>
        <w:rPr>
          <w:rFonts w:ascii="Arial" w:eastAsia="Calibri" w:hAnsi="Arial" w:cs="Arial"/>
          <w:sz w:val="24"/>
          <w:szCs w:val="24"/>
          <w:lang w:val="es-CO" w:eastAsia="en-US"/>
        </w:rPr>
        <w:lastRenderedPageBreak/>
        <w:t>L</w:t>
      </w:r>
      <w:r w:rsidR="00CB0A46" w:rsidRPr="00CB0A46">
        <w:rPr>
          <w:rFonts w:ascii="Arial" w:eastAsia="Calibri" w:hAnsi="Arial" w:cs="Arial"/>
          <w:sz w:val="24"/>
          <w:szCs w:val="24"/>
          <w:lang w:val="es-CO" w:eastAsia="en-US"/>
        </w:rPr>
        <w:t xml:space="preserve">a jurisprudencia </w:t>
      </w:r>
      <w:r w:rsidR="00CB0A46">
        <w:rPr>
          <w:rFonts w:ascii="Arial" w:eastAsia="Calibri" w:hAnsi="Arial" w:cs="Arial"/>
          <w:sz w:val="24"/>
          <w:szCs w:val="24"/>
          <w:lang w:val="es-CO" w:eastAsia="en-US"/>
        </w:rPr>
        <w:t>del Consejo de Estado</w:t>
      </w:r>
      <w:r w:rsidR="00E65CA8">
        <w:rPr>
          <w:rStyle w:val="Refdenotaalpie"/>
          <w:rFonts w:ascii="Arial" w:hAnsi="Arial" w:cs="Arial"/>
          <w:i/>
          <w:sz w:val="22"/>
          <w:szCs w:val="24"/>
        </w:rPr>
        <w:footnoteReference w:id="13"/>
      </w:r>
      <w:r w:rsidR="00CB0A46">
        <w:rPr>
          <w:rFonts w:ascii="Arial" w:eastAsia="Calibri" w:hAnsi="Arial" w:cs="Arial"/>
          <w:sz w:val="24"/>
          <w:szCs w:val="24"/>
          <w:lang w:val="es-CO" w:eastAsia="en-US"/>
        </w:rPr>
        <w:t xml:space="preserve"> ha </w:t>
      </w:r>
      <w:r w:rsidR="007270EB">
        <w:rPr>
          <w:rFonts w:ascii="Arial" w:eastAsia="Calibri" w:hAnsi="Arial" w:cs="Arial"/>
          <w:sz w:val="24"/>
          <w:szCs w:val="24"/>
          <w:lang w:val="es-CO" w:eastAsia="en-US"/>
        </w:rPr>
        <w:t xml:space="preserve">desarrollado lo dispuesto en las citadas normas, enfatizando en que la sustentación del recurso de apelación debe </w:t>
      </w:r>
      <w:r w:rsidR="00F17693">
        <w:rPr>
          <w:rFonts w:ascii="Arial" w:eastAsia="Calibri" w:hAnsi="Arial" w:cs="Arial"/>
          <w:sz w:val="24"/>
          <w:szCs w:val="24"/>
          <w:lang w:val="es-CO" w:eastAsia="en-US"/>
        </w:rPr>
        <w:t>proponer las razones puntuales por las cuales l</w:t>
      </w:r>
      <w:r w:rsidR="00A9644F">
        <w:rPr>
          <w:rFonts w:ascii="Arial" w:eastAsia="Calibri" w:hAnsi="Arial" w:cs="Arial"/>
          <w:sz w:val="24"/>
          <w:szCs w:val="24"/>
          <w:lang w:val="es-CO" w:eastAsia="en-US"/>
        </w:rPr>
        <w:t>as c</w:t>
      </w:r>
      <w:r w:rsidR="007270EB">
        <w:rPr>
          <w:rFonts w:ascii="Arial" w:eastAsia="Calibri" w:hAnsi="Arial" w:cs="Arial"/>
          <w:sz w:val="24"/>
          <w:szCs w:val="24"/>
          <w:lang w:val="es-CO" w:eastAsia="en-US"/>
        </w:rPr>
        <w:t xml:space="preserve">onsideraciones de la providencia apelada </w:t>
      </w:r>
      <w:r w:rsidR="00F17693">
        <w:rPr>
          <w:rFonts w:ascii="Arial" w:eastAsia="Calibri" w:hAnsi="Arial" w:cs="Arial"/>
          <w:sz w:val="24"/>
          <w:szCs w:val="24"/>
          <w:lang w:val="es-CO" w:eastAsia="en-US"/>
        </w:rPr>
        <w:t xml:space="preserve">son erradas, de lo contrario, </w:t>
      </w:r>
      <w:r w:rsidR="007270EB">
        <w:rPr>
          <w:rFonts w:ascii="Arial" w:eastAsia="Calibri" w:hAnsi="Arial" w:cs="Arial"/>
          <w:sz w:val="24"/>
          <w:szCs w:val="24"/>
          <w:lang w:val="es-CO" w:eastAsia="en-US"/>
        </w:rPr>
        <w:t xml:space="preserve">el recurso en realidad </w:t>
      </w:r>
      <w:r w:rsidR="00F17693">
        <w:rPr>
          <w:rFonts w:ascii="Arial" w:eastAsia="Calibri" w:hAnsi="Arial" w:cs="Arial"/>
          <w:sz w:val="24"/>
          <w:szCs w:val="24"/>
          <w:lang w:val="es-CO" w:eastAsia="en-US"/>
        </w:rPr>
        <w:t xml:space="preserve">no estaría sustentado por falta de ejercicio dialéctico. </w:t>
      </w:r>
    </w:p>
    <w:p w14:paraId="3A3C73BF" w14:textId="77777777" w:rsidR="00E65CA8" w:rsidRDefault="00E65CA8" w:rsidP="00860823">
      <w:pPr>
        <w:ind w:left="708" w:right="-234"/>
        <w:jc w:val="both"/>
        <w:rPr>
          <w:rFonts w:ascii="Arial" w:hAnsi="Arial" w:cs="Arial"/>
          <w:i/>
          <w:sz w:val="22"/>
          <w:szCs w:val="24"/>
        </w:rPr>
      </w:pPr>
    </w:p>
    <w:p w14:paraId="7620BA77" w14:textId="52857C07" w:rsidR="00C270B0" w:rsidRDefault="00860823" w:rsidP="00860823">
      <w:pPr>
        <w:ind w:left="708" w:right="-234"/>
        <w:jc w:val="both"/>
        <w:rPr>
          <w:rFonts w:ascii="Arial" w:hAnsi="Arial" w:cs="Arial"/>
          <w:i/>
          <w:sz w:val="22"/>
          <w:szCs w:val="24"/>
        </w:rPr>
      </w:pPr>
      <w:r>
        <w:rPr>
          <w:rFonts w:ascii="Arial" w:hAnsi="Arial" w:cs="Arial"/>
          <w:i/>
          <w:sz w:val="22"/>
          <w:szCs w:val="24"/>
        </w:rPr>
        <w:t>“E</w:t>
      </w:r>
      <w:r w:rsidR="00D97B75" w:rsidRPr="00D97B75">
        <w:rPr>
          <w:rFonts w:ascii="Arial" w:hAnsi="Arial" w:cs="Arial"/>
          <w:i/>
          <w:sz w:val="22"/>
          <w:szCs w:val="24"/>
        </w:rPr>
        <w:t xml:space="preserve">n el sub lite la Sala encuentra que el recurso de apelación objeto de este pronunciamiento </w:t>
      </w:r>
      <w:r w:rsidR="00D97B75" w:rsidRPr="00F259D3">
        <w:rPr>
          <w:rFonts w:ascii="Arial" w:hAnsi="Arial" w:cs="Arial"/>
          <w:b/>
          <w:i/>
          <w:sz w:val="22"/>
          <w:szCs w:val="24"/>
        </w:rPr>
        <w:t>se encuentra desprovisto de una real sustentación, pues la parte actora no aduce argumento alguno dirigido a atacar la decisión de instancia</w:t>
      </w:r>
      <w:r w:rsidR="00D97B75" w:rsidRPr="00D97B75">
        <w:rPr>
          <w:rFonts w:ascii="Arial" w:hAnsi="Arial" w:cs="Arial"/>
          <w:i/>
          <w:sz w:val="22"/>
          <w:szCs w:val="24"/>
        </w:rPr>
        <w:t xml:space="preserve"> que dispuso negar las pretensiones de la demanda, </w:t>
      </w:r>
      <w:r w:rsidR="00C270B0">
        <w:rPr>
          <w:rFonts w:ascii="Arial" w:hAnsi="Arial" w:cs="Arial"/>
          <w:i/>
          <w:sz w:val="22"/>
          <w:szCs w:val="24"/>
        </w:rPr>
        <w:t>(…).</w:t>
      </w:r>
    </w:p>
    <w:p w14:paraId="371B48B2" w14:textId="77777777" w:rsidR="00C270B0" w:rsidRDefault="00C270B0" w:rsidP="00D97B75">
      <w:pPr>
        <w:ind w:left="708" w:right="-234"/>
        <w:jc w:val="both"/>
        <w:rPr>
          <w:rFonts w:ascii="Arial" w:hAnsi="Arial" w:cs="Arial"/>
          <w:i/>
          <w:sz w:val="22"/>
          <w:szCs w:val="24"/>
        </w:rPr>
      </w:pPr>
    </w:p>
    <w:p w14:paraId="1FBF798B" w14:textId="3B69A4AA" w:rsidR="00D97B75" w:rsidRDefault="00D97B75" w:rsidP="00D97B75">
      <w:pPr>
        <w:ind w:left="708" w:right="-234"/>
        <w:jc w:val="both"/>
        <w:rPr>
          <w:rFonts w:ascii="Arial" w:hAnsi="Arial" w:cs="Arial"/>
          <w:sz w:val="22"/>
          <w:szCs w:val="24"/>
        </w:rPr>
      </w:pPr>
      <w:r w:rsidRPr="00D97B75">
        <w:rPr>
          <w:rFonts w:ascii="Arial" w:hAnsi="Arial" w:cs="Arial"/>
          <w:i/>
          <w:sz w:val="22"/>
          <w:szCs w:val="24"/>
        </w:rPr>
        <w:t xml:space="preserve">En efecto, si el objeto del recurso de apelación es que el superior analice la decisión adoptada en la sentencia objeto de alzada, </w:t>
      </w:r>
      <w:r w:rsidRPr="00C270B0">
        <w:rPr>
          <w:rFonts w:ascii="Arial" w:hAnsi="Arial" w:cs="Arial"/>
          <w:b/>
          <w:i/>
          <w:sz w:val="22"/>
          <w:szCs w:val="24"/>
        </w:rPr>
        <w:t>resulta imperioso que el recurrente exponga las razones por las cuales no comparte las consideraciones que se tuvieron en cuenta en dicho momento</w:t>
      </w:r>
      <w:r w:rsidRPr="00D97B75">
        <w:rPr>
          <w:rFonts w:ascii="Arial" w:hAnsi="Arial" w:cs="Arial"/>
          <w:i/>
          <w:sz w:val="22"/>
          <w:szCs w:val="24"/>
        </w:rPr>
        <w:t xml:space="preserve">. Así pues, no cabe duda que el memorial contentivo de la impugnación </w:t>
      </w:r>
      <w:r w:rsidRPr="00C270B0">
        <w:rPr>
          <w:rFonts w:ascii="Arial" w:hAnsi="Arial" w:cs="Arial"/>
          <w:b/>
          <w:i/>
          <w:sz w:val="22"/>
          <w:szCs w:val="24"/>
        </w:rPr>
        <w:t>carece de las razones y argumentos por los cuales se considera que la decisión del Tribunal de instancia es equivocada</w:t>
      </w:r>
      <w:r w:rsidR="00E65CA8">
        <w:rPr>
          <w:rFonts w:ascii="Arial" w:hAnsi="Arial" w:cs="Arial"/>
          <w:i/>
          <w:sz w:val="22"/>
          <w:szCs w:val="24"/>
        </w:rPr>
        <w:t xml:space="preserve"> (…)</w:t>
      </w:r>
      <w:r w:rsidR="00860823">
        <w:rPr>
          <w:rFonts w:ascii="Arial" w:hAnsi="Arial" w:cs="Arial"/>
          <w:i/>
          <w:sz w:val="22"/>
          <w:szCs w:val="24"/>
        </w:rPr>
        <w:t>”</w:t>
      </w:r>
      <w:r w:rsidR="00860823">
        <w:rPr>
          <w:rStyle w:val="Refdenotaalpie"/>
          <w:rFonts w:ascii="Arial" w:hAnsi="Arial" w:cs="Arial"/>
          <w:i/>
          <w:sz w:val="22"/>
          <w:szCs w:val="24"/>
        </w:rPr>
        <w:footnoteReference w:id="14"/>
      </w:r>
      <w:r w:rsidRPr="00D97B75">
        <w:rPr>
          <w:rFonts w:ascii="Arial" w:hAnsi="Arial" w:cs="Arial"/>
          <w:i/>
          <w:sz w:val="22"/>
          <w:szCs w:val="24"/>
        </w:rPr>
        <w:t xml:space="preserve">. </w:t>
      </w:r>
      <w:r w:rsidR="00E65CA8">
        <w:rPr>
          <w:rFonts w:ascii="Arial" w:hAnsi="Arial" w:cs="Arial"/>
          <w:sz w:val="22"/>
          <w:szCs w:val="24"/>
        </w:rPr>
        <w:t>(se destaca)</w:t>
      </w:r>
    </w:p>
    <w:p w14:paraId="5EDEE62C" w14:textId="77777777" w:rsidR="00E65CA8" w:rsidRDefault="00E65CA8" w:rsidP="00D97B75">
      <w:pPr>
        <w:ind w:left="708" w:right="-234"/>
        <w:jc w:val="both"/>
        <w:rPr>
          <w:rFonts w:ascii="Arial" w:hAnsi="Arial" w:cs="Arial"/>
          <w:i/>
          <w:sz w:val="22"/>
          <w:szCs w:val="24"/>
        </w:rPr>
      </w:pPr>
    </w:p>
    <w:p w14:paraId="671194FD" w14:textId="517FCE37" w:rsidR="00B37BBA" w:rsidRDefault="00E65CA8" w:rsidP="00E65CA8">
      <w:pPr>
        <w:ind w:left="708" w:right="-234"/>
        <w:jc w:val="both"/>
        <w:rPr>
          <w:highlight w:val="yellow"/>
        </w:rPr>
      </w:pPr>
      <w:r>
        <w:rPr>
          <w:rFonts w:ascii="Arial" w:hAnsi="Arial" w:cs="Arial"/>
          <w:i/>
          <w:sz w:val="22"/>
          <w:szCs w:val="24"/>
        </w:rPr>
        <w:t>“</w:t>
      </w:r>
      <w:r w:rsidR="00D7089F" w:rsidRPr="00D7089F">
        <w:rPr>
          <w:rFonts w:ascii="Arial" w:hAnsi="Arial" w:cs="Arial"/>
          <w:i/>
          <w:sz w:val="22"/>
          <w:szCs w:val="24"/>
        </w:rPr>
        <w:t xml:space="preserve">En efecto, es claro que si el objeto del recurso de apelación es que el superior estudie la cuestión decidida en la providencia de primer grado y la revoque o reforme, </w:t>
      </w:r>
      <w:r w:rsidR="00D7089F" w:rsidRPr="00221849">
        <w:rPr>
          <w:rFonts w:ascii="Arial" w:hAnsi="Arial" w:cs="Arial"/>
          <w:b/>
          <w:i/>
          <w:sz w:val="22"/>
          <w:szCs w:val="24"/>
        </w:rPr>
        <w:t xml:space="preserve">es </w:t>
      </w:r>
      <w:r w:rsidR="00D7089F" w:rsidRPr="00221849">
        <w:rPr>
          <w:rFonts w:ascii="Arial" w:hAnsi="Arial" w:cs="Arial"/>
          <w:b/>
          <w:i/>
          <w:sz w:val="22"/>
          <w:szCs w:val="24"/>
          <w:u w:val="single"/>
        </w:rPr>
        <w:t>necesario que el recurrente exponga las razones por las cuales no comparte la consideraciones que el juez de primera instancia</w:t>
      </w:r>
      <w:r w:rsidR="00D7089F" w:rsidRPr="00221849">
        <w:rPr>
          <w:rFonts w:ascii="Arial" w:hAnsi="Arial" w:cs="Arial"/>
          <w:b/>
          <w:i/>
          <w:sz w:val="22"/>
          <w:szCs w:val="24"/>
        </w:rPr>
        <w:t xml:space="preserve"> tuvo en cuenta para adoptar su decisión, con el fin de que el superior funcional de dicha autoridad judicial las analice y decida si tienen la suficiencia jurídica necesaria para desvirtuar tales argumentos</w:t>
      </w:r>
      <w:r>
        <w:rPr>
          <w:rFonts w:ascii="Arial" w:hAnsi="Arial" w:cs="Arial"/>
          <w:b/>
          <w:i/>
          <w:sz w:val="22"/>
          <w:szCs w:val="24"/>
        </w:rPr>
        <w:t>”</w:t>
      </w:r>
      <w:r>
        <w:rPr>
          <w:rFonts w:ascii="Arial" w:hAnsi="Arial" w:cs="Arial"/>
          <w:i/>
          <w:sz w:val="22"/>
          <w:szCs w:val="24"/>
        </w:rPr>
        <w:t>.</w:t>
      </w:r>
      <w:r w:rsidR="00D7089F">
        <w:rPr>
          <w:rStyle w:val="Refdenotaalpie"/>
          <w:rFonts w:ascii="Arial" w:hAnsi="Arial" w:cs="Arial"/>
          <w:i/>
          <w:sz w:val="22"/>
          <w:szCs w:val="24"/>
        </w:rPr>
        <w:footnoteReference w:id="15"/>
      </w:r>
      <w:r>
        <w:rPr>
          <w:rFonts w:ascii="Arial" w:hAnsi="Arial" w:cs="Arial"/>
          <w:i/>
          <w:sz w:val="22"/>
          <w:szCs w:val="24"/>
        </w:rPr>
        <w:t xml:space="preserve"> </w:t>
      </w:r>
      <w:r>
        <w:rPr>
          <w:rFonts w:ascii="Arial" w:hAnsi="Arial" w:cs="Arial"/>
          <w:sz w:val="22"/>
          <w:szCs w:val="24"/>
        </w:rPr>
        <w:t>(se destaca)</w:t>
      </w:r>
    </w:p>
    <w:p w14:paraId="5A0D91DE" w14:textId="50709A85" w:rsidR="00B37BBA" w:rsidRDefault="00B37BBA" w:rsidP="00CB0A46">
      <w:pPr>
        <w:ind w:right="-234"/>
      </w:pPr>
    </w:p>
    <w:p w14:paraId="6EFBAD9E" w14:textId="484089E6" w:rsidR="008376A0" w:rsidRDefault="008376A0" w:rsidP="00CB0A46">
      <w:pPr>
        <w:ind w:right="-234"/>
      </w:pPr>
    </w:p>
    <w:p w14:paraId="6AC213E8" w14:textId="2916151B" w:rsidR="0082270E" w:rsidRPr="0082270E" w:rsidRDefault="00160350" w:rsidP="00CB0A46">
      <w:pPr>
        <w:pStyle w:val="Prrafodelista"/>
        <w:widowControl w:val="0"/>
        <w:numPr>
          <w:ilvl w:val="0"/>
          <w:numId w:val="26"/>
        </w:numPr>
        <w:tabs>
          <w:tab w:val="left" w:pos="-720"/>
        </w:tabs>
        <w:suppressAutoHyphens/>
        <w:spacing w:line="276" w:lineRule="auto"/>
        <w:ind w:left="0" w:right="-234" w:firstLine="0"/>
        <w:contextualSpacing/>
        <w:jc w:val="both"/>
        <w:rPr>
          <w:rFonts w:ascii="Arial" w:hAnsi="Arial" w:cs="Arial"/>
          <w:sz w:val="24"/>
          <w:szCs w:val="24"/>
        </w:rPr>
      </w:pPr>
      <w:r w:rsidRPr="00160350">
        <w:rPr>
          <w:rFonts w:ascii="Arial" w:hAnsi="Arial" w:cs="Arial"/>
          <w:b/>
          <w:sz w:val="24"/>
          <w:szCs w:val="24"/>
        </w:rPr>
        <w:t>Respecto de la posibilidad de reformar la demanda en el proceso ejecutivo</w:t>
      </w:r>
      <w:r>
        <w:rPr>
          <w:rFonts w:ascii="Arial" w:hAnsi="Arial" w:cs="Arial"/>
          <w:b/>
          <w:sz w:val="24"/>
          <w:szCs w:val="24"/>
        </w:rPr>
        <w:t xml:space="preserve">, </w:t>
      </w:r>
      <w:r>
        <w:rPr>
          <w:rFonts w:ascii="Arial" w:hAnsi="Arial" w:cs="Arial"/>
          <w:sz w:val="24"/>
          <w:szCs w:val="24"/>
        </w:rPr>
        <w:t>e</w:t>
      </w:r>
      <w:r w:rsidR="00E01D4A" w:rsidRPr="10644CC7">
        <w:rPr>
          <w:rFonts w:ascii="Arial" w:hAnsi="Arial" w:cs="Arial"/>
          <w:sz w:val="24"/>
          <w:szCs w:val="24"/>
        </w:rPr>
        <w:t>n</w:t>
      </w:r>
      <w:r w:rsidR="00BF1AFA" w:rsidRPr="10644CC7">
        <w:rPr>
          <w:rFonts w:ascii="Arial" w:eastAsia="Calibri" w:hAnsi="Arial" w:cs="Arial"/>
          <w:sz w:val="24"/>
          <w:szCs w:val="24"/>
          <w:lang w:val="es-CO" w:eastAsia="en-US"/>
        </w:rPr>
        <w:t xml:space="preserve"> virtud de</w:t>
      </w:r>
      <w:r w:rsidR="00E01D4A" w:rsidRPr="10644CC7">
        <w:rPr>
          <w:rFonts w:ascii="Arial" w:eastAsia="Calibri" w:hAnsi="Arial" w:cs="Arial"/>
          <w:sz w:val="24"/>
          <w:szCs w:val="24"/>
          <w:lang w:val="es-CO" w:eastAsia="en-US"/>
        </w:rPr>
        <w:t xml:space="preserve"> inciso final del art</w:t>
      </w:r>
      <w:r w:rsidR="003603E4" w:rsidRPr="10644CC7">
        <w:rPr>
          <w:rFonts w:ascii="Arial" w:eastAsia="Calibri" w:hAnsi="Arial" w:cs="Arial"/>
          <w:sz w:val="24"/>
          <w:szCs w:val="24"/>
          <w:lang w:val="es-CO" w:eastAsia="en-US"/>
        </w:rPr>
        <w:t>í</w:t>
      </w:r>
      <w:r w:rsidR="00E01D4A" w:rsidRPr="10644CC7">
        <w:rPr>
          <w:rFonts w:ascii="Arial" w:eastAsia="Calibri" w:hAnsi="Arial" w:cs="Arial"/>
          <w:sz w:val="24"/>
          <w:szCs w:val="24"/>
          <w:lang w:val="es-CO" w:eastAsia="en-US"/>
        </w:rPr>
        <w:t>culo 299</w:t>
      </w:r>
      <w:r w:rsidR="003603E4" w:rsidRPr="10644CC7">
        <w:rPr>
          <w:rFonts w:ascii="Arial" w:eastAsia="Calibri" w:hAnsi="Arial" w:cs="Arial"/>
          <w:sz w:val="24"/>
          <w:szCs w:val="24"/>
          <w:lang w:val="es-CO" w:eastAsia="en-US"/>
        </w:rPr>
        <w:t xml:space="preserve">, </w:t>
      </w:r>
      <w:r w:rsidR="00CE2067" w:rsidRPr="10644CC7">
        <w:rPr>
          <w:rFonts w:ascii="Arial" w:eastAsia="Calibri" w:hAnsi="Arial" w:cs="Arial"/>
          <w:sz w:val="24"/>
          <w:szCs w:val="24"/>
          <w:lang w:val="es-CO" w:eastAsia="en-US"/>
        </w:rPr>
        <w:t xml:space="preserve">y de los artículos </w:t>
      </w:r>
      <w:r w:rsidR="003603E4" w:rsidRPr="10644CC7">
        <w:rPr>
          <w:rFonts w:ascii="Arial" w:eastAsia="Calibri" w:hAnsi="Arial" w:cs="Arial"/>
          <w:sz w:val="24"/>
          <w:szCs w:val="24"/>
          <w:lang w:val="es-CO" w:eastAsia="en-US"/>
        </w:rPr>
        <w:t>104</w:t>
      </w:r>
      <w:r w:rsidR="00CE2067" w:rsidRPr="10644CC7">
        <w:rPr>
          <w:rFonts w:ascii="Arial" w:eastAsia="Calibri" w:hAnsi="Arial" w:cs="Arial"/>
          <w:sz w:val="24"/>
          <w:szCs w:val="24"/>
          <w:lang w:val="es-CO" w:eastAsia="en-US"/>
        </w:rPr>
        <w:t>, 152 -7</w:t>
      </w:r>
      <w:r w:rsidR="00CE4967" w:rsidRPr="10644CC7">
        <w:rPr>
          <w:rFonts w:ascii="Arial" w:eastAsia="Calibri" w:hAnsi="Arial" w:cs="Arial"/>
          <w:sz w:val="24"/>
          <w:szCs w:val="24"/>
          <w:lang w:val="es-CO" w:eastAsia="en-US"/>
        </w:rPr>
        <w:t>, y 155</w:t>
      </w:r>
      <w:r w:rsidR="00477337" w:rsidRPr="10644CC7">
        <w:rPr>
          <w:rFonts w:ascii="Arial" w:eastAsia="Calibri" w:hAnsi="Arial" w:cs="Arial"/>
          <w:sz w:val="24"/>
          <w:szCs w:val="24"/>
          <w:lang w:val="es-CO" w:eastAsia="en-US"/>
        </w:rPr>
        <w:t>-7</w:t>
      </w:r>
      <w:r w:rsidR="00CE4967" w:rsidRPr="10644CC7">
        <w:rPr>
          <w:rFonts w:ascii="Arial" w:eastAsia="Calibri" w:hAnsi="Arial" w:cs="Arial"/>
          <w:sz w:val="24"/>
          <w:szCs w:val="24"/>
          <w:lang w:val="es-CO" w:eastAsia="en-US"/>
        </w:rPr>
        <w:t xml:space="preserve"> </w:t>
      </w:r>
      <w:r w:rsidR="00BF1AFA" w:rsidRPr="10644CC7">
        <w:rPr>
          <w:rFonts w:ascii="Arial" w:eastAsia="Calibri" w:hAnsi="Arial" w:cs="Arial"/>
          <w:sz w:val="24"/>
          <w:szCs w:val="24"/>
          <w:lang w:val="es-CO" w:eastAsia="en-US"/>
        </w:rPr>
        <w:t>de la Ley 1437 de 2011</w:t>
      </w:r>
      <w:r w:rsidR="00A27D3A" w:rsidRPr="10644CC7">
        <w:rPr>
          <w:rFonts w:ascii="Arial" w:eastAsia="Calibri" w:hAnsi="Arial" w:cs="Arial"/>
          <w:sz w:val="24"/>
          <w:szCs w:val="24"/>
          <w:lang w:val="es-CO" w:eastAsia="en-US"/>
        </w:rPr>
        <w:t xml:space="preserve"> (normatividad vigente al momento de la presentación de la demanda, esto es</w:t>
      </w:r>
      <w:r w:rsidR="00E01D4A" w:rsidRPr="10644CC7">
        <w:rPr>
          <w:rFonts w:ascii="Arial" w:eastAsia="Calibri" w:hAnsi="Arial" w:cs="Arial"/>
          <w:sz w:val="24"/>
          <w:szCs w:val="24"/>
          <w:lang w:val="es-CO" w:eastAsia="en-US"/>
        </w:rPr>
        <w:t xml:space="preserve"> 23 de junio de 2017</w:t>
      </w:r>
      <w:r w:rsidR="00A27D3A" w:rsidRPr="10644CC7">
        <w:rPr>
          <w:rFonts w:ascii="Arial" w:eastAsia="Calibri" w:hAnsi="Arial" w:cs="Arial"/>
          <w:sz w:val="24"/>
          <w:szCs w:val="24"/>
          <w:lang w:val="es-CO" w:eastAsia="en-US"/>
        </w:rPr>
        <w:t>)</w:t>
      </w:r>
      <w:r w:rsidR="00BF1AFA" w:rsidRPr="10644CC7">
        <w:rPr>
          <w:rFonts w:ascii="Arial" w:eastAsia="Calibri" w:hAnsi="Arial" w:cs="Arial"/>
          <w:sz w:val="24"/>
          <w:szCs w:val="24"/>
          <w:lang w:val="es-CO" w:eastAsia="en-US"/>
        </w:rPr>
        <w:t>, se asigna la competencia de procesos ejecutivos -</w:t>
      </w:r>
      <w:r w:rsidR="00BF1AFA" w:rsidRPr="10644CC7">
        <w:rPr>
          <w:rFonts w:ascii="Arial" w:eastAsia="Calibri" w:hAnsi="Arial" w:cs="Arial"/>
          <w:i/>
          <w:iCs/>
          <w:sz w:val="24"/>
          <w:szCs w:val="24"/>
          <w:lang w:val="es-CO" w:eastAsia="en-US"/>
        </w:rPr>
        <w:t>distintos de los derivados de ejecución de providencias judiciales</w:t>
      </w:r>
      <w:r w:rsidR="00BF1AFA" w:rsidRPr="10644CC7">
        <w:rPr>
          <w:rFonts w:ascii="Arial" w:eastAsia="Calibri" w:hAnsi="Arial" w:cs="Arial"/>
          <w:sz w:val="24"/>
          <w:szCs w:val="24"/>
          <w:lang w:val="es-CO" w:eastAsia="en-US"/>
        </w:rPr>
        <w:t xml:space="preserve">- a los tribunales administrativos cuando su cuantía exceda de 1500 SMLMV y a los juzgados administrativos cuando su cuantía no supere dicho monto. </w:t>
      </w:r>
      <w:r w:rsidR="00BF1AFA" w:rsidRPr="10644CC7">
        <w:rPr>
          <w:rFonts w:ascii="Arial" w:eastAsia="Calibri" w:hAnsi="Arial" w:cs="Arial"/>
          <w:i/>
          <w:iCs/>
          <w:sz w:val="24"/>
          <w:szCs w:val="24"/>
          <w:lang w:val="es-CO" w:eastAsia="en-US"/>
        </w:rPr>
        <w:t xml:space="preserve"> </w:t>
      </w:r>
    </w:p>
    <w:p w14:paraId="722A5E2B" w14:textId="77777777" w:rsidR="0082270E" w:rsidRDefault="0082270E" w:rsidP="00CB0A46">
      <w:pPr>
        <w:pStyle w:val="Prrafodelista"/>
        <w:widowControl w:val="0"/>
        <w:tabs>
          <w:tab w:val="left" w:pos="-720"/>
        </w:tabs>
        <w:suppressAutoHyphens/>
        <w:spacing w:line="276" w:lineRule="auto"/>
        <w:ind w:left="0" w:right="-234"/>
        <w:contextualSpacing/>
        <w:jc w:val="both"/>
        <w:rPr>
          <w:rFonts w:ascii="Arial" w:hAnsi="Arial" w:cs="Arial"/>
          <w:sz w:val="24"/>
          <w:szCs w:val="24"/>
        </w:rPr>
      </w:pPr>
    </w:p>
    <w:p w14:paraId="001FE96C" w14:textId="77777777" w:rsidR="0082270E" w:rsidRDefault="00477337" w:rsidP="00CB0A46">
      <w:pPr>
        <w:pStyle w:val="Prrafodelista"/>
        <w:widowControl w:val="0"/>
        <w:numPr>
          <w:ilvl w:val="0"/>
          <w:numId w:val="26"/>
        </w:numPr>
        <w:tabs>
          <w:tab w:val="left" w:pos="-720"/>
        </w:tabs>
        <w:suppressAutoHyphens/>
        <w:spacing w:line="276" w:lineRule="auto"/>
        <w:ind w:left="0" w:right="-234" w:firstLine="0"/>
        <w:contextualSpacing/>
        <w:jc w:val="both"/>
        <w:rPr>
          <w:rFonts w:ascii="Arial" w:hAnsi="Arial" w:cs="Arial"/>
          <w:sz w:val="24"/>
          <w:szCs w:val="24"/>
        </w:rPr>
      </w:pPr>
      <w:r w:rsidRPr="0082270E">
        <w:rPr>
          <w:rFonts w:ascii="Arial" w:hAnsi="Arial" w:cs="Arial"/>
          <w:sz w:val="24"/>
          <w:szCs w:val="24"/>
        </w:rPr>
        <w:t xml:space="preserve">Sin embargo, </w:t>
      </w:r>
      <w:r w:rsidR="003603E4" w:rsidRPr="0082270E">
        <w:rPr>
          <w:rFonts w:ascii="Arial" w:hAnsi="Arial" w:cs="Arial"/>
          <w:sz w:val="24"/>
          <w:szCs w:val="24"/>
        </w:rPr>
        <w:t>l</w:t>
      </w:r>
      <w:r w:rsidR="00E01D4A" w:rsidRPr="0082270E">
        <w:rPr>
          <w:rFonts w:ascii="Arial" w:hAnsi="Arial" w:cs="Arial"/>
          <w:sz w:val="24"/>
          <w:szCs w:val="24"/>
        </w:rPr>
        <w:t xml:space="preserve">a Ley 1437 de 2011 no </w:t>
      </w:r>
      <w:r w:rsidR="00750529" w:rsidRPr="0082270E">
        <w:rPr>
          <w:rFonts w:ascii="Arial" w:hAnsi="Arial" w:cs="Arial"/>
          <w:sz w:val="24"/>
          <w:szCs w:val="24"/>
        </w:rPr>
        <w:t>previó</w:t>
      </w:r>
      <w:r w:rsidR="00E01D4A" w:rsidRPr="0082270E">
        <w:rPr>
          <w:rFonts w:ascii="Arial" w:hAnsi="Arial" w:cs="Arial"/>
          <w:sz w:val="24"/>
          <w:szCs w:val="24"/>
        </w:rPr>
        <w:t xml:space="preserve"> un procedimiento especial para el </w:t>
      </w:r>
      <w:r w:rsidR="00E01D4A" w:rsidRPr="0082270E">
        <w:rPr>
          <w:rFonts w:ascii="Arial" w:hAnsi="Arial" w:cs="Arial"/>
          <w:sz w:val="24"/>
          <w:szCs w:val="24"/>
        </w:rPr>
        <w:lastRenderedPageBreak/>
        <w:t xml:space="preserve">proceso ejecutivo, por lo que, en virtud del artículo </w:t>
      </w:r>
      <w:r w:rsidRPr="0082270E">
        <w:rPr>
          <w:rFonts w:ascii="Arial" w:hAnsi="Arial" w:cs="Arial"/>
          <w:sz w:val="24"/>
          <w:szCs w:val="24"/>
        </w:rPr>
        <w:t>299</w:t>
      </w:r>
      <w:r w:rsidR="00750529">
        <w:rPr>
          <w:rStyle w:val="Refdenotaalpie"/>
          <w:rFonts w:ascii="Arial" w:hAnsi="Arial" w:cs="Arial"/>
          <w:sz w:val="24"/>
          <w:szCs w:val="24"/>
        </w:rPr>
        <w:footnoteReference w:id="16"/>
      </w:r>
      <w:r w:rsidR="00E01D4A" w:rsidRPr="0082270E">
        <w:rPr>
          <w:rFonts w:ascii="Arial" w:hAnsi="Arial" w:cs="Arial"/>
          <w:sz w:val="24"/>
          <w:szCs w:val="24"/>
        </w:rPr>
        <w:t xml:space="preserve"> </w:t>
      </w:r>
      <w:r w:rsidR="00E01D4A" w:rsidRPr="10644CC7">
        <w:rPr>
          <w:rFonts w:ascii="Arial" w:hAnsi="Arial" w:cs="Arial"/>
          <w:i/>
          <w:iCs/>
          <w:sz w:val="24"/>
          <w:szCs w:val="24"/>
        </w:rPr>
        <w:t>ibidem</w:t>
      </w:r>
      <w:r w:rsidR="00750529" w:rsidRPr="10644CC7">
        <w:rPr>
          <w:rFonts w:ascii="Arial" w:hAnsi="Arial" w:cs="Arial"/>
          <w:i/>
          <w:iCs/>
          <w:sz w:val="24"/>
          <w:szCs w:val="24"/>
        </w:rPr>
        <w:t xml:space="preserve"> </w:t>
      </w:r>
      <w:r w:rsidR="00750529" w:rsidRPr="0082270E">
        <w:rPr>
          <w:rFonts w:ascii="Arial" w:hAnsi="Arial" w:cs="Arial"/>
          <w:sz w:val="24"/>
          <w:szCs w:val="24"/>
        </w:rPr>
        <w:t>vigente</w:t>
      </w:r>
      <w:r w:rsidR="00E01D4A" w:rsidRPr="10644CC7">
        <w:rPr>
          <w:rFonts w:ascii="Arial" w:hAnsi="Arial" w:cs="Arial"/>
          <w:i/>
          <w:iCs/>
          <w:sz w:val="24"/>
          <w:szCs w:val="24"/>
        </w:rPr>
        <w:t>,</w:t>
      </w:r>
      <w:r w:rsidR="00E01D4A" w:rsidRPr="0082270E">
        <w:rPr>
          <w:rFonts w:ascii="Arial" w:hAnsi="Arial" w:cs="Arial"/>
          <w:sz w:val="24"/>
          <w:szCs w:val="24"/>
        </w:rPr>
        <w:t xml:space="preserve"> </w:t>
      </w:r>
      <w:r w:rsidRPr="0082270E">
        <w:rPr>
          <w:rFonts w:ascii="Arial" w:hAnsi="Arial" w:cs="Arial"/>
          <w:sz w:val="24"/>
          <w:szCs w:val="24"/>
        </w:rPr>
        <w:t>se deben aplicar las reglas establecidas en el</w:t>
      </w:r>
      <w:r w:rsidR="00E01D4A" w:rsidRPr="0082270E">
        <w:rPr>
          <w:rFonts w:ascii="Arial" w:hAnsi="Arial" w:cs="Arial"/>
          <w:sz w:val="24"/>
          <w:szCs w:val="24"/>
        </w:rPr>
        <w:t xml:space="preserve"> Código General del Proceso</w:t>
      </w:r>
      <w:r w:rsidRPr="0082270E">
        <w:rPr>
          <w:rFonts w:ascii="Arial" w:hAnsi="Arial" w:cs="Arial"/>
          <w:sz w:val="24"/>
          <w:szCs w:val="24"/>
        </w:rPr>
        <w:t>, respecto de los procesos ejecutivos de mayor cuantía</w:t>
      </w:r>
      <w:r w:rsidR="00E01D4A" w:rsidRPr="0082270E">
        <w:rPr>
          <w:rFonts w:ascii="Arial" w:hAnsi="Arial" w:cs="Arial"/>
          <w:sz w:val="24"/>
          <w:szCs w:val="24"/>
        </w:rPr>
        <w:t xml:space="preserve">. </w:t>
      </w:r>
    </w:p>
    <w:p w14:paraId="634A9199" w14:textId="77777777" w:rsidR="0082270E" w:rsidRPr="0082270E" w:rsidRDefault="0082270E" w:rsidP="00CB0A46">
      <w:pPr>
        <w:pStyle w:val="Prrafodelista"/>
        <w:ind w:right="-234"/>
        <w:rPr>
          <w:rFonts w:ascii="Arial" w:hAnsi="Arial" w:cs="Arial"/>
          <w:sz w:val="24"/>
          <w:szCs w:val="24"/>
        </w:rPr>
      </w:pPr>
    </w:p>
    <w:p w14:paraId="2C4E0173" w14:textId="2F4CD9F9" w:rsidR="001C1C9C" w:rsidRPr="0082270E" w:rsidRDefault="2821E234" w:rsidP="3CE3F0DF">
      <w:pPr>
        <w:pStyle w:val="Prrafodelista"/>
        <w:widowControl w:val="0"/>
        <w:numPr>
          <w:ilvl w:val="0"/>
          <w:numId w:val="26"/>
        </w:numPr>
        <w:suppressAutoHyphens/>
        <w:spacing w:line="276" w:lineRule="auto"/>
        <w:ind w:left="0" w:right="-234" w:firstLine="0"/>
        <w:contextualSpacing/>
        <w:jc w:val="both"/>
        <w:rPr>
          <w:rFonts w:ascii="Arial" w:hAnsi="Arial" w:cs="Arial"/>
          <w:sz w:val="24"/>
          <w:szCs w:val="24"/>
        </w:rPr>
      </w:pPr>
      <w:r w:rsidRPr="3CE3F0DF">
        <w:rPr>
          <w:rFonts w:ascii="Arial" w:hAnsi="Arial" w:cs="Arial"/>
          <w:sz w:val="24"/>
          <w:szCs w:val="24"/>
        </w:rPr>
        <w:t>Pa</w:t>
      </w:r>
      <w:r w:rsidR="00E33D5A" w:rsidRPr="3CE3F0DF">
        <w:rPr>
          <w:rFonts w:ascii="Arial" w:hAnsi="Arial" w:cs="Arial"/>
          <w:sz w:val="24"/>
          <w:szCs w:val="24"/>
        </w:rPr>
        <w:t xml:space="preserve">ra </w:t>
      </w:r>
      <w:r w:rsidR="001C1C9C" w:rsidRPr="3CE3F0DF">
        <w:rPr>
          <w:rFonts w:ascii="Arial" w:hAnsi="Arial" w:cs="Arial"/>
          <w:sz w:val="24"/>
          <w:szCs w:val="24"/>
        </w:rPr>
        <w:t>los procesos</w:t>
      </w:r>
      <w:r w:rsidR="00E33D5A" w:rsidRPr="3CE3F0DF">
        <w:rPr>
          <w:rFonts w:ascii="Arial" w:hAnsi="Arial" w:cs="Arial"/>
          <w:sz w:val="24"/>
          <w:szCs w:val="24"/>
        </w:rPr>
        <w:t xml:space="preserve"> ejecutivo</w:t>
      </w:r>
      <w:r w:rsidR="001C1C9C" w:rsidRPr="3CE3F0DF">
        <w:rPr>
          <w:rFonts w:ascii="Arial" w:hAnsi="Arial" w:cs="Arial"/>
          <w:sz w:val="24"/>
          <w:szCs w:val="24"/>
        </w:rPr>
        <w:t>s</w:t>
      </w:r>
      <w:r w:rsidR="00E33D5A" w:rsidRPr="3CE3F0DF">
        <w:rPr>
          <w:rFonts w:ascii="Arial" w:hAnsi="Arial" w:cs="Arial"/>
          <w:sz w:val="24"/>
          <w:szCs w:val="24"/>
        </w:rPr>
        <w:t xml:space="preserve"> </w:t>
      </w:r>
      <w:r w:rsidR="001C1C9C" w:rsidRPr="3CE3F0DF">
        <w:rPr>
          <w:rFonts w:ascii="Arial" w:hAnsi="Arial" w:cs="Arial"/>
          <w:sz w:val="24"/>
          <w:szCs w:val="24"/>
        </w:rPr>
        <w:t xml:space="preserve">de conocimiento de la </w:t>
      </w:r>
      <w:r w:rsidR="1C5D19B0" w:rsidRPr="3CE3F0DF">
        <w:rPr>
          <w:rFonts w:ascii="Arial" w:hAnsi="Arial" w:cs="Arial"/>
          <w:sz w:val="24"/>
          <w:szCs w:val="24"/>
        </w:rPr>
        <w:t>Jur</w:t>
      </w:r>
      <w:r w:rsidR="001C1C9C" w:rsidRPr="3CE3F0DF">
        <w:rPr>
          <w:rFonts w:ascii="Arial" w:hAnsi="Arial" w:cs="Arial"/>
          <w:sz w:val="24"/>
          <w:szCs w:val="24"/>
        </w:rPr>
        <w:t>isdicción</w:t>
      </w:r>
      <w:r w:rsidR="6CA92BA7" w:rsidRPr="3CE3F0DF">
        <w:rPr>
          <w:rFonts w:ascii="Arial" w:hAnsi="Arial" w:cs="Arial"/>
          <w:sz w:val="24"/>
          <w:szCs w:val="24"/>
        </w:rPr>
        <w:t xml:space="preserve"> de lo C</w:t>
      </w:r>
      <w:r w:rsidR="001C1C9C" w:rsidRPr="3CE3F0DF">
        <w:rPr>
          <w:rFonts w:ascii="Arial" w:hAnsi="Arial" w:cs="Arial"/>
          <w:sz w:val="24"/>
          <w:szCs w:val="24"/>
        </w:rPr>
        <w:t xml:space="preserve">ontenciosa </w:t>
      </w:r>
      <w:r w:rsidR="54633CF8" w:rsidRPr="3CE3F0DF">
        <w:rPr>
          <w:rFonts w:ascii="Arial" w:hAnsi="Arial" w:cs="Arial"/>
          <w:sz w:val="24"/>
          <w:szCs w:val="24"/>
        </w:rPr>
        <w:t>A</w:t>
      </w:r>
      <w:r w:rsidR="001C1C9C" w:rsidRPr="3CE3F0DF">
        <w:rPr>
          <w:rFonts w:ascii="Arial" w:hAnsi="Arial" w:cs="Arial"/>
          <w:sz w:val="24"/>
          <w:szCs w:val="24"/>
        </w:rPr>
        <w:t>dministrativ</w:t>
      </w:r>
      <w:r w:rsidR="6CA3416D" w:rsidRPr="3CE3F0DF">
        <w:rPr>
          <w:rFonts w:ascii="Arial" w:hAnsi="Arial" w:cs="Arial"/>
          <w:sz w:val="24"/>
          <w:szCs w:val="24"/>
        </w:rPr>
        <w:t>o,</w:t>
      </w:r>
      <w:r w:rsidR="001C1C9C" w:rsidRPr="3CE3F0DF">
        <w:rPr>
          <w:rFonts w:ascii="Arial" w:hAnsi="Arial" w:cs="Arial"/>
          <w:sz w:val="24"/>
          <w:szCs w:val="24"/>
        </w:rPr>
        <w:t xml:space="preserve"> </w:t>
      </w:r>
      <w:r w:rsidR="00E33D5A" w:rsidRPr="3CE3F0DF">
        <w:rPr>
          <w:rFonts w:ascii="Arial" w:hAnsi="Arial" w:cs="Arial"/>
          <w:sz w:val="24"/>
          <w:szCs w:val="24"/>
        </w:rPr>
        <w:t xml:space="preserve">se encuentra establecidas </w:t>
      </w:r>
      <w:r w:rsidR="00BF35D4" w:rsidRPr="3CE3F0DF">
        <w:rPr>
          <w:rFonts w:ascii="Arial" w:hAnsi="Arial" w:cs="Arial"/>
          <w:sz w:val="24"/>
          <w:szCs w:val="24"/>
        </w:rPr>
        <w:t>las siguientes etapas procesales</w:t>
      </w:r>
      <w:r w:rsidR="001C1C9C" w:rsidRPr="3CE3F0DF">
        <w:rPr>
          <w:rFonts w:ascii="Arial" w:hAnsi="Arial" w:cs="Arial"/>
          <w:sz w:val="24"/>
          <w:szCs w:val="24"/>
        </w:rPr>
        <w:t>:</w:t>
      </w:r>
    </w:p>
    <w:p w14:paraId="2D707BA0" w14:textId="605A9A00" w:rsidR="007028C0" w:rsidRDefault="007028C0" w:rsidP="00CB0A46">
      <w:pPr>
        <w:spacing w:line="276" w:lineRule="auto"/>
        <w:ind w:right="-234"/>
        <w:jc w:val="both"/>
        <w:rPr>
          <w:rFonts w:ascii="Arial" w:hAnsi="Arial" w:cs="Arial"/>
          <w:sz w:val="24"/>
          <w:szCs w:val="24"/>
        </w:rPr>
      </w:pPr>
    </w:p>
    <w:p w14:paraId="486CC292" w14:textId="2721C4CC" w:rsidR="004C1929" w:rsidRPr="004C1929" w:rsidRDefault="004C1929" w:rsidP="00CB0A46">
      <w:pPr>
        <w:pStyle w:val="Prrafodelista"/>
        <w:widowControl w:val="0"/>
        <w:numPr>
          <w:ilvl w:val="0"/>
          <w:numId w:val="24"/>
        </w:numPr>
        <w:tabs>
          <w:tab w:val="left" w:pos="567"/>
          <w:tab w:val="left" w:pos="7655"/>
        </w:tabs>
        <w:spacing w:line="276" w:lineRule="auto"/>
        <w:ind w:left="284" w:right="-234" w:firstLine="0"/>
        <w:jc w:val="both"/>
        <w:rPr>
          <w:rFonts w:ascii="Arial" w:hAnsi="Arial" w:cs="Arial"/>
          <w:b/>
          <w:bCs/>
          <w:sz w:val="24"/>
          <w:szCs w:val="24"/>
        </w:rPr>
      </w:pPr>
      <w:r>
        <w:rPr>
          <w:rFonts w:ascii="Arial" w:hAnsi="Arial" w:cs="Arial"/>
          <w:sz w:val="24"/>
          <w:szCs w:val="24"/>
        </w:rPr>
        <w:t>Presentada la demanda</w:t>
      </w:r>
      <w:r w:rsidR="24C3C055">
        <w:rPr>
          <w:rFonts w:ascii="Arial" w:hAnsi="Arial" w:cs="Arial"/>
          <w:sz w:val="24"/>
          <w:szCs w:val="24"/>
        </w:rPr>
        <w:t>,</w:t>
      </w:r>
      <w:r>
        <w:rPr>
          <w:rFonts w:ascii="Arial" w:hAnsi="Arial" w:cs="Arial"/>
          <w:sz w:val="24"/>
          <w:szCs w:val="24"/>
        </w:rPr>
        <w:t xml:space="preserve"> acompañada del documento que preste mérito ejecutivo, el juez deberá librar el mandamiento de pago que ordene al demandado el cumplimiento de la obligación en la forma pedida, si fuere procedente, o en la que aquel considere legal</w:t>
      </w:r>
      <w:r>
        <w:rPr>
          <w:rStyle w:val="Refdenotaalpie"/>
          <w:rFonts w:ascii="Arial" w:hAnsi="Arial" w:cs="Arial"/>
          <w:sz w:val="24"/>
          <w:szCs w:val="24"/>
        </w:rPr>
        <w:footnoteReference w:id="17"/>
      </w:r>
      <w:r>
        <w:rPr>
          <w:rFonts w:ascii="Arial" w:hAnsi="Arial" w:cs="Arial"/>
          <w:sz w:val="24"/>
          <w:szCs w:val="24"/>
        </w:rPr>
        <w:t>, lo que habilita al ejecutado a que formule las excepciones que considere pertinentes o las que establezca la ley en el caso de obligaciones contenidas en una providencia, conciliación o transacción aprobada por el juez</w:t>
      </w:r>
      <w:r>
        <w:rPr>
          <w:rStyle w:val="Refdenotaalpie"/>
          <w:rFonts w:ascii="Arial" w:hAnsi="Arial" w:cs="Arial"/>
          <w:sz w:val="24"/>
          <w:szCs w:val="24"/>
        </w:rPr>
        <w:footnoteReference w:id="18"/>
      </w:r>
      <w:r>
        <w:rPr>
          <w:rFonts w:ascii="Arial" w:hAnsi="Arial" w:cs="Arial"/>
          <w:sz w:val="24"/>
          <w:szCs w:val="24"/>
        </w:rPr>
        <w:t>.</w:t>
      </w:r>
    </w:p>
    <w:p w14:paraId="62F79909" w14:textId="4FB6C70F" w:rsidR="004C1929" w:rsidRDefault="004C1929" w:rsidP="00CB0A46">
      <w:pPr>
        <w:pStyle w:val="Prrafodelista"/>
        <w:widowControl w:val="0"/>
        <w:tabs>
          <w:tab w:val="left" w:pos="567"/>
          <w:tab w:val="left" w:pos="7655"/>
        </w:tabs>
        <w:spacing w:line="276" w:lineRule="auto"/>
        <w:ind w:left="284" w:right="-234"/>
        <w:jc w:val="both"/>
        <w:rPr>
          <w:rFonts w:ascii="Arial" w:hAnsi="Arial" w:cs="Arial"/>
          <w:b/>
          <w:bCs/>
          <w:sz w:val="24"/>
          <w:szCs w:val="24"/>
        </w:rPr>
      </w:pPr>
    </w:p>
    <w:p w14:paraId="2F1E8C64" w14:textId="4FB03B5F" w:rsidR="004C1929" w:rsidRPr="004C1929" w:rsidRDefault="004C1929" w:rsidP="00CB0A46">
      <w:pPr>
        <w:pStyle w:val="Prrafodelista"/>
        <w:widowControl w:val="0"/>
        <w:numPr>
          <w:ilvl w:val="0"/>
          <w:numId w:val="24"/>
        </w:numPr>
        <w:tabs>
          <w:tab w:val="left" w:pos="567"/>
          <w:tab w:val="left" w:pos="7655"/>
        </w:tabs>
        <w:spacing w:line="276" w:lineRule="auto"/>
        <w:ind w:left="284" w:right="-234" w:firstLine="0"/>
        <w:jc w:val="both"/>
        <w:rPr>
          <w:rFonts w:ascii="Arial" w:hAnsi="Arial" w:cs="Arial"/>
          <w:b/>
          <w:sz w:val="24"/>
          <w:szCs w:val="24"/>
        </w:rPr>
      </w:pPr>
      <w:r w:rsidRPr="00B854FA">
        <w:rPr>
          <w:rFonts w:ascii="Arial" w:hAnsi="Arial" w:cs="Arial"/>
          <w:sz w:val="24"/>
          <w:szCs w:val="24"/>
        </w:rPr>
        <w:t>Si el ejecutado no propone excepciones oportunamente, el juez ordenará, por medio de auto que no admite recurso, el remate y el avalúo de los bienes embargados y de los que posteriormente se embarguen, si fuere el caso, o seguir adelante la ejecución para el cumplimiento de las obligaciones determinadas en el mandamiento ejecutivo, practicar la liquidación del crédito y condenar en costas al ejecutado.</w:t>
      </w:r>
    </w:p>
    <w:p w14:paraId="2DFF9E64" w14:textId="77777777" w:rsidR="004C1929" w:rsidRPr="004C1929" w:rsidRDefault="004C1929" w:rsidP="00CB0A46">
      <w:pPr>
        <w:pStyle w:val="Prrafodelista"/>
        <w:ind w:right="-234"/>
        <w:rPr>
          <w:rFonts w:ascii="Arial" w:hAnsi="Arial" w:cs="Arial"/>
          <w:b/>
          <w:sz w:val="24"/>
          <w:szCs w:val="24"/>
        </w:rPr>
      </w:pPr>
    </w:p>
    <w:p w14:paraId="0312A08B" w14:textId="147B386A" w:rsidR="004C1929" w:rsidRDefault="004C1929" w:rsidP="00CB0A46">
      <w:pPr>
        <w:pStyle w:val="Prrafodelista"/>
        <w:widowControl w:val="0"/>
        <w:numPr>
          <w:ilvl w:val="0"/>
          <w:numId w:val="24"/>
        </w:numPr>
        <w:tabs>
          <w:tab w:val="left" w:pos="567"/>
          <w:tab w:val="left" w:pos="7655"/>
        </w:tabs>
        <w:spacing w:line="276" w:lineRule="auto"/>
        <w:ind w:left="284" w:right="-234" w:firstLine="0"/>
        <w:jc w:val="both"/>
        <w:rPr>
          <w:rFonts w:ascii="Arial" w:hAnsi="Arial" w:cs="Arial"/>
          <w:b/>
          <w:bCs/>
          <w:sz w:val="24"/>
          <w:szCs w:val="24"/>
          <w:lang w:val="es"/>
        </w:rPr>
      </w:pPr>
      <w:r w:rsidRPr="40EF63BF">
        <w:rPr>
          <w:rFonts w:ascii="Arial" w:hAnsi="Arial" w:cs="Arial"/>
          <w:sz w:val="24"/>
          <w:szCs w:val="24"/>
        </w:rPr>
        <w:t xml:space="preserve">Si el ejecutado propone excepciones procedentes, surtido el traslado correspondiente, se llevará a cabo la audiencia inicial y el juez proferirá la sentencia, en los términos del artículo 443 del Código General del Proceso, respecto de la cual procede el recurso de apelación. </w:t>
      </w:r>
    </w:p>
    <w:p w14:paraId="7A631E99" w14:textId="37714550" w:rsidR="40EF63BF" w:rsidRDefault="40EF63BF" w:rsidP="00CB0A46">
      <w:pPr>
        <w:widowControl w:val="0"/>
        <w:tabs>
          <w:tab w:val="left" w:pos="567"/>
          <w:tab w:val="left" w:pos="7655"/>
        </w:tabs>
        <w:spacing w:line="276" w:lineRule="auto"/>
        <w:ind w:right="-234"/>
        <w:jc w:val="both"/>
        <w:rPr>
          <w:lang w:val="es"/>
        </w:rPr>
      </w:pPr>
    </w:p>
    <w:p w14:paraId="1D1903E4" w14:textId="24FEFF35" w:rsidR="02752FB6" w:rsidRPr="0082270E" w:rsidRDefault="02752FB6" w:rsidP="00CB0A46">
      <w:pPr>
        <w:pStyle w:val="Prrafodelista"/>
        <w:widowControl w:val="0"/>
        <w:numPr>
          <w:ilvl w:val="0"/>
          <w:numId w:val="24"/>
        </w:numPr>
        <w:tabs>
          <w:tab w:val="left" w:pos="567"/>
          <w:tab w:val="left" w:pos="7655"/>
        </w:tabs>
        <w:spacing w:line="276" w:lineRule="auto"/>
        <w:ind w:left="284" w:right="-234" w:firstLine="0"/>
        <w:jc w:val="both"/>
        <w:rPr>
          <w:b/>
          <w:bCs/>
          <w:sz w:val="24"/>
          <w:szCs w:val="24"/>
          <w:lang w:val="es"/>
        </w:rPr>
      </w:pPr>
      <w:r w:rsidRPr="3CE3F0DF">
        <w:rPr>
          <w:rFonts w:ascii="Arial" w:eastAsia="Arial" w:hAnsi="Arial" w:cs="Arial"/>
          <w:sz w:val="24"/>
          <w:szCs w:val="24"/>
        </w:rPr>
        <w:t xml:space="preserve">Seguidamente del </w:t>
      </w:r>
      <w:r w:rsidR="624BD470" w:rsidRPr="3CE3F0DF">
        <w:rPr>
          <w:rFonts w:ascii="Arial" w:eastAsia="Arial" w:hAnsi="Arial" w:cs="Arial"/>
          <w:sz w:val="24"/>
          <w:szCs w:val="24"/>
        </w:rPr>
        <w:t>a</w:t>
      </w:r>
      <w:proofErr w:type="spellStart"/>
      <w:r w:rsidRPr="3CE3F0DF">
        <w:rPr>
          <w:rFonts w:ascii="Arial" w:eastAsia="Arial" w:hAnsi="Arial" w:cs="Arial"/>
          <w:sz w:val="24"/>
          <w:szCs w:val="24"/>
          <w:lang w:val="es"/>
        </w:rPr>
        <w:t>u</w:t>
      </w:r>
      <w:r w:rsidR="1BF377C9" w:rsidRPr="3CE3F0DF">
        <w:rPr>
          <w:rFonts w:ascii="Arial" w:eastAsia="Arial" w:hAnsi="Arial" w:cs="Arial"/>
          <w:sz w:val="24"/>
          <w:szCs w:val="24"/>
          <w:lang w:val="es"/>
        </w:rPr>
        <w:t>to</w:t>
      </w:r>
      <w:proofErr w:type="spellEnd"/>
      <w:r w:rsidRPr="3CE3F0DF">
        <w:rPr>
          <w:rFonts w:ascii="Arial" w:eastAsia="Arial" w:hAnsi="Arial" w:cs="Arial"/>
          <w:sz w:val="24"/>
          <w:szCs w:val="24"/>
          <w:lang w:val="es"/>
        </w:rPr>
        <w:t xml:space="preserve"> que ordena </w:t>
      </w:r>
      <w:r w:rsidR="47F8554F" w:rsidRPr="3CE3F0DF">
        <w:rPr>
          <w:rFonts w:ascii="Arial" w:eastAsia="Arial" w:hAnsi="Arial" w:cs="Arial"/>
          <w:sz w:val="24"/>
          <w:szCs w:val="24"/>
          <w:lang w:val="es"/>
        </w:rPr>
        <w:t>continuar</w:t>
      </w:r>
      <w:r w:rsidRPr="3CE3F0DF">
        <w:rPr>
          <w:rFonts w:ascii="Arial" w:eastAsia="Arial" w:hAnsi="Arial" w:cs="Arial"/>
          <w:sz w:val="24"/>
          <w:szCs w:val="24"/>
          <w:lang w:val="es"/>
        </w:rPr>
        <w:t xml:space="preserve"> la ejecución </w:t>
      </w:r>
      <w:r w:rsidR="22B94182" w:rsidRPr="3CE3F0DF">
        <w:rPr>
          <w:rFonts w:ascii="Arial" w:eastAsia="Arial" w:hAnsi="Arial" w:cs="Arial"/>
          <w:sz w:val="24"/>
          <w:szCs w:val="24"/>
          <w:lang w:val="es"/>
        </w:rPr>
        <w:t xml:space="preserve">en los términos del </w:t>
      </w:r>
      <w:r w:rsidRPr="3CE3F0DF">
        <w:rPr>
          <w:rFonts w:ascii="Arial" w:eastAsia="Arial" w:hAnsi="Arial" w:cs="Arial"/>
          <w:sz w:val="24"/>
          <w:szCs w:val="24"/>
          <w:lang w:val="es"/>
        </w:rPr>
        <w:t>artículo 440</w:t>
      </w:r>
      <w:r w:rsidR="4B820142" w:rsidRPr="3CE3F0DF">
        <w:rPr>
          <w:rFonts w:ascii="Arial" w:eastAsia="Arial" w:hAnsi="Arial" w:cs="Arial"/>
          <w:sz w:val="24"/>
          <w:szCs w:val="24"/>
          <w:lang w:val="es"/>
        </w:rPr>
        <w:t xml:space="preserve"> ibidem</w:t>
      </w:r>
      <w:r w:rsidR="54386E9B" w:rsidRPr="3CE3F0DF">
        <w:rPr>
          <w:rFonts w:ascii="Arial" w:eastAsia="Arial" w:hAnsi="Arial" w:cs="Arial"/>
          <w:sz w:val="24"/>
          <w:szCs w:val="24"/>
          <w:lang w:val="es"/>
        </w:rPr>
        <w:t>, l</w:t>
      </w:r>
      <w:r w:rsidRPr="3CE3F0DF">
        <w:rPr>
          <w:rFonts w:ascii="Arial" w:eastAsia="Arial" w:hAnsi="Arial" w:cs="Arial"/>
          <w:sz w:val="24"/>
          <w:szCs w:val="24"/>
          <w:lang w:val="es"/>
        </w:rPr>
        <w:t>iquidación del crédito -artículo 446</w:t>
      </w:r>
      <w:r w:rsidR="31F65C60" w:rsidRPr="3CE3F0DF">
        <w:rPr>
          <w:rFonts w:ascii="Arial" w:eastAsia="Arial" w:hAnsi="Arial" w:cs="Arial"/>
          <w:sz w:val="24"/>
          <w:szCs w:val="24"/>
          <w:lang w:val="es"/>
        </w:rPr>
        <w:t>-, y finalmente el r</w:t>
      </w:r>
      <w:r w:rsidRPr="3CE3F0DF">
        <w:rPr>
          <w:rFonts w:ascii="Arial" w:eastAsia="Arial" w:hAnsi="Arial" w:cs="Arial"/>
          <w:sz w:val="24"/>
          <w:szCs w:val="24"/>
          <w:lang w:val="es"/>
        </w:rPr>
        <w:t>emate en pública subasta de los bienes -si hubiere lugar a ello artículo</w:t>
      </w:r>
      <w:r w:rsidR="4D630F8D" w:rsidRPr="3CE3F0DF">
        <w:rPr>
          <w:rFonts w:ascii="Arial" w:eastAsia="Arial" w:hAnsi="Arial" w:cs="Arial"/>
          <w:sz w:val="24"/>
          <w:szCs w:val="24"/>
          <w:lang w:val="es"/>
        </w:rPr>
        <w:t xml:space="preserve"> </w:t>
      </w:r>
      <w:r w:rsidRPr="3CE3F0DF">
        <w:rPr>
          <w:rFonts w:ascii="Arial" w:eastAsia="Arial" w:hAnsi="Arial" w:cs="Arial"/>
          <w:sz w:val="24"/>
          <w:szCs w:val="24"/>
          <w:lang w:val="es"/>
        </w:rPr>
        <w:t>452 del CGP-.</w:t>
      </w:r>
    </w:p>
    <w:p w14:paraId="69A57E6D" w14:textId="77777777" w:rsidR="0082270E" w:rsidRPr="0082270E" w:rsidRDefault="0082270E" w:rsidP="00CB0A46">
      <w:pPr>
        <w:pStyle w:val="Prrafodelista"/>
        <w:ind w:right="-234"/>
        <w:rPr>
          <w:b/>
          <w:bCs/>
          <w:sz w:val="24"/>
          <w:szCs w:val="24"/>
          <w:lang w:val="es"/>
        </w:rPr>
      </w:pPr>
    </w:p>
    <w:p w14:paraId="10606E9E" w14:textId="73B0389B" w:rsidR="0082270E" w:rsidRPr="00106339" w:rsidRDefault="2CAAA6C3" w:rsidP="3CE3F0DF">
      <w:pPr>
        <w:pStyle w:val="Ttulo2"/>
        <w:ind w:right="-234"/>
        <w:rPr>
          <w:rFonts w:ascii="Arial" w:hAnsi="Arial" w:cs="Arial"/>
          <w:b/>
          <w:bCs/>
          <w:color w:val="auto"/>
          <w:sz w:val="24"/>
          <w:szCs w:val="24"/>
          <w:lang w:val="es"/>
        </w:rPr>
      </w:pPr>
      <w:r w:rsidRPr="3CE3F0DF">
        <w:rPr>
          <w:rFonts w:ascii="Arial" w:hAnsi="Arial" w:cs="Arial"/>
          <w:b/>
          <w:bCs/>
          <w:color w:val="auto"/>
          <w:sz w:val="24"/>
          <w:szCs w:val="24"/>
          <w:lang w:val="es"/>
        </w:rPr>
        <w:t xml:space="preserve">3. </w:t>
      </w:r>
      <w:r w:rsidR="0082270E" w:rsidRPr="3CE3F0DF">
        <w:rPr>
          <w:rFonts w:ascii="Arial" w:hAnsi="Arial" w:cs="Arial"/>
          <w:b/>
          <w:bCs/>
          <w:color w:val="auto"/>
          <w:sz w:val="24"/>
          <w:szCs w:val="24"/>
          <w:lang w:val="es"/>
        </w:rPr>
        <w:t>Caso concreto</w:t>
      </w:r>
    </w:p>
    <w:p w14:paraId="28355E58" w14:textId="04D636CA" w:rsidR="00EE01EB" w:rsidRDefault="00EE01EB" w:rsidP="00CB0A46">
      <w:pPr>
        <w:spacing w:line="276" w:lineRule="auto"/>
        <w:ind w:right="-234"/>
        <w:jc w:val="both"/>
        <w:rPr>
          <w:rFonts w:ascii="Arial" w:hAnsi="Arial" w:cs="Arial"/>
          <w:sz w:val="24"/>
          <w:szCs w:val="24"/>
        </w:rPr>
      </w:pPr>
    </w:p>
    <w:p w14:paraId="4F07A4A7" w14:textId="5B1BA106" w:rsidR="0082270E" w:rsidRDefault="000D54B1" w:rsidP="0A4A898A">
      <w:pPr>
        <w:pStyle w:val="Prrafodelista"/>
        <w:widowControl w:val="0"/>
        <w:numPr>
          <w:ilvl w:val="0"/>
          <w:numId w:val="26"/>
        </w:numPr>
        <w:suppressAutoHyphens/>
        <w:spacing w:line="276" w:lineRule="auto"/>
        <w:ind w:left="0" w:right="-234" w:firstLine="0"/>
        <w:contextualSpacing/>
        <w:jc w:val="both"/>
        <w:rPr>
          <w:rFonts w:ascii="Arial" w:hAnsi="Arial" w:cs="Arial"/>
          <w:sz w:val="24"/>
          <w:szCs w:val="24"/>
        </w:rPr>
      </w:pPr>
      <w:r w:rsidRPr="0A4A898A">
        <w:rPr>
          <w:rFonts w:ascii="Arial" w:hAnsi="Arial" w:cs="Arial"/>
          <w:sz w:val="24"/>
          <w:szCs w:val="24"/>
        </w:rPr>
        <w:t xml:space="preserve">En el </w:t>
      </w:r>
      <w:r w:rsidRPr="0A4A898A">
        <w:rPr>
          <w:rFonts w:ascii="Arial" w:hAnsi="Arial" w:cs="Arial"/>
          <w:i/>
          <w:iCs/>
          <w:sz w:val="24"/>
          <w:szCs w:val="24"/>
        </w:rPr>
        <w:t xml:space="preserve">sub examine, </w:t>
      </w:r>
      <w:r w:rsidRPr="0A4A898A">
        <w:rPr>
          <w:rFonts w:ascii="Arial" w:hAnsi="Arial" w:cs="Arial"/>
          <w:sz w:val="24"/>
          <w:szCs w:val="24"/>
        </w:rPr>
        <w:t xml:space="preserve">el </w:t>
      </w:r>
      <w:r w:rsidRPr="0A4A898A">
        <w:rPr>
          <w:rFonts w:ascii="Arial" w:hAnsi="Arial" w:cs="Arial"/>
          <w:i/>
          <w:iCs/>
          <w:sz w:val="24"/>
          <w:szCs w:val="24"/>
        </w:rPr>
        <w:t xml:space="preserve">a quo </w:t>
      </w:r>
      <w:r w:rsidRPr="0A4A898A">
        <w:rPr>
          <w:rFonts w:ascii="Arial" w:hAnsi="Arial" w:cs="Arial"/>
          <w:sz w:val="24"/>
          <w:szCs w:val="24"/>
        </w:rPr>
        <w:t xml:space="preserve">rechazó la reforma a la demanda bajo argumentaciones </w:t>
      </w:r>
      <w:r w:rsidR="00A8354B" w:rsidRPr="0A4A898A">
        <w:rPr>
          <w:rFonts w:ascii="Arial" w:hAnsi="Arial" w:cs="Arial"/>
          <w:sz w:val="24"/>
          <w:szCs w:val="24"/>
        </w:rPr>
        <w:t xml:space="preserve">netamente </w:t>
      </w:r>
      <w:r w:rsidRPr="0A4A898A">
        <w:rPr>
          <w:rFonts w:ascii="Arial" w:hAnsi="Arial" w:cs="Arial"/>
          <w:sz w:val="24"/>
          <w:szCs w:val="24"/>
        </w:rPr>
        <w:t xml:space="preserve">procesales, entendió que de conformidad con lo </w:t>
      </w:r>
      <w:r w:rsidRPr="0A4A898A">
        <w:rPr>
          <w:rFonts w:ascii="Arial" w:hAnsi="Arial" w:cs="Arial"/>
          <w:sz w:val="24"/>
          <w:szCs w:val="24"/>
        </w:rPr>
        <w:lastRenderedPageBreak/>
        <w:t xml:space="preserve">establecido en el inciso cuarto del artículo 392 del C.G.P., </w:t>
      </w:r>
      <w:r w:rsidR="00A8354B" w:rsidRPr="0A4A898A">
        <w:rPr>
          <w:rFonts w:ascii="Arial" w:hAnsi="Arial" w:cs="Arial"/>
          <w:sz w:val="24"/>
          <w:szCs w:val="24"/>
        </w:rPr>
        <w:t>no ha</w:t>
      </w:r>
      <w:r w:rsidR="50C05929" w:rsidRPr="0A4A898A">
        <w:rPr>
          <w:rFonts w:ascii="Arial" w:hAnsi="Arial" w:cs="Arial"/>
          <w:sz w:val="24"/>
          <w:szCs w:val="24"/>
        </w:rPr>
        <w:t>bía</w:t>
      </w:r>
      <w:r w:rsidR="00A8354B" w:rsidRPr="0A4A898A">
        <w:rPr>
          <w:rFonts w:ascii="Arial" w:hAnsi="Arial" w:cs="Arial"/>
          <w:sz w:val="24"/>
          <w:szCs w:val="24"/>
        </w:rPr>
        <w:t xml:space="preserve"> lugar para la reforma de la demanda en los procesos ejecutivos de menor y mínima cuantía. </w:t>
      </w:r>
    </w:p>
    <w:p w14:paraId="228D040A" w14:textId="0EE49773" w:rsidR="0082270E" w:rsidRDefault="0082270E" w:rsidP="001915AF">
      <w:pPr>
        <w:pStyle w:val="Prrafodelista"/>
        <w:widowControl w:val="0"/>
        <w:tabs>
          <w:tab w:val="left" w:pos="-720"/>
        </w:tabs>
        <w:suppressAutoHyphens/>
        <w:spacing w:line="276" w:lineRule="auto"/>
        <w:ind w:left="0" w:right="-234"/>
        <w:contextualSpacing/>
        <w:jc w:val="both"/>
        <w:rPr>
          <w:rFonts w:ascii="Arial" w:hAnsi="Arial" w:cs="Arial"/>
          <w:sz w:val="24"/>
          <w:szCs w:val="24"/>
        </w:rPr>
      </w:pPr>
    </w:p>
    <w:p w14:paraId="1FA65560" w14:textId="3655996F" w:rsidR="001915AF" w:rsidRDefault="00661BA6" w:rsidP="0A4A898A">
      <w:pPr>
        <w:pStyle w:val="Prrafodelista"/>
        <w:widowControl w:val="0"/>
        <w:numPr>
          <w:ilvl w:val="0"/>
          <w:numId w:val="26"/>
        </w:numPr>
        <w:suppressAutoHyphens/>
        <w:spacing w:line="276" w:lineRule="auto"/>
        <w:ind w:left="0" w:right="-234" w:firstLine="0"/>
        <w:contextualSpacing/>
        <w:jc w:val="both"/>
        <w:rPr>
          <w:rFonts w:ascii="Arial" w:hAnsi="Arial" w:cs="Arial"/>
          <w:sz w:val="24"/>
          <w:szCs w:val="24"/>
        </w:rPr>
      </w:pPr>
      <w:r w:rsidRPr="3CE3F0DF">
        <w:rPr>
          <w:rFonts w:ascii="Arial" w:hAnsi="Arial" w:cs="Arial"/>
          <w:sz w:val="24"/>
          <w:szCs w:val="24"/>
        </w:rPr>
        <w:t>Por su parte</w:t>
      </w:r>
      <w:r w:rsidR="00436974" w:rsidRPr="3CE3F0DF">
        <w:rPr>
          <w:rFonts w:ascii="Arial" w:hAnsi="Arial" w:cs="Arial"/>
          <w:sz w:val="24"/>
          <w:szCs w:val="24"/>
        </w:rPr>
        <w:t xml:space="preserve">, </w:t>
      </w:r>
      <w:r w:rsidR="003A02E2" w:rsidRPr="3CE3F0DF">
        <w:rPr>
          <w:rFonts w:ascii="Arial" w:hAnsi="Arial" w:cs="Arial"/>
          <w:sz w:val="24"/>
          <w:szCs w:val="24"/>
        </w:rPr>
        <w:t>en el escrito de apelación se presentaron argumentacione</w:t>
      </w:r>
      <w:r w:rsidR="001E1125" w:rsidRPr="3CE3F0DF">
        <w:rPr>
          <w:rFonts w:ascii="Arial" w:hAnsi="Arial" w:cs="Arial"/>
          <w:sz w:val="24"/>
          <w:szCs w:val="24"/>
        </w:rPr>
        <w:t xml:space="preserve">s del </w:t>
      </w:r>
      <w:r w:rsidRPr="3CE3F0DF">
        <w:rPr>
          <w:rFonts w:ascii="Arial" w:hAnsi="Arial" w:cs="Arial"/>
          <w:sz w:val="24"/>
          <w:szCs w:val="24"/>
        </w:rPr>
        <w:t xml:space="preserve">orden </w:t>
      </w:r>
      <w:r w:rsidR="001E1125" w:rsidRPr="3CE3F0DF">
        <w:rPr>
          <w:rFonts w:ascii="Arial" w:hAnsi="Arial" w:cs="Arial"/>
          <w:sz w:val="24"/>
          <w:szCs w:val="24"/>
        </w:rPr>
        <w:t>sustancial</w:t>
      </w:r>
      <w:r w:rsidRPr="3CE3F0DF">
        <w:rPr>
          <w:rFonts w:ascii="Arial" w:hAnsi="Arial" w:cs="Arial"/>
          <w:sz w:val="24"/>
          <w:szCs w:val="24"/>
        </w:rPr>
        <w:t xml:space="preserve">, atinentes </w:t>
      </w:r>
      <w:r w:rsidR="0FBA0682" w:rsidRPr="3CE3F0DF">
        <w:rPr>
          <w:rFonts w:ascii="Arial" w:hAnsi="Arial" w:cs="Arial"/>
          <w:sz w:val="24"/>
          <w:szCs w:val="24"/>
        </w:rPr>
        <w:t xml:space="preserve">a </w:t>
      </w:r>
      <w:r w:rsidR="001E1125" w:rsidRPr="3CE3F0DF">
        <w:rPr>
          <w:rFonts w:ascii="Arial" w:hAnsi="Arial" w:cs="Arial"/>
          <w:sz w:val="24"/>
          <w:szCs w:val="24"/>
        </w:rPr>
        <w:t>la existencia de una obligación clara</w:t>
      </w:r>
      <w:r w:rsidRPr="3CE3F0DF">
        <w:rPr>
          <w:rFonts w:ascii="Arial" w:hAnsi="Arial" w:cs="Arial"/>
          <w:sz w:val="24"/>
          <w:szCs w:val="24"/>
        </w:rPr>
        <w:t>,</w:t>
      </w:r>
      <w:r w:rsidR="001E1125" w:rsidRPr="3CE3F0DF">
        <w:rPr>
          <w:rFonts w:ascii="Arial" w:hAnsi="Arial" w:cs="Arial"/>
          <w:sz w:val="24"/>
          <w:szCs w:val="24"/>
        </w:rPr>
        <w:t xml:space="preserve"> expresa y exigible contenida en un título ejecutivo, </w:t>
      </w:r>
      <w:r w:rsidRPr="3CE3F0DF">
        <w:rPr>
          <w:rFonts w:ascii="Arial" w:hAnsi="Arial" w:cs="Arial"/>
          <w:sz w:val="24"/>
          <w:szCs w:val="24"/>
        </w:rPr>
        <w:t>indicando que exist</w:t>
      </w:r>
      <w:r w:rsidR="2DB870F7" w:rsidRPr="3CE3F0DF">
        <w:rPr>
          <w:rFonts w:ascii="Arial" w:hAnsi="Arial" w:cs="Arial"/>
          <w:sz w:val="24"/>
          <w:szCs w:val="24"/>
        </w:rPr>
        <w:t>ía</w:t>
      </w:r>
      <w:r w:rsidRPr="3CE3F0DF">
        <w:rPr>
          <w:rFonts w:ascii="Arial" w:hAnsi="Arial" w:cs="Arial"/>
          <w:sz w:val="24"/>
          <w:szCs w:val="24"/>
        </w:rPr>
        <w:t xml:space="preserve"> </w:t>
      </w:r>
      <w:r w:rsidR="001E1125" w:rsidRPr="3CE3F0DF">
        <w:rPr>
          <w:rFonts w:ascii="Arial" w:hAnsi="Arial" w:cs="Arial"/>
          <w:sz w:val="24"/>
          <w:szCs w:val="24"/>
        </w:rPr>
        <w:t>diferencia con el</w:t>
      </w:r>
      <w:r w:rsidRPr="3CE3F0DF">
        <w:rPr>
          <w:rFonts w:ascii="Arial" w:hAnsi="Arial" w:cs="Arial"/>
          <w:sz w:val="24"/>
          <w:szCs w:val="24"/>
        </w:rPr>
        <w:t xml:space="preserve"> concepto de</w:t>
      </w:r>
      <w:r w:rsidR="001E1125" w:rsidRPr="3CE3F0DF">
        <w:rPr>
          <w:rFonts w:ascii="Arial" w:hAnsi="Arial" w:cs="Arial"/>
          <w:sz w:val="24"/>
          <w:szCs w:val="24"/>
        </w:rPr>
        <w:t xml:space="preserve"> título valor del Código de Comercio. </w:t>
      </w:r>
    </w:p>
    <w:p w14:paraId="7BBAF29B" w14:textId="77777777" w:rsidR="001E1125" w:rsidRPr="001E1125" w:rsidRDefault="001E1125" w:rsidP="001E1125">
      <w:pPr>
        <w:pStyle w:val="Prrafodelista"/>
        <w:rPr>
          <w:rFonts w:ascii="Arial" w:hAnsi="Arial" w:cs="Arial"/>
          <w:sz w:val="24"/>
          <w:szCs w:val="24"/>
        </w:rPr>
      </w:pPr>
    </w:p>
    <w:p w14:paraId="5317BECC" w14:textId="5A60D9FE" w:rsidR="001E1125" w:rsidRDefault="001E1125" w:rsidP="00CB0A46">
      <w:pPr>
        <w:pStyle w:val="Prrafodelista"/>
        <w:widowControl w:val="0"/>
        <w:numPr>
          <w:ilvl w:val="0"/>
          <w:numId w:val="26"/>
        </w:numPr>
        <w:tabs>
          <w:tab w:val="left" w:pos="-720"/>
        </w:tabs>
        <w:suppressAutoHyphens/>
        <w:spacing w:line="276" w:lineRule="auto"/>
        <w:ind w:left="0" w:right="-234" w:firstLine="0"/>
        <w:contextualSpacing/>
        <w:jc w:val="both"/>
        <w:rPr>
          <w:rFonts w:ascii="Arial" w:hAnsi="Arial" w:cs="Arial"/>
          <w:sz w:val="24"/>
          <w:szCs w:val="24"/>
        </w:rPr>
      </w:pPr>
      <w:r>
        <w:rPr>
          <w:rFonts w:ascii="Arial" w:hAnsi="Arial" w:cs="Arial"/>
          <w:sz w:val="24"/>
          <w:szCs w:val="24"/>
        </w:rPr>
        <w:t xml:space="preserve">De manera que, el Despacho </w:t>
      </w:r>
      <w:r w:rsidR="0046400B">
        <w:rPr>
          <w:rFonts w:ascii="Arial" w:hAnsi="Arial" w:cs="Arial"/>
          <w:sz w:val="24"/>
          <w:szCs w:val="24"/>
        </w:rPr>
        <w:t xml:space="preserve">no encuentra que se haya formulado reparo concreto en contra de las motivaciones que llevaron al juez de instancia a rechazar la reforma a la demanda. </w:t>
      </w:r>
    </w:p>
    <w:p w14:paraId="3C3E5CEC" w14:textId="77777777" w:rsidR="0046400B" w:rsidRPr="0046400B" w:rsidRDefault="0046400B" w:rsidP="0046400B">
      <w:pPr>
        <w:pStyle w:val="Prrafodelista"/>
        <w:rPr>
          <w:rFonts w:ascii="Arial" w:hAnsi="Arial" w:cs="Arial"/>
          <w:sz w:val="24"/>
          <w:szCs w:val="24"/>
        </w:rPr>
      </w:pPr>
    </w:p>
    <w:p w14:paraId="7D0ECF94" w14:textId="1B99CE65" w:rsidR="0046400B" w:rsidRDefault="0046400B" w:rsidP="3CE3F0DF">
      <w:pPr>
        <w:pStyle w:val="Prrafodelista"/>
        <w:widowControl w:val="0"/>
        <w:numPr>
          <w:ilvl w:val="0"/>
          <w:numId w:val="26"/>
        </w:numPr>
        <w:suppressAutoHyphens/>
        <w:spacing w:line="276" w:lineRule="auto"/>
        <w:ind w:left="0" w:right="-234" w:firstLine="0"/>
        <w:contextualSpacing/>
        <w:jc w:val="both"/>
        <w:rPr>
          <w:rFonts w:ascii="Arial" w:hAnsi="Arial" w:cs="Arial"/>
          <w:sz w:val="24"/>
          <w:szCs w:val="24"/>
        </w:rPr>
      </w:pPr>
      <w:r w:rsidRPr="3CE3F0DF">
        <w:rPr>
          <w:rFonts w:ascii="Arial" w:hAnsi="Arial" w:cs="Arial"/>
          <w:sz w:val="24"/>
          <w:szCs w:val="24"/>
        </w:rPr>
        <w:t>Tal como ha indicado la citada jurisprudencia, es imperioso que el apelante exponga puntalmente las razones por las cuales no comparte las consideraciones de la providencia que recurre en apelación</w:t>
      </w:r>
      <w:r w:rsidR="0953701E" w:rsidRPr="3CE3F0DF">
        <w:rPr>
          <w:rFonts w:ascii="Arial" w:hAnsi="Arial" w:cs="Arial"/>
          <w:sz w:val="24"/>
          <w:szCs w:val="24"/>
        </w:rPr>
        <w:t xml:space="preserve"> y la determinación misma</w:t>
      </w:r>
      <w:r w:rsidR="00AF2741" w:rsidRPr="3CE3F0DF">
        <w:rPr>
          <w:rFonts w:ascii="Arial" w:hAnsi="Arial" w:cs="Arial"/>
          <w:sz w:val="24"/>
          <w:szCs w:val="24"/>
        </w:rPr>
        <w:t>,</w:t>
      </w:r>
      <w:r w:rsidRPr="3CE3F0DF">
        <w:rPr>
          <w:rFonts w:ascii="Arial" w:hAnsi="Arial" w:cs="Arial"/>
          <w:sz w:val="24"/>
          <w:szCs w:val="24"/>
        </w:rPr>
        <w:t xml:space="preserve"> de manera que el </w:t>
      </w:r>
      <w:r w:rsidRPr="3CE3F0DF">
        <w:rPr>
          <w:rFonts w:ascii="Arial" w:hAnsi="Arial" w:cs="Arial"/>
          <w:i/>
          <w:iCs/>
          <w:sz w:val="24"/>
          <w:szCs w:val="24"/>
        </w:rPr>
        <w:t xml:space="preserve">ad </w:t>
      </w:r>
      <w:proofErr w:type="spellStart"/>
      <w:r w:rsidRPr="3CE3F0DF">
        <w:rPr>
          <w:rFonts w:ascii="Arial" w:hAnsi="Arial" w:cs="Arial"/>
          <w:i/>
          <w:iCs/>
          <w:sz w:val="24"/>
          <w:szCs w:val="24"/>
        </w:rPr>
        <w:t>quem</w:t>
      </w:r>
      <w:proofErr w:type="spellEnd"/>
      <w:r w:rsidRPr="3CE3F0DF">
        <w:rPr>
          <w:rFonts w:ascii="Arial" w:hAnsi="Arial" w:cs="Arial"/>
          <w:sz w:val="24"/>
          <w:szCs w:val="24"/>
        </w:rPr>
        <w:t xml:space="preserve"> pueda estudiar la corrección de lo resuelto por el juez de instancia</w:t>
      </w:r>
      <w:r w:rsidR="40CFACC4" w:rsidRPr="3CE3F0DF">
        <w:rPr>
          <w:rFonts w:ascii="Arial" w:hAnsi="Arial" w:cs="Arial"/>
          <w:sz w:val="24"/>
          <w:szCs w:val="24"/>
        </w:rPr>
        <w:t xml:space="preserve"> en función de sus fundamentos</w:t>
      </w:r>
      <w:r w:rsidR="00AF2741" w:rsidRPr="3CE3F0DF">
        <w:rPr>
          <w:rFonts w:ascii="Arial" w:hAnsi="Arial" w:cs="Arial"/>
          <w:sz w:val="24"/>
          <w:szCs w:val="24"/>
        </w:rPr>
        <w:t>.</w:t>
      </w:r>
    </w:p>
    <w:p w14:paraId="0BEBA217" w14:textId="77777777" w:rsidR="0046400B" w:rsidRPr="0046400B" w:rsidRDefault="0046400B" w:rsidP="0046400B">
      <w:pPr>
        <w:pStyle w:val="Prrafodelista"/>
        <w:rPr>
          <w:rFonts w:ascii="Arial" w:hAnsi="Arial" w:cs="Arial"/>
          <w:sz w:val="24"/>
          <w:szCs w:val="24"/>
        </w:rPr>
      </w:pPr>
    </w:p>
    <w:p w14:paraId="5B0C8F8B" w14:textId="267DA7C6" w:rsidR="0046400B" w:rsidRDefault="0046400B" w:rsidP="0A4A898A">
      <w:pPr>
        <w:pStyle w:val="Prrafodelista"/>
        <w:widowControl w:val="0"/>
        <w:numPr>
          <w:ilvl w:val="0"/>
          <w:numId w:val="26"/>
        </w:numPr>
        <w:suppressAutoHyphens/>
        <w:spacing w:line="276" w:lineRule="auto"/>
        <w:ind w:left="0" w:right="-234" w:firstLine="0"/>
        <w:contextualSpacing/>
        <w:jc w:val="both"/>
        <w:rPr>
          <w:rFonts w:ascii="Arial" w:hAnsi="Arial" w:cs="Arial"/>
          <w:sz w:val="24"/>
          <w:szCs w:val="24"/>
        </w:rPr>
      </w:pPr>
      <w:r w:rsidRPr="0A4A898A">
        <w:rPr>
          <w:rFonts w:ascii="Arial" w:hAnsi="Arial" w:cs="Arial"/>
          <w:sz w:val="24"/>
          <w:szCs w:val="24"/>
        </w:rPr>
        <w:t xml:space="preserve">De lo contrario, </w:t>
      </w:r>
      <w:r w:rsidR="00AF2741" w:rsidRPr="0A4A898A">
        <w:rPr>
          <w:rFonts w:ascii="Arial" w:hAnsi="Arial" w:cs="Arial"/>
          <w:sz w:val="24"/>
          <w:szCs w:val="24"/>
        </w:rPr>
        <w:t xml:space="preserve">si no existe relación entre los argumentos de apelación frente a las consideraciones expuestas por el </w:t>
      </w:r>
      <w:r w:rsidR="00AF2741" w:rsidRPr="0A4A898A">
        <w:rPr>
          <w:rFonts w:ascii="Arial" w:hAnsi="Arial" w:cs="Arial"/>
          <w:i/>
          <w:iCs/>
          <w:sz w:val="24"/>
          <w:szCs w:val="24"/>
        </w:rPr>
        <w:t>a quo</w:t>
      </w:r>
      <w:r w:rsidR="00AF2741" w:rsidRPr="0A4A898A">
        <w:rPr>
          <w:rFonts w:ascii="Arial" w:hAnsi="Arial" w:cs="Arial"/>
          <w:sz w:val="24"/>
          <w:szCs w:val="24"/>
        </w:rPr>
        <w:t>, es como si no se hubiese sustentado el recurso de apelación</w:t>
      </w:r>
      <w:r w:rsidR="00EA0055" w:rsidRPr="0A4A898A">
        <w:rPr>
          <w:rFonts w:ascii="Arial" w:hAnsi="Arial" w:cs="Arial"/>
          <w:sz w:val="24"/>
          <w:szCs w:val="24"/>
        </w:rPr>
        <w:t>,</w:t>
      </w:r>
      <w:r w:rsidR="18820A5C" w:rsidRPr="0A4A898A">
        <w:rPr>
          <w:rFonts w:ascii="Arial" w:hAnsi="Arial" w:cs="Arial"/>
          <w:sz w:val="24"/>
          <w:szCs w:val="24"/>
        </w:rPr>
        <w:t xml:space="preserve"> y un panorama así impone el rechazo de del</w:t>
      </w:r>
      <w:r w:rsidR="00EA0055" w:rsidRPr="0A4A898A">
        <w:rPr>
          <w:rFonts w:ascii="Arial" w:hAnsi="Arial" w:cs="Arial"/>
          <w:sz w:val="24"/>
          <w:szCs w:val="24"/>
        </w:rPr>
        <w:t xml:space="preserve"> recurso</w:t>
      </w:r>
      <w:r w:rsidR="00310363" w:rsidRPr="0A4A898A">
        <w:rPr>
          <w:rFonts w:ascii="Arial" w:hAnsi="Arial" w:cs="Arial"/>
          <w:sz w:val="24"/>
          <w:szCs w:val="24"/>
        </w:rPr>
        <w:t xml:space="preserve"> de apelación</w:t>
      </w:r>
      <w:r w:rsidR="00EA0055" w:rsidRPr="0A4A898A">
        <w:rPr>
          <w:rFonts w:ascii="Arial" w:hAnsi="Arial" w:cs="Arial"/>
          <w:sz w:val="24"/>
          <w:szCs w:val="24"/>
        </w:rPr>
        <w:t xml:space="preserve"> por falta de sustentación.</w:t>
      </w:r>
    </w:p>
    <w:p w14:paraId="5F2BA9DF" w14:textId="77777777" w:rsidR="00753A24" w:rsidRPr="00753A24" w:rsidRDefault="00753A24" w:rsidP="00753A24">
      <w:pPr>
        <w:pStyle w:val="Prrafodelista"/>
        <w:rPr>
          <w:rFonts w:ascii="Arial" w:hAnsi="Arial" w:cs="Arial"/>
          <w:sz w:val="24"/>
          <w:szCs w:val="24"/>
        </w:rPr>
      </w:pPr>
    </w:p>
    <w:p w14:paraId="6B3DCE8D" w14:textId="7412B04A" w:rsidR="1FAEFC99" w:rsidRDefault="1FAEFC99" w:rsidP="3CE3F0DF">
      <w:pPr>
        <w:widowControl w:val="0"/>
        <w:spacing w:line="276" w:lineRule="auto"/>
        <w:ind w:right="-234"/>
        <w:contextualSpacing/>
        <w:jc w:val="both"/>
        <w:rPr>
          <w:rFonts w:ascii="Arial" w:hAnsi="Arial" w:cs="Arial"/>
          <w:b/>
          <w:bCs/>
          <w:sz w:val="24"/>
          <w:szCs w:val="24"/>
        </w:rPr>
      </w:pPr>
      <w:r w:rsidRPr="3CE3F0DF">
        <w:rPr>
          <w:rFonts w:ascii="Arial" w:hAnsi="Arial" w:cs="Arial"/>
          <w:sz w:val="24"/>
          <w:szCs w:val="24"/>
        </w:rPr>
        <w:t xml:space="preserve">23. </w:t>
      </w:r>
      <w:r w:rsidR="00753A24" w:rsidRPr="3CE3F0DF">
        <w:rPr>
          <w:rFonts w:ascii="Arial" w:hAnsi="Arial" w:cs="Arial"/>
          <w:sz w:val="24"/>
          <w:szCs w:val="24"/>
        </w:rPr>
        <w:t xml:space="preserve">En </w:t>
      </w:r>
      <w:r w:rsidR="6DE91DA2" w:rsidRPr="3CE3F0DF">
        <w:rPr>
          <w:rFonts w:ascii="Arial" w:hAnsi="Arial" w:cs="Arial"/>
          <w:sz w:val="24"/>
          <w:szCs w:val="24"/>
        </w:rPr>
        <w:t xml:space="preserve">el </w:t>
      </w:r>
      <w:r w:rsidR="2CE69D1D" w:rsidRPr="3CE3F0DF">
        <w:rPr>
          <w:rFonts w:ascii="Arial" w:hAnsi="Arial" w:cs="Arial"/>
          <w:sz w:val="24"/>
          <w:szCs w:val="24"/>
        </w:rPr>
        <w:t xml:space="preserve">caso </w:t>
      </w:r>
      <w:r w:rsidR="00310C53" w:rsidRPr="3CE3F0DF">
        <w:rPr>
          <w:rFonts w:ascii="Arial" w:hAnsi="Arial" w:cs="Arial"/>
          <w:sz w:val="24"/>
          <w:szCs w:val="24"/>
        </w:rPr>
        <w:t>particular, si el apelante hubie</w:t>
      </w:r>
      <w:r w:rsidR="3B961356" w:rsidRPr="3CE3F0DF">
        <w:rPr>
          <w:rFonts w:ascii="Arial" w:hAnsi="Arial" w:cs="Arial"/>
          <w:sz w:val="24"/>
          <w:szCs w:val="24"/>
        </w:rPr>
        <w:t>ra</w:t>
      </w:r>
      <w:r w:rsidR="00310C53" w:rsidRPr="3CE3F0DF">
        <w:rPr>
          <w:rFonts w:ascii="Arial" w:hAnsi="Arial" w:cs="Arial"/>
          <w:sz w:val="24"/>
          <w:szCs w:val="24"/>
        </w:rPr>
        <w:t xml:space="preserve"> presentado argumentaciones </w:t>
      </w:r>
      <w:r w:rsidR="00E17194" w:rsidRPr="3CE3F0DF">
        <w:rPr>
          <w:rFonts w:ascii="Arial" w:hAnsi="Arial" w:cs="Arial"/>
          <w:sz w:val="24"/>
          <w:szCs w:val="24"/>
        </w:rPr>
        <w:t xml:space="preserve">de orden procesal que controvirtieran lo </w:t>
      </w:r>
      <w:r w:rsidR="3F900D61" w:rsidRPr="3CE3F0DF">
        <w:rPr>
          <w:rFonts w:ascii="Arial" w:hAnsi="Arial" w:cs="Arial"/>
          <w:sz w:val="24"/>
          <w:szCs w:val="24"/>
        </w:rPr>
        <w:t xml:space="preserve">argüido y lo </w:t>
      </w:r>
      <w:r w:rsidR="00E17194" w:rsidRPr="3CE3F0DF">
        <w:rPr>
          <w:rFonts w:ascii="Arial" w:hAnsi="Arial" w:cs="Arial"/>
          <w:sz w:val="24"/>
          <w:szCs w:val="24"/>
        </w:rPr>
        <w:t>resuelto por el juez de instancia, en punto de exponer</w:t>
      </w:r>
      <w:r w:rsidR="00310C53" w:rsidRPr="3CE3F0DF">
        <w:rPr>
          <w:rFonts w:ascii="Arial" w:hAnsi="Arial" w:cs="Arial"/>
          <w:sz w:val="24"/>
          <w:szCs w:val="24"/>
        </w:rPr>
        <w:t xml:space="preserve"> las razones </w:t>
      </w:r>
      <w:r w:rsidR="00FD68C0" w:rsidRPr="3CE3F0DF">
        <w:rPr>
          <w:rFonts w:ascii="Arial" w:hAnsi="Arial" w:cs="Arial"/>
          <w:sz w:val="24"/>
          <w:szCs w:val="24"/>
        </w:rPr>
        <w:t xml:space="preserve">por las cuales, </w:t>
      </w:r>
      <w:r w:rsidR="00310C53" w:rsidRPr="3CE3F0DF">
        <w:rPr>
          <w:rFonts w:ascii="Arial" w:hAnsi="Arial" w:cs="Arial"/>
          <w:sz w:val="24"/>
          <w:szCs w:val="24"/>
        </w:rPr>
        <w:t>en su consideración</w:t>
      </w:r>
      <w:r w:rsidR="00FD68C0" w:rsidRPr="3CE3F0DF">
        <w:rPr>
          <w:rFonts w:ascii="Arial" w:hAnsi="Arial" w:cs="Arial"/>
          <w:sz w:val="24"/>
          <w:szCs w:val="24"/>
        </w:rPr>
        <w:t xml:space="preserve">, </w:t>
      </w:r>
      <w:r w:rsidR="00E17194" w:rsidRPr="3CE3F0DF">
        <w:rPr>
          <w:rFonts w:ascii="Arial" w:hAnsi="Arial" w:cs="Arial"/>
          <w:sz w:val="24"/>
          <w:szCs w:val="24"/>
        </w:rPr>
        <w:t>en el proceso ejecutivo s</w:t>
      </w:r>
      <w:r w:rsidR="5F374258" w:rsidRPr="3CE3F0DF">
        <w:rPr>
          <w:rFonts w:ascii="Arial" w:hAnsi="Arial" w:cs="Arial"/>
          <w:sz w:val="24"/>
          <w:szCs w:val="24"/>
        </w:rPr>
        <w:t>í</w:t>
      </w:r>
      <w:r w:rsidR="00E17194" w:rsidRPr="3CE3F0DF">
        <w:rPr>
          <w:rFonts w:ascii="Arial" w:hAnsi="Arial" w:cs="Arial"/>
          <w:sz w:val="24"/>
          <w:szCs w:val="24"/>
        </w:rPr>
        <w:t xml:space="preserve"> e</w:t>
      </w:r>
      <w:r w:rsidR="60E7B841" w:rsidRPr="3CE3F0DF">
        <w:rPr>
          <w:rFonts w:ascii="Arial" w:hAnsi="Arial" w:cs="Arial"/>
          <w:sz w:val="24"/>
          <w:szCs w:val="24"/>
        </w:rPr>
        <w:t>ra</w:t>
      </w:r>
      <w:r w:rsidR="00E17194" w:rsidRPr="3CE3F0DF">
        <w:rPr>
          <w:rFonts w:ascii="Arial" w:hAnsi="Arial" w:cs="Arial"/>
          <w:sz w:val="24"/>
          <w:szCs w:val="24"/>
        </w:rPr>
        <w:t xml:space="preserve"> posible presentar reforma a la demanda, </w:t>
      </w:r>
      <w:r w:rsidR="00310C53" w:rsidRPr="3CE3F0DF">
        <w:rPr>
          <w:rFonts w:ascii="Arial" w:hAnsi="Arial" w:cs="Arial"/>
          <w:sz w:val="24"/>
          <w:szCs w:val="24"/>
        </w:rPr>
        <w:t>se hubie</w:t>
      </w:r>
      <w:r w:rsidR="687C46E0" w:rsidRPr="3CE3F0DF">
        <w:rPr>
          <w:rFonts w:ascii="Arial" w:hAnsi="Arial" w:cs="Arial"/>
          <w:sz w:val="24"/>
          <w:szCs w:val="24"/>
        </w:rPr>
        <w:t>ra</w:t>
      </w:r>
      <w:r w:rsidR="00310C53" w:rsidRPr="3CE3F0DF">
        <w:rPr>
          <w:rFonts w:ascii="Arial" w:hAnsi="Arial" w:cs="Arial"/>
          <w:sz w:val="24"/>
          <w:szCs w:val="24"/>
        </w:rPr>
        <w:t xml:space="preserve"> abierto la competencia superior para resolver de fondo.</w:t>
      </w:r>
      <w:r w:rsidR="368CECF6" w:rsidRPr="3CE3F0DF">
        <w:rPr>
          <w:rFonts w:ascii="Arial" w:hAnsi="Arial" w:cs="Arial"/>
          <w:sz w:val="24"/>
          <w:szCs w:val="24"/>
        </w:rPr>
        <w:t xml:space="preserve"> </w:t>
      </w:r>
    </w:p>
    <w:p w14:paraId="08DEA3F2" w14:textId="5CFC8C64" w:rsidR="3CE3F0DF" w:rsidRDefault="3CE3F0DF" w:rsidP="3CE3F0DF">
      <w:pPr>
        <w:widowControl w:val="0"/>
        <w:spacing w:line="276" w:lineRule="auto"/>
        <w:ind w:right="-234"/>
        <w:contextualSpacing/>
        <w:jc w:val="both"/>
        <w:rPr>
          <w:rFonts w:ascii="Arial" w:hAnsi="Arial" w:cs="Arial"/>
          <w:sz w:val="24"/>
          <w:szCs w:val="24"/>
        </w:rPr>
      </w:pPr>
    </w:p>
    <w:p w14:paraId="78507317" w14:textId="5B291B94" w:rsidR="368CECF6" w:rsidRDefault="368CECF6" w:rsidP="3CE3F0DF">
      <w:pPr>
        <w:widowControl w:val="0"/>
        <w:spacing w:line="276" w:lineRule="auto"/>
        <w:ind w:right="-234"/>
        <w:contextualSpacing/>
        <w:jc w:val="both"/>
        <w:rPr>
          <w:rFonts w:ascii="Arial" w:hAnsi="Arial" w:cs="Arial"/>
          <w:sz w:val="24"/>
          <w:szCs w:val="24"/>
        </w:rPr>
      </w:pPr>
      <w:r w:rsidRPr="3CE3F0DF">
        <w:rPr>
          <w:rFonts w:ascii="Arial" w:hAnsi="Arial" w:cs="Arial"/>
          <w:sz w:val="24"/>
          <w:szCs w:val="24"/>
        </w:rPr>
        <w:t xml:space="preserve">24. </w:t>
      </w:r>
      <w:r w:rsidR="57ED4B66" w:rsidRPr="3CE3F0DF">
        <w:rPr>
          <w:rFonts w:ascii="Arial" w:hAnsi="Arial" w:cs="Arial"/>
          <w:sz w:val="24"/>
          <w:szCs w:val="24"/>
        </w:rPr>
        <w:t>En gracia de discusión, para efectos de claridad y en garantía del principio de acceso a la justicia, el Despacho encuentra que, de conformidad con el marco normativo expuesto, la reforma de la demanda no fue incorporada como una de las etapas previstas para el proceso ejecutivo independientemente de que se tramite como un ejecutivo de mayor cuantía (previo a la reforma incorporada por la Ley 2080 de 2020) o, que debido a la reforma del C.P.A.C.A., se tramite como un ejecutivo de mínima cuantía.</w:t>
      </w:r>
    </w:p>
    <w:p w14:paraId="6E18FBD2" w14:textId="77777777" w:rsidR="00C64313" w:rsidRPr="00C64313" w:rsidRDefault="00C64313" w:rsidP="00C64313">
      <w:pPr>
        <w:pStyle w:val="Prrafodelista"/>
        <w:rPr>
          <w:rFonts w:ascii="Arial" w:hAnsi="Arial" w:cs="Arial"/>
          <w:b/>
          <w:sz w:val="24"/>
          <w:szCs w:val="24"/>
        </w:rPr>
      </w:pPr>
    </w:p>
    <w:p w14:paraId="5C20B6FD" w14:textId="7DA96CA8" w:rsidR="00C64313" w:rsidRPr="00EE5864" w:rsidRDefault="6770ADCB" w:rsidP="3CE3F0DF">
      <w:pPr>
        <w:widowControl w:val="0"/>
        <w:suppressAutoHyphens/>
        <w:spacing w:line="276" w:lineRule="auto"/>
        <w:ind w:right="-234"/>
        <w:contextualSpacing/>
        <w:jc w:val="both"/>
        <w:rPr>
          <w:rFonts w:ascii="Arial" w:hAnsi="Arial" w:cs="Arial"/>
          <w:sz w:val="24"/>
          <w:szCs w:val="24"/>
        </w:rPr>
      </w:pPr>
      <w:r w:rsidRPr="3CE3F0DF">
        <w:rPr>
          <w:rFonts w:ascii="Arial" w:hAnsi="Arial" w:cs="Arial"/>
          <w:sz w:val="24"/>
          <w:szCs w:val="24"/>
        </w:rPr>
        <w:t xml:space="preserve">25. </w:t>
      </w:r>
      <w:r w:rsidR="52384B00" w:rsidRPr="3CE3F0DF">
        <w:rPr>
          <w:rFonts w:ascii="Arial" w:hAnsi="Arial" w:cs="Arial"/>
          <w:sz w:val="24"/>
          <w:szCs w:val="24"/>
        </w:rPr>
        <w:t xml:space="preserve">Tal </w:t>
      </w:r>
      <w:r w:rsidR="2E8689B4" w:rsidRPr="3CE3F0DF">
        <w:rPr>
          <w:rFonts w:ascii="Arial" w:hAnsi="Arial" w:cs="Arial"/>
          <w:sz w:val="24"/>
          <w:szCs w:val="24"/>
        </w:rPr>
        <w:t>instituto</w:t>
      </w:r>
      <w:r w:rsidR="00EE5864" w:rsidRPr="3CE3F0DF">
        <w:rPr>
          <w:rFonts w:ascii="Arial" w:hAnsi="Arial" w:cs="Arial"/>
          <w:sz w:val="24"/>
          <w:szCs w:val="24"/>
        </w:rPr>
        <w:t xml:space="preserve"> se encuentra previst</w:t>
      </w:r>
      <w:r w:rsidR="4E2B0139" w:rsidRPr="3CE3F0DF">
        <w:rPr>
          <w:rFonts w:ascii="Arial" w:hAnsi="Arial" w:cs="Arial"/>
          <w:sz w:val="24"/>
          <w:szCs w:val="24"/>
        </w:rPr>
        <w:t>o</w:t>
      </w:r>
      <w:r w:rsidR="00EE5864" w:rsidRPr="3CE3F0DF">
        <w:rPr>
          <w:rFonts w:ascii="Arial" w:hAnsi="Arial" w:cs="Arial"/>
          <w:sz w:val="24"/>
          <w:szCs w:val="24"/>
        </w:rPr>
        <w:t xml:space="preserve"> para los procesos ordinarios, salvo aquellos que la excluyen expresamente, </w:t>
      </w:r>
      <w:r w:rsidR="2B9763C7" w:rsidRPr="3CE3F0DF">
        <w:rPr>
          <w:rFonts w:ascii="Arial" w:hAnsi="Arial" w:cs="Arial"/>
          <w:sz w:val="24"/>
          <w:szCs w:val="24"/>
        </w:rPr>
        <w:t>y n</w:t>
      </w:r>
      <w:r w:rsidR="00EE5864" w:rsidRPr="3CE3F0DF">
        <w:rPr>
          <w:rFonts w:ascii="Arial" w:hAnsi="Arial" w:cs="Arial"/>
          <w:sz w:val="24"/>
          <w:szCs w:val="24"/>
        </w:rPr>
        <w:t xml:space="preserve">o es posible trasladar dicha institución a los procesos ejecutivos en atención a </w:t>
      </w:r>
      <w:r w:rsidR="5B7D11C1" w:rsidRPr="3CE3F0DF">
        <w:rPr>
          <w:rFonts w:ascii="Arial" w:hAnsi="Arial" w:cs="Arial"/>
          <w:sz w:val="24"/>
          <w:szCs w:val="24"/>
        </w:rPr>
        <w:t xml:space="preserve">su propia </w:t>
      </w:r>
      <w:r w:rsidR="00EE5864" w:rsidRPr="3CE3F0DF">
        <w:rPr>
          <w:rFonts w:ascii="Arial" w:hAnsi="Arial" w:cs="Arial"/>
          <w:sz w:val="24"/>
          <w:szCs w:val="24"/>
        </w:rPr>
        <w:t>naturaleza</w:t>
      </w:r>
      <w:r w:rsidR="613DB7F8" w:rsidRPr="3CE3F0DF">
        <w:rPr>
          <w:rFonts w:ascii="Arial" w:hAnsi="Arial" w:cs="Arial"/>
          <w:sz w:val="24"/>
          <w:szCs w:val="24"/>
        </w:rPr>
        <w:t>.</w:t>
      </w:r>
    </w:p>
    <w:p w14:paraId="2375014F" w14:textId="287B5D70" w:rsidR="3CE3F0DF" w:rsidRDefault="3CE3F0DF" w:rsidP="3CE3F0DF">
      <w:pPr>
        <w:rPr>
          <w:rFonts w:ascii="Arial" w:hAnsi="Arial" w:cs="Arial"/>
          <w:sz w:val="24"/>
          <w:szCs w:val="24"/>
        </w:rPr>
      </w:pPr>
    </w:p>
    <w:p w14:paraId="0EC97DEC" w14:textId="609CF3A3" w:rsidR="00EE5864" w:rsidRPr="00EE5864" w:rsidRDefault="5C830803" w:rsidP="3CE3F0DF">
      <w:pPr>
        <w:widowControl w:val="0"/>
        <w:suppressAutoHyphens/>
        <w:spacing w:line="276" w:lineRule="auto"/>
        <w:contextualSpacing/>
        <w:jc w:val="both"/>
        <w:rPr>
          <w:rFonts w:ascii="Arial" w:hAnsi="Arial" w:cs="Arial"/>
          <w:sz w:val="24"/>
          <w:szCs w:val="24"/>
        </w:rPr>
      </w:pPr>
      <w:r w:rsidRPr="3CE3F0DF">
        <w:rPr>
          <w:rFonts w:ascii="Arial" w:hAnsi="Arial" w:cs="Arial"/>
          <w:sz w:val="24"/>
          <w:szCs w:val="24"/>
        </w:rPr>
        <w:t xml:space="preserve">26. </w:t>
      </w:r>
      <w:r w:rsidR="2D479701" w:rsidRPr="3CE3F0DF">
        <w:rPr>
          <w:rFonts w:ascii="Arial" w:hAnsi="Arial" w:cs="Arial"/>
          <w:sz w:val="24"/>
          <w:szCs w:val="24"/>
        </w:rPr>
        <w:t xml:space="preserve">La pretensión </w:t>
      </w:r>
      <w:r w:rsidR="00EE5864" w:rsidRPr="3CE3F0DF">
        <w:rPr>
          <w:rFonts w:ascii="Arial" w:hAnsi="Arial" w:cs="Arial"/>
          <w:sz w:val="24"/>
          <w:szCs w:val="24"/>
        </w:rPr>
        <w:t>ejecutiv</w:t>
      </w:r>
      <w:r w:rsidR="3A2487C7" w:rsidRPr="3CE3F0DF">
        <w:rPr>
          <w:rFonts w:ascii="Arial" w:hAnsi="Arial" w:cs="Arial"/>
          <w:sz w:val="24"/>
          <w:szCs w:val="24"/>
        </w:rPr>
        <w:t>a</w:t>
      </w:r>
      <w:r w:rsidR="00EE5864" w:rsidRPr="3CE3F0DF">
        <w:rPr>
          <w:rFonts w:ascii="Arial" w:hAnsi="Arial" w:cs="Arial"/>
          <w:sz w:val="24"/>
          <w:szCs w:val="24"/>
        </w:rPr>
        <w:t xml:space="preserve"> procede ante la existencia de un </w:t>
      </w:r>
      <w:r w:rsidR="3C2570A1" w:rsidRPr="3CE3F0DF">
        <w:rPr>
          <w:rFonts w:ascii="Arial" w:hAnsi="Arial" w:cs="Arial"/>
          <w:sz w:val="24"/>
          <w:szCs w:val="24"/>
        </w:rPr>
        <w:t xml:space="preserve">derecho - obligación, </w:t>
      </w:r>
      <w:r w:rsidR="00EE5864" w:rsidRPr="3CE3F0DF">
        <w:rPr>
          <w:rFonts w:ascii="Arial" w:hAnsi="Arial" w:cs="Arial"/>
          <w:sz w:val="24"/>
          <w:szCs w:val="24"/>
        </w:rPr>
        <w:lastRenderedPageBreak/>
        <w:t>en los términos del artículo 442 del C</w:t>
      </w:r>
      <w:r w:rsidR="007F179C" w:rsidRPr="3CE3F0DF">
        <w:rPr>
          <w:rFonts w:ascii="Arial" w:hAnsi="Arial" w:cs="Arial"/>
          <w:sz w:val="24"/>
          <w:szCs w:val="24"/>
        </w:rPr>
        <w:t>.</w:t>
      </w:r>
      <w:r w:rsidR="00EE5864" w:rsidRPr="3CE3F0DF">
        <w:rPr>
          <w:rFonts w:ascii="Arial" w:hAnsi="Arial" w:cs="Arial"/>
          <w:sz w:val="24"/>
          <w:szCs w:val="24"/>
        </w:rPr>
        <w:t>G</w:t>
      </w:r>
      <w:r w:rsidR="007F179C" w:rsidRPr="3CE3F0DF">
        <w:rPr>
          <w:rFonts w:ascii="Arial" w:hAnsi="Arial" w:cs="Arial"/>
          <w:sz w:val="24"/>
          <w:szCs w:val="24"/>
        </w:rPr>
        <w:t>.</w:t>
      </w:r>
      <w:r w:rsidR="00EE5864" w:rsidRPr="3CE3F0DF">
        <w:rPr>
          <w:rFonts w:ascii="Arial" w:hAnsi="Arial" w:cs="Arial"/>
          <w:sz w:val="24"/>
          <w:szCs w:val="24"/>
        </w:rPr>
        <w:t>P</w:t>
      </w:r>
      <w:r w:rsidR="007F179C" w:rsidRPr="3CE3F0DF">
        <w:rPr>
          <w:rFonts w:ascii="Arial" w:hAnsi="Arial" w:cs="Arial"/>
          <w:sz w:val="24"/>
          <w:szCs w:val="24"/>
        </w:rPr>
        <w:t>.,</w:t>
      </w:r>
      <w:r w:rsidR="00EE5864" w:rsidRPr="3CE3F0DF">
        <w:rPr>
          <w:rFonts w:ascii="Arial" w:hAnsi="Arial" w:cs="Arial"/>
          <w:sz w:val="24"/>
          <w:szCs w:val="24"/>
        </w:rPr>
        <w:t xml:space="preserve"> -</w:t>
      </w:r>
      <w:r w:rsidR="54074637" w:rsidRPr="3CE3F0DF">
        <w:rPr>
          <w:rFonts w:ascii="Arial" w:hAnsi="Arial" w:cs="Arial"/>
          <w:sz w:val="24"/>
          <w:szCs w:val="24"/>
        </w:rPr>
        <w:t xml:space="preserve"> </w:t>
      </w:r>
      <w:r w:rsidR="00EE5864" w:rsidRPr="3CE3F0DF">
        <w:rPr>
          <w:rFonts w:ascii="Arial" w:hAnsi="Arial" w:cs="Arial"/>
          <w:sz w:val="24"/>
          <w:szCs w:val="24"/>
        </w:rPr>
        <w:t xml:space="preserve">clara, expresa y actualmente exigible- </w:t>
      </w:r>
      <w:r w:rsidR="5BD4A712" w:rsidRPr="3CE3F0DF">
        <w:rPr>
          <w:rFonts w:ascii="Arial" w:hAnsi="Arial" w:cs="Arial"/>
          <w:sz w:val="24"/>
          <w:szCs w:val="24"/>
        </w:rPr>
        <w:t>que</w:t>
      </w:r>
      <w:r w:rsidR="0604321C" w:rsidRPr="3CE3F0DF">
        <w:rPr>
          <w:rFonts w:ascii="Arial" w:hAnsi="Arial" w:cs="Arial"/>
          <w:sz w:val="24"/>
          <w:szCs w:val="24"/>
        </w:rPr>
        <w:t>, de cara a su cumplimiento compulsivo - excepcional – en con</w:t>
      </w:r>
      <w:r w:rsidR="447C9754" w:rsidRPr="3CE3F0DF">
        <w:rPr>
          <w:rFonts w:ascii="Arial" w:hAnsi="Arial" w:cs="Arial"/>
          <w:sz w:val="24"/>
          <w:szCs w:val="24"/>
        </w:rPr>
        <w:t>t</w:t>
      </w:r>
      <w:r w:rsidR="0604321C" w:rsidRPr="3CE3F0DF">
        <w:rPr>
          <w:rFonts w:ascii="Arial" w:hAnsi="Arial" w:cs="Arial"/>
          <w:sz w:val="24"/>
          <w:szCs w:val="24"/>
        </w:rPr>
        <w:t>raposición al voluntario – regla -</w:t>
      </w:r>
      <w:r w:rsidR="55BB47EB" w:rsidRPr="3CE3F0DF">
        <w:rPr>
          <w:rFonts w:ascii="Arial" w:hAnsi="Arial" w:cs="Arial"/>
          <w:sz w:val="24"/>
          <w:szCs w:val="24"/>
        </w:rPr>
        <w:t>,</w:t>
      </w:r>
      <w:r w:rsidR="0604321C" w:rsidRPr="3CE3F0DF">
        <w:rPr>
          <w:rFonts w:ascii="Arial" w:hAnsi="Arial" w:cs="Arial"/>
          <w:sz w:val="24"/>
          <w:szCs w:val="24"/>
        </w:rPr>
        <w:t xml:space="preserve"> </w:t>
      </w:r>
      <w:r w:rsidR="5BD4A712" w:rsidRPr="3CE3F0DF">
        <w:rPr>
          <w:rFonts w:ascii="Arial" w:hAnsi="Arial" w:cs="Arial"/>
          <w:sz w:val="24"/>
          <w:szCs w:val="24"/>
        </w:rPr>
        <w:t xml:space="preserve">impone </w:t>
      </w:r>
      <w:r w:rsidR="00EE5864" w:rsidRPr="3CE3F0DF">
        <w:rPr>
          <w:rFonts w:ascii="Arial" w:hAnsi="Arial" w:cs="Arial"/>
          <w:sz w:val="24"/>
          <w:szCs w:val="24"/>
        </w:rPr>
        <w:t>un procedimiento ágil y eficiente</w:t>
      </w:r>
      <w:r w:rsidR="007F179C" w:rsidRPr="3CE3F0DF">
        <w:rPr>
          <w:rFonts w:ascii="Arial" w:hAnsi="Arial" w:cs="Arial"/>
          <w:sz w:val="24"/>
          <w:szCs w:val="24"/>
        </w:rPr>
        <w:t xml:space="preserve">, el </w:t>
      </w:r>
      <w:r w:rsidR="44F2905C" w:rsidRPr="3CE3F0DF">
        <w:rPr>
          <w:rFonts w:ascii="Arial" w:hAnsi="Arial" w:cs="Arial"/>
          <w:sz w:val="24"/>
          <w:szCs w:val="24"/>
        </w:rPr>
        <w:t xml:space="preserve">que se </w:t>
      </w:r>
      <w:r w:rsidR="007F179C" w:rsidRPr="3CE3F0DF">
        <w:rPr>
          <w:rFonts w:ascii="Arial" w:hAnsi="Arial" w:cs="Arial"/>
          <w:sz w:val="24"/>
          <w:szCs w:val="24"/>
        </w:rPr>
        <w:t>vería</w:t>
      </w:r>
      <w:r w:rsidR="352EC180" w:rsidRPr="3CE3F0DF">
        <w:rPr>
          <w:rFonts w:ascii="Arial" w:hAnsi="Arial" w:cs="Arial"/>
          <w:sz w:val="24"/>
          <w:szCs w:val="24"/>
        </w:rPr>
        <w:t xml:space="preserve"> afe</w:t>
      </w:r>
      <w:r w:rsidR="23CF09ED" w:rsidRPr="3CE3F0DF">
        <w:rPr>
          <w:rFonts w:ascii="Arial" w:hAnsi="Arial" w:cs="Arial"/>
          <w:sz w:val="24"/>
          <w:szCs w:val="24"/>
        </w:rPr>
        <w:t>c</w:t>
      </w:r>
      <w:r w:rsidR="352EC180" w:rsidRPr="3CE3F0DF">
        <w:rPr>
          <w:rFonts w:ascii="Arial" w:hAnsi="Arial" w:cs="Arial"/>
          <w:sz w:val="24"/>
          <w:szCs w:val="24"/>
        </w:rPr>
        <w:t xml:space="preserve">tado  si se le incorporan </w:t>
      </w:r>
      <w:r w:rsidR="00EE5864" w:rsidRPr="3CE3F0DF">
        <w:rPr>
          <w:rFonts w:ascii="Arial" w:hAnsi="Arial" w:cs="Arial"/>
          <w:sz w:val="24"/>
          <w:szCs w:val="24"/>
        </w:rPr>
        <w:t xml:space="preserve">figuras que no </w:t>
      </w:r>
      <w:r w:rsidR="77B1A277" w:rsidRPr="3CE3F0DF">
        <w:rPr>
          <w:rFonts w:ascii="Arial" w:hAnsi="Arial" w:cs="Arial"/>
          <w:sz w:val="24"/>
          <w:szCs w:val="24"/>
        </w:rPr>
        <w:t xml:space="preserve">fueron consideradas por el legislador </w:t>
      </w:r>
      <w:r w:rsidR="66042263" w:rsidRPr="3CE3F0DF">
        <w:rPr>
          <w:rFonts w:ascii="Arial" w:hAnsi="Arial" w:cs="Arial"/>
          <w:sz w:val="24"/>
          <w:szCs w:val="24"/>
        </w:rPr>
        <w:t xml:space="preserve">con el consecuente impacto en </w:t>
      </w:r>
      <w:r w:rsidR="00EE5864" w:rsidRPr="3CE3F0DF">
        <w:rPr>
          <w:rFonts w:ascii="Arial" w:hAnsi="Arial" w:cs="Arial"/>
          <w:sz w:val="24"/>
          <w:szCs w:val="24"/>
        </w:rPr>
        <w:t>las formas de cada juicio</w:t>
      </w:r>
      <w:r w:rsidR="68565360" w:rsidRPr="3CE3F0DF">
        <w:rPr>
          <w:rFonts w:ascii="Arial" w:hAnsi="Arial" w:cs="Arial"/>
          <w:sz w:val="24"/>
          <w:szCs w:val="24"/>
        </w:rPr>
        <w:t>,</w:t>
      </w:r>
      <w:r w:rsidR="00EE5864" w:rsidRPr="3CE3F0DF">
        <w:rPr>
          <w:rFonts w:ascii="Arial" w:hAnsi="Arial" w:cs="Arial"/>
          <w:sz w:val="24"/>
          <w:szCs w:val="24"/>
        </w:rPr>
        <w:t xml:space="preserve"> en los términos del artículo 29 de la Constitución </w:t>
      </w:r>
      <w:r w:rsidR="27511F21" w:rsidRPr="3CE3F0DF">
        <w:rPr>
          <w:rFonts w:ascii="Arial" w:hAnsi="Arial" w:cs="Arial"/>
          <w:sz w:val="24"/>
          <w:szCs w:val="24"/>
        </w:rPr>
        <w:t>Política</w:t>
      </w:r>
      <w:r w:rsidR="00EE5864" w:rsidRPr="3CE3F0DF">
        <w:rPr>
          <w:rFonts w:ascii="Arial" w:hAnsi="Arial" w:cs="Arial"/>
          <w:sz w:val="24"/>
          <w:szCs w:val="24"/>
        </w:rPr>
        <w:t xml:space="preserve">.  </w:t>
      </w:r>
    </w:p>
    <w:p w14:paraId="62F08021" w14:textId="77777777" w:rsidR="00EE5864" w:rsidRPr="00EE5864" w:rsidRDefault="00EE5864" w:rsidP="00EE5864">
      <w:pPr>
        <w:pStyle w:val="Prrafodelista"/>
        <w:rPr>
          <w:rFonts w:ascii="Arial" w:hAnsi="Arial" w:cs="Arial"/>
          <w:sz w:val="24"/>
          <w:szCs w:val="24"/>
        </w:rPr>
      </w:pPr>
    </w:p>
    <w:p w14:paraId="5E26ED99" w14:textId="10E741F5" w:rsidR="00EE5864" w:rsidRPr="00EE5864" w:rsidRDefault="469DD9D5" w:rsidP="3CE3F0DF">
      <w:pPr>
        <w:widowControl w:val="0"/>
        <w:suppressAutoHyphens/>
        <w:spacing w:line="276" w:lineRule="auto"/>
        <w:ind w:right="-234"/>
        <w:contextualSpacing/>
        <w:jc w:val="both"/>
        <w:rPr>
          <w:rFonts w:ascii="Arial" w:hAnsi="Arial" w:cs="Arial"/>
          <w:sz w:val="24"/>
          <w:szCs w:val="24"/>
        </w:rPr>
      </w:pPr>
      <w:r w:rsidRPr="3CE3F0DF">
        <w:rPr>
          <w:rFonts w:ascii="Arial" w:hAnsi="Arial" w:cs="Arial"/>
          <w:sz w:val="24"/>
          <w:szCs w:val="24"/>
        </w:rPr>
        <w:t xml:space="preserve">27. </w:t>
      </w:r>
      <w:r w:rsidR="1C5B2ACC" w:rsidRPr="3CE3F0DF">
        <w:rPr>
          <w:rFonts w:ascii="Arial" w:hAnsi="Arial" w:cs="Arial"/>
          <w:sz w:val="24"/>
          <w:szCs w:val="24"/>
        </w:rPr>
        <w:t>Se insiste, l</w:t>
      </w:r>
      <w:r w:rsidR="00EE5864" w:rsidRPr="3CE3F0DF">
        <w:rPr>
          <w:rFonts w:ascii="Arial" w:hAnsi="Arial" w:cs="Arial"/>
          <w:sz w:val="24"/>
          <w:szCs w:val="24"/>
        </w:rPr>
        <w:t>a reforma de la demanda está prevista</w:t>
      </w:r>
      <w:r w:rsidR="4DFBAEC8" w:rsidRPr="3CE3F0DF">
        <w:rPr>
          <w:rFonts w:ascii="Arial" w:hAnsi="Arial" w:cs="Arial"/>
          <w:sz w:val="24"/>
          <w:szCs w:val="24"/>
        </w:rPr>
        <w:t>,</w:t>
      </w:r>
      <w:r w:rsidR="00EE5864" w:rsidRPr="3CE3F0DF">
        <w:rPr>
          <w:rFonts w:ascii="Arial" w:hAnsi="Arial" w:cs="Arial"/>
          <w:sz w:val="24"/>
          <w:szCs w:val="24"/>
        </w:rPr>
        <w:t xml:space="preserve"> en lo fundamental</w:t>
      </w:r>
      <w:r w:rsidR="007F179C" w:rsidRPr="3CE3F0DF">
        <w:rPr>
          <w:rFonts w:ascii="Arial" w:hAnsi="Arial" w:cs="Arial"/>
          <w:sz w:val="24"/>
          <w:szCs w:val="24"/>
        </w:rPr>
        <w:t>,</w:t>
      </w:r>
      <w:r w:rsidR="00EE5864" w:rsidRPr="3CE3F0DF">
        <w:rPr>
          <w:rFonts w:ascii="Arial" w:hAnsi="Arial" w:cs="Arial"/>
          <w:sz w:val="24"/>
          <w:szCs w:val="24"/>
        </w:rPr>
        <w:t xml:space="preserve"> para </w:t>
      </w:r>
      <w:r w:rsidR="007F179C" w:rsidRPr="3CE3F0DF">
        <w:rPr>
          <w:rFonts w:ascii="Arial" w:hAnsi="Arial" w:cs="Arial"/>
          <w:sz w:val="24"/>
          <w:szCs w:val="24"/>
        </w:rPr>
        <w:t xml:space="preserve">que </w:t>
      </w:r>
      <w:r w:rsidR="00EE5864" w:rsidRPr="3CE3F0DF">
        <w:rPr>
          <w:rFonts w:ascii="Arial" w:hAnsi="Arial" w:cs="Arial"/>
          <w:sz w:val="24"/>
          <w:szCs w:val="24"/>
        </w:rPr>
        <w:t>quien llegue a la jurisdicción a efectos de reclamar un derecho</w:t>
      </w:r>
      <w:r w:rsidR="007F179C" w:rsidRPr="3CE3F0DF">
        <w:rPr>
          <w:rFonts w:ascii="Arial" w:hAnsi="Arial" w:cs="Arial"/>
          <w:sz w:val="24"/>
          <w:szCs w:val="24"/>
        </w:rPr>
        <w:t>,</w:t>
      </w:r>
      <w:r w:rsidR="00EE5864" w:rsidRPr="3CE3F0DF">
        <w:rPr>
          <w:rFonts w:ascii="Arial" w:hAnsi="Arial" w:cs="Arial"/>
          <w:sz w:val="24"/>
          <w:szCs w:val="24"/>
        </w:rPr>
        <w:t xml:space="preserve"> tenga la posibilidad de</w:t>
      </w:r>
      <w:r w:rsidR="42EEDE06" w:rsidRPr="3CE3F0DF">
        <w:rPr>
          <w:rFonts w:ascii="Arial" w:hAnsi="Arial" w:cs="Arial"/>
          <w:sz w:val="24"/>
          <w:szCs w:val="24"/>
        </w:rPr>
        <w:t>,</w:t>
      </w:r>
      <w:r w:rsidR="00EE5864" w:rsidRPr="3CE3F0DF">
        <w:rPr>
          <w:rFonts w:ascii="Arial" w:hAnsi="Arial" w:cs="Arial"/>
          <w:sz w:val="24"/>
          <w:szCs w:val="24"/>
        </w:rPr>
        <w:t xml:space="preserve"> eventualmente</w:t>
      </w:r>
      <w:r w:rsidR="143F92B1" w:rsidRPr="3CE3F0DF">
        <w:rPr>
          <w:rFonts w:ascii="Arial" w:hAnsi="Arial" w:cs="Arial"/>
          <w:sz w:val="24"/>
          <w:szCs w:val="24"/>
        </w:rPr>
        <w:t>,</w:t>
      </w:r>
      <w:r w:rsidR="004056FA" w:rsidRPr="3CE3F0DF">
        <w:rPr>
          <w:rFonts w:ascii="Arial" w:hAnsi="Arial" w:cs="Arial"/>
          <w:sz w:val="24"/>
          <w:szCs w:val="24"/>
        </w:rPr>
        <w:t xml:space="preserve"> replantear</w:t>
      </w:r>
      <w:r w:rsidR="00EE5864" w:rsidRPr="3CE3F0DF">
        <w:rPr>
          <w:rFonts w:ascii="Arial" w:hAnsi="Arial" w:cs="Arial"/>
          <w:sz w:val="24"/>
          <w:szCs w:val="24"/>
        </w:rPr>
        <w:t xml:space="preserve"> su demanda a efectos de perfeccionar algunos de los aspectos que resultan relevantes para la decisión del juez, lo cual es razonable en tratándose de </w:t>
      </w:r>
      <w:r w:rsidR="1B047803" w:rsidRPr="3CE3F0DF">
        <w:rPr>
          <w:rFonts w:ascii="Arial" w:hAnsi="Arial" w:cs="Arial"/>
          <w:sz w:val="24"/>
          <w:szCs w:val="24"/>
        </w:rPr>
        <w:t>trámites en los que</w:t>
      </w:r>
      <w:r w:rsidR="00EE5864" w:rsidRPr="3CE3F0DF">
        <w:rPr>
          <w:rFonts w:ascii="Arial" w:hAnsi="Arial" w:cs="Arial"/>
          <w:sz w:val="24"/>
          <w:szCs w:val="24"/>
        </w:rPr>
        <w:t xml:space="preserve"> se va a pedir la declaración de un derecho</w:t>
      </w:r>
      <w:r w:rsidR="004056FA" w:rsidRPr="3CE3F0DF">
        <w:rPr>
          <w:rFonts w:ascii="Arial" w:hAnsi="Arial" w:cs="Arial"/>
          <w:sz w:val="24"/>
          <w:szCs w:val="24"/>
        </w:rPr>
        <w:t>, más</w:t>
      </w:r>
      <w:r w:rsidR="00EE5864" w:rsidRPr="3CE3F0DF">
        <w:rPr>
          <w:rFonts w:ascii="Arial" w:hAnsi="Arial" w:cs="Arial"/>
          <w:sz w:val="24"/>
          <w:szCs w:val="24"/>
        </w:rPr>
        <w:t xml:space="preserve"> no en proceso</w:t>
      </w:r>
      <w:r w:rsidR="02B1CFF9" w:rsidRPr="3CE3F0DF">
        <w:rPr>
          <w:rFonts w:ascii="Arial" w:hAnsi="Arial" w:cs="Arial"/>
          <w:sz w:val="24"/>
          <w:szCs w:val="24"/>
        </w:rPr>
        <w:t>s</w:t>
      </w:r>
      <w:r w:rsidR="00EE5864" w:rsidRPr="3CE3F0DF">
        <w:rPr>
          <w:rFonts w:ascii="Arial" w:hAnsi="Arial" w:cs="Arial"/>
          <w:sz w:val="24"/>
          <w:szCs w:val="24"/>
        </w:rPr>
        <w:t xml:space="preserve"> donde es</w:t>
      </w:r>
      <w:r w:rsidR="3B5FCB53" w:rsidRPr="3CE3F0DF">
        <w:rPr>
          <w:rFonts w:ascii="Arial" w:hAnsi="Arial" w:cs="Arial"/>
          <w:sz w:val="24"/>
          <w:szCs w:val="24"/>
        </w:rPr>
        <w:t xml:space="preserve">e derecho </w:t>
      </w:r>
      <w:r w:rsidR="1AB23DEC" w:rsidRPr="3CE3F0DF">
        <w:rPr>
          <w:rFonts w:ascii="Arial" w:hAnsi="Arial" w:cs="Arial"/>
          <w:sz w:val="24"/>
          <w:szCs w:val="24"/>
        </w:rPr>
        <w:t xml:space="preserve">- obligación </w:t>
      </w:r>
      <w:r w:rsidR="3B5FCB53" w:rsidRPr="3CE3F0DF">
        <w:rPr>
          <w:rFonts w:ascii="Arial" w:hAnsi="Arial" w:cs="Arial"/>
          <w:sz w:val="24"/>
          <w:szCs w:val="24"/>
        </w:rPr>
        <w:t xml:space="preserve">es presupuesto en cuanto ya goza de reconocimiento </w:t>
      </w:r>
      <w:r w:rsidR="00EE5864" w:rsidRPr="3CE3F0DF">
        <w:rPr>
          <w:rFonts w:ascii="Arial" w:hAnsi="Arial" w:cs="Arial"/>
          <w:sz w:val="24"/>
          <w:szCs w:val="24"/>
        </w:rPr>
        <w:t xml:space="preserve">y </w:t>
      </w:r>
      <w:r w:rsidR="56C14959" w:rsidRPr="3CE3F0DF">
        <w:rPr>
          <w:rFonts w:ascii="Arial" w:hAnsi="Arial" w:cs="Arial"/>
          <w:sz w:val="24"/>
          <w:szCs w:val="24"/>
        </w:rPr>
        <w:t>se halla documentado en el</w:t>
      </w:r>
      <w:r w:rsidR="00EE5864" w:rsidRPr="3CE3F0DF">
        <w:rPr>
          <w:rFonts w:ascii="Arial" w:hAnsi="Arial" w:cs="Arial"/>
          <w:sz w:val="24"/>
          <w:szCs w:val="24"/>
        </w:rPr>
        <w:t xml:space="preserve"> título</w:t>
      </w:r>
      <w:r w:rsidR="2E8FA1E4" w:rsidRPr="3CE3F0DF">
        <w:rPr>
          <w:rFonts w:ascii="Arial" w:hAnsi="Arial" w:cs="Arial"/>
          <w:sz w:val="24"/>
          <w:szCs w:val="24"/>
        </w:rPr>
        <w:t>,</w:t>
      </w:r>
      <w:r w:rsidR="00EE5864" w:rsidRPr="3CE3F0DF">
        <w:rPr>
          <w:rFonts w:ascii="Arial" w:hAnsi="Arial" w:cs="Arial"/>
          <w:sz w:val="24"/>
          <w:szCs w:val="24"/>
        </w:rPr>
        <w:t xml:space="preserve"> en los términos del artículo 442 del CGP. </w:t>
      </w:r>
    </w:p>
    <w:p w14:paraId="206EBAD2" w14:textId="77777777" w:rsidR="00EE5864" w:rsidRPr="00EE5864" w:rsidRDefault="00EE5864" w:rsidP="00EE5864">
      <w:pPr>
        <w:pStyle w:val="Prrafodelista"/>
        <w:rPr>
          <w:rFonts w:ascii="Arial" w:hAnsi="Arial" w:cs="Arial"/>
          <w:b/>
          <w:sz w:val="24"/>
          <w:szCs w:val="24"/>
        </w:rPr>
      </w:pPr>
    </w:p>
    <w:p w14:paraId="618EF5CE" w14:textId="116292CE" w:rsidR="00EE5864" w:rsidRPr="00CF7C4F" w:rsidRDefault="720A1ECB" w:rsidP="3CE3F0DF">
      <w:pPr>
        <w:pStyle w:val="Ttulo2"/>
        <w:spacing w:line="259" w:lineRule="auto"/>
        <w:rPr>
          <w:rFonts w:ascii="Arial" w:eastAsia="Times New Roman" w:hAnsi="Arial" w:cs="Arial"/>
          <w:b/>
          <w:bCs/>
          <w:color w:val="auto"/>
          <w:sz w:val="24"/>
          <w:szCs w:val="24"/>
        </w:rPr>
      </w:pPr>
      <w:r w:rsidRPr="3CE3F0DF">
        <w:rPr>
          <w:rFonts w:ascii="Arial" w:eastAsia="Times New Roman" w:hAnsi="Arial" w:cs="Arial"/>
          <w:b/>
          <w:bCs/>
          <w:color w:val="auto"/>
          <w:sz w:val="24"/>
          <w:szCs w:val="24"/>
        </w:rPr>
        <w:t xml:space="preserve">4. </w:t>
      </w:r>
      <w:r w:rsidR="00EE5864" w:rsidRPr="3CE3F0DF">
        <w:rPr>
          <w:rFonts w:ascii="Arial" w:eastAsia="Times New Roman" w:hAnsi="Arial" w:cs="Arial"/>
          <w:b/>
          <w:bCs/>
          <w:color w:val="auto"/>
          <w:sz w:val="24"/>
          <w:szCs w:val="24"/>
        </w:rPr>
        <w:t xml:space="preserve">Costas </w:t>
      </w:r>
    </w:p>
    <w:p w14:paraId="4478CA29" w14:textId="77777777" w:rsidR="00EE5864" w:rsidRPr="00CF7C4F" w:rsidRDefault="00EE5864" w:rsidP="00EE5864">
      <w:pPr>
        <w:overflowPunct w:val="0"/>
        <w:autoSpaceDE w:val="0"/>
        <w:autoSpaceDN w:val="0"/>
        <w:adjustRightInd w:val="0"/>
        <w:spacing w:line="276" w:lineRule="auto"/>
        <w:ind w:right="50"/>
        <w:jc w:val="both"/>
        <w:textAlignment w:val="baseline"/>
        <w:rPr>
          <w:rFonts w:ascii="Arial" w:hAnsi="Arial" w:cs="Arial"/>
          <w:b/>
          <w:bCs/>
          <w:sz w:val="24"/>
          <w:szCs w:val="24"/>
        </w:rPr>
      </w:pPr>
    </w:p>
    <w:p w14:paraId="68F05711" w14:textId="51E3DFC8" w:rsidR="00EE5864" w:rsidRPr="00CF7C4F" w:rsidRDefault="7DB96D61" w:rsidP="3CE3F0DF">
      <w:pPr>
        <w:widowControl w:val="0"/>
        <w:suppressAutoHyphens/>
        <w:kinsoku w:val="0"/>
        <w:spacing w:line="276" w:lineRule="auto"/>
        <w:ind w:right="-234"/>
        <w:contextualSpacing/>
        <w:jc w:val="both"/>
        <w:rPr>
          <w:rFonts w:ascii="Arial" w:hAnsi="Arial" w:cs="Arial"/>
          <w:sz w:val="24"/>
          <w:szCs w:val="24"/>
        </w:rPr>
      </w:pPr>
      <w:r w:rsidRPr="3CE3F0DF">
        <w:rPr>
          <w:rFonts w:ascii="Arial" w:hAnsi="Arial" w:cs="Arial"/>
          <w:sz w:val="24"/>
          <w:szCs w:val="24"/>
          <w:lang w:eastAsia="es-CO"/>
        </w:rPr>
        <w:t xml:space="preserve">28. </w:t>
      </w:r>
      <w:r w:rsidR="00EE5864" w:rsidRPr="3CE3F0DF">
        <w:rPr>
          <w:rFonts w:ascii="Arial" w:hAnsi="Arial" w:cs="Arial"/>
          <w:sz w:val="24"/>
          <w:szCs w:val="24"/>
          <w:lang w:eastAsia="es-CO"/>
        </w:rPr>
        <w:t xml:space="preserve">En tanto que en el presente asunto no hay auto de mandamiento de pago que pueda ser notificado a la parte que se pretendió ejecutar, no existe parte contraria en favor de quien puedan tasarse costas en esta instancia. </w:t>
      </w:r>
    </w:p>
    <w:p w14:paraId="77BD2054" w14:textId="30C62CDB" w:rsidR="3CE3F0DF" w:rsidRDefault="3CE3F0DF" w:rsidP="3CE3F0DF">
      <w:pPr>
        <w:widowControl w:val="0"/>
        <w:spacing w:line="276" w:lineRule="auto"/>
        <w:ind w:right="-234"/>
        <w:contextualSpacing/>
        <w:jc w:val="both"/>
        <w:rPr>
          <w:rFonts w:ascii="Arial" w:hAnsi="Arial" w:cs="Arial"/>
          <w:sz w:val="24"/>
          <w:szCs w:val="24"/>
        </w:rPr>
      </w:pPr>
    </w:p>
    <w:p w14:paraId="4ABAE896" w14:textId="21C64867" w:rsidR="00EE5864" w:rsidRDefault="0ACD6814" w:rsidP="3CE3F0DF">
      <w:pPr>
        <w:pStyle w:val="Prrafodelista"/>
        <w:widowControl w:val="0"/>
        <w:numPr>
          <w:ilvl w:val="0"/>
          <w:numId w:val="25"/>
        </w:numPr>
        <w:suppressAutoHyphens/>
        <w:spacing w:line="276" w:lineRule="auto"/>
        <w:ind w:left="0" w:right="-234" w:firstLine="0"/>
        <w:contextualSpacing/>
        <w:jc w:val="center"/>
        <w:rPr>
          <w:rFonts w:ascii="Arial" w:hAnsi="Arial" w:cs="Arial"/>
          <w:b/>
          <w:bCs/>
          <w:sz w:val="24"/>
          <w:szCs w:val="24"/>
        </w:rPr>
      </w:pPr>
      <w:r w:rsidRPr="3CE3F0DF">
        <w:rPr>
          <w:rFonts w:ascii="Arial" w:hAnsi="Arial" w:cs="Arial"/>
          <w:b/>
          <w:bCs/>
          <w:sz w:val="24"/>
          <w:szCs w:val="24"/>
        </w:rPr>
        <w:t>DECISIÓN</w:t>
      </w:r>
    </w:p>
    <w:p w14:paraId="2A6D4582" w14:textId="0EA90797" w:rsidR="3CE3F0DF" w:rsidRDefault="3CE3F0DF" w:rsidP="3CE3F0DF">
      <w:pPr>
        <w:widowControl w:val="0"/>
        <w:spacing w:line="276" w:lineRule="auto"/>
        <w:ind w:right="-234"/>
        <w:contextualSpacing/>
        <w:jc w:val="center"/>
        <w:rPr>
          <w:rFonts w:ascii="Arial" w:hAnsi="Arial" w:cs="Arial"/>
          <w:b/>
          <w:bCs/>
          <w:sz w:val="24"/>
          <w:szCs w:val="24"/>
        </w:rPr>
      </w:pPr>
    </w:p>
    <w:p w14:paraId="306BA510" w14:textId="77777777" w:rsidR="00A16C8F" w:rsidRPr="00A16C8F" w:rsidRDefault="00A16C8F" w:rsidP="00CB0A46">
      <w:pPr>
        <w:overflowPunct w:val="0"/>
        <w:autoSpaceDE w:val="0"/>
        <w:autoSpaceDN w:val="0"/>
        <w:adjustRightInd w:val="0"/>
        <w:spacing w:line="276" w:lineRule="auto"/>
        <w:ind w:right="-234"/>
        <w:contextualSpacing/>
        <w:jc w:val="both"/>
        <w:textAlignment w:val="baseline"/>
        <w:rPr>
          <w:rFonts w:ascii="Arial" w:eastAsia="Calibri" w:hAnsi="Arial" w:cs="Arial"/>
          <w:sz w:val="24"/>
          <w:szCs w:val="24"/>
          <w:lang w:eastAsia="en-US"/>
        </w:rPr>
      </w:pPr>
      <w:r w:rsidRPr="00A16C8F">
        <w:rPr>
          <w:rFonts w:ascii="Arial" w:eastAsia="Calibri" w:hAnsi="Arial" w:cs="Arial"/>
          <w:sz w:val="24"/>
          <w:szCs w:val="24"/>
          <w:lang w:eastAsia="en-US"/>
        </w:rPr>
        <w:t xml:space="preserve">Por lo expuesto, el Despacho No. 6 del Tribunal Administrativo de Boyacá, </w:t>
      </w:r>
    </w:p>
    <w:p w14:paraId="2CA8111C" w14:textId="77777777" w:rsidR="00A16C8F" w:rsidRPr="00A16C8F" w:rsidRDefault="00A16C8F" w:rsidP="00CB0A46">
      <w:pPr>
        <w:overflowPunct w:val="0"/>
        <w:autoSpaceDE w:val="0"/>
        <w:autoSpaceDN w:val="0"/>
        <w:adjustRightInd w:val="0"/>
        <w:spacing w:line="276" w:lineRule="auto"/>
        <w:ind w:right="-234"/>
        <w:contextualSpacing/>
        <w:jc w:val="both"/>
        <w:textAlignment w:val="baseline"/>
        <w:rPr>
          <w:rFonts w:ascii="Arial" w:eastAsia="Calibri" w:hAnsi="Arial" w:cs="Arial"/>
          <w:sz w:val="24"/>
          <w:szCs w:val="24"/>
          <w:lang w:eastAsia="en-US"/>
        </w:rPr>
      </w:pPr>
    </w:p>
    <w:p w14:paraId="46A51EC9" w14:textId="5EDE48CC" w:rsidR="00A16C8F" w:rsidRPr="0032140B" w:rsidRDefault="00A16C8F" w:rsidP="3CE3F0DF">
      <w:pPr>
        <w:overflowPunct w:val="0"/>
        <w:autoSpaceDE w:val="0"/>
        <w:autoSpaceDN w:val="0"/>
        <w:adjustRightInd w:val="0"/>
        <w:spacing w:line="276" w:lineRule="auto"/>
        <w:ind w:right="-234"/>
        <w:contextualSpacing/>
        <w:jc w:val="center"/>
        <w:textAlignment w:val="baseline"/>
        <w:rPr>
          <w:rFonts w:ascii="Arial" w:eastAsia="Calibri" w:hAnsi="Arial" w:cs="Arial"/>
          <w:b/>
          <w:bCs/>
          <w:sz w:val="24"/>
          <w:szCs w:val="24"/>
          <w:lang w:eastAsia="en-US"/>
        </w:rPr>
      </w:pPr>
      <w:r w:rsidRPr="3CE3F0DF">
        <w:rPr>
          <w:rFonts w:ascii="Arial" w:eastAsia="Calibri" w:hAnsi="Arial" w:cs="Arial"/>
          <w:b/>
          <w:bCs/>
          <w:sz w:val="24"/>
          <w:szCs w:val="24"/>
          <w:lang w:eastAsia="en-US"/>
        </w:rPr>
        <w:t>R</w:t>
      </w:r>
      <w:r w:rsidR="0D9121CF" w:rsidRPr="3CE3F0DF">
        <w:rPr>
          <w:rFonts w:ascii="Arial" w:eastAsia="Calibri" w:hAnsi="Arial" w:cs="Arial"/>
          <w:b/>
          <w:bCs/>
          <w:sz w:val="24"/>
          <w:szCs w:val="24"/>
          <w:lang w:eastAsia="en-US"/>
        </w:rPr>
        <w:t>esuelve:</w:t>
      </w:r>
      <w:r w:rsidRPr="3CE3F0DF">
        <w:rPr>
          <w:rFonts w:ascii="Arial" w:eastAsia="Calibri" w:hAnsi="Arial" w:cs="Arial"/>
          <w:b/>
          <w:bCs/>
          <w:sz w:val="24"/>
          <w:szCs w:val="24"/>
          <w:lang w:eastAsia="en-US"/>
        </w:rPr>
        <w:t xml:space="preserve"> </w:t>
      </w:r>
    </w:p>
    <w:p w14:paraId="479AE707" w14:textId="77777777" w:rsidR="00A16C8F" w:rsidRPr="0032140B" w:rsidRDefault="00A16C8F" w:rsidP="00CB0A46">
      <w:pPr>
        <w:overflowPunct w:val="0"/>
        <w:autoSpaceDE w:val="0"/>
        <w:autoSpaceDN w:val="0"/>
        <w:adjustRightInd w:val="0"/>
        <w:spacing w:line="276" w:lineRule="auto"/>
        <w:ind w:right="-234"/>
        <w:contextualSpacing/>
        <w:jc w:val="center"/>
        <w:textAlignment w:val="baseline"/>
        <w:rPr>
          <w:rFonts w:ascii="Arial" w:eastAsia="Calibri" w:hAnsi="Arial" w:cs="Arial"/>
          <w:b/>
          <w:sz w:val="24"/>
          <w:szCs w:val="24"/>
          <w:lang w:eastAsia="en-US"/>
        </w:rPr>
      </w:pPr>
    </w:p>
    <w:p w14:paraId="1C9DC180" w14:textId="045BFC14" w:rsidR="00A16C8F" w:rsidRPr="0032140B" w:rsidRDefault="00A16C8F" w:rsidP="00CB0A46">
      <w:pPr>
        <w:spacing w:line="276" w:lineRule="auto"/>
        <w:ind w:right="-234"/>
        <w:contextualSpacing/>
        <w:jc w:val="both"/>
        <w:rPr>
          <w:rFonts w:ascii="Arial" w:eastAsia="Calibri" w:hAnsi="Arial" w:cs="Arial"/>
          <w:sz w:val="24"/>
          <w:szCs w:val="24"/>
          <w:lang w:val="es-CO" w:eastAsia="en-US"/>
        </w:rPr>
      </w:pPr>
      <w:r w:rsidRPr="3742EA78">
        <w:rPr>
          <w:rFonts w:ascii="Arial" w:eastAsia="Calibri" w:hAnsi="Arial" w:cs="Arial"/>
          <w:b/>
          <w:bCs/>
          <w:sz w:val="24"/>
          <w:szCs w:val="24"/>
          <w:lang w:val="es-CO" w:eastAsia="en-US"/>
        </w:rPr>
        <w:t xml:space="preserve">PRIMERO: </w:t>
      </w:r>
      <w:r w:rsidR="004C71BC" w:rsidRPr="3742EA78">
        <w:rPr>
          <w:rFonts w:ascii="Arial" w:eastAsia="Calibri" w:hAnsi="Arial" w:cs="Arial"/>
          <w:b/>
          <w:bCs/>
          <w:sz w:val="24"/>
          <w:szCs w:val="24"/>
          <w:lang w:val="es-CO" w:eastAsia="en-US"/>
        </w:rPr>
        <w:t xml:space="preserve">RECHAZAR </w:t>
      </w:r>
      <w:r w:rsidRPr="3742EA78">
        <w:rPr>
          <w:rFonts w:ascii="Arial" w:eastAsia="Calibri" w:hAnsi="Arial" w:cs="Arial"/>
          <w:sz w:val="24"/>
          <w:szCs w:val="24"/>
          <w:lang w:val="es-CO" w:eastAsia="en-US"/>
        </w:rPr>
        <w:t>e</w:t>
      </w:r>
      <w:r w:rsidR="00521D4C" w:rsidRPr="3742EA78">
        <w:rPr>
          <w:rFonts w:ascii="Arial" w:eastAsia="Calibri" w:hAnsi="Arial" w:cs="Arial"/>
          <w:sz w:val="24"/>
          <w:szCs w:val="24"/>
          <w:lang w:val="es-CO" w:eastAsia="en-US"/>
        </w:rPr>
        <w:t xml:space="preserve">l </w:t>
      </w:r>
      <w:r w:rsidR="004C71BC" w:rsidRPr="3742EA78">
        <w:rPr>
          <w:rFonts w:ascii="Arial" w:eastAsia="Calibri" w:hAnsi="Arial" w:cs="Arial"/>
          <w:sz w:val="24"/>
          <w:szCs w:val="24"/>
          <w:lang w:val="es-CO" w:eastAsia="en-US"/>
        </w:rPr>
        <w:t xml:space="preserve">recurso de apelación presentado el 09 de octubre de 2020, en contra del </w:t>
      </w:r>
      <w:r w:rsidR="00521D4C" w:rsidRPr="3742EA78">
        <w:rPr>
          <w:rFonts w:ascii="Arial" w:eastAsia="Calibri" w:hAnsi="Arial" w:cs="Arial"/>
          <w:sz w:val="24"/>
          <w:szCs w:val="24"/>
          <w:lang w:val="es-CO" w:eastAsia="en-US"/>
        </w:rPr>
        <w:t xml:space="preserve">auto proferido el 5 de octubre </w:t>
      </w:r>
      <w:r w:rsidR="004C71BC" w:rsidRPr="3742EA78">
        <w:rPr>
          <w:rFonts w:ascii="Arial" w:eastAsia="Calibri" w:hAnsi="Arial" w:cs="Arial"/>
          <w:sz w:val="24"/>
          <w:szCs w:val="24"/>
          <w:lang w:val="es-CO" w:eastAsia="en-US"/>
        </w:rPr>
        <w:t>del mismo año</w:t>
      </w:r>
      <w:r w:rsidR="00521D4C" w:rsidRPr="3742EA78">
        <w:rPr>
          <w:rFonts w:ascii="Arial" w:eastAsia="Calibri" w:hAnsi="Arial" w:cs="Arial"/>
          <w:sz w:val="24"/>
          <w:szCs w:val="24"/>
          <w:lang w:val="es-CO" w:eastAsia="en-US"/>
        </w:rPr>
        <w:t xml:space="preserve">, </w:t>
      </w:r>
      <w:r w:rsidR="004C71BC" w:rsidRPr="3742EA78">
        <w:rPr>
          <w:rFonts w:ascii="Arial" w:eastAsia="Calibri" w:hAnsi="Arial" w:cs="Arial"/>
          <w:sz w:val="24"/>
          <w:szCs w:val="24"/>
          <w:lang w:val="es-CO" w:eastAsia="en-US"/>
        </w:rPr>
        <w:t xml:space="preserve">por cuanto no </w:t>
      </w:r>
      <w:r w:rsidR="586A8A03" w:rsidRPr="3742EA78">
        <w:rPr>
          <w:rFonts w:ascii="Arial" w:eastAsia="Calibri" w:hAnsi="Arial" w:cs="Arial"/>
          <w:sz w:val="24"/>
          <w:szCs w:val="24"/>
          <w:lang w:val="es-CO" w:eastAsia="en-US"/>
        </w:rPr>
        <w:t>fue congruentemente</w:t>
      </w:r>
      <w:r w:rsidR="00355BA1" w:rsidRPr="3742EA78">
        <w:rPr>
          <w:rFonts w:ascii="Arial" w:eastAsia="Calibri" w:hAnsi="Arial" w:cs="Arial"/>
          <w:sz w:val="24"/>
          <w:szCs w:val="24"/>
          <w:lang w:val="es-CO" w:eastAsia="en-US"/>
        </w:rPr>
        <w:t xml:space="preserve"> sustenta</w:t>
      </w:r>
      <w:r w:rsidR="709A062C" w:rsidRPr="3742EA78">
        <w:rPr>
          <w:rFonts w:ascii="Arial" w:eastAsia="Calibri" w:hAnsi="Arial" w:cs="Arial"/>
          <w:sz w:val="24"/>
          <w:szCs w:val="24"/>
          <w:lang w:val="es-CO" w:eastAsia="en-US"/>
        </w:rPr>
        <w:t>do</w:t>
      </w:r>
      <w:r w:rsidR="004C71BC" w:rsidRPr="3742EA78">
        <w:rPr>
          <w:rFonts w:ascii="Arial" w:eastAsia="Calibri" w:hAnsi="Arial" w:cs="Arial"/>
          <w:sz w:val="24"/>
          <w:szCs w:val="24"/>
          <w:lang w:val="es-CO" w:eastAsia="en-US"/>
        </w:rPr>
        <w:t>.</w:t>
      </w:r>
      <w:r w:rsidRPr="3742EA78">
        <w:rPr>
          <w:rFonts w:ascii="Arial" w:eastAsia="Calibri" w:hAnsi="Arial" w:cs="Arial"/>
          <w:sz w:val="24"/>
          <w:szCs w:val="24"/>
          <w:lang w:val="es-CO" w:eastAsia="en-US"/>
        </w:rPr>
        <w:t xml:space="preserve"> </w:t>
      </w:r>
    </w:p>
    <w:p w14:paraId="6B1509B0" w14:textId="77777777" w:rsidR="00A16C8F" w:rsidRPr="0032140B" w:rsidRDefault="00A16C8F" w:rsidP="00CB0A46">
      <w:pPr>
        <w:spacing w:line="276" w:lineRule="auto"/>
        <w:ind w:right="-234"/>
        <w:contextualSpacing/>
        <w:jc w:val="both"/>
        <w:rPr>
          <w:rFonts w:ascii="Arial" w:eastAsia="Calibri" w:hAnsi="Arial" w:cs="Arial"/>
          <w:sz w:val="24"/>
          <w:szCs w:val="24"/>
          <w:lang w:val="es-CO" w:eastAsia="en-US"/>
        </w:rPr>
      </w:pPr>
    </w:p>
    <w:p w14:paraId="0015B4B6" w14:textId="615F130B" w:rsidR="00521D4C" w:rsidRDefault="00A16C8F" w:rsidP="00CB0A46">
      <w:pPr>
        <w:spacing w:line="276" w:lineRule="auto"/>
        <w:ind w:right="-234"/>
        <w:contextualSpacing/>
        <w:jc w:val="both"/>
        <w:rPr>
          <w:rFonts w:ascii="Arial" w:eastAsia="Calibri" w:hAnsi="Arial" w:cs="Arial"/>
          <w:sz w:val="24"/>
          <w:szCs w:val="24"/>
          <w:lang w:val="es-CO" w:eastAsia="en-US"/>
        </w:rPr>
      </w:pPr>
      <w:r w:rsidRPr="0032140B">
        <w:rPr>
          <w:rFonts w:ascii="Arial" w:eastAsia="Calibri" w:hAnsi="Arial" w:cs="Arial"/>
          <w:b/>
          <w:sz w:val="24"/>
          <w:szCs w:val="24"/>
          <w:lang w:val="es-CO" w:eastAsia="en-US"/>
        </w:rPr>
        <w:t>SEGUNDO:</w:t>
      </w:r>
      <w:r w:rsidRPr="0032140B">
        <w:rPr>
          <w:rFonts w:ascii="Arial" w:eastAsia="Calibri" w:hAnsi="Arial" w:cs="Arial"/>
          <w:sz w:val="24"/>
          <w:szCs w:val="24"/>
          <w:lang w:val="es-CO" w:eastAsia="en-US"/>
        </w:rPr>
        <w:t xml:space="preserve"> </w:t>
      </w:r>
      <w:r w:rsidR="00521D4C" w:rsidRPr="0032140B">
        <w:rPr>
          <w:rFonts w:ascii="Arial" w:eastAsia="Calibri" w:hAnsi="Arial" w:cs="Arial"/>
          <w:sz w:val="24"/>
          <w:szCs w:val="24"/>
          <w:lang w:val="es-CO" w:eastAsia="en-US"/>
        </w:rPr>
        <w:t>Sin condena</w:t>
      </w:r>
      <w:r w:rsidR="00521D4C" w:rsidRPr="00521D4C">
        <w:rPr>
          <w:rFonts w:ascii="Arial" w:eastAsia="Calibri" w:hAnsi="Arial" w:cs="Arial"/>
          <w:sz w:val="24"/>
          <w:szCs w:val="24"/>
          <w:lang w:val="es-CO" w:eastAsia="en-US"/>
        </w:rPr>
        <w:t xml:space="preserve"> en costas</w:t>
      </w:r>
      <w:r w:rsidR="00521D4C">
        <w:rPr>
          <w:rFonts w:ascii="Arial" w:eastAsia="Calibri" w:hAnsi="Arial" w:cs="Arial"/>
          <w:sz w:val="24"/>
          <w:szCs w:val="24"/>
          <w:lang w:val="es-CO" w:eastAsia="en-US"/>
        </w:rPr>
        <w:t xml:space="preserve"> en esta instancia</w:t>
      </w:r>
      <w:r w:rsidR="00521D4C" w:rsidRPr="00521D4C">
        <w:rPr>
          <w:rFonts w:ascii="Arial" w:eastAsia="Calibri" w:hAnsi="Arial" w:cs="Arial"/>
          <w:sz w:val="24"/>
          <w:szCs w:val="24"/>
          <w:lang w:val="es-CO" w:eastAsia="en-US"/>
        </w:rPr>
        <w:t>.</w:t>
      </w:r>
    </w:p>
    <w:p w14:paraId="478544CF" w14:textId="77777777" w:rsidR="00521D4C" w:rsidRDefault="00521D4C" w:rsidP="00CB0A46">
      <w:pPr>
        <w:spacing w:line="276" w:lineRule="auto"/>
        <w:ind w:right="-234"/>
        <w:contextualSpacing/>
        <w:jc w:val="both"/>
        <w:rPr>
          <w:rFonts w:ascii="Arial" w:eastAsia="Calibri" w:hAnsi="Arial" w:cs="Arial"/>
          <w:sz w:val="24"/>
          <w:szCs w:val="24"/>
          <w:lang w:val="es-CO" w:eastAsia="en-US"/>
        </w:rPr>
      </w:pPr>
    </w:p>
    <w:p w14:paraId="216A779B" w14:textId="3C5FB400" w:rsidR="00A16C8F" w:rsidRPr="00A16C8F" w:rsidRDefault="00521D4C" w:rsidP="00CB0A46">
      <w:pPr>
        <w:spacing w:line="276" w:lineRule="auto"/>
        <w:ind w:right="-234"/>
        <w:contextualSpacing/>
        <w:jc w:val="both"/>
        <w:rPr>
          <w:rFonts w:ascii="Arial" w:eastAsia="Calibri" w:hAnsi="Arial" w:cs="Arial"/>
          <w:sz w:val="24"/>
          <w:szCs w:val="24"/>
          <w:lang w:val="es-CO" w:eastAsia="en-US"/>
        </w:rPr>
      </w:pPr>
      <w:r>
        <w:rPr>
          <w:rFonts w:ascii="Arial" w:eastAsia="Calibri" w:hAnsi="Arial" w:cs="Arial"/>
          <w:b/>
          <w:sz w:val="24"/>
          <w:szCs w:val="24"/>
          <w:lang w:val="es-CO" w:eastAsia="en-US"/>
        </w:rPr>
        <w:t>TERCER</w:t>
      </w:r>
      <w:r w:rsidRPr="00A16C8F">
        <w:rPr>
          <w:rFonts w:ascii="Arial" w:eastAsia="Calibri" w:hAnsi="Arial" w:cs="Arial"/>
          <w:b/>
          <w:sz w:val="24"/>
          <w:szCs w:val="24"/>
          <w:lang w:val="es-CO" w:eastAsia="en-US"/>
        </w:rPr>
        <w:t>O:</w:t>
      </w:r>
      <w:r w:rsidRPr="00A16C8F">
        <w:rPr>
          <w:rFonts w:ascii="Arial" w:eastAsia="Calibri" w:hAnsi="Arial" w:cs="Arial"/>
          <w:sz w:val="24"/>
          <w:szCs w:val="24"/>
          <w:lang w:val="es-CO" w:eastAsia="en-US"/>
        </w:rPr>
        <w:t xml:space="preserve"> </w:t>
      </w:r>
      <w:r w:rsidR="00A16C8F" w:rsidRPr="00A16C8F">
        <w:rPr>
          <w:rFonts w:ascii="Arial" w:eastAsia="Calibri" w:hAnsi="Arial" w:cs="Arial"/>
          <w:sz w:val="24"/>
          <w:szCs w:val="24"/>
          <w:lang w:val="es-CO" w:eastAsia="en-US"/>
        </w:rPr>
        <w:t>Una vez en firme este proveído, devuélvanse las presentes diligencias al Despacho de origen. Déjense las anotaciones que sean del caso.</w:t>
      </w:r>
    </w:p>
    <w:p w14:paraId="0C7B335A" w14:textId="77777777" w:rsidR="00A16C8F" w:rsidRPr="00A16C8F" w:rsidRDefault="00A16C8F" w:rsidP="00CB0A46">
      <w:pPr>
        <w:overflowPunct w:val="0"/>
        <w:autoSpaceDE w:val="0"/>
        <w:autoSpaceDN w:val="0"/>
        <w:adjustRightInd w:val="0"/>
        <w:spacing w:line="276" w:lineRule="auto"/>
        <w:ind w:right="-234"/>
        <w:contextualSpacing/>
        <w:jc w:val="both"/>
        <w:textAlignment w:val="baseline"/>
        <w:rPr>
          <w:rFonts w:ascii="Arial" w:eastAsia="Calibri" w:hAnsi="Arial" w:cs="Arial"/>
          <w:sz w:val="24"/>
          <w:szCs w:val="24"/>
          <w:lang w:val="es-CO" w:eastAsia="en-US"/>
        </w:rPr>
      </w:pPr>
    </w:p>
    <w:p w14:paraId="6D6DC674" w14:textId="77777777" w:rsidR="00A16C8F" w:rsidRPr="00A16C8F" w:rsidRDefault="00A16C8F" w:rsidP="00CB0A46">
      <w:pPr>
        <w:overflowPunct w:val="0"/>
        <w:autoSpaceDE w:val="0"/>
        <w:autoSpaceDN w:val="0"/>
        <w:adjustRightInd w:val="0"/>
        <w:spacing w:line="276" w:lineRule="auto"/>
        <w:ind w:right="-234"/>
        <w:contextualSpacing/>
        <w:jc w:val="center"/>
        <w:textAlignment w:val="baseline"/>
        <w:rPr>
          <w:rFonts w:ascii="Arial" w:eastAsia="Calibri" w:hAnsi="Arial" w:cs="Arial"/>
          <w:b/>
          <w:sz w:val="24"/>
          <w:szCs w:val="24"/>
          <w:lang w:val="es-CO" w:eastAsia="en-US"/>
        </w:rPr>
      </w:pPr>
      <w:r w:rsidRPr="00A16C8F">
        <w:rPr>
          <w:rFonts w:ascii="Arial" w:eastAsia="Calibri" w:hAnsi="Arial" w:cs="Arial"/>
          <w:b/>
          <w:sz w:val="24"/>
          <w:szCs w:val="24"/>
          <w:lang w:val="es-CO" w:eastAsia="en-US"/>
        </w:rPr>
        <w:t>NOTIFÍQUESE Y CÚMPLASE</w:t>
      </w:r>
    </w:p>
    <w:p w14:paraId="27253C45" w14:textId="77777777" w:rsidR="00A16C8F" w:rsidRPr="00A16C8F" w:rsidRDefault="00A16C8F" w:rsidP="00CB0A46">
      <w:pPr>
        <w:overflowPunct w:val="0"/>
        <w:autoSpaceDE w:val="0"/>
        <w:autoSpaceDN w:val="0"/>
        <w:adjustRightInd w:val="0"/>
        <w:spacing w:line="276" w:lineRule="auto"/>
        <w:ind w:right="-234"/>
        <w:contextualSpacing/>
        <w:jc w:val="center"/>
        <w:textAlignment w:val="baseline"/>
        <w:rPr>
          <w:rFonts w:ascii="Arial" w:eastAsia="Calibri" w:hAnsi="Arial" w:cs="Arial"/>
          <w:b/>
          <w:sz w:val="24"/>
          <w:szCs w:val="24"/>
          <w:lang w:val="es-CO" w:eastAsia="en-US"/>
        </w:rPr>
      </w:pPr>
    </w:p>
    <w:p w14:paraId="5A85D890" w14:textId="77777777" w:rsidR="00A16C8F" w:rsidRPr="00A16C8F" w:rsidRDefault="00A16C8F" w:rsidP="00CB0A46">
      <w:pPr>
        <w:overflowPunct w:val="0"/>
        <w:autoSpaceDE w:val="0"/>
        <w:autoSpaceDN w:val="0"/>
        <w:adjustRightInd w:val="0"/>
        <w:spacing w:line="276" w:lineRule="auto"/>
        <w:ind w:right="-234"/>
        <w:contextualSpacing/>
        <w:jc w:val="center"/>
        <w:textAlignment w:val="baseline"/>
        <w:rPr>
          <w:rFonts w:ascii="Arial" w:eastAsia="Calibri" w:hAnsi="Arial" w:cs="Arial"/>
          <w:bCs/>
          <w:i/>
          <w:iCs/>
          <w:sz w:val="24"/>
          <w:szCs w:val="24"/>
          <w:lang w:val="es-CO" w:eastAsia="en-US"/>
        </w:rPr>
      </w:pPr>
      <w:r w:rsidRPr="00A16C8F">
        <w:rPr>
          <w:rFonts w:ascii="Arial" w:eastAsia="Calibri" w:hAnsi="Arial" w:cs="Arial"/>
          <w:bCs/>
          <w:i/>
          <w:iCs/>
          <w:sz w:val="24"/>
          <w:szCs w:val="24"/>
          <w:lang w:val="es-CO" w:eastAsia="en-US"/>
        </w:rPr>
        <w:t>Firmado electrónicamente</w:t>
      </w:r>
    </w:p>
    <w:p w14:paraId="5BD200AD" w14:textId="77777777" w:rsidR="00A16C8F" w:rsidRPr="00A16C8F" w:rsidRDefault="00A16C8F" w:rsidP="00CB0A46">
      <w:pPr>
        <w:overflowPunct w:val="0"/>
        <w:autoSpaceDE w:val="0"/>
        <w:autoSpaceDN w:val="0"/>
        <w:adjustRightInd w:val="0"/>
        <w:spacing w:line="276" w:lineRule="auto"/>
        <w:ind w:right="-234"/>
        <w:contextualSpacing/>
        <w:jc w:val="center"/>
        <w:textAlignment w:val="baseline"/>
        <w:rPr>
          <w:rFonts w:ascii="Arial" w:eastAsia="Calibri" w:hAnsi="Arial" w:cs="Arial"/>
          <w:b/>
          <w:bCs/>
          <w:sz w:val="24"/>
          <w:szCs w:val="24"/>
          <w:lang w:val="es-CO" w:eastAsia="en-US"/>
        </w:rPr>
      </w:pPr>
      <w:r w:rsidRPr="00A16C8F">
        <w:rPr>
          <w:rFonts w:ascii="Arial" w:eastAsia="Calibri" w:hAnsi="Arial" w:cs="Arial"/>
          <w:b/>
          <w:bCs/>
          <w:sz w:val="24"/>
          <w:szCs w:val="24"/>
          <w:lang w:val="es-CO" w:eastAsia="en-US"/>
        </w:rPr>
        <w:t>DAYÁN ALBERTO BLANCO LEGUÍZAMO</w:t>
      </w:r>
    </w:p>
    <w:p w14:paraId="1F24C7E4" w14:textId="3E892EC7" w:rsidR="001C5CAC" w:rsidRPr="00B46F7F" w:rsidRDefault="00A16C8F" w:rsidP="00CB0A46">
      <w:pPr>
        <w:overflowPunct w:val="0"/>
        <w:autoSpaceDE w:val="0"/>
        <w:autoSpaceDN w:val="0"/>
        <w:adjustRightInd w:val="0"/>
        <w:spacing w:line="276" w:lineRule="auto"/>
        <w:ind w:right="-234"/>
        <w:contextualSpacing/>
        <w:jc w:val="center"/>
        <w:textAlignment w:val="baseline"/>
        <w:rPr>
          <w:rFonts w:ascii="Arial" w:eastAsia="Calibri" w:hAnsi="Arial" w:cs="Arial"/>
          <w:b/>
          <w:bCs/>
          <w:sz w:val="24"/>
          <w:szCs w:val="24"/>
          <w:lang w:val="es-CO" w:eastAsia="en-US"/>
        </w:rPr>
      </w:pPr>
      <w:r w:rsidRPr="00A16C8F">
        <w:rPr>
          <w:rFonts w:ascii="Arial" w:eastAsia="Calibri" w:hAnsi="Arial" w:cs="Arial"/>
          <w:b/>
          <w:bCs/>
          <w:sz w:val="24"/>
          <w:szCs w:val="24"/>
          <w:lang w:val="es-CO" w:eastAsia="en-US"/>
        </w:rPr>
        <w:t>Magistrado</w:t>
      </w:r>
    </w:p>
    <w:sectPr w:rsidR="001C5CAC" w:rsidRPr="00B46F7F" w:rsidSect="00312D49">
      <w:headerReference w:type="even" r:id="rId11"/>
      <w:headerReference w:type="default" r:id="rId12"/>
      <w:footerReference w:type="default" r:id="rId13"/>
      <w:headerReference w:type="first" r:id="rId14"/>
      <w:footerReference w:type="first" r:id="rId15"/>
      <w:pgSz w:w="12240" w:h="18720" w:code="41"/>
      <w:pgMar w:top="1021" w:right="1701" w:bottom="1418" w:left="1701" w:header="851" w:footer="170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51119" w14:textId="77777777" w:rsidR="00C86DB3" w:rsidRDefault="00C86DB3" w:rsidP="00614090">
      <w:r>
        <w:separator/>
      </w:r>
    </w:p>
  </w:endnote>
  <w:endnote w:type="continuationSeparator" w:id="0">
    <w:p w14:paraId="408620CB" w14:textId="77777777" w:rsidR="00C86DB3" w:rsidRDefault="00C86DB3" w:rsidP="00614090">
      <w:r>
        <w:continuationSeparator/>
      </w:r>
    </w:p>
  </w:endnote>
  <w:endnote w:type="continuationNotice" w:id="1">
    <w:p w14:paraId="76D18899" w14:textId="77777777" w:rsidR="00C86DB3" w:rsidRDefault="00C86D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no pro">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026361904"/>
      <w:docPartObj>
        <w:docPartGallery w:val="Page Numbers (Bottom of Page)"/>
        <w:docPartUnique/>
      </w:docPartObj>
    </w:sdtPr>
    <w:sdtEndPr/>
    <w:sdtContent>
      <w:p w14:paraId="7EECB6B9" w14:textId="365D8280" w:rsidR="000C3F42" w:rsidRPr="000C3F42" w:rsidRDefault="000C3F42">
        <w:pPr>
          <w:pStyle w:val="Piedepgina"/>
          <w:jc w:val="center"/>
          <w:rPr>
            <w:rFonts w:ascii="Arial" w:hAnsi="Arial" w:cs="Arial"/>
          </w:rPr>
        </w:pPr>
        <w:r w:rsidRPr="000C3F42">
          <w:rPr>
            <w:rFonts w:ascii="Arial" w:hAnsi="Arial" w:cs="Arial"/>
          </w:rPr>
          <w:fldChar w:fldCharType="begin"/>
        </w:r>
        <w:r w:rsidRPr="000C3F42">
          <w:rPr>
            <w:rFonts w:ascii="Arial" w:hAnsi="Arial" w:cs="Arial"/>
          </w:rPr>
          <w:instrText>PAGE   \* MERGEFORMAT</w:instrText>
        </w:r>
        <w:r w:rsidRPr="000C3F42">
          <w:rPr>
            <w:rFonts w:ascii="Arial" w:hAnsi="Arial" w:cs="Arial"/>
          </w:rPr>
          <w:fldChar w:fldCharType="separate"/>
        </w:r>
        <w:r w:rsidRPr="000C3F42">
          <w:rPr>
            <w:rFonts w:ascii="Arial" w:hAnsi="Arial" w:cs="Arial"/>
          </w:rPr>
          <w:t>2</w:t>
        </w:r>
        <w:r w:rsidRPr="000C3F42">
          <w:rPr>
            <w:rFonts w:ascii="Arial" w:hAnsi="Arial" w:cs="Arial"/>
          </w:rPr>
          <w:fldChar w:fldCharType="end"/>
        </w:r>
      </w:p>
    </w:sdtContent>
  </w:sdt>
  <w:p w14:paraId="691B9BD4" w14:textId="77777777" w:rsidR="00660D9B" w:rsidRPr="000C3F42" w:rsidRDefault="00660D9B">
    <w:pPr>
      <w:pStyle w:val="Piedepgina"/>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6D7D5" w14:textId="77777777" w:rsidR="000C3F42" w:rsidRPr="000C3F42" w:rsidRDefault="000C3F42">
    <w:pPr>
      <w:pStyle w:val="Piedepgina"/>
      <w:jc w:val="center"/>
      <w:rPr>
        <w:caps/>
      </w:rPr>
    </w:pPr>
    <w:r w:rsidRPr="000C3F42">
      <w:rPr>
        <w:caps/>
      </w:rPr>
      <w:fldChar w:fldCharType="begin"/>
    </w:r>
    <w:r w:rsidRPr="000C3F42">
      <w:rPr>
        <w:caps/>
      </w:rPr>
      <w:instrText>PAGE   \* MERGEFORMAT</w:instrText>
    </w:r>
    <w:r w:rsidRPr="000C3F42">
      <w:rPr>
        <w:caps/>
      </w:rPr>
      <w:fldChar w:fldCharType="separate"/>
    </w:r>
    <w:r w:rsidRPr="000C3F42">
      <w:rPr>
        <w:caps/>
      </w:rPr>
      <w:t>2</w:t>
    </w:r>
    <w:r w:rsidRPr="000C3F42">
      <w:rPr>
        <w:caps/>
      </w:rPr>
      <w:fldChar w:fldCharType="end"/>
    </w:r>
  </w:p>
  <w:p w14:paraId="5D686240" w14:textId="77777777" w:rsidR="000C3F42" w:rsidRDefault="000C3F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D057E" w14:textId="77777777" w:rsidR="00C86DB3" w:rsidRDefault="00C86DB3" w:rsidP="00614090">
      <w:r>
        <w:separator/>
      </w:r>
    </w:p>
  </w:footnote>
  <w:footnote w:type="continuationSeparator" w:id="0">
    <w:p w14:paraId="659439E1" w14:textId="77777777" w:rsidR="00C86DB3" w:rsidRDefault="00C86DB3" w:rsidP="00614090">
      <w:r>
        <w:continuationSeparator/>
      </w:r>
    </w:p>
  </w:footnote>
  <w:footnote w:type="continuationNotice" w:id="1">
    <w:p w14:paraId="1CAD1A8F" w14:textId="77777777" w:rsidR="00C86DB3" w:rsidRDefault="00C86DB3"/>
  </w:footnote>
  <w:footnote w:id="2">
    <w:p w14:paraId="61016181" w14:textId="4B3B9077" w:rsidR="00D2697F" w:rsidRPr="00D2697F" w:rsidRDefault="00D2697F" w:rsidP="00CB0A46">
      <w:pPr>
        <w:pStyle w:val="Textonotapie"/>
        <w:ind w:right="-234"/>
        <w:jc w:val="both"/>
        <w:rPr>
          <w:lang w:val="es-CO"/>
        </w:rPr>
      </w:pPr>
      <w:r>
        <w:rPr>
          <w:rStyle w:val="Refdenotaalpie"/>
        </w:rPr>
        <w:footnoteRef/>
      </w:r>
      <w:r>
        <w:t xml:space="preserve"> </w:t>
      </w:r>
      <w:r w:rsidR="00212CD3" w:rsidRPr="00212CD3">
        <w:rPr>
          <w:rFonts w:ascii="Arial" w:hAnsi="Arial" w:cs="Arial"/>
          <w:sz w:val="18"/>
          <w:szCs w:val="18"/>
        </w:rPr>
        <w:t xml:space="preserve">Archivo 4ED_EXPEDIENTEDIGITAL_15001333 301420200009100A(.zip) </w:t>
      </w:r>
      <w:proofErr w:type="spellStart"/>
      <w:r w:rsidR="00212CD3" w:rsidRPr="00212CD3">
        <w:rPr>
          <w:rFonts w:ascii="Arial" w:hAnsi="Arial" w:cs="Arial"/>
          <w:sz w:val="18"/>
          <w:szCs w:val="18"/>
        </w:rPr>
        <w:t>NroActu</w:t>
      </w:r>
      <w:proofErr w:type="spellEnd"/>
      <w:r w:rsidR="00212CD3" w:rsidRPr="00212CD3">
        <w:rPr>
          <w:rFonts w:ascii="Arial" w:hAnsi="Arial" w:cs="Arial"/>
          <w:sz w:val="18"/>
          <w:szCs w:val="18"/>
        </w:rPr>
        <w:t xml:space="preserve"> a 3 – 150013333014 2020-00091 00 A - Documento 011NiegaReforma</w:t>
      </w:r>
      <w:r w:rsidR="00212CD3">
        <w:rPr>
          <w:rFonts w:ascii="Arial" w:hAnsi="Arial" w:cs="Arial"/>
          <w:sz w:val="18"/>
          <w:szCs w:val="18"/>
        </w:rPr>
        <w:t xml:space="preserve">, expediente electrónico plataforma </w:t>
      </w:r>
      <w:proofErr w:type="spellStart"/>
      <w:r w:rsidR="00212CD3">
        <w:rPr>
          <w:rFonts w:ascii="Arial" w:hAnsi="Arial" w:cs="Arial"/>
          <w:sz w:val="18"/>
          <w:szCs w:val="18"/>
        </w:rPr>
        <w:t>Samai</w:t>
      </w:r>
      <w:proofErr w:type="spellEnd"/>
      <w:r w:rsidR="00212CD3">
        <w:rPr>
          <w:rFonts w:ascii="Arial" w:hAnsi="Arial" w:cs="Arial"/>
          <w:sz w:val="18"/>
          <w:szCs w:val="18"/>
        </w:rPr>
        <w:t xml:space="preserve">. </w:t>
      </w:r>
    </w:p>
  </w:footnote>
  <w:footnote w:id="3">
    <w:p w14:paraId="5A6CBD19" w14:textId="77777777" w:rsidR="00435D37" w:rsidRPr="00212CD3" w:rsidRDefault="00435D37" w:rsidP="00CB0A46">
      <w:pPr>
        <w:pStyle w:val="Textonotapie"/>
        <w:ind w:right="-234"/>
        <w:jc w:val="both"/>
        <w:rPr>
          <w:lang w:val="es-CO"/>
        </w:rPr>
      </w:pPr>
      <w:r>
        <w:rPr>
          <w:rStyle w:val="Refdenotaalpie"/>
        </w:rPr>
        <w:footnoteRef/>
      </w:r>
      <w:r>
        <w:t xml:space="preserve"> </w:t>
      </w:r>
      <w:r w:rsidRPr="00212CD3">
        <w:rPr>
          <w:rFonts w:ascii="Arial" w:hAnsi="Arial" w:cs="Arial"/>
          <w:sz w:val="18"/>
          <w:szCs w:val="18"/>
        </w:rPr>
        <w:t xml:space="preserve">Archivo 4ED_EXPEDIENTEDIGITAL_15001333 301420200009100A(.zip) </w:t>
      </w:r>
      <w:proofErr w:type="spellStart"/>
      <w:r w:rsidRPr="00212CD3">
        <w:rPr>
          <w:rFonts w:ascii="Arial" w:hAnsi="Arial" w:cs="Arial"/>
          <w:sz w:val="18"/>
          <w:szCs w:val="18"/>
        </w:rPr>
        <w:t>NroActu</w:t>
      </w:r>
      <w:proofErr w:type="spellEnd"/>
      <w:r w:rsidRPr="00212CD3">
        <w:rPr>
          <w:rFonts w:ascii="Arial" w:hAnsi="Arial" w:cs="Arial"/>
          <w:sz w:val="18"/>
          <w:szCs w:val="18"/>
        </w:rPr>
        <w:t xml:space="preserve"> a 3 – 150013333014 2020-00091 00 A - Documento </w:t>
      </w:r>
      <w:r w:rsidRPr="00957879">
        <w:rPr>
          <w:rFonts w:ascii="Arial" w:hAnsi="Arial" w:cs="Arial"/>
          <w:sz w:val="18"/>
          <w:szCs w:val="18"/>
        </w:rPr>
        <w:t>03. DEMANDA 2-46</w:t>
      </w:r>
      <w:r>
        <w:rPr>
          <w:rFonts w:ascii="Arial" w:hAnsi="Arial" w:cs="Arial"/>
          <w:sz w:val="18"/>
          <w:szCs w:val="18"/>
        </w:rPr>
        <w:t xml:space="preserve">, expediente electrónico plataforma </w:t>
      </w:r>
      <w:proofErr w:type="spellStart"/>
      <w:r>
        <w:rPr>
          <w:rFonts w:ascii="Arial" w:hAnsi="Arial" w:cs="Arial"/>
          <w:sz w:val="18"/>
          <w:szCs w:val="18"/>
        </w:rPr>
        <w:t>Samai</w:t>
      </w:r>
      <w:proofErr w:type="spellEnd"/>
      <w:r>
        <w:rPr>
          <w:rFonts w:ascii="Arial" w:hAnsi="Arial" w:cs="Arial"/>
          <w:sz w:val="18"/>
          <w:szCs w:val="18"/>
        </w:rPr>
        <w:t>.</w:t>
      </w:r>
    </w:p>
  </w:footnote>
  <w:footnote w:id="4">
    <w:p w14:paraId="5EC40513" w14:textId="6C6154C4" w:rsidR="00957879" w:rsidRPr="00957879" w:rsidRDefault="00957879" w:rsidP="00CB0A46">
      <w:pPr>
        <w:pStyle w:val="Textonotapie"/>
        <w:ind w:right="-234"/>
        <w:jc w:val="both"/>
        <w:rPr>
          <w:lang w:val="es-CO"/>
        </w:rPr>
      </w:pPr>
      <w:r>
        <w:rPr>
          <w:rStyle w:val="Refdenotaalpie"/>
        </w:rPr>
        <w:footnoteRef/>
      </w:r>
      <w:r>
        <w:t xml:space="preserve"> </w:t>
      </w:r>
      <w:r w:rsidRPr="00212CD3">
        <w:rPr>
          <w:rFonts w:ascii="Arial" w:hAnsi="Arial" w:cs="Arial"/>
          <w:sz w:val="18"/>
          <w:szCs w:val="18"/>
        </w:rPr>
        <w:t xml:space="preserve">Archivo 4ED_EXPEDIENTEDIGITAL_15001333 301420200009100A(.zip) </w:t>
      </w:r>
      <w:proofErr w:type="spellStart"/>
      <w:r w:rsidRPr="00212CD3">
        <w:rPr>
          <w:rFonts w:ascii="Arial" w:hAnsi="Arial" w:cs="Arial"/>
          <w:sz w:val="18"/>
          <w:szCs w:val="18"/>
        </w:rPr>
        <w:t>NroActu</w:t>
      </w:r>
      <w:proofErr w:type="spellEnd"/>
      <w:r w:rsidRPr="00212CD3">
        <w:rPr>
          <w:rFonts w:ascii="Arial" w:hAnsi="Arial" w:cs="Arial"/>
          <w:sz w:val="18"/>
          <w:szCs w:val="18"/>
        </w:rPr>
        <w:t xml:space="preserve"> a 3 – 150013333014 2020-00091 00 A - Documento </w:t>
      </w:r>
      <w:r w:rsidRPr="00957879">
        <w:rPr>
          <w:rFonts w:ascii="Arial" w:hAnsi="Arial" w:cs="Arial"/>
          <w:sz w:val="18"/>
          <w:szCs w:val="18"/>
        </w:rPr>
        <w:t>09NoLibraMandamiento</w:t>
      </w:r>
      <w:r>
        <w:rPr>
          <w:rFonts w:ascii="Arial" w:hAnsi="Arial" w:cs="Arial"/>
          <w:sz w:val="18"/>
          <w:szCs w:val="18"/>
        </w:rPr>
        <w:t xml:space="preserve">, expediente electrónico plataforma </w:t>
      </w:r>
      <w:proofErr w:type="spellStart"/>
      <w:r>
        <w:rPr>
          <w:rFonts w:ascii="Arial" w:hAnsi="Arial" w:cs="Arial"/>
          <w:sz w:val="18"/>
          <w:szCs w:val="18"/>
        </w:rPr>
        <w:t>Samai</w:t>
      </w:r>
      <w:proofErr w:type="spellEnd"/>
      <w:r>
        <w:rPr>
          <w:rFonts w:ascii="Arial" w:hAnsi="Arial" w:cs="Arial"/>
          <w:sz w:val="18"/>
          <w:szCs w:val="18"/>
        </w:rPr>
        <w:t>.</w:t>
      </w:r>
    </w:p>
  </w:footnote>
  <w:footnote w:id="5">
    <w:p w14:paraId="76D9D82B" w14:textId="77777777" w:rsidR="00435D37" w:rsidRPr="00AB7C36" w:rsidRDefault="00435D37" w:rsidP="00CB0A46">
      <w:pPr>
        <w:pStyle w:val="Textonotapie"/>
        <w:ind w:right="-234"/>
        <w:jc w:val="both"/>
        <w:rPr>
          <w:lang w:val="es-CO"/>
        </w:rPr>
      </w:pPr>
      <w:r>
        <w:rPr>
          <w:rStyle w:val="Refdenotaalpie"/>
        </w:rPr>
        <w:footnoteRef/>
      </w:r>
      <w:r>
        <w:t xml:space="preserve"> </w:t>
      </w:r>
      <w:bookmarkStart w:id="6" w:name="_Hlk110419031"/>
      <w:r w:rsidRPr="00212CD3">
        <w:rPr>
          <w:rFonts w:ascii="Arial" w:hAnsi="Arial" w:cs="Arial"/>
          <w:sz w:val="18"/>
          <w:szCs w:val="18"/>
        </w:rPr>
        <w:t xml:space="preserve">Archivo 4ED_EXPEDIENTEDIGITAL_15001333 301420200009100A(.zip) </w:t>
      </w:r>
      <w:proofErr w:type="spellStart"/>
      <w:r w:rsidRPr="00212CD3">
        <w:rPr>
          <w:rFonts w:ascii="Arial" w:hAnsi="Arial" w:cs="Arial"/>
          <w:sz w:val="18"/>
          <w:szCs w:val="18"/>
        </w:rPr>
        <w:t>NroActu</w:t>
      </w:r>
      <w:proofErr w:type="spellEnd"/>
      <w:r w:rsidRPr="00212CD3">
        <w:rPr>
          <w:rFonts w:ascii="Arial" w:hAnsi="Arial" w:cs="Arial"/>
          <w:sz w:val="18"/>
          <w:szCs w:val="18"/>
        </w:rPr>
        <w:t xml:space="preserve"> a 3 – 150013333014 2020-00091 00 A - Documento </w:t>
      </w:r>
      <w:r w:rsidRPr="00957879">
        <w:rPr>
          <w:rFonts w:ascii="Arial" w:hAnsi="Arial" w:cs="Arial"/>
          <w:sz w:val="18"/>
          <w:szCs w:val="18"/>
        </w:rPr>
        <w:t>010ReformaDemanda</w:t>
      </w:r>
      <w:r>
        <w:rPr>
          <w:rFonts w:ascii="Arial" w:hAnsi="Arial" w:cs="Arial"/>
          <w:sz w:val="18"/>
          <w:szCs w:val="18"/>
        </w:rPr>
        <w:t xml:space="preserve">, expediente electrónico plataforma </w:t>
      </w:r>
      <w:proofErr w:type="spellStart"/>
      <w:r>
        <w:rPr>
          <w:rFonts w:ascii="Arial" w:hAnsi="Arial" w:cs="Arial"/>
          <w:sz w:val="18"/>
          <w:szCs w:val="18"/>
        </w:rPr>
        <w:t>Samai</w:t>
      </w:r>
      <w:proofErr w:type="spellEnd"/>
      <w:r>
        <w:rPr>
          <w:rFonts w:ascii="Arial" w:hAnsi="Arial" w:cs="Arial"/>
          <w:sz w:val="18"/>
          <w:szCs w:val="18"/>
        </w:rPr>
        <w:t>.</w:t>
      </w:r>
      <w:bookmarkEnd w:id="6"/>
    </w:p>
  </w:footnote>
  <w:footnote w:id="6">
    <w:p w14:paraId="0D3713F2" w14:textId="545895E7" w:rsidR="00435D37" w:rsidRPr="00435D37" w:rsidRDefault="00435D37" w:rsidP="00CB0A46">
      <w:pPr>
        <w:pStyle w:val="Textonotapie"/>
        <w:ind w:right="-234"/>
        <w:jc w:val="both"/>
        <w:rPr>
          <w:lang w:val="es-CO"/>
        </w:rPr>
      </w:pPr>
      <w:r>
        <w:rPr>
          <w:rStyle w:val="Refdenotaalpie"/>
        </w:rPr>
        <w:footnoteRef/>
      </w:r>
      <w:r>
        <w:t xml:space="preserve"> </w:t>
      </w:r>
      <w:bookmarkStart w:id="7" w:name="_Hlk110420142"/>
      <w:r w:rsidRPr="00212CD3">
        <w:rPr>
          <w:rFonts w:ascii="Arial" w:hAnsi="Arial" w:cs="Arial"/>
          <w:sz w:val="18"/>
          <w:szCs w:val="18"/>
        </w:rPr>
        <w:t xml:space="preserve">Archivo 4ED_EXPEDIENTEDIGITAL_15001333 301420200009100A(.zip) </w:t>
      </w:r>
      <w:proofErr w:type="spellStart"/>
      <w:r w:rsidRPr="00212CD3">
        <w:rPr>
          <w:rFonts w:ascii="Arial" w:hAnsi="Arial" w:cs="Arial"/>
          <w:sz w:val="18"/>
          <w:szCs w:val="18"/>
        </w:rPr>
        <w:t>NroActu</w:t>
      </w:r>
      <w:proofErr w:type="spellEnd"/>
      <w:r w:rsidRPr="00212CD3">
        <w:rPr>
          <w:rFonts w:ascii="Arial" w:hAnsi="Arial" w:cs="Arial"/>
          <w:sz w:val="18"/>
          <w:szCs w:val="18"/>
        </w:rPr>
        <w:t xml:space="preserve"> a 3 – 150013333014 2020-00091 00 A - Documento </w:t>
      </w:r>
      <w:r w:rsidR="00D71E5D" w:rsidRPr="00D71E5D">
        <w:rPr>
          <w:rFonts w:ascii="Arial" w:hAnsi="Arial" w:cs="Arial"/>
          <w:sz w:val="18"/>
          <w:szCs w:val="18"/>
        </w:rPr>
        <w:t>011NiegaReforma</w:t>
      </w:r>
      <w:r>
        <w:rPr>
          <w:rFonts w:ascii="Arial" w:hAnsi="Arial" w:cs="Arial"/>
          <w:sz w:val="18"/>
          <w:szCs w:val="18"/>
        </w:rPr>
        <w:t xml:space="preserve">, expediente electrónico plataforma </w:t>
      </w:r>
      <w:proofErr w:type="spellStart"/>
      <w:r>
        <w:rPr>
          <w:rFonts w:ascii="Arial" w:hAnsi="Arial" w:cs="Arial"/>
          <w:sz w:val="18"/>
          <w:szCs w:val="18"/>
        </w:rPr>
        <w:t>Samai</w:t>
      </w:r>
      <w:proofErr w:type="spellEnd"/>
      <w:r>
        <w:rPr>
          <w:rFonts w:ascii="Arial" w:hAnsi="Arial" w:cs="Arial"/>
          <w:sz w:val="18"/>
          <w:szCs w:val="18"/>
        </w:rPr>
        <w:t>.</w:t>
      </w:r>
      <w:bookmarkEnd w:id="7"/>
    </w:p>
  </w:footnote>
  <w:footnote w:id="7">
    <w:p w14:paraId="386D58CD" w14:textId="77777777" w:rsidR="00E14319" w:rsidRPr="000E4AA6" w:rsidRDefault="00E14319" w:rsidP="00CB0A46">
      <w:pPr>
        <w:pStyle w:val="NormalWeb"/>
        <w:ind w:right="-234"/>
        <w:jc w:val="both"/>
        <w:rPr>
          <w:rFonts w:ascii="Arial" w:hAnsi="Arial" w:cs="Arial"/>
          <w:sz w:val="18"/>
          <w:szCs w:val="18"/>
          <w:lang w:val="es-CO" w:eastAsia="es-CO"/>
        </w:rPr>
      </w:pPr>
      <w:r w:rsidRPr="000E4AA6">
        <w:rPr>
          <w:rStyle w:val="Refdenotaalpie"/>
          <w:rFonts w:ascii="Arial" w:hAnsi="Arial" w:cs="Arial"/>
          <w:sz w:val="18"/>
          <w:szCs w:val="18"/>
        </w:rPr>
        <w:footnoteRef/>
      </w:r>
      <w:r w:rsidRPr="000E4AA6">
        <w:rPr>
          <w:rFonts w:ascii="Arial" w:hAnsi="Arial" w:cs="Arial"/>
          <w:sz w:val="18"/>
          <w:szCs w:val="18"/>
        </w:rPr>
        <w:t xml:space="preserve"> </w:t>
      </w:r>
      <w:bookmarkStart w:id="8" w:name="392"/>
      <w:r w:rsidRPr="000E4AA6">
        <w:rPr>
          <w:rFonts w:ascii="Arial" w:hAnsi="Arial" w:cs="Arial"/>
          <w:b/>
          <w:bCs/>
          <w:sz w:val="18"/>
          <w:szCs w:val="18"/>
          <w:lang w:val="es-CO" w:eastAsia="es-CO"/>
        </w:rPr>
        <w:t>ARTÍCULO 392. TRÁMITE.</w:t>
      </w:r>
      <w:bookmarkEnd w:id="8"/>
      <w:r w:rsidRPr="000E4AA6">
        <w:rPr>
          <w:rFonts w:ascii="Arial" w:hAnsi="Arial" w:cs="Arial"/>
          <w:sz w:val="18"/>
          <w:szCs w:val="18"/>
          <w:lang w:val="es-CO" w:eastAsia="es-CO"/>
        </w:rPr>
        <w:t> En firme el auto admisorio de la demanda y vencido el término de traslado de la demanda, el juez en una sola audiencia practicará las actividades previstas en los artículos </w:t>
      </w:r>
      <w:hyperlink r:id="rId1" w:anchor="372" w:history="1">
        <w:r w:rsidRPr="000E4AA6">
          <w:rPr>
            <w:rFonts w:ascii="Arial" w:hAnsi="Arial" w:cs="Arial"/>
            <w:sz w:val="18"/>
            <w:szCs w:val="18"/>
            <w:u w:val="single"/>
            <w:lang w:val="es-CO" w:eastAsia="es-CO"/>
          </w:rPr>
          <w:t>372</w:t>
        </w:r>
      </w:hyperlink>
      <w:r w:rsidRPr="000E4AA6">
        <w:rPr>
          <w:rFonts w:ascii="Arial" w:hAnsi="Arial" w:cs="Arial"/>
          <w:sz w:val="18"/>
          <w:szCs w:val="18"/>
          <w:lang w:val="es-CO" w:eastAsia="es-CO"/>
        </w:rPr>
        <w:t> y </w:t>
      </w:r>
      <w:hyperlink r:id="rId2" w:anchor="373" w:history="1">
        <w:r w:rsidRPr="000E4AA6">
          <w:rPr>
            <w:rFonts w:ascii="Arial" w:hAnsi="Arial" w:cs="Arial"/>
            <w:sz w:val="18"/>
            <w:szCs w:val="18"/>
            <w:u w:val="single"/>
            <w:lang w:val="es-CO" w:eastAsia="es-CO"/>
          </w:rPr>
          <w:t>373</w:t>
        </w:r>
      </w:hyperlink>
      <w:r w:rsidRPr="000E4AA6">
        <w:rPr>
          <w:rFonts w:ascii="Arial" w:hAnsi="Arial" w:cs="Arial"/>
          <w:sz w:val="18"/>
          <w:szCs w:val="18"/>
          <w:lang w:val="es-CO" w:eastAsia="es-CO"/>
        </w:rPr>
        <w:t> de este código, en lo pertinente. En el mismo auto en el que el juez cite a la audiencia decretará las pruebas pedidas por las partes y las que de oficio considere.</w:t>
      </w:r>
    </w:p>
    <w:p w14:paraId="2CAD20C7" w14:textId="77777777" w:rsidR="00E14319" w:rsidRPr="000E4AA6" w:rsidRDefault="00E14319" w:rsidP="00CB0A46">
      <w:pPr>
        <w:pStyle w:val="NormalWeb"/>
        <w:ind w:right="-234"/>
        <w:jc w:val="both"/>
        <w:rPr>
          <w:rFonts w:ascii="Arial" w:hAnsi="Arial" w:cs="Arial"/>
          <w:sz w:val="18"/>
          <w:szCs w:val="18"/>
          <w:lang w:val="es-CO" w:eastAsia="es-CO"/>
        </w:rPr>
      </w:pPr>
      <w:r w:rsidRPr="00E14319">
        <w:rPr>
          <w:rFonts w:ascii="Arial" w:hAnsi="Arial" w:cs="Arial"/>
          <w:sz w:val="18"/>
          <w:szCs w:val="18"/>
          <w:lang w:val="es-CO" w:eastAsia="es-CO"/>
        </w:rPr>
        <w:t>No podrán decretarse más de dos testimonios por cada hecho, ni las partes podrán formular más de diez (10) preguntas a su contraparte en los interrogatorios.</w:t>
      </w:r>
    </w:p>
    <w:p w14:paraId="5192AFFA" w14:textId="77777777" w:rsidR="00E14319" w:rsidRPr="000E4AA6" w:rsidRDefault="00E14319" w:rsidP="00CB0A46">
      <w:pPr>
        <w:pStyle w:val="NormalWeb"/>
        <w:ind w:right="-234"/>
        <w:jc w:val="both"/>
        <w:rPr>
          <w:rFonts w:ascii="Arial" w:hAnsi="Arial" w:cs="Arial"/>
          <w:sz w:val="18"/>
          <w:szCs w:val="18"/>
          <w:lang w:val="es-CO" w:eastAsia="es-CO"/>
        </w:rPr>
      </w:pPr>
      <w:r w:rsidRPr="00E14319">
        <w:rPr>
          <w:rFonts w:ascii="Arial" w:hAnsi="Arial" w:cs="Arial"/>
          <w:sz w:val="18"/>
          <w:szCs w:val="18"/>
          <w:lang w:val="es-CO" w:eastAsia="es-CO"/>
        </w:rPr>
        <w:t>Para la exhibición de los documentos que se solicite el juez librará oficio ordenando que le sean enviados en copia. Para establecer los hechos que puedan ser objeto de inspección judicial que deba realizarse fuera del juzgado, las partes deberán presentar dictamen pericial.</w:t>
      </w:r>
    </w:p>
    <w:p w14:paraId="58C6456D" w14:textId="08F7BF85" w:rsidR="00E14319" w:rsidRPr="000E4AA6" w:rsidRDefault="00E14319" w:rsidP="00CB0A46">
      <w:pPr>
        <w:pStyle w:val="NormalWeb"/>
        <w:ind w:right="-234"/>
        <w:jc w:val="both"/>
        <w:rPr>
          <w:rFonts w:ascii="Arial" w:hAnsi="Arial" w:cs="Arial"/>
          <w:b/>
          <w:sz w:val="18"/>
          <w:szCs w:val="18"/>
          <w:u w:val="single"/>
          <w:lang w:val="es-CO" w:eastAsia="es-CO"/>
        </w:rPr>
      </w:pPr>
      <w:r w:rsidRPr="00E14319">
        <w:rPr>
          <w:rFonts w:ascii="Arial" w:hAnsi="Arial" w:cs="Arial"/>
          <w:b/>
          <w:sz w:val="18"/>
          <w:szCs w:val="18"/>
          <w:u w:val="single"/>
          <w:lang w:val="es-CO" w:eastAsia="es-CO"/>
        </w:rPr>
        <w:t>En este proceso son inadmisibles la reforma de la demanda,</w:t>
      </w:r>
      <w:r w:rsidRPr="00E14319">
        <w:rPr>
          <w:rFonts w:ascii="Arial" w:hAnsi="Arial" w:cs="Arial"/>
          <w:b/>
          <w:sz w:val="18"/>
          <w:szCs w:val="18"/>
          <w:lang w:val="es-CO" w:eastAsia="es-CO"/>
        </w:rPr>
        <w:t xml:space="preserve"> </w:t>
      </w:r>
      <w:r w:rsidRPr="00E14319">
        <w:rPr>
          <w:rFonts w:ascii="Arial" w:hAnsi="Arial" w:cs="Arial"/>
          <w:sz w:val="18"/>
          <w:szCs w:val="18"/>
          <w:lang w:val="es-CO" w:eastAsia="es-CO"/>
        </w:rPr>
        <w:t>la acumulación de procesos, los incidentes, el trámite de terminación del amparo de pobreza y la suspensión de proceso por causa diferente al común acuerdo.</w:t>
      </w:r>
      <w:r w:rsidRPr="00E14319">
        <w:rPr>
          <w:rFonts w:ascii="Arial" w:hAnsi="Arial" w:cs="Arial"/>
          <w:b/>
          <w:sz w:val="18"/>
          <w:szCs w:val="18"/>
          <w:u w:val="single"/>
          <w:lang w:val="es-CO" w:eastAsia="es-CO"/>
        </w:rPr>
        <w:t xml:space="preserve"> </w:t>
      </w:r>
      <w:r w:rsidRPr="00E14319">
        <w:rPr>
          <w:rFonts w:ascii="Arial" w:hAnsi="Arial" w:cs="Arial"/>
          <w:sz w:val="18"/>
          <w:szCs w:val="18"/>
          <w:lang w:val="es-CO" w:eastAsia="es-CO"/>
        </w:rPr>
        <w:t>El amparo de pobreza y la recusación solo podrán proponerse antes de que venza el término para contestar la demanda.</w:t>
      </w:r>
      <w:r w:rsidRPr="000E4AA6">
        <w:rPr>
          <w:rFonts w:ascii="Arial" w:hAnsi="Arial" w:cs="Arial"/>
          <w:b/>
          <w:sz w:val="18"/>
          <w:szCs w:val="18"/>
          <w:u w:val="single"/>
          <w:lang w:val="es-CO" w:eastAsia="es-CO"/>
        </w:rPr>
        <w:t xml:space="preserve"> </w:t>
      </w:r>
    </w:p>
  </w:footnote>
  <w:footnote w:id="8">
    <w:p w14:paraId="11B4CF68" w14:textId="1DBB41F6" w:rsidR="000E4AA6" w:rsidRPr="00605EE8" w:rsidRDefault="000E4AA6" w:rsidP="00CB0A46">
      <w:pPr>
        <w:pStyle w:val="Textonotapie"/>
        <w:ind w:right="-234"/>
        <w:rPr>
          <w:rFonts w:ascii="Arial" w:hAnsi="Arial" w:cs="Arial"/>
          <w:sz w:val="18"/>
          <w:szCs w:val="18"/>
          <w:lang w:val="es-CO"/>
        </w:rPr>
      </w:pPr>
      <w:r w:rsidRPr="000E4AA6">
        <w:rPr>
          <w:rStyle w:val="Refdenotaalpie"/>
          <w:rFonts w:ascii="Arial" w:hAnsi="Arial" w:cs="Arial"/>
          <w:sz w:val="18"/>
          <w:szCs w:val="18"/>
        </w:rPr>
        <w:footnoteRef/>
      </w:r>
      <w:r w:rsidRPr="000E4AA6">
        <w:rPr>
          <w:rFonts w:ascii="Arial" w:hAnsi="Arial" w:cs="Arial"/>
          <w:sz w:val="18"/>
          <w:szCs w:val="18"/>
        </w:rPr>
        <w:t xml:space="preserve"> </w:t>
      </w:r>
      <w:r w:rsidRPr="00605EE8">
        <w:rPr>
          <w:rFonts w:ascii="Arial" w:hAnsi="Arial" w:cs="Arial"/>
          <w:sz w:val="18"/>
          <w:szCs w:val="18"/>
        </w:rPr>
        <w:t xml:space="preserve">Tribunal Administrativo de Boyacá, </w:t>
      </w:r>
      <w:r w:rsidR="00605EE8">
        <w:rPr>
          <w:rFonts w:ascii="Arial" w:hAnsi="Arial" w:cs="Arial"/>
          <w:sz w:val="18"/>
          <w:szCs w:val="18"/>
        </w:rPr>
        <w:t xml:space="preserve">M.P. Dr. </w:t>
      </w:r>
      <w:r w:rsidR="00605EE8" w:rsidRPr="00605EE8">
        <w:rPr>
          <w:rFonts w:ascii="Arial" w:hAnsi="Arial" w:cs="Arial"/>
          <w:sz w:val="18"/>
          <w:szCs w:val="18"/>
        </w:rPr>
        <w:t>Luis Ernesto Arciniegas Triana</w:t>
      </w:r>
      <w:r w:rsidR="00605EE8">
        <w:rPr>
          <w:rFonts w:ascii="Arial" w:hAnsi="Arial" w:cs="Arial"/>
          <w:sz w:val="18"/>
          <w:szCs w:val="18"/>
        </w:rPr>
        <w:t>,</w:t>
      </w:r>
      <w:r w:rsidRPr="00605EE8">
        <w:rPr>
          <w:rFonts w:ascii="Arial" w:hAnsi="Arial" w:cs="Arial"/>
          <w:sz w:val="18"/>
          <w:szCs w:val="18"/>
        </w:rPr>
        <w:t xml:space="preserve"> expediente Nº15001-33-33-013-2016-00060-01</w:t>
      </w:r>
      <w:r w:rsidR="00605EE8">
        <w:rPr>
          <w:rFonts w:ascii="Arial" w:hAnsi="Arial" w:cs="Arial"/>
          <w:sz w:val="18"/>
          <w:szCs w:val="18"/>
        </w:rPr>
        <w:t xml:space="preserve">. </w:t>
      </w:r>
    </w:p>
  </w:footnote>
  <w:footnote w:id="9">
    <w:p w14:paraId="110646C3" w14:textId="6DC29267" w:rsidR="00605EE8" w:rsidRPr="00605EE8" w:rsidRDefault="00605EE8" w:rsidP="00CB0A46">
      <w:pPr>
        <w:pStyle w:val="Textonotapie"/>
        <w:ind w:right="-234"/>
        <w:jc w:val="both"/>
        <w:rPr>
          <w:rFonts w:ascii="Arial" w:hAnsi="Arial" w:cs="Arial"/>
          <w:sz w:val="18"/>
          <w:szCs w:val="18"/>
        </w:rPr>
      </w:pPr>
      <w:r w:rsidRPr="00605EE8">
        <w:rPr>
          <w:rStyle w:val="Refdenotaalpie"/>
          <w:rFonts w:ascii="Arial" w:hAnsi="Arial" w:cs="Arial"/>
          <w:sz w:val="18"/>
          <w:szCs w:val="18"/>
        </w:rPr>
        <w:footnoteRef/>
      </w:r>
      <w:r w:rsidRPr="00605EE8">
        <w:rPr>
          <w:rFonts w:ascii="Arial" w:hAnsi="Arial" w:cs="Arial"/>
          <w:sz w:val="18"/>
          <w:szCs w:val="18"/>
        </w:rPr>
        <w:t xml:space="preserve"> ARTÍCULO 25. CUANTÍA. Cuando la competencia se determine por la cuantía, los procesos son de mayor, de menor y de mínima cuantía.</w:t>
      </w:r>
    </w:p>
    <w:p w14:paraId="6748CF81" w14:textId="2DF515AD" w:rsidR="00605EE8" w:rsidRPr="00605EE8" w:rsidRDefault="00605EE8" w:rsidP="00CB0A46">
      <w:pPr>
        <w:pStyle w:val="Textonotapie"/>
        <w:ind w:right="-234"/>
        <w:rPr>
          <w:lang w:val="es-CO"/>
        </w:rPr>
      </w:pPr>
      <w:r w:rsidRPr="00605EE8">
        <w:rPr>
          <w:rFonts w:ascii="Arial" w:hAnsi="Arial" w:cs="Arial"/>
          <w:sz w:val="18"/>
          <w:szCs w:val="18"/>
        </w:rPr>
        <w:t xml:space="preserve">Son de mínima cuantía cuando versen sobre pretensiones patrimoniales que no excedan el equivalente a cuarenta salarios mínimos legales mensuales vigentes (40 </w:t>
      </w:r>
      <w:proofErr w:type="spellStart"/>
      <w:r w:rsidRPr="00605EE8">
        <w:rPr>
          <w:rFonts w:ascii="Arial" w:hAnsi="Arial" w:cs="Arial"/>
          <w:sz w:val="18"/>
          <w:szCs w:val="18"/>
        </w:rPr>
        <w:t>smlmv</w:t>
      </w:r>
      <w:proofErr w:type="spellEnd"/>
      <w:proofErr w:type="gramStart"/>
      <w:r w:rsidRPr="00605EE8">
        <w:rPr>
          <w:rFonts w:ascii="Arial" w:hAnsi="Arial" w:cs="Arial"/>
          <w:sz w:val="18"/>
          <w:szCs w:val="18"/>
        </w:rPr>
        <w:t>).</w:t>
      </w:r>
      <w:r>
        <w:rPr>
          <w:rFonts w:ascii="Arial" w:hAnsi="Arial" w:cs="Arial"/>
          <w:sz w:val="18"/>
          <w:szCs w:val="18"/>
        </w:rPr>
        <w:t>(</w:t>
      </w:r>
      <w:proofErr w:type="gramEnd"/>
      <w:r>
        <w:rPr>
          <w:rFonts w:ascii="Arial" w:hAnsi="Arial" w:cs="Arial"/>
          <w:sz w:val="18"/>
          <w:szCs w:val="18"/>
        </w:rPr>
        <w:t xml:space="preserve">…). </w:t>
      </w:r>
    </w:p>
  </w:footnote>
  <w:footnote w:id="10">
    <w:p w14:paraId="2C8FA80D" w14:textId="5CD35B71" w:rsidR="009948E4" w:rsidRPr="009948E4" w:rsidRDefault="009948E4" w:rsidP="00CB0A46">
      <w:pPr>
        <w:pStyle w:val="Textonotapie"/>
        <w:ind w:right="-234"/>
        <w:jc w:val="both"/>
        <w:rPr>
          <w:lang w:val="es-CO"/>
        </w:rPr>
      </w:pPr>
      <w:r w:rsidRPr="000E4AA6">
        <w:rPr>
          <w:rStyle w:val="Refdenotaalpie"/>
          <w:rFonts w:ascii="Arial" w:hAnsi="Arial" w:cs="Arial"/>
          <w:sz w:val="18"/>
          <w:szCs w:val="18"/>
        </w:rPr>
        <w:footnoteRef/>
      </w:r>
      <w:r w:rsidRPr="000E4AA6">
        <w:rPr>
          <w:rFonts w:ascii="Arial" w:hAnsi="Arial" w:cs="Arial"/>
          <w:sz w:val="18"/>
          <w:szCs w:val="18"/>
        </w:rPr>
        <w:t xml:space="preserve"> Archivo 4ED_EXPEDIENTEDIGITAL_15001333 301420200009100A(.zip) </w:t>
      </w:r>
      <w:proofErr w:type="spellStart"/>
      <w:r w:rsidRPr="000E4AA6">
        <w:rPr>
          <w:rFonts w:ascii="Arial" w:hAnsi="Arial" w:cs="Arial"/>
          <w:sz w:val="18"/>
          <w:szCs w:val="18"/>
        </w:rPr>
        <w:t>NroActu</w:t>
      </w:r>
      <w:proofErr w:type="spellEnd"/>
      <w:r w:rsidRPr="000E4AA6">
        <w:rPr>
          <w:rFonts w:ascii="Arial" w:hAnsi="Arial" w:cs="Arial"/>
          <w:sz w:val="18"/>
          <w:szCs w:val="18"/>
        </w:rPr>
        <w:t xml:space="preserve"> a 3 – 150013333014 2020-00091 00 A - Documento </w:t>
      </w:r>
      <w:r w:rsidR="0071425F" w:rsidRPr="000E4AA6">
        <w:rPr>
          <w:rFonts w:ascii="Arial" w:hAnsi="Arial" w:cs="Arial"/>
          <w:sz w:val="18"/>
          <w:szCs w:val="18"/>
        </w:rPr>
        <w:t>012ReposicionYApelacion</w:t>
      </w:r>
      <w:r w:rsidRPr="000E4AA6">
        <w:rPr>
          <w:rFonts w:ascii="Arial" w:hAnsi="Arial" w:cs="Arial"/>
          <w:sz w:val="18"/>
          <w:szCs w:val="18"/>
        </w:rPr>
        <w:t xml:space="preserve">, expediente electrónico plataforma </w:t>
      </w:r>
      <w:proofErr w:type="spellStart"/>
      <w:r w:rsidRPr="000E4AA6">
        <w:rPr>
          <w:rFonts w:ascii="Arial" w:hAnsi="Arial" w:cs="Arial"/>
          <w:sz w:val="18"/>
          <w:szCs w:val="18"/>
        </w:rPr>
        <w:t>Samai</w:t>
      </w:r>
      <w:proofErr w:type="spellEnd"/>
      <w:r w:rsidRPr="000E4AA6">
        <w:rPr>
          <w:rFonts w:ascii="Arial" w:hAnsi="Arial" w:cs="Arial"/>
          <w:sz w:val="18"/>
          <w:szCs w:val="18"/>
        </w:rPr>
        <w:t>.</w:t>
      </w:r>
    </w:p>
  </w:footnote>
  <w:footnote w:id="11">
    <w:p w14:paraId="672DB696" w14:textId="4E53FA76" w:rsidR="0071425F" w:rsidRPr="0071425F" w:rsidRDefault="0071425F" w:rsidP="00CB0A46">
      <w:pPr>
        <w:pStyle w:val="Textonotapie"/>
        <w:ind w:right="-234"/>
        <w:jc w:val="both"/>
        <w:rPr>
          <w:lang w:val="es-CO"/>
        </w:rPr>
      </w:pPr>
      <w:r>
        <w:rPr>
          <w:rStyle w:val="Refdenotaalpie"/>
        </w:rPr>
        <w:footnoteRef/>
      </w:r>
      <w:r>
        <w:t xml:space="preserve"> </w:t>
      </w:r>
      <w:r w:rsidRPr="0071425F">
        <w:rPr>
          <w:rFonts w:ascii="Arial" w:hAnsi="Arial" w:cs="Arial"/>
          <w:sz w:val="18"/>
        </w:rPr>
        <w:t xml:space="preserve">Archivo 4ED_EXPEDIENTEDIGITAL_15001333 301420200009100A(.zip) </w:t>
      </w:r>
      <w:proofErr w:type="spellStart"/>
      <w:r w:rsidRPr="0071425F">
        <w:rPr>
          <w:rFonts w:ascii="Arial" w:hAnsi="Arial" w:cs="Arial"/>
          <w:sz w:val="18"/>
        </w:rPr>
        <w:t>NroActu</w:t>
      </w:r>
      <w:proofErr w:type="spellEnd"/>
      <w:r w:rsidRPr="0071425F">
        <w:rPr>
          <w:rFonts w:ascii="Arial" w:hAnsi="Arial" w:cs="Arial"/>
          <w:sz w:val="18"/>
        </w:rPr>
        <w:t xml:space="preserve"> a 3 – 150013333014 2020-00091 00 A - Documento 14ConcedeApelacion, expediente electrónico plataforma </w:t>
      </w:r>
      <w:proofErr w:type="spellStart"/>
      <w:r w:rsidRPr="0071425F">
        <w:rPr>
          <w:rFonts w:ascii="Arial" w:hAnsi="Arial" w:cs="Arial"/>
          <w:sz w:val="18"/>
        </w:rPr>
        <w:t>Samai</w:t>
      </w:r>
      <w:proofErr w:type="spellEnd"/>
      <w:r w:rsidRPr="0071425F">
        <w:rPr>
          <w:rFonts w:ascii="Arial" w:hAnsi="Arial" w:cs="Arial"/>
          <w:sz w:val="18"/>
        </w:rPr>
        <w:t>.</w:t>
      </w:r>
    </w:p>
  </w:footnote>
  <w:footnote w:id="12">
    <w:p w14:paraId="3242C3CC" w14:textId="0EF0531C" w:rsidR="00B64769" w:rsidRPr="006F06B8" w:rsidRDefault="00B64769" w:rsidP="00CB0A46">
      <w:pPr>
        <w:pStyle w:val="Textonotapie"/>
        <w:ind w:right="-234"/>
        <w:jc w:val="both"/>
        <w:rPr>
          <w:rFonts w:ascii="Arial" w:hAnsi="Arial" w:cs="Arial"/>
          <w:sz w:val="18"/>
          <w:szCs w:val="18"/>
          <w:lang w:val="es-CO"/>
        </w:rPr>
      </w:pPr>
      <w:r w:rsidRPr="00B64769">
        <w:rPr>
          <w:rStyle w:val="Refdenotaalpie"/>
          <w:rFonts w:ascii="Arial" w:hAnsi="Arial" w:cs="Arial"/>
          <w:sz w:val="18"/>
          <w:szCs w:val="18"/>
        </w:rPr>
        <w:footnoteRef/>
      </w:r>
      <w:r w:rsidRPr="00B64769">
        <w:rPr>
          <w:rFonts w:ascii="Arial" w:hAnsi="Arial" w:cs="Arial"/>
          <w:sz w:val="18"/>
          <w:szCs w:val="18"/>
        </w:rPr>
        <w:t xml:space="preserve"> </w:t>
      </w:r>
      <w:r w:rsidRPr="00B64769">
        <w:rPr>
          <w:rFonts w:ascii="Arial" w:hAnsi="Arial" w:cs="Arial"/>
          <w:sz w:val="18"/>
          <w:szCs w:val="18"/>
          <w:lang w:val="es-CO"/>
        </w:rPr>
        <w:t xml:space="preserve">Consejo Superior de la Judicatura – Sala Jurisdiccional Disciplina. M.P. Dra. Magda Victoria Acosta </w:t>
      </w:r>
      <w:r w:rsidRPr="006F06B8">
        <w:rPr>
          <w:rFonts w:ascii="Arial" w:hAnsi="Arial" w:cs="Arial"/>
          <w:sz w:val="18"/>
          <w:szCs w:val="18"/>
          <w:lang w:val="es-CO"/>
        </w:rPr>
        <w:t xml:space="preserve">Walteros, providencia de 5 de diciembre de 2018. Expediente NUR. 11001010200020170294800.    </w:t>
      </w:r>
    </w:p>
  </w:footnote>
  <w:footnote w:id="13">
    <w:p w14:paraId="39189BAB" w14:textId="77777777" w:rsidR="00E65CA8" w:rsidRPr="00E65CA8" w:rsidRDefault="00E65CA8" w:rsidP="00E65CA8">
      <w:pPr>
        <w:ind w:right="-234"/>
        <w:jc w:val="both"/>
        <w:rPr>
          <w:rFonts w:ascii="Arial" w:hAnsi="Arial" w:cs="Arial"/>
          <w:sz w:val="18"/>
          <w:szCs w:val="18"/>
        </w:rPr>
      </w:pPr>
      <w:r w:rsidRPr="00CB0A46">
        <w:rPr>
          <w:rStyle w:val="Refdenotaalpie"/>
          <w:rFonts w:ascii="Arial" w:hAnsi="Arial" w:cs="Arial"/>
          <w:sz w:val="18"/>
          <w:szCs w:val="18"/>
        </w:rPr>
        <w:footnoteRef/>
      </w:r>
      <w:r w:rsidRPr="00CB0A46">
        <w:rPr>
          <w:rFonts w:ascii="Arial" w:hAnsi="Arial" w:cs="Arial"/>
          <w:sz w:val="18"/>
          <w:szCs w:val="18"/>
        </w:rPr>
        <w:t xml:space="preserve"> </w:t>
      </w:r>
      <w:r w:rsidRPr="00E65CA8">
        <w:rPr>
          <w:rFonts w:ascii="Arial" w:hAnsi="Arial" w:cs="Arial"/>
          <w:i/>
          <w:sz w:val="18"/>
          <w:szCs w:val="18"/>
        </w:rPr>
        <w:t xml:space="preserve">“La competencia funcional del juez de segunda instancia está </w:t>
      </w:r>
      <w:r w:rsidRPr="00E65CA8">
        <w:rPr>
          <w:rFonts w:ascii="Arial" w:hAnsi="Arial" w:cs="Arial"/>
          <w:b/>
          <w:i/>
          <w:sz w:val="18"/>
          <w:szCs w:val="18"/>
        </w:rPr>
        <w:t>limitada por las razones de inconformidad expresadas por el recurrente en el escrito de sustentación del recurso de apelación</w:t>
      </w:r>
      <w:r w:rsidRPr="00E65CA8">
        <w:rPr>
          <w:rFonts w:ascii="Arial" w:hAnsi="Arial" w:cs="Arial"/>
          <w:i/>
          <w:sz w:val="18"/>
          <w:szCs w:val="18"/>
        </w:rPr>
        <w:t xml:space="preserve"> y no por el mero acto procesal dispositivo de parte, a través del cual manifiesta, de manera abstracta, impugnar la respectiva providencia”</w:t>
      </w:r>
      <w:r w:rsidRPr="00E65CA8">
        <w:rPr>
          <w:rFonts w:ascii="Arial" w:hAnsi="Arial" w:cs="Arial"/>
          <w:i/>
          <w:sz w:val="18"/>
          <w:szCs w:val="18"/>
          <w:vertAlign w:val="superscript"/>
        </w:rPr>
        <w:footnoteRef/>
      </w:r>
      <w:r w:rsidRPr="00E65CA8">
        <w:rPr>
          <w:rFonts w:ascii="Arial" w:hAnsi="Arial" w:cs="Arial"/>
          <w:i/>
          <w:sz w:val="18"/>
          <w:szCs w:val="18"/>
        </w:rPr>
        <w:t>.</w:t>
      </w:r>
      <w:r w:rsidRPr="00E65CA8">
        <w:rPr>
          <w:rFonts w:ascii="Arial" w:hAnsi="Arial" w:cs="Arial"/>
          <w:sz w:val="18"/>
          <w:szCs w:val="18"/>
        </w:rPr>
        <w:t xml:space="preserve"> (se destaca)</w:t>
      </w:r>
    </w:p>
    <w:p w14:paraId="0018C691" w14:textId="77777777" w:rsidR="00E65CA8" w:rsidRPr="00860823" w:rsidRDefault="00E65CA8" w:rsidP="00E65CA8">
      <w:pPr>
        <w:ind w:right="-234"/>
        <w:jc w:val="both"/>
        <w:rPr>
          <w:rFonts w:ascii="Arial" w:hAnsi="Arial" w:cs="Arial"/>
          <w:sz w:val="18"/>
          <w:szCs w:val="18"/>
        </w:rPr>
      </w:pPr>
      <w:r w:rsidRPr="00CB0A46">
        <w:rPr>
          <w:rFonts w:ascii="Arial" w:hAnsi="Arial" w:cs="Arial"/>
          <w:sz w:val="18"/>
          <w:szCs w:val="18"/>
        </w:rPr>
        <w:t xml:space="preserve">Consejo </w:t>
      </w:r>
      <w:r>
        <w:rPr>
          <w:rFonts w:ascii="Arial" w:hAnsi="Arial" w:cs="Arial"/>
          <w:sz w:val="18"/>
          <w:szCs w:val="18"/>
        </w:rPr>
        <w:t>d</w:t>
      </w:r>
      <w:r w:rsidRPr="00CB0A46">
        <w:rPr>
          <w:rFonts w:ascii="Arial" w:hAnsi="Arial" w:cs="Arial"/>
          <w:sz w:val="18"/>
          <w:szCs w:val="18"/>
        </w:rPr>
        <w:t>e Estado Sección Tercera Subsección A Consejero ponente: Carlos Alberto Zambrano Barrera Bogotá, D.C., veintiséis (26) de noviembre de dos mil catorce (2014) Radicación número: 76001-23-31-000-1998-</w:t>
      </w:r>
      <w:r w:rsidRPr="00860823">
        <w:rPr>
          <w:rFonts w:ascii="Arial" w:hAnsi="Arial" w:cs="Arial"/>
          <w:sz w:val="18"/>
          <w:szCs w:val="18"/>
        </w:rPr>
        <w:t>01093-01(31297).</w:t>
      </w:r>
    </w:p>
  </w:footnote>
  <w:footnote w:id="14">
    <w:p w14:paraId="1753E8D3" w14:textId="10BFD20C" w:rsidR="00860823" w:rsidRPr="00860823" w:rsidRDefault="00860823" w:rsidP="00860823">
      <w:pPr>
        <w:pStyle w:val="Textonotapie"/>
        <w:ind w:right="-234"/>
        <w:jc w:val="both"/>
        <w:rPr>
          <w:lang w:val="es-CO"/>
        </w:rPr>
      </w:pPr>
      <w:r w:rsidRPr="00860823">
        <w:rPr>
          <w:rStyle w:val="Refdenotaalpie"/>
          <w:rFonts w:ascii="Arial" w:hAnsi="Arial" w:cs="Arial"/>
          <w:sz w:val="18"/>
          <w:szCs w:val="18"/>
        </w:rPr>
        <w:footnoteRef/>
      </w:r>
      <w:r w:rsidRPr="00860823">
        <w:rPr>
          <w:rFonts w:ascii="Arial" w:hAnsi="Arial" w:cs="Arial"/>
          <w:sz w:val="18"/>
          <w:szCs w:val="18"/>
        </w:rPr>
        <w:t xml:space="preserve"> Consejo </w:t>
      </w:r>
      <w:r>
        <w:rPr>
          <w:rFonts w:ascii="Arial" w:hAnsi="Arial" w:cs="Arial"/>
          <w:sz w:val="18"/>
          <w:szCs w:val="18"/>
        </w:rPr>
        <w:t>d</w:t>
      </w:r>
      <w:r w:rsidRPr="00860823">
        <w:rPr>
          <w:rFonts w:ascii="Arial" w:hAnsi="Arial" w:cs="Arial"/>
          <w:sz w:val="18"/>
          <w:szCs w:val="18"/>
        </w:rPr>
        <w:t>e Estado</w:t>
      </w:r>
      <w:r>
        <w:rPr>
          <w:rFonts w:ascii="Arial" w:hAnsi="Arial" w:cs="Arial"/>
          <w:sz w:val="18"/>
          <w:szCs w:val="18"/>
        </w:rPr>
        <w:t xml:space="preserve"> </w:t>
      </w:r>
      <w:r w:rsidRPr="00860823">
        <w:rPr>
          <w:rFonts w:ascii="Arial" w:hAnsi="Arial" w:cs="Arial"/>
          <w:sz w:val="18"/>
          <w:szCs w:val="18"/>
        </w:rPr>
        <w:t>Sección Primera</w:t>
      </w:r>
      <w:r>
        <w:rPr>
          <w:rFonts w:ascii="Arial" w:hAnsi="Arial" w:cs="Arial"/>
          <w:sz w:val="18"/>
          <w:szCs w:val="18"/>
        </w:rPr>
        <w:t xml:space="preserve"> </w:t>
      </w:r>
      <w:r w:rsidRPr="00860823">
        <w:rPr>
          <w:rFonts w:ascii="Arial" w:hAnsi="Arial" w:cs="Arial"/>
          <w:sz w:val="18"/>
          <w:szCs w:val="18"/>
        </w:rPr>
        <w:t>Consejero Ponente: Roberto Augusto Serrato Valdés</w:t>
      </w:r>
      <w:r>
        <w:rPr>
          <w:rFonts w:ascii="Arial" w:hAnsi="Arial" w:cs="Arial"/>
          <w:sz w:val="18"/>
          <w:szCs w:val="18"/>
        </w:rPr>
        <w:t>. B</w:t>
      </w:r>
      <w:r w:rsidRPr="00860823">
        <w:rPr>
          <w:rFonts w:ascii="Arial" w:hAnsi="Arial" w:cs="Arial"/>
          <w:sz w:val="18"/>
          <w:szCs w:val="18"/>
        </w:rPr>
        <w:t>ogotá, D.C., veintitrés (23) de enero de dos mil veinte (2020)</w:t>
      </w:r>
      <w:r>
        <w:rPr>
          <w:rFonts w:ascii="Arial" w:hAnsi="Arial" w:cs="Arial"/>
          <w:sz w:val="18"/>
          <w:szCs w:val="18"/>
        </w:rPr>
        <w:t xml:space="preserve">. </w:t>
      </w:r>
      <w:r w:rsidRPr="00860823">
        <w:rPr>
          <w:rFonts w:ascii="Arial" w:hAnsi="Arial" w:cs="Arial"/>
          <w:sz w:val="18"/>
          <w:szCs w:val="18"/>
        </w:rPr>
        <w:t>Radicación número: 25000-23-25-000-2012-90514-01</w:t>
      </w:r>
    </w:p>
  </w:footnote>
  <w:footnote w:id="15">
    <w:p w14:paraId="5BF11243" w14:textId="2606DCC4" w:rsidR="00D7089F" w:rsidRPr="00D7089F" w:rsidRDefault="00D7089F" w:rsidP="00221849">
      <w:pPr>
        <w:pStyle w:val="Textonotapie"/>
        <w:ind w:right="-234"/>
        <w:jc w:val="both"/>
        <w:rPr>
          <w:lang w:val="es-CO"/>
        </w:rPr>
      </w:pPr>
      <w:r w:rsidRPr="00221849">
        <w:rPr>
          <w:rStyle w:val="Refdenotaalpie"/>
          <w:rFonts w:ascii="Arial" w:hAnsi="Arial" w:cs="Arial"/>
          <w:sz w:val="18"/>
        </w:rPr>
        <w:footnoteRef/>
      </w:r>
      <w:r w:rsidRPr="00221849">
        <w:rPr>
          <w:rFonts w:ascii="Arial" w:hAnsi="Arial" w:cs="Arial"/>
          <w:sz w:val="18"/>
        </w:rPr>
        <w:t xml:space="preserve"> </w:t>
      </w:r>
      <w:r w:rsidR="00221849" w:rsidRPr="00221849">
        <w:rPr>
          <w:rFonts w:ascii="Arial" w:hAnsi="Arial" w:cs="Arial"/>
          <w:sz w:val="18"/>
        </w:rPr>
        <w:t>Consejo De Estado</w:t>
      </w:r>
      <w:r w:rsidR="00221849">
        <w:rPr>
          <w:rFonts w:ascii="Arial" w:hAnsi="Arial" w:cs="Arial"/>
          <w:sz w:val="18"/>
        </w:rPr>
        <w:t xml:space="preserve"> </w:t>
      </w:r>
      <w:r w:rsidR="00221849" w:rsidRPr="00221849">
        <w:rPr>
          <w:rFonts w:ascii="Arial" w:hAnsi="Arial" w:cs="Arial"/>
          <w:sz w:val="18"/>
        </w:rPr>
        <w:t>Sección Primera</w:t>
      </w:r>
      <w:r w:rsidR="00221849">
        <w:rPr>
          <w:rFonts w:ascii="Arial" w:hAnsi="Arial" w:cs="Arial"/>
          <w:sz w:val="18"/>
        </w:rPr>
        <w:t xml:space="preserve"> </w:t>
      </w:r>
      <w:r w:rsidR="00221849" w:rsidRPr="00221849">
        <w:rPr>
          <w:rFonts w:ascii="Arial" w:hAnsi="Arial" w:cs="Arial"/>
          <w:sz w:val="18"/>
        </w:rPr>
        <w:t>Consejero ponente: Guillermo Vargas Ayala</w:t>
      </w:r>
      <w:r w:rsidR="00221849">
        <w:rPr>
          <w:rFonts w:ascii="Arial" w:hAnsi="Arial" w:cs="Arial"/>
          <w:sz w:val="18"/>
        </w:rPr>
        <w:t xml:space="preserve">. </w:t>
      </w:r>
      <w:r w:rsidR="00221849" w:rsidRPr="00221849">
        <w:rPr>
          <w:rFonts w:ascii="Arial" w:hAnsi="Arial" w:cs="Arial"/>
          <w:sz w:val="18"/>
        </w:rPr>
        <w:t>Bogotá, D.C., cuatro (4) de septiembre de dos mil catorce (2014)</w:t>
      </w:r>
      <w:r w:rsidR="00221849">
        <w:rPr>
          <w:rFonts w:ascii="Arial" w:hAnsi="Arial" w:cs="Arial"/>
          <w:sz w:val="18"/>
        </w:rPr>
        <w:t xml:space="preserve">. </w:t>
      </w:r>
      <w:r w:rsidR="00221849" w:rsidRPr="00221849">
        <w:rPr>
          <w:rFonts w:ascii="Arial" w:hAnsi="Arial" w:cs="Arial"/>
          <w:sz w:val="18"/>
        </w:rPr>
        <w:t>Radicación número: 25001-23-24-000-2007-90029-01</w:t>
      </w:r>
    </w:p>
  </w:footnote>
  <w:footnote w:id="16">
    <w:p w14:paraId="4F909F7C" w14:textId="77777777" w:rsidR="00750529" w:rsidRPr="00CB0A46" w:rsidRDefault="00750529" w:rsidP="00CB0A46">
      <w:pPr>
        <w:pStyle w:val="Textonotapie"/>
        <w:ind w:right="-234"/>
        <w:jc w:val="both"/>
        <w:rPr>
          <w:rFonts w:ascii="Arial" w:hAnsi="Arial" w:cs="Arial"/>
          <w:sz w:val="18"/>
          <w:szCs w:val="18"/>
        </w:rPr>
      </w:pPr>
      <w:r w:rsidRPr="00CB0A46">
        <w:rPr>
          <w:rStyle w:val="Refdenotaalpie"/>
          <w:rFonts w:ascii="Arial" w:hAnsi="Arial" w:cs="Arial"/>
          <w:sz w:val="18"/>
          <w:szCs w:val="18"/>
        </w:rPr>
        <w:footnoteRef/>
      </w:r>
      <w:r w:rsidRPr="00CB0A46">
        <w:rPr>
          <w:rFonts w:ascii="Arial" w:hAnsi="Arial" w:cs="Arial"/>
          <w:sz w:val="18"/>
          <w:szCs w:val="18"/>
        </w:rPr>
        <w:t xml:space="preserve"> Texto original de la Ley 1437 de 2011:</w:t>
      </w:r>
    </w:p>
    <w:p w14:paraId="0A8951D1" w14:textId="020DFE6A" w:rsidR="00750529" w:rsidRPr="00CB0A46" w:rsidRDefault="00750529" w:rsidP="00CB0A46">
      <w:pPr>
        <w:pStyle w:val="Textonotapie"/>
        <w:ind w:right="-234"/>
        <w:jc w:val="both"/>
        <w:rPr>
          <w:rFonts w:ascii="Arial" w:hAnsi="Arial" w:cs="Arial"/>
          <w:sz w:val="18"/>
          <w:szCs w:val="18"/>
          <w:lang w:val="es-CO"/>
        </w:rPr>
      </w:pPr>
      <w:r w:rsidRPr="00CB0A46">
        <w:rPr>
          <w:rFonts w:ascii="Arial" w:hAnsi="Arial" w:cs="Arial"/>
          <w:sz w:val="18"/>
          <w:szCs w:val="18"/>
        </w:rPr>
        <w:t>ARTÍCULO 299. DE LA EJECUCIÓN EN MATERIA DE CONTRATOS Y DE CONDENAS A ENTIDADES PÚBLICAS. Salvo lo establecido en este Código para el cobro coactivo a favor de las entidades públicas, en la ejecución de los títulos derivados de las actuaciones relacionadas con contratos celebrados por entidades públicas, se observarán las reglas establecidas en el Código de Procedimiento Civil para el proceso ejecutivo de mayor cuantía.</w:t>
      </w:r>
    </w:p>
  </w:footnote>
  <w:footnote w:id="17">
    <w:p w14:paraId="0F712E70" w14:textId="77777777" w:rsidR="004C1929" w:rsidRPr="00CB0A46" w:rsidRDefault="004C1929" w:rsidP="00CB0A46">
      <w:pPr>
        <w:pStyle w:val="Textonotapie"/>
        <w:ind w:right="-234"/>
        <w:jc w:val="both"/>
        <w:rPr>
          <w:rFonts w:ascii="Arial" w:hAnsi="Arial" w:cs="Arial"/>
          <w:sz w:val="18"/>
          <w:szCs w:val="18"/>
        </w:rPr>
      </w:pPr>
      <w:r w:rsidRPr="00CB0A46">
        <w:rPr>
          <w:rStyle w:val="Refdenotaalpie"/>
          <w:rFonts w:ascii="Arial" w:hAnsi="Arial" w:cs="Arial"/>
          <w:sz w:val="18"/>
          <w:szCs w:val="18"/>
        </w:rPr>
        <w:footnoteRef/>
      </w:r>
      <w:r w:rsidRPr="00CB0A46">
        <w:rPr>
          <w:rFonts w:ascii="Arial" w:hAnsi="Arial" w:cs="Arial"/>
          <w:sz w:val="18"/>
          <w:szCs w:val="18"/>
        </w:rPr>
        <w:t xml:space="preserve"> Artículo 430 del Código General del Proceso</w:t>
      </w:r>
    </w:p>
  </w:footnote>
  <w:footnote w:id="18">
    <w:p w14:paraId="040F3889" w14:textId="77777777" w:rsidR="004C1929" w:rsidRPr="00BC7D98" w:rsidRDefault="004C1929" w:rsidP="00CB0A46">
      <w:pPr>
        <w:pStyle w:val="Textonotapie"/>
        <w:ind w:right="-234"/>
        <w:jc w:val="both"/>
        <w:rPr>
          <w:rFonts w:ascii="Arial" w:hAnsi="Arial" w:cs="Arial"/>
          <w:i/>
          <w:sz w:val="16"/>
          <w:szCs w:val="16"/>
        </w:rPr>
      </w:pPr>
      <w:r w:rsidRPr="00CB0A46">
        <w:rPr>
          <w:rStyle w:val="Refdenotaalpie"/>
          <w:rFonts w:ascii="Arial" w:hAnsi="Arial" w:cs="Arial"/>
          <w:sz w:val="18"/>
          <w:szCs w:val="18"/>
        </w:rPr>
        <w:footnoteRef/>
      </w:r>
      <w:r w:rsidRPr="00CB0A46">
        <w:rPr>
          <w:rFonts w:ascii="Arial" w:hAnsi="Arial" w:cs="Arial"/>
          <w:sz w:val="18"/>
          <w:szCs w:val="18"/>
        </w:rPr>
        <w:t xml:space="preserve"> Artículo 442 </w:t>
      </w:r>
      <w:r w:rsidRPr="00CB0A46">
        <w:rPr>
          <w:rFonts w:ascii="Arial" w:hAnsi="Arial" w:cs="Arial"/>
          <w:i/>
          <w:sz w:val="18"/>
          <w:szCs w:val="18"/>
        </w:rPr>
        <w:t>ibidem</w:t>
      </w:r>
      <w:r w:rsidRPr="00BC7D98">
        <w:rPr>
          <w:rFonts w:ascii="Arial" w:hAnsi="Arial" w:cs="Arial"/>
          <w: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2D0D" w14:textId="77777777" w:rsidR="00660D9B" w:rsidRDefault="00660D9B" w:rsidP="00660D9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9921A2C" w14:textId="77777777" w:rsidR="00660D9B" w:rsidRDefault="00660D9B" w:rsidP="00660D9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CB8A7" w14:textId="77777777" w:rsidR="0085081F" w:rsidRDefault="0085081F" w:rsidP="00C734D0">
    <w:pPr>
      <w:ind w:right="51"/>
      <w:contextualSpacing/>
      <w:jc w:val="right"/>
      <w:rPr>
        <w:rFonts w:ascii="Arial" w:hAnsi="Arial" w:cs="Arial"/>
        <w:iCs/>
      </w:rPr>
    </w:pPr>
  </w:p>
  <w:p w14:paraId="5EA71C94" w14:textId="756A3535" w:rsidR="0085081F" w:rsidRDefault="006F4719" w:rsidP="00C734D0">
    <w:pPr>
      <w:ind w:right="51"/>
      <w:contextualSpacing/>
      <w:jc w:val="right"/>
      <w:rPr>
        <w:rFonts w:ascii="Arial" w:hAnsi="Arial" w:cs="Arial"/>
        <w:iCs/>
      </w:rPr>
    </w:pPr>
    <w:r w:rsidRPr="00FD063D">
      <w:rPr>
        <w:rFonts w:cs="Arial"/>
        <w:noProof/>
        <w:lang w:val="es-CO" w:eastAsia="es-CO"/>
      </w:rPr>
      <w:drawing>
        <wp:anchor distT="0" distB="0" distL="114300" distR="114300" simplePos="0" relativeHeight="251658241" behindDoc="0" locked="0" layoutInCell="1" allowOverlap="1" wp14:anchorId="4257CB09" wp14:editId="131F6A87">
          <wp:simplePos x="0" y="0"/>
          <wp:positionH relativeFrom="margin">
            <wp:align>center</wp:align>
          </wp:positionH>
          <wp:positionV relativeFrom="page">
            <wp:posOffset>399314</wp:posOffset>
          </wp:positionV>
          <wp:extent cx="710565" cy="793750"/>
          <wp:effectExtent l="0" t="0" r="0" b="635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565" cy="793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856EB" w14:textId="2EBE98F9" w:rsidR="0085081F" w:rsidRDefault="0085081F" w:rsidP="00C734D0">
    <w:pPr>
      <w:ind w:right="51"/>
      <w:contextualSpacing/>
      <w:jc w:val="right"/>
      <w:rPr>
        <w:rFonts w:ascii="Arial" w:hAnsi="Arial" w:cs="Arial"/>
        <w:iCs/>
      </w:rPr>
    </w:pPr>
  </w:p>
  <w:p w14:paraId="12F051A2" w14:textId="39EDDDFE" w:rsidR="0085081F" w:rsidRDefault="0085081F" w:rsidP="00C734D0">
    <w:pPr>
      <w:ind w:right="51"/>
      <w:contextualSpacing/>
      <w:jc w:val="right"/>
      <w:rPr>
        <w:rFonts w:ascii="Arial" w:hAnsi="Arial" w:cs="Arial"/>
        <w:iCs/>
      </w:rPr>
    </w:pPr>
  </w:p>
  <w:p w14:paraId="57B34799" w14:textId="237E4C64" w:rsidR="0085081F" w:rsidRDefault="0085081F" w:rsidP="00C734D0">
    <w:pPr>
      <w:ind w:right="51"/>
      <w:contextualSpacing/>
      <w:jc w:val="right"/>
      <w:rPr>
        <w:rFonts w:ascii="Arial" w:hAnsi="Arial" w:cs="Arial"/>
        <w:iCs/>
      </w:rPr>
    </w:pPr>
  </w:p>
  <w:p w14:paraId="3F454D01" w14:textId="60A7ED70" w:rsidR="0085081F" w:rsidRDefault="0085081F" w:rsidP="00C734D0">
    <w:pPr>
      <w:ind w:right="51"/>
      <w:contextualSpacing/>
      <w:jc w:val="right"/>
      <w:rPr>
        <w:rFonts w:ascii="Arial" w:hAnsi="Arial" w:cs="Arial"/>
        <w:iCs/>
      </w:rPr>
    </w:pPr>
  </w:p>
  <w:p w14:paraId="254CC5DE" w14:textId="0D4FA9DF" w:rsidR="0085081F" w:rsidRPr="0085081F" w:rsidRDefault="0085081F" w:rsidP="00C734D0">
    <w:pPr>
      <w:ind w:right="51"/>
      <w:contextualSpacing/>
      <w:jc w:val="right"/>
      <w:rPr>
        <w:rFonts w:ascii="Arial" w:hAnsi="Arial" w:cs="Arial"/>
        <w:iCs/>
        <w:color w:val="D9D9D9" w:themeColor="background1" w:themeShade="D9"/>
      </w:rPr>
    </w:pPr>
  </w:p>
  <w:p w14:paraId="1EB0A1DD" w14:textId="45DB5928" w:rsidR="00422785" w:rsidRPr="002703DC" w:rsidRDefault="00A16C8F" w:rsidP="0085081F">
    <w:pPr>
      <w:ind w:right="51"/>
      <w:contextualSpacing/>
      <w:jc w:val="center"/>
      <w:rPr>
        <w:rFonts w:ascii="Arial" w:hAnsi="Arial" w:cs="Arial"/>
        <w:iCs/>
        <w:color w:val="BFBFBF" w:themeColor="background1" w:themeShade="BF"/>
        <w:sz w:val="22"/>
      </w:rPr>
    </w:pPr>
    <w:r w:rsidRPr="002703DC">
      <w:rPr>
        <w:rFonts w:ascii="Arial" w:hAnsi="Arial" w:cs="Arial"/>
        <w:iCs/>
        <w:color w:val="BFBFBF" w:themeColor="background1" w:themeShade="BF"/>
        <w:sz w:val="22"/>
      </w:rPr>
      <w:t>15001-33-33-0</w:t>
    </w:r>
    <w:r w:rsidR="002703DC" w:rsidRPr="002703DC">
      <w:rPr>
        <w:rFonts w:ascii="Arial" w:hAnsi="Arial" w:cs="Arial"/>
        <w:iCs/>
        <w:color w:val="BFBFBF" w:themeColor="background1" w:themeShade="BF"/>
        <w:sz w:val="22"/>
      </w:rPr>
      <w:t>14</w:t>
    </w:r>
    <w:r w:rsidRPr="002703DC">
      <w:rPr>
        <w:rFonts w:ascii="Arial" w:hAnsi="Arial" w:cs="Arial"/>
        <w:iCs/>
        <w:color w:val="BFBFBF" w:themeColor="background1" w:themeShade="BF"/>
        <w:sz w:val="22"/>
      </w:rPr>
      <w:t>-2020-00091-01</w:t>
    </w:r>
  </w:p>
  <w:p w14:paraId="7BF07B8D" w14:textId="0C3598A8" w:rsidR="00660D9B" w:rsidRDefault="00660D9B" w:rsidP="00C734D0">
    <w:pPr>
      <w:ind w:right="51"/>
      <w:contextualSpacing/>
      <w:jc w:val="right"/>
    </w:pPr>
    <w:r>
      <w:tab/>
    </w:r>
    <w:r>
      <w:tab/>
    </w:r>
  </w:p>
  <w:p w14:paraId="53C0D897" w14:textId="77777777" w:rsidR="00660D9B" w:rsidRDefault="00660D9B" w:rsidP="00660D9B">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D72B8" w14:textId="77777777" w:rsidR="00660D9B" w:rsidRPr="00FD063D" w:rsidRDefault="00660D9B" w:rsidP="00660D9B">
    <w:pPr>
      <w:pStyle w:val="Encabezado"/>
      <w:jc w:val="center"/>
      <w:rPr>
        <w:rFonts w:cs="Arial"/>
        <w:b/>
      </w:rPr>
    </w:pPr>
    <w:r w:rsidRPr="00FD063D">
      <w:rPr>
        <w:rFonts w:cs="Arial"/>
        <w:noProof/>
        <w:lang w:val="es-CO" w:eastAsia="es-CO"/>
      </w:rPr>
      <w:drawing>
        <wp:anchor distT="0" distB="0" distL="114300" distR="114300" simplePos="0" relativeHeight="251658240" behindDoc="0" locked="0" layoutInCell="1" allowOverlap="1" wp14:anchorId="0E28FC00" wp14:editId="55583ECD">
          <wp:simplePos x="0" y="0"/>
          <wp:positionH relativeFrom="page">
            <wp:posOffset>3532505</wp:posOffset>
          </wp:positionH>
          <wp:positionV relativeFrom="page">
            <wp:posOffset>382270</wp:posOffset>
          </wp:positionV>
          <wp:extent cx="710565" cy="793750"/>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565" cy="793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76C3BB" w14:textId="77777777" w:rsidR="00660D9B" w:rsidRPr="00FD063D" w:rsidRDefault="00660D9B" w:rsidP="00660D9B">
    <w:pPr>
      <w:pStyle w:val="Encabezado"/>
      <w:jc w:val="center"/>
      <w:rPr>
        <w:rFonts w:cs="Arial"/>
        <w:b/>
      </w:rPr>
    </w:pPr>
  </w:p>
  <w:p w14:paraId="5A3F89F7" w14:textId="77777777" w:rsidR="00660D9B" w:rsidRPr="00FD063D" w:rsidRDefault="00660D9B" w:rsidP="00660D9B">
    <w:pPr>
      <w:pStyle w:val="Encabezado"/>
      <w:jc w:val="center"/>
      <w:rPr>
        <w:rFonts w:cs="Arial"/>
        <w:b/>
      </w:rPr>
    </w:pPr>
  </w:p>
  <w:p w14:paraId="53EBB0A2" w14:textId="77777777" w:rsidR="00850C9C" w:rsidRDefault="00850C9C" w:rsidP="00660D9B">
    <w:pPr>
      <w:pStyle w:val="Encabezado"/>
      <w:jc w:val="center"/>
      <w:rPr>
        <w:rFonts w:cs="Arial"/>
        <w:b/>
        <w:color w:val="808080" w:themeColor="background1" w:themeShade="80"/>
        <w:sz w:val="20"/>
      </w:rPr>
    </w:pPr>
    <w:bookmarkStart w:id="9" w:name="_Hlk68626815"/>
  </w:p>
  <w:p w14:paraId="529CA8F0" w14:textId="65D5BE20" w:rsidR="00660D9B" w:rsidRPr="006019C8" w:rsidRDefault="00660D9B" w:rsidP="00660D9B">
    <w:pPr>
      <w:pStyle w:val="Encabezado"/>
      <w:jc w:val="center"/>
      <w:rPr>
        <w:rFonts w:cs="Arial"/>
        <w:b/>
        <w:color w:val="808080" w:themeColor="background1" w:themeShade="80"/>
        <w:szCs w:val="24"/>
      </w:rPr>
    </w:pPr>
    <w:r w:rsidRPr="006019C8">
      <w:rPr>
        <w:rFonts w:cs="Arial"/>
        <w:b/>
        <w:color w:val="808080" w:themeColor="background1" w:themeShade="80"/>
        <w:szCs w:val="24"/>
      </w:rPr>
      <w:t>TRIBUNAL ADMINISTRATIVO DE BOYACÁ</w:t>
    </w:r>
  </w:p>
  <w:p w14:paraId="5F09E1B7" w14:textId="77777777" w:rsidR="00660D9B" w:rsidRPr="006019C8" w:rsidRDefault="00660D9B" w:rsidP="00660D9B">
    <w:pPr>
      <w:pStyle w:val="Encabezado"/>
      <w:jc w:val="center"/>
      <w:rPr>
        <w:rFonts w:cs="Arial"/>
        <w:color w:val="808080" w:themeColor="background1" w:themeShade="80"/>
        <w:szCs w:val="24"/>
        <w:lang w:val="es-MX"/>
      </w:rPr>
    </w:pPr>
    <w:r w:rsidRPr="006019C8">
      <w:rPr>
        <w:rFonts w:cs="Arial"/>
        <w:b/>
        <w:color w:val="808080" w:themeColor="background1" w:themeShade="80"/>
        <w:szCs w:val="24"/>
      </w:rPr>
      <w:t>DESPACHO No. 6</w:t>
    </w:r>
  </w:p>
  <w:p w14:paraId="00F287EE" w14:textId="6008D097" w:rsidR="00660D9B" w:rsidRPr="006019C8" w:rsidRDefault="00660D9B" w:rsidP="00660D9B">
    <w:pPr>
      <w:jc w:val="center"/>
      <w:rPr>
        <w:rFonts w:ascii="Arial" w:hAnsi="Arial" w:cs="Arial"/>
        <w:b/>
        <w:color w:val="808080" w:themeColor="background1" w:themeShade="80"/>
        <w:spacing w:val="-12"/>
        <w:sz w:val="24"/>
        <w:szCs w:val="24"/>
      </w:rPr>
    </w:pPr>
    <w:r w:rsidRPr="006019C8">
      <w:rPr>
        <w:rFonts w:ascii="Arial" w:hAnsi="Arial" w:cs="Arial"/>
        <w:b/>
        <w:color w:val="808080" w:themeColor="background1" w:themeShade="80"/>
        <w:spacing w:val="-12"/>
        <w:sz w:val="24"/>
        <w:szCs w:val="24"/>
      </w:rPr>
      <w:t>MAGISTRAD</w:t>
    </w:r>
    <w:r w:rsidR="0016568B">
      <w:rPr>
        <w:rFonts w:ascii="Arial" w:hAnsi="Arial" w:cs="Arial"/>
        <w:b/>
        <w:color w:val="808080" w:themeColor="background1" w:themeShade="80"/>
        <w:spacing w:val="-12"/>
        <w:sz w:val="24"/>
        <w:szCs w:val="24"/>
      </w:rPr>
      <w:t>O</w:t>
    </w:r>
    <w:r w:rsidR="009763C9" w:rsidRPr="006019C8">
      <w:rPr>
        <w:rFonts w:ascii="Arial" w:hAnsi="Arial" w:cs="Arial"/>
        <w:b/>
        <w:color w:val="808080" w:themeColor="background1" w:themeShade="80"/>
        <w:spacing w:val="-12"/>
        <w:sz w:val="24"/>
        <w:szCs w:val="24"/>
      </w:rPr>
      <w:t xml:space="preserve"> </w:t>
    </w:r>
    <w:r w:rsidR="00FD063D" w:rsidRPr="006019C8">
      <w:rPr>
        <w:rFonts w:ascii="Arial" w:hAnsi="Arial" w:cs="Arial"/>
        <w:b/>
        <w:color w:val="808080" w:themeColor="background1" w:themeShade="80"/>
        <w:spacing w:val="-12"/>
        <w:sz w:val="24"/>
        <w:szCs w:val="24"/>
      </w:rPr>
      <w:t>PONENTE</w:t>
    </w:r>
    <w:r w:rsidR="00A37AD8" w:rsidRPr="006019C8">
      <w:rPr>
        <w:rFonts w:ascii="Arial" w:hAnsi="Arial" w:cs="Arial"/>
        <w:b/>
        <w:color w:val="808080" w:themeColor="background1" w:themeShade="80"/>
        <w:spacing w:val="-12"/>
        <w:sz w:val="24"/>
        <w:szCs w:val="24"/>
      </w:rPr>
      <w:t>:</w:t>
    </w:r>
    <w:r w:rsidR="00FD063D" w:rsidRPr="006019C8">
      <w:rPr>
        <w:rFonts w:ascii="Arial" w:hAnsi="Arial" w:cs="Arial"/>
        <w:b/>
        <w:color w:val="808080" w:themeColor="background1" w:themeShade="80"/>
        <w:spacing w:val="-12"/>
        <w:sz w:val="24"/>
        <w:szCs w:val="24"/>
      </w:rPr>
      <w:t xml:space="preserve"> </w:t>
    </w:r>
    <w:r w:rsidR="0016568B" w:rsidRPr="0016568B">
      <w:rPr>
        <w:rFonts w:ascii="Arial" w:hAnsi="Arial" w:cs="Arial"/>
        <w:b/>
        <w:color w:val="808080" w:themeColor="background1" w:themeShade="80"/>
        <w:spacing w:val="-12"/>
        <w:sz w:val="24"/>
        <w:szCs w:val="24"/>
      </w:rPr>
      <w:t>DAY</w:t>
    </w:r>
    <w:r w:rsidR="000C3F42">
      <w:rPr>
        <w:rFonts w:ascii="Arial" w:hAnsi="Arial" w:cs="Arial"/>
        <w:b/>
        <w:color w:val="808080" w:themeColor="background1" w:themeShade="80"/>
        <w:spacing w:val="-12"/>
        <w:sz w:val="24"/>
        <w:szCs w:val="24"/>
      </w:rPr>
      <w:t>Á</w:t>
    </w:r>
    <w:r w:rsidR="0016568B" w:rsidRPr="0016568B">
      <w:rPr>
        <w:rFonts w:ascii="Arial" w:hAnsi="Arial" w:cs="Arial"/>
        <w:b/>
        <w:color w:val="808080" w:themeColor="background1" w:themeShade="80"/>
        <w:spacing w:val="-12"/>
        <w:sz w:val="24"/>
        <w:szCs w:val="24"/>
      </w:rPr>
      <w:t>N ALBERTO BLANCO LEGU</w:t>
    </w:r>
    <w:r w:rsidR="000C3F42">
      <w:rPr>
        <w:rFonts w:ascii="Arial" w:hAnsi="Arial" w:cs="Arial"/>
        <w:b/>
        <w:color w:val="808080" w:themeColor="background1" w:themeShade="80"/>
        <w:spacing w:val="-12"/>
        <w:sz w:val="24"/>
        <w:szCs w:val="24"/>
      </w:rPr>
      <w:t>Í</w:t>
    </w:r>
    <w:r w:rsidR="0016568B" w:rsidRPr="0016568B">
      <w:rPr>
        <w:rFonts w:ascii="Arial" w:hAnsi="Arial" w:cs="Arial"/>
        <w:b/>
        <w:color w:val="808080" w:themeColor="background1" w:themeShade="80"/>
        <w:spacing w:val="-12"/>
        <w:sz w:val="24"/>
        <w:szCs w:val="24"/>
      </w:rPr>
      <w:t>ZAMO</w:t>
    </w:r>
  </w:p>
  <w:p w14:paraId="18D71CF4" w14:textId="77777777" w:rsidR="006019C8" w:rsidRPr="00FD063D" w:rsidRDefault="006019C8" w:rsidP="00660D9B">
    <w:pPr>
      <w:jc w:val="center"/>
      <w:rPr>
        <w:rFonts w:ascii="Arial" w:hAnsi="Arial" w:cs="Arial"/>
        <w:b/>
        <w:color w:val="808080" w:themeColor="background1" w:themeShade="80"/>
        <w:spacing w:val="-12"/>
      </w:rPr>
    </w:pPr>
  </w:p>
  <w:bookmarkEnd w:id="9"/>
  <w:p w14:paraId="79534D66" w14:textId="77777777" w:rsidR="0071286A" w:rsidRPr="00FD063D" w:rsidRDefault="0071286A" w:rsidP="00660D9B">
    <w:pPr>
      <w:jc w:val="center"/>
      <w:rPr>
        <w:rFonts w:ascii="Arial" w:hAnsi="Arial" w:cs="Arial"/>
        <w:b/>
        <w:color w:val="808080" w:themeColor="background1" w:themeShade="80"/>
        <w:spacing w:val="-12"/>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598E"/>
    <w:multiLevelType w:val="hybridMultilevel"/>
    <w:tmpl w:val="02C0FEEA"/>
    <w:lvl w:ilvl="0" w:tplc="A4781574">
      <w:start w:val="1"/>
      <w:numFmt w:val="upperRoman"/>
      <w:lvlText w:val="%1."/>
      <w:lvlJc w:val="left"/>
      <w:pPr>
        <w:ind w:left="1080" w:hanging="720"/>
      </w:pPr>
      <w:rPr>
        <w:rFonts w:hint="default"/>
        <w:color w:val="auto"/>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0B544C"/>
    <w:multiLevelType w:val="hybridMultilevel"/>
    <w:tmpl w:val="ADDEA976"/>
    <w:lvl w:ilvl="0" w:tplc="903018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C36817"/>
    <w:multiLevelType w:val="hybridMultilevel"/>
    <w:tmpl w:val="4B28B504"/>
    <w:lvl w:ilvl="0" w:tplc="28942734">
      <w:start w:val="3"/>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15:restartNumberingAfterBreak="0">
    <w:nsid w:val="1B594981"/>
    <w:multiLevelType w:val="hybridMultilevel"/>
    <w:tmpl w:val="EE46AF90"/>
    <w:lvl w:ilvl="0" w:tplc="92E04362">
      <w:start w:val="1"/>
      <w:numFmt w:val="ordinalText"/>
      <w:lvlText w:val="%1:"/>
      <w:lvlJc w:val="left"/>
      <w:pPr>
        <w:ind w:left="720" w:hanging="360"/>
      </w:pPr>
      <w:rPr>
        <w:rFonts w:ascii="Arial" w:hAnsi="Arial" w:cs="Arial" w:hint="default"/>
        <w:b/>
        <w:i w:val="0"/>
        <w:caps/>
        <w:color w:val="000000" w:themeColor="text1"/>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934781"/>
    <w:multiLevelType w:val="multilevel"/>
    <w:tmpl w:val="6D9A0B72"/>
    <w:lvl w:ilvl="0">
      <w:start w:val="1"/>
      <w:numFmt w:val="decimal"/>
      <w:lvlText w:val="%1."/>
      <w:lvlJc w:val="left"/>
      <w:pPr>
        <w:ind w:left="720" w:hanging="360"/>
      </w:pPr>
      <w:rPr>
        <w:rFonts w:eastAsia="Arial"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0EF372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010717"/>
    <w:multiLevelType w:val="multilevel"/>
    <w:tmpl w:val="6CB26B7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8A1657C"/>
    <w:multiLevelType w:val="hybridMultilevel"/>
    <w:tmpl w:val="8842EDEA"/>
    <w:lvl w:ilvl="0" w:tplc="240A0017">
      <w:start w:val="5"/>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A274A27"/>
    <w:multiLevelType w:val="hybridMultilevel"/>
    <w:tmpl w:val="D540A57A"/>
    <w:lvl w:ilvl="0" w:tplc="4218FC0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140338"/>
    <w:multiLevelType w:val="hybridMultilevel"/>
    <w:tmpl w:val="A9720B2C"/>
    <w:lvl w:ilvl="0" w:tplc="240A000B">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7C11BC8"/>
    <w:multiLevelType w:val="hybridMultilevel"/>
    <w:tmpl w:val="4B0680B6"/>
    <w:lvl w:ilvl="0" w:tplc="FCD89F2E">
      <w:start w:val="1"/>
      <w:numFmt w:val="ordinalText"/>
      <w:lvlText w:val="%1:"/>
      <w:lvlJc w:val="left"/>
      <w:pPr>
        <w:ind w:left="720" w:hanging="360"/>
      </w:pPr>
      <w:rPr>
        <w:rFonts w:ascii="Arial" w:hAnsi="Arial" w:hint="default"/>
        <w:b/>
        <w:i w:val="0"/>
        <w:color w:val="000000" w:themeColor="text1"/>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B4C7F70"/>
    <w:multiLevelType w:val="hybridMultilevel"/>
    <w:tmpl w:val="2C9A86E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BF86BCD"/>
    <w:multiLevelType w:val="hybridMultilevel"/>
    <w:tmpl w:val="B2EEECE6"/>
    <w:lvl w:ilvl="0" w:tplc="A684BC34">
      <w:numFmt w:val="bullet"/>
      <w:lvlText w:val="-"/>
      <w:lvlJc w:val="left"/>
      <w:pPr>
        <w:ind w:left="720" w:hanging="360"/>
      </w:pPr>
      <w:rPr>
        <w:rFonts w:ascii="Arno pro" w:eastAsia="Times New Roman" w:hAnsi="Arno pro"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5FD3DE3"/>
    <w:multiLevelType w:val="hybridMultilevel"/>
    <w:tmpl w:val="76064166"/>
    <w:lvl w:ilvl="0" w:tplc="D29A0DDE">
      <w:numFmt w:val="bullet"/>
      <w:lvlText w:val="-"/>
      <w:lvlJc w:val="left"/>
      <w:pPr>
        <w:ind w:left="720" w:hanging="360"/>
      </w:pPr>
      <w:rPr>
        <w:rFonts w:ascii="Arno pro" w:eastAsia="Times New Roman" w:hAnsi="Arno pro"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7665CB4"/>
    <w:multiLevelType w:val="multilevel"/>
    <w:tmpl w:val="8B8E5666"/>
    <w:lvl w:ilvl="0">
      <w:start w:val="1"/>
      <w:numFmt w:val="decimal"/>
      <w:lvlText w:val="%1."/>
      <w:lvlJc w:val="left"/>
      <w:pPr>
        <w:ind w:left="720" w:hanging="360"/>
      </w:pPr>
      <w:rPr>
        <w:rFonts w:ascii="Arial" w:hAnsi="Arial" w:cs="Arial" w:hint="default"/>
        <w:b w:val="0"/>
        <w:i w:val="0"/>
        <w:sz w:val="24"/>
      </w:rPr>
    </w:lvl>
    <w:lvl w:ilvl="1">
      <w:start w:val="1"/>
      <w:numFmt w:val="decimal"/>
      <w:isLgl/>
      <w:lvlText w:val="%1.%2."/>
      <w:lvlJc w:val="left"/>
      <w:pPr>
        <w:ind w:left="720" w:hanging="720"/>
      </w:pPr>
      <w:rPr>
        <w:b/>
        <w:i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15:restartNumberingAfterBreak="0">
    <w:nsid w:val="567166C8"/>
    <w:multiLevelType w:val="hybridMultilevel"/>
    <w:tmpl w:val="6352A760"/>
    <w:lvl w:ilvl="0" w:tplc="B11612B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8975B1C"/>
    <w:multiLevelType w:val="hybridMultilevel"/>
    <w:tmpl w:val="AD02D89E"/>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A646AFA"/>
    <w:multiLevelType w:val="hybridMultilevel"/>
    <w:tmpl w:val="661226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38BEAA8"/>
    <w:multiLevelType w:val="hybridMultilevel"/>
    <w:tmpl w:val="61C89DF8"/>
    <w:lvl w:ilvl="0" w:tplc="A6020C20">
      <w:start w:val="1"/>
      <w:numFmt w:val="decimal"/>
      <w:lvlText w:val="%1."/>
      <w:lvlJc w:val="left"/>
      <w:pPr>
        <w:ind w:left="720" w:hanging="360"/>
      </w:pPr>
    </w:lvl>
    <w:lvl w:ilvl="1" w:tplc="7164950A">
      <w:start w:val="1"/>
      <w:numFmt w:val="lowerLetter"/>
      <w:lvlText w:val="%2."/>
      <w:lvlJc w:val="left"/>
      <w:pPr>
        <w:ind w:left="1440" w:hanging="360"/>
      </w:pPr>
    </w:lvl>
    <w:lvl w:ilvl="2" w:tplc="353A773A">
      <w:start w:val="1"/>
      <w:numFmt w:val="lowerRoman"/>
      <w:lvlText w:val="%3."/>
      <w:lvlJc w:val="right"/>
      <w:pPr>
        <w:ind w:left="2160" w:hanging="180"/>
      </w:pPr>
    </w:lvl>
    <w:lvl w:ilvl="3" w:tplc="4C108A4A">
      <w:start w:val="1"/>
      <w:numFmt w:val="decimal"/>
      <w:lvlText w:val="%4."/>
      <w:lvlJc w:val="left"/>
      <w:pPr>
        <w:ind w:left="2880" w:hanging="360"/>
      </w:pPr>
    </w:lvl>
    <w:lvl w:ilvl="4" w:tplc="D662E824">
      <w:start w:val="1"/>
      <w:numFmt w:val="lowerLetter"/>
      <w:lvlText w:val="%5."/>
      <w:lvlJc w:val="left"/>
      <w:pPr>
        <w:ind w:left="3600" w:hanging="360"/>
      </w:pPr>
    </w:lvl>
    <w:lvl w:ilvl="5" w:tplc="61C6827A">
      <w:start w:val="1"/>
      <w:numFmt w:val="lowerRoman"/>
      <w:lvlText w:val="%6."/>
      <w:lvlJc w:val="right"/>
      <w:pPr>
        <w:ind w:left="4320" w:hanging="180"/>
      </w:pPr>
    </w:lvl>
    <w:lvl w:ilvl="6" w:tplc="0CA6ADC2">
      <w:start w:val="1"/>
      <w:numFmt w:val="decimal"/>
      <w:lvlText w:val="%7."/>
      <w:lvlJc w:val="left"/>
      <w:pPr>
        <w:ind w:left="5040" w:hanging="360"/>
      </w:pPr>
    </w:lvl>
    <w:lvl w:ilvl="7" w:tplc="7D6ADAA2">
      <w:start w:val="1"/>
      <w:numFmt w:val="lowerLetter"/>
      <w:lvlText w:val="%8."/>
      <w:lvlJc w:val="left"/>
      <w:pPr>
        <w:ind w:left="5760" w:hanging="360"/>
      </w:pPr>
    </w:lvl>
    <w:lvl w:ilvl="8" w:tplc="07F6CFDC">
      <w:start w:val="1"/>
      <w:numFmt w:val="lowerRoman"/>
      <w:lvlText w:val="%9."/>
      <w:lvlJc w:val="right"/>
      <w:pPr>
        <w:ind w:left="6480" w:hanging="180"/>
      </w:pPr>
    </w:lvl>
  </w:abstractNum>
  <w:abstractNum w:abstractNumId="19" w15:restartNumberingAfterBreak="0">
    <w:nsid w:val="646D74A2"/>
    <w:multiLevelType w:val="hybridMultilevel"/>
    <w:tmpl w:val="3D7C2BD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5AA7AE8"/>
    <w:multiLevelType w:val="hybridMultilevel"/>
    <w:tmpl w:val="6352A760"/>
    <w:lvl w:ilvl="0" w:tplc="B11612B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66C0B3A"/>
    <w:multiLevelType w:val="hybridMultilevel"/>
    <w:tmpl w:val="ADDEA976"/>
    <w:lvl w:ilvl="0" w:tplc="903018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05B270B"/>
    <w:multiLevelType w:val="hybridMultilevel"/>
    <w:tmpl w:val="341698E0"/>
    <w:lvl w:ilvl="0" w:tplc="FCD89F2E">
      <w:start w:val="1"/>
      <w:numFmt w:val="ordinalText"/>
      <w:lvlText w:val="%1:"/>
      <w:lvlJc w:val="left"/>
      <w:pPr>
        <w:ind w:left="720" w:hanging="360"/>
      </w:pPr>
      <w:rPr>
        <w:rFonts w:ascii="Arial" w:hAnsi="Arial" w:hint="default"/>
        <w:b/>
        <w:i w:val="0"/>
        <w:color w:val="000000" w:themeColor="text1"/>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31423EE"/>
    <w:multiLevelType w:val="hybridMultilevel"/>
    <w:tmpl w:val="ADDEA976"/>
    <w:lvl w:ilvl="0" w:tplc="903018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884277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C824811"/>
    <w:multiLevelType w:val="hybridMultilevel"/>
    <w:tmpl w:val="C5C245E8"/>
    <w:lvl w:ilvl="0" w:tplc="901C04C2">
      <w:start w:val="1"/>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DA75613"/>
    <w:multiLevelType w:val="hybridMultilevel"/>
    <w:tmpl w:val="408C9CCC"/>
    <w:lvl w:ilvl="0" w:tplc="E7DC6204">
      <w:start w:val="1"/>
      <w:numFmt w:val="decimal"/>
      <w:lvlText w:val="%1."/>
      <w:lvlJc w:val="left"/>
      <w:pPr>
        <w:ind w:left="720" w:hanging="360"/>
      </w:pPr>
      <w:rPr>
        <w:rFonts w:ascii="Arial" w:hAnsi="Arial" w:cs="Arial" w:hint="default"/>
        <w:sz w:val="24"/>
        <w:szCs w:val="24"/>
      </w:rPr>
    </w:lvl>
    <w:lvl w:ilvl="1" w:tplc="DD443516">
      <w:start w:val="1"/>
      <w:numFmt w:val="lowerLetter"/>
      <w:lvlText w:val="%2."/>
      <w:lvlJc w:val="left"/>
      <w:pPr>
        <w:ind w:left="1440" w:hanging="360"/>
      </w:pPr>
    </w:lvl>
    <w:lvl w:ilvl="2" w:tplc="D52ED042">
      <w:start w:val="1"/>
      <w:numFmt w:val="lowerRoman"/>
      <w:lvlText w:val="%3."/>
      <w:lvlJc w:val="right"/>
      <w:pPr>
        <w:ind w:left="2160" w:hanging="180"/>
      </w:pPr>
    </w:lvl>
    <w:lvl w:ilvl="3" w:tplc="44247D54">
      <w:start w:val="1"/>
      <w:numFmt w:val="decimal"/>
      <w:lvlText w:val="%4."/>
      <w:lvlJc w:val="left"/>
      <w:pPr>
        <w:ind w:left="2880" w:hanging="360"/>
      </w:pPr>
      <w:rPr>
        <w:rFonts w:ascii="Arial" w:hAnsi="Arial" w:cs="Arial" w:hint="default"/>
        <w:sz w:val="24"/>
        <w:szCs w:val="24"/>
      </w:rPr>
    </w:lvl>
    <w:lvl w:ilvl="4" w:tplc="A72821EE">
      <w:start w:val="1"/>
      <w:numFmt w:val="lowerLetter"/>
      <w:lvlText w:val="%5."/>
      <w:lvlJc w:val="left"/>
      <w:pPr>
        <w:ind w:left="3600" w:hanging="360"/>
      </w:pPr>
    </w:lvl>
    <w:lvl w:ilvl="5" w:tplc="2A9C0F1E">
      <w:start w:val="1"/>
      <w:numFmt w:val="lowerRoman"/>
      <w:lvlText w:val="%6."/>
      <w:lvlJc w:val="right"/>
      <w:pPr>
        <w:ind w:left="4320" w:hanging="180"/>
      </w:pPr>
    </w:lvl>
    <w:lvl w:ilvl="6" w:tplc="44BC2ECC">
      <w:start w:val="1"/>
      <w:numFmt w:val="decimal"/>
      <w:lvlText w:val="%7."/>
      <w:lvlJc w:val="left"/>
      <w:pPr>
        <w:ind w:left="5040" w:hanging="360"/>
      </w:pPr>
    </w:lvl>
    <w:lvl w:ilvl="7" w:tplc="994EBC40">
      <w:start w:val="1"/>
      <w:numFmt w:val="lowerLetter"/>
      <w:lvlText w:val="%8."/>
      <w:lvlJc w:val="left"/>
      <w:pPr>
        <w:ind w:left="5760" w:hanging="360"/>
      </w:pPr>
    </w:lvl>
    <w:lvl w:ilvl="8" w:tplc="982AF508">
      <w:start w:val="1"/>
      <w:numFmt w:val="lowerRoman"/>
      <w:lvlText w:val="%9."/>
      <w:lvlJc w:val="right"/>
      <w:pPr>
        <w:ind w:left="6480" w:hanging="180"/>
      </w:pPr>
    </w:lvl>
  </w:abstractNum>
  <w:num w:numId="1">
    <w:abstractNumId w:val="18"/>
  </w:num>
  <w:num w:numId="2">
    <w:abstractNumId w:val="3"/>
  </w:num>
  <w:num w:numId="3">
    <w:abstractNumId w:val="5"/>
  </w:num>
  <w:num w:numId="4">
    <w:abstractNumId w:val="24"/>
  </w:num>
  <w:num w:numId="5">
    <w:abstractNumId w:val="6"/>
  </w:num>
  <w:num w:numId="6">
    <w:abstractNumId w:val="12"/>
  </w:num>
  <w:num w:numId="7">
    <w:abstractNumId w:val="13"/>
  </w:num>
  <w:num w:numId="8">
    <w:abstractNumId w:val="7"/>
  </w:num>
  <w:num w:numId="9">
    <w:abstractNumId w:val="23"/>
  </w:num>
  <w:num w:numId="10">
    <w:abstractNumId w:val="22"/>
  </w:num>
  <w:num w:numId="11">
    <w:abstractNumId w:val="10"/>
  </w:num>
  <w:num w:numId="12">
    <w:abstractNumId w:val="17"/>
  </w:num>
  <w:num w:numId="13">
    <w:abstractNumId w:val="15"/>
  </w:num>
  <w:num w:numId="14">
    <w:abstractNumId w:val="19"/>
  </w:num>
  <w:num w:numId="15">
    <w:abstractNumId w:val="20"/>
  </w:num>
  <w:num w:numId="16">
    <w:abstractNumId w:val="1"/>
  </w:num>
  <w:num w:numId="17">
    <w:abstractNumId w:val="21"/>
  </w:num>
  <w:num w:numId="18">
    <w:abstractNumId w:val="2"/>
  </w:num>
  <w:num w:numId="19">
    <w:abstractNumId w:val="9"/>
  </w:num>
  <w:num w:numId="20">
    <w:abstractNumId w:val="8"/>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5"/>
  </w:num>
  <w:num w:numId="25">
    <w:abstractNumId w:val="0"/>
  </w:num>
  <w:num w:numId="26">
    <w:abstractNumId w:val="1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CF"/>
    <w:rsid w:val="00002244"/>
    <w:rsid w:val="00002459"/>
    <w:rsid w:val="000045B0"/>
    <w:rsid w:val="00007E04"/>
    <w:rsid w:val="00010321"/>
    <w:rsid w:val="000116AB"/>
    <w:rsid w:val="00011F07"/>
    <w:rsid w:val="000139B8"/>
    <w:rsid w:val="00015772"/>
    <w:rsid w:val="000160E4"/>
    <w:rsid w:val="00017BEA"/>
    <w:rsid w:val="00020982"/>
    <w:rsid w:val="000248C0"/>
    <w:rsid w:val="00027432"/>
    <w:rsid w:val="000276ED"/>
    <w:rsid w:val="00030605"/>
    <w:rsid w:val="00030B8C"/>
    <w:rsid w:val="00031B10"/>
    <w:rsid w:val="00037F93"/>
    <w:rsid w:val="00041F73"/>
    <w:rsid w:val="00044334"/>
    <w:rsid w:val="00044EEE"/>
    <w:rsid w:val="0004649E"/>
    <w:rsid w:val="00052294"/>
    <w:rsid w:val="00056846"/>
    <w:rsid w:val="00061312"/>
    <w:rsid w:val="000634BE"/>
    <w:rsid w:val="000635BE"/>
    <w:rsid w:val="000647F5"/>
    <w:rsid w:val="000648C6"/>
    <w:rsid w:val="00070889"/>
    <w:rsid w:val="00072184"/>
    <w:rsid w:val="000740CF"/>
    <w:rsid w:val="0008195C"/>
    <w:rsid w:val="00086B6B"/>
    <w:rsid w:val="00092951"/>
    <w:rsid w:val="00095948"/>
    <w:rsid w:val="000969CB"/>
    <w:rsid w:val="000A3201"/>
    <w:rsid w:val="000A3876"/>
    <w:rsid w:val="000A426C"/>
    <w:rsid w:val="000A4549"/>
    <w:rsid w:val="000B1E1F"/>
    <w:rsid w:val="000B2B67"/>
    <w:rsid w:val="000B5446"/>
    <w:rsid w:val="000B7705"/>
    <w:rsid w:val="000C1522"/>
    <w:rsid w:val="000C25B3"/>
    <w:rsid w:val="000C2BF4"/>
    <w:rsid w:val="000C3CF7"/>
    <w:rsid w:val="000C3F42"/>
    <w:rsid w:val="000C5C3C"/>
    <w:rsid w:val="000D0D91"/>
    <w:rsid w:val="000D3595"/>
    <w:rsid w:val="000D3EEB"/>
    <w:rsid w:val="000D3F15"/>
    <w:rsid w:val="000D54B1"/>
    <w:rsid w:val="000D5C8D"/>
    <w:rsid w:val="000D63E1"/>
    <w:rsid w:val="000E2291"/>
    <w:rsid w:val="000E4AA6"/>
    <w:rsid w:val="000E5CE4"/>
    <w:rsid w:val="000F2F3A"/>
    <w:rsid w:val="000F3727"/>
    <w:rsid w:val="00102CA9"/>
    <w:rsid w:val="00103211"/>
    <w:rsid w:val="00106339"/>
    <w:rsid w:val="00106AC0"/>
    <w:rsid w:val="00110250"/>
    <w:rsid w:val="001118E3"/>
    <w:rsid w:val="00113A00"/>
    <w:rsid w:val="00113B93"/>
    <w:rsid w:val="0011565D"/>
    <w:rsid w:val="001246E4"/>
    <w:rsid w:val="00126822"/>
    <w:rsid w:val="00131FA6"/>
    <w:rsid w:val="00137FB0"/>
    <w:rsid w:val="00142022"/>
    <w:rsid w:val="001455E5"/>
    <w:rsid w:val="00145F0F"/>
    <w:rsid w:val="001500E1"/>
    <w:rsid w:val="00156360"/>
    <w:rsid w:val="00156C5D"/>
    <w:rsid w:val="00157678"/>
    <w:rsid w:val="00160350"/>
    <w:rsid w:val="0016108D"/>
    <w:rsid w:val="00161E5C"/>
    <w:rsid w:val="0016302D"/>
    <w:rsid w:val="00164664"/>
    <w:rsid w:val="001650F5"/>
    <w:rsid w:val="0016568B"/>
    <w:rsid w:val="001667A0"/>
    <w:rsid w:val="00170D76"/>
    <w:rsid w:val="00172384"/>
    <w:rsid w:val="00172593"/>
    <w:rsid w:val="0017259F"/>
    <w:rsid w:val="00175131"/>
    <w:rsid w:val="0017574F"/>
    <w:rsid w:val="0017665A"/>
    <w:rsid w:val="00176D51"/>
    <w:rsid w:val="00184882"/>
    <w:rsid w:val="001856AD"/>
    <w:rsid w:val="00185E85"/>
    <w:rsid w:val="00187352"/>
    <w:rsid w:val="0019061F"/>
    <w:rsid w:val="00190645"/>
    <w:rsid w:val="001908FF"/>
    <w:rsid w:val="00191249"/>
    <w:rsid w:val="001915AF"/>
    <w:rsid w:val="001929D8"/>
    <w:rsid w:val="00193FDD"/>
    <w:rsid w:val="00194981"/>
    <w:rsid w:val="001958CD"/>
    <w:rsid w:val="00195A75"/>
    <w:rsid w:val="001968D3"/>
    <w:rsid w:val="00196DD2"/>
    <w:rsid w:val="001A0519"/>
    <w:rsid w:val="001A337B"/>
    <w:rsid w:val="001A3406"/>
    <w:rsid w:val="001A5C17"/>
    <w:rsid w:val="001A70C3"/>
    <w:rsid w:val="001B16BB"/>
    <w:rsid w:val="001B304E"/>
    <w:rsid w:val="001B5901"/>
    <w:rsid w:val="001B6E83"/>
    <w:rsid w:val="001C1577"/>
    <w:rsid w:val="001C1B06"/>
    <w:rsid w:val="001C1C9C"/>
    <w:rsid w:val="001C5CAC"/>
    <w:rsid w:val="001C659B"/>
    <w:rsid w:val="001C6C80"/>
    <w:rsid w:val="001D1287"/>
    <w:rsid w:val="001D1692"/>
    <w:rsid w:val="001D4773"/>
    <w:rsid w:val="001E1125"/>
    <w:rsid w:val="001E1B9F"/>
    <w:rsid w:val="001E2D3A"/>
    <w:rsid w:val="001E40AB"/>
    <w:rsid w:val="001E5720"/>
    <w:rsid w:val="001E678F"/>
    <w:rsid w:val="001E693B"/>
    <w:rsid w:val="001E7367"/>
    <w:rsid w:val="001F0A00"/>
    <w:rsid w:val="001F1558"/>
    <w:rsid w:val="001F34C5"/>
    <w:rsid w:val="001F3527"/>
    <w:rsid w:val="00200F3D"/>
    <w:rsid w:val="0020196B"/>
    <w:rsid w:val="002040A9"/>
    <w:rsid w:val="00205971"/>
    <w:rsid w:val="00206851"/>
    <w:rsid w:val="002129B2"/>
    <w:rsid w:val="00212CD3"/>
    <w:rsid w:val="0021391D"/>
    <w:rsid w:val="002174EE"/>
    <w:rsid w:val="00221849"/>
    <w:rsid w:val="00221D41"/>
    <w:rsid w:val="00221EEA"/>
    <w:rsid w:val="002230BF"/>
    <w:rsid w:val="00223699"/>
    <w:rsid w:val="00224C44"/>
    <w:rsid w:val="00230383"/>
    <w:rsid w:val="0023074B"/>
    <w:rsid w:val="00231BC3"/>
    <w:rsid w:val="00233298"/>
    <w:rsid w:val="0023411A"/>
    <w:rsid w:val="0023658E"/>
    <w:rsid w:val="002379CB"/>
    <w:rsid w:val="00240366"/>
    <w:rsid w:val="00240916"/>
    <w:rsid w:val="00240F9A"/>
    <w:rsid w:val="00241A2E"/>
    <w:rsid w:val="00246531"/>
    <w:rsid w:val="00252AC7"/>
    <w:rsid w:val="00254031"/>
    <w:rsid w:val="00256D41"/>
    <w:rsid w:val="00257450"/>
    <w:rsid w:val="002615B0"/>
    <w:rsid w:val="00262176"/>
    <w:rsid w:val="00264E0A"/>
    <w:rsid w:val="00266472"/>
    <w:rsid w:val="002664F7"/>
    <w:rsid w:val="002703DC"/>
    <w:rsid w:val="00275BF7"/>
    <w:rsid w:val="00276531"/>
    <w:rsid w:val="00276B88"/>
    <w:rsid w:val="00287770"/>
    <w:rsid w:val="00287797"/>
    <w:rsid w:val="002879F3"/>
    <w:rsid w:val="00291C45"/>
    <w:rsid w:val="00296243"/>
    <w:rsid w:val="00296C7F"/>
    <w:rsid w:val="002A0970"/>
    <w:rsid w:val="002A258E"/>
    <w:rsid w:val="002A386A"/>
    <w:rsid w:val="002A4067"/>
    <w:rsid w:val="002A458F"/>
    <w:rsid w:val="002A5F4A"/>
    <w:rsid w:val="002A6A47"/>
    <w:rsid w:val="002A6E3A"/>
    <w:rsid w:val="002B091C"/>
    <w:rsid w:val="002B3190"/>
    <w:rsid w:val="002B4068"/>
    <w:rsid w:val="002B486A"/>
    <w:rsid w:val="002B69BF"/>
    <w:rsid w:val="002B7CF3"/>
    <w:rsid w:val="002C1C4C"/>
    <w:rsid w:val="002C2594"/>
    <w:rsid w:val="002C5820"/>
    <w:rsid w:val="002D0424"/>
    <w:rsid w:val="002D3400"/>
    <w:rsid w:val="002D3AAD"/>
    <w:rsid w:val="002D48EA"/>
    <w:rsid w:val="002D4E3A"/>
    <w:rsid w:val="002D57E0"/>
    <w:rsid w:val="002D5D47"/>
    <w:rsid w:val="002E2C44"/>
    <w:rsid w:val="002E34B9"/>
    <w:rsid w:val="002E509F"/>
    <w:rsid w:val="002E51E3"/>
    <w:rsid w:val="002E6F69"/>
    <w:rsid w:val="002F02EF"/>
    <w:rsid w:val="002F0383"/>
    <w:rsid w:val="002F3F99"/>
    <w:rsid w:val="002F40E9"/>
    <w:rsid w:val="002F4BC0"/>
    <w:rsid w:val="002F51A7"/>
    <w:rsid w:val="002F7166"/>
    <w:rsid w:val="00300723"/>
    <w:rsid w:val="0030132D"/>
    <w:rsid w:val="00301D84"/>
    <w:rsid w:val="0030491E"/>
    <w:rsid w:val="00310363"/>
    <w:rsid w:val="00310C53"/>
    <w:rsid w:val="00312D49"/>
    <w:rsid w:val="0031394E"/>
    <w:rsid w:val="00314762"/>
    <w:rsid w:val="00315BF1"/>
    <w:rsid w:val="0032140B"/>
    <w:rsid w:val="00322D12"/>
    <w:rsid w:val="00323724"/>
    <w:rsid w:val="003310C8"/>
    <w:rsid w:val="003317DA"/>
    <w:rsid w:val="00332ECE"/>
    <w:rsid w:val="003330E2"/>
    <w:rsid w:val="003335ED"/>
    <w:rsid w:val="003360E0"/>
    <w:rsid w:val="00341409"/>
    <w:rsid w:val="00342573"/>
    <w:rsid w:val="00342F19"/>
    <w:rsid w:val="003475C9"/>
    <w:rsid w:val="003550DE"/>
    <w:rsid w:val="00355BA1"/>
    <w:rsid w:val="00357C64"/>
    <w:rsid w:val="003603E4"/>
    <w:rsid w:val="0036072B"/>
    <w:rsid w:val="00360DDC"/>
    <w:rsid w:val="00365039"/>
    <w:rsid w:val="00365AFF"/>
    <w:rsid w:val="00371BC9"/>
    <w:rsid w:val="00371F1C"/>
    <w:rsid w:val="00372101"/>
    <w:rsid w:val="00380199"/>
    <w:rsid w:val="00380957"/>
    <w:rsid w:val="0038207F"/>
    <w:rsid w:val="00383487"/>
    <w:rsid w:val="003846E5"/>
    <w:rsid w:val="00385CA0"/>
    <w:rsid w:val="003867E8"/>
    <w:rsid w:val="00386E25"/>
    <w:rsid w:val="00393593"/>
    <w:rsid w:val="003A02E2"/>
    <w:rsid w:val="003A09B6"/>
    <w:rsid w:val="003A132B"/>
    <w:rsid w:val="003A421B"/>
    <w:rsid w:val="003A452F"/>
    <w:rsid w:val="003A4B8A"/>
    <w:rsid w:val="003A4BC3"/>
    <w:rsid w:val="003A7945"/>
    <w:rsid w:val="003B10E0"/>
    <w:rsid w:val="003B61EB"/>
    <w:rsid w:val="003C3B88"/>
    <w:rsid w:val="003C3C95"/>
    <w:rsid w:val="003C555E"/>
    <w:rsid w:val="003C673C"/>
    <w:rsid w:val="003C70BF"/>
    <w:rsid w:val="003D0A44"/>
    <w:rsid w:val="003D1785"/>
    <w:rsid w:val="003D1C63"/>
    <w:rsid w:val="003D2340"/>
    <w:rsid w:val="003D28AA"/>
    <w:rsid w:val="003D5B6E"/>
    <w:rsid w:val="003D6F96"/>
    <w:rsid w:val="003E02C9"/>
    <w:rsid w:val="003E2A84"/>
    <w:rsid w:val="003E6AFF"/>
    <w:rsid w:val="003F2439"/>
    <w:rsid w:val="003F3D8A"/>
    <w:rsid w:val="003F524D"/>
    <w:rsid w:val="003F750E"/>
    <w:rsid w:val="003F75F7"/>
    <w:rsid w:val="004056FA"/>
    <w:rsid w:val="004076C0"/>
    <w:rsid w:val="00410846"/>
    <w:rsid w:val="00411D89"/>
    <w:rsid w:val="00416922"/>
    <w:rsid w:val="0041696C"/>
    <w:rsid w:val="004179A4"/>
    <w:rsid w:val="00421F9D"/>
    <w:rsid w:val="00422785"/>
    <w:rsid w:val="00423596"/>
    <w:rsid w:val="004276B5"/>
    <w:rsid w:val="00434546"/>
    <w:rsid w:val="00434D95"/>
    <w:rsid w:val="00435D37"/>
    <w:rsid w:val="00436974"/>
    <w:rsid w:val="00436A71"/>
    <w:rsid w:val="0044029F"/>
    <w:rsid w:val="0044212B"/>
    <w:rsid w:val="00445996"/>
    <w:rsid w:val="004521C3"/>
    <w:rsid w:val="004525CA"/>
    <w:rsid w:val="00453396"/>
    <w:rsid w:val="00456002"/>
    <w:rsid w:val="00456505"/>
    <w:rsid w:val="00460663"/>
    <w:rsid w:val="00460AF4"/>
    <w:rsid w:val="00463C74"/>
    <w:rsid w:val="0046400B"/>
    <w:rsid w:val="0046670C"/>
    <w:rsid w:val="00467CEB"/>
    <w:rsid w:val="0047441E"/>
    <w:rsid w:val="0047465E"/>
    <w:rsid w:val="00474A3F"/>
    <w:rsid w:val="0047672D"/>
    <w:rsid w:val="00477337"/>
    <w:rsid w:val="00477A4F"/>
    <w:rsid w:val="0048068A"/>
    <w:rsid w:val="00480D63"/>
    <w:rsid w:val="00481DAE"/>
    <w:rsid w:val="004824FD"/>
    <w:rsid w:val="0048306B"/>
    <w:rsid w:val="0048507A"/>
    <w:rsid w:val="004851D4"/>
    <w:rsid w:val="00485F9C"/>
    <w:rsid w:val="00487640"/>
    <w:rsid w:val="0048788F"/>
    <w:rsid w:val="00487FA4"/>
    <w:rsid w:val="00490D03"/>
    <w:rsid w:val="00493081"/>
    <w:rsid w:val="004A1ECF"/>
    <w:rsid w:val="004A27F5"/>
    <w:rsid w:val="004A410C"/>
    <w:rsid w:val="004A55E6"/>
    <w:rsid w:val="004A5FF0"/>
    <w:rsid w:val="004B1A9D"/>
    <w:rsid w:val="004B201E"/>
    <w:rsid w:val="004B685E"/>
    <w:rsid w:val="004C073A"/>
    <w:rsid w:val="004C1929"/>
    <w:rsid w:val="004C2643"/>
    <w:rsid w:val="004C71BC"/>
    <w:rsid w:val="004D10A3"/>
    <w:rsid w:val="004D3148"/>
    <w:rsid w:val="004D35E2"/>
    <w:rsid w:val="004D37F8"/>
    <w:rsid w:val="004D3DAA"/>
    <w:rsid w:val="004D5DF1"/>
    <w:rsid w:val="004D5F60"/>
    <w:rsid w:val="004D7380"/>
    <w:rsid w:val="004D73C7"/>
    <w:rsid w:val="004E0E28"/>
    <w:rsid w:val="004E4F9C"/>
    <w:rsid w:val="004E6C68"/>
    <w:rsid w:val="004E70EF"/>
    <w:rsid w:val="004F1968"/>
    <w:rsid w:val="004F2E37"/>
    <w:rsid w:val="004F5A5C"/>
    <w:rsid w:val="004F6473"/>
    <w:rsid w:val="004F6A79"/>
    <w:rsid w:val="004F6E1D"/>
    <w:rsid w:val="00500AB9"/>
    <w:rsid w:val="00507E27"/>
    <w:rsid w:val="00510A28"/>
    <w:rsid w:val="00510C0C"/>
    <w:rsid w:val="00511BCA"/>
    <w:rsid w:val="00512635"/>
    <w:rsid w:val="005147CB"/>
    <w:rsid w:val="00516A78"/>
    <w:rsid w:val="00520394"/>
    <w:rsid w:val="00521722"/>
    <w:rsid w:val="00521B3B"/>
    <w:rsid w:val="00521D4C"/>
    <w:rsid w:val="005220DD"/>
    <w:rsid w:val="005245EB"/>
    <w:rsid w:val="00524863"/>
    <w:rsid w:val="00525C30"/>
    <w:rsid w:val="00527226"/>
    <w:rsid w:val="00530594"/>
    <w:rsid w:val="00533730"/>
    <w:rsid w:val="00536D88"/>
    <w:rsid w:val="00537418"/>
    <w:rsid w:val="0054106D"/>
    <w:rsid w:val="0054355E"/>
    <w:rsid w:val="00544A68"/>
    <w:rsid w:val="0055402F"/>
    <w:rsid w:val="00554FE4"/>
    <w:rsid w:val="0055540E"/>
    <w:rsid w:val="00560492"/>
    <w:rsid w:val="00567A96"/>
    <w:rsid w:val="0057500B"/>
    <w:rsid w:val="005751F3"/>
    <w:rsid w:val="00575A81"/>
    <w:rsid w:val="0057600B"/>
    <w:rsid w:val="005801DF"/>
    <w:rsid w:val="00580B69"/>
    <w:rsid w:val="00581369"/>
    <w:rsid w:val="005861AC"/>
    <w:rsid w:val="00590449"/>
    <w:rsid w:val="005912BF"/>
    <w:rsid w:val="00591427"/>
    <w:rsid w:val="00594753"/>
    <w:rsid w:val="0059582D"/>
    <w:rsid w:val="0059723A"/>
    <w:rsid w:val="005A274B"/>
    <w:rsid w:val="005A510B"/>
    <w:rsid w:val="005A77B8"/>
    <w:rsid w:val="005B2DD9"/>
    <w:rsid w:val="005B3301"/>
    <w:rsid w:val="005B6EBF"/>
    <w:rsid w:val="005C067C"/>
    <w:rsid w:val="005C1812"/>
    <w:rsid w:val="005C2136"/>
    <w:rsid w:val="005C4F4B"/>
    <w:rsid w:val="005D012E"/>
    <w:rsid w:val="005D1E39"/>
    <w:rsid w:val="005D30B2"/>
    <w:rsid w:val="005D68B3"/>
    <w:rsid w:val="005E02C7"/>
    <w:rsid w:val="005E03B3"/>
    <w:rsid w:val="005E0B52"/>
    <w:rsid w:val="005E1DA2"/>
    <w:rsid w:val="005E2568"/>
    <w:rsid w:val="005E2849"/>
    <w:rsid w:val="005E2EED"/>
    <w:rsid w:val="005E6DB9"/>
    <w:rsid w:val="005F0496"/>
    <w:rsid w:val="005F07B5"/>
    <w:rsid w:val="005F38FD"/>
    <w:rsid w:val="005F3B63"/>
    <w:rsid w:val="005F61AA"/>
    <w:rsid w:val="005F6D81"/>
    <w:rsid w:val="006019C8"/>
    <w:rsid w:val="006028BB"/>
    <w:rsid w:val="006046FE"/>
    <w:rsid w:val="00605EE8"/>
    <w:rsid w:val="00614090"/>
    <w:rsid w:val="00615B29"/>
    <w:rsid w:val="00615C30"/>
    <w:rsid w:val="006232EE"/>
    <w:rsid w:val="006244CB"/>
    <w:rsid w:val="00624CA0"/>
    <w:rsid w:val="006269F0"/>
    <w:rsid w:val="00631E0D"/>
    <w:rsid w:val="00632607"/>
    <w:rsid w:val="006359AB"/>
    <w:rsid w:val="00636A67"/>
    <w:rsid w:val="00636D7B"/>
    <w:rsid w:val="0063785D"/>
    <w:rsid w:val="00637DF3"/>
    <w:rsid w:val="0064430D"/>
    <w:rsid w:val="006455BB"/>
    <w:rsid w:val="00646D8E"/>
    <w:rsid w:val="00646E4D"/>
    <w:rsid w:val="006508EC"/>
    <w:rsid w:val="006545E5"/>
    <w:rsid w:val="006556DD"/>
    <w:rsid w:val="00656BCA"/>
    <w:rsid w:val="00660D9B"/>
    <w:rsid w:val="00661BA6"/>
    <w:rsid w:val="0066319E"/>
    <w:rsid w:val="0067302D"/>
    <w:rsid w:val="00674091"/>
    <w:rsid w:val="006752F0"/>
    <w:rsid w:val="00677119"/>
    <w:rsid w:val="00677C62"/>
    <w:rsid w:val="00680066"/>
    <w:rsid w:val="006847D7"/>
    <w:rsid w:val="00685462"/>
    <w:rsid w:val="00687716"/>
    <w:rsid w:val="006878D3"/>
    <w:rsid w:val="00692410"/>
    <w:rsid w:val="0069289A"/>
    <w:rsid w:val="006A05BD"/>
    <w:rsid w:val="006A0CA1"/>
    <w:rsid w:val="006A0CDA"/>
    <w:rsid w:val="006A15B3"/>
    <w:rsid w:val="006A23D3"/>
    <w:rsid w:val="006A28F7"/>
    <w:rsid w:val="006A4C95"/>
    <w:rsid w:val="006A7191"/>
    <w:rsid w:val="006B0540"/>
    <w:rsid w:val="006B1147"/>
    <w:rsid w:val="006B126C"/>
    <w:rsid w:val="006B4D98"/>
    <w:rsid w:val="006C1655"/>
    <w:rsid w:val="006C1820"/>
    <w:rsid w:val="006C3AEF"/>
    <w:rsid w:val="006C468D"/>
    <w:rsid w:val="006C58AD"/>
    <w:rsid w:val="006D25DB"/>
    <w:rsid w:val="006D3CB0"/>
    <w:rsid w:val="006D5A67"/>
    <w:rsid w:val="006E38A3"/>
    <w:rsid w:val="006E4DA7"/>
    <w:rsid w:val="006E5872"/>
    <w:rsid w:val="006E6317"/>
    <w:rsid w:val="006E75DC"/>
    <w:rsid w:val="006F06B8"/>
    <w:rsid w:val="006F17E2"/>
    <w:rsid w:val="006F2798"/>
    <w:rsid w:val="006F42C6"/>
    <w:rsid w:val="006F4719"/>
    <w:rsid w:val="006F4BCB"/>
    <w:rsid w:val="006F539C"/>
    <w:rsid w:val="00700A00"/>
    <w:rsid w:val="00701057"/>
    <w:rsid w:val="00701063"/>
    <w:rsid w:val="00702361"/>
    <w:rsid w:val="007028C0"/>
    <w:rsid w:val="007050DC"/>
    <w:rsid w:val="0070529F"/>
    <w:rsid w:val="00710369"/>
    <w:rsid w:val="00711836"/>
    <w:rsid w:val="0071286A"/>
    <w:rsid w:val="007132B0"/>
    <w:rsid w:val="0071425F"/>
    <w:rsid w:val="0072599B"/>
    <w:rsid w:val="0072667C"/>
    <w:rsid w:val="007269E2"/>
    <w:rsid w:val="007270EB"/>
    <w:rsid w:val="00733E7D"/>
    <w:rsid w:val="007348A8"/>
    <w:rsid w:val="00734FB3"/>
    <w:rsid w:val="00735056"/>
    <w:rsid w:val="00735E85"/>
    <w:rsid w:val="007375CD"/>
    <w:rsid w:val="00742524"/>
    <w:rsid w:val="007430E5"/>
    <w:rsid w:val="00743267"/>
    <w:rsid w:val="00743F16"/>
    <w:rsid w:val="007503E1"/>
    <w:rsid w:val="00750529"/>
    <w:rsid w:val="0075098E"/>
    <w:rsid w:val="00750D57"/>
    <w:rsid w:val="00752179"/>
    <w:rsid w:val="00753A24"/>
    <w:rsid w:val="00754A21"/>
    <w:rsid w:val="00757FC0"/>
    <w:rsid w:val="00761626"/>
    <w:rsid w:val="00761F75"/>
    <w:rsid w:val="007640FC"/>
    <w:rsid w:val="00764713"/>
    <w:rsid w:val="007665D6"/>
    <w:rsid w:val="00767681"/>
    <w:rsid w:val="00771375"/>
    <w:rsid w:val="0077191C"/>
    <w:rsid w:val="00776F51"/>
    <w:rsid w:val="0077717A"/>
    <w:rsid w:val="007800DE"/>
    <w:rsid w:val="0078027C"/>
    <w:rsid w:val="0078297B"/>
    <w:rsid w:val="00783D1F"/>
    <w:rsid w:val="0078758D"/>
    <w:rsid w:val="0079291C"/>
    <w:rsid w:val="0079558F"/>
    <w:rsid w:val="00797AA4"/>
    <w:rsid w:val="007A4886"/>
    <w:rsid w:val="007B0805"/>
    <w:rsid w:val="007B26CA"/>
    <w:rsid w:val="007B394E"/>
    <w:rsid w:val="007B4297"/>
    <w:rsid w:val="007B5FED"/>
    <w:rsid w:val="007B6087"/>
    <w:rsid w:val="007C0AD8"/>
    <w:rsid w:val="007C26E7"/>
    <w:rsid w:val="007C280F"/>
    <w:rsid w:val="007C2BDD"/>
    <w:rsid w:val="007C30F2"/>
    <w:rsid w:val="007C443F"/>
    <w:rsid w:val="007C60C4"/>
    <w:rsid w:val="007D5501"/>
    <w:rsid w:val="007D674B"/>
    <w:rsid w:val="007D7D90"/>
    <w:rsid w:val="007E0496"/>
    <w:rsid w:val="007E3E51"/>
    <w:rsid w:val="007E4916"/>
    <w:rsid w:val="007E6A64"/>
    <w:rsid w:val="007E75CD"/>
    <w:rsid w:val="007F179C"/>
    <w:rsid w:val="007F2D1A"/>
    <w:rsid w:val="007F352A"/>
    <w:rsid w:val="007F3C07"/>
    <w:rsid w:val="008002AE"/>
    <w:rsid w:val="00800B5C"/>
    <w:rsid w:val="0080590F"/>
    <w:rsid w:val="00806BCB"/>
    <w:rsid w:val="00806EF3"/>
    <w:rsid w:val="00814483"/>
    <w:rsid w:val="00814995"/>
    <w:rsid w:val="00815E07"/>
    <w:rsid w:val="00820733"/>
    <w:rsid w:val="008224D4"/>
    <w:rsid w:val="0082263E"/>
    <w:rsid w:val="0082270E"/>
    <w:rsid w:val="0082386C"/>
    <w:rsid w:val="00824BE8"/>
    <w:rsid w:val="008270EE"/>
    <w:rsid w:val="00827E1E"/>
    <w:rsid w:val="00830886"/>
    <w:rsid w:val="00830AD0"/>
    <w:rsid w:val="00831923"/>
    <w:rsid w:val="00833991"/>
    <w:rsid w:val="008376A0"/>
    <w:rsid w:val="00840162"/>
    <w:rsid w:val="00841CB6"/>
    <w:rsid w:val="00841D68"/>
    <w:rsid w:val="008420F3"/>
    <w:rsid w:val="00846255"/>
    <w:rsid w:val="008501EF"/>
    <w:rsid w:val="0085081F"/>
    <w:rsid w:val="00850C9C"/>
    <w:rsid w:val="00851F41"/>
    <w:rsid w:val="00853075"/>
    <w:rsid w:val="00855803"/>
    <w:rsid w:val="00857A54"/>
    <w:rsid w:val="00860823"/>
    <w:rsid w:val="00863994"/>
    <w:rsid w:val="00864973"/>
    <w:rsid w:val="00866DD3"/>
    <w:rsid w:val="0086779F"/>
    <w:rsid w:val="00867AD2"/>
    <w:rsid w:val="00870F9E"/>
    <w:rsid w:val="008714AC"/>
    <w:rsid w:val="00871BD1"/>
    <w:rsid w:val="00872D58"/>
    <w:rsid w:val="00875064"/>
    <w:rsid w:val="00881C58"/>
    <w:rsid w:val="0088357C"/>
    <w:rsid w:val="00892245"/>
    <w:rsid w:val="00892345"/>
    <w:rsid w:val="00896A2E"/>
    <w:rsid w:val="00897CF2"/>
    <w:rsid w:val="008A1BFD"/>
    <w:rsid w:val="008B51B1"/>
    <w:rsid w:val="008B70E4"/>
    <w:rsid w:val="008C1B76"/>
    <w:rsid w:val="008C1B91"/>
    <w:rsid w:val="008C1BF3"/>
    <w:rsid w:val="008C29AB"/>
    <w:rsid w:val="008C4F64"/>
    <w:rsid w:val="008C591C"/>
    <w:rsid w:val="008C5A0F"/>
    <w:rsid w:val="008C60EC"/>
    <w:rsid w:val="008C7B5B"/>
    <w:rsid w:val="008D0D86"/>
    <w:rsid w:val="008D1037"/>
    <w:rsid w:val="008D2838"/>
    <w:rsid w:val="008D3183"/>
    <w:rsid w:val="008D3AA4"/>
    <w:rsid w:val="008D5C7C"/>
    <w:rsid w:val="008D68B4"/>
    <w:rsid w:val="008D7936"/>
    <w:rsid w:val="008E0320"/>
    <w:rsid w:val="008E16B0"/>
    <w:rsid w:val="008E1FDB"/>
    <w:rsid w:val="008E246B"/>
    <w:rsid w:val="008E27E8"/>
    <w:rsid w:val="008E3807"/>
    <w:rsid w:val="008E4A6C"/>
    <w:rsid w:val="008E5805"/>
    <w:rsid w:val="008F13AB"/>
    <w:rsid w:val="008F1449"/>
    <w:rsid w:val="008F58BA"/>
    <w:rsid w:val="008F6286"/>
    <w:rsid w:val="009016AA"/>
    <w:rsid w:val="009036AA"/>
    <w:rsid w:val="00903E3B"/>
    <w:rsid w:val="009060B7"/>
    <w:rsid w:val="00906300"/>
    <w:rsid w:val="0090648C"/>
    <w:rsid w:val="00911B5B"/>
    <w:rsid w:val="00911B87"/>
    <w:rsid w:val="009128A0"/>
    <w:rsid w:val="0091463F"/>
    <w:rsid w:val="00914B67"/>
    <w:rsid w:val="00915629"/>
    <w:rsid w:val="00916D65"/>
    <w:rsid w:val="009177C6"/>
    <w:rsid w:val="009179AD"/>
    <w:rsid w:val="00917BB3"/>
    <w:rsid w:val="009200E3"/>
    <w:rsid w:val="009201E5"/>
    <w:rsid w:val="00920980"/>
    <w:rsid w:val="00921A73"/>
    <w:rsid w:val="009261CE"/>
    <w:rsid w:val="00926CFF"/>
    <w:rsid w:val="009271B0"/>
    <w:rsid w:val="009302E8"/>
    <w:rsid w:val="00934D64"/>
    <w:rsid w:val="00946BEB"/>
    <w:rsid w:val="00951F23"/>
    <w:rsid w:val="00953458"/>
    <w:rsid w:val="00957879"/>
    <w:rsid w:val="0096047B"/>
    <w:rsid w:val="00966398"/>
    <w:rsid w:val="009674E6"/>
    <w:rsid w:val="00976334"/>
    <w:rsid w:val="009763C9"/>
    <w:rsid w:val="00976A5C"/>
    <w:rsid w:val="00985595"/>
    <w:rsid w:val="00985770"/>
    <w:rsid w:val="009879A1"/>
    <w:rsid w:val="00990095"/>
    <w:rsid w:val="0099048D"/>
    <w:rsid w:val="009948E4"/>
    <w:rsid w:val="00995699"/>
    <w:rsid w:val="00996423"/>
    <w:rsid w:val="009A0852"/>
    <w:rsid w:val="009A0DF5"/>
    <w:rsid w:val="009A4346"/>
    <w:rsid w:val="009A61C9"/>
    <w:rsid w:val="009B11C9"/>
    <w:rsid w:val="009B1D93"/>
    <w:rsid w:val="009B2B17"/>
    <w:rsid w:val="009B2C19"/>
    <w:rsid w:val="009B5478"/>
    <w:rsid w:val="009B57CC"/>
    <w:rsid w:val="009C0D96"/>
    <w:rsid w:val="009C62B2"/>
    <w:rsid w:val="009C7489"/>
    <w:rsid w:val="009C7CD8"/>
    <w:rsid w:val="009D2657"/>
    <w:rsid w:val="009D2978"/>
    <w:rsid w:val="009D2C37"/>
    <w:rsid w:val="009E29E4"/>
    <w:rsid w:val="009E2FF2"/>
    <w:rsid w:val="009E6976"/>
    <w:rsid w:val="009F2325"/>
    <w:rsid w:val="009F62F8"/>
    <w:rsid w:val="009F6F64"/>
    <w:rsid w:val="009F7F09"/>
    <w:rsid w:val="00A0070F"/>
    <w:rsid w:val="00A06BAB"/>
    <w:rsid w:val="00A13677"/>
    <w:rsid w:val="00A13C0F"/>
    <w:rsid w:val="00A14C7B"/>
    <w:rsid w:val="00A14F2F"/>
    <w:rsid w:val="00A15D64"/>
    <w:rsid w:val="00A160A4"/>
    <w:rsid w:val="00A16C8F"/>
    <w:rsid w:val="00A16E1B"/>
    <w:rsid w:val="00A17FD8"/>
    <w:rsid w:val="00A20269"/>
    <w:rsid w:val="00A231C4"/>
    <w:rsid w:val="00A25343"/>
    <w:rsid w:val="00A258CB"/>
    <w:rsid w:val="00A25CB3"/>
    <w:rsid w:val="00A27D3A"/>
    <w:rsid w:val="00A32E12"/>
    <w:rsid w:val="00A37AD8"/>
    <w:rsid w:val="00A45019"/>
    <w:rsid w:val="00A511E2"/>
    <w:rsid w:val="00A54004"/>
    <w:rsid w:val="00A54DDC"/>
    <w:rsid w:val="00A554F6"/>
    <w:rsid w:val="00A56BC9"/>
    <w:rsid w:val="00A60463"/>
    <w:rsid w:val="00A6156E"/>
    <w:rsid w:val="00A61D7A"/>
    <w:rsid w:val="00A6496C"/>
    <w:rsid w:val="00A66527"/>
    <w:rsid w:val="00A7131C"/>
    <w:rsid w:val="00A7742E"/>
    <w:rsid w:val="00A82D98"/>
    <w:rsid w:val="00A8354B"/>
    <w:rsid w:val="00A8419B"/>
    <w:rsid w:val="00A868CB"/>
    <w:rsid w:val="00A87101"/>
    <w:rsid w:val="00A91A2C"/>
    <w:rsid w:val="00A9507B"/>
    <w:rsid w:val="00A9644F"/>
    <w:rsid w:val="00AA0535"/>
    <w:rsid w:val="00AA1F5C"/>
    <w:rsid w:val="00AB205D"/>
    <w:rsid w:val="00AB389B"/>
    <w:rsid w:val="00AB7C36"/>
    <w:rsid w:val="00AC0AA7"/>
    <w:rsid w:val="00AC0ACF"/>
    <w:rsid w:val="00AC49B9"/>
    <w:rsid w:val="00AC7E54"/>
    <w:rsid w:val="00AD6D6D"/>
    <w:rsid w:val="00AD6EF6"/>
    <w:rsid w:val="00AD7B64"/>
    <w:rsid w:val="00AE2602"/>
    <w:rsid w:val="00AE4E46"/>
    <w:rsid w:val="00AE529B"/>
    <w:rsid w:val="00AF1DA9"/>
    <w:rsid w:val="00AF2741"/>
    <w:rsid w:val="00AF274D"/>
    <w:rsid w:val="00AF284D"/>
    <w:rsid w:val="00AF5BFD"/>
    <w:rsid w:val="00AF5F73"/>
    <w:rsid w:val="00B01586"/>
    <w:rsid w:val="00B025BF"/>
    <w:rsid w:val="00B11B82"/>
    <w:rsid w:val="00B135AB"/>
    <w:rsid w:val="00B153EA"/>
    <w:rsid w:val="00B2039F"/>
    <w:rsid w:val="00B20468"/>
    <w:rsid w:val="00B21095"/>
    <w:rsid w:val="00B223CA"/>
    <w:rsid w:val="00B2289B"/>
    <w:rsid w:val="00B244F8"/>
    <w:rsid w:val="00B24CE6"/>
    <w:rsid w:val="00B2518E"/>
    <w:rsid w:val="00B259AB"/>
    <w:rsid w:val="00B26DC2"/>
    <w:rsid w:val="00B30ECE"/>
    <w:rsid w:val="00B33F8D"/>
    <w:rsid w:val="00B340F4"/>
    <w:rsid w:val="00B37BBA"/>
    <w:rsid w:val="00B40566"/>
    <w:rsid w:val="00B4062D"/>
    <w:rsid w:val="00B40A4D"/>
    <w:rsid w:val="00B4134B"/>
    <w:rsid w:val="00B46EB5"/>
    <w:rsid w:val="00B46F7F"/>
    <w:rsid w:val="00B50266"/>
    <w:rsid w:val="00B52B17"/>
    <w:rsid w:val="00B53463"/>
    <w:rsid w:val="00B53E57"/>
    <w:rsid w:val="00B56056"/>
    <w:rsid w:val="00B60974"/>
    <w:rsid w:val="00B61C19"/>
    <w:rsid w:val="00B637A8"/>
    <w:rsid w:val="00B64769"/>
    <w:rsid w:val="00B65A70"/>
    <w:rsid w:val="00B71905"/>
    <w:rsid w:val="00B73C8E"/>
    <w:rsid w:val="00B8051D"/>
    <w:rsid w:val="00B87FCE"/>
    <w:rsid w:val="00B90CE6"/>
    <w:rsid w:val="00B91376"/>
    <w:rsid w:val="00B9138B"/>
    <w:rsid w:val="00B94EFE"/>
    <w:rsid w:val="00B96F24"/>
    <w:rsid w:val="00BA1A8C"/>
    <w:rsid w:val="00BA27B5"/>
    <w:rsid w:val="00BA2F99"/>
    <w:rsid w:val="00BA3253"/>
    <w:rsid w:val="00BA412A"/>
    <w:rsid w:val="00BA4156"/>
    <w:rsid w:val="00BA56E4"/>
    <w:rsid w:val="00BA5E3C"/>
    <w:rsid w:val="00BA6879"/>
    <w:rsid w:val="00BA6A0F"/>
    <w:rsid w:val="00BA74D9"/>
    <w:rsid w:val="00BA785C"/>
    <w:rsid w:val="00BB08DB"/>
    <w:rsid w:val="00BB31AA"/>
    <w:rsid w:val="00BB7752"/>
    <w:rsid w:val="00BC0BF9"/>
    <w:rsid w:val="00BC4DDA"/>
    <w:rsid w:val="00BC4E84"/>
    <w:rsid w:val="00BD2681"/>
    <w:rsid w:val="00BD2B37"/>
    <w:rsid w:val="00BD408F"/>
    <w:rsid w:val="00BD52CE"/>
    <w:rsid w:val="00BD5393"/>
    <w:rsid w:val="00BD7823"/>
    <w:rsid w:val="00BE1D03"/>
    <w:rsid w:val="00BE368F"/>
    <w:rsid w:val="00BE38EE"/>
    <w:rsid w:val="00BF1AFA"/>
    <w:rsid w:val="00BF305F"/>
    <w:rsid w:val="00BF35D4"/>
    <w:rsid w:val="00BF404C"/>
    <w:rsid w:val="00BF6546"/>
    <w:rsid w:val="00BF69FD"/>
    <w:rsid w:val="00C032B3"/>
    <w:rsid w:val="00C03F4E"/>
    <w:rsid w:val="00C055E6"/>
    <w:rsid w:val="00C07C24"/>
    <w:rsid w:val="00C137DE"/>
    <w:rsid w:val="00C14A43"/>
    <w:rsid w:val="00C157DC"/>
    <w:rsid w:val="00C17D39"/>
    <w:rsid w:val="00C206AE"/>
    <w:rsid w:val="00C206D3"/>
    <w:rsid w:val="00C20958"/>
    <w:rsid w:val="00C209DA"/>
    <w:rsid w:val="00C21719"/>
    <w:rsid w:val="00C2222D"/>
    <w:rsid w:val="00C232CC"/>
    <w:rsid w:val="00C24CC9"/>
    <w:rsid w:val="00C25684"/>
    <w:rsid w:val="00C270B0"/>
    <w:rsid w:val="00C279AB"/>
    <w:rsid w:val="00C32512"/>
    <w:rsid w:val="00C37130"/>
    <w:rsid w:val="00C4007A"/>
    <w:rsid w:val="00C40156"/>
    <w:rsid w:val="00C41FED"/>
    <w:rsid w:val="00C421C8"/>
    <w:rsid w:val="00C424FC"/>
    <w:rsid w:val="00C42AB9"/>
    <w:rsid w:val="00C43841"/>
    <w:rsid w:val="00C43AA2"/>
    <w:rsid w:val="00C459AC"/>
    <w:rsid w:val="00C45D53"/>
    <w:rsid w:val="00C51166"/>
    <w:rsid w:val="00C56BD4"/>
    <w:rsid w:val="00C56CD2"/>
    <w:rsid w:val="00C56EF6"/>
    <w:rsid w:val="00C57E23"/>
    <w:rsid w:val="00C60446"/>
    <w:rsid w:val="00C64313"/>
    <w:rsid w:val="00C664D3"/>
    <w:rsid w:val="00C667C6"/>
    <w:rsid w:val="00C732A7"/>
    <w:rsid w:val="00C73313"/>
    <w:rsid w:val="00C734D0"/>
    <w:rsid w:val="00C74783"/>
    <w:rsid w:val="00C74880"/>
    <w:rsid w:val="00C74F49"/>
    <w:rsid w:val="00C76325"/>
    <w:rsid w:val="00C768CE"/>
    <w:rsid w:val="00C7746D"/>
    <w:rsid w:val="00C7780A"/>
    <w:rsid w:val="00C81546"/>
    <w:rsid w:val="00C8188E"/>
    <w:rsid w:val="00C826B5"/>
    <w:rsid w:val="00C832A8"/>
    <w:rsid w:val="00C8359B"/>
    <w:rsid w:val="00C84A09"/>
    <w:rsid w:val="00C86DB3"/>
    <w:rsid w:val="00C907D3"/>
    <w:rsid w:val="00C91B7E"/>
    <w:rsid w:val="00C95EAD"/>
    <w:rsid w:val="00C95F0D"/>
    <w:rsid w:val="00CA1E1E"/>
    <w:rsid w:val="00CA3005"/>
    <w:rsid w:val="00CA3B2B"/>
    <w:rsid w:val="00CA4197"/>
    <w:rsid w:val="00CA59F0"/>
    <w:rsid w:val="00CA7BC6"/>
    <w:rsid w:val="00CB0A46"/>
    <w:rsid w:val="00CB2181"/>
    <w:rsid w:val="00CB2742"/>
    <w:rsid w:val="00CB2B1A"/>
    <w:rsid w:val="00CB38AE"/>
    <w:rsid w:val="00CB3AC6"/>
    <w:rsid w:val="00CB4BB9"/>
    <w:rsid w:val="00CB6210"/>
    <w:rsid w:val="00CB7A99"/>
    <w:rsid w:val="00CC0742"/>
    <w:rsid w:val="00CC0833"/>
    <w:rsid w:val="00CC13C1"/>
    <w:rsid w:val="00CC19F3"/>
    <w:rsid w:val="00CC2153"/>
    <w:rsid w:val="00CC3456"/>
    <w:rsid w:val="00CC3A15"/>
    <w:rsid w:val="00CC513E"/>
    <w:rsid w:val="00CC5DAE"/>
    <w:rsid w:val="00CD048F"/>
    <w:rsid w:val="00CD181F"/>
    <w:rsid w:val="00CD589E"/>
    <w:rsid w:val="00CD6DEA"/>
    <w:rsid w:val="00CD6E07"/>
    <w:rsid w:val="00CD6E56"/>
    <w:rsid w:val="00CE0898"/>
    <w:rsid w:val="00CE12EC"/>
    <w:rsid w:val="00CE2067"/>
    <w:rsid w:val="00CE4967"/>
    <w:rsid w:val="00CE4C51"/>
    <w:rsid w:val="00CE5BA9"/>
    <w:rsid w:val="00CE6906"/>
    <w:rsid w:val="00CE7CB5"/>
    <w:rsid w:val="00CF20C7"/>
    <w:rsid w:val="00CF4226"/>
    <w:rsid w:val="00CF42E5"/>
    <w:rsid w:val="00CF7090"/>
    <w:rsid w:val="00CF74B9"/>
    <w:rsid w:val="00D00E8C"/>
    <w:rsid w:val="00D03540"/>
    <w:rsid w:val="00D07B12"/>
    <w:rsid w:val="00D07C22"/>
    <w:rsid w:val="00D112D5"/>
    <w:rsid w:val="00D12434"/>
    <w:rsid w:val="00D12C4F"/>
    <w:rsid w:val="00D135B5"/>
    <w:rsid w:val="00D1445E"/>
    <w:rsid w:val="00D14D21"/>
    <w:rsid w:val="00D15E96"/>
    <w:rsid w:val="00D167C4"/>
    <w:rsid w:val="00D16C82"/>
    <w:rsid w:val="00D1729A"/>
    <w:rsid w:val="00D1784F"/>
    <w:rsid w:val="00D22EC3"/>
    <w:rsid w:val="00D267A4"/>
    <w:rsid w:val="00D2697F"/>
    <w:rsid w:val="00D30367"/>
    <w:rsid w:val="00D33806"/>
    <w:rsid w:val="00D3689F"/>
    <w:rsid w:val="00D40918"/>
    <w:rsid w:val="00D4109D"/>
    <w:rsid w:val="00D41B90"/>
    <w:rsid w:val="00D427A1"/>
    <w:rsid w:val="00D42860"/>
    <w:rsid w:val="00D46540"/>
    <w:rsid w:val="00D4677C"/>
    <w:rsid w:val="00D468C8"/>
    <w:rsid w:val="00D479D8"/>
    <w:rsid w:val="00D53792"/>
    <w:rsid w:val="00D570BF"/>
    <w:rsid w:val="00D607CC"/>
    <w:rsid w:val="00D61DBB"/>
    <w:rsid w:val="00D624A0"/>
    <w:rsid w:val="00D64006"/>
    <w:rsid w:val="00D65582"/>
    <w:rsid w:val="00D702DF"/>
    <w:rsid w:val="00D7089F"/>
    <w:rsid w:val="00D71960"/>
    <w:rsid w:val="00D71E5D"/>
    <w:rsid w:val="00D77AC1"/>
    <w:rsid w:val="00D81EA6"/>
    <w:rsid w:val="00D81F68"/>
    <w:rsid w:val="00D853E4"/>
    <w:rsid w:val="00D858A8"/>
    <w:rsid w:val="00D96F1B"/>
    <w:rsid w:val="00D97B75"/>
    <w:rsid w:val="00DA011D"/>
    <w:rsid w:val="00DA044D"/>
    <w:rsid w:val="00DA0B09"/>
    <w:rsid w:val="00DA2959"/>
    <w:rsid w:val="00DA3663"/>
    <w:rsid w:val="00DA375F"/>
    <w:rsid w:val="00DA3C35"/>
    <w:rsid w:val="00DA49B3"/>
    <w:rsid w:val="00DA5436"/>
    <w:rsid w:val="00DB46A6"/>
    <w:rsid w:val="00DB72FD"/>
    <w:rsid w:val="00DB7338"/>
    <w:rsid w:val="00DC0AB7"/>
    <w:rsid w:val="00DC241C"/>
    <w:rsid w:val="00DC3114"/>
    <w:rsid w:val="00DC4995"/>
    <w:rsid w:val="00DC7CE5"/>
    <w:rsid w:val="00DD3311"/>
    <w:rsid w:val="00DD791C"/>
    <w:rsid w:val="00DE072A"/>
    <w:rsid w:val="00DE09CF"/>
    <w:rsid w:val="00DE2356"/>
    <w:rsid w:val="00DE53EA"/>
    <w:rsid w:val="00DF1D7A"/>
    <w:rsid w:val="00DF346E"/>
    <w:rsid w:val="00DF5050"/>
    <w:rsid w:val="00DF50FC"/>
    <w:rsid w:val="00DF60E0"/>
    <w:rsid w:val="00DF613E"/>
    <w:rsid w:val="00E01D4A"/>
    <w:rsid w:val="00E01E5E"/>
    <w:rsid w:val="00E05CD6"/>
    <w:rsid w:val="00E10C19"/>
    <w:rsid w:val="00E11609"/>
    <w:rsid w:val="00E11BDA"/>
    <w:rsid w:val="00E12F46"/>
    <w:rsid w:val="00E14319"/>
    <w:rsid w:val="00E1572B"/>
    <w:rsid w:val="00E16252"/>
    <w:rsid w:val="00E17194"/>
    <w:rsid w:val="00E17BDB"/>
    <w:rsid w:val="00E22BED"/>
    <w:rsid w:val="00E25631"/>
    <w:rsid w:val="00E2644C"/>
    <w:rsid w:val="00E26BFE"/>
    <w:rsid w:val="00E3038B"/>
    <w:rsid w:val="00E30CFD"/>
    <w:rsid w:val="00E33D5A"/>
    <w:rsid w:val="00E35BBF"/>
    <w:rsid w:val="00E36454"/>
    <w:rsid w:val="00E378A9"/>
    <w:rsid w:val="00E40556"/>
    <w:rsid w:val="00E41A67"/>
    <w:rsid w:val="00E41F0D"/>
    <w:rsid w:val="00E4668E"/>
    <w:rsid w:val="00E47F27"/>
    <w:rsid w:val="00E52B17"/>
    <w:rsid w:val="00E53A54"/>
    <w:rsid w:val="00E565EB"/>
    <w:rsid w:val="00E6015A"/>
    <w:rsid w:val="00E61A8F"/>
    <w:rsid w:val="00E65CA8"/>
    <w:rsid w:val="00E80610"/>
    <w:rsid w:val="00E81956"/>
    <w:rsid w:val="00E826A0"/>
    <w:rsid w:val="00E84B14"/>
    <w:rsid w:val="00E8550E"/>
    <w:rsid w:val="00E85F2C"/>
    <w:rsid w:val="00E86EF7"/>
    <w:rsid w:val="00E87507"/>
    <w:rsid w:val="00E92C57"/>
    <w:rsid w:val="00E94221"/>
    <w:rsid w:val="00E95ACE"/>
    <w:rsid w:val="00EA0055"/>
    <w:rsid w:val="00EA020E"/>
    <w:rsid w:val="00EA1A9E"/>
    <w:rsid w:val="00EA23A7"/>
    <w:rsid w:val="00EA3441"/>
    <w:rsid w:val="00EB051D"/>
    <w:rsid w:val="00EB1F1A"/>
    <w:rsid w:val="00EB3549"/>
    <w:rsid w:val="00EB46E4"/>
    <w:rsid w:val="00EB560C"/>
    <w:rsid w:val="00EC451C"/>
    <w:rsid w:val="00EC648E"/>
    <w:rsid w:val="00EC65CB"/>
    <w:rsid w:val="00EC66DD"/>
    <w:rsid w:val="00ED1B40"/>
    <w:rsid w:val="00ED2D79"/>
    <w:rsid w:val="00ED3DEB"/>
    <w:rsid w:val="00ED4698"/>
    <w:rsid w:val="00ED5CAE"/>
    <w:rsid w:val="00EE01EB"/>
    <w:rsid w:val="00EE32EC"/>
    <w:rsid w:val="00EE476C"/>
    <w:rsid w:val="00EE5864"/>
    <w:rsid w:val="00EE5F95"/>
    <w:rsid w:val="00EF1F9B"/>
    <w:rsid w:val="00EF30A2"/>
    <w:rsid w:val="00EF4632"/>
    <w:rsid w:val="00EF4F2B"/>
    <w:rsid w:val="00EF661C"/>
    <w:rsid w:val="00EF6A1F"/>
    <w:rsid w:val="00F00706"/>
    <w:rsid w:val="00F03763"/>
    <w:rsid w:val="00F039A5"/>
    <w:rsid w:val="00F057DB"/>
    <w:rsid w:val="00F05E20"/>
    <w:rsid w:val="00F06079"/>
    <w:rsid w:val="00F063CE"/>
    <w:rsid w:val="00F1342A"/>
    <w:rsid w:val="00F15DF5"/>
    <w:rsid w:val="00F17373"/>
    <w:rsid w:val="00F17693"/>
    <w:rsid w:val="00F24663"/>
    <w:rsid w:val="00F254F9"/>
    <w:rsid w:val="00F259D3"/>
    <w:rsid w:val="00F31254"/>
    <w:rsid w:val="00F31DD3"/>
    <w:rsid w:val="00F33588"/>
    <w:rsid w:val="00F36FF4"/>
    <w:rsid w:val="00F408CA"/>
    <w:rsid w:val="00F41B02"/>
    <w:rsid w:val="00F43EF3"/>
    <w:rsid w:val="00F46364"/>
    <w:rsid w:val="00F50A28"/>
    <w:rsid w:val="00F51B74"/>
    <w:rsid w:val="00F55163"/>
    <w:rsid w:val="00F55985"/>
    <w:rsid w:val="00F610C7"/>
    <w:rsid w:val="00F616A1"/>
    <w:rsid w:val="00F6273D"/>
    <w:rsid w:val="00F62A83"/>
    <w:rsid w:val="00F62E79"/>
    <w:rsid w:val="00F6343B"/>
    <w:rsid w:val="00F655CC"/>
    <w:rsid w:val="00F668F0"/>
    <w:rsid w:val="00F70C74"/>
    <w:rsid w:val="00F713E3"/>
    <w:rsid w:val="00F75417"/>
    <w:rsid w:val="00F75816"/>
    <w:rsid w:val="00F76EB2"/>
    <w:rsid w:val="00F77FBB"/>
    <w:rsid w:val="00F8114C"/>
    <w:rsid w:val="00F814B2"/>
    <w:rsid w:val="00F82601"/>
    <w:rsid w:val="00F84DB1"/>
    <w:rsid w:val="00F86560"/>
    <w:rsid w:val="00F86AC8"/>
    <w:rsid w:val="00F87555"/>
    <w:rsid w:val="00F908E4"/>
    <w:rsid w:val="00F91C99"/>
    <w:rsid w:val="00F91EAD"/>
    <w:rsid w:val="00F94ED1"/>
    <w:rsid w:val="00FA16C5"/>
    <w:rsid w:val="00FA2B31"/>
    <w:rsid w:val="00FA6637"/>
    <w:rsid w:val="00FB30B5"/>
    <w:rsid w:val="00FB4FA7"/>
    <w:rsid w:val="00FB5652"/>
    <w:rsid w:val="00FB5BE0"/>
    <w:rsid w:val="00FB763B"/>
    <w:rsid w:val="00FB7944"/>
    <w:rsid w:val="00FB7CC5"/>
    <w:rsid w:val="00FC25C8"/>
    <w:rsid w:val="00FC3109"/>
    <w:rsid w:val="00FC32FD"/>
    <w:rsid w:val="00FD063D"/>
    <w:rsid w:val="00FD1769"/>
    <w:rsid w:val="00FD25DA"/>
    <w:rsid w:val="00FD4526"/>
    <w:rsid w:val="00FD68C0"/>
    <w:rsid w:val="00FE10FD"/>
    <w:rsid w:val="00FE1E44"/>
    <w:rsid w:val="00FE29DE"/>
    <w:rsid w:val="00FE77AA"/>
    <w:rsid w:val="00FF000C"/>
    <w:rsid w:val="00FF1514"/>
    <w:rsid w:val="00FF641D"/>
    <w:rsid w:val="01098738"/>
    <w:rsid w:val="02748620"/>
    <w:rsid w:val="02752FB6"/>
    <w:rsid w:val="02B1CFF9"/>
    <w:rsid w:val="049D4E0D"/>
    <w:rsid w:val="04B96C9F"/>
    <w:rsid w:val="0563540A"/>
    <w:rsid w:val="0604321C"/>
    <w:rsid w:val="06C98DFC"/>
    <w:rsid w:val="07E17A44"/>
    <w:rsid w:val="08F3BED6"/>
    <w:rsid w:val="091DA355"/>
    <w:rsid w:val="0953701E"/>
    <w:rsid w:val="09EA65A2"/>
    <w:rsid w:val="0A4A898A"/>
    <w:rsid w:val="0ACD6814"/>
    <w:rsid w:val="0B803E18"/>
    <w:rsid w:val="0B90DBA4"/>
    <w:rsid w:val="0C95E683"/>
    <w:rsid w:val="0D2CAC05"/>
    <w:rsid w:val="0D9121CF"/>
    <w:rsid w:val="0EF42B47"/>
    <w:rsid w:val="0F1DFAAD"/>
    <w:rsid w:val="0F1E8511"/>
    <w:rsid w:val="0F4DD782"/>
    <w:rsid w:val="0FBA0682"/>
    <w:rsid w:val="0FC4EB39"/>
    <w:rsid w:val="10644CC7"/>
    <w:rsid w:val="106F9DE9"/>
    <w:rsid w:val="10EAE0A6"/>
    <w:rsid w:val="10EFB7DB"/>
    <w:rsid w:val="10F8F425"/>
    <w:rsid w:val="1247EA9B"/>
    <w:rsid w:val="132A3060"/>
    <w:rsid w:val="138EE8A7"/>
    <w:rsid w:val="13DC0573"/>
    <w:rsid w:val="13E3BAFC"/>
    <w:rsid w:val="143F92B1"/>
    <w:rsid w:val="15430F0C"/>
    <w:rsid w:val="15873CDF"/>
    <w:rsid w:val="1642A550"/>
    <w:rsid w:val="16AE410E"/>
    <w:rsid w:val="16FC4EE1"/>
    <w:rsid w:val="1796DA0C"/>
    <w:rsid w:val="179E7D9C"/>
    <w:rsid w:val="1868E821"/>
    <w:rsid w:val="18820A5C"/>
    <w:rsid w:val="19E1C7F8"/>
    <w:rsid w:val="1A77A680"/>
    <w:rsid w:val="1AAAEB49"/>
    <w:rsid w:val="1AB23DEC"/>
    <w:rsid w:val="1AD14873"/>
    <w:rsid w:val="1B047803"/>
    <w:rsid w:val="1B1F1DBE"/>
    <w:rsid w:val="1BA24073"/>
    <w:rsid w:val="1BF377C9"/>
    <w:rsid w:val="1C5B2ACC"/>
    <w:rsid w:val="1C5D19B0"/>
    <w:rsid w:val="1C7B8DD1"/>
    <w:rsid w:val="1C90A550"/>
    <w:rsid w:val="1CB1E6D4"/>
    <w:rsid w:val="1D5F6EE8"/>
    <w:rsid w:val="1DECF333"/>
    <w:rsid w:val="1E781F29"/>
    <w:rsid w:val="1ECF7E85"/>
    <w:rsid w:val="1ED8C8A0"/>
    <w:rsid w:val="1EF15985"/>
    <w:rsid w:val="1FAEFC99"/>
    <w:rsid w:val="20332EBB"/>
    <w:rsid w:val="215B342A"/>
    <w:rsid w:val="2272A335"/>
    <w:rsid w:val="22B94182"/>
    <w:rsid w:val="22DF8E50"/>
    <w:rsid w:val="23ACF9F7"/>
    <w:rsid w:val="23CF09ED"/>
    <w:rsid w:val="24315CA5"/>
    <w:rsid w:val="24C3C055"/>
    <w:rsid w:val="252618DE"/>
    <w:rsid w:val="263877D0"/>
    <w:rsid w:val="266BA764"/>
    <w:rsid w:val="26B6A7E3"/>
    <w:rsid w:val="27511F21"/>
    <w:rsid w:val="2821E234"/>
    <w:rsid w:val="2872C4DB"/>
    <w:rsid w:val="28CF3411"/>
    <w:rsid w:val="29A7EA7F"/>
    <w:rsid w:val="2A97F309"/>
    <w:rsid w:val="2ACE43E0"/>
    <w:rsid w:val="2B716953"/>
    <w:rsid w:val="2B9763C7"/>
    <w:rsid w:val="2C8E3D79"/>
    <w:rsid w:val="2CAAA6C3"/>
    <w:rsid w:val="2CE69D1D"/>
    <w:rsid w:val="2D479701"/>
    <w:rsid w:val="2DAFC76F"/>
    <w:rsid w:val="2DB870F7"/>
    <w:rsid w:val="2DC9096C"/>
    <w:rsid w:val="2E44A7D0"/>
    <w:rsid w:val="2E8689B4"/>
    <w:rsid w:val="2E8FA1E4"/>
    <w:rsid w:val="2F80FE22"/>
    <w:rsid w:val="2FAAF90E"/>
    <w:rsid w:val="306F1ACC"/>
    <w:rsid w:val="307981F4"/>
    <w:rsid w:val="31B2FC64"/>
    <w:rsid w:val="31F65C60"/>
    <w:rsid w:val="320AEB2D"/>
    <w:rsid w:val="33EDBD63"/>
    <w:rsid w:val="3411E6B8"/>
    <w:rsid w:val="35296392"/>
    <w:rsid w:val="352EC180"/>
    <w:rsid w:val="36351A35"/>
    <w:rsid w:val="368CECF6"/>
    <w:rsid w:val="3704B97A"/>
    <w:rsid w:val="372B1855"/>
    <w:rsid w:val="3742EA78"/>
    <w:rsid w:val="37E25DFB"/>
    <w:rsid w:val="389973C4"/>
    <w:rsid w:val="38E0C54F"/>
    <w:rsid w:val="39167588"/>
    <w:rsid w:val="398C6E90"/>
    <w:rsid w:val="399AB6C4"/>
    <w:rsid w:val="39A4E5EC"/>
    <w:rsid w:val="3A2487C7"/>
    <w:rsid w:val="3A7554EB"/>
    <w:rsid w:val="3B5FCB53"/>
    <w:rsid w:val="3B961356"/>
    <w:rsid w:val="3BA9BF2D"/>
    <w:rsid w:val="3BF4D127"/>
    <w:rsid w:val="3C2570A1"/>
    <w:rsid w:val="3C88573A"/>
    <w:rsid w:val="3C9AF930"/>
    <w:rsid w:val="3CE3F0DF"/>
    <w:rsid w:val="3DB7F4A6"/>
    <w:rsid w:val="3DC3EB1A"/>
    <w:rsid w:val="3EAA1911"/>
    <w:rsid w:val="3ED351D7"/>
    <w:rsid w:val="3F900D61"/>
    <w:rsid w:val="3FF8C102"/>
    <w:rsid w:val="40CFACC4"/>
    <w:rsid w:val="40D5076B"/>
    <w:rsid w:val="40EE937E"/>
    <w:rsid w:val="40EF63BF"/>
    <w:rsid w:val="42879C32"/>
    <w:rsid w:val="429A5A98"/>
    <w:rsid w:val="42A39535"/>
    <w:rsid w:val="42EA9747"/>
    <w:rsid w:val="42EEDE06"/>
    <w:rsid w:val="432F7ED1"/>
    <w:rsid w:val="433238FF"/>
    <w:rsid w:val="4455385C"/>
    <w:rsid w:val="447C9754"/>
    <w:rsid w:val="44F2905C"/>
    <w:rsid w:val="44FD36ED"/>
    <w:rsid w:val="4656D9D4"/>
    <w:rsid w:val="466E7945"/>
    <w:rsid w:val="469DD9D5"/>
    <w:rsid w:val="4720F036"/>
    <w:rsid w:val="47F8554F"/>
    <w:rsid w:val="4815A5CB"/>
    <w:rsid w:val="488F4AD3"/>
    <w:rsid w:val="489A3327"/>
    <w:rsid w:val="490A2B99"/>
    <w:rsid w:val="490E9146"/>
    <w:rsid w:val="49EE3897"/>
    <w:rsid w:val="4A3E758A"/>
    <w:rsid w:val="4B723B08"/>
    <w:rsid w:val="4B820142"/>
    <w:rsid w:val="4BF85300"/>
    <w:rsid w:val="4D630F8D"/>
    <w:rsid w:val="4DB1F831"/>
    <w:rsid w:val="4DBB3F11"/>
    <w:rsid w:val="4DFBAEC8"/>
    <w:rsid w:val="4E2B0139"/>
    <w:rsid w:val="4FDCE46B"/>
    <w:rsid w:val="50B937E7"/>
    <w:rsid w:val="50C05929"/>
    <w:rsid w:val="51720F58"/>
    <w:rsid w:val="52384B00"/>
    <w:rsid w:val="53045BE7"/>
    <w:rsid w:val="54074637"/>
    <w:rsid w:val="54386E9B"/>
    <w:rsid w:val="54633CF8"/>
    <w:rsid w:val="55A96305"/>
    <w:rsid w:val="55BB47EB"/>
    <w:rsid w:val="56A1D586"/>
    <w:rsid w:val="56C14959"/>
    <w:rsid w:val="56D67A68"/>
    <w:rsid w:val="57ED4B66"/>
    <w:rsid w:val="5858572A"/>
    <w:rsid w:val="586A8A03"/>
    <w:rsid w:val="58717D88"/>
    <w:rsid w:val="5A39FBF7"/>
    <w:rsid w:val="5ABAA9BB"/>
    <w:rsid w:val="5B0BA465"/>
    <w:rsid w:val="5B7D11C1"/>
    <w:rsid w:val="5BD4A712"/>
    <w:rsid w:val="5BDE048F"/>
    <w:rsid w:val="5C830803"/>
    <w:rsid w:val="5CA4189E"/>
    <w:rsid w:val="5CC6B852"/>
    <w:rsid w:val="5ED813EC"/>
    <w:rsid w:val="5EE46F60"/>
    <w:rsid w:val="5F374258"/>
    <w:rsid w:val="5F8726BF"/>
    <w:rsid w:val="5F94D793"/>
    <w:rsid w:val="5FDF1588"/>
    <w:rsid w:val="6002A50D"/>
    <w:rsid w:val="6024F3F7"/>
    <w:rsid w:val="60E7B841"/>
    <w:rsid w:val="60F352E3"/>
    <w:rsid w:val="6122F720"/>
    <w:rsid w:val="613DB7F8"/>
    <w:rsid w:val="617AE5E9"/>
    <w:rsid w:val="619E756E"/>
    <w:rsid w:val="624BD470"/>
    <w:rsid w:val="62AFA71E"/>
    <w:rsid w:val="63483FB6"/>
    <w:rsid w:val="6356C7F8"/>
    <w:rsid w:val="65070D51"/>
    <w:rsid w:val="6531E0D0"/>
    <w:rsid w:val="657594C3"/>
    <w:rsid w:val="65C12CB7"/>
    <w:rsid w:val="66042263"/>
    <w:rsid w:val="668B8A5B"/>
    <w:rsid w:val="66B98236"/>
    <w:rsid w:val="66C018AC"/>
    <w:rsid w:val="66E4B8E8"/>
    <w:rsid w:val="6747592C"/>
    <w:rsid w:val="6770ADCB"/>
    <w:rsid w:val="67A2587B"/>
    <w:rsid w:val="68565360"/>
    <w:rsid w:val="687C46E0"/>
    <w:rsid w:val="696C6ACA"/>
    <w:rsid w:val="69D03824"/>
    <w:rsid w:val="69F122F8"/>
    <w:rsid w:val="6B04A4BE"/>
    <w:rsid w:val="6B4557B4"/>
    <w:rsid w:val="6C1F30F0"/>
    <w:rsid w:val="6C2A32A0"/>
    <w:rsid w:val="6C31ED55"/>
    <w:rsid w:val="6CA3416D"/>
    <w:rsid w:val="6CA92BA7"/>
    <w:rsid w:val="6D3D4E28"/>
    <w:rsid w:val="6D6D9384"/>
    <w:rsid w:val="6DE91DA2"/>
    <w:rsid w:val="6EAD6FA8"/>
    <w:rsid w:val="705BD1F0"/>
    <w:rsid w:val="709A062C"/>
    <w:rsid w:val="710633D3"/>
    <w:rsid w:val="720A1ECB"/>
    <w:rsid w:val="726BA449"/>
    <w:rsid w:val="72C54653"/>
    <w:rsid w:val="735D1175"/>
    <w:rsid w:val="738E1219"/>
    <w:rsid w:val="73F4B505"/>
    <w:rsid w:val="758ABA9E"/>
    <w:rsid w:val="774561B1"/>
    <w:rsid w:val="776F3115"/>
    <w:rsid w:val="77B1A277"/>
    <w:rsid w:val="77C75AAD"/>
    <w:rsid w:val="77E66A18"/>
    <w:rsid w:val="7A239A8D"/>
    <w:rsid w:val="7B53DE16"/>
    <w:rsid w:val="7BF94AC4"/>
    <w:rsid w:val="7C2E66C2"/>
    <w:rsid w:val="7CC28183"/>
    <w:rsid w:val="7CDEF34A"/>
    <w:rsid w:val="7DAE56F0"/>
    <w:rsid w:val="7DB96D61"/>
    <w:rsid w:val="7EA12729"/>
    <w:rsid w:val="7EB00AC6"/>
    <w:rsid w:val="7F660784"/>
    <w:rsid w:val="7F7D2C40"/>
    <w:rsid w:val="7F85E4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45220"/>
  <w15:chartTrackingRefBased/>
  <w15:docId w15:val="{79871DF7-096C-47F2-9F57-7A22E8AC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40CF"/>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8F628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F628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8376A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locked/>
    <w:rsid w:val="000740CF"/>
    <w:rPr>
      <w:rFonts w:ascii="Arial" w:hAnsi="Arial"/>
      <w:kern w:val="28"/>
      <w:sz w:val="24"/>
      <w:lang w:val="es-ES_tradnl" w:eastAsia="es-ES"/>
    </w:rPr>
  </w:style>
  <w:style w:type="paragraph" w:styleId="Encabezado">
    <w:name w:val="header"/>
    <w:basedOn w:val="Normal"/>
    <w:link w:val="EncabezadoCar"/>
    <w:rsid w:val="000740CF"/>
    <w:pPr>
      <w:tabs>
        <w:tab w:val="center" w:pos="4252"/>
        <w:tab w:val="right" w:pos="8504"/>
      </w:tabs>
    </w:pPr>
    <w:rPr>
      <w:rFonts w:ascii="Arial" w:eastAsiaTheme="minorHAnsi" w:hAnsi="Arial" w:cstheme="minorBidi"/>
      <w:kern w:val="28"/>
      <w:sz w:val="24"/>
      <w:szCs w:val="22"/>
      <w:lang w:val="es-ES_tradnl"/>
    </w:rPr>
  </w:style>
  <w:style w:type="character" w:customStyle="1" w:styleId="EncabezadoCar1">
    <w:name w:val="Encabezado Car1"/>
    <w:basedOn w:val="Fuentedeprrafopredeter"/>
    <w:uiPriority w:val="99"/>
    <w:semiHidden/>
    <w:rsid w:val="000740CF"/>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0740CF"/>
  </w:style>
  <w:style w:type="paragraph" w:styleId="Piedepgina">
    <w:name w:val="footer"/>
    <w:basedOn w:val="Normal"/>
    <w:link w:val="PiedepginaCar"/>
    <w:uiPriority w:val="99"/>
    <w:unhideWhenUsed/>
    <w:rsid w:val="000740CF"/>
    <w:pPr>
      <w:tabs>
        <w:tab w:val="center" w:pos="4252"/>
        <w:tab w:val="right" w:pos="8504"/>
      </w:tabs>
    </w:pPr>
  </w:style>
  <w:style w:type="character" w:customStyle="1" w:styleId="PiedepginaCar">
    <w:name w:val="Pie de página Car"/>
    <w:basedOn w:val="Fuentedeprrafopredeter"/>
    <w:link w:val="Piedepgina"/>
    <w:uiPriority w:val="99"/>
    <w:rsid w:val="000740CF"/>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uiPriority w:val="99"/>
    <w:unhideWhenUsed/>
    <w:rsid w:val="000740CF"/>
    <w:pPr>
      <w:spacing w:after="120"/>
      <w:ind w:left="283"/>
    </w:pPr>
  </w:style>
  <w:style w:type="character" w:customStyle="1" w:styleId="SangradetextonormalCar">
    <w:name w:val="Sangría de texto normal Car"/>
    <w:basedOn w:val="Fuentedeprrafopredeter"/>
    <w:link w:val="Sangradetextonormal"/>
    <w:uiPriority w:val="99"/>
    <w:rsid w:val="000740CF"/>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F86AC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6AC8"/>
    <w:rPr>
      <w:rFonts w:ascii="Segoe UI" w:eastAsia="Times New Roman" w:hAnsi="Segoe UI" w:cs="Segoe UI"/>
      <w:sz w:val="18"/>
      <w:szCs w:val="18"/>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unhideWhenUsed/>
    <w:qFormat/>
    <w:rsid w:val="00276B88"/>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276B88"/>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referencia nota al pie,Nota de pie,Texto nota al pie,Appel note de bas de page,Pie de Página,FC,Footnotes refss,Footnote number,BVI fnr,f,4_G,16 Point,Superscript 6 Point,Texto de nota al pi"/>
    <w:basedOn w:val="Fuentedeprrafopredeter"/>
    <w:link w:val="4GChar"/>
    <w:uiPriority w:val="99"/>
    <w:unhideWhenUsed/>
    <w:qFormat/>
    <w:rsid w:val="00276B88"/>
    <w:rPr>
      <w:vertAlign w:val="superscript"/>
    </w:rPr>
  </w:style>
  <w:style w:type="paragraph" w:styleId="Prrafodelista">
    <w:name w:val="List Paragraph"/>
    <w:aliases w:val="Citas,Footnote,Bullet List,FooterText,numbered,List Paragraph1,Paragraphe de liste1,lp1,Párrafo de lista1,List Paragraph,Scitum normal,Párrafo de lista11,Cuadrícula media 1 - Énfasis 21,Colorful List - Accent 11,Ha,Normal1,Párrafo"/>
    <w:basedOn w:val="Normal"/>
    <w:link w:val="PrrafodelistaCar"/>
    <w:uiPriority w:val="34"/>
    <w:qFormat/>
    <w:rsid w:val="007132B0"/>
    <w:pPr>
      <w:overflowPunct w:val="0"/>
      <w:autoSpaceDE w:val="0"/>
      <w:autoSpaceDN w:val="0"/>
      <w:adjustRightInd w:val="0"/>
      <w:ind w:left="708"/>
      <w:textAlignment w:val="baseline"/>
    </w:pPr>
  </w:style>
  <w:style w:type="paragraph" w:styleId="Textoindependiente">
    <w:name w:val="Body Text"/>
    <w:basedOn w:val="Normal"/>
    <w:link w:val="TextoindependienteCar"/>
    <w:rsid w:val="003A4BC3"/>
    <w:pPr>
      <w:overflowPunct w:val="0"/>
      <w:autoSpaceDE w:val="0"/>
      <w:autoSpaceDN w:val="0"/>
      <w:adjustRightInd w:val="0"/>
      <w:spacing w:after="120"/>
      <w:textAlignment w:val="baseline"/>
    </w:pPr>
    <w:rPr>
      <w:rFonts w:ascii="Roman 10cpi" w:hAnsi="Roman 10cpi"/>
    </w:rPr>
  </w:style>
  <w:style w:type="character" w:customStyle="1" w:styleId="TextoindependienteCar">
    <w:name w:val="Texto independiente Car"/>
    <w:basedOn w:val="Fuentedeprrafopredeter"/>
    <w:link w:val="Textoindependiente"/>
    <w:rsid w:val="003A4BC3"/>
    <w:rPr>
      <w:rFonts w:ascii="Roman 10cpi" w:eastAsia="Times New Roman" w:hAnsi="Roman 10cpi" w:cs="Times New Roman"/>
      <w:sz w:val="20"/>
      <w:szCs w:val="20"/>
      <w:lang w:val="es-ES" w:eastAsia="es-ES"/>
    </w:rPr>
  </w:style>
  <w:style w:type="paragraph" w:styleId="NormalWeb">
    <w:name w:val="Normal (Web)"/>
    <w:basedOn w:val="Normal"/>
    <w:uiPriority w:val="99"/>
    <w:unhideWhenUsed/>
    <w:rsid w:val="00D853E4"/>
    <w:rPr>
      <w:sz w:val="24"/>
      <w:szCs w:val="24"/>
    </w:rPr>
  </w:style>
  <w:style w:type="character" w:styleId="Hipervnculo">
    <w:name w:val="Hyperlink"/>
    <w:basedOn w:val="Fuentedeprrafopredeter"/>
    <w:uiPriority w:val="99"/>
    <w:unhideWhenUsed/>
    <w:rsid w:val="00D853E4"/>
    <w:rPr>
      <w:color w:val="0563C1" w:themeColor="hyperlink"/>
      <w:u w:val="single"/>
    </w:rPr>
  </w:style>
  <w:style w:type="character" w:styleId="Mencinsinresolver">
    <w:name w:val="Unresolved Mention"/>
    <w:basedOn w:val="Fuentedeprrafopredeter"/>
    <w:uiPriority w:val="99"/>
    <w:semiHidden/>
    <w:unhideWhenUsed/>
    <w:rsid w:val="00D853E4"/>
    <w:rPr>
      <w:color w:val="605E5C"/>
      <w:shd w:val="clear" w:color="auto" w:fill="E1DFDD"/>
    </w:rPr>
  </w:style>
  <w:style w:type="character" w:styleId="Refdecomentario">
    <w:name w:val="annotation reference"/>
    <w:basedOn w:val="Fuentedeprrafopredeter"/>
    <w:uiPriority w:val="99"/>
    <w:semiHidden/>
    <w:unhideWhenUsed/>
    <w:rsid w:val="005E2849"/>
    <w:rPr>
      <w:sz w:val="16"/>
      <w:szCs w:val="16"/>
    </w:rPr>
  </w:style>
  <w:style w:type="paragraph" w:styleId="Textocomentario">
    <w:name w:val="annotation text"/>
    <w:basedOn w:val="Normal"/>
    <w:link w:val="TextocomentarioCar"/>
    <w:uiPriority w:val="99"/>
    <w:semiHidden/>
    <w:unhideWhenUsed/>
    <w:rsid w:val="005E2849"/>
  </w:style>
  <w:style w:type="character" w:customStyle="1" w:styleId="TextocomentarioCar">
    <w:name w:val="Texto comentario Car"/>
    <w:basedOn w:val="Fuentedeprrafopredeter"/>
    <w:link w:val="Textocomentario"/>
    <w:uiPriority w:val="99"/>
    <w:semiHidden/>
    <w:rsid w:val="005E284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E2849"/>
    <w:rPr>
      <w:b/>
      <w:bCs/>
    </w:rPr>
  </w:style>
  <w:style w:type="character" w:customStyle="1" w:styleId="AsuntodelcomentarioCar">
    <w:name w:val="Asunto del comentario Car"/>
    <w:basedOn w:val="TextocomentarioCar"/>
    <w:link w:val="Asuntodelcomentario"/>
    <w:uiPriority w:val="99"/>
    <w:semiHidden/>
    <w:rsid w:val="005E2849"/>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C734D0"/>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16C8F"/>
    <w:pPr>
      <w:jc w:val="both"/>
    </w:pPr>
    <w:rPr>
      <w:rFonts w:asciiTheme="minorHAnsi" w:eastAsiaTheme="minorHAnsi" w:hAnsiTheme="minorHAnsi" w:cstheme="minorBidi"/>
      <w:sz w:val="22"/>
      <w:szCs w:val="22"/>
      <w:vertAlign w:val="superscript"/>
      <w:lang w:val="es-CO" w:eastAsia="en-US"/>
    </w:rPr>
  </w:style>
  <w:style w:type="paragraph" w:customStyle="1" w:styleId="Default">
    <w:name w:val="Default"/>
    <w:rsid w:val="00C7780A"/>
    <w:pPr>
      <w:autoSpaceDE w:val="0"/>
      <w:autoSpaceDN w:val="0"/>
      <w:adjustRightInd w:val="0"/>
      <w:spacing w:after="0" w:line="240" w:lineRule="auto"/>
    </w:pPr>
    <w:rPr>
      <w:rFonts w:ascii="Verdana" w:hAnsi="Verdana" w:cs="Verdana"/>
      <w:color w:val="000000"/>
      <w:sz w:val="24"/>
      <w:szCs w:val="24"/>
      <w:lang w:val="es-ES"/>
    </w:rPr>
  </w:style>
  <w:style w:type="paragraph" w:customStyle="1" w:styleId="paragraph">
    <w:name w:val="paragraph"/>
    <w:basedOn w:val="Normal"/>
    <w:rsid w:val="00C7780A"/>
    <w:pPr>
      <w:spacing w:before="100" w:beforeAutospacing="1" w:after="100" w:afterAutospacing="1"/>
    </w:pPr>
    <w:rPr>
      <w:sz w:val="24"/>
      <w:szCs w:val="24"/>
      <w:lang w:val="es-CO" w:eastAsia="es-CO"/>
    </w:rPr>
  </w:style>
  <w:style w:type="character" w:customStyle="1" w:styleId="normaltextrun">
    <w:name w:val="normaltextrun"/>
    <w:basedOn w:val="Fuentedeprrafopredeter"/>
    <w:rsid w:val="00C7780A"/>
  </w:style>
  <w:style w:type="character" w:customStyle="1" w:styleId="eop">
    <w:name w:val="eop"/>
    <w:basedOn w:val="Fuentedeprrafopredeter"/>
    <w:rsid w:val="00C7780A"/>
  </w:style>
  <w:style w:type="character" w:customStyle="1" w:styleId="PrrafodelistaCar">
    <w:name w:val="Párrafo de lista Car"/>
    <w:aliases w:val="Citas Car,Footnote Car,Bullet List Car,FooterText Car,numbered Car,List Paragraph1 Car,Paragraphe de liste1 Car,lp1 Car,Párrafo de lista1 Car,List Paragraph Car,Scitum normal Car,Párrafo de lista11 Car,Colorful List - Accent 11 Car"/>
    <w:link w:val="Prrafodelista"/>
    <w:uiPriority w:val="34"/>
    <w:qFormat/>
    <w:locked/>
    <w:rsid w:val="004851D4"/>
    <w:rPr>
      <w:rFonts w:ascii="Times New Roman" w:eastAsia="Times New Roman" w:hAnsi="Times New Roman" w:cs="Times New Roman"/>
      <w:sz w:val="20"/>
      <w:szCs w:val="20"/>
      <w:lang w:val="es-ES" w:eastAsia="es-ES"/>
    </w:rPr>
  </w:style>
  <w:style w:type="character" w:customStyle="1" w:styleId="Ttulo2Car">
    <w:name w:val="Título 2 Car"/>
    <w:basedOn w:val="Fuentedeprrafopredeter"/>
    <w:link w:val="Ttulo2"/>
    <w:uiPriority w:val="9"/>
    <w:rsid w:val="008F6286"/>
    <w:rPr>
      <w:rFonts w:asciiTheme="majorHAnsi" w:eastAsiaTheme="majorEastAsia" w:hAnsiTheme="majorHAnsi" w:cstheme="majorBidi"/>
      <w:color w:val="2E74B5" w:themeColor="accent1" w:themeShade="BF"/>
      <w:sz w:val="26"/>
      <w:szCs w:val="26"/>
      <w:lang w:val="es-ES" w:eastAsia="es-ES"/>
    </w:rPr>
  </w:style>
  <w:style w:type="character" w:customStyle="1" w:styleId="Ttulo1Car">
    <w:name w:val="Título 1 Car"/>
    <w:basedOn w:val="Fuentedeprrafopredeter"/>
    <w:link w:val="Ttulo1"/>
    <w:uiPriority w:val="9"/>
    <w:rsid w:val="008F6286"/>
    <w:rPr>
      <w:rFonts w:asciiTheme="majorHAnsi" w:eastAsiaTheme="majorEastAsia" w:hAnsiTheme="majorHAnsi" w:cstheme="majorBidi"/>
      <w:color w:val="2E74B5" w:themeColor="accent1" w:themeShade="BF"/>
      <w:sz w:val="32"/>
      <w:szCs w:val="32"/>
      <w:lang w:val="es-ES" w:eastAsia="es-ES"/>
    </w:rPr>
  </w:style>
  <w:style w:type="character" w:customStyle="1" w:styleId="Ttulo3Car">
    <w:name w:val="Título 3 Car"/>
    <w:basedOn w:val="Fuentedeprrafopredeter"/>
    <w:link w:val="Ttulo3"/>
    <w:uiPriority w:val="9"/>
    <w:rsid w:val="008376A0"/>
    <w:rPr>
      <w:rFonts w:asciiTheme="majorHAnsi" w:eastAsiaTheme="majorEastAsia" w:hAnsiTheme="majorHAnsi" w:cstheme="majorBidi"/>
      <w:color w:val="1F4D78"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4959">
      <w:bodyDiv w:val="1"/>
      <w:marLeft w:val="0"/>
      <w:marRight w:val="0"/>
      <w:marTop w:val="0"/>
      <w:marBottom w:val="0"/>
      <w:divBdr>
        <w:top w:val="none" w:sz="0" w:space="0" w:color="auto"/>
        <w:left w:val="none" w:sz="0" w:space="0" w:color="auto"/>
        <w:bottom w:val="none" w:sz="0" w:space="0" w:color="auto"/>
        <w:right w:val="none" w:sz="0" w:space="0" w:color="auto"/>
      </w:divBdr>
    </w:div>
    <w:div w:id="131481956">
      <w:bodyDiv w:val="1"/>
      <w:marLeft w:val="0"/>
      <w:marRight w:val="0"/>
      <w:marTop w:val="0"/>
      <w:marBottom w:val="0"/>
      <w:divBdr>
        <w:top w:val="none" w:sz="0" w:space="0" w:color="auto"/>
        <w:left w:val="none" w:sz="0" w:space="0" w:color="auto"/>
        <w:bottom w:val="none" w:sz="0" w:space="0" w:color="auto"/>
        <w:right w:val="none" w:sz="0" w:space="0" w:color="auto"/>
      </w:divBdr>
    </w:div>
    <w:div w:id="140274057">
      <w:bodyDiv w:val="1"/>
      <w:marLeft w:val="0"/>
      <w:marRight w:val="0"/>
      <w:marTop w:val="0"/>
      <w:marBottom w:val="0"/>
      <w:divBdr>
        <w:top w:val="none" w:sz="0" w:space="0" w:color="auto"/>
        <w:left w:val="none" w:sz="0" w:space="0" w:color="auto"/>
        <w:bottom w:val="none" w:sz="0" w:space="0" w:color="auto"/>
        <w:right w:val="none" w:sz="0" w:space="0" w:color="auto"/>
      </w:divBdr>
    </w:div>
    <w:div w:id="153299909">
      <w:bodyDiv w:val="1"/>
      <w:marLeft w:val="0"/>
      <w:marRight w:val="0"/>
      <w:marTop w:val="0"/>
      <w:marBottom w:val="0"/>
      <w:divBdr>
        <w:top w:val="none" w:sz="0" w:space="0" w:color="auto"/>
        <w:left w:val="none" w:sz="0" w:space="0" w:color="auto"/>
        <w:bottom w:val="none" w:sz="0" w:space="0" w:color="auto"/>
        <w:right w:val="none" w:sz="0" w:space="0" w:color="auto"/>
      </w:divBdr>
    </w:div>
    <w:div w:id="299530580">
      <w:bodyDiv w:val="1"/>
      <w:marLeft w:val="0"/>
      <w:marRight w:val="0"/>
      <w:marTop w:val="0"/>
      <w:marBottom w:val="0"/>
      <w:divBdr>
        <w:top w:val="none" w:sz="0" w:space="0" w:color="auto"/>
        <w:left w:val="none" w:sz="0" w:space="0" w:color="auto"/>
        <w:bottom w:val="none" w:sz="0" w:space="0" w:color="auto"/>
        <w:right w:val="none" w:sz="0" w:space="0" w:color="auto"/>
      </w:divBdr>
    </w:div>
    <w:div w:id="419378419">
      <w:bodyDiv w:val="1"/>
      <w:marLeft w:val="0"/>
      <w:marRight w:val="0"/>
      <w:marTop w:val="0"/>
      <w:marBottom w:val="0"/>
      <w:divBdr>
        <w:top w:val="none" w:sz="0" w:space="0" w:color="auto"/>
        <w:left w:val="none" w:sz="0" w:space="0" w:color="auto"/>
        <w:bottom w:val="none" w:sz="0" w:space="0" w:color="auto"/>
        <w:right w:val="none" w:sz="0" w:space="0" w:color="auto"/>
      </w:divBdr>
    </w:div>
    <w:div w:id="627589925">
      <w:bodyDiv w:val="1"/>
      <w:marLeft w:val="0"/>
      <w:marRight w:val="0"/>
      <w:marTop w:val="0"/>
      <w:marBottom w:val="0"/>
      <w:divBdr>
        <w:top w:val="none" w:sz="0" w:space="0" w:color="auto"/>
        <w:left w:val="none" w:sz="0" w:space="0" w:color="auto"/>
        <w:bottom w:val="none" w:sz="0" w:space="0" w:color="auto"/>
        <w:right w:val="none" w:sz="0" w:space="0" w:color="auto"/>
      </w:divBdr>
    </w:div>
    <w:div w:id="849950000">
      <w:bodyDiv w:val="1"/>
      <w:marLeft w:val="0"/>
      <w:marRight w:val="0"/>
      <w:marTop w:val="0"/>
      <w:marBottom w:val="0"/>
      <w:divBdr>
        <w:top w:val="none" w:sz="0" w:space="0" w:color="auto"/>
        <w:left w:val="none" w:sz="0" w:space="0" w:color="auto"/>
        <w:bottom w:val="none" w:sz="0" w:space="0" w:color="auto"/>
        <w:right w:val="none" w:sz="0" w:space="0" w:color="auto"/>
      </w:divBdr>
    </w:div>
    <w:div w:id="887424400">
      <w:bodyDiv w:val="1"/>
      <w:marLeft w:val="0"/>
      <w:marRight w:val="0"/>
      <w:marTop w:val="0"/>
      <w:marBottom w:val="0"/>
      <w:divBdr>
        <w:top w:val="none" w:sz="0" w:space="0" w:color="auto"/>
        <w:left w:val="none" w:sz="0" w:space="0" w:color="auto"/>
        <w:bottom w:val="none" w:sz="0" w:space="0" w:color="auto"/>
        <w:right w:val="none" w:sz="0" w:space="0" w:color="auto"/>
      </w:divBdr>
    </w:div>
    <w:div w:id="954555426">
      <w:bodyDiv w:val="1"/>
      <w:marLeft w:val="0"/>
      <w:marRight w:val="0"/>
      <w:marTop w:val="0"/>
      <w:marBottom w:val="0"/>
      <w:divBdr>
        <w:top w:val="none" w:sz="0" w:space="0" w:color="auto"/>
        <w:left w:val="none" w:sz="0" w:space="0" w:color="auto"/>
        <w:bottom w:val="none" w:sz="0" w:space="0" w:color="auto"/>
        <w:right w:val="none" w:sz="0" w:space="0" w:color="auto"/>
      </w:divBdr>
    </w:div>
    <w:div w:id="1025324439">
      <w:bodyDiv w:val="1"/>
      <w:marLeft w:val="0"/>
      <w:marRight w:val="0"/>
      <w:marTop w:val="0"/>
      <w:marBottom w:val="0"/>
      <w:divBdr>
        <w:top w:val="none" w:sz="0" w:space="0" w:color="auto"/>
        <w:left w:val="none" w:sz="0" w:space="0" w:color="auto"/>
        <w:bottom w:val="none" w:sz="0" w:space="0" w:color="auto"/>
        <w:right w:val="none" w:sz="0" w:space="0" w:color="auto"/>
      </w:divBdr>
    </w:div>
    <w:div w:id="1031344976">
      <w:bodyDiv w:val="1"/>
      <w:marLeft w:val="0"/>
      <w:marRight w:val="0"/>
      <w:marTop w:val="0"/>
      <w:marBottom w:val="0"/>
      <w:divBdr>
        <w:top w:val="none" w:sz="0" w:space="0" w:color="auto"/>
        <w:left w:val="none" w:sz="0" w:space="0" w:color="auto"/>
        <w:bottom w:val="none" w:sz="0" w:space="0" w:color="auto"/>
        <w:right w:val="none" w:sz="0" w:space="0" w:color="auto"/>
      </w:divBdr>
    </w:div>
    <w:div w:id="1088191978">
      <w:bodyDiv w:val="1"/>
      <w:marLeft w:val="0"/>
      <w:marRight w:val="0"/>
      <w:marTop w:val="0"/>
      <w:marBottom w:val="0"/>
      <w:divBdr>
        <w:top w:val="none" w:sz="0" w:space="0" w:color="auto"/>
        <w:left w:val="none" w:sz="0" w:space="0" w:color="auto"/>
        <w:bottom w:val="none" w:sz="0" w:space="0" w:color="auto"/>
        <w:right w:val="none" w:sz="0" w:space="0" w:color="auto"/>
      </w:divBdr>
    </w:div>
    <w:div w:id="1341547517">
      <w:bodyDiv w:val="1"/>
      <w:marLeft w:val="0"/>
      <w:marRight w:val="0"/>
      <w:marTop w:val="0"/>
      <w:marBottom w:val="0"/>
      <w:divBdr>
        <w:top w:val="none" w:sz="0" w:space="0" w:color="auto"/>
        <w:left w:val="none" w:sz="0" w:space="0" w:color="auto"/>
        <w:bottom w:val="none" w:sz="0" w:space="0" w:color="auto"/>
        <w:right w:val="none" w:sz="0" w:space="0" w:color="auto"/>
      </w:divBdr>
    </w:div>
    <w:div w:id="1346248181">
      <w:bodyDiv w:val="1"/>
      <w:marLeft w:val="0"/>
      <w:marRight w:val="0"/>
      <w:marTop w:val="0"/>
      <w:marBottom w:val="0"/>
      <w:divBdr>
        <w:top w:val="none" w:sz="0" w:space="0" w:color="auto"/>
        <w:left w:val="none" w:sz="0" w:space="0" w:color="auto"/>
        <w:bottom w:val="none" w:sz="0" w:space="0" w:color="auto"/>
        <w:right w:val="none" w:sz="0" w:space="0" w:color="auto"/>
      </w:divBdr>
    </w:div>
    <w:div w:id="1405252328">
      <w:bodyDiv w:val="1"/>
      <w:marLeft w:val="0"/>
      <w:marRight w:val="0"/>
      <w:marTop w:val="0"/>
      <w:marBottom w:val="0"/>
      <w:divBdr>
        <w:top w:val="none" w:sz="0" w:space="0" w:color="auto"/>
        <w:left w:val="none" w:sz="0" w:space="0" w:color="auto"/>
        <w:bottom w:val="none" w:sz="0" w:space="0" w:color="auto"/>
        <w:right w:val="none" w:sz="0" w:space="0" w:color="auto"/>
      </w:divBdr>
    </w:div>
    <w:div w:id="1440417405">
      <w:bodyDiv w:val="1"/>
      <w:marLeft w:val="0"/>
      <w:marRight w:val="0"/>
      <w:marTop w:val="0"/>
      <w:marBottom w:val="0"/>
      <w:divBdr>
        <w:top w:val="none" w:sz="0" w:space="0" w:color="auto"/>
        <w:left w:val="none" w:sz="0" w:space="0" w:color="auto"/>
        <w:bottom w:val="none" w:sz="0" w:space="0" w:color="auto"/>
        <w:right w:val="none" w:sz="0" w:space="0" w:color="auto"/>
      </w:divBdr>
    </w:div>
    <w:div w:id="1443183102">
      <w:bodyDiv w:val="1"/>
      <w:marLeft w:val="0"/>
      <w:marRight w:val="0"/>
      <w:marTop w:val="0"/>
      <w:marBottom w:val="0"/>
      <w:divBdr>
        <w:top w:val="none" w:sz="0" w:space="0" w:color="auto"/>
        <w:left w:val="none" w:sz="0" w:space="0" w:color="auto"/>
        <w:bottom w:val="none" w:sz="0" w:space="0" w:color="auto"/>
        <w:right w:val="none" w:sz="0" w:space="0" w:color="auto"/>
      </w:divBdr>
    </w:div>
    <w:div w:id="1498617515">
      <w:bodyDiv w:val="1"/>
      <w:marLeft w:val="0"/>
      <w:marRight w:val="0"/>
      <w:marTop w:val="0"/>
      <w:marBottom w:val="0"/>
      <w:divBdr>
        <w:top w:val="none" w:sz="0" w:space="0" w:color="auto"/>
        <w:left w:val="none" w:sz="0" w:space="0" w:color="auto"/>
        <w:bottom w:val="none" w:sz="0" w:space="0" w:color="auto"/>
        <w:right w:val="none" w:sz="0" w:space="0" w:color="auto"/>
      </w:divBdr>
    </w:div>
    <w:div w:id="1585339800">
      <w:bodyDiv w:val="1"/>
      <w:marLeft w:val="0"/>
      <w:marRight w:val="0"/>
      <w:marTop w:val="0"/>
      <w:marBottom w:val="0"/>
      <w:divBdr>
        <w:top w:val="none" w:sz="0" w:space="0" w:color="auto"/>
        <w:left w:val="none" w:sz="0" w:space="0" w:color="auto"/>
        <w:bottom w:val="none" w:sz="0" w:space="0" w:color="auto"/>
        <w:right w:val="none" w:sz="0" w:space="0" w:color="auto"/>
      </w:divBdr>
    </w:div>
    <w:div w:id="1780443286">
      <w:bodyDiv w:val="1"/>
      <w:marLeft w:val="0"/>
      <w:marRight w:val="0"/>
      <w:marTop w:val="0"/>
      <w:marBottom w:val="0"/>
      <w:divBdr>
        <w:top w:val="none" w:sz="0" w:space="0" w:color="auto"/>
        <w:left w:val="none" w:sz="0" w:space="0" w:color="auto"/>
        <w:bottom w:val="none" w:sz="0" w:space="0" w:color="auto"/>
        <w:right w:val="none" w:sz="0" w:space="0" w:color="auto"/>
      </w:divBdr>
    </w:div>
    <w:div w:id="20777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ley_1564_2012_pr009.html" TargetMode="External"/><Relationship Id="rId1" Type="http://schemas.openxmlformats.org/officeDocument/2006/relationships/hyperlink" Target="http://www.secretariasenado.gov.co/senado/basedoc/ley_1564_2012_pr009.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c96c72-36be-43ac-af12-36528418fb9c" xsi:nil="true"/>
    <lcf76f155ced4ddcb4097134ff3c332f xmlns="fa4dd0d4-ac8b-45f6-80f5-934d52417ed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D9922A80550C949A222D141BCB28FE4" ma:contentTypeVersion="13" ma:contentTypeDescription="Crear nuevo documento." ma:contentTypeScope="" ma:versionID="434caf2cd2d27455c9e0100aed188998">
  <xsd:schema xmlns:xsd="http://www.w3.org/2001/XMLSchema" xmlns:xs="http://www.w3.org/2001/XMLSchema" xmlns:p="http://schemas.microsoft.com/office/2006/metadata/properties" xmlns:ns2="fa4dd0d4-ac8b-45f6-80f5-934d52417ede" xmlns:ns3="c8c96c72-36be-43ac-af12-36528418fb9c" targetNamespace="http://schemas.microsoft.com/office/2006/metadata/properties" ma:root="true" ma:fieldsID="7194ca8e8a7aac75b0900af7ba551799" ns2:_="" ns3:_="">
    <xsd:import namespace="fa4dd0d4-ac8b-45f6-80f5-934d52417ede"/>
    <xsd:import namespace="c8c96c72-36be-43ac-af12-36528418f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dd0d4-ac8b-45f6-80f5-934d5241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96c72-36be-43ac-af12-36528418fb9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90fdcd1-a484-4296-ae9f-f9ae71a8345a}" ma:internalName="TaxCatchAll" ma:showField="CatchAllData" ma:web="c8c96c72-36be-43ac-af12-36528418f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A4487-2F9F-4CBF-A831-6CB9B1D9E40B}">
  <ds:schemaRefs>
    <ds:schemaRef ds:uri="http://schemas.microsoft.com/office/2006/metadata/properties"/>
    <ds:schemaRef ds:uri="http://schemas.microsoft.com/office/infopath/2007/PartnerControls"/>
    <ds:schemaRef ds:uri="ead7b214-03fa-4f53-936e-816723204a1f"/>
    <ds:schemaRef ds:uri="22284b6d-4320-4c1c-b93c-fb5ab6f9e403"/>
  </ds:schemaRefs>
</ds:datastoreItem>
</file>

<file path=customXml/itemProps2.xml><?xml version="1.0" encoding="utf-8"?>
<ds:datastoreItem xmlns:ds="http://schemas.openxmlformats.org/officeDocument/2006/customXml" ds:itemID="{0D0A4BB1-99EF-42D1-BD28-F6E979D41616}"/>
</file>

<file path=customXml/itemProps3.xml><?xml version="1.0" encoding="utf-8"?>
<ds:datastoreItem xmlns:ds="http://schemas.openxmlformats.org/officeDocument/2006/customXml" ds:itemID="{D5C6F0FB-47B5-4FC4-B6C8-AF7C58D58AB1}">
  <ds:schemaRefs>
    <ds:schemaRef ds:uri="http://schemas.microsoft.com/sharepoint/v3/contenttype/forms"/>
  </ds:schemaRefs>
</ds:datastoreItem>
</file>

<file path=customXml/itemProps4.xml><?xml version="1.0" encoding="utf-8"?>
<ds:datastoreItem xmlns:ds="http://schemas.openxmlformats.org/officeDocument/2006/customXml" ds:itemID="{BE22AFB7-9168-4B9A-925A-EF76C81E9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3886</Words>
  <Characters>21378</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SECRETARIA2</dc:creator>
  <cp:keywords/>
  <dc:description/>
  <cp:lastModifiedBy>Relatoria Tribunal Administrativo - Boyacá - Seccional Tunja</cp:lastModifiedBy>
  <cp:revision>2</cp:revision>
  <cp:lastPrinted>2019-12-18T14:54:00Z</cp:lastPrinted>
  <dcterms:created xsi:type="dcterms:W3CDTF">2023-05-09T19:04:00Z</dcterms:created>
  <dcterms:modified xsi:type="dcterms:W3CDTF">2023-05-09T19:04:00Z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MediaServiceImageTags">
    <vt:lpwstr/>
  </property>
</Properties>
</file>