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E4463" w14:textId="686677D0" w:rsidR="007D6D04" w:rsidRPr="00793993" w:rsidRDefault="007D6D04" w:rsidP="00793993">
      <w:pPr>
        <w:spacing w:after="0" w:line="240" w:lineRule="auto"/>
        <w:jc w:val="both"/>
        <w:rPr>
          <w:rFonts w:ascii="Arial" w:eastAsia="Times New Roman" w:hAnsi="Arial" w:cs="Arial"/>
          <w:b/>
          <w:sz w:val="24"/>
          <w:szCs w:val="24"/>
          <w:lang w:val="es-ES_tradnl" w:eastAsia="es-ES"/>
        </w:rPr>
      </w:pPr>
      <w:r w:rsidRPr="00793993">
        <w:rPr>
          <w:rFonts w:ascii="Arial" w:eastAsia="Times New Roman" w:hAnsi="Arial" w:cs="Arial"/>
          <w:b/>
          <w:sz w:val="24"/>
          <w:szCs w:val="24"/>
          <w:lang w:val="es-ES_tradnl" w:eastAsia="es-ES"/>
        </w:rPr>
        <w:t xml:space="preserve">INCIDENTE DE DESACATO PARA EL CUMPLIMIENTO DE FALLOS PROFERIDOS DENTRO DE LOS MEDIOS DE CONTROL ORDINARIOS PREVISTOS EN LA LEY 1437 DE 2011 </w:t>
      </w:r>
      <w:r w:rsidR="00FD6704">
        <w:rPr>
          <w:rFonts w:ascii="Arial" w:eastAsia="Times New Roman" w:hAnsi="Arial" w:cs="Arial"/>
          <w:b/>
          <w:sz w:val="24"/>
          <w:szCs w:val="24"/>
          <w:lang w:val="es-ES_tradnl" w:eastAsia="es-ES"/>
        </w:rPr>
        <w:t>–</w:t>
      </w:r>
      <w:r w:rsidRPr="00793993">
        <w:rPr>
          <w:rFonts w:ascii="Arial" w:eastAsia="Times New Roman" w:hAnsi="Arial" w:cs="Arial"/>
          <w:b/>
          <w:sz w:val="24"/>
          <w:szCs w:val="24"/>
          <w:lang w:val="es-ES_tradnl" w:eastAsia="es-ES"/>
        </w:rPr>
        <w:t xml:space="preserve"> </w:t>
      </w:r>
      <w:r w:rsidR="009C0071" w:rsidRPr="00793993">
        <w:rPr>
          <w:rFonts w:ascii="Arial" w:eastAsia="Times New Roman" w:hAnsi="Arial" w:cs="Arial"/>
          <w:b/>
          <w:sz w:val="24"/>
          <w:szCs w:val="24"/>
          <w:lang w:val="es-ES_tradnl" w:eastAsia="es-ES"/>
        </w:rPr>
        <w:t>Improcedencia</w:t>
      </w:r>
      <w:r w:rsidR="00FD6704">
        <w:rPr>
          <w:rFonts w:ascii="Arial" w:eastAsia="Times New Roman" w:hAnsi="Arial" w:cs="Arial"/>
          <w:b/>
          <w:sz w:val="24"/>
          <w:szCs w:val="24"/>
          <w:lang w:val="es-ES_tradnl" w:eastAsia="es-ES"/>
        </w:rPr>
        <w:t>.</w:t>
      </w:r>
      <w:bookmarkStart w:id="0" w:name="_GoBack"/>
      <w:bookmarkEnd w:id="0"/>
    </w:p>
    <w:p w14:paraId="0AD4DA36" w14:textId="77777777" w:rsidR="007D6D04" w:rsidRPr="00793993" w:rsidRDefault="007D6D04" w:rsidP="00793993">
      <w:pPr>
        <w:spacing w:after="0" w:line="240" w:lineRule="auto"/>
        <w:jc w:val="both"/>
        <w:rPr>
          <w:rFonts w:ascii="Arial" w:eastAsia="Times New Roman" w:hAnsi="Arial" w:cs="Arial"/>
          <w:b/>
          <w:sz w:val="24"/>
          <w:szCs w:val="24"/>
          <w:lang w:val="es-ES_tradnl" w:eastAsia="es-ES"/>
        </w:rPr>
      </w:pPr>
    </w:p>
    <w:p w14:paraId="5419F462" w14:textId="746A74C2" w:rsidR="003705CB" w:rsidRDefault="003705CB" w:rsidP="00793993">
      <w:pPr>
        <w:spacing w:after="0" w:line="240" w:lineRule="auto"/>
        <w:jc w:val="both"/>
        <w:rPr>
          <w:rFonts w:ascii="Arial" w:eastAsia="Times New Roman" w:hAnsi="Arial" w:cs="Arial"/>
          <w:sz w:val="24"/>
          <w:szCs w:val="24"/>
          <w:lang w:val="es-ES_tradnl" w:eastAsia="es-ES"/>
        </w:rPr>
      </w:pPr>
      <w:r w:rsidRPr="00793993">
        <w:rPr>
          <w:rFonts w:ascii="Arial" w:eastAsia="Times New Roman" w:hAnsi="Arial" w:cs="Arial"/>
          <w:sz w:val="24"/>
          <w:szCs w:val="24"/>
          <w:lang w:val="es-ES_tradnl" w:eastAsia="es-ES"/>
        </w:rPr>
        <w:t>De este modo, indicó que hasta la fecha de presentación de este memorial, la entidad demandada no había dado cumplimiento a lo ordenado en el numeral segundo de la parte resolutiva de la sentencia, relacionado con modificar o corregir en el término perentorio de 48 horas, contadas desde la ejecutoria de la providencia, la hoja de servicios militares del extinto señor SS® JHON JAIRO BERNAL RAMÍREZ (</w:t>
      </w:r>
      <w:proofErr w:type="spellStart"/>
      <w:r w:rsidRPr="00793993">
        <w:rPr>
          <w:rFonts w:ascii="Arial" w:eastAsia="Times New Roman" w:hAnsi="Arial" w:cs="Arial"/>
          <w:sz w:val="24"/>
          <w:szCs w:val="24"/>
          <w:lang w:val="es-ES_tradnl" w:eastAsia="es-ES"/>
        </w:rPr>
        <w:t>q.e.p.d</w:t>
      </w:r>
      <w:proofErr w:type="spellEnd"/>
      <w:r w:rsidRPr="00793993">
        <w:rPr>
          <w:rFonts w:ascii="Arial" w:eastAsia="Times New Roman" w:hAnsi="Arial" w:cs="Arial"/>
          <w:sz w:val="24"/>
          <w:szCs w:val="24"/>
          <w:lang w:val="es-ES_tradnl" w:eastAsia="es-ES"/>
        </w:rPr>
        <w:t>) en cuanto a la causal y fecha de retiro señalando que obedeció a muerte en actividad desde el 9 de diciembre de 2004, razón por la cual, adujo que la demandada está incursa en desacato de lo ordenado.</w:t>
      </w:r>
      <w:r w:rsidR="007D6D04" w:rsidRPr="00793993">
        <w:rPr>
          <w:rFonts w:ascii="Arial" w:eastAsia="Times New Roman" w:hAnsi="Arial" w:cs="Arial"/>
          <w:sz w:val="24"/>
          <w:szCs w:val="24"/>
          <w:lang w:val="es-ES_tradnl" w:eastAsia="es-ES"/>
        </w:rPr>
        <w:t xml:space="preserve"> (…)</w:t>
      </w:r>
      <w:r w:rsidR="009C0071" w:rsidRPr="00793993">
        <w:rPr>
          <w:rFonts w:ascii="Arial" w:eastAsia="Times New Roman" w:hAnsi="Arial" w:cs="Arial"/>
          <w:sz w:val="24"/>
          <w:szCs w:val="24"/>
          <w:lang w:val="es-ES_tradnl" w:eastAsia="es-ES"/>
        </w:rPr>
        <w:t xml:space="preserve"> </w:t>
      </w:r>
      <w:r w:rsidR="00793993" w:rsidRPr="00793993">
        <w:rPr>
          <w:rFonts w:ascii="Arial" w:eastAsia="Times New Roman" w:hAnsi="Arial" w:cs="Arial"/>
          <w:sz w:val="24"/>
          <w:szCs w:val="24"/>
          <w:lang w:val="es-ES_tradnl" w:eastAsia="es-ES"/>
        </w:rPr>
        <w:t xml:space="preserve"> </w:t>
      </w:r>
      <w:r w:rsidRPr="00793993">
        <w:rPr>
          <w:rFonts w:ascii="Arial" w:eastAsia="Times New Roman" w:hAnsi="Arial" w:cs="Arial"/>
          <w:sz w:val="24"/>
          <w:szCs w:val="24"/>
          <w:lang w:val="es-ES_tradnl" w:eastAsia="es-ES"/>
        </w:rPr>
        <w:t>Para abordar el tema de fondo, en primer lugar, advierte el Despacho que lo pretendido por la parte actora es que se dé inicio a un incidente de desacato por incumplimiento del numeral segundo de la parte resolutiva la sentencia proferida por esta Corporación el 27 de febrero de 2020 dentro del medio de control de nulidad y restablecimiento de derecho y confirmada por el Consejo de Estado el 23 de mayo de 2022, la cual cobró ejecutoria el dieciséis (16) de junio de dos mil veintidós (2022) (índice 42).En ese sentido, la Ley 1437 de 2011 consagra en sus artículos 192 y 195, las nuevas reglas a efecto de cumplimiento de sentencias y conciliaciones, así como el trámite para su pago, por parte de las entidades públicas condenadas.</w:t>
      </w:r>
      <w:r w:rsidR="00793993" w:rsidRPr="00793993">
        <w:rPr>
          <w:rFonts w:ascii="Arial" w:eastAsia="Times New Roman" w:hAnsi="Arial" w:cs="Arial"/>
          <w:sz w:val="24"/>
          <w:szCs w:val="24"/>
          <w:lang w:val="es-ES_tradnl" w:eastAsia="es-ES"/>
        </w:rPr>
        <w:t xml:space="preserve"> </w:t>
      </w:r>
      <w:r w:rsidRPr="00793993">
        <w:rPr>
          <w:rFonts w:ascii="Arial" w:eastAsia="Times New Roman" w:hAnsi="Arial" w:cs="Arial"/>
          <w:sz w:val="24"/>
          <w:szCs w:val="24"/>
          <w:lang w:val="es-ES_tradnl" w:eastAsia="es-ES"/>
        </w:rPr>
        <w:t>Conforme con lo anterior y, al tenor de lo indicado en el artículo 192 de la Ley 1437 de 2011, el cumplimiento de las sentencias por parte de las entidades públicas está sujeto a lo siguiente:</w:t>
      </w:r>
      <w:r w:rsidR="00793993" w:rsidRPr="00793993">
        <w:rPr>
          <w:rFonts w:ascii="Arial" w:eastAsia="Times New Roman" w:hAnsi="Arial" w:cs="Arial"/>
          <w:sz w:val="24"/>
          <w:szCs w:val="24"/>
          <w:lang w:val="es-ES_tradnl" w:eastAsia="es-ES"/>
        </w:rPr>
        <w:t xml:space="preserve"> (…). </w:t>
      </w:r>
      <w:r w:rsidRPr="00793993">
        <w:rPr>
          <w:rFonts w:ascii="Arial" w:eastAsia="Times New Roman" w:hAnsi="Arial" w:cs="Arial"/>
          <w:sz w:val="24"/>
          <w:szCs w:val="24"/>
          <w:lang w:val="es-ES_tradnl" w:eastAsia="es-ES"/>
        </w:rPr>
        <w:t>Pues bien, en el caso concreto, en la orden dada a la entidad demandada en el numeral segundo de la sentencia de la cual pretende su cumplimiento, fue clara en señalar que ésta en el término perentorio de 48 horas, contadas desde la ejecutoria de la providencia, debía</w:t>
      </w:r>
      <w:r w:rsidRPr="00793993">
        <w:rPr>
          <w:rFonts w:ascii="Arial" w:hAnsi="Arial" w:cs="Arial"/>
          <w:sz w:val="24"/>
          <w:szCs w:val="24"/>
        </w:rPr>
        <w:t xml:space="preserve"> </w:t>
      </w:r>
      <w:r w:rsidRPr="00793993">
        <w:rPr>
          <w:rFonts w:ascii="Arial" w:eastAsia="Times New Roman" w:hAnsi="Arial" w:cs="Arial"/>
          <w:sz w:val="24"/>
          <w:szCs w:val="24"/>
          <w:lang w:val="es-ES_tradnl" w:eastAsia="es-ES"/>
        </w:rPr>
        <w:t>modificar o corregir la hoja de servicios militares del extinto señor SS® JHON JAIRO BERNAL RAMÍREZ (</w:t>
      </w:r>
      <w:proofErr w:type="spellStart"/>
      <w:r w:rsidRPr="00793993">
        <w:rPr>
          <w:rFonts w:ascii="Arial" w:eastAsia="Times New Roman" w:hAnsi="Arial" w:cs="Arial"/>
          <w:sz w:val="24"/>
          <w:szCs w:val="24"/>
          <w:lang w:val="es-ES_tradnl" w:eastAsia="es-ES"/>
        </w:rPr>
        <w:t>q.e.p.d</w:t>
      </w:r>
      <w:proofErr w:type="spellEnd"/>
      <w:r w:rsidRPr="00793993">
        <w:rPr>
          <w:rFonts w:ascii="Arial" w:eastAsia="Times New Roman" w:hAnsi="Arial" w:cs="Arial"/>
          <w:sz w:val="24"/>
          <w:szCs w:val="24"/>
          <w:lang w:val="es-ES_tradnl" w:eastAsia="es-ES"/>
        </w:rPr>
        <w:t>) en cuanto a la causal y fecha de retiro señalando que obedeció a muerte en actividad desde el 9 de diciembre de 2004, término que a todas luces ya feneció.</w:t>
      </w:r>
      <w:r w:rsidRPr="00793993">
        <w:rPr>
          <w:rFonts w:ascii="Arial" w:hAnsi="Arial" w:cs="Arial"/>
          <w:sz w:val="24"/>
          <w:szCs w:val="24"/>
        </w:rPr>
        <w:t xml:space="preserve"> </w:t>
      </w:r>
      <w:r w:rsidRPr="00793993">
        <w:rPr>
          <w:rFonts w:ascii="Arial" w:eastAsia="Times New Roman" w:hAnsi="Arial" w:cs="Arial"/>
          <w:sz w:val="24"/>
          <w:szCs w:val="24"/>
          <w:lang w:val="es-ES_tradnl" w:eastAsia="es-ES"/>
        </w:rPr>
        <w:t>Sea del caso precisar que la parte actora no allegó al plenario alguna prueba que permita establecer que presentó solicitud de cumplimiento ante la entidad obligada.</w:t>
      </w:r>
      <w:r w:rsidR="00793993" w:rsidRPr="00793993">
        <w:rPr>
          <w:rFonts w:ascii="Arial" w:eastAsia="Times New Roman" w:hAnsi="Arial" w:cs="Arial"/>
          <w:sz w:val="24"/>
          <w:szCs w:val="24"/>
          <w:lang w:val="es-ES_tradnl" w:eastAsia="es-ES"/>
        </w:rPr>
        <w:t xml:space="preserve"> </w:t>
      </w:r>
      <w:r w:rsidRPr="00793993">
        <w:rPr>
          <w:rFonts w:ascii="Arial" w:eastAsia="Times New Roman" w:hAnsi="Arial" w:cs="Arial"/>
          <w:sz w:val="24"/>
          <w:szCs w:val="24"/>
          <w:lang w:val="es-ES_tradnl" w:eastAsia="es-ES"/>
        </w:rPr>
        <w:t>Así mismo, advierte el Despacho que para el cumplimiento de sentencias proferidas dentro de los medios de control ordinarios que contempla la Ley 1437 de 2011, el ordenamiento jurídico no contempla la posibilidad de dar apertura a un incidente de desacato por su incumplimiento, como si lo contemplan normas especiales en el caso de fallos de tutela o de protección de derechos e intereses colectivos.</w:t>
      </w:r>
      <w:r w:rsidR="00793993" w:rsidRPr="00793993">
        <w:rPr>
          <w:rFonts w:ascii="Arial" w:eastAsia="Times New Roman" w:hAnsi="Arial" w:cs="Arial"/>
          <w:sz w:val="24"/>
          <w:szCs w:val="24"/>
          <w:lang w:val="es-ES_tradnl" w:eastAsia="es-ES"/>
        </w:rPr>
        <w:t xml:space="preserve"> </w:t>
      </w:r>
      <w:r w:rsidRPr="00793993">
        <w:rPr>
          <w:rFonts w:ascii="Arial" w:eastAsia="Times New Roman" w:hAnsi="Arial" w:cs="Arial"/>
          <w:sz w:val="24"/>
          <w:szCs w:val="24"/>
          <w:lang w:val="es-ES_tradnl" w:eastAsia="es-ES"/>
        </w:rPr>
        <w:t>En ese orden de ideas, en el fallo del cual se exige su cumplimiento, además de ordenar la modificación o corrección de la hoja de servicios militares del extinto señor SS® JHON JAIRO BERNAL RAMÍREZ (</w:t>
      </w:r>
      <w:proofErr w:type="spellStart"/>
      <w:r w:rsidRPr="00793993">
        <w:rPr>
          <w:rFonts w:ascii="Arial" w:eastAsia="Times New Roman" w:hAnsi="Arial" w:cs="Arial"/>
          <w:sz w:val="24"/>
          <w:szCs w:val="24"/>
          <w:lang w:val="es-ES_tradnl" w:eastAsia="es-ES"/>
        </w:rPr>
        <w:t>q.e.p.d</w:t>
      </w:r>
      <w:proofErr w:type="spellEnd"/>
      <w:r w:rsidRPr="00793993">
        <w:rPr>
          <w:rFonts w:ascii="Arial" w:eastAsia="Times New Roman" w:hAnsi="Arial" w:cs="Arial"/>
          <w:sz w:val="24"/>
          <w:szCs w:val="24"/>
          <w:lang w:val="es-ES_tradnl" w:eastAsia="es-ES"/>
        </w:rPr>
        <w:t>) en cuanto a la causal y fecha de retiro, también</w:t>
      </w:r>
      <w:r w:rsidRPr="00793993">
        <w:rPr>
          <w:rFonts w:ascii="Arial" w:eastAsia="Times New Roman" w:hAnsi="Arial" w:cs="Arial"/>
          <w:b/>
          <w:sz w:val="24"/>
          <w:szCs w:val="24"/>
          <w:lang w:val="es-ES_tradnl" w:eastAsia="es-ES"/>
        </w:rPr>
        <w:t xml:space="preserve"> </w:t>
      </w:r>
      <w:r w:rsidRPr="00793993">
        <w:rPr>
          <w:rFonts w:ascii="Arial" w:eastAsia="Times New Roman" w:hAnsi="Arial" w:cs="Arial"/>
          <w:sz w:val="24"/>
          <w:szCs w:val="24"/>
          <w:lang w:val="es-ES_tradnl" w:eastAsia="es-ES"/>
        </w:rPr>
        <w:t>se ordenó el reconocimiento y pago de una pensión de sobrevivientes a favor de la señora SUGEY ALEJANDRA HERNADEZ LEMUS (cónyuge) y de JHON HANSEN, JHON ALEJANDRO y MARIA ALEJANDRA BERNAL HERNÁNDEZ (hijos), razón por la cual, la sentencia en mención además de contener una obligación de hacer, también contiene una obligación de pagar unas sumas líquidas de dinero, siendo procedente para su cumplimiento, dar aplicación a lo previsto en el artículo 192 de la Ley 1437.</w:t>
      </w:r>
      <w:r w:rsidR="00793993" w:rsidRPr="00793993">
        <w:rPr>
          <w:rFonts w:ascii="Arial" w:eastAsia="Times New Roman" w:hAnsi="Arial" w:cs="Arial"/>
          <w:sz w:val="24"/>
          <w:szCs w:val="24"/>
          <w:lang w:val="es-ES_tradnl" w:eastAsia="es-ES"/>
        </w:rPr>
        <w:t xml:space="preserve"> (…). </w:t>
      </w:r>
      <w:r w:rsidRPr="00793993">
        <w:rPr>
          <w:rFonts w:ascii="Arial" w:eastAsia="Times New Roman" w:hAnsi="Arial" w:cs="Arial"/>
          <w:sz w:val="24"/>
          <w:szCs w:val="24"/>
          <w:lang w:val="es-ES_tradnl" w:eastAsia="es-ES"/>
        </w:rPr>
        <w:t xml:space="preserve">Del mismo modo, no pierde de vista el Despacho que de conformidad con el artículo 297 ibidem, constituye título ejecutivo, entre </w:t>
      </w:r>
      <w:proofErr w:type="gramStart"/>
      <w:r w:rsidRPr="00793993">
        <w:rPr>
          <w:rFonts w:ascii="Arial" w:eastAsia="Times New Roman" w:hAnsi="Arial" w:cs="Arial"/>
          <w:sz w:val="24"/>
          <w:szCs w:val="24"/>
          <w:lang w:val="es-ES_tradnl" w:eastAsia="es-ES"/>
        </w:rPr>
        <w:t>otros:“</w:t>
      </w:r>
      <w:proofErr w:type="gramEnd"/>
      <w:r w:rsidRPr="00793993">
        <w:rPr>
          <w:rFonts w:ascii="Arial" w:eastAsia="Times New Roman" w:hAnsi="Arial" w:cs="Arial"/>
          <w:sz w:val="24"/>
          <w:szCs w:val="24"/>
          <w:lang w:val="es-ES_tradnl" w:eastAsia="es-ES"/>
        </w:rPr>
        <w:t>1. Las sentencias debidamente ejecutoriadas proferidas por la Jurisdicción de lo Contencioso Administrativo, mediante las cuales se condene a una entidad pública al pago de sumas dinerarias.</w:t>
      </w:r>
      <w:r w:rsidR="00793993">
        <w:rPr>
          <w:rFonts w:ascii="Arial" w:eastAsia="Times New Roman" w:hAnsi="Arial" w:cs="Arial"/>
          <w:sz w:val="24"/>
          <w:szCs w:val="24"/>
          <w:lang w:val="es-ES_tradnl" w:eastAsia="es-ES"/>
        </w:rPr>
        <w:t xml:space="preserve"> </w:t>
      </w:r>
      <w:proofErr w:type="gramStart"/>
      <w:r w:rsidRPr="00793993">
        <w:rPr>
          <w:rFonts w:ascii="Arial" w:eastAsia="Times New Roman" w:hAnsi="Arial" w:cs="Arial"/>
          <w:sz w:val="24"/>
          <w:szCs w:val="24"/>
          <w:lang w:val="es-ES_tradnl" w:eastAsia="es-ES"/>
        </w:rPr>
        <w:t>(</w:t>
      </w:r>
      <w:proofErr w:type="gramEnd"/>
      <w:r w:rsidRPr="00793993">
        <w:rPr>
          <w:rFonts w:ascii="Arial" w:eastAsia="Times New Roman" w:hAnsi="Arial" w:cs="Arial"/>
          <w:sz w:val="24"/>
          <w:szCs w:val="24"/>
          <w:lang w:val="es-ES_tradnl" w:eastAsia="es-ES"/>
        </w:rPr>
        <w:t>…)”.</w:t>
      </w:r>
      <w:r w:rsidR="00793993" w:rsidRPr="00793993">
        <w:rPr>
          <w:rFonts w:ascii="Arial" w:eastAsia="Times New Roman" w:hAnsi="Arial" w:cs="Arial"/>
          <w:sz w:val="24"/>
          <w:szCs w:val="24"/>
          <w:lang w:val="es-ES_tradnl" w:eastAsia="es-ES"/>
        </w:rPr>
        <w:t xml:space="preserve"> </w:t>
      </w:r>
      <w:r w:rsidRPr="00793993">
        <w:rPr>
          <w:rFonts w:ascii="Arial" w:eastAsia="Times New Roman" w:hAnsi="Arial" w:cs="Arial"/>
          <w:sz w:val="24"/>
          <w:szCs w:val="24"/>
          <w:lang w:val="es-ES_tradnl" w:eastAsia="es-ES"/>
        </w:rPr>
        <w:t>Lo señalado, en concordancia con el artículo 422 del CGP, que señala que pueden demandarse ejecutivamente las obligaciones claras, expresas y exigibles que emanen de una sentencia de condena proferida por juez o tribunal de cualquier jurisdicción.</w:t>
      </w:r>
      <w:r w:rsidR="00793993" w:rsidRPr="00793993">
        <w:rPr>
          <w:rFonts w:ascii="Arial" w:eastAsia="Times New Roman" w:hAnsi="Arial" w:cs="Arial"/>
          <w:sz w:val="24"/>
          <w:szCs w:val="24"/>
          <w:lang w:val="es-ES_tradnl" w:eastAsia="es-ES"/>
        </w:rPr>
        <w:t xml:space="preserve"> </w:t>
      </w:r>
      <w:r w:rsidRPr="00793993">
        <w:rPr>
          <w:rFonts w:ascii="Arial" w:eastAsia="Times New Roman" w:hAnsi="Arial" w:cs="Arial"/>
          <w:sz w:val="24"/>
          <w:szCs w:val="24"/>
          <w:lang w:val="es-ES_tradnl" w:eastAsia="es-ES"/>
        </w:rPr>
        <w:t>En ese orden de ideas, por remisión del artículo 306 del CPACA, existe la posibilidad de solicitar la ejecución con base en la sentencia en los términos previstos en el artículo 306 del CGP, que señala:</w:t>
      </w:r>
      <w:r w:rsidR="00793993" w:rsidRPr="00793993">
        <w:rPr>
          <w:rFonts w:ascii="Arial" w:eastAsia="Times New Roman" w:hAnsi="Arial" w:cs="Arial"/>
          <w:sz w:val="24"/>
          <w:szCs w:val="24"/>
          <w:lang w:val="es-ES_tradnl" w:eastAsia="es-ES"/>
        </w:rPr>
        <w:t xml:space="preserve"> (…). </w:t>
      </w:r>
      <w:r w:rsidRPr="00793993">
        <w:rPr>
          <w:rFonts w:ascii="Arial" w:eastAsia="Times New Roman" w:hAnsi="Arial" w:cs="Arial"/>
          <w:sz w:val="24"/>
          <w:szCs w:val="24"/>
          <w:lang w:val="es-ES_tradnl" w:eastAsia="es-ES"/>
        </w:rPr>
        <w:t xml:space="preserve">O también, existe la posibilidad de exigir el cumplimiento de la sentencia a través del proceso ejecutivo de conformidad con los artículos 424 y 426 </w:t>
      </w:r>
      <w:r w:rsidRPr="00793993">
        <w:rPr>
          <w:rFonts w:ascii="Arial" w:eastAsia="Times New Roman" w:hAnsi="Arial" w:cs="Arial"/>
          <w:sz w:val="24"/>
          <w:szCs w:val="24"/>
          <w:lang w:val="es-ES_tradnl" w:eastAsia="es-ES"/>
        </w:rPr>
        <w:lastRenderedPageBreak/>
        <w:t>del CGP, los cuales señalan:</w:t>
      </w:r>
      <w:r w:rsidR="00793993" w:rsidRPr="00793993">
        <w:rPr>
          <w:rFonts w:ascii="Arial" w:eastAsia="Times New Roman" w:hAnsi="Arial" w:cs="Arial"/>
          <w:sz w:val="24"/>
          <w:szCs w:val="24"/>
          <w:lang w:val="es-ES_tradnl" w:eastAsia="es-ES"/>
        </w:rPr>
        <w:t xml:space="preserve"> (…). </w:t>
      </w:r>
      <w:r w:rsidRPr="00793993">
        <w:rPr>
          <w:rFonts w:ascii="Arial" w:eastAsia="Times New Roman" w:hAnsi="Arial" w:cs="Arial"/>
          <w:sz w:val="24"/>
          <w:szCs w:val="24"/>
          <w:lang w:val="es-ES_tradnl" w:eastAsia="es-ES"/>
        </w:rPr>
        <w:t>Por las razones expuestas, es improcedente la solicitud impetrada por la parte actora relativa a dar inicio al incidente de desacato contra el COMANDANTE DEL EJÉRCITO NACIONAL DE COLOMBIA mayor general EDUARDO ENRIQUE ZAPATEIRO ALTAMIRANDA o quien haga sus veces, por el incumplimiento de la sentencia proferida en el asunto de la referencia el 27 de febrero de 2020 por este Tribunal y confirmada por el Consejo de Estado el 23 de mayo de 2022.</w:t>
      </w:r>
    </w:p>
    <w:p w14:paraId="330E284B" w14:textId="412C9BCA" w:rsidR="00793993" w:rsidRDefault="00793993" w:rsidP="00793993">
      <w:pPr>
        <w:spacing w:after="0" w:line="240" w:lineRule="auto"/>
        <w:jc w:val="both"/>
        <w:rPr>
          <w:rFonts w:ascii="Arial" w:eastAsia="Times New Roman" w:hAnsi="Arial" w:cs="Arial"/>
          <w:sz w:val="24"/>
          <w:szCs w:val="24"/>
          <w:lang w:val="es-ES_tradnl" w:eastAsia="es-ES"/>
        </w:rPr>
      </w:pPr>
    </w:p>
    <w:p w14:paraId="1EA07FF6" w14:textId="0D35C914" w:rsidR="00793993" w:rsidRPr="000638FC" w:rsidRDefault="00793993" w:rsidP="00793993">
      <w:pPr>
        <w:spacing w:after="0" w:line="240" w:lineRule="auto"/>
        <w:jc w:val="both"/>
        <w:rPr>
          <w:rFonts w:ascii="Arial" w:hAnsi="Arial" w:cs="Arial"/>
          <w:iCs/>
          <w:sz w:val="24"/>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 w:val="24"/>
          <w:szCs w:val="24"/>
        </w:rPr>
        <w:t xml:space="preserve"> </w:t>
      </w:r>
      <w:r w:rsidRPr="000638FC">
        <w:rPr>
          <w:rFonts w:ascii="Arial" w:hAnsi="Arial" w:cs="Arial"/>
          <w:iCs/>
          <w:sz w:val="24"/>
          <w:szCs w:val="24"/>
        </w:rPr>
        <w:t>Para validar la integridad de la providencia los interesados pueden consultarla y descargarla a través de la plataforma SAMAI</w:t>
      </w:r>
      <w:bookmarkEnd w:id="1"/>
      <w:r w:rsidRPr="000638FC">
        <w:rPr>
          <w:rFonts w:ascii="Arial" w:hAnsi="Arial" w:cs="Arial"/>
          <w:iCs/>
          <w:sz w:val="24"/>
          <w:szCs w:val="24"/>
        </w:rPr>
        <w:t xml:space="preserve"> siguiendo este link: </w:t>
      </w:r>
    </w:p>
    <w:tbl>
      <w:tblPr>
        <w:tblStyle w:val="Tablaconcuadrcula"/>
        <w:tblW w:w="0" w:type="auto"/>
        <w:tblLook w:val="04A0" w:firstRow="1" w:lastRow="0" w:firstColumn="1" w:lastColumn="0" w:noHBand="0" w:noVBand="1"/>
      </w:tblPr>
      <w:tblGrid>
        <w:gridCol w:w="8830"/>
      </w:tblGrid>
      <w:tr w:rsidR="00793993" w14:paraId="3DDFE47D" w14:textId="77777777" w:rsidTr="006F32EC">
        <w:tc>
          <w:tcPr>
            <w:tcW w:w="8828" w:type="dxa"/>
          </w:tcPr>
          <w:bookmarkEnd w:id="2"/>
          <w:p w14:paraId="23DF056D" w14:textId="36DE569B" w:rsidR="00793993" w:rsidRDefault="00793993" w:rsidP="006F32EC">
            <w:pPr>
              <w:tabs>
                <w:tab w:val="left" w:pos="1199"/>
              </w:tabs>
            </w:pPr>
            <w:r>
              <w:tab/>
            </w:r>
            <w:r w:rsidRPr="00793993">
              <w:t>https://samai.azurewebsites.net/Vistas/Casos/list_procesos.aspx?guid=150012333000201900429001500123</w:t>
            </w:r>
          </w:p>
        </w:tc>
      </w:tr>
    </w:tbl>
    <w:bookmarkEnd w:id="3"/>
    <w:bookmarkEnd w:id="4"/>
    <w:bookmarkEnd w:id="5"/>
    <w:bookmarkEnd w:id="6"/>
    <w:bookmarkEnd w:id="7"/>
    <w:p w14:paraId="7FA24BFC" w14:textId="016E2A2A" w:rsidR="00B76BDD" w:rsidRPr="00584CA3" w:rsidRDefault="00DD1F71" w:rsidP="00584CA3">
      <w:pPr>
        <w:spacing w:after="0" w:line="360" w:lineRule="auto"/>
        <w:jc w:val="center"/>
        <w:rPr>
          <w:rFonts w:ascii="Verdana" w:eastAsia="Times New Roman" w:hAnsi="Verdana" w:cs="Arial"/>
          <w:b/>
          <w:bCs/>
          <w:lang w:eastAsia="es-ES"/>
        </w:rPr>
      </w:pPr>
      <w:r w:rsidRPr="00584CA3">
        <w:rPr>
          <w:rFonts w:ascii="Verdana" w:eastAsia="Times New Roman" w:hAnsi="Verdana" w:cs="Arial"/>
          <w:b/>
          <w:bCs/>
          <w:lang w:eastAsia="es-ES"/>
        </w:rPr>
        <w:t xml:space="preserve">                                                                                                                                                                                                                                                                                                                                                                                                     </w:t>
      </w:r>
      <w:r w:rsidR="00B76BDD" w:rsidRPr="00584CA3">
        <w:rPr>
          <w:rFonts w:ascii="Verdana" w:eastAsia="Times New Roman" w:hAnsi="Verdana" w:cs="Arial"/>
          <w:b/>
          <w:bCs/>
          <w:lang w:eastAsia="es-ES"/>
        </w:rPr>
        <w:t>REPUBLICA DE COLOMBIA</w:t>
      </w:r>
    </w:p>
    <w:p w14:paraId="1049F27E" w14:textId="77777777" w:rsidR="00B76BDD" w:rsidRPr="00584CA3" w:rsidRDefault="00B76BDD" w:rsidP="00584CA3">
      <w:pPr>
        <w:spacing w:after="0" w:line="360" w:lineRule="auto"/>
        <w:jc w:val="center"/>
        <w:rPr>
          <w:rFonts w:ascii="Verdana" w:eastAsia="Times New Roman" w:hAnsi="Verdana" w:cs="Arial"/>
          <w:b/>
          <w:noProof/>
          <w:lang w:val="es-CO" w:eastAsia="es-ES"/>
        </w:rPr>
      </w:pPr>
      <w:r w:rsidRPr="00584CA3">
        <w:rPr>
          <w:rFonts w:ascii="Verdana" w:eastAsia="Times New Roman" w:hAnsi="Verdana" w:cs="Arial"/>
          <w:b/>
          <w:noProof/>
          <w:lang w:val="es-MX" w:eastAsia="es-MX"/>
        </w:rPr>
        <w:drawing>
          <wp:inline distT="0" distB="0" distL="0" distR="0" wp14:anchorId="097956C9" wp14:editId="0F031691">
            <wp:extent cx="609600" cy="504825"/>
            <wp:effectExtent l="0" t="0" r="0" b="9525"/>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7FE88DA2" w14:textId="77777777" w:rsidR="00B76BDD" w:rsidRPr="00584CA3" w:rsidRDefault="00B76BDD" w:rsidP="00584CA3">
      <w:pPr>
        <w:spacing w:after="0" w:line="360" w:lineRule="auto"/>
        <w:jc w:val="center"/>
        <w:rPr>
          <w:rFonts w:ascii="Verdana" w:eastAsia="Times New Roman" w:hAnsi="Verdana" w:cs="Arial"/>
          <w:b/>
          <w:lang w:eastAsia="es-ES"/>
        </w:rPr>
      </w:pPr>
      <w:r w:rsidRPr="00584CA3">
        <w:rPr>
          <w:rFonts w:ascii="Verdana" w:eastAsia="Times New Roman" w:hAnsi="Verdana" w:cs="Arial"/>
          <w:b/>
          <w:lang w:eastAsia="es-ES"/>
        </w:rPr>
        <w:t>TRIBUNAL ADMINISTRATIVO DE BOYACA</w:t>
      </w:r>
    </w:p>
    <w:p w14:paraId="178E7318" w14:textId="77777777" w:rsidR="00B76BDD" w:rsidRPr="00584CA3" w:rsidRDefault="00B76BDD" w:rsidP="00584CA3">
      <w:pPr>
        <w:spacing w:after="0" w:line="360" w:lineRule="auto"/>
        <w:jc w:val="center"/>
        <w:rPr>
          <w:rFonts w:ascii="Verdana" w:eastAsia="Times New Roman" w:hAnsi="Verdana" w:cs="Arial"/>
          <w:b/>
          <w:bCs/>
          <w:lang w:val="es-ES_tradnl" w:eastAsia="es-ES"/>
        </w:rPr>
      </w:pPr>
      <w:r w:rsidRPr="00584CA3">
        <w:rPr>
          <w:rFonts w:ascii="Verdana" w:eastAsia="Times New Roman" w:hAnsi="Verdana" w:cs="Arial"/>
          <w:b/>
          <w:bCs/>
          <w:lang w:val="es-ES_tradnl" w:eastAsia="es-ES"/>
        </w:rPr>
        <w:t>DESPACHO No. 4</w:t>
      </w:r>
    </w:p>
    <w:p w14:paraId="4EE22148" w14:textId="77777777" w:rsidR="00B76BDD" w:rsidRPr="00584CA3" w:rsidRDefault="00B76BDD" w:rsidP="00584CA3">
      <w:pPr>
        <w:spacing w:after="0" w:line="360" w:lineRule="auto"/>
        <w:jc w:val="center"/>
        <w:rPr>
          <w:rFonts w:ascii="Verdana" w:eastAsia="Times New Roman" w:hAnsi="Verdana" w:cs="Arial"/>
          <w:b/>
          <w:bCs/>
          <w:lang w:val="es-ES_tradnl" w:eastAsia="es-ES"/>
        </w:rPr>
      </w:pPr>
      <w:r w:rsidRPr="00584CA3">
        <w:rPr>
          <w:rFonts w:ascii="Verdana" w:eastAsia="Times New Roman" w:hAnsi="Verdana" w:cs="Arial"/>
          <w:b/>
          <w:bCs/>
          <w:lang w:val="es-ES_tradnl" w:eastAsia="es-ES"/>
        </w:rPr>
        <w:t>MAGISTRADO: FELIX ALBERTO RODRIGUEZ RIVEROS</w:t>
      </w:r>
    </w:p>
    <w:p w14:paraId="54239E86" w14:textId="77777777" w:rsidR="00B76BDD" w:rsidRPr="00584CA3" w:rsidRDefault="00B76BDD" w:rsidP="00584CA3">
      <w:pPr>
        <w:spacing w:after="0" w:line="360" w:lineRule="auto"/>
        <w:jc w:val="both"/>
        <w:rPr>
          <w:rFonts w:ascii="Verdana" w:eastAsia="Times New Roman" w:hAnsi="Verdana" w:cs="Arial"/>
          <w:color w:val="FF6600"/>
          <w:lang w:eastAsia="es-ES"/>
        </w:rPr>
      </w:pPr>
    </w:p>
    <w:p w14:paraId="75854C93" w14:textId="56E57DF8" w:rsidR="00B76BDD" w:rsidRPr="00584CA3" w:rsidRDefault="00B76BDD" w:rsidP="00584CA3">
      <w:pPr>
        <w:spacing w:after="0" w:line="360" w:lineRule="auto"/>
        <w:jc w:val="both"/>
        <w:rPr>
          <w:rFonts w:ascii="Verdana" w:eastAsia="Times New Roman" w:hAnsi="Verdana" w:cs="Arial"/>
          <w:lang w:eastAsia="es-ES"/>
        </w:rPr>
      </w:pPr>
      <w:r w:rsidRPr="00584CA3">
        <w:rPr>
          <w:rFonts w:ascii="Verdana" w:eastAsia="Times New Roman" w:hAnsi="Verdana" w:cs="Arial"/>
          <w:lang w:eastAsia="es-ES"/>
        </w:rPr>
        <w:t xml:space="preserve">Tunja, </w:t>
      </w:r>
      <w:r w:rsidR="00582502">
        <w:rPr>
          <w:rFonts w:ascii="Verdana" w:eastAsia="Times New Roman" w:hAnsi="Verdana" w:cs="Arial"/>
          <w:lang w:eastAsia="es-ES"/>
        </w:rPr>
        <w:t>catorce</w:t>
      </w:r>
      <w:r w:rsidR="0076391C">
        <w:rPr>
          <w:rFonts w:ascii="Verdana" w:eastAsia="Times New Roman" w:hAnsi="Verdana" w:cs="Arial"/>
          <w:lang w:eastAsia="es-ES"/>
        </w:rPr>
        <w:t xml:space="preserve"> (</w:t>
      </w:r>
      <w:r w:rsidR="00582502">
        <w:rPr>
          <w:rFonts w:ascii="Verdana" w:eastAsia="Times New Roman" w:hAnsi="Verdana" w:cs="Arial"/>
          <w:lang w:eastAsia="es-ES"/>
        </w:rPr>
        <w:t>14</w:t>
      </w:r>
      <w:r w:rsidR="0076391C">
        <w:rPr>
          <w:rFonts w:ascii="Verdana" w:eastAsia="Times New Roman" w:hAnsi="Verdana" w:cs="Arial"/>
          <w:lang w:eastAsia="es-ES"/>
        </w:rPr>
        <w:t xml:space="preserve">) de </w:t>
      </w:r>
      <w:r w:rsidR="00582502">
        <w:rPr>
          <w:rFonts w:ascii="Verdana" w:eastAsia="Times New Roman" w:hAnsi="Verdana" w:cs="Arial"/>
          <w:lang w:eastAsia="es-ES"/>
        </w:rPr>
        <w:t>marz</w:t>
      </w:r>
      <w:r w:rsidR="00D77F8F">
        <w:rPr>
          <w:rFonts w:ascii="Verdana" w:eastAsia="Times New Roman" w:hAnsi="Verdana" w:cs="Arial"/>
          <w:lang w:eastAsia="es-ES"/>
        </w:rPr>
        <w:t xml:space="preserve">o </w:t>
      </w:r>
      <w:r w:rsidR="0076391C">
        <w:rPr>
          <w:rFonts w:ascii="Verdana" w:eastAsia="Times New Roman" w:hAnsi="Verdana" w:cs="Arial"/>
          <w:lang w:eastAsia="es-ES"/>
        </w:rPr>
        <w:t>de dos mil veinti</w:t>
      </w:r>
      <w:r w:rsidR="00D77F8F">
        <w:rPr>
          <w:rFonts w:ascii="Verdana" w:eastAsia="Times New Roman" w:hAnsi="Verdana" w:cs="Arial"/>
          <w:lang w:eastAsia="es-ES"/>
        </w:rPr>
        <w:t>trés</w:t>
      </w:r>
      <w:r w:rsidR="0076391C">
        <w:rPr>
          <w:rFonts w:ascii="Verdana" w:eastAsia="Times New Roman" w:hAnsi="Verdana" w:cs="Arial"/>
          <w:lang w:eastAsia="es-ES"/>
        </w:rPr>
        <w:t xml:space="preserve"> (202</w:t>
      </w:r>
      <w:r w:rsidR="00D77F8F">
        <w:rPr>
          <w:rFonts w:ascii="Verdana" w:eastAsia="Times New Roman" w:hAnsi="Verdana" w:cs="Arial"/>
          <w:lang w:eastAsia="es-ES"/>
        </w:rPr>
        <w:t>3</w:t>
      </w:r>
      <w:r w:rsidR="0076391C">
        <w:rPr>
          <w:rFonts w:ascii="Verdana" w:eastAsia="Times New Roman" w:hAnsi="Verdana" w:cs="Arial"/>
          <w:lang w:eastAsia="es-ES"/>
        </w:rPr>
        <w:t>)</w:t>
      </w:r>
    </w:p>
    <w:p w14:paraId="15D791B3" w14:textId="77777777" w:rsidR="00B76BDD" w:rsidRPr="00584CA3" w:rsidRDefault="00B76BDD" w:rsidP="00584CA3">
      <w:pPr>
        <w:spacing w:after="0" w:line="360" w:lineRule="auto"/>
        <w:jc w:val="both"/>
        <w:rPr>
          <w:rFonts w:ascii="Verdana" w:eastAsia="Times New Roman" w:hAnsi="Verdana" w:cs="Arial"/>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567"/>
      </w:tblGrid>
      <w:tr w:rsidR="00B76BDD" w:rsidRPr="00584CA3" w14:paraId="43B6A52B" w14:textId="77777777" w:rsidTr="006F634A">
        <w:tc>
          <w:tcPr>
            <w:tcW w:w="3261" w:type="dxa"/>
            <w:hideMark/>
          </w:tcPr>
          <w:p w14:paraId="09FD41E5" w14:textId="77777777" w:rsidR="00B76BDD" w:rsidRPr="00584CA3" w:rsidRDefault="00B76BDD" w:rsidP="00584CA3">
            <w:pPr>
              <w:autoSpaceDN w:val="0"/>
              <w:spacing w:line="360" w:lineRule="auto"/>
              <w:jc w:val="both"/>
              <w:rPr>
                <w:rFonts w:ascii="Verdana" w:eastAsia="Times New Roman" w:hAnsi="Verdana" w:cs="Arial"/>
                <w:b/>
              </w:rPr>
            </w:pPr>
            <w:r w:rsidRPr="00584CA3">
              <w:rPr>
                <w:rFonts w:ascii="Verdana" w:eastAsia="Times New Roman" w:hAnsi="Verdana" w:cs="Arial"/>
                <w:b/>
              </w:rPr>
              <w:t>MEDIO DE CONTROL:</w:t>
            </w:r>
          </w:p>
        </w:tc>
        <w:tc>
          <w:tcPr>
            <w:tcW w:w="5567" w:type="dxa"/>
            <w:hideMark/>
          </w:tcPr>
          <w:p w14:paraId="53D594B4" w14:textId="6630A2CE" w:rsidR="00B76BDD" w:rsidRPr="007378A3" w:rsidRDefault="00AE2855" w:rsidP="000D5FD9">
            <w:pPr>
              <w:autoSpaceDN w:val="0"/>
              <w:spacing w:line="360" w:lineRule="auto"/>
              <w:jc w:val="both"/>
              <w:rPr>
                <w:rFonts w:ascii="Verdana" w:eastAsia="Times New Roman" w:hAnsi="Verdana" w:cs="Arial"/>
                <w:b/>
              </w:rPr>
            </w:pPr>
            <w:r>
              <w:rPr>
                <w:rFonts w:ascii="Verdana" w:hAnsi="Verdana"/>
                <w:b/>
              </w:rPr>
              <w:t>NULIDAD Y RESTABLECIMIENTO DEL DERECHO</w:t>
            </w:r>
          </w:p>
        </w:tc>
      </w:tr>
      <w:tr w:rsidR="00B76BDD" w:rsidRPr="00584CA3" w14:paraId="1DF78D78" w14:textId="77777777" w:rsidTr="006F634A">
        <w:tc>
          <w:tcPr>
            <w:tcW w:w="3261" w:type="dxa"/>
            <w:hideMark/>
          </w:tcPr>
          <w:p w14:paraId="50EB2C0D" w14:textId="77777777" w:rsidR="00B76BDD" w:rsidRPr="00584CA3" w:rsidRDefault="00B76BDD" w:rsidP="00584CA3">
            <w:pPr>
              <w:autoSpaceDN w:val="0"/>
              <w:spacing w:line="360" w:lineRule="auto"/>
              <w:jc w:val="both"/>
              <w:rPr>
                <w:rFonts w:ascii="Verdana" w:eastAsia="Times New Roman" w:hAnsi="Verdana" w:cs="Arial"/>
                <w:b/>
              </w:rPr>
            </w:pPr>
            <w:r w:rsidRPr="00584CA3">
              <w:rPr>
                <w:rFonts w:ascii="Verdana" w:eastAsia="Times New Roman" w:hAnsi="Verdana" w:cs="Arial"/>
                <w:b/>
              </w:rPr>
              <w:t>DEMANDANTE:</w:t>
            </w:r>
          </w:p>
        </w:tc>
        <w:tc>
          <w:tcPr>
            <w:tcW w:w="5567" w:type="dxa"/>
            <w:hideMark/>
          </w:tcPr>
          <w:p w14:paraId="6905C8DC" w14:textId="350B34A2" w:rsidR="00B76BDD" w:rsidRPr="007378A3" w:rsidRDefault="002311A0" w:rsidP="00584CA3">
            <w:pPr>
              <w:autoSpaceDN w:val="0"/>
              <w:spacing w:line="360" w:lineRule="auto"/>
              <w:jc w:val="both"/>
              <w:rPr>
                <w:rFonts w:ascii="Verdana" w:eastAsia="Times New Roman" w:hAnsi="Verdana" w:cs="Arial"/>
                <w:b/>
              </w:rPr>
            </w:pPr>
            <w:r w:rsidRPr="002311A0">
              <w:rPr>
                <w:rFonts w:ascii="Verdana" w:eastAsia="Times New Roman" w:hAnsi="Verdana" w:cs="Arial"/>
                <w:b/>
                <w:szCs w:val="24"/>
                <w:lang w:val="es-ES" w:eastAsia="es-ES"/>
              </w:rPr>
              <w:t>SUGEY ALEJANDRA HERNANDEZ LEMUS</w:t>
            </w:r>
          </w:p>
        </w:tc>
      </w:tr>
      <w:tr w:rsidR="00B76BDD" w:rsidRPr="00584CA3" w14:paraId="264259BD" w14:textId="77777777" w:rsidTr="006F634A">
        <w:tc>
          <w:tcPr>
            <w:tcW w:w="3261" w:type="dxa"/>
            <w:hideMark/>
          </w:tcPr>
          <w:p w14:paraId="3CFAFD80" w14:textId="77777777" w:rsidR="00B76BDD" w:rsidRPr="00584CA3" w:rsidRDefault="00B76BDD" w:rsidP="00584CA3">
            <w:pPr>
              <w:autoSpaceDN w:val="0"/>
              <w:spacing w:line="360" w:lineRule="auto"/>
              <w:jc w:val="both"/>
              <w:rPr>
                <w:rFonts w:ascii="Verdana" w:eastAsia="Times New Roman" w:hAnsi="Verdana" w:cs="Arial"/>
                <w:b/>
              </w:rPr>
            </w:pPr>
            <w:r w:rsidRPr="00584CA3">
              <w:rPr>
                <w:rFonts w:ascii="Verdana" w:eastAsia="Times New Roman" w:hAnsi="Verdana" w:cs="Arial"/>
                <w:b/>
              </w:rPr>
              <w:t>DEMANDADO:</w:t>
            </w:r>
          </w:p>
        </w:tc>
        <w:tc>
          <w:tcPr>
            <w:tcW w:w="5567" w:type="dxa"/>
            <w:hideMark/>
          </w:tcPr>
          <w:p w14:paraId="03DBE73A" w14:textId="08FF0C80" w:rsidR="00A30255" w:rsidRPr="007378A3" w:rsidRDefault="002311A0" w:rsidP="00D777AA">
            <w:pPr>
              <w:autoSpaceDN w:val="0"/>
              <w:spacing w:line="360" w:lineRule="auto"/>
              <w:jc w:val="both"/>
              <w:rPr>
                <w:rFonts w:ascii="Verdana" w:eastAsia="Times New Roman" w:hAnsi="Verdana" w:cs="Arial"/>
                <w:b/>
              </w:rPr>
            </w:pPr>
            <w:r w:rsidRPr="002311A0">
              <w:rPr>
                <w:rFonts w:ascii="Verdana" w:eastAsia="Times New Roman" w:hAnsi="Verdana" w:cs="Arial"/>
                <w:b/>
              </w:rPr>
              <w:t>NACIÓN -MINISTERIO DE DEFENSA – EJÉRCITO NACIONAL</w:t>
            </w:r>
          </w:p>
        </w:tc>
      </w:tr>
      <w:tr w:rsidR="00B76BDD" w:rsidRPr="00584CA3" w14:paraId="448CC4E9" w14:textId="77777777" w:rsidTr="006F634A">
        <w:trPr>
          <w:trHeight w:val="232"/>
        </w:trPr>
        <w:tc>
          <w:tcPr>
            <w:tcW w:w="3261" w:type="dxa"/>
            <w:hideMark/>
          </w:tcPr>
          <w:p w14:paraId="5A796DF1" w14:textId="77777777" w:rsidR="00B76BDD" w:rsidRPr="00584CA3" w:rsidRDefault="00B76BDD" w:rsidP="00584CA3">
            <w:pPr>
              <w:autoSpaceDN w:val="0"/>
              <w:spacing w:line="360" w:lineRule="auto"/>
              <w:jc w:val="both"/>
              <w:rPr>
                <w:rFonts w:ascii="Verdana" w:eastAsia="Times New Roman" w:hAnsi="Verdana" w:cs="Arial"/>
                <w:b/>
              </w:rPr>
            </w:pPr>
            <w:r w:rsidRPr="00584CA3">
              <w:rPr>
                <w:rFonts w:ascii="Verdana" w:eastAsia="Times New Roman" w:hAnsi="Verdana" w:cs="Arial"/>
                <w:b/>
              </w:rPr>
              <w:t>RADICACIÓN No:</w:t>
            </w:r>
          </w:p>
        </w:tc>
        <w:tc>
          <w:tcPr>
            <w:tcW w:w="5567" w:type="dxa"/>
            <w:hideMark/>
          </w:tcPr>
          <w:p w14:paraId="7F7B9EEC" w14:textId="3EB9D2E1" w:rsidR="00B76BDD" w:rsidRPr="007378A3" w:rsidRDefault="002311A0" w:rsidP="00584CA3">
            <w:pPr>
              <w:autoSpaceDN w:val="0"/>
              <w:spacing w:line="360" w:lineRule="auto"/>
              <w:jc w:val="both"/>
              <w:rPr>
                <w:rFonts w:ascii="Verdana" w:eastAsia="Times New Roman" w:hAnsi="Verdana" w:cs="Arial"/>
                <w:b/>
              </w:rPr>
            </w:pPr>
            <w:r w:rsidRPr="002311A0">
              <w:rPr>
                <w:rFonts w:ascii="Verdana" w:eastAsia="Times New Roman" w:hAnsi="Verdana" w:cs="Arial"/>
                <w:b/>
              </w:rPr>
              <w:t>15001-23-33-000-2019-00429-00</w:t>
            </w:r>
          </w:p>
        </w:tc>
      </w:tr>
    </w:tbl>
    <w:p w14:paraId="676AFE2D" w14:textId="3272E986" w:rsidR="00B76BDD" w:rsidRDefault="00B76BDD" w:rsidP="00584CA3">
      <w:pPr>
        <w:spacing w:after="0" w:line="360" w:lineRule="auto"/>
        <w:jc w:val="both"/>
        <w:rPr>
          <w:rFonts w:ascii="Verdana" w:eastAsia="Times New Roman" w:hAnsi="Verdana" w:cs="Arial"/>
          <w:lang w:val="es-ES_tradnl" w:eastAsia="es-ES"/>
        </w:rPr>
      </w:pPr>
    </w:p>
    <w:p w14:paraId="7D758641" w14:textId="5E3273B4" w:rsidR="007378A3" w:rsidRDefault="002977DD" w:rsidP="5A769271">
      <w:pPr>
        <w:spacing w:after="0" w:line="360" w:lineRule="auto"/>
        <w:jc w:val="both"/>
        <w:rPr>
          <w:rFonts w:ascii="Verdana" w:eastAsia="Times New Roman" w:hAnsi="Verdana" w:cs="Arial"/>
          <w:lang w:eastAsia="es-ES"/>
        </w:rPr>
      </w:pPr>
      <w:r w:rsidRPr="5A769271">
        <w:rPr>
          <w:rFonts w:ascii="Verdana" w:eastAsia="Times New Roman" w:hAnsi="Verdana" w:cs="Arial"/>
          <w:lang w:eastAsia="es-ES"/>
        </w:rPr>
        <w:t xml:space="preserve">Ingresa al </w:t>
      </w:r>
      <w:r w:rsidR="004039AC" w:rsidRPr="5A769271">
        <w:rPr>
          <w:rFonts w:ascii="Verdana" w:eastAsia="Times New Roman" w:hAnsi="Verdana" w:cs="Arial"/>
          <w:lang w:eastAsia="es-ES"/>
        </w:rPr>
        <w:t xml:space="preserve">Despacho </w:t>
      </w:r>
      <w:r w:rsidRPr="5A769271">
        <w:rPr>
          <w:rFonts w:ascii="Verdana" w:eastAsia="Times New Roman" w:hAnsi="Verdana" w:cs="Arial"/>
          <w:lang w:eastAsia="es-ES"/>
        </w:rPr>
        <w:t>par</w:t>
      </w:r>
      <w:r w:rsidR="004039AC" w:rsidRPr="5A769271">
        <w:rPr>
          <w:rFonts w:ascii="Verdana" w:eastAsia="Times New Roman" w:hAnsi="Verdana" w:cs="Arial"/>
          <w:lang w:eastAsia="es-ES"/>
        </w:rPr>
        <w:t xml:space="preserve">a resolver </w:t>
      </w:r>
      <w:r w:rsidR="00BB0FE4" w:rsidRPr="5A769271">
        <w:rPr>
          <w:rFonts w:ascii="Verdana" w:eastAsia="Times New Roman" w:hAnsi="Verdana" w:cs="Arial"/>
          <w:lang w:eastAsia="es-ES"/>
        </w:rPr>
        <w:t xml:space="preserve">sobre </w:t>
      </w:r>
      <w:r w:rsidRPr="5A769271">
        <w:rPr>
          <w:rFonts w:ascii="Verdana" w:eastAsia="Times New Roman" w:hAnsi="Verdana" w:cs="Arial"/>
          <w:lang w:eastAsia="es-ES"/>
        </w:rPr>
        <w:t>el incidente de desacato formulado por</w:t>
      </w:r>
      <w:r w:rsidR="64D8011C" w:rsidRPr="5A769271">
        <w:rPr>
          <w:rFonts w:ascii="Verdana" w:eastAsia="Times New Roman" w:hAnsi="Verdana" w:cs="Arial"/>
          <w:lang w:eastAsia="es-ES"/>
        </w:rPr>
        <w:t xml:space="preserve"> la</w:t>
      </w:r>
      <w:r w:rsidRPr="5A769271">
        <w:rPr>
          <w:rFonts w:ascii="Verdana" w:eastAsia="Times New Roman" w:hAnsi="Verdana" w:cs="Arial"/>
          <w:lang w:eastAsia="es-ES"/>
        </w:rPr>
        <w:t xml:space="preserve"> parte demandante </w:t>
      </w:r>
      <w:r w:rsidR="003E4FE0" w:rsidRPr="5A769271">
        <w:rPr>
          <w:rFonts w:ascii="Verdana" w:eastAsia="Times New Roman" w:hAnsi="Verdana" w:cs="Arial"/>
          <w:lang w:eastAsia="es-ES"/>
        </w:rPr>
        <w:t>(</w:t>
      </w:r>
      <w:r w:rsidR="00CE6F2A" w:rsidRPr="5A769271">
        <w:rPr>
          <w:rFonts w:ascii="Verdana" w:eastAsia="Times New Roman" w:hAnsi="Verdana" w:cs="Arial"/>
          <w:lang w:eastAsia="es-ES"/>
        </w:rPr>
        <w:t xml:space="preserve">índice </w:t>
      </w:r>
      <w:r w:rsidRPr="5A769271">
        <w:rPr>
          <w:rFonts w:ascii="Verdana" w:eastAsia="Times New Roman" w:hAnsi="Verdana" w:cs="Arial"/>
          <w:lang w:eastAsia="es-ES"/>
        </w:rPr>
        <w:t>43</w:t>
      </w:r>
      <w:r w:rsidR="003E4FE0" w:rsidRPr="5A769271">
        <w:rPr>
          <w:rFonts w:ascii="Verdana" w:eastAsia="Times New Roman" w:hAnsi="Verdana" w:cs="Arial"/>
          <w:lang w:eastAsia="es-ES"/>
        </w:rPr>
        <w:t>)</w:t>
      </w:r>
      <w:r w:rsidR="004039AC" w:rsidRPr="5A769271">
        <w:rPr>
          <w:rFonts w:ascii="Verdana" w:eastAsia="Times New Roman" w:hAnsi="Verdana" w:cs="Arial"/>
          <w:lang w:eastAsia="es-ES"/>
        </w:rPr>
        <w:t>, en el asunto de la referencia.</w:t>
      </w:r>
    </w:p>
    <w:p w14:paraId="258B8115" w14:textId="1016DF14" w:rsidR="00E63AA9" w:rsidRDefault="00E63AA9" w:rsidP="00584CA3">
      <w:pPr>
        <w:spacing w:after="0" w:line="360" w:lineRule="auto"/>
        <w:jc w:val="both"/>
        <w:rPr>
          <w:rFonts w:ascii="Verdana" w:eastAsia="Times New Roman" w:hAnsi="Verdana" w:cs="Arial"/>
          <w:lang w:val="es-ES_tradnl" w:eastAsia="es-ES"/>
        </w:rPr>
      </w:pPr>
    </w:p>
    <w:p w14:paraId="5878AC86" w14:textId="760B82AD" w:rsidR="00C93966" w:rsidRDefault="00C93966" w:rsidP="00C93966">
      <w:pPr>
        <w:pStyle w:val="Prrafodelista"/>
        <w:numPr>
          <w:ilvl w:val="0"/>
          <w:numId w:val="3"/>
        </w:numPr>
        <w:spacing w:after="0" w:line="360" w:lineRule="auto"/>
        <w:jc w:val="center"/>
        <w:rPr>
          <w:rFonts w:ascii="Verdana" w:eastAsia="Times New Roman" w:hAnsi="Verdana" w:cs="Arial"/>
          <w:b/>
          <w:lang w:val="es-ES_tradnl" w:eastAsia="es-ES"/>
        </w:rPr>
      </w:pPr>
      <w:r w:rsidRPr="00C93966">
        <w:rPr>
          <w:rFonts w:ascii="Verdana" w:eastAsia="Times New Roman" w:hAnsi="Verdana" w:cs="Arial"/>
          <w:b/>
          <w:lang w:val="es-ES_tradnl" w:eastAsia="es-ES"/>
        </w:rPr>
        <w:t>ANTECEDENTES</w:t>
      </w:r>
    </w:p>
    <w:p w14:paraId="4ED5A7B7" w14:textId="77777777" w:rsidR="00C93966" w:rsidRDefault="00C93966" w:rsidP="00584CA3">
      <w:pPr>
        <w:spacing w:after="0" w:line="360" w:lineRule="auto"/>
        <w:jc w:val="both"/>
        <w:rPr>
          <w:rFonts w:ascii="Verdana" w:eastAsia="Times New Roman" w:hAnsi="Verdana" w:cs="Arial"/>
          <w:lang w:val="es-ES_tradnl" w:eastAsia="es-ES"/>
        </w:rPr>
      </w:pPr>
    </w:p>
    <w:p w14:paraId="0523B513" w14:textId="7926569C" w:rsidR="00E63AA9" w:rsidRDefault="00E63AA9" w:rsidP="00584CA3">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Así las cosas, el Despacho avizora que el apoderado de la parte demandante allegó memorial (índice 42)</w:t>
      </w:r>
      <w:r w:rsidR="000741F6">
        <w:rPr>
          <w:rFonts w:ascii="Verdana" w:eastAsia="Times New Roman" w:hAnsi="Verdana" w:cs="Arial"/>
          <w:lang w:val="es-ES_tradnl" w:eastAsia="es-ES"/>
        </w:rPr>
        <w:t>, en el cual señaló:</w:t>
      </w:r>
    </w:p>
    <w:p w14:paraId="75379D74" w14:textId="77777777" w:rsidR="000741F6" w:rsidRDefault="000741F6" w:rsidP="000741F6">
      <w:pPr>
        <w:spacing w:after="0" w:line="360" w:lineRule="auto"/>
        <w:jc w:val="both"/>
        <w:rPr>
          <w:rFonts w:ascii="Verdana" w:eastAsia="Times New Roman" w:hAnsi="Verdana" w:cs="Arial"/>
          <w:lang w:val="es-ES_tradnl" w:eastAsia="es-ES"/>
        </w:rPr>
      </w:pPr>
    </w:p>
    <w:p w14:paraId="2D7B6C46" w14:textId="5B940BD0" w:rsidR="000741F6" w:rsidRPr="000741F6" w:rsidRDefault="000741F6" w:rsidP="000741F6">
      <w:pPr>
        <w:spacing w:after="0" w:line="240" w:lineRule="auto"/>
        <w:ind w:left="708"/>
        <w:jc w:val="both"/>
        <w:rPr>
          <w:rFonts w:ascii="Verdana" w:eastAsia="Times New Roman" w:hAnsi="Verdana" w:cs="Arial"/>
          <w:i/>
          <w:lang w:val="es-ES_tradnl" w:eastAsia="es-ES"/>
        </w:rPr>
      </w:pPr>
      <w:r w:rsidRPr="000741F6">
        <w:rPr>
          <w:rFonts w:ascii="Verdana" w:eastAsia="Times New Roman" w:hAnsi="Verdana" w:cs="Arial"/>
          <w:i/>
          <w:lang w:val="es-ES_tradnl" w:eastAsia="es-ES"/>
        </w:rPr>
        <w:t>“</w:t>
      </w:r>
      <w:r w:rsidRPr="000741F6">
        <w:rPr>
          <w:rFonts w:ascii="Verdana" w:eastAsia="Times New Roman" w:hAnsi="Verdana" w:cs="Arial"/>
          <w:b/>
          <w:i/>
          <w:u w:val="single"/>
          <w:lang w:val="es-ES_tradnl" w:eastAsia="es-ES"/>
        </w:rPr>
        <w:t>INSISTO</w:t>
      </w:r>
      <w:r w:rsidRPr="000741F6">
        <w:rPr>
          <w:rFonts w:ascii="Verdana" w:eastAsia="Times New Roman" w:hAnsi="Verdana" w:cs="Arial"/>
          <w:i/>
          <w:lang w:val="es-ES_tradnl" w:eastAsia="es-ES"/>
        </w:rPr>
        <w:t xml:space="preserve"> muy respetuosamente, en que el H. Tribunal resuelva el </w:t>
      </w:r>
      <w:r w:rsidRPr="000741F6">
        <w:rPr>
          <w:rFonts w:ascii="Verdana" w:eastAsia="Times New Roman" w:hAnsi="Verdana" w:cs="Arial"/>
          <w:b/>
          <w:i/>
          <w:u w:val="single"/>
          <w:lang w:val="es-ES_tradnl" w:eastAsia="es-ES"/>
        </w:rPr>
        <w:t>INCIDENTE DE DESACATO</w:t>
      </w:r>
      <w:r w:rsidRPr="000741F6">
        <w:rPr>
          <w:rFonts w:ascii="Verdana" w:eastAsia="Times New Roman" w:hAnsi="Verdana" w:cs="Arial"/>
          <w:i/>
          <w:lang w:val="es-ES_tradnl" w:eastAsia="es-ES"/>
        </w:rPr>
        <w:t xml:space="preserve"> que fue presentado por el suscrito ante el Consejo de Estado desde el pasado 29 de junio de 2022, pero </w:t>
      </w:r>
      <w:proofErr w:type="gramStart"/>
      <w:r w:rsidRPr="000741F6">
        <w:rPr>
          <w:rFonts w:ascii="Verdana" w:eastAsia="Times New Roman" w:hAnsi="Verdana" w:cs="Arial"/>
          <w:i/>
          <w:lang w:val="es-ES_tradnl" w:eastAsia="es-ES"/>
        </w:rPr>
        <w:t>que</w:t>
      </w:r>
      <w:proofErr w:type="gramEnd"/>
      <w:r w:rsidRPr="000741F6">
        <w:rPr>
          <w:rFonts w:ascii="Verdana" w:eastAsia="Times New Roman" w:hAnsi="Verdana" w:cs="Arial"/>
          <w:i/>
          <w:lang w:val="es-ES_tradnl" w:eastAsia="es-ES"/>
        </w:rPr>
        <w:t xml:space="preserve"> por disposición del Honorable Consejo de Estado, fue remitido para que lo resolviera su H. Despacho. Todo esto de forma previa al archivo del </w:t>
      </w:r>
      <w:r w:rsidRPr="000741F6">
        <w:rPr>
          <w:rFonts w:ascii="Verdana" w:eastAsia="Times New Roman" w:hAnsi="Verdana" w:cs="Arial"/>
          <w:i/>
          <w:lang w:val="es-ES_tradnl" w:eastAsia="es-ES"/>
        </w:rPr>
        <w:lastRenderedPageBreak/>
        <w:t>presente proceso”.</w:t>
      </w:r>
      <w:r w:rsidRPr="000741F6">
        <w:rPr>
          <w:rFonts w:ascii="Verdana" w:eastAsia="Times New Roman" w:hAnsi="Verdana" w:cs="Arial"/>
          <w:i/>
          <w:lang w:val="es-ES_tradnl" w:eastAsia="es-ES"/>
        </w:rPr>
        <w:cr/>
      </w:r>
    </w:p>
    <w:p w14:paraId="2C4DD0C0" w14:textId="5D97ADB1" w:rsidR="006001EB" w:rsidRDefault="000741F6" w:rsidP="5A769271">
      <w:pPr>
        <w:spacing w:after="0" w:line="360" w:lineRule="auto"/>
        <w:jc w:val="both"/>
        <w:rPr>
          <w:rFonts w:ascii="Verdana" w:eastAsia="Times New Roman" w:hAnsi="Verdana" w:cs="Arial"/>
          <w:lang w:eastAsia="es-ES"/>
        </w:rPr>
      </w:pPr>
      <w:r w:rsidRPr="5A769271">
        <w:rPr>
          <w:rFonts w:ascii="Verdana" w:eastAsia="Times New Roman" w:hAnsi="Verdana" w:cs="Arial"/>
          <w:lang w:eastAsia="es-ES"/>
        </w:rPr>
        <w:t>Por su parte, en la solicitud de dar inicio al incidente de desacato contra el COMANDANTE DEL EJÉRCITO NACIONAL DE COLOMBIA mayor general EDUARDO ENRIQUE ZAPATEIRO ALTAMIRANDA o quien haga sus veces, por el incumplimiento de la sentencia judicial del 2</w:t>
      </w:r>
      <w:r w:rsidR="00BB0FE4" w:rsidRPr="5A769271">
        <w:rPr>
          <w:rFonts w:ascii="Verdana" w:eastAsia="Times New Roman" w:hAnsi="Verdana" w:cs="Arial"/>
          <w:lang w:eastAsia="es-ES"/>
        </w:rPr>
        <w:t>7</w:t>
      </w:r>
      <w:r w:rsidRPr="5A769271">
        <w:rPr>
          <w:rFonts w:ascii="Verdana" w:eastAsia="Times New Roman" w:hAnsi="Verdana" w:cs="Arial"/>
          <w:lang w:eastAsia="es-ES"/>
        </w:rPr>
        <w:t xml:space="preserve"> de febrero de 2020 proferida </w:t>
      </w:r>
      <w:r w:rsidR="3F6621BB" w:rsidRPr="5A769271">
        <w:rPr>
          <w:rFonts w:ascii="Verdana" w:eastAsia="Times New Roman" w:hAnsi="Verdana" w:cs="Arial"/>
          <w:lang w:eastAsia="es-ES"/>
        </w:rPr>
        <w:t xml:space="preserve">por </w:t>
      </w:r>
      <w:r w:rsidRPr="5A769271">
        <w:rPr>
          <w:rFonts w:ascii="Verdana" w:eastAsia="Times New Roman" w:hAnsi="Verdana" w:cs="Arial"/>
          <w:lang w:eastAsia="es-ES"/>
        </w:rPr>
        <w:t xml:space="preserve">este Tribunal y confirmada por el Consejo de Estado el 23 de mayo de 2022, el apoderado de la parte demandante </w:t>
      </w:r>
      <w:r w:rsidR="00300353" w:rsidRPr="5A769271">
        <w:rPr>
          <w:rFonts w:ascii="Verdana" w:eastAsia="Times New Roman" w:hAnsi="Verdana" w:cs="Arial"/>
          <w:lang w:eastAsia="es-ES"/>
        </w:rPr>
        <w:t xml:space="preserve">pidió que se apliquen las consecuencias pecuniarias y de arresto </w:t>
      </w:r>
      <w:r w:rsidR="00880D16" w:rsidRPr="5A769271">
        <w:rPr>
          <w:rFonts w:ascii="Verdana" w:eastAsia="Times New Roman" w:hAnsi="Verdana" w:cs="Arial"/>
          <w:lang w:eastAsia="es-ES"/>
        </w:rPr>
        <w:t>que sean legalmente procedentes</w:t>
      </w:r>
      <w:r w:rsidRPr="5A769271">
        <w:rPr>
          <w:rFonts w:ascii="Verdana" w:eastAsia="Times New Roman" w:hAnsi="Verdana" w:cs="Arial"/>
          <w:lang w:eastAsia="es-ES"/>
        </w:rPr>
        <w:t xml:space="preserve"> (</w:t>
      </w:r>
      <w:r w:rsidR="00880D16" w:rsidRPr="5A769271">
        <w:rPr>
          <w:rFonts w:ascii="Verdana" w:eastAsia="Times New Roman" w:hAnsi="Verdana" w:cs="Arial"/>
          <w:lang w:eastAsia="es-ES"/>
        </w:rPr>
        <w:t xml:space="preserve">documento </w:t>
      </w:r>
      <w:r w:rsidRPr="5A769271">
        <w:rPr>
          <w:rFonts w:ascii="Verdana" w:eastAsia="Times New Roman" w:hAnsi="Verdana" w:cs="Arial"/>
          <w:lang w:eastAsia="es-ES"/>
        </w:rPr>
        <w:t>SOLICITUD INICIO INCIDENTE DE DESACATO SUGEY HERNANDEZ.pdf)</w:t>
      </w:r>
      <w:r w:rsidR="0022770C" w:rsidRPr="5A769271">
        <w:rPr>
          <w:rFonts w:ascii="Verdana" w:eastAsia="Times New Roman" w:hAnsi="Verdana" w:cs="Arial"/>
          <w:lang w:eastAsia="es-ES"/>
        </w:rPr>
        <w:t>.</w:t>
      </w:r>
    </w:p>
    <w:p w14:paraId="0E95DE22" w14:textId="611C2F0A" w:rsidR="0022770C" w:rsidRDefault="0022770C" w:rsidP="000741F6">
      <w:pPr>
        <w:spacing w:after="0" w:line="360" w:lineRule="auto"/>
        <w:jc w:val="both"/>
        <w:rPr>
          <w:rFonts w:ascii="Verdana" w:eastAsia="Times New Roman" w:hAnsi="Verdana" w:cs="Arial"/>
          <w:lang w:val="es-ES_tradnl" w:eastAsia="es-ES"/>
        </w:rPr>
      </w:pPr>
    </w:p>
    <w:p w14:paraId="11458C52" w14:textId="758FF9DC" w:rsidR="002A0D89" w:rsidRDefault="002A0D89" w:rsidP="000741F6">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En ese sentido, arguyó que en la sentencia respecto de la cual se dio el incumplimiento</w:t>
      </w:r>
      <w:r w:rsidR="00E2691F">
        <w:rPr>
          <w:rFonts w:ascii="Verdana" w:eastAsia="Times New Roman" w:hAnsi="Verdana" w:cs="Arial"/>
          <w:lang w:val="es-ES_tradnl" w:eastAsia="es-ES"/>
        </w:rPr>
        <w:t xml:space="preserve"> está debidamente ejecutoriada y en ella </w:t>
      </w:r>
      <w:r>
        <w:rPr>
          <w:rFonts w:ascii="Verdana" w:eastAsia="Times New Roman" w:hAnsi="Verdana" w:cs="Arial"/>
          <w:lang w:val="es-ES_tradnl" w:eastAsia="es-ES"/>
        </w:rPr>
        <w:t>se dispuso:</w:t>
      </w:r>
    </w:p>
    <w:p w14:paraId="2F7159B8" w14:textId="77777777" w:rsidR="00C93966" w:rsidRDefault="00C93966" w:rsidP="000741F6">
      <w:pPr>
        <w:spacing w:after="0" w:line="360" w:lineRule="auto"/>
        <w:jc w:val="both"/>
        <w:rPr>
          <w:rFonts w:ascii="Verdana" w:eastAsia="Times New Roman" w:hAnsi="Verdana" w:cs="Arial"/>
          <w:lang w:val="es-ES_tradnl" w:eastAsia="es-ES"/>
        </w:rPr>
      </w:pPr>
    </w:p>
    <w:p w14:paraId="40E5CE41" w14:textId="270482B9" w:rsidR="00B23A7E" w:rsidRPr="007305A8" w:rsidRDefault="00B23A7E" w:rsidP="5A769271">
      <w:pPr>
        <w:spacing w:after="0" w:line="240" w:lineRule="auto"/>
        <w:ind w:left="708"/>
        <w:jc w:val="both"/>
        <w:rPr>
          <w:rFonts w:ascii="Verdana" w:eastAsia="Times New Roman" w:hAnsi="Verdana" w:cs="Arial"/>
          <w:i/>
          <w:iCs/>
          <w:sz w:val="20"/>
          <w:szCs w:val="20"/>
          <w:lang w:eastAsia="es-ES"/>
        </w:rPr>
      </w:pPr>
      <w:r w:rsidRPr="5A769271">
        <w:rPr>
          <w:rFonts w:ascii="Verdana" w:eastAsia="Times New Roman" w:hAnsi="Verdana" w:cs="Arial"/>
          <w:i/>
          <w:iCs/>
          <w:sz w:val="20"/>
          <w:szCs w:val="20"/>
          <w:lang w:eastAsia="es-ES"/>
        </w:rPr>
        <w:t>“</w:t>
      </w:r>
      <w:r w:rsidR="002A0D89" w:rsidRPr="5A769271">
        <w:rPr>
          <w:rFonts w:ascii="Verdana" w:eastAsia="Times New Roman" w:hAnsi="Verdana" w:cs="Arial"/>
          <w:b/>
          <w:bCs/>
          <w:i/>
          <w:iCs/>
          <w:sz w:val="20"/>
          <w:szCs w:val="20"/>
          <w:lang w:eastAsia="es-ES"/>
        </w:rPr>
        <w:t>PRIMERO</w:t>
      </w:r>
      <w:r w:rsidR="002A0D89" w:rsidRPr="5A769271">
        <w:rPr>
          <w:rFonts w:ascii="Verdana" w:eastAsia="Times New Roman" w:hAnsi="Verdana" w:cs="Arial"/>
          <w:i/>
          <w:iCs/>
          <w:sz w:val="20"/>
          <w:szCs w:val="20"/>
          <w:lang w:eastAsia="es-ES"/>
        </w:rPr>
        <w:t xml:space="preserve">: </w:t>
      </w:r>
      <w:r w:rsidR="002A0D89" w:rsidRPr="5A769271">
        <w:rPr>
          <w:rFonts w:ascii="Verdana" w:eastAsia="Times New Roman" w:hAnsi="Verdana" w:cs="Arial"/>
          <w:b/>
          <w:bCs/>
          <w:i/>
          <w:iCs/>
          <w:sz w:val="20"/>
          <w:szCs w:val="20"/>
          <w:lang w:eastAsia="es-ES"/>
        </w:rPr>
        <w:t>DECLARAR</w:t>
      </w:r>
      <w:r w:rsidR="002A0D89" w:rsidRPr="5A769271">
        <w:rPr>
          <w:rFonts w:ascii="Verdana" w:eastAsia="Times New Roman" w:hAnsi="Verdana" w:cs="Arial"/>
          <w:i/>
          <w:iCs/>
          <w:sz w:val="20"/>
          <w:szCs w:val="20"/>
          <w:lang w:eastAsia="es-ES"/>
        </w:rPr>
        <w:t xml:space="preserve"> la nulidad del </w:t>
      </w:r>
      <w:r w:rsidR="002A0D89" w:rsidRPr="5A769271">
        <w:rPr>
          <w:rFonts w:ascii="Verdana" w:eastAsia="Times New Roman" w:hAnsi="Verdana" w:cs="Arial"/>
          <w:b/>
          <w:bCs/>
          <w:i/>
          <w:iCs/>
          <w:sz w:val="20"/>
          <w:szCs w:val="20"/>
          <w:lang w:eastAsia="es-ES"/>
        </w:rPr>
        <w:t>Oficio No. 20183051365441 de fecha 18 de julio de 2018</w:t>
      </w:r>
      <w:r w:rsidR="002A0D89" w:rsidRPr="5A769271">
        <w:rPr>
          <w:rFonts w:ascii="Verdana" w:eastAsia="Times New Roman" w:hAnsi="Verdana" w:cs="Arial"/>
          <w:i/>
          <w:iCs/>
          <w:sz w:val="20"/>
          <w:szCs w:val="20"/>
          <w:lang w:eastAsia="es-ES"/>
        </w:rPr>
        <w:t xml:space="preserve"> y de </w:t>
      </w:r>
      <w:r w:rsidR="002A0D89" w:rsidRPr="5A769271">
        <w:rPr>
          <w:rFonts w:ascii="Verdana" w:eastAsia="Times New Roman" w:hAnsi="Verdana" w:cs="Arial"/>
          <w:b/>
          <w:bCs/>
          <w:i/>
          <w:iCs/>
          <w:sz w:val="20"/>
          <w:szCs w:val="20"/>
          <w:lang w:eastAsia="es-ES"/>
        </w:rPr>
        <w:t>la Resolución No. 212468 del 6 de mayo de 2016</w:t>
      </w:r>
      <w:r w:rsidR="002A0D89" w:rsidRPr="5A769271">
        <w:rPr>
          <w:rFonts w:ascii="Verdana" w:eastAsia="Times New Roman" w:hAnsi="Verdana" w:cs="Arial"/>
          <w:i/>
          <w:iCs/>
          <w:sz w:val="20"/>
          <w:szCs w:val="20"/>
          <w:lang w:eastAsia="es-ES"/>
        </w:rPr>
        <w:t>, proferidos por el MINISTERIO DE DEFENSA NACIONAL</w:t>
      </w:r>
      <w:r w:rsidR="1EB89454" w:rsidRPr="5A769271">
        <w:rPr>
          <w:rFonts w:ascii="Verdana" w:eastAsia="Times New Roman" w:hAnsi="Verdana" w:cs="Arial"/>
          <w:i/>
          <w:iCs/>
          <w:sz w:val="20"/>
          <w:szCs w:val="20"/>
          <w:lang w:eastAsia="es-ES"/>
        </w:rPr>
        <w:t xml:space="preserve"> </w:t>
      </w:r>
      <w:r w:rsidR="002A0D89" w:rsidRPr="5A769271">
        <w:rPr>
          <w:rFonts w:ascii="Verdana" w:eastAsia="Times New Roman" w:hAnsi="Verdana" w:cs="Arial"/>
          <w:i/>
          <w:iCs/>
          <w:sz w:val="20"/>
          <w:szCs w:val="20"/>
          <w:lang w:eastAsia="es-ES"/>
        </w:rPr>
        <w:t xml:space="preserve">COMANDO GENERAL FUERZAS MILITARES EJERCITO NACIONAL, COMANDO DE PERSONAL. </w:t>
      </w:r>
    </w:p>
    <w:p w14:paraId="084DD484" w14:textId="77777777" w:rsidR="00343319" w:rsidRPr="007305A8" w:rsidRDefault="00343319" w:rsidP="00343319">
      <w:pPr>
        <w:spacing w:after="0" w:line="240" w:lineRule="auto"/>
        <w:ind w:left="708"/>
        <w:jc w:val="both"/>
        <w:rPr>
          <w:rFonts w:ascii="Verdana" w:eastAsia="Times New Roman" w:hAnsi="Verdana" w:cs="Arial"/>
          <w:i/>
          <w:sz w:val="20"/>
          <w:szCs w:val="20"/>
          <w:lang w:val="es-ES_tradnl" w:eastAsia="es-ES"/>
        </w:rPr>
      </w:pPr>
    </w:p>
    <w:p w14:paraId="1D6F9F3C" w14:textId="77777777" w:rsidR="00B23A7E" w:rsidRPr="007305A8" w:rsidRDefault="002A0D89" w:rsidP="00343319">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b/>
          <w:i/>
          <w:sz w:val="20"/>
          <w:szCs w:val="20"/>
          <w:lang w:val="es-ES_tradnl" w:eastAsia="es-ES"/>
        </w:rPr>
        <w:t>SEGUNDO:</w:t>
      </w:r>
      <w:r w:rsidRPr="007305A8">
        <w:rPr>
          <w:rFonts w:ascii="Verdana" w:eastAsia="Times New Roman" w:hAnsi="Verdana" w:cs="Arial"/>
          <w:i/>
          <w:sz w:val="20"/>
          <w:szCs w:val="20"/>
          <w:lang w:val="es-ES_tradnl" w:eastAsia="es-ES"/>
        </w:rPr>
        <w:t xml:space="preserve"> Como consecuencia de lo anterior, se </w:t>
      </w:r>
      <w:r w:rsidRPr="007305A8">
        <w:rPr>
          <w:rFonts w:ascii="Verdana" w:eastAsia="Times New Roman" w:hAnsi="Verdana" w:cs="Arial"/>
          <w:b/>
          <w:i/>
          <w:sz w:val="20"/>
          <w:szCs w:val="20"/>
          <w:lang w:val="es-ES_tradnl" w:eastAsia="es-ES"/>
        </w:rPr>
        <w:t>ORDENA</w:t>
      </w:r>
      <w:r w:rsidRPr="007305A8">
        <w:rPr>
          <w:rFonts w:ascii="Verdana" w:eastAsia="Times New Roman" w:hAnsi="Verdana" w:cs="Arial"/>
          <w:i/>
          <w:sz w:val="20"/>
          <w:szCs w:val="20"/>
          <w:lang w:val="es-ES_tradnl" w:eastAsia="es-ES"/>
        </w:rPr>
        <w:t xml:space="preserve"> al Ministerio de Defensa Nacional- Ejército Nacional, modifique o corrija la hoja de servicios militares del extinto señor SS® JHON JAIRO BERNAL RAMÍREZ (</w:t>
      </w:r>
      <w:proofErr w:type="spellStart"/>
      <w:r w:rsidRPr="007305A8">
        <w:rPr>
          <w:rFonts w:ascii="Verdana" w:eastAsia="Times New Roman" w:hAnsi="Verdana" w:cs="Arial"/>
          <w:i/>
          <w:sz w:val="20"/>
          <w:szCs w:val="20"/>
          <w:lang w:val="es-ES_tradnl" w:eastAsia="es-ES"/>
        </w:rPr>
        <w:t>q.e.p.d</w:t>
      </w:r>
      <w:proofErr w:type="spellEnd"/>
      <w:r w:rsidRPr="007305A8">
        <w:rPr>
          <w:rFonts w:ascii="Verdana" w:eastAsia="Times New Roman" w:hAnsi="Verdana" w:cs="Arial"/>
          <w:i/>
          <w:sz w:val="20"/>
          <w:szCs w:val="20"/>
          <w:lang w:val="es-ES_tradnl" w:eastAsia="es-ES"/>
        </w:rPr>
        <w:t xml:space="preserve">) en cuanto a la causal y fecha de retiro señalando que obedeció a </w:t>
      </w:r>
      <w:r w:rsidRPr="007305A8">
        <w:rPr>
          <w:rFonts w:ascii="Verdana" w:eastAsia="Times New Roman" w:hAnsi="Verdana" w:cs="Arial"/>
          <w:b/>
          <w:i/>
          <w:sz w:val="20"/>
          <w:szCs w:val="20"/>
          <w:lang w:val="es-ES_tradnl" w:eastAsia="es-ES"/>
        </w:rPr>
        <w:t>muerte en actividad desde el 9 de diciembre de 2004</w:t>
      </w:r>
      <w:r w:rsidRPr="007305A8">
        <w:rPr>
          <w:rFonts w:ascii="Verdana" w:eastAsia="Times New Roman" w:hAnsi="Verdana" w:cs="Arial"/>
          <w:i/>
          <w:sz w:val="20"/>
          <w:szCs w:val="20"/>
          <w:lang w:val="es-ES_tradnl" w:eastAsia="es-ES"/>
        </w:rPr>
        <w:t xml:space="preserve"> de conformidad con la parte motiva de esta providencia. Esta modificación debe hacerse en el término perentorio de 48 horas, contadas desde la ejecutoria de esta providencia. </w:t>
      </w:r>
    </w:p>
    <w:p w14:paraId="6F864839" w14:textId="77777777" w:rsidR="00343319" w:rsidRPr="007305A8" w:rsidRDefault="00343319" w:rsidP="00343319">
      <w:pPr>
        <w:spacing w:after="0" w:line="240" w:lineRule="auto"/>
        <w:ind w:left="708"/>
        <w:jc w:val="both"/>
        <w:rPr>
          <w:rFonts w:ascii="Verdana" w:eastAsia="Times New Roman" w:hAnsi="Verdana" w:cs="Arial"/>
          <w:b/>
          <w:i/>
          <w:sz w:val="20"/>
          <w:szCs w:val="20"/>
          <w:lang w:val="es-ES_tradnl" w:eastAsia="es-ES"/>
        </w:rPr>
      </w:pPr>
    </w:p>
    <w:p w14:paraId="41CF82B9" w14:textId="77777777" w:rsidR="001200AF" w:rsidRPr="007305A8" w:rsidRDefault="002A0D89" w:rsidP="00343319">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b/>
          <w:i/>
          <w:sz w:val="20"/>
          <w:szCs w:val="20"/>
          <w:lang w:val="es-ES_tradnl" w:eastAsia="es-ES"/>
        </w:rPr>
        <w:t>TERCERO:</w:t>
      </w:r>
      <w:r w:rsidRPr="007305A8">
        <w:rPr>
          <w:rFonts w:ascii="Verdana" w:eastAsia="Times New Roman" w:hAnsi="Verdana" w:cs="Arial"/>
          <w:i/>
          <w:sz w:val="20"/>
          <w:szCs w:val="20"/>
          <w:lang w:val="es-ES_tradnl" w:eastAsia="es-ES"/>
        </w:rPr>
        <w:t xml:space="preserve"> </w:t>
      </w:r>
      <w:r w:rsidRPr="007305A8">
        <w:rPr>
          <w:rFonts w:ascii="Verdana" w:eastAsia="Times New Roman" w:hAnsi="Verdana" w:cs="Arial"/>
          <w:b/>
          <w:i/>
          <w:sz w:val="20"/>
          <w:szCs w:val="20"/>
          <w:lang w:val="es-ES_tradnl" w:eastAsia="es-ES"/>
        </w:rPr>
        <w:t>ORDENAR</w:t>
      </w:r>
      <w:r w:rsidRPr="007305A8">
        <w:rPr>
          <w:rFonts w:ascii="Verdana" w:eastAsia="Times New Roman" w:hAnsi="Verdana" w:cs="Arial"/>
          <w:i/>
          <w:sz w:val="20"/>
          <w:szCs w:val="20"/>
          <w:lang w:val="es-ES_tradnl" w:eastAsia="es-ES"/>
        </w:rPr>
        <w:t xml:space="preserve"> al Ministerio de Defensa Nacional</w:t>
      </w:r>
      <w:r w:rsidR="00343319" w:rsidRPr="007305A8">
        <w:rPr>
          <w:rFonts w:ascii="Verdana" w:eastAsia="Times New Roman" w:hAnsi="Verdana" w:cs="Arial"/>
          <w:i/>
          <w:sz w:val="20"/>
          <w:szCs w:val="20"/>
          <w:lang w:val="es-ES_tradnl" w:eastAsia="es-ES"/>
        </w:rPr>
        <w:t xml:space="preserve"> </w:t>
      </w:r>
      <w:r w:rsidRPr="007305A8">
        <w:rPr>
          <w:rFonts w:ascii="Verdana" w:eastAsia="Times New Roman" w:hAnsi="Verdana" w:cs="Arial"/>
          <w:i/>
          <w:sz w:val="20"/>
          <w:szCs w:val="20"/>
          <w:lang w:val="es-ES_tradnl" w:eastAsia="es-ES"/>
        </w:rPr>
        <w:t xml:space="preserve">Ejército Nacional, reconocer y pagar a favor de la señora SUGEY ALEJANDRA HERNADEZ LEMUS una pensión de sobrevivientes en el porcentaje que corresponda teniendo en cuenta los artículos 21 y 48 de la Ley 100 de 1993, a partir del </w:t>
      </w:r>
      <w:r w:rsidRPr="007305A8">
        <w:rPr>
          <w:rFonts w:ascii="Verdana" w:eastAsia="Times New Roman" w:hAnsi="Verdana" w:cs="Arial"/>
          <w:b/>
          <w:i/>
          <w:sz w:val="20"/>
          <w:szCs w:val="20"/>
          <w:lang w:val="es-ES_tradnl" w:eastAsia="es-ES"/>
        </w:rPr>
        <w:t>9 de diciembre de 2004</w:t>
      </w:r>
      <w:r w:rsidRPr="007305A8">
        <w:rPr>
          <w:rFonts w:ascii="Verdana" w:eastAsia="Times New Roman" w:hAnsi="Verdana" w:cs="Arial"/>
          <w:i/>
          <w:sz w:val="20"/>
          <w:szCs w:val="20"/>
          <w:lang w:val="es-ES_tradnl" w:eastAsia="es-ES"/>
        </w:rPr>
        <w:t xml:space="preserve">, pero con efectos fiscales desde el </w:t>
      </w:r>
      <w:r w:rsidRPr="007305A8">
        <w:rPr>
          <w:rFonts w:ascii="Verdana" w:eastAsia="Times New Roman" w:hAnsi="Verdana" w:cs="Arial"/>
          <w:b/>
          <w:i/>
          <w:sz w:val="20"/>
          <w:szCs w:val="20"/>
          <w:lang w:val="es-ES_tradnl" w:eastAsia="es-ES"/>
        </w:rPr>
        <w:t>30 de agosto de 2010</w:t>
      </w:r>
      <w:r w:rsidRPr="007305A8">
        <w:rPr>
          <w:rFonts w:ascii="Verdana" w:eastAsia="Times New Roman" w:hAnsi="Verdana" w:cs="Arial"/>
          <w:i/>
          <w:sz w:val="20"/>
          <w:szCs w:val="20"/>
          <w:lang w:val="es-ES_tradnl" w:eastAsia="es-ES"/>
        </w:rPr>
        <w:t xml:space="preserve">, por efectos de la </w:t>
      </w:r>
      <w:r w:rsidRPr="007305A8">
        <w:rPr>
          <w:rFonts w:ascii="Verdana" w:eastAsia="Times New Roman" w:hAnsi="Verdana" w:cs="Arial"/>
          <w:b/>
          <w:i/>
          <w:sz w:val="20"/>
          <w:szCs w:val="20"/>
          <w:lang w:val="es-ES_tradnl" w:eastAsia="es-ES"/>
        </w:rPr>
        <w:t>prescripción trienal</w:t>
      </w:r>
      <w:r w:rsidRPr="007305A8">
        <w:rPr>
          <w:rFonts w:ascii="Verdana" w:eastAsia="Times New Roman" w:hAnsi="Verdana" w:cs="Arial"/>
          <w:i/>
          <w:sz w:val="20"/>
          <w:szCs w:val="20"/>
          <w:lang w:val="es-ES_tradnl" w:eastAsia="es-ES"/>
        </w:rPr>
        <w:t xml:space="preserve">. </w:t>
      </w:r>
    </w:p>
    <w:p w14:paraId="5DBB5D8D" w14:textId="77777777" w:rsidR="001200AF" w:rsidRPr="007305A8" w:rsidRDefault="001200AF" w:rsidP="00343319">
      <w:pPr>
        <w:spacing w:after="0" w:line="240" w:lineRule="auto"/>
        <w:ind w:left="708"/>
        <w:jc w:val="both"/>
        <w:rPr>
          <w:rFonts w:ascii="Verdana" w:eastAsia="Times New Roman" w:hAnsi="Verdana" w:cs="Arial"/>
          <w:i/>
          <w:sz w:val="20"/>
          <w:szCs w:val="20"/>
          <w:lang w:val="es-ES_tradnl" w:eastAsia="es-ES"/>
        </w:rPr>
      </w:pPr>
    </w:p>
    <w:p w14:paraId="71EA4446" w14:textId="0B64BAD7" w:rsidR="001200AF" w:rsidRPr="007305A8" w:rsidRDefault="002A0D89"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b/>
          <w:i/>
          <w:sz w:val="20"/>
          <w:szCs w:val="20"/>
          <w:lang w:val="es-ES_tradnl" w:eastAsia="es-ES"/>
        </w:rPr>
        <w:t>ORDENAR</w:t>
      </w:r>
      <w:r w:rsidRPr="007305A8">
        <w:rPr>
          <w:rFonts w:ascii="Verdana" w:eastAsia="Times New Roman" w:hAnsi="Verdana" w:cs="Arial"/>
          <w:i/>
          <w:sz w:val="20"/>
          <w:szCs w:val="20"/>
          <w:lang w:val="es-ES_tradnl" w:eastAsia="es-ES"/>
        </w:rPr>
        <w:t xml:space="preserve"> al Ministerio de Defensa Nacional- Ejército Nacional, reconocer y pagar a favor de los señores JHON HANSEN, JHON ALEJANDRO y MARIA ALEJANDRA BERNAL HERNÁNDEZ una pensión de sobrevivientes en el porcentaje que corresponda16teniendo en cuenta los artículos 21 y 48 de la Ley 100 de 1993, así: </w:t>
      </w:r>
    </w:p>
    <w:p w14:paraId="32607B8F" w14:textId="77777777" w:rsidR="00B93734" w:rsidRPr="007305A8" w:rsidRDefault="00B93734" w:rsidP="001200AF">
      <w:pPr>
        <w:spacing w:after="0" w:line="240" w:lineRule="auto"/>
        <w:ind w:left="708"/>
        <w:jc w:val="both"/>
        <w:rPr>
          <w:rFonts w:ascii="Verdana" w:eastAsia="Times New Roman" w:hAnsi="Verdana" w:cs="Arial"/>
          <w:i/>
          <w:sz w:val="20"/>
          <w:szCs w:val="20"/>
          <w:lang w:val="es-ES_tradnl" w:eastAsia="es-ES"/>
        </w:rPr>
      </w:pPr>
    </w:p>
    <w:p w14:paraId="4D1D50FB"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 JHON HANSEN BERNAL HERNÁNDEZ a partir del </w:t>
      </w:r>
      <w:r w:rsidRPr="007305A8">
        <w:rPr>
          <w:rFonts w:ascii="Verdana" w:eastAsia="Times New Roman" w:hAnsi="Verdana" w:cs="Arial"/>
          <w:b/>
          <w:i/>
          <w:sz w:val="20"/>
          <w:szCs w:val="20"/>
          <w:lang w:val="es-ES_tradnl" w:eastAsia="es-ES"/>
        </w:rPr>
        <w:t>9 de diciembre de 2004</w:t>
      </w:r>
      <w:r w:rsidRPr="007305A8">
        <w:rPr>
          <w:rFonts w:ascii="Verdana" w:eastAsia="Times New Roman" w:hAnsi="Verdana" w:cs="Arial"/>
          <w:i/>
          <w:sz w:val="20"/>
          <w:szCs w:val="20"/>
          <w:lang w:val="es-ES_tradnl" w:eastAsia="es-ES"/>
        </w:rPr>
        <w:t xml:space="preserve"> pero con efectos fiscales desde el </w:t>
      </w:r>
      <w:r w:rsidRPr="007305A8">
        <w:rPr>
          <w:rFonts w:ascii="Verdana" w:eastAsia="Times New Roman" w:hAnsi="Verdana" w:cs="Arial"/>
          <w:b/>
          <w:i/>
          <w:sz w:val="20"/>
          <w:szCs w:val="20"/>
          <w:lang w:val="es-ES_tradnl" w:eastAsia="es-ES"/>
        </w:rPr>
        <w:t>30 de agosto de 2010</w:t>
      </w:r>
      <w:r w:rsidRPr="007305A8">
        <w:rPr>
          <w:rFonts w:ascii="Verdana" w:eastAsia="Times New Roman" w:hAnsi="Verdana" w:cs="Arial"/>
          <w:i/>
          <w:sz w:val="20"/>
          <w:szCs w:val="20"/>
          <w:lang w:val="es-ES_tradnl" w:eastAsia="es-ES"/>
        </w:rPr>
        <w:t xml:space="preserve">, y hasta el </w:t>
      </w:r>
      <w:r w:rsidRPr="007305A8">
        <w:rPr>
          <w:rFonts w:ascii="Verdana" w:eastAsia="Times New Roman" w:hAnsi="Verdana" w:cs="Arial"/>
          <w:b/>
          <w:i/>
          <w:sz w:val="20"/>
          <w:szCs w:val="20"/>
          <w:lang w:val="es-ES_tradnl" w:eastAsia="es-ES"/>
        </w:rPr>
        <w:t>8 de septiembre de 2015</w:t>
      </w:r>
      <w:r w:rsidRPr="007305A8">
        <w:rPr>
          <w:rFonts w:ascii="Verdana" w:eastAsia="Times New Roman" w:hAnsi="Verdana" w:cs="Arial"/>
          <w:i/>
          <w:sz w:val="20"/>
          <w:szCs w:val="20"/>
          <w:lang w:val="es-ES_tradnl" w:eastAsia="es-ES"/>
        </w:rPr>
        <w:t xml:space="preserve">, fecha en que cumplió 18 años de edad. Con todo si se demuestra a la entidad demandada que se encuentra estudiando después de la fecha en que cumplió su mayoría de edad, la pensión deberá ser reconocida hasta el </w:t>
      </w:r>
      <w:r w:rsidRPr="007305A8">
        <w:rPr>
          <w:rFonts w:ascii="Verdana" w:eastAsia="Times New Roman" w:hAnsi="Verdana" w:cs="Arial"/>
          <w:b/>
          <w:i/>
          <w:sz w:val="20"/>
          <w:szCs w:val="20"/>
          <w:lang w:val="es-ES_tradnl" w:eastAsia="es-ES"/>
        </w:rPr>
        <w:t>8 de septiembre de 2022</w:t>
      </w:r>
      <w:r w:rsidRPr="007305A8">
        <w:rPr>
          <w:rFonts w:ascii="Verdana" w:eastAsia="Times New Roman" w:hAnsi="Verdana" w:cs="Arial"/>
          <w:i/>
          <w:sz w:val="20"/>
          <w:szCs w:val="20"/>
          <w:lang w:val="es-ES_tradnl" w:eastAsia="es-ES"/>
        </w:rPr>
        <w:t xml:space="preserve">, fecha en que cumplirá sus 25 años de edad, o por el tiempo que esté estudiando sin pasar de esta última fecha. </w:t>
      </w:r>
    </w:p>
    <w:p w14:paraId="5464B87A" w14:textId="557771A1"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 JHON ALEJANDRO BERNAL HERNÁNDEZ a partir del </w:t>
      </w:r>
      <w:r w:rsidRPr="007305A8">
        <w:rPr>
          <w:rFonts w:ascii="Verdana" w:eastAsia="Times New Roman" w:hAnsi="Verdana" w:cs="Arial"/>
          <w:b/>
          <w:i/>
          <w:sz w:val="20"/>
          <w:szCs w:val="20"/>
          <w:lang w:val="es-ES_tradnl" w:eastAsia="es-ES"/>
        </w:rPr>
        <w:t xml:space="preserve">9 de diciembre de 2004 </w:t>
      </w:r>
      <w:r w:rsidRPr="007305A8">
        <w:rPr>
          <w:rFonts w:ascii="Verdana" w:eastAsia="Times New Roman" w:hAnsi="Verdana" w:cs="Arial"/>
          <w:i/>
          <w:sz w:val="20"/>
          <w:szCs w:val="20"/>
          <w:lang w:val="es-ES_tradnl" w:eastAsia="es-ES"/>
        </w:rPr>
        <w:t xml:space="preserve">pero con efectos fiscales desde el </w:t>
      </w:r>
      <w:r w:rsidRPr="007305A8">
        <w:rPr>
          <w:rFonts w:ascii="Verdana" w:eastAsia="Times New Roman" w:hAnsi="Verdana" w:cs="Arial"/>
          <w:b/>
          <w:i/>
          <w:sz w:val="20"/>
          <w:szCs w:val="20"/>
          <w:lang w:val="es-ES_tradnl" w:eastAsia="es-ES"/>
        </w:rPr>
        <w:t>30 de agosto de 2010</w:t>
      </w:r>
      <w:r w:rsidRPr="007305A8">
        <w:rPr>
          <w:rFonts w:ascii="Verdana" w:eastAsia="Times New Roman" w:hAnsi="Verdana" w:cs="Arial"/>
          <w:i/>
          <w:sz w:val="20"/>
          <w:szCs w:val="20"/>
          <w:lang w:val="es-ES_tradnl" w:eastAsia="es-ES"/>
        </w:rPr>
        <w:t xml:space="preserve">, y hasta el </w:t>
      </w:r>
      <w:r w:rsidRPr="007305A8">
        <w:rPr>
          <w:rFonts w:ascii="Verdana" w:eastAsia="Times New Roman" w:hAnsi="Verdana" w:cs="Arial"/>
          <w:b/>
          <w:i/>
          <w:sz w:val="20"/>
          <w:szCs w:val="20"/>
          <w:lang w:val="es-ES_tradnl" w:eastAsia="es-ES"/>
        </w:rPr>
        <w:t>30 de julio de 2018</w:t>
      </w:r>
      <w:r w:rsidRPr="007305A8">
        <w:rPr>
          <w:rFonts w:ascii="Verdana" w:eastAsia="Times New Roman" w:hAnsi="Verdana" w:cs="Arial"/>
          <w:i/>
          <w:sz w:val="20"/>
          <w:szCs w:val="20"/>
          <w:lang w:val="es-ES_tradnl" w:eastAsia="es-ES"/>
        </w:rPr>
        <w:t xml:space="preserve">, fecha en que cumplió 18 años de edad. Con todo, si se demuestra a la entidad demandada que se encuentra estudiando después de la fecha en que cumplió su mayoría de edad, la pensión deberá ser reconocida hasta el </w:t>
      </w:r>
      <w:r w:rsidRPr="007305A8">
        <w:rPr>
          <w:rFonts w:ascii="Verdana" w:eastAsia="Times New Roman" w:hAnsi="Verdana" w:cs="Arial"/>
          <w:b/>
          <w:i/>
          <w:sz w:val="20"/>
          <w:szCs w:val="20"/>
          <w:lang w:val="es-ES_tradnl" w:eastAsia="es-ES"/>
        </w:rPr>
        <w:t>8 de septiembre de 2025</w:t>
      </w:r>
      <w:r w:rsidRPr="007305A8">
        <w:rPr>
          <w:rFonts w:ascii="Verdana" w:eastAsia="Times New Roman" w:hAnsi="Verdana" w:cs="Arial"/>
          <w:i/>
          <w:sz w:val="20"/>
          <w:szCs w:val="20"/>
          <w:lang w:val="es-ES_tradnl" w:eastAsia="es-ES"/>
        </w:rPr>
        <w:t xml:space="preserve">, fecha en que cumplirá </w:t>
      </w:r>
    </w:p>
    <w:p w14:paraId="0D2C4F71"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sus 25 años de edad, o por el tiempo que esté estudiando sin pasar de esta última fecha.</w:t>
      </w:r>
    </w:p>
    <w:p w14:paraId="3705FE6E" w14:textId="5953161F"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 </w:t>
      </w:r>
    </w:p>
    <w:p w14:paraId="5273E1AC"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-MARIA ALEJANDRA BERNAL HERNÁNDEZ a partir del </w:t>
      </w:r>
      <w:r w:rsidRPr="007305A8">
        <w:rPr>
          <w:rFonts w:ascii="Verdana" w:eastAsia="Times New Roman" w:hAnsi="Verdana" w:cs="Arial"/>
          <w:b/>
          <w:i/>
          <w:sz w:val="20"/>
          <w:szCs w:val="20"/>
          <w:lang w:val="es-ES_tradnl" w:eastAsia="es-ES"/>
        </w:rPr>
        <w:t>9 de diciembre de 2004</w:t>
      </w:r>
      <w:r w:rsidRPr="007305A8">
        <w:rPr>
          <w:rFonts w:ascii="Verdana" w:eastAsia="Times New Roman" w:hAnsi="Verdana" w:cs="Arial"/>
          <w:i/>
          <w:sz w:val="20"/>
          <w:szCs w:val="20"/>
          <w:lang w:val="es-ES_tradnl" w:eastAsia="es-ES"/>
        </w:rPr>
        <w:t xml:space="preserve"> pero con efectos fiscales desde el </w:t>
      </w:r>
      <w:r w:rsidRPr="007305A8">
        <w:rPr>
          <w:rFonts w:ascii="Verdana" w:eastAsia="Times New Roman" w:hAnsi="Verdana" w:cs="Arial"/>
          <w:b/>
          <w:i/>
          <w:sz w:val="20"/>
          <w:szCs w:val="20"/>
          <w:lang w:val="es-ES_tradnl" w:eastAsia="es-ES"/>
        </w:rPr>
        <w:t>30 de agosto de 2010</w:t>
      </w:r>
      <w:r w:rsidRPr="007305A8">
        <w:rPr>
          <w:rFonts w:ascii="Verdana" w:eastAsia="Times New Roman" w:hAnsi="Verdana" w:cs="Arial"/>
          <w:i/>
          <w:sz w:val="20"/>
          <w:szCs w:val="20"/>
          <w:lang w:val="es-ES_tradnl" w:eastAsia="es-ES"/>
        </w:rPr>
        <w:t xml:space="preserve">, y hasta el </w:t>
      </w:r>
      <w:r w:rsidRPr="007305A8">
        <w:rPr>
          <w:rFonts w:ascii="Verdana" w:eastAsia="Times New Roman" w:hAnsi="Verdana" w:cs="Arial"/>
          <w:b/>
          <w:i/>
          <w:sz w:val="20"/>
          <w:szCs w:val="20"/>
          <w:lang w:val="es-ES_tradnl" w:eastAsia="es-ES"/>
        </w:rPr>
        <w:t xml:space="preserve">2 de abril </w:t>
      </w:r>
      <w:r w:rsidRPr="007305A8">
        <w:rPr>
          <w:rFonts w:ascii="Verdana" w:eastAsia="Times New Roman" w:hAnsi="Verdana" w:cs="Arial"/>
          <w:b/>
          <w:i/>
          <w:sz w:val="20"/>
          <w:szCs w:val="20"/>
          <w:lang w:val="es-ES_tradnl" w:eastAsia="es-ES"/>
        </w:rPr>
        <w:lastRenderedPageBreak/>
        <w:t>de 2013</w:t>
      </w:r>
      <w:r w:rsidRPr="007305A8">
        <w:rPr>
          <w:rFonts w:ascii="Verdana" w:eastAsia="Times New Roman" w:hAnsi="Verdana" w:cs="Arial"/>
          <w:i/>
          <w:sz w:val="20"/>
          <w:szCs w:val="20"/>
          <w:lang w:val="es-ES_tradnl" w:eastAsia="es-ES"/>
        </w:rPr>
        <w:t xml:space="preserve">, fecha en que cumplió 18 años de edad. Con todo, si se demuestra a la entidad demandada que se encuentra estudiando después de la fecha en que cumplió su mayoría de edad, la pensión deberá ser reconocida hasta el </w:t>
      </w:r>
      <w:r w:rsidRPr="007305A8">
        <w:rPr>
          <w:rFonts w:ascii="Verdana" w:eastAsia="Times New Roman" w:hAnsi="Verdana" w:cs="Arial"/>
          <w:b/>
          <w:i/>
          <w:sz w:val="20"/>
          <w:szCs w:val="20"/>
          <w:lang w:val="es-ES_tradnl" w:eastAsia="es-ES"/>
        </w:rPr>
        <w:t>2 de abril de 2020</w:t>
      </w:r>
      <w:r w:rsidRPr="007305A8">
        <w:rPr>
          <w:rFonts w:ascii="Verdana" w:eastAsia="Times New Roman" w:hAnsi="Verdana" w:cs="Arial"/>
          <w:i/>
          <w:sz w:val="20"/>
          <w:szCs w:val="20"/>
          <w:lang w:val="es-ES_tradnl" w:eastAsia="es-ES"/>
        </w:rPr>
        <w:t xml:space="preserve">, fecha en que cumplirá sus 25 años de edad, o por el tiempo que esté estudiando sin pasar de esta última fecha. </w:t>
      </w:r>
    </w:p>
    <w:p w14:paraId="5A7495E8"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Las sumas reconocidas en esta providencia deberán ser indexadas, conforme a lo dispuesto en el artículo 187 del C.P.A.C.A, para lo cual se tendrá en cuenta la siguiente formula:</w:t>
      </w:r>
    </w:p>
    <w:p w14:paraId="0876601D" w14:textId="4051F70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 R= Rh *</w:t>
      </w:r>
      <w:r w:rsidRPr="007305A8">
        <w:rPr>
          <w:rFonts w:ascii="Verdana" w:eastAsia="Times New Roman" w:hAnsi="Verdana" w:cs="Arial"/>
          <w:i/>
          <w:sz w:val="20"/>
          <w:szCs w:val="20"/>
          <w:lang w:val="es-ES_tradnl" w:eastAsia="es-ES"/>
        </w:rPr>
        <w:tab/>
      </w:r>
      <w:r w:rsidRPr="007305A8">
        <w:rPr>
          <w:rFonts w:ascii="Verdana" w:eastAsia="Times New Roman" w:hAnsi="Verdana" w:cs="Arial"/>
          <w:i/>
          <w:sz w:val="20"/>
          <w:szCs w:val="20"/>
          <w:u w:val="single"/>
          <w:lang w:val="es-ES_tradnl" w:eastAsia="es-ES"/>
        </w:rPr>
        <w:t xml:space="preserve"> Índice Final</w:t>
      </w:r>
    </w:p>
    <w:p w14:paraId="0A898813" w14:textId="5A7D0003" w:rsidR="001200AF" w:rsidRPr="007305A8" w:rsidRDefault="001200AF" w:rsidP="001200AF">
      <w:pPr>
        <w:spacing w:after="0" w:line="240" w:lineRule="auto"/>
        <w:ind w:left="1416" w:firstLine="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 Índice Inicial </w:t>
      </w:r>
    </w:p>
    <w:p w14:paraId="4910E028"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p>
    <w:p w14:paraId="12CFBF62"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Donde el valor presente R se determina multiplicando el valor histórico (Rh), que es el valor correspondiente a la mesada pensional, por el guarismo que resulta de dividir el índice final de precios al consumidor certificado por el DANE y vigente a la fecha de ejecutoria de la sentencia, sobre el índice inicial vigente para la fecha en que debió realizarse el pago, liquidando separadamente mes por mes para cada mesada pensional, por tratarse de obligaciones de tracto sucesivo. </w:t>
      </w:r>
    </w:p>
    <w:p w14:paraId="2C0B30F9"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p>
    <w:p w14:paraId="246A2FDD" w14:textId="77777777"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b/>
          <w:i/>
          <w:sz w:val="20"/>
          <w:szCs w:val="20"/>
          <w:lang w:val="es-ES_tradnl" w:eastAsia="es-ES"/>
        </w:rPr>
        <w:t>CUARTO:</w:t>
      </w:r>
      <w:r w:rsidRPr="007305A8">
        <w:rPr>
          <w:rFonts w:ascii="Verdana" w:eastAsia="Times New Roman" w:hAnsi="Verdana" w:cs="Arial"/>
          <w:i/>
          <w:sz w:val="20"/>
          <w:szCs w:val="20"/>
          <w:lang w:val="es-ES_tradnl" w:eastAsia="es-ES"/>
        </w:rPr>
        <w:t xml:space="preserve"> Reliquidar el valor reconocido por cesantías incluyendo el tiempo del desaparecimiento, es decir, desde el </w:t>
      </w:r>
      <w:r w:rsidRPr="007305A8">
        <w:rPr>
          <w:rFonts w:ascii="Verdana" w:eastAsia="Times New Roman" w:hAnsi="Verdana" w:cs="Arial"/>
          <w:b/>
          <w:i/>
          <w:sz w:val="20"/>
          <w:szCs w:val="20"/>
          <w:lang w:val="es-ES_tradnl" w:eastAsia="es-ES"/>
        </w:rPr>
        <w:t>21 de diciembre de 2002 hasta el 9 de diciembre de 2004</w:t>
      </w:r>
      <w:r w:rsidRPr="007305A8">
        <w:rPr>
          <w:rFonts w:ascii="Verdana" w:eastAsia="Times New Roman" w:hAnsi="Verdana" w:cs="Arial"/>
          <w:i/>
          <w:sz w:val="20"/>
          <w:szCs w:val="20"/>
          <w:lang w:val="es-ES_tradnl" w:eastAsia="es-ES"/>
        </w:rPr>
        <w:t>, por las razones expuestas.</w:t>
      </w:r>
    </w:p>
    <w:p w14:paraId="0B4CE81C" w14:textId="38DA292B"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 xml:space="preserve"> </w:t>
      </w:r>
    </w:p>
    <w:p w14:paraId="1771AA7E" w14:textId="50AD076F" w:rsidR="001200AF" w:rsidRPr="007305A8" w:rsidRDefault="001200AF" w:rsidP="001200AF">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b/>
          <w:i/>
          <w:sz w:val="20"/>
          <w:szCs w:val="20"/>
          <w:lang w:val="es-ES_tradnl" w:eastAsia="es-ES"/>
        </w:rPr>
        <w:t>QUINTO:</w:t>
      </w:r>
      <w:r w:rsidRPr="007305A8">
        <w:rPr>
          <w:rFonts w:ascii="Verdana" w:eastAsia="Times New Roman" w:hAnsi="Verdana" w:cs="Arial"/>
          <w:i/>
          <w:sz w:val="20"/>
          <w:szCs w:val="20"/>
          <w:lang w:val="es-ES_tradnl" w:eastAsia="es-ES"/>
        </w:rPr>
        <w:t xml:space="preserve"> Condenar en costas a la parte demandada. Por </w:t>
      </w:r>
      <w:proofErr w:type="gramStart"/>
      <w:r w:rsidRPr="007305A8">
        <w:rPr>
          <w:rFonts w:ascii="Verdana" w:eastAsia="Times New Roman" w:hAnsi="Verdana" w:cs="Arial"/>
          <w:i/>
          <w:sz w:val="20"/>
          <w:szCs w:val="20"/>
          <w:lang w:val="es-ES_tradnl" w:eastAsia="es-ES"/>
        </w:rPr>
        <w:t>Secretaria</w:t>
      </w:r>
      <w:proofErr w:type="gramEnd"/>
      <w:r w:rsidRPr="007305A8">
        <w:rPr>
          <w:rFonts w:ascii="Verdana" w:eastAsia="Times New Roman" w:hAnsi="Verdana" w:cs="Arial"/>
          <w:i/>
          <w:sz w:val="20"/>
          <w:szCs w:val="20"/>
          <w:lang w:val="es-ES_tradnl" w:eastAsia="es-ES"/>
        </w:rPr>
        <w:t xml:space="preserve"> de este tribunal se procederá a su liquidación conforme lo dispuesto en el artículo 366 del CGP.</w:t>
      </w:r>
    </w:p>
    <w:p w14:paraId="2EC43AB9" w14:textId="5CF41192" w:rsidR="002A0D89" w:rsidRPr="001200AF" w:rsidRDefault="001200AF" w:rsidP="001200AF">
      <w:pPr>
        <w:spacing w:after="0" w:line="240" w:lineRule="auto"/>
        <w:ind w:firstLine="708"/>
        <w:jc w:val="both"/>
        <w:rPr>
          <w:rFonts w:ascii="Verdana" w:eastAsia="Times New Roman" w:hAnsi="Verdana" w:cs="Arial"/>
          <w:i/>
          <w:lang w:val="es-ES_tradnl" w:eastAsia="es-ES"/>
        </w:rPr>
      </w:pPr>
      <w:r w:rsidRPr="001200AF">
        <w:rPr>
          <w:rFonts w:ascii="Verdana" w:eastAsia="Times New Roman" w:hAnsi="Verdana" w:cs="Arial"/>
          <w:i/>
          <w:lang w:val="es-ES_tradnl" w:eastAsia="es-ES"/>
        </w:rPr>
        <w:t xml:space="preserve"> </w:t>
      </w:r>
      <w:r w:rsidR="002A0D89" w:rsidRPr="00343319">
        <w:rPr>
          <w:rFonts w:ascii="Verdana" w:eastAsia="Times New Roman" w:hAnsi="Verdana" w:cs="Arial"/>
          <w:i/>
          <w:lang w:val="es-ES_tradnl" w:eastAsia="es-ES"/>
        </w:rPr>
        <w:t>(…</w:t>
      </w:r>
      <w:r w:rsidR="002A0D89">
        <w:rPr>
          <w:rFonts w:ascii="Verdana" w:eastAsia="Times New Roman" w:hAnsi="Verdana" w:cs="Arial"/>
          <w:lang w:val="es-ES_tradnl" w:eastAsia="es-ES"/>
        </w:rPr>
        <w:t>)”</w:t>
      </w:r>
    </w:p>
    <w:p w14:paraId="1150F35E" w14:textId="77777777" w:rsidR="006001EB" w:rsidRDefault="006001EB" w:rsidP="00584CA3">
      <w:pPr>
        <w:spacing w:after="0" w:line="360" w:lineRule="auto"/>
        <w:jc w:val="both"/>
        <w:rPr>
          <w:rFonts w:ascii="Verdana" w:eastAsia="Times New Roman" w:hAnsi="Verdana" w:cs="Arial"/>
          <w:lang w:val="es-ES_tradnl" w:eastAsia="es-ES"/>
        </w:rPr>
      </w:pPr>
    </w:p>
    <w:p w14:paraId="12FF7C60" w14:textId="6216D97F" w:rsidR="00343319" w:rsidRDefault="00343319" w:rsidP="004039AC">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De este modo, </w:t>
      </w:r>
      <w:r w:rsidR="000E0884">
        <w:rPr>
          <w:rFonts w:ascii="Verdana" w:eastAsia="Times New Roman" w:hAnsi="Verdana" w:cs="Arial"/>
          <w:lang w:val="es-ES_tradnl" w:eastAsia="es-ES"/>
        </w:rPr>
        <w:t xml:space="preserve">indicó que hasta la fecha de presentación de este memorial, la entidad demandada no había dado cumplimiento a lo ordenado en el </w:t>
      </w:r>
      <w:r w:rsidR="000E0884" w:rsidRPr="000E0884">
        <w:rPr>
          <w:rFonts w:ascii="Verdana" w:eastAsia="Times New Roman" w:hAnsi="Verdana" w:cs="Arial"/>
          <w:b/>
          <w:lang w:val="es-ES_tradnl" w:eastAsia="es-ES"/>
        </w:rPr>
        <w:t>numeral segundo</w:t>
      </w:r>
      <w:r w:rsidR="000E0884">
        <w:rPr>
          <w:rFonts w:ascii="Verdana" w:eastAsia="Times New Roman" w:hAnsi="Verdana" w:cs="Arial"/>
          <w:lang w:val="es-ES_tradnl" w:eastAsia="es-ES"/>
        </w:rPr>
        <w:t xml:space="preserve"> de la parte resolutiva de la sentencia, </w:t>
      </w:r>
      <w:r w:rsidR="000E0884" w:rsidRPr="000E0884">
        <w:rPr>
          <w:rFonts w:ascii="Verdana" w:eastAsia="Times New Roman" w:hAnsi="Verdana" w:cs="Arial"/>
          <w:b/>
          <w:lang w:val="es-ES_tradnl" w:eastAsia="es-ES"/>
        </w:rPr>
        <w:t>relacionado con modificar o corregir en el término perentorio de 48 horas, contadas desde la ejecutoria de la providencia, la hoja de servicios militares del extinto señor SS® JHON JAIRO BERNAL RAMÍREZ (</w:t>
      </w:r>
      <w:proofErr w:type="spellStart"/>
      <w:r w:rsidR="000E0884" w:rsidRPr="000E0884">
        <w:rPr>
          <w:rFonts w:ascii="Verdana" w:eastAsia="Times New Roman" w:hAnsi="Verdana" w:cs="Arial"/>
          <w:b/>
          <w:lang w:val="es-ES_tradnl" w:eastAsia="es-ES"/>
        </w:rPr>
        <w:t>q.e.p.d</w:t>
      </w:r>
      <w:proofErr w:type="spellEnd"/>
      <w:r w:rsidR="000E0884" w:rsidRPr="000E0884">
        <w:rPr>
          <w:rFonts w:ascii="Verdana" w:eastAsia="Times New Roman" w:hAnsi="Verdana" w:cs="Arial"/>
          <w:b/>
          <w:lang w:val="es-ES_tradnl" w:eastAsia="es-ES"/>
        </w:rPr>
        <w:t>) en cuanto a la causal y fecha de retiro señalando que obedeció a muerte en actividad desde el 9 de diciembre de 2004</w:t>
      </w:r>
      <w:r w:rsidR="00E2691F">
        <w:rPr>
          <w:rFonts w:ascii="Verdana" w:eastAsia="Times New Roman" w:hAnsi="Verdana" w:cs="Arial"/>
          <w:lang w:val="es-ES_tradnl" w:eastAsia="es-ES"/>
        </w:rPr>
        <w:t xml:space="preserve">, razón por la cual, </w:t>
      </w:r>
      <w:r w:rsidR="00310A7B">
        <w:rPr>
          <w:rFonts w:ascii="Verdana" w:eastAsia="Times New Roman" w:hAnsi="Verdana" w:cs="Arial"/>
          <w:lang w:val="es-ES_tradnl" w:eastAsia="es-ES"/>
        </w:rPr>
        <w:t xml:space="preserve">adujo que la </w:t>
      </w:r>
      <w:r w:rsidR="00122F5B">
        <w:rPr>
          <w:rFonts w:ascii="Verdana" w:eastAsia="Times New Roman" w:hAnsi="Verdana" w:cs="Arial"/>
          <w:lang w:val="es-ES_tradnl" w:eastAsia="es-ES"/>
        </w:rPr>
        <w:t>demandada está incursa en desacato de lo ordenado.</w:t>
      </w:r>
    </w:p>
    <w:p w14:paraId="21A2C032" w14:textId="7BB3F695" w:rsidR="00C93966" w:rsidRDefault="00C93966" w:rsidP="004039AC">
      <w:pPr>
        <w:spacing w:after="0" w:line="360" w:lineRule="auto"/>
        <w:jc w:val="both"/>
        <w:rPr>
          <w:rFonts w:ascii="Verdana" w:eastAsia="Times New Roman" w:hAnsi="Verdana" w:cs="Arial"/>
          <w:lang w:val="es-ES_tradnl" w:eastAsia="es-ES"/>
        </w:rPr>
      </w:pPr>
    </w:p>
    <w:p w14:paraId="37BF8CE3" w14:textId="03A7508E" w:rsidR="00C93966" w:rsidRDefault="00C93966" w:rsidP="00C93966">
      <w:pPr>
        <w:pStyle w:val="Prrafodelista"/>
        <w:numPr>
          <w:ilvl w:val="0"/>
          <w:numId w:val="3"/>
        </w:numPr>
        <w:spacing w:after="0" w:line="360" w:lineRule="auto"/>
        <w:jc w:val="center"/>
        <w:rPr>
          <w:rFonts w:ascii="Verdana" w:eastAsia="Times New Roman" w:hAnsi="Verdana" w:cs="Arial"/>
          <w:b/>
          <w:lang w:val="es-ES_tradnl" w:eastAsia="es-ES"/>
        </w:rPr>
      </w:pPr>
      <w:r w:rsidRPr="00C93966">
        <w:rPr>
          <w:rFonts w:ascii="Verdana" w:eastAsia="Times New Roman" w:hAnsi="Verdana" w:cs="Arial"/>
          <w:b/>
          <w:lang w:val="es-ES_tradnl" w:eastAsia="es-ES"/>
        </w:rPr>
        <w:t>CONSIDERACIONES</w:t>
      </w:r>
    </w:p>
    <w:p w14:paraId="25A0C450" w14:textId="77777777" w:rsidR="003F5303" w:rsidRDefault="003F5303" w:rsidP="00C93966">
      <w:pPr>
        <w:spacing w:after="0" w:line="360" w:lineRule="auto"/>
        <w:jc w:val="both"/>
        <w:rPr>
          <w:rFonts w:ascii="Verdana" w:eastAsia="Times New Roman" w:hAnsi="Verdana" w:cs="Arial"/>
          <w:lang w:val="es-ES_tradnl" w:eastAsia="es-ES"/>
        </w:rPr>
      </w:pPr>
    </w:p>
    <w:p w14:paraId="4207A9B7" w14:textId="28B25F80" w:rsidR="00C93966" w:rsidRDefault="00C93966" w:rsidP="00C93966">
      <w:pPr>
        <w:spacing w:after="0" w:line="360" w:lineRule="auto"/>
        <w:jc w:val="both"/>
        <w:rPr>
          <w:rFonts w:ascii="Verdana" w:eastAsia="Times New Roman" w:hAnsi="Verdana" w:cs="Arial"/>
          <w:lang w:val="es-ES_tradnl" w:eastAsia="es-ES"/>
        </w:rPr>
      </w:pPr>
      <w:r w:rsidRPr="00C93966">
        <w:rPr>
          <w:rFonts w:ascii="Verdana" w:eastAsia="Times New Roman" w:hAnsi="Verdana" w:cs="Arial"/>
          <w:lang w:val="es-ES_tradnl" w:eastAsia="es-ES"/>
        </w:rPr>
        <w:t>P</w:t>
      </w:r>
      <w:r w:rsidR="00CA1FF9">
        <w:rPr>
          <w:rFonts w:ascii="Verdana" w:eastAsia="Times New Roman" w:hAnsi="Verdana" w:cs="Arial"/>
          <w:lang w:val="es-ES_tradnl" w:eastAsia="es-ES"/>
        </w:rPr>
        <w:t>ara</w:t>
      </w:r>
      <w:r w:rsidR="00F268AA">
        <w:rPr>
          <w:rFonts w:ascii="Verdana" w:eastAsia="Times New Roman" w:hAnsi="Verdana" w:cs="Arial"/>
          <w:lang w:val="es-ES_tradnl" w:eastAsia="es-ES"/>
        </w:rPr>
        <w:t xml:space="preserve"> </w:t>
      </w:r>
      <w:r w:rsidRPr="00C93966">
        <w:rPr>
          <w:rFonts w:ascii="Verdana" w:eastAsia="Times New Roman" w:hAnsi="Verdana" w:cs="Arial"/>
          <w:lang w:val="es-ES_tradnl" w:eastAsia="es-ES"/>
        </w:rPr>
        <w:t>abordar el tema de fondo,</w:t>
      </w:r>
      <w:r w:rsidR="00F268AA">
        <w:rPr>
          <w:rFonts w:ascii="Verdana" w:eastAsia="Times New Roman" w:hAnsi="Verdana" w:cs="Arial"/>
          <w:lang w:val="es-ES_tradnl" w:eastAsia="es-ES"/>
        </w:rPr>
        <w:t xml:space="preserve"> en primer lugar, advierte el Despacho que lo pretendido por la parte actora es que se dé inicio</w:t>
      </w:r>
      <w:r w:rsidR="00C742EF">
        <w:rPr>
          <w:rFonts w:ascii="Verdana" w:eastAsia="Times New Roman" w:hAnsi="Verdana" w:cs="Arial"/>
          <w:lang w:val="es-ES_tradnl" w:eastAsia="es-ES"/>
        </w:rPr>
        <w:t xml:space="preserve"> a un incidente de desacato por incumplimiento de</w:t>
      </w:r>
      <w:r w:rsidR="008974A4">
        <w:rPr>
          <w:rFonts w:ascii="Verdana" w:eastAsia="Times New Roman" w:hAnsi="Verdana" w:cs="Arial"/>
          <w:lang w:val="es-ES_tradnl" w:eastAsia="es-ES"/>
        </w:rPr>
        <w:t>l numeral segundo de la parte resolutiva</w:t>
      </w:r>
      <w:r w:rsidR="00C742EF">
        <w:rPr>
          <w:rFonts w:ascii="Verdana" w:eastAsia="Times New Roman" w:hAnsi="Verdana" w:cs="Arial"/>
          <w:lang w:val="es-ES_tradnl" w:eastAsia="es-ES"/>
        </w:rPr>
        <w:t xml:space="preserve"> la sentencia proferida </w:t>
      </w:r>
      <w:r w:rsidR="008974A4">
        <w:rPr>
          <w:rFonts w:ascii="Verdana" w:eastAsia="Times New Roman" w:hAnsi="Verdana" w:cs="Arial"/>
          <w:lang w:val="es-ES_tradnl" w:eastAsia="es-ES"/>
        </w:rPr>
        <w:t xml:space="preserve">por esta Corporación el 27 de febrero de 2020 </w:t>
      </w:r>
      <w:r w:rsidR="00C742EF">
        <w:rPr>
          <w:rFonts w:ascii="Verdana" w:eastAsia="Times New Roman" w:hAnsi="Verdana" w:cs="Arial"/>
          <w:lang w:val="es-ES_tradnl" w:eastAsia="es-ES"/>
        </w:rPr>
        <w:t>dentro de</w:t>
      </w:r>
      <w:r w:rsidR="008974A4">
        <w:rPr>
          <w:rFonts w:ascii="Verdana" w:eastAsia="Times New Roman" w:hAnsi="Verdana" w:cs="Arial"/>
          <w:lang w:val="es-ES_tradnl" w:eastAsia="es-ES"/>
        </w:rPr>
        <w:t xml:space="preserve">l medio de </w:t>
      </w:r>
      <w:r w:rsidR="00C742EF">
        <w:rPr>
          <w:rFonts w:ascii="Verdana" w:eastAsia="Times New Roman" w:hAnsi="Verdana" w:cs="Arial"/>
          <w:lang w:val="es-ES_tradnl" w:eastAsia="es-ES"/>
        </w:rPr>
        <w:t>control de nulidad y restablecimiento de derecho</w:t>
      </w:r>
      <w:r w:rsidR="008974A4">
        <w:rPr>
          <w:rFonts w:ascii="Verdana" w:eastAsia="Times New Roman" w:hAnsi="Verdana" w:cs="Arial"/>
          <w:lang w:val="es-ES_tradnl" w:eastAsia="es-ES"/>
        </w:rPr>
        <w:t xml:space="preserve"> y confirmada por el Consejo de Estado el </w:t>
      </w:r>
      <w:r w:rsidR="00371864">
        <w:rPr>
          <w:rFonts w:ascii="Verdana" w:eastAsia="Times New Roman" w:hAnsi="Verdana" w:cs="Arial"/>
          <w:lang w:val="es-ES_tradnl" w:eastAsia="es-ES"/>
        </w:rPr>
        <w:t xml:space="preserve">23 de mayo de 2022, </w:t>
      </w:r>
      <w:r w:rsidR="007676F0">
        <w:rPr>
          <w:rFonts w:ascii="Verdana" w:eastAsia="Times New Roman" w:hAnsi="Verdana" w:cs="Arial"/>
          <w:lang w:val="es-ES_tradnl" w:eastAsia="es-ES"/>
        </w:rPr>
        <w:t xml:space="preserve">la cual cobró </w:t>
      </w:r>
      <w:r w:rsidR="00371864" w:rsidRPr="00371864">
        <w:rPr>
          <w:rFonts w:ascii="Verdana" w:eastAsia="Times New Roman" w:hAnsi="Verdana" w:cs="Arial"/>
          <w:lang w:val="es-ES_tradnl" w:eastAsia="es-ES"/>
        </w:rPr>
        <w:t>ejecutoria el dieciséis (16) de junio de dos mil veintidós (2022) (índice 42).</w:t>
      </w:r>
    </w:p>
    <w:p w14:paraId="29059BCD" w14:textId="5736D5B2" w:rsidR="00C742EF" w:rsidRDefault="00C742EF" w:rsidP="00C93966">
      <w:pPr>
        <w:spacing w:after="0" w:line="360" w:lineRule="auto"/>
        <w:jc w:val="both"/>
        <w:rPr>
          <w:rFonts w:ascii="Verdana" w:eastAsia="Times New Roman" w:hAnsi="Verdana" w:cs="Arial"/>
          <w:lang w:val="es-ES_tradnl" w:eastAsia="es-ES"/>
        </w:rPr>
      </w:pPr>
    </w:p>
    <w:p w14:paraId="6DB0FFC7" w14:textId="7ADB569A" w:rsidR="00C742EF" w:rsidRDefault="006C63A2" w:rsidP="008E5B58">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En ese sentido,</w:t>
      </w:r>
      <w:r w:rsidR="008E5B58">
        <w:rPr>
          <w:rFonts w:ascii="Verdana" w:eastAsia="Times New Roman" w:hAnsi="Verdana" w:cs="Arial"/>
          <w:lang w:val="es-ES_tradnl" w:eastAsia="es-ES"/>
        </w:rPr>
        <w:t xml:space="preserve"> l</w:t>
      </w:r>
      <w:r w:rsidR="008E5B58" w:rsidRPr="008E5B58">
        <w:rPr>
          <w:rFonts w:ascii="Verdana" w:eastAsia="Times New Roman" w:hAnsi="Verdana" w:cs="Arial"/>
          <w:lang w:val="es-ES_tradnl" w:eastAsia="es-ES"/>
        </w:rPr>
        <w:t>a Ley 1437 de 2011</w:t>
      </w:r>
      <w:r w:rsidR="008E5B58">
        <w:rPr>
          <w:rFonts w:ascii="Verdana" w:eastAsia="Times New Roman" w:hAnsi="Verdana" w:cs="Arial"/>
          <w:lang w:val="es-ES_tradnl" w:eastAsia="es-ES"/>
        </w:rPr>
        <w:t xml:space="preserve"> </w:t>
      </w:r>
      <w:r w:rsidR="008E5B58" w:rsidRPr="008E5B58">
        <w:rPr>
          <w:rFonts w:ascii="Verdana" w:eastAsia="Times New Roman" w:hAnsi="Verdana" w:cs="Arial"/>
          <w:lang w:val="es-ES_tradnl" w:eastAsia="es-ES"/>
        </w:rPr>
        <w:t>consagra en sus artículos 192 y 195, las nuevas reglas a efecto de</w:t>
      </w:r>
      <w:r w:rsidR="008E5B58">
        <w:rPr>
          <w:rFonts w:ascii="Verdana" w:eastAsia="Times New Roman" w:hAnsi="Verdana" w:cs="Arial"/>
          <w:lang w:val="es-ES_tradnl" w:eastAsia="es-ES"/>
        </w:rPr>
        <w:t xml:space="preserve"> </w:t>
      </w:r>
      <w:r w:rsidR="008E5B58" w:rsidRPr="008E5B58">
        <w:rPr>
          <w:rFonts w:ascii="Verdana" w:eastAsia="Times New Roman" w:hAnsi="Verdana" w:cs="Arial"/>
          <w:lang w:val="es-ES_tradnl" w:eastAsia="es-ES"/>
        </w:rPr>
        <w:t>cumplimiento de sentencias y conciliaciones, así como el trámite para su</w:t>
      </w:r>
      <w:r w:rsidR="008E5B58">
        <w:rPr>
          <w:rFonts w:ascii="Verdana" w:eastAsia="Times New Roman" w:hAnsi="Verdana" w:cs="Arial"/>
          <w:lang w:val="es-ES_tradnl" w:eastAsia="es-ES"/>
        </w:rPr>
        <w:t xml:space="preserve"> </w:t>
      </w:r>
      <w:r w:rsidR="008E5B58" w:rsidRPr="008E5B58">
        <w:rPr>
          <w:rFonts w:ascii="Verdana" w:eastAsia="Times New Roman" w:hAnsi="Verdana" w:cs="Arial"/>
          <w:lang w:val="es-ES_tradnl" w:eastAsia="es-ES"/>
        </w:rPr>
        <w:t>pago, por parte de las entidades públicas condenadas.</w:t>
      </w:r>
    </w:p>
    <w:p w14:paraId="4B965226" w14:textId="60DA4D8D" w:rsidR="004A480E" w:rsidRDefault="004A480E" w:rsidP="008E5B58">
      <w:pPr>
        <w:spacing w:after="0" w:line="360" w:lineRule="auto"/>
        <w:jc w:val="both"/>
        <w:rPr>
          <w:rFonts w:ascii="Verdana" w:eastAsia="Times New Roman" w:hAnsi="Verdana" w:cs="Arial"/>
          <w:lang w:val="es-ES_tradnl" w:eastAsia="es-ES"/>
        </w:rPr>
      </w:pPr>
    </w:p>
    <w:p w14:paraId="31DDFA95" w14:textId="1AF1AE3D" w:rsidR="004A480E" w:rsidRDefault="004A480E" w:rsidP="004A480E">
      <w:pPr>
        <w:spacing w:after="0" w:line="360" w:lineRule="auto"/>
        <w:jc w:val="both"/>
        <w:rPr>
          <w:rFonts w:ascii="Verdana" w:eastAsia="Times New Roman" w:hAnsi="Verdana" w:cs="Arial"/>
          <w:lang w:val="es-ES_tradnl" w:eastAsia="es-ES"/>
        </w:rPr>
      </w:pPr>
      <w:r w:rsidRPr="004A480E">
        <w:rPr>
          <w:rFonts w:ascii="Verdana" w:eastAsia="Times New Roman" w:hAnsi="Verdana" w:cs="Arial"/>
          <w:lang w:val="es-ES_tradnl" w:eastAsia="es-ES"/>
        </w:rPr>
        <w:t>Conforme con lo anterior y, al tenor de lo indicado en el artículo 19</w:t>
      </w:r>
      <w:r>
        <w:rPr>
          <w:rFonts w:ascii="Verdana" w:eastAsia="Times New Roman" w:hAnsi="Verdana" w:cs="Arial"/>
          <w:lang w:val="es-ES_tradnl" w:eastAsia="es-ES"/>
        </w:rPr>
        <w:t>2</w:t>
      </w:r>
      <w:r w:rsidRPr="004A480E">
        <w:rPr>
          <w:rFonts w:ascii="Verdana" w:eastAsia="Times New Roman" w:hAnsi="Verdana" w:cs="Arial"/>
          <w:lang w:val="es-ES_tradnl" w:eastAsia="es-ES"/>
        </w:rPr>
        <w:t xml:space="preserve"> de</w:t>
      </w:r>
      <w:r>
        <w:rPr>
          <w:rFonts w:ascii="Verdana" w:eastAsia="Times New Roman" w:hAnsi="Verdana" w:cs="Arial"/>
          <w:lang w:val="es-ES_tradnl" w:eastAsia="es-ES"/>
        </w:rPr>
        <w:t xml:space="preserve"> </w:t>
      </w:r>
      <w:r w:rsidRPr="004A480E">
        <w:rPr>
          <w:rFonts w:ascii="Verdana" w:eastAsia="Times New Roman" w:hAnsi="Verdana" w:cs="Arial"/>
          <w:lang w:val="es-ES_tradnl" w:eastAsia="es-ES"/>
        </w:rPr>
        <w:t xml:space="preserve">la Ley 1437 de 2011, el cumplimiento </w:t>
      </w:r>
      <w:r w:rsidR="00F1059F">
        <w:rPr>
          <w:rFonts w:ascii="Verdana" w:eastAsia="Times New Roman" w:hAnsi="Verdana" w:cs="Arial"/>
          <w:lang w:val="es-ES_tradnl" w:eastAsia="es-ES"/>
        </w:rPr>
        <w:t>de las sentencias</w:t>
      </w:r>
      <w:r w:rsidR="00465938">
        <w:rPr>
          <w:rFonts w:ascii="Verdana" w:eastAsia="Times New Roman" w:hAnsi="Verdana" w:cs="Arial"/>
          <w:lang w:val="es-ES_tradnl" w:eastAsia="es-ES"/>
        </w:rPr>
        <w:t xml:space="preserve"> por parte de las entidades públicas</w:t>
      </w:r>
      <w:r w:rsidRPr="004A480E">
        <w:rPr>
          <w:rFonts w:ascii="Verdana" w:eastAsia="Times New Roman" w:hAnsi="Verdana" w:cs="Arial"/>
          <w:lang w:val="es-ES_tradnl" w:eastAsia="es-ES"/>
        </w:rPr>
        <w:t xml:space="preserve"> está sujeto a lo siguiente:</w:t>
      </w:r>
      <w:r w:rsidRPr="004A480E">
        <w:rPr>
          <w:rFonts w:ascii="Verdana" w:eastAsia="Times New Roman" w:hAnsi="Verdana" w:cs="Arial"/>
          <w:lang w:val="es-ES_tradnl" w:eastAsia="es-ES"/>
        </w:rPr>
        <w:cr/>
      </w:r>
    </w:p>
    <w:p w14:paraId="0FDD9A17" w14:textId="37A45EE6" w:rsidR="00F1059F" w:rsidRPr="007305A8" w:rsidRDefault="00F1059F" w:rsidP="00465938">
      <w:pPr>
        <w:spacing w:after="0" w:line="240" w:lineRule="auto"/>
        <w:ind w:left="708"/>
        <w:jc w:val="both"/>
        <w:rPr>
          <w:rFonts w:ascii="Verdana" w:eastAsia="Times New Roman" w:hAnsi="Verdana" w:cs="Arial"/>
          <w:sz w:val="20"/>
          <w:szCs w:val="20"/>
          <w:lang w:val="es-ES_tradnl" w:eastAsia="es-ES"/>
        </w:rPr>
      </w:pPr>
      <w:r w:rsidRPr="007305A8">
        <w:rPr>
          <w:rFonts w:ascii="Verdana" w:eastAsia="Times New Roman" w:hAnsi="Verdana" w:cs="Arial"/>
          <w:b/>
          <w:sz w:val="20"/>
          <w:szCs w:val="20"/>
          <w:lang w:val="es-ES_tradnl" w:eastAsia="es-ES"/>
        </w:rPr>
        <w:t>“</w:t>
      </w:r>
      <w:r w:rsidRPr="007305A8">
        <w:rPr>
          <w:rFonts w:ascii="Verdana" w:eastAsia="Times New Roman" w:hAnsi="Verdana" w:cs="Arial"/>
          <w:b/>
          <w:i/>
          <w:sz w:val="20"/>
          <w:szCs w:val="20"/>
          <w:lang w:val="es-ES_tradnl" w:eastAsia="es-ES"/>
        </w:rPr>
        <w:t xml:space="preserve">Artículo 192. Cumplimiento de sentencias o conciliaciones por parte de las entidades públicas. </w:t>
      </w:r>
      <w:r w:rsidRPr="007305A8">
        <w:rPr>
          <w:rFonts w:ascii="Verdana" w:eastAsia="Times New Roman" w:hAnsi="Verdana" w:cs="Arial"/>
          <w:i/>
          <w:sz w:val="20"/>
          <w:szCs w:val="20"/>
          <w:u w:val="single"/>
          <w:lang w:val="es-ES_tradnl" w:eastAsia="es-ES"/>
        </w:rPr>
        <w:t>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r w:rsidRPr="007305A8">
        <w:rPr>
          <w:rFonts w:ascii="Verdana" w:eastAsia="Times New Roman" w:hAnsi="Verdana" w:cs="Arial"/>
          <w:sz w:val="20"/>
          <w:szCs w:val="20"/>
          <w:lang w:val="es-ES_tradnl" w:eastAsia="es-ES"/>
        </w:rPr>
        <w:t>.</w:t>
      </w:r>
    </w:p>
    <w:p w14:paraId="436D2146" w14:textId="77777777" w:rsidR="00F1059F" w:rsidRPr="007305A8" w:rsidRDefault="00F1059F" w:rsidP="00F1059F">
      <w:pPr>
        <w:spacing w:after="0" w:line="360" w:lineRule="auto"/>
        <w:jc w:val="both"/>
        <w:rPr>
          <w:rFonts w:ascii="Verdana" w:eastAsia="Times New Roman" w:hAnsi="Verdana" w:cs="Arial"/>
          <w:sz w:val="20"/>
          <w:szCs w:val="20"/>
          <w:lang w:val="es-ES_tradnl" w:eastAsia="es-ES"/>
        </w:rPr>
      </w:pPr>
    </w:p>
    <w:p w14:paraId="264E139E" w14:textId="77777777" w:rsidR="00465938" w:rsidRPr="007305A8" w:rsidRDefault="00F1059F" w:rsidP="0046593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u w:val="single"/>
          <w:lang w:val="es-ES_tradnl" w:eastAsia="es-ES"/>
        </w:rPr>
        <w:t>Las condenas impuestas a entidades públicas consistentes en el pago o devolución de una suma de dinero serán cumplidas en un plazo máximo de diez (10) meses, contados a partir de la fecha de la ejecutoria de la sentencia</w:t>
      </w:r>
      <w:r w:rsidRPr="007305A8">
        <w:rPr>
          <w:rFonts w:ascii="Verdana" w:eastAsia="Times New Roman" w:hAnsi="Verdana" w:cs="Arial"/>
          <w:i/>
          <w:sz w:val="20"/>
          <w:szCs w:val="20"/>
          <w:lang w:val="es-ES_tradnl" w:eastAsia="es-ES"/>
        </w:rPr>
        <w:t xml:space="preserve">. </w:t>
      </w:r>
      <w:r w:rsidRPr="007305A8">
        <w:rPr>
          <w:rFonts w:ascii="Verdana" w:eastAsia="Times New Roman" w:hAnsi="Verdana" w:cs="Arial"/>
          <w:b/>
          <w:i/>
          <w:sz w:val="20"/>
          <w:szCs w:val="20"/>
          <w:lang w:val="es-ES_tradnl" w:eastAsia="es-ES"/>
        </w:rPr>
        <w:t>Para tal efecto, el beneficiario deberá presentar la solicitud de pago correspondiente a la entidad obligada.</w:t>
      </w:r>
    </w:p>
    <w:p w14:paraId="425AE9A6" w14:textId="77777777" w:rsidR="00465938" w:rsidRPr="007305A8" w:rsidRDefault="00465938" w:rsidP="00465938">
      <w:pPr>
        <w:spacing w:after="0" w:line="240" w:lineRule="auto"/>
        <w:ind w:left="708"/>
        <w:jc w:val="both"/>
        <w:rPr>
          <w:rFonts w:ascii="Verdana" w:eastAsia="Times New Roman" w:hAnsi="Verdana" w:cs="Arial"/>
          <w:sz w:val="20"/>
          <w:szCs w:val="20"/>
          <w:lang w:val="es-ES_tradnl" w:eastAsia="es-ES"/>
        </w:rPr>
      </w:pPr>
    </w:p>
    <w:p w14:paraId="220B9450" w14:textId="1C534A6D" w:rsidR="00F1059F" w:rsidRPr="007305A8" w:rsidRDefault="00F1059F" w:rsidP="0046593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Las cantidades líquidas reconocidas en providencias que impongan o liquiden una condena o que aprueben una conciliación devengarán intereses moratorios a partir de la ejecutoria de la respectiva sentencia o del auto, según lo previsto en este Código.</w:t>
      </w:r>
    </w:p>
    <w:p w14:paraId="16B6FF83" w14:textId="77777777" w:rsidR="00F1059F" w:rsidRPr="007305A8" w:rsidRDefault="00F1059F" w:rsidP="00F1059F">
      <w:pPr>
        <w:spacing w:after="0" w:line="360" w:lineRule="auto"/>
        <w:jc w:val="both"/>
        <w:rPr>
          <w:rFonts w:ascii="Verdana" w:eastAsia="Times New Roman" w:hAnsi="Verdana" w:cs="Arial"/>
          <w:sz w:val="20"/>
          <w:szCs w:val="20"/>
          <w:lang w:val="es-ES_tradnl" w:eastAsia="es-ES"/>
        </w:rPr>
      </w:pPr>
    </w:p>
    <w:p w14:paraId="0574F932" w14:textId="77777777" w:rsidR="00F1059F" w:rsidRPr="007305A8" w:rsidRDefault="00F1059F" w:rsidP="0046593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Cumplidos tres (3) meses desde la ejecutoria de la providencia que imponga o liquide una condena o de la que apruebe una conciliación, sin que los beneficiarios hayan acudido ante la entidad responsable para hacerla efectiva, cesará la causación de intereses desde entonces hasta cuando se presente la solicitud.</w:t>
      </w:r>
    </w:p>
    <w:p w14:paraId="738893E8" w14:textId="77777777" w:rsidR="00F1059F" w:rsidRPr="007305A8" w:rsidRDefault="00F1059F" w:rsidP="00465938">
      <w:pPr>
        <w:spacing w:after="0" w:line="240" w:lineRule="auto"/>
        <w:jc w:val="both"/>
        <w:rPr>
          <w:rFonts w:ascii="Verdana" w:eastAsia="Times New Roman" w:hAnsi="Verdana" w:cs="Arial"/>
          <w:i/>
          <w:sz w:val="20"/>
          <w:szCs w:val="20"/>
          <w:lang w:val="es-ES_tradnl" w:eastAsia="es-ES"/>
        </w:rPr>
      </w:pPr>
    </w:p>
    <w:p w14:paraId="599F1395" w14:textId="77777777" w:rsidR="00F1059F" w:rsidRPr="007305A8" w:rsidRDefault="00F1059F" w:rsidP="0046593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En asuntos de carácter laboral, cuando se condene al reintegro, si dentro del término de tres (3) meses siguientes a la ejecutoria de la providencia que así lo disponga, este no pudiere llevarse a cabo por causas imputables al interesado, en adelante cesará la causación de emolumentos de todo tipo.</w:t>
      </w:r>
    </w:p>
    <w:p w14:paraId="46BF0EF9" w14:textId="77777777" w:rsidR="00F1059F" w:rsidRPr="007305A8" w:rsidRDefault="00F1059F" w:rsidP="00465938">
      <w:pPr>
        <w:spacing w:after="0" w:line="240" w:lineRule="auto"/>
        <w:jc w:val="both"/>
        <w:rPr>
          <w:rFonts w:ascii="Verdana" w:eastAsia="Times New Roman" w:hAnsi="Verdana" w:cs="Arial"/>
          <w:i/>
          <w:sz w:val="20"/>
          <w:szCs w:val="20"/>
          <w:lang w:val="es-ES_tradnl" w:eastAsia="es-ES"/>
        </w:rPr>
      </w:pPr>
    </w:p>
    <w:p w14:paraId="2AAE4A1D" w14:textId="77777777" w:rsidR="00F1059F" w:rsidRPr="007305A8" w:rsidRDefault="00F1059F" w:rsidP="0046593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El incumplimiento por parte de las autoridades de las disposiciones relacionadas con el reconocimiento y pago de créditos judicialmente reconocidos acarreará las sanciones penales, disciplinarias, fiscales y patrimoniales a que haya lugar.</w:t>
      </w:r>
    </w:p>
    <w:p w14:paraId="7B5E0456" w14:textId="77777777" w:rsidR="00F1059F" w:rsidRPr="007305A8" w:rsidRDefault="00F1059F" w:rsidP="00465938">
      <w:pPr>
        <w:spacing w:after="0" w:line="240" w:lineRule="auto"/>
        <w:jc w:val="both"/>
        <w:rPr>
          <w:rFonts w:ascii="Verdana" w:eastAsia="Times New Roman" w:hAnsi="Verdana" w:cs="Arial"/>
          <w:i/>
          <w:sz w:val="20"/>
          <w:szCs w:val="20"/>
          <w:lang w:val="es-ES_tradnl" w:eastAsia="es-ES"/>
        </w:rPr>
      </w:pPr>
    </w:p>
    <w:p w14:paraId="60D95439" w14:textId="69B54356" w:rsidR="00F1059F" w:rsidRPr="007305A8" w:rsidRDefault="00F1059F" w:rsidP="00465938">
      <w:pPr>
        <w:spacing w:after="0" w:line="240" w:lineRule="auto"/>
        <w:ind w:left="708"/>
        <w:jc w:val="both"/>
        <w:rPr>
          <w:rFonts w:ascii="Verdana" w:eastAsia="Times New Roman" w:hAnsi="Verdana" w:cs="Arial"/>
          <w:sz w:val="20"/>
          <w:szCs w:val="20"/>
          <w:lang w:val="es-ES_tradnl" w:eastAsia="es-ES"/>
        </w:rPr>
      </w:pPr>
      <w:r w:rsidRPr="007305A8">
        <w:rPr>
          <w:rFonts w:ascii="Verdana" w:eastAsia="Times New Roman" w:hAnsi="Verdana" w:cs="Arial"/>
          <w:i/>
          <w:sz w:val="20"/>
          <w:szCs w:val="20"/>
          <w:lang w:val="es-ES_tradnl" w:eastAsia="es-ES"/>
        </w:rPr>
        <w:t>Ejecutoriada la sentencia, para su cumplimiento, la Secretaría remitirá los oficios correspondientes</w:t>
      </w:r>
      <w:r w:rsidR="00465938" w:rsidRPr="007305A8">
        <w:rPr>
          <w:rFonts w:ascii="Verdana" w:eastAsia="Times New Roman" w:hAnsi="Verdana" w:cs="Arial"/>
          <w:sz w:val="20"/>
          <w:szCs w:val="20"/>
          <w:lang w:val="es-ES_tradnl" w:eastAsia="es-ES"/>
        </w:rPr>
        <w:t>”</w:t>
      </w:r>
      <w:r w:rsidR="00B22111">
        <w:rPr>
          <w:rFonts w:ascii="Verdana" w:eastAsia="Times New Roman" w:hAnsi="Verdana" w:cs="Arial"/>
          <w:sz w:val="20"/>
          <w:szCs w:val="20"/>
          <w:lang w:val="es-ES_tradnl" w:eastAsia="es-ES"/>
        </w:rPr>
        <w:t xml:space="preserve"> (negrilla y subrayado fuera de texto).</w:t>
      </w:r>
    </w:p>
    <w:p w14:paraId="6BF8AB4E" w14:textId="77777777" w:rsidR="00F1059F" w:rsidRPr="007305A8" w:rsidRDefault="00F1059F" w:rsidP="004A480E">
      <w:pPr>
        <w:spacing w:after="0" w:line="360" w:lineRule="auto"/>
        <w:jc w:val="both"/>
        <w:rPr>
          <w:rFonts w:ascii="Verdana" w:eastAsia="Times New Roman" w:hAnsi="Verdana" w:cs="Arial"/>
          <w:sz w:val="20"/>
          <w:szCs w:val="20"/>
          <w:lang w:val="es-ES_tradnl" w:eastAsia="es-ES"/>
        </w:rPr>
      </w:pPr>
    </w:p>
    <w:p w14:paraId="29D4BECB" w14:textId="22AFCA22" w:rsidR="00465938" w:rsidRDefault="00465938" w:rsidP="004039AC">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Pues bien, en el caso concreto, en la orden dada a la entidad demandada en el numeral segundo de la sentencia de la cual pretende su cumplimiento, fue clara en señalar que ésta </w:t>
      </w:r>
      <w:r w:rsidRPr="00465938">
        <w:rPr>
          <w:rFonts w:ascii="Verdana" w:eastAsia="Times New Roman" w:hAnsi="Verdana" w:cs="Arial"/>
          <w:lang w:val="es-ES_tradnl" w:eastAsia="es-ES"/>
        </w:rPr>
        <w:t>en el término perentorio de 48 horas, contadas desde la ejecutoria de la providencia,</w:t>
      </w:r>
      <w:r>
        <w:rPr>
          <w:rFonts w:ascii="Verdana" w:eastAsia="Times New Roman" w:hAnsi="Verdana" w:cs="Arial"/>
          <w:lang w:val="es-ES_tradnl" w:eastAsia="es-ES"/>
        </w:rPr>
        <w:t xml:space="preserve"> debía</w:t>
      </w:r>
      <w:r w:rsidRPr="00465938">
        <w:t xml:space="preserve"> </w:t>
      </w:r>
      <w:r w:rsidRPr="00465938">
        <w:rPr>
          <w:rFonts w:ascii="Verdana" w:eastAsia="Times New Roman" w:hAnsi="Verdana" w:cs="Arial"/>
          <w:lang w:val="es-ES_tradnl" w:eastAsia="es-ES"/>
        </w:rPr>
        <w:t>modif</w:t>
      </w:r>
      <w:r>
        <w:rPr>
          <w:rFonts w:ascii="Verdana" w:eastAsia="Times New Roman" w:hAnsi="Verdana" w:cs="Arial"/>
          <w:lang w:val="es-ES_tradnl" w:eastAsia="es-ES"/>
        </w:rPr>
        <w:t>icar</w:t>
      </w:r>
      <w:r w:rsidRPr="00465938">
        <w:rPr>
          <w:rFonts w:ascii="Verdana" w:eastAsia="Times New Roman" w:hAnsi="Verdana" w:cs="Arial"/>
          <w:lang w:val="es-ES_tradnl" w:eastAsia="es-ES"/>
        </w:rPr>
        <w:t xml:space="preserve"> o corr</w:t>
      </w:r>
      <w:r>
        <w:rPr>
          <w:rFonts w:ascii="Verdana" w:eastAsia="Times New Roman" w:hAnsi="Verdana" w:cs="Arial"/>
          <w:lang w:val="es-ES_tradnl" w:eastAsia="es-ES"/>
        </w:rPr>
        <w:t>egir</w:t>
      </w:r>
      <w:r w:rsidRPr="00465938">
        <w:rPr>
          <w:rFonts w:ascii="Verdana" w:eastAsia="Times New Roman" w:hAnsi="Verdana" w:cs="Arial"/>
          <w:lang w:val="es-ES_tradnl" w:eastAsia="es-ES"/>
        </w:rPr>
        <w:t xml:space="preserve"> la hoja de servicios militares del extinto señor SS® JHON JAIRO BERNAL RAMÍREZ (</w:t>
      </w:r>
      <w:proofErr w:type="spellStart"/>
      <w:r w:rsidRPr="00465938">
        <w:rPr>
          <w:rFonts w:ascii="Verdana" w:eastAsia="Times New Roman" w:hAnsi="Verdana" w:cs="Arial"/>
          <w:lang w:val="es-ES_tradnl" w:eastAsia="es-ES"/>
        </w:rPr>
        <w:t>q.e.p.d</w:t>
      </w:r>
      <w:proofErr w:type="spellEnd"/>
      <w:r w:rsidRPr="00465938">
        <w:rPr>
          <w:rFonts w:ascii="Verdana" w:eastAsia="Times New Roman" w:hAnsi="Verdana" w:cs="Arial"/>
          <w:lang w:val="es-ES_tradnl" w:eastAsia="es-ES"/>
        </w:rPr>
        <w:t>) en cuanto a la causal y fecha de retiro señalando que obedeció a muerte en actividad desde el 9 de diciembre de 2004</w:t>
      </w:r>
      <w:r>
        <w:rPr>
          <w:rFonts w:ascii="Verdana" w:eastAsia="Times New Roman" w:hAnsi="Verdana" w:cs="Arial"/>
          <w:lang w:val="es-ES_tradnl" w:eastAsia="es-ES"/>
        </w:rPr>
        <w:t>, término que a todas luces ya feneció</w:t>
      </w:r>
      <w:r w:rsidR="00D21100">
        <w:rPr>
          <w:rFonts w:ascii="Verdana" w:eastAsia="Times New Roman" w:hAnsi="Verdana" w:cs="Arial"/>
          <w:lang w:val="es-ES_tradnl" w:eastAsia="es-ES"/>
        </w:rPr>
        <w:t>.</w:t>
      </w:r>
      <w:r w:rsidR="00A22287" w:rsidRPr="00A22287">
        <w:t xml:space="preserve"> </w:t>
      </w:r>
      <w:r w:rsidR="000B35E5">
        <w:rPr>
          <w:rFonts w:ascii="Verdana" w:eastAsia="Times New Roman" w:hAnsi="Verdana" w:cs="Arial"/>
          <w:lang w:val="es-ES_tradnl" w:eastAsia="es-ES"/>
        </w:rPr>
        <w:t>Sea del caso precisar que</w:t>
      </w:r>
      <w:r w:rsidR="00A22287" w:rsidRPr="00A22287">
        <w:rPr>
          <w:rFonts w:ascii="Verdana" w:eastAsia="Times New Roman" w:hAnsi="Verdana" w:cs="Arial"/>
          <w:lang w:val="es-ES_tradnl" w:eastAsia="es-ES"/>
        </w:rPr>
        <w:t xml:space="preserve"> la parte actora no allegó al plenario </w:t>
      </w:r>
      <w:r w:rsidR="005E1D88">
        <w:rPr>
          <w:rFonts w:ascii="Verdana" w:eastAsia="Times New Roman" w:hAnsi="Verdana" w:cs="Arial"/>
          <w:lang w:val="es-ES_tradnl" w:eastAsia="es-ES"/>
        </w:rPr>
        <w:t xml:space="preserve">alguna </w:t>
      </w:r>
      <w:r w:rsidR="00A22287" w:rsidRPr="00A22287">
        <w:rPr>
          <w:rFonts w:ascii="Verdana" w:eastAsia="Times New Roman" w:hAnsi="Verdana" w:cs="Arial"/>
          <w:lang w:val="es-ES_tradnl" w:eastAsia="es-ES"/>
        </w:rPr>
        <w:t>prueba que permita establecer que presentó solicitud de cumplimiento ante la entidad obligada.</w:t>
      </w:r>
    </w:p>
    <w:p w14:paraId="0FD03206" w14:textId="77777777" w:rsidR="00465938" w:rsidRDefault="00465938" w:rsidP="004039AC">
      <w:pPr>
        <w:spacing w:after="0" w:line="360" w:lineRule="auto"/>
        <w:jc w:val="both"/>
        <w:rPr>
          <w:rFonts w:ascii="Verdana" w:eastAsia="Times New Roman" w:hAnsi="Verdana" w:cs="Arial"/>
          <w:lang w:val="es-ES_tradnl" w:eastAsia="es-ES"/>
        </w:rPr>
      </w:pPr>
    </w:p>
    <w:p w14:paraId="393875BA" w14:textId="176E82CC" w:rsidR="005F569E" w:rsidRDefault="000B35E5" w:rsidP="004039AC">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Así mismo</w:t>
      </w:r>
      <w:r w:rsidR="00465938">
        <w:rPr>
          <w:rFonts w:ascii="Verdana" w:eastAsia="Times New Roman" w:hAnsi="Verdana" w:cs="Arial"/>
          <w:lang w:val="es-ES_tradnl" w:eastAsia="es-ES"/>
        </w:rPr>
        <w:t>,</w:t>
      </w:r>
      <w:r w:rsidR="00DC0DD5">
        <w:rPr>
          <w:rFonts w:ascii="Verdana" w:eastAsia="Times New Roman" w:hAnsi="Verdana" w:cs="Arial"/>
          <w:lang w:val="es-ES_tradnl" w:eastAsia="es-ES"/>
        </w:rPr>
        <w:t xml:space="preserve"> advierte el Despacho que para</w:t>
      </w:r>
      <w:r>
        <w:rPr>
          <w:rFonts w:ascii="Verdana" w:eastAsia="Times New Roman" w:hAnsi="Verdana" w:cs="Arial"/>
          <w:lang w:val="es-ES_tradnl" w:eastAsia="es-ES"/>
        </w:rPr>
        <w:t xml:space="preserve"> </w:t>
      </w:r>
      <w:r w:rsidR="00DC0DD5">
        <w:rPr>
          <w:rFonts w:ascii="Verdana" w:eastAsia="Times New Roman" w:hAnsi="Verdana" w:cs="Arial"/>
          <w:lang w:val="es-ES_tradnl" w:eastAsia="es-ES"/>
        </w:rPr>
        <w:t>el cumplimiento de sentencias proferida</w:t>
      </w:r>
      <w:r w:rsidR="005F569E">
        <w:rPr>
          <w:rFonts w:ascii="Verdana" w:eastAsia="Times New Roman" w:hAnsi="Verdana" w:cs="Arial"/>
          <w:lang w:val="es-ES_tradnl" w:eastAsia="es-ES"/>
        </w:rPr>
        <w:t>s</w:t>
      </w:r>
      <w:r w:rsidR="00DC0DD5">
        <w:rPr>
          <w:rFonts w:ascii="Verdana" w:eastAsia="Times New Roman" w:hAnsi="Verdana" w:cs="Arial"/>
          <w:lang w:val="es-ES_tradnl" w:eastAsia="es-ES"/>
        </w:rPr>
        <w:t xml:space="preserve"> dentro de</w:t>
      </w:r>
      <w:r w:rsidR="005F569E">
        <w:rPr>
          <w:rFonts w:ascii="Verdana" w:eastAsia="Times New Roman" w:hAnsi="Verdana" w:cs="Arial"/>
          <w:lang w:val="es-ES_tradnl" w:eastAsia="es-ES"/>
        </w:rPr>
        <w:t xml:space="preserve"> los</w:t>
      </w:r>
      <w:r w:rsidR="00DC0DD5">
        <w:rPr>
          <w:rFonts w:ascii="Verdana" w:eastAsia="Times New Roman" w:hAnsi="Verdana" w:cs="Arial"/>
          <w:lang w:val="es-ES_tradnl" w:eastAsia="es-ES"/>
        </w:rPr>
        <w:t xml:space="preserve"> medio</w:t>
      </w:r>
      <w:r w:rsidR="005F569E">
        <w:rPr>
          <w:rFonts w:ascii="Verdana" w:eastAsia="Times New Roman" w:hAnsi="Verdana" w:cs="Arial"/>
          <w:lang w:val="es-ES_tradnl" w:eastAsia="es-ES"/>
        </w:rPr>
        <w:t>s</w:t>
      </w:r>
      <w:r w:rsidR="00DC0DD5">
        <w:rPr>
          <w:rFonts w:ascii="Verdana" w:eastAsia="Times New Roman" w:hAnsi="Verdana" w:cs="Arial"/>
          <w:lang w:val="es-ES_tradnl" w:eastAsia="es-ES"/>
        </w:rPr>
        <w:t xml:space="preserve"> </w:t>
      </w:r>
      <w:r w:rsidR="005F569E">
        <w:rPr>
          <w:rFonts w:ascii="Verdana" w:eastAsia="Times New Roman" w:hAnsi="Verdana" w:cs="Arial"/>
          <w:lang w:val="es-ES_tradnl" w:eastAsia="es-ES"/>
        </w:rPr>
        <w:t xml:space="preserve">de control ordinarios que contempla la Ley 1437 de 2011, el ordenamiento jurídico no contempla la posibilidad de dar apertura a </w:t>
      </w:r>
      <w:r w:rsidR="005F569E">
        <w:rPr>
          <w:rFonts w:ascii="Verdana" w:eastAsia="Times New Roman" w:hAnsi="Verdana" w:cs="Arial"/>
          <w:lang w:val="es-ES_tradnl" w:eastAsia="es-ES"/>
        </w:rPr>
        <w:lastRenderedPageBreak/>
        <w:t>un incidente de desacato</w:t>
      </w:r>
      <w:r w:rsidR="00B93734">
        <w:rPr>
          <w:rFonts w:ascii="Verdana" w:eastAsia="Times New Roman" w:hAnsi="Verdana" w:cs="Arial"/>
          <w:lang w:val="es-ES_tradnl" w:eastAsia="es-ES"/>
        </w:rPr>
        <w:t xml:space="preserve"> por </w:t>
      </w:r>
      <w:r w:rsidR="00333E53">
        <w:rPr>
          <w:rFonts w:ascii="Verdana" w:eastAsia="Times New Roman" w:hAnsi="Verdana" w:cs="Arial"/>
          <w:lang w:val="es-ES_tradnl" w:eastAsia="es-ES"/>
        </w:rPr>
        <w:t>su</w:t>
      </w:r>
      <w:r w:rsidR="00B93734">
        <w:rPr>
          <w:rFonts w:ascii="Verdana" w:eastAsia="Times New Roman" w:hAnsi="Verdana" w:cs="Arial"/>
          <w:lang w:val="es-ES_tradnl" w:eastAsia="es-ES"/>
        </w:rPr>
        <w:t xml:space="preserve"> incumplimiento, </w:t>
      </w:r>
      <w:r w:rsidR="005F569E">
        <w:rPr>
          <w:rFonts w:ascii="Verdana" w:eastAsia="Times New Roman" w:hAnsi="Verdana" w:cs="Arial"/>
          <w:lang w:val="es-ES_tradnl" w:eastAsia="es-ES"/>
        </w:rPr>
        <w:t>como si lo contemplan normas especiales en el caso de fallos de tutela o de protección de derechos e intereses colectivos.</w:t>
      </w:r>
    </w:p>
    <w:p w14:paraId="1D5D7903" w14:textId="25F83C50" w:rsidR="00B93734" w:rsidRDefault="00B93734" w:rsidP="004039AC">
      <w:pPr>
        <w:spacing w:after="0" w:line="360" w:lineRule="auto"/>
        <w:jc w:val="both"/>
        <w:rPr>
          <w:rFonts w:ascii="Verdana" w:eastAsia="Times New Roman" w:hAnsi="Verdana" w:cs="Arial"/>
          <w:lang w:val="es-ES_tradnl" w:eastAsia="es-ES"/>
        </w:rPr>
      </w:pPr>
    </w:p>
    <w:p w14:paraId="7A6DA1F2" w14:textId="410AE0ED" w:rsidR="00A22287" w:rsidRDefault="00B93734" w:rsidP="004039AC">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En ese orden de ideas, en el fallo del cual se exige su cumplimiento, además de ordenar la </w:t>
      </w:r>
      <w:r w:rsidRPr="00465938">
        <w:rPr>
          <w:rFonts w:ascii="Verdana" w:eastAsia="Times New Roman" w:hAnsi="Verdana" w:cs="Arial"/>
          <w:lang w:val="es-ES_tradnl" w:eastAsia="es-ES"/>
        </w:rPr>
        <w:t>modif</w:t>
      </w:r>
      <w:r>
        <w:rPr>
          <w:rFonts w:ascii="Verdana" w:eastAsia="Times New Roman" w:hAnsi="Verdana" w:cs="Arial"/>
          <w:lang w:val="es-ES_tradnl" w:eastAsia="es-ES"/>
        </w:rPr>
        <w:t>icación</w:t>
      </w:r>
      <w:r w:rsidRPr="00465938">
        <w:rPr>
          <w:rFonts w:ascii="Verdana" w:eastAsia="Times New Roman" w:hAnsi="Verdana" w:cs="Arial"/>
          <w:lang w:val="es-ES_tradnl" w:eastAsia="es-ES"/>
        </w:rPr>
        <w:t xml:space="preserve"> o corr</w:t>
      </w:r>
      <w:r>
        <w:rPr>
          <w:rFonts w:ascii="Verdana" w:eastAsia="Times New Roman" w:hAnsi="Verdana" w:cs="Arial"/>
          <w:lang w:val="es-ES_tradnl" w:eastAsia="es-ES"/>
        </w:rPr>
        <w:t xml:space="preserve">ección de </w:t>
      </w:r>
      <w:r w:rsidRPr="00465938">
        <w:rPr>
          <w:rFonts w:ascii="Verdana" w:eastAsia="Times New Roman" w:hAnsi="Verdana" w:cs="Arial"/>
          <w:lang w:val="es-ES_tradnl" w:eastAsia="es-ES"/>
        </w:rPr>
        <w:t>la hoja de servicios militares del extinto señor SS® JHON JAIRO BERNAL RAMÍREZ (</w:t>
      </w:r>
      <w:proofErr w:type="spellStart"/>
      <w:r w:rsidRPr="00465938">
        <w:rPr>
          <w:rFonts w:ascii="Verdana" w:eastAsia="Times New Roman" w:hAnsi="Verdana" w:cs="Arial"/>
          <w:lang w:val="es-ES_tradnl" w:eastAsia="es-ES"/>
        </w:rPr>
        <w:t>q.e.p.d</w:t>
      </w:r>
      <w:proofErr w:type="spellEnd"/>
      <w:r w:rsidRPr="00465938">
        <w:rPr>
          <w:rFonts w:ascii="Verdana" w:eastAsia="Times New Roman" w:hAnsi="Verdana" w:cs="Arial"/>
          <w:lang w:val="es-ES_tradnl" w:eastAsia="es-ES"/>
        </w:rPr>
        <w:t>) en cuanto a la causal y fecha de retiro</w:t>
      </w:r>
      <w:r>
        <w:rPr>
          <w:rFonts w:ascii="Verdana" w:eastAsia="Times New Roman" w:hAnsi="Verdana" w:cs="Arial"/>
          <w:lang w:val="es-ES_tradnl" w:eastAsia="es-ES"/>
        </w:rPr>
        <w:t xml:space="preserve">, </w:t>
      </w:r>
      <w:r w:rsidRPr="00333E53">
        <w:rPr>
          <w:rFonts w:ascii="Verdana" w:eastAsia="Times New Roman" w:hAnsi="Verdana" w:cs="Arial"/>
          <w:b/>
          <w:lang w:val="es-ES_tradnl" w:eastAsia="es-ES"/>
        </w:rPr>
        <w:t xml:space="preserve">también </w:t>
      </w:r>
      <w:r>
        <w:rPr>
          <w:rFonts w:ascii="Verdana" w:eastAsia="Times New Roman" w:hAnsi="Verdana" w:cs="Arial"/>
          <w:lang w:val="es-ES_tradnl" w:eastAsia="es-ES"/>
        </w:rPr>
        <w:t xml:space="preserve">se ordenó el </w:t>
      </w:r>
      <w:r w:rsidRPr="00B93734">
        <w:rPr>
          <w:rFonts w:ascii="Verdana" w:eastAsia="Times New Roman" w:hAnsi="Verdana" w:cs="Arial"/>
          <w:lang w:val="es-ES_tradnl" w:eastAsia="es-ES"/>
        </w:rPr>
        <w:t>reconoc</w:t>
      </w:r>
      <w:r>
        <w:rPr>
          <w:rFonts w:ascii="Verdana" w:eastAsia="Times New Roman" w:hAnsi="Verdana" w:cs="Arial"/>
          <w:lang w:val="es-ES_tradnl" w:eastAsia="es-ES"/>
        </w:rPr>
        <w:t>imiento</w:t>
      </w:r>
      <w:r w:rsidRPr="00B93734">
        <w:rPr>
          <w:rFonts w:ascii="Verdana" w:eastAsia="Times New Roman" w:hAnsi="Verdana" w:cs="Arial"/>
          <w:lang w:val="es-ES_tradnl" w:eastAsia="es-ES"/>
        </w:rPr>
        <w:t xml:space="preserve"> y pag</w:t>
      </w:r>
      <w:r>
        <w:rPr>
          <w:rFonts w:ascii="Verdana" w:eastAsia="Times New Roman" w:hAnsi="Verdana" w:cs="Arial"/>
          <w:lang w:val="es-ES_tradnl" w:eastAsia="es-ES"/>
        </w:rPr>
        <w:t>o de una pensión de sobrevivientes</w:t>
      </w:r>
      <w:r w:rsidRPr="00B93734">
        <w:rPr>
          <w:rFonts w:ascii="Verdana" w:eastAsia="Times New Roman" w:hAnsi="Verdana" w:cs="Arial"/>
          <w:lang w:val="es-ES_tradnl" w:eastAsia="es-ES"/>
        </w:rPr>
        <w:t xml:space="preserve"> a favor de la señora SUGEY ALEJANDRA HERNADEZ LEMUS </w:t>
      </w:r>
      <w:r>
        <w:rPr>
          <w:rFonts w:ascii="Verdana" w:eastAsia="Times New Roman" w:hAnsi="Verdana" w:cs="Arial"/>
          <w:lang w:val="es-ES_tradnl" w:eastAsia="es-ES"/>
        </w:rPr>
        <w:t xml:space="preserve">(cónyuge) y de </w:t>
      </w:r>
      <w:r w:rsidRPr="00B93734">
        <w:rPr>
          <w:rFonts w:ascii="Verdana" w:eastAsia="Times New Roman" w:hAnsi="Verdana" w:cs="Arial"/>
          <w:lang w:val="es-ES_tradnl" w:eastAsia="es-ES"/>
        </w:rPr>
        <w:t>JHON HANSEN, JHON ALEJANDRO y MARIA ALEJANDRA BERNAL HERNÁNDEZ</w:t>
      </w:r>
      <w:r>
        <w:rPr>
          <w:rFonts w:ascii="Verdana" w:eastAsia="Times New Roman" w:hAnsi="Verdana" w:cs="Arial"/>
          <w:lang w:val="es-ES_tradnl" w:eastAsia="es-ES"/>
        </w:rPr>
        <w:t xml:space="preserve"> (hijos), razón por la cual, </w:t>
      </w:r>
      <w:r w:rsidR="003F490B">
        <w:rPr>
          <w:rFonts w:ascii="Verdana" w:eastAsia="Times New Roman" w:hAnsi="Verdana" w:cs="Arial"/>
          <w:lang w:val="es-ES_tradnl" w:eastAsia="es-ES"/>
        </w:rPr>
        <w:t xml:space="preserve">la sentencia en mención además de contener una obligación de hacer, también contiene una obligación de </w:t>
      </w:r>
      <w:r w:rsidR="006849E5">
        <w:rPr>
          <w:rFonts w:ascii="Verdana" w:eastAsia="Times New Roman" w:hAnsi="Verdana" w:cs="Arial"/>
          <w:lang w:val="es-ES_tradnl" w:eastAsia="es-ES"/>
        </w:rPr>
        <w:t>pagar</w:t>
      </w:r>
      <w:r w:rsidR="003F490B">
        <w:rPr>
          <w:rFonts w:ascii="Verdana" w:eastAsia="Times New Roman" w:hAnsi="Verdana" w:cs="Arial"/>
          <w:lang w:val="es-ES_tradnl" w:eastAsia="es-ES"/>
        </w:rPr>
        <w:t xml:space="preserve"> una</w:t>
      </w:r>
      <w:r w:rsidR="005C7EC4">
        <w:rPr>
          <w:rFonts w:ascii="Verdana" w:eastAsia="Times New Roman" w:hAnsi="Verdana" w:cs="Arial"/>
          <w:lang w:val="es-ES_tradnl" w:eastAsia="es-ES"/>
        </w:rPr>
        <w:t>s</w:t>
      </w:r>
      <w:r w:rsidR="003F490B">
        <w:rPr>
          <w:rFonts w:ascii="Verdana" w:eastAsia="Times New Roman" w:hAnsi="Verdana" w:cs="Arial"/>
          <w:lang w:val="es-ES_tradnl" w:eastAsia="es-ES"/>
        </w:rPr>
        <w:t xml:space="preserve"> suma</w:t>
      </w:r>
      <w:r w:rsidR="005C7EC4">
        <w:rPr>
          <w:rFonts w:ascii="Verdana" w:eastAsia="Times New Roman" w:hAnsi="Verdana" w:cs="Arial"/>
          <w:lang w:val="es-ES_tradnl" w:eastAsia="es-ES"/>
        </w:rPr>
        <w:t>s</w:t>
      </w:r>
      <w:r w:rsidR="003F490B">
        <w:rPr>
          <w:rFonts w:ascii="Verdana" w:eastAsia="Times New Roman" w:hAnsi="Verdana" w:cs="Arial"/>
          <w:lang w:val="es-ES_tradnl" w:eastAsia="es-ES"/>
        </w:rPr>
        <w:t xml:space="preserve"> líquida</w:t>
      </w:r>
      <w:r w:rsidR="005C7EC4">
        <w:rPr>
          <w:rFonts w:ascii="Verdana" w:eastAsia="Times New Roman" w:hAnsi="Verdana" w:cs="Arial"/>
          <w:lang w:val="es-ES_tradnl" w:eastAsia="es-ES"/>
        </w:rPr>
        <w:t>s</w:t>
      </w:r>
      <w:r w:rsidR="003F490B">
        <w:rPr>
          <w:rFonts w:ascii="Verdana" w:eastAsia="Times New Roman" w:hAnsi="Verdana" w:cs="Arial"/>
          <w:lang w:val="es-ES_tradnl" w:eastAsia="es-ES"/>
        </w:rPr>
        <w:t xml:space="preserve"> de dinero, siendo procedente para su cumplimiento, dar aplicación a lo previsto en el artículo 192 de la Ley 1437</w:t>
      </w:r>
      <w:r w:rsidR="00A22287">
        <w:rPr>
          <w:rFonts w:ascii="Verdana" w:eastAsia="Times New Roman" w:hAnsi="Verdana" w:cs="Arial"/>
          <w:lang w:val="es-ES_tradnl" w:eastAsia="es-ES"/>
        </w:rPr>
        <w:t>.</w:t>
      </w:r>
    </w:p>
    <w:p w14:paraId="7B7B0828" w14:textId="77777777" w:rsidR="00A22287" w:rsidRDefault="00A22287" w:rsidP="004039AC">
      <w:pPr>
        <w:spacing w:after="0" w:line="360" w:lineRule="auto"/>
        <w:jc w:val="both"/>
        <w:rPr>
          <w:rFonts w:ascii="Verdana" w:eastAsia="Times New Roman" w:hAnsi="Verdana" w:cs="Arial"/>
          <w:lang w:val="es-ES_tradnl" w:eastAsia="es-ES"/>
        </w:rPr>
      </w:pPr>
    </w:p>
    <w:p w14:paraId="1C16581B" w14:textId="6C05ABF2" w:rsidR="00A22287" w:rsidRDefault="00A22287" w:rsidP="00A22287">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Del mismo modo, no pierde de vista el Despacho que de conformidad con el artículo 297 ibidem, constituye título ejecutivo, entre otros:</w:t>
      </w:r>
    </w:p>
    <w:p w14:paraId="203EBBA2" w14:textId="77777777" w:rsidR="00A22287" w:rsidRDefault="00A22287" w:rsidP="00A22287">
      <w:pPr>
        <w:spacing w:after="0" w:line="360" w:lineRule="auto"/>
        <w:jc w:val="both"/>
        <w:rPr>
          <w:rFonts w:ascii="Verdana" w:eastAsia="Times New Roman" w:hAnsi="Verdana" w:cs="Arial"/>
          <w:lang w:val="es-ES_tradnl" w:eastAsia="es-ES"/>
        </w:rPr>
      </w:pPr>
    </w:p>
    <w:p w14:paraId="21B0F5B1" w14:textId="77777777" w:rsidR="00A22287" w:rsidRPr="007305A8" w:rsidRDefault="00A22287" w:rsidP="00A22287">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“1. Las sentencias debidamente ejecutoriadas proferidas por la Jurisdicción de lo Contencioso Administrativo, mediante las cuales se condene a una entidad pública al pago de sumas dinerarias.</w:t>
      </w:r>
    </w:p>
    <w:p w14:paraId="1CCE57DA" w14:textId="6EF33BAD" w:rsidR="00A22287" w:rsidRDefault="00A22287" w:rsidP="00A22287">
      <w:pPr>
        <w:spacing w:after="0" w:line="240" w:lineRule="auto"/>
        <w:ind w:left="708"/>
        <w:jc w:val="both"/>
        <w:rPr>
          <w:rFonts w:ascii="Verdana" w:eastAsia="Times New Roman" w:hAnsi="Verdana" w:cs="Arial"/>
          <w:lang w:val="es-ES_tradnl" w:eastAsia="es-ES"/>
        </w:rPr>
      </w:pPr>
      <w:r w:rsidRPr="007305A8">
        <w:rPr>
          <w:rFonts w:ascii="Verdana" w:eastAsia="Times New Roman" w:hAnsi="Verdana" w:cs="Arial"/>
          <w:i/>
          <w:sz w:val="20"/>
          <w:szCs w:val="20"/>
          <w:lang w:val="es-ES_tradnl" w:eastAsia="es-ES"/>
        </w:rPr>
        <w:t>(…)”</w:t>
      </w:r>
      <w:r w:rsidRPr="007305A8">
        <w:rPr>
          <w:rFonts w:ascii="Verdana" w:eastAsia="Times New Roman" w:hAnsi="Verdana" w:cs="Arial"/>
          <w:sz w:val="20"/>
          <w:szCs w:val="20"/>
          <w:lang w:val="es-ES_tradnl" w:eastAsia="es-ES"/>
        </w:rPr>
        <w:t>.</w:t>
      </w:r>
    </w:p>
    <w:p w14:paraId="04455FE0" w14:textId="77777777" w:rsidR="00A22287" w:rsidRDefault="00A22287" w:rsidP="00A22287">
      <w:pPr>
        <w:spacing w:after="0" w:line="240" w:lineRule="auto"/>
        <w:ind w:left="708"/>
        <w:jc w:val="both"/>
        <w:rPr>
          <w:rFonts w:ascii="Verdana" w:eastAsia="Times New Roman" w:hAnsi="Verdana" w:cs="Arial"/>
          <w:lang w:val="es-ES_tradnl" w:eastAsia="es-ES"/>
        </w:rPr>
      </w:pPr>
    </w:p>
    <w:p w14:paraId="3F39A487" w14:textId="56952DA0" w:rsidR="00B55770" w:rsidRDefault="00B55770" w:rsidP="00B55770">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Lo señalado, en concordancia con el artículo 422 del CGP, que señala que pueden demandarse ejecutivamente las obligaciones claras, expresas y exigibles </w:t>
      </w:r>
      <w:r w:rsidRPr="00B55770">
        <w:rPr>
          <w:rFonts w:ascii="Verdana" w:eastAsia="Times New Roman" w:hAnsi="Verdana" w:cs="Arial"/>
          <w:lang w:val="es-ES_tradnl" w:eastAsia="es-ES"/>
        </w:rPr>
        <w:t>que emanen de una sentencia de</w:t>
      </w:r>
      <w:r>
        <w:rPr>
          <w:rFonts w:ascii="Verdana" w:eastAsia="Times New Roman" w:hAnsi="Verdana" w:cs="Arial"/>
          <w:lang w:val="es-ES_tradnl" w:eastAsia="es-ES"/>
        </w:rPr>
        <w:t xml:space="preserve"> </w:t>
      </w:r>
      <w:r w:rsidRPr="00B55770">
        <w:rPr>
          <w:rFonts w:ascii="Verdana" w:eastAsia="Times New Roman" w:hAnsi="Verdana" w:cs="Arial"/>
          <w:lang w:val="es-ES_tradnl" w:eastAsia="es-ES"/>
        </w:rPr>
        <w:t>condena proferida por juez o tribunal de cualquier jurisdicció</w:t>
      </w:r>
      <w:r>
        <w:rPr>
          <w:rFonts w:ascii="Verdana" w:eastAsia="Times New Roman" w:hAnsi="Verdana" w:cs="Arial"/>
          <w:lang w:val="es-ES_tradnl" w:eastAsia="es-ES"/>
        </w:rPr>
        <w:t>n.</w:t>
      </w:r>
    </w:p>
    <w:p w14:paraId="660B7872" w14:textId="77777777" w:rsidR="00B55770" w:rsidRDefault="00B55770" w:rsidP="00A22287">
      <w:pPr>
        <w:spacing w:after="0" w:line="360" w:lineRule="auto"/>
        <w:jc w:val="both"/>
        <w:rPr>
          <w:rFonts w:ascii="Verdana" w:eastAsia="Times New Roman" w:hAnsi="Verdana" w:cs="Arial"/>
          <w:lang w:val="es-ES_tradnl" w:eastAsia="es-ES"/>
        </w:rPr>
      </w:pPr>
    </w:p>
    <w:p w14:paraId="63853F08" w14:textId="6A102A21" w:rsidR="003F490B" w:rsidRDefault="006849E5" w:rsidP="00A22287">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En ese orden de ideas,</w:t>
      </w:r>
      <w:r w:rsidR="00A22287">
        <w:rPr>
          <w:rFonts w:ascii="Verdana" w:eastAsia="Times New Roman" w:hAnsi="Verdana" w:cs="Arial"/>
          <w:lang w:val="es-ES_tradnl" w:eastAsia="es-ES"/>
        </w:rPr>
        <w:t xml:space="preserve"> por remisión del artículo 306 del CPACA, </w:t>
      </w:r>
      <w:r>
        <w:rPr>
          <w:rFonts w:ascii="Verdana" w:eastAsia="Times New Roman" w:hAnsi="Verdana" w:cs="Arial"/>
          <w:lang w:val="es-ES_tradnl" w:eastAsia="es-ES"/>
        </w:rPr>
        <w:t>existe la posibilidad de</w:t>
      </w:r>
      <w:r w:rsidR="00A22287">
        <w:rPr>
          <w:rFonts w:ascii="Verdana" w:eastAsia="Times New Roman" w:hAnsi="Verdana" w:cs="Arial"/>
          <w:lang w:val="es-ES_tradnl" w:eastAsia="es-ES"/>
        </w:rPr>
        <w:t xml:space="preserve"> </w:t>
      </w:r>
      <w:r w:rsidR="00A22287" w:rsidRPr="00A22287">
        <w:rPr>
          <w:rFonts w:ascii="Verdana" w:eastAsia="Times New Roman" w:hAnsi="Verdana" w:cs="Arial"/>
          <w:lang w:val="es-ES_tradnl" w:eastAsia="es-ES"/>
        </w:rPr>
        <w:t>solicitar la ejecución con base en la sentencia</w:t>
      </w:r>
      <w:r w:rsidR="00A22287">
        <w:rPr>
          <w:rFonts w:ascii="Verdana" w:eastAsia="Times New Roman" w:hAnsi="Verdana" w:cs="Arial"/>
          <w:lang w:val="es-ES_tradnl" w:eastAsia="es-ES"/>
        </w:rPr>
        <w:t xml:space="preserve"> en los términos previstos en el artículo 306 del CGP, que señala:</w:t>
      </w:r>
    </w:p>
    <w:p w14:paraId="300FC594" w14:textId="53E7E982" w:rsidR="00A22287" w:rsidRDefault="00A22287" w:rsidP="00A22287">
      <w:pPr>
        <w:spacing w:after="0" w:line="360" w:lineRule="auto"/>
        <w:jc w:val="both"/>
        <w:rPr>
          <w:rFonts w:ascii="Verdana" w:eastAsia="Times New Roman" w:hAnsi="Verdana" w:cs="Arial"/>
          <w:lang w:val="es-ES_tradnl" w:eastAsia="es-ES"/>
        </w:rPr>
      </w:pPr>
    </w:p>
    <w:p w14:paraId="3FF5AAAD" w14:textId="4EA800C6" w:rsidR="00A22287" w:rsidRPr="007305A8" w:rsidRDefault="00A22287" w:rsidP="007305A8">
      <w:pPr>
        <w:spacing w:after="0" w:line="240" w:lineRule="auto"/>
        <w:ind w:left="708"/>
        <w:jc w:val="both"/>
        <w:rPr>
          <w:rFonts w:ascii="Verdana" w:eastAsia="Times New Roman" w:hAnsi="Verdana" w:cs="Arial"/>
          <w:i/>
          <w:sz w:val="20"/>
          <w:szCs w:val="20"/>
          <w:lang w:val="es-ES_tradnl" w:eastAsia="es-ES"/>
        </w:rPr>
      </w:pPr>
      <w:r>
        <w:rPr>
          <w:rFonts w:ascii="Verdana" w:eastAsia="Times New Roman" w:hAnsi="Verdana" w:cs="Arial"/>
          <w:b/>
          <w:lang w:val="es-ES_tradnl" w:eastAsia="es-ES"/>
        </w:rPr>
        <w:t>“</w:t>
      </w:r>
      <w:r w:rsidRPr="007305A8">
        <w:rPr>
          <w:rFonts w:ascii="Verdana" w:eastAsia="Times New Roman" w:hAnsi="Verdana" w:cs="Arial"/>
          <w:b/>
          <w:i/>
          <w:sz w:val="20"/>
          <w:szCs w:val="20"/>
          <w:lang w:val="es-ES_tradnl" w:eastAsia="es-ES"/>
        </w:rPr>
        <w:t>Artículo 306. Ejecución.</w:t>
      </w:r>
      <w:r w:rsidRPr="007305A8">
        <w:rPr>
          <w:rFonts w:ascii="Verdana" w:eastAsia="Times New Roman" w:hAnsi="Verdana" w:cs="Arial"/>
          <w:i/>
          <w:sz w:val="20"/>
          <w:szCs w:val="20"/>
          <w:lang w:val="es-ES_tradnl" w:eastAsia="es-ES"/>
        </w:rPr>
        <w:t xml:space="preserve"> </w:t>
      </w:r>
      <w:r w:rsidRPr="00B22111">
        <w:rPr>
          <w:rFonts w:ascii="Verdana" w:eastAsia="Times New Roman" w:hAnsi="Verdana" w:cs="Arial"/>
          <w:i/>
          <w:sz w:val="20"/>
          <w:szCs w:val="20"/>
          <w:u w:val="single"/>
          <w:lang w:val="es-ES_tradnl" w:eastAsia="es-ES"/>
        </w:rPr>
        <w:t>Cuando la sentencia condene al pago de una suma de dinero, a la entrega de cosas muebles que no hayan sido secuestradas en el mismo proceso, o al cumplimiento de una obligación de hacer, el acreedor, sin necesidad de formular demanda, deberá solicitar la ejecución con base en la sentencia, ante el juez del conocimiento, para que se adelante el proceso ejecutivo a continuación y dentro del mismo expediente en que fue dictada</w:t>
      </w:r>
      <w:r w:rsidRPr="007305A8">
        <w:rPr>
          <w:rFonts w:ascii="Verdana" w:eastAsia="Times New Roman" w:hAnsi="Verdana" w:cs="Arial"/>
          <w:i/>
          <w:sz w:val="20"/>
          <w:szCs w:val="20"/>
          <w:lang w:val="es-ES_tradnl" w:eastAsia="es-ES"/>
        </w:rPr>
        <w:t>. Formulada la solicitud el juez librará mandamiento ejecutivo de acuerdo con lo señalado en la parte resolutiva de la sentencia y, de ser el caso, por las costas aprobadas, sin que sea necesario, para iniciar la ejecución, esperar a que se surta el trámite anterior.</w:t>
      </w:r>
    </w:p>
    <w:p w14:paraId="4EA17A73" w14:textId="77777777" w:rsidR="00A22287" w:rsidRPr="007305A8" w:rsidRDefault="00A22287" w:rsidP="007305A8">
      <w:pPr>
        <w:spacing w:after="0" w:line="240" w:lineRule="auto"/>
        <w:jc w:val="both"/>
        <w:rPr>
          <w:rFonts w:ascii="Verdana" w:eastAsia="Times New Roman" w:hAnsi="Verdana" w:cs="Arial"/>
          <w:i/>
          <w:sz w:val="20"/>
          <w:szCs w:val="20"/>
          <w:lang w:val="es-ES_tradnl" w:eastAsia="es-ES"/>
        </w:rPr>
      </w:pPr>
    </w:p>
    <w:p w14:paraId="23E3722F" w14:textId="77777777" w:rsidR="00A22287" w:rsidRPr="007305A8" w:rsidRDefault="00A22287" w:rsidP="007305A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Si la solicitud de la ejecución se formula dentro de los treinta (30) días siguientes a la ejecutoria de la sentencia, o a la notificación del auto de obedecimiento a lo resuelto por el superior, según fuere el caso, el mandamiento ejecutivo se notificará por estado. De ser formulada con posterioridad, la notificación del mandamiento ejecutivo al ejecutado deberá realizarse personalmente.</w:t>
      </w:r>
    </w:p>
    <w:p w14:paraId="67A037D5" w14:textId="77777777" w:rsidR="00A22287" w:rsidRPr="007305A8" w:rsidRDefault="00A22287" w:rsidP="007305A8">
      <w:pPr>
        <w:spacing w:after="0" w:line="240" w:lineRule="auto"/>
        <w:jc w:val="both"/>
        <w:rPr>
          <w:rFonts w:ascii="Verdana" w:eastAsia="Times New Roman" w:hAnsi="Verdana" w:cs="Arial"/>
          <w:i/>
          <w:sz w:val="20"/>
          <w:szCs w:val="20"/>
          <w:lang w:val="es-ES_tradnl" w:eastAsia="es-ES"/>
        </w:rPr>
      </w:pPr>
    </w:p>
    <w:p w14:paraId="088AE084" w14:textId="77777777" w:rsidR="00A22287" w:rsidRPr="007305A8" w:rsidRDefault="00A22287" w:rsidP="007305A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Cuando la ley autorice imponer en la sentencia condena en abstracto, una vez ejecutoriada la providencia que la concrete, se aplicarán las reglas de los incisos anteriores.</w:t>
      </w:r>
    </w:p>
    <w:p w14:paraId="52D3DE46" w14:textId="77777777" w:rsidR="00A22287" w:rsidRPr="007305A8" w:rsidRDefault="00A22287" w:rsidP="007305A8">
      <w:pPr>
        <w:spacing w:after="0" w:line="240" w:lineRule="auto"/>
        <w:jc w:val="both"/>
        <w:rPr>
          <w:rFonts w:ascii="Verdana" w:eastAsia="Times New Roman" w:hAnsi="Verdana" w:cs="Arial"/>
          <w:i/>
          <w:sz w:val="20"/>
          <w:szCs w:val="20"/>
          <w:lang w:val="es-ES_tradnl" w:eastAsia="es-ES"/>
        </w:rPr>
      </w:pPr>
    </w:p>
    <w:p w14:paraId="250317B8" w14:textId="77777777" w:rsidR="00A22287" w:rsidRPr="007305A8" w:rsidRDefault="00A22287" w:rsidP="007305A8">
      <w:pPr>
        <w:spacing w:after="0" w:line="240" w:lineRule="auto"/>
        <w:ind w:left="708"/>
        <w:jc w:val="both"/>
        <w:rPr>
          <w:rFonts w:ascii="Verdana" w:eastAsia="Times New Roman" w:hAnsi="Verdana" w:cs="Arial"/>
          <w:i/>
          <w:sz w:val="20"/>
          <w:szCs w:val="20"/>
          <w:lang w:val="es-ES_tradnl" w:eastAsia="es-ES"/>
        </w:rPr>
      </w:pPr>
      <w:r w:rsidRPr="007305A8">
        <w:rPr>
          <w:rFonts w:ascii="Verdana" w:eastAsia="Times New Roman" w:hAnsi="Verdana" w:cs="Arial"/>
          <w:i/>
          <w:sz w:val="20"/>
          <w:szCs w:val="20"/>
          <w:lang w:val="es-ES_tradnl" w:eastAsia="es-ES"/>
        </w:rPr>
        <w:t>Lo previsto en este artículo se aplicará para obtener, ante el mismo juez de conocimiento, el cumplimiento forzado de las sumas que hayan sido liquidadas en el proceso y las obligaciones reconocidas mediante conciliación o transacción aprobadas en el mismo.</w:t>
      </w:r>
    </w:p>
    <w:p w14:paraId="02B1C417" w14:textId="77777777" w:rsidR="00A22287" w:rsidRPr="007305A8" w:rsidRDefault="00A22287" w:rsidP="007305A8">
      <w:pPr>
        <w:spacing w:after="0" w:line="240" w:lineRule="auto"/>
        <w:jc w:val="both"/>
        <w:rPr>
          <w:rFonts w:ascii="Verdana" w:eastAsia="Times New Roman" w:hAnsi="Verdana" w:cs="Arial"/>
          <w:i/>
          <w:sz w:val="20"/>
          <w:szCs w:val="20"/>
          <w:lang w:val="es-ES_tradnl" w:eastAsia="es-ES"/>
        </w:rPr>
      </w:pPr>
    </w:p>
    <w:p w14:paraId="78BC5C73" w14:textId="083E637B" w:rsidR="00A22287" w:rsidRPr="00A22287" w:rsidRDefault="00A22287" w:rsidP="007305A8">
      <w:pPr>
        <w:spacing w:after="0" w:line="240" w:lineRule="auto"/>
        <w:ind w:left="708"/>
        <w:jc w:val="both"/>
        <w:rPr>
          <w:rFonts w:ascii="Verdana" w:eastAsia="Times New Roman" w:hAnsi="Verdana" w:cs="Arial"/>
          <w:lang w:val="es-ES_tradnl" w:eastAsia="es-ES"/>
        </w:rPr>
      </w:pPr>
      <w:r w:rsidRPr="007305A8">
        <w:rPr>
          <w:rFonts w:ascii="Verdana" w:eastAsia="Times New Roman" w:hAnsi="Verdana" w:cs="Arial"/>
          <w:i/>
          <w:sz w:val="20"/>
          <w:szCs w:val="20"/>
          <w:lang w:val="es-ES_tradnl" w:eastAsia="es-ES"/>
        </w:rPr>
        <w:t>La jurisdicción competente para conocer de la ejecución del laudo arbitral es la misma que conoce del recurso de anulación, de acuerdo con las normas generales de competencia y trámite de cada jurisdicción”</w:t>
      </w:r>
      <w:r w:rsidR="00B22111" w:rsidRPr="00B22111">
        <w:rPr>
          <w:rFonts w:ascii="Verdana" w:eastAsia="Times New Roman" w:hAnsi="Verdana" w:cs="Arial"/>
          <w:sz w:val="20"/>
          <w:szCs w:val="20"/>
          <w:lang w:val="es-ES_tradnl" w:eastAsia="es-ES"/>
        </w:rPr>
        <w:t xml:space="preserve"> (subrayado fuera de texto).</w:t>
      </w:r>
    </w:p>
    <w:p w14:paraId="6A2CAA29" w14:textId="77777777" w:rsidR="005F569E" w:rsidRDefault="005F569E" w:rsidP="004039AC">
      <w:pPr>
        <w:spacing w:after="0" w:line="360" w:lineRule="auto"/>
        <w:jc w:val="both"/>
        <w:rPr>
          <w:rFonts w:ascii="Verdana" w:eastAsia="Times New Roman" w:hAnsi="Verdana" w:cs="Arial"/>
          <w:lang w:val="es-ES_tradnl" w:eastAsia="es-ES"/>
        </w:rPr>
      </w:pPr>
    </w:p>
    <w:p w14:paraId="69BCF8BD" w14:textId="5EFABEF0" w:rsidR="006849E5" w:rsidRDefault="006849E5" w:rsidP="00156256">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 xml:space="preserve">O también, existe la posibilidad de </w:t>
      </w:r>
      <w:r w:rsidR="00BD0599">
        <w:rPr>
          <w:rFonts w:ascii="Verdana" w:eastAsia="Times New Roman" w:hAnsi="Verdana" w:cs="Arial"/>
          <w:lang w:val="es-ES_tradnl" w:eastAsia="es-ES"/>
        </w:rPr>
        <w:t>exigir el cumplimiento de la sentencia a través del proceso ejecutivo de conformidad con los artículos 424 y 426 del CGP, los cuales señalan:</w:t>
      </w:r>
    </w:p>
    <w:p w14:paraId="547BEC3B" w14:textId="3122749E" w:rsidR="00BD0599" w:rsidRDefault="00BD0599" w:rsidP="00156256">
      <w:pPr>
        <w:spacing w:after="0" w:line="360" w:lineRule="auto"/>
        <w:jc w:val="both"/>
        <w:rPr>
          <w:rFonts w:ascii="Verdana" w:eastAsia="Times New Roman" w:hAnsi="Verdana" w:cs="Arial"/>
          <w:lang w:val="es-ES_tradnl" w:eastAsia="es-ES"/>
        </w:rPr>
      </w:pPr>
    </w:p>
    <w:p w14:paraId="11E09B6E" w14:textId="716027F3" w:rsidR="00BD0599" w:rsidRPr="007B0909" w:rsidRDefault="007B0909" w:rsidP="007B0909">
      <w:pPr>
        <w:spacing w:after="0" w:line="240" w:lineRule="auto"/>
        <w:ind w:left="708"/>
        <w:jc w:val="both"/>
        <w:rPr>
          <w:rFonts w:ascii="Verdana" w:eastAsia="Times New Roman" w:hAnsi="Verdana" w:cs="Arial"/>
          <w:i/>
          <w:lang w:val="es-ES_tradnl" w:eastAsia="es-ES"/>
        </w:rPr>
      </w:pPr>
      <w:r>
        <w:rPr>
          <w:rFonts w:ascii="Verdana" w:eastAsia="Times New Roman" w:hAnsi="Verdana" w:cs="Arial"/>
          <w:b/>
          <w:lang w:val="es-ES_tradnl" w:eastAsia="es-ES"/>
        </w:rPr>
        <w:t>“</w:t>
      </w:r>
      <w:r w:rsidR="00BD0599" w:rsidRPr="007B0909">
        <w:rPr>
          <w:rFonts w:ascii="Verdana" w:eastAsia="Times New Roman" w:hAnsi="Verdana" w:cs="Arial"/>
          <w:b/>
          <w:i/>
          <w:lang w:val="es-ES_tradnl" w:eastAsia="es-ES"/>
        </w:rPr>
        <w:t>Artículo 424. Ejecución por sumas de dinero.</w:t>
      </w:r>
      <w:r w:rsidR="00BD0599" w:rsidRPr="007B0909">
        <w:rPr>
          <w:rFonts w:ascii="Verdana" w:eastAsia="Times New Roman" w:hAnsi="Verdana" w:cs="Arial"/>
          <w:i/>
          <w:lang w:val="es-ES_tradnl" w:eastAsia="es-ES"/>
        </w:rPr>
        <w:t xml:space="preserve"> Si la obligación es de pagar una cantidad líquida de dinero e intereses, la demanda podrá versar sobre aquélla y éstos, desde que se hicieron exigibles hasta que el pago se efectúe.</w:t>
      </w:r>
    </w:p>
    <w:p w14:paraId="34AB773E" w14:textId="7F3B3B00" w:rsidR="00BD0599" w:rsidRPr="007B0909" w:rsidRDefault="007B0909" w:rsidP="007B0909">
      <w:pPr>
        <w:spacing w:after="0" w:line="240" w:lineRule="auto"/>
        <w:ind w:firstLine="708"/>
        <w:jc w:val="both"/>
        <w:rPr>
          <w:rFonts w:ascii="Verdana" w:eastAsia="Times New Roman" w:hAnsi="Verdana" w:cs="Arial"/>
          <w:i/>
          <w:lang w:val="es-ES_tradnl" w:eastAsia="es-ES"/>
        </w:rPr>
      </w:pPr>
      <w:r w:rsidRPr="007B0909">
        <w:rPr>
          <w:rFonts w:ascii="Verdana" w:eastAsia="Times New Roman" w:hAnsi="Verdana" w:cs="Arial"/>
          <w:i/>
          <w:lang w:val="es-ES_tradnl" w:eastAsia="es-ES"/>
        </w:rPr>
        <w:t>(…)</w:t>
      </w:r>
    </w:p>
    <w:p w14:paraId="68BA083A" w14:textId="77777777" w:rsidR="007B0909" w:rsidRPr="007B0909" w:rsidRDefault="007B0909" w:rsidP="007B0909">
      <w:pPr>
        <w:spacing w:after="0" w:line="240" w:lineRule="auto"/>
        <w:jc w:val="both"/>
        <w:rPr>
          <w:rFonts w:ascii="Verdana" w:eastAsia="Times New Roman" w:hAnsi="Verdana" w:cs="Arial"/>
          <w:b/>
          <w:i/>
          <w:lang w:val="es-ES_tradnl" w:eastAsia="es-ES"/>
        </w:rPr>
      </w:pPr>
    </w:p>
    <w:p w14:paraId="7F4A51B1" w14:textId="10E97F01" w:rsidR="007B0909" w:rsidRPr="007B0909" w:rsidRDefault="007B0909" w:rsidP="007B0909">
      <w:pPr>
        <w:spacing w:after="0" w:line="240" w:lineRule="auto"/>
        <w:ind w:left="708"/>
        <w:jc w:val="both"/>
        <w:rPr>
          <w:rFonts w:ascii="Verdana" w:eastAsia="Times New Roman" w:hAnsi="Verdana" w:cs="Arial"/>
          <w:i/>
          <w:lang w:val="es-ES_tradnl" w:eastAsia="es-ES"/>
        </w:rPr>
      </w:pPr>
      <w:r w:rsidRPr="007B0909">
        <w:rPr>
          <w:rFonts w:ascii="Verdana" w:eastAsia="Times New Roman" w:hAnsi="Verdana" w:cs="Arial"/>
          <w:b/>
          <w:i/>
          <w:lang w:val="es-ES_tradnl" w:eastAsia="es-ES"/>
        </w:rPr>
        <w:t>Artículo 426. Ejecución por obligación de dar o hacer.</w:t>
      </w:r>
      <w:r w:rsidRPr="007B0909">
        <w:rPr>
          <w:rFonts w:ascii="Verdana" w:eastAsia="Times New Roman" w:hAnsi="Verdana" w:cs="Arial"/>
          <w:i/>
          <w:lang w:val="es-ES_tradnl" w:eastAsia="es-ES"/>
        </w:rPr>
        <w:t xml:space="preserve"> Si la obligación es de dar una especie mueble o bienes de género distinto de dinero, el demandante podrá pedir, conjuntamente con la entrega, que la ejecución se extienda a los perjuicios moratorios desde que la obligación se hizo exigible hasta que la entrega se efectúe, para lo cual estimará bajo juramento su valor mensual, si no figura en el título ejecutivo.</w:t>
      </w:r>
    </w:p>
    <w:p w14:paraId="416263AC" w14:textId="77777777" w:rsidR="007B0909" w:rsidRPr="007B0909" w:rsidRDefault="007B0909" w:rsidP="007B0909">
      <w:pPr>
        <w:spacing w:after="0" w:line="240" w:lineRule="auto"/>
        <w:jc w:val="both"/>
        <w:rPr>
          <w:rFonts w:ascii="Verdana" w:eastAsia="Times New Roman" w:hAnsi="Verdana" w:cs="Arial"/>
          <w:i/>
          <w:lang w:val="es-ES_tradnl" w:eastAsia="es-ES"/>
        </w:rPr>
      </w:pPr>
    </w:p>
    <w:p w14:paraId="1E537E91" w14:textId="0767C906" w:rsidR="007B0909" w:rsidRDefault="007B0909" w:rsidP="007B0909">
      <w:pPr>
        <w:spacing w:after="0" w:line="240" w:lineRule="auto"/>
        <w:ind w:left="708"/>
        <w:jc w:val="both"/>
        <w:rPr>
          <w:rFonts w:ascii="Verdana" w:eastAsia="Times New Roman" w:hAnsi="Verdana" w:cs="Arial"/>
          <w:lang w:val="es-ES_tradnl" w:eastAsia="es-ES"/>
        </w:rPr>
      </w:pPr>
      <w:r w:rsidRPr="007B0909">
        <w:rPr>
          <w:rFonts w:ascii="Verdana" w:eastAsia="Times New Roman" w:hAnsi="Verdana" w:cs="Arial"/>
          <w:i/>
          <w:lang w:val="es-ES_tradnl" w:eastAsia="es-ES"/>
        </w:rPr>
        <w:t>De la misma manera se procederá si demanda una obligación de hacer y pide perjuicios por la demora en la ejecución del hecho”.</w:t>
      </w:r>
      <w:r w:rsidRPr="007B0909">
        <w:rPr>
          <w:rFonts w:ascii="Verdana" w:eastAsia="Times New Roman" w:hAnsi="Verdana" w:cs="Arial"/>
          <w:i/>
          <w:lang w:val="es-ES_tradnl" w:eastAsia="es-ES"/>
        </w:rPr>
        <w:cr/>
      </w:r>
    </w:p>
    <w:p w14:paraId="089F0C4B" w14:textId="77777777" w:rsidR="007B0909" w:rsidRDefault="007B0909" w:rsidP="00BD0599">
      <w:pPr>
        <w:spacing w:after="0" w:line="360" w:lineRule="auto"/>
        <w:jc w:val="both"/>
        <w:rPr>
          <w:rFonts w:ascii="Verdana" w:eastAsia="Times New Roman" w:hAnsi="Verdana" w:cs="Arial"/>
          <w:lang w:val="es-ES_tradnl" w:eastAsia="es-ES"/>
        </w:rPr>
      </w:pPr>
    </w:p>
    <w:p w14:paraId="1A6FE3D7" w14:textId="255C873D" w:rsidR="008E3010" w:rsidRDefault="00156256" w:rsidP="00156256">
      <w:pPr>
        <w:spacing w:after="0" w:line="360" w:lineRule="auto"/>
        <w:jc w:val="both"/>
        <w:rPr>
          <w:rFonts w:ascii="Verdana" w:eastAsia="Times New Roman" w:hAnsi="Verdana" w:cs="Arial"/>
          <w:lang w:val="es-ES_tradnl" w:eastAsia="es-ES"/>
        </w:rPr>
      </w:pPr>
      <w:r>
        <w:rPr>
          <w:rFonts w:ascii="Verdana" w:eastAsia="Times New Roman" w:hAnsi="Verdana" w:cs="Arial"/>
          <w:lang w:val="es-ES_tradnl" w:eastAsia="es-ES"/>
        </w:rPr>
        <w:t>Por las razones expuestas, es improcedente la solicitud</w:t>
      </w:r>
      <w:r w:rsidR="00AA4480">
        <w:rPr>
          <w:rFonts w:ascii="Verdana" w:eastAsia="Times New Roman" w:hAnsi="Verdana" w:cs="Arial"/>
          <w:lang w:val="es-ES_tradnl" w:eastAsia="es-ES"/>
        </w:rPr>
        <w:t xml:space="preserve"> impetrada por la parte actora relativa a </w:t>
      </w:r>
      <w:r>
        <w:rPr>
          <w:rFonts w:ascii="Verdana" w:eastAsia="Times New Roman" w:hAnsi="Verdana" w:cs="Arial"/>
          <w:lang w:val="es-ES_tradnl" w:eastAsia="es-ES"/>
        </w:rPr>
        <w:t>dar inicio al incidente de desacato c</w:t>
      </w:r>
      <w:r w:rsidRPr="000741F6">
        <w:rPr>
          <w:rFonts w:ascii="Verdana" w:eastAsia="Times New Roman" w:hAnsi="Verdana" w:cs="Arial"/>
          <w:lang w:val="es-ES_tradnl" w:eastAsia="es-ES"/>
        </w:rPr>
        <w:t>ontra el COMANDANTE DEL EJÉRCITO</w:t>
      </w:r>
      <w:r>
        <w:rPr>
          <w:rFonts w:ascii="Verdana" w:eastAsia="Times New Roman" w:hAnsi="Verdana" w:cs="Arial"/>
          <w:lang w:val="es-ES_tradnl" w:eastAsia="es-ES"/>
        </w:rPr>
        <w:t xml:space="preserve"> </w:t>
      </w:r>
      <w:r w:rsidRPr="000741F6">
        <w:rPr>
          <w:rFonts w:ascii="Verdana" w:eastAsia="Times New Roman" w:hAnsi="Verdana" w:cs="Arial"/>
          <w:lang w:val="es-ES_tradnl" w:eastAsia="es-ES"/>
        </w:rPr>
        <w:t xml:space="preserve">NACIONAL DE COLOMBIA mayor general EDUARDO ENRIQUE ZAPATEIRO ALTAMIRANDA o quien haga sus veces, por el incumplimiento de la sentencia </w:t>
      </w:r>
      <w:r>
        <w:rPr>
          <w:rFonts w:ascii="Verdana" w:eastAsia="Times New Roman" w:hAnsi="Verdana" w:cs="Arial"/>
          <w:lang w:val="es-ES_tradnl" w:eastAsia="es-ES"/>
        </w:rPr>
        <w:t xml:space="preserve">proferida en el asunto de la referencia </w:t>
      </w:r>
      <w:r w:rsidRPr="000741F6">
        <w:rPr>
          <w:rFonts w:ascii="Verdana" w:eastAsia="Times New Roman" w:hAnsi="Verdana" w:cs="Arial"/>
          <w:lang w:val="es-ES_tradnl" w:eastAsia="es-ES"/>
        </w:rPr>
        <w:t>el 2</w:t>
      </w:r>
      <w:r>
        <w:rPr>
          <w:rFonts w:ascii="Verdana" w:eastAsia="Times New Roman" w:hAnsi="Verdana" w:cs="Arial"/>
          <w:lang w:val="es-ES_tradnl" w:eastAsia="es-ES"/>
        </w:rPr>
        <w:t>7</w:t>
      </w:r>
      <w:r w:rsidRPr="000741F6">
        <w:rPr>
          <w:rFonts w:ascii="Verdana" w:eastAsia="Times New Roman" w:hAnsi="Verdana" w:cs="Arial"/>
          <w:lang w:val="es-ES_tradnl" w:eastAsia="es-ES"/>
        </w:rPr>
        <w:t xml:space="preserve"> de febrero de 2020 </w:t>
      </w:r>
      <w:r>
        <w:rPr>
          <w:rFonts w:ascii="Verdana" w:eastAsia="Times New Roman" w:hAnsi="Verdana" w:cs="Arial"/>
          <w:lang w:val="es-ES_tradnl" w:eastAsia="es-ES"/>
        </w:rPr>
        <w:t>por</w:t>
      </w:r>
      <w:r w:rsidRPr="000741F6">
        <w:rPr>
          <w:rFonts w:ascii="Verdana" w:eastAsia="Times New Roman" w:hAnsi="Verdana" w:cs="Arial"/>
          <w:lang w:val="es-ES_tradnl" w:eastAsia="es-ES"/>
        </w:rPr>
        <w:t xml:space="preserve"> </w:t>
      </w:r>
      <w:r>
        <w:rPr>
          <w:rFonts w:ascii="Verdana" w:eastAsia="Times New Roman" w:hAnsi="Verdana" w:cs="Arial"/>
          <w:lang w:val="es-ES_tradnl" w:eastAsia="es-ES"/>
        </w:rPr>
        <w:t xml:space="preserve">este Tribunal y confirmada por el </w:t>
      </w:r>
      <w:r w:rsidRPr="000741F6">
        <w:rPr>
          <w:rFonts w:ascii="Verdana" w:eastAsia="Times New Roman" w:hAnsi="Verdana" w:cs="Arial"/>
          <w:lang w:val="es-ES_tradnl" w:eastAsia="es-ES"/>
        </w:rPr>
        <w:t xml:space="preserve">Consejo de Estado </w:t>
      </w:r>
      <w:r>
        <w:rPr>
          <w:rFonts w:ascii="Verdana" w:eastAsia="Times New Roman" w:hAnsi="Verdana" w:cs="Arial"/>
          <w:lang w:val="es-ES_tradnl" w:eastAsia="es-ES"/>
        </w:rPr>
        <w:t xml:space="preserve">el </w:t>
      </w:r>
      <w:r w:rsidRPr="000741F6">
        <w:rPr>
          <w:rFonts w:ascii="Verdana" w:eastAsia="Times New Roman" w:hAnsi="Verdana" w:cs="Arial"/>
          <w:lang w:val="es-ES_tradnl" w:eastAsia="es-ES"/>
        </w:rPr>
        <w:t>23 de mayo de 2022</w:t>
      </w:r>
      <w:r>
        <w:rPr>
          <w:rFonts w:ascii="Verdana" w:eastAsia="Times New Roman" w:hAnsi="Verdana" w:cs="Arial"/>
          <w:lang w:val="es-ES_tradnl" w:eastAsia="es-ES"/>
        </w:rPr>
        <w:t>.</w:t>
      </w:r>
    </w:p>
    <w:p w14:paraId="464ECEBF" w14:textId="77777777" w:rsidR="00930CB3" w:rsidRDefault="00930CB3" w:rsidP="004039AC">
      <w:pPr>
        <w:spacing w:after="0" w:line="360" w:lineRule="auto"/>
        <w:jc w:val="both"/>
        <w:rPr>
          <w:rFonts w:ascii="Verdana" w:eastAsia="Times New Roman" w:hAnsi="Verdana" w:cs="Arial"/>
          <w:lang w:val="es-ES_tradnl" w:eastAsia="es-ES"/>
        </w:rPr>
      </w:pPr>
    </w:p>
    <w:p w14:paraId="6D62E904" w14:textId="236AD700" w:rsidR="004039AC" w:rsidRDefault="00AA4480" w:rsidP="5A769271">
      <w:pPr>
        <w:spacing w:after="0" w:line="360" w:lineRule="auto"/>
        <w:jc w:val="both"/>
        <w:rPr>
          <w:rFonts w:ascii="Verdana" w:eastAsia="Times New Roman" w:hAnsi="Verdana" w:cs="Arial"/>
          <w:lang w:eastAsia="es-ES"/>
        </w:rPr>
      </w:pPr>
      <w:r w:rsidRPr="5A769271">
        <w:rPr>
          <w:rFonts w:ascii="Verdana" w:eastAsia="Times New Roman" w:hAnsi="Verdana" w:cs="Arial"/>
          <w:lang w:eastAsia="es-ES"/>
        </w:rPr>
        <w:t xml:space="preserve">En </w:t>
      </w:r>
      <w:r w:rsidR="2AC18089" w:rsidRPr="5A769271">
        <w:rPr>
          <w:rFonts w:ascii="Verdana" w:eastAsia="Times New Roman" w:hAnsi="Verdana" w:cs="Arial"/>
          <w:lang w:eastAsia="es-ES"/>
        </w:rPr>
        <w:t>mérito</w:t>
      </w:r>
      <w:r w:rsidRPr="5A769271">
        <w:rPr>
          <w:rFonts w:ascii="Verdana" w:eastAsia="Times New Roman" w:hAnsi="Verdana" w:cs="Arial"/>
          <w:lang w:eastAsia="es-ES"/>
        </w:rPr>
        <w:t xml:space="preserve"> de lo expuesto, el Despacho No. 4</w:t>
      </w:r>
    </w:p>
    <w:p w14:paraId="0640C570" w14:textId="5387CB42" w:rsidR="003B77C2" w:rsidRPr="00584CA3" w:rsidRDefault="003B77C2" w:rsidP="00584CA3">
      <w:pPr>
        <w:spacing w:after="0" w:line="360" w:lineRule="auto"/>
        <w:jc w:val="both"/>
        <w:rPr>
          <w:rFonts w:ascii="Verdana" w:eastAsia="Times New Roman" w:hAnsi="Verdana" w:cs="Arial"/>
          <w:lang w:val="es-ES_tradnl" w:eastAsia="es-ES"/>
        </w:rPr>
      </w:pPr>
    </w:p>
    <w:p w14:paraId="7DE2FFF9" w14:textId="77777777" w:rsidR="00B76BDD" w:rsidRPr="00584CA3" w:rsidRDefault="00B76BDD" w:rsidP="00584CA3">
      <w:pPr>
        <w:spacing w:after="0" w:line="360" w:lineRule="auto"/>
        <w:jc w:val="center"/>
        <w:rPr>
          <w:rFonts w:ascii="Verdana" w:eastAsia="Times New Roman" w:hAnsi="Verdana" w:cs="Arial"/>
          <w:b/>
          <w:lang w:val="es-ES_tradnl" w:eastAsia="es-ES"/>
        </w:rPr>
      </w:pPr>
      <w:r w:rsidRPr="00584CA3">
        <w:rPr>
          <w:rFonts w:ascii="Verdana" w:eastAsia="Times New Roman" w:hAnsi="Verdana" w:cs="Arial"/>
          <w:b/>
          <w:lang w:val="es-ES_tradnl" w:eastAsia="es-ES"/>
        </w:rPr>
        <w:t>R E S U E L V E:</w:t>
      </w:r>
    </w:p>
    <w:p w14:paraId="0882ECB2" w14:textId="77777777" w:rsidR="00B76BDD" w:rsidRPr="00584CA3" w:rsidRDefault="00B76BDD" w:rsidP="00584CA3">
      <w:pPr>
        <w:spacing w:after="0" w:line="360" w:lineRule="auto"/>
        <w:jc w:val="both"/>
        <w:rPr>
          <w:rFonts w:ascii="Verdana" w:eastAsia="Times New Roman" w:hAnsi="Verdana" w:cs="Arial"/>
          <w:lang w:val="es-ES_tradnl" w:eastAsia="es-ES"/>
        </w:rPr>
      </w:pPr>
    </w:p>
    <w:p w14:paraId="3936B6D3" w14:textId="314321CF" w:rsidR="00B76BDD" w:rsidRPr="00584CA3" w:rsidRDefault="00B76BDD" w:rsidP="00584CA3">
      <w:pPr>
        <w:spacing w:after="0" w:line="360" w:lineRule="auto"/>
        <w:jc w:val="both"/>
        <w:rPr>
          <w:rFonts w:ascii="Verdana" w:eastAsia="Times New Roman" w:hAnsi="Verdana" w:cs="Arial"/>
          <w:b/>
          <w:lang w:val="es-ES_tradnl" w:eastAsia="es-ES"/>
        </w:rPr>
      </w:pPr>
      <w:r w:rsidRPr="00584CA3">
        <w:rPr>
          <w:rFonts w:ascii="Verdana" w:eastAsia="Times New Roman" w:hAnsi="Verdana" w:cs="Arial"/>
          <w:b/>
          <w:lang w:val="es-ES_tradnl" w:eastAsia="es-ES"/>
        </w:rPr>
        <w:t>PRIMERO</w:t>
      </w:r>
      <w:r w:rsidRPr="00AA4480">
        <w:rPr>
          <w:rFonts w:ascii="Verdana" w:eastAsia="Times New Roman" w:hAnsi="Verdana" w:cs="Arial"/>
          <w:b/>
          <w:lang w:val="es-ES_tradnl" w:eastAsia="es-ES"/>
        </w:rPr>
        <w:t>:</w:t>
      </w:r>
      <w:r w:rsidR="008E3010" w:rsidRPr="00AA4480">
        <w:rPr>
          <w:rFonts w:ascii="Verdana" w:eastAsia="Times New Roman" w:hAnsi="Verdana" w:cs="Arial"/>
          <w:b/>
          <w:lang w:val="es-ES_tradnl" w:eastAsia="es-ES"/>
        </w:rPr>
        <w:t xml:space="preserve"> </w:t>
      </w:r>
      <w:r w:rsidR="00AA4480" w:rsidRPr="00AA4480">
        <w:rPr>
          <w:rFonts w:ascii="Verdana" w:eastAsia="Times New Roman" w:hAnsi="Verdana" w:cs="Arial"/>
          <w:b/>
          <w:lang w:val="es-ES_tradnl" w:eastAsia="es-ES"/>
        </w:rPr>
        <w:t>DENEGAR</w:t>
      </w:r>
      <w:r w:rsidR="00F1059F" w:rsidRPr="00F1059F">
        <w:rPr>
          <w:rFonts w:ascii="Verdana" w:eastAsia="Times New Roman" w:hAnsi="Verdana" w:cs="Arial"/>
          <w:lang w:val="es-ES_tradnl" w:eastAsia="es-ES"/>
        </w:rPr>
        <w:t xml:space="preserve"> la solicitud impetrada por el apoderado de la parte</w:t>
      </w:r>
      <w:r w:rsidR="00F1059F">
        <w:rPr>
          <w:rFonts w:ascii="Verdana" w:eastAsia="Times New Roman" w:hAnsi="Verdana" w:cs="Arial"/>
          <w:lang w:val="es-ES_tradnl" w:eastAsia="es-ES"/>
        </w:rPr>
        <w:t xml:space="preserve"> </w:t>
      </w:r>
      <w:r w:rsidR="00F1059F" w:rsidRPr="00F1059F">
        <w:rPr>
          <w:rFonts w:ascii="Verdana" w:eastAsia="Times New Roman" w:hAnsi="Verdana" w:cs="Arial"/>
          <w:lang w:val="es-ES_tradnl" w:eastAsia="es-ES"/>
        </w:rPr>
        <w:t>demandante</w:t>
      </w:r>
      <w:r w:rsidR="007F2DB4">
        <w:rPr>
          <w:rFonts w:ascii="Verdana" w:eastAsia="Times New Roman" w:hAnsi="Verdana" w:cs="Arial"/>
          <w:lang w:val="es-ES_tradnl" w:eastAsia="es-ES"/>
        </w:rPr>
        <w:t xml:space="preserve"> relativa a dar inicio al incidente de desacato</w:t>
      </w:r>
      <w:r w:rsidR="00F1059F" w:rsidRPr="00F1059F">
        <w:rPr>
          <w:rFonts w:ascii="Verdana" w:eastAsia="Times New Roman" w:hAnsi="Verdana" w:cs="Arial"/>
          <w:lang w:val="es-ES_tradnl" w:eastAsia="es-ES"/>
        </w:rPr>
        <w:t xml:space="preserve">, </w:t>
      </w:r>
      <w:r w:rsidR="00AA4480">
        <w:rPr>
          <w:rFonts w:ascii="Verdana" w:eastAsia="Times New Roman" w:hAnsi="Verdana" w:cs="Arial"/>
          <w:lang w:val="es-ES_tradnl" w:eastAsia="es-ES"/>
        </w:rPr>
        <w:t>por las razones expuestas.</w:t>
      </w:r>
    </w:p>
    <w:p w14:paraId="0ED687AE" w14:textId="77777777" w:rsidR="001D5DBC" w:rsidRDefault="001D5DBC" w:rsidP="00584CA3">
      <w:pPr>
        <w:spacing w:after="0" w:line="360" w:lineRule="auto"/>
        <w:jc w:val="both"/>
        <w:rPr>
          <w:rFonts w:ascii="Verdana" w:eastAsia="Times New Roman" w:hAnsi="Verdana" w:cs="Arial"/>
          <w:lang w:eastAsia="es-ES"/>
        </w:rPr>
      </w:pPr>
    </w:p>
    <w:p w14:paraId="03A5DB34" w14:textId="3658FC5F" w:rsidR="00B76BDD" w:rsidRPr="00584CA3" w:rsidRDefault="00AA4480" w:rsidP="00584CA3">
      <w:pPr>
        <w:spacing w:after="0" w:line="360" w:lineRule="auto"/>
        <w:jc w:val="both"/>
        <w:rPr>
          <w:rFonts w:ascii="Verdana" w:eastAsia="Times New Roman" w:hAnsi="Verdana" w:cs="Arial"/>
          <w:lang w:eastAsia="es-ES"/>
        </w:rPr>
      </w:pPr>
      <w:r w:rsidRPr="00AA4480">
        <w:rPr>
          <w:rFonts w:ascii="Verdana" w:eastAsia="Times New Roman" w:hAnsi="Verdana" w:cs="Arial"/>
          <w:lang w:eastAsia="es-ES"/>
        </w:rPr>
        <w:lastRenderedPageBreak/>
        <w:t>Ejecutoriada esta providencia, archívense las diligencias con las anotaciones y constancias de rigor.</w:t>
      </w:r>
    </w:p>
    <w:p w14:paraId="0CD716BC" w14:textId="571FD668" w:rsidR="00B76BDD" w:rsidRDefault="00B76BDD" w:rsidP="00584CA3">
      <w:pPr>
        <w:spacing w:after="0" w:line="360" w:lineRule="auto"/>
        <w:jc w:val="both"/>
        <w:rPr>
          <w:rFonts w:ascii="Verdana" w:eastAsia="Times New Roman" w:hAnsi="Verdana" w:cs="Arial"/>
          <w:lang w:eastAsia="es-ES"/>
        </w:rPr>
      </w:pPr>
    </w:p>
    <w:p w14:paraId="7B713675" w14:textId="77777777" w:rsidR="001D5DBC" w:rsidRPr="00584CA3" w:rsidRDefault="001D5DBC" w:rsidP="00584CA3">
      <w:pPr>
        <w:spacing w:after="0" w:line="360" w:lineRule="auto"/>
        <w:jc w:val="both"/>
        <w:rPr>
          <w:rFonts w:ascii="Verdana" w:eastAsia="Times New Roman" w:hAnsi="Verdana" w:cs="Arial"/>
          <w:lang w:eastAsia="es-ES"/>
        </w:rPr>
      </w:pPr>
    </w:p>
    <w:p w14:paraId="328FF0A8" w14:textId="19E79E2F" w:rsidR="00B76BDD" w:rsidRPr="00584CA3" w:rsidRDefault="003B77C2" w:rsidP="00584CA3">
      <w:pPr>
        <w:spacing w:after="0" w:line="360" w:lineRule="auto"/>
        <w:jc w:val="both"/>
        <w:rPr>
          <w:rFonts w:ascii="Verdana" w:eastAsia="Times New Roman" w:hAnsi="Verdana" w:cs="Arial"/>
          <w:b/>
          <w:lang w:eastAsia="es-ES"/>
        </w:rPr>
      </w:pPr>
      <w:r w:rsidRPr="00584CA3">
        <w:rPr>
          <w:rFonts w:ascii="Verdana" w:eastAsia="Times New Roman" w:hAnsi="Verdana" w:cs="Arial"/>
          <w:b/>
          <w:lang w:eastAsia="es-ES"/>
        </w:rPr>
        <w:t>NOTIF</w:t>
      </w:r>
      <w:r w:rsidR="00607C64">
        <w:rPr>
          <w:rFonts w:ascii="Verdana" w:eastAsia="Times New Roman" w:hAnsi="Verdana" w:cs="Arial"/>
          <w:b/>
          <w:lang w:eastAsia="es-ES"/>
        </w:rPr>
        <w:t>Í</w:t>
      </w:r>
      <w:r w:rsidRPr="00584CA3">
        <w:rPr>
          <w:rFonts w:ascii="Verdana" w:eastAsia="Times New Roman" w:hAnsi="Verdana" w:cs="Arial"/>
          <w:b/>
          <w:lang w:eastAsia="es-ES"/>
        </w:rPr>
        <w:t>QUESE y C</w:t>
      </w:r>
      <w:r w:rsidR="00607C64">
        <w:rPr>
          <w:rFonts w:ascii="Verdana" w:eastAsia="Times New Roman" w:hAnsi="Verdana" w:cs="Arial"/>
          <w:b/>
          <w:lang w:eastAsia="es-ES"/>
        </w:rPr>
        <w:t>Ú</w:t>
      </w:r>
      <w:r w:rsidRPr="00584CA3">
        <w:rPr>
          <w:rFonts w:ascii="Verdana" w:eastAsia="Times New Roman" w:hAnsi="Verdana" w:cs="Arial"/>
          <w:b/>
          <w:lang w:eastAsia="es-ES"/>
        </w:rPr>
        <w:t>MPLASE,</w:t>
      </w:r>
    </w:p>
    <w:p w14:paraId="218F17C9" w14:textId="77777777" w:rsidR="00B76BDD" w:rsidRPr="00584CA3" w:rsidRDefault="00B76BDD" w:rsidP="00584CA3">
      <w:pPr>
        <w:spacing w:after="0" w:line="360" w:lineRule="auto"/>
        <w:jc w:val="center"/>
        <w:rPr>
          <w:rFonts w:ascii="Verdana" w:eastAsia="Times New Roman" w:hAnsi="Verdana" w:cs="Arial"/>
          <w:b/>
          <w:lang w:eastAsia="es-ES"/>
        </w:rPr>
      </w:pPr>
    </w:p>
    <w:p w14:paraId="1570CA27" w14:textId="77777777" w:rsidR="000F160E" w:rsidRPr="006212DD" w:rsidRDefault="000F160E" w:rsidP="0080413E">
      <w:pPr>
        <w:spacing w:after="0" w:line="240" w:lineRule="auto"/>
        <w:jc w:val="center"/>
        <w:rPr>
          <w:rFonts w:ascii="Verdana" w:hAnsi="Verdana" w:cs="Tahoma"/>
          <w:bCs/>
          <w:lang w:val="es-ES_tradnl"/>
        </w:rPr>
      </w:pPr>
      <w:r w:rsidRPr="006212DD">
        <w:rPr>
          <w:rFonts w:ascii="Verdana" w:hAnsi="Verdana" w:cs="Tahoma"/>
          <w:bCs/>
          <w:lang w:val="es-ES_tradnl"/>
        </w:rPr>
        <w:t>(Firmado electrónicamente en SAMAI)</w:t>
      </w:r>
    </w:p>
    <w:p w14:paraId="2307FDFB" w14:textId="77777777" w:rsidR="000F160E" w:rsidRPr="005862EA" w:rsidRDefault="000F160E" w:rsidP="0080413E">
      <w:pPr>
        <w:spacing w:after="0" w:line="240" w:lineRule="auto"/>
        <w:jc w:val="center"/>
        <w:rPr>
          <w:rFonts w:ascii="Verdana" w:hAnsi="Verdana" w:cs="Tahoma"/>
          <w:b/>
          <w:bCs/>
          <w:lang w:val="es-ES_tradnl"/>
        </w:rPr>
      </w:pPr>
      <w:r w:rsidRPr="005862EA">
        <w:rPr>
          <w:rFonts w:ascii="Verdana" w:hAnsi="Verdana" w:cs="Tahoma"/>
          <w:b/>
          <w:bCs/>
          <w:lang w:val="es-ES_tradnl"/>
        </w:rPr>
        <w:t>FÉLIX ALBERTO RODRÍGUEZ RIVEROS</w:t>
      </w:r>
    </w:p>
    <w:p w14:paraId="61A17102" w14:textId="2903BA71" w:rsidR="00B76BDD" w:rsidRPr="001867CD" w:rsidRDefault="000F160E" w:rsidP="0080413E">
      <w:pPr>
        <w:spacing w:after="0" w:line="240" w:lineRule="auto"/>
        <w:jc w:val="center"/>
        <w:rPr>
          <w:rFonts w:ascii="Verdana" w:eastAsia="Times New Roman" w:hAnsi="Verdana" w:cs="Arial"/>
          <w:b/>
          <w:lang w:eastAsia="es-ES"/>
        </w:rPr>
      </w:pPr>
      <w:r w:rsidRPr="005862EA">
        <w:rPr>
          <w:rFonts w:ascii="Verdana" w:hAnsi="Verdana" w:cs="Tahoma"/>
          <w:b/>
          <w:lang w:val="es-ES_tradnl"/>
        </w:rPr>
        <w:t>Magistrado</w:t>
      </w:r>
    </w:p>
    <w:sectPr w:rsidR="00B76BDD" w:rsidRPr="001867CD" w:rsidSect="001D5DBC">
      <w:pgSz w:w="12242" w:h="18722" w:code="14"/>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F817" w14:textId="77777777" w:rsidR="005F525D" w:rsidRDefault="005F525D" w:rsidP="00B76BDD">
      <w:pPr>
        <w:spacing w:after="0" w:line="240" w:lineRule="auto"/>
      </w:pPr>
      <w:r>
        <w:separator/>
      </w:r>
    </w:p>
  </w:endnote>
  <w:endnote w:type="continuationSeparator" w:id="0">
    <w:p w14:paraId="117C1F20" w14:textId="77777777" w:rsidR="005F525D" w:rsidRDefault="005F525D" w:rsidP="00B7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0325" w14:textId="77777777" w:rsidR="005F525D" w:rsidRDefault="005F525D" w:rsidP="00B76BDD">
      <w:pPr>
        <w:spacing w:after="0" w:line="240" w:lineRule="auto"/>
      </w:pPr>
      <w:r>
        <w:separator/>
      </w:r>
    </w:p>
  </w:footnote>
  <w:footnote w:type="continuationSeparator" w:id="0">
    <w:p w14:paraId="03DC6F23" w14:textId="77777777" w:rsidR="005F525D" w:rsidRDefault="005F525D" w:rsidP="00B76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67B8"/>
    <w:multiLevelType w:val="hybridMultilevel"/>
    <w:tmpl w:val="04F0B8FA"/>
    <w:lvl w:ilvl="0" w:tplc="4D6A37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9544E8"/>
    <w:multiLevelType w:val="hybridMultilevel"/>
    <w:tmpl w:val="E71224EE"/>
    <w:lvl w:ilvl="0" w:tplc="095663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AB7086"/>
    <w:multiLevelType w:val="hybridMultilevel"/>
    <w:tmpl w:val="EE84012E"/>
    <w:lvl w:ilvl="0" w:tplc="D5F831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0F"/>
    <w:rsid w:val="000004F9"/>
    <w:rsid w:val="00001704"/>
    <w:rsid w:val="000741F6"/>
    <w:rsid w:val="000972F6"/>
    <w:rsid w:val="00097E9E"/>
    <w:rsid w:val="000A31AE"/>
    <w:rsid w:val="000B35E5"/>
    <w:rsid w:val="000D5FD9"/>
    <w:rsid w:val="000E0884"/>
    <w:rsid w:val="000F160E"/>
    <w:rsid w:val="000F43A9"/>
    <w:rsid w:val="00103070"/>
    <w:rsid w:val="001130BF"/>
    <w:rsid w:val="001200AF"/>
    <w:rsid w:val="00122F5B"/>
    <w:rsid w:val="001436A3"/>
    <w:rsid w:val="00156256"/>
    <w:rsid w:val="001867CD"/>
    <w:rsid w:val="0019142C"/>
    <w:rsid w:val="001A23A1"/>
    <w:rsid w:val="001B3CB3"/>
    <w:rsid w:val="001B50D2"/>
    <w:rsid w:val="001C4706"/>
    <w:rsid w:val="001D5DBC"/>
    <w:rsid w:val="001E12FF"/>
    <w:rsid w:val="0022770C"/>
    <w:rsid w:val="002311A0"/>
    <w:rsid w:val="00257CAD"/>
    <w:rsid w:val="00284D37"/>
    <w:rsid w:val="002855E7"/>
    <w:rsid w:val="00285FEA"/>
    <w:rsid w:val="002977DD"/>
    <w:rsid w:val="002A0D89"/>
    <w:rsid w:val="002C319C"/>
    <w:rsid w:val="002D143F"/>
    <w:rsid w:val="002D41E9"/>
    <w:rsid w:val="002E6E4F"/>
    <w:rsid w:val="002E73CE"/>
    <w:rsid w:val="002F0D69"/>
    <w:rsid w:val="00300353"/>
    <w:rsid w:val="00310A7B"/>
    <w:rsid w:val="00320E6A"/>
    <w:rsid w:val="00333E53"/>
    <w:rsid w:val="00343319"/>
    <w:rsid w:val="00352B67"/>
    <w:rsid w:val="00354638"/>
    <w:rsid w:val="003705CB"/>
    <w:rsid w:val="00371864"/>
    <w:rsid w:val="00380E7A"/>
    <w:rsid w:val="0038604E"/>
    <w:rsid w:val="0039060F"/>
    <w:rsid w:val="003A6E66"/>
    <w:rsid w:val="003B1F85"/>
    <w:rsid w:val="003B77C2"/>
    <w:rsid w:val="003E23AA"/>
    <w:rsid w:val="003E4FE0"/>
    <w:rsid w:val="003E7727"/>
    <w:rsid w:val="003F490B"/>
    <w:rsid w:val="003F5303"/>
    <w:rsid w:val="004039AC"/>
    <w:rsid w:val="0044557C"/>
    <w:rsid w:val="00451A7C"/>
    <w:rsid w:val="00451FAC"/>
    <w:rsid w:val="00457380"/>
    <w:rsid w:val="00464A84"/>
    <w:rsid w:val="00465938"/>
    <w:rsid w:val="004A480E"/>
    <w:rsid w:val="004E0589"/>
    <w:rsid w:val="004E2F39"/>
    <w:rsid w:val="00501252"/>
    <w:rsid w:val="00525273"/>
    <w:rsid w:val="00540636"/>
    <w:rsid w:val="00550CD4"/>
    <w:rsid w:val="005549BD"/>
    <w:rsid w:val="005670FA"/>
    <w:rsid w:val="00582502"/>
    <w:rsid w:val="00583E33"/>
    <w:rsid w:val="00584CA3"/>
    <w:rsid w:val="00596052"/>
    <w:rsid w:val="005A26A2"/>
    <w:rsid w:val="005C7EC4"/>
    <w:rsid w:val="005D454F"/>
    <w:rsid w:val="005E1D88"/>
    <w:rsid w:val="005F525D"/>
    <w:rsid w:val="005F569E"/>
    <w:rsid w:val="006001EB"/>
    <w:rsid w:val="00607C64"/>
    <w:rsid w:val="00621C23"/>
    <w:rsid w:val="00636368"/>
    <w:rsid w:val="0066426C"/>
    <w:rsid w:val="006849E5"/>
    <w:rsid w:val="006B187C"/>
    <w:rsid w:val="006C63A2"/>
    <w:rsid w:val="006F4B98"/>
    <w:rsid w:val="00706C15"/>
    <w:rsid w:val="007305A8"/>
    <w:rsid w:val="007378A3"/>
    <w:rsid w:val="00752E3D"/>
    <w:rsid w:val="007618C5"/>
    <w:rsid w:val="0076391C"/>
    <w:rsid w:val="007676F0"/>
    <w:rsid w:val="007733BA"/>
    <w:rsid w:val="007910F5"/>
    <w:rsid w:val="00793993"/>
    <w:rsid w:val="007A6A80"/>
    <w:rsid w:val="007B0909"/>
    <w:rsid w:val="007B1F83"/>
    <w:rsid w:val="007D6D04"/>
    <w:rsid w:val="007F2DB4"/>
    <w:rsid w:val="007F714B"/>
    <w:rsid w:val="00802D63"/>
    <w:rsid w:val="0080413E"/>
    <w:rsid w:val="00823B37"/>
    <w:rsid w:val="00872403"/>
    <w:rsid w:val="00873732"/>
    <w:rsid w:val="00880D16"/>
    <w:rsid w:val="00896C19"/>
    <w:rsid w:val="008974A4"/>
    <w:rsid w:val="008B01C8"/>
    <w:rsid w:val="008B5CD4"/>
    <w:rsid w:val="008E3010"/>
    <w:rsid w:val="008E5B58"/>
    <w:rsid w:val="008F048E"/>
    <w:rsid w:val="00906493"/>
    <w:rsid w:val="00930CB3"/>
    <w:rsid w:val="009366F0"/>
    <w:rsid w:val="009461A0"/>
    <w:rsid w:val="009B6104"/>
    <w:rsid w:val="009B6724"/>
    <w:rsid w:val="009C0071"/>
    <w:rsid w:val="009D33DB"/>
    <w:rsid w:val="00A10530"/>
    <w:rsid w:val="00A16709"/>
    <w:rsid w:val="00A174A2"/>
    <w:rsid w:val="00A22287"/>
    <w:rsid w:val="00A30255"/>
    <w:rsid w:val="00A43A6C"/>
    <w:rsid w:val="00A4590F"/>
    <w:rsid w:val="00A45F8C"/>
    <w:rsid w:val="00A63065"/>
    <w:rsid w:val="00AA3771"/>
    <w:rsid w:val="00AA4480"/>
    <w:rsid w:val="00AA4DC8"/>
    <w:rsid w:val="00AB0003"/>
    <w:rsid w:val="00AB48D4"/>
    <w:rsid w:val="00AD239E"/>
    <w:rsid w:val="00AE2855"/>
    <w:rsid w:val="00B22111"/>
    <w:rsid w:val="00B23A7E"/>
    <w:rsid w:val="00B33E7A"/>
    <w:rsid w:val="00B55770"/>
    <w:rsid w:val="00B710F0"/>
    <w:rsid w:val="00B76BDD"/>
    <w:rsid w:val="00B93734"/>
    <w:rsid w:val="00BB0FE4"/>
    <w:rsid w:val="00BB1F28"/>
    <w:rsid w:val="00BD0599"/>
    <w:rsid w:val="00BD2752"/>
    <w:rsid w:val="00BD6346"/>
    <w:rsid w:val="00BD784D"/>
    <w:rsid w:val="00BE6A77"/>
    <w:rsid w:val="00C26991"/>
    <w:rsid w:val="00C3415C"/>
    <w:rsid w:val="00C46793"/>
    <w:rsid w:val="00C65DBC"/>
    <w:rsid w:val="00C70D95"/>
    <w:rsid w:val="00C742EF"/>
    <w:rsid w:val="00C75FCB"/>
    <w:rsid w:val="00C93966"/>
    <w:rsid w:val="00CA1FF9"/>
    <w:rsid w:val="00CB1084"/>
    <w:rsid w:val="00CB61A1"/>
    <w:rsid w:val="00CE6F2A"/>
    <w:rsid w:val="00D06F2D"/>
    <w:rsid w:val="00D21100"/>
    <w:rsid w:val="00D4764F"/>
    <w:rsid w:val="00D50BE4"/>
    <w:rsid w:val="00D777AA"/>
    <w:rsid w:val="00D77F8F"/>
    <w:rsid w:val="00D82FC9"/>
    <w:rsid w:val="00DA6B93"/>
    <w:rsid w:val="00DC0DD5"/>
    <w:rsid w:val="00DD1BC3"/>
    <w:rsid w:val="00DD1F71"/>
    <w:rsid w:val="00DD23EF"/>
    <w:rsid w:val="00E2691F"/>
    <w:rsid w:val="00E63AA9"/>
    <w:rsid w:val="00E740AB"/>
    <w:rsid w:val="00E9243D"/>
    <w:rsid w:val="00EB1B43"/>
    <w:rsid w:val="00EC1275"/>
    <w:rsid w:val="00EF0FE9"/>
    <w:rsid w:val="00F1059F"/>
    <w:rsid w:val="00F13887"/>
    <w:rsid w:val="00F268AA"/>
    <w:rsid w:val="00F561AC"/>
    <w:rsid w:val="00F76B4D"/>
    <w:rsid w:val="00F9153F"/>
    <w:rsid w:val="00F94F83"/>
    <w:rsid w:val="00F957B3"/>
    <w:rsid w:val="00FC2566"/>
    <w:rsid w:val="00FD4CB2"/>
    <w:rsid w:val="00FD6704"/>
    <w:rsid w:val="00FE2396"/>
    <w:rsid w:val="00FE62DF"/>
    <w:rsid w:val="00FF633F"/>
    <w:rsid w:val="096106C7"/>
    <w:rsid w:val="0D41E7BE"/>
    <w:rsid w:val="0EDDB81F"/>
    <w:rsid w:val="1EB89454"/>
    <w:rsid w:val="2AC18089"/>
    <w:rsid w:val="3F6621BB"/>
    <w:rsid w:val="5A769271"/>
    <w:rsid w:val="64D801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DD03"/>
  <w15:docId w15:val="{4E6D9C69-8645-45C7-9889-3580BB72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76BD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B76BDD"/>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B76BDD"/>
    <w:rPr>
      <w:rFonts w:cs="Times New Roman"/>
      <w:vertAlign w:val="superscript"/>
    </w:rPr>
  </w:style>
  <w:style w:type="character" w:customStyle="1" w:styleId="textonavy">
    <w:name w:val="texto_navy"/>
    <w:basedOn w:val="Fuentedeprrafopredeter"/>
    <w:rsid w:val="00B76BDD"/>
    <w:rPr>
      <w:rFonts w:cs="Times New Roman"/>
    </w:rPr>
  </w:style>
  <w:style w:type="character" w:customStyle="1" w:styleId="apple-converted-space">
    <w:name w:val="apple-converted-space"/>
    <w:basedOn w:val="Fuentedeprrafopredeter"/>
    <w:rsid w:val="00B76BDD"/>
    <w:rPr>
      <w:rFonts w:cs="Times New Roman"/>
    </w:rPr>
  </w:style>
  <w:style w:type="table" w:styleId="Tablaconcuadrcula">
    <w:name w:val="Table Grid"/>
    <w:basedOn w:val="Tablanormal"/>
    <w:uiPriority w:val="39"/>
    <w:rsid w:val="00B76BDD"/>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6B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BDD"/>
    <w:rPr>
      <w:rFonts w:ascii="Tahoma" w:hAnsi="Tahoma" w:cs="Tahoma"/>
      <w:sz w:val="16"/>
      <w:szCs w:val="16"/>
    </w:rPr>
  </w:style>
  <w:style w:type="character" w:customStyle="1" w:styleId="markedcontent">
    <w:name w:val="markedcontent"/>
    <w:basedOn w:val="Fuentedeprrafopredeter"/>
    <w:rsid w:val="00DD1BC3"/>
  </w:style>
  <w:style w:type="paragraph" w:styleId="Prrafodelista">
    <w:name w:val="List Paragraph"/>
    <w:basedOn w:val="Normal"/>
    <w:uiPriority w:val="34"/>
    <w:qFormat/>
    <w:rsid w:val="00C9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3CF55-B71F-406C-82C0-ED1B60DA54AF}">
  <ds:schemaRefs>
    <ds:schemaRef ds:uri="http://schemas.microsoft.com/sharepoint/v3/contenttype/forms"/>
  </ds:schemaRefs>
</ds:datastoreItem>
</file>

<file path=customXml/itemProps2.xml><?xml version="1.0" encoding="utf-8"?>
<ds:datastoreItem xmlns:ds="http://schemas.openxmlformats.org/officeDocument/2006/customXml" ds:itemID="{FE042839-78E2-4379-9A51-4A336BB38A90}">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3.xml><?xml version="1.0" encoding="utf-8"?>
<ds:datastoreItem xmlns:ds="http://schemas.openxmlformats.org/officeDocument/2006/customXml" ds:itemID="{66ED96B7-B66A-465A-99D1-6A597285969E}"/>
</file>

<file path=customXml/itemProps4.xml><?xml version="1.0" encoding="utf-8"?>
<ds:datastoreItem xmlns:ds="http://schemas.openxmlformats.org/officeDocument/2006/customXml" ds:itemID="{16A806BC-F57E-4200-92D1-A9A218CD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3298</Words>
  <Characters>18142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5800</dc:creator>
  <cp:keywords/>
  <dc:description/>
  <cp:lastModifiedBy>Relatoria Tribunal Administrativo - Boyacá - Seccional Tunja</cp:lastModifiedBy>
  <cp:revision>4</cp:revision>
  <dcterms:created xsi:type="dcterms:W3CDTF">2023-05-29T20:09:00Z</dcterms:created>
  <dcterms:modified xsi:type="dcterms:W3CDTF">2023-05-29T20:09:00Z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