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4" w:type="dxa"/>
        <w:jc w:val="center"/>
        <w:tblLook w:val="01E0" w:firstRow="1" w:lastRow="1" w:firstColumn="1" w:lastColumn="1" w:noHBand="0" w:noVBand="0"/>
      </w:tblPr>
      <w:tblGrid>
        <w:gridCol w:w="9504"/>
      </w:tblGrid>
      <w:tr w:rsidR="00F1634F" w:rsidRPr="00DF3C31" w14:paraId="41CB6625" w14:textId="77777777" w:rsidTr="31314C33">
        <w:trPr>
          <w:trHeight w:val="1813"/>
          <w:jc w:val="center"/>
        </w:trPr>
        <w:tc>
          <w:tcPr>
            <w:tcW w:w="9504" w:type="dxa"/>
          </w:tcPr>
          <w:tbl>
            <w:tblPr>
              <w:tblW w:w="9180" w:type="dxa"/>
              <w:jc w:val="center"/>
              <w:tblLook w:val="01E0" w:firstRow="1" w:lastRow="1" w:firstColumn="1" w:lastColumn="1" w:noHBand="0" w:noVBand="0"/>
            </w:tblPr>
            <w:tblGrid>
              <w:gridCol w:w="9180"/>
            </w:tblGrid>
            <w:tr w:rsidR="00F1634F" w:rsidRPr="00DF3C31" w14:paraId="6BECC85F" w14:textId="77777777" w:rsidTr="31314C33">
              <w:trPr>
                <w:trHeight w:val="1813"/>
                <w:jc w:val="center"/>
              </w:trPr>
              <w:tc>
                <w:tcPr>
                  <w:tcW w:w="9180" w:type="dxa"/>
                </w:tcPr>
                <w:p w14:paraId="102251D4" w14:textId="77777777" w:rsidR="00F1634F" w:rsidRPr="00DF3C31" w:rsidRDefault="00F1634F" w:rsidP="353CD7C0">
                  <w:pPr>
                    <w:jc w:val="center"/>
                    <w:rPr>
                      <w:rFonts w:ascii="Verdana" w:eastAsia="Calibri" w:hAnsi="Verdana"/>
                      <w:sz w:val="22"/>
                      <w:szCs w:val="22"/>
                    </w:rPr>
                  </w:pPr>
                  <w:r w:rsidRPr="353CD7C0">
                    <w:rPr>
                      <w:rFonts w:ascii="Verdana" w:hAnsi="Verdana"/>
                      <w:sz w:val="22"/>
                      <w:szCs w:val="22"/>
                    </w:rPr>
                    <w:t>REPÚBLICA DE COLOMBIA</w:t>
                  </w:r>
                </w:p>
                <w:p w14:paraId="0FA9E040" w14:textId="77777777" w:rsidR="00F1634F" w:rsidRPr="00DF3C31" w:rsidRDefault="00F1634F" w:rsidP="353CD7C0">
                  <w:pPr>
                    <w:jc w:val="center"/>
                    <w:rPr>
                      <w:rFonts w:ascii="Verdana" w:hAnsi="Verdana"/>
                      <w:sz w:val="22"/>
                      <w:szCs w:val="22"/>
                    </w:rPr>
                  </w:pPr>
                  <w:r>
                    <w:rPr>
                      <w:noProof/>
                      <w:lang w:val="en-US" w:eastAsia="en-US"/>
                    </w:rPr>
                    <w:drawing>
                      <wp:inline distT="0" distB="0" distL="0" distR="0" wp14:anchorId="7858EFC3" wp14:editId="0343F97B">
                        <wp:extent cx="676275" cy="628650"/>
                        <wp:effectExtent l="0" t="0" r="9525" b="0"/>
                        <wp:docPr id="1" name="Imagen 1" descr="http://images.google.com.co/url?q=http://www.cajpe.org.pe/infomacionporpaises/images/colombia_escudo.gif&amp;usg=AFrqEzfgWyWgrhxYM1_HhyEayeIxMYv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628650"/>
                                </a:xfrm>
                                <a:prstGeom prst="rect">
                                  <a:avLst/>
                                </a:prstGeom>
                              </pic:spPr>
                            </pic:pic>
                          </a:graphicData>
                        </a:graphic>
                      </wp:inline>
                    </w:drawing>
                  </w:r>
                </w:p>
                <w:p w14:paraId="030CAD81" w14:textId="77777777" w:rsidR="00F1634F" w:rsidRPr="00DF3C31" w:rsidRDefault="00F1634F" w:rsidP="353CD7C0">
                  <w:pPr>
                    <w:jc w:val="center"/>
                    <w:rPr>
                      <w:rFonts w:ascii="Verdana" w:hAnsi="Verdana"/>
                      <w:sz w:val="22"/>
                      <w:szCs w:val="22"/>
                    </w:rPr>
                  </w:pPr>
                  <w:r w:rsidRPr="353CD7C0">
                    <w:rPr>
                      <w:rFonts w:ascii="Verdana" w:hAnsi="Verdana"/>
                      <w:sz w:val="22"/>
                      <w:szCs w:val="22"/>
                    </w:rPr>
                    <w:t>TRIBUNAL ADMINISTRATIVO DE BOYACÁ</w:t>
                  </w:r>
                </w:p>
                <w:p w14:paraId="771B432B" w14:textId="13A9B9DC" w:rsidR="00F1634F" w:rsidRPr="00DF3C31" w:rsidRDefault="00FA48C9" w:rsidP="353CD7C0">
                  <w:pPr>
                    <w:tabs>
                      <w:tab w:val="center" w:pos="4252"/>
                      <w:tab w:val="right" w:pos="8504"/>
                    </w:tabs>
                    <w:jc w:val="center"/>
                    <w:rPr>
                      <w:rFonts w:ascii="Verdana" w:hAnsi="Verdana"/>
                    </w:rPr>
                  </w:pPr>
                  <w:r w:rsidRPr="353CD7C0">
                    <w:rPr>
                      <w:rFonts w:ascii="Verdana" w:hAnsi="Verdana"/>
                      <w:sz w:val="22"/>
                      <w:szCs w:val="22"/>
                    </w:rPr>
                    <w:t>DESPACHO No. 3</w:t>
                  </w:r>
                </w:p>
              </w:tc>
            </w:tr>
          </w:tbl>
          <w:p w14:paraId="75CFD92C" w14:textId="77777777" w:rsidR="00F1634F" w:rsidRPr="00DF3C31" w:rsidRDefault="00F1634F" w:rsidP="00A63D0B">
            <w:pPr>
              <w:spacing w:line="264" w:lineRule="auto"/>
              <w:jc w:val="both"/>
              <w:rPr>
                <w:rFonts w:ascii="Verdana" w:hAnsi="Verdana" w:cs="Arial"/>
              </w:rPr>
            </w:pPr>
          </w:p>
        </w:tc>
      </w:tr>
    </w:tbl>
    <w:p w14:paraId="5BABDF45" w14:textId="5ECAADAB" w:rsidR="00F1634F" w:rsidRDefault="5FC3C404" w:rsidP="353CD7C0">
      <w:pPr>
        <w:spacing w:line="264" w:lineRule="auto"/>
        <w:jc w:val="center"/>
        <w:rPr>
          <w:rFonts w:ascii="Verdana" w:hAnsi="Verdana" w:cs="Arial"/>
        </w:rPr>
      </w:pPr>
      <w:r w:rsidRPr="353CD7C0">
        <w:rPr>
          <w:rFonts w:ascii="Verdana" w:hAnsi="Verdana" w:cs="Arial"/>
        </w:rPr>
        <w:t>Magistrado FABIO IVÁN AFANADOR GARCÍA</w:t>
      </w:r>
    </w:p>
    <w:p w14:paraId="5EF4F8AC" w14:textId="77777777" w:rsidR="00F1634F" w:rsidRDefault="00F1634F" w:rsidP="353CD7C0">
      <w:pPr>
        <w:spacing w:line="264" w:lineRule="auto"/>
        <w:jc w:val="center"/>
        <w:rPr>
          <w:rFonts w:ascii="Verdana" w:hAnsi="Verdana" w:cs="Arial"/>
        </w:rPr>
      </w:pPr>
    </w:p>
    <w:p w14:paraId="331A6858" w14:textId="0475A5B4" w:rsidR="00F1634F" w:rsidRDefault="00F1634F" w:rsidP="353CD7C0">
      <w:pPr>
        <w:spacing w:line="264" w:lineRule="auto"/>
        <w:jc w:val="center"/>
        <w:rPr>
          <w:rFonts w:ascii="Verdana" w:hAnsi="Verdana" w:cs="Arial"/>
        </w:rPr>
      </w:pPr>
    </w:p>
    <w:p w14:paraId="1721B5B6" w14:textId="540C0F75" w:rsidR="00F1634F" w:rsidRPr="00DF3C31" w:rsidRDefault="00F1634F" w:rsidP="00F1634F">
      <w:pPr>
        <w:spacing w:line="264" w:lineRule="auto"/>
        <w:jc w:val="center"/>
        <w:rPr>
          <w:rFonts w:ascii="Verdana" w:hAnsi="Verdana" w:cs="Arial"/>
        </w:rPr>
      </w:pPr>
      <w:r w:rsidRPr="353CD7C0">
        <w:rPr>
          <w:rFonts w:ascii="Verdana" w:hAnsi="Verdana" w:cs="Arial"/>
        </w:rPr>
        <w:t xml:space="preserve">Tunja, </w:t>
      </w:r>
      <w:r w:rsidR="27857537" w:rsidRPr="353CD7C0">
        <w:rPr>
          <w:rFonts w:ascii="Verdana" w:hAnsi="Verdana" w:cs="Arial"/>
        </w:rPr>
        <w:t>veintiséis (26) de noviembre de dos mil veinte (2020)</w:t>
      </w:r>
    </w:p>
    <w:p w14:paraId="0344D45F" w14:textId="77777777" w:rsidR="00F1634F" w:rsidRDefault="00F1634F" w:rsidP="353CD7C0">
      <w:pPr>
        <w:spacing w:line="264" w:lineRule="auto"/>
        <w:jc w:val="center"/>
        <w:rPr>
          <w:rFonts w:ascii="Verdana" w:hAnsi="Verdana" w:cs="Arial"/>
        </w:rPr>
      </w:pPr>
      <w:bookmarkStart w:id="0" w:name="_GoBack"/>
      <w:bookmarkEnd w:id="0"/>
    </w:p>
    <w:p w14:paraId="0293FE68" w14:textId="77777777" w:rsidR="00F1634F" w:rsidRPr="00DF3C31" w:rsidRDefault="00F1634F" w:rsidP="353CD7C0">
      <w:pPr>
        <w:spacing w:line="264" w:lineRule="auto"/>
        <w:jc w:val="center"/>
        <w:rPr>
          <w:rFonts w:ascii="Verdana" w:hAnsi="Verdana" w:cs="Arial"/>
        </w:rPr>
      </w:pPr>
    </w:p>
    <w:p w14:paraId="0293909D" w14:textId="77777777" w:rsidR="00F1634F" w:rsidRPr="00DF3C31" w:rsidRDefault="00F1634F" w:rsidP="00F1634F">
      <w:pPr>
        <w:spacing w:line="264" w:lineRule="auto"/>
        <w:jc w:val="center"/>
        <w:rPr>
          <w:rFonts w:ascii="Verdana" w:hAnsi="Verdana" w:cs="Arial"/>
          <w:b/>
        </w:rPr>
      </w:pPr>
      <w:r w:rsidRPr="00DF3C31">
        <w:rPr>
          <w:rFonts w:ascii="Verdana" w:hAnsi="Verdana" w:cs="Arial"/>
          <w:b/>
        </w:rPr>
        <w:t>REFERENCIAS</w:t>
      </w:r>
    </w:p>
    <w:p w14:paraId="721F7D51" w14:textId="77777777" w:rsidR="00F1634F" w:rsidRPr="00DF3C31" w:rsidRDefault="00F1634F" w:rsidP="353CD7C0">
      <w:pPr>
        <w:spacing w:line="264" w:lineRule="auto"/>
        <w:ind w:left="3540" w:hanging="3540"/>
        <w:jc w:val="center"/>
        <w:rPr>
          <w:rFonts w:ascii="Verdana" w:hAnsi="Verdana" w:cs="Arial"/>
        </w:rPr>
      </w:pPr>
    </w:p>
    <w:p w14:paraId="3D177E09" w14:textId="56CB77E7" w:rsidR="00F1634F" w:rsidRPr="00DF3C31" w:rsidRDefault="00F1634F" w:rsidP="353CD7C0">
      <w:pPr>
        <w:ind w:left="3540" w:hanging="3540"/>
        <w:rPr>
          <w:rFonts w:ascii="Verdana" w:hAnsi="Verdana" w:cs="Arial"/>
          <w:sz w:val="22"/>
          <w:szCs w:val="22"/>
        </w:rPr>
      </w:pPr>
      <w:r w:rsidRPr="353CD7C0">
        <w:rPr>
          <w:rFonts w:ascii="Verdana" w:hAnsi="Verdana" w:cs="Arial"/>
          <w:sz w:val="22"/>
          <w:szCs w:val="22"/>
        </w:rPr>
        <w:t>MEDIO DE CONTROL</w:t>
      </w:r>
      <w:r w:rsidR="547BFD44" w:rsidRPr="353CD7C0">
        <w:rPr>
          <w:rFonts w:ascii="Verdana" w:hAnsi="Verdana" w:cs="Arial"/>
          <w:sz w:val="22"/>
          <w:szCs w:val="22"/>
        </w:rPr>
        <w:t>:</w:t>
      </w:r>
      <w:r w:rsidRPr="00DF3C31">
        <w:rPr>
          <w:rFonts w:ascii="Verdana" w:hAnsi="Verdana" w:cs="Arial"/>
          <w:iCs/>
        </w:rPr>
        <w:tab/>
      </w:r>
      <w:r w:rsidRPr="353CD7C0">
        <w:rPr>
          <w:rFonts w:ascii="Verdana" w:hAnsi="Verdana" w:cs="Arial"/>
          <w:sz w:val="22"/>
          <w:szCs w:val="22"/>
        </w:rPr>
        <w:t>NULIDAD Y RESTABLECIMIENTO DEL DERECHO</w:t>
      </w:r>
    </w:p>
    <w:p w14:paraId="494AE879" w14:textId="6E614086" w:rsidR="00F1634F" w:rsidRPr="00DF3C31" w:rsidRDefault="00F1634F" w:rsidP="353CD7C0">
      <w:pPr>
        <w:rPr>
          <w:rFonts w:ascii="Verdana" w:hAnsi="Verdana" w:cs="Arial"/>
          <w:sz w:val="22"/>
          <w:szCs w:val="22"/>
        </w:rPr>
      </w:pPr>
      <w:r w:rsidRPr="353CD7C0">
        <w:rPr>
          <w:rFonts w:ascii="Verdana" w:hAnsi="Verdana" w:cs="Arial"/>
          <w:sz w:val="22"/>
          <w:szCs w:val="22"/>
        </w:rPr>
        <w:t>DEMANDANTE</w:t>
      </w:r>
      <w:r w:rsidR="53650649" w:rsidRPr="353CD7C0">
        <w:rPr>
          <w:rFonts w:ascii="Verdana" w:hAnsi="Verdana" w:cs="Arial"/>
          <w:sz w:val="22"/>
          <w:szCs w:val="22"/>
        </w:rPr>
        <w:t>:</w:t>
      </w:r>
      <w:r w:rsidRPr="00DF3C31">
        <w:rPr>
          <w:rFonts w:ascii="Verdana" w:hAnsi="Verdana" w:cs="Arial"/>
        </w:rPr>
        <w:tab/>
      </w:r>
      <w:r w:rsidRPr="00DF3C31">
        <w:rPr>
          <w:rFonts w:ascii="Verdana" w:hAnsi="Verdana" w:cs="Arial"/>
        </w:rPr>
        <w:tab/>
      </w:r>
      <w:r w:rsidRPr="00DF3C31">
        <w:rPr>
          <w:rFonts w:ascii="Verdana" w:hAnsi="Verdana" w:cs="Arial"/>
        </w:rPr>
        <w:tab/>
      </w:r>
      <w:r w:rsidRPr="353CD7C0">
        <w:rPr>
          <w:rFonts w:ascii="Verdana" w:hAnsi="Verdana" w:cs="Arial"/>
          <w:sz w:val="22"/>
          <w:szCs w:val="22"/>
        </w:rPr>
        <w:t xml:space="preserve">MAURICIO ANDRES PINEDA CONTRERAS  </w:t>
      </w:r>
    </w:p>
    <w:p w14:paraId="59C5558E" w14:textId="3359158E" w:rsidR="00F1634F" w:rsidRPr="00DF3C31" w:rsidRDefault="00F1634F" w:rsidP="353CD7C0">
      <w:pPr>
        <w:tabs>
          <w:tab w:val="left" w:pos="748"/>
        </w:tabs>
        <w:ind w:left="3540" w:hanging="3540"/>
        <w:jc w:val="both"/>
        <w:rPr>
          <w:rFonts w:ascii="Verdana" w:hAnsi="Verdana" w:cs="Arial"/>
          <w:sz w:val="22"/>
          <w:szCs w:val="22"/>
        </w:rPr>
      </w:pPr>
      <w:r w:rsidRPr="353CD7C0">
        <w:rPr>
          <w:rFonts w:ascii="Verdana" w:hAnsi="Verdana" w:cs="Arial"/>
          <w:sz w:val="22"/>
          <w:szCs w:val="22"/>
        </w:rPr>
        <w:t>DEMANDADO</w:t>
      </w:r>
      <w:r w:rsidR="4E0567CB" w:rsidRPr="353CD7C0">
        <w:rPr>
          <w:rFonts w:ascii="Verdana" w:hAnsi="Verdana" w:cs="Arial"/>
          <w:sz w:val="22"/>
          <w:szCs w:val="22"/>
        </w:rPr>
        <w:t>:</w:t>
      </w:r>
      <w:r w:rsidRPr="00DF3C31">
        <w:rPr>
          <w:rFonts w:ascii="Verdana" w:hAnsi="Verdana" w:cs="Arial"/>
          <w:iCs/>
        </w:rPr>
        <w:tab/>
      </w:r>
      <w:r w:rsidRPr="353CD7C0">
        <w:rPr>
          <w:rFonts w:ascii="Verdana" w:hAnsi="Verdana" w:cs="Arial"/>
          <w:sz w:val="22"/>
          <w:szCs w:val="22"/>
        </w:rPr>
        <w:t>FISCALIA GENERAL DE LA NACIÓN</w:t>
      </w:r>
    </w:p>
    <w:p w14:paraId="026FFC23" w14:textId="48E96F2A" w:rsidR="00F1634F" w:rsidRPr="00DF3C31" w:rsidRDefault="00F1634F" w:rsidP="353CD7C0">
      <w:pPr>
        <w:rPr>
          <w:rFonts w:ascii="Verdana" w:hAnsi="Verdana" w:cs="Arial"/>
          <w:sz w:val="22"/>
          <w:szCs w:val="22"/>
        </w:rPr>
      </w:pPr>
      <w:r w:rsidRPr="353CD7C0">
        <w:rPr>
          <w:rFonts w:ascii="Verdana" w:hAnsi="Verdana" w:cs="Arial"/>
          <w:sz w:val="22"/>
          <w:szCs w:val="22"/>
        </w:rPr>
        <w:t>RADICACIÓN</w:t>
      </w:r>
      <w:r w:rsidR="2BEFC9A9" w:rsidRPr="353CD7C0">
        <w:rPr>
          <w:rFonts w:ascii="Verdana" w:hAnsi="Verdana" w:cs="Arial"/>
          <w:sz w:val="22"/>
          <w:szCs w:val="22"/>
        </w:rPr>
        <w:t>:</w:t>
      </w:r>
      <w:r w:rsidRPr="00DF3C31">
        <w:rPr>
          <w:rFonts w:ascii="Verdana" w:hAnsi="Verdana" w:cs="Arial"/>
          <w:iCs/>
        </w:rPr>
        <w:tab/>
      </w:r>
      <w:r w:rsidRPr="00DF3C31">
        <w:rPr>
          <w:rFonts w:ascii="Verdana" w:hAnsi="Verdana" w:cs="Arial"/>
          <w:iCs/>
        </w:rPr>
        <w:tab/>
      </w:r>
      <w:r w:rsidRPr="00DF3C31">
        <w:rPr>
          <w:rFonts w:ascii="Verdana" w:hAnsi="Verdana" w:cs="Arial"/>
          <w:iCs/>
        </w:rPr>
        <w:tab/>
      </w:r>
      <w:r w:rsidRPr="353CD7C0">
        <w:rPr>
          <w:rFonts w:ascii="Verdana" w:hAnsi="Verdana" w:cs="Arial"/>
          <w:sz w:val="22"/>
          <w:szCs w:val="22"/>
        </w:rPr>
        <w:t>150013333012201800026-01</w:t>
      </w:r>
    </w:p>
    <w:p w14:paraId="418BF1FD" w14:textId="3C9C0161" w:rsidR="00F1634F" w:rsidRDefault="00F1634F" w:rsidP="353CD7C0">
      <w:pPr>
        <w:tabs>
          <w:tab w:val="left" w:pos="6480"/>
        </w:tabs>
        <w:spacing w:line="264" w:lineRule="auto"/>
        <w:ind w:left="3540" w:hanging="3540"/>
        <w:jc w:val="both"/>
        <w:rPr>
          <w:rFonts w:ascii="Verdana" w:hAnsi="Verdana" w:cs="Arial"/>
        </w:rPr>
      </w:pPr>
    </w:p>
    <w:p w14:paraId="4F21FD2E" w14:textId="1E336151" w:rsidR="353CD7C0" w:rsidRDefault="353CD7C0" w:rsidP="353CD7C0">
      <w:pPr>
        <w:spacing w:line="264" w:lineRule="auto"/>
        <w:ind w:left="3540" w:hanging="3540"/>
        <w:jc w:val="both"/>
        <w:rPr>
          <w:rFonts w:ascii="Verdana" w:hAnsi="Verdana" w:cs="Arial"/>
        </w:rPr>
      </w:pPr>
    </w:p>
    <w:p w14:paraId="49473ADE" w14:textId="37E5A77E" w:rsidR="353CD7C0" w:rsidRDefault="353CD7C0" w:rsidP="353CD7C0">
      <w:pPr>
        <w:spacing w:line="264" w:lineRule="auto"/>
        <w:ind w:left="3540" w:hanging="3540"/>
        <w:jc w:val="both"/>
        <w:rPr>
          <w:rFonts w:ascii="Verdana" w:hAnsi="Verdana" w:cs="Arial"/>
        </w:rPr>
      </w:pPr>
    </w:p>
    <w:p w14:paraId="30CF485C" w14:textId="02F21FF0" w:rsidR="00F1634F" w:rsidRDefault="00F1634F" w:rsidP="353CD7C0">
      <w:pPr>
        <w:tabs>
          <w:tab w:val="left" w:pos="6480"/>
        </w:tabs>
        <w:spacing w:line="264" w:lineRule="auto"/>
        <w:jc w:val="both"/>
        <w:rPr>
          <w:rFonts w:ascii="Verdana" w:hAnsi="Verdana" w:cs="Arial"/>
        </w:rPr>
      </w:pPr>
      <w:r w:rsidRPr="31314C33">
        <w:rPr>
          <w:rFonts w:ascii="Verdana" w:hAnsi="Verdana" w:cs="Arial"/>
        </w:rPr>
        <w:t xml:space="preserve">Procede </w:t>
      </w:r>
      <w:r w:rsidR="05E4ED04" w:rsidRPr="31314C33">
        <w:rPr>
          <w:rFonts w:ascii="Verdana" w:hAnsi="Verdana" w:cs="Arial"/>
        </w:rPr>
        <w:t xml:space="preserve">el Despacho </w:t>
      </w:r>
      <w:r w:rsidRPr="31314C33">
        <w:rPr>
          <w:rFonts w:ascii="Verdana" w:hAnsi="Verdana" w:cs="Arial"/>
        </w:rPr>
        <w:t>a decidir</w:t>
      </w:r>
      <w:r w:rsidR="35E826CA" w:rsidRPr="31314C33">
        <w:rPr>
          <w:rFonts w:ascii="Verdana" w:hAnsi="Verdana" w:cs="Arial"/>
        </w:rPr>
        <w:t xml:space="preserve"> la</w:t>
      </w:r>
      <w:r w:rsidRPr="31314C33">
        <w:rPr>
          <w:rFonts w:ascii="Verdana" w:hAnsi="Verdana" w:cs="Arial"/>
        </w:rPr>
        <w:t xml:space="preserve"> queja propuest</w:t>
      </w:r>
      <w:r w:rsidR="7D3F1CA8" w:rsidRPr="31314C33">
        <w:rPr>
          <w:rFonts w:ascii="Verdana" w:hAnsi="Verdana" w:cs="Arial"/>
        </w:rPr>
        <w:t>a</w:t>
      </w:r>
      <w:r w:rsidRPr="31314C33">
        <w:rPr>
          <w:rFonts w:ascii="Verdana" w:hAnsi="Verdana" w:cs="Arial"/>
        </w:rPr>
        <w:t xml:space="preserve"> por </w:t>
      </w:r>
      <w:r w:rsidR="18104BEC" w:rsidRPr="31314C33">
        <w:rPr>
          <w:rFonts w:ascii="Verdana" w:hAnsi="Verdana" w:cs="Arial"/>
        </w:rPr>
        <w:t>el Ministerio de Justicia y del Derecho</w:t>
      </w:r>
      <w:r w:rsidRPr="31314C33">
        <w:rPr>
          <w:rFonts w:ascii="Verdana" w:hAnsi="Verdana" w:cs="Arial"/>
        </w:rPr>
        <w:t xml:space="preserve"> contra el auto dictado en audiencia inicial</w:t>
      </w:r>
      <w:r w:rsidR="36177935" w:rsidRPr="31314C33">
        <w:rPr>
          <w:rFonts w:ascii="Verdana" w:hAnsi="Verdana" w:cs="Arial"/>
        </w:rPr>
        <w:t>,</w:t>
      </w:r>
      <w:r w:rsidRPr="31314C33">
        <w:rPr>
          <w:rFonts w:ascii="Verdana" w:hAnsi="Verdana" w:cs="Arial"/>
        </w:rPr>
        <w:t xml:space="preserve"> el 12 de marzo de 2019, por el Juzgado Doce Administrativo de Tunja, que</w:t>
      </w:r>
      <w:r w:rsidR="00946875" w:rsidRPr="31314C33">
        <w:rPr>
          <w:rFonts w:ascii="Verdana" w:hAnsi="Verdana" w:cs="Arial"/>
        </w:rPr>
        <w:t xml:space="preserve"> </w:t>
      </w:r>
      <w:r w:rsidRPr="31314C33">
        <w:rPr>
          <w:rFonts w:ascii="Verdana" w:hAnsi="Verdana" w:cs="Arial"/>
        </w:rPr>
        <w:t xml:space="preserve">difirió la decisión de la excepción de falta de legitimación material en la causa por pasiva </w:t>
      </w:r>
      <w:r w:rsidRPr="31314C33">
        <w:rPr>
          <w:rFonts w:ascii="Verdana" w:hAnsi="Verdana" w:cs="Arial"/>
          <w:i/>
          <w:iCs/>
          <w:sz w:val="20"/>
          <w:szCs w:val="20"/>
        </w:rPr>
        <w:t>(Fls. 213-215)</w:t>
      </w:r>
      <w:r w:rsidRPr="31314C33">
        <w:rPr>
          <w:rFonts w:ascii="Verdana" w:hAnsi="Verdana" w:cs="Arial"/>
        </w:rPr>
        <w:t xml:space="preserve">. </w:t>
      </w:r>
      <w:r w:rsidR="00946875" w:rsidRPr="31314C33">
        <w:rPr>
          <w:rFonts w:ascii="Verdana" w:hAnsi="Verdana" w:cs="Arial"/>
        </w:rPr>
        <w:t xml:space="preserve">Al respecto, </w:t>
      </w:r>
      <w:r w:rsidR="000060CF" w:rsidRPr="31314C33">
        <w:rPr>
          <w:rFonts w:ascii="Verdana" w:hAnsi="Verdana" w:cs="Arial"/>
        </w:rPr>
        <w:t>se estima</w:t>
      </w:r>
      <w:r w:rsidR="514FCE9F" w:rsidRPr="31314C33">
        <w:rPr>
          <w:rFonts w:ascii="Verdana" w:hAnsi="Verdana" w:cs="Arial"/>
        </w:rPr>
        <w:t>rá</w:t>
      </w:r>
      <w:r w:rsidR="000060CF" w:rsidRPr="31314C33">
        <w:rPr>
          <w:rFonts w:ascii="Verdana" w:hAnsi="Verdana" w:cs="Arial"/>
        </w:rPr>
        <w:t xml:space="preserve"> bien denegado el recurso de apelación.</w:t>
      </w:r>
    </w:p>
    <w:p w14:paraId="39244A38" w14:textId="372384F2" w:rsidR="353CD7C0" w:rsidRDefault="353CD7C0" w:rsidP="353CD7C0">
      <w:pPr>
        <w:spacing w:line="264" w:lineRule="auto"/>
        <w:jc w:val="both"/>
        <w:rPr>
          <w:rFonts w:ascii="Verdana" w:hAnsi="Verdana" w:cs="Arial"/>
        </w:rPr>
      </w:pPr>
    </w:p>
    <w:p w14:paraId="77AA5FDE" w14:textId="77777777" w:rsidR="00F1634F" w:rsidRPr="0009303B" w:rsidRDefault="00F1634F" w:rsidP="353CD7C0">
      <w:pPr>
        <w:numPr>
          <w:ilvl w:val="0"/>
          <w:numId w:val="1"/>
        </w:numPr>
        <w:tabs>
          <w:tab w:val="left" w:pos="6480"/>
        </w:tabs>
        <w:spacing w:line="264" w:lineRule="auto"/>
        <w:jc w:val="center"/>
        <w:rPr>
          <w:rFonts w:ascii="Verdana" w:hAnsi="Verdana" w:cs="Arial"/>
          <w:b/>
          <w:bCs/>
          <w:sz w:val="26"/>
          <w:szCs w:val="26"/>
        </w:rPr>
      </w:pPr>
      <w:r w:rsidRPr="31314C33">
        <w:rPr>
          <w:rFonts w:ascii="Verdana" w:hAnsi="Verdana" w:cs="Arial"/>
          <w:b/>
          <w:bCs/>
          <w:sz w:val="26"/>
          <w:szCs w:val="26"/>
        </w:rPr>
        <w:t>ANTECEDENTES</w:t>
      </w:r>
    </w:p>
    <w:p w14:paraId="0EED7C76" w14:textId="6E8C2D7D" w:rsidR="353CD7C0" w:rsidRDefault="353CD7C0" w:rsidP="353CD7C0">
      <w:pPr>
        <w:spacing w:line="264" w:lineRule="auto"/>
        <w:jc w:val="both"/>
        <w:rPr>
          <w:rFonts w:ascii="Verdana" w:hAnsi="Verdana" w:cs="Arial"/>
        </w:rPr>
      </w:pPr>
    </w:p>
    <w:p w14:paraId="6C2A4BCC" w14:textId="47AB7A8D" w:rsidR="00F1634F" w:rsidRDefault="7E2C5550" w:rsidP="470E0B30">
      <w:pPr>
        <w:tabs>
          <w:tab w:val="left" w:pos="6480"/>
        </w:tabs>
        <w:spacing w:line="264" w:lineRule="auto"/>
        <w:jc w:val="both"/>
        <w:rPr>
          <w:rFonts w:ascii="Verdana" w:hAnsi="Verdana" w:cs="Arial"/>
          <w:b/>
          <w:bCs/>
        </w:rPr>
      </w:pPr>
      <w:r w:rsidRPr="470E0B30">
        <w:rPr>
          <w:rFonts w:ascii="Verdana" w:hAnsi="Verdana" w:cs="Arial"/>
          <w:b/>
          <w:bCs/>
        </w:rPr>
        <w:t>I.1. La demanda.</w:t>
      </w:r>
    </w:p>
    <w:p w14:paraId="2C770A54" w14:textId="17242214" w:rsidR="00F1634F" w:rsidRDefault="00F1634F" w:rsidP="470E0B30">
      <w:pPr>
        <w:tabs>
          <w:tab w:val="left" w:pos="6480"/>
        </w:tabs>
        <w:spacing w:line="264" w:lineRule="auto"/>
        <w:jc w:val="both"/>
        <w:rPr>
          <w:rFonts w:ascii="Verdana" w:hAnsi="Verdana" w:cs="Arial"/>
        </w:rPr>
      </w:pPr>
    </w:p>
    <w:p w14:paraId="74B4421E" w14:textId="6D1003D8" w:rsidR="00F1634F" w:rsidRDefault="00317E9F" w:rsidP="353CD7C0">
      <w:pPr>
        <w:tabs>
          <w:tab w:val="left" w:pos="6480"/>
        </w:tabs>
        <w:spacing w:line="264" w:lineRule="auto"/>
        <w:jc w:val="both"/>
        <w:rPr>
          <w:rFonts w:ascii="Verdana" w:hAnsi="Verdana" w:cs="Arial"/>
        </w:rPr>
      </w:pPr>
      <w:r w:rsidRPr="470E0B30">
        <w:rPr>
          <w:rFonts w:ascii="Verdana" w:hAnsi="Verdana" w:cs="Arial"/>
        </w:rPr>
        <w:t xml:space="preserve">El señor Mauricio Andrés Pineda Orjuela, a través de apoderada judicial, y en ejercicio del medio de control de nulidad y restablecimiento del derecho previsto en el artículo 138 del CPACA, incoó demanda contra la Fiscalía General de la Nación y el Ministerio de Justicia y del Derecho </w:t>
      </w:r>
      <w:r w:rsidR="00F1634F" w:rsidRPr="470E0B30">
        <w:rPr>
          <w:rFonts w:ascii="Verdana" w:hAnsi="Verdana" w:cs="Arial"/>
        </w:rPr>
        <w:t>a fin de que se anule</w:t>
      </w:r>
      <w:r w:rsidRPr="470E0B30">
        <w:rPr>
          <w:rFonts w:ascii="Verdana" w:hAnsi="Verdana" w:cs="Arial"/>
        </w:rPr>
        <w:t xml:space="preserve"> el siguiente acto administrativo</w:t>
      </w:r>
      <w:r w:rsidR="00F1634F" w:rsidRPr="470E0B30">
        <w:rPr>
          <w:rFonts w:ascii="Verdana" w:hAnsi="Verdana" w:cs="Arial"/>
        </w:rPr>
        <w:t xml:space="preserve">: </w:t>
      </w:r>
    </w:p>
    <w:p w14:paraId="4259713C" w14:textId="77777777" w:rsidR="00F1634F" w:rsidRPr="0009303B" w:rsidRDefault="00F1634F" w:rsidP="353CD7C0">
      <w:pPr>
        <w:tabs>
          <w:tab w:val="left" w:pos="6480"/>
        </w:tabs>
        <w:spacing w:line="264" w:lineRule="auto"/>
        <w:jc w:val="both"/>
        <w:rPr>
          <w:rFonts w:ascii="Verdana" w:hAnsi="Verdana" w:cs="Arial"/>
        </w:rPr>
      </w:pPr>
    </w:p>
    <w:p w14:paraId="7C59D9D8" w14:textId="77777777" w:rsidR="00317E9F" w:rsidRDefault="00317E9F" w:rsidP="353CD7C0">
      <w:pPr>
        <w:pStyle w:val="Prrafodelista"/>
        <w:numPr>
          <w:ilvl w:val="0"/>
          <w:numId w:val="2"/>
        </w:numPr>
        <w:tabs>
          <w:tab w:val="left" w:pos="6480"/>
        </w:tabs>
        <w:spacing w:line="264" w:lineRule="auto"/>
        <w:jc w:val="both"/>
        <w:rPr>
          <w:rFonts w:ascii="Verdana" w:hAnsi="Verdana" w:cs="Arial"/>
        </w:rPr>
      </w:pPr>
      <w:r w:rsidRPr="353CD7C0">
        <w:rPr>
          <w:rFonts w:ascii="Verdana" w:hAnsi="Verdana" w:cs="Arial"/>
        </w:rPr>
        <w:t xml:space="preserve">Oficio No. 311 del 30 de junio de 2017, expedido por la Fiscalía General de la Nación mediante el cual se comunicó la supresión de su cargo. </w:t>
      </w:r>
    </w:p>
    <w:p w14:paraId="1E072583" w14:textId="77777777" w:rsidR="00F1634F" w:rsidRPr="0009303B" w:rsidRDefault="00F1634F" w:rsidP="353CD7C0">
      <w:pPr>
        <w:tabs>
          <w:tab w:val="left" w:pos="6480"/>
        </w:tabs>
        <w:spacing w:line="264" w:lineRule="auto"/>
        <w:ind w:left="360"/>
        <w:jc w:val="both"/>
        <w:rPr>
          <w:rFonts w:ascii="Verdana" w:hAnsi="Verdana" w:cs="Arial"/>
        </w:rPr>
      </w:pPr>
    </w:p>
    <w:p w14:paraId="39FFAD54" w14:textId="224C64D4" w:rsidR="00F1634F" w:rsidRDefault="00F1634F" w:rsidP="353CD7C0">
      <w:pPr>
        <w:tabs>
          <w:tab w:val="left" w:pos="6480"/>
        </w:tabs>
        <w:spacing w:line="264" w:lineRule="auto"/>
        <w:jc w:val="both"/>
        <w:rPr>
          <w:rFonts w:ascii="Verdana" w:hAnsi="Verdana" w:cs="Arial"/>
        </w:rPr>
      </w:pPr>
      <w:r w:rsidRPr="470E0B30">
        <w:rPr>
          <w:rFonts w:ascii="Verdana" w:hAnsi="Verdana" w:cs="Arial"/>
        </w:rPr>
        <w:t xml:space="preserve">A título de restablecimiento del derecho, solicitó se ordene a la </w:t>
      </w:r>
      <w:r w:rsidR="00317E9F" w:rsidRPr="470E0B30">
        <w:rPr>
          <w:rFonts w:ascii="Verdana" w:hAnsi="Verdana" w:cs="Arial"/>
        </w:rPr>
        <w:t xml:space="preserve">entidad su reintegro al cargo de “Profesional de Gestión I” u otro de igual o superior jerarquía. A su vez, que se condene a la demandada </w:t>
      </w:r>
      <w:r w:rsidR="00317E9F" w:rsidRPr="470E0B30">
        <w:rPr>
          <w:rFonts w:ascii="Verdana" w:hAnsi="Verdana" w:cs="Arial"/>
        </w:rPr>
        <w:lastRenderedPageBreak/>
        <w:t>a pagar todos los salarios y prestaciones sociales dejadas de percibir desde la fecha de su retiro y hasta que se produzca su reintegro.</w:t>
      </w:r>
    </w:p>
    <w:p w14:paraId="2EA30708" w14:textId="4C04F6B8" w:rsidR="470E0B30" w:rsidRDefault="470E0B30" w:rsidP="470E0B30">
      <w:pPr>
        <w:spacing w:line="264" w:lineRule="auto"/>
        <w:jc w:val="both"/>
        <w:rPr>
          <w:rFonts w:ascii="Verdana" w:hAnsi="Verdana" w:cs="Arial"/>
        </w:rPr>
      </w:pPr>
    </w:p>
    <w:p w14:paraId="175951CA" w14:textId="10BF823F" w:rsidR="00F1634F" w:rsidRPr="0009303B" w:rsidRDefault="00F1634F" w:rsidP="353CD7C0">
      <w:pPr>
        <w:pStyle w:val="Encabezado"/>
        <w:tabs>
          <w:tab w:val="left" w:pos="6480"/>
        </w:tabs>
        <w:spacing w:line="264" w:lineRule="auto"/>
        <w:jc w:val="both"/>
        <w:rPr>
          <w:rFonts w:ascii="Verdana" w:hAnsi="Verdana" w:cs="Arial"/>
          <w:b/>
          <w:bCs/>
        </w:rPr>
      </w:pPr>
      <w:r w:rsidRPr="470E0B30">
        <w:rPr>
          <w:rFonts w:ascii="Verdana" w:hAnsi="Verdana" w:cs="Arial"/>
          <w:b/>
          <w:bCs/>
        </w:rPr>
        <w:t>I.</w:t>
      </w:r>
      <w:r w:rsidR="1516AFE3" w:rsidRPr="470E0B30">
        <w:rPr>
          <w:rFonts w:ascii="Verdana" w:hAnsi="Verdana" w:cs="Arial"/>
          <w:b/>
          <w:bCs/>
        </w:rPr>
        <w:t>2. Resolución de la</w:t>
      </w:r>
      <w:r w:rsidR="25AF41C6" w:rsidRPr="470E0B30">
        <w:rPr>
          <w:rFonts w:ascii="Verdana" w:hAnsi="Verdana" w:cs="Arial"/>
          <w:b/>
          <w:bCs/>
        </w:rPr>
        <w:t xml:space="preserve">s </w:t>
      </w:r>
      <w:r w:rsidR="1516AFE3" w:rsidRPr="470E0B30">
        <w:rPr>
          <w:rFonts w:ascii="Verdana" w:hAnsi="Verdana" w:cs="Arial"/>
          <w:b/>
          <w:bCs/>
        </w:rPr>
        <w:t>excepciones.</w:t>
      </w:r>
    </w:p>
    <w:p w14:paraId="3DFA9D2A" w14:textId="3ACDD12F" w:rsidR="470E0B30" w:rsidRDefault="470E0B30" w:rsidP="470E0B30">
      <w:pPr>
        <w:pStyle w:val="Encabezado"/>
        <w:spacing w:line="264" w:lineRule="auto"/>
        <w:jc w:val="both"/>
        <w:rPr>
          <w:rFonts w:ascii="Verdana" w:hAnsi="Verdana" w:cs="Arial"/>
        </w:rPr>
      </w:pPr>
    </w:p>
    <w:p w14:paraId="7710545B" w14:textId="6052410C" w:rsidR="00F1634F" w:rsidRDefault="00F1634F" w:rsidP="353CD7C0">
      <w:pPr>
        <w:pStyle w:val="Encabezado"/>
        <w:tabs>
          <w:tab w:val="left" w:pos="6480"/>
        </w:tabs>
        <w:spacing w:line="264" w:lineRule="auto"/>
        <w:jc w:val="both"/>
        <w:rPr>
          <w:rFonts w:ascii="Verdana" w:hAnsi="Verdana" w:cs="Arial"/>
        </w:rPr>
      </w:pPr>
      <w:r w:rsidRPr="470E0B30">
        <w:rPr>
          <w:rFonts w:ascii="Verdana" w:hAnsi="Verdana" w:cs="Arial"/>
        </w:rPr>
        <w:t xml:space="preserve">En audiencia inicial celebrada el </w:t>
      </w:r>
      <w:r w:rsidR="00264993" w:rsidRPr="470E0B30">
        <w:rPr>
          <w:rFonts w:ascii="Verdana" w:hAnsi="Verdana" w:cs="Arial"/>
        </w:rPr>
        <w:t xml:space="preserve">12 </w:t>
      </w:r>
      <w:r w:rsidRPr="470E0B30">
        <w:rPr>
          <w:rFonts w:ascii="Verdana" w:hAnsi="Verdana" w:cs="Arial"/>
        </w:rPr>
        <w:t xml:space="preserve">de marzo de </w:t>
      </w:r>
      <w:r w:rsidR="00264993" w:rsidRPr="470E0B30">
        <w:rPr>
          <w:rFonts w:ascii="Verdana" w:hAnsi="Verdana" w:cs="Arial"/>
        </w:rPr>
        <w:t>2019</w:t>
      </w:r>
      <w:r w:rsidR="005A719E" w:rsidRPr="470E0B30">
        <w:rPr>
          <w:rFonts w:ascii="Verdana" w:hAnsi="Verdana" w:cs="Arial"/>
        </w:rPr>
        <w:t xml:space="preserve"> (Fls. 21</w:t>
      </w:r>
      <w:r w:rsidR="001B7D2E" w:rsidRPr="470E0B30">
        <w:rPr>
          <w:rFonts w:ascii="Verdana" w:hAnsi="Verdana" w:cs="Arial"/>
        </w:rPr>
        <w:t>3-2</w:t>
      </w:r>
      <w:r w:rsidR="005A719E" w:rsidRPr="470E0B30">
        <w:rPr>
          <w:rFonts w:ascii="Verdana" w:hAnsi="Verdana" w:cs="Arial"/>
        </w:rPr>
        <w:t>14)</w:t>
      </w:r>
      <w:r w:rsidR="00264993" w:rsidRPr="470E0B30">
        <w:rPr>
          <w:rFonts w:ascii="Verdana" w:hAnsi="Verdana" w:cs="Arial"/>
        </w:rPr>
        <w:t xml:space="preserve">, el Juzgado Doce </w:t>
      </w:r>
      <w:r w:rsidRPr="470E0B30">
        <w:rPr>
          <w:rFonts w:ascii="Verdana" w:hAnsi="Verdana" w:cs="Arial"/>
        </w:rPr>
        <w:t>Administrativo de Tunja resolvió las excepciones pr</w:t>
      </w:r>
      <w:r w:rsidR="008B6C0A" w:rsidRPr="470E0B30">
        <w:rPr>
          <w:rFonts w:ascii="Verdana" w:hAnsi="Verdana" w:cs="Arial"/>
        </w:rPr>
        <w:t xml:space="preserve">opuestas por la parte demandada, declaró no fundada la excepción de inepta demanda y difirió la excepción de falta de legitimación material en la causa por pasiva al fondo del asunto. </w:t>
      </w:r>
      <w:r w:rsidRPr="470E0B30">
        <w:rPr>
          <w:rFonts w:ascii="Verdana" w:hAnsi="Verdana" w:cs="Arial"/>
        </w:rPr>
        <w:t>Para ello, consideró lo siguiente:</w:t>
      </w:r>
    </w:p>
    <w:p w14:paraId="488115A7" w14:textId="77777777" w:rsidR="00314150" w:rsidRDefault="00314150" w:rsidP="353CD7C0">
      <w:pPr>
        <w:pStyle w:val="Encabezado"/>
        <w:tabs>
          <w:tab w:val="left" w:pos="6480"/>
        </w:tabs>
        <w:spacing w:line="264" w:lineRule="auto"/>
        <w:jc w:val="both"/>
        <w:rPr>
          <w:rFonts w:ascii="Verdana" w:hAnsi="Verdana" w:cs="Arial"/>
        </w:rPr>
      </w:pPr>
    </w:p>
    <w:p w14:paraId="1B288568" w14:textId="77777777" w:rsidR="00314150" w:rsidRPr="0049221E" w:rsidRDefault="0049221E" w:rsidP="470E0B30">
      <w:pPr>
        <w:pStyle w:val="Encabezado"/>
        <w:tabs>
          <w:tab w:val="left" w:pos="6480"/>
        </w:tabs>
        <w:spacing w:line="264" w:lineRule="auto"/>
        <w:jc w:val="both"/>
        <w:rPr>
          <w:rFonts w:ascii="Verdana" w:hAnsi="Verdana" w:cs="Arial"/>
          <w:i/>
          <w:iCs/>
          <w:u w:val="single"/>
        </w:rPr>
      </w:pPr>
      <w:r w:rsidRPr="470E0B30">
        <w:rPr>
          <w:rFonts w:ascii="Verdana" w:hAnsi="Verdana" w:cs="Arial"/>
          <w:i/>
          <w:iCs/>
          <w:u w:val="single"/>
        </w:rPr>
        <w:t>Falta de legitimación en la causa por pasiva:</w:t>
      </w:r>
    </w:p>
    <w:p w14:paraId="7C92A32C" w14:textId="77777777" w:rsidR="00314150" w:rsidRPr="0049221E" w:rsidRDefault="00314150" w:rsidP="470E0B30">
      <w:pPr>
        <w:pStyle w:val="Encabezado"/>
        <w:tabs>
          <w:tab w:val="left" w:pos="6480"/>
        </w:tabs>
        <w:spacing w:line="264" w:lineRule="auto"/>
        <w:jc w:val="both"/>
        <w:rPr>
          <w:rFonts w:ascii="Verdana" w:hAnsi="Verdana" w:cs="Arial"/>
        </w:rPr>
      </w:pPr>
    </w:p>
    <w:p w14:paraId="208AB843" w14:textId="69571C21" w:rsidR="008B6C0A" w:rsidRDefault="0049221E" w:rsidP="353CD7C0">
      <w:pPr>
        <w:pStyle w:val="Encabezado"/>
        <w:tabs>
          <w:tab w:val="left" w:pos="6480"/>
        </w:tabs>
        <w:spacing w:line="264" w:lineRule="auto"/>
        <w:jc w:val="both"/>
        <w:rPr>
          <w:rFonts w:ascii="Verdana" w:hAnsi="Verdana" w:cs="Arial"/>
        </w:rPr>
      </w:pPr>
      <w:r w:rsidRPr="470E0B30">
        <w:rPr>
          <w:rFonts w:ascii="Verdana" w:hAnsi="Verdana" w:cs="Arial"/>
        </w:rPr>
        <w:t xml:space="preserve">Destacó </w:t>
      </w:r>
      <w:r w:rsidR="007C653E" w:rsidRPr="470E0B30">
        <w:rPr>
          <w:rFonts w:ascii="Verdana" w:hAnsi="Verdana" w:cs="Arial"/>
        </w:rPr>
        <w:t>que conforme fue propuest</w:t>
      </w:r>
      <w:r w:rsidR="78B8B9B8" w:rsidRPr="470E0B30">
        <w:rPr>
          <w:rFonts w:ascii="Verdana" w:hAnsi="Verdana" w:cs="Arial"/>
        </w:rPr>
        <w:t>o</w:t>
      </w:r>
      <w:r w:rsidR="007C653E" w:rsidRPr="470E0B30">
        <w:rPr>
          <w:rFonts w:ascii="Verdana" w:hAnsi="Verdana" w:cs="Arial"/>
        </w:rPr>
        <w:t xml:space="preserve"> el medio exceptivo por el Ministerio de Justicia y del Derecho, y por tratarse de la falta de legitimación material en la causa por pasiva</w:t>
      </w:r>
      <w:r w:rsidR="3707DC9E" w:rsidRPr="470E0B30">
        <w:rPr>
          <w:rFonts w:ascii="Verdana" w:hAnsi="Verdana" w:cs="Arial"/>
        </w:rPr>
        <w:t>,</w:t>
      </w:r>
      <w:r w:rsidR="007C653E" w:rsidRPr="470E0B30">
        <w:rPr>
          <w:rFonts w:ascii="Verdana" w:hAnsi="Verdana" w:cs="Arial"/>
        </w:rPr>
        <w:t xml:space="preserve"> siguiendo el criterio establecido en la jurisprudencia </w:t>
      </w:r>
      <w:r w:rsidR="4BC231AB" w:rsidRPr="470E0B30">
        <w:rPr>
          <w:rFonts w:ascii="Verdana" w:hAnsi="Verdana" w:cs="Arial"/>
        </w:rPr>
        <w:t>d</w:t>
      </w:r>
      <w:r w:rsidR="007C653E" w:rsidRPr="470E0B30">
        <w:rPr>
          <w:rFonts w:ascii="Verdana" w:hAnsi="Verdana" w:cs="Arial"/>
        </w:rPr>
        <w:t>el Consejo de Estado</w:t>
      </w:r>
      <w:r w:rsidR="23F525DF" w:rsidRPr="470E0B30">
        <w:rPr>
          <w:rFonts w:ascii="Verdana" w:hAnsi="Verdana" w:cs="Arial"/>
        </w:rPr>
        <w:t>,</w:t>
      </w:r>
      <w:r w:rsidR="007C653E" w:rsidRPr="470E0B30">
        <w:rPr>
          <w:rFonts w:ascii="Verdana" w:hAnsi="Verdana" w:cs="Arial"/>
        </w:rPr>
        <w:t xml:space="preserve"> consideró conveniente diferir su análisis para el momento de proferir la sentencia </w:t>
      </w:r>
      <w:r w:rsidR="008B1801" w:rsidRPr="470E0B30">
        <w:rPr>
          <w:rFonts w:ascii="Verdana" w:hAnsi="Verdana" w:cs="Arial"/>
        </w:rPr>
        <w:t xml:space="preserve">que en derecho corresponda, toda vez que se trata de un asunto cuya resolución implica determinar la responsabilidad de cada uno de los entes que conforman el extremo pasivo de la controversia y que dependerá de establecer si el demandante le asiste o no derecho </w:t>
      </w:r>
      <w:r w:rsidR="00EC2C01" w:rsidRPr="470E0B30">
        <w:rPr>
          <w:rFonts w:ascii="Verdana" w:hAnsi="Verdana" w:cs="Arial"/>
        </w:rPr>
        <w:t xml:space="preserve">a reconocimiento a los derechos reclamados. </w:t>
      </w:r>
    </w:p>
    <w:p w14:paraId="7CF37C39" w14:textId="23F18D19" w:rsidR="00FC47F9" w:rsidRDefault="00FC47F9" w:rsidP="353CD7C0">
      <w:pPr>
        <w:pStyle w:val="Encabezado"/>
        <w:tabs>
          <w:tab w:val="left" w:pos="6480"/>
        </w:tabs>
        <w:spacing w:line="264" w:lineRule="auto"/>
        <w:jc w:val="both"/>
        <w:rPr>
          <w:rFonts w:ascii="Verdana" w:hAnsi="Verdana" w:cs="Arial"/>
        </w:rPr>
      </w:pPr>
    </w:p>
    <w:p w14:paraId="34429516" w14:textId="0D55A997" w:rsidR="00FC47F9" w:rsidRDefault="00FC47F9" w:rsidP="353CD7C0">
      <w:pPr>
        <w:pStyle w:val="Encabezado"/>
        <w:tabs>
          <w:tab w:val="left" w:pos="6480"/>
        </w:tabs>
        <w:spacing w:line="264" w:lineRule="auto"/>
        <w:jc w:val="both"/>
        <w:rPr>
          <w:rFonts w:ascii="Verdana" w:hAnsi="Verdana"/>
        </w:rPr>
      </w:pPr>
      <w:r w:rsidRPr="470E0B30">
        <w:rPr>
          <w:rFonts w:ascii="Verdana" w:hAnsi="Verdana" w:cs="Arial"/>
        </w:rPr>
        <w:t>Adicionalmente, señaló que</w:t>
      </w:r>
      <w:r w:rsidR="375D9EEA" w:rsidRPr="470E0B30">
        <w:rPr>
          <w:rFonts w:ascii="Verdana" w:hAnsi="Verdana" w:cs="Arial"/>
        </w:rPr>
        <w:t>,</w:t>
      </w:r>
      <w:r w:rsidRPr="470E0B30">
        <w:rPr>
          <w:rFonts w:ascii="Verdana" w:hAnsi="Verdana" w:cs="Arial"/>
        </w:rPr>
        <w:t xml:space="preserve"> conforme la jurisprudencial del Consejo de Estado</w:t>
      </w:r>
      <w:r w:rsidR="3C0D9E8D" w:rsidRPr="470E0B30">
        <w:rPr>
          <w:rFonts w:ascii="Verdana" w:hAnsi="Verdana" w:cs="Arial"/>
        </w:rPr>
        <w:t>,</w:t>
      </w:r>
      <w:r w:rsidRPr="470E0B30">
        <w:rPr>
          <w:rFonts w:ascii="Verdana" w:hAnsi="Verdana" w:cs="Arial"/>
        </w:rPr>
        <w:t xml:space="preserve"> la</w:t>
      </w:r>
      <w:r w:rsidRPr="470E0B30">
        <w:rPr>
          <w:rFonts w:ascii="Verdana" w:hAnsi="Verdana"/>
        </w:rPr>
        <w:t xml:space="preserve"> legitimación en la causa puede ser de hecho o puede ser material</w:t>
      </w:r>
      <w:r w:rsidR="255AD458" w:rsidRPr="470E0B30">
        <w:rPr>
          <w:rFonts w:ascii="Verdana" w:hAnsi="Verdana"/>
        </w:rPr>
        <w:t>,</w:t>
      </w:r>
      <w:r w:rsidRPr="470E0B30">
        <w:rPr>
          <w:rFonts w:ascii="Verdana" w:hAnsi="Verdana"/>
        </w:rPr>
        <w:t xml:space="preserve"> siendo la primera aquella relación que se establece entre las partes por razón de la pretensión procesal</w:t>
      </w:r>
      <w:r w:rsidR="332C3C2C" w:rsidRPr="470E0B30">
        <w:rPr>
          <w:rFonts w:ascii="Verdana" w:hAnsi="Verdana"/>
        </w:rPr>
        <w:t>,</w:t>
      </w:r>
      <w:r w:rsidRPr="470E0B30">
        <w:rPr>
          <w:rFonts w:ascii="Verdana" w:hAnsi="Verdana"/>
        </w:rPr>
        <w:t xml:space="preserve"> es decir</w:t>
      </w:r>
      <w:r w:rsidR="09B9A473" w:rsidRPr="470E0B30">
        <w:rPr>
          <w:rFonts w:ascii="Verdana" w:hAnsi="Verdana"/>
        </w:rPr>
        <w:t>,</w:t>
      </w:r>
      <w:r w:rsidRPr="470E0B30">
        <w:rPr>
          <w:rFonts w:ascii="Verdana" w:hAnsi="Verdana"/>
        </w:rPr>
        <w:t xml:space="preserve"> de la atribución de una conducta que el demandante hace al demandado en su demanda</w:t>
      </w:r>
      <w:r w:rsidR="6FD201E9" w:rsidRPr="470E0B30">
        <w:rPr>
          <w:rFonts w:ascii="Verdana" w:hAnsi="Verdana"/>
        </w:rPr>
        <w:t>;</w:t>
      </w:r>
      <w:r w:rsidRPr="470E0B30">
        <w:rPr>
          <w:rFonts w:ascii="Verdana" w:hAnsi="Verdana"/>
        </w:rPr>
        <w:t xml:space="preserve"> mientras que la segunda corresponde a la participación real de las personas en el hecho origen de la formulación de la demanda independientemente de que dichas personas o hayan demandado o que hayan sido demandadas, por lo cual la ausencia de esta última clase de legitimación por activa o por pasiva, no constituye una excepción de fondo porque no enerva la pretensión procesal en su contenido.</w:t>
      </w:r>
    </w:p>
    <w:p w14:paraId="31A2189D" w14:textId="77777777" w:rsidR="00FC47F9" w:rsidRDefault="00FC47F9" w:rsidP="353CD7C0">
      <w:pPr>
        <w:pStyle w:val="Encabezado"/>
        <w:tabs>
          <w:tab w:val="left" w:pos="6480"/>
        </w:tabs>
        <w:spacing w:line="264" w:lineRule="auto"/>
        <w:jc w:val="both"/>
        <w:rPr>
          <w:rFonts w:ascii="Verdana" w:hAnsi="Verdana"/>
        </w:rPr>
      </w:pPr>
    </w:p>
    <w:p w14:paraId="7D50BFA7" w14:textId="2CC85163" w:rsidR="00FC47F9" w:rsidRDefault="00FC47F9" w:rsidP="353CD7C0">
      <w:pPr>
        <w:pStyle w:val="Encabezado"/>
        <w:tabs>
          <w:tab w:val="left" w:pos="6480"/>
        </w:tabs>
        <w:spacing w:line="264" w:lineRule="auto"/>
        <w:jc w:val="both"/>
        <w:rPr>
          <w:rFonts w:ascii="Verdana" w:hAnsi="Verdana"/>
        </w:rPr>
      </w:pPr>
      <w:r w:rsidRPr="470E0B30">
        <w:rPr>
          <w:rFonts w:ascii="Verdana" w:hAnsi="Verdana"/>
        </w:rPr>
        <w:t>En ese sentido, precisó que en el caso de marras la legitimación de hecho está plenamente demostrada frente a la e</w:t>
      </w:r>
      <w:r w:rsidR="6489C91D" w:rsidRPr="470E0B30">
        <w:rPr>
          <w:rFonts w:ascii="Verdana" w:hAnsi="Verdana"/>
        </w:rPr>
        <w:t xml:space="preserve">ntidad excepcionante </w:t>
      </w:r>
      <w:r w:rsidRPr="470E0B30">
        <w:rPr>
          <w:rFonts w:ascii="Verdana" w:hAnsi="Verdana"/>
        </w:rPr>
        <w:t>habida cuenta que obra dentro del proceso en calidad de demandada</w:t>
      </w:r>
      <w:r w:rsidR="6182E7D4" w:rsidRPr="470E0B30">
        <w:rPr>
          <w:rFonts w:ascii="Verdana" w:hAnsi="Verdana"/>
        </w:rPr>
        <w:t>,</w:t>
      </w:r>
      <w:r w:rsidRPr="470E0B30">
        <w:rPr>
          <w:rFonts w:ascii="Verdana" w:hAnsi="Verdana"/>
        </w:rPr>
        <w:t xml:space="preserve"> pues a través del auto del 21 de junio de 2018 fue admitida la demanda contra el </w:t>
      </w:r>
      <w:r w:rsidR="6B008573" w:rsidRPr="470E0B30">
        <w:rPr>
          <w:rFonts w:ascii="Verdana" w:hAnsi="Verdana"/>
        </w:rPr>
        <w:t>referido M</w:t>
      </w:r>
      <w:r w:rsidRPr="470E0B30">
        <w:rPr>
          <w:rFonts w:ascii="Verdana" w:hAnsi="Verdana"/>
        </w:rPr>
        <w:t>inisterio, tal como consta a folio 92 a 94 y la decisión fue debidamente notificada a las partes mediante estado. Ahora, sobre la legitimación material</w:t>
      </w:r>
      <w:r w:rsidR="29111291" w:rsidRPr="470E0B30">
        <w:rPr>
          <w:rFonts w:ascii="Verdana" w:hAnsi="Verdana"/>
        </w:rPr>
        <w:t>,</w:t>
      </w:r>
      <w:r w:rsidRPr="470E0B30">
        <w:rPr>
          <w:rFonts w:ascii="Verdana" w:hAnsi="Verdana"/>
        </w:rPr>
        <w:t xml:space="preserve"> siguiendo el criterio jurisprudencial</w:t>
      </w:r>
      <w:r w:rsidR="1122647E" w:rsidRPr="470E0B30">
        <w:rPr>
          <w:rFonts w:ascii="Verdana" w:hAnsi="Verdana"/>
        </w:rPr>
        <w:t>,</w:t>
      </w:r>
      <w:r w:rsidRPr="470E0B30">
        <w:rPr>
          <w:rFonts w:ascii="Verdana" w:hAnsi="Verdana"/>
        </w:rPr>
        <w:t xml:space="preserve"> difi</w:t>
      </w:r>
      <w:r w:rsidR="4AE11A14" w:rsidRPr="470E0B30">
        <w:rPr>
          <w:rFonts w:ascii="Verdana" w:hAnsi="Verdana"/>
        </w:rPr>
        <w:t>rió</w:t>
      </w:r>
      <w:r w:rsidRPr="470E0B30">
        <w:rPr>
          <w:rFonts w:ascii="Verdana" w:hAnsi="Verdana"/>
        </w:rPr>
        <w:t xml:space="preserve"> su análisis para el momento de proferir la </w:t>
      </w:r>
      <w:r w:rsidRPr="470E0B30">
        <w:rPr>
          <w:rFonts w:ascii="Verdana" w:hAnsi="Verdana"/>
        </w:rPr>
        <w:lastRenderedPageBreak/>
        <w:t xml:space="preserve">sentencia que en derecho corresponda, toda vez que se trata de un asunto cuya resolución implica determinar la responsabilidad de cada uno de los entes que conforman el extremo pasivo de la Litis en el asunto de la referencia, lo cual a su vez dependerá de si el demandante tiene o no derecho al reconocimiento de los derechos </w:t>
      </w:r>
      <w:r w:rsidR="006269B4" w:rsidRPr="470E0B30">
        <w:rPr>
          <w:rFonts w:ascii="Verdana" w:hAnsi="Verdana"/>
        </w:rPr>
        <w:t>que reclama.</w:t>
      </w:r>
      <w:r w:rsidRPr="470E0B30">
        <w:rPr>
          <w:rFonts w:ascii="Verdana" w:hAnsi="Verdana"/>
        </w:rPr>
        <w:t xml:space="preserve"> </w:t>
      </w:r>
    </w:p>
    <w:p w14:paraId="1C4BE437" w14:textId="77777777" w:rsidR="00FC47F9" w:rsidRDefault="00FC47F9" w:rsidP="353CD7C0">
      <w:pPr>
        <w:pStyle w:val="Encabezado"/>
        <w:tabs>
          <w:tab w:val="left" w:pos="6480"/>
        </w:tabs>
        <w:spacing w:line="264" w:lineRule="auto"/>
        <w:jc w:val="both"/>
        <w:rPr>
          <w:rFonts w:ascii="Verdana" w:hAnsi="Verdana"/>
        </w:rPr>
      </w:pPr>
    </w:p>
    <w:p w14:paraId="5B3938DF" w14:textId="59A263A7" w:rsidR="00FC47F9" w:rsidRPr="00FC47F9" w:rsidRDefault="00FC47F9" w:rsidP="353CD7C0">
      <w:pPr>
        <w:pStyle w:val="Encabezado"/>
        <w:tabs>
          <w:tab w:val="left" w:pos="6480"/>
        </w:tabs>
        <w:spacing w:line="264" w:lineRule="auto"/>
        <w:jc w:val="both"/>
        <w:rPr>
          <w:rFonts w:ascii="Verdana" w:hAnsi="Verdana" w:cs="Arial"/>
        </w:rPr>
      </w:pPr>
      <w:r w:rsidRPr="31314C33">
        <w:rPr>
          <w:rFonts w:ascii="Verdana" w:hAnsi="Verdana"/>
        </w:rPr>
        <w:t xml:space="preserve">Por lo anterior, manifestó que se </w:t>
      </w:r>
      <w:r w:rsidR="00736310" w:rsidRPr="31314C33">
        <w:rPr>
          <w:rFonts w:ascii="Verdana" w:hAnsi="Verdana"/>
        </w:rPr>
        <w:t>abstendría</w:t>
      </w:r>
      <w:r w:rsidRPr="31314C33">
        <w:rPr>
          <w:rFonts w:ascii="Verdana" w:hAnsi="Verdana"/>
        </w:rPr>
        <w:t xml:space="preserve"> de resolver en ese momento procesal la excepción formulada por el Ministerio de Justicia y Derecho </w:t>
      </w:r>
      <w:r w:rsidR="19CAE3B3" w:rsidRPr="31314C33">
        <w:rPr>
          <w:rFonts w:ascii="Verdana" w:hAnsi="Verdana"/>
        </w:rPr>
        <w:t xml:space="preserve">para ser decidida </w:t>
      </w:r>
      <w:r w:rsidRPr="31314C33">
        <w:rPr>
          <w:rFonts w:ascii="Verdana" w:hAnsi="Verdana"/>
        </w:rPr>
        <w:t>al momento de proferir la sentencia que en derecho corresponda.</w:t>
      </w:r>
    </w:p>
    <w:p w14:paraId="1A3CE77E" w14:textId="56CCD00E" w:rsidR="31314C33" w:rsidRDefault="31314C33" w:rsidP="31314C33">
      <w:pPr>
        <w:pStyle w:val="Encabezado"/>
        <w:spacing w:line="264" w:lineRule="auto"/>
        <w:jc w:val="both"/>
        <w:rPr>
          <w:rFonts w:ascii="Verdana" w:hAnsi="Verdana" w:cs="Arial"/>
        </w:rPr>
      </w:pPr>
    </w:p>
    <w:p w14:paraId="6A588092" w14:textId="50F3122D" w:rsidR="4A42D21A" w:rsidRDefault="4A42D21A" w:rsidP="470E0B30">
      <w:pPr>
        <w:pStyle w:val="Encabezado"/>
        <w:spacing w:line="264" w:lineRule="auto"/>
        <w:jc w:val="both"/>
      </w:pPr>
      <w:r w:rsidRPr="470E0B30">
        <w:rPr>
          <w:rFonts w:ascii="Verdana" w:hAnsi="Verdana" w:cs="Arial"/>
          <w:b/>
          <w:bCs/>
        </w:rPr>
        <w:t>I.3. El recurso de queja.</w:t>
      </w:r>
    </w:p>
    <w:p w14:paraId="1E8503FC" w14:textId="77AAF1B9" w:rsidR="00F25DB3" w:rsidRDefault="00F25DB3" w:rsidP="353CD7C0">
      <w:pPr>
        <w:pStyle w:val="Encabezado"/>
        <w:tabs>
          <w:tab w:val="left" w:pos="6480"/>
        </w:tabs>
        <w:spacing w:line="264" w:lineRule="auto"/>
        <w:jc w:val="both"/>
        <w:rPr>
          <w:rFonts w:ascii="Verdana" w:hAnsi="Verdana" w:cs="Arial"/>
          <w:b/>
          <w:bCs/>
        </w:rPr>
      </w:pPr>
    </w:p>
    <w:p w14:paraId="74084F9F" w14:textId="7588B151" w:rsidR="00013DBC" w:rsidRPr="00013DBC" w:rsidRDefault="00013DBC" w:rsidP="353CD7C0">
      <w:pPr>
        <w:spacing w:line="264" w:lineRule="auto"/>
        <w:jc w:val="both"/>
        <w:rPr>
          <w:rFonts w:ascii="Verdana" w:hAnsi="Verdana" w:cs="Tahoma"/>
        </w:rPr>
      </w:pPr>
      <w:r w:rsidRPr="470E0B30">
        <w:rPr>
          <w:rFonts w:ascii="Verdana" w:hAnsi="Verdana" w:cs="Arial"/>
        </w:rPr>
        <w:t xml:space="preserve">La apoderada del Ministerio del Interior y del Derecho-demandado- </w:t>
      </w:r>
      <w:r w:rsidRPr="470E0B30">
        <w:rPr>
          <w:rFonts w:ascii="Verdana" w:hAnsi="Verdana" w:cs="Tahoma"/>
        </w:rPr>
        <w:t xml:space="preserve">presentó recurso de queja ante la negativa del juez de instancia de conceder por improcedente el recurso de apelación que propuso contra la decisión de diferir la solución de la excepción de falta de la legitimación en la causa por pasiva. Pues a su juicio, es la oportunidad </w:t>
      </w:r>
      <w:r w:rsidR="00A028D3" w:rsidRPr="470E0B30">
        <w:rPr>
          <w:rFonts w:ascii="Verdana" w:hAnsi="Verdana" w:cs="Tahoma"/>
        </w:rPr>
        <w:t xml:space="preserve">para que el A quo resuelva </w:t>
      </w:r>
      <w:r w:rsidR="008C1F65" w:rsidRPr="470E0B30">
        <w:rPr>
          <w:rFonts w:ascii="Verdana" w:hAnsi="Verdana" w:cs="Tahoma"/>
        </w:rPr>
        <w:t xml:space="preserve">favorablemente </w:t>
      </w:r>
      <w:r w:rsidR="00A028D3" w:rsidRPr="470E0B30">
        <w:rPr>
          <w:rFonts w:ascii="Verdana" w:hAnsi="Verdana" w:cs="Tahoma"/>
        </w:rPr>
        <w:t xml:space="preserve">la excepción planteada, puesto que no tiene </w:t>
      </w:r>
      <w:r w:rsidRPr="470E0B30">
        <w:rPr>
          <w:rFonts w:ascii="Verdana" w:hAnsi="Verdana"/>
        </w:rPr>
        <w:t>ningún vínculo con las pretensiones de la demanda</w:t>
      </w:r>
      <w:r w:rsidR="00A028D3" w:rsidRPr="470E0B30">
        <w:rPr>
          <w:rFonts w:ascii="Verdana" w:hAnsi="Verdana"/>
        </w:rPr>
        <w:t>, por ende, no</w:t>
      </w:r>
      <w:r w:rsidRPr="470E0B30">
        <w:rPr>
          <w:rFonts w:ascii="Verdana" w:hAnsi="Verdana"/>
        </w:rPr>
        <w:t xml:space="preserve"> puede continuar </w:t>
      </w:r>
      <w:r w:rsidR="00A028D3" w:rsidRPr="470E0B30">
        <w:rPr>
          <w:rFonts w:ascii="Verdana" w:hAnsi="Verdana"/>
        </w:rPr>
        <w:t xml:space="preserve">en el trámite </w:t>
      </w:r>
      <w:r w:rsidRPr="470E0B30">
        <w:rPr>
          <w:rFonts w:ascii="Verdana" w:hAnsi="Verdana"/>
        </w:rPr>
        <w:t>del proceso</w:t>
      </w:r>
      <w:r w:rsidR="008C1F65" w:rsidRPr="470E0B30">
        <w:rPr>
          <w:rFonts w:ascii="Verdana" w:hAnsi="Verdana"/>
        </w:rPr>
        <w:t>, máxime si el único acto administrativo Decreto Ley 898 de 2017 que lo mantenía unido a las pretensiones de la demanda fue excluido del litigio</w:t>
      </w:r>
      <w:r w:rsidRPr="470E0B30">
        <w:rPr>
          <w:rFonts w:ascii="Verdana" w:hAnsi="Verdana"/>
        </w:rPr>
        <w:t>.</w:t>
      </w:r>
    </w:p>
    <w:p w14:paraId="65CF3302" w14:textId="77777777" w:rsidR="00F25DB3" w:rsidRPr="0009303B" w:rsidRDefault="00F25DB3" w:rsidP="353CD7C0">
      <w:pPr>
        <w:pStyle w:val="Encabezado"/>
        <w:tabs>
          <w:tab w:val="left" w:pos="6480"/>
        </w:tabs>
        <w:spacing w:line="264" w:lineRule="auto"/>
        <w:jc w:val="both"/>
        <w:rPr>
          <w:rFonts w:ascii="Verdana" w:hAnsi="Verdana" w:cs="Arial"/>
          <w:b/>
          <w:bCs/>
        </w:rPr>
      </w:pPr>
    </w:p>
    <w:p w14:paraId="372B0FB9" w14:textId="77777777" w:rsidR="00F1634F" w:rsidRPr="0009303B" w:rsidRDefault="00F1634F" w:rsidP="470E0B30">
      <w:pPr>
        <w:pStyle w:val="Encabezado"/>
        <w:numPr>
          <w:ilvl w:val="0"/>
          <w:numId w:val="1"/>
        </w:numPr>
        <w:tabs>
          <w:tab w:val="left" w:pos="6480"/>
        </w:tabs>
        <w:overflowPunct w:val="0"/>
        <w:autoSpaceDE w:val="0"/>
        <w:autoSpaceDN w:val="0"/>
        <w:adjustRightInd w:val="0"/>
        <w:spacing w:line="264" w:lineRule="auto"/>
        <w:jc w:val="center"/>
        <w:textAlignment w:val="baseline"/>
        <w:rPr>
          <w:rFonts w:ascii="Verdana" w:hAnsi="Verdana" w:cs="Arial"/>
          <w:b/>
          <w:bCs/>
          <w:sz w:val="26"/>
          <w:szCs w:val="26"/>
        </w:rPr>
      </w:pPr>
      <w:r w:rsidRPr="31314C33">
        <w:rPr>
          <w:rFonts w:ascii="Verdana" w:hAnsi="Verdana" w:cs="Arial"/>
          <w:b/>
          <w:bCs/>
          <w:sz w:val="26"/>
          <w:szCs w:val="26"/>
        </w:rPr>
        <w:t xml:space="preserve">CONSIDERACIONES </w:t>
      </w:r>
    </w:p>
    <w:p w14:paraId="4F2973FC" w14:textId="77777777" w:rsidR="00F434D6" w:rsidRDefault="00F434D6" w:rsidP="353CD7C0">
      <w:pPr>
        <w:spacing w:line="264" w:lineRule="auto"/>
        <w:jc w:val="both"/>
        <w:rPr>
          <w:rFonts w:ascii="Verdana" w:hAnsi="Verdana" w:cs="Arial"/>
          <w:b/>
          <w:bCs/>
        </w:rPr>
      </w:pPr>
    </w:p>
    <w:p w14:paraId="0C703076" w14:textId="57F7EC8A" w:rsidR="00F434D6" w:rsidRDefault="00013DBC" w:rsidP="353CD7C0">
      <w:pPr>
        <w:spacing w:line="264" w:lineRule="auto"/>
        <w:jc w:val="both"/>
        <w:rPr>
          <w:rFonts w:ascii="Verdana" w:hAnsi="Verdana" w:cs="Arial"/>
          <w:b/>
          <w:bCs/>
        </w:rPr>
      </w:pPr>
      <w:r w:rsidRPr="470E0B30">
        <w:rPr>
          <w:rFonts w:ascii="Verdana" w:hAnsi="Verdana" w:cs="Arial"/>
          <w:b/>
          <w:bCs/>
        </w:rPr>
        <w:t>II.1. P</w:t>
      </w:r>
      <w:r w:rsidR="0ECA1B8E" w:rsidRPr="470E0B30">
        <w:rPr>
          <w:rFonts w:ascii="Verdana" w:hAnsi="Verdana" w:cs="Arial"/>
          <w:b/>
          <w:bCs/>
        </w:rPr>
        <w:t>lanteamiento del problema jurídico.</w:t>
      </w:r>
    </w:p>
    <w:p w14:paraId="1371F062" w14:textId="151FABBB" w:rsidR="00013DBC" w:rsidRDefault="00013DBC" w:rsidP="353CD7C0">
      <w:pPr>
        <w:spacing w:line="264" w:lineRule="auto"/>
        <w:jc w:val="both"/>
        <w:rPr>
          <w:rFonts w:ascii="Verdana" w:hAnsi="Verdana" w:cs="Arial"/>
          <w:b/>
          <w:bCs/>
        </w:rPr>
      </w:pPr>
    </w:p>
    <w:p w14:paraId="7B0BED63" w14:textId="4E636D61" w:rsidR="00013DBC" w:rsidRDefault="00013DBC" w:rsidP="353CD7C0">
      <w:pPr>
        <w:spacing w:line="264" w:lineRule="auto"/>
        <w:jc w:val="both"/>
        <w:rPr>
          <w:rFonts w:ascii="Verdana" w:hAnsi="Verdana" w:cs="Arial"/>
        </w:rPr>
      </w:pPr>
      <w:r w:rsidRPr="353CD7C0">
        <w:rPr>
          <w:rFonts w:ascii="Verdana" w:hAnsi="Verdana" w:cs="Arial"/>
        </w:rPr>
        <w:t xml:space="preserve">Conforme las actuaciones procesales antes mencionadas, el Despacho </w:t>
      </w:r>
      <w:r w:rsidR="00A25AAB" w:rsidRPr="353CD7C0">
        <w:rPr>
          <w:rFonts w:ascii="Verdana" w:hAnsi="Verdana" w:cs="Arial"/>
        </w:rPr>
        <w:t xml:space="preserve">le corresponde resolver </w:t>
      </w:r>
      <w:r w:rsidRPr="353CD7C0">
        <w:rPr>
          <w:rFonts w:ascii="Verdana" w:hAnsi="Verdana" w:cs="Arial"/>
        </w:rPr>
        <w:t>el siguiente cuestionamiento:</w:t>
      </w:r>
    </w:p>
    <w:p w14:paraId="18E37371" w14:textId="68D07A75" w:rsidR="00013DBC" w:rsidRDefault="00013DBC" w:rsidP="353CD7C0">
      <w:pPr>
        <w:spacing w:line="264" w:lineRule="auto"/>
        <w:jc w:val="both"/>
        <w:rPr>
          <w:rFonts w:ascii="Verdana" w:hAnsi="Verdana" w:cs="Arial"/>
        </w:rPr>
      </w:pPr>
    </w:p>
    <w:p w14:paraId="20F6D47D" w14:textId="33A40ED4" w:rsidR="00013DBC" w:rsidRPr="00013DBC" w:rsidRDefault="00013DBC" w:rsidP="470E0B30">
      <w:pPr>
        <w:spacing w:line="264" w:lineRule="auto"/>
        <w:jc w:val="both"/>
        <w:rPr>
          <w:rFonts w:ascii="Verdana" w:hAnsi="Verdana" w:cs="Arial"/>
          <w:i/>
          <w:iCs/>
        </w:rPr>
      </w:pPr>
      <w:r w:rsidRPr="470E0B30">
        <w:rPr>
          <w:rFonts w:ascii="Verdana" w:hAnsi="Verdana" w:cs="Arial"/>
          <w:i/>
          <w:iCs/>
        </w:rPr>
        <w:t>¿</w:t>
      </w:r>
      <w:r w:rsidR="00A25AAB" w:rsidRPr="470E0B30">
        <w:rPr>
          <w:rFonts w:ascii="Verdana" w:hAnsi="Verdana" w:cs="Arial"/>
          <w:i/>
          <w:iCs/>
        </w:rPr>
        <w:t>Se estim</w:t>
      </w:r>
      <w:r w:rsidR="47086A5B" w:rsidRPr="470E0B30">
        <w:rPr>
          <w:rFonts w:ascii="Verdana" w:hAnsi="Verdana" w:cs="Arial"/>
          <w:i/>
          <w:iCs/>
        </w:rPr>
        <w:t>ó</w:t>
      </w:r>
      <w:r w:rsidR="00A25AAB" w:rsidRPr="470E0B30">
        <w:rPr>
          <w:rFonts w:ascii="Verdana" w:hAnsi="Verdana" w:cs="Arial"/>
          <w:i/>
          <w:iCs/>
        </w:rPr>
        <w:t xml:space="preserve"> </w:t>
      </w:r>
      <w:r w:rsidRPr="470E0B30">
        <w:rPr>
          <w:rFonts w:ascii="Verdana" w:hAnsi="Verdana" w:cs="Arial"/>
          <w:i/>
          <w:iCs/>
        </w:rPr>
        <w:t xml:space="preserve">bien o mal </w:t>
      </w:r>
      <w:r w:rsidR="58AB0764" w:rsidRPr="470E0B30">
        <w:rPr>
          <w:rFonts w:ascii="Verdana" w:hAnsi="Verdana" w:cs="Arial"/>
          <w:i/>
          <w:iCs/>
        </w:rPr>
        <w:t xml:space="preserve">denegado </w:t>
      </w:r>
      <w:r w:rsidRPr="470E0B30">
        <w:rPr>
          <w:rFonts w:ascii="Verdana" w:hAnsi="Verdana" w:cs="Arial"/>
          <w:i/>
          <w:iCs/>
        </w:rPr>
        <w:t xml:space="preserve">el recurso de apelación que formuló el </w:t>
      </w:r>
      <w:r w:rsidR="5E4B0861" w:rsidRPr="470E0B30">
        <w:rPr>
          <w:rFonts w:ascii="Verdana" w:hAnsi="Verdana" w:cs="Arial"/>
          <w:i/>
          <w:iCs/>
        </w:rPr>
        <w:t xml:space="preserve">Ministerio de Justicia y del Derecho </w:t>
      </w:r>
      <w:r w:rsidRPr="470E0B30">
        <w:rPr>
          <w:rFonts w:ascii="Verdana" w:hAnsi="Verdana" w:cs="Arial"/>
          <w:i/>
          <w:iCs/>
        </w:rPr>
        <w:t xml:space="preserve">contra </w:t>
      </w:r>
      <w:r w:rsidR="00145DAD" w:rsidRPr="470E0B30">
        <w:rPr>
          <w:rFonts w:ascii="Verdana" w:hAnsi="Verdana" w:cs="Arial"/>
          <w:i/>
          <w:iCs/>
        </w:rPr>
        <w:t xml:space="preserve">el auto de 12 de marzo de 2019 proferido </w:t>
      </w:r>
      <w:r w:rsidRPr="470E0B30">
        <w:rPr>
          <w:rFonts w:ascii="Verdana" w:hAnsi="Verdana" w:cs="Arial"/>
          <w:i/>
          <w:iCs/>
        </w:rPr>
        <w:t xml:space="preserve">por el A quo </w:t>
      </w:r>
      <w:r w:rsidR="00145DAD" w:rsidRPr="470E0B30">
        <w:rPr>
          <w:rFonts w:ascii="Verdana" w:hAnsi="Verdana" w:cs="Arial"/>
          <w:i/>
          <w:iCs/>
        </w:rPr>
        <w:t>que difirió</w:t>
      </w:r>
      <w:r w:rsidRPr="470E0B30">
        <w:rPr>
          <w:rFonts w:ascii="Verdana" w:hAnsi="Verdana" w:cs="Arial"/>
          <w:i/>
          <w:iCs/>
        </w:rPr>
        <w:t xml:space="preserve"> la decisión de la excepción de la falta de legitimación en la causa por pasiva</w:t>
      </w:r>
      <w:r w:rsidR="00145DAD" w:rsidRPr="470E0B30">
        <w:rPr>
          <w:rFonts w:ascii="Verdana" w:hAnsi="Verdana" w:cs="Arial"/>
          <w:i/>
          <w:iCs/>
        </w:rPr>
        <w:t xml:space="preserve"> al fondo del asunto</w:t>
      </w:r>
      <w:r w:rsidRPr="470E0B30">
        <w:rPr>
          <w:rFonts w:ascii="Verdana" w:hAnsi="Verdana" w:cs="Arial"/>
          <w:i/>
          <w:iCs/>
        </w:rPr>
        <w:t>?</w:t>
      </w:r>
    </w:p>
    <w:p w14:paraId="60D618E3" w14:textId="629A948D" w:rsidR="00F434D6" w:rsidRDefault="00F434D6" w:rsidP="470E0B30">
      <w:pPr>
        <w:spacing w:line="264" w:lineRule="auto"/>
        <w:jc w:val="both"/>
        <w:rPr>
          <w:rFonts w:ascii="Verdana" w:hAnsi="Verdana" w:cs="Arial"/>
          <w:b/>
          <w:bCs/>
          <w:i/>
          <w:iCs/>
        </w:rPr>
      </w:pPr>
    </w:p>
    <w:p w14:paraId="495DE485" w14:textId="38C3AB1D" w:rsidR="00287024" w:rsidRDefault="00287024" w:rsidP="470E0B30">
      <w:pPr>
        <w:spacing w:line="264" w:lineRule="auto"/>
        <w:jc w:val="both"/>
        <w:rPr>
          <w:rFonts w:ascii="Verdana" w:hAnsi="Verdana" w:cs="Arial"/>
        </w:rPr>
      </w:pPr>
      <w:r w:rsidRPr="470E0B30">
        <w:rPr>
          <w:rFonts w:ascii="Verdana" w:hAnsi="Verdana" w:cs="Arial"/>
        </w:rPr>
        <w:t>Para el Despacho</w:t>
      </w:r>
      <w:r w:rsidR="478C9C7D" w:rsidRPr="470E0B30">
        <w:rPr>
          <w:rFonts w:ascii="Verdana" w:hAnsi="Verdana" w:cs="Arial"/>
        </w:rPr>
        <w:t>,</w:t>
      </w:r>
      <w:r w:rsidRPr="470E0B30">
        <w:rPr>
          <w:rFonts w:ascii="Verdana" w:hAnsi="Verdana" w:cs="Arial"/>
        </w:rPr>
        <w:t xml:space="preserve"> se estim</w:t>
      </w:r>
      <w:r w:rsidR="590D29A6" w:rsidRPr="470E0B30">
        <w:rPr>
          <w:rFonts w:ascii="Verdana" w:hAnsi="Verdana" w:cs="Arial"/>
        </w:rPr>
        <w:t>a</w:t>
      </w:r>
      <w:r w:rsidRPr="470E0B30">
        <w:rPr>
          <w:rFonts w:ascii="Verdana" w:hAnsi="Verdana" w:cs="Arial"/>
        </w:rPr>
        <w:t xml:space="preserve"> bien </w:t>
      </w:r>
      <w:r w:rsidR="5CB2D0DA" w:rsidRPr="470E0B30">
        <w:rPr>
          <w:rFonts w:ascii="Verdana" w:hAnsi="Verdana" w:cs="Arial"/>
        </w:rPr>
        <w:t xml:space="preserve">denegado </w:t>
      </w:r>
      <w:r w:rsidRPr="470E0B30">
        <w:rPr>
          <w:rFonts w:ascii="Verdana" w:hAnsi="Verdana" w:cs="Arial"/>
        </w:rPr>
        <w:t xml:space="preserve">el recurso de apelación, como quiera que no existió pronunciamiento de fondo por parte del Juez de Instancia sobre la excepción formulada </w:t>
      </w:r>
      <w:r w:rsidR="006041D3">
        <w:rPr>
          <w:rFonts w:ascii="Verdana" w:hAnsi="Verdana" w:cs="Arial"/>
        </w:rPr>
        <w:t xml:space="preserve">en tanto </w:t>
      </w:r>
      <w:r w:rsidR="00DE1524" w:rsidRPr="470E0B30">
        <w:rPr>
          <w:rFonts w:ascii="Verdana" w:hAnsi="Verdana" w:cs="Arial"/>
        </w:rPr>
        <w:t xml:space="preserve">que su </w:t>
      </w:r>
      <w:r w:rsidRPr="470E0B30">
        <w:rPr>
          <w:rFonts w:ascii="Verdana" w:hAnsi="Verdana" w:cs="Arial"/>
        </w:rPr>
        <w:t>decisión se difirió a la sentencia</w:t>
      </w:r>
      <w:r w:rsidR="0C13E5F1" w:rsidRPr="470E0B30">
        <w:rPr>
          <w:rFonts w:ascii="Verdana" w:hAnsi="Verdana" w:cs="Arial"/>
        </w:rPr>
        <w:t>.</w:t>
      </w:r>
    </w:p>
    <w:p w14:paraId="4FDB52DC" w14:textId="2C06A0EC" w:rsidR="00013DBC" w:rsidRDefault="00013DBC" w:rsidP="353CD7C0">
      <w:pPr>
        <w:spacing w:line="264" w:lineRule="auto"/>
        <w:jc w:val="both"/>
        <w:rPr>
          <w:rFonts w:ascii="Verdana" w:hAnsi="Verdana" w:cs="Arial"/>
          <w:b/>
          <w:bCs/>
        </w:rPr>
      </w:pPr>
    </w:p>
    <w:p w14:paraId="3782F2C0" w14:textId="54A91B07" w:rsidR="00C56D0E" w:rsidRDefault="00C56D0E" w:rsidP="353CD7C0">
      <w:pPr>
        <w:pStyle w:val="Sangradetextonormal"/>
        <w:spacing w:after="0" w:line="264" w:lineRule="auto"/>
        <w:ind w:left="0"/>
        <w:jc w:val="both"/>
        <w:rPr>
          <w:rFonts w:ascii="Verdana" w:hAnsi="Verdana" w:cs="Tahoma"/>
          <w:lang w:val="es-CO"/>
        </w:rPr>
      </w:pPr>
      <w:r w:rsidRPr="470E0B30">
        <w:rPr>
          <w:rFonts w:ascii="Verdana" w:hAnsi="Verdana" w:cs="Arial"/>
        </w:rPr>
        <w:t xml:space="preserve">Para efectos de abordar el estudio del problema jurídico formulado, la Sala realizará el siguiente estudio: </w:t>
      </w:r>
      <w:r w:rsidRPr="470E0B30">
        <w:rPr>
          <w:rFonts w:ascii="Verdana" w:hAnsi="Verdana" w:cs="Arial"/>
          <w:b/>
          <w:bCs/>
        </w:rPr>
        <w:t>i)</w:t>
      </w:r>
      <w:r w:rsidRPr="470E0B30">
        <w:rPr>
          <w:rFonts w:ascii="Verdana" w:hAnsi="Verdana" w:cs="Arial"/>
        </w:rPr>
        <w:t xml:space="preserve"> Del recurso de queja, ent</w:t>
      </w:r>
      <w:r w:rsidR="005D377B" w:rsidRPr="470E0B30">
        <w:rPr>
          <w:rFonts w:ascii="Verdana" w:hAnsi="Verdana" w:cs="Arial"/>
          <w:lang w:val="es-CO"/>
        </w:rPr>
        <w:t>re</w:t>
      </w:r>
      <w:r w:rsidR="08ACA64A" w:rsidRPr="470E0B30">
        <w:rPr>
          <w:rFonts w:ascii="Verdana" w:hAnsi="Verdana" w:cs="Arial"/>
          <w:lang w:val="es-CO"/>
        </w:rPr>
        <w:t>s</w:t>
      </w:r>
      <w:r w:rsidRPr="470E0B30">
        <w:rPr>
          <w:rFonts w:ascii="Verdana" w:hAnsi="Verdana" w:cs="Arial"/>
        </w:rPr>
        <w:t xml:space="preserve"> ello, los siguientes subtemas: </w:t>
      </w:r>
      <w:r w:rsidRPr="470E0B30">
        <w:rPr>
          <w:rFonts w:ascii="Verdana" w:hAnsi="Verdana" w:cs="Arial"/>
          <w:b/>
          <w:bCs/>
        </w:rPr>
        <w:t>a)</w:t>
      </w:r>
      <w:r w:rsidRPr="470E0B30">
        <w:rPr>
          <w:rFonts w:ascii="Verdana" w:hAnsi="Verdana" w:cs="Arial"/>
        </w:rPr>
        <w:t xml:space="preserve"> </w:t>
      </w:r>
      <w:r w:rsidRPr="470E0B30">
        <w:rPr>
          <w:rFonts w:ascii="Verdana" w:hAnsi="Verdana" w:cs="Tahoma"/>
          <w:lang w:val="es-CO"/>
        </w:rPr>
        <w:t xml:space="preserve">Competencia y normatividad </w:t>
      </w:r>
      <w:r w:rsidRPr="470E0B30">
        <w:rPr>
          <w:rFonts w:ascii="Verdana" w:hAnsi="Verdana" w:cs="Tahoma"/>
          <w:lang w:val="es-CO"/>
        </w:rPr>
        <w:lastRenderedPageBreak/>
        <w:t xml:space="preserve">aplicable al recurso de queja y </w:t>
      </w:r>
      <w:r w:rsidRPr="470E0B30">
        <w:rPr>
          <w:rFonts w:ascii="Verdana" w:hAnsi="Verdana" w:cs="Tahoma"/>
          <w:b/>
          <w:bCs/>
          <w:lang w:val="es-CO"/>
        </w:rPr>
        <w:t>b)</w:t>
      </w:r>
      <w:r w:rsidRPr="470E0B30">
        <w:rPr>
          <w:rFonts w:ascii="Verdana" w:hAnsi="Verdana" w:cs="Tahoma"/>
          <w:lang w:val="es-CO"/>
        </w:rPr>
        <w:t xml:space="preserve"> </w:t>
      </w:r>
      <w:r w:rsidRPr="470E0B30">
        <w:rPr>
          <w:rFonts w:ascii="Verdana" w:hAnsi="Verdana" w:cs="Tahoma"/>
        </w:rPr>
        <w:t>De la procedencia del recurso de queja</w:t>
      </w:r>
      <w:r w:rsidRPr="470E0B30">
        <w:rPr>
          <w:rFonts w:ascii="Verdana" w:hAnsi="Verdana" w:cs="Tahoma"/>
          <w:lang w:val="es-CO"/>
        </w:rPr>
        <w:t xml:space="preserve">, para finalmente, </w:t>
      </w:r>
      <w:r w:rsidRPr="470E0B30">
        <w:rPr>
          <w:rFonts w:ascii="Verdana" w:hAnsi="Verdana" w:cs="Tahoma"/>
          <w:b/>
          <w:bCs/>
          <w:lang w:val="es-CO"/>
        </w:rPr>
        <w:t>ii)</w:t>
      </w:r>
      <w:r w:rsidRPr="470E0B30">
        <w:rPr>
          <w:rFonts w:ascii="Verdana" w:hAnsi="Verdana" w:cs="Tahoma"/>
          <w:lang w:val="es-CO"/>
        </w:rPr>
        <w:t xml:space="preserve"> Estudiar el caso concreto. </w:t>
      </w:r>
    </w:p>
    <w:p w14:paraId="3543890F" w14:textId="77777777" w:rsidR="003A5C4B" w:rsidRPr="00C56D0E" w:rsidRDefault="003A5C4B" w:rsidP="353CD7C0">
      <w:pPr>
        <w:pStyle w:val="Sangradetextonormal"/>
        <w:spacing w:after="0" w:line="264" w:lineRule="auto"/>
        <w:ind w:left="0"/>
        <w:jc w:val="both"/>
        <w:rPr>
          <w:rFonts w:ascii="Verdana" w:hAnsi="Verdana" w:cs="Tahoma"/>
          <w:lang w:val="es-CO"/>
        </w:rPr>
      </w:pPr>
    </w:p>
    <w:p w14:paraId="0042C615" w14:textId="77A696E5" w:rsidR="470E0B30" w:rsidRDefault="470E0B30" w:rsidP="470E0B30">
      <w:pPr>
        <w:pStyle w:val="Sangradetextonormal"/>
        <w:spacing w:after="0" w:line="264" w:lineRule="auto"/>
        <w:ind w:left="0"/>
        <w:jc w:val="both"/>
        <w:rPr>
          <w:rFonts w:ascii="Verdana" w:hAnsi="Verdana" w:cs="Tahoma"/>
          <w:lang w:val="es-CO"/>
        </w:rPr>
      </w:pPr>
    </w:p>
    <w:p w14:paraId="26151D95" w14:textId="379D733B" w:rsidR="00D35863" w:rsidRDefault="005D377B" w:rsidP="353CD7C0">
      <w:pPr>
        <w:spacing w:line="264" w:lineRule="auto"/>
        <w:jc w:val="both"/>
        <w:rPr>
          <w:rFonts w:ascii="Verdana" w:hAnsi="Verdana" w:cs="Arial"/>
          <w:b/>
          <w:bCs/>
        </w:rPr>
      </w:pPr>
      <w:r w:rsidRPr="470E0B30">
        <w:rPr>
          <w:rFonts w:ascii="Verdana" w:hAnsi="Verdana" w:cs="Arial"/>
          <w:b/>
          <w:bCs/>
        </w:rPr>
        <w:t xml:space="preserve">II.2 </w:t>
      </w:r>
      <w:r w:rsidR="00D35863" w:rsidRPr="470E0B30">
        <w:rPr>
          <w:rFonts w:ascii="Verdana" w:hAnsi="Verdana" w:cs="Arial"/>
          <w:b/>
          <w:bCs/>
        </w:rPr>
        <w:t>Del recurso de queja</w:t>
      </w:r>
      <w:r w:rsidR="445234BE" w:rsidRPr="470E0B30">
        <w:rPr>
          <w:rFonts w:ascii="Verdana" w:hAnsi="Verdana" w:cs="Arial"/>
          <w:b/>
          <w:bCs/>
        </w:rPr>
        <w:t>.</w:t>
      </w:r>
    </w:p>
    <w:p w14:paraId="131C9F5E" w14:textId="77777777" w:rsidR="00D35863" w:rsidRPr="003B4E43" w:rsidRDefault="00D35863" w:rsidP="353CD7C0">
      <w:pPr>
        <w:spacing w:line="264" w:lineRule="auto"/>
        <w:jc w:val="both"/>
        <w:rPr>
          <w:rFonts w:ascii="Verdana" w:hAnsi="Verdana" w:cs="Arial"/>
          <w:b/>
          <w:bCs/>
        </w:rPr>
      </w:pPr>
    </w:p>
    <w:p w14:paraId="4C1AA281" w14:textId="50DD1DAB" w:rsidR="00D35863" w:rsidRPr="00681A79" w:rsidRDefault="005D377B" w:rsidP="470E0B30">
      <w:pPr>
        <w:pStyle w:val="Sangradetextonormal"/>
        <w:spacing w:after="0" w:line="264" w:lineRule="auto"/>
        <w:ind w:left="0"/>
        <w:jc w:val="both"/>
        <w:rPr>
          <w:rFonts w:ascii="Verdana" w:hAnsi="Verdana" w:cs="Tahoma"/>
          <w:i/>
          <w:iCs/>
          <w:u w:val="single"/>
          <w:lang w:val="es-CO"/>
        </w:rPr>
      </w:pPr>
      <w:r w:rsidRPr="470E0B30">
        <w:rPr>
          <w:rFonts w:ascii="Verdana" w:hAnsi="Verdana" w:cs="Tahoma"/>
          <w:i/>
          <w:iCs/>
          <w:u w:val="single"/>
          <w:lang w:val="es-CO"/>
        </w:rPr>
        <w:t>2.1</w:t>
      </w:r>
      <w:r w:rsidR="00C56D0E" w:rsidRPr="470E0B30">
        <w:rPr>
          <w:rFonts w:ascii="Verdana" w:hAnsi="Verdana" w:cs="Tahoma"/>
          <w:i/>
          <w:iCs/>
          <w:u w:val="single"/>
          <w:lang w:val="es-CO"/>
        </w:rPr>
        <w:t>.</w:t>
      </w:r>
      <w:r w:rsidR="00D35863" w:rsidRPr="470E0B30">
        <w:rPr>
          <w:rFonts w:ascii="Verdana" w:hAnsi="Verdana" w:cs="Tahoma"/>
          <w:i/>
          <w:iCs/>
          <w:u w:val="single"/>
          <w:lang w:val="es-CO"/>
        </w:rPr>
        <w:t xml:space="preserve"> Competencia y normatividad aplicable al recurso de queja</w:t>
      </w:r>
      <w:r w:rsidR="62B68B42" w:rsidRPr="470E0B30">
        <w:rPr>
          <w:rFonts w:ascii="Verdana" w:hAnsi="Verdana" w:cs="Tahoma"/>
          <w:i/>
          <w:iCs/>
          <w:u w:val="single"/>
          <w:lang w:val="es-CO"/>
        </w:rPr>
        <w:t>.</w:t>
      </w:r>
    </w:p>
    <w:p w14:paraId="34D90209" w14:textId="77777777" w:rsidR="00D35863" w:rsidRPr="00681A79" w:rsidRDefault="00D35863" w:rsidP="353CD7C0">
      <w:pPr>
        <w:pStyle w:val="Sangradetextonormal"/>
        <w:spacing w:after="0" w:line="264" w:lineRule="auto"/>
        <w:ind w:left="0"/>
        <w:jc w:val="both"/>
        <w:rPr>
          <w:rFonts w:ascii="Verdana" w:hAnsi="Verdana" w:cs="Tahoma"/>
          <w:lang w:val="es-CO"/>
        </w:rPr>
      </w:pPr>
    </w:p>
    <w:p w14:paraId="3B7A75EF" w14:textId="6E2B9FAC" w:rsidR="00D35863" w:rsidRPr="00681A79" w:rsidRDefault="00D35863" w:rsidP="470E0B30">
      <w:pPr>
        <w:pStyle w:val="Sangradetextonormal"/>
        <w:spacing w:after="0" w:line="264" w:lineRule="auto"/>
        <w:ind w:left="0"/>
        <w:jc w:val="both"/>
        <w:rPr>
          <w:rFonts w:ascii="Verdana" w:hAnsi="Verdana" w:cs="Tahoma"/>
          <w:lang w:val="es-CO"/>
        </w:rPr>
      </w:pPr>
      <w:r w:rsidRPr="470E0B30">
        <w:rPr>
          <w:rFonts w:ascii="Verdana" w:hAnsi="Verdana" w:cs="Tahoma"/>
          <w:lang w:val="es-CO"/>
        </w:rPr>
        <w:t>El recurso de queja se encuentra consagrado en el artículo 245 del Código de Procedimiento Administrativo y de lo Contencioso Administrativo; esta disposición remite al trámite del mismo en el artículo 378 del Código de Procedimiento Civil:</w:t>
      </w:r>
    </w:p>
    <w:p w14:paraId="0979BCA2" w14:textId="4B8533A6" w:rsidR="470E0B30" w:rsidRDefault="470E0B30" w:rsidP="470E0B30">
      <w:pPr>
        <w:pStyle w:val="Sangradetextonormal"/>
        <w:spacing w:after="0" w:line="264" w:lineRule="auto"/>
        <w:ind w:left="0"/>
        <w:jc w:val="both"/>
        <w:rPr>
          <w:rFonts w:ascii="Verdana" w:hAnsi="Verdana" w:cs="Tahoma"/>
          <w:lang w:val="es-CO"/>
        </w:rPr>
      </w:pPr>
    </w:p>
    <w:p w14:paraId="04DC4E6D" w14:textId="1BB055F6" w:rsidR="470E0B30" w:rsidRDefault="470E0B30" w:rsidP="470E0B30">
      <w:pPr>
        <w:pStyle w:val="Sangradetextonormal"/>
        <w:spacing w:after="0" w:line="264" w:lineRule="auto"/>
        <w:ind w:left="0"/>
        <w:jc w:val="both"/>
        <w:rPr>
          <w:rFonts w:ascii="Verdana" w:hAnsi="Verdana" w:cs="Tahoma"/>
          <w:lang w:val="es-CO"/>
        </w:rPr>
      </w:pPr>
    </w:p>
    <w:p w14:paraId="640B2511" w14:textId="77777777" w:rsidR="00D35863" w:rsidRPr="00D1283E" w:rsidRDefault="00D35863" w:rsidP="470E0B30">
      <w:pPr>
        <w:keepLines/>
        <w:ind w:left="850" w:right="567"/>
        <w:jc w:val="both"/>
        <w:rPr>
          <w:rFonts w:ascii="Verdana" w:eastAsia="Calibri" w:hAnsi="Verdana" w:cs="Tahoma"/>
          <w:sz w:val="21"/>
          <w:szCs w:val="21"/>
        </w:rPr>
      </w:pPr>
      <w:r w:rsidRPr="470E0B30">
        <w:rPr>
          <w:rFonts w:ascii="Verdana" w:hAnsi="Verdana" w:cs="Tahoma"/>
          <w:sz w:val="21"/>
          <w:szCs w:val="21"/>
        </w:rPr>
        <w:t>“</w:t>
      </w:r>
      <w:r w:rsidRPr="470E0B30">
        <w:rPr>
          <w:rFonts w:ascii="Verdana" w:eastAsia="Calibri" w:hAnsi="Verdana" w:cs="Tahoma"/>
          <w:b/>
          <w:bCs/>
          <w:sz w:val="21"/>
          <w:szCs w:val="21"/>
        </w:rPr>
        <w:t>Artículo 245. Queja.</w:t>
      </w:r>
      <w:r w:rsidRPr="470E0B30">
        <w:rPr>
          <w:rFonts w:ascii="Verdana" w:eastAsia="Calibri" w:hAnsi="Verdana" w:cs="Tahoma"/>
          <w:sz w:val="21"/>
          <w:szCs w:val="21"/>
        </w:rPr>
        <w:t xml:space="preserve"> Este recurso procederá ante el superior cuando se niegue la apelación o se conceda en un efecto diferente, para que lo conceda si fuera procedente o corrija tal equivocación, según el caso. Igualmente, cuando no se concedan los recursos extraordinarios de revisión y unificación de jurisprudencia previstos en este Código. </w:t>
      </w:r>
      <w:r w:rsidRPr="470E0B30">
        <w:rPr>
          <w:rFonts w:ascii="Verdana" w:eastAsia="Calibri" w:hAnsi="Verdana" w:cs="Tahoma"/>
          <w:sz w:val="21"/>
          <w:szCs w:val="21"/>
          <w:u w:val="single"/>
        </w:rPr>
        <w:t>Para su trámite e interposición se aplicará lo establecido en el artículo 378 del Código de Procedimiento Civil.”</w:t>
      </w:r>
    </w:p>
    <w:p w14:paraId="785B3E4A" w14:textId="69354F93" w:rsidR="470E0B30" w:rsidRDefault="470E0B30" w:rsidP="470E0B30">
      <w:pPr>
        <w:spacing w:line="264" w:lineRule="auto"/>
        <w:jc w:val="both"/>
        <w:rPr>
          <w:rFonts w:ascii="Verdana" w:eastAsia="Calibri" w:hAnsi="Verdana" w:cs="Tahoma"/>
          <w:sz w:val="21"/>
          <w:szCs w:val="21"/>
          <w:u w:val="single"/>
        </w:rPr>
      </w:pPr>
    </w:p>
    <w:p w14:paraId="60E53559" w14:textId="6761917E" w:rsidR="470E0B30" w:rsidRDefault="470E0B30" w:rsidP="470E0B30">
      <w:pPr>
        <w:spacing w:line="264" w:lineRule="auto"/>
        <w:jc w:val="both"/>
        <w:rPr>
          <w:rFonts w:ascii="Verdana" w:eastAsia="Calibri" w:hAnsi="Verdana" w:cs="Tahoma"/>
          <w:sz w:val="21"/>
          <w:szCs w:val="21"/>
          <w:u w:val="single"/>
        </w:rPr>
      </w:pPr>
    </w:p>
    <w:p w14:paraId="2429399F" w14:textId="0DA6E189" w:rsidR="00D35863" w:rsidRPr="003D1436" w:rsidRDefault="00D35863" w:rsidP="470E0B30">
      <w:pPr>
        <w:pStyle w:val="Sangradetextonormal"/>
        <w:spacing w:after="0" w:line="264" w:lineRule="auto"/>
        <w:ind w:left="0"/>
        <w:jc w:val="both"/>
        <w:rPr>
          <w:rFonts w:ascii="Verdana" w:hAnsi="Verdana" w:cs="Tahoma"/>
          <w:i/>
          <w:iCs/>
          <w:sz w:val="22"/>
          <w:szCs w:val="22"/>
          <w:lang w:val="es-CO"/>
        </w:rPr>
      </w:pPr>
      <w:r w:rsidRPr="470E0B30">
        <w:rPr>
          <w:rFonts w:ascii="Verdana" w:hAnsi="Verdana" w:cs="Tahoma"/>
          <w:lang w:val="es-ES"/>
        </w:rPr>
        <w:t>En principio, el Despacho dirá que l</w:t>
      </w:r>
      <w:r w:rsidRPr="470E0B30">
        <w:rPr>
          <w:rFonts w:ascii="Verdana" w:hAnsi="Verdana" w:cs="Tahoma"/>
          <w:lang w:val="es-CO"/>
        </w:rPr>
        <w:t>a vigencia del Código General del Proceso frente a la Jurisdicción de lo Contencioso Administrativa ya ha sido estudiada y resuelta por el H. Consejo de Estado, en Sentencia de Unificación de la Sala Plena de esa Corporación, se declaró lo siguiente:</w:t>
      </w:r>
      <w:r w:rsidR="59A9C24B" w:rsidRPr="470E0B30">
        <w:rPr>
          <w:rFonts w:ascii="Verdana" w:hAnsi="Verdana" w:cs="Tahoma"/>
          <w:lang w:val="es-CO"/>
        </w:rPr>
        <w:t xml:space="preserve"> </w:t>
      </w:r>
      <w:r w:rsidRPr="470E0B30">
        <w:rPr>
          <w:rFonts w:ascii="Verdana" w:hAnsi="Verdana" w:cs="Tahoma"/>
          <w:i/>
          <w:iCs/>
          <w:sz w:val="22"/>
          <w:szCs w:val="22"/>
          <w:lang w:val="es-CO"/>
        </w:rPr>
        <w:t>“(…)</w:t>
      </w:r>
      <w:r w:rsidR="6E92872E" w:rsidRPr="470E0B30">
        <w:rPr>
          <w:rFonts w:ascii="Verdana" w:hAnsi="Verdana" w:cs="Tahoma"/>
          <w:i/>
          <w:iCs/>
          <w:sz w:val="22"/>
          <w:szCs w:val="22"/>
          <w:lang w:val="es-CO"/>
        </w:rPr>
        <w:t xml:space="preserve"> </w:t>
      </w:r>
      <w:r w:rsidRPr="470E0B30">
        <w:rPr>
          <w:rFonts w:ascii="Verdana" w:hAnsi="Verdana" w:cs="Tahoma"/>
          <w:i/>
          <w:iCs/>
          <w:sz w:val="22"/>
          <w:szCs w:val="22"/>
          <w:lang w:val="es-CO"/>
        </w:rPr>
        <w:t>la Sala unifica su jurisprudencia en relación con la entrada en vigencia de la ley 1564 de 2012, para señalar que su aplicación plena en la Jurisdicción de lo Contencioso Administrativo, así como en materia arbitral relacionada con temas estatales, es a partir del 1º de enero de 2014, salvo las situaciones que se gobiernen por la norma de transición que se explicará en el acápite a continuación, las cuales se resolverán con la norma vigente al momento en que inició el respectivo trámite.”</w:t>
      </w:r>
      <w:r w:rsidRPr="470E0B30">
        <w:rPr>
          <w:rStyle w:val="Refdenotaalpie"/>
          <w:rFonts w:ascii="Verdana" w:hAnsi="Verdana" w:cs="Tahoma"/>
          <w:i/>
          <w:iCs/>
          <w:sz w:val="22"/>
          <w:szCs w:val="22"/>
          <w:lang w:val="es-CO"/>
        </w:rPr>
        <w:footnoteReference w:id="1"/>
      </w:r>
      <w:r w:rsidRPr="470E0B30">
        <w:rPr>
          <w:rFonts w:ascii="Verdana" w:hAnsi="Verdana" w:cs="Tahoma"/>
          <w:i/>
          <w:iCs/>
          <w:sz w:val="22"/>
          <w:szCs w:val="22"/>
          <w:lang w:val="es-CO"/>
        </w:rPr>
        <w:t xml:space="preserve"> </w:t>
      </w:r>
    </w:p>
    <w:p w14:paraId="153BF5D0" w14:textId="3C62F950" w:rsidR="470E0B30" w:rsidRDefault="470E0B30" w:rsidP="470E0B30">
      <w:pPr>
        <w:pStyle w:val="Sangradetextonormal"/>
        <w:spacing w:after="0" w:line="264" w:lineRule="auto"/>
        <w:ind w:left="0"/>
        <w:jc w:val="both"/>
        <w:rPr>
          <w:rFonts w:ascii="Verdana" w:hAnsi="Verdana" w:cs="Tahoma"/>
          <w:i/>
          <w:iCs/>
          <w:lang w:val="es-CO"/>
        </w:rPr>
      </w:pPr>
    </w:p>
    <w:p w14:paraId="42F0C71E" w14:textId="77777777" w:rsidR="00D35863" w:rsidRPr="00681A79" w:rsidRDefault="00D35863" w:rsidP="00103D1E">
      <w:pPr>
        <w:pStyle w:val="Sangradetextonormal"/>
        <w:spacing w:after="0" w:line="264" w:lineRule="auto"/>
        <w:ind w:left="0"/>
        <w:jc w:val="both"/>
        <w:rPr>
          <w:rFonts w:ascii="Verdana" w:hAnsi="Verdana" w:cs="Tahoma"/>
        </w:rPr>
      </w:pPr>
      <w:r w:rsidRPr="00681A79">
        <w:rPr>
          <w:rFonts w:ascii="Verdana" w:hAnsi="Verdana" w:cs="Tahoma"/>
        </w:rPr>
        <w:t xml:space="preserve">De otro lado, la competencia de esta Corporación para conocer de los recursos de queja contra </w:t>
      </w:r>
      <w:r>
        <w:rPr>
          <w:rFonts w:ascii="Verdana" w:hAnsi="Verdana" w:cs="Tahoma"/>
        </w:rPr>
        <w:t>el auto denegatorio del recurso de apelación</w:t>
      </w:r>
      <w:r w:rsidRPr="00681A79">
        <w:rPr>
          <w:rFonts w:ascii="Verdana" w:hAnsi="Verdana" w:cs="Tahoma"/>
        </w:rPr>
        <w:t xml:space="preserve">, fue establecida por el Código de Procedimiento Administrativo y de lo Contencioso Administrativo, el cual consagró: </w:t>
      </w:r>
    </w:p>
    <w:p w14:paraId="2A13AC22" w14:textId="77777777" w:rsidR="00D35863" w:rsidRPr="00D1283E" w:rsidRDefault="00D35863" w:rsidP="3BD0081A">
      <w:pPr>
        <w:pStyle w:val="Sangradetextonormal"/>
        <w:spacing w:after="0" w:line="264" w:lineRule="auto"/>
        <w:ind w:left="720"/>
        <w:rPr>
          <w:rFonts w:ascii="Verdana" w:hAnsi="Verdana" w:cs="Tahoma"/>
          <w:i/>
          <w:iCs/>
        </w:rPr>
      </w:pPr>
    </w:p>
    <w:p w14:paraId="5410665D" w14:textId="1A2277D0" w:rsidR="470E0B30" w:rsidRDefault="470E0B30" w:rsidP="3BD0081A">
      <w:pPr>
        <w:pStyle w:val="Sangradetextonormal"/>
        <w:spacing w:after="0" w:line="264" w:lineRule="auto"/>
        <w:ind w:left="720"/>
        <w:rPr>
          <w:rFonts w:ascii="Verdana" w:hAnsi="Verdana" w:cs="Tahoma"/>
          <w:i/>
          <w:iCs/>
        </w:rPr>
      </w:pPr>
    </w:p>
    <w:p w14:paraId="4FBF4CD9" w14:textId="77777777" w:rsidR="00D35863" w:rsidRPr="003D1436" w:rsidRDefault="00D35863" w:rsidP="470E0B30">
      <w:pPr>
        <w:pStyle w:val="Sangradetextonormal"/>
        <w:spacing w:after="0"/>
        <w:ind w:left="851" w:right="567"/>
        <w:jc w:val="both"/>
        <w:rPr>
          <w:rFonts w:ascii="Verdana" w:hAnsi="Verdana" w:cs="Tahoma"/>
          <w:sz w:val="21"/>
          <w:szCs w:val="21"/>
        </w:rPr>
      </w:pPr>
      <w:r w:rsidRPr="470E0B30">
        <w:rPr>
          <w:rFonts w:ascii="Verdana" w:hAnsi="Verdana" w:cs="Tahoma"/>
          <w:sz w:val="21"/>
          <w:szCs w:val="21"/>
        </w:rPr>
        <w:t xml:space="preserve">“Artículo 153. Competencia de los tribunales administrativos en segunda instancia. Los tribunales administrativos conocerán en segunda instancia de las apelaciones de las sentencias dictadas </w:t>
      </w:r>
      <w:r w:rsidRPr="470E0B30">
        <w:rPr>
          <w:rFonts w:ascii="Verdana" w:hAnsi="Verdana" w:cs="Tahoma"/>
          <w:sz w:val="21"/>
          <w:szCs w:val="21"/>
        </w:rPr>
        <w:lastRenderedPageBreak/>
        <w:t>en primera instancia por los jueces administrativos y de las apelaciones susceptibles de este medio de impugnación,</w:t>
      </w:r>
      <w:r w:rsidRPr="470E0B30">
        <w:rPr>
          <w:rFonts w:ascii="Verdana" w:hAnsi="Verdana" w:cs="Tahoma"/>
          <w:b/>
          <w:bCs/>
          <w:sz w:val="21"/>
          <w:szCs w:val="21"/>
        </w:rPr>
        <w:t xml:space="preserve"> así como de los recursos de queja cuando no se conceda el de apelación o se conceda en un efecto distinto al que corresponda. </w:t>
      </w:r>
      <w:r w:rsidRPr="470E0B30">
        <w:rPr>
          <w:rFonts w:ascii="Verdana" w:hAnsi="Verdana" w:cs="Tahoma"/>
          <w:sz w:val="21"/>
          <w:szCs w:val="21"/>
        </w:rPr>
        <w:t>(Negrillas fuera del texto)”</w:t>
      </w:r>
    </w:p>
    <w:p w14:paraId="1B0CCE49" w14:textId="581B910F" w:rsidR="470E0B30" w:rsidRDefault="470E0B30" w:rsidP="470E0B30">
      <w:pPr>
        <w:spacing w:line="264" w:lineRule="auto"/>
        <w:jc w:val="both"/>
        <w:rPr>
          <w:rFonts w:ascii="Verdana" w:hAnsi="Verdana" w:cs="Tahoma"/>
        </w:rPr>
      </w:pPr>
    </w:p>
    <w:p w14:paraId="555E2D30" w14:textId="284C0446" w:rsidR="470E0B30" w:rsidRDefault="470E0B30" w:rsidP="470E0B30">
      <w:pPr>
        <w:spacing w:line="264" w:lineRule="auto"/>
        <w:jc w:val="both"/>
        <w:rPr>
          <w:rFonts w:ascii="Verdana" w:hAnsi="Verdana" w:cs="Tahoma"/>
        </w:rPr>
      </w:pPr>
    </w:p>
    <w:p w14:paraId="42A52D00" w14:textId="7418ADA0" w:rsidR="00D35863" w:rsidRDefault="00D35863" w:rsidP="00D35863">
      <w:pPr>
        <w:spacing w:line="264" w:lineRule="auto"/>
        <w:jc w:val="both"/>
        <w:rPr>
          <w:rFonts w:ascii="Verdana" w:hAnsi="Verdana" w:cs="Tahoma"/>
          <w:bCs/>
        </w:rPr>
      </w:pPr>
      <w:r w:rsidRPr="00681A79">
        <w:rPr>
          <w:rFonts w:ascii="Verdana" w:hAnsi="Verdana" w:cs="Tahoma"/>
          <w:bCs/>
        </w:rPr>
        <w:t>En este sentido, el artículo 15</w:t>
      </w:r>
      <w:r>
        <w:rPr>
          <w:rFonts w:ascii="Verdana" w:hAnsi="Verdana" w:cs="Tahoma"/>
          <w:bCs/>
        </w:rPr>
        <w:t>3</w:t>
      </w:r>
      <w:r w:rsidRPr="00681A79">
        <w:rPr>
          <w:rFonts w:ascii="Verdana" w:hAnsi="Verdana" w:cs="Tahoma"/>
          <w:bCs/>
        </w:rPr>
        <w:t xml:space="preserve"> del CPACA le asigna la competencia a los Tribunales Administrativos para conocer del recurso de queja interpuesto contra los autos proferidos por los Jueces de Primera Instancia en aquellos casos en que no se conceda el recurso de apelación o se conceda en un efecto distinto del que corresponda. </w:t>
      </w:r>
    </w:p>
    <w:p w14:paraId="71C9B894" w14:textId="77777777" w:rsidR="00F434D6" w:rsidRPr="00681A79" w:rsidRDefault="00F434D6" w:rsidP="1B144DF3">
      <w:pPr>
        <w:spacing w:line="264" w:lineRule="auto"/>
        <w:jc w:val="both"/>
        <w:rPr>
          <w:rFonts w:ascii="Verdana" w:hAnsi="Verdana" w:cs="Tahoma"/>
        </w:rPr>
      </w:pPr>
    </w:p>
    <w:p w14:paraId="55BC4053" w14:textId="2BB5614D" w:rsidR="00D35863" w:rsidRDefault="005D377B" w:rsidP="1B144DF3">
      <w:pPr>
        <w:spacing w:line="264" w:lineRule="auto"/>
        <w:jc w:val="both"/>
        <w:rPr>
          <w:rFonts w:ascii="Verdana" w:hAnsi="Verdana" w:cs="Tahoma"/>
          <w:i/>
          <w:iCs/>
        </w:rPr>
      </w:pPr>
      <w:r w:rsidRPr="1B144DF3">
        <w:rPr>
          <w:rFonts w:ascii="Verdana" w:hAnsi="Verdana" w:cs="Tahoma"/>
          <w:i/>
          <w:iCs/>
          <w:u w:val="single"/>
        </w:rPr>
        <w:t>2.2</w:t>
      </w:r>
      <w:r w:rsidR="00D35863" w:rsidRPr="1B144DF3">
        <w:rPr>
          <w:rFonts w:ascii="Verdana" w:hAnsi="Verdana" w:cs="Tahoma"/>
          <w:i/>
          <w:iCs/>
          <w:u w:val="single"/>
        </w:rPr>
        <w:t>. De la procedencia del recurso de queja</w:t>
      </w:r>
      <w:r w:rsidR="61B2C48F" w:rsidRPr="1B144DF3">
        <w:rPr>
          <w:rFonts w:ascii="Verdana" w:hAnsi="Verdana" w:cs="Tahoma"/>
          <w:i/>
          <w:iCs/>
          <w:u w:val="single"/>
        </w:rPr>
        <w:t>.</w:t>
      </w:r>
    </w:p>
    <w:p w14:paraId="31FC9C80" w14:textId="77777777" w:rsidR="00D35863" w:rsidRPr="00681A79" w:rsidRDefault="00D35863" w:rsidP="00D35863">
      <w:pPr>
        <w:spacing w:line="264" w:lineRule="auto"/>
        <w:jc w:val="both"/>
        <w:rPr>
          <w:rFonts w:ascii="Verdana" w:hAnsi="Verdana" w:cs="Tahoma"/>
          <w:b/>
          <w:bCs/>
        </w:rPr>
      </w:pPr>
    </w:p>
    <w:p w14:paraId="2C66CE11" w14:textId="78914420" w:rsidR="00D35863" w:rsidRDefault="00D35863" w:rsidP="7D1FB851">
      <w:pPr>
        <w:spacing w:line="264" w:lineRule="auto"/>
        <w:jc w:val="both"/>
        <w:rPr>
          <w:rFonts w:ascii="Verdana" w:hAnsi="Verdana" w:cs="Tahoma"/>
          <w:i/>
          <w:iCs/>
          <w:sz w:val="22"/>
          <w:szCs w:val="22"/>
        </w:rPr>
      </w:pPr>
      <w:r w:rsidRPr="7D1FB851">
        <w:rPr>
          <w:rFonts w:ascii="Verdana" w:hAnsi="Verdana" w:cs="Tahoma"/>
        </w:rPr>
        <w:t>Por remisión del Código de Procedimiento Administrativo y de lo Contencioso Administrativo para el trámite del recurso de queja se aplicará el nuevo Código General del Proceso.</w:t>
      </w:r>
      <w:r w:rsidR="4AA30704" w:rsidRPr="7D1FB851">
        <w:rPr>
          <w:rFonts w:ascii="Verdana" w:hAnsi="Verdana" w:cs="Tahoma"/>
        </w:rPr>
        <w:t xml:space="preserve"> </w:t>
      </w:r>
      <w:r w:rsidRPr="7D1FB851">
        <w:rPr>
          <w:rFonts w:ascii="Verdana" w:hAnsi="Verdana" w:cs="Tahoma"/>
        </w:rPr>
        <w:t xml:space="preserve">Acerca de la procedencia del recurso de queja, el artículo 352 del CGP señala que </w:t>
      </w:r>
      <w:r w:rsidRPr="7D1FB851">
        <w:rPr>
          <w:rFonts w:ascii="Verdana" w:hAnsi="Verdana" w:cs="Tahoma"/>
          <w:i/>
          <w:iCs/>
          <w:sz w:val="22"/>
          <w:szCs w:val="22"/>
        </w:rPr>
        <w:t>“cuando el juez de primera instancia deniegue el recurso de apelación, el recurrente podrá interponer el de queja para que el superior lo conceda si fuere procedente.”</w:t>
      </w:r>
      <w:r w:rsidR="3653D44C" w:rsidRPr="7D1FB851">
        <w:rPr>
          <w:rFonts w:ascii="Verdana" w:hAnsi="Verdana" w:cs="Tahoma"/>
          <w:i/>
          <w:iCs/>
          <w:sz w:val="22"/>
          <w:szCs w:val="22"/>
        </w:rPr>
        <w:t xml:space="preserve"> </w:t>
      </w:r>
      <w:r w:rsidRPr="7D1FB851">
        <w:rPr>
          <w:rFonts w:ascii="Verdana" w:hAnsi="Verdana" w:cs="Tahoma"/>
        </w:rPr>
        <w:t xml:space="preserve">En virtud de lo anterior, la misma norma estableció los requisitos para la interposición y trámite del recurso de queja, así: </w:t>
      </w:r>
      <w:r w:rsidR="05440842" w:rsidRPr="7D1FB851">
        <w:rPr>
          <w:rFonts w:ascii="Verdana" w:hAnsi="Verdana" w:cs="Tahoma"/>
          <w:sz w:val="22"/>
          <w:szCs w:val="22"/>
        </w:rPr>
        <w:t>“</w:t>
      </w:r>
      <w:r w:rsidRPr="7D1FB851">
        <w:rPr>
          <w:rFonts w:ascii="Verdana" w:hAnsi="Verdana" w:cs="Tahoma"/>
          <w:b/>
          <w:bCs/>
          <w:i/>
          <w:iCs/>
          <w:sz w:val="22"/>
          <w:szCs w:val="22"/>
          <w:u w:val="single"/>
        </w:rPr>
        <w:t>El recurso de queja deberá interponerse en subsidio del de reposición contra el auto que denegó la apelación o la casación,</w:t>
      </w:r>
      <w:r w:rsidRPr="7D1FB851">
        <w:rPr>
          <w:rFonts w:ascii="Verdana" w:hAnsi="Verdana" w:cs="Tahoma"/>
          <w:i/>
          <w:iCs/>
          <w:sz w:val="22"/>
          <w:szCs w:val="22"/>
        </w:rPr>
        <w:t xml:space="preserve"> salvo cuando este sea consecuencia de la reposición interpuesta por la parte contraria, caso en el cual deberá interponerse directamente dentro de la ejecutoria.</w:t>
      </w:r>
      <w:r w:rsidR="518DC61B" w:rsidRPr="7D1FB851">
        <w:rPr>
          <w:rFonts w:ascii="Verdana" w:hAnsi="Verdana" w:cs="Tahoma"/>
          <w:i/>
          <w:iCs/>
          <w:sz w:val="22"/>
          <w:szCs w:val="22"/>
        </w:rPr>
        <w:t xml:space="preserve"> </w:t>
      </w:r>
      <w:r w:rsidRPr="7D1FB851">
        <w:rPr>
          <w:rFonts w:ascii="Verdana" w:hAnsi="Verdana" w:cs="Tahoma"/>
          <w:i/>
          <w:iCs/>
          <w:sz w:val="22"/>
          <w:szCs w:val="22"/>
        </w:rPr>
        <w:t>(...)</w:t>
      </w:r>
      <w:r w:rsidR="64B25405" w:rsidRPr="7D1FB851">
        <w:rPr>
          <w:rFonts w:ascii="Verdana" w:hAnsi="Verdana" w:cs="Tahoma"/>
          <w:i/>
          <w:iCs/>
          <w:sz w:val="22"/>
          <w:szCs w:val="22"/>
        </w:rPr>
        <w:t>.</w:t>
      </w:r>
      <w:r w:rsidRPr="7D1FB851">
        <w:rPr>
          <w:rFonts w:ascii="Verdana" w:hAnsi="Verdana" w:cs="Tahoma"/>
          <w:i/>
          <w:iCs/>
          <w:sz w:val="22"/>
          <w:szCs w:val="22"/>
        </w:rPr>
        <w:t>”</w:t>
      </w:r>
    </w:p>
    <w:p w14:paraId="7EFC3BB6" w14:textId="16981475" w:rsidR="008B6C0A" w:rsidRDefault="008B6C0A" w:rsidP="008B6C0A">
      <w:pPr>
        <w:pStyle w:val="Encabezado"/>
        <w:tabs>
          <w:tab w:val="clear" w:pos="4252"/>
          <w:tab w:val="clear" w:pos="8504"/>
          <w:tab w:val="left" w:pos="6480"/>
        </w:tabs>
        <w:spacing w:line="264" w:lineRule="auto"/>
        <w:jc w:val="both"/>
        <w:rPr>
          <w:rFonts w:ascii="Verdana" w:hAnsi="Verdana" w:cs="Arial"/>
          <w:b/>
        </w:rPr>
      </w:pPr>
    </w:p>
    <w:p w14:paraId="635584C6" w14:textId="1CF0ACAC" w:rsidR="00145DAD" w:rsidRPr="00145DAD" w:rsidRDefault="00145DAD" w:rsidP="7D1FB851">
      <w:pPr>
        <w:pStyle w:val="Encabezado"/>
        <w:tabs>
          <w:tab w:val="clear" w:pos="4252"/>
          <w:tab w:val="clear" w:pos="8504"/>
          <w:tab w:val="left" w:pos="6480"/>
        </w:tabs>
        <w:spacing w:line="264" w:lineRule="auto"/>
        <w:ind w:right="-91"/>
        <w:jc w:val="both"/>
        <w:rPr>
          <w:rFonts w:ascii="Verdana" w:hAnsi="Verdana" w:cs="Arial"/>
        </w:rPr>
      </w:pPr>
      <w:r w:rsidRPr="7D1FB851">
        <w:rPr>
          <w:rFonts w:ascii="Verdana" w:hAnsi="Verdana" w:cs="Arial"/>
        </w:rPr>
        <w:t>En ese orden, es necesario que de manera conjunta se interponga tanto el recurso de reposición</w:t>
      </w:r>
      <w:r w:rsidR="09E1A060" w:rsidRPr="7D1FB851">
        <w:rPr>
          <w:rFonts w:ascii="Verdana" w:hAnsi="Verdana" w:cs="Arial"/>
        </w:rPr>
        <w:t>,</w:t>
      </w:r>
      <w:r w:rsidRPr="7D1FB851">
        <w:rPr>
          <w:rFonts w:ascii="Verdana" w:hAnsi="Verdana" w:cs="Arial"/>
        </w:rPr>
        <w:t xml:space="preserve"> </w:t>
      </w:r>
      <w:r w:rsidR="00BF0D6F" w:rsidRPr="7D1FB851">
        <w:rPr>
          <w:rFonts w:ascii="Verdana" w:hAnsi="Verdana" w:cs="Arial"/>
        </w:rPr>
        <w:t>que será el principal</w:t>
      </w:r>
      <w:r w:rsidR="0C5D5F29" w:rsidRPr="7D1FB851">
        <w:rPr>
          <w:rFonts w:ascii="Verdana" w:hAnsi="Verdana" w:cs="Arial"/>
        </w:rPr>
        <w:t>,</w:t>
      </w:r>
      <w:r w:rsidR="00BF0D6F" w:rsidRPr="7D1FB851">
        <w:rPr>
          <w:rFonts w:ascii="Verdana" w:hAnsi="Verdana" w:cs="Arial"/>
        </w:rPr>
        <w:t xml:space="preserve"> como el de queja de manera subsidiaria</w:t>
      </w:r>
      <w:r w:rsidRPr="7D1FB851">
        <w:rPr>
          <w:rFonts w:ascii="Verdana" w:hAnsi="Verdana" w:cs="Arial"/>
        </w:rPr>
        <w:t xml:space="preserve">, a efectos de cumplir con </w:t>
      </w:r>
      <w:r w:rsidR="00BF0D6F" w:rsidRPr="7D1FB851">
        <w:rPr>
          <w:rFonts w:ascii="Verdana" w:hAnsi="Verdana" w:cs="Arial"/>
        </w:rPr>
        <w:t>la correcta interposición de este último. De modo que el orden en que se debe emplear los recursos se debe a que la autoridad judicial pueda inicialmente</w:t>
      </w:r>
      <w:r w:rsidR="643D5725" w:rsidRPr="7D1FB851">
        <w:rPr>
          <w:rFonts w:ascii="Verdana" w:hAnsi="Verdana" w:cs="Arial"/>
        </w:rPr>
        <w:t>,</w:t>
      </w:r>
      <w:r w:rsidR="00BF0D6F" w:rsidRPr="7D1FB851">
        <w:rPr>
          <w:rFonts w:ascii="Verdana" w:hAnsi="Verdana" w:cs="Arial"/>
        </w:rPr>
        <w:t xml:space="preserve"> en vía de reposición</w:t>
      </w:r>
      <w:r w:rsidR="6543C8B8" w:rsidRPr="7D1FB851">
        <w:rPr>
          <w:rFonts w:ascii="Verdana" w:hAnsi="Verdana" w:cs="Arial"/>
        </w:rPr>
        <w:t>,</w:t>
      </w:r>
      <w:r w:rsidR="00BF0D6F" w:rsidRPr="7D1FB851">
        <w:rPr>
          <w:rFonts w:ascii="Verdana" w:hAnsi="Verdana" w:cs="Arial"/>
        </w:rPr>
        <w:t xml:space="preserve"> reconsiderar la decisión de no conceder el recurso de apelación antes de optar por </w:t>
      </w:r>
      <w:r w:rsidR="003B5B21" w:rsidRPr="7D1FB851">
        <w:rPr>
          <w:rFonts w:ascii="Verdana" w:hAnsi="Verdana" w:cs="Arial"/>
        </w:rPr>
        <w:t xml:space="preserve">tramitar </w:t>
      </w:r>
      <w:r w:rsidR="00BF0D6F" w:rsidRPr="7D1FB851">
        <w:rPr>
          <w:rFonts w:ascii="Verdana" w:hAnsi="Verdana" w:cs="Arial"/>
        </w:rPr>
        <w:t>el recurso de queja.</w:t>
      </w:r>
    </w:p>
    <w:p w14:paraId="2D8BB7A5" w14:textId="77777777" w:rsidR="00F1634F" w:rsidRPr="003C1D23" w:rsidRDefault="00F1634F" w:rsidP="00F1634F">
      <w:pPr>
        <w:spacing w:line="264" w:lineRule="auto"/>
        <w:jc w:val="both"/>
        <w:rPr>
          <w:rFonts w:ascii="Verdana" w:hAnsi="Verdana"/>
        </w:rPr>
      </w:pPr>
    </w:p>
    <w:p w14:paraId="079E7955" w14:textId="5AEB5EBE" w:rsidR="7D1FB851" w:rsidRDefault="7D1FB851" w:rsidP="7D1FB851">
      <w:pPr>
        <w:spacing w:line="264" w:lineRule="auto"/>
        <w:jc w:val="both"/>
        <w:rPr>
          <w:rFonts w:ascii="Verdana" w:hAnsi="Verdana"/>
        </w:rPr>
      </w:pPr>
    </w:p>
    <w:p w14:paraId="6410F89A" w14:textId="698287CE" w:rsidR="00F1634F" w:rsidRPr="003C1D23" w:rsidRDefault="003C1D23" w:rsidP="00F1634F">
      <w:pPr>
        <w:pStyle w:val="Encabezado"/>
        <w:tabs>
          <w:tab w:val="clear" w:pos="4252"/>
          <w:tab w:val="clear" w:pos="8504"/>
          <w:tab w:val="left" w:pos="6480"/>
        </w:tabs>
        <w:spacing w:line="264" w:lineRule="auto"/>
        <w:jc w:val="both"/>
        <w:rPr>
          <w:rFonts w:ascii="Verdana" w:hAnsi="Verdana" w:cs="Arial"/>
          <w:b/>
          <w:bCs/>
        </w:rPr>
      </w:pPr>
      <w:r w:rsidRPr="7D1FB851">
        <w:rPr>
          <w:rFonts w:ascii="Verdana" w:hAnsi="Verdana" w:cs="Arial"/>
          <w:b/>
          <w:bCs/>
        </w:rPr>
        <w:t>III</w:t>
      </w:r>
      <w:r w:rsidR="7F7F1299" w:rsidRPr="7D1FB851">
        <w:rPr>
          <w:rFonts w:ascii="Verdana" w:hAnsi="Verdana" w:cs="Arial"/>
          <w:b/>
          <w:bCs/>
        </w:rPr>
        <w:t>.3</w:t>
      </w:r>
      <w:r w:rsidR="00F1634F" w:rsidRPr="7D1FB851">
        <w:rPr>
          <w:rFonts w:ascii="Verdana" w:hAnsi="Verdana" w:cs="Arial"/>
          <w:b/>
          <w:bCs/>
        </w:rPr>
        <w:t xml:space="preserve">. </w:t>
      </w:r>
      <w:r w:rsidR="263477C8" w:rsidRPr="7D1FB851">
        <w:rPr>
          <w:rFonts w:ascii="Verdana" w:hAnsi="Verdana" w:cs="Arial"/>
          <w:b/>
          <w:bCs/>
        </w:rPr>
        <w:t>Solución c</w:t>
      </w:r>
      <w:r w:rsidR="00F1634F" w:rsidRPr="7D1FB851">
        <w:rPr>
          <w:rFonts w:ascii="Verdana" w:hAnsi="Verdana" w:cs="Arial"/>
          <w:b/>
          <w:bCs/>
        </w:rPr>
        <w:t>aso concreto</w:t>
      </w:r>
      <w:r w:rsidR="65EBF8A3" w:rsidRPr="7D1FB851">
        <w:rPr>
          <w:rFonts w:ascii="Verdana" w:hAnsi="Verdana" w:cs="Arial"/>
          <w:b/>
          <w:bCs/>
        </w:rPr>
        <w:t>.</w:t>
      </w:r>
    </w:p>
    <w:p w14:paraId="7A682E1C" w14:textId="09BDD69F" w:rsidR="009505A1" w:rsidRDefault="009505A1" w:rsidP="00F1634F">
      <w:pPr>
        <w:spacing w:line="264" w:lineRule="auto"/>
        <w:jc w:val="both"/>
        <w:rPr>
          <w:rFonts w:ascii="Verdana" w:hAnsi="Verdana" w:cs="Arial"/>
          <w:lang w:val="es-ES_tradnl"/>
        </w:rPr>
      </w:pPr>
    </w:p>
    <w:p w14:paraId="61114DA8" w14:textId="2842ADF4" w:rsidR="00BC646E" w:rsidRDefault="00BC646E" w:rsidP="7D1FB851">
      <w:pPr>
        <w:spacing w:line="264" w:lineRule="auto"/>
        <w:jc w:val="both"/>
        <w:rPr>
          <w:rFonts w:ascii="Verdana" w:hAnsi="Verdana" w:cs="Tahoma"/>
        </w:rPr>
      </w:pPr>
      <w:r w:rsidRPr="7D1FB851">
        <w:rPr>
          <w:rFonts w:ascii="Verdana" w:hAnsi="Verdana" w:cs="Tahoma"/>
        </w:rPr>
        <w:t>La apoderada del Ministerio de</w:t>
      </w:r>
      <w:r w:rsidR="28C4A099" w:rsidRPr="7D1FB851">
        <w:rPr>
          <w:rFonts w:ascii="Verdana" w:hAnsi="Verdana" w:cs="Tahoma"/>
        </w:rPr>
        <w:t xml:space="preserve"> Justicia </w:t>
      </w:r>
      <w:r w:rsidRPr="7D1FB851">
        <w:rPr>
          <w:rFonts w:ascii="Verdana" w:hAnsi="Verdana" w:cs="Tahoma"/>
        </w:rPr>
        <w:t>y del Derecho interpuso recurso de queja ante la negativa del juez de instancia de conceder por improcedente el recurso apelación contra la providencia de 12 de marzo de 2019</w:t>
      </w:r>
      <w:r w:rsidR="14E34562" w:rsidRPr="7D1FB851">
        <w:rPr>
          <w:rFonts w:ascii="Verdana" w:hAnsi="Verdana" w:cs="Tahoma"/>
        </w:rPr>
        <w:t>,</w:t>
      </w:r>
      <w:r w:rsidRPr="7D1FB851">
        <w:rPr>
          <w:rFonts w:ascii="Verdana" w:hAnsi="Verdana" w:cs="Tahoma"/>
        </w:rPr>
        <w:t xml:space="preserve"> que difirió la decisión de la excepción de falta de legitimación en la causa por pasiva a la sentencia que en derecho corresponda dictar dentro del asunto de la referencia.</w:t>
      </w:r>
    </w:p>
    <w:p w14:paraId="1C4CB7B1" w14:textId="462FAFAE" w:rsidR="00BC646E" w:rsidRDefault="00BC646E" w:rsidP="00BC646E">
      <w:pPr>
        <w:spacing w:line="264" w:lineRule="auto"/>
        <w:jc w:val="both"/>
        <w:rPr>
          <w:rFonts w:ascii="Verdana" w:hAnsi="Verdana" w:cs="Tahoma"/>
          <w:bCs/>
        </w:rPr>
      </w:pPr>
    </w:p>
    <w:p w14:paraId="2E7390C3" w14:textId="0891BA3D" w:rsidR="00BC646E" w:rsidRDefault="00BC646E" w:rsidP="7D1FB851">
      <w:pPr>
        <w:spacing w:line="264" w:lineRule="auto"/>
        <w:jc w:val="both"/>
        <w:rPr>
          <w:rFonts w:ascii="Verdana" w:hAnsi="Verdana" w:cs="Tahoma"/>
        </w:rPr>
      </w:pPr>
      <w:r w:rsidRPr="7D1FB851">
        <w:rPr>
          <w:rFonts w:ascii="Verdana" w:hAnsi="Verdana" w:cs="Tahoma"/>
        </w:rPr>
        <w:lastRenderedPageBreak/>
        <w:t xml:space="preserve">Para efectos de determinar si fue bien o mal desestimado el recurso de apelación, el Despacho </w:t>
      </w:r>
      <w:r w:rsidR="00A44A35" w:rsidRPr="7D1FB851">
        <w:rPr>
          <w:rFonts w:ascii="Verdana" w:hAnsi="Verdana" w:cs="Tahoma"/>
        </w:rPr>
        <w:t xml:space="preserve">hará </w:t>
      </w:r>
      <w:r w:rsidR="0062035C" w:rsidRPr="7D1FB851">
        <w:rPr>
          <w:rFonts w:ascii="Verdana" w:hAnsi="Verdana" w:cs="Tahoma"/>
        </w:rPr>
        <w:t xml:space="preserve">referencia </w:t>
      </w:r>
      <w:r w:rsidR="5F5FA73A" w:rsidRPr="7D1FB851">
        <w:rPr>
          <w:rFonts w:ascii="Verdana" w:hAnsi="Verdana" w:cs="Tahoma"/>
        </w:rPr>
        <w:t>a</w:t>
      </w:r>
      <w:r w:rsidR="00A44A35" w:rsidRPr="7D1FB851">
        <w:rPr>
          <w:rFonts w:ascii="Verdana" w:hAnsi="Verdana" w:cs="Tahoma"/>
        </w:rPr>
        <w:t>l artículo 180 del CPACA</w:t>
      </w:r>
      <w:r w:rsidR="7954ACD5" w:rsidRPr="7D1FB851">
        <w:rPr>
          <w:rFonts w:ascii="Verdana" w:hAnsi="Verdana" w:cs="Tahoma"/>
        </w:rPr>
        <w:t>,</w:t>
      </w:r>
      <w:r w:rsidR="00A44A35" w:rsidRPr="7D1FB851">
        <w:rPr>
          <w:rFonts w:ascii="Verdana" w:hAnsi="Verdana" w:cs="Tahoma"/>
        </w:rPr>
        <w:t xml:space="preserve"> que contempla las etapas de la audiencia inicial que se deben agotar en la mayoría de los procesos que se ventile ante la jurisdicción de lo contencioso administrativo, en especial el numeral 6 que contempla la fase de la decisión de las excepciones, así</w:t>
      </w:r>
      <w:r w:rsidR="22E23C57" w:rsidRPr="7D1FB851">
        <w:rPr>
          <w:rFonts w:ascii="Verdana" w:hAnsi="Verdana" w:cs="Tahoma"/>
        </w:rPr>
        <w:t>:</w:t>
      </w:r>
    </w:p>
    <w:p w14:paraId="074928A9" w14:textId="73CE2FF0" w:rsidR="7D1FB851" w:rsidRDefault="7D1FB851" w:rsidP="7D1FB851">
      <w:pPr>
        <w:spacing w:line="264" w:lineRule="auto"/>
        <w:jc w:val="both"/>
        <w:rPr>
          <w:rFonts w:ascii="Verdana" w:hAnsi="Verdana" w:cs="Tahoma"/>
        </w:rPr>
      </w:pPr>
    </w:p>
    <w:p w14:paraId="58B879ED" w14:textId="382A5E2D" w:rsidR="00A44A35" w:rsidRDefault="00A44A35" w:rsidP="00BC646E">
      <w:pPr>
        <w:spacing w:line="264" w:lineRule="auto"/>
        <w:jc w:val="both"/>
        <w:rPr>
          <w:rFonts w:ascii="Verdana" w:hAnsi="Verdana" w:cs="Tahoma"/>
          <w:bCs/>
        </w:rPr>
      </w:pPr>
    </w:p>
    <w:p w14:paraId="4C6BBF76" w14:textId="2D0DEBCB" w:rsidR="00A44A35" w:rsidRPr="00A44A35" w:rsidRDefault="00A44A35" w:rsidP="7D1FB851">
      <w:pPr>
        <w:ind w:left="850" w:right="567"/>
        <w:jc w:val="both"/>
        <w:rPr>
          <w:rFonts w:ascii="Verdana" w:eastAsia="Verdana" w:hAnsi="Verdana" w:cs="Verdana"/>
          <w:color w:val="000000" w:themeColor="text1"/>
          <w:sz w:val="21"/>
          <w:szCs w:val="21"/>
        </w:rPr>
      </w:pPr>
      <w:r w:rsidRPr="31314C33">
        <w:rPr>
          <w:rFonts w:ascii="Verdana" w:eastAsia="Verdana" w:hAnsi="Verdana" w:cs="Verdana"/>
          <w:color w:val="000000" w:themeColor="text1"/>
          <w:sz w:val="21"/>
          <w:szCs w:val="21"/>
        </w:rPr>
        <w:t xml:space="preserve">“Artículo 180. </w:t>
      </w:r>
      <w:bookmarkStart w:id="1" w:name="180"/>
      <w:r w:rsidRPr="31314C33">
        <w:rPr>
          <w:rFonts w:ascii="Verdana" w:eastAsia="Verdana" w:hAnsi="Verdana" w:cs="Verdana"/>
          <w:color w:val="000000" w:themeColor="text1"/>
          <w:sz w:val="21"/>
          <w:szCs w:val="21"/>
        </w:rPr>
        <w:t>AUDIENCIA INICIAL.</w:t>
      </w:r>
      <w:r w:rsidR="0B716122" w:rsidRPr="31314C33">
        <w:rPr>
          <w:rFonts w:ascii="Verdana" w:eastAsia="Verdana" w:hAnsi="Verdana" w:cs="Verdana"/>
          <w:color w:val="000000" w:themeColor="text1"/>
          <w:sz w:val="21"/>
          <w:szCs w:val="21"/>
        </w:rPr>
        <w:t xml:space="preserve"> </w:t>
      </w:r>
      <w:bookmarkEnd w:id="1"/>
      <w:r w:rsidRPr="31314C33">
        <w:rPr>
          <w:rFonts w:ascii="Verdana" w:eastAsia="Verdana" w:hAnsi="Verdana" w:cs="Verdana"/>
          <w:color w:val="000000" w:themeColor="text1"/>
          <w:sz w:val="21"/>
          <w:szCs w:val="21"/>
        </w:rPr>
        <w:t>Vencido el término de traslado de la demanda o de la de reconvención según el caso, el Juez o Magistrado Ponente, convocará a una audiencia que se sujetará a las siguientes reglas:</w:t>
      </w:r>
    </w:p>
    <w:p w14:paraId="03AB27BE" w14:textId="58204B6F" w:rsidR="00A44A35" w:rsidRPr="00A44A35" w:rsidRDefault="00A44A35" w:rsidP="7D1FB851">
      <w:pPr>
        <w:ind w:left="850" w:right="567"/>
        <w:jc w:val="both"/>
        <w:rPr>
          <w:rFonts w:ascii="Verdana" w:eastAsia="Verdana" w:hAnsi="Verdana" w:cs="Verdana"/>
          <w:color w:val="000000" w:themeColor="text1"/>
          <w:sz w:val="21"/>
          <w:szCs w:val="21"/>
        </w:rPr>
      </w:pPr>
    </w:p>
    <w:p w14:paraId="69FACFFE" w14:textId="3F2175A3" w:rsidR="00A44A35" w:rsidRPr="00A44A35" w:rsidRDefault="00A44A35" w:rsidP="7D1FB851">
      <w:pPr>
        <w:ind w:left="850" w:right="567"/>
        <w:jc w:val="both"/>
        <w:rPr>
          <w:rFonts w:ascii="Verdana" w:eastAsia="Verdana" w:hAnsi="Verdana" w:cs="Verdana"/>
          <w:color w:val="000000" w:themeColor="text1"/>
          <w:sz w:val="21"/>
          <w:szCs w:val="21"/>
        </w:rPr>
      </w:pPr>
      <w:r w:rsidRPr="31314C33">
        <w:rPr>
          <w:rFonts w:ascii="Verdana" w:eastAsia="Verdana" w:hAnsi="Verdana" w:cs="Verdana"/>
          <w:color w:val="000000" w:themeColor="text1"/>
          <w:sz w:val="21"/>
          <w:szCs w:val="21"/>
        </w:rPr>
        <w:t>(…)</w:t>
      </w:r>
    </w:p>
    <w:p w14:paraId="510CC1A8" w14:textId="77777777" w:rsidR="00A44A35" w:rsidRDefault="00A44A35" w:rsidP="7D1FB851">
      <w:pPr>
        <w:ind w:left="850" w:right="567"/>
        <w:jc w:val="both"/>
        <w:rPr>
          <w:rFonts w:ascii="Verdana" w:eastAsia="Verdana" w:hAnsi="Verdana" w:cs="Verdana"/>
          <w:color w:val="000000" w:themeColor="text1"/>
          <w:sz w:val="21"/>
          <w:szCs w:val="21"/>
        </w:rPr>
      </w:pPr>
      <w:r w:rsidRPr="7D1FB851">
        <w:rPr>
          <w:rFonts w:ascii="Verdana" w:eastAsia="Verdana" w:hAnsi="Verdana" w:cs="Verdana"/>
          <w:color w:val="000000" w:themeColor="text1"/>
          <w:sz w:val="21"/>
          <w:szCs w:val="21"/>
        </w:rPr>
        <w:t>6. </w:t>
      </w:r>
      <w:r w:rsidRPr="7D1FB851">
        <w:rPr>
          <w:rStyle w:val="baj"/>
          <w:rFonts w:ascii="Verdana" w:eastAsia="Verdana" w:hAnsi="Verdana" w:cs="Verdana"/>
          <w:b/>
          <w:bCs/>
          <w:color w:val="000000" w:themeColor="text1"/>
          <w:sz w:val="21"/>
          <w:szCs w:val="21"/>
        </w:rPr>
        <w:t>Decisión de excepciones previas. </w:t>
      </w:r>
      <w:r w:rsidRPr="7D1FB851">
        <w:rPr>
          <w:rFonts w:ascii="Verdana" w:eastAsia="Verdana" w:hAnsi="Verdana" w:cs="Verdana"/>
          <w:color w:val="000000" w:themeColor="text1"/>
          <w:sz w:val="21"/>
          <w:szCs w:val="21"/>
        </w:rPr>
        <w:t>El Juez o Magistrado Ponente, de oficio o a petición de parte, resolverá sobre las excepciones previas y las de cosa juzgada, caducidad, transacción, conciliación, falta de legitimación en la causa y prescripción extintiva.</w:t>
      </w:r>
    </w:p>
    <w:p w14:paraId="2A09AC2F" w14:textId="77777777" w:rsidR="00A44A35" w:rsidRDefault="00A44A35" w:rsidP="7D1FB851">
      <w:pPr>
        <w:ind w:left="850" w:right="567"/>
        <w:jc w:val="both"/>
        <w:rPr>
          <w:rFonts w:ascii="Verdana" w:eastAsia="Verdana" w:hAnsi="Verdana" w:cs="Verdana"/>
          <w:color w:val="000000" w:themeColor="text1"/>
          <w:sz w:val="21"/>
          <w:szCs w:val="21"/>
        </w:rPr>
      </w:pPr>
    </w:p>
    <w:p w14:paraId="6273AC70" w14:textId="77777777" w:rsidR="00A44A35" w:rsidRDefault="00A44A35" w:rsidP="7D1FB851">
      <w:pPr>
        <w:ind w:left="850" w:right="567"/>
        <w:jc w:val="both"/>
        <w:rPr>
          <w:rFonts w:ascii="Verdana" w:eastAsia="Verdana" w:hAnsi="Verdana" w:cs="Verdana"/>
          <w:color w:val="000000" w:themeColor="text1"/>
          <w:sz w:val="21"/>
          <w:szCs w:val="21"/>
        </w:rPr>
      </w:pPr>
      <w:r w:rsidRPr="7D1FB851">
        <w:rPr>
          <w:rFonts w:ascii="Verdana" w:eastAsia="Verdana" w:hAnsi="Verdana" w:cs="Verdana"/>
          <w:color w:val="000000" w:themeColor="text1"/>
          <w:sz w:val="21"/>
          <w:szCs w:val="21"/>
        </w:rPr>
        <w:t>(…)</w:t>
      </w:r>
    </w:p>
    <w:p w14:paraId="63D2BACA" w14:textId="77777777" w:rsidR="00A44A35" w:rsidRDefault="00A44A35" w:rsidP="7D1FB851">
      <w:pPr>
        <w:ind w:left="850" w:right="567"/>
        <w:jc w:val="both"/>
        <w:rPr>
          <w:rFonts w:ascii="Verdana" w:eastAsia="Verdana" w:hAnsi="Verdana" w:cs="Verdana"/>
          <w:color w:val="000000" w:themeColor="text1"/>
          <w:sz w:val="21"/>
          <w:szCs w:val="21"/>
        </w:rPr>
      </w:pPr>
    </w:p>
    <w:p w14:paraId="0CE09939" w14:textId="6630FB34" w:rsidR="00BC646E" w:rsidRDefault="00A44A35" w:rsidP="7D1FB851">
      <w:pPr>
        <w:ind w:left="850" w:right="567"/>
        <w:jc w:val="both"/>
        <w:rPr>
          <w:rFonts w:ascii="Verdana" w:eastAsia="Verdana" w:hAnsi="Verdana" w:cs="Verdana"/>
          <w:color w:val="000000" w:themeColor="text1"/>
          <w:sz w:val="21"/>
          <w:szCs w:val="21"/>
        </w:rPr>
      </w:pPr>
      <w:r w:rsidRPr="31314C33">
        <w:rPr>
          <w:rFonts w:ascii="Verdana" w:eastAsia="Verdana" w:hAnsi="Verdana" w:cs="Verdana"/>
          <w:color w:val="000000" w:themeColor="text1"/>
          <w:sz w:val="21"/>
          <w:szCs w:val="21"/>
        </w:rPr>
        <w:t xml:space="preserve">El auto que </w:t>
      </w:r>
      <w:r w:rsidRPr="31314C33">
        <w:rPr>
          <w:rFonts w:ascii="Verdana" w:eastAsia="Verdana" w:hAnsi="Verdana" w:cs="Verdana"/>
          <w:b/>
          <w:bCs/>
          <w:i/>
          <w:iCs/>
          <w:color w:val="000000" w:themeColor="text1"/>
          <w:sz w:val="21"/>
          <w:szCs w:val="21"/>
          <w:u w:val="single"/>
        </w:rPr>
        <w:t>decida</w:t>
      </w:r>
      <w:r w:rsidRPr="31314C33">
        <w:rPr>
          <w:rFonts w:ascii="Verdana" w:eastAsia="Verdana" w:hAnsi="Verdana" w:cs="Verdana"/>
          <w:color w:val="000000" w:themeColor="text1"/>
          <w:sz w:val="21"/>
          <w:szCs w:val="21"/>
        </w:rPr>
        <w:t xml:space="preserve"> sobre las excepciones será susceptible del recurso de apelación o del de súplica, según el caso</w:t>
      </w:r>
      <w:r w:rsidRPr="31314C33">
        <w:rPr>
          <w:rFonts w:ascii="Verdana" w:eastAsia="Verdana" w:hAnsi="Verdana" w:cs="Verdana"/>
          <w:color w:val="4B4949"/>
          <w:sz w:val="21"/>
          <w:szCs w:val="21"/>
        </w:rPr>
        <w:t>.</w:t>
      </w:r>
      <w:r w:rsidRPr="31314C33">
        <w:rPr>
          <w:rFonts w:ascii="Verdana" w:eastAsia="Verdana" w:hAnsi="Verdana" w:cs="Verdana"/>
          <w:color w:val="000000" w:themeColor="text1"/>
          <w:sz w:val="21"/>
          <w:szCs w:val="21"/>
        </w:rPr>
        <w:t>”</w:t>
      </w:r>
    </w:p>
    <w:p w14:paraId="51ED6BED" w14:textId="7F6390D3" w:rsidR="7D1FB851" w:rsidRDefault="7D1FB851" w:rsidP="7D1FB851">
      <w:pPr>
        <w:spacing w:line="264" w:lineRule="auto"/>
        <w:jc w:val="both"/>
        <w:rPr>
          <w:rFonts w:ascii="Verdana" w:hAnsi="Verdana" w:cs="Tahoma"/>
        </w:rPr>
      </w:pPr>
    </w:p>
    <w:p w14:paraId="46AB751E" w14:textId="3F701E10" w:rsidR="7D1FB851" w:rsidRDefault="7D1FB851" w:rsidP="7D1FB851">
      <w:pPr>
        <w:spacing w:line="264" w:lineRule="auto"/>
        <w:jc w:val="both"/>
        <w:rPr>
          <w:rFonts w:ascii="Verdana" w:hAnsi="Verdana" w:cs="Tahoma"/>
        </w:rPr>
      </w:pPr>
    </w:p>
    <w:p w14:paraId="61909133" w14:textId="538EC103" w:rsidR="008812E0" w:rsidRDefault="00A44A35" w:rsidP="31314C33">
      <w:pPr>
        <w:spacing w:line="264" w:lineRule="auto"/>
        <w:jc w:val="both"/>
        <w:rPr>
          <w:rFonts w:ascii="Verdana" w:hAnsi="Verdana" w:cs="Tahoma"/>
        </w:rPr>
      </w:pPr>
      <w:r w:rsidRPr="31314C33">
        <w:rPr>
          <w:rFonts w:ascii="Verdana" w:hAnsi="Verdana" w:cs="Tahoma"/>
        </w:rPr>
        <w:t xml:space="preserve">En ese sentido, conforme el inciso final del artículo antes citado </w:t>
      </w:r>
      <w:r w:rsidR="008812E0" w:rsidRPr="31314C33">
        <w:rPr>
          <w:rFonts w:ascii="Verdana" w:hAnsi="Verdana" w:cs="Tahoma"/>
        </w:rPr>
        <w:t xml:space="preserve">es apelable la </w:t>
      </w:r>
      <w:r w:rsidR="008812E0" w:rsidRPr="31314C33">
        <w:rPr>
          <w:rFonts w:ascii="Verdana" w:hAnsi="Verdana" w:cs="Tahoma"/>
          <w:b/>
          <w:bCs/>
        </w:rPr>
        <w:t xml:space="preserve">DECISIÓN </w:t>
      </w:r>
      <w:r w:rsidR="008812E0" w:rsidRPr="31314C33">
        <w:rPr>
          <w:rFonts w:ascii="Verdana" w:hAnsi="Verdana" w:cs="Tahoma"/>
        </w:rPr>
        <w:t>de las excepciones cuando sea adoptada en primera instancia o susceptible de súplica cuando se trate de un proceso de única instancia.</w:t>
      </w:r>
      <w:r w:rsidR="32F44D97" w:rsidRPr="31314C33">
        <w:rPr>
          <w:rFonts w:ascii="Verdana" w:hAnsi="Verdana" w:cs="Tahoma"/>
        </w:rPr>
        <w:t xml:space="preserve"> </w:t>
      </w:r>
      <w:r w:rsidR="008812E0" w:rsidRPr="31314C33">
        <w:rPr>
          <w:rFonts w:ascii="Verdana" w:hAnsi="Verdana" w:cs="Tahoma"/>
        </w:rPr>
        <w:t xml:space="preserve">De tal suerte que cuando la norma mentada se refiere a </w:t>
      </w:r>
      <w:r w:rsidR="004B0392" w:rsidRPr="31314C33">
        <w:rPr>
          <w:rFonts w:ascii="Verdana" w:hAnsi="Verdana" w:cs="Tahoma"/>
        </w:rPr>
        <w:t>que será apelado o s</w:t>
      </w:r>
      <w:r w:rsidR="730D32EE" w:rsidRPr="31314C33">
        <w:rPr>
          <w:rFonts w:ascii="Verdana" w:hAnsi="Verdana" w:cs="Tahoma"/>
        </w:rPr>
        <w:t>u</w:t>
      </w:r>
      <w:r w:rsidR="004B0392" w:rsidRPr="31314C33">
        <w:rPr>
          <w:rFonts w:ascii="Verdana" w:hAnsi="Verdana" w:cs="Tahoma"/>
        </w:rPr>
        <w:t xml:space="preserve">plicado el </w:t>
      </w:r>
      <w:r w:rsidR="008812E0" w:rsidRPr="31314C33">
        <w:rPr>
          <w:rFonts w:ascii="Verdana" w:hAnsi="Verdana" w:cs="Tahoma"/>
        </w:rPr>
        <w:t xml:space="preserve">auto que decida las excepciones, se debe entender </w:t>
      </w:r>
      <w:r w:rsidR="00EC3C71" w:rsidRPr="31314C33">
        <w:rPr>
          <w:rFonts w:ascii="Verdana" w:hAnsi="Verdana" w:cs="Tahoma"/>
        </w:rPr>
        <w:t xml:space="preserve">que </w:t>
      </w:r>
      <w:r w:rsidR="001B5A36" w:rsidRPr="31314C33">
        <w:rPr>
          <w:rFonts w:ascii="Verdana" w:hAnsi="Verdana" w:cs="Tahoma"/>
        </w:rPr>
        <w:t xml:space="preserve">necesariamente debe existir </w:t>
      </w:r>
      <w:r w:rsidR="00EC3C71" w:rsidRPr="31314C33">
        <w:rPr>
          <w:rFonts w:ascii="Verdana" w:hAnsi="Verdana" w:cs="Tahoma"/>
        </w:rPr>
        <w:t xml:space="preserve">decisión </w:t>
      </w:r>
      <w:r w:rsidR="0F4D024B" w:rsidRPr="31314C33">
        <w:rPr>
          <w:rFonts w:ascii="Verdana" w:hAnsi="Verdana" w:cs="Tahoma"/>
        </w:rPr>
        <w:t xml:space="preserve">material y de fondo, </w:t>
      </w:r>
      <w:r w:rsidR="001B5A36" w:rsidRPr="31314C33">
        <w:rPr>
          <w:rFonts w:ascii="Verdana" w:hAnsi="Verdana" w:cs="Tahoma"/>
        </w:rPr>
        <w:t xml:space="preserve">que </w:t>
      </w:r>
      <w:r w:rsidR="003C1D23" w:rsidRPr="31314C33">
        <w:rPr>
          <w:rFonts w:ascii="Verdana" w:hAnsi="Verdana" w:cs="Tahoma"/>
        </w:rPr>
        <w:t xml:space="preserve">luego de un estudio </w:t>
      </w:r>
      <w:r w:rsidR="006255A6" w:rsidRPr="31314C33">
        <w:rPr>
          <w:rFonts w:ascii="Verdana" w:hAnsi="Verdana" w:cs="Tahoma"/>
        </w:rPr>
        <w:t xml:space="preserve">acucioso </w:t>
      </w:r>
      <w:r w:rsidR="006269B4" w:rsidRPr="31314C33">
        <w:rPr>
          <w:rFonts w:ascii="Verdana" w:hAnsi="Verdana" w:cs="Tahoma"/>
        </w:rPr>
        <w:t xml:space="preserve">declare </w:t>
      </w:r>
      <w:r w:rsidR="008812E0" w:rsidRPr="31314C33">
        <w:rPr>
          <w:rFonts w:ascii="Verdana" w:hAnsi="Verdana" w:cs="Tahoma"/>
        </w:rPr>
        <w:t xml:space="preserve">fundada o infundada </w:t>
      </w:r>
      <w:r w:rsidR="006269B4" w:rsidRPr="31314C33">
        <w:rPr>
          <w:rFonts w:ascii="Verdana" w:hAnsi="Verdana" w:cs="Tahoma"/>
        </w:rPr>
        <w:t xml:space="preserve">(probada o no probada) </w:t>
      </w:r>
      <w:r w:rsidR="008812E0" w:rsidRPr="31314C33">
        <w:rPr>
          <w:rFonts w:ascii="Verdana" w:hAnsi="Verdana" w:cs="Tahoma"/>
        </w:rPr>
        <w:t xml:space="preserve">la correspondiente excepción previa que se haya propuesto, pero no aplicaría de la misma manera cuando se difiere su </w:t>
      </w:r>
      <w:r w:rsidR="470C7005" w:rsidRPr="31314C33">
        <w:rPr>
          <w:rFonts w:ascii="Verdana" w:hAnsi="Verdana" w:cs="Tahoma"/>
        </w:rPr>
        <w:t xml:space="preserve">estudio y </w:t>
      </w:r>
      <w:r w:rsidR="008812E0" w:rsidRPr="31314C33">
        <w:rPr>
          <w:rFonts w:ascii="Verdana" w:hAnsi="Verdana" w:cs="Tahoma"/>
        </w:rPr>
        <w:t>decisión al fondo del asunto, puesto que no existiría en esa etapa de excepciones resolución</w:t>
      </w:r>
      <w:r w:rsidR="003C1D23" w:rsidRPr="31314C33">
        <w:rPr>
          <w:rFonts w:ascii="Verdana" w:hAnsi="Verdana" w:cs="Tahoma"/>
        </w:rPr>
        <w:t xml:space="preserve"> o pronunciamiento</w:t>
      </w:r>
      <w:r w:rsidR="008812E0" w:rsidRPr="31314C33">
        <w:rPr>
          <w:rFonts w:ascii="Verdana" w:hAnsi="Verdana" w:cs="Tahoma"/>
        </w:rPr>
        <w:t xml:space="preserve"> definitiv</w:t>
      </w:r>
      <w:r w:rsidR="003C1D23" w:rsidRPr="31314C33">
        <w:rPr>
          <w:rFonts w:ascii="Verdana" w:hAnsi="Verdana" w:cs="Tahoma"/>
        </w:rPr>
        <w:t>o</w:t>
      </w:r>
      <w:r w:rsidR="008812E0" w:rsidRPr="31314C33">
        <w:rPr>
          <w:rFonts w:ascii="Verdana" w:hAnsi="Verdana" w:cs="Tahoma"/>
        </w:rPr>
        <w:t xml:space="preserve"> a la </w:t>
      </w:r>
      <w:r w:rsidR="004B0392" w:rsidRPr="31314C33">
        <w:rPr>
          <w:rFonts w:ascii="Verdana" w:hAnsi="Verdana" w:cs="Tahoma"/>
        </w:rPr>
        <w:t>misma,</w:t>
      </w:r>
      <w:r w:rsidR="008812E0" w:rsidRPr="31314C33">
        <w:rPr>
          <w:rFonts w:ascii="Verdana" w:hAnsi="Verdana" w:cs="Tahoma"/>
        </w:rPr>
        <w:t xml:space="preserve"> sino que su decisión estaría sujeta al momento de proferir sentencia. </w:t>
      </w:r>
    </w:p>
    <w:p w14:paraId="35480BC3" w14:textId="27F80278" w:rsidR="004C5BF2" w:rsidRDefault="004C5BF2" w:rsidP="00BC646E">
      <w:pPr>
        <w:spacing w:line="264" w:lineRule="auto"/>
        <w:jc w:val="both"/>
        <w:rPr>
          <w:rFonts w:ascii="Verdana" w:hAnsi="Verdana" w:cs="Tahoma"/>
          <w:bCs/>
        </w:rPr>
      </w:pPr>
    </w:p>
    <w:p w14:paraId="21F12814" w14:textId="714D8CA8" w:rsidR="006269B4" w:rsidRDefault="004C5BF2" w:rsidP="00BC646E">
      <w:pPr>
        <w:spacing w:line="264" w:lineRule="auto"/>
        <w:jc w:val="both"/>
        <w:rPr>
          <w:rFonts w:ascii="Verdana" w:hAnsi="Verdana" w:cs="Arial"/>
        </w:rPr>
      </w:pPr>
      <w:r w:rsidRPr="31314C33">
        <w:rPr>
          <w:rFonts w:ascii="Verdana" w:hAnsi="Verdana" w:cs="Tahoma"/>
        </w:rPr>
        <w:t>En consecuencia, solo procedería el recurso de apelación siempre y cuando verse decisión de</w:t>
      </w:r>
      <w:r w:rsidR="006269B4" w:rsidRPr="31314C33">
        <w:rPr>
          <w:rFonts w:ascii="Verdana" w:hAnsi="Verdana" w:cs="Tahoma"/>
        </w:rPr>
        <w:t xml:space="preserve">finitiva </w:t>
      </w:r>
      <w:r w:rsidR="00AB7C85" w:rsidRPr="31314C33">
        <w:rPr>
          <w:rFonts w:ascii="Verdana" w:hAnsi="Verdana" w:cs="Tahoma"/>
        </w:rPr>
        <w:t xml:space="preserve">adoptada sobre </w:t>
      </w:r>
      <w:r w:rsidRPr="31314C33">
        <w:rPr>
          <w:rFonts w:ascii="Verdana" w:hAnsi="Verdana" w:cs="Tahoma"/>
        </w:rPr>
        <w:t>la excepción previa, de lo contrario</w:t>
      </w:r>
      <w:r w:rsidR="006269B4" w:rsidRPr="31314C33">
        <w:rPr>
          <w:rFonts w:ascii="Verdana" w:hAnsi="Verdana" w:cs="Tahoma"/>
        </w:rPr>
        <w:t>,</w:t>
      </w:r>
      <w:r w:rsidRPr="31314C33">
        <w:rPr>
          <w:rFonts w:ascii="Verdana" w:hAnsi="Verdana" w:cs="Tahoma"/>
        </w:rPr>
        <w:t xml:space="preserve"> así como lo determinó el A quo</w:t>
      </w:r>
      <w:r w:rsidR="1246C030" w:rsidRPr="31314C33">
        <w:rPr>
          <w:rFonts w:ascii="Verdana" w:hAnsi="Verdana" w:cs="Tahoma"/>
        </w:rPr>
        <w:t>,</w:t>
      </w:r>
      <w:r w:rsidRPr="31314C33">
        <w:rPr>
          <w:rFonts w:ascii="Verdana" w:hAnsi="Verdana" w:cs="Tahoma"/>
        </w:rPr>
        <w:t xml:space="preserve"> resulta improcedente el recurso de alzada</w:t>
      </w:r>
      <w:r w:rsidR="00295610" w:rsidRPr="31314C33">
        <w:rPr>
          <w:rFonts w:ascii="Verdana" w:hAnsi="Verdana" w:cs="Tahoma"/>
        </w:rPr>
        <w:t>. A</w:t>
      </w:r>
      <w:r w:rsidR="006269B4" w:rsidRPr="31314C33">
        <w:rPr>
          <w:rFonts w:ascii="Verdana" w:hAnsi="Verdana" w:cs="Tahoma"/>
        </w:rPr>
        <w:t>demás</w:t>
      </w:r>
      <w:r w:rsidR="00295610" w:rsidRPr="31314C33">
        <w:rPr>
          <w:rFonts w:ascii="Verdana" w:hAnsi="Verdana" w:cs="Tahoma"/>
        </w:rPr>
        <w:t>,</w:t>
      </w:r>
      <w:r w:rsidR="006269B4" w:rsidRPr="31314C33">
        <w:rPr>
          <w:rFonts w:ascii="Verdana" w:hAnsi="Verdana" w:cs="Tahoma"/>
        </w:rPr>
        <w:t xml:space="preserve"> porque no sería posible examinar en vía de apelación </w:t>
      </w:r>
      <w:r w:rsidR="56CE09A3" w:rsidRPr="31314C33">
        <w:rPr>
          <w:rFonts w:ascii="Verdana" w:hAnsi="Verdana" w:cs="Tahoma"/>
        </w:rPr>
        <w:t xml:space="preserve">la prosperidad de la excepción </w:t>
      </w:r>
      <w:r w:rsidR="006269B4" w:rsidRPr="31314C33">
        <w:rPr>
          <w:rFonts w:ascii="Verdana" w:hAnsi="Verdana" w:cs="Tahoma"/>
        </w:rPr>
        <w:t>cuando no las dej</w:t>
      </w:r>
      <w:r w:rsidR="359013E6" w:rsidRPr="31314C33">
        <w:rPr>
          <w:rFonts w:ascii="Verdana" w:hAnsi="Verdana" w:cs="Tahoma"/>
        </w:rPr>
        <w:t>ó</w:t>
      </w:r>
      <w:r w:rsidR="006269B4" w:rsidRPr="31314C33">
        <w:rPr>
          <w:rFonts w:ascii="Verdana" w:hAnsi="Verdana" w:cs="Tahoma"/>
        </w:rPr>
        <w:t xml:space="preserve"> consignadas</w:t>
      </w:r>
      <w:r w:rsidR="003C1D23" w:rsidRPr="31314C33">
        <w:rPr>
          <w:rFonts w:ascii="Verdana" w:hAnsi="Verdana" w:cs="Tahoma"/>
        </w:rPr>
        <w:t>,</w:t>
      </w:r>
      <w:r w:rsidR="006269B4" w:rsidRPr="31314C33">
        <w:rPr>
          <w:rFonts w:ascii="Verdana" w:hAnsi="Verdana" w:cs="Tahoma"/>
        </w:rPr>
        <w:t xml:space="preserve"> </w:t>
      </w:r>
      <w:r w:rsidR="003C1D23" w:rsidRPr="31314C33">
        <w:rPr>
          <w:rFonts w:ascii="Verdana" w:hAnsi="Verdana" w:cs="Tahoma"/>
        </w:rPr>
        <w:t xml:space="preserve">y </w:t>
      </w:r>
      <w:r w:rsidR="006269B4" w:rsidRPr="31314C33">
        <w:rPr>
          <w:rFonts w:ascii="Verdana" w:hAnsi="Verdana" w:cs="Tahoma"/>
        </w:rPr>
        <w:t xml:space="preserve">solo estableció que por tratarse de la falta de </w:t>
      </w:r>
      <w:r w:rsidR="00F65CBC" w:rsidRPr="31314C33">
        <w:rPr>
          <w:rFonts w:ascii="Verdana" w:hAnsi="Verdana" w:cs="Tahoma"/>
        </w:rPr>
        <w:t>legitimación</w:t>
      </w:r>
      <w:r w:rsidR="006269B4" w:rsidRPr="31314C33">
        <w:rPr>
          <w:rFonts w:ascii="Verdana" w:hAnsi="Verdana" w:cs="Tahoma"/>
        </w:rPr>
        <w:t xml:space="preserve"> </w:t>
      </w:r>
      <w:r w:rsidR="00F65CBC" w:rsidRPr="31314C33">
        <w:rPr>
          <w:rFonts w:ascii="Verdana" w:hAnsi="Verdana" w:cs="Tahoma"/>
        </w:rPr>
        <w:t xml:space="preserve">material </w:t>
      </w:r>
      <w:r w:rsidR="00F65CBC" w:rsidRPr="31314C33">
        <w:rPr>
          <w:rFonts w:ascii="Verdana" w:hAnsi="Verdana" w:cs="Arial"/>
        </w:rPr>
        <w:t xml:space="preserve">en la causa por pasiva </w:t>
      </w:r>
      <w:r w:rsidR="00295610" w:rsidRPr="31314C33">
        <w:rPr>
          <w:rFonts w:ascii="Verdana" w:hAnsi="Verdana" w:cs="Arial"/>
        </w:rPr>
        <w:t xml:space="preserve">difería </w:t>
      </w:r>
      <w:r w:rsidR="00F65CBC" w:rsidRPr="31314C33">
        <w:rPr>
          <w:rFonts w:ascii="Verdana" w:hAnsi="Verdana" w:cs="Arial"/>
        </w:rPr>
        <w:t xml:space="preserve">su análisis para el momento de proferir la sentencia que en derecho corresponda, toda vez que se trata de un asunto cuya resolución implica determinar la responsabilidad de cada uno de los entes que conforman el extremo </w:t>
      </w:r>
      <w:r w:rsidR="00F65CBC" w:rsidRPr="31314C33">
        <w:rPr>
          <w:rFonts w:ascii="Verdana" w:hAnsi="Verdana" w:cs="Arial"/>
        </w:rPr>
        <w:lastRenderedPageBreak/>
        <w:t xml:space="preserve">pasivo de la controversia y que </w:t>
      </w:r>
      <w:r w:rsidR="00295610" w:rsidRPr="31314C33">
        <w:rPr>
          <w:rFonts w:ascii="Verdana" w:hAnsi="Verdana" w:cs="Arial"/>
        </w:rPr>
        <w:t>estaría también condicionado a e</w:t>
      </w:r>
      <w:r w:rsidR="00F65CBC" w:rsidRPr="31314C33">
        <w:rPr>
          <w:rFonts w:ascii="Verdana" w:hAnsi="Verdana" w:cs="Arial"/>
        </w:rPr>
        <w:t>stablecer si el demandante le asiste o no derecho a los derechos reclamados.</w:t>
      </w:r>
    </w:p>
    <w:p w14:paraId="562470E7" w14:textId="77777777" w:rsidR="001B5A36" w:rsidRDefault="001B5A36" w:rsidP="00BC646E">
      <w:pPr>
        <w:spacing w:line="264" w:lineRule="auto"/>
        <w:jc w:val="both"/>
        <w:rPr>
          <w:rFonts w:ascii="Verdana" w:hAnsi="Verdana" w:cs="Tahoma"/>
          <w:bCs/>
        </w:rPr>
      </w:pPr>
    </w:p>
    <w:p w14:paraId="748C8B32" w14:textId="632105A4" w:rsidR="004B0392" w:rsidRDefault="001B5A36" w:rsidP="31314C33">
      <w:pPr>
        <w:spacing w:line="264" w:lineRule="auto"/>
        <w:jc w:val="both"/>
        <w:rPr>
          <w:rFonts w:ascii="Verdana" w:hAnsi="Verdana" w:cs="Tahoma"/>
        </w:rPr>
      </w:pPr>
      <w:r w:rsidRPr="31314C33">
        <w:rPr>
          <w:rFonts w:ascii="Verdana" w:hAnsi="Verdana" w:cs="Tahoma"/>
        </w:rPr>
        <w:t>Por lo anterior, para el Despacho fue bien desestimado el recurso de apelación que propuso la apoderada del Ministerio de</w:t>
      </w:r>
      <w:r w:rsidR="36207C3C" w:rsidRPr="31314C33">
        <w:rPr>
          <w:rFonts w:ascii="Verdana" w:hAnsi="Verdana" w:cs="Tahoma"/>
        </w:rPr>
        <w:t xml:space="preserve"> Justicia </w:t>
      </w:r>
      <w:r w:rsidRPr="31314C33">
        <w:rPr>
          <w:rFonts w:ascii="Verdana" w:hAnsi="Verdana" w:cs="Tahoma"/>
        </w:rPr>
        <w:t xml:space="preserve">y del Derecho contra el auto de 12 de marzo de 2019 que difirió la resolución de la excepción de falta de legitimación en la causa por pasiva al fondo del asunto. </w:t>
      </w:r>
    </w:p>
    <w:p w14:paraId="755E5AB9" w14:textId="77777777" w:rsidR="004B0392" w:rsidRPr="008812E0" w:rsidRDefault="004B0392" w:rsidP="00BC646E">
      <w:pPr>
        <w:spacing w:line="264" w:lineRule="auto"/>
        <w:jc w:val="both"/>
        <w:rPr>
          <w:rFonts w:ascii="Verdana" w:hAnsi="Verdana" w:cs="Tahoma"/>
          <w:bCs/>
        </w:rPr>
      </w:pPr>
    </w:p>
    <w:p w14:paraId="121D9770" w14:textId="789187F0" w:rsidR="00F1634F" w:rsidRPr="00AD2804" w:rsidRDefault="00F1634F" w:rsidP="00F1634F">
      <w:pPr>
        <w:pStyle w:val="Sangradetextonormal"/>
        <w:spacing w:after="0" w:line="264" w:lineRule="auto"/>
        <w:ind w:left="0"/>
        <w:jc w:val="both"/>
        <w:rPr>
          <w:rFonts w:ascii="Verdana" w:hAnsi="Verdana"/>
          <w:lang w:val="es-CO"/>
        </w:rPr>
      </w:pPr>
      <w:r w:rsidRPr="00BE13F4">
        <w:rPr>
          <w:rFonts w:ascii="Verdana" w:hAnsi="Verdana"/>
        </w:rPr>
        <w:t xml:space="preserve">En mérito de lo expuesto, </w:t>
      </w:r>
      <w:r w:rsidR="00AD2804">
        <w:rPr>
          <w:rFonts w:ascii="Verdana" w:hAnsi="Verdana"/>
          <w:lang w:val="es-CO"/>
        </w:rPr>
        <w:t>se</w:t>
      </w:r>
    </w:p>
    <w:p w14:paraId="14475957" w14:textId="77777777" w:rsidR="00F1634F" w:rsidRPr="00CB6B54" w:rsidRDefault="00F1634F" w:rsidP="00F1634F">
      <w:pPr>
        <w:pStyle w:val="Sangradetextonormal"/>
        <w:spacing w:after="0" w:line="264" w:lineRule="auto"/>
        <w:ind w:left="0"/>
        <w:jc w:val="both"/>
        <w:rPr>
          <w:rFonts w:ascii="Verdana" w:hAnsi="Verdana"/>
          <w:lang w:val="es-ES"/>
        </w:rPr>
      </w:pPr>
    </w:p>
    <w:p w14:paraId="103B142F" w14:textId="32CD706C" w:rsidR="00F1634F" w:rsidRPr="00BE13F4" w:rsidRDefault="00F1634F" w:rsidP="31314C33">
      <w:pPr>
        <w:pStyle w:val="Prrafodelista"/>
        <w:widowControl w:val="0"/>
        <w:numPr>
          <w:ilvl w:val="0"/>
          <w:numId w:val="1"/>
        </w:numPr>
        <w:spacing w:line="264" w:lineRule="auto"/>
        <w:ind w:left="0" w:firstLine="0"/>
        <w:jc w:val="center"/>
        <w:rPr>
          <w:rFonts w:asciiTheme="minorHAnsi" w:eastAsiaTheme="minorEastAsia" w:hAnsiTheme="minorHAnsi" w:cstheme="minorBidi"/>
          <w:b/>
          <w:bCs/>
          <w:sz w:val="26"/>
          <w:szCs w:val="26"/>
        </w:rPr>
      </w:pPr>
      <w:r w:rsidRPr="31314C33">
        <w:rPr>
          <w:rFonts w:ascii="Verdana" w:hAnsi="Verdana"/>
          <w:b/>
          <w:bCs/>
          <w:sz w:val="26"/>
          <w:szCs w:val="26"/>
        </w:rPr>
        <w:t>RESUELVE</w:t>
      </w:r>
    </w:p>
    <w:p w14:paraId="6E3E30F5" w14:textId="6B57CDD6" w:rsidR="31314C33" w:rsidRDefault="31314C33" w:rsidP="31314C33">
      <w:pPr>
        <w:spacing w:line="264" w:lineRule="auto"/>
        <w:rPr>
          <w:rFonts w:ascii="Verdana" w:hAnsi="Verdana"/>
          <w:b/>
          <w:bCs/>
        </w:rPr>
      </w:pPr>
    </w:p>
    <w:p w14:paraId="0D1CC3B1" w14:textId="33AD3B71" w:rsidR="00F1634F" w:rsidRPr="001B5A36" w:rsidRDefault="009505A1" w:rsidP="001B5A36">
      <w:pPr>
        <w:spacing w:line="264" w:lineRule="auto"/>
        <w:jc w:val="both"/>
        <w:rPr>
          <w:rFonts w:ascii="Verdana" w:hAnsi="Verdana" w:cs="Tahoma"/>
        </w:rPr>
      </w:pPr>
      <w:r w:rsidRPr="31314C33">
        <w:rPr>
          <w:rFonts w:ascii="Verdana" w:hAnsi="Verdana" w:cs="Tahoma"/>
          <w:b/>
          <w:bCs/>
        </w:rPr>
        <w:t>PRIMERO</w:t>
      </w:r>
      <w:r w:rsidRPr="31314C33">
        <w:rPr>
          <w:rFonts w:ascii="Verdana" w:hAnsi="Verdana" w:cs="Tahoma"/>
        </w:rPr>
        <w:t xml:space="preserve">. </w:t>
      </w:r>
      <w:r w:rsidRPr="31314C33">
        <w:rPr>
          <w:rFonts w:ascii="Verdana" w:hAnsi="Verdana" w:cs="Tahoma"/>
          <w:b/>
          <w:bCs/>
        </w:rPr>
        <w:t xml:space="preserve">ESTIMAR </w:t>
      </w:r>
      <w:r w:rsidRPr="31314C33">
        <w:rPr>
          <w:rFonts w:ascii="Verdana" w:hAnsi="Verdana" w:cs="Tahoma"/>
        </w:rPr>
        <w:t>bien denegado el recurso de apelación presentado por la apoderada del Ministerio de</w:t>
      </w:r>
      <w:r w:rsidR="043A8AB9" w:rsidRPr="31314C33">
        <w:rPr>
          <w:rFonts w:ascii="Verdana" w:hAnsi="Verdana" w:cs="Tahoma"/>
        </w:rPr>
        <w:t xml:space="preserve"> Justicia y </w:t>
      </w:r>
      <w:r w:rsidRPr="31314C33">
        <w:rPr>
          <w:rFonts w:ascii="Verdana" w:hAnsi="Verdana" w:cs="Tahoma"/>
        </w:rPr>
        <w:t>del Derecho contra auto de</w:t>
      </w:r>
      <w:r w:rsidR="001B5A36" w:rsidRPr="31314C33">
        <w:rPr>
          <w:rFonts w:ascii="Verdana" w:hAnsi="Verdana" w:cs="Tahoma"/>
        </w:rPr>
        <w:t xml:space="preserve"> 12 de marzo de 2019</w:t>
      </w:r>
      <w:r w:rsidRPr="31314C33">
        <w:rPr>
          <w:rFonts w:ascii="Verdana" w:hAnsi="Verdana" w:cs="Tahoma"/>
        </w:rPr>
        <w:t xml:space="preserve"> que difirió la decisión de la excepción de la falta de legitimación en la causa por pasiva al fondo del asunto</w:t>
      </w:r>
      <w:r w:rsidR="001B5A36" w:rsidRPr="31314C33">
        <w:rPr>
          <w:rFonts w:ascii="Verdana" w:hAnsi="Verdana" w:cs="Tahoma"/>
        </w:rPr>
        <w:t>.</w:t>
      </w:r>
    </w:p>
    <w:p w14:paraId="238C132D" w14:textId="77777777" w:rsidR="00F1634F" w:rsidRPr="00BE13F4" w:rsidRDefault="00F1634F" w:rsidP="00F1634F">
      <w:pPr>
        <w:spacing w:line="264" w:lineRule="auto"/>
        <w:rPr>
          <w:rFonts w:ascii="Verdana" w:hAnsi="Verdana"/>
        </w:rPr>
      </w:pPr>
    </w:p>
    <w:p w14:paraId="4FC86FD3" w14:textId="260FFFFE" w:rsidR="00F1634F" w:rsidRDefault="00F1634F" w:rsidP="00F1634F">
      <w:pPr>
        <w:spacing w:line="264" w:lineRule="auto"/>
        <w:jc w:val="both"/>
        <w:rPr>
          <w:rFonts w:ascii="Verdana" w:hAnsi="Verdana"/>
        </w:rPr>
      </w:pPr>
      <w:r w:rsidRPr="00BE13F4">
        <w:rPr>
          <w:rFonts w:ascii="Verdana" w:hAnsi="Verdana"/>
          <w:b/>
        </w:rPr>
        <w:t>SEGUNDO:</w:t>
      </w:r>
      <w:r w:rsidR="009505A1">
        <w:rPr>
          <w:rFonts w:ascii="Verdana" w:hAnsi="Verdana"/>
          <w:b/>
        </w:rPr>
        <w:t xml:space="preserve"> </w:t>
      </w:r>
      <w:r w:rsidR="009505A1">
        <w:rPr>
          <w:rFonts w:ascii="Verdana" w:hAnsi="Verdana"/>
          <w:bCs/>
        </w:rPr>
        <w:t>Luego de que quede en firme la presente providencia, p</w:t>
      </w:r>
      <w:r w:rsidRPr="00BE13F4">
        <w:rPr>
          <w:rFonts w:ascii="Verdana" w:hAnsi="Verdana"/>
        </w:rPr>
        <w:t xml:space="preserve">or Secretaría, </w:t>
      </w:r>
      <w:r w:rsidR="009505A1" w:rsidRPr="009505A1">
        <w:rPr>
          <w:rFonts w:ascii="Verdana" w:hAnsi="Verdana"/>
          <w:b/>
          <w:bCs/>
        </w:rPr>
        <w:t>INGRÉSESE</w:t>
      </w:r>
      <w:r w:rsidR="009505A1">
        <w:rPr>
          <w:rFonts w:ascii="Verdana" w:hAnsi="Verdana"/>
        </w:rPr>
        <w:t xml:space="preserve"> nuevamente </w:t>
      </w:r>
      <w:r>
        <w:rPr>
          <w:rFonts w:ascii="Verdana" w:hAnsi="Verdana"/>
        </w:rPr>
        <w:t xml:space="preserve">el expediente de la referencia </w:t>
      </w:r>
      <w:r w:rsidR="009505A1">
        <w:rPr>
          <w:rFonts w:ascii="Verdana" w:hAnsi="Verdana"/>
        </w:rPr>
        <w:t xml:space="preserve">al Despacho para resolver el recurso de apelación propuesto contra la decisión que declaró infundada la excepción de inepta demanda propuesta por la Fiscalía General de la Nación. </w:t>
      </w:r>
    </w:p>
    <w:p w14:paraId="78E8FDF8" w14:textId="77777777" w:rsidR="00F1634F" w:rsidRPr="00BE13F4" w:rsidRDefault="00F1634F" w:rsidP="00F1634F">
      <w:pPr>
        <w:spacing w:line="264" w:lineRule="auto"/>
        <w:jc w:val="both"/>
        <w:rPr>
          <w:rFonts w:ascii="Verdana" w:hAnsi="Verdana" w:cs="Arial"/>
        </w:rPr>
      </w:pPr>
    </w:p>
    <w:p w14:paraId="34F5A1D7" w14:textId="60A714D8" w:rsidR="31314C33" w:rsidRDefault="31314C33" w:rsidP="31314C33">
      <w:pPr>
        <w:spacing w:line="264" w:lineRule="auto"/>
        <w:jc w:val="both"/>
        <w:rPr>
          <w:rFonts w:ascii="Verdana" w:hAnsi="Verdana" w:cs="Arial"/>
        </w:rPr>
      </w:pPr>
    </w:p>
    <w:p w14:paraId="1D63FE3E" w14:textId="77777777" w:rsidR="00F1634F" w:rsidRPr="00BE13F4" w:rsidRDefault="00F1634F" w:rsidP="00F1634F">
      <w:pPr>
        <w:spacing w:line="264" w:lineRule="auto"/>
        <w:jc w:val="center"/>
        <w:rPr>
          <w:rFonts w:ascii="Verdana" w:hAnsi="Verdana" w:cs="Arial"/>
          <w:b/>
        </w:rPr>
      </w:pPr>
      <w:r w:rsidRPr="00BE13F4">
        <w:rPr>
          <w:rFonts w:ascii="Verdana" w:hAnsi="Verdana" w:cs="Arial"/>
          <w:b/>
        </w:rPr>
        <w:t>Notifíquese y Cúmplase</w:t>
      </w:r>
    </w:p>
    <w:p w14:paraId="201D60C6" w14:textId="77777777" w:rsidR="00F1634F" w:rsidRPr="00BE13F4" w:rsidRDefault="00F1634F" w:rsidP="00F1634F">
      <w:pPr>
        <w:spacing w:line="264" w:lineRule="auto"/>
        <w:jc w:val="center"/>
        <w:rPr>
          <w:rFonts w:ascii="Verdana" w:hAnsi="Verdana" w:cs="Arial"/>
        </w:rPr>
      </w:pPr>
    </w:p>
    <w:p w14:paraId="22165403" w14:textId="77777777" w:rsidR="00F1634F" w:rsidRPr="00BE13F4" w:rsidRDefault="00F1634F" w:rsidP="00F1634F">
      <w:pPr>
        <w:spacing w:line="264" w:lineRule="auto"/>
        <w:jc w:val="center"/>
        <w:rPr>
          <w:rFonts w:ascii="Verdana" w:hAnsi="Verdana" w:cs="Arial"/>
        </w:rPr>
      </w:pPr>
    </w:p>
    <w:p w14:paraId="4DA1C6E3" w14:textId="77777777" w:rsidR="00F1634F" w:rsidRDefault="00F1634F" w:rsidP="00F1634F">
      <w:pPr>
        <w:spacing w:line="264" w:lineRule="auto"/>
        <w:jc w:val="center"/>
        <w:rPr>
          <w:rFonts w:ascii="Verdana" w:hAnsi="Verdana" w:cs="Arial"/>
        </w:rPr>
      </w:pPr>
    </w:p>
    <w:p w14:paraId="0FD7E065" w14:textId="579D98D9" w:rsidR="00F1634F" w:rsidRPr="00BE13F4" w:rsidRDefault="3EC04679" w:rsidP="00F1634F">
      <w:pPr>
        <w:spacing w:line="264" w:lineRule="auto"/>
        <w:jc w:val="center"/>
        <w:rPr>
          <w:rFonts w:ascii="Verdana" w:hAnsi="Verdana" w:cs="Arial"/>
        </w:rPr>
      </w:pPr>
      <w:r w:rsidRPr="31314C33">
        <w:rPr>
          <w:rFonts w:ascii="Verdana" w:hAnsi="Verdana" w:cs="Arial"/>
        </w:rPr>
        <w:t>(notificado electrónicamente en SAMAI)</w:t>
      </w:r>
    </w:p>
    <w:p w14:paraId="67C84513" w14:textId="77777777" w:rsidR="00F1634F" w:rsidRPr="00CE4AD3" w:rsidRDefault="00F1634F" w:rsidP="00F1634F">
      <w:pPr>
        <w:spacing w:line="264" w:lineRule="auto"/>
        <w:jc w:val="center"/>
        <w:rPr>
          <w:rFonts w:ascii="Verdana" w:hAnsi="Verdana" w:cs="Arial"/>
          <w:b/>
          <w:sz w:val="22"/>
          <w:szCs w:val="22"/>
        </w:rPr>
      </w:pPr>
      <w:r w:rsidRPr="00CE4AD3">
        <w:rPr>
          <w:rFonts w:ascii="Verdana" w:hAnsi="Verdana" w:cs="Arial"/>
          <w:b/>
          <w:sz w:val="22"/>
          <w:szCs w:val="22"/>
        </w:rPr>
        <w:t>FABIO IVÁN AFANADOR GARCÍA</w:t>
      </w:r>
    </w:p>
    <w:p w14:paraId="090EE790" w14:textId="4725373B" w:rsidR="00F1634F" w:rsidRDefault="00F1634F" w:rsidP="00F1634F">
      <w:pPr>
        <w:spacing w:line="264" w:lineRule="auto"/>
        <w:jc w:val="center"/>
        <w:rPr>
          <w:rFonts w:ascii="Verdana" w:hAnsi="Verdana" w:cs="Arial"/>
          <w:b/>
          <w:bCs/>
          <w:sz w:val="22"/>
          <w:szCs w:val="22"/>
        </w:rPr>
      </w:pPr>
      <w:r w:rsidRPr="31314C33">
        <w:rPr>
          <w:rFonts w:ascii="Verdana" w:hAnsi="Verdana" w:cs="Arial"/>
          <w:b/>
          <w:bCs/>
          <w:sz w:val="22"/>
          <w:szCs w:val="22"/>
        </w:rPr>
        <w:t>Magistrado</w:t>
      </w:r>
    </w:p>
    <w:p w14:paraId="79C4BF00" w14:textId="0BE06AC6" w:rsidR="006041D3" w:rsidRDefault="006041D3" w:rsidP="00F1634F">
      <w:pPr>
        <w:spacing w:line="264" w:lineRule="auto"/>
        <w:jc w:val="center"/>
        <w:rPr>
          <w:rFonts w:ascii="Verdana" w:hAnsi="Verdana" w:cs="Arial"/>
          <w:b/>
          <w:bCs/>
          <w:sz w:val="22"/>
          <w:szCs w:val="22"/>
        </w:rPr>
      </w:pPr>
    </w:p>
    <w:p w14:paraId="3B6CE680" w14:textId="5BD39BA8" w:rsidR="006041D3" w:rsidRDefault="006041D3" w:rsidP="00F1634F">
      <w:pPr>
        <w:spacing w:line="264" w:lineRule="auto"/>
        <w:jc w:val="center"/>
        <w:rPr>
          <w:rFonts w:ascii="Verdana" w:hAnsi="Verdana" w:cs="Arial"/>
          <w:b/>
          <w:bCs/>
          <w:sz w:val="22"/>
          <w:szCs w:val="22"/>
        </w:rPr>
      </w:pPr>
    </w:p>
    <w:p w14:paraId="1864306C" w14:textId="77777777" w:rsidR="006041D3" w:rsidRPr="0026465E" w:rsidRDefault="006041D3" w:rsidP="006041D3">
      <w:pPr>
        <w:pStyle w:val="Textoindependiente"/>
        <w:rPr>
          <w:rFonts w:ascii="Verdana" w:hAnsi="Verdana"/>
          <w:b/>
          <w:bCs/>
          <w:sz w:val="18"/>
          <w:szCs w:val="18"/>
        </w:rPr>
      </w:pPr>
      <w:r w:rsidRPr="0026465E">
        <w:rPr>
          <w:rFonts w:ascii="Verdana" w:hAnsi="Verdana"/>
          <w:b/>
          <w:bCs/>
          <w:sz w:val="18"/>
          <w:szCs w:val="18"/>
          <w:lang w:val="es-CO"/>
        </w:rPr>
        <w:t>Constancia:</w:t>
      </w:r>
      <w:r w:rsidRPr="0026465E">
        <w:rPr>
          <w:rFonts w:ascii="Verdana" w:hAnsi="Verdana"/>
          <w:sz w:val="18"/>
          <w:szCs w:val="18"/>
          <w:lang w:val="es-CO"/>
        </w:rPr>
        <w:t xml:space="preserve"> “La presente providencia fue firmada electrónicamente por el Magistrado conductor del proceso en la plataforma denominada SAMAI. En consecuencia, se garantiza la autenticidad, integridad, conservación y posterior consulta, de conformidad con el artículo 186 del CPACA”.</w:t>
      </w:r>
    </w:p>
    <w:p w14:paraId="60077018" w14:textId="77777777" w:rsidR="006041D3" w:rsidRPr="00CE4AD3" w:rsidRDefault="006041D3" w:rsidP="00F1634F">
      <w:pPr>
        <w:spacing w:line="264" w:lineRule="auto"/>
        <w:jc w:val="center"/>
        <w:rPr>
          <w:rFonts w:ascii="Verdana" w:hAnsi="Verdana" w:cs="Arial"/>
          <w:b/>
          <w:sz w:val="22"/>
          <w:szCs w:val="22"/>
        </w:rPr>
      </w:pPr>
    </w:p>
    <w:p w14:paraId="1F14B463" w14:textId="04EACB48" w:rsidR="00511C1D" w:rsidRDefault="00F1634F" w:rsidP="31314C33">
      <w:pPr>
        <w:pStyle w:val="Textoindependiente"/>
        <w:spacing w:line="264" w:lineRule="auto"/>
        <w:jc w:val="left"/>
        <w:rPr>
          <w:rFonts w:ascii="Mistral" w:hAnsi="Mistral"/>
          <w:sz w:val="20"/>
          <w:szCs w:val="20"/>
          <w:lang w:val="es-ES"/>
        </w:rPr>
      </w:pPr>
      <w:r w:rsidRPr="31314C33">
        <w:rPr>
          <w:rFonts w:ascii="Mistral" w:hAnsi="Mistral"/>
          <w:sz w:val="20"/>
          <w:szCs w:val="20"/>
          <w:lang w:val="es-ES"/>
        </w:rPr>
        <w:t>MDM</w:t>
      </w:r>
    </w:p>
    <w:sectPr w:rsidR="00511C1D" w:rsidSect="00DC1B56">
      <w:headerReference w:type="even" r:id="rId9"/>
      <w:headerReference w:type="default" r:id="rId10"/>
      <w:footerReference w:type="default" r:id="rId11"/>
      <w:pgSz w:w="12242" w:h="18722" w:code="120"/>
      <w:pgMar w:top="1928" w:right="1814" w:bottom="1757" w:left="2098" w:header="624"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CF3F3" w14:textId="77777777" w:rsidR="00795967" w:rsidRDefault="00795967" w:rsidP="00F1634F">
      <w:r>
        <w:separator/>
      </w:r>
    </w:p>
  </w:endnote>
  <w:endnote w:type="continuationSeparator" w:id="0">
    <w:p w14:paraId="681C10EF" w14:textId="77777777" w:rsidR="00795967" w:rsidRDefault="00795967" w:rsidP="00F1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C0368" w14:textId="35F51342" w:rsidR="00BD7A4D" w:rsidRPr="00D419B1" w:rsidRDefault="009E718D" w:rsidP="00BD7A4D">
    <w:pPr>
      <w:pStyle w:val="Piedepgina"/>
      <w:jc w:val="center"/>
      <w:rPr>
        <w:rFonts w:ascii="Verdana" w:hAnsi="Verdana"/>
        <w:sz w:val="20"/>
        <w:szCs w:val="20"/>
      </w:rPr>
    </w:pPr>
    <w:r w:rsidRPr="00D419B1">
      <w:rPr>
        <w:rFonts w:ascii="Verdana" w:hAnsi="Verdana"/>
        <w:sz w:val="20"/>
        <w:szCs w:val="20"/>
      </w:rPr>
      <w:t>[</w:t>
    </w:r>
    <w:r w:rsidRPr="00D419B1">
      <w:rPr>
        <w:rFonts w:ascii="Verdana" w:hAnsi="Verdana"/>
        <w:sz w:val="20"/>
        <w:szCs w:val="20"/>
      </w:rPr>
      <w:fldChar w:fldCharType="begin"/>
    </w:r>
    <w:r w:rsidRPr="00D419B1">
      <w:rPr>
        <w:rFonts w:ascii="Verdana" w:hAnsi="Verdana"/>
        <w:sz w:val="20"/>
        <w:szCs w:val="20"/>
      </w:rPr>
      <w:instrText xml:space="preserve"> PAGE   \* MERGEFORMAT </w:instrText>
    </w:r>
    <w:r w:rsidRPr="00D419B1">
      <w:rPr>
        <w:rFonts w:ascii="Verdana" w:hAnsi="Verdana"/>
        <w:sz w:val="20"/>
        <w:szCs w:val="20"/>
      </w:rPr>
      <w:fldChar w:fldCharType="separate"/>
    </w:r>
    <w:r w:rsidR="00EE4078">
      <w:rPr>
        <w:rFonts w:ascii="Verdana" w:hAnsi="Verdana"/>
        <w:noProof/>
        <w:sz w:val="20"/>
        <w:szCs w:val="20"/>
      </w:rPr>
      <w:t>7</w:t>
    </w:r>
    <w:r w:rsidRPr="00D419B1">
      <w:rPr>
        <w:rFonts w:ascii="Verdana" w:hAnsi="Verdana"/>
        <w:sz w:val="20"/>
        <w:szCs w:val="20"/>
      </w:rPr>
      <w:fldChar w:fldCharType="end"/>
    </w:r>
    <w:r w:rsidRPr="00D419B1">
      <w:rPr>
        <w:rFonts w:ascii="Verdana" w:hAnsi="Verdana"/>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B5A67" w14:textId="77777777" w:rsidR="00795967" w:rsidRDefault="00795967" w:rsidP="00F1634F">
      <w:r>
        <w:separator/>
      </w:r>
    </w:p>
  </w:footnote>
  <w:footnote w:type="continuationSeparator" w:id="0">
    <w:p w14:paraId="16382600" w14:textId="77777777" w:rsidR="00795967" w:rsidRDefault="00795967" w:rsidP="00F1634F">
      <w:r>
        <w:continuationSeparator/>
      </w:r>
    </w:p>
  </w:footnote>
  <w:footnote w:id="1">
    <w:p w14:paraId="2890944F" w14:textId="77777777" w:rsidR="00D35863" w:rsidRPr="00C214E1" w:rsidRDefault="00D35863" w:rsidP="00D35863">
      <w:pPr>
        <w:pStyle w:val="a"/>
        <w:jc w:val="both"/>
        <w:rPr>
          <w:rFonts w:ascii="Verdana" w:hAnsi="Verdana" w:cs="Tahoma"/>
          <w:b w:val="0"/>
          <w:sz w:val="16"/>
          <w:szCs w:val="16"/>
        </w:rPr>
      </w:pPr>
      <w:r w:rsidRPr="00D56135">
        <w:rPr>
          <w:rStyle w:val="Refdenotaalpie"/>
          <w:rFonts w:ascii="Verdana" w:hAnsi="Verdana"/>
          <w:sz w:val="16"/>
          <w:szCs w:val="16"/>
        </w:rPr>
        <w:footnoteRef/>
      </w:r>
      <w:r w:rsidRPr="00D56135">
        <w:rPr>
          <w:rFonts w:ascii="Verdana" w:hAnsi="Verdana"/>
          <w:sz w:val="16"/>
          <w:szCs w:val="16"/>
        </w:rPr>
        <w:t xml:space="preserve"> </w:t>
      </w:r>
      <w:r w:rsidRPr="00F93869">
        <w:rPr>
          <w:b w:val="0"/>
          <w:sz w:val="16"/>
          <w:szCs w:val="16"/>
        </w:rPr>
        <w:t>Pro</w:t>
      </w:r>
      <w:r>
        <w:rPr>
          <w:b w:val="0"/>
          <w:sz w:val="16"/>
          <w:szCs w:val="16"/>
        </w:rPr>
        <w:t>vi</w:t>
      </w:r>
      <w:r w:rsidRPr="00F93869">
        <w:rPr>
          <w:b w:val="0"/>
          <w:sz w:val="16"/>
          <w:szCs w:val="16"/>
        </w:rPr>
        <w:t>dencia del</w:t>
      </w:r>
      <w:r>
        <w:rPr>
          <w:b w:val="0"/>
          <w:sz w:val="16"/>
          <w:szCs w:val="16"/>
        </w:rPr>
        <w:t xml:space="preserve"> H. </w:t>
      </w:r>
      <w:r w:rsidRPr="00F93869">
        <w:rPr>
          <w:rFonts w:ascii="Verdana" w:hAnsi="Verdana" w:cs="Tahoma"/>
          <w:b w:val="0"/>
          <w:sz w:val="16"/>
          <w:szCs w:val="16"/>
        </w:rPr>
        <w:t>Consejo</w:t>
      </w:r>
      <w:r>
        <w:rPr>
          <w:rFonts w:ascii="Verdana" w:hAnsi="Verdana" w:cs="Tahoma"/>
          <w:b w:val="0"/>
          <w:sz w:val="16"/>
          <w:szCs w:val="16"/>
        </w:rPr>
        <w:t xml:space="preserve"> d</w:t>
      </w:r>
      <w:r w:rsidRPr="00C214E1">
        <w:rPr>
          <w:rFonts w:ascii="Verdana" w:hAnsi="Verdana" w:cs="Tahoma"/>
          <w:b w:val="0"/>
          <w:sz w:val="16"/>
          <w:szCs w:val="16"/>
        </w:rPr>
        <w:t xml:space="preserve">e Estado </w:t>
      </w:r>
      <w:r>
        <w:rPr>
          <w:rFonts w:ascii="Verdana" w:hAnsi="Verdana" w:cs="Tahoma"/>
          <w:b w:val="0"/>
          <w:sz w:val="16"/>
          <w:szCs w:val="16"/>
        </w:rPr>
        <w:t>(</w:t>
      </w:r>
      <w:r w:rsidRPr="00C214E1">
        <w:rPr>
          <w:rFonts w:ascii="Verdana" w:hAnsi="Verdana" w:cs="Tahoma"/>
          <w:b w:val="0"/>
          <w:sz w:val="16"/>
          <w:szCs w:val="16"/>
        </w:rPr>
        <w:t xml:space="preserve">Sala Plena </w:t>
      </w:r>
      <w:r>
        <w:rPr>
          <w:rFonts w:ascii="Verdana" w:hAnsi="Verdana" w:cs="Tahoma"/>
          <w:b w:val="0"/>
          <w:sz w:val="16"/>
          <w:szCs w:val="16"/>
        </w:rPr>
        <w:t>d</w:t>
      </w:r>
      <w:r w:rsidRPr="00C214E1">
        <w:rPr>
          <w:rFonts w:ascii="Verdana" w:hAnsi="Verdana" w:cs="Tahoma"/>
          <w:b w:val="0"/>
          <w:sz w:val="16"/>
          <w:szCs w:val="16"/>
        </w:rPr>
        <w:t xml:space="preserve">e </w:t>
      </w:r>
      <w:r>
        <w:rPr>
          <w:rFonts w:ascii="Verdana" w:hAnsi="Verdana" w:cs="Tahoma"/>
          <w:b w:val="0"/>
          <w:sz w:val="16"/>
          <w:szCs w:val="16"/>
        </w:rPr>
        <w:t>l</w:t>
      </w:r>
      <w:r w:rsidRPr="00C214E1">
        <w:rPr>
          <w:rFonts w:ascii="Verdana" w:hAnsi="Verdana" w:cs="Tahoma"/>
          <w:b w:val="0"/>
          <w:sz w:val="16"/>
          <w:szCs w:val="16"/>
        </w:rPr>
        <w:t>o Contencioso Administrativo</w:t>
      </w:r>
      <w:r>
        <w:rPr>
          <w:rFonts w:ascii="Verdana" w:hAnsi="Verdana" w:cs="Tahoma"/>
          <w:b w:val="0"/>
          <w:sz w:val="16"/>
          <w:szCs w:val="16"/>
        </w:rPr>
        <w:t xml:space="preserve">) - </w:t>
      </w:r>
      <w:r w:rsidRPr="00C214E1">
        <w:rPr>
          <w:rFonts w:ascii="Verdana" w:hAnsi="Verdana" w:cs="Tahoma"/>
          <w:b w:val="0"/>
          <w:sz w:val="16"/>
          <w:szCs w:val="16"/>
        </w:rPr>
        <w:t xml:space="preserve"> C</w:t>
      </w:r>
      <w:r>
        <w:rPr>
          <w:rFonts w:ascii="Verdana" w:hAnsi="Verdana" w:cs="Tahoma"/>
          <w:b w:val="0"/>
          <w:sz w:val="16"/>
          <w:szCs w:val="16"/>
        </w:rPr>
        <w:t>.</w:t>
      </w:r>
      <w:r w:rsidRPr="00C214E1">
        <w:rPr>
          <w:rFonts w:ascii="Verdana" w:hAnsi="Verdana" w:cs="Tahoma"/>
          <w:b w:val="0"/>
          <w:sz w:val="16"/>
          <w:szCs w:val="16"/>
        </w:rPr>
        <w:t xml:space="preserve"> P</w:t>
      </w:r>
      <w:r>
        <w:rPr>
          <w:rFonts w:ascii="Verdana" w:hAnsi="Verdana" w:cs="Tahoma"/>
          <w:b w:val="0"/>
          <w:sz w:val="16"/>
          <w:szCs w:val="16"/>
        </w:rPr>
        <w:t xml:space="preserve">.: </w:t>
      </w:r>
      <w:r w:rsidRPr="00C214E1">
        <w:rPr>
          <w:rFonts w:ascii="Verdana" w:hAnsi="Verdana" w:cs="Tahoma"/>
          <w:b w:val="0"/>
          <w:sz w:val="16"/>
          <w:szCs w:val="16"/>
        </w:rPr>
        <w:t>Enrique Gil Botero</w:t>
      </w:r>
      <w:r>
        <w:rPr>
          <w:rFonts w:ascii="Verdana" w:hAnsi="Verdana" w:cs="Tahoma"/>
          <w:b w:val="0"/>
          <w:sz w:val="16"/>
          <w:szCs w:val="16"/>
        </w:rPr>
        <w:t xml:space="preserve"> de fecha:</w:t>
      </w:r>
      <w:r w:rsidRPr="00C214E1">
        <w:rPr>
          <w:rFonts w:ascii="Verdana" w:hAnsi="Verdana" w:cs="Tahoma"/>
          <w:b w:val="0"/>
          <w:sz w:val="16"/>
          <w:szCs w:val="16"/>
        </w:rPr>
        <w:t xml:space="preserve"> 25</w:t>
      </w:r>
      <w:r>
        <w:rPr>
          <w:rFonts w:ascii="Verdana" w:hAnsi="Verdana" w:cs="Tahoma"/>
          <w:b w:val="0"/>
          <w:sz w:val="16"/>
          <w:szCs w:val="16"/>
        </w:rPr>
        <w:t xml:space="preserve"> de j</w:t>
      </w:r>
      <w:r w:rsidRPr="00C214E1">
        <w:rPr>
          <w:rFonts w:ascii="Verdana" w:hAnsi="Verdana" w:cs="Tahoma"/>
          <w:b w:val="0"/>
          <w:sz w:val="16"/>
          <w:szCs w:val="16"/>
        </w:rPr>
        <w:t xml:space="preserve">unio </w:t>
      </w:r>
      <w:r>
        <w:rPr>
          <w:rFonts w:ascii="Verdana" w:hAnsi="Verdana" w:cs="Tahoma"/>
          <w:b w:val="0"/>
          <w:sz w:val="16"/>
          <w:szCs w:val="16"/>
        </w:rPr>
        <w:t xml:space="preserve">de </w:t>
      </w:r>
      <w:r w:rsidRPr="00C214E1">
        <w:rPr>
          <w:rFonts w:ascii="Verdana" w:hAnsi="Verdana" w:cs="Tahoma"/>
          <w:b w:val="0"/>
          <w:sz w:val="16"/>
          <w:szCs w:val="16"/>
        </w:rPr>
        <w:t>2014</w:t>
      </w:r>
      <w:r>
        <w:rPr>
          <w:rFonts w:ascii="Verdana" w:hAnsi="Verdana" w:cs="Tahoma"/>
          <w:b w:val="0"/>
          <w:sz w:val="16"/>
          <w:szCs w:val="16"/>
        </w:rPr>
        <w:t xml:space="preserve">, con radicado </w:t>
      </w:r>
      <w:r>
        <w:rPr>
          <w:rFonts w:ascii="Verdana" w:hAnsi="Verdana" w:cs="Tahoma"/>
          <w:b w:val="0"/>
          <w:iCs/>
          <w:sz w:val="16"/>
          <w:szCs w:val="16"/>
        </w:rPr>
        <w:t>2</w:t>
      </w:r>
      <w:r w:rsidRPr="00C214E1">
        <w:rPr>
          <w:rFonts w:ascii="Verdana" w:hAnsi="Verdana" w:cs="Tahoma"/>
          <w:b w:val="0"/>
          <w:iCs/>
          <w:sz w:val="16"/>
          <w:szCs w:val="16"/>
        </w:rPr>
        <w:t xml:space="preserve">5000-23-36-000-2012-00395-01 (IJ) </w:t>
      </w:r>
      <w:r>
        <w:rPr>
          <w:rFonts w:ascii="Verdana" w:hAnsi="Verdana" w:cs="Tahoma"/>
          <w:b w:val="0"/>
          <w:iCs/>
          <w:sz w:val="16"/>
          <w:szCs w:val="16"/>
        </w:rPr>
        <w:t xml:space="preserve">y </w:t>
      </w:r>
      <w:r w:rsidRPr="00C214E1">
        <w:rPr>
          <w:rFonts w:ascii="Verdana" w:hAnsi="Verdana" w:cs="Tahoma"/>
          <w:b w:val="0"/>
          <w:iCs/>
          <w:sz w:val="16"/>
          <w:szCs w:val="16"/>
        </w:rPr>
        <w:t>No</w:t>
      </w:r>
      <w:r>
        <w:rPr>
          <w:rFonts w:ascii="Verdana" w:hAnsi="Verdana" w:cs="Tahoma"/>
          <w:b w:val="0"/>
          <w:iCs/>
          <w:sz w:val="16"/>
          <w:szCs w:val="16"/>
        </w:rPr>
        <w:t>.</w:t>
      </w:r>
      <w:r w:rsidRPr="00C214E1">
        <w:rPr>
          <w:rFonts w:ascii="Verdana" w:hAnsi="Verdana" w:cs="Tahoma"/>
          <w:b w:val="0"/>
          <w:iCs/>
          <w:sz w:val="16"/>
          <w:szCs w:val="16"/>
        </w:rPr>
        <w:t xml:space="preserve"> Interno: </w:t>
      </w:r>
      <w:r>
        <w:rPr>
          <w:rFonts w:ascii="Verdana" w:hAnsi="Verdana" w:cs="Tahoma"/>
          <w:b w:val="0"/>
          <w:iCs/>
          <w:sz w:val="16"/>
          <w:szCs w:val="16"/>
        </w:rPr>
        <w:t>4</w:t>
      </w:r>
      <w:r w:rsidRPr="00C214E1">
        <w:rPr>
          <w:rFonts w:ascii="Verdana" w:hAnsi="Verdana" w:cs="Tahoma"/>
          <w:b w:val="0"/>
          <w:iCs/>
          <w:sz w:val="16"/>
          <w:szCs w:val="16"/>
        </w:rPr>
        <w:t>9.299</w:t>
      </w:r>
      <w:r>
        <w:rPr>
          <w:rFonts w:ascii="Verdana" w:hAnsi="Verdana" w:cs="Tahoma"/>
          <w:b w:val="0"/>
          <w:iCs/>
          <w:sz w:val="16"/>
          <w:szCs w:val="16"/>
        </w:rPr>
        <w:t xml:space="preserve">. (Medio de control reparación directa iniciada por </w:t>
      </w:r>
      <w:r w:rsidRPr="00C214E1">
        <w:rPr>
          <w:rFonts w:ascii="Verdana" w:hAnsi="Verdana" w:cs="Tahoma"/>
          <w:b w:val="0"/>
          <w:bCs/>
          <w:sz w:val="16"/>
          <w:szCs w:val="16"/>
        </w:rPr>
        <w:t>Café Salud Entidad Promotora De Salud S.A.</w:t>
      </w:r>
      <w:r>
        <w:rPr>
          <w:rFonts w:ascii="Verdana" w:hAnsi="Verdana" w:cs="Tahoma"/>
          <w:b w:val="0"/>
          <w:bCs/>
          <w:sz w:val="16"/>
          <w:szCs w:val="16"/>
        </w:rPr>
        <w:t xml:space="preserve"> en contra de</w:t>
      </w:r>
      <w:r>
        <w:rPr>
          <w:rFonts w:ascii="Verdana" w:hAnsi="Verdana" w:cs="Tahoma"/>
          <w:b w:val="0"/>
          <w:sz w:val="16"/>
          <w:szCs w:val="16"/>
        </w:rPr>
        <w:t xml:space="preserve"> </w:t>
      </w:r>
      <w:r w:rsidRPr="00C214E1">
        <w:rPr>
          <w:rFonts w:ascii="Verdana" w:hAnsi="Verdana" w:cs="Tahoma"/>
          <w:b w:val="0"/>
          <w:bCs/>
          <w:sz w:val="16"/>
          <w:szCs w:val="16"/>
        </w:rPr>
        <w:t xml:space="preserve">Nación-Ministerio </w:t>
      </w:r>
      <w:r>
        <w:rPr>
          <w:rFonts w:ascii="Verdana" w:hAnsi="Verdana" w:cs="Tahoma"/>
          <w:b w:val="0"/>
          <w:bCs/>
          <w:sz w:val="16"/>
          <w:szCs w:val="16"/>
        </w:rPr>
        <w:t>d</w:t>
      </w:r>
      <w:r w:rsidRPr="00C214E1">
        <w:rPr>
          <w:rFonts w:ascii="Verdana" w:hAnsi="Verdana" w:cs="Tahoma"/>
          <w:b w:val="0"/>
          <w:bCs/>
          <w:sz w:val="16"/>
          <w:szCs w:val="16"/>
        </w:rPr>
        <w:t xml:space="preserve">e Salud </w:t>
      </w:r>
      <w:r>
        <w:rPr>
          <w:rFonts w:ascii="Verdana" w:hAnsi="Verdana" w:cs="Tahoma"/>
          <w:b w:val="0"/>
          <w:bCs/>
          <w:sz w:val="16"/>
          <w:szCs w:val="16"/>
        </w:rPr>
        <w:t>y de l</w:t>
      </w:r>
      <w:r w:rsidRPr="00C214E1">
        <w:rPr>
          <w:rFonts w:ascii="Verdana" w:hAnsi="Verdana" w:cs="Tahoma"/>
          <w:b w:val="0"/>
          <w:bCs/>
          <w:sz w:val="16"/>
          <w:szCs w:val="16"/>
        </w:rPr>
        <w:t>a Protección Social</w:t>
      </w:r>
      <w:r>
        <w:rPr>
          <w:rFonts w:ascii="Verdana" w:hAnsi="Verdana" w:cs="Tahoma"/>
          <w:b w:val="0"/>
          <w:bCs/>
          <w:sz w:val="16"/>
          <w:szCs w:val="16"/>
        </w:rPr>
        <w:t xml:space="preserve">) - </w:t>
      </w:r>
      <w:r w:rsidRPr="00C214E1">
        <w:rPr>
          <w:rFonts w:ascii="Verdana" w:hAnsi="Verdana" w:cs="Tahoma"/>
          <w:b w:val="0"/>
          <w:sz w:val="16"/>
          <w:szCs w:val="16"/>
        </w:rPr>
        <w:t>Referencia</w:t>
      </w:r>
      <w:r>
        <w:rPr>
          <w:rFonts w:ascii="Verdana" w:hAnsi="Verdana" w:cs="Tahoma"/>
          <w:b w:val="0"/>
          <w:sz w:val="16"/>
          <w:szCs w:val="16"/>
        </w:rPr>
        <w:t xml:space="preserve">: </w:t>
      </w:r>
      <w:r w:rsidRPr="00C214E1">
        <w:rPr>
          <w:rFonts w:ascii="Verdana" w:hAnsi="Verdana" w:cs="Tahoma"/>
          <w:b w:val="0"/>
          <w:bCs/>
          <w:sz w:val="16"/>
          <w:szCs w:val="16"/>
        </w:rPr>
        <w:t xml:space="preserve">Recurso De Queja </w:t>
      </w:r>
    </w:p>
    <w:p w14:paraId="4D9651C5" w14:textId="77777777" w:rsidR="00D35863" w:rsidRPr="00C214E1" w:rsidRDefault="00D35863" w:rsidP="00D35863">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4EE54" w14:textId="77777777" w:rsidR="00BD7A4D" w:rsidRDefault="009E718D" w:rsidP="00BD7A4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17CD67" w14:textId="77777777" w:rsidR="00BD7A4D" w:rsidRDefault="00795967" w:rsidP="00BD7A4D">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DBBB" w14:textId="77777777" w:rsidR="00BD7A4D" w:rsidRDefault="009F2DFE" w:rsidP="00BD7A4D">
    <w:pPr>
      <w:jc w:val="right"/>
      <w:rPr>
        <w:rFonts w:ascii="Verdana" w:hAnsi="Verdana" w:cs="Arial"/>
        <w:iCs/>
        <w:sz w:val="16"/>
        <w:szCs w:val="16"/>
      </w:rPr>
    </w:pPr>
    <w:r>
      <w:rPr>
        <w:rFonts w:ascii="Verdana" w:hAnsi="Verdana" w:cs="Arial"/>
        <w:iCs/>
        <w:sz w:val="16"/>
        <w:szCs w:val="16"/>
      </w:rPr>
      <w:t>Radicación: 2018-00026-01</w:t>
    </w:r>
  </w:p>
  <w:p w14:paraId="64587FDB" w14:textId="77777777" w:rsidR="00BD7A4D" w:rsidRPr="006E3E2C" w:rsidRDefault="009E718D" w:rsidP="00BD7A4D">
    <w:pPr>
      <w:jc w:val="right"/>
      <w:rPr>
        <w:rFonts w:ascii="Verdana" w:hAnsi="Verdana" w:cs="Arial"/>
        <w:iCs/>
        <w:sz w:val="16"/>
        <w:szCs w:val="16"/>
      </w:rPr>
    </w:pPr>
    <w:r w:rsidRPr="006E3E2C">
      <w:rPr>
        <w:rFonts w:ascii="Verdana" w:hAnsi="Verdana" w:cs="Arial"/>
        <w:sz w:val="16"/>
        <w:szCs w:val="16"/>
      </w:rPr>
      <w:t xml:space="preserve">Demandante: </w:t>
    </w:r>
    <w:r w:rsidR="009F2DFE">
      <w:rPr>
        <w:rFonts w:ascii="Verdana" w:hAnsi="Verdana" w:cs="Arial"/>
        <w:sz w:val="16"/>
        <w:szCs w:val="16"/>
      </w:rPr>
      <w:t>Mauricio Andrés Pineda Contreras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E68FE"/>
    <w:multiLevelType w:val="hybridMultilevel"/>
    <w:tmpl w:val="167E54D2"/>
    <w:lvl w:ilvl="0" w:tplc="8BAA987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97304F8"/>
    <w:multiLevelType w:val="hybridMultilevel"/>
    <w:tmpl w:val="84B6DAE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615835"/>
    <w:multiLevelType w:val="hybridMultilevel"/>
    <w:tmpl w:val="5F6054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4F"/>
    <w:rsid w:val="000060CF"/>
    <w:rsid w:val="00013DBC"/>
    <w:rsid w:val="00065606"/>
    <w:rsid w:val="00072ECA"/>
    <w:rsid w:val="000B03F3"/>
    <w:rsid w:val="00103D1E"/>
    <w:rsid w:val="00145DAD"/>
    <w:rsid w:val="001B3537"/>
    <w:rsid w:val="001B5A36"/>
    <w:rsid w:val="001B7D2E"/>
    <w:rsid w:val="001C6D14"/>
    <w:rsid w:val="00264993"/>
    <w:rsid w:val="00287024"/>
    <w:rsid w:val="00295610"/>
    <w:rsid w:val="00314150"/>
    <w:rsid w:val="00317E9F"/>
    <w:rsid w:val="003A5C4B"/>
    <w:rsid w:val="003B5B21"/>
    <w:rsid w:val="003C1D23"/>
    <w:rsid w:val="003D1436"/>
    <w:rsid w:val="004913CB"/>
    <w:rsid w:val="0049221E"/>
    <w:rsid w:val="004B0392"/>
    <w:rsid w:val="004B1244"/>
    <w:rsid w:val="004C5BF2"/>
    <w:rsid w:val="005A719E"/>
    <w:rsid w:val="005B13F9"/>
    <w:rsid w:val="005D377B"/>
    <w:rsid w:val="006041D3"/>
    <w:rsid w:val="00620060"/>
    <w:rsid w:val="0062035C"/>
    <w:rsid w:val="006255A6"/>
    <w:rsid w:val="006269B4"/>
    <w:rsid w:val="00736310"/>
    <w:rsid w:val="00795967"/>
    <w:rsid w:val="007C653E"/>
    <w:rsid w:val="00862252"/>
    <w:rsid w:val="008812E0"/>
    <w:rsid w:val="008B1801"/>
    <w:rsid w:val="008B6C0A"/>
    <w:rsid w:val="008C15B6"/>
    <w:rsid w:val="008C1F65"/>
    <w:rsid w:val="00946875"/>
    <w:rsid w:val="009505A1"/>
    <w:rsid w:val="0095773B"/>
    <w:rsid w:val="009662D1"/>
    <w:rsid w:val="009E718D"/>
    <w:rsid w:val="009F2DFE"/>
    <w:rsid w:val="00A028D3"/>
    <w:rsid w:val="00A20C55"/>
    <w:rsid w:val="00A25AAB"/>
    <w:rsid w:val="00A4371A"/>
    <w:rsid w:val="00A4483B"/>
    <w:rsid w:val="00A44A35"/>
    <w:rsid w:val="00A45A70"/>
    <w:rsid w:val="00AB7C85"/>
    <w:rsid w:val="00AD2804"/>
    <w:rsid w:val="00AF3F53"/>
    <w:rsid w:val="00B30584"/>
    <w:rsid w:val="00BC646E"/>
    <w:rsid w:val="00BF0D6F"/>
    <w:rsid w:val="00C222E3"/>
    <w:rsid w:val="00C56D0E"/>
    <w:rsid w:val="00C8B60D"/>
    <w:rsid w:val="00D30A13"/>
    <w:rsid w:val="00D35863"/>
    <w:rsid w:val="00DE1524"/>
    <w:rsid w:val="00EB0AFD"/>
    <w:rsid w:val="00EC2C01"/>
    <w:rsid w:val="00EC3C71"/>
    <w:rsid w:val="00EE4078"/>
    <w:rsid w:val="00F1634F"/>
    <w:rsid w:val="00F25DB3"/>
    <w:rsid w:val="00F434D6"/>
    <w:rsid w:val="00F65CBC"/>
    <w:rsid w:val="00F96BE1"/>
    <w:rsid w:val="00FA48C9"/>
    <w:rsid w:val="00FC47F9"/>
    <w:rsid w:val="00FD2ADF"/>
    <w:rsid w:val="00FE7BA3"/>
    <w:rsid w:val="043A8AB9"/>
    <w:rsid w:val="04E10797"/>
    <w:rsid w:val="05440842"/>
    <w:rsid w:val="05E4ED04"/>
    <w:rsid w:val="076EF71E"/>
    <w:rsid w:val="08ACA64A"/>
    <w:rsid w:val="09B9A473"/>
    <w:rsid w:val="09E1A060"/>
    <w:rsid w:val="0A0C9E8B"/>
    <w:rsid w:val="0B716122"/>
    <w:rsid w:val="0C13E5F1"/>
    <w:rsid w:val="0C5D5F29"/>
    <w:rsid w:val="0E871059"/>
    <w:rsid w:val="0ECA1B8E"/>
    <w:rsid w:val="0F4D024B"/>
    <w:rsid w:val="0FBDD102"/>
    <w:rsid w:val="1122647E"/>
    <w:rsid w:val="1175AC6E"/>
    <w:rsid w:val="1246C030"/>
    <w:rsid w:val="135A817C"/>
    <w:rsid w:val="14E34562"/>
    <w:rsid w:val="1516AFE3"/>
    <w:rsid w:val="172EE992"/>
    <w:rsid w:val="18104BEC"/>
    <w:rsid w:val="1919C80C"/>
    <w:rsid w:val="19228F16"/>
    <w:rsid w:val="19C9C300"/>
    <w:rsid w:val="19CAE3B3"/>
    <w:rsid w:val="1B144DF3"/>
    <w:rsid w:val="1B168548"/>
    <w:rsid w:val="1B4C6B04"/>
    <w:rsid w:val="21BBAC88"/>
    <w:rsid w:val="22E23C57"/>
    <w:rsid w:val="23F525DF"/>
    <w:rsid w:val="255AD458"/>
    <w:rsid w:val="25AF41C6"/>
    <w:rsid w:val="263477C8"/>
    <w:rsid w:val="2697E4B5"/>
    <w:rsid w:val="27857537"/>
    <w:rsid w:val="28C4A099"/>
    <w:rsid w:val="29111291"/>
    <w:rsid w:val="2BEFC9A9"/>
    <w:rsid w:val="2DA31409"/>
    <w:rsid w:val="2F3EE46A"/>
    <w:rsid w:val="31314C33"/>
    <w:rsid w:val="32F44D97"/>
    <w:rsid w:val="332C3C2C"/>
    <w:rsid w:val="353CD7C0"/>
    <w:rsid w:val="359013E6"/>
    <w:rsid w:val="35E826CA"/>
    <w:rsid w:val="35F7F759"/>
    <w:rsid w:val="36177935"/>
    <w:rsid w:val="36207C3C"/>
    <w:rsid w:val="3653D44C"/>
    <w:rsid w:val="3707DC9E"/>
    <w:rsid w:val="375D9EEA"/>
    <w:rsid w:val="37990468"/>
    <w:rsid w:val="3A6D393F"/>
    <w:rsid w:val="3BD0081A"/>
    <w:rsid w:val="3C0D9E8D"/>
    <w:rsid w:val="3EC04679"/>
    <w:rsid w:val="43CF7A02"/>
    <w:rsid w:val="445234BE"/>
    <w:rsid w:val="46021CFA"/>
    <w:rsid w:val="47086A5B"/>
    <w:rsid w:val="470C7005"/>
    <w:rsid w:val="470E0B30"/>
    <w:rsid w:val="478C9C7D"/>
    <w:rsid w:val="4A42D21A"/>
    <w:rsid w:val="4AA30704"/>
    <w:rsid w:val="4AE11A14"/>
    <w:rsid w:val="4BC231AB"/>
    <w:rsid w:val="4E0567CB"/>
    <w:rsid w:val="514FCE9F"/>
    <w:rsid w:val="518DC61B"/>
    <w:rsid w:val="53650649"/>
    <w:rsid w:val="547BFD44"/>
    <w:rsid w:val="56CE09A3"/>
    <w:rsid w:val="58AB0764"/>
    <w:rsid w:val="590D29A6"/>
    <w:rsid w:val="59A9C24B"/>
    <w:rsid w:val="5B337665"/>
    <w:rsid w:val="5CB2D0DA"/>
    <w:rsid w:val="5E4B0861"/>
    <w:rsid w:val="5F5FA73A"/>
    <w:rsid w:val="5FC3C404"/>
    <w:rsid w:val="60FDD139"/>
    <w:rsid w:val="6182E7D4"/>
    <w:rsid w:val="61B2C48F"/>
    <w:rsid w:val="62B68B42"/>
    <w:rsid w:val="63825049"/>
    <w:rsid w:val="639B78A6"/>
    <w:rsid w:val="63D15E62"/>
    <w:rsid w:val="643D5725"/>
    <w:rsid w:val="6489C91D"/>
    <w:rsid w:val="64B25405"/>
    <w:rsid w:val="651E20AA"/>
    <w:rsid w:val="6543C8B8"/>
    <w:rsid w:val="65EBF8A3"/>
    <w:rsid w:val="6708FF24"/>
    <w:rsid w:val="69996BFC"/>
    <w:rsid w:val="6A409FE6"/>
    <w:rsid w:val="6B008573"/>
    <w:rsid w:val="6B8D622E"/>
    <w:rsid w:val="6D7303FA"/>
    <w:rsid w:val="6D7840A8"/>
    <w:rsid w:val="6E92872E"/>
    <w:rsid w:val="6FD201E9"/>
    <w:rsid w:val="70AAA4BC"/>
    <w:rsid w:val="710F2E68"/>
    <w:rsid w:val="730D32EE"/>
    <w:rsid w:val="785DD11D"/>
    <w:rsid w:val="78B8B9B8"/>
    <w:rsid w:val="7954ACD5"/>
    <w:rsid w:val="7B9571DF"/>
    <w:rsid w:val="7D1FB851"/>
    <w:rsid w:val="7D3F1CA8"/>
    <w:rsid w:val="7E2C5550"/>
    <w:rsid w:val="7F7F1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504B"/>
  <w15:docId w15:val="{9FA2A922-B441-4A45-AA30-193AFD53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34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B6C0A"/>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uiPriority w:val="9"/>
    <w:semiHidden/>
    <w:unhideWhenUsed/>
    <w:qFormat/>
    <w:rsid w:val="008B6C0A"/>
    <w:pPr>
      <w:keepNext/>
      <w:keepLines/>
      <w:spacing w:before="200" w:line="259"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1634F"/>
    <w:pPr>
      <w:tabs>
        <w:tab w:val="center" w:pos="4252"/>
        <w:tab w:val="right" w:pos="8504"/>
      </w:tabs>
    </w:pPr>
  </w:style>
  <w:style w:type="character" w:customStyle="1" w:styleId="EncabezadoCar">
    <w:name w:val="Encabezado Car"/>
    <w:basedOn w:val="Fuentedeprrafopredeter"/>
    <w:link w:val="Encabezado"/>
    <w:rsid w:val="00F1634F"/>
    <w:rPr>
      <w:rFonts w:ascii="Times New Roman" w:eastAsia="Times New Roman" w:hAnsi="Times New Roman" w:cs="Times New Roman"/>
      <w:sz w:val="24"/>
      <w:szCs w:val="24"/>
      <w:lang w:eastAsia="es-ES"/>
    </w:rPr>
  </w:style>
  <w:style w:type="character" w:styleId="Nmerodepgina">
    <w:name w:val="page number"/>
    <w:basedOn w:val="Fuentedeprrafopredeter"/>
    <w:rsid w:val="00F1634F"/>
  </w:style>
  <w:style w:type="paragraph" w:styleId="Textoindependiente">
    <w:name w:val="Body Text"/>
    <w:basedOn w:val="Normal"/>
    <w:link w:val="TextoindependienteCar"/>
    <w:rsid w:val="00F1634F"/>
    <w:pPr>
      <w:autoSpaceDE w:val="0"/>
      <w:autoSpaceDN w:val="0"/>
      <w:adjustRightInd w:val="0"/>
      <w:jc w:val="both"/>
    </w:pPr>
    <w:rPr>
      <w:rFonts w:ascii="Arial" w:hAnsi="Arial"/>
      <w:szCs w:val="28"/>
      <w:lang w:val="x-none" w:eastAsia="x-none"/>
    </w:rPr>
  </w:style>
  <w:style w:type="character" w:customStyle="1" w:styleId="TextoindependienteCar">
    <w:name w:val="Texto independiente Car"/>
    <w:basedOn w:val="Fuentedeprrafopredeter"/>
    <w:link w:val="Textoindependiente"/>
    <w:rsid w:val="00F1634F"/>
    <w:rPr>
      <w:rFonts w:ascii="Arial" w:eastAsia="Times New Roman" w:hAnsi="Arial" w:cs="Times New Roman"/>
      <w:sz w:val="24"/>
      <w:szCs w:val="28"/>
      <w:lang w:val="x-none" w:eastAsia="x-none"/>
    </w:rPr>
  </w:style>
  <w:style w:type="paragraph" w:styleId="Textonotapie">
    <w:name w:val="footnote text"/>
    <w:aliases w:val="MI NOTA PIE DE PÁGINA (TEXTO),Footnote Text Char Char Char Char Char,Footnote Text Char Char Char Char,Footnote reference,FA Fu,Footnote Text Cha,Footnote Text Char Char Char,FA Fußnotentext,FA Fuﬂnotentext,texto de nota al pie,ft, Car"/>
    <w:basedOn w:val="Normal"/>
    <w:link w:val="TextonotapieCar1"/>
    <w:qFormat/>
    <w:rsid w:val="00F1634F"/>
    <w:rPr>
      <w:sz w:val="20"/>
      <w:szCs w:val="20"/>
    </w:rPr>
  </w:style>
  <w:style w:type="character" w:customStyle="1" w:styleId="TextonotapieCar">
    <w:name w:val="Texto nota pie Car"/>
    <w:aliases w:val="ft Car"/>
    <w:basedOn w:val="Fuentedeprrafopredeter"/>
    <w:uiPriority w:val="99"/>
    <w:qFormat/>
    <w:rsid w:val="00F1634F"/>
    <w:rPr>
      <w:rFonts w:ascii="Times New Roman" w:eastAsia="Times New Roman" w:hAnsi="Times New Roman" w:cs="Times New Roman"/>
      <w:sz w:val="20"/>
      <w:szCs w:val="20"/>
      <w:lang w:eastAsia="es-ES"/>
    </w:rPr>
  </w:style>
  <w:style w:type="character" w:styleId="Refdenotaalpie">
    <w:name w:val="footnote reference"/>
    <w:aliases w:val="Ref. de nota al pie 2,Texto de nota al pie,Footnotes refss,Appel note de bas de page,referencia nota al pie,Pie de Página,FC,Texto de nota al pi,Footnote number,BVI fnr,f,4_G,16 Point,Superscript 6 Point,Texto nota al pie,Ref,F,4"/>
    <w:link w:val="4GChar"/>
    <w:qFormat/>
    <w:rsid w:val="00F1634F"/>
    <w:rPr>
      <w:vertAlign w:val="superscript"/>
    </w:rPr>
  </w:style>
  <w:style w:type="character" w:customStyle="1" w:styleId="TextonotapieCar1">
    <w:name w:val="Texto nota pie Car1"/>
    <w:aliases w:val="MI NOTA PIE DE PÁGINA (TEXTO) Car,Footnote Text Char Char Char Char Char Car,Footnote Text Char Char Char Char Car,Footnote reference Car,FA Fu Car,Footnote Text Cha Car,Footnote Text Char Char Char Car,FA Fußnotentext Car,ft Car1"/>
    <w:link w:val="Textonotapie"/>
    <w:rsid w:val="00F1634F"/>
    <w:rPr>
      <w:rFonts w:ascii="Times New Roman" w:eastAsia="Times New Roman" w:hAnsi="Times New Roman" w:cs="Times New Roman"/>
      <w:sz w:val="20"/>
      <w:szCs w:val="20"/>
      <w:lang w:eastAsia="es-ES"/>
    </w:rPr>
  </w:style>
  <w:style w:type="paragraph" w:styleId="Piedepgina">
    <w:name w:val="footer"/>
    <w:basedOn w:val="Normal"/>
    <w:link w:val="PiedepginaCar"/>
    <w:rsid w:val="00F1634F"/>
    <w:pPr>
      <w:tabs>
        <w:tab w:val="center" w:pos="4252"/>
        <w:tab w:val="right" w:pos="8504"/>
      </w:tabs>
    </w:pPr>
    <w:rPr>
      <w:lang w:val="x-none" w:eastAsia="x-none"/>
    </w:rPr>
  </w:style>
  <w:style w:type="character" w:customStyle="1" w:styleId="PiedepginaCar">
    <w:name w:val="Pie de página Car"/>
    <w:basedOn w:val="Fuentedeprrafopredeter"/>
    <w:link w:val="Piedepgina"/>
    <w:rsid w:val="00F1634F"/>
    <w:rPr>
      <w:rFonts w:ascii="Times New Roman" w:eastAsia="Times New Roman" w:hAnsi="Times New Roman" w:cs="Times New Roman"/>
      <w:sz w:val="24"/>
      <w:szCs w:val="24"/>
      <w:lang w:val="x-none" w:eastAsia="x-none"/>
    </w:rPr>
  </w:style>
  <w:style w:type="paragraph" w:styleId="Sangradetextonormal">
    <w:name w:val="Body Text Indent"/>
    <w:basedOn w:val="Normal"/>
    <w:link w:val="SangradetextonormalCar"/>
    <w:rsid w:val="00F1634F"/>
    <w:pPr>
      <w:spacing w:after="120"/>
      <w:ind w:left="283"/>
    </w:pPr>
    <w:rPr>
      <w:lang w:val="x-none" w:eastAsia="x-none"/>
    </w:rPr>
  </w:style>
  <w:style w:type="character" w:customStyle="1" w:styleId="SangradetextonormalCar">
    <w:name w:val="Sangría de texto normal Car"/>
    <w:basedOn w:val="Fuentedeprrafopredeter"/>
    <w:link w:val="Sangradetextonormal"/>
    <w:rsid w:val="00F1634F"/>
    <w:rPr>
      <w:rFonts w:ascii="Times New Roman" w:eastAsia="Times New Roman" w:hAnsi="Times New Roman" w:cs="Times New Roman"/>
      <w:sz w:val="24"/>
      <w:szCs w:val="24"/>
      <w:lang w:val="x-none" w:eastAsia="x-none"/>
    </w:rPr>
  </w:style>
  <w:style w:type="paragraph" w:styleId="Prrafodelista">
    <w:name w:val="List Paragraph"/>
    <w:basedOn w:val="Normal"/>
    <w:uiPriority w:val="34"/>
    <w:qFormat/>
    <w:rsid w:val="00F1634F"/>
    <w:pPr>
      <w:ind w:left="720"/>
      <w:contextualSpacing/>
    </w:pPr>
  </w:style>
  <w:style w:type="paragraph" w:styleId="Textodeglobo">
    <w:name w:val="Balloon Text"/>
    <w:basedOn w:val="Normal"/>
    <w:link w:val="TextodegloboCar"/>
    <w:uiPriority w:val="99"/>
    <w:semiHidden/>
    <w:unhideWhenUsed/>
    <w:rsid w:val="00F1634F"/>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34F"/>
    <w:rPr>
      <w:rFonts w:ascii="Tahoma" w:eastAsia="Times New Roman" w:hAnsi="Tahoma" w:cs="Tahoma"/>
      <w:sz w:val="16"/>
      <w:szCs w:val="16"/>
      <w:lang w:eastAsia="es-ES"/>
    </w:rPr>
  </w:style>
  <w:style w:type="character" w:customStyle="1" w:styleId="Ttulo1Car">
    <w:name w:val="Título 1 Car"/>
    <w:basedOn w:val="Fuentedeprrafopredeter"/>
    <w:link w:val="Ttulo1"/>
    <w:rsid w:val="008B6C0A"/>
    <w:rPr>
      <w:rFonts w:ascii="Arial" w:eastAsia="Times New Roman" w:hAnsi="Arial" w:cs="Arial"/>
      <w:b/>
      <w:bCs/>
      <w:kern w:val="32"/>
      <w:sz w:val="32"/>
      <w:szCs w:val="32"/>
      <w:lang w:eastAsia="es-ES"/>
    </w:rPr>
  </w:style>
  <w:style w:type="character" w:customStyle="1" w:styleId="Ttulo3Car">
    <w:name w:val="Título 3 Car"/>
    <w:basedOn w:val="Fuentedeprrafopredeter"/>
    <w:link w:val="Ttulo3"/>
    <w:uiPriority w:val="9"/>
    <w:semiHidden/>
    <w:rsid w:val="008B6C0A"/>
    <w:rPr>
      <w:rFonts w:asciiTheme="majorHAnsi" w:eastAsiaTheme="majorEastAsia" w:hAnsiTheme="majorHAnsi" w:cstheme="majorBidi"/>
      <w:b/>
      <w:bCs/>
      <w:color w:val="4F81BD" w:themeColor="accent1"/>
    </w:rPr>
  </w:style>
  <w:style w:type="paragraph" w:customStyle="1" w:styleId="Textodebloque1">
    <w:name w:val="Texto de bloque1"/>
    <w:basedOn w:val="Normal"/>
    <w:rsid w:val="008B6C0A"/>
    <w:pPr>
      <w:overflowPunct w:val="0"/>
      <w:autoSpaceDE w:val="0"/>
      <w:autoSpaceDN w:val="0"/>
      <w:adjustRightInd w:val="0"/>
      <w:spacing w:line="360" w:lineRule="auto"/>
      <w:ind w:left="360" w:right="51"/>
      <w:jc w:val="both"/>
    </w:pPr>
    <w:rPr>
      <w:rFonts w:ascii="Arial" w:hAnsi="Arial"/>
      <w:sz w:val="28"/>
      <w:szCs w:val="20"/>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8B6C0A"/>
    <w:pPr>
      <w:jc w:val="both"/>
    </w:pPr>
    <w:rPr>
      <w:rFonts w:asciiTheme="minorHAnsi" w:eastAsiaTheme="minorHAnsi" w:hAnsiTheme="minorHAnsi" w:cstheme="minorBidi"/>
      <w:sz w:val="22"/>
      <w:szCs w:val="22"/>
      <w:vertAlign w:val="superscript"/>
      <w:lang w:eastAsia="en-US"/>
    </w:rPr>
  </w:style>
  <w:style w:type="paragraph" w:customStyle="1" w:styleId="a">
    <w:basedOn w:val="Normal"/>
    <w:next w:val="Ttulo"/>
    <w:link w:val="PuestoCar"/>
    <w:uiPriority w:val="99"/>
    <w:qFormat/>
    <w:rsid w:val="00D35863"/>
    <w:pPr>
      <w:overflowPunct w:val="0"/>
      <w:autoSpaceDE w:val="0"/>
      <w:autoSpaceDN w:val="0"/>
      <w:adjustRightInd w:val="0"/>
      <w:jc w:val="center"/>
      <w:textAlignment w:val="baseline"/>
    </w:pPr>
    <w:rPr>
      <w:rFonts w:ascii="Arial" w:hAnsi="Arial"/>
      <w:b/>
      <w:szCs w:val="20"/>
    </w:rPr>
  </w:style>
  <w:style w:type="character" w:customStyle="1" w:styleId="PuestoCar">
    <w:name w:val="Puesto Car"/>
    <w:link w:val="a"/>
    <w:uiPriority w:val="99"/>
    <w:rsid w:val="00D35863"/>
    <w:rPr>
      <w:rFonts w:ascii="Arial" w:eastAsia="Times New Roman" w:hAnsi="Arial" w:cs="Times New Roman"/>
      <w:b/>
      <w:sz w:val="24"/>
      <w:szCs w:val="20"/>
      <w:lang w:val="es-ES" w:eastAsia="es-ES"/>
    </w:rPr>
  </w:style>
  <w:style w:type="paragraph" w:styleId="Ttulo">
    <w:name w:val="Title"/>
    <w:basedOn w:val="Normal"/>
    <w:next w:val="Normal"/>
    <w:link w:val="TtuloCar"/>
    <w:uiPriority w:val="10"/>
    <w:qFormat/>
    <w:rsid w:val="00D358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35863"/>
    <w:rPr>
      <w:rFonts w:asciiTheme="majorHAnsi" w:eastAsiaTheme="majorEastAsia" w:hAnsiTheme="majorHAnsi" w:cstheme="majorBidi"/>
      <w:color w:val="17365D" w:themeColor="text2" w:themeShade="BF"/>
      <w:spacing w:val="5"/>
      <w:kern w:val="28"/>
      <w:sz w:val="52"/>
      <w:szCs w:val="52"/>
      <w:lang w:eastAsia="es-ES"/>
    </w:rPr>
  </w:style>
  <w:style w:type="paragraph" w:styleId="NormalWeb">
    <w:name w:val="Normal (Web)"/>
    <w:basedOn w:val="Normal"/>
    <w:uiPriority w:val="99"/>
    <w:semiHidden/>
    <w:unhideWhenUsed/>
    <w:rsid w:val="00B30584"/>
    <w:pPr>
      <w:spacing w:before="100" w:beforeAutospacing="1" w:after="100" w:afterAutospacing="1"/>
    </w:pPr>
  </w:style>
  <w:style w:type="character" w:styleId="Hipervnculo">
    <w:name w:val="Hyperlink"/>
    <w:basedOn w:val="Fuentedeprrafopredeter"/>
    <w:uiPriority w:val="99"/>
    <w:semiHidden/>
    <w:unhideWhenUsed/>
    <w:rsid w:val="00B30584"/>
    <w:rPr>
      <w:color w:val="0000FF"/>
      <w:u w:val="single"/>
    </w:rPr>
  </w:style>
  <w:style w:type="character" w:customStyle="1" w:styleId="iaj">
    <w:name w:val="i_aj"/>
    <w:basedOn w:val="Fuentedeprrafopredeter"/>
    <w:rsid w:val="00B30584"/>
  </w:style>
  <w:style w:type="character" w:customStyle="1" w:styleId="baj">
    <w:name w:val="b_aj"/>
    <w:basedOn w:val="Fuentedeprrafopredeter"/>
    <w:rsid w:val="00A44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7590">
      <w:bodyDiv w:val="1"/>
      <w:marLeft w:val="0"/>
      <w:marRight w:val="0"/>
      <w:marTop w:val="0"/>
      <w:marBottom w:val="0"/>
      <w:divBdr>
        <w:top w:val="none" w:sz="0" w:space="0" w:color="auto"/>
        <w:left w:val="none" w:sz="0" w:space="0" w:color="auto"/>
        <w:bottom w:val="none" w:sz="0" w:space="0" w:color="auto"/>
        <w:right w:val="none" w:sz="0" w:space="0" w:color="auto"/>
      </w:divBdr>
    </w:div>
    <w:div w:id="1051539692">
      <w:bodyDiv w:val="1"/>
      <w:marLeft w:val="0"/>
      <w:marRight w:val="0"/>
      <w:marTop w:val="0"/>
      <w:marBottom w:val="0"/>
      <w:divBdr>
        <w:top w:val="none" w:sz="0" w:space="0" w:color="auto"/>
        <w:left w:val="none" w:sz="0" w:space="0" w:color="auto"/>
        <w:bottom w:val="none" w:sz="0" w:space="0" w:color="auto"/>
        <w:right w:val="none" w:sz="0" w:space="0" w:color="auto"/>
      </w:divBdr>
    </w:div>
    <w:div w:id="16697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8D997-8D78-43F6-9061-F2C554E3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2194</Words>
  <Characters>12506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GONZALO</cp:lastModifiedBy>
  <cp:revision>2</cp:revision>
  <dcterms:created xsi:type="dcterms:W3CDTF">2021-01-12T17:48:00Z</dcterms:created>
  <dcterms:modified xsi:type="dcterms:W3CDTF">2021-01-12T17:48:00Z</dcterms:modified>
</cp:coreProperties>
</file>