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A900" w14:textId="77777777" w:rsidR="00352278" w:rsidRPr="00A35861" w:rsidRDefault="00AE0C47" w:rsidP="00A35861">
      <w:pPr>
        <w:jc w:val="center"/>
      </w:pPr>
      <w:r w:rsidRPr="00A35861">
        <w:t>REPÚBLICA</w:t>
      </w:r>
      <w:r w:rsidRPr="00A35861">
        <w:rPr>
          <w:spacing w:val="-3"/>
        </w:rPr>
        <w:t xml:space="preserve"> </w:t>
      </w:r>
      <w:r w:rsidRPr="00A35861">
        <w:t>DE COLOMBIA</w:t>
      </w:r>
    </w:p>
    <w:p w14:paraId="702FA901" w14:textId="77777777" w:rsidR="00352278" w:rsidRPr="00A35861" w:rsidRDefault="00AE0C47" w:rsidP="00A35861">
      <w:pPr>
        <w:pStyle w:val="Textoindependiente"/>
        <w:jc w:val="center"/>
        <w:rPr>
          <w:sz w:val="22"/>
          <w:szCs w:val="22"/>
        </w:rPr>
      </w:pPr>
      <w:r w:rsidRPr="00A35861">
        <w:rPr>
          <w:noProof/>
          <w:sz w:val="22"/>
          <w:szCs w:val="22"/>
          <w:lang w:val="es-CO" w:eastAsia="es-CO"/>
        </w:rPr>
        <w:drawing>
          <wp:inline distT="0" distB="0" distL="0" distR="0" wp14:anchorId="702FA96F" wp14:editId="702FA970">
            <wp:extent cx="680263" cy="68313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0263" cy="683132"/>
                    </a:xfrm>
                    <a:prstGeom prst="rect">
                      <a:avLst/>
                    </a:prstGeom>
                  </pic:spPr>
                </pic:pic>
              </a:graphicData>
            </a:graphic>
          </wp:inline>
        </w:drawing>
      </w:r>
    </w:p>
    <w:p w14:paraId="5D48A478" w14:textId="77777777" w:rsidR="00A35861" w:rsidRPr="00A35861" w:rsidRDefault="00AE0C47" w:rsidP="00A35861">
      <w:pPr>
        <w:jc w:val="center"/>
        <w:rPr>
          <w:spacing w:val="-75"/>
        </w:rPr>
      </w:pPr>
      <w:r w:rsidRPr="00A35861">
        <w:t>TRIBUNAL</w:t>
      </w:r>
      <w:r w:rsidRPr="00A35861">
        <w:rPr>
          <w:spacing w:val="-5"/>
        </w:rPr>
        <w:t xml:space="preserve"> </w:t>
      </w:r>
      <w:r w:rsidRPr="00A35861">
        <w:t>ADMINISTRATIVO</w:t>
      </w:r>
      <w:r w:rsidRPr="00A35861">
        <w:rPr>
          <w:spacing w:val="-4"/>
        </w:rPr>
        <w:t xml:space="preserve"> </w:t>
      </w:r>
      <w:r w:rsidRPr="00A35861">
        <w:t>DE</w:t>
      </w:r>
      <w:r w:rsidRPr="00A35861">
        <w:rPr>
          <w:spacing w:val="-6"/>
        </w:rPr>
        <w:t xml:space="preserve"> </w:t>
      </w:r>
      <w:r w:rsidRPr="00A35861">
        <w:t>BOYACÁ</w:t>
      </w:r>
      <w:r w:rsidRPr="00A35861">
        <w:rPr>
          <w:spacing w:val="-75"/>
        </w:rPr>
        <w:t xml:space="preserve"> </w:t>
      </w:r>
    </w:p>
    <w:p w14:paraId="702FA902" w14:textId="031F908D" w:rsidR="00352278" w:rsidRPr="00A35861" w:rsidRDefault="00A35861" w:rsidP="00A35861">
      <w:pPr>
        <w:jc w:val="center"/>
      </w:pPr>
      <w:r w:rsidRPr="00A35861">
        <w:t>DESPACHO TRES DE ORALIDAD</w:t>
      </w:r>
    </w:p>
    <w:p w14:paraId="702FA903" w14:textId="77777777" w:rsidR="00352278" w:rsidRPr="000C6AFB" w:rsidRDefault="00352278" w:rsidP="000C6AFB">
      <w:pPr>
        <w:pStyle w:val="Textoindependiente"/>
        <w:spacing w:line="264" w:lineRule="auto"/>
      </w:pPr>
    </w:p>
    <w:p w14:paraId="702FA904" w14:textId="77777777" w:rsidR="00352278" w:rsidRPr="000C6AFB" w:rsidRDefault="00AE0C47" w:rsidP="000C6AFB">
      <w:pPr>
        <w:pStyle w:val="Textoindependiente"/>
        <w:spacing w:line="264" w:lineRule="auto"/>
        <w:jc w:val="center"/>
      </w:pPr>
      <w:r w:rsidRPr="000C6AFB">
        <w:t>Magistrado</w:t>
      </w:r>
      <w:r w:rsidRPr="000C6AFB">
        <w:rPr>
          <w:spacing w:val="-4"/>
        </w:rPr>
        <w:t xml:space="preserve"> </w:t>
      </w:r>
      <w:r w:rsidRPr="000C6AFB">
        <w:t>FABIO</w:t>
      </w:r>
      <w:r w:rsidRPr="000C6AFB">
        <w:rPr>
          <w:spacing w:val="-3"/>
        </w:rPr>
        <w:t xml:space="preserve"> </w:t>
      </w:r>
      <w:r w:rsidRPr="000C6AFB">
        <w:t>IVÁN</w:t>
      </w:r>
      <w:r w:rsidRPr="000C6AFB">
        <w:rPr>
          <w:spacing w:val="-3"/>
        </w:rPr>
        <w:t xml:space="preserve"> </w:t>
      </w:r>
      <w:r w:rsidRPr="000C6AFB">
        <w:t>AFANADOR GARCÍA</w:t>
      </w:r>
    </w:p>
    <w:p w14:paraId="702FA905" w14:textId="77777777" w:rsidR="00352278" w:rsidRPr="000C6AFB" w:rsidRDefault="00352278" w:rsidP="000C6AFB">
      <w:pPr>
        <w:pStyle w:val="Textoindependiente"/>
        <w:spacing w:line="264" w:lineRule="auto"/>
      </w:pPr>
    </w:p>
    <w:p w14:paraId="702FA906" w14:textId="77777777" w:rsidR="00352278" w:rsidRPr="000C6AFB" w:rsidRDefault="00352278" w:rsidP="000C6AFB">
      <w:pPr>
        <w:pStyle w:val="Textoindependiente"/>
        <w:spacing w:line="264" w:lineRule="auto"/>
      </w:pPr>
    </w:p>
    <w:p w14:paraId="702FA907" w14:textId="22A93C99" w:rsidR="00352278" w:rsidRPr="000C6AFB" w:rsidRDefault="00AE0C47" w:rsidP="000C6AFB">
      <w:pPr>
        <w:pStyle w:val="Textoindependiente"/>
        <w:spacing w:line="264" w:lineRule="auto"/>
        <w:jc w:val="center"/>
      </w:pPr>
      <w:r w:rsidRPr="000C6AFB">
        <w:t xml:space="preserve">Tunja, </w:t>
      </w:r>
      <w:r w:rsidR="00232F49" w:rsidRPr="000C6AFB">
        <w:rPr>
          <w:b/>
          <w:bCs/>
          <w:u w:val="single"/>
        </w:rPr>
        <w:t>10 DE MARZO DE 2021</w:t>
      </w:r>
    </w:p>
    <w:p w14:paraId="702FA908" w14:textId="77777777" w:rsidR="00352278" w:rsidRPr="000C6AFB" w:rsidRDefault="00352278" w:rsidP="000C6AFB">
      <w:pPr>
        <w:pStyle w:val="Textoindependiente"/>
        <w:spacing w:line="264" w:lineRule="auto"/>
      </w:pPr>
    </w:p>
    <w:p w14:paraId="702FA909" w14:textId="77777777" w:rsidR="00352278" w:rsidRPr="000C6AFB" w:rsidRDefault="00352278" w:rsidP="000C6AFB">
      <w:pPr>
        <w:pStyle w:val="Textoindependiente"/>
        <w:spacing w:line="264" w:lineRule="auto"/>
      </w:pPr>
    </w:p>
    <w:p w14:paraId="702FA90A" w14:textId="77777777" w:rsidR="00352278" w:rsidRPr="000C6AFB" w:rsidRDefault="00AE0C47" w:rsidP="000C6AFB">
      <w:pPr>
        <w:pStyle w:val="Ttulo2"/>
        <w:spacing w:line="264" w:lineRule="auto"/>
        <w:ind w:left="0"/>
      </w:pPr>
      <w:r w:rsidRPr="000C6AFB">
        <w:t>REFERENCIAS</w:t>
      </w:r>
    </w:p>
    <w:p w14:paraId="702FA90B" w14:textId="77777777" w:rsidR="00352278" w:rsidRPr="000C6AFB" w:rsidRDefault="00352278" w:rsidP="000C6AFB">
      <w:pPr>
        <w:pStyle w:val="Textoindependiente"/>
        <w:spacing w:line="264" w:lineRule="auto"/>
        <w:rPr>
          <w:b/>
        </w:rPr>
      </w:pPr>
    </w:p>
    <w:p w14:paraId="702FA90C" w14:textId="77777777" w:rsidR="00D931D9" w:rsidRPr="00A35861" w:rsidRDefault="00D931D9" w:rsidP="00A35861">
      <w:pPr>
        <w:rPr>
          <w:b/>
          <w:bCs/>
        </w:rPr>
      </w:pPr>
      <w:r w:rsidRPr="00A35861">
        <w:rPr>
          <w:b/>
          <w:bCs/>
        </w:rPr>
        <w:t xml:space="preserve">ACCIÓN POPULAR </w:t>
      </w:r>
    </w:p>
    <w:p w14:paraId="702FA90E" w14:textId="77777777" w:rsidR="00352278" w:rsidRPr="00A35861" w:rsidRDefault="00D931D9" w:rsidP="00A35861">
      <w:r w:rsidRPr="00A35861">
        <w:t>ACCIONANTE</w:t>
      </w:r>
      <w:r w:rsidR="00AE0C47" w:rsidRPr="00A35861">
        <w:t>:</w:t>
      </w:r>
      <w:r w:rsidR="00AE0C47" w:rsidRPr="00A35861">
        <w:tab/>
      </w:r>
      <w:r w:rsidR="00155D04" w:rsidRPr="00A35861">
        <w:t xml:space="preserve">YESID FIGUEROA GARCÍA  </w:t>
      </w:r>
    </w:p>
    <w:p w14:paraId="702FA90F" w14:textId="77777777" w:rsidR="00352278" w:rsidRPr="00A35861" w:rsidRDefault="00155D04" w:rsidP="00A35861">
      <w:r w:rsidRPr="00A35861">
        <w:t>ACCIONADO</w:t>
      </w:r>
      <w:r w:rsidR="00AE0C47" w:rsidRPr="00A35861">
        <w:t>:</w:t>
      </w:r>
      <w:r w:rsidR="00AE0C47" w:rsidRPr="00A35861">
        <w:tab/>
      </w:r>
      <w:r w:rsidR="00D931D9" w:rsidRPr="00A35861">
        <w:t xml:space="preserve">MUNICIPIO DE </w:t>
      </w:r>
      <w:r w:rsidRPr="00A35861">
        <w:t>TUNJA</w:t>
      </w:r>
    </w:p>
    <w:p w14:paraId="702FA910" w14:textId="77777777" w:rsidR="00352278" w:rsidRPr="00A35861" w:rsidRDefault="00AE0C47" w:rsidP="00A35861">
      <w:r w:rsidRPr="00A35861">
        <w:t>RADICACIÓN:</w:t>
      </w:r>
      <w:r w:rsidRPr="00A35861">
        <w:tab/>
      </w:r>
      <w:r w:rsidR="00D931D9" w:rsidRPr="00A35861">
        <w:t>15</w:t>
      </w:r>
      <w:r w:rsidR="00155D04" w:rsidRPr="00A35861">
        <w:t>0013333005 2020-</w:t>
      </w:r>
      <w:r w:rsidR="00D931D9" w:rsidRPr="00A35861">
        <w:t>00</w:t>
      </w:r>
      <w:r w:rsidR="00155D04" w:rsidRPr="00A35861">
        <w:t>175</w:t>
      </w:r>
      <w:r w:rsidR="00D931D9" w:rsidRPr="00A35861">
        <w:t xml:space="preserve"> 01</w:t>
      </w:r>
    </w:p>
    <w:p w14:paraId="702FA911" w14:textId="27312F54" w:rsidR="00352278" w:rsidRPr="00B83FF3" w:rsidRDefault="00352278" w:rsidP="00B83FF3">
      <w:pPr>
        <w:pStyle w:val="Textoindependiente"/>
        <w:rPr>
          <w:sz w:val="22"/>
          <w:szCs w:val="22"/>
        </w:rPr>
      </w:pPr>
    </w:p>
    <w:p w14:paraId="24F16A68" w14:textId="77740B6F" w:rsidR="00B83FF3" w:rsidRPr="00B83FF3" w:rsidRDefault="00B83FF3" w:rsidP="00B83FF3">
      <w:pPr>
        <w:pStyle w:val="Textoindependiente"/>
        <w:rPr>
          <w:b/>
          <w:bCs/>
          <w:sz w:val="22"/>
          <w:szCs w:val="22"/>
        </w:rPr>
      </w:pPr>
      <w:r w:rsidRPr="00B83FF3">
        <w:rPr>
          <w:b/>
          <w:bCs/>
          <w:sz w:val="22"/>
          <w:szCs w:val="22"/>
        </w:rPr>
        <w:t>ASUNTO:</w:t>
      </w:r>
      <w:r w:rsidRPr="00B83FF3">
        <w:rPr>
          <w:b/>
          <w:bCs/>
          <w:sz w:val="22"/>
          <w:szCs w:val="22"/>
        </w:rPr>
        <w:tab/>
      </w:r>
      <w:r w:rsidRPr="00B83FF3">
        <w:rPr>
          <w:b/>
          <w:bCs/>
          <w:sz w:val="22"/>
          <w:szCs w:val="22"/>
        </w:rPr>
        <w:tab/>
        <w:t>AUTO INTERLOCUTORIO RECHAZA APELACIÓN</w:t>
      </w:r>
    </w:p>
    <w:p w14:paraId="4FAAF667" w14:textId="77777777" w:rsidR="00A35861" w:rsidRDefault="00A35861" w:rsidP="000C6AFB">
      <w:pPr>
        <w:pStyle w:val="Textoindependiente"/>
        <w:spacing w:line="264" w:lineRule="auto"/>
        <w:jc w:val="both"/>
      </w:pPr>
    </w:p>
    <w:p w14:paraId="77BE6D1E" w14:textId="77777777" w:rsidR="00A35861" w:rsidRDefault="00A35861" w:rsidP="000C6AFB">
      <w:pPr>
        <w:pStyle w:val="Textoindependiente"/>
        <w:spacing w:line="264" w:lineRule="auto"/>
        <w:jc w:val="both"/>
      </w:pPr>
    </w:p>
    <w:p w14:paraId="702FA916" w14:textId="6CBBB292" w:rsidR="00352278" w:rsidRPr="000C6AFB" w:rsidRDefault="001531C0" w:rsidP="000C6AFB">
      <w:pPr>
        <w:pStyle w:val="Textoindependiente"/>
        <w:spacing w:line="264" w:lineRule="auto"/>
        <w:jc w:val="both"/>
      </w:pPr>
      <w:r w:rsidRPr="000C6AFB">
        <w:t xml:space="preserve">Corresponde al Despacho </w:t>
      </w:r>
      <w:r w:rsidR="00D931D9" w:rsidRPr="000C6AFB">
        <w:t xml:space="preserve">pronunciarse sobre el recurso de apelación interpuesto por el actor popular, contra el auto </w:t>
      </w:r>
      <w:r w:rsidR="00155D04" w:rsidRPr="000C6AFB">
        <w:t>d</w:t>
      </w:r>
      <w:r w:rsidR="00D931D9" w:rsidRPr="000C6AFB">
        <w:t xml:space="preserve">el </w:t>
      </w:r>
      <w:r w:rsidR="00155D04" w:rsidRPr="000C6AFB">
        <w:t>16</w:t>
      </w:r>
      <w:r w:rsidR="00D931D9" w:rsidRPr="000C6AFB">
        <w:t xml:space="preserve"> de </w:t>
      </w:r>
      <w:r w:rsidR="00155D04" w:rsidRPr="000C6AFB">
        <w:t>diciembre</w:t>
      </w:r>
      <w:r w:rsidR="00D931D9" w:rsidRPr="000C6AFB">
        <w:t xml:space="preserve"> de 202</w:t>
      </w:r>
      <w:r w:rsidR="00155D04" w:rsidRPr="000C6AFB">
        <w:t>0</w:t>
      </w:r>
      <w:r w:rsidR="00D931D9" w:rsidRPr="000C6AFB">
        <w:t xml:space="preserve"> </w:t>
      </w:r>
      <w:r w:rsidR="00155D04" w:rsidRPr="000C6AFB">
        <w:t xml:space="preserve">proferido </w:t>
      </w:r>
      <w:r w:rsidR="00D931D9" w:rsidRPr="000C6AFB">
        <w:t xml:space="preserve">por el </w:t>
      </w:r>
      <w:r w:rsidR="00AE0C47" w:rsidRPr="000C6AFB">
        <w:t>Juzgado</w:t>
      </w:r>
      <w:r w:rsidR="00AE0C47" w:rsidRPr="000C6AFB">
        <w:rPr>
          <w:spacing w:val="1"/>
        </w:rPr>
        <w:t xml:space="preserve"> </w:t>
      </w:r>
      <w:r w:rsidR="00155D04" w:rsidRPr="000C6AFB">
        <w:t>Quinto</w:t>
      </w:r>
      <w:r w:rsidR="00AE0C47" w:rsidRPr="000C6AFB">
        <w:rPr>
          <w:spacing w:val="1"/>
        </w:rPr>
        <w:t xml:space="preserve"> </w:t>
      </w:r>
      <w:r w:rsidR="00AE0C47" w:rsidRPr="000C6AFB">
        <w:t>Administrativo</w:t>
      </w:r>
      <w:r w:rsidR="00AE0C47" w:rsidRPr="000C6AFB">
        <w:rPr>
          <w:spacing w:val="1"/>
        </w:rPr>
        <w:t xml:space="preserve"> </w:t>
      </w:r>
      <w:r w:rsidR="00155D04" w:rsidRPr="000C6AFB">
        <w:t>de Tunja.</w:t>
      </w:r>
      <w:r w:rsidR="00D931D9" w:rsidRPr="000C6AFB">
        <w:t xml:space="preserve"> </w:t>
      </w:r>
    </w:p>
    <w:p w14:paraId="702FA917" w14:textId="015D0C2B" w:rsidR="00352278" w:rsidRDefault="00352278" w:rsidP="000C6AFB">
      <w:pPr>
        <w:pStyle w:val="Textoindependiente"/>
        <w:spacing w:line="264" w:lineRule="auto"/>
      </w:pPr>
    </w:p>
    <w:p w14:paraId="69A87508" w14:textId="77777777" w:rsidR="00A35861" w:rsidRPr="000C6AFB" w:rsidRDefault="00A35861" w:rsidP="000C6AFB">
      <w:pPr>
        <w:pStyle w:val="Textoindependiente"/>
        <w:spacing w:line="264" w:lineRule="auto"/>
      </w:pPr>
    </w:p>
    <w:p w14:paraId="702FA919" w14:textId="4A1F3875" w:rsidR="00352278" w:rsidRPr="00A35861" w:rsidRDefault="00A35861" w:rsidP="00A35861">
      <w:pPr>
        <w:spacing w:line="264" w:lineRule="auto"/>
        <w:jc w:val="center"/>
        <w:rPr>
          <w:b/>
          <w:bCs/>
          <w:sz w:val="26"/>
          <w:szCs w:val="26"/>
        </w:rPr>
      </w:pPr>
      <w:r w:rsidRPr="00A35861">
        <w:rPr>
          <w:b/>
          <w:bCs/>
          <w:sz w:val="26"/>
          <w:szCs w:val="26"/>
        </w:rPr>
        <w:t>I. A</w:t>
      </w:r>
      <w:r w:rsidR="00AE0C47" w:rsidRPr="00A35861">
        <w:rPr>
          <w:b/>
          <w:bCs/>
          <w:sz w:val="26"/>
          <w:szCs w:val="26"/>
        </w:rPr>
        <w:t>NTECEDENTES</w:t>
      </w:r>
    </w:p>
    <w:p w14:paraId="702FA91A" w14:textId="2AC5B480" w:rsidR="00352278" w:rsidRDefault="00352278" w:rsidP="000C6AFB">
      <w:pPr>
        <w:pStyle w:val="Textoindependiente"/>
        <w:spacing w:line="264" w:lineRule="auto"/>
        <w:rPr>
          <w:b/>
        </w:rPr>
      </w:pPr>
    </w:p>
    <w:p w14:paraId="7DAA5DB9" w14:textId="77777777" w:rsidR="00A35861" w:rsidRPr="000C6AFB" w:rsidRDefault="00A35861" w:rsidP="000C6AFB">
      <w:pPr>
        <w:pStyle w:val="Textoindependiente"/>
        <w:spacing w:line="264" w:lineRule="auto"/>
        <w:rPr>
          <w:b/>
        </w:rPr>
      </w:pPr>
    </w:p>
    <w:p w14:paraId="702FA91B" w14:textId="77777777" w:rsidR="00352278" w:rsidRPr="000C6AFB" w:rsidRDefault="00AE0C47" w:rsidP="000C6AFB">
      <w:pPr>
        <w:pStyle w:val="Prrafodelista"/>
        <w:numPr>
          <w:ilvl w:val="1"/>
          <w:numId w:val="3"/>
        </w:numPr>
        <w:tabs>
          <w:tab w:val="left" w:pos="1050"/>
        </w:tabs>
        <w:spacing w:line="264" w:lineRule="auto"/>
        <w:ind w:left="0" w:firstLine="0"/>
        <w:rPr>
          <w:sz w:val="24"/>
          <w:szCs w:val="24"/>
        </w:rPr>
      </w:pPr>
      <w:r w:rsidRPr="000C6AFB">
        <w:rPr>
          <w:b/>
          <w:sz w:val="24"/>
          <w:szCs w:val="24"/>
        </w:rPr>
        <w:t>Providencia</w:t>
      </w:r>
      <w:r w:rsidRPr="000C6AFB">
        <w:rPr>
          <w:b/>
          <w:spacing w:val="-5"/>
          <w:sz w:val="24"/>
          <w:szCs w:val="24"/>
        </w:rPr>
        <w:t xml:space="preserve"> </w:t>
      </w:r>
      <w:r w:rsidRPr="000C6AFB">
        <w:rPr>
          <w:b/>
          <w:sz w:val="24"/>
          <w:szCs w:val="24"/>
        </w:rPr>
        <w:t>recurrida</w:t>
      </w:r>
      <w:r w:rsidRPr="000C6AFB">
        <w:rPr>
          <w:sz w:val="24"/>
          <w:szCs w:val="24"/>
        </w:rPr>
        <w:t>.</w:t>
      </w:r>
    </w:p>
    <w:p w14:paraId="702FA91C" w14:textId="77777777" w:rsidR="00352278" w:rsidRPr="000C6AFB" w:rsidRDefault="00352278" w:rsidP="000C6AFB">
      <w:pPr>
        <w:pStyle w:val="Textoindependiente"/>
        <w:spacing w:line="264" w:lineRule="auto"/>
      </w:pPr>
    </w:p>
    <w:p w14:paraId="43918C1B" w14:textId="77777777" w:rsidR="00073429" w:rsidRDefault="0040128C" w:rsidP="000C6AFB">
      <w:pPr>
        <w:pStyle w:val="Textoindependiente"/>
        <w:spacing w:line="264" w:lineRule="auto"/>
        <w:jc w:val="both"/>
        <w:rPr>
          <w:spacing w:val="1"/>
        </w:rPr>
      </w:pPr>
      <w:r w:rsidRPr="000C6AFB">
        <w:t xml:space="preserve">Mediante providencia del </w:t>
      </w:r>
      <w:r w:rsidR="008768D0" w:rsidRPr="000C6AFB">
        <w:t>16</w:t>
      </w:r>
      <w:r w:rsidRPr="000C6AFB">
        <w:t xml:space="preserve"> de </w:t>
      </w:r>
      <w:r w:rsidR="008768D0" w:rsidRPr="000C6AFB">
        <w:t>diciembre</w:t>
      </w:r>
      <w:r w:rsidRPr="000C6AFB">
        <w:t xml:space="preserve"> de 20</w:t>
      </w:r>
      <w:r w:rsidR="008768D0" w:rsidRPr="000C6AFB">
        <w:t>20</w:t>
      </w:r>
      <w:r w:rsidRPr="000C6AFB">
        <w:t xml:space="preserve">, el </w:t>
      </w:r>
      <w:r w:rsidR="00AE0C47" w:rsidRPr="000C6AFB">
        <w:t xml:space="preserve">Juzgado </w:t>
      </w:r>
      <w:r w:rsidR="008768D0" w:rsidRPr="000C6AFB">
        <w:t>Quinto</w:t>
      </w:r>
      <w:r w:rsidR="00AE0C47" w:rsidRPr="000C6AFB">
        <w:t xml:space="preserve"> Administrativo de </w:t>
      </w:r>
      <w:r w:rsidR="008768D0" w:rsidRPr="000C6AFB">
        <w:t>Tunja</w:t>
      </w:r>
      <w:r w:rsidR="00AE0C47" w:rsidRPr="000C6AFB">
        <w:rPr>
          <w:spacing w:val="1"/>
        </w:rPr>
        <w:t xml:space="preserve"> </w:t>
      </w:r>
      <w:r w:rsidRPr="000C6AFB">
        <w:rPr>
          <w:spacing w:val="1"/>
        </w:rPr>
        <w:t>re</w:t>
      </w:r>
      <w:r w:rsidR="008768D0" w:rsidRPr="000C6AFB">
        <w:rPr>
          <w:spacing w:val="1"/>
        </w:rPr>
        <w:t>puso el auto admisorio de la demanda proferido el 26 de noviembre de 2020 y</w:t>
      </w:r>
      <w:r w:rsidR="00707D3E">
        <w:rPr>
          <w:spacing w:val="1"/>
        </w:rPr>
        <w:t>,</w:t>
      </w:r>
      <w:r w:rsidR="008768D0" w:rsidRPr="000C6AFB">
        <w:rPr>
          <w:spacing w:val="1"/>
        </w:rPr>
        <w:t xml:space="preserve"> en su lugar</w:t>
      </w:r>
      <w:r w:rsidR="00707D3E">
        <w:rPr>
          <w:spacing w:val="1"/>
        </w:rPr>
        <w:t>,</w:t>
      </w:r>
      <w:r w:rsidR="008768D0" w:rsidRPr="000C6AFB">
        <w:rPr>
          <w:spacing w:val="1"/>
        </w:rPr>
        <w:t xml:space="preserve"> rechazó la demanda </w:t>
      </w:r>
      <w:r w:rsidRPr="000C6AFB">
        <w:rPr>
          <w:spacing w:val="1"/>
        </w:rPr>
        <w:t xml:space="preserve">presentada por el señor </w:t>
      </w:r>
      <w:r w:rsidR="008768D0" w:rsidRPr="000C6AFB">
        <w:rPr>
          <w:spacing w:val="1"/>
        </w:rPr>
        <w:t xml:space="preserve">Yesid Figueroa García </w:t>
      </w:r>
      <w:r w:rsidRPr="000C6AFB">
        <w:rPr>
          <w:spacing w:val="1"/>
        </w:rPr>
        <w:t xml:space="preserve">contra el Municipio de </w:t>
      </w:r>
      <w:r w:rsidR="008768D0" w:rsidRPr="000C6AFB">
        <w:rPr>
          <w:spacing w:val="1"/>
        </w:rPr>
        <w:t>Tunja</w:t>
      </w:r>
      <w:r w:rsidRPr="000C6AFB">
        <w:rPr>
          <w:spacing w:val="1"/>
        </w:rPr>
        <w:t>, al considerar que se encontraba configurado el fenómeno de agotamiento de la jurisdicción.</w:t>
      </w:r>
    </w:p>
    <w:p w14:paraId="69739D42" w14:textId="77777777" w:rsidR="00073429" w:rsidRDefault="00073429" w:rsidP="000C6AFB">
      <w:pPr>
        <w:pStyle w:val="Textoindependiente"/>
        <w:spacing w:line="264" w:lineRule="auto"/>
        <w:jc w:val="both"/>
        <w:rPr>
          <w:spacing w:val="1"/>
        </w:rPr>
      </w:pPr>
    </w:p>
    <w:p w14:paraId="3E8C55A8" w14:textId="77777777" w:rsidR="00073429" w:rsidRDefault="00AE0C47" w:rsidP="000C6AFB">
      <w:pPr>
        <w:pStyle w:val="Textoindependiente"/>
        <w:spacing w:line="264" w:lineRule="auto"/>
        <w:jc w:val="both"/>
        <w:rPr>
          <w:spacing w:val="1"/>
        </w:rPr>
      </w:pPr>
      <w:r w:rsidRPr="000C6AFB">
        <w:t>Señaló</w:t>
      </w:r>
      <w:r w:rsidRPr="000C6AFB">
        <w:rPr>
          <w:spacing w:val="1"/>
        </w:rPr>
        <w:t xml:space="preserve"> </w:t>
      </w:r>
      <w:r w:rsidRPr="000C6AFB">
        <w:t>que</w:t>
      </w:r>
      <w:r w:rsidR="00707D3E">
        <w:t>,</w:t>
      </w:r>
      <w:r w:rsidRPr="000C6AFB">
        <w:rPr>
          <w:spacing w:val="1"/>
        </w:rPr>
        <w:t xml:space="preserve"> </w:t>
      </w:r>
      <w:r w:rsidR="008768D0" w:rsidRPr="000C6AFB">
        <w:rPr>
          <w:spacing w:val="1"/>
        </w:rPr>
        <w:t xml:space="preserve">de conformidad con las pruebas documentales aportadas por el Ente territorial accionado con el recurso de reposición, y la revisión realizada en el sistema de información judicial Siglo XXI, se pudo establecer que en el Juzgado Once Administrativo de Tunja cursa la acción popular No. 2020-00023, respecto de la cual se presenta identidad de causa petendi y de </w:t>
      </w:r>
      <w:r w:rsidR="008768D0" w:rsidRPr="000C6AFB">
        <w:rPr>
          <w:spacing w:val="1"/>
        </w:rPr>
        <w:lastRenderedPageBreak/>
        <w:t>demandado. Advirtió que las dos acciones populares se encaminan a realizar las acciones de inspección, control y vigilancia a que haya lugar, en relación con el contrato de obra pública que terminó con la construcción, terminación y entrega del patinódromo, así como adelantar</w:t>
      </w:r>
      <w:r w:rsidR="00514C9F" w:rsidRPr="000C6AFB">
        <w:rPr>
          <w:spacing w:val="1"/>
        </w:rPr>
        <w:t xml:space="preserve"> contra los contratistas, las acciones judiciales correspondientes.</w:t>
      </w:r>
    </w:p>
    <w:p w14:paraId="3C4B64C8" w14:textId="77777777" w:rsidR="00073429" w:rsidRDefault="00073429" w:rsidP="000C6AFB">
      <w:pPr>
        <w:pStyle w:val="Textoindependiente"/>
        <w:spacing w:line="264" w:lineRule="auto"/>
        <w:jc w:val="both"/>
        <w:rPr>
          <w:spacing w:val="1"/>
        </w:rPr>
      </w:pPr>
    </w:p>
    <w:p w14:paraId="702FA922" w14:textId="190EAD2C" w:rsidR="00514C9F" w:rsidRPr="000C6AFB" w:rsidRDefault="00514C9F" w:rsidP="000C6AFB">
      <w:pPr>
        <w:pStyle w:val="Textoindependiente"/>
        <w:spacing w:line="264" w:lineRule="auto"/>
        <w:jc w:val="both"/>
        <w:rPr>
          <w:spacing w:val="1"/>
        </w:rPr>
      </w:pPr>
      <w:r w:rsidRPr="000C6AFB">
        <w:rPr>
          <w:spacing w:val="1"/>
        </w:rPr>
        <w:t xml:space="preserve">Sin embargo, puso de presente que la </w:t>
      </w:r>
      <w:r w:rsidR="00707D3E">
        <w:rPr>
          <w:spacing w:val="1"/>
        </w:rPr>
        <w:t>L</w:t>
      </w:r>
      <w:r w:rsidRPr="000C6AFB">
        <w:rPr>
          <w:spacing w:val="1"/>
        </w:rPr>
        <w:t xml:space="preserve">itis se trabó dentro de la acción popular que cursa en el </w:t>
      </w:r>
      <w:r w:rsidR="00073429">
        <w:rPr>
          <w:spacing w:val="1"/>
        </w:rPr>
        <w:t>J</w:t>
      </w:r>
      <w:r w:rsidRPr="000C6AFB">
        <w:rPr>
          <w:spacing w:val="1"/>
        </w:rPr>
        <w:t xml:space="preserve">uzgado </w:t>
      </w:r>
      <w:r w:rsidR="00073429">
        <w:rPr>
          <w:spacing w:val="1"/>
        </w:rPr>
        <w:t>11</w:t>
      </w:r>
      <w:r w:rsidRPr="000C6AFB">
        <w:rPr>
          <w:spacing w:val="1"/>
        </w:rPr>
        <w:t xml:space="preserve">, toda vez que </w:t>
      </w:r>
      <w:r w:rsidR="00F511B4">
        <w:rPr>
          <w:spacing w:val="1"/>
        </w:rPr>
        <w:t xml:space="preserve">el </w:t>
      </w:r>
      <w:r w:rsidRPr="000C6AFB">
        <w:rPr>
          <w:spacing w:val="1"/>
        </w:rPr>
        <w:t xml:space="preserve">5 de marzo de 2020 se notificó al Municipio de Tunja, en tanto dentro del radicado 2020-00175, aún no se ha notificado al Ente demandado. </w:t>
      </w:r>
    </w:p>
    <w:p w14:paraId="702FA923" w14:textId="77777777" w:rsidR="00514C9F" w:rsidRPr="000C6AFB" w:rsidRDefault="00514C9F" w:rsidP="000C6AFB">
      <w:pPr>
        <w:pStyle w:val="Textoindependiente"/>
        <w:spacing w:line="264" w:lineRule="auto"/>
        <w:jc w:val="both"/>
        <w:rPr>
          <w:spacing w:val="1"/>
        </w:rPr>
      </w:pPr>
    </w:p>
    <w:p w14:paraId="702FA924" w14:textId="77777777" w:rsidR="00514C9F" w:rsidRPr="000C6AFB" w:rsidRDefault="00514C9F" w:rsidP="000C6AFB">
      <w:pPr>
        <w:pStyle w:val="Textoindependiente"/>
        <w:spacing w:line="264" w:lineRule="auto"/>
        <w:jc w:val="both"/>
        <w:rPr>
          <w:spacing w:val="1"/>
        </w:rPr>
      </w:pPr>
      <w:r w:rsidRPr="000C6AFB">
        <w:rPr>
          <w:spacing w:val="1"/>
        </w:rPr>
        <w:t xml:space="preserve">En virtud de ello, consideró que se configuraba el agotamiento de jurisdicción, repuso el auto admisorio de la demanda del 26 de noviembre de 2020, dispuso el rechazo de </w:t>
      </w:r>
      <w:proofErr w:type="gramStart"/>
      <w:r w:rsidRPr="000C6AFB">
        <w:rPr>
          <w:spacing w:val="1"/>
        </w:rPr>
        <w:t>la misma</w:t>
      </w:r>
      <w:proofErr w:type="gramEnd"/>
      <w:r w:rsidRPr="000C6AFB">
        <w:rPr>
          <w:spacing w:val="1"/>
        </w:rPr>
        <w:t xml:space="preserve">, y no accedió a la solicitud del accionante de remitir los documentos al Juzgado Once Administrativo de Tunja, al considerar que no era procedente la acumulación de acciones populares. </w:t>
      </w:r>
    </w:p>
    <w:p w14:paraId="702FA925" w14:textId="77777777" w:rsidR="00514C9F" w:rsidRPr="000C6AFB" w:rsidRDefault="00514C9F" w:rsidP="000C6AFB">
      <w:pPr>
        <w:pStyle w:val="Textoindependiente"/>
        <w:spacing w:line="264" w:lineRule="auto"/>
        <w:jc w:val="both"/>
        <w:rPr>
          <w:spacing w:val="1"/>
        </w:rPr>
      </w:pPr>
    </w:p>
    <w:p w14:paraId="702FA926" w14:textId="77777777" w:rsidR="00352278" w:rsidRPr="000C6AFB" w:rsidRDefault="00352278" w:rsidP="000C6AFB">
      <w:pPr>
        <w:pStyle w:val="Textoindependiente"/>
        <w:spacing w:line="264" w:lineRule="auto"/>
      </w:pPr>
    </w:p>
    <w:p w14:paraId="702FA927" w14:textId="77777777" w:rsidR="00352278" w:rsidRPr="000C6AFB" w:rsidRDefault="00AE0C47" w:rsidP="000C6AFB">
      <w:pPr>
        <w:pStyle w:val="Prrafodelista"/>
        <w:numPr>
          <w:ilvl w:val="1"/>
          <w:numId w:val="3"/>
        </w:numPr>
        <w:tabs>
          <w:tab w:val="left" w:pos="1050"/>
        </w:tabs>
        <w:spacing w:line="264" w:lineRule="auto"/>
        <w:ind w:left="0" w:firstLine="0"/>
        <w:rPr>
          <w:sz w:val="24"/>
          <w:szCs w:val="24"/>
        </w:rPr>
      </w:pPr>
      <w:r w:rsidRPr="000C6AFB">
        <w:rPr>
          <w:b/>
          <w:sz w:val="24"/>
          <w:szCs w:val="24"/>
        </w:rPr>
        <w:t>Recurso</w:t>
      </w:r>
      <w:r w:rsidRPr="000C6AFB">
        <w:rPr>
          <w:b/>
          <w:spacing w:val="-4"/>
          <w:sz w:val="24"/>
          <w:szCs w:val="24"/>
        </w:rPr>
        <w:t xml:space="preserve"> </w:t>
      </w:r>
      <w:r w:rsidRPr="000C6AFB">
        <w:rPr>
          <w:b/>
          <w:sz w:val="24"/>
          <w:szCs w:val="24"/>
        </w:rPr>
        <w:t>de</w:t>
      </w:r>
      <w:r w:rsidRPr="000C6AFB">
        <w:rPr>
          <w:b/>
          <w:spacing w:val="-3"/>
          <w:sz w:val="24"/>
          <w:szCs w:val="24"/>
        </w:rPr>
        <w:t xml:space="preserve"> </w:t>
      </w:r>
      <w:r w:rsidRPr="000C6AFB">
        <w:rPr>
          <w:b/>
          <w:sz w:val="24"/>
          <w:szCs w:val="24"/>
        </w:rPr>
        <w:t>apelación</w:t>
      </w:r>
      <w:r w:rsidRPr="000C6AFB">
        <w:rPr>
          <w:sz w:val="24"/>
          <w:szCs w:val="24"/>
        </w:rPr>
        <w:t>.</w:t>
      </w:r>
    </w:p>
    <w:p w14:paraId="702FA928" w14:textId="77777777" w:rsidR="00352278" w:rsidRPr="000C6AFB" w:rsidRDefault="00352278" w:rsidP="000C6AFB">
      <w:pPr>
        <w:pStyle w:val="Textoindependiente"/>
        <w:spacing w:line="264" w:lineRule="auto"/>
      </w:pPr>
    </w:p>
    <w:p w14:paraId="702FA929" w14:textId="77777777" w:rsidR="00514C9F" w:rsidRPr="000C6AFB" w:rsidRDefault="00514C9F" w:rsidP="000C6AFB">
      <w:pPr>
        <w:pStyle w:val="Textoindependiente"/>
        <w:spacing w:line="264" w:lineRule="auto"/>
        <w:jc w:val="both"/>
      </w:pPr>
      <w:r w:rsidRPr="000C6AFB">
        <w:t>Manifestó estar i</w:t>
      </w:r>
      <w:r w:rsidR="00AE0C47" w:rsidRPr="000C6AFB">
        <w:t xml:space="preserve">nconforme con la determinación del </w:t>
      </w:r>
      <w:r w:rsidR="00AE0C47" w:rsidRPr="000C6AFB">
        <w:rPr>
          <w:i/>
        </w:rPr>
        <w:t>A quo</w:t>
      </w:r>
      <w:r w:rsidR="00AE0C47" w:rsidRPr="000C6AFB">
        <w:t xml:space="preserve">, </w:t>
      </w:r>
      <w:r w:rsidRPr="000C6AFB">
        <w:t xml:space="preserve">únicamente en el aparte que negó su solicitud de enviar la demanda, anexos y demás actuaciones al Juzgado Once Administrativo de Tunja, para que fuera reconocido como coadyuvante, precisando que en ningún momento pretendió la acumulación de acciones, sino que su petición se encaminaba a dar aplicación al artículo 24 de la Ley 472 de 1998. </w:t>
      </w:r>
    </w:p>
    <w:p w14:paraId="702FA92A" w14:textId="77777777" w:rsidR="00514C9F" w:rsidRPr="000C6AFB" w:rsidRDefault="00514C9F" w:rsidP="000C6AFB">
      <w:pPr>
        <w:pStyle w:val="Textoindependiente"/>
        <w:spacing w:line="264" w:lineRule="auto"/>
        <w:jc w:val="both"/>
      </w:pPr>
    </w:p>
    <w:p w14:paraId="702FA92B" w14:textId="77777777" w:rsidR="00352278" w:rsidRPr="000C6AFB" w:rsidRDefault="00352278" w:rsidP="000C6AFB">
      <w:pPr>
        <w:pStyle w:val="Textoindependiente"/>
        <w:spacing w:line="264" w:lineRule="auto"/>
      </w:pPr>
    </w:p>
    <w:p w14:paraId="702FA92C" w14:textId="4821E0FC" w:rsidR="00352278" w:rsidRPr="002453BC" w:rsidRDefault="002453BC" w:rsidP="002453BC">
      <w:pPr>
        <w:spacing w:line="264" w:lineRule="auto"/>
        <w:jc w:val="center"/>
        <w:rPr>
          <w:b/>
          <w:bCs/>
          <w:sz w:val="26"/>
          <w:szCs w:val="26"/>
        </w:rPr>
      </w:pPr>
      <w:r>
        <w:rPr>
          <w:b/>
          <w:bCs/>
          <w:sz w:val="26"/>
          <w:szCs w:val="26"/>
        </w:rPr>
        <w:t xml:space="preserve">II.  </w:t>
      </w:r>
      <w:r w:rsidR="00AE0C47" w:rsidRPr="002453BC">
        <w:rPr>
          <w:b/>
          <w:bCs/>
          <w:sz w:val="26"/>
          <w:szCs w:val="26"/>
        </w:rPr>
        <w:t>CONSIDERACIONES</w:t>
      </w:r>
    </w:p>
    <w:p w14:paraId="702FA92D" w14:textId="77777777" w:rsidR="00352278" w:rsidRPr="000C6AFB" w:rsidRDefault="00352278" w:rsidP="000C6AFB">
      <w:pPr>
        <w:pStyle w:val="Textoindependiente"/>
        <w:spacing w:line="264" w:lineRule="auto"/>
        <w:rPr>
          <w:b/>
        </w:rPr>
      </w:pPr>
    </w:p>
    <w:p w14:paraId="702FA92E" w14:textId="77777777" w:rsidR="00352278" w:rsidRPr="000C6AFB" w:rsidRDefault="00352278" w:rsidP="000C6AFB">
      <w:pPr>
        <w:pStyle w:val="Textoindependiente"/>
        <w:spacing w:line="264" w:lineRule="auto"/>
        <w:rPr>
          <w:b/>
        </w:rPr>
      </w:pPr>
    </w:p>
    <w:p w14:paraId="702FA931" w14:textId="0E8294FC" w:rsidR="009C369F" w:rsidRPr="000C6AFB" w:rsidRDefault="00880183" w:rsidP="000C6AFB">
      <w:pPr>
        <w:pStyle w:val="Textoindependiente"/>
        <w:spacing w:line="264" w:lineRule="auto"/>
        <w:jc w:val="both"/>
      </w:pPr>
      <w:r w:rsidRPr="000C6AFB">
        <w:t xml:space="preserve">En cumplimiento del mandato contenido en el artículo 88 de la Constitución Política, el legislador expidió la Ley 472 de 1998 a través de la cual se regularon las acciones populares y de grupo, allí se reglamenta lo relativo a su trámite y procedencia, entre otros aspectos. En cuanto a los recursos procedentes en el </w:t>
      </w:r>
      <w:r w:rsidR="009C369F" w:rsidRPr="000C6AFB">
        <w:t>trámite</w:t>
      </w:r>
      <w:r w:rsidRPr="000C6AFB">
        <w:t xml:space="preserve"> de la acción popular, </w:t>
      </w:r>
      <w:r w:rsidR="009C369F" w:rsidRPr="000C6AFB">
        <w:t xml:space="preserve">los artículos 36 y 37 disponen: </w:t>
      </w:r>
    </w:p>
    <w:p w14:paraId="702FA932" w14:textId="77777777" w:rsidR="009C369F" w:rsidRPr="000C6AFB" w:rsidRDefault="009C369F" w:rsidP="000C6AFB">
      <w:pPr>
        <w:pStyle w:val="Textoindependiente"/>
        <w:spacing w:line="264" w:lineRule="auto"/>
        <w:jc w:val="both"/>
      </w:pPr>
    </w:p>
    <w:p w14:paraId="702FA933" w14:textId="77777777" w:rsidR="009C369F" w:rsidRPr="000C6AFB" w:rsidRDefault="009C369F" w:rsidP="000C6AFB">
      <w:pPr>
        <w:pStyle w:val="Textoindependiente"/>
        <w:spacing w:line="264" w:lineRule="auto"/>
        <w:jc w:val="both"/>
      </w:pPr>
    </w:p>
    <w:p w14:paraId="702FA934" w14:textId="77777777" w:rsidR="009C369F" w:rsidRPr="000D2DEB" w:rsidRDefault="009C369F" w:rsidP="000D2DEB">
      <w:pPr>
        <w:pStyle w:val="Textoindependiente"/>
        <w:ind w:left="851" w:right="567"/>
        <w:jc w:val="both"/>
        <w:rPr>
          <w:sz w:val="20"/>
          <w:szCs w:val="20"/>
        </w:rPr>
      </w:pPr>
      <w:r w:rsidRPr="000D2DEB">
        <w:rPr>
          <w:sz w:val="20"/>
          <w:szCs w:val="20"/>
        </w:rPr>
        <w:t xml:space="preserve">“ARTICULO 36. RECURSO DE REPOSICION. </w:t>
      </w:r>
      <w:r w:rsidRPr="000D2DEB">
        <w:rPr>
          <w:b/>
          <w:sz w:val="20"/>
          <w:szCs w:val="20"/>
        </w:rPr>
        <w:t>Contra los autos dictados durante el trámite de la Acción Popular procede el recurso de reposición</w:t>
      </w:r>
      <w:r w:rsidRPr="000D2DEB">
        <w:rPr>
          <w:sz w:val="20"/>
          <w:szCs w:val="20"/>
        </w:rPr>
        <w:t>, el cual será interpuesto en los términos del Código de Procedimiento Civil.</w:t>
      </w:r>
    </w:p>
    <w:p w14:paraId="702FA935" w14:textId="77777777" w:rsidR="009C369F" w:rsidRPr="000D2DEB" w:rsidRDefault="009C369F" w:rsidP="000D2DEB">
      <w:pPr>
        <w:pStyle w:val="Textoindependiente"/>
        <w:ind w:left="851" w:right="567"/>
        <w:jc w:val="both"/>
        <w:rPr>
          <w:sz w:val="20"/>
          <w:szCs w:val="20"/>
        </w:rPr>
      </w:pPr>
    </w:p>
    <w:p w14:paraId="702FA936" w14:textId="77777777" w:rsidR="009C369F" w:rsidRPr="000D2DEB" w:rsidRDefault="009C369F" w:rsidP="000D2DEB">
      <w:pPr>
        <w:pStyle w:val="Textoindependiente"/>
        <w:ind w:left="851" w:right="567"/>
        <w:jc w:val="both"/>
        <w:rPr>
          <w:sz w:val="20"/>
          <w:szCs w:val="20"/>
        </w:rPr>
      </w:pPr>
      <w:r w:rsidRPr="000D2DEB">
        <w:rPr>
          <w:sz w:val="20"/>
          <w:szCs w:val="20"/>
        </w:rPr>
        <w:t xml:space="preserve">ARTICULO 37. RECURSO DE APELACION. El recurso de apelación procederá contra la </w:t>
      </w:r>
      <w:r w:rsidRPr="000D2DEB">
        <w:rPr>
          <w:b/>
          <w:sz w:val="20"/>
          <w:szCs w:val="20"/>
        </w:rPr>
        <w:t>sentencia que se dicte en primera instancia</w:t>
      </w:r>
      <w:r w:rsidRPr="000D2DEB">
        <w:rPr>
          <w:sz w:val="20"/>
          <w:szCs w:val="20"/>
        </w:rPr>
        <w:t>, en la forma y oportunidad señalada en el Código de Procedimiento Civil, y deberá ser resuelto dentro de los veinte (20) días siguientes contados a partir de la radicación del expediente en la Secretaría del Tribunal competente.</w:t>
      </w:r>
    </w:p>
    <w:p w14:paraId="702FA937" w14:textId="77777777" w:rsidR="009C369F" w:rsidRPr="000D2DEB" w:rsidRDefault="009C369F" w:rsidP="000D2DEB">
      <w:pPr>
        <w:pStyle w:val="Textoindependiente"/>
        <w:ind w:left="851" w:right="567"/>
        <w:jc w:val="both"/>
        <w:rPr>
          <w:sz w:val="20"/>
          <w:szCs w:val="20"/>
        </w:rPr>
      </w:pPr>
    </w:p>
    <w:p w14:paraId="702FA938" w14:textId="77777777" w:rsidR="009C369F" w:rsidRPr="000D2DEB" w:rsidRDefault="009C369F" w:rsidP="000D2DEB">
      <w:pPr>
        <w:pStyle w:val="Textoindependiente"/>
        <w:ind w:left="851" w:right="567"/>
        <w:jc w:val="both"/>
        <w:rPr>
          <w:sz w:val="20"/>
          <w:szCs w:val="20"/>
        </w:rPr>
      </w:pPr>
      <w:r w:rsidRPr="000D2DEB">
        <w:rPr>
          <w:sz w:val="20"/>
          <w:szCs w:val="20"/>
        </w:rPr>
        <w:t xml:space="preserve">(…).” (Negrilla fuera del texto original) </w:t>
      </w:r>
    </w:p>
    <w:p w14:paraId="702FA939" w14:textId="77777777" w:rsidR="009C369F" w:rsidRPr="000C6AFB" w:rsidRDefault="009C369F" w:rsidP="000C6AFB">
      <w:pPr>
        <w:pStyle w:val="Textoindependiente"/>
        <w:spacing w:line="264" w:lineRule="auto"/>
        <w:jc w:val="both"/>
      </w:pPr>
    </w:p>
    <w:p w14:paraId="702FA93A" w14:textId="77777777" w:rsidR="009C369F" w:rsidRPr="000C6AFB" w:rsidRDefault="009C369F" w:rsidP="000C6AFB">
      <w:pPr>
        <w:pStyle w:val="Textoindependiente"/>
        <w:spacing w:line="264" w:lineRule="auto"/>
        <w:jc w:val="both"/>
      </w:pPr>
    </w:p>
    <w:p w14:paraId="702FA93B" w14:textId="62387141" w:rsidR="009C369F" w:rsidRPr="000C6AFB" w:rsidRDefault="009C369F" w:rsidP="000C6AFB">
      <w:pPr>
        <w:pStyle w:val="Textoindependiente"/>
        <w:spacing w:line="264" w:lineRule="auto"/>
        <w:jc w:val="both"/>
      </w:pPr>
      <w:r w:rsidRPr="000C6AFB">
        <w:t>Al tenor de las normas citadas, puede afirmarse que</w:t>
      </w:r>
      <w:r w:rsidR="00B83FF3">
        <w:t>.</w:t>
      </w:r>
      <w:r w:rsidRPr="000C6AFB">
        <w:t xml:space="preserve"> dentro de las acciones populares, el recurso de apelación se encuentra contemplado únicamente para las sentencias de primera instancia, adicionalmente, el artículo 26 </w:t>
      </w:r>
      <w:proofErr w:type="spellStart"/>
      <w:r w:rsidRPr="000C6AFB">
        <w:t>ibídem</w:t>
      </w:r>
      <w:proofErr w:type="spellEnd"/>
      <w:r w:rsidRPr="000C6AFB">
        <w:t xml:space="preserve">, señala que contra el auto que decrete medidas cautelares previas, también procede el recurso de apelación. En este orden de ideas, el recurso procedente contra las demás decisiones es el de reposición. </w:t>
      </w:r>
    </w:p>
    <w:p w14:paraId="702FA93C" w14:textId="77777777" w:rsidR="009C369F" w:rsidRPr="000C6AFB" w:rsidRDefault="009C369F" w:rsidP="000C6AFB">
      <w:pPr>
        <w:pStyle w:val="Textoindependiente"/>
        <w:spacing w:line="264" w:lineRule="auto"/>
        <w:jc w:val="both"/>
      </w:pPr>
    </w:p>
    <w:p w14:paraId="702FA93F" w14:textId="697344D0" w:rsidR="003C6A38" w:rsidRPr="000C6AFB" w:rsidRDefault="009C369F" w:rsidP="000C6AFB">
      <w:pPr>
        <w:pStyle w:val="Textoindependiente"/>
        <w:spacing w:line="264" w:lineRule="auto"/>
        <w:jc w:val="both"/>
      </w:pPr>
      <w:r w:rsidRPr="000C6AFB">
        <w:t>Al pronunciarse sobre la constitucionalidad del artículo 36 de la Ley 472 de 1998, la Corte Constitucional</w:t>
      </w:r>
      <w:r w:rsidR="00B83FF3">
        <w:t>,</w:t>
      </w:r>
      <w:r w:rsidRPr="000C6AFB">
        <w:t xml:space="preserve"> en la sentencia C-377 del 14 de mayo de 2002, advirtió que dicha norma no vulnera el ordenamiento constitucional</w:t>
      </w:r>
      <w:r w:rsidR="003C6A38" w:rsidRPr="000C6AFB">
        <w:t>,</w:t>
      </w:r>
      <w:r w:rsidRPr="000C6AFB">
        <w:t xml:space="preserve"> por el contrario, obedece al principio de celeridad que rige las acciones populares</w:t>
      </w:r>
      <w:r w:rsidR="003C6A38" w:rsidRPr="000C6AFB">
        <w:t xml:space="preserve"> y a su naturaleza expedita, tampoco vulnera el derecho al debido proceso, dado que el mismo se encuentra garantizado con el recurso de reposición. De</w:t>
      </w:r>
      <w:r w:rsidR="00B83FF3">
        <w:t xml:space="preserve"> </w:t>
      </w:r>
      <w:r w:rsidR="003C6A38" w:rsidRPr="000C6AFB">
        <w:t xml:space="preserve">la citada providencia se destaca: </w:t>
      </w:r>
    </w:p>
    <w:p w14:paraId="702FA940" w14:textId="16DDDF99" w:rsidR="003C6A38" w:rsidRDefault="003C6A38" w:rsidP="000C6AFB">
      <w:pPr>
        <w:pStyle w:val="Textoindependiente"/>
        <w:spacing w:line="264" w:lineRule="auto"/>
        <w:jc w:val="both"/>
      </w:pPr>
    </w:p>
    <w:p w14:paraId="58D7A868" w14:textId="77777777" w:rsidR="000D2DEB" w:rsidRPr="000C6AFB" w:rsidRDefault="000D2DEB" w:rsidP="000C6AFB">
      <w:pPr>
        <w:pStyle w:val="Textoindependiente"/>
        <w:spacing w:line="264" w:lineRule="auto"/>
        <w:jc w:val="both"/>
      </w:pPr>
    </w:p>
    <w:p w14:paraId="702FA941" w14:textId="77777777" w:rsidR="003C6A38" w:rsidRPr="000D2DEB" w:rsidRDefault="003C6A38" w:rsidP="000D2DEB">
      <w:pPr>
        <w:pStyle w:val="Textoindependiente"/>
        <w:ind w:left="851" w:right="567"/>
        <w:jc w:val="both"/>
        <w:rPr>
          <w:sz w:val="20"/>
          <w:szCs w:val="20"/>
        </w:rPr>
      </w:pPr>
      <w:r w:rsidRPr="000D2DEB">
        <w:rPr>
          <w:sz w:val="20"/>
          <w:szCs w:val="20"/>
        </w:rPr>
        <w:t xml:space="preserve">“Tradicionalmente se ha aceptado que el recurso de apelación forma parte de la garantía universal de impugnación contra las decisiones judiciales. Sin embargo, de lo dispuesto en el artículo 31 Fundamental se concluye que </w:t>
      </w:r>
      <w:r w:rsidRPr="000D2DEB">
        <w:rPr>
          <w:b/>
          <w:sz w:val="20"/>
          <w:szCs w:val="20"/>
        </w:rPr>
        <w:t>la doble instancia mediante el reconocimiento del recurso de alzada no es obligatoria en todos los asuntos que son de decisión judicial, puesto que la ley está autorizada para establecer excepciones siempre y cuando se respeten el debido proceso, el derecho de defensa, la igualdad, y no se niegue el acceso a la administración de justicia</w:t>
      </w:r>
      <w:r w:rsidRPr="000D2DEB">
        <w:rPr>
          <w:sz w:val="20"/>
          <w:szCs w:val="20"/>
        </w:rPr>
        <w:t xml:space="preserve">.  </w:t>
      </w:r>
    </w:p>
    <w:p w14:paraId="702FA942" w14:textId="77777777" w:rsidR="003C6A38" w:rsidRPr="000D2DEB" w:rsidRDefault="003C6A38" w:rsidP="000D2DEB">
      <w:pPr>
        <w:pStyle w:val="Textoindependiente"/>
        <w:ind w:left="851" w:right="567"/>
        <w:jc w:val="both"/>
        <w:rPr>
          <w:sz w:val="20"/>
          <w:szCs w:val="20"/>
        </w:rPr>
      </w:pPr>
    </w:p>
    <w:p w14:paraId="702FA943" w14:textId="77777777" w:rsidR="003C6A38" w:rsidRPr="000D2DEB" w:rsidRDefault="003C6A38" w:rsidP="000D2DEB">
      <w:pPr>
        <w:pStyle w:val="Textoindependiente"/>
        <w:ind w:left="851" w:right="567"/>
        <w:jc w:val="both"/>
        <w:rPr>
          <w:sz w:val="20"/>
          <w:szCs w:val="20"/>
        </w:rPr>
      </w:pPr>
      <w:r w:rsidRPr="000D2DEB">
        <w:rPr>
          <w:sz w:val="20"/>
          <w:szCs w:val="20"/>
        </w:rPr>
        <w:t xml:space="preserve">(…) </w:t>
      </w:r>
    </w:p>
    <w:p w14:paraId="702FA945" w14:textId="77777777" w:rsidR="003C6A38" w:rsidRPr="000D2DEB" w:rsidRDefault="003C6A38" w:rsidP="000D2DEB">
      <w:pPr>
        <w:pStyle w:val="Textoindependiente"/>
        <w:ind w:left="851" w:right="567"/>
        <w:jc w:val="both"/>
        <w:rPr>
          <w:sz w:val="20"/>
          <w:szCs w:val="20"/>
        </w:rPr>
      </w:pPr>
      <w:r w:rsidRPr="000D2DEB">
        <w:rPr>
          <w:sz w:val="20"/>
          <w:szCs w:val="20"/>
        </w:rPr>
        <w:t xml:space="preserve">Así, pues, es facultad del legislador señalar en qué casos los procesos judiciales se tramitarán en dos instancias y cuáles no, salvo en los casos en que la Constitución haya dispuesto expresamente lo contrario como es el caso de la impugnación de la sentencia condenatoria y de las decisiones adoptadas en ejercicio de la acción de tutela. </w:t>
      </w:r>
    </w:p>
    <w:p w14:paraId="702FA946" w14:textId="77777777" w:rsidR="003C6A38" w:rsidRPr="000D2DEB" w:rsidRDefault="003C6A38" w:rsidP="000D2DEB">
      <w:pPr>
        <w:pStyle w:val="Textoindependiente"/>
        <w:ind w:left="851" w:right="567"/>
        <w:jc w:val="both"/>
        <w:rPr>
          <w:sz w:val="20"/>
          <w:szCs w:val="20"/>
        </w:rPr>
      </w:pPr>
    </w:p>
    <w:p w14:paraId="702FA947" w14:textId="77777777" w:rsidR="003C6A38" w:rsidRPr="000D2DEB" w:rsidRDefault="003C6A38" w:rsidP="000D2DEB">
      <w:pPr>
        <w:pStyle w:val="Textoindependiente"/>
        <w:ind w:left="851" w:right="567"/>
        <w:jc w:val="both"/>
        <w:rPr>
          <w:sz w:val="20"/>
          <w:szCs w:val="20"/>
        </w:rPr>
      </w:pPr>
      <w:r w:rsidRPr="000D2DEB">
        <w:rPr>
          <w:sz w:val="20"/>
          <w:szCs w:val="20"/>
        </w:rPr>
        <w:t xml:space="preserve">(…) </w:t>
      </w:r>
    </w:p>
    <w:p w14:paraId="702FA949" w14:textId="4625FEAA" w:rsidR="003C6A38" w:rsidRPr="000D2DEB" w:rsidRDefault="003C6A38" w:rsidP="000D2DEB">
      <w:pPr>
        <w:pStyle w:val="Textoindependiente"/>
        <w:ind w:left="851" w:right="567"/>
        <w:jc w:val="both"/>
        <w:rPr>
          <w:sz w:val="20"/>
          <w:szCs w:val="20"/>
        </w:rPr>
      </w:pPr>
      <w:r w:rsidRPr="000D2DEB">
        <w:rPr>
          <w:sz w:val="20"/>
          <w:szCs w:val="20"/>
        </w:rPr>
        <w:t xml:space="preserve">En suma, entendida la norma en el sentido de que se aplica a todos los autos dictados durante el trámite de las acciones populares, </w:t>
      </w:r>
      <w:r w:rsidRPr="000D2DEB">
        <w:rPr>
          <w:b/>
          <w:sz w:val="20"/>
          <w:szCs w:val="20"/>
        </w:rPr>
        <w:t xml:space="preserve">no se desconoce la Carta Política pues el legislador en ejercicio de su libertad de configuración puede señalar en qué casos es o no es procedente el recurso de  apelación, decisión que, </w:t>
      </w:r>
      <w:r w:rsidRPr="000D2DEB">
        <w:rPr>
          <w:b/>
          <w:sz w:val="20"/>
          <w:szCs w:val="20"/>
        </w:rPr>
        <w:lastRenderedPageBreak/>
        <w:t>según se advirtió, no conculca el principio de la doble instancia, ni los derechos de defensa, de acceso a la justicia y además la igualdad</w:t>
      </w:r>
      <w:r w:rsidRPr="000D2DEB">
        <w:rPr>
          <w:sz w:val="20"/>
          <w:szCs w:val="20"/>
        </w:rPr>
        <w:t xml:space="preserve">, porque con tal determinación se persigue una finalidad constitucionalmente admisible como es la de obtener la pronta y efectiva protección de los derechos e intereses colectivos amparados con la acciones populares, imprimiéndole celeridad al proceso judicial correspondiente.” </w:t>
      </w:r>
      <w:r w:rsidR="00E768E2" w:rsidRPr="000D2DEB">
        <w:rPr>
          <w:sz w:val="20"/>
          <w:szCs w:val="20"/>
        </w:rPr>
        <w:t xml:space="preserve">(Negrilla </w:t>
      </w:r>
      <w:r w:rsidR="001531C0" w:rsidRPr="000D2DEB">
        <w:rPr>
          <w:sz w:val="20"/>
          <w:szCs w:val="20"/>
        </w:rPr>
        <w:t>del Despacho</w:t>
      </w:r>
      <w:r w:rsidR="00E768E2" w:rsidRPr="000D2DEB">
        <w:rPr>
          <w:sz w:val="20"/>
          <w:szCs w:val="20"/>
        </w:rPr>
        <w:t xml:space="preserve">) </w:t>
      </w:r>
    </w:p>
    <w:p w14:paraId="702FA94A" w14:textId="77777777" w:rsidR="003C6A38" w:rsidRPr="000C6AFB" w:rsidRDefault="003C6A38" w:rsidP="000C6AFB">
      <w:pPr>
        <w:pStyle w:val="Textoindependiente"/>
        <w:spacing w:line="264" w:lineRule="auto"/>
        <w:jc w:val="both"/>
      </w:pPr>
    </w:p>
    <w:p w14:paraId="702FA94B" w14:textId="77777777" w:rsidR="003C6A38" w:rsidRPr="000C6AFB" w:rsidRDefault="003C6A38" w:rsidP="000C6AFB">
      <w:pPr>
        <w:pStyle w:val="Textoindependiente"/>
        <w:spacing w:line="264" w:lineRule="auto"/>
        <w:jc w:val="both"/>
      </w:pPr>
    </w:p>
    <w:p w14:paraId="702FA94C" w14:textId="77777777" w:rsidR="00352278" w:rsidRPr="000C6AFB" w:rsidRDefault="00E768E2" w:rsidP="000C6AFB">
      <w:pPr>
        <w:pStyle w:val="Textoindependiente"/>
        <w:spacing w:line="264" w:lineRule="auto"/>
        <w:jc w:val="both"/>
      </w:pPr>
      <w:r w:rsidRPr="000C6AFB">
        <w:t xml:space="preserve">A la luz de tales consideraciones, la Corte Constitucional declaró exequible el artículo 36 de la Ley 472 de 1998. </w:t>
      </w:r>
    </w:p>
    <w:p w14:paraId="702FA94D" w14:textId="77777777" w:rsidR="00E768E2" w:rsidRPr="000C6AFB" w:rsidRDefault="00E768E2" w:rsidP="000C6AFB">
      <w:pPr>
        <w:pStyle w:val="Textoindependiente"/>
        <w:spacing w:line="264" w:lineRule="auto"/>
        <w:jc w:val="both"/>
      </w:pPr>
    </w:p>
    <w:p w14:paraId="702FA94E" w14:textId="0CFB39EC" w:rsidR="00991111" w:rsidRPr="000C6AFB" w:rsidRDefault="00E768E2" w:rsidP="000C6AFB">
      <w:pPr>
        <w:pStyle w:val="Textoindependiente"/>
        <w:spacing w:line="264" w:lineRule="auto"/>
        <w:jc w:val="both"/>
      </w:pPr>
      <w:r w:rsidRPr="000C6AFB">
        <w:t>Por su parte, el Consejo de Estado</w:t>
      </w:r>
      <w:r w:rsidR="00B83FF3">
        <w:t>,</w:t>
      </w:r>
      <w:r w:rsidRPr="000C6AFB">
        <w:t xml:space="preserve"> en providencia del 26 de junio de 2019 proferida dentro del radicado 2010-02540</w:t>
      </w:r>
      <w:r w:rsidR="00B83FF3">
        <w:t>,</w:t>
      </w:r>
      <w:r w:rsidRPr="000C6AFB">
        <w:t xml:space="preserve"> con ponencia del consejero Carlos Enrique Moreno Rubio, </w:t>
      </w:r>
      <w:r w:rsidR="00991111" w:rsidRPr="000C6AFB">
        <w:t xml:space="preserve">siguiendo el análisis realizado por la Corte Constitucional en la mencionada providencia, reafirmó que de acuerdo con la norma especial que rige las acciones populares, las únicas decisiones apelables en este tipo de acciones son el auto que decreta una medida cautelar y la sentencia de primera instancia. Para el efecto, señaló: </w:t>
      </w:r>
    </w:p>
    <w:p w14:paraId="702FA94F" w14:textId="77777777" w:rsidR="00991111" w:rsidRPr="000C6AFB" w:rsidRDefault="00991111" w:rsidP="000C6AFB">
      <w:pPr>
        <w:pStyle w:val="Textoindependiente"/>
        <w:spacing w:line="264" w:lineRule="auto"/>
        <w:jc w:val="both"/>
      </w:pPr>
    </w:p>
    <w:p w14:paraId="702FA950" w14:textId="77777777" w:rsidR="00991111" w:rsidRPr="000C6AFB" w:rsidRDefault="00991111" w:rsidP="000C6AFB">
      <w:pPr>
        <w:pStyle w:val="Textoindependiente"/>
        <w:spacing w:line="264" w:lineRule="auto"/>
        <w:jc w:val="both"/>
      </w:pPr>
    </w:p>
    <w:p w14:paraId="702FA951" w14:textId="77777777" w:rsidR="00991111" w:rsidRPr="00D16378" w:rsidRDefault="00991111" w:rsidP="00D16378">
      <w:pPr>
        <w:pStyle w:val="Textoindependiente"/>
        <w:ind w:left="851" w:right="567"/>
        <w:jc w:val="both"/>
        <w:rPr>
          <w:sz w:val="20"/>
          <w:szCs w:val="20"/>
        </w:rPr>
      </w:pPr>
      <w:r w:rsidRPr="00D16378">
        <w:rPr>
          <w:sz w:val="20"/>
          <w:szCs w:val="20"/>
        </w:rPr>
        <w:t xml:space="preserve">“Conforme con lo expuesto, en atención a la celeridad que debe caracterizar las acciones populares </w:t>
      </w:r>
      <w:r w:rsidRPr="00D16378">
        <w:rPr>
          <w:b/>
          <w:sz w:val="20"/>
          <w:szCs w:val="20"/>
        </w:rPr>
        <w:t>es claro que el recurso procedente contra las decisiones dictadas en el curso de este tipo de acciones es únicamente el de reposición, salvo lo dispuesto expresamente en los artículos 26 y 37 de la Ley 472 de 1998</w:t>
      </w:r>
      <w:r w:rsidRPr="00D16378">
        <w:rPr>
          <w:sz w:val="20"/>
          <w:szCs w:val="20"/>
        </w:rPr>
        <w:t xml:space="preserve"> respecto de las providencias a través de las cuales se dicta una medida cautelar y se profiere sentencia de primera instancia, decisiones estas que son apelables; sin que con dicha limitación se afecte en manera alguna el debido proceso o el derecho a la doble instancia conforme el análisis efectuado frente al punto por la Corte Constitucional.</w:t>
      </w:r>
    </w:p>
    <w:p w14:paraId="702FA952" w14:textId="77777777" w:rsidR="00991111" w:rsidRPr="00D16378" w:rsidRDefault="00991111" w:rsidP="00D16378">
      <w:pPr>
        <w:pStyle w:val="Textoindependiente"/>
        <w:ind w:left="851" w:right="567"/>
        <w:jc w:val="both"/>
        <w:rPr>
          <w:sz w:val="20"/>
          <w:szCs w:val="20"/>
        </w:rPr>
      </w:pPr>
    </w:p>
    <w:p w14:paraId="702FA953" w14:textId="77777777" w:rsidR="00E768E2" w:rsidRPr="00D16378" w:rsidRDefault="00991111" w:rsidP="00D16378">
      <w:pPr>
        <w:pStyle w:val="Textoindependiente"/>
        <w:ind w:left="851" w:right="567"/>
        <w:jc w:val="both"/>
        <w:rPr>
          <w:sz w:val="20"/>
          <w:szCs w:val="20"/>
        </w:rPr>
      </w:pPr>
      <w:r w:rsidRPr="00D16378">
        <w:rPr>
          <w:sz w:val="20"/>
          <w:szCs w:val="20"/>
        </w:rPr>
        <w:t xml:space="preserve">Entonces es esta la oportunidad para que la Sala Plena de esta Corporación reafirme la regla en comento según la cual, se insiste, las únicas decisiones apelables en acciones populares son el auto que decreta una medida cautelar y la sentencia de primera instancia, </w:t>
      </w:r>
      <w:r w:rsidRPr="00D16378">
        <w:rPr>
          <w:b/>
          <w:sz w:val="20"/>
          <w:szCs w:val="20"/>
        </w:rPr>
        <w:t>por lo que todas las demás decisiones que se adopten en el trámite de estos procesos son únicamente pasibles del recurso de reposición</w:t>
      </w:r>
      <w:r w:rsidRPr="00D16378">
        <w:rPr>
          <w:sz w:val="20"/>
          <w:szCs w:val="20"/>
        </w:rPr>
        <w:t xml:space="preserve">.” </w:t>
      </w:r>
      <w:r w:rsidR="00E768E2" w:rsidRPr="00D16378">
        <w:rPr>
          <w:sz w:val="20"/>
          <w:szCs w:val="20"/>
        </w:rPr>
        <w:t xml:space="preserve"> </w:t>
      </w:r>
      <w:r w:rsidRPr="00D16378">
        <w:rPr>
          <w:sz w:val="20"/>
          <w:szCs w:val="20"/>
        </w:rPr>
        <w:t>(Negrilla de</w:t>
      </w:r>
      <w:r w:rsidR="001531C0" w:rsidRPr="00D16378">
        <w:rPr>
          <w:sz w:val="20"/>
          <w:szCs w:val="20"/>
        </w:rPr>
        <w:t>l Despacho</w:t>
      </w:r>
      <w:r w:rsidRPr="00D16378">
        <w:rPr>
          <w:sz w:val="20"/>
          <w:szCs w:val="20"/>
        </w:rPr>
        <w:t>)</w:t>
      </w:r>
    </w:p>
    <w:p w14:paraId="702FA954" w14:textId="77777777" w:rsidR="00352278" w:rsidRPr="000C6AFB" w:rsidRDefault="00352278" w:rsidP="000C6AFB">
      <w:pPr>
        <w:pStyle w:val="Textoindependiente"/>
        <w:spacing w:line="264" w:lineRule="auto"/>
      </w:pPr>
    </w:p>
    <w:p w14:paraId="702FA955" w14:textId="77777777" w:rsidR="00352278" w:rsidRPr="000C6AFB" w:rsidRDefault="00352278" w:rsidP="000C6AFB">
      <w:pPr>
        <w:pStyle w:val="Textoindependiente"/>
        <w:spacing w:line="264" w:lineRule="auto"/>
      </w:pPr>
    </w:p>
    <w:p w14:paraId="702FA956" w14:textId="1CE9D2BA" w:rsidR="001531C0" w:rsidRPr="000C6AFB" w:rsidRDefault="00991111" w:rsidP="000C6AFB">
      <w:pPr>
        <w:pStyle w:val="Textoindependiente"/>
        <w:spacing w:line="264" w:lineRule="auto"/>
        <w:jc w:val="both"/>
      </w:pPr>
      <w:r w:rsidRPr="000C6AFB">
        <w:t xml:space="preserve">La anterior postura ha sido recientemente </w:t>
      </w:r>
      <w:r w:rsidR="00895486" w:rsidRPr="000C6AFB">
        <w:t xml:space="preserve">reiterada </w:t>
      </w:r>
      <w:r w:rsidR="001531C0" w:rsidRPr="000C6AFB">
        <w:t>por la Sección Primera del Consejo de Estado, entre otros, en autos del 19 de diciembre de 2019</w:t>
      </w:r>
      <w:r w:rsidR="001531C0" w:rsidRPr="000C6AFB">
        <w:rPr>
          <w:rStyle w:val="Refdenotaalpie"/>
        </w:rPr>
        <w:footnoteReference w:id="1"/>
      </w:r>
      <w:r w:rsidR="001531C0" w:rsidRPr="000C6AFB">
        <w:t xml:space="preserve"> y del 10 de febrero de 2021</w:t>
      </w:r>
      <w:r w:rsidR="001531C0" w:rsidRPr="000C6AFB">
        <w:rPr>
          <w:rStyle w:val="Refdenotaalpie"/>
        </w:rPr>
        <w:footnoteReference w:id="2"/>
      </w:r>
      <w:r w:rsidR="001531C0" w:rsidRPr="000C6AFB">
        <w:t xml:space="preserve">, en los que, se insiste, que el legislador expresamente señaló que contra los autos </w:t>
      </w:r>
      <w:r w:rsidR="001531C0" w:rsidRPr="000C6AFB">
        <w:lastRenderedPageBreak/>
        <w:t xml:space="preserve">dictados durante el trámite de las acciones populares únicamente procede el recurso de reposición, </w:t>
      </w:r>
      <w:r w:rsidR="006F7CA9" w:rsidRPr="000C6AFB">
        <w:t xml:space="preserve">pues se trata de una </w:t>
      </w:r>
      <w:r w:rsidR="001531C0" w:rsidRPr="000C6AFB">
        <w:t>norma de carácter especial que impide acudir a la remisión que establece el artículo 44 de la Ley 472 de 1998</w:t>
      </w:r>
      <w:r w:rsidR="006F7CA9" w:rsidRPr="000C6AFB">
        <w:t>,</w:t>
      </w:r>
      <w:r w:rsidR="001531C0" w:rsidRPr="000C6AFB">
        <w:t xml:space="preserve"> en lo que respecta a los medios de impugnación ordinarios consagrados en el CPACA.</w:t>
      </w:r>
    </w:p>
    <w:p w14:paraId="702FA957" w14:textId="77777777" w:rsidR="00E52CB1" w:rsidRPr="000C6AFB" w:rsidRDefault="00E52CB1" w:rsidP="000C6AFB">
      <w:pPr>
        <w:pStyle w:val="Textoindependiente"/>
        <w:spacing w:line="264" w:lineRule="auto"/>
        <w:jc w:val="both"/>
      </w:pPr>
    </w:p>
    <w:p w14:paraId="702FA958" w14:textId="5145E1B1" w:rsidR="00E52CB1" w:rsidRPr="000C6AFB" w:rsidRDefault="00E52CB1" w:rsidP="000C6AFB">
      <w:pPr>
        <w:pStyle w:val="Textoindependiente"/>
        <w:spacing w:line="264" w:lineRule="auto"/>
        <w:jc w:val="both"/>
      </w:pPr>
      <w:r w:rsidRPr="000C6AFB">
        <w:t>Entonces, en los términos del escenario normativo y jurisprudencial previamente referido, lo consecuente es concluir que</w:t>
      </w:r>
      <w:r w:rsidR="00B83FF3">
        <w:t>,</w:t>
      </w:r>
      <w:r w:rsidRPr="000C6AFB">
        <w:t xml:space="preserve"> contra el auto que rechaza una demanda promovida en ejercicio de la acción popular, procede únicamente el recurso de reposición. Así las cosas, se rechazará el recurso de apelación interpuesto por el actor popular </w:t>
      </w:r>
      <w:r w:rsidR="006F7CA9" w:rsidRPr="000C6AFB">
        <w:rPr>
          <w:spacing w:val="1"/>
        </w:rPr>
        <w:t>Yesid Figueroa García contra el auto que rechazó la demanda</w:t>
      </w:r>
      <w:r w:rsidRPr="000C6AFB">
        <w:t xml:space="preserve">, y se dispondrá la devolución del expediente al a quo para que adecue el recurso interpuesto, al de reposición, y proceda a resolverlo.  </w:t>
      </w:r>
    </w:p>
    <w:p w14:paraId="702FA959" w14:textId="77777777" w:rsidR="00E52CB1" w:rsidRPr="000C6AFB" w:rsidRDefault="00E52CB1" w:rsidP="000C6AFB">
      <w:pPr>
        <w:pStyle w:val="Textoindependiente"/>
        <w:spacing w:line="264" w:lineRule="auto"/>
        <w:jc w:val="both"/>
      </w:pPr>
    </w:p>
    <w:p w14:paraId="702FA95A" w14:textId="77777777" w:rsidR="00E52CB1" w:rsidRPr="000C6AFB" w:rsidRDefault="00E52CB1" w:rsidP="000C6AFB">
      <w:pPr>
        <w:pStyle w:val="Textoindependiente"/>
        <w:spacing w:line="264" w:lineRule="auto"/>
        <w:jc w:val="both"/>
      </w:pPr>
      <w:r w:rsidRPr="000C6AFB">
        <w:t xml:space="preserve">Por lo brevemente expuesto el Despacho, </w:t>
      </w:r>
    </w:p>
    <w:p w14:paraId="702FA95C" w14:textId="03B25F62" w:rsidR="00E52CB1" w:rsidRDefault="00E52CB1" w:rsidP="000C6AFB">
      <w:pPr>
        <w:pStyle w:val="Sinespaciado"/>
        <w:spacing w:line="264" w:lineRule="auto"/>
        <w:rPr>
          <w:sz w:val="24"/>
          <w:szCs w:val="24"/>
        </w:rPr>
      </w:pPr>
    </w:p>
    <w:p w14:paraId="6D01DAC3" w14:textId="77777777" w:rsidR="00D16378" w:rsidRPr="000C6AFB" w:rsidRDefault="00D16378" w:rsidP="000C6AFB">
      <w:pPr>
        <w:pStyle w:val="Sinespaciado"/>
        <w:spacing w:line="264" w:lineRule="auto"/>
        <w:rPr>
          <w:sz w:val="24"/>
          <w:szCs w:val="24"/>
        </w:rPr>
      </w:pPr>
    </w:p>
    <w:p w14:paraId="702FA95D" w14:textId="2DE34B9C" w:rsidR="00E52CB1" w:rsidRPr="00D16378" w:rsidRDefault="00D16378" w:rsidP="000C6AFB">
      <w:pPr>
        <w:pStyle w:val="Textoindependiente"/>
        <w:spacing w:line="264" w:lineRule="auto"/>
        <w:jc w:val="center"/>
        <w:rPr>
          <w:b/>
          <w:sz w:val="26"/>
          <w:szCs w:val="26"/>
        </w:rPr>
      </w:pPr>
      <w:r w:rsidRPr="00D16378">
        <w:rPr>
          <w:b/>
          <w:sz w:val="26"/>
          <w:szCs w:val="26"/>
        </w:rPr>
        <w:t xml:space="preserve">III.   </w:t>
      </w:r>
      <w:r w:rsidR="00E52CB1" w:rsidRPr="00D16378">
        <w:rPr>
          <w:b/>
          <w:sz w:val="26"/>
          <w:szCs w:val="26"/>
        </w:rPr>
        <w:t xml:space="preserve">R E S U E L V </w:t>
      </w:r>
      <w:proofErr w:type="gramStart"/>
      <w:r w:rsidR="00E52CB1" w:rsidRPr="00D16378">
        <w:rPr>
          <w:b/>
          <w:sz w:val="26"/>
          <w:szCs w:val="26"/>
        </w:rPr>
        <w:t>E</w:t>
      </w:r>
      <w:r>
        <w:rPr>
          <w:b/>
          <w:sz w:val="26"/>
          <w:szCs w:val="26"/>
        </w:rPr>
        <w:t xml:space="preserve">  </w:t>
      </w:r>
      <w:r w:rsidR="00E52CB1" w:rsidRPr="00D16378">
        <w:rPr>
          <w:b/>
          <w:sz w:val="26"/>
          <w:szCs w:val="26"/>
        </w:rPr>
        <w:t>:</w:t>
      </w:r>
      <w:proofErr w:type="gramEnd"/>
    </w:p>
    <w:p w14:paraId="702FA95E" w14:textId="7B325276" w:rsidR="001531C0" w:rsidRDefault="001531C0" w:rsidP="000C6AFB">
      <w:pPr>
        <w:pStyle w:val="Textoindependiente"/>
        <w:spacing w:line="264" w:lineRule="auto"/>
        <w:jc w:val="both"/>
      </w:pPr>
    </w:p>
    <w:p w14:paraId="54928129" w14:textId="77777777" w:rsidR="00D16378" w:rsidRPr="000C6AFB" w:rsidRDefault="00D16378" w:rsidP="000C6AFB">
      <w:pPr>
        <w:pStyle w:val="Textoindependiente"/>
        <w:spacing w:line="264" w:lineRule="auto"/>
        <w:jc w:val="both"/>
      </w:pPr>
    </w:p>
    <w:p w14:paraId="702FA95F" w14:textId="77777777" w:rsidR="00E52CB1" w:rsidRPr="000C6AFB" w:rsidRDefault="00E52CB1" w:rsidP="000C6AFB">
      <w:pPr>
        <w:pStyle w:val="Textoindependiente"/>
        <w:spacing w:line="264" w:lineRule="auto"/>
        <w:jc w:val="both"/>
      </w:pPr>
      <w:proofErr w:type="gramStart"/>
      <w:r w:rsidRPr="000C6AFB">
        <w:rPr>
          <w:b/>
        </w:rPr>
        <w:t>PRIMERO.-</w:t>
      </w:r>
      <w:proofErr w:type="gramEnd"/>
      <w:r w:rsidRPr="000C6AFB">
        <w:rPr>
          <w:b/>
        </w:rPr>
        <w:t xml:space="preserve"> RECHAZAR POR IMPROCEDENTE</w:t>
      </w:r>
      <w:r w:rsidRPr="000C6AFB">
        <w:t xml:space="preserve"> el recurso de apelación interpuesto por el accionante </w:t>
      </w:r>
      <w:r w:rsidR="006F7CA9" w:rsidRPr="000C6AFB">
        <w:rPr>
          <w:spacing w:val="1"/>
        </w:rPr>
        <w:t>Yesid Figueroa García</w:t>
      </w:r>
      <w:r w:rsidRPr="000C6AFB">
        <w:t xml:space="preserve"> contra el auto </w:t>
      </w:r>
      <w:r w:rsidR="001C745E" w:rsidRPr="000C6AFB">
        <w:t>d</w:t>
      </w:r>
      <w:r w:rsidRPr="000C6AFB">
        <w:t xml:space="preserve">el </w:t>
      </w:r>
      <w:r w:rsidR="006F7CA9" w:rsidRPr="000C6AFB">
        <w:t>16 de diciembre de 2020 proferido por el Juzgado</w:t>
      </w:r>
      <w:r w:rsidR="006F7CA9" w:rsidRPr="000C6AFB">
        <w:rPr>
          <w:spacing w:val="1"/>
        </w:rPr>
        <w:t xml:space="preserve"> </w:t>
      </w:r>
      <w:r w:rsidR="006F7CA9" w:rsidRPr="000C6AFB">
        <w:t>Quinto</w:t>
      </w:r>
      <w:r w:rsidR="006F7CA9" w:rsidRPr="000C6AFB">
        <w:rPr>
          <w:spacing w:val="1"/>
        </w:rPr>
        <w:t xml:space="preserve"> </w:t>
      </w:r>
      <w:r w:rsidR="006F7CA9" w:rsidRPr="000C6AFB">
        <w:t>Administrativo</w:t>
      </w:r>
      <w:r w:rsidR="006F7CA9" w:rsidRPr="000C6AFB">
        <w:rPr>
          <w:spacing w:val="1"/>
        </w:rPr>
        <w:t xml:space="preserve"> </w:t>
      </w:r>
      <w:r w:rsidR="006F7CA9" w:rsidRPr="000C6AFB">
        <w:t>de Tunja</w:t>
      </w:r>
      <w:r w:rsidRPr="000C6AFB">
        <w:t xml:space="preserve">, mediante el cual se </w:t>
      </w:r>
      <w:r w:rsidR="006F7CA9" w:rsidRPr="000C6AFB">
        <w:t xml:space="preserve">resolvió un recurso de reposición y se </w:t>
      </w:r>
      <w:r w:rsidRPr="000C6AFB">
        <w:t>rechazó la demanda de la referencia, por las razones expuestas.</w:t>
      </w:r>
    </w:p>
    <w:p w14:paraId="702FA960" w14:textId="77777777" w:rsidR="00E52CB1" w:rsidRPr="000C6AFB" w:rsidRDefault="00E52CB1" w:rsidP="000C6AFB">
      <w:pPr>
        <w:pStyle w:val="Textoindependiente"/>
        <w:spacing w:line="264" w:lineRule="auto"/>
        <w:jc w:val="both"/>
      </w:pPr>
    </w:p>
    <w:p w14:paraId="702FA961" w14:textId="77777777" w:rsidR="00E52CB1" w:rsidRPr="000C6AFB" w:rsidRDefault="00E52CB1" w:rsidP="000C6AFB">
      <w:pPr>
        <w:pStyle w:val="Textoindependiente"/>
        <w:spacing w:line="264" w:lineRule="auto"/>
        <w:jc w:val="both"/>
      </w:pPr>
      <w:proofErr w:type="gramStart"/>
      <w:r w:rsidRPr="000C6AFB">
        <w:rPr>
          <w:b/>
        </w:rPr>
        <w:t>SEGUNDO</w:t>
      </w:r>
      <w:r w:rsidRPr="000C6AFB">
        <w:t>.-</w:t>
      </w:r>
      <w:proofErr w:type="gramEnd"/>
      <w:r w:rsidRPr="000C6AFB">
        <w:t xml:space="preserve"> </w:t>
      </w:r>
      <w:r w:rsidR="001C745E" w:rsidRPr="000C6AFB">
        <w:t xml:space="preserve">Devolver </w:t>
      </w:r>
      <w:r w:rsidRPr="000C6AFB">
        <w:t>el expediente al juzgado de origen para que adecúe el recurso interpuesto a</w:t>
      </w:r>
      <w:r w:rsidR="001C745E" w:rsidRPr="000C6AFB">
        <w:t xml:space="preserve">l de </w:t>
      </w:r>
      <w:r w:rsidRPr="000C6AFB">
        <w:t>reposición y proceda a su estudio y decisión.</w:t>
      </w:r>
    </w:p>
    <w:p w14:paraId="702FA962" w14:textId="77777777" w:rsidR="00E52CB1" w:rsidRPr="000C6AFB" w:rsidRDefault="00E52CB1" w:rsidP="000C6AFB">
      <w:pPr>
        <w:pStyle w:val="Textoindependiente"/>
        <w:spacing w:line="264" w:lineRule="auto"/>
        <w:jc w:val="both"/>
      </w:pPr>
    </w:p>
    <w:p w14:paraId="702FA963" w14:textId="61BCE885" w:rsidR="00E52CB1" w:rsidRPr="000C6AFB" w:rsidRDefault="00E52CB1" w:rsidP="000C6AFB">
      <w:pPr>
        <w:pStyle w:val="Textoindependiente"/>
        <w:spacing w:line="264" w:lineRule="auto"/>
        <w:jc w:val="both"/>
      </w:pPr>
      <w:r w:rsidRPr="000C6AFB">
        <w:rPr>
          <w:b/>
        </w:rPr>
        <w:t>TERCERO</w:t>
      </w:r>
      <w:r w:rsidRPr="000C6AFB">
        <w:t xml:space="preserve">: </w:t>
      </w:r>
      <w:r w:rsidR="001C745E" w:rsidRPr="000C6AFB">
        <w:t>E</w:t>
      </w:r>
      <w:r w:rsidRPr="000C6AFB">
        <w:t xml:space="preserve">n firme la presente providencia, por secretaría </w:t>
      </w:r>
      <w:r w:rsidR="00B83FF3" w:rsidRPr="000C6AFB">
        <w:t>d</w:t>
      </w:r>
      <w:r w:rsidR="00B83FF3">
        <w:t>é</w:t>
      </w:r>
      <w:r w:rsidR="00B83FF3" w:rsidRPr="000C6AFB">
        <w:t>se</w:t>
      </w:r>
      <w:r w:rsidR="001C745E" w:rsidRPr="000C6AFB">
        <w:t xml:space="preserve"> cumplimiento al numeral anterior. </w:t>
      </w:r>
    </w:p>
    <w:p w14:paraId="702FA964" w14:textId="77777777" w:rsidR="00E52CB1" w:rsidRPr="000C6AFB" w:rsidRDefault="00E52CB1" w:rsidP="000C6AFB">
      <w:pPr>
        <w:pStyle w:val="Textoindependiente"/>
        <w:spacing w:line="264" w:lineRule="auto"/>
        <w:jc w:val="both"/>
      </w:pPr>
    </w:p>
    <w:p w14:paraId="702FA965" w14:textId="77777777" w:rsidR="00352278" w:rsidRPr="000C6AFB" w:rsidRDefault="00352278" w:rsidP="000C6AFB">
      <w:pPr>
        <w:pStyle w:val="Textoindependiente"/>
        <w:spacing w:line="264" w:lineRule="auto"/>
      </w:pPr>
    </w:p>
    <w:p w14:paraId="702FA966" w14:textId="77777777" w:rsidR="00352278" w:rsidRPr="000C6AFB" w:rsidRDefault="00AE0C47" w:rsidP="000C6AFB">
      <w:pPr>
        <w:pStyle w:val="Textoindependiente"/>
        <w:spacing w:line="264" w:lineRule="auto"/>
        <w:jc w:val="center"/>
      </w:pPr>
      <w:r w:rsidRPr="000C6AFB">
        <w:t>NOTIFÍQUESE</w:t>
      </w:r>
      <w:r w:rsidRPr="000C6AFB">
        <w:rPr>
          <w:spacing w:val="-2"/>
        </w:rPr>
        <w:t xml:space="preserve"> </w:t>
      </w:r>
      <w:r w:rsidRPr="000C6AFB">
        <w:t>Y</w:t>
      </w:r>
      <w:r w:rsidRPr="000C6AFB">
        <w:rPr>
          <w:spacing w:val="-2"/>
        </w:rPr>
        <w:t xml:space="preserve"> </w:t>
      </w:r>
      <w:r w:rsidRPr="000C6AFB">
        <w:t>CÚMPLASE</w:t>
      </w:r>
    </w:p>
    <w:p w14:paraId="702FA967" w14:textId="77777777" w:rsidR="00352278" w:rsidRPr="000C6AFB" w:rsidRDefault="00352278" w:rsidP="000C6AFB">
      <w:pPr>
        <w:pStyle w:val="Textoindependiente"/>
        <w:spacing w:line="264" w:lineRule="auto"/>
      </w:pPr>
    </w:p>
    <w:p w14:paraId="702FA968" w14:textId="16AF42A1" w:rsidR="00352278" w:rsidRDefault="00352278" w:rsidP="000C6AFB">
      <w:pPr>
        <w:pStyle w:val="Textoindependiente"/>
        <w:spacing w:line="264" w:lineRule="auto"/>
      </w:pPr>
    </w:p>
    <w:p w14:paraId="5C9BE531" w14:textId="77777777" w:rsidR="00D16378" w:rsidRPr="000C6AFB" w:rsidRDefault="00D16378" w:rsidP="000C6AFB">
      <w:pPr>
        <w:pStyle w:val="Textoindependiente"/>
        <w:spacing w:line="264" w:lineRule="auto"/>
      </w:pPr>
    </w:p>
    <w:p w14:paraId="702FA96B" w14:textId="77777777" w:rsidR="00352278" w:rsidRPr="000C6AFB" w:rsidRDefault="00AE0C47" w:rsidP="000C6AFB">
      <w:pPr>
        <w:spacing w:line="264" w:lineRule="auto"/>
        <w:jc w:val="center"/>
        <w:rPr>
          <w:i/>
          <w:sz w:val="24"/>
          <w:szCs w:val="24"/>
        </w:rPr>
      </w:pPr>
      <w:r w:rsidRPr="000C6AFB">
        <w:rPr>
          <w:i/>
          <w:sz w:val="24"/>
          <w:szCs w:val="24"/>
          <w:u w:val="single"/>
        </w:rPr>
        <w:t>(firmado</w:t>
      </w:r>
      <w:r w:rsidRPr="000C6AFB">
        <w:rPr>
          <w:i/>
          <w:spacing w:val="-3"/>
          <w:sz w:val="24"/>
          <w:szCs w:val="24"/>
          <w:u w:val="single"/>
        </w:rPr>
        <w:t xml:space="preserve"> </w:t>
      </w:r>
      <w:r w:rsidRPr="000C6AFB">
        <w:rPr>
          <w:i/>
          <w:sz w:val="24"/>
          <w:szCs w:val="24"/>
          <w:u w:val="single"/>
        </w:rPr>
        <w:t>electrónicamente</w:t>
      </w:r>
      <w:r w:rsidRPr="000C6AFB">
        <w:rPr>
          <w:i/>
          <w:spacing w:val="-5"/>
          <w:sz w:val="24"/>
          <w:szCs w:val="24"/>
          <w:u w:val="single"/>
        </w:rPr>
        <w:t xml:space="preserve"> </w:t>
      </w:r>
      <w:r w:rsidRPr="000C6AFB">
        <w:rPr>
          <w:i/>
          <w:sz w:val="24"/>
          <w:szCs w:val="24"/>
          <w:u w:val="single"/>
        </w:rPr>
        <w:t>en</w:t>
      </w:r>
      <w:r w:rsidRPr="000C6AFB">
        <w:rPr>
          <w:i/>
          <w:spacing w:val="-4"/>
          <w:sz w:val="24"/>
          <w:szCs w:val="24"/>
          <w:u w:val="single"/>
        </w:rPr>
        <w:t xml:space="preserve"> </w:t>
      </w:r>
      <w:r w:rsidRPr="000C6AFB">
        <w:rPr>
          <w:i/>
          <w:sz w:val="24"/>
          <w:szCs w:val="24"/>
          <w:u w:val="single"/>
        </w:rPr>
        <w:t>SAMAI)</w:t>
      </w:r>
    </w:p>
    <w:p w14:paraId="702FA96C" w14:textId="77777777" w:rsidR="00352278" w:rsidRPr="000C6AFB" w:rsidRDefault="00AE0C47" w:rsidP="000C6AFB">
      <w:pPr>
        <w:pStyle w:val="Ttulo2"/>
        <w:spacing w:line="264" w:lineRule="auto"/>
        <w:ind w:left="0"/>
      </w:pPr>
      <w:r w:rsidRPr="000C6AFB">
        <w:t>FABIO</w:t>
      </w:r>
      <w:r w:rsidRPr="000C6AFB">
        <w:rPr>
          <w:spacing w:val="-1"/>
        </w:rPr>
        <w:t xml:space="preserve"> </w:t>
      </w:r>
      <w:r w:rsidRPr="000C6AFB">
        <w:t>IVÁN</w:t>
      </w:r>
      <w:r w:rsidRPr="000C6AFB">
        <w:rPr>
          <w:spacing w:val="-5"/>
        </w:rPr>
        <w:t xml:space="preserve"> </w:t>
      </w:r>
      <w:r w:rsidRPr="000C6AFB">
        <w:t>AFANADOR</w:t>
      </w:r>
      <w:r w:rsidRPr="000C6AFB">
        <w:rPr>
          <w:spacing w:val="-3"/>
        </w:rPr>
        <w:t xml:space="preserve"> </w:t>
      </w:r>
      <w:r w:rsidRPr="000C6AFB">
        <w:t>GARCÍA</w:t>
      </w:r>
    </w:p>
    <w:p w14:paraId="702FA96D" w14:textId="77777777" w:rsidR="00352278" w:rsidRPr="000C6AFB" w:rsidRDefault="00AE0C47" w:rsidP="000C6AFB">
      <w:pPr>
        <w:spacing w:line="264" w:lineRule="auto"/>
        <w:jc w:val="center"/>
        <w:rPr>
          <w:b/>
          <w:sz w:val="24"/>
          <w:szCs w:val="24"/>
        </w:rPr>
      </w:pPr>
      <w:r w:rsidRPr="000C6AFB">
        <w:rPr>
          <w:b/>
          <w:sz w:val="24"/>
          <w:szCs w:val="24"/>
        </w:rPr>
        <w:t>Magistrado</w:t>
      </w:r>
    </w:p>
    <w:p w14:paraId="702FA96E" w14:textId="77777777" w:rsidR="00352278" w:rsidRPr="00D16378" w:rsidRDefault="00AE0C47" w:rsidP="000C6AFB">
      <w:pPr>
        <w:spacing w:line="264" w:lineRule="auto"/>
        <w:rPr>
          <w:sz w:val="14"/>
          <w:szCs w:val="14"/>
        </w:rPr>
      </w:pPr>
      <w:r w:rsidRPr="00D16378">
        <w:rPr>
          <w:sz w:val="14"/>
          <w:szCs w:val="14"/>
        </w:rPr>
        <w:t>diana</w:t>
      </w:r>
    </w:p>
    <w:sectPr w:rsidR="00352278" w:rsidRPr="00D16378" w:rsidSect="00232F49">
      <w:headerReference w:type="default" r:id="rId9"/>
      <w:footerReference w:type="default" r:id="rId10"/>
      <w:pgSz w:w="12240" w:h="18720"/>
      <w:pgMar w:top="1928" w:right="1871" w:bottom="1871" w:left="2211"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9F1C8" w14:textId="77777777" w:rsidR="00333C71" w:rsidRDefault="00333C71">
      <w:r>
        <w:separator/>
      </w:r>
    </w:p>
  </w:endnote>
  <w:endnote w:type="continuationSeparator" w:id="0">
    <w:p w14:paraId="2B41185B" w14:textId="77777777" w:rsidR="00333C71" w:rsidRDefault="0033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FA976" w14:textId="77777777" w:rsidR="00352278" w:rsidRDefault="00E35672">
    <w:pPr>
      <w:pStyle w:val="Textoindependiente"/>
      <w:spacing w:line="14" w:lineRule="auto"/>
      <w:rPr>
        <w:sz w:val="20"/>
      </w:rPr>
    </w:pPr>
    <w:r>
      <w:rPr>
        <w:noProof/>
        <w:lang w:val="es-CO" w:eastAsia="es-CO"/>
      </w:rPr>
      <mc:AlternateContent>
        <mc:Choice Requires="wps">
          <w:drawing>
            <wp:anchor distT="0" distB="0" distL="114300" distR="114300" simplePos="0" relativeHeight="487411712" behindDoc="1" locked="0" layoutInCell="1" allowOverlap="1" wp14:anchorId="702FA979" wp14:editId="702FA97A">
              <wp:simplePos x="0" y="0"/>
              <wp:positionH relativeFrom="page">
                <wp:posOffset>3881755</wp:posOffset>
              </wp:positionH>
              <wp:positionV relativeFrom="page">
                <wp:posOffset>11156315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A980" w14:textId="77777777" w:rsidR="00352278" w:rsidRDefault="00AE0C47">
                          <w:pPr>
                            <w:pStyle w:val="Textoindependiente"/>
                            <w:spacing w:before="10"/>
                            <w:ind w:left="60"/>
                            <w:rPr>
                              <w:rFonts w:ascii="Times New Roman"/>
                            </w:rPr>
                          </w:pPr>
                          <w:r>
                            <w:fldChar w:fldCharType="begin"/>
                          </w:r>
                          <w:r>
                            <w:rPr>
                              <w:rFonts w:ascii="Times New Roman"/>
                            </w:rPr>
                            <w:instrText xml:space="preserve"> PAGE </w:instrText>
                          </w:r>
                          <w:r>
                            <w:fldChar w:fldCharType="separate"/>
                          </w:r>
                          <w:r w:rsidR="00AD24BF">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FA979" id="_x0000_t202" coordsize="21600,21600" o:spt="202" path="m,l,21600r21600,l21600,xe">
              <v:stroke joinstyle="miter"/>
              <v:path gradientshapeok="t" o:connecttype="rect"/>
            </v:shapetype>
            <v:shape id="Text Box 1" o:spid="_x0000_s1027" type="#_x0000_t202" style="position:absolute;margin-left:305.65pt;margin-top:878.45pt;width:18pt;height:15.3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6S6AEAALwDAAAOAAAAZHJzL2Uyb0RvYy54bWysU9tu1DAQfUfiHyy/s7mAqhJttiqtipDK&#10;RWr5AMexE4vEY8beTZavZ+xsltK+IV6s8Xh8fM6Z8fZqHgd2UOgN2JoXm5wzZSW0xnY1//549+aS&#10;Mx+EbcUAVtX8qDy/2r1+tZ1cpUroYWgVMgKxvppczfsQXJVlXvZqFH4DTlk61ICjCLTFLmtRTIQ+&#10;DlmZ5xfZBNg6BKm8p+ztcsh3CV9rJcNXrb0KbKg5cQtpxbQ2cc12W1F1KFxv5ImG+AcWozCWHj1D&#10;3Yog2B7NC6jRSAQPOmwkjBlobaRKGkhNkT9T89ALp5IWMse7s03+/8HKL4dvyExb85IzK0Zq0aOa&#10;A/sAMyuiO5PzFRU9OCoLM6Wpy0mpd/cgf3hm4aYXtlPXiDD1SrTELt3MnlxdcHwEaabP0NIzYh8g&#10;Ac0ax2gdmcEInbp0PHcmUpGULMvLi5xOJB0V79+9LVLnMlGtlx368FHByGJQc6TGJ3BxuPeBZFDp&#10;WhLfsnBnhiE1f7B/JagwZhL5yHdhHuZmTi6dPWmgPZIahGWk6AtQ0AP+4myicaq5/7kXqDgbPlly&#10;JM7eGuAaNGsgrKSrNQ+cLeFNWGZ079B0PSEvnlu4Jte0SYqivQuLE10akST0NM5xBp/uU9WfT7f7&#10;DQAA//8DAFBLAwQUAAYACAAAACEAtg2dC+EAAAANAQAADwAAAGRycy9kb3ducmV2LnhtbEyPwU7D&#10;MBBE70j8g7VI3KgToE4b4lQVghMSIg0Hjk7sJlbjdYjdNvw92xMcd+ZpdqbYzG5gJzMF61FCukiA&#10;GWy9tthJ+Kxf71bAQlSo1eDRSPgxATbl9VWhcu3PWJnTLnaMQjDkSkIf45hzHtreOBUWfjRI3t5P&#10;TkU6p47rSZ0p3A38PkkEd8oifejVaJ570x52Rydh+4XVi/1+bz6qfWXrep3gmzhIeXszb5+ARTPH&#10;Pxgu9ak6lNSp8UfUgQ0SRJo+EEpGthRrYISIx4yk5iKtsiXwsuD/V5S/AAAA//8DAFBLAQItABQA&#10;BgAIAAAAIQC2gziS/gAAAOEBAAATAAAAAAAAAAAAAAAAAAAAAABbQ29udGVudF9UeXBlc10ueG1s&#10;UEsBAi0AFAAGAAgAAAAhADj9If/WAAAAlAEAAAsAAAAAAAAAAAAAAAAALwEAAF9yZWxzLy5yZWxz&#10;UEsBAi0AFAAGAAgAAAAhAA3JXpLoAQAAvAMAAA4AAAAAAAAAAAAAAAAALgIAAGRycy9lMm9Eb2Mu&#10;eG1sUEsBAi0AFAAGAAgAAAAhALYNnQvhAAAADQEAAA8AAAAAAAAAAAAAAAAAQgQAAGRycy9kb3du&#10;cmV2LnhtbFBLBQYAAAAABAAEAPMAAABQBQAAAAA=&#10;" filled="f" stroked="f">
              <v:textbox inset="0,0,0,0">
                <w:txbxContent>
                  <w:p w14:paraId="702FA980" w14:textId="77777777" w:rsidR="00352278" w:rsidRDefault="00AE0C47">
                    <w:pPr>
                      <w:pStyle w:val="Textoindependiente"/>
                      <w:spacing w:before="10"/>
                      <w:ind w:left="60"/>
                      <w:rPr>
                        <w:rFonts w:ascii="Times New Roman"/>
                      </w:rPr>
                    </w:pPr>
                    <w:r>
                      <w:fldChar w:fldCharType="begin"/>
                    </w:r>
                    <w:r>
                      <w:rPr>
                        <w:rFonts w:ascii="Times New Roman"/>
                      </w:rPr>
                      <w:instrText xml:space="preserve"> PAGE </w:instrText>
                    </w:r>
                    <w:r>
                      <w:fldChar w:fldCharType="separate"/>
                    </w:r>
                    <w:r w:rsidR="00AD24BF">
                      <w:rPr>
                        <w:rFonts w:ascii="Times New Roman"/>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4BCA5" w14:textId="77777777" w:rsidR="00333C71" w:rsidRDefault="00333C71">
      <w:r>
        <w:separator/>
      </w:r>
    </w:p>
  </w:footnote>
  <w:footnote w:type="continuationSeparator" w:id="0">
    <w:p w14:paraId="0B5484DF" w14:textId="77777777" w:rsidR="00333C71" w:rsidRDefault="00333C71">
      <w:r>
        <w:continuationSeparator/>
      </w:r>
    </w:p>
  </w:footnote>
  <w:footnote w:id="1">
    <w:p w14:paraId="2FF3C314" w14:textId="77777777" w:rsidR="00D16378" w:rsidRDefault="00D16378" w:rsidP="001531C0">
      <w:pPr>
        <w:pStyle w:val="Textonotapie"/>
        <w:jc w:val="both"/>
        <w:rPr>
          <w:sz w:val="17"/>
          <w:szCs w:val="17"/>
        </w:rPr>
      </w:pPr>
    </w:p>
    <w:p w14:paraId="702FA97B" w14:textId="6E3986C2" w:rsidR="001531C0" w:rsidRPr="00D16378" w:rsidRDefault="001531C0" w:rsidP="001531C0">
      <w:pPr>
        <w:pStyle w:val="Textonotapie"/>
        <w:jc w:val="both"/>
        <w:rPr>
          <w:sz w:val="17"/>
          <w:szCs w:val="17"/>
          <w:lang w:val="es-CO"/>
        </w:rPr>
      </w:pPr>
      <w:r w:rsidRPr="00D16378">
        <w:rPr>
          <w:rStyle w:val="Refdenotaalpie"/>
          <w:sz w:val="17"/>
          <w:szCs w:val="17"/>
        </w:rPr>
        <w:footnoteRef/>
      </w:r>
      <w:r w:rsidRPr="00D16378">
        <w:rPr>
          <w:sz w:val="17"/>
          <w:szCs w:val="17"/>
        </w:rPr>
        <w:t xml:space="preserve"> Consejo de Estado- Sección Primera, </w:t>
      </w:r>
      <w:proofErr w:type="gramStart"/>
      <w:r w:rsidRPr="00D16378">
        <w:rPr>
          <w:sz w:val="17"/>
          <w:szCs w:val="17"/>
        </w:rPr>
        <w:t>Consejera</w:t>
      </w:r>
      <w:proofErr w:type="gramEnd"/>
      <w:r w:rsidRPr="00D16378">
        <w:rPr>
          <w:sz w:val="17"/>
          <w:szCs w:val="17"/>
        </w:rPr>
        <w:t xml:space="preserve"> ponente: Nubia </w:t>
      </w:r>
      <w:proofErr w:type="spellStart"/>
      <w:r w:rsidRPr="00D16378">
        <w:rPr>
          <w:sz w:val="17"/>
          <w:szCs w:val="17"/>
        </w:rPr>
        <w:t>Margoth</w:t>
      </w:r>
      <w:proofErr w:type="spellEnd"/>
      <w:r w:rsidRPr="00D16378">
        <w:rPr>
          <w:sz w:val="17"/>
          <w:szCs w:val="17"/>
        </w:rPr>
        <w:t xml:space="preserve"> Peña Garzón. Radicación número: 25000-23-41-000-2017-02042-01(AP)</w:t>
      </w:r>
    </w:p>
  </w:footnote>
  <w:footnote w:id="2">
    <w:p w14:paraId="702FA97C" w14:textId="7BF0C44D" w:rsidR="001531C0" w:rsidRPr="00D16378" w:rsidRDefault="001531C0" w:rsidP="001531C0">
      <w:pPr>
        <w:pStyle w:val="Textonotapie"/>
        <w:jc w:val="both"/>
        <w:rPr>
          <w:sz w:val="17"/>
          <w:szCs w:val="17"/>
          <w:lang w:val="es-CO"/>
        </w:rPr>
      </w:pPr>
      <w:r w:rsidRPr="00D16378">
        <w:rPr>
          <w:rStyle w:val="Refdenotaalpie"/>
          <w:sz w:val="17"/>
          <w:szCs w:val="17"/>
        </w:rPr>
        <w:footnoteRef/>
      </w:r>
      <w:r w:rsidRPr="00D16378">
        <w:rPr>
          <w:sz w:val="17"/>
          <w:szCs w:val="17"/>
        </w:rPr>
        <w:t xml:space="preserve"> Consejo de Estado- Sección Primera, </w:t>
      </w:r>
      <w:proofErr w:type="gramStart"/>
      <w:r w:rsidRPr="00D16378">
        <w:rPr>
          <w:sz w:val="17"/>
          <w:szCs w:val="17"/>
        </w:rPr>
        <w:t>Consejero</w:t>
      </w:r>
      <w:proofErr w:type="gramEnd"/>
      <w:r w:rsidRPr="00D16378">
        <w:rPr>
          <w:sz w:val="17"/>
          <w:szCs w:val="17"/>
        </w:rPr>
        <w:t xml:space="preserve"> ponente: Roberto Augusto Serrato Valdés, Radicación número: 08001-23-33-000-2019-00646-01(AP)</w:t>
      </w:r>
      <w:r w:rsidR="00707D3E">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FA975" w14:textId="77777777" w:rsidR="00352278" w:rsidRDefault="00E35672">
    <w:pPr>
      <w:pStyle w:val="Textoindependiente"/>
      <w:spacing w:line="14" w:lineRule="auto"/>
      <w:rPr>
        <w:sz w:val="20"/>
      </w:rPr>
    </w:pPr>
    <w:r>
      <w:rPr>
        <w:noProof/>
        <w:lang w:val="es-CO" w:eastAsia="es-CO"/>
      </w:rPr>
      <mc:AlternateContent>
        <mc:Choice Requires="wps">
          <w:drawing>
            <wp:anchor distT="0" distB="0" distL="114300" distR="114300" simplePos="0" relativeHeight="487411200" behindDoc="1" locked="0" layoutInCell="1" allowOverlap="1" wp14:anchorId="702FA977" wp14:editId="702FA978">
              <wp:simplePos x="0" y="0"/>
              <wp:positionH relativeFrom="page">
                <wp:posOffset>2876550</wp:posOffset>
              </wp:positionH>
              <wp:positionV relativeFrom="page">
                <wp:posOffset>410210</wp:posOffset>
              </wp:positionV>
              <wp:extent cx="2232660" cy="5511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A97D" w14:textId="77777777" w:rsidR="00352278" w:rsidRDefault="00AE0C47">
                          <w:pPr>
                            <w:spacing w:before="18" w:line="184" w:lineRule="exact"/>
                            <w:ind w:left="770" w:right="768"/>
                            <w:jc w:val="center"/>
                            <w:rPr>
                              <w:sz w:val="16"/>
                            </w:rPr>
                          </w:pPr>
                          <w:r>
                            <w:rPr>
                              <w:sz w:val="16"/>
                            </w:rPr>
                            <w:t>AUTO</w:t>
                          </w:r>
                          <w:r>
                            <w:rPr>
                              <w:spacing w:val="-3"/>
                              <w:sz w:val="16"/>
                            </w:rPr>
                            <w:t xml:space="preserve"> </w:t>
                          </w:r>
                          <w:r>
                            <w:rPr>
                              <w:sz w:val="16"/>
                            </w:rPr>
                            <w:t>DE</w:t>
                          </w:r>
                          <w:r>
                            <w:rPr>
                              <w:spacing w:val="-2"/>
                              <w:sz w:val="16"/>
                            </w:rPr>
                            <w:t xml:space="preserve"> </w:t>
                          </w:r>
                          <w:r>
                            <w:rPr>
                              <w:sz w:val="16"/>
                            </w:rPr>
                            <w:t>2ª</w:t>
                          </w:r>
                          <w:r>
                            <w:rPr>
                              <w:spacing w:val="-3"/>
                              <w:sz w:val="16"/>
                            </w:rPr>
                            <w:t xml:space="preserve"> </w:t>
                          </w:r>
                          <w:r>
                            <w:rPr>
                              <w:sz w:val="16"/>
                            </w:rPr>
                            <w:t>INSTANCIA</w:t>
                          </w:r>
                        </w:p>
                        <w:p w14:paraId="702FA97E" w14:textId="77777777" w:rsidR="001531C0" w:rsidRDefault="00AE0C47">
                          <w:pPr>
                            <w:spacing w:before="4" w:line="218" w:lineRule="auto"/>
                            <w:ind w:left="20" w:right="18" w:firstLine="4"/>
                            <w:jc w:val="center"/>
                            <w:rPr>
                              <w:sz w:val="16"/>
                            </w:rPr>
                          </w:pPr>
                          <w:r>
                            <w:rPr>
                              <w:sz w:val="16"/>
                            </w:rPr>
                            <w:t>Expediente</w:t>
                          </w:r>
                          <w:r>
                            <w:rPr>
                              <w:spacing w:val="1"/>
                              <w:sz w:val="16"/>
                            </w:rPr>
                            <w:t xml:space="preserve"> </w:t>
                          </w:r>
                          <w:r>
                            <w:rPr>
                              <w:sz w:val="16"/>
                            </w:rPr>
                            <w:t>No.: 20</w:t>
                          </w:r>
                          <w:r w:rsidR="001531C0">
                            <w:rPr>
                              <w:sz w:val="16"/>
                            </w:rPr>
                            <w:t>2</w:t>
                          </w:r>
                          <w:r w:rsidR="00AD24BF">
                            <w:rPr>
                              <w:sz w:val="16"/>
                            </w:rPr>
                            <w:t>0</w:t>
                          </w:r>
                          <w:r>
                            <w:rPr>
                              <w:sz w:val="16"/>
                            </w:rPr>
                            <w:t>-00</w:t>
                          </w:r>
                          <w:r w:rsidR="00AD24BF">
                            <w:rPr>
                              <w:sz w:val="16"/>
                            </w:rPr>
                            <w:t>175</w:t>
                          </w:r>
                          <w:r>
                            <w:rPr>
                              <w:sz w:val="16"/>
                            </w:rPr>
                            <w:t>-01</w:t>
                          </w:r>
                          <w:r>
                            <w:rPr>
                              <w:spacing w:val="1"/>
                              <w:sz w:val="16"/>
                            </w:rPr>
                            <w:t xml:space="preserve"> </w:t>
                          </w:r>
                          <w:r>
                            <w:rPr>
                              <w:sz w:val="16"/>
                            </w:rPr>
                            <w:t>Demandante:</w:t>
                          </w:r>
                          <w:r>
                            <w:rPr>
                              <w:spacing w:val="-6"/>
                              <w:sz w:val="16"/>
                            </w:rPr>
                            <w:t xml:space="preserve"> </w:t>
                          </w:r>
                          <w:r w:rsidR="00AD24BF">
                            <w:rPr>
                              <w:sz w:val="16"/>
                            </w:rPr>
                            <w:t xml:space="preserve">Yesid Figueroa García </w:t>
                          </w:r>
                          <w:r w:rsidR="001531C0">
                            <w:rPr>
                              <w:sz w:val="16"/>
                            </w:rPr>
                            <w:t xml:space="preserve"> </w:t>
                          </w:r>
                        </w:p>
                        <w:p w14:paraId="702FA97F" w14:textId="77777777" w:rsidR="00352278" w:rsidRDefault="001531C0">
                          <w:pPr>
                            <w:spacing w:before="4" w:line="218" w:lineRule="auto"/>
                            <w:ind w:left="20" w:right="18" w:firstLine="4"/>
                            <w:jc w:val="center"/>
                            <w:rPr>
                              <w:sz w:val="16"/>
                            </w:rPr>
                          </w:pPr>
                          <w:r>
                            <w:rPr>
                              <w:sz w:val="16"/>
                            </w:rPr>
                            <w:t xml:space="preserve">ACCIÓN POPULAR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FA977" id="_x0000_t202" coordsize="21600,21600" o:spt="202" path="m,l,21600r21600,l21600,xe">
              <v:stroke joinstyle="miter"/>
              <v:path gradientshapeok="t" o:connecttype="rect"/>
            </v:shapetype>
            <v:shape id="Text Box 2" o:spid="_x0000_s1026" type="#_x0000_t202" style="position:absolute;margin-left:226.5pt;margin-top:32.3pt;width:175.8pt;height:43.4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tk6AEAALYDAAAOAAAAZHJzL2Uyb0RvYy54bWysU9tu2zAMfR+wfxD0vjhx0aAw4hRdiw4D&#10;ugvQ9gNoWY6F2aJGKbGzrx8lx1m3vhV7EWiSOjrnkN5cj30nDpq8QVvK1WIphbYKa2N3pXx+uv9w&#10;JYUPYGvo0OpSHrWX19v37zaDK3SOLXa1JsEg1heDK2UbgiuyzKtW9+AX6LTlYoPUQ+BP2mU1wcDo&#10;fZfly+U6G5BqR6i095y9m4pym/CbRqvwrWm8DqIrJXML6aR0VvHMthsodgSuNepEA97Aogdj+dEz&#10;1B0EEHsyr6B6owg9NmGhsM+waYzSSQOrWS3/UfPYgtNJC5vj3dkm//9g1dfDdxKmLuWFFBZ6HtGT&#10;HoP4iKPIozuD8wU3PTpuCyOnecpJqXcPqH54YfG2BbvTN0Q4tBpqZreKN7MXVyccH0Gq4QvW/Azs&#10;AyagsaE+WsdmCEbnKR3Pk4lUFCfz/CJfr7mkuHZ5uVpdpdFlUMy3HfnwSWMvYlBK4skndDg8+BDZ&#10;QDG3xMcs3puuS9Pv7F8JboyZxD4SnqiHsRpPblRYH1kH4bRMvPwctEi/pBh4kUrpf+6BtBTdZ8te&#10;xK2bA5qDag7AKr5ayiDFFN6GaTv3jsyuZeTJbYs37FdjkpRo7MTixJOXIyk8LXLcvpffqevP77b9&#10;DQAA//8DAFBLAwQUAAYACAAAACEASUF0WN8AAAAKAQAADwAAAGRycy9kb3ducmV2LnhtbEyPwU7D&#10;MAyG70i8Q2QkbiwddNUoTacJwQkJ0ZUDx7Tx2miNU5psK2+Pd4KbLX/6/f3FZnaDOOEUrCcFy0UC&#10;Aqn1xlKn4LN+vVuDCFGT0YMnVPCDATbl9VWhc+PPVOFpFzvBIRRyraCPccylDG2PToeFH5H4tveT&#10;05HXqZNm0mcOd4O8T5JMOm2JP/R6xOce28Pu6BRsv6h6sd/vzUe1r2xdPyb0lh2Uur2Zt08gIs7x&#10;D4aLPqtDyU6NP5IJYlCQrh64S1SQpRkIBtbJZWiYXC1TkGUh/1cofwEAAP//AwBQSwECLQAUAAYA&#10;CAAAACEAtoM4kv4AAADhAQAAEwAAAAAAAAAAAAAAAAAAAAAAW0NvbnRlbnRfVHlwZXNdLnhtbFBL&#10;AQItABQABgAIAAAAIQA4/SH/1gAAAJQBAAALAAAAAAAAAAAAAAAAAC8BAABfcmVscy8ucmVsc1BL&#10;AQItABQABgAIAAAAIQCH4dtk6AEAALYDAAAOAAAAAAAAAAAAAAAAAC4CAABkcnMvZTJvRG9jLnht&#10;bFBLAQItABQABgAIAAAAIQBJQXRY3wAAAAoBAAAPAAAAAAAAAAAAAAAAAEIEAABkcnMvZG93bnJl&#10;di54bWxQSwUGAAAAAAQABADzAAAATgUAAAAA&#10;" filled="f" stroked="f">
              <v:textbox inset="0,0,0,0">
                <w:txbxContent>
                  <w:p w14:paraId="702FA97D" w14:textId="77777777" w:rsidR="00352278" w:rsidRDefault="00AE0C47">
                    <w:pPr>
                      <w:spacing w:before="18" w:line="184" w:lineRule="exact"/>
                      <w:ind w:left="770" w:right="768"/>
                      <w:jc w:val="center"/>
                      <w:rPr>
                        <w:sz w:val="16"/>
                      </w:rPr>
                    </w:pPr>
                    <w:r>
                      <w:rPr>
                        <w:sz w:val="16"/>
                      </w:rPr>
                      <w:t>AUTO</w:t>
                    </w:r>
                    <w:r>
                      <w:rPr>
                        <w:spacing w:val="-3"/>
                        <w:sz w:val="16"/>
                      </w:rPr>
                      <w:t xml:space="preserve"> </w:t>
                    </w:r>
                    <w:r>
                      <w:rPr>
                        <w:sz w:val="16"/>
                      </w:rPr>
                      <w:t>DE</w:t>
                    </w:r>
                    <w:r>
                      <w:rPr>
                        <w:spacing w:val="-2"/>
                        <w:sz w:val="16"/>
                      </w:rPr>
                      <w:t xml:space="preserve"> </w:t>
                    </w:r>
                    <w:r>
                      <w:rPr>
                        <w:sz w:val="16"/>
                      </w:rPr>
                      <w:t>2ª</w:t>
                    </w:r>
                    <w:r>
                      <w:rPr>
                        <w:spacing w:val="-3"/>
                        <w:sz w:val="16"/>
                      </w:rPr>
                      <w:t xml:space="preserve"> </w:t>
                    </w:r>
                    <w:r>
                      <w:rPr>
                        <w:sz w:val="16"/>
                      </w:rPr>
                      <w:t>INSTANCIA</w:t>
                    </w:r>
                  </w:p>
                  <w:p w14:paraId="702FA97E" w14:textId="77777777" w:rsidR="001531C0" w:rsidRDefault="00AE0C47">
                    <w:pPr>
                      <w:spacing w:before="4" w:line="218" w:lineRule="auto"/>
                      <w:ind w:left="20" w:right="18" w:firstLine="4"/>
                      <w:jc w:val="center"/>
                      <w:rPr>
                        <w:sz w:val="16"/>
                      </w:rPr>
                    </w:pPr>
                    <w:r>
                      <w:rPr>
                        <w:sz w:val="16"/>
                      </w:rPr>
                      <w:t>Expediente</w:t>
                    </w:r>
                    <w:r>
                      <w:rPr>
                        <w:spacing w:val="1"/>
                        <w:sz w:val="16"/>
                      </w:rPr>
                      <w:t xml:space="preserve"> </w:t>
                    </w:r>
                    <w:r>
                      <w:rPr>
                        <w:sz w:val="16"/>
                      </w:rPr>
                      <w:t>No.: 20</w:t>
                    </w:r>
                    <w:r w:rsidR="001531C0">
                      <w:rPr>
                        <w:sz w:val="16"/>
                      </w:rPr>
                      <w:t>2</w:t>
                    </w:r>
                    <w:r w:rsidR="00AD24BF">
                      <w:rPr>
                        <w:sz w:val="16"/>
                      </w:rPr>
                      <w:t>0</w:t>
                    </w:r>
                    <w:r>
                      <w:rPr>
                        <w:sz w:val="16"/>
                      </w:rPr>
                      <w:t>-00</w:t>
                    </w:r>
                    <w:r w:rsidR="00AD24BF">
                      <w:rPr>
                        <w:sz w:val="16"/>
                      </w:rPr>
                      <w:t>175</w:t>
                    </w:r>
                    <w:r>
                      <w:rPr>
                        <w:sz w:val="16"/>
                      </w:rPr>
                      <w:t>-01</w:t>
                    </w:r>
                    <w:r>
                      <w:rPr>
                        <w:spacing w:val="1"/>
                        <w:sz w:val="16"/>
                      </w:rPr>
                      <w:t xml:space="preserve"> </w:t>
                    </w:r>
                    <w:r>
                      <w:rPr>
                        <w:sz w:val="16"/>
                      </w:rPr>
                      <w:t>Demandante:</w:t>
                    </w:r>
                    <w:r>
                      <w:rPr>
                        <w:spacing w:val="-6"/>
                        <w:sz w:val="16"/>
                      </w:rPr>
                      <w:t xml:space="preserve"> </w:t>
                    </w:r>
                    <w:r w:rsidR="00AD24BF">
                      <w:rPr>
                        <w:sz w:val="16"/>
                      </w:rPr>
                      <w:t xml:space="preserve">Yesid Figueroa García </w:t>
                    </w:r>
                    <w:r w:rsidR="001531C0">
                      <w:rPr>
                        <w:sz w:val="16"/>
                      </w:rPr>
                      <w:t xml:space="preserve"> </w:t>
                    </w:r>
                  </w:p>
                  <w:p w14:paraId="702FA97F" w14:textId="77777777" w:rsidR="00352278" w:rsidRDefault="001531C0">
                    <w:pPr>
                      <w:spacing w:before="4" w:line="218" w:lineRule="auto"/>
                      <w:ind w:left="20" w:right="18" w:firstLine="4"/>
                      <w:jc w:val="center"/>
                      <w:rPr>
                        <w:sz w:val="16"/>
                      </w:rPr>
                    </w:pPr>
                    <w:r>
                      <w:rPr>
                        <w:sz w:val="16"/>
                      </w:rPr>
                      <w:t xml:space="preserve">ACCIÓN POPULAR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D103D"/>
    <w:multiLevelType w:val="hybridMultilevel"/>
    <w:tmpl w:val="51860FFC"/>
    <w:lvl w:ilvl="0" w:tplc="D8B2D3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9767D0"/>
    <w:multiLevelType w:val="multilevel"/>
    <w:tmpl w:val="FC9EF028"/>
    <w:lvl w:ilvl="0">
      <w:start w:val="2"/>
      <w:numFmt w:val="decimal"/>
      <w:lvlText w:val="%1"/>
      <w:lvlJc w:val="left"/>
      <w:pPr>
        <w:ind w:left="1059" w:hanging="567"/>
      </w:pPr>
      <w:rPr>
        <w:rFonts w:hint="default"/>
        <w:lang w:val="es-ES" w:eastAsia="en-US" w:bidi="ar-SA"/>
      </w:rPr>
    </w:lvl>
    <w:lvl w:ilvl="1">
      <w:start w:val="1"/>
      <w:numFmt w:val="decimal"/>
      <w:lvlText w:val="%1.%2."/>
      <w:lvlJc w:val="left"/>
      <w:pPr>
        <w:ind w:left="1059" w:hanging="567"/>
      </w:pPr>
      <w:rPr>
        <w:rFonts w:ascii="Verdana" w:eastAsia="Verdana" w:hAnsi="Verdana" w:cs="Verdana" w:hint="default"/>
        <w:i/>
        <w:iCs/>
        <w:spacing w:val="-1"/>
        <w:w w:val="100"/>
        <w:sz w:val="24"/>
        <w:szCs w:val="24"/>
        <w:u w:val="single" w:color="000000"/>
        <w:lang w:val="es-ES" w:eastAsia="en-US" w:bidi="ar-SA"/>
      </w:rPr>
    </w:lvl>
    <w:lvl w:ilvl="2">
      <w:start w:val="1"/>
      <w:numFmt w:val="lowerRoman"/>
      <w:lvlText w:val="%3)"/>
      <w:lvlJc w:val="left"/>
      <w:pPr>
        <w:ind w:left="1342" w:hanging="567"/>
      </w:pPr>
      <w:rPr>
        <w:rFonts w:ascii="Verdana" w:eastAsia="Verdana" w:hAnsi="Verdana" w:cs="Verdana" w:hint="default"/>
        <w:spacing w:val="0"/>
        <w:w w:val="100"/>
        <w:sz w:val="20"/>
        <w:szCs w:val="20"/>
        <w:lang w:val="es-ES" w:eastAsia="en-US" w:bidi="ar-SA"/>
      </w:rPr>
    </w:lvl>
    <w:lvl w:ilvl="3">
      <w:numFmt w:val="bullet"/>
      <w:lvlText w:val="•"/>
      <w:lvlJc w:val="left"/>
      <w:pPr>
        <w:ind w:left="2997" w:hanging="567"/>
      </w:pPr>
      <w:rPr>
        <w:rFonts w:hint="default"/>
        <w:lang w:val="es-ES" w:eastAsia="en-US" w:bidi="ar-SA"/>
      </w:rPr>
    </w:lvl>
    <w:lvl w:ilvl="4">
      <w:numFmt w:val="bullet"/>
      <w:lvlText w:val="•"/>
      <w:lvlJc w:val="left"/>
      <w:pPr>
        <w:ind w:left="3826" w:hanging="567"/>
      </w:pPr>
      <w:rPr>
        <w:rFonts w:hint="default"/>
        <w:lang w:val="es-ES" w:eastAsia="en-US" w:bidi="ar-SA"/>
      </w:rPr>
    </w:lvl>
    <w:lvl w:ilvl="5">
      <w:numFmt w:val="bullet"/>
      <w:lvlText w:val="•"/>
      <w:lvlJc w:val="left"/>
      <w:pPr>
        <w:ind w:left="4655" w:hanging="567"/>
      </w:pPr>
      <w:rPr>
        <w:rFonts w:hint="default"/>
        <w:lang w:val="es-ES" w:eastAsia="en-US" w:bidi="ar-SA"/>
      </w:rPr>
    </w:lvl>
    <w:lvl w:ilvl="6">
      <w:numFmt w:val="bullet"/>
      <w:lvlText w:val="•"/>
      <w:lvlJc w:val="left"/>
      <w:pPr>
        <w:ind w:left="5484" w:hanging="567"/>
      </w:pPr>
      <w:rPr>
        <w:rFonts w:hint="default"/>
        <w:lang w:val="es-ES" w:eastAsia="en-US" w:bidi="ar-SA"/>
      </w:rPr>
    </w:lvl>
    <w:lvl w:ilvl="7">
      <w:numFmt w:val="bullet"/>
      <w:lvlText w:val="•"/>
      <w:lvlJc w:val="left"/>
      <w:pPr>
        <w:ind w:left="6313" w:hanging="567"/>
      </w:pPr>
      <w:rPr>
        <w:rFonts w:hint="default"/>
        <w:lang w:val="es-ES" w:eastAsia="en-US" w:bidi="ar-SA"/>
      </w:rPr>
    </w:lvl>
    <w:lvl w:ilvl="8">
      <w:numFmt w:val="bullet"/>
      <w:lvlText w:val="•"/>
      <w:lvlJc w:val="left"/>
      <w:pPr>
        <w:ind w:left="7142" w:hanging="567"/>
      </w:pPr>
      <w:rPr>
        <w:rFonts w:hint="default"/>
        <w:lang w:val="es-ES" w:eastAsia="en-US" w:bidi="ar-SA"/>
      </w:rPr>
    </w:lvl>
  </w:abstractNum>
  <w:abstractNum w:abstractNumId="2" w15:restartNumberingAfterBreak="0">
    <w:nsid w:val="34A436F8"/>
    <w:multiLevelType w:val="multilevel"/>
    <w:tmpl w:val="C8F63B38"/>
    <w:lvl w:ilvl="0">
      <w:start w:val="1"/>
      <w:numFmt w:val="upperRoman"/>
      <w:lvlText w:val="%1"/>
      <w:lvlJc w:val="left"/>
      <w:pPr>
        <w:ind w:left="1049" w:hanging="557"/>
      </w:pPr>
      <w:rPr>
        <w:rFonts w:hint="default"/>
        <w:lang w:val="es-ES" w:eastAsia="en-US" w:bidi="ar-SA"/>
      </w:rPr>
    </w:lvl>
    <w:lvl w:ilvl="1">
      <w:start w:val="1"/>
      <w:numFmt w:val="decimal"/>
      <w:lvlText w:val="%1.%2."/>
      <w:lvlJc w:val="left"/>
      <w:pPr>
        <w:ind w:left="1049" w:hanging="557"/>
      </w:pPr>
      <w:rPr>
        <w:rFonts w:ascii="Verdana" w:eastAsia="Verdana" w:hAnsi="Verdana" w:cs="Verdana" w:hint="default"/>
        <w:b/>
        <w:bCs/>
        <w:spacing w:val="-2"/>
        <w:w w:val="100"/>
        <w:sz w:val="24"/>
        <w:szCs w:val="24"/>
        <w:lang w:val="es-ES" w:eastAsia="en-US" w:bidi="ar-SA"/>
      </w:rPr>
    </w:lvl>
    <w:lvl w:ilvl="2">
      <w:numFmt w:val="bullet"/>
      <w:lvlText w:val="•"/>
      <w:lvlJc w:val="left"/>
      <w:pPr>
        <w:ind w:left="2592" w:hanging="557"/>
      </w:pPr>
      <w:rPr>
        <w:rFonts w:hint="default"/>
        <w:lang w:val="es-ES" w:eastAsia="en-US" w:bidi="ar-SA"/>
      </w:rPr>
    </w:lvl>
    <w:lvl w:ilvl="3">
      <w:numFmt w:val="bullet"/>
      <w:lvlText w:val="•"/>
      <w:lvlJc w:val="left"/>
      <w:pPr>
        <w:ind w:left="3368" w:hanging="557"/>
      </w:pPr>
      <w:rPr>
        <w:rFonts w:hint="default"/>
        <w:lang w:val="es-ES" w:eastAsia="en-US" w:bidi="ar-SA"/>
      </w:rPr>
    </w:lvl>
    <w:lvl w:ilvl="4">
      <w:numFmt w:val="bullet"/>
      <w:lvlText w:val="•"/>
      <w:lvlJc w:val="left"/>
      <w:pPr>
        <w:ind w:left="4144" w:hanging="557"/>
      </w:pPr>
      <w:rPr>
        <w:rFonts w:hint="default"/>
        <w:lang w:val="es-ES" w:eastAsia="en-US" w:bidi="ar-SA"/>
      </w:rPr>
    </w:lvl>
    <w:lvl w:ilvl="5">
      <w:numFmt w:val="bullet"/>
      <w:lvlText w:val="•"/>
      <w:lvlJc w:val="left"/>
      <w:pPr>
        <w:ind w:left="4920" w:hanging="557"/>
      </w:pPr>
      <w:rPr>
        <w:rFonts w:hint="default"/>
        <w:lang w:val="es-ES" w:eastAsia="en-US" w:bidi="ar-SA"/>
      </w:rPr>
    </w:lvl>
    <w:lvl w:ilvl="6">
      <w:numFmt w:val="bullet"/>
      <w:lvlText w:val="•"/>
      <w:lvlJc w:val="left"/>
      <w:pPr>
        <w:ind w:left="5696" w:hanging="557"/>
      </w:pPr>
      <w:rPr>
        <w:rFonts w:hint="default"/>
        <w:lang w:val="es-ES" w:eastAsia="en-US" w:bidi="ar-SA"/>
      </w:rPr>
    </w:lvl>
    <w:lvl w:ilvl="7">
      <w:numFmt w:val="bullet"/>
      <w:lvlText w:val="•"/>
      <w:lvlJc w:val="left"/>
      <w:pPr>
        <w:ind w:left="6472" w:hanging="557"/>
      </w:pPr>
      <w:rPr>
        <w:rFonts w:hint="default"/>
        <w:lang w:val="es-ES" w:eastAsia="en-US" w:bidi="ar-SA"/>
      </w:rPr>
    </w:lvl>
    <w:lvl w:ilvl="8">
      <w:numFmt w:val="bullet"/>
      <w:lvlText w:val="•"/>
      <w:lvlJc w:val="left"/>
      <w:pPr>
        <w:ind w:left="7248" w:hanging="557"/>
      </w:pPr>
      <w:rPr>
        <w:rFonts w:hint="default"/>
        <w:lang w:val="es-ES" w:eastAsia="en-US" w:bidi="ar-SA"/>
      </w:rPr>
    </w:lvl>
  </w:abstractNum>
  <w:abstractNum w:abstractNumId="3" w15:restartNumberingAfterBreak="0">
    <w:nsid w:val="48AF1648"/>
    <w:multiLevelType w:val="hybridMultilevel"/>
    <w:tmpl w:val="DEF62A80"/>
    <w:lvl w:ilvl="0" w:tplc="C2D26414">
      <w:start w:val="1"/>
      <w:numFmt w:val="upperRoman"/>
      <w:lvlText w:val="%1."/>
      <w:lvlJc w:val="left"/>
      <w:pPr>
        <w:ind w:left="3775" w:hanging="706"/>
        <w:jc w:val="right"/>
      </w:pPr>
      <w:rPr>
        <w:rFonts w:ascii="Verdana" w:eastAsia="Verdana" w:hAnsi="Verdana" w:cs="Verdana" w:hint="default"/>
        <w:b/>
        <w:bCs/>
        <w:spacing w:val="0"/>
        <w:w w:val="99"/>
        <w:sz w:val="26"/>
        <w:szCs w:val="26"/>
        <w:lang w:val="es-ES" w:eastAsia="en-US" w:bidi="ar-SA"/>
      </w:rPr>
    </w:lvl>
    <w:lvl w:ilvl="1" w:tplc="D42ACE50">
      <w:numFmt w:val="bullet"/>
      <w:lvlText w:val="•"/>
      <w:lvlJc w:val="left"/>
      <w:pPr>
        <w:ind w:left="4282" w:hanging="706"/>
      </w:pPr>
      <w:rPr>
        <w:rFonts w:hint="default"/>
        <w:lang w:val="es-ES" w:eastAsia="en-US" w:bidi="ar-SA"/>
      </w:rPr>
    </w:lvl>
    <w:lvl w:ilvl="2" w:tplc="592430F6">
      <w:numFmt w:val="bullet"/>
      <w:lvlText w:val="•"/>
      <w:lvlJc w:val="left"/>
      <w:pPr>
        <w:ind w:left="4784" w:hanging="706"/>
      </w:pPr>
      <w:rPr>
        <w:rFonts w:hint="default"/>
        <w:lang w:val="es-ES" w:eastAsia="en-US" w:bidi="ar-SA"/>
      </w:rPr>
    </w:lvl>
    <w:lvl w:ilvl="3" w:tplc="B4ACE14A">
      <w:numFmt w:val="bullet"/>
      <w:lvlText w:val="•"/>
      <w:lvlJc w:val="left"/>
      <w:pPr>
        <w:ind w:left="5286" w:hanging="706"/>
      </w:pPr>
      <w:rPr>
        <w:rFonts w:hint="default"/>
        <w:lang w:val="es-ES" w:eastAsia="en-US" w:bidi="ar-SA"/>
      </w:rPr>
    </w:lvl>
    <w:lvl w:ilvl="4" w:tplc="887EAD86">
      <w:numFmt w:val="bullet"/>
      <w:lvlText w:val="•"/>
      <w:lvlJc w:val="left"/>
      <w:pPr>
        <w:ind w:left="5788" w:hanging="706"/>
      </w:pPr>
      <w:rPr>
        <w:rFonts w:hint="default"/>
        <w:lang w:val="es-ES" w:eastAsia="en-US" w:bidi="ar-SA"/>
      </w:rPr>
    </w:lvl>
    <w:lvl w:ilvl="5" w:tplc="9A3A4900">
      <w:numFmt w:val="bullet"/>
      <w:lvlText w:val="•"/>
      <w:lvlJc w:val="left"/>
      <w:pPr>
        <w:ind w:left="6290" w:hanging="706"/>
      </w:pPr>
      <w:rPr>
        <w:rFonts w:hint="default"/>
        <w:lang w:val="es-ES" w:eastAsia="en-US" w:bidi="ar-SA"/>
      </w:rPr>
    </w:lvl>
    <w:lvl w:ilvl="6" w:tplc="DA56AC40">
      <w:numFmt w:val="bullet"/>
      <w:lvlText w:val="•"/>
      <w:lvlJc w:val="left"/>
      <w:pPr>
        <w:ind w:left="6792" w:hanging="706"/>
      </w:pPr>
      <w:rPr>
        <w:rFonts w:hint="default"/>
        <w:lang w:val="es-ES" w:eastAsia="en-US" w:bidi="ar-SA"/>
      </w:rPr>
    </w:lvl>
    <w:lvl w:ilvl="7" w:tplc="8514D4E4">
      <w:numFmt w:val="bullet"/>
      <w:lvlText w:val="•"/>
      <w:lvlJc w:val="left"/>
      <w:pPr>
        <w:ind w:left="7294" w:hanging="706"/>
      </w:pPr>
      <w:rPr>
        <w:rFonts w:hint="default"/>
        <w:lang w:val="es-ES" w:eastAsia="en-US" w:bidi="ar-SA"/>
      </w:rPr>
    </w:lvl>
    <w:lvl w:ilvl="8" w:tplc="BA409FC2">
      <w:numFmt w:val="bullet"/>
      <w:lvlText w:val="•"/>
      <w:lvlJc w:val="left"/>
      <w:pPr>
        <w:ind w:left="7796" w:hanging="706"/>
      </w:pPr>
      <w:rPr>
        <w:rFonts w:hint="default"/>
        <w:lang w:val="es-ES" w:eastAsia="en-US" w:bidi="ar-SA"/>
      </w:rPr>
    </w:lvl>
  </w:abstractNum>
  <w:abstractNum w:abstractNumId="4" w15:restartNumberingAfterBreak="0">
    <w:nsid w:val="54470235"/>
    <w:multiLevelType w:val="multilevel"/>
    <w:tmpl w:val="56BCBEFC"/>
    <w:lvl w:ilvl="0">
      <w:start w:val="1"/>
      <w:numFmt w:val="decimal"/>
      <w:lvlText w:val="%1"/>
      <w:lvlJc w:val="left"/>
      <w:pPr>
        <w:ind w:left="1212" w:hanging="720"/>
      </w:pPr>
      <w:rPr>
        <w:rFonts w:hint="default"/>
        <w:lang w:val="es-ES" w:eastAsia="en-US" w:bidi="ar-SA"/>
      </w:rPr>
    </w:lvl>
    <w:lvl w:ilvl="1">
      <w:start w:val="1"/>
      <w:numFmt w:val="decimal"/>
      <w:lvlText w:val="%1.%2."/>
      <w:lvlJc w:val="left"/>
      <w:pPr>
        <w:ind w:left="1212" w:hanging="720"/>
      </w:pPr>
      <w:rPr>
        <w:rFonts w:hint="default"/>
        <w:i/>
        <w:iCs/>
        <w:spacing w:val="-1"/>
        <w:w w:val="100"/>
        <w:lang w:val="es-ES" w:eastAsia="en-US" w:bidi="ar-SA"/>
      </w:rPr>
    </w:lvl>
    <w:lvl w:ilvl="2">
      <w:numFmt w:val="bullet"/>
      <w:lvlText w:val="•"/>
      <w:lvlJc w:val="left"/>
      <w:pPr>
        <w:ind w:left="2736" w:hanging="720"/>
      </w:pPr>
      <w:rPr>
        <w:rFonts w:hint="default"/>
        <w:lang w:val="es-ES" w:eastAsia="en-US" w:bidi="ar-SA"/>
      </w:rPr>
    </w:lvl>
    <w:lvl w:ilvl="3">
      <w:numFmt w:val="bullet"/>
      <w:lvlText w:val="•"/>
      <w:lvlJc w:val="left"/>
      <w:pPr>
        <w:ind w:left="3494" w:hanging="720"/>
      </w:pPr>
      <w:rPr>
        <w:rFonts w:hint="default"/>
        <w:lang w:val="es-ES" w:eastAsia="en-US" w:bidi="ar-SA"/>
      </w:rPr>
    </w:lvl>
    <w:lvl w:ilvl="4">
      <w:numFmt w:val="bullet"/>
      <w:lvlText w:val="•"/>
      <w:lvlJc w:val="left"/>
      <w:pPr>
        <w:ind w:left="4252" w:hanging="720"/>
      </w:pPr>
      <w:rPr>
        <w:rFonts w:hint="default"/>
        <w:lang w:val="es-ES" w:eastAsia="en-US" w:bidi="ar-SA"/>
      </w:rPr>
    </w:lvl>
    <w:lvl w:ilvl="5">
      <w:numFmt w:val="bullet"/>
      <w:lvlText w:val="•"/>
      <w:lvlJc w:val="left"/>
      <w:pPr>
        <w:ind w:left="5010" w:hanging="720"/>
      </w:pPr>
      <w:rPr>
        <w:rFonts w:hint="default"/>
        <w:lang w:val="es-ES" w:eastAsia="en-US" w:bidi="ar-SA"/>
      </w:rPr>
    </w:lvl>
    <w:lvl w:ilvl="6">
      <w:numFmt w:val="bullet"/>
      <w:lvlText w:val="•"/>
      <w:lvlJc w:val="left"/>
      <w:pPr>
        <w:ind w:left="5768" w:hanging="720"/>
      </w:pPr>
      <w:rPr>
        <w:rFonts w:hint="default"/>
        <w:lang w:val="es-ES" w:eastAsia="en-US" w:bidi="ar-SA"/>
      </w:rPr>
    </w:lvl>
    <w:lvl w:ilvl="7">
      <w:numFmt w:val="bullet"/>
      <w:lvlText w:val="•"/>
      <w:lvlJc w:val="left"/>
      <w:pPr>
        <w:ind w:left="6526" w:hanging="720"/>
      </w:pPr>
      <w:rPr>
        <w:rFonts w:hint="default"/>
        <w:lang w:val="es-ES" w:eastAsia="en-US" w:bidi="ar-SA"/>
      </w:rPr>
    </w:lvl>
    <w:lvl w:ilvl="8">
      <w:numFmt w:val="bullet"/>
      <w:lvlText w:val="•"/>
      <w:lvlJc w:val="left"/>
      <w:pPr>
        <w:ind w:left="7284" w:hanging="720"/>
      </w:pPr>
      <w:rPr>
        <w:rFonts w:hint="default"/>
        <w:lang w:val="es-ES"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78"/>
    <w:rsid w:val="00073429"/>
    <w:rsid w:val="000C6AFB"/>
    <w:rsid w:val="000D2DEB"/>
    <w:rsid w:val="00150426"/>
    <w:rsid w:val="001531C0"/>
    <w:rsid w:val="00155D04"/>
    <w:rsid w:val="001C745E"/>
    <w:rsid w:val="00232F49"/>
    <w:rsid w:val="002453BC"/>
    <w:rsid w:val="002C0C77"/>
    <w:rsid w:val="00333C71"/>
    <w:rsid w:val="00352278"/>
    <w:rsid w:val="003C6A38"/>
    <w:rsid w:val="0040128C"/>
    <w:rsid w:val="00514C9F"/>
    <w:rsid w:val="00523732"/>
    <w:rsid w:val="005F4308"/>
    <w:rsid w:val="006F7CA9"/>
    <w:rsid w:val="00707D3E"/>
    <w:rsid w:val="008768D0"/>
    <w:rsid w:val="00880183"/>
    <w:rsid w:val="00895486"/>
    <w:rsid w:val="00991111"/>
    <w:rsid w:val="009C369F"/>
    <w:rsid w:val="00A35861"/>
    <w:rsid w:val="00AD24BF"/>
    <w:rsid w:val="00AE0C47"/>
    <w:rsid w:val="00B63678"/>
    <w:rsid w:val="00B83FF3"/>
    <w:rsid w:val="00BB5B98"/>
    <w:rsid w:val="00D16378"/>
    <w:rsid w:val="00D931D9"/>
    <w:rsid w:val="00E35672"/>
    <w:rsid w:val="00E52CB1"/>
    <w:rsid w:val="00E768E2"/>
    <w:rsid w:val="00F511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A900"/>
  <w15:docId w15:val="{FC71E706-A8A3-4442-BEF3-5290CB12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3478" w:hanging="707"/>
      <w:outlineLvl w:val="0"/>
    </w:pPr>
    <w:rPr>
      <w:b/>
      <w:bCs/>
      <w:sz w:val="26"/>
      <w:szCs w:val="26"/>
    </w:rPr>
  </w:style>
  <w:style w:type="paragraph" w:styleId="Ttulo2">
    <w:name w:val="heading 2"/>
    <w:basedOn w:val="Normal"/>
    <w:uiPriority w:val="1"/>
    <w:qFormat/>
    <w:pPr>
      <w:ind w:left="492"/>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49" w:hanging="568"/>
    </w:pPr>
  </w:style>
  <w:style w:type="paragraph" w:customStyle="1" w:styleId="TableParagraph">
    <w:name w:val="Table Paragraph"/>
    <w:basedOn w:val="Normal"/>
    <w:uiPriority w:val="1"/>
    <w:qFormat/>
  </w:style>
  <w:style w:type="paragraph" w:styleId="Sinespaciado">
    <w:name w:val="No Spacing"/>
    <w:uiPriority w:val="1"/>
    <w:qFormat/>
    <w:rsid w:val="00D931D9"/>
    <w:rPr>
      <w:rFonts w:ascii="Verdana" w:eastAsia="Verdana" w:hAnsi="Verdana" w:cs="Verdana"/>
      <w:lang w:val="es-ES"/>
    </w:rPr>
  </w:style>
  <w:style w:type="paragraph" w:styleId="Encabezado">
    <w:name w:val="header"/>
    <w:basedOn w:val="Normal"/>
    <w:link w:val="EncabezadoCar"/>
    <w:uiPriority w:val="99"/>
    <w:unhideWhenUsed/>
    <w:rsid w:val="001531C0"/>
    <w:pPr>
      <w:tabs>
        <w:tab w:val="center" w:pos="4419"/>
        <w:tab w:val="right" w:pos="8838"/>
      </w:tabs>
    </w:pPr>
  </w:style>
  <w:style w:type="character" w:customStyle="1" w:styleId="EncabezadoCar">
    <w:name w:val="Encabezado Car"/>
    <w:basedOn w:val="Fuentedeprrafopredeter"/>
    <w:link w:val="Encabezado"/>
    <w:uiPriority w:val="99"/>
    <w:rsid w:val="001531C0"/>
    <w:rPr>
      <w:rFonts w:ascii="Verdana" w:eastAsia="Verdana" w:hAnsi="Verdana" w:cs="Verdana"/>
      <w:lang w:val="es-ES"/>
    </w:rPr>
  </w:style>
  <w:style w:type="paragraph" w:styleId="Piedepgina">
    <w:name w:val="footer"/>
    <w:basedOn w:val="Normal"/>
    <w:link w:val="PiedepginaCar"/>
    <w:uiPriority w:val="99"/>
    <w:unhideWhenUsed/>
    <w:rsid w:val="001531C0"/>
    <w:pPr>
      <w:tabs>
        <w:tab w:val="center" w:pos="4419"/>
        <w:tab w:val="right" w:pos="8838"/>
      </w:tabs>
    </w:pPr>
  </w:style>
  <w:style w:type="character" w:customStyle="1" w:styleId="PiedepginaCar">
    <w:name w:val="Pie de página Car"/>
    <w:basedOn w:val="Fuentedeprrafopredeter"/>
    <w:link w:val="Piedepgina"/>
    <w:uiPriority w:val="99"/>
    <w:rsid w:val="001531C0"/>
    <w:rPr>
      <w:rFonts w:ascii="Verdana" w:eastAsia="Verdana" w:hAnsi="Verdana" w:cs="Verdana"/>
      <w:lang w:val="es-ES"/>
    </w:rPr>
  </w:style>
  <w:style w:type="paragraph" w:styleId="Textonotapie">
    <w:name w:val="footnote text"/>
    <w:basedOn w:val="Normal"/>
    <w:link w:val="TextonotapieCar"/>
    <w:uiPriority w:val="99"/>
    <w:semiHidden/>
    <w:unhideWhenUsed/>
    <w:rsid w:val="001531C0"/>
    <w:rPr>
      <w:sz w:val="20"/>
      <w:szCs w:val="20"/>
    </w:rPr>
  </w:style>
  <w:style w:type="character" w:customStyle="1" w:styleId="TextonotapieCar">
    <w:name w:val="Texto nota pie Car"/>
    <w:basedOn w:val="Fuentedeprrafopredeter"/>
    <w:link w:val="Textonotapie"/>
    <w:uiPriority w:val="99"/>
    <w:semiHidden/>
    <w:rsid w:val="001531C0"/>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153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9" ma:contentTypeDescription="Crear nuevo documento." ma:contentTypeScope="" ma:versionID="9c6ab9efe60a4662fe836299ca8da904">
  <xsd:schema xmlns:xsd="http://www.w3.org/2001/XMLSchema" xmlns:xs="http://www.w3.org/2001/XMLSchema" xmlns:p="http://schemas.microsoft.com/office/2006/metadata/properties" xmlns:ns2="22284b6d-4320-4c1c-b93c-fb5ab6f9e403" targetNamespace="http://schemas.microsoft.com/office/2006/metadata/properties" ma:root="true" ma:fieldsID="af8c17dfe219db78be3d7a2b79a8e6b2" ns2:_="">
    <xsd:import namespace="22284b6d-4320-4c1c-b93c-fb5ab6f9e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291AA-A0E6-4C02-B0D2-EEBE3CFA9479}">
  <ds:schemaRefs>
    <ds:schemaRef ds:uri="http://schemas.openxmlformats.org/officeDocument/2006/bibliography"/>
  </ds:schemaRefs>
</ds:datastoreItem>
</file>

<file path=customXml/itemProps2.xml><?xml version="1.0" encoding="utf-8"?>
<ds:datastoreItem xmlns:ds="http://schemas.openxmlformats.org/officeDocument/2006/customXml" ds:itemID="{E6258D9F-507C-4B8F-AB3D-19811713B942}"/>
</file>

<file path=customXml/itemProps3.xml><?xml version="1.0" encoding="utf-8"?>
<ds:datastoreItem xmlns:ds="http://schemas.openxmlformats.org/officeDocument/2006/customXml" ds:itemID="{8C43C08C-E945-4454-BA99-625B8D63EA65}"/>
</file>

<file path=customXml/itemProps4.xml><?xml version="1.0" encoding="utf-8"?>
<ds:datastoreItem xmlns:ds="http://schemas.openxmlformats.org/officeDocument/2006/customXml" ds:itemID="{2729E74D-26AB-47AB-A19D-8C7BBAF32B8B}"/>
</file>

<file path=docProps/app.xml><?xml version="1.0" encoding="utf-8"?>
<Properties xmlns="http://schemas.openxmlformats.org/officeDocument/2006/extended-properties" xmlns:vt="http://schemas.openxmlformats.org/officeDocument/2006/docPropsVTypes">
  <Template>Normal</Template>
  <TotalTime>116</TotalTime>
  <Pages>5</Pages>
  <Words>1529</Words>
  <Characters>8414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FERNANDO RODRIGUEZ</dc:creator>
  <cp:lastModifiedBy>FABIO AFANADOR</cp:lastModifiedBy>
  <cp:revision>15</cp:revision>
  <dcterms:created xsi:type="dcterms:W3CDTF">2021-03-04T20:57:00Z</dcterms:created>
  <dcterms:modified xsi:type="dcterms:W3CDTF">2021-03-08T20:34:00Z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2021-01-24T00:00:00Z</vt:filetime>
  </property>
  <property fmtid="{D5CDD505-2E9C-101B-9397-08002B2CF9AE}" pid="3" name="Creator">
    <vt:lpwstr>Acrobat PDFMaker 20 para Word</vt:lpwstr>
  </property>
  <property fmtid="{D5CDD505-2E9C-101B-9397-08002B2CF9AE}" pid="4" name="LastSaved">
    <vt:filetime>2021-03-04T00:00:00Z</vt:filetime>
  </property>
  <property fmtid="{D5CDD505-2E9C-101B-9397-08002B2CF9AE}" pid="5" name="ContentTypeId">
    <vt:lpwstr>0x010100BF5F8EB3B015164686C904CDFD7AD381</vt:lpwstr>
  </property>
</Properties>
</file>