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8B63FE" w14:textId="77777777" w:rsidR="00EF48EF" w:rsidRPr="00EF48EF" w:rsidRDefault="00EF48EF" w:rsidP="006E3C2C">
      <w:pPr>
        <w:spacing w:line="264" w:lineRule="auto"/>
        <w:jc w:val="center"/>
        <w:rPr>
          <w:rFonts w:ascii="Verdana" w:hAnsi="Verdana"/>
          <w:bCs/>
          <w:sz w:val="22"/>
          <w:szCs w:val="22"/>
        </w:rPr>
      </w:pPr>
      <w:r w:rsidRPr="00EF48EF">
        <w:rPr>
          <w:rFonts w:ascii="Verdana" w:hAnsi="Verdana"/>
          <w:bCs/>
          <w:sz w:val="22"/>
          <w:szCs w:val="22"/>
        </w:rPr>
        <w:t>REPÚBLICA DE COLOMBIA</w:t>
      </w:r>
    </w:p>
    <w:p w14:paraId="3987EDC7" w14:textId="2070B14C" w:rsidR="00EF48EF" w:rsidRPr="00EF48EF" w:rsidRDefault="00352EED" w:rsidP="006E3C2C">
      <w:pPr>
        <w:spacing w:line="264" w:lineRule="auto"/>
        <w:jc w:val="center"/>
        <w:rPr>
          <w:rFonts w:ascii="Verdana" w:hAnsi="Verdana"/>
          <w:bCs/>
          <w:sz w:val="22"/>
          <w:szCs w:val="22"/>
        </w:rPr>
      </w:pPr>
      <w:r>
        <w:rPr>
          <w:rFonts w:ascii="Verdana" w:hAnsi="Verdana"/>
          <w:bCs/>
          <w:noProof/>
          <w:sz w:val="22"/>
          <w:szCs w:val="22"/>
          <w:lang w:val="en-US" w:eastAsia="en-US"/>
        </w:rPr>
        <w:drawing>
          <wp:inline distT="0" distB="0" distL="0" distR="0" wp14:anchorId="3370219E" wp14:editId="5268FAF7">
            <wp:extent cx="812800" cy="723900"/>
            <wp:effectExtent l="0" t="0" r="0" b="0"/>
            <wp:docPr id="1" name="Imagen 1" descr="http://images.google.com.co/url?q=http://www.cajpe.org.pe/infomacionporpaises/images/colombia_escudo.gif&amp;usg=AFrqEzfgWyWgrhxYM1_HhyEayeIxMYvd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ttp://images.google.com.co/url?q=http://www.cajpe.org.pe/infomacionporpaises/images/colombia_escudo.gif&amp;usg=AFrqEzfgWyWgrhxYM1_HhyEayeIxMYvdTA"/>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12800" cy="723900"/>
                    </a:xfrm>
                    <a:prstGeom prst="rect">
                      <a:avLst/>
                    </a:prstGeom>
                    <a:noFill/>
                    <a:ln>
                      <a:noFill/>
                    </a:ln>
                  </pic:spPr>
                </pic:pic>
              </a:graphicData>
            </a:graphic>
          </wp:inline>
        </w:drawing>
      </w:r>
    </w:p>
    <w:p w14:paraId="2EB9C86E" w14:textId="77777777" w:rsidR="00EF48EF" w:rsidRPr="00EF48EF" w:rsidRDefault="00EF48EF" w:rsidP="006E3C2C">
      <w:pPr>
        <w:spacing w:line="264" w:lineRule="auto"/>
        <w:jc w:val="center"/>
        <w:rPr>
          <w:rFonts w:ascii="Verdana" w:hAnsi="Verdana"/>
          <w:bCs/>
          <w:sz w:val="22"/>
          <w:szCs w:val="22"/>
        </w:rPr>
      </w:pPr>
      <w:r w:rsidRPr="00EF48EF">
        <w:rPr>
          <w:rFonts w:ascii="Verdana" w:hAnsi="Verdana"/>
          <w:bCs/>
          <w:sz w:val="22"/>
          <w:szCs w:val="22"/>
        </w:rPr>
        <w:t>TRIBUNAL ADMINISTRATIVO DE BOYACÁ</w:t>
      </w:r>
    </w:p>
    <w:p w14:paraId="284AF556" w14:textId="77777777" w:rsidR="00EF48EF" w:rsidRPr="00EF48EF" w:rsidRDefault="00EF48EF" w:rsidP="006E3C2C">
      <w:pPr>
        <w:tabs>
          <w:tab w:val="left" w:pos="748"/>
        </w:tabs>
        <w:spacing w:line="264" w:lineRule="auto"/>
        <w:jc w:val="center"/>
        <w:rPr>
          <w:rFonts w:ascii="Verdana" w:hAnsi="Verdana" w:cs="Arial"/>
          <w:bCs/>
          <w:sz w:val="22"/>
          <w:szCs w:val="22"/>
        </w:rPr>
      </w:pPr>
      <w:r w:rsidRPr="00EF48EF">
        <w:rPr>
          <w:rFonts w:ascii="Verdana" w:hAnsi="Verdana" w:cs="Arial"/>
          <w:bCs/>
          <w:sz w:val="22"/>
          <w:szCs w:val="22"/>
        </w:rPr>
        <w:t>DESPACHO N</w:t>
      </w:r>
      <w:r w:rsidR="00331BA4">
        <w:rPr>
          <w:rFonts w:ascii="Verdana" w:hAnsi="Verdana" w:cs="Arial"/>
          <w:bCs/>
          <w:sz w:val="22"/>
          <w:szCs w:val="22"/>
        </w:rPr>
        <w:t>o.</w:t>
      </w:r>
      <w:r w:rsidRPr="00EF48EF">
        <w:rPr>
          <w:rFonts w:ascii="Verdana" w:hAnsi="Verdana" w:cs="Arial"/>
          <w:bCs/>
          <w:sz w:val="22"/>
          <w:szCs w:val="22"/>
        </w:rPr>
        <w:t xml:space="preserve"> 3 DE ORALIDAD</w:t>
      </w:r>
    </w:p>
    <w:p w14:paraId="05F46E31" w14:textId="77777777" w:rsidR="001B23BE" w:rsidRPr="00DF08E2" w:rsidRDefault="001B23BE" w:rsidP="006E3C2C">
      <w:pPr>
        <w:widowControl w:val="0"/>
        <w:spacing w:line="264" w:lineRule="auto"/>
        <w:jc w:val="center"/>
        <w:rPr>
          <w:rFonts w:ascii="Verdana" w:hAnsi="Verdana" w:cs="Arial"/>
          <w:bCs/>
        </w:rPr>
      </w:pPr>
    </w:p>
    <w:p w14:paraId="0D33F1B2" w14:textId="77777777" w:rsidR="00D44D79" w:rsidRPr="00DF08E2" w:rsidRDefault="00071365" w:rsidP="006E3C2C">
      <w:pPr>
        <w:widowControl w:val="0"/>
        <w:spacing w:line="264" w:lineRule="auto"/>
        <w:jc w:val="center"/>
        <w:rPr>
          <w:rFonts w:ascii="Verdana" w:hAnsi="Verdana" w:cs="Arial"/>
          <w:bCs/>
        </w:rPr>
      </w:pPr>
      <w:r w:rsidRPr="00DF08E2">
        <w:rPr>
          <w:rFonts w:ascii="Verdana" w:hAnsi="Verdana" w:cs="Arial"/>
          <w:bCs/>
        </w:rPr>
        <w:t>Magistrado</w:t>
      </w:r>
      <w:r w:rsidR="00D44D79" w:rsidRPr="00DF08E2">
        <w:rPr>
          <w:rFonts w:ascii="Verdana" w:hAnsi="Verdana" w:cs="Arial"/>
          <w:bCs/>
        </w:rPr>
        <w:t xml:space="preserve"> FABIO IVÁN AFANADOR GARCÍA</w:t>
      </w:r>
    </w:p>
    <w:p w14:paraId="1CCBED5E" w14:textId="77777777" w:rsidR="00D44D79" w:rsidRPr="00DF08E2" w:rsidRDefault="00D44D79" w:rsidP="006E3C2C">
      <w:pPr>
        <w:widowControl w:val="0"/>
        <w:spacing w:line="264" w:lineRule="auto"/>
        <w:jc w:val="both"/>
        <w:rPr>
          <w:rFonts w:ascii="Verdana" w:hAnsi="Verdana" w:cs="Arial"/>
          <w:bCs/>
        </w:rPr>
      </w:pPr>
    </w:p>
    <w:p w14:paraId="565DEF5C" w14:textId="77777777" w:rsidR="004622BA" w:rsidRPr="00DF08E2" w:rsidRDefault="004622BA" w:rsidP="004622BA">
      <w:pPr>
        <w:widowControl w:val="0"/>
        <w:spacing w:line="264" w:lineRule="auto"/>
        <w:jc w:val="center"/>
        <w:rPr>
          <w:rFonts w:ascii="Verdana" w:hAnsi="Verdana" w:cs="Arial"/>
          <w:bCs/>
        </w:rPr>
      </w:pPr>
    </w:p>
    <w:p w14:paraId="6CB48FCF" w14:textId="3744A464" w:rsidR="004622BA" w:rsidRPr="00DF08E2" w:rsidRDefault="004622BA" w:rsidP="004622BA">
      <w:pPr>
        <w:widowControl w:val="0"/>
        <w:spacing w:line="264" w:lineRule="auto"/>
        <w:jc w:val="center"/>
        <w:rPr>
          <w:rFonts w:ascii="Verdana" w:hAnsi="Verdana" w:cs="Arial"/>
          <w:bCs/>
        </w:rPr>
      </w:pPr>
      <w:r w:rsidRPr="00DF08E2">
        <w:rPr>
          <w:rFonts w:ascii="Verdana" w:hAnsi="Verdana" w:cs="Arial"/>
          <w:bCs/>
        </w:rPr>
        <w:t>Tunja,</w:t>
      </w:r>
      <w:r w:rsidR="005004C5">
        <w:rPr>
          <w:rFonts w:ascii="Verdana" w:hAnsi="Verdana" w:cs="Arial"/>
          <w:bCs/>
        </w:rPr>
        <w:t xml:space="preserve"> </w:t>
      </w:r>
      <w:r w:rsidR="005004C5" w:rsidRPr="005004C5">
        <w:rPr>
          <w:rFonts w:ascii="Verdana" w:hAnsi="Verdana" w:cs="Arial"/>
          <w:b/>
          <w:u w:val="single"/>
        </w:rPr>
        <w:t>10 DE MARZO DE 2021</w:t>
      </w:r>
    </w:p>
    <w:p w14:paraId="65FDEDE9" w14:textId="77777777" w:rsidR="004622BA" w:rsidRPr="00DF08E2" w:rsidRDefault="004622BA" w:rsidP="004622BA">
      <w:pPr>
        <w:widowControl w:val="0"/>
        <w:spacing w:line="264" w:lineRule="auto"/>
        <w:jc w:val="center"/>
        <w:rPr>
          <w:rFonts w:ascii="Verdana" w:hAnsi="Verdana" w:cs="Arial"/>
          <w:bCs/>
        </w:rPr>
      </w:pPr>
    </w:p>
    <w:p w14:paraId="599CEB45" w14:textId="77777777" w:rsidR="004622BA" w:rsidRPr="00DF08E2" w:rsidRDefault="004622BA" w:rsidP="004622BA">
      <w:pPr>
        <w:widowControl w:val="0"/>
        <w:spacing w:line="264" w:lineRule="auto"/>
        <w:jc w:val="center"/>
        <w:rPr>
          <w:rFonts w:ascii="Verdana" w:hAnsi="Verdana" w:cs="Arial"/>
          <w:bCs/>
        </w:rPr>
      </w:pPr>
    </w:p>
    <w:p w14:paraId="73FA97EB" w14:textId="77777777" w:rsidR="0088623C" w:rsidRPr="00DF08E2" w:rsidRDefault="004622BA" w:rsidP="004622BA">
      <w:pPr>
        <w:widowControl w:val="0"/>
        <w:spacing w:line="264" w:lineRule="auto"/>
        <w:jc w:val="center"/>
        <w:rPr>
          <w:rFonts w:ascii="Verdana" w:hAnsi="Verdana" w:cs="Arial"/>
          <w:b/>
        </w:rPr>
      </w:pPr>
      <w:r w:rsidRPr="00DF08E2">
        <w:rPr>
          <w:rFonts w:ascii="Verdana" w:hAnsi="Verdana" w:cs="Arial"/>
          <w:b/>
        </w:rPr>
        <w:t>REFERENCIAS</w:t>
      </w:r>
    </w:p>
    <w:p w14:paraId="6FA31B1D" w14:textId="77777777" w:rsidR="004622BA" w:rsidRPr="00DF08E2" w:rsidRDefault="004622BA" w:rsidP="004622BA">
      <w:pPr>
        <w:widowControl w:val="0"/>
        <w:spacing w:line="264" w:lineRule="auto"/>
        <w:jc w:val="center"/>
        <w:rPr>
          <w:rFonts w:ascii="Verdana" w:eastAsia="Arial Unicode MS" w:hAnsi="Verdana" w:cs="Arial Unicode MS"/>
          <w:bCs/>
        </w:rPr>
      </w:pPr>
    </w:p>
    <w:p w14:paraId="379FB0C6" w14:textId="77777777" w:rsidR="00571BF4" w:rsidRPr="00EF48EF" w:rsidRDefault="00571BF4" w:rsidP="00DF08E2">
      <w:pPr>
        <w:rPr>
          <w:rFonts w:ascii="Verdana" w:eastAsia="Arial Unicode MS" w:hAnsi="Verdana" w:cs="Arial Unicode MS"/>
          <w:bCs/>
          <w:sz w:val="22"/>
          <w:szCs w:val="22"/>
        </w:rPr>
      </w:pPr>
      <w:r w:rsidRPr="00EF48EF">
        <w:rPr>
          <w:rFonts w:ascii="Verdana" w:eastAsia="Arial Unicode MS" w:hAnsi="Verdana" w:cs="Arial Unicode MS"/>
          <w:bCs/>
          <w:sz w:val="22"/>
          <w:szCs w:val="22"/>
        </w:rPr>
        <w:t xml:space="preserve">MEDIO DE CONTROL:   </w:t>
      </w:r>
      <w:r w:rsidR="00DF3DBE">
        <w:rPr>
          <w:rFonts w:ascii="Verdana" w:eastAsia="Arial Unicode MS" w:hAnsi="Verdana" w:cs="Arial Unicode MS"/>
          <w:bCs/>
          <w:sz w:val="22"/>
          <w:szCs w:val="22"/>
        </w:rPr>
        <w:tab/>
      </w:r>
      <w:r w:rsidRPr="00EF48EF">
        <w:rPr>
          <w:rFonts w:ascii="Verdana" w:eastAsia="Arial Unicode MS" w:hAnsi="Verdana" w:cs="Arial Unicode MS"/>
          <w:bCs/>
          <w:sz w:val="22"/>
          <w:szCs w:val="22"/>
        </w:rPr>
        <w:t>EJECUTIVO</w:t>
      </w:r>
    </w:p>
    <w:p w14:paraId="044D715A" w14:textId="77777777" w:rsidR="00571BF4" w:rsidRPr="00EF48EF" w:rsidRDefault="00DF3DBE" w:rsidP="00DF08E2">
      <w:pPr>
        <w:rPr>
          <w:rFonts w:ascii="Verdana" w:eastAsia="Arial Unicode MS" w:hAnsi="Verdana" w:cs="Arial Unicode MS"/>
          <w:bCs/>
          <w:sz w:val="22"/>
          <w:szCs w:val="22"/>
        </w:rPr>
      </w:pPr>
      <w:r>
        <w:rPr>
          <w:rFonts w:ascii="Verdana" w:eastAsia="Arial Unicode MS" w:hAnsi="Verdana" w:cs="Arial Unicode MS"/>
          <w:bCs/>
          <w:sz w:val="22"/>
          <w:szCs w:val="22"/>
        </w:rPr>
        <w:t>EJECUT</w:t>
      </w:r>
      <w:r w:rsidR="00571BF4" w:rsidRPr="00EF48EF">
        <w:rPr>
          <w:rFonts w:ascii="Verdana" w:eastAsia="Arial Unicode MS" w:hAnsi="Verdana" w:cs="Arial Unicode MS"/>
          <w:bCs/>
          <w:sz w:val="22"/>
          <w:szCs w:val="22"/>
        </w:rPr>
        <w:t xml:space="preserve">ANTE: </w:t>
      </w:r>
      <w:r w:rsidR="00571BF4" w:rsidRPr="00EF48EF">
        <w:rPr>
          <w:rFonts w:ascii="Verdana" w:eastAsia="Arial Unicode MS" w:hAnsi="Verdana" w:cs="Arial Unicode MS"/>
          <w:bCs/>
          <w:sz w:val="22"/>
          <w:szCs w:val="22"/>
        </w:rPr>
        <w:tab/>
        <w:t xml:space="preserve">       </w:t>
      </w:r>
      <w:r>
        <w:rPr>
          <w:rFonts w:ascii="Verdana" w:eastAsia="Arial Unicode MS" w:hAnsi="Verdana" w:cs="Arial Unicode MS"/>
          <w:bCs/>
          <w:sz w:val="22"/>
          <w:szCs w:val="22"/>
        </w:rPr>
        <w:tab/>
        <w:t>SERVINTEGRALES OUTSO</w:t>
      </w:r>
      <w:r w:rsidR="002D06AB">
        <w:rPr>
          <w:rFonts w:ascii="Verdana" w:eastAsia="Arial Unicode MS" w:hAnsi="Verdana" w:cs="Arial Unicode MS"/>
          <w:bCs/>
          <w:sz w:val="22"/>
          <w:szCs w:val="22"/>
        </w:rPr>
        <w:t xml:space="preserve">URCING </w:t>
      </w:r>
      <w:r w:rsidRPr="00EF48EF">
        <w:rPr>
          <w:rFonts w:ascii="Verdana" w:eastAsia="Arial Unicode MS" w:hAnsi="Verdana" w:cs="Arial Unicode MS"/>
          <w:bCs/>
          <w:sz w:val="22"/>
          <w:szCs w:val="22"/>
        </w:rPr>
        <w:t>S.A.S</w:t>
      </w:r>
      <w:r w:rsidR="002D06AB">
        <w:rPr>
          <w:rFonts w:ascii="Verdana" w:eastAsia="Arial Unicode MS" w:hAnsi="Verdana" w:cs="Arial Unicode MS"/>
          <w:bCs/>
          <w:sz w:val="22"/>
          <w:szCs w:val="22"/>
        </w:rPr>
        <w:t>.</w:t>
      </w:r>
    </w:p>
    <w:p w14:paraId="2A023FDF" w14:textId="4EB9B0A9" w:rsidR="00571BF4" w:rsidRPr="00EF48EF" w:rsidRDefault="00DF3DBE" w:rsidP="00DF08E2">
      <w:pPr>
        <w:tabs>
          <w:tab w:val="left" w:pos="2640"/>
        </w:tabs>
        <w:ind w:left="2832" w:hanging="2832"/>
        <w:rPr>
          <w:rFonts w:ascii="Verdana" w:eastAsia="Arial Unicode MS" w:hAnsi="Verdana" w:cs="Arial Unicode MS"/>
          <w:bCs/>
          <w:sz w:val="22"/>
          <w:szCs w:val="22"/>
        </w:rPr>
      </w:pPr>
      <w:r>
        <w:rPr>
          <w:rFonts w:ascii="Verdana" w:eastAsia="Arial Unicode MS" w:hAnsi="Verdana" w:cs="Arial Unicode MS"/>
          <w:bCs/>
          <w:sz w:val="22"/>
          <w:szCs w:val="22"/>
        </w:rPr>
        <w:t>EJECUT</w:t>
      </w:r>
      <w:r w:rsidR="00571BF4" w:rsidRPr="00EF48EF">
        <w:rPr>
          <w:rFonts w:ascii="Verdana" w:eastAsia="Arial Unicode MS" w:hAnsi="Verdana" w:cs="Arial Unicode MS"/>
          <w:bCs/>
          <w:sz w:val="22"/>
          <w:szCs w:val="22"/>
        </w:rPr>
        <w:t>ADO</w:t>
      </w:r>
      <w:r w:rsidR="00DF08E2">
        <w:rPr>
          <w:rFonts w:ascii="Verdana" w:eastAsia="Arial Unicode MS" w:hAnsi="Verdana" w:cs="Arial Unicode MS"/>
          <w:bCs/>
          <w:sz w:val="22"/>
          <w:szCs w:val="22"/>
        </w:rPr>
        <w:t>:</w:t>
      </w:r>
      <w:r w:rsidR="00571BF4" w:rsidRPr="00EF48EF">
        <w:rPr>
          <w:rFonts w:ascii="Verdana" w:eastAsia="Arial Unicode MS" w:hAnsi="Verdana" w:cs="Arial Unicode MS"/>
          <w:bCs/>
          <w:sz w:val="22"/>
          <w:szCs w:val="22"/>
        </w:rPr>
        <w:tab/>
      </w:r>
      <w:r>
        <w:rPr>
          <w:rFonts w:ascii="Verdana" w:eastAsia="Arial Unicode MS" w:hAnsi="Verdana" w:cs="Arial Unicode MS"/>
          <w:bCs/>
          <w:sz w:val="22"/>
          <w:szCs w:val="22"/>
        </w:rPr>
        <w:tab/>
      </w:r>
      <w:r w:rsidR="002D06AB">
        <w:rPr>
          <w:rFonts w:ascii="Verdana" w:eastAsia="Arial Unicode MS" w:hAnsi="Verdana" w:cs="Arial Unicode MS"/>
          <w:bCs/>
          <w:sz w:val="22"/>
          <w:szCs w:val="22"/>
        </w:rPr>
        <w:t>E.S.E. HOSPITAL REGIONAL VALLE DE TENZA</w:t>
      </w:r>
      <w:r w:rsidR="00571BF4" w:rsidRPr="00EF48EF">
        <w:rPr>
          <w:rFonts w:ascii="Verdana" w:eastAsia="Arial Unicode MS" w:hAnsi="Verdana" w:cs="Arial Unicode MS"/>
          <w:bCs/>
          <w:sz w:val="22"/>
          <w:szCs w:val="22"/>
        </w:rPr>
        <w:t xml:space="preserve"> </w:t>
      </w:r>
    </w:p>
    <w:p w14:paraId="33590E00" w14:textId="2D72D81E" w:rsidR="00571BF4" w:rsidRPr="00EF48EF" w:rsidRDefault="00571BF4" w:rsidP="00DF08E2">
      <w:pPr>
        <w:rPr>
          <w:rFonts w:ascii="Verdana" w:eastAsia="Arial Unicode MS" w:hAnsi="Verdana" w:cs="Arial Unicode MS"/>
          <w:bCs/>
          <w:sz w:val="22"/>
          <w:szCs w:val="22"/>
        </w:rPr>
      </w:pPr>
      <w:r w:rsidRPr="00EF48EF">
        <w:rPr>
          <w:rFonts w:ascii="Verdana" w:eastAsia="Arial Unicode MS" w:hAnsi="Verdana" w:cs="Arial Unicode MS"/>
          <w:bCs/>
          <w:sz w:val="22"/>
          <w:szCs w:val="22"/>
        </w:rPr>
        <w:t xml:space="preserve">RADICACION: </w:t>
      </w:r>
      <w:r w:rsidRPr="00EF48EF">
        <w:rPr>
          <w:rFonts w:ascii="Verdana" w:eastAsia="Arial Unicode MS" w:hAnsi="Verdana" w:cs="Arial Unicode MS"/>
          <w:bCs/>
          <w:sz w:val="22"/>
          <w:szCs w:val="22"/>
        </w:rPr>
        <w:tab/>
        <w:t xml:space="preserve">      </w:t>
      </w:r>
      <w:r w:rsidR="00DF3DBE">
        <w:rPr>
          <w:rFonts w:ascii="Verdana" w:eastAsia="Arial Unicode MS" w:hAnsi="Verdana" w:cs="Arial Unicode MS"/>
          <w:bCs/>
          <w:sz w:val="22"/>
          <w:szCs w:val="22"/>
        </w:rPr>
        <w:tab/>
      </w:r>
      <w:r w:rsidRPr="00EF48EF">
        <w:rPr>
          <w:rFonts w:ascii="Verdana" w:eastAsia="Arial Unicode MS" w:hAnsi="Verdana" w:cs="Arial Unicode MS"/>
          <w:bCs/>
          <w:sz w:val="22"/>
          <w:szCs w:val="22"/>
        </w:rPr>
        <w:t>15001</w:t>
      </w:r>
      <w:r w:rsidR="002D06AB">
        <w:rPr>
          <w:rFonts w:ascii="Verdana" w:eastAsia="Arial Unicode MS" w:hAnsi="Verdana" w:cs="Arial Unicode MS"/>
          <w:bCs/>
          <w:sz w:val="22"/>
          <w:szCs w:val="22"/>
        </w:rPr>
        <w:t>3</w:t>
      </w:r>
      <w:r w:rsidRPr="00EF48EF">
        <w:rPr>
          <w:rFonts w:ascii="Verdana" w:eastAsia="Arial Unicode MS" w:hAnsi="Verdana" w:cs="Arial Unicode MS"/>
          <w:bCs/>
          <w:sz w:val="22"/>
          <w:szCs w:val="22"/>
        </w:rPr>
        <w:t>3330</w:t>
      </w:r>
      <w:r w:rsidR="002D06AB">
        <w:rPr>
          <w:rFonts w:ascii="Verdana" w:eastAsia="Arial Unicode MS" w:hAnsi="Verdana" w:cs="Arial Unicode MS"/>
          <w:bCs/>
          <w:sz w:val="22"/>
          <w:szCs w:val="22"/>
        </w:rPr>
        <w:t>13</w:t>
      </w:r>
      <w:r w:rsidRPr="00EF48EF">
        <w:rPr>
          <w:rFonts w:ascii="Verdana" w:eastAsia="Arial Unicode MS" w:hAnsi="Verdana" w:cs="Arial Unicode MS"/>
          <w:bCs/>
          <w:sz w:val="22"/>
          <w:szCs w:val="22"/>
        </w:rPr>
        <w:t>201900</w:t>
      </w:r>
      <w:r w:rsidR="002D06AB">
        <w:rPr>
          <w:rFonts w:ascii="Verdana" w:eastAsia="Arial Unicode MS" w:hAnsi="Verdana" w:cs="Arial Unicode MS"/>
          <w:bCs/>
          <w:sz w:val="22"/>
          <w:szCs w:val="22"/>
        </w:rPr>
        <w:t>036</w:t>
      </w:r>
      <w:r w:rsidRPr="00EF48EF">
        <w:rPr>
          <w:rFonts w:ascii="Verdana" w:eastAsia="Arial Unicode MS" w:hAnsi="Verdana" w:cs="Arial Unicode MS"/>
          <w:bCs/>
          <w:sz w:val="22"/>
          <w:szCs w:val="22"/>
        </w:rPr>
        <w:t>-0</w:t>
      </w:r>
      <w:r w:rsidR="00A972C7">
        <w:rPr>
          <w:rFonts w:ascii="Verdana" w:eastAsia="Arial Unicode MS" w:hAnsi="Verdana" w:cs="Arial Unicode MS"/>
          <w:bCs/>
          <w:sz w:val="22"/>
          <w:szCs w:val="22"/>
        </w:rPr>
        <w:t>1</w:t>
      </w:r>
    </w:p>
    <w:p w14:paraId="7A7AF47B" w14:textId="77777777" w:rsidR="00571BF4" w:rsidRPr="008674A7" w:rsidRDefault="00571BF4" w:rsidP="00571BF4">
      <w:pPr>
        <w:spacing w:line="264" w:lineRule="auto"/>
        <w:jc w:val="both"/>
        <w:rPr>
          <w:rFonts w:ascii="Verdana" w:hAnsi="Verdana" w:cs="Arial"/>
        </w:rPr>
      </w:pPr>
    </w:p>
    <w:p w14:paraId="5A0214C2" w14:textId="77777777" w:rsidR="00D44D79" w:rsidRDefault="00D44D79" w:rsidP="00D070C9">
      <w:pPr>
        <w:spacing w:line="264" w:lineRule="auto"/>
        <w:jc w:val="both"/>
        <w:rPr>
          <w:rFonts w:ascii="Verdana" w:hAnsi="Verdana" w:cs="Arial"/>
        </w:rPr>
      </w:pPr>
    </w:p>
    <w:p w14:paraId="1CE33CE8" w14:textId="77777777" w:rsidR="00467316" w:rsidRDefault="00467316" w:rsidP="00423D34">
      <w:pPr>
        <w:jc w:val="both"/>
        <w:rPr>
          <w:rFonts w:ascii="Verdana" w:hAnsi="Verdana" w:cs="Arial"/>
          <w:lang w:val="es-ES_tradnl"/>
        </w:rPr>
      </w:pPr>
    </w:p>
    <w:p w14:paraId="54A44F5F" w14:textId="77777777" w:rsidR="00467316" w:rsidRPr="009D7400" w:rsidRDefault="00423D34" w:rsidP="009D7400">
      <w:pPr>
        <w:spacing w:line="264" w:lineRule="auto"/>
        <w:jc w:val="both"/>
        <w:rPr>
          <w:rFonts w:ascii="Verdana" w:hAnsi="Verdana" w:cs="Arial"/>
          <w:lang w:val="es-ES_tradnl"/>
        </w:rPr>
      </w:pPr>
      <w:r w:rsidRPr="009D7400">
        <w:rPr>
          <w:rFonts w:ascii="Verdana" w:hAnsi="Verdana" w:cs="Arial"/>
          <w:lang w:val="es-ES_tradnl"/>
        </w:rPr>
        <w:t>E</w:t>
      </w:r>
      <w:r w:rsidR="00302294" w:rsidRPr="009D7400">
        <w:rPr>
          <w:rFonts w:ascii="Verdana" w:hAnsi="Verdana" w:cs="Arial"/>
          <w:lang w:val="es-ES_tradnl"/>
        </w:rPr>
        <w:t>l expediente de la referencia se encuentra al Despacho para resolver el recurso de apelación interpuesto por el apoderado de la parte ejecutante, contra</w:t>
      </w:r>
      <w:r w:rsidR="00C248D6" w:rsidRPr="009D7400">
        <w:rPr>
          <w:rFonts w:ascii="Verdana" w:hAnsi="Verdana" w:cs="Arial"/>
          <w:lang w:val="es-ES_tradnl"/>
        </w:rPr>
        <w:t xml:space="preserve"> </w:t>
      </w:r>
      <w:r w:rsidR="00302294" w:rsidRPr="009D7400">
        <w:rPr>
          <w:rFonts w:ascii="Verdana" w:hAnsi="Verdana" w:cs="Arial"/>
          <w:lang w:val="es-ES_tradnl"/>
        </w:rPr>
        <w:t xml:space="preserve">el auto </w:t>
      </w:r>
      <w:r w:rsidR="00C248D6" w:rsidRPr="009D7400">
        <w:rPr>
          <w:rFonts w:ascii="Verdana" w:hAnsi="Verdana" w:cs="Arial"/>
          <w:lang w:val="es-ES_tradnl"/>
        </w:rPr>
        <w:t xml:space="preserve">de fecha 28 de noviembre de 2019, mediante el </w:t>
      </w:r>
      <w:r w:rsidR="004E6FE8" w:rsidRPr="009D7400">
        <w:rPr>
          <w:rFonts w:ascii="Verdana" w:hAnsi="Verdana" w:cs="Arial"/>
          <w:lang w:val="es-ES_tradnl"/>
        </w:rPr>
        <w:t xml:space="preserve">cual el Juzgado Doce Administrativo de Tunja negó el mandamiento de pago. </w:t>
      </w:r>
      <w:r w:rsidR="00A75DBD" w:rsidRPr="009D7400">
        <w:rPr>
          <w:rFonts w:ascii="Verdana" w:hAnsi="Verdana" w:cs="Arial"/>
          <w:lang w:val="es-ES_tradnl"/>
        </w:rPr>
        <w:t>Sin embargo,</w:t>
      </w:r>
      <w:r w:rsidR="005B0D77" w:rsidRPr="009D7400">
        <w:rPr>
          <w:rFonts w:ascii="Verdana" w:hAnsi="Verdana" w:cs="Arial"/>
          <w:lang w:val="es-ES_tradnl"/>
        </w:rPr>
        <w:t xml:space="preserve"> se considera que </w:t>
      </w:r>
      <w:r w:rsidR="00AC2D38" w:rsidRPr="009D7400">
        <w:rPr>
          <w:rFonts w:ascii="Verdana" w:hAnsi="Verdana" w:cs="Arial"/>
          <w:lang w:val="es-ES_tradnl"/>
        </w:rPr>
        <w:t xml:space="preserve">la jurisdicción competente para conocer esta clase de asuntos es la ordinaria en su especialidad civil y no la contenciosa administrativa. Por lo tanto, se declarará la falta de </w:t>
      </w:r>
      <w:r w:rsidR="005B0D77" w:rsidRPr="009D7400">
        <w:rPr>
          <w:rFonts w:ascii="Verdana" w:hAnsi="Verdana" w:cs="Arial"/>
          <w:lang w:val="es-ES_tradnl"/>
        </w:rPr>
        <w:t>jurisdicción</w:t>
      </w:r>
      <w:r w:rsidR="00AC2D38" w:rsidRPr="009D7400">
        <w:rPr>
          <w:rFonts w:ascii="Verdana" w:hAnsi="Verdana" w:cs="Arial"/>
          <w:lang w:val="es-ES_tradnl"/>
        </w:rPr>
        <w:t xml:space="preserve"> y se ordenará remitir las diligencias ante la autoridad competente. </w:t>
      </w:r>
      <w:r w:rsidR="005B0D77" w:rsidRPr="009D7400">
        <w:rPr>
          <w:rFonts w:ascii="Verdana" w:hAnsi="Verdana" w:cs="Arial"/>
          <w:lang w:val="es-ES_tradnl"/>
        </w:rPr>
        <w:t xml:space="preserve"> </w:t>
      </w:r>
      <w:r w:rsidR="00A75DBD" w:rsidRPr="009D7400">
        <w:rPr>
          <w:rFonts w:ascii="Verdana" w:hAnsi="Verdana" w:cs="Arial"/>
          <w:lang w:val="es-ES_tradnl"/>
        </w:rPr>
        <w:t xml:space="preserve"> </w:t>
      </w:r>
    </w:p>
    <w:p w14:paraId="3E85C71A" w14:textId="77777777" w:rsidR="009649D7" w:rsidRPr="009D7400" w:rsidRDefault="009649D7" w:rsidP="009D7400">
      <w:pPr>
        <w:spacing w:line="264" w:lineRule="auto"/>
        <w:jc w:val="both"/>
        <w:rPr>
          <w:rFonts w:ascii="Verdana" w:hAnsi="Verdana" w:cs="Arial"/>
          <w:lang w:val="es-ES_tradnl"/>
        </w:rPr>
      </w:pPr>
    </w:p>
    <w:p w14:paraId="2D341740" w14:textId="77777777" w:rsidR="00423D34" w:rsidRPr="009D7400" w:rsidRDefault="00423D34" w:rsidP="009D7400">
      <w:pPr>
        <w:spacing w:line="264" w:lineRule="auto"/>
        <w:jc w:val="both"/>
        <w:rPr>
          <w:rFonts w:ascii="Verdana" w:hAnsi="Verdana" w:cs="Arial"/>
        </w:rPr>
      </w:pPr>
    </w:p>
    <w:p w14:paraId="426CADD1" w14:textId="77777777" w:rsidR="00423D34" w:rsidRPr="00530FE3" w:rsidRDefault="00423D34" w:rsidP="009D7400">
      <w:pPr>
        <w:spacing w:line="264" w:lineRule="auto"/>
        <w:jc w:val="center"/>
        <w:rPr>
          <w:rFonts w:ascii="Verdana" w:hAnsi="Verdana" w:cs="Arial"/>
          <w:b/>
          <w:sz w:val="26"/>
          <w:szCs w:val="26"/>
        </w:rPr>
      </w:pPr>
      <w:r w:rsidRPr="00530FE3">
        <w:rPr>
          <w:rFonts w:ascii="Verdana" w:hAnsi="Verdana" w:cs="Arial"/>
          <w:b/>
          <w:sz w:val="26"/>
          <w:szCs w:val="26"/>
        </w:rPr>
        <w:t>I.</w:t>
      </w:r>
      <w:r w:rsidR="009649D7" w:rsidRPr="00530FE3">
        <w:rPr>
          <w:rFonts w:ascii="Verdana" w:hAnsi="Verdana" w:cs="Arial"/>
          <w:b/>
          <w:sz w:val="26"/>
          <w:szCs w:val="26"/>
        </w:rPr>
        <w:t xml:space="preserve"> ANTECEDENTES</w:t>
      </w:r>
    </w:p>
    <w:p w14:paraId="5E551446" w14:textId="3490ACCB" w:rsidR="002B0852" w:rsidRDefault="002B0852" w:rsidP="009D7400">
      <w:pPr>
        <w:spacing w:line="264" w:lineRule="auto"/>
        <w:jc w:val="both"/>
        <w:rPr>
          <w:rFonts w:ascii="Verdana" w:hAnsi="Verdana" w:cs="Arial"/>
        </w:rPr>
      </w:pPr>
    </w:p>
    <w:p w14:paraId="2D41AC3B" w14:textId="77777777" w:rsidR="00530FE3" w:rsidRPr="009D7400" w:rsidRDefault="00530FE3" w:rsidP="009D7400">
      <w:pPr>
        <w:spacing w:line="264" w:lineRule="auto"/>
        <w:jc w:val="both"/>
        <w:rPr>
          <w:rFonts w:ascii="Verdana" w:hAnsi="Verdana" w:cs="Arial"/>
        </w:rPr>
      </w:pPr>
    </w:p>
    <w:p w14:paraId="00F7AA1C" w14:textId="77777777" w:rsidR="00653DEA" w:rsidRDefault="00A56210" w:rsidP="009D7400">
      <w:pPr>
        <w:spacing w:line="264" w:lineRule="auto"/>
        <w:jc w:val="both"/>
        <w:rPr>
          <w:rFonts w:ascii="Verdana" w:hAnsi="Verdana" w:cs="Arial"/>
        </w:rPr>
      </w:pPr>
      <w:r w:rsidRPr="009D7400">
        <w:rPr>
          <w:rFonts w:ascii="Verdana" w:hAnsi="Verdana" w:cs="Arial"/>
        </w:rPr>
        <w:t xml:space="preserve">La parte actora presentó demanda </w:t>
      </w:r>
      <w:r w:rsidR="00571BF4" w:rsidRPr="009D7400">
        <w:rPr>
          <w:rFonts w:ascii="Verdana" w:hAnsi="Verdana" w:cs="Arial"/>
        </w:rPr>
        <w:t>ejecutiva en contra de</w:t>
      </w:r>
      <w:r w:rsidR="009649D7" w:rsidRPr="009D7400">
        <w:rPr>
          <w:rFonts w:ascii="Verdana" w:hAnsi="Verdana" w:cs="Arial"/>
        </w:rPr>
        <w:t xml:space="preserve"> la ESE Hospital Regional Valle de Tenza. Solicitó </w:t>
      </w:r>
      <w:r w:rsidR="00571BF4" w:rsidRPr="009D7400">
        <w:rPr>
          <w:rFonts w:ascii="Verdana" w:hAnsi="Verdana" w:cs="Arial"/>
        </w:rPr>
        <w:t>se libr</w:t>
      </w:r>
      <w:r w:rsidR="009649D7" w:rsidRPr="009D7400">
        <w:rPr>
          <w:rFonts w:ascii="Verdana" w:hAnsi="Verdana" w:cs="Arial"/>
        </w:rPr>
        <w:t xml:space="preserve">ara </w:t>
      </w:r>
      <w:r w:rsidR="00571BF4" w:rsidRPr="009D7400">
        <w:rPr>
          <w:rFonts w:ascii="Verdana" w:hAnsi="Verdana" w:cs="Arial"/>
        </w:rPr>
        <w:t>mandamiento de pago</w:t>
      </w:r>
      <w:r w:rsidR="0008160C" w:rsidRPr="009D7400">
        <w:rPr>
          <w:rFonts w:ascii="Verdana" w:hAnsi="Verdana" w:cs="Arial"/>
        </w:rPr>
        <w:t xml:space="preserve"> por </w:t>
      </w:r>
      <w:r w:rsidR="001F5410" w:rsidRPr="009D7400">
        <w:rPr>
          <w:rFonts w:ascii="Verdana" w:hAnsi="Verdana" w:cs="Arial"/>
          <w:i/>
          <w:iCs/>
        </w:rPr>
        <w:t xml:space="preserve">i) </w:t>
      </w:r>
      <w:r w:rsidR="005310C8">
        <w:rPr>
          <w:rFonts w:ascii="Verdana" w:hAnsi="Verdana" w:cs="Arial"/>
        </w:rPr>
        <w:t xml:space="preserve">los valores </w:t>
      </w:r>
      <w:r w:rsidR="004A5715" w:rsidRPr="009D7400">
        <w:rPr>
          <w:rFonts w:ascii="Verdana" w:hAnsi="Verdana" w:cs="Arial"/>
        </w:rPr>
        <w:t>contenid</w:t>
      </w:r>
      <w:r w:rsidR="005310C8">
        <w:rPr>
          <w:rFonts w:ascii="Verdana" w:hAnsi="Verdana" w:cs="Arial"/>
        </w:rPr>
        <w:t xml:space="preserve">os </w:t>
      </w:r>
      <w:r w:rsidR="004A5715" w:rsidRPr="009D7400">
        <w:rPr>
          <w:rFonts w:ascii="Verdana" w:hAnsi="Verdana" w:cs="Arial"/>
        </w:rPr>
        <w:t xml:space="preserve">en las facturas de venta No. </w:t>
      </w:r>
      <w:r w:rsidR="00485CD0" w:rsidRPr="009D7400">
        <w:rPr>
          <w:rFonts w:ascii="Verdana" w:hAnsi="Verdana" w:cs="Arial"/>
        </w:rPr>
        <w:t>00303</w:t>
      </w:r>
      <w:r w:rsidR="00A76343">
        <w:rPr>
          <w:rFonts w:ascii="Verdana" w:hAnsi="Verdana" w:cs="Arial"/>
        </w:rPr>
        <w:t xml:space="preserve"> ($206.936.630)</w:t>
      </w:r>
      <w:r w:rsidR="00485CD0" w:rsidRPr="009D7400">
        <w:rPr>
          <w:rFonts w:ascii="Verdana" w:hAnsi="Verdana" w:cs="Arial"/>
        </w:rPr>
        <w:t>, 00304</w:t>
      </w:r>
      <w:r w:rsidR="00A76343">
        <w:rPr>
          <w:rFonts w:ascii="Verdana" w:hAnsi="Verdana" w:cs="Arial"/>
        </w:rPr>
        <w:t xml:space="preserve"> ($70.379.760)</w:t>
      </w:r>
      <w:r w:rsidR="00485CD0" w:rsidRPr="009D7400">
        <w:rPr>
          <w:rFonts w:ascii="Verdana" w:hAnsi="Verdana" w:cs="Arial"/>
        </w:rPr>
        <w:t xml:space="preserve"> y 00305</w:t>
      </w:r>
      <w:r w:rsidR="00A76343">
        <w:rPr>
          <w:rFonts w:ascii="Verdana" w:hAnsi="Verdana" w:cs="Arial"/>
        </w:rPr>
        <w:t xml:space="preserve"> ($19.015.128)</w:t>
      </w:r>
      <w:r w:rsidR="00485CD0" w:rsidRPr="009D7400">
        <w:rPr>
          <w:rFonts w:ascii="Verdana" w:hAnsi="Verdana" w:cs="Arial"/>
        </w:rPr>
        <w:t xml:space="preserve"> del 30 de diciembre de 2016, 003</w:t>
      </w:r>
      <w:r w:rsidR="00555118" w:rsidRPr="009D7400">
        <w:rPr>
          <w:rFonts w:ascii="Verdana" w:hAnsi="Verdana" w:cs="Arial"/>
        </w:rPr>
        <w:t xml:space="preserve">94 </w:t>
      </w:r>
      <w:r w:rsidR="00A76343">
        <w:rPr>
          <w:rFonts w:ascii="Verdana" w:hAnsi="Verdana" w:cs="Arial"/>
        </w:rPr>
        <w:t>($</w:t>
      </w:r>
      <w:r w:rsidR="00120F08">
        <w:rPr>
          <w:rFonts w:ascii="Verdana" w:hAnsi="Verdana" w:cs="Arial"/>
        </w:rPr>
        <w:t>195.731.605</w:t>
      </w:r>
      <w:r w:rsidR="00A76343">
        <w:rPr>
          <w:rFonts w:ascii="Verdana" w:hAnsi="Verdana" w:cs="Arial"/>
        </w:rPr>
        <w:t xml:space="preserve">) </w:t>
      </w:r>
      <w:r w:rsidR="00555118" w:rsidRPr="009D7400">
        <w:rPr>
          <w:rFonts w:ascii="Verdana" w:hAnsi="Verdana" w:cs="Arial"/>
        </w:rPr>
        <w:t xml:space="preserve">y 00395 </w:t>
      </w:r>
      <w:r w:rsidR="00120F08">
        <w:rPr>
          <w:rFonts w:ascii="Verdana" w:hAnsi="Verdana" w:cs="Arial"/>
        </w:rPr>
        <w:t>($68.000.0</w:t>
      </w:r>
      <w:bookmarkStart w:id="0" w:name="_GoBack"/>
      <w:bookmarkEnd w:id="0"/>
      <w:r w:rsidR="00120F08">
        <w:rPr>
          <w:rFonts w:ascii="Verdana" w:hAnsi="Verdana" w:cs="Arial"/>
        </w:rPr>
        <w:t xml:space="preserve">00) </w:t>
      </w:r>
      <w:r w:rsidR="00555118" w:rsidRPr="009D7400">
        <w:rPr>
          <w:rFonts w:ascii="Verdana" w:hAnsi="Verdana" w:cs="Arial"/>
        </w:rPr>
        <w:t>d</w:t>
      </w:r>
      <w:r w:rsidR="00485CD0" w:rsidRPr="009D7400">
        <w:rPr>
          <w:rFonts w:ascii="Verdana" w:hAnsi="Verdana" w:cs="Arial"/>
        </w:rPr>
        <w:t>e</w:t>
      </w:r>
      <w:r w:rsidR="00555118" w:rsidRPr="009D7400">
        <w:rPr>
          <w:rFonts w:ascii="Verdana" w:hAnsi="Verdana" w:cs="Arial"/>
        </w:rPr>
        <w:t xml:space="preserve">l 1º de noviembre de 2017, 00401 </w:t>
      </w:r>
      <w:r w:rsidR="00120F08">
        <w:rPr>
          <w:rFonts w:ascii="Verdana" w:hAnsi="Verdana" w:cs="Arial"/>
        </w:rPr>
        <w:t xml:space="preserve">($197.987.433) </w:t>
      </w:r>
      <w:r w:rsidR="00555118" w:rsidRPr="009D7400">
        <w:rPr>
          <w:rFonts w:ascii="Verdana" w:hAnsi="Verdana" w:cs="Arial"/>
        </w:rPr>
        <w:t xml:space="preserve">y 00402 </w:t>
      </w:r>
      <w:r w:rsidR="00120F08">
        <w:rPr>
          <w:rFonts w:ascii="Verdana" w:hAnsi="Verdana" w:cs="Arial"/>
        </w:rPr>
        <w:t xml:space="preserve">($80.521.320) </w:t>
      </w:r>
      <w:r w:rsidR="00555118" w:rsidRPr="009D7400">
        <w:rPr>
          <w:rFonts w:ascii="Verdana" w:hAnsi="Verdana" w:cs="Arial"/>
        </w:rPr>
        <w:t xml:space="preserve">del 30 de noviembre de 2017, </w:t>
      </w:r>
      <w:r w:rsidR="001F5410" w:rsidRPr="009D7400">
        <w:rPr>
          <w:rFonts w:ascii="Verdana" w:hAnsi="Verdana" w:cs="Arial"/>
        </w:rPr>
        <w:t xml:space="preserve">y 00404 </w:t>
      </w:r>
      <w:r w:rsidR="00120F08">
        <w:rPr>
          <w:rFonts w:ascii="Verdana" w:hAnsi="Verdana" w:cs="Arial"/>
        </w:rPr>
        <w:t xml:space="preserve">($188.430.834) </w:t>
      </w:r>
      <w:r w:rsidR="001F5410" w:rsidRPr="009D7400">
        <w:rPr>
          <w:rFonts w:ascii="Verdana" w:hAnsi="Verdana" w:cs="Arial"/>
        </w:rPr>
        <w:t xml:space="preserve">y 00405 </w:t>
      </w:r>
      <w:r w:rsidR="00120F08">
        <w:rPr>
          <w:rFonts w:ascii="Verdana" w:hAnsi="Verdana" w:cs="Arial"/>
        </w:rPr>
        <w:t xml:space="preserve">($72.000.000) </w:t>
      </w:r>
      <w:r w:rsidR="001F5410" w:rsidRPr="009D7400">
        <w:rPr>
          <w:rFonts w:ascii="Verdana" w:hAnsi="Verdana" w:cs="Arial"/>
        </w:rPr>
        <w:t>del 1º de diciembre de 2017,</w:t>
      </w:r>
      <w:r w:rsidR="001D4009">
        <w:rPr>
          <w:rFonts w:ascii="Verdana" w:hAnsi="Verdana" w:cs="Arial"/>
        </w:rPr>
        <w:t xml:space="preserve"> y por</w:t>
      </w:r>
      <w:r w:rsidR="001F5410" w:rsidRPr="009D7400">
        <w:rPr>
          <w:rFonts w:ascii="Verdana" w:hAnsi="Verdana" w:cs="Arial"/>
        </w:rPr>
        <w:t xml:space="preserve"> </w:t>
      </w:r>
      <w:r w:rsidR="001F5410" w:rsidRPr="009D7400">
        <w:rPr>
          <w:rFonts w:ascii="Verdana" w:hAnsi="Verdana" w:cs="Arial"/>
          <w:i/>
          <w:iCs/>
        </w:rPr>
        <w:t xml:space="preserve">ii) </w:t>
      </w:r>
      <w:r w:rsidR="00653DEA" w:rsidRPr="009D7400">
        <w:rPr>
          <w:rFonts w:ascii="Verdana" w:hAnsi="Verdana" w:cs="Arial"/>
        </w:rPr>
        <w:t>el valor de los intereses moratorios e indexación.</w:t>
      </w:r>
    </w:p>
    <w:p w14:paraId="38459E22" w14:textId="77777777" w:rsidR="00AA2708" w:rsidRPr="009D7400" w:rsidRDefault="00AA2708" w:rsidP="009D7400">
      <w:pPr>
        <w:spacing w:line="264" w:lineRule="auto"/>
        <w:jc w:val="both"/>
        <w:rPr>
          <w:rFonts w:ascii="Verdana" w:hAnsi="Verdana" w:cs="Arial"/>
        </w:rPr>
      </w:pPr>
    </w:p>
    <w:p w14:paraId="61D04D66" w14:textId="77777777" w:rsidR="00531140" w:rsidRDefault="006C1555" w:rsidP="009D7400">
      <w:pPr>
        <w:spacing w:line="264" w:lineRule="auto"/>
        <w:jc w:val="both"/>
        <w:rPr>
          <w:rFonts w:ascii="Verdana" w:hAnsi="Verdana" w:cs="Arial"/>
        </w:rPr>
      </w:pPr>
      <w:r>
        <w:rPr>
          <w:rFonts w:ascii="Verdana" w:hAnsi="Verdana" w:cs="Arial"/>
        </w:rPr>
        <w:t>E</w:t>
      </w:r>
      <w:r w:rsidR="0074093F" w:rsidRPr="009D7400">
        <w:rPr>
          <w:rFonts w:ascii="Verdana" w:hAnsi="Verdana" w:cs="Arial"/>
        </w:rPr>
        <w:t>xpresó que</w:t>
      </w:r>
      <w:r w:rsidR="00D658F0" w:rsidRPr="009D7400">
        <w:rPr>
          <w:rFonts w:ascii="Verdana" w:hAnsi="Verdana" w:cs="Arial"/>
        </w:rPr>
        <w:t xml:space="preserve"> suscribió siete (7) contratos de prestación de servicios</w:t>
      </w:r>
      <w:r w:rsidR="00137DDA" w:rsidRPr="009D7400">
        <w:rPr>
          <w:rStyle w:val="Refdenotaalpie"/>
          <w:rFonts w:ascii="Verdana" w:hAnsi="Verdana" w:cs="Arial"/>
        </w:rPr>
        <w:footnoteReference w:id="1"/>
      </w:r>
      <w:r w:rsidR="005466A1" w:rsidRPr="005466A1">
        <w:rPr>
          <w:rFonts w:ascii="Verdana" w:hAnsi="Verdana" w:cs="Arial"/>
        </w:rPr>
        <w:t xml:space="preserve"> </w:t>
      </w:r>
      <w:r w:rsidR="005466A1" w:rsidRPr="009D7400">
        <w:rPr>
          <w:rFonts w:ascii="Verdana" w:hAnsi="Verdana" w:cs="Arial"/>
        </w:rPr>
        <w:t>con la ejecutada</w:t>
      </w:r>
      <w:r w:rsidR="005466A1">
        <w:rPr>
          <w:rFonts w:ascii="Verdana" w:hAnsi="Verdana" w:cs="Arial"/>
        </w:rPr>
        <w:t>,</w:t>
      </w:r>
      <w:r w:rsidR="00D658F0" w:rsidRPr="009D7400">
        <w:rPr>
          <w:rFonts w:ascii="Verdana" w:hAnsi="Verdana" w:cs="Arial"/>
        </w:rPr>
        <w:t xml:space="preserve"> cuyo</w:t>
      </w:r>
      <w:r w:rsidR="00C136CA" w:rsidRPr="009D7400">
        <w:rPr>
          <w:rFonts w:ascii="Verdana" w:hAnsi="Verdana" w:cs="Arial"/>
        </w:rPr>
        <w:t>s</w:t>
      </w:r>
      <w:r w:rsidR="00D658F0" w:rsidRPr="009D7400">
        <w:rPr>
          <w:rFonts w:ascii="Verdana" w:hAnsi="Verdana" w:cs="Arial"/>
        </w:rPr>
        <w:t xml:space="preserve"> objeto</w:t>
      </w:r>
      <w:r w:rsidR="00C136CA" w:rsidRPr="009D7400">
        <w:rPr>
          <w:rFonts w:ascii="Verdana" w:hAnsi="Verdana" w:cs="Arial"/>
        </w:rPr>
        <w:t>s se circunscribían a</w:t>
      </w:r>
      <w:r w:rsidR="00D658F0" w:rsidRPr="009D7400">
        <w:rPr>
          <w:rFonts w:ascii="Verdana" w:hAnsi="Verdana" w:cs="Arial"/>
        </w:rPr>
        <w:t xml:space="preserve"> </w:t>
      </w:r>
      <w:r w:rsidR="00C136CA" w:rsidRPr="009D7400">
        <w:rPr>
          <w:rFonts w:ascii="Verdana" w:hAnsi="Verdana" w:cs="Arial"/>
        </w:rPr>
        <w:t>la prestación de servicios de procesos y subprocesos para el apoyo asistencial y administrativo de la ESE</w:t>
      </w:r>
      <w:r w:rsidR="00137DDA" w:rsidRPr="009D7400">
        <w:rPr>
          <w:rFonts w:ascii="Verdana" w:hAnsi="Verdana" w:cs="Arial"/>
        </w:rPr>
        <w:t xml:space="preserve">, especialmente el suministro de personal. </w:t>
      </w:r>
      <w:r w:rsidR="00BC7526">
        <w:rPr>
          <w:rFonts w:ascii="Verdana" w:hAnsi="Verdana" w:cs="Arial"/>
        </w:rPr>
        <w:t>En la cláusula relativa a la forma de pago esti</w:t>
      </w:r>
      <w:r w:rsidR="00531140">
        <w:rPr>
          <w:rFonts w:ascii="Verdana" w:hAnsi="Verdana" w:cs="Arial"/>
        </w:rPr>
        <w:t xml:space="preserve">pularon que el mismo se haría con posterioridad a la ejecución del objeto contractual, previa presentación de </w:t>
      </w:r>
      <w:r w:rsidR="00531140">
        <w:rPr>
          <w:rFonts w:ascii="Verdana" w:hAnsi="Verdana" w:cs="Arial"/>
          <w:i/>
          <w:iCs/>
        </w:rPr>
        <w:t xml:space="preserve">i) </w:t>
      </w:r>
      <w:r w:rsidR="005466A1">
        <w:rPr>
          <w:rFonts w:ascii="Verdana" w:hAnsi="Verdana" w:cs="Arial"/>
        </w:rPr>
        <w:t>P</w:t>
      </w:r>
      <w:r w:rsidR="00531140">
        <w:rPr>
          <w:rFonts w:ascii="Verdana" w:hAnsi="Verdana" w:cs="Arial"/>
        </w:rPr>
        <w:t xml:space="preserve">lanillas que acrediten la prestación del servicio por parte de los trabajadores, </w:t>
      </w:r>
      <w:r w:rsidR="00531140">
        <w:rPr>
          <w:rFonts w:ascii="Verdana" w:hAnsi="Verdana" w:cs="Arial"/>
          <w:i/>
          <w:iCs/>
        </w:rPr>
        <w:t xml:space="preserve">ii) </w:t>
      </w:r>
      <w:r w:rsidR="00202E89">
        <w:rPr>
          <w:rFonts w:ascii="Verdana" w:hAnsi="Verdana" w:cs="Arial"/>
          <w:i/>
          <w:iCs/>
        </w:rPr>
        <w:t>“</w:t>
      </w:r>
      <w:r w:rsidR="00531140">
        <w:rPr>
          <w:rFonts w:ascii="Verdana" w:hAnsi="Verdana" w:cs="Arial"/>
          <w:i/>
          <w:iCs/>
          <w:u w:val="single"/>
        </w:rPr>
        <w:t>factura</w:t>
      </w:r>
      <w:r w:rsidR="00202E89">
        <w:rPr>
          <w:rFonts w:ascii="Verdana" w:hAnsi="Verdana" w:cs="Arial"/>
          <w:i/>
          <w:iCs/>
          <w:u w:val="single"/>
        </w:rPr>
        <w:t xml:space="preserve"> cambiaria de compraventa legalmente registrada ante la DIAN, donde se facturen los servicios y actividades efectivamente prestados al Hospital</w:t>
      </w:r>
      <w:r w:rsidR="001D35C8">
        <w:rPr>
          <w:rFonts w:ascii="Verdana" w:hAnsi="Verdana" w:cs="Arial"/>
          <w:i/>
          <w:iCs/>
        </w:rPr>
        <w:t xml:space="preserve"> “, iii)</w:t>
      </w:r>
      <w:r w:rsidR="001D35C8">
        <w:rPr>
          <w:rFonts w:ascii="Verdana" w:hAnsi="Verdana" w:cs="Arial"/>
        </w:rPr>
        <w:t xml:space="preserve"> Certificado de Interventoría y </w:t>
      </w:r>
      <w:r w:rsidR="001D35C8">
        <w:rPr>
          <w:rFonts w:ascii="Verdana" w:hAnsi="Verdana" w:cs="Arial"/>
          <w:i/>
          <w:iCs/>
        </w:rPr>
        <w:t xml:space="preserve">iv) </w:t>
      </w:r>
      <w:r w:rsidR="005466A1">
        <w:rPr>
          <w:rFonts w:ascii="Verdana" w:hAnsi="Verdana" w:cs="Arial"/>
        </w:rPr>
        <w:t>P</w:t>
      </w:r>
      <w:r>
        <w:rPr>
          <w:rFonts w:ascii="Verdana" w:hAnsi="Verdana" w:cs="Arial"/>
        </w:rPr>
        <w:t xml:space="preserve">lanilla de aportes al Sistema General de Seguridad Social, entre otros. </w:t>
      </w:r>
      <w:r w:rsidR="001D35C8">
        <w:rPr>
          <w:rFonts w:ascii="Verdana" w:hAnsi="Verdana" w:cs="Arial"/>
          <w:i/>
          <w:iCs/>
        </w:rPr>
        <w:t xml:space="preserve"> </w:t>
      </w:r>
    </w:p>
    <w:p w14:paraId="0F363F90" w14:textId="77777777" w:rsidR="00531140" w:rsidRDefault="00531140" w:rsidP="009D7400">
      <w:pPr>
        <w:spacing w:line="264" w:lineRule="auto"/>
        <w:jc w:val="both"/>
        <w:rPr>
          <w:rFonts w:ascii="Verdana" w:hAnsi="Verdana" w:cs="Arial"/>
        </w:rPr>
      </w:pPr>
    </w:p>
    <w:p w14:paraId="2F31344E" w14:textId="77777777" w:rsidR="0074093F" w:rsidRPr="009D7400" w:rsidRDefault="006A6684" w:rsidP="009D7400">
      <w:pPr>
        <w:spacing w:line="264" w:lineRule="auto"/>
        <w:jc w:val="both"/>
        <w:rPr>
          <w:rFonts w:ascii="Verdana" w:hAnsi="Verdana" w:cs="Arial"/>
        </w:rPr>
      </w:pPr>
      <w:r>
        <w:rPr>
          <w:rFonts w:ascii="Verdana" w:hAnsi="Verdana" w:cs="Arial"/>
        </w:rPr>
        <w:t xml:space="preserve">Con ocasión de la prestación y facturación de los servicios contratados </w:t>
      </w:r>
      <w:r w:rsidR="00F402A8">
        <w:rPr>
          <w:rFonts w:ascii="Verdana" w:hAnsi="Verdana" w:cs="Arial"/>
        </w:rPr>
        <w:t>por medio d</w:t>
      </w:r>
      <w:r>
        <w:rPr>
          <w:rFonts w:ascii="Verdana" w:hAnsi="Verdana" w:cs="Arial"/>
        </w:rPr>
        <w:t xml:space="preserve">e los citados negocios jurídicos, presentó ante la ejecutada las facturas cuya ejecución solicita. Sin embargo, </w:t>
      </w:r>
      <w:r w:rsidR="00F402A8">
        <w:rPr>
          <w:rFonts w:ascii="Verdana" w:hAnsi="Verdana" w:cs="Arial"/>
        </w:rPr>
        <w:t>aquella se abstuvo de cumplir con los respectivos pagos.</w:t>
      </w:r>
      <w:r w:rsidR="00287ED7">
        <w:rPr>
          <w:rFonts w:ascii="Verdana" w:hAnsi="Verdana" w:cs="Arial"/>
        </w:rPr>
        <w:t xml:space="preserve"> Únicamente hizo un abono por valor de $100.000.000.</w:t>
      </w:r>
      <w:r w:rsidR="00F402A8">
        <w:rPr>
          <w:rFonts w:ascii="Verdana" w:hAnsi="Verdana" w:cs="Arial"/>
        </w:rPr>
        <w:t xml:space="preserve"> </w:t>
      </w:r>
      <w:r>
        <w:rPr>
          <w:rFonts w:ascii="Verdana" w:hAnsi="Verdana" w:cs="Arial"/>
        </w:rPr>
        <w:t xml:space="preserve"> </w:t>
      </w:r>
    </w:p>
    <w:p w14:paraId="0DB068A2" w14:textId="77777777" w:rsidR="0074093F" w:rsidRDefault="0074093F" w:rsidP="009D7400">
      <w:pPr>
        <w:spacing w:line="264" w:lineRule="auto"/>
        <w:jc w:val="both"/>
        <w:rPr>
          <w:rFonts w:ascii="Verdana" w:hAnsi="Verdana" w:cs="Arial"/>
        </w:rPr>
      </w:pPr>
    </w:p>
    <w:p w14:paraId="43AACF97" w14:textId="77777777" w:rsidR="00E27822" w:rsidRDefault="00E27822" w:rsidP="009D7400">
      <w:pPr>
        <w:spacing w:line="264" w:lineRule="auto"/>
        <w:jc w:val="both"/>
        <w:rPr>
          <w:rFonts w:ascii="Verdana" w:hAnsi="Verdana" w:cs="Arial"/>
        </w:rPr>
      </w:pPr>
    </w:p>
    <w:p w14:paraId="0AEAAB4D" w14:textId="77777777" w:rsidR="00E27822" w:rsidRPr="0004709F" w:rsidRDefault="00E27822" w:rsidP="00E27822">
      <w:pPr>
        <w:spacing w:line="264" w:lineRule="auto"/>
        <w:jc w:val="center"/>
        <w:rPr>
          <w:rFonts w:ascii="Verdana" w:hAnsi="Verdana" w:cs="Arial"/>
          <w:sz w:val="26"/>
          <w:szCs w:val="26"/>
        </w:rPr>
      </w:pPr>
      <w:r w:rsidRPr="0004709F">
        <w:rPr>
          <w:rFonts w:ascii="Verdana" w:hAnsi="Verdana" w:cs="Arial"/>
          <w:b/>
          <w:sz w:val="26"/>
          <w:szCs w:val="26"/>
        </w:rPr>
        <w:t>II. CONSIDERACIONES</w:t>
      </w:r>
    </w:p>
    <w:p w14:paraId="67BA5B79" w14:textId="3CB1FD9D" w:rsidR="00486214" w:rsidRDefault="00486214" w:rsidP="009D7400">
      <w:pPr>
        <w:spacing w:line="264" w:lineRule="auto"/>
        <w:jc w:val="both"/>
        <w:rPr>
          <w:rFonts w:ascii="Verdana" w:hAnsi="Verdana" w:cs="Arial"/>
        </w:rPr>
      </w:pPr>
    </w:p>
    <w:p w14:paraId="135B3A84" w14:textId="77777777" w:rsidR="0004709F" w:rsidRPr="009D7400" w:rsidRDefault="0004709F" w:rsidP="009D7400">
      <w:pPr>
        <w:spacing w:line="264" w:lineRule="auto"/>
        <w:jc w:val="both"/>
        <w:rPr>
          <w:rFonts w:ascii="Verdana" w:hAnsi="Verdana" w:cs="Arial"/>
        </w:rPr>
      </w:pPr>
    </w:p>
    <w:p w14:paraId="04611DDE" w14:textId="5E149DDE" w:rsidR="00486214" w:rsidRPr="005953B7" w:rsidRDefault="00071365" w:rsidP="005953B7">
      <w:pPr>
        <w:spacing w:line="264" w:lineRule="auto"/>
        <w:jc w:val="both"/>
        <w:rPr>
          <w:rFonts w:ascii="Verdana" w:hAnsi="Verdana" w:cs="Arial"/>
          <w:bCs/>
          <w:i/>
        </w:rPr>
      </w:pPr>
      <w:r w:rsidRPr="009D7400">
        <w:rPr>
          <w:rFonts w:ascii="Verdana" w:hAnsi="Verdana" w:cs="Arial"/>
        </w:rPr>
        <w:t>S</w:t>
      </w:r>
      <w:r w:rsidR="00486214" w:rsidRPr="009D7400">
        <w:rPr>
          <w:rFonts w:ascii="Verdana" w:hAnsi="Verdana" w:cs="Arial"/>
        </w:rPr>
        <w:t xml:space="preserve">e debe indicar que el artículo 104 del CPACA consagra la regla general de competencia de la </w:t>
      </w:r>
      <w:r w:rsidR="00113DF9">
        <w:rPr>
          <w:rFonts w:ascii="Verdana" w:hAnsi="Verdana" w:cs="Arial"/>
        </w:rPr>
        <w:t>j</w:t>
      </w:r>
      <w:r w:rsidR="00486214" w:rsidRPr="009D7400">
        <w:rPr>
          <w:rFonts w:ascii="Verdana" w:hAnsi="Verdana" w:cs="Arial"/>
        </w:rPr>
        <w:t xml:space="preserve">urisdicción de lo </w:t>
      </w:r>
      <w:r w:rsidR="00113DF9">
        <w:rPr>
          <w:rFonts w:ascii="Verdana" w:hAnsi="Verdana" w:cs="Arial"/>
        </w:rPr>
        <w:t>c</w:t>
      </w:r>
      <w:r w:rsidR="00486214" w:rsidRPr="009D7400">
        <w:rPr>
          <w:rFonts w:ascii="Verdana" w:hAnsi="Verdana" w:cs="Arial"/>
        </w:rPr>
        <w:t xml:space="preserve">ontencioso </w:t>
      </w:r>
      <w:r w:rsidR="00113DF9">
        <w:rPr>
          <w:rFonts w:ascii="Verdana" w:hAnsi="Verdana" w:cs="Arial"/>
        </w:rPr>
        <w:t>a</w:t>
      </w:r>
      <w:r w:rsidR="00486214" w:rsidRPr="009D7400">
        <w:rPr>
          <w:rFonts w:ascii="Verdana" w:hAnsi="Verdana" w:cs="Arial"/>
        </w:rPr>
        <w:t>dministrativo</w:t>
      </w:r>
      <w:r w:rsidR="00E27822">
        <w:rPr>
          <w:rFonts w:ascii="Verdana" w:hAnsi="Verdana" w:cs="Arial"/>
        </w:rPr>
        <w:t xml:space="preserve"> al señalar que</w:t>
      </w:r>
      <w:r w:rsidR="00D8486C">
        <w:rPr>
          <w:rFonts w:ascii="Verdana" w:hAnsi="Verdana" w:cs="Arial"/>
        </w:rPr>
        <w:t xml:space="preserve"> </w:t>
      </w:r>
      <w:r w:rsidR="00486214" w:rsidRPr="00D8486C">
        <w:rPr>
          <w:rFonts w:ascii="Verdana" w:hAnsi="Verdana" w:cs="Arial"/>
          <w:i/>
          <w:sz w:val="22"/>
          <w:szCs w:val="22"/>
        </w:rPr>
        <w:t>“</w:t>
      </w:r>
      <w:r w:rsidR="00D8486C" w:rsidRPr="00D8486C">
        <w:rPr>
          <w:rFonts w:ascii="Verdana" w:hAnsi="Verdana" w:cs="Arial"/>
          <w:i/>
          <w:sz w:val="22"/>
          <w:szCs w:val="22"/>
        </w:rPr>
        <w:t xml:space="preserve">(…) </w:t>
      </w:r>
      <w:r w:rsidR="00486214" w:rsidRPr="00D8486C">
        <w:rPr>
          <w:rFonts w:ascii="Verdana" w:hAnsi="Verdana" w:cs="Arial"/>
          <w:i/>
          <w:sz w:val="22"/>
          <w:szCs w:val="22"/>
        </w:rPr>
        <w:t>est</w:t>
      </w:r>
      <w:r w:rsidR="00D8486C" w:rsidRPr="00D8486C">
        <w:rPr>
          <w:rFonts w:ascii="Verdana" w:hAnsi="Verdana" w:cs="Arial"/>
          <w:i/>
          <w:sz w:val="22"/>
          <w:szCs w:val="22"/>
        </w:rPr>
        <w:t>á</w:t>
      </w:r>
      <w:r w:rsidR="00486214" w:rsidRPr="00D8486C">
        <w:rPr>
          <w:rFonts w:ascii="Verdana" w:hAnsi="Verdana" w:cs="Arial"/>
          <w:i/>
          <w:sz w:val="22"/>
          <w:szCs w:val="22"/>
        </w:rPr>
        <w:t xml:space="preserve"> instituida para conocer, además de lo dispuesto en la Constitución Política y en las leyes especiales, de las controversias y litigios originados en actos, contratos, hechos, omisiones y operaciones, sujetos al derecho administrativo, en los que estén involucradas las entidades públicas, o los particulares cuando ejerzan función administrativa.”.</w:t>
      </w:r>
      <w:r w:rsidR="00486214" w:rsidRPr="009D7400">
        <w:rPr>
          <w:rFonts w:ascii="Verdana" w:hAnsi="Verdana" w:cs="Arial"/>
          <w:i/>
        </w:rPr>
        <w:t xml:space="preserve"> </w:t>
      </w:r>
      <w:r w:rsidR="00D8486C">
        <w:rPr>
          <w:rFonts w:ascii="Verdana" w:hAnsi="Verdana" w:cs="Arial"/>
        </w:rPr>
        <w:t>Conforme a</w:t>
      </w:r>
      <w:r w:rsidR="00486214" w:rsidRPr="009D7400">
        <w:rPr>
          <w:rFonts w:ascii="Verdana" w:hAnsi="Verdana" w:cs="Arial"/>
        </w:rPr>
        <w:t xml:space="preserve">l numeral 6º </w:t>
      </w:r>
      <w:r w:rsidR="00D8486C">
        <w:rPr>
          <w:rFonts w:ascii="Verdana" w:hAnsi="Verdana" w:cs="Arial"/>
          <w:i/>
          <w:iCs/>
        </w:rPr>
        <w:t xml:space="preserve">ibidem, </w:t>
      </w:r>
      <w:r w:rsidR="00EC3115">
        <w:rPr>
          <w:rFonts w:ascii="Verdana" w:hAnsi="Verdana" w:cs="Arial"/>
        </w:rPr>
        <w:t xml:space="preserve">corresponde a esta jurisdicción el conocimiento de </w:t>
      </w:r>
      <w:r w:rsidR="00D8486C">
        <w:rPr>
          <w:rFonts w:ascii="Verdana" w:hAnsi="Verdana" w:cs="Arial"/>
        </w:rPr>
        <w:t>los procesos</w:t>
      </w:r>
      <w:r w:rsidR="00486214" w:rsidRPr="009D7400">
        <w:rPr>
          <w:rFonts w:ascii="Verdana" w:hAnsi="Verdana" w:cs="Arial"/>
        </w:rPr>
        <w:t>:</w:t>
      </w:r>
      <w:r w:rsidR="005953B7">
        <w:rPr>
          <w:rFonts w:ascii="Verdana" w:hAnsi="Verdana" w:cs="Arial"/>
        </w:rPr>
        <w:t xml:space="preserve"> </w:t>
      </w:r>
      <w:r w:rsidR="00486214" w:rsidRPr="005953B7">
        <w:rPr>
          <w:rFonts w:ascii="Verdana" w:hAnsi="Verdana" w:cs="Arial"/>
          <w:i/>
          <w:sz w:val="22"/>
          <w:szCs w:val="22"/>
        </w:rPr>
        <w:t>“</w:t>
      </w:r>
      <w:r w:rsidR="00A22BFC" w:rsidRPr="005953B7">
        <w:rPr>
          <w:rFonts w:ascii="Verdana" w:hAnsi="Verdana" w:cs="Arial"/>
          <w:i/>
          <w:sz w:val="22"/>
          <w:szCs w:val="22"/>
        </w:rPr>
        <w:t xml:space="preserve">(…) </w:t>
      </w:r>
      <w:r w:rsidR="00486214" w:rsidRPr="005953B7">
        <w:rPr>
          <w:rFonts w:ascii="Verdana" w:hAnsi="Verdana" w:cs="Arial"/>
          <w:bCs/>
          <w:i/>
          <w:sz w:val="22"/>
          <w:szCs w:val="22"/>
        </w:rPr>
        <w:t xml:space="preserve">ejecutivos derivados de las condenas impuestas y las conciliaciones aprobadas por esta jurisdicción, </w:t>
      </w:r>
      <w:r w:rsidR="00754ED9" w:rsidRPr="005953B7">
        <w:rPr>
          <w:rFonts w:ascii="Verdana" w:hAnsi="Verdana" w:cs="Arial"/>
          <w:bCs/>
          <w:i/>
          <w:sz w:val="22"/>
          <w:szCs w:val="22"/>
        </w:rPr>
        <w:t>así</w:t>
      </w:r>
      <w:r w:rsidR="00486214" w:rsidRPr="005953B7">
        <w:rPr>
          <w:rFonts w:ascii="Verdana" w:hAnsi="Verdana" w:cs="Arial"/>
          <w:bCs/>
          <w:i/>
          <w:sz w:val="22"/>
          <w:szCs w:val="22"/>
        </w:rPr>
        <w:t xml:space="preserve"> como los provenientes de laudos </w:t>
      </w:r>
      <w:r w:rsidR="00754ED9" w:rsidRPr="005953B7">
        <w:rPr>
          <w:rFonts w:ascii="Verdana" w:hAnsi="Verdana" w:cs="Arial"/>
          <w:bCs/>
          <w:i/>
          <w:sz w:val="22"/>
          <w:szCs w:val="22"/>
        </w:rPr>
        <w:t xml:space="preserve">arbitrales en que hubiere sido parte una entidad pública; e, igualmente los originados </w:t>
      </w:r>
      <w:r w:rsidR="00754ED9" w:rsidRPr="005953B7">
        <w:rPr>
          <w:rFonts w:ascii="Verdana" w:hAnsi="Verdana" w:cs="Arial"/>
          <w:bCs/>
          <w:i/>
          <w:sz w:val="22"/>
          <w:szCs w:val="22"/>
          <w:u w:val="single"/>
        </w:rPr>
        <w:t>en</w:t>
      </w:r>
      <w:r w:rsidR="00754ED9" w:rsidRPr="005953B7">
        <w:rPr>
          <w:rFonts w:ascii="Verdana" w:hAnsi="Verdana" w:cs="Arial"/>
          <w:bCs/>
          <w:i/>
          <w:sz w:val="22"/>
          <w:szCs w:val="22"/>
        </w:rPr>
        <w:t xml:space="preserve"> </w:t>
      </w:r>
      <w:r w:rsidR="00754ED9" w:rsidRPr="005953B7">
        <w:rPr>
          <w:rFonts w:ascii="Verdana" w:hAnsi="Verdana" w:cs="Arial"/>
          <w:bCs/>
          <w:i/>
          <w:sz w:val="22"/>
          <w:szCs w:val="22"/>
          <w:u w:val="single"/>
        </w:rPr>
        <w:t>los contratos</w:t>
      </w:r>
      <w:r w:rsidR="00754ED9" w:rsidRPr="005953B7">
        <w:rPr>
          <w:rFonts w:ascii="Verdana" w:hAnsi="Verdana" w:cs="Arial"/>
          <w:bCs/>
          <w:i/>
          <w:sz w:val="22"/>
          <w:szCs w:val="22"/>
        </w:rPr>
        <w:t xml:space="preserve"> celebrados por esas entidades.”</w:t>
      </w:r>
    </w:p>
    <w:p w14:paraId="0C80D72E" w14:textId="77777777" w:rsidR="005953B7" w:rsidRDefault="005953B7" w:rsidP="009D7400">
      <w:pPr>
        <w:spacing w:line="264" w:lineRule="auto"/>
        <w:jc w:val="both"/>
        <w:rPr>
          <w:rFonts w:ascii="Verdana" w:hAnsi="Verdana" w:cs="Arial"/>
        </w:rPr>
      </w:pPr>
    </w:p>
    <w:p w14:paraId="1CC3798F" w14:textId="57F92803" w:rsidR="00F46C2D" w:rsidRDefault="00F46C2D" w:rsidP="009D7400">
      <w:pPr>
        <w:spacing w:line="264" w:lineRule="auto"/>
        <w:jc w:val="both"/>
        <w:rPr>
          <w:rFonts w:ascii="Verdana" w:hAnsi="Verdana" w:cs="Arial"/>
        </w:rPr>
      </w:pPr>
      <w:r>
        <w:rPr>
          <w:rFonts w:ascii="Verdana" w:hAnsi="Verdana" w:cs="Arial"/>
        </w:rPr>
        <w:t>De otro lado, conviene recordar que</w:t>
      </w:r>
      <w:r w:rsidR="009C0B9F">
        <w:rPr>
          <w:rFonts w:ascii="Verdana" w:hAnsi="Verdana" w:cs="Arial"/>
        </w:rPr>
        <w:t xml:space="preserve"> según </w:t>
      </w:r>
      <w:r>
        <w:rPr>
          <w:rFonts w:ascii="Verdana" w:hAnsi="Verdana" w:cs="Arial"/>
        </w:rPr>
        <w:t>el artículo 75 de la Ley 80 de 199</w:t>
      </w:r>
      <w:r w:rsidR="009C0B9F">
        <w:rPr>
          <w:rFonts w:ascii="Verdana" w:hAnsi="Verdana" w:cs="Arial"/>
        </w:rPr>
        <w:t xml:space="preserve">3, </w:t>
      </w:r>
      <w:r w:rsidR="009C0B9F" w:rsidRPr="009C0B9F">
        <w:rPr>
          <w:rFonts w:ascii="Verdana" w:hAnsi="Verdana" w:cs="Arial"/>
        </w:rPr>
        <w:t xml:space="preserve">el juez competente para conocer de las controversias derivadas </w:t>
      </w:r>
      <w:r w:rsidR="009C0B9F" w:rsidRPr="00D67557">
        <w:rPr>
          <w:rFonts w:ascii="Verdana" w:hAnsi="Verdana" w:cs="Arial"/>
        </w:rPr>
        <w:t>de los contratos</w:t>
      </w:r>
      <w:r w:rsidR="009C0B9F" w:rsidRPr="009C0B9F">
        <w:rPr>
          <w:rFonts w:ascii="Verdana" w:hAnsi="Verdana" w:cs="Arial"/>
        </w:rPr>
        <w:t xml:space="preserve"> estatales y de los procesos de ejecución o cumplimiento será el de la jurisdicción contencioso administrativo.</w:t>
      </w:r>
    </w:p>
    <w:p w14:paraId="121B275D" w14:textId="77777777" w:rsidR="00AA2708" w:rsidRDefault="00AA2708" w:rsidP="009D7400">
      <w:pPr>
        <w:spacing w:line="264" w:lineRule="auto"/>
        <w:jc w:val="both"/>
        <w:rPr>
          <w:rFonts w:ascii="Verdana" w:hAnsi="Verdana" w:cs="Arial"/>
        </w:rPr>
      </w:pPr>
    </w:p>
    <w:p w14:paraId="36C1C80B" w14:textId="77777777" w:rsidR="00EE05BF" w:rsidRPr="009D7400" w:rsidRDefault="00883EF8" w:rsidP="00EE05BF">
      <w:pPr>
        <w:spacing w:line="264" w:lineRule="auto"/>
        <w:jc w:val="both"/>
        <w:rPr>
          <w:rFonts w:ascii="Verdana" w:hAnsi="Verdana" w:cs="Arial"/>
        </w:rPr>
      </w:pPr>
      <w:r>
        <w:rPr>
          <w:rFonts w:ascii="Verdana" w:hAnsi="Verdana" w:cs="Arial"/>
        </w:rPr>
        <w:t>L</w:t>
      </w:r>
      <w:r w:rsidR="00EB3625" w:rsidRPr="009D7400">
        <w:rPr>
          <w:rFonts w:ascii="Verdana" w:hAnsi="Verdana" w:cs="Arial"/>
        </w:rPr>
        <w:t>a</w:t>
      </w:r>
      <w:r w:rsidR="00CF0C67">
        <w:rPr>
          <w:rFonts w:ascii="Verdana" w:hAnsi="Verdana" w:cs="Arial"/>
        </w:rPr>
        <w:t>s</w:t>
      </w:r>
      <w:r w:rsidR="00EB3625" w:rsidRPr="009D7400">
        <w:rPr>
          <w:rFonts w:ascii="Verdana" w:hAnsi="Verdana" w:cs="Arial"/>
        </w:rPr>
        <w:t xml:space="preserve"> </w:t>
      </w:r>
      <w:r w:rsidR="00E52D91">
        <w:rPr>
          <w:rFonts w:ascii="Verdana" w:hAnsi="Verdana" w:cs="Arial"/>
        </w:rPr>
        <w:t xml:space="preserve">anteriores </w:t>
      </w:r>
      <w:r w:rsidR="00EB3625" w:rsidRPr="009D7400">
        <w:rPr>
          <w:rFonts w:ascii="Verdana" w:hAnsi="Verdana" w:cs="Arial"/>
        </w:rPr>
        <w:t>regla</w:t>
      </w:r>
      <w:r w:rsidR="00CF0C67">
        <w:rPr>
          <w:rFonts w:ascii="Verdana" w:hAnsi="Verdana" w:cs="Arial"/>
        </w:rPr>
        <w:t>s</w:t>
      </w:r>
      <w:r w:rsidR="00EB3625" w:rsidRPr="009D7400">
        <w:rPr>
          <w:rFonts w:ascii="Verdana" w:hAnsi="Verdana" w:cs="Arial"/>
        </w:rPr>
        <w:t xml:space="preserve"> </w:t>
      </w:r>
      <w:r w:rsidR="00E52D91">
        <w:rPr>
          <w:rFonts w:ascii="Verdana" w:hAnsi="Verdana" w:cs="Arial"/>
        </w:rPr>
        <w:t xml:space="preserve">son </w:t>
      </w:r>
      <w:r w:rsidR="009907E4" w:rsidRPr="009D7400">
        <w:rPr>
          <w:rFonts w:ascii="Verdana" w:hAnsi="Verdana" w:cs="Arial"/>
        </w:rPr>
        <w:t>clara</w:t>
      </w:r>
      <w:r w:rsidR="00380796">
        <w:rPr>
          <w:rFonts w:ascii="Verdana" w:hAnsi="Verdana" w:cs="Arial"/>
        </w:rPr>
        <w:t>s</w:t>
      </w:r>
      <w:r w:rsidR="00E52D91">
        <w:rPr>
          <w:rFonts w:ascii="Verdana" w:hAnsi="Verdana" w:cs="Arial"/>
        </w:rPr>
        <w:t xml:space="preserve"> y específicas en su contenido</w:t>
      </w:r>
      <w:r w:rsidR="00380796">
        <w:rPr>
          <w:rFonts w:ascii="Verdana" w:hAnsi="Verdana" w:cs="Arial"/>
        </w:rPr>
        <w:t xml:space="preserve">. En </w:t>
      </w:r>
      <w:r w:rsidR="00EB3625" w:rsidRPr="009D7400">
        <w:rPr>
          <w:rFonts w:ascii="Verdana" w:hAnsi="Verdana" w:cs="Arial"/>
        </w:rPr>
        <w:t>ese sentido</w:t>
      </w:r>
      <w:r w:rsidR="00380796">
        <w:rPr>
          <w:rFonts w:ascii="Verdana" w:hAnsi="Verdana" w:cs="Arial"/>
        </w:rPr>
        <w:t xml:space="preserve"> y </w:t>
      </w:r>
      <w:r w:rsidR="00380796" w:rsidRPr="009D7400">
        <w:rPr>
          <w:rFonts w:ascii="Verdana" w:hAnsi="Verdana" w:cs="Arial"/>
        </w:rPr>
        <w:t>de conformidad con la cláusula general</w:t>
      </w:r>
      <w:r w:rsidR="0036137C">
        <w:rPr>
          <w:rFonts w:ascii="Verdana" w:hAnsi="Verdana" w:cs="Arial"/>
        </w:rPr>
        <w:t xml:space="preserve"> y residual</w:t>
      </w:r>
      <w:r w:rsidR="00380796" w:rsidRPr="009D7400">
        <w:rPr>
          <w:rFonts w:ascii="Verdana" w:hAnsi="Verdana" w:cs="Arial"/>
        </w:rPr>
        <w:t xml:space="preserve"> de competencia atribuida por el artículo 15 del CGP</w:t>
      </w:r>
      <w:r w:rsidR="007454E9">
        <w:rPr>
          <w:rFonts w:ascii="Verdana" w:hAnsi="Verdana" w:cs="Arial"/>
        </w:rPr>
        <w:t xml:space="preserve"> a la jurisdicción ordinaria </w:t>
      </w:r>
      <w:r w:rsidR="0036137C">
        <w:rPr>
          <w:rFonts w:ascii="Verdana" w:hAnsi="Verdana" w:cs="Arial"/>
        </w:rPr>
        <w:t xml:space="preserve">y a su </w:t>
      </w:r>
      <w:r w:rsidR="007454E9">
        <w:rPr>
          <w:rFonts w:ascii="Verdana" w:hAnsi="Verdana" w:cs="Arial"/>
        </w:rPr>
        <w:t xml:space="preserve">especialidad civil, </w:t>
      </w:r>
      <w:r w:rsidR="00FF030A">
        <w:rPr>
          <w:rFonts w:ascii="Verdana" w:hAnsi="Verdana" w:cs="Arial"/>
        </w:rPr>
        <w:t>es dable entender que</w:t>
      </w:r>
      <w:r w:rsidR="0036137C">
        <w:rPr>
          <w:rFonts w:ascii="Verdana" w:hAnsi="Verdana" w:cs="Arial"/>
        </w:rPr>
        <w:t>,</w:t>
      </w:r>
      <w:r w:rsidR="00FF030A">
        <w:rPr>
          <w:rFonts w:ascii="Verdana" w:hAnsi="Verdana" w:cs="Arial"/>
        </w:rPr>
        <w:t xml:space="preserve"> </w:t>
      </w:r>
      <w:r w:rsidR="00AA2256" w:rsidRPr="009D7400">
        <w:rPr>
          <w:rFonts w:ascii="Verdana" w:hAnsi="Verdana" w:cs="Arial"/>
        </w:rPr>
        <w:t>los asuntos</w:t>
      </w:r>
      <w:r w:rsidR="00FF030A">
        <w:rPr>
          <w:rFonts w:ascii="Verdana" w:hAnsi="Verdana" w:cs="Arial"/>
        </w:rPr>
        <w:t xml:space="preserve"> que no estén</w:t>
      </w:r>
      <w:r w:rsidR="0036137C">
        <w:rPr>
          <w:rFonts w:ascii="Verdana" w:hAnsi="Verdana" w:cs="Arial"/>
        </w:rPr>
        <w:t xml:space="preserve"> expresamente atribuidos al conocimiento de esta jurisdicción, corresponderán a la jurisdicción ordinaria</w:t>
      </w:r>
      <w:r w:rsidR="00866968">
        <w:rPr>
          <w:rFonts w:ascii="Verdana" w:hAnsi="Verdana" w:cs="Arial"/>
        </w:rPr>
        <w:t>. De</w:t>
      </w:r>
      <w:r w:rsidR="00D75C17">
        <w:rPr>
          <w:rFonts w:ascii="Verdana" w:hAnsi="Verdana" w:cs="Arial"/>
        </w:rPr>
        <w:t xml:space="preserve">ntro de esta última, competerá a la especialidad civil conocer de todos los procesos no </w:t>
      </w:r>
      <w:r w:rsidR="0036137C">
        <w:rPr>
          <w:rFonts w:ascii="Verdana" w:hAnsi="Verdana" w:cs="Arial"/>
        </w:rPr>
        <w:t>sometidos al conocimiento</w:t>
      </w:r>
      <w:r w:rsidR="00EE05BF">
        <w:rPr>
          <w:rFonts w:ascii="Verdana" w:hAnsi="Verdana" w:cs="Arial"/>
        </w:rPr>
        <w:t xml:space="preserve"> de otra especialidad</w:t>
      </w:r>
      <w:r w:rsidR="00801674">
        <w:rPr>
          <w:rFonts w:ascii="Verdana" w:hAnsi="Verdana" w:cs="Arial"/>
        </w:rPr>
        <w:t>.</w:t>
      </w:r>
      <w:r w:rsidR="00EE05BF">
        <w:rPr>
          <w:rFonts w:ascii="Verdana" w:hAnsi="Verdana" w:cs="Arial"/>
        </w:rPr>
        <w:t xml:space="preserve"> </w:t>
      </w:r>
    </w:p>
    <w:p w14:paraId="43241CBF" w14:textId="77777777" w:rsidR="00992E33" w:rsidRPr="009D7400" w:rsidRDefault="00992E33" w:rsidP="009D7400">
      <w:pPr>
        <w:spacing w:line="264" w:lineRule="auto"/>
        <w:jc w:val="both"/>
        <w:rPr>
          <w:rFonts w:ascii="Verdana" w:hAnsi="Verdana" w:cs="Arial"/>
        </w:rPr>
      </w:pPr>
    </w:p>
    <w:p w14:paraId="5B6FA18E" w14:textId="77777777" w:rsidR="00697DF3" w:rsidRPr="00BA278D" w:rsidRDefault="00D4508C" w:rsidP="00697DF3">
      <w:pPr>
        <w:spacing w:line="264" w:lineRule="auto"/>
        <w:jc w:val="both"/>
        <w:rPr>
          <w:rFonts w:ascii="Verdana" w:hAnsi="Verdana" w:cs="Arial"/>
        </w:rPr>
      </w:pPr>
      <w:r w:rsidRPr="009D7400">
        <w:rPr>
          <w:rFonts w:ascii="Verdana" w:hAnsi="Verdana" w:cs="Arial"/>
        </w:rPr>
        <w:t>A</w:t>
      </w:r>
      <w:r w:rsidR="00F3625C" w:rsidRPr="009D7400">
        <w:rPr>
          <w:rFonts w:ascii="Verdana" w:hAnsi="Verdana" w:cs="Arial"/>
        </w:rPr>
        <w:t xml:space="preserve"> partir de la mencionada taxatividad</w:t>
      </w:r>
      <w:r w:rsidR="003133D3">
        <w:rPr>
          <w:rFonts w:ascii="Verdana" w:hAnsi="Verdana" w:cs="Arial"/>
        </w:rPr>
        <w:t>,</w:t>
      </w:r>
      <w:r w:rsidR="00F3625C" w:rsidRPr="009D7400">
        <w:rPr>
          <w:rFonts w:ascii="Verdana" w:hAnsi="Verdana" w:cs="Arial"/>
        </w:rPr>
        <w:t xml:space="preserve"> se tiene que la </w:t>
      </w:r>
      <w:r w:rsidR="00113DF9">
        <w:rPr>
          <w:rFonts w:ascii="Verdana" w:hAnsi="Verdana" w:cs="Arial"/>
        </w:rPr>
        <w:t>j</w:t>
      </w:r>
      <w:r w:rsidR="00F3625C" w:rsidRPr="009D7400">
        <w:rPr>
          <w:rFonts w:ascii="Verdana" w:hAnsi="Verdana" w:cs="Arial"/>
        </w:rPr>
        <w:t xml:space="preserve">urisdicción de lo </w:t>
      </w:r>
      <w:r w:rsidR="00113DF9">
        <w:rPr>
          <w:rFonts w:ascii="Verdana" w:hAnsi="Verdana" w:cs="Arial"/>
        </w:rPr>
        <w:t>c</w:t>
      </w:r>
      <w:r w:rsidR="00F3625C" w:rsidRPr="009D7400">
        <w:rPr>
          <w:rFonts w:ascii="Verdana" w:hAnsi="Verdana" w:cs="Arial"/>
        </w:rPr>
        <w:t xml:space="preserve">ontencioso </w:t>
      </w:r>
      <w:r w:rsidR="00113DF9">
        <w:rPr>
          <w:rFonts w:ascii="Verdana" w:hAnsi="Verdana" w:cs="Arial"/>
        </w:rPr>
        <w:t>a</w:t>
      </w:r>
      <w:r w:rsidR="00F3625C" w:rsidRPr="009D7400">
        <w:rPr>
          <w:rFonts w:ascii="Verdana" w:hAnsi="Verdana" w:cs="Arial"/>
        </w:rPr>
        <w:t xml:space="preserve">dministrativo conocerá de los </w:t>
      </w:r>
      <w:r w:rsidR="00280126" w:rsidRPr="009D7400">
        <w:rPr>
          <w:rFonts w:ascii="Verdana" w:hAnsi="Verdana" w:cs="Arial"/>
        </w:rPr>
        <w:t xml:space="preserve">procesos ejecutivos originados </w:t>
      </w:r>
      <w:r w:rsidR="00280126" w:rsidRPr="000A0467">
        <w:rPr>
          <w:rFonts w:ascii="Verdana" w:hAnsi="Verdana" w:cs="Arial"/>
          <w:u w:val="single"/>
        </w:rPr>
        <w:t>en los</w:t>
      </w:r>
      <w:r w:rsidR="00F3625C" w:rsidRPr="000A0467">
        <w:rPr>
          <w:rFonts w:ascii="Verdana" w:hAnsi="Verdana" w:cs="Arial"/>
          <w:u w:val="single"/>
        </w:rPr>
        <w:t xml:space="preserve"> contratos</w:t>
      </w:r>
      <w:r w:rsidR="00F3625C" w:rsidRPr="009D7400">
        <w:rPr>
          <w:rFonts w:ascii="Verdana" w:hAnsi="Verdana" w:cs="Arial"/>
        </w:rPr>
        <w:t xml:space="preserve"> celebrados por una entidad pública</w:t>
      </w:r>
      <w:r w:rsidR="00113DF9">
        <w:rPr>
          <w:rFonts w:ascii="Verdana" w:hAnsi="Verdana" w:cs="Arial"/>
        </w:rPr>
        <w:t xml:space="preserve">. </w:t>
      </w:r>
      <w:r w:rsidR="000A0467">
        <w:rPr>
          <w:rFonts w:ascii="Verdana" w:hAnsi="Verdana" w:cs="Arial"/>
          <w:i/>
          <w:iCs/>
        </w:rPr>
        <w:t xml:space="preserve">Contrario sensu, </w:t>
      </w:r>
      <w:r w:rsidR="00697DF3">
        <w:rPr>
          <w:rFonts w:ascii="Verdana" w:hAnsi="Verdana" w:cs="Arial"/>
        </w:rPr>
        <w:t>esta jurisdicción no podrá conocer de la ejecución de</w:t>
      </w:r>
      <w:r w:rsidR="00ED5E46" w:rsidRPr="009D7400">
        <w:rPr>
          <w:rFonts w:ascii="Verdana" w:hAnsi="Verdana" w:cs="Arial"/>
        </w:rPr>
        <w:t xml:space="preserve"> </w:t>
      </w:r>
      <w:r w:rsidR="006F6D60" w:rsidRPr="009D7400">
        <w:rPr>
          <w:rFonts w:ascii="Verdana" w:hAnsi="Verdana" w:cs="Arial"/>
        </w:rPr>
        <w:t>título</w:t>
      </w:r>
      <w:r w:rsidR="00697DF3">
        <w:rPr>
          <w:rFonts w:ascii="Verdana" w:hAnsi="Verdana" w:cs="Arial"/>
        </w:rPr>
        <w:t>s</w:t>
      </w:r>
      <w:r w:rsidR="00ED5E46" w:rsidRPr="009D7400">
        <w:rPr>
          <w:rFonts w:ascii="Verdana" w:hAnsi="Verdana" w:cs="Arial"/>
        </w:rPr>
        <w:t xml:space="preserve"> valor</w:t>
      </w:r>
      <w:r w:rsidR="00697DF3">
        <w:rPr>
          <w:rFonts w:ascii="Verdana" w:hAnsi="Verdana" w:cs="Arial"/>
        </w:rPr>
        <w:t>es</w:t>
      </w:r>
      <w:r w:rsidR="00ED5E46" w:rsidRPr="009D7400">
        <w:rPr>
          <w:rFonts w:ascii="Verdana" w:hAnsi="Verdana" w:cs="Arial"/>
        </w:rPr>
        <w:t xml:space="preserve"> constituido</w:t>
      </w:r>
      <w:r w:rsidR="00697DF3">
        <w:rPr>
          <w:rFonts w:ascii="Verdana" w:hAnsi="Verdana" w:cs="Arial"/>
        </w:rPr>
        <w:t>s</w:t>
      </w:r>
      <w:r w:rsidR="00ED5E46" w:rsidRPr="009D7400">
        <w:rPr>
          <w:rFonts w:ascii="Verdana" w:hAnsi="Verdana" w:cs="Arial"/>
        </w:rPr>
        <w:t xml:space="preserve"> por facturas</w:t>
      </w:r>
      <w:r w:rsidR="00697DF3">
        <w:rPr>
          <w:rFonts w:ascii="Verdana" w:hAnsi="Verdana" w:cs="Arial"/>
        </w:rPr>
        <w:t xml:space="preserve"> cambiarias pese a que tengan </w:t>
      </w:r>
      <w:r w:rsidR="006F6D60" w:rsidRPr="009D7400">
        <w:rPr>
          <w:rFonts w:ascii="Verdana" w:hAnsi="Verdana" w:cs="Arial"/>
        </w:rPr>
        <w:t>origen en un contrato celebrado por una entidad estatal</w:t>
      </w:r>
      <w:r w:rsidR="00697DF3">
        <w:rPr>
          <w:rFonts w:ascii="Verdana" w:hAnsi="Verdana" w:cs="Arial"/>
        </w:rPr>
        <w:t>. Es decir que, en</w:t>
      </w:r>
      <w:r w:rsidR="003133D3">
        <w:rPr>
          <w:rFonts w:ascii="Verdana" w:hAnsi="Verdana" w:cs="Arial"/>
        </w:rPr>
        <w:t xml:space="preserve"> asuntos relativos a la ejecución de esta clase de títulos ejecutivos</w:t>
      </w:r>
      <w:r w:rsidR="0039797B">
        <w:rPr>
          <w:rFonts w:ascii="Verdana" w:hAnsi="Verdana" w:cs="Arial"/>
        </w:rPr>
        <w:t xml:space="preserve">, habrá de establecerse si la ejecución de las obligaciones objeto de demanda se encuentran contenidas en el contrato estatal, o en las facturas emitidas con ocasión de su ejecución. </w:t>
      </w:r>
      <w:r w:rsidR="00405969">
        <w:rPr>
          <w:rFonts w:ascii="Verdana" w:hAnsi="Verdana" w:cs="Arial"/>
        </w:rPr>
        <w:t xml:space="preserve">La independencia y autonomía de dichos títulos demarcará la jurisdicción competente para su ejecución forzada. </w:t>
      </w:r>
      <w:r w:rsidR="0050599B">
        <w:rPr>
          <w:rFonts w:ascii="Verdana" w:hAnsi="Verdana" w:cs="Arial"/>
        </w:rPr>
        <w:t>S</w:t>
      </w:r>
      <w:r w:rsidR="00405969">
        <w:rPr>
          <w:rFonts w:ascii="Verdana" w:hAnsi="Verdana" w:cs="Arial"/>
        </w:rPr>
        <w:t xml:space="preserve">i </w:t>
      </w:r>
      <w:r w:rsidR="006F5024">
        <w:rPr>
          <w:rFonts w:ascii="Verdana" w:hAnsi="Verdana" w:cs="Arial"/>
        </w:rPr>
        <w:t>l</w:t>
      </w:r>
      <w:r w:rsidR="00405969">
        <w:rPr>
          <w:rFonts w:ascii="Verdana" w:hAnsi="Verdana" w:cs="Arial"/>
        </w:rPr>
        <w:t xml:space="preserve">as obligaciones </w:t>
      </w:r>
      <w:r w:rsidR="00BA278D">
        <w:rPr>
          <w:rFonts w:ascii="Verdana" w:hAnsi="Verdana" w:cs="Arial"/>
        </w:rPr>
        <w:t xml:space="preserve">no </w:t>
      </w:r>
      <w:r w:rsidR="00405969">
        <w:rPr>
          <w:rFonts w:ascii="Verdana" w:hAnsi="Verdana" w:cs="Arial"/>
        </w:rPr>
        <w:t xml:space="preserve">emanan directamente </w:t>
      </w:r>
      <w:r w:rsidR="00BA278D">
        <w:rPr>
          <w:rFonts w:ascii="Verdana" w:hAnsi="Verdana" w:cs="Arial"/>
          <w:u w:val="single"/>
        </w:rPr>
        <w:t>del contrato estatal,</w:t>
      </w:r>
      <w:r w:rsidR="00BA278D" w:rsidRPr="00BA278D">
        <w:rPr>
          <w:rFonts w:ascii="Verdana" w:hAnsi="Verdana" w:cs="Arial"/>
        </w:rPr>
        <w:t xml:space="preserve"> </w:t>
      </w:r>
      <w:r w:rsidR="00BA278D">
        <w:rPr>
          <w:rFonts w:ascii="Verdana" w:hAnsi="Verdana" w:cs="Arial"/>
        </w:rPr>
        <w:t>el asunto corresponderá a la jurisdicción ordinaria</w:t>
      </w:r>
      <w:r w:rsidR="006F5024">
        <w:rPr>
          <w:rFonts w:ascii="Verdana" w:hAnsi="Verdana" w:cs="Arial"/>
        </w:rPr>
        <w:t>.</w:t>
      </w:r>
    </w:p>
    <w:p w14:paraId="64959A14" w14:textId="77777777" w:rsidR="00697DF3" w:rsidRDefault="00697DF3" w:rsidP="00697DF3">
      <w:pPr>
        <w:spacing w:line="264" w:lineRule="auto"/>
        <w:jc w:val="both"/>
        <w:rPr>
          <w:rFonts w:ascii="Verdana" w:hAnsi="Verdana" w:cs="Arial"/>
        </w:rPr>
      </w:pPr>
    </w:p>
    <w:p w14:paraId="5A44D4C5" w14:textId="77777777" w:rsidR="00DA7D2A" w:rsidRPr="009D7400" w:rsidRDefault="00F54BD5" w:rsidP="009D7400">
      <w:pPr>
        <w:spacing w:line="264" w:lineRule="auto"/>
        <w:jc w:val="both"/>
        <w:rPr>
          <w:rFonts w:ascii="Verdana" w:hAnsi="Verdana" w:cs="Arial"/>
        </w:rPr>
      </w:pPr>
      <w:r>
        <w:rPr>
          <w:rFonts w:ascii="Verdana" w:hAnsi="Verdana" w:cs="Arial"/>
        </w:rPr>
        <w:t>D</w:t>
      </w:r>
      <w:r w:rsidR="006F6D60" w:rsidRPr="009D7400">
        <w:rPr>
          <w:rFonts w:ascii="Verdana" w:hAnsi="Verdana" w:cs="Arial"/>
        </w:rPr>
        <w:t>e una adecuada interpretación de</w:t>
      </w:r>
      <w:r>
        <w:rPr>
          <w:rFonts w:ascii="Verdana" w:hAnsi="Verdana" w:cs="Arial"/>
        </w:rPr>
        <w:t xml:space="preserve"> </w:t>
      </w:r>
      <w:r w:rsidR="006F6D60" w:rsidRPr="009D7400">
        <w:rPr>
          <w:rFonts w:ascii="Verdana" w:hAnsi="Verdana" w:cs="Arial"/>
        </w:rPr>
        <w:t>l</w:t>
      </w:r>
      <w:r>
        <w:rPr>
          <w:rFonts w:ascii="Verdana" w:hAnsi="Verdana" w:cs="Arial"/>
        </w:rPr>
        <w:t xml:space="preserve">as normas en cita, </w:t>
      </w:r>
      <w:r w:rsidR="006F6D60" w:rsidRPr="009D7400">
        <w:rPr>
          <w:rFonts w:ascii="Verdana" w:hAnsi="Verdana" w:cs="Arial"/>
        </w:rPr>
        <w:t xml:space="preserve">se tiene que la </w:t>
      </w:r>
      <w:r w:rsidR="0050599B">
        <w:rPr>
          <w:rFonts w:ascii="Verdana" w:hAnsi="Verdana" w:cs="Arial"/>
        </w:rPr>
        <w:t>j</w:t>
      </w:r>
      <w:r w:rsidR="006F6D60" w:rsidRPr="009D7400">
        <w:rPr>
          <w:rFonts w:ascii="Verdana" w:hAnsi="Verdana" w:cs="Arial"/>
        </w:rPr>
        <w:t xml:space="preserve">urisdicción de lo </w:t>
      </w:r>
      <w:r w:rsidR="0050599B">
        <w:rPr>
          <w:rFonts w:ascii="Verdana" w:hAnsi="Verdana" w:cs="Arial"/>
        </w:rPr>
        <w:t>c</w:t>
      </w:r>
      <w:r w:rsidR="006F6D60" w:rsidRPr="009D7400">
        <w:rPr>
          <w:rFonts w:ascii="Verdana" w:hAnsi="Verdana" w:cs="Arial"/>
        </w:rPr>
        <w:t xml:space="preserve">ontencioso </w:t>
      </w:r>
      <w:r w:rsidR="0050599B">
        <w:rPr>
          <w:rFonts w:ascii="Verdana" w:hAnsi="Verdana" w:cs="Arial"/>
        </w:rPr>
        <w:t>a</w:t>
      </w:r>
      <w:r w:rsidR="006F6D60" w:rsidRPr="009D7400">
        <w:rPr>
          <w:rFonts w:ascii="Verdana" w:hAnsi="Verdana" w:cs="Arial"/>
        </w:rPr>
        <w:t xml:space="preserve">dministrativo </w:t>
      </w:r>
      <w:r w:rsidR="0050599B">
        <w:rPr>
          <w:rFonts w:ascii="Verdana" w:hAnsi="Verdana" w:cs="Arial"/>
        </w:rPr>
        <w:t xml:space="preserve">conocerá de procesos ejecutivos </w:t>
      </w:r>
      <w:r w:rsidR="008E6279">
        <w:rPr>
          <w:rFonts w:ascii="Verdana" w:hAnsi="Verdana" w:cs="Arial"/>
        </w:rPr>
        <w:t xml:space="preserve">de carácter contractual </w:t>
      </w:r>
      <w:r w:rsidR="00DA7D2A" w:rsidRPr="009D7400">
        <w:rPr>
          <w:rFonts w:ascii="Verdana" w:hAnsi="Verdana" w:cs="Arial"/>
        </w:rPr>
        <w:t>cuando las obligaciones</w:t>
      </w:r>
      <w:r w:rsidR="00280126" w:rsidRPr="009D7400">
        <w:rPr>
          <w:rFonts w:ascii="Verdana" w:hAnsi="Verdana" w:cs="Arial"/>
        </w:rPr>
        <w:t xml:space="preserve"> crediticias</w:t>
      </w:r>
      <w:r w:rsidR="006F6D60" w:rsidRPr="009D7400">
        <w:rPr>
          <w:rFonts w:ascii="Verdana" w:hAnsi="Verdana" w:cs="Arial"/>
        </w:rPr>
        <w:t xml:space="preserve"> </w:t>
      </w:r>
      <w:r w:rsidR="00DA7D2A" w:rsidRPr="009D7400">
        <w:rPr>
          <w:rFonts w:ascii="Verdana" w:hAnsi="Verdana" w:cs="Arial"/>
        </w:rPr>
        <w:t>reclamadas tienen su fundamento en la misma relación contractual</w:t>
      </w:r>
      <w:r w:rsidR="008E6279">
        <w:rPr>
          <w:rFonts w:ascii="Verdana" w:hAnsi="Verdana" w:cs="Arial"/>
        </w:rPr>
        <w:t xml:space="preserve"> y se </w:t>
      </w:r>
      <w:r w:rsidR="00DA7D2A" w:rsidRPr="009D7400">
        <w:rPr>
          <w:rFonts w:ascii="Verdana" w:hAnsi="Verdana" w:cs="Arial"/>
        </w:rPr>
        <w:t>invo</w:t>
      </w:r>
      <w:r w:rsidR="008E6279">
        <w:rPr>
          <w:rFonts w:ascii="Verdana" w:hAnsi="Verdana" w:cs="Arial"/>
        </w:rPr>
        <w:t xml:space="preserve">que </w:t>
      </w:r>
      <w:r w:rsidR="00DA7D2A" w:rsidRPr="009D7400">
        <w:rPr>
          <w:rFonts w:ascii="Verdana" w:hAnsi="Verdana" w:cs="Arial"/>
        </w:rPr>
        <w:t>como título ejecutivo el contrato mismo</w:t>
      </w:r>
      <w:r w:rsidR="009907E4" w:rsidRPr="009D7400">
        <w:rPr>
          <w:rFonts w:ascii="Verdana" w:hAnsi="Verdana" w:cs="Arial"/>
        </w:rPr>
        <w:t>,</w:t>
      </w:r>
      <w:r w:rsidR="00DA7D2A" w:rsidRPr="009D7400">
        <w:rPr>
          <w:rFonts w:ascii="Verdana" w:hAnsi="Verdana" w:cs="Arial"/>
        </w:rPr>
        <w:t xml:space="preserve"> el acta de liquidación </w:t>
      </w:r>
      <w:r w:rsidR="008E6279">
        <w:rPr>
          <w:rFonts w:ascii="Verdana" w:hAnsi="Verdana" w:cs="Arial"/>
        </w:rPr>
        <w:t xml:space="preserve">o </w:t>
      </w:r>
      <w:r w:rsidR="00DA7D2A" w:rsidRPr="009D7400">
        <w:rPr>
          <w:rFonts w:ascii="Verdana" w:hAnsi="Verdana" w:cs="Arial"/>
        </w:rPr>
        <w:t>cualquier acto proferido con ocasión de la actividad contractual propiamente dicha</w:t>
      </w:r>
      <w:r w:rsidR="008E6279">
        <w:rPr>
          <w:rFonts w:ascii="Verdana" w:hAnsi="Verdana" w:cs="Arial"/>
        </w:rPr>
        <w:t xml:space="preserve"> -</w:t>
      </w:r>
      <w:r w:rsidR="00DA7D2A" w:rsidRPr="009D7400">
        <w:rPr>
          <w:rFonts w:ascii="Verdana" w:hAnsi="Verdana" w:cs="Arial"/>
        </w:rPr>
        <w:t>art</w:t>
      </w:r>
      <w:r w:rsidR="008E6279">
        <w:rPr>
          <w:rFonts w:ascii="Verdana" w:hAnsi="Verdana" w:cs="Arial"/>
        </w:rPr>
        <w:t xml:space="preserve">. </w:t>
      </w:r>
      <w:r w:rsidR="00DA7D2A" w:rsidRPr="009D7400">
        <w:rPr>
          <w:rFonts w:ascii="Verdana" w:hAnsi="Verdana" w:cs="Arial"/>
        </w:rPr>
        <w:t>297</w:t>
      </w:r>
      <w:r w:rsidR="008E6279">
        <w:rPr>
          <w:rFonts w:ascii="Verdana" w:hAnsi="Verdana" w:cs="Arial"/>
        </w:rPr>
        <w:t>.3</w:t>
      </w:r>
      <w:r w:rsidR="00DA7D2A" w:rsidRPr="009D7400">
        <w:rPr>
          <w:rFonts w:ascii="Verdana" w:hAnsi="Verdana" w:cs="Arial"/>
        </w:rPr>
        <w:t xml:space="preserve"> del CPACA</w:t>
      </w:r>
      <w:r w:rsidR="008E6279">
        <w:rPr>
          <w:rFonts w:ascii="Verdana" w:hAnsi="Verdana" w:cs="Arial"/>
        </w:rPr>
        <w:t>-.</w:t>
      </w:r>
    </w:p>
    <w:p w14:paraId="1DA36BCD" w14:textId="77777777" w:rsidR="00DA7D2A" w:rsidRPr="009D7400" w:rsidRDefault="00DA7D2A" w:rsidP="009D7400">
      <w:pPr>
        <w:spacing w:line="264" w:lineRule="auto"/>
        <w:jc w:val="both"/>
        <w:rPr>
          <w:rFonts w:ascii="Verdana" w:hAnsi="Verdana" w:cs="Arial"/>
        </w:rPr>
      </w:pPr>
    </w:p>
    <w:p w14:paraId="216B4FF9" w14:textId="77777777" w:rsidR="006B6094" w:rsidRPr="009D7400" w:rsidRDefault="00A9729F" w:rsidP="006B6094">
      <w:pPr>
        <w:spacing w:line="264" w:lineRule="auto"/>
        <w:jc w:val="both"/>
        <w:rPr>
          <w:rFonts w:ascii="Verdana" w:hAnsi="Verdana" w:cs="Arial"/>
        </w:rPr>
      </w:pPr>
      <w:r>
        <w:rPr>
          <w:rFonts w:ascii="Verdana" w:hAnsi="Verdana" w:cs="Arial"/>
        </w:rPr>
        <w:t>Al respecto, al resolver conflictos negativos de jurisdicción, la otrora Sala Jurisdiccional Disciplinaria de</w:t>
      </w:r>
      <w:r w:rsidR="006B6094" w:rsidRPr="009D7400">
        <w:rPr>
          <w:rFonts w:ascii="Verdana" w:hAnsi="Verdana" w:cs="Arial"/>
        </w:rPr>
        <w:t>l Consejo Superior de la Judicatura</w:t>
      </w:r>
      <w:r>
        <w:rPr>
          <w:rFonts w:ascii="Verdana" w:hAnsi="Verdana" w:cs="Arial"/>
        </w:rPr>
        <w:t xml:space="preserve"> manifestó en varias oportunidades que, </w:t>
      </w:r>
      <w:r w:rsidR="006B6094" w:rsidRPr="009D7400">
        <w:rPr>
          <w:rFonts w:ascii="Verdana" w:hAnsi="Verdana" w:cs="Arial"/>
        </w:rPr>
        <w:t xml:space="preserve">al ser las facturas de venta títulos ejecutivos autónomos, </w:t>
      </w:r>
      <w:r>
        <w:rPr>
          <w:rFonts w:ascii="Verdana" w:hAnsi="Verdana" w:cs="Arial"/>
        </w:rPr>
        <w:t xml:space="preserve">no </w:t>
      </w:r>
      <w:r w:rsidR="006B6094" w:rsidRPr="009D7400">
        <w:rPr>
          <w:rFonts w:ascii="Verdana" w:hAnsi="Verdana" w:cs="Arial"/>
        </w:rPr>
        <w:t>devienen de los contratos estatales suscritos entre las mismas partes</w:t>
      </w:r>
      <w:r w:rsidR="005C2FCD">
        <w:rPr>
          <w:rFonts w:ascii="Verdana" w:hAnsi="Verdana" w:cs="Arial"/>
        </w:rPr>
        <w:t>. En tal sentido, la jurisdicción ordinaria es la</w:t>
      </w:r>
      <w:r w:rsidR="006B6094" w:rsidRPr="009D7400">
        <w:rPr>
          <w:rFonts w:ascii="Verdana" w:hAnsi="Verdana" w:cs="Arial"/>
        </w:rPr>
        <w:t xml:space="preserve"> competente para conocer de </w:t>
      </w:r>
      <w:r w:rsidR="005C2FCD">
        <w:rPr>
          <w:rFonts w:ascii="Verdana" w:hAnsi="Verdana" w:cs="Arial"/>
        </w:rPr>
        <w:t>su ejecución.</w:t>
      </w:r>
      <w:r w:rsidR="006B6094" w:rsidRPr="009D7400">
        <w:rPr>
          <w:rFonts w:ascii="Verdana" w:hAnsi="Verdana" w:cs="Arial"/>
        </w:rPr>
        <w:t xml:space="preserve"> Al respecto, dicha Corporación señaló: </w:t>
      </w:r>
    </w:p>
    <w:p w14:paraId="2CE7B549" w14:textId="77777777" w:rsidR="006B6094" w:rsidRPr="009D7400" w:rsidRDefault="006B6094" w:rsidP="006B6094">
      <w:pPr>
        <w:spacing w:line="264" w:lineRule="auto"/>
        <w:jc w:val="both"/>
        <w:rPr>
          <w:rFonts w:ascii="Verdana" w:hAnsi="Verdana" w:cs="Arial"/>
        </w:rPr>
      </w:pPr>
    </w:p>
    <w:p w14:paraId="571587EE" w14:textId="77777777" w:rsidR="006B6094" w:rsidRPr="00F228D4" w:rsidRDefault="006B6094" w:rsidP="00F228D4">
      <w:pPr>
        <w:ind w:left="851" w:right="567"/>
        <w:jc w:val="both"/>
        <w:rPr>
          <w:rFonts w:ascii="Verdana" w:hAnsi="Verdana" w:cs="Arial"/>
          <w:iCs/>
          <w:sz w:val="20"/>
          <w:szCs w:val="20"/>
        </w:rPr>
      </w:pPr>
      <w:r w:rsidRPr="00F228D4">
        <w:rPr>
          <w:rFonts w:ascii="Verdana" w:hAnsi="Verdana" w:cs="Arial"/>
          <w:iCs/>
          <w:sz w:val="20"/>
          <w:szCs w:val="20"/>
        </w:rPr>
        <w:lastRenderedPageBreak/>
        <w:t>“L</w:t>
      </w:r>
      <w:r w:rsidR="00E9394B" w:rsidRPr="00F228D4">
        <w:rPr>
          <w:rFonts w:ascii="Verdana" w:hAnsi="Verdana" w:cs="Arial"/>
          <w:iCs/>
          <w:sz w:val="20"/>
          <w:szCs w:val="20"/>
        </w:rPr>
        <w:t xml:space="preserve">a demanda ejecutiva contra una Empresa Social del Estado para el cobro de facturas de venta que corresponden al suministro de insumos médicos y hospitalarios </w:t>
      </w:r>
      <w:r w:rsidR="00E9394B" w:rsidRPr="00F228D4">
        <w:rPr>
          <w:rFonts w:ascii="Verdana" w:hAnsi="Verdana" w:cs="Arial"/>
          <w:iCs/>
          <w:sz w:val="20"/>
          <w:szCs w:val="20"/>
          <w:u w:val="single"/>
        </w:rPr>
        <w:t xml:space="preserve">es competencia de la jurisdicción ordinaria. La base del recaudo ejecutivo no es una condena impuesta por la jurisdicción administrativa, no deviene de un contrato estatal, sino del cobro ejecutivo de títulos valores, en este caso facturas de venta, las cuales se asemejan para sus efectos legales a las letras de cambio. </w:t>
      </w:r>
      <w:r w:rsidR="00485EC3" w:rsidRPr="00F228D4">
        <w:rPr>
          <w:rFonts w:ascii="Verdana" w:hAnsi="Verdana" w:cs="Arial"/>
          <w:iCs/>
          <w:sz w:val="20"/>
          <w:szCs w:val="20"/>
          <w:u w:val="single"/>
        </w:rPr>
        <w:t>L</w:t>
      </w:r>
      <w:r w:rsidR="00E9394B" w:rsidRPr="00F228D4">
        <w:rPr>
          <w:rFonts w:ascii="Verdana" w:hAnsi="Verdana" w:cs="Arial"/>
          <w:iCs/>
          <w:sz w:val="20"/>
          <w:szCs w:val="20"/>
          <w:u w:val="single"/>
        </w:rPr>
        <w:t xml:space="preserve">os </w:t>
      </w:r>
      <w:r w:rsidR="00485EC3" w:rsidRPr="00F228D4">
        <w:rPr>
          <w:rFonts w:ascii="Verdana" w:hAnsi="Verdana" w:cs="Arial"/>
          <w:iCs/>
          <w:sz w:val="20"/>
          <w:szCs w:val="20"/>
          <w:u w:val="single"/>
        </w:rPr>
        <w:t>únicos</w:t>
      </w:r>
      <w:r w:rsidR="00E9394B" w:rsidRPr="00F228D4">
        <w:rPr>
          <w:rFonts w:ascii="Verdana" w:hAnsi="Verdana" w:cs="Arial"/>
          <w:iCs/>
          <w:sz w:val="20"/>
          <w:szCs w:val="20"/>
          <w:u w:val="single"/>
        </w:rPr>
        <w:t xml:space="preserve"> </w:t>
      </w:r>
      <w:r w:rsidR="00485EC3" w:rsidRPr="00F228D4">
        <w:rPr>
          <w:rFonts w:ascii="Verdana" w:hAnsi="Verdana" w:cs="Arial"/>
          <w:iCs/>
          <w:sz w:val="20"/>
          <w:szCs w:val="20"/>
          <w:u w:val="single"/>
        </w:rPr>
        <w:t>títulos</w:t>
      </w:r>
      <w:r w:rsidR="00E9394B" w:rsidRPr="00F228D4">
        <w:rPr>
          <w:rFonts w:ascii="Verdana" w:hAnsi="Verdana" w:cs="Arial"/>
          <w:iCs/>
          <w:sz w:val="20"/>
          <w:szCs w:val="20"/>
          <w:u w:val="single"/>
        </w:rPr>
        <w:t xml:space="preserve"> ejecutivos de competencia de la </w:t>
      </w:r>
      <w:r w:rsidR="00485EC3" w:rsidRPr="00F228D4">
        <w:rPr>
          <w:rFonts w:ascii="Verdana" w:hAnsi="Verdana" w:cs="Arial"/>
          <w:iCs/>
          <w:sz w:val="20"/>
          <w:szCs w:val="20"/>
          <w:u w:val="single"/>
        </w:rPr>
        <w:t>jurisdicción</w:t>
      </w:r>
      <w:r w:rsidR="00E9394B" w:rsidRPr="00F228D4">
        <w:rPr>
          <w:rFonts w:ascii="Verdana" w:hAnsi="Verdana" w:cs="Arial"/>
          <w:iCs/>
          <w:sz w:val="20"/>
          <w:szCs w:val="20"/>
          <w:u w:val="single"/>
        </w:rPr>
        <w:t xml:space="preserve"> contencioso administrativa son los señalados en el </w:t>
      </w:r>
      <w:r w:rsidR="00485EC3" w:rsidRPr="00F228D4">
        <w:rPr>
          <w:rFonts w:ascii="Verdana" w:hAnsi="Verdana" w:cs="Arial"/>
          <w:iCs/>
          <w:sz w:val="20"/>
          <w:szCs w:val="20"/>
          <w:u w:val="single"/>
        </w:rPr>
        <w:t>artículo</w:t>
      </w:r>
      <w:r w:rsidR="00E9394B" w:rsidRPr="00F228D4">
        <w:rPr>
          <w:rFonts w:ascii="Verdana" w:hAnsi="Verdana" w:cs="Arial"/>
          <w:iCs/>
          <w:sz w:val="20"/>
          <w:szCs w:val="20"/>
          <w:u w:val="single"/>
        </w:rPr>
        <w:t xml:space="preserve"> 297 del </w:t>
      </w:r>
      <w:r w:rsidR="00485EC3" w:rsidRPr="00F228D4">
        <w:rPr>
          <w:rFonts w:ascii="Verdana" w:hAnsi="Verdana" w:cs="Arial"/>
          <w:iCs/>
          <w:sz w:val="20"/>
          <w:szCs w:val="20"/>
          <w:u w:val="single"/>
        </w:rPr>
        <w:t>Código</w:t>
      </w:r>
      <w:r w:rsidR="00E9394B" w:rsidRPr="00F228D4">
        <w:rPr>
          <w:rFonts w:ascii="Verdana" w:hAnsi="Verdana" w:cs="Arial"/>
          <w:iCs/>
          <w:sz w:val="20"/>
          <w:szCs w:val="20"/>
          <w:u w:val="single"/>
        </w:rPr>
        <w:t xml:space="preserve"> de </w:t>
      </w:r>
      <w:r w:rsidR="00485EC3" w:rsidRPr="00F228D4">
        <w:rPr>
          <w:rFonts w:ascii="Verdana" w:hAnsi="Verdana" w:cs="Arial"/>
          <w:iCs/>
          <w:sz w:val="20"/>
          <w:szCs w:val="20"/>
          <w:u w:val="single"/>
        </w:rPr>
        <w:t>P</w:t>
      </w:r>
      <w:r w:rsidR="00E9394B" w:rsidRPr="00F228D4">
        <w:rPr>
          <w:rFonts w:ascii="Verdana" w:hAnsi="Verdana" w:cs="Arial"/>
          <w:iCs/>
          <w:sz w:val="20"/>
          <w:szCs w:val="20"/>
          <w:u w:val="single"/>
        </w:rPr>
        <w:t xml:space="preserve">rocedimiento </w:t>
      </w:r>
      <w:r w:rsidR="00485EC3" w:rsidRPr="00F228D4">
        <w:rPr>
          <w:rFonts w:ascii="Verdana" w:hAnsi="Verdana" w:cs="Arial"/>
          <w:iCs/>
          <w:sz w:val="20"/>
          <w:szCs w:val="20"/>
          <w:u w:val="single"/>
        </w:rPr>
        <w:t>A</w:t>
      </w:r>
      <w:r w:rsidR="00E9394B" w:rsidRPr="00F228D4">
        <w:rPr>
          <w:rFonts w:ascii="Verdana" w:hAnsi="Verdana" w:cs="Arial"/>
          <w:iCs/>
          <w:sz w:val="20"/>
          <w:szCs w:val="20"/>
          <w:u w:val="single"/>
        </w:rPr>
        <w:t xml:space="preserve">dministrativo y de lo </w:t>
      </w:r>
      <w:r w:rsidR="00485EC3" w:rsidRPr="00F228D4">
        <w:rPr>
          <w:rFonts w:ascii="Verdana" w:hAnsi="Verdana" w:cs="Arial"/>
          <w:iCs/>
          <w:sz w:val="20"/>
          <w:szCs w:val="20"/>
          <w:u w:val="single"/>
        </w:rPr>
        <w:t>C</w:t>
      </w:r>
      <w:r w:rsidR="00E9394B" w:rsidRPr="00F228D4">
        <w:rPr>
          <w:rFonts w:ascii="Verdana" w:hAnsi="Verdana" w:cs="Arial"/>
          <w:iCs/>
          <w:sz w:val="20"/>
          <w:szCs w:val="20"/>
          <w:u w:val="single"/>
        </w:rPr>
        <w:t xml:space="preserve">ontencioso </w:t>
      </w:r>
      <w:r w:rsidR="00485EC3" w:rsidRPr="00F228D4">
        <w:rPr>
          <w:rFonts w:ascii="Verdana" w:hAnsi="Verdana" w:cs="Arial"/>
          <w:iCs/>
          <w:sz w:val="20"/>
          <w:szCs w:val="20"/>
          <w:u w:val="single"/>
        </w:rPr>
        <w:t>A</w:t>
      </w:r>
      <w:r w:rsidR="00E9394B" w:rsidRPr="00F228D4">
        <w:rPr>
          <w:rFonts w:ascii="Verdana" w:hAnsi="Verdana" w:cs="Arial"/>
          <w:iCs/>
          <w:sz w:val="20"/>
          <w:szCs w:val="20"/>
          <w:u w:val="single"/>
        </w:rPr>
        <w:t>dministrativo</w:t>
      </w:r>
      <w:r w:rsidR="00E9394B" w:rsidRPr="00F228D4">
        <w:rPr>
          <w:rFonts w:ascii="Verdana" w:hAnsi="Verdana" w:cs="Arial"/>
          <w:iCs/>
          <w:sz w:val="20"/>
          <w:szCs w:val="20"/>
        </w:rPr>
        <w:t>.”</w:t>
      </w:r>
      <w:r w:rsidRPr="00F228D4">
        <w:rPr>
          <w:rFonts w:ascii="Verdana" w:eastAsia="Calibri" w:hAnsi="Verdana" w:cs="Arial"/>
          <w:bCs/>
          <w:iCs/>
          <w:sz w:val="20"/>
          <w:szCs w:val="20"/>
          <w:vertAlign w:val="superscript"/>
        </w:rPr>
        <w:footnoteReference w:id="2"/>
      </w:r>
    </w:p>
    <w:p w14:paraId="038B039C" w14:textId="77777777" w:rsidR="00F228D4" w:rsidRDefault="00F228D4" w:rsidP="00F228D4">
      <w:pPr>
        <w:spacing w:line="264" w:lineRule="auto"/>
        <w:jc w:val="both"/>
        <w:rPr>
          <w:rFonts w:ascii="Verdana" w:hAnsi="Verdana" w:cs="Arial"/>
        </w:rPr>
      </w:pPr>
    </w:p>
    <w:p w14:paraId="7796F091" w14:textId="77777777" w:rsidR="00F228D4" w:rsidRDefault="00F228D4" w:rsidP="00F228D4">
      <w:pPr>
        <w:spacing w:line="264" w:lineRule="auto"/>
        <w:jc w:val="both"/>
        <w:rPr>
          <w:rFonts w:ascii="Verdana" w:hAnsi="Verdana" w:cs="Arial"/>
        </w:rPr>
      </w:pPr>
    </w:p>
    <w:p w14:paraId="66E01466" w14:textId="0CCB8AC2" w:rsidR="00D35A39" w:rsidRDefault="002B6294" w:rsidP="00F228D4">
      <w:pPr>
        <w:spacing w:line="264" w:lineRule="auto"/>
        <w:jc w:val="both"/>
        <w:rPr>
          <w:rFonts w:ascii="Verdana" w:hAnsi="Verdana" w:cs="Arial"/>
        </w:rPr>
      </w:pPr>
      <w:r>
        <w:rPr>
          <w:rFonts w:ascii="Verdana" w:hAnsi="Verdana" w:cs="Arial"/>
        </w:rPr>
        <w:t>Recientemente, en providencia del 12 de agosto de 2020</w:t>
      </w:r>
      <w:r w:rsidR="00D35A39">
        <w:rPr>
          <w:rStyle w:val="Refdenotaalpie"/>
          <w:rFonts w:ascii="Verdana" w:hAnsi="Verdana" w:cs="Arial"/>
        </w:rPr>
        <w:footnoteReference w:id="3"/>
      </w:r>
      <w:r>
        <w:rPr>
          <w:rFonts w:ascii="Verdana" w:hAnsi="Verdana" w:cs="Arial"/>
        </w:rPr>
        <w:t xml:space="preserve">, la citada Corporación desató un conflicto negativo de </w:t>
      </w:r>
      <w:r w:rsidR="00F2271F">
        <w:rPr>
          <w:rFonts w:ascii="Verdana" w:hAnsi="Verdana" w:cs="Arial"/>
        </w:rPr>
        <w:t xml:space="preserve">jurisdicciones </w:t>
      </w:r>
      <w:r w:rsidR="007C56FF">
        <w:rPr>
          <w:rFonts w:ascii="Verdana" w:hAnsi="Verdana" w:cs="Arial"/>
        </w:rPr>
        <w:t xml:space="preserve">-ordinaria y de lo contencioso administrativo-, </w:t>
      </w:r>
      <w:r w:rsidR="001A716A">
        <w:rPr>
          <w:rFonts w:ascii="Verdana" w:hAnsi="Verdana" w:cs="Arial"/>
        </w:rPr>
        <w:t>de similares contornos</w:t>
      </w:r>
      <w:r w:rsidR="00EC6E6F">
        <w:rPr>
          <w:rFonts w:ascii="Verdana" w:hAnsi="Verdana" w:cs="Arial"/>
        </w:rPr>
        <w:t>. Allí recordó que</w:t>
      </w:r>
      <w:r w:rsidR="00853939">
        <w:rPr>
          <w:rFonts w:ascii="Verdana" w:hAnsi="Verdana" w:cs="Arial"/>
        </w:rPr>
        <w:t xml:space="preserve"> </w:t>
      </w:r>
      <w:r w:rsidR="00853939" w:rsidRPr="00853939">
        <w:rPr>
          <w:rFonts w:ascii="Verdana" w:hAnsi="Verdana" w:cs="Arial"/>
          <w:i/>
          <w:iCs/>
          <w:sz w:val="22"/>
          <w:szCs w:val="22"/>
        </w:rPr>
        <w:t>“</w:t>
      </w:r>
      <w:r w:rsidR="00853939" w:rsidRPr="00853939">
        <w:rPr>
          <w:rFonts w:ascii="Verdana" w:hAnsi="Verdana" w:cs="Arial"/>
          <w:i/>
          <w:iCs/>
          <w:sz w:val="22"/>
          <w:szCs w:val="22"/>
          <w:lang w:val="es-CO"/>
        </w:rPr>
        <w:t>el elemento determinador del juez natural en el presente asunto, no puede ser otro que el propio documento que se quiere hacer valer como título valor</w:t>
      </w:r>
      <w:r w:rsidR="0050795C">
        <w:rPr>
          <w:rFonts w:ascii="Verdana" w:hAnsi="Verdana" w:cs="Arial"/>
          <w:i/>
          <w:iCs/>
          <w:sz w:val="22"/>
          <w:szCs w:val="22"/>
          <w:lang w:val="es-CO"/>
        </w:rPr>
        <w:t xml:space="preserve"> (…)</w:t>
      </w:r>
      <w:r w:rsidR="00853939" w:rsidRPr="00853939">
        <w:rPr>
          <w:rFonts w:ascii="Verdana" w:hAnsi="Verdana" w:cs="Arial"/>
          <w:i/>
          <w:iCs/>
          <w:sz w:val="22"/>
          <w:szCs w:val="22"/>
        </w:rPr>
        <w:t>”</w:t>
      </w:r>
      <w:r w:rsidR="0050795C">
        <w:rPr>
          <w:rFonts w:ascii="Verdana" w:hAnsi="Verdana" w:cs="Arial"/>
          <w:i/>
          <w:iCs/>
          <w:sz w:val="22"/>
          <w:szCs w:val="22"/>
        </w:rPr>
        <w:t>.</w:t>
      </w:r>
      <w:r w:rsidR="0050795C" w:rsidRPr="0050795C">
        <w:rPr>
          <w:rFonts w:ascii="Verdana" w:hAnsi="Verdana" w:cs="Arial"/>
          <w:i/>
          <w:iCs/>
        </w:rPr>
        <w:t xml:space="preserve"> </w:t>
      </w:r>
      <w:r w:rsidR="0050795C" w:rsidRPr="0050795C">
        <w:rPr>
          <w:rFonts w:ascii="Verdana" w:hAnsi="Verdana" w:cs="Arial"/>
        </w:rPr>
        <w:t>En tal sentido, concluyó que</w:t>
      </w:r>
      <w:r w:rsidR="0050795C">
        <w:rPr>
          <w:rFonts w:ascii="Verdana" w:hAnsi="Verdana" w:cs="Arial"/>
        </w:rPr>
        <w:t xml:space="preserve"> cuando se aducen como título ejecuto facturas cambiarias, </w:t>
      </w:r>
      <w:r w:rsidR="00730EE7">
        <w:rPr>
          <w:rFonts w:ascii="Verdana" w:hAnsi="Verdana" w:cs="Arial"/>
        </w:rPr>
        <w:t xml:space="preserve">su ejecución </w:t>
      </w:r>
      <w:r w:rsidR="0050795C">
        <w:rPr>
          <w:rFonts w:ascii="Verdana" w:hAnsi="Verdana" w:cs="Arial"/>
        </w:rPr>
        <w:t>compete a la jurisdicción ordinaria. Ello, porque</w:t>
      </w:r>
      <w:r w:rsidR="003D5D9F">
        <w:rPr>
          <w:rFonts w:ascii="Verdana" w:hAnsi="Verdana" w:cs="Arial"/>
        </w:rPr>
        <w:t xml:space="preserve"> como lo establece el artículo 619 del Código de Comercio,</w:t>
      </w:r>
      <w:r w:rsidR="0050795C">
        <w:rPr>
          <w:rFonts w:ascii="Verdana" w:hAnsi="Verdana" w:cs="Arial"/>
        </w:rPr>
        <w:t xml:space="preserve"> </w:t>
      </w:r>
      <w:r w:rsidR="003D5D9F">
        <w:rPr>
          <w:rFonts w:ascii="Verdana" w:hAnsi="Verdana" w:cs="Arial"/>
        </w:rPr>
        <w:t xml:space="preserve">la literalidad y autonomía de </w:t>
      </w:r>
      <w:r w:rsidR="0050795C">
        <w:rPr>
          <w:rFonts w:ascii="Verdana" w:hAnsi="Verdana" w:cs="Arial"/>
        </w:rPr>
        <w:t xml:space="preserve">tales títulos valores </w:t>
      </w:r>
      <w:r w:rsidR="003D5D9F">
        <w:rPr>
          <w:rFonts w:ascii="Verdana" w:hAnsi="Verdana" w:cs="Arial"/>
        </w:rPr>
        <w:t xml:space="preserve">permite su ejecución </w:t>
      </w:r>
      <w:r w:rsidR="005E2369">
        <w:rPr>
          <w:rFonts w:ascii="Verdana" w:hAnsi="Verdana" w:cs="Arial"/>
        </w:rPr>
        <w:t>independiente</w:t>
      </w:r>
      <w:r w:rsidR="003D5D9F">
        <w:rPr>
          <w:rFonts w:ascii="Verdana" w:hAnsi="Verdana" w:cs="Arial"/>
        </w:rPr>
        <w:t>.</w:t>
      </w:r>
      <w:r w:rsidR="00247C3C">
        <w:rPr>
          <w:rFonts w:ascii="Verdana" w:hAnsi="Verdana" w:cs="Arial"/>
        </w:rPr>
        <w:t xml:space="preserve"> </w:t>
      </w:r>
      <w:r w:rsidR="0046554C">
        <w:rPr>
          <w:rFonts w:ascii="Verdana" w:hAnsi="Verdana" w:cs="Arial"/>
        </w:rPr>
        <w:t>S</w:t>
      </w:r>
      <w:r w:rsidR="00A40D1A">
        <w:rPr>
          <w:rFonts w:ascii="Verdana" w:hAnsi="Verdana" w:cs="Arial"/>
        </w:rPr>
        <w:t>u contenido</w:t>
      </w:r>
      <w:r w:rsidR="0046554C">
        <w:rPr>
          <w:rFonts w:ascii="Verdana" w:hAnsi="Verdana" w:cs="Arial"/>
        </w:rPr>
        <w:t xml:space="preserve"> y</w:t>
      </w:r>
      <w:r w:rsidR="00A40D1A">
        <w:rPr>
          <w:rFonts w:ascii="Verdana" w:hAnsi="Verdana" w:cs="Arial"/>
        </w:rPr>
        <w:t xml:space="preserve"> la obligación literal que en ellos se consigna, </w:t>
      </w:r>
      <w:r w:rsidR="0046554C">
        <w:rPr>
          <w:rFonts w:ascii="Verdana" w:hAnsi="Verdana" w:cs="Arial"/>
        </w:rPr>
        <w:t xml:space="preserve">es </w:t>
      </w:r>
      <w:r w:rsidR="00A40D1A">
        <w:rPr>
          <w:rFonts w:ascii="Verdana" w:hAnsi="Verdana" w:cs="Arial"/>
        </w:rPr>
        <w:t>lo que posibilita el ejercicio de la acción cambiaria</w:t>
      </w:r>
      <w:r w:rsidR="00180984">
        <w:rPr>
          <w:rFonts w:ascii="Verdana" w:hAnsi="Verdana" w:cs="Arial"/>
        </w:rPr>
        <w:t>,</w:t>
      </w:r>
      <w:r w:rsidR="0046554C">
        <w:rPr>
          <w:rFonts w:ascii="Verdana" w:hAnsi="Verdana" w:cs="Arial"/>
        </w:rPr>
        <w:t xml:space="preserve"> al margen de la relación contractual.</w:t>
      </w:r>
      <w:r w:rsidR="003D5D9F">
        <w:rPr>
          <w:rFonts w:ascii="Verdana" w:hAnsi="Verdana" w:cs="Arial"/>
        </w:rPr>
        <w:t xml:space="preserve"> </w:t>
      </w:r>
    </w:p>
    <w:p w14:paraId="3D7B720F" w14:textId="77777777" w:rsidR="00A27E8B" w:rsidRDefault="00A27E8B" w:rsidP="00F228D4">
      <w:pPr>
        <w:spacing w:line="264" w:lineRule="auto"/>
        <w:jc w:val="both"/>
        <w:rPr>
          <w:rFonts w:ascii="Verdana" w:hAnsi="Verdana" w:cs="Arial"/>
        </w:rPr>
      </w:pPr>
    </w:p>
    <w:p w14:paraId="43D37D98" w14:textId="77777777" w:rsidR="00A27E8B" w:rsidRPr="009D7400" w:rsidRDefault="00180984" w:rsidP="00F228D4">
      <w:pPr>
        <w:spacing w:line="264" w:lineRule="auto"/>
        <w:jc w:val="both"/>
        <w:rPr>
          <w:rFonts w:ascii="Verdana" w:hAnsi="Verdana" w:cs="Arial"/>
        </w:rPr>
      </w:pPr>
      <w:r>
        <w:rPr>
          <w:rFonts w:ascii="Verdana" w:hAnsi="Verdana" w:cs="Arial"/>
        </w:rPr>
        <w:t xml:space="preserve">A su turno, la Sala Plena de la Corte Suprema de Justicia ha adoptado el anterior criterio y ha unificado su postura en el sentido de señalar que, en aquellos eventos en que </w:t>
      </w:r>
      <w:r w:rsidR="00A27E8B" w:rsidRPr="009D7400">
        <w:rPr>
          <w:rFonts w:ascii="Verdana" w:hAnsi="Verdana" w:cs="Arial"/>
        </w:rPr>
        <w:t xml:space="preserve">las facturas allegadas como título ejecutivo tienen origen en la prestación de servicios de salud, la competencia para conocer de </w:t>
      </w:r>
      <w:r w:rsidR="008470B6">
        <w:rPr>
          <w:rFonts w:ascii="Verdana" w:hAnsi="Verdana" w:cs="Arial"/>
        </w:rPr>
        <w:t xml:space="preserve">su ejecución radica </w:t>
      </w:r>
      <w:r w:rsidR="00A27E8B" w:rsidRPr="009D7400">
        <w:rPr>
          <w:rFonts w:ascii="Verdana" w:hAnsi="Verdana" w:cs="Arial"/>
        </w:rPr>
        <w:t xml:space="preserve">en la </w:t>
      </w:r>
      <w:r w:rsidR="008470B6">
        <w:rPr>
          <w:rFonts w:ascii="Verdana" w:hAnsi="Verdana" w:cs="Arial"/>
        </w:rPr>
        <w:t>j</w:t>
      </w:r>
      <w:r w:rsidR="00A27E8B" w:rsidRPr="009D7400">
        <w:rPr>
          <w:rFonts w:ascii="Verdana" w:hAnsi="Verdana" w:cs="Arial"/>
        </w:rPr>
        <w:t>urisdicción ordinaria en su especialidad civil.</w:t>
      </w:r>
      <w:r w:rsidR="008470B6">
        <w:rPr>
          <w:rFonts w:ascii="Verdana" w:hAnsi="Verdana" w:cs="Arial"/>
        </w:rPr>
        <w:t xml:space="preserve"> La Corporación </w:t>
      </w:r>
      <w:r w:rsidR="00E505CE">
        <w:rPr>
          <w:rFonts w:ascii="Verdana" w:hAnsi="Verdana" w:cs="Arial"/>
        </w:rPr>
        <w:t>señal</w:t>
      </w:r>
      <w:r w:rsidR="008470B6">
        <w:rPr>
          <w:rFonts w:ascii="Verdana" w:hAnsi="Verdana" w:cs="Arial"/>
        </w:rPr>
        <w:t>ó</w:t>
      </w:r>
      <w:r w:rsidR="000F1E37">
        <w:rPr>
          <w:rFonts w:ascii="Verdana" w:hAnsi="Verdana" w:cs="Arial"/>
        </w:rPr>
        <w:t xml:space="preserve"> que dentro de Sistema de Seguridad Social </w:t>
      </w:r>
      <w:r w:rsidR="00AB0814">
        <w:rPr>
          <w:rFonts w:ascii="Verdana" w:hAnsi="Verdana" w:cs="Arial"/>
        </w:rPr>
        <w:t xml:space="preserve">se estructuran distintos tipos de relaciones entre sus actores, una de ellas </w:t>
      </w:r>
      <w:r w:rsidR="00AB0814">
        <w:rPr>
          <w:rFonts w:ascii="Verdana" w:hAnsi="Verdana" w:cs="Arial"/>
          <w:i/>
          <w:iCs/>
        </w:rPr>
        <w:t>“</w:t>
      </w:r>
      <w:r w:rsidR="00AB0814" w:rsidRPr="00AB0814">
        <w:rPr>
          <w:rFonts w:ascii="Verdana" w:hAnsi="Verdana" w:cs="Arial"/>
          <w:i/>
          <w:iCs/>
          <w:sz w:val="22"/>
          <w:szCs w:val="22"/>
        </w:rPr>
        <w:t>de raigambre netamente civil o comercial, producto de la forma contractual o extracontractual como dichas entidades se obligan a prestar el servicio</w:t>
      </w:r>
      <w:r w:rsidR="00AB0814" w:rsidRPr="00AB0814">
        <w:rPr>
          <w:rFonts w:ascii="Verdana" w:hAnsi="Verdana" w:cs="Arial"/>
          <w:i/>
          <w:iCs/>
        </w:rPr>
        <w:t>”</w:t>
      </w:r>
      <w:r w:rsidR="00594401">
        <w:rPr>
          <w:rFonts w:ascii="Verdana" w:hAnsi="Verdana" w:cs="Arial"/>
          <w:i/>
          <w:iCs/>
        </w:rPr>
        <w:t xml:space="preserve">, </w:t>
      </w:r>
      <w:r w:rsidR="00594401">
        <w:rPr>
          <w:rFonts w:ascii="Verdana" w:hAnsi="Verdana" w:cs="Arial"/>
        </w:rPr>
        <w:t>dentro de la cual pueden utilizar como instrumento garante de las obligaciones pactadas</w:t>
      </w:r>
      <w:r w:rsidR="002C32FA">
        <w:rPr>
          <w:rFonts w:ascii="Verdana" w:hAnsi="Verdana" w:cs="Arial"/>
        </w:rPr>
        <w:t>, títulos valores de contenido crediticio, tales como las facturas cambiarias</w:t>
      </w:r>
      <w:r w:rsidR="00DF66F9">
        <w:rPr>
          <w:rFonts w:ascii="Verdana" w:hAnsi="Verdana" w:cs="Arial"/>
        </w:rPr>
        <w:t>. En virtud de ello, destacó</w:t>
      </w:r>
      <w:r w:rsidR="00E505CE">
        <w:rPr>
          <w:rFonts w:ascii="Verdana" w:hAnsi="Verdana" w:cs="Arial"/>
        </w:rPr>
        <w:t>:</w:t>
      </w:r>
      <w:r w:rsidR="00A27E8B" w:rsidRPr="009D7400">
        <w:rPr>
          <w:rFonts w:ascii="Verdana" w:hAnsi="Verdana" w:cs="Arial"/>
        </w:rPr>
        <w:t xml:space="preserve"> </w:t>
      </w:r>
    </w:p>
    <w:p w14:paraId="23860963" w14:textId="77777777" w:rsidR="00A27E8B" w:rsidRDefault="00A27E8B" w:rsidP="00F228D4">
      <w:pPr>
        <w:spacing w:line="264" w:lineRule="auto"/>
        <w:jc w:val="both"/>
        <w:rPr>
          <w:rFonts w:ascii="Verdana" w:hAnsi="Verdana" w:cs="Arial"/>
        </w:rPr>
      </w:pPr>
    </w:p>
    <w:p w14:paraId="1B36CCA3" w14:textId="58EC9EC6" w:rsidR="00A27E8B" w:rsidRPr="00760E4A" w:rsidRDefault="00A27E8B" w:rsidP="00760E4A">
      <w:pPr>
        <w:ind w:left="851" w:right="567"/>
        <w:jc w:val="both"/>
        <w:rPr>
          <w:rFonts w:ascii="Verdana" w:hAnsi="Verdana" w:cs="Arial"/>
          <w:iCs/>
          <w:sz w:val="20"/>
          <w:szCs w:val="20"/>
        </w:rPr>
      </w:pPr>
      <w:r w:rsidRPr="00760E4A">
        <w:rPr>
          <w:rFonts w:ascii="Verdana" w:hAnsi="Verdana" w:cs="Arial"/>
          <w:iCs/>
          <w:sz w:val="20"/>
          <w:szCs w:val="20"/>
        </w:rPr>
        <w:lastRenderedPageBreak/>
        <w:t>“</w:t>
      </w:r>
      <w:r w:rsidR="00DF66F9" w:rsidRPr="00760E4A">
        <w:rPr>
          <w:rFonts w:ascii="Verdana" w:hAnsi="Verdana" w:cs="Arial"/>
          <w:iCs/>
          <w:sz w:val="20"/>
          <w:szCs w:val="20"/>
        </w:rPr>
        <w:t>(…)</w:t>
      </w:r>
      <w:r w:rsidRPr="00760E4A">
        <w:rPr>
          <w:rFonts w:ascii="Verdana" w:hAnsi="Verdana" w:cs="Arial"/>
          <w:iCs/>
          <w:sz w:val="20"/>
          <w:szCs w:val="20"/>
        </w:rPr>
        <w:t>, es evidente que como la obligación cuyo cumplimiento aquí se demanda corresponde a este último tipo de relación, pues surgió entre la Entidad Promotora de Salud Cafesalud S.A, y la Prestadora del servicio Hospital Universitario de Bucaramanga, la cual se garantizó con un título valor (factura), de contenido eminentemente comercial, la competencia para conocer de la demanda ejecutiva, teniendo en cuenta las consideraciones precedentes, radica en la jurisdicción ordinaria en su especialidad civil”</w:t>
      </w:r>
      <w:r w:rsidR="001261D7">
        <w:rPr>
          <w:rFonts w:ascii="Verdana" w:hAnsi="Verdana" w:cs="Arial"/>
          <w:iCs/>
          <w:sz w:val="20"/>
          <w:szCs w:val="20"/>
        </w:rPr>
        <w:t>.</w:t>
      </w:r>
      <w:r w:rsidRPr="00760E4A">
        <w:rPr>
          <w:rFonts w:ascii="Verdana" w:eastAsia="Calibri" w:hAnsi="Verdana" w:cs="Arial"/>
          <w:bCs/>
          <w:iCs/>
          <w:sz w:val="20"/>
          <w:szCs w:val="20"/>
          <w:vertAlign w:val="superscript"/>
        </w:rPr>
        <w:footnoteReference w:id="4"/>
      </w:r>
    </w:p>
    <w:p w14:paraId="20555412" w14:textId="77777777" w:rsidR="00A27E8B" w:rsidRDefault="00A27E8B" w:rsidP="00760E4A">
      <w:pPr>
        <w:spacing w:line="264" w:lineRule="auto"/>
        <w:jc w:val="both"/>
        <w:rPr>
          <w:rFonts w:ascii="Verdana" w:hAnsi="Verdana" w:cs="Arial"/>
        </w:rPr>
      </w:pPr>
    </w:p>
    <w:p w14:paraId="1825C971" w14:textId="77777777" w:rsidR="001261D7" w:rsidRDefault="001261D7" w:rsidP="00760E4A">
      <w:pPr>
        <w:spacing w:line="264" w:lineRule="auto"/>
        <w:jc w:val="both"/>
        <w:rPr>
          <w:rFonts w:ascii="Verdana" w:hAnsi="Verdana" w:cs="Arial"/>
        </w:rPr>
      </w:pPr>
    </w:p>
    <w:p w14:paraId="496FEEBC" w14:textId="2F0EC00D" w:rsidR="002073F5" w:rsidRDefault="006B6094" w:rsidP="00760E4A">
      <w:pPr>
        <w:spacing w:line="264" w:lineRule="auto"/>
        <w:jc w:val="both"/>
        <w:rPr>
          <w:rFonts w:ascii="Verdana" w:hAnsi="Verdana" w:cs="Arial"/>
        </w:rPr>
      </w:pPr>
      <w:r w:rsidRPr="009D7400">
        <w:rPr>
          <w:rFonts w:ascii="Verdana" w:hAnsi="Verdana" w:cs="Arial"/>
        </w:rPr>
        <w:t>Así las cosas, se tiene que la jurisdicción</w:t>
      </w:r>
      <w:r w:rsidR="00A27E8B">
        <w:rPr>
          <w:rFonts w:ascii="Verdana" w:hAnsi="Verdana" w:cs="Arial"/>
        </w:rPr>
        <w:t xml:space="preserve"> ordinaria es la</w:t>
      </w:r>
      <w:r w:rsidRPr="009D7400">
        <w:rPr>
          <w:rFonts w:ascii="Verdana" w:hAnsi="Verdana" w:cs="Arial"/>
        </w:rPr>
        <w:t xml:space="preserve"> competente para conocer de los procesos ejecutivos cuyo fundamento se encuentra dado por títulos valores</w:t>
      </w:r>
      <w:r w:rsidR="0046554C">
        <w:rPr>
          <w:rFonts w:ascii="Verdana" w:hAnsi="Verdana" w:cs="Arial"/>
        </w:rPr>
        <w:t xml:space="preserve"> tales </w:t>
      </w:r>
      <w:r w:rsidRPr="009D7400">
        <w:rPr>
          <w:rFonts w:ascii="Verdana" w:hAnsi="Verdana" w:cs="Arial"/>
        </w:rPr>
        <w:t>como factura</w:t>
      </w:r>
      <w:r w:rsidR="0046554C">
        <w:rPr>
          <w:rFonts w:ascii="Verdana" w:hAnsi="Verdana" w:cs="Arial"/>
        </w:rPr>
        <w:t>s cambiarias</w:t>
      </w:r>
      <w:r w:rsidR="002073F5">
        <w:rPr>
          <w:rFonts w:ascii="Verdana" w:hAnsi="Verdana" w:cs="Arial"/>
        </w:rPr>
        <w:t>, máxime si las pretensiones de la demanda giran en torno a su ejecución y no a la del contrato como tal. Así lo reiteró la Sala Jurisdiccional Disciplinaria del Consejo Superior de la Judicatura al con</w:t>
      </w:r>
      <w:r w:rsidR="00491305">
        <w:rPr>
          <w:rFonts w:ascii="Verdana" w:hAnsi="Verdana" w:cs="Arial"/>
        </w:rPr>
        <w:t>c</w:t>
      </w:r>
      <w:r w:rsidR="002073F5">
        <w:rPr>
          <w:rFonts w:ascii="Verdana" w:hAnsi="Verdana" w:cs="Arial"/>
        </w:rPr>
        <w:t xml:space="preserve">luir que </w:t>
      </w:r>
      <w:r w:rsidR="002073F5" w:rsidRPr="002073F5">
        <w:rPr>
          <w:rFonts w:ascii="Verdana" w:hAnsi="Verdana" w:cs="Arial"/>
          <w:i/>
          <w:iCs/>
          <w:sz w:val="22"/>
          <w:szCs w:val="22"/>
        </w:rPr>
        <w:t>“</w:t>
      </w:r>
      <w:r w:rsidR="00491305">
        <w:rPr>
          <w:rFonts w:ascii="Verdana" w:hAnsi="Verdana" w:cs="Arial"/>
          <w:i/>
          <w:iCs/>
          <w:sz w:val="22"/>
          <w:szCs w:val="22"/>
        </w:rPr>
        <w:t xml:space="preserve">(…) </w:t>
      </w:r>
      <w:r w:rsidR="00491305" w:rsidRPr="002073F5">
        <w:rPr>
          <w:rFonts w:ascii="Verdana" w:hAnsi="Verdana" w:cs="Arial"/>
          <w:i/>
          <w:iCs/>
          <w:sz w:val="22"/>
          <w:szCs w:val="22"/>
          <w:lang w:val="es-ES_tradnl"/>
        </w:rPr>
        <w:t xml:space="preserve">son tramitables ante la Jurisdicción Contenciosa Administrativa sólo los procesos ejecutivos, cuando los títulos ejecutivos se deriven de las obligaciones contenidas en contratos estatales, agregando además las situaciones contenidas en el inciso 6 del artículo 104 de ley 1437 de 2011, </w:t>
      </w:r>
      <w:r w:rsidR="00491305" w:rsidRPr="002073F5">
        <w:rPr>
          <w:rFonts w:ascii="Verdana" w:hAnsi="Verdana" w:cs="Arial"/>
          <w:i/>
          <w:iCs/>
          <w:sz w:val="22"/>
          <w:szCs w:val="22"/>
          <w:u w:val="single"/>
          <w:lang w:val="es-ES_tradnl"/>
        </w:rPr>
        <w:t>las cuales tampoco corresponde a las pretensiones de la demanda como fuentes de la obligación perseguida en esta oportunidad</w:t>
      </w:r>
      <w:r w:rsidR="00491305" w:rsidRPr="002073F5">
        <w:rPr>
          <w:rFonts w:ascii="Verdana" w:hAnsi="Verdana" w:cs="Arial"/>
          <w:i/>
          <w:iCs/>
          <w:sz w:val="22"/>
          <w:szCs w:val="22"/>
          <w:lang w:val="es-ES_tradnl"/>
        </w:rPr>
        <w:t>.</w:t>
      </w:r>
      <w:r w:rsidR="002073F5" w:rsidRPr="002073F5">
        <w:rPr>
          <w:rFonts w:ascii="Verdana" w:hAnsi="Verdana" w:cs="Arial"/>
          <w:i/>
          <w:iCs/>
          <w:sz w:val="22"/>
          <w:szCs w:val="22"/>
        </w:rPr>
        <w:t>”</w:t>
      </w:r>
      <w:r w:rsidR="00491305">
        <w:rPr>
          <w:rStyle w:val="Refdenotaalpie"/>
          <w:rFonts w:ascii="Verdana" w:hAnsi="Verdana" w:cs="Arial"/>
          <w:i/>
          <w:iCs/>
          <w:sz w:val="22"/>
          <w:szCs w:val="22"/>
        </w:rPr>
        <w:footnoteReference w:id="5"/>
      </w:r>
    </w:p>
    <w:p w14:paraId="66267251" w14:textId="77777777" w:rsidR="002073F5" w:rsidRDefault="002073F5" w:rsidP="00760E4A">
      <w:pPr>
        <w:spacing w:line="264" w:lineRule="auto"/>
        <w:jc w:val="both"/>
        <w:rPr>
          <w:rFonts w:ascii="Verdana" w:hAnsi="Verdana" w:cs="Arial"/>
        </w:rPr>
      </w:pPr>
    </w:p>
    <w:p w14:paraId="6BFC8D53" w14:textId="77777777" w:rsidR="006B6094" w:rsidRPr="009D7400" w:rsidRDefault="006B6094" w:rsidP="00760E4A">
      <w:pPr>
        <w:spacing w:line="264" w:lineRule="auto"/>
        <w:jc w:val="both"/>
        <w:rPr>
          <w:rFonts w:ascii="Verdana" w:hAnsi="Verdana" w:cs="Arial"/>
        </w:rPr>
      </w:pPr>
    </w:p>
    <w:p w14:paraId="52C6ABAD" w14:textId="77777777" w:rsidR="006B6094" w:rsidRPr="006B6094" w:rsidRDefault="006B6094" w:rsidP="00760E4A">
      <w:pPr>
        <w:spacing w:line="264" w:lineRule="auto"/>
        <w:jc w:val="both"/>
        <w:rPr>
          <w:rFonts w:ascii="Verdana" w:hAnsi="Verdana" w:cs="Arial"/>
          <w:b/>
          <w:bCs/>
          <w:u w:val="single"/>
        </w:rPr>
      </w:pPr>
      <w:r w:rsidRPr="006B6094">
        <w:rPr>
          <w:rFonts w:ascii="Verdana" w:hAnsi="Verdana" w:cs="Arial"/>
          <w:b/>
          <w:bCs/>
          <w:u w:val="single"/>
        </w:rPr>
        <w:t>CASO CONCRETO</w:t>
      </w:r>
    </w:p>
    <w:p w14:paraId="2AB4F5DF" w14:textId="77777777" w:rsidR="006B6094" w:rsidRDefault="006B6094" w:rsidP="00760E4A">
      <w:pPr>
        <w:spacing w:line="264" w:lineRule="auto"/>
        <w:jc w:val="both"/>
        <w:rPr>
          <w:rFonts w:ascii="Verdana" w:hAnsi="Verdana" w:cs="Arial"/>
        </w:rPr>
      </w:pPr>
    </w:p>
    <w:p w14:paraId="7B4946AC" w14:textId="77777777" w:rsidR="00BD1D09" w:rsidRDefault="00DA7D2A" w:rsidP="00760E4A">
      <w:pPr>
        <w:spacing w:line="264" w:lineRule="auto"/>
        <w:jc w:val="both"/>
        <w:rPr>
          <w:rFonts w:ascii="Verdana" w:hAnsi="Verdana" w:cs="Arial"/>
          <w:lang w:val="es-MX"/>
        </w:rPr>
      </w:pPr>
      <w:r w:rsidRPr="009D7400">
        <w:rPr>
          <w:rFonts w:ascii="Verdana" w:hAnsi="Verdana" w:cs="Arial"/>
        </w:rPr>
        <w:t xml:space="preserve">Para el caso en estudio, </w:t>
      </w:r>
      <w:r w:rsidR="00BD1D09">
        <w:rPr>
          <w:rFonts w:ascii="Verdana" w:hAnsi="Verdana" w:cs="Arial"/>
        </w:rPr>
        <w:t xml:space="preserve">en los hechos </w:t>
      </w:r>
      <w:r w:rsidR="008823BB">
        <w:rPr>
          <w:rFonts w:ascii="Verdana" w:hAnsi="Verdana" w:cs="Arial"/>
          <w:lang w:val="es-MX"/>
        </w:rPr>
        <w:t>PRIMERO a SÉPTIMO</w:t>
      </w:r>
      <w:r w:rsidR="008823BB">
        <w:rPr>
          <w:rFonts w:ascii="Verdana" w:hAnsi="Verdana" w:cs="Arial"/>
        </w:rPr>
        <w:t xml:space="preserve"> </w:t>
      </w:r>
      <w:r w:rsidR="00BD1D09">
        <w:rPr>
          <w:rFonts w:ascii="Verdana" w:hAnsi="Verdana" w:cs="Arial"/>
        </w:rPr>
        <w:t>de la demanda</w:t>
      </w:r>
      <w:r w:rsidR="004963BF">
        <w:rPr>
          <w:rFonts w:ascii="Verdana" w:hAnsi="Verdana" w:cs="Arial"/>
        </w:rPr>
        <w:t xml:space="preserve"> se verifica que</w:t>
      </w:r>
      <w:r w:rsidR="00BD1D09">
        <w:rPr>
          <w:rFonts w:ascii="Verdana" w:hAnsi="Verdana" w:cs="Arial"/>
        </w:rPr>
        <w:t xml:space="preserve"> la parte ejecutante se refirió a la celebración </w:t>
      </w:r>
      <w:r w:rsidR="004963BF">
        <w:rPr>
          <w:rFonts w:ascii="Verdana" w:hAnsi="Verdana" w:cs="Arial"/>
        </w:rPr>
        <w:t xml:space="preserve">y liquidación </w:t>
      </w:r>
      <w:r w:rsidR="00BD1D09">
        <w:rPr>
          <w:rFonts w:ascii="Verdana" w:hAnsi="Verdana" w:cs="Arial"/>
        </w:rPr>
        <w:t>de los</w:t>
      </w:r>
      <w:r w:rsidR="009C3AC7">
        <w:rPr>
          <w:rFonts w:ascii="Verdana" w:hAnsi="Verdana" w:cs="Arial"/>
        </w:rPr>
        <w:t xml:space="preserve"> contratos </w:t>
      </w:r>
      <w:r w:rsidR="00DA693E" w:rsidRPr="00DA693E">
        <w:rPr>
          <w:rFonts w:ascii="Verdana" w:hAnsi="Verdana" w:cs="Arial"/>
          <w:lang w:val="es-MX"/>
        </w:rPr>
        <w:t xml:space="preserve">No. </w:t>
      </w:r>
      <w:r w:rsidR="00DA693E" w:rsidRPr="008823BB">
        <w:rPr>
          <w:rFonts w:ascii="Verdana" w:hAnsi="Verdana" w:cs="Arial"/>
          <w:lang w:val="es-MX"/>
        </w:rPr>
        <w:t>167</w:t>
      </w:r>
      <w:r w:rsidR="009C3AC7" w:rsidRPr="008823BB">
        <w:rPr>
          <w:rFonts w:ascii="Verdana" w:hAnsi="Verdana" w:cs="Arial"/>
          <w:lang w:val="es-MX"/>
        </w:rPr>
        <w:t xml:space="preserve"> de </w:t>
      </w:r>
      <w:r w:rsidR="00DA693E" w:rsidRPr="008823BB">
        <w:rPr>
          <w:rFonts w:ascii="Verdana" w:hAnsi="Verdana" w:cs="Arial"/>
          <w:lang w:val="es-MX"/>
        </w:rPr>
        <w:t xml:space="preserve">2016, </w:t>
      </w:r>
      <w:r w:rsidR="008823BB" w:rsidRPr="008823BB">
        <w:rPr>
          <w:rFonts w:ascii="Verdana" w:hAnsi="Verdana" w:cs="Arial"/>
          <w:lang w:val="es-MX"/>
        </w:rPr>
        <w:t>187, 188</w:t>
      </w:r>
      <w:r w:rsidR="008823BB">
        <w:rPr>
          <w:rFonts w:ascii="Verdana" w:hAnsi="Verdana" w:cs="Arial"/>
          <w:lang w:val="es-MX"/>
        </w:rPr>
        <w:t xml:space="preserve">, </w:t>
      </w:r>
      <w:r w:rsidR="00DA693E" w:rsidRPr="00DA693E">
        <w:rPr>
          <w:rFonts w:ascii="Verdana" w:hAnsi="Verdana" w:cs="Arial"/>
          <w:lang w:val="es-MX"/>
        </w:rPr>
        <w:t>210</w:t>
      </w:r>
      <w:r w:rsidR="00C70931">
        <w:rPr>
          <w:rFonts w:ascii="Verdana" w:hAnsi="Verdana" w:cs="Arial"/>
          <w:lang w:val="es-MX"/>
        </w:rPr>
        <w:t>, 2</w:t>
      </w:r>
      <w:r w:rsidR="00DA693E" w:rsidRPr="00DA693E">
        <w:rPr>
          <w:rFonts w:ascii="Verdana" w:hAnsi="Verdana" w:cs="Arial"/>
          <w:lang w:val="es-MX"/>
        </w:rPr>
        <w:t>11</w:t>
      </w:r>
      <w:r w:rsidR="00C70931">
        <w:rPr>
          <w:rFonts w:ascii="Verdana" w:hAnsi="Verdana" w:cs="Arial"/>
          <w:lang w:val="es-MX"/>
        </w:rPr>
        <w:t>,</w:t>
      </w:r>
      <w:r w:rsidR="008823BB" w:rsidRPr="00DA693E">
        <w:rPr>
          <w:rFonts w:ascii="Verdana" w:hAnsi="Verdana" w:cs="Arial"/>
          <w:lang w:val="es-MX"/>
        </w:rPr>
        <w:t xml:space="preserve"> </w:t>
      </w:r>
      <w:r w:rsidR="00DA693E" w:rsidRPr="00DA693E">
        <w:rPr>
          <w:rFonts w:ascii="Verdana" w:hAnsi="Verdana" w:cs="Arial"/>
          <w:lang w:val="es-MX"/>
        </w:rPr>
        <w:t>234 y 235 de 2017.</w:t>
      </w:r>
      <w:r w:rsidR="004963BF">
        <w:rPr>
          <w:rFonts w:ascii="Verdana" w:hAnsi="Verdana" w:cs="Arial"/>
          <w:lang w:val="es-MX"/>
        </w:rPr>
        <w:t xml:space="preserve"> </w:t>
      </w:r>
      <w:r w:rsidR="008823BB">
        <w:rPr>
          <w:rFonts w:ascii="Verdana" w:hAnsi="Verdana" w:cs="Arial"/>
          <w:lang w:val="es-MX"/>
        </w:rPr>
        <w:t xml:space="preserve">Allí mismo, expuso literalmente que, </w:t>
      </w:r>
      <w:r w:rsidR="00FD19B4">
        <w:rPr>
          <w:rFonts w:ascii="Verdana" w:hAnsi="Verdana" w:cs="Arial"/>
          <w:lang w:val="es-MX"/>
        </w:rPr>
        <w:t>respecto de cada uno de ellos estaba</w:t>
      </w:r>
      <w:r w:rsidR="0008682C">
        <w:rPr>
          <w:rFonts w:ascii="Verdana" w:hAnsi="Verdana" w:cs="Arial"/>
          <w:lang w:val="es-MX"/>
        </w:rPr>
        <w:t>n</w:t>
      </w:r>
      <w:r w:rsidR="00FD19B4">
        <w:rPr>
          <w:rFonts w:ascii="Verdana" w:hAnsi="Verdana" w:cs="Arial"/>
          <w:lang w:val="es-MX"/>
        </w:rPr>
        <w:t xml:space="preserve"> </w:t>
      </w:r>
      <w:r w:rsidR="00FD19B4">
        <w:rPr>
          <w:rFonts w:ascii="Verdana" w:hAnsi="Verdana" w:cs="Arial"/>
          <w:i/>
          <w:iCs/>
          <w:lang w:val="es-MX"/>
        </w:rPr>
        <w:t xml:space="preserve">“pendiente de cancelar” </w:t>
      </w:r>
      <w:r w:rsidR="00FD19B4">
        <w:rPr>
          <w:rFonts w:ascii="Verdana" w:hAnsi="Verdana" w:cs="Arial"/>
          <w:lang w:val="es-MX"/>
        </w:rPr>
        <w:t xml:space="preserve">las respectivas facturas originadas con ocasión de la prestación de los servicios pactados en cada contrato así: </w:t>
      </w:r>
    </w:p>
    <w:p w14:paraId="45292C72" w14:textId="77777777" w:rsidR="0008682C" w:rsidRDefault="0008682C" w:rsidP="00760E4A">
      <w:pPr>
        <w:spacing w:line="264" w:lineRule="auto"/>
        <w:jc w:val="both"/>
        <w:rPr>
          <w:rFonts w:ascii="Verdana" w:hAnsi="Verdana" w:cs="Arial"/>
          <w:lang w:val="es-MX"/>
        </w:rPr>
      </w:pPr>
    </w:p>
    <w:p w14:paraId="6C263AF5" w14:textId="77777777" w:rsidR="00FD19B4" w:rsidRDefault="00FD19B4" w:rsidP="00760E4A">
      <w:pPr>
        <w:spacing w:line="264" w:lineRule="auto"/>
        <w:jc w:val="both"/>
        <w:rPr>
          <w:rFonts w:ascii="Verdana" w:hAnsi="Verdana" w:cs="Arial"/>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805"/>
        <w:gridCol w:w="1183"/>
        <w:gridCol w:w="1977"/>
      </w:tblGrid>
      <w:tr w:rsidR="00D745C5" w:rsidRPr="009828EF" w14:paraId="033892AA" w14:textId="77777777" w:rsidTr="000C13E8">
        <w:trPr>
          <w:jc w:val="center"/>
        </w:trPr>
        <w:tc>
          <w:tcPr>
            <w:tcW w:w="1526" w:type="dxa"/>
            <w:shd w:val="clear" w:color="auto" w:fill="auto"/>
          </w:tcPr>
          <w:p w14:paraId="11B0B6A1" w14:textId="77777777" w:rsidR="00D745C5" w:rsidRPr="009828EF" w:rsidRDefault="00D745C5" w:rsidP="000C13E8">
            <w:pPr>
              <w:spacing w:line="264" w:lineRule="auto"/>
              <w:jc w:val="center"/>
              <w:rPr>
                <w:rFonts w:ascii="Calibri" w:hAnsi="Calibri" w:cs="Calibri"/>
                <w:b/>
                <w:bCs/>
                <w:sz w:val="22"/>
                <w:szCs w:val="22"/>
              </w:rPr>
            </w:pPr>
            <w:r w:rsidRPr="009828EF">
              <w:rPr>
                <w:rFonts w:ascii="Calibri" w:hAnsi="Calibri" w:cs="Calibri"/>
                <w:b/>
                <w:bCs/>
                <w:sz w:val="22"/>
                <w:szCs w:val="22"/>
              </w:rPr>
              <w:t>Contrato</w:t>
            </w:r>
          </w:p>
        </w:tc>
        <w:tc>
          <w:tcPr>
            <w:tcW w:w="1805" w:type="dxa"/>
            <w:shd w:val="clear" w:color="auto" w:fill="auto"/>
          </w:tcPr>
          <w:p w14:paraId="435AE813" w14:textId="77777777" w:rsidR="00D745C5" w:rsidRPr="009828EF" w:rsidRDefault="00D745C5" w:rsidP="000C13E8">
            <w:pPr>
              <w:spacing w:line="264" w:lineRule="auto"/>
              <w:jc w:val="center"/>
              <w:rPr>
                <w:rFonts w:ascii="Calibri" w:hAnsi="Calibri" w:cs="Calibri"/>
                <w:b/>
                <w:bCs/>
                <w:sz w:val="22"/>
                <w:szCs w:val="22"/>
              </w:rPr>
            </w:pPr>
            <w:r w:rsidRPr="009828EF">
              <w:rPr>
                <w:rFonts w:ascii="Calibri" w:hAnsi="Calibri" w:cs="Calibri"/>
                <w:b/>
                <w:bCs/>
                <w:sz w:val="22"/>
                <w:szCs w:val="22"/>
              </w:rPr>
              <w:t>Valor pactado</w:t>
            </w:r>
          </w:p>
        </w:tc>
        <w:tc>
          <w:tcPr>
            <w:tcW w:w="1183" w:type="dxa"/>
            <w:shd w:val="clear" w:color="auto" w:fill="auto"/>
          </w:tcPr>
          <w:p w14:paraId="1185F37A" w14:textId="77777777" w:rsidR="00D745C5" w:rsidRPr="009828EF" w:rsidRDefault="00D745C5" w:rsidP="000C13E8">
            <w:pPr>
              <w:spacing w:line="264" w:lineRule="auto"/>
              <w:jc w:val="center"/>
              <w:rPr>
                <w:rFonts w:ascii="Calibri" w:hAnsi="Calibri" w:cs="Calibri"/>
                <w:b/>
                <w:bCs/>
                <w:sz w:val="22"/>
                <w:szCs w:val="22"/>
              </w:rPr>
            </w:pPr>
            <w:r w:rsidRPr="009828EF">
              <w:rPr>
                <w:rFonts w:ascii="Calibri" w:hAnsi="Calibri" w:cs="Calibri"/>
                <w:b/>
                <w:bCs/>
                <w:sz w:val="22"/>
                <w:szCs w:val="22"/>
              </w:rPr>
              <w:t>Facturas No.</w:t>
            </w:r>
          </w:p>
        </w:tc>
        <w:tc>
          <w:tcPr>
            <w:tcW w:w="1977" w:type="dxa"/>
            <w:shd w:val="clear" w:color="auto" w:fill="auto"/>
          </w:tcPr>
          <w:p w14:paraId="5ADA493D" w14:textId="77777777" w:rsidR="00D745C5" w:rsidRPr="009828EF" w:rsidRDefault="00D745C5" w:rsidP="000C13E8">
            <w:pPr>
              <w:spacing w:line="264" w:lineRule="auto"/>
              <w:jc w:val="center"/>
              <w:rPr>
                <w:rFonts w:ascii="Calibri" w:hAnsi="Calibri" w:cs="Calibri"/>
                <w:b/>
                <w:bCs/>
                <w:sz w:val="22"/>
                <w:szCs w:val="22"/>
              </w:rPr>
            </w:pPr>
            <w:r w:rsidRPr="009828EF">
              <w:rPr>
                <w:rFonts w:ascii="Calibri" w:hAnsi="Calibri" w:cs="Calibri"/>
                <w:b/>
                <w:bCs/>
                <w:sz w:val="22"/>
                <w:szCs w:val="22"/>
              </w:rPr>
              <w:t>Valor de la ejecución</w:t>
            </w:r>
          </w:p>
        </w:tc>
      </w:tr>
      <w:tr w:rsidR="00D745C5" w:rsidRPr="009828EF" w14:paraId="3CCED7E3" w14:textId="77777777" w:rsidTr="000C13E8">
        <w:trPr>
          <w:jc w:val="center"/>
        </w:trPr>
        <w:tc>
          <w:tcPr>
            <w:tcW w:w="1526" w:type="dxa"/>
            <w:vMerge w:val="restart"/>
            <w:shd w:val="clear" w:color="auto" w:fill="auto"/>
            <w:vAlign w:val="center"/>
          </w:tcPr>
          <w:p w14:paraId="2C5F2DA5" w14:textId="77777777" w:rsidR="00D745C5" w:rsidRPr="009828EF" w:rsidRDefault="00D745C5" w:rsidP="000C13E8">
            <w:pPr>
              <w:spacing w:line="264" w:lineRule="auto"/>
              <w:rPr>
                <w:rFonts w:ascii="Calibri" w:hAnsi="Calibri" w:cs="Calibri"/>
                <w:sz w:val="22"/>
                <w:szCs w:val="22"/>
                <w:u w:val="single"/>
              </w:rPr>
            </w:pPr>
            <w:r w:rsidRPr="009828EF">
              <w:rPr>
                <w:rFonts w:ascii="Calibri" w:hAnsi="Calibri" w:cs="Calibri"/>
                <w:sz w:val="22"/>
                <w:szCs w:val="22"/>
                <w:u w:val="single"/>
                <w:lang w:val="es-MX"/>
              </w:rPr>
              <w:t>167 de 2016</w:t>
            </w:r>
          </w:p>
        </w:tc>
        <w:tc>
          <w:tcPr>
            <w:tcW w:w="1805" w:type="dxa"/>
            <w:vMerge w:val="restart"/>
            <w:shd w:val="clear" w:color="auto" w:fill="auto"/>
            <w:vAlign w:val="center"/>
          </w:tcPr>
          <w:p w14:paraId="5A66DB06" w14:textId="77777777" w:rsidR="00D745C5" w:rsidRPr="009828EF" w:rsidRDefault="0043084E" w:rsidP="000C13E8">
            <w:pPr>
              <w:spacing w:line="264" w:lineRule="auto"/>
              <w:jc w:val="right"/>
              <w:rPr>
                <w:rFonts w:ascii="Calibri" w:hAnsi="Calibri" w:cs="Calibri"/>
                <w:sz w:val="22"/>
                <w:szCs w:val="22"/>
              </w:rPr>
            </w:pPr>
            <w:r w:rsidRPr="009828EF">
              <w:rPr>
                <w:rFonts w:ascii="Calibri" w:hAnsi="Calibri" w:cs="Calibri"/>
                <w:sz w:val="22"/>
                <w:szCs w:val="22"/>
              </w:rPr>
              <w:t>$ 340.000.000</w:t>
            </w:r>
          </w:p>
        </w:tc>
        <w:tc>
          <w:tcPr>
            <w:tcW w:w="1183" w:type="dxa"/>
            <w:shd w:val="clear" w:color="auto" w:fill="auto"/>
          </w:tcPr>
          <w:p w14:paraId="36ED5BFB"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303</w:t>
            </w:r>
          </w:p>
        </w:tc>
        <w:tc>
          <w:tcPr>
            <w:tcW w:w="1977" w:type="dxa"/>
            <w:shd w:val="clear" w:color="auto" w:fill="auto"/>
          </w:tcPr>
          <w:p w14:paraId="4AEE8E1D"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$ 206.936.630</w:t>
            </w:r>
          </w:p>
        </w:tc>
      </w:tr>
      <w:tr w:rsidR="00D745C5" w:rsidRPr="009828EF" w14:paraId="1FE20F84" w14:textId="77777777" w:rsidTr="000C13E8">
        <w:trPr>
          <w:jc w:val="center"/>
        </w:trPr>
        <w:tc>
          <w:tcPr>
            <w:tcW w:w="1526" w:type="dxa"/>
            <w:vMerge/>
            <w:shd w:val="clear" w:color="auto" w:fill="auto"/>
          </w:tcPr>
          <w:p w14:paraId="663CE1C6" w14:textId="77777777" w:rsidR="00D745C5" w:rsidRPr="009828EF" w:rsidRDefault="00D745C5" w:rsidP="000C13E8">
            <w:pPr>
              <w:spacing w:line="264" w:lineRule="auto"/>
              <w:jc w:val="both"/>
              <w:rPr>
                <w:rFonts w:ascii="Calibri" w:hAnsi="Calibri" w:cs="Calibri"/>
                <w:sz w:val="22"/>
                <w:szCs w:val="22"/>
                <w:lang w:val="es-MX"/>
              </w:rPr>
            </w:pPr>
          </w:p>
        </w:tc>
        <w:tc>
          <w:tcPr>
            <w:tcW w:w="1805" w:type="dxa"/>
            <w:vMerge/>
            <w:shd w:val="clear" w:color="auto" w:fill="auto"/>
            <w:vAlign w:val="center"/>
          </w:tcPr>
          <w:p w14:paraId="48AE5F9E" w14:textId="77777777" w:rsidR="00D745C5" w:rsidRPr="009828EF" w:rsidRDefault="00D745C5" w:rsidP="000C13E8">
            <w:pPr>
              <w:spacing w:line="264" w:lineRule="auto"/>
              <w:jc w:val="right"/>
              <w:rPr>
                <w:rFonts w:ascii="Calibri" w:hAnsi="Calibri" w:cs="Calibri"/>
                <w:sz w:val="22"/>
                <w:szCs w:val="22"/>
              </w:rPr>
            </w:pPr>
          </w:p>
        </w:tc>
        <w:tc>
          <w:tcPr>
            <w:tcW w:w="1183" w:type="dxa"/>
            <w:shd w:val="clear" w:color="auto" w:fill="auto"/>
          </w:tcPr>
          <w:p w14:paraId="6496FF72"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304</w:t>
            </w:r>
          </w:p>
        </w:tc>
        <w:tc>
          <w:tcPr>
            <w:tcW w:w="1977" w:type="dxa"/>
            <w:shd w:val="clear" w:color="auto" w:fill="auto"/>
          </w:tcPr>
          <w:p w14:paraId="0FD2AA75"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$ 70.379.760</w:t>
            </w:r>
          </w:p>
        </w:tc>
      </w:tr>
      <w:tr w:rsidR="00D745C5" w:rsidRPr="009828EF" w14:paraId="612B927B" w14:textId="77777777" w:rsidTr="000C13E8">
        <w:trPr>
          <w:jc w:val="center"/>
        </w:trPr>
        <w:tc>
          <w:tcPr>
            <w:tcW w:w="1526" w:type="dxa"/>
            <w:vMerge/>
            <w:shd w:val="clear" w:color="auto" w:fill="auto"/>
          </w:tcPr>
          <w:p w14:paraId="3E79F998" w14:textId="77777777" w:rsidR="00D745C5" w:rsidRPr="009828EF" w:rsidRDefault="00D745C5" w:rsidP="000C13E8">
            <w:pPr>
              <w:spacing w:line="264" w:lineRule="auto"/>
              <w:jc w:val="both"/>
              <w:rPr>
                <w:rFonts w:ascii="Calibri" w:hAnsi="Calibri" w:cs="Calibri"/>
                <w:sz w:val="22"/>
                <w:szCs w:val="22"/>
                <w:lang w:val="es-MX"/>
              </w:rPr>
            </w:pPr>
          </w:p>
        </w:tc>
        <w:tc>
          <w:tcPr>
            <w:tcW w:w="1805" w:type="dxa"/>
            <w:vMerge/>
            <w:shd w:val="clear" w:color="auto" w:fill="auto"/>
            <w:vAlign w:val="center"/>
          </w:tcPr>
          <w:p w14:paraId="6869105C" w14:textId="77777777" w:rsidR="00D745C5" w:rsidRPr="009828EF" w:rsidRDefault="00D745C5" w:rsidP="000C13E8">
            <w:pPr>
              <w:spacing w:line="264" w:lineRule="auto"/>
              <w:jc w:val="right"/>
              <w:rPr>
                <w:rFonts w:ascii="Calibri" w:hAnsi="Calibri" w:cs="Calibri"/>
                <w:sz w:val="22"/>
                <w:szCs w:val="22"/>
              </w:rPr>
            </w:pPr>
          </w:p>
        </w:tc>
        <w:tc>
          <w:tcPr>
            <w:tcW w:w="1183" w:type="dxa"/>
            <w:shd w:val="clear" w:color="auto" w:fill="auto"/>
          </w:tcPr>
          <w:p w14:paraId="21A598F4"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305</w:t>
            </w:r>
          </w:p>
        </w:tc>
        <w:tc>
          <w:tcPr>
            <w:tcW w:w="1977" w:type="dxa"/>
            <w:shd w:val="clear" w:color="auto" w:fill="auto"/>
          </w:tcPr>
          <w:p w14:paraId="68E981F5"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$ 19.015.128</w:t>
            </w:r>
          </w:p>
        </w:tc>
      </w:tr>
      <w:tr w:rsidR="00D745C5" w:rsidRPr="009828EF" w14:paraId="03612A3B" w14:textId="77777777" w:rsidTr="000C13E8">
        <w:trPr>
          <w:jc w:val="center"/>
        </w:trPr>
        <w:tc>
          <w:tcPr>
            <w:tcW w:w="1526" w:type="dxa"/>
            <w:vMerge/>
            <w:shd w:val="clear" w:color="auto" w:fill="auto"/>
          </w:tcPr>
          <w:p w14:paraId="5F9F69E6" w14:textId="77777777" w:rsidR="00D745C5" w:rsidRPr="009828EF" w:rsidRDefault="00D745C5" w:rsidP="000C13E8">
            <w:pPr>
              <w:spacing w:line="264" w:lineRule="auto"/>
              <w:jc w:val="both"/>
              <w:rPr>
                <w:rFonts w:ascii="Calibri" w:hAnsi="Calibri" w:cs="Calibri"/>
                <w:sz w:val="22"/>
                <w:szCs w:val="22"/>
              </w:rPr>
            </w:pPr>
          </w:p>
        </w:tc>
        <w:tc>
          <w:tcPr>
            <w:tcW w:w="1805" w:type="dxa"/>
            <w:vMerge/>
            <w:shd w:val="clear" w:color="auto" w:fill="auto"/>
            <w:vAlign w:val="center"/>
          </w:tcPr>
          <w:p w14:paraId="01AE8802" w14:textId="77777777" w:rsidR="00D745C5" w:rsidRPr="009828EF" w:rsidRDefault="00D745C5" w:rsidP="000C13E8">
            <w:pPr>
              <w:spacing w:line="264" w:lineRule="auto"/>
              <w:jc w:val="right"/>
              <w:rPr>
                <w:rFonts w:ascii="Calibri" w:hAnsi="Calibri" w:cs="Calibri"/>
                <w:b/>
                <w:bCs/>
                <w:sz w:val="22"/>
                <w:szCs w:val="22"/>
              </w:rPr>
            </w:pPr>
          </w:p>
        </w:tc>
        <w:tc>
          <w:tcPr>
            <w:tcW w:w="1183" w:type="dxa"/>
            <w:shd w:val="clear" w:color="auto" w:fill="auto"/>
          </w:tcPr>
          <w:p w14:paraId="1FA453F9" w14:textId="77777777" w:rsidR="00D745C5" w:rsidRPr="009828EF" w:rsidRDefault="00D745C5" w:rsidP="000C13E8">
            <w:pPr>
              <w:spacing w:line="264" w:lineRule="auto"/>
              <w:jc w:val="right"/>
              <w:rPr>
                <w:rFonts w:ascii="Calibri" w:hAnsi="Calibri" w:cs="Calibri"/>
                <w:b/>
                <w:bCs/>
                <w:sz w:val="22"/>
                <w:szCs w:val="22"/>
              </w:rPr>
            </w:pPr>
            <w:r w:rsidRPr="009828EF">
              <w:rPr>
                <w:rFonts w:ascii="Calibri" w:hAnsi="Calibri" w:cs="Calibri"/>
                <w:b/>
                <w:bCs/>
                <w:sz w:val="22"/>
                <w:szCs w:val="22"/>
              </w:rPr>
              <w:t>Total:</w:t>
            </w:r>
          </w:p>
        </w:tc>
        <w:tc>
          <w:tcPr>
            <w:tcW w:w="1977" w:type="dxa"/>
            <w:shd w:val="clear" w:color="auto" w:fill="auto"/>
          </w:tcPr>
          <w:p w14:paraId="7E36477B" w14:textId="77777777" w:rsidR="00D745C5" w:rsidRPr="009828EF" w:rsidRDefault="00D745C5" w:rsidP="000C13E8">
            <w:pPr>
              <w:spacing w:line="264" w:lineRule="auto"/>
              <w:jc w:val="right"/>
              <w:rPr>
                <w:rFonts w:ascii="Calibri" w:hAnsi="Calibri" w:cs="Calibri"/>
                <w:b/>
                <w:bCs/>
                <w:sz w:val="22"/>
                <w:szCs w:val="22"/>
              </w:rPr>
            </w:pPr>
            <w:r w:rsidRPr="009828EF">
              <w:rPr>
                <w:rFonts w:ascii="Calibri" w:hAnsi="Calibri" w:cs="Calibri"/>
                <w:b/>
                <w:bCs/>
                <w:sz w:val="22"/>
                <w:szCs w:val="22"/>
              </w:rPr>
              <w:t>$ 296.331.518</w:t>
            </w:r>
          </w:p>
        </w:tc>
      </w:tr>
      <w:tr w:rsidR="00D745C5" w:rsidRPr="009828EF" w14:paraId="51F04F73" w14:textId="77777777" w:rsidTr="000C13E8">
        <w:trPr>
          <w:jc w:val="center"/>
        </w:trPr>
        <w:tc>
          <w:tcPr>
            <w:tcW w:w="1526" w:type="dxa"/>
            <w:shd w:val="clear" w:color="auto" w:fill="auto"/>
          </w:tcPr>
          <w:p w14:paraId="419DC651" w14:textId="77777777" w:rsidR="00D745C5" w:rsidRPr="009828EF" w:rsidRDefault="00D745C5" w:rsidP="000C13E8">
            <w:pPr>
              <w:spacing w:line="264" w:lineRule="auto"/>
              <w:jc w:val="both"/>
              <w:rPr>
                <w:rFonts w:ascii="Calibri" w:hAnsi="Calibri" w:cs="Calibri"/>
                <w:sz w:val="22"/>
                <w:szCs w:val="22"/>
                <w:lang w:val="es-MX"/>
              </w:rPr>
            </w:pPr>
            <w:r w:rsidRPr="009828EF">
              <w:rPr>
                <w:rFonts w:ascii="Calibri" w:hAnsi="Calibri" w:cs="Calibri"/>
                <w:sz w:val="22"/>
                <w:szCs w:val="22"/>
                <w:lang w:val="es-MX"/>
              </w:rPr>
              <w:lastRenderedPageBreak/>
              <w:t>187 de 2017</w:t>
            </w:r>
          </w:p>
        </w:tc>
        <w:tc>
          <w:tcPr>
            <w:tcW w:w="1805" w:type="dxa"/>
            <w:shd w:val="clear" w:color="auto" w:fill="auto"/>
            <w:vAlign w:val="center"/>
          </w:tcPr>
          <w:p w14:paraId="5CCDE3B2"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$ 68.000.000</w:t>
            </w:r>
          </w:p>
        </w:tc>
        <w:tc>
          <w:tcPr>
            <w:tcW w:w="1183" w:type="dxa"/>
            <w:shd w:val="clear" w:color="auto" w:fill="auto"/>
          </w:tcPr>
          <w:p w14:paraId="61A50E6F"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395</w:t>
            </w:r>
          </w:p>
        </w:tc>
        <w:tc>
          <w:tcPr>
            <w:tcW w:w="1977" w:type="dxa"/>
            <w:shd w:val="clear" w:color="auto" w:fill="auto"/>
          </w:tcPr>
          <w:p w14:paraId="1427B24F"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$ 68.000.000</w:t>
            </w:r>
          </w:p>
        </w:tc>
      </w:tr>
      <w:tr w:rsidR="00D745C5" w:rsidRPr="009828EF" w14:paraId="740A709B" w14:textId="77777777" w:rsidTr="000C13E8">
        <w:trPr>
          <w:jc w:val="center"/>
        </w:trPr>
        <w:tc>
          <w:tcPr>
            <w:tcW w:w="1526" w:type="dxa"/>
            <w:shd w:val="clear" w:color="auto" w:fill="auto"/>
          </w:tcPr>
          <w:p w14:paraId="0B24C4F3" w14:textId="77777777" w:rsidR="00D745C5" w:rsidRPr="009828EF" w:rsidRDefault="00D745C5" w:rsidP="000C13E8">
            <w:pPr>
              <w:spacing w:line="264" w:lineRule="auto"/>
              <w:jc w:val="both"/>
              <w:rPr>
                <w:rFonts w:ascii="Calibri" w:hAnsi="Calibri" w:cs="Calibri"/>
                <w:sz w:val="22"/>
                <w:szCs w:val="22"/>
                <w:u w:val="single"/>
              </w:rPr>
            </w:pPr>
            <w:r w:rsidRPr="009828EF">
              <w:rPr>
                <w:rFonts w:ascii="Calibri" w:hAnsi="Calibri" w:cs="Calibri"/>
                <w:sz w:val="22"/>
                <w:szCs w:val="22"/>
                <w:u w:val="single"/>
                <w:lang w:val="es-MX"/>
              </w:rPr>
              <w:t>188 de 2017</w:t>
            </w:r>
          </w:p>
        </w:tc>
        <w:tc>
          <w:tcPr>
            <w:tcW w:w="1805" w:type="dxa"/>
            <w:shd w:val="clear" w:color="auto" w:fill="auto"/>
            <w:vAlign w:val="center"/>
          </w:tcPr>
          <w:p w14:paraId="1CA44D69"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$ 19</w:t>
            </w:r>
            <w:r w:rsidR="0043084E" w:rsidRPr="009828EF">
              <w:rPr>
                <w:rFonts w:ascii="Calibri" w:hAnsi="Calibri" w:cs="Calibri"/>
                <w:sz w:val="22"/>
                <w:szCs w:val="22"/>
              </w:rPr>
              <w:t>8</w:t>
            </w:r>
            <w:r w:rsidRPr="009828EF">
              <w:rPr>
                <w:rFonts w:ascii="Calibri" w:hAnsi="Calibri" w:cs="Calibri"/>
                <w:sz w:val="22"/>
                <w:szCs w:val="22"/>
              </w:rPr>
              <w:t>.</w:t>
            </w:r>
            <w:r w:rsidR="0043084E" w:rsidRPr="009828EF">
              <w:rPr>
                <w:rFonts w:ascii="Calibri" w:hAnsi="Calibri" w:cs="Calibri"/>
                <w:sz w:val="22"/>
                <w:szCs w:val="22"/>
              </w:rPr>
              <w:t>000</w:t>
            </w:r>
            <w:r w:rsidRPr="009828EF">
              <w:rPr>
                <w:rFonts w:ascii="Calibri" w:hAnsi="Calibri" w:cs="Calibri"/>
                <w:sz w:val="22"/>
                <w:szCs w:val="22"/>
              </w:rPr>
              <w:t>.</w:t>
            </w:r>
            <w:r w:rsidR="0043084E" w:rsidRPr="009828EF">
              <w:rPr>
                <w:rFonts w:ascii="Calibri" w:hAnsi="Calibri" w:cs="Calibri"/>
                <w:sz w:val="22"/>
                <w:szCs w:val="22"/>
              </w:rPr>
              <w:t>000</w:t>
            </w:r>
          </w:p>
        </w:tc>
        <w:tc>
          <w:tcPr>
            <w:tcW w:w="1183" w:type="dxa"/>
            <w:shd w:val="clear" w:color="auto" w:fill="auto"/>
          </w:tcPr>
          <w:p w14:paraId="663A7249"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394</w:t>
            </w:r>
          </w:p>
        </w:tc>
        <w:tc>
          <w:tcPr>
            <w:tcW w:w="1977" w:type="dxa"/>
            <w:shd w:val="clear" w:color="auto" w:fill="auto"/>
          </w:tcPr>
          <w:p w14:paraId="6B3F3CC0"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$ 195.731.605</w:t>
            </w:r>
          </w:p>
        </w:tc>
      </w:tr>
      <w:tr w:rsidR="00D745C5" w:rsidRPr="009828EF" w14:paraId="6CF7F578" w14:textId="77777777" w:rsidTr="000C13E8">
        <w:trPr>
          <w:jc w:val="center"/>
        </w:trPr>
        <w:tc>
          <w:tcPr>
            <w:tcW w:w="1526" w:type="dxa"/>
            <w:shd w:val="clear" w:color="auto" w:fill="auto"/>
          </w:tcPr>
          <w:p w14:paraId="4F8EE903" w14:textId="77777777" w:rsidR="00D745C5" w:rsidRPr="009828EF" w:rsidRDefault="00D745C5" w:rsidP="000C13E8">
            <w:pPr>
              <w:spacing w:line="264" w:lineRule="auto"/>
              <w:jc w:val="both"/>
              <w:rPr>
                <w:rFonts w:ascii="Calibri" w:hAnsi="Calibri" w:cs="Calibri"/>
                <w:sz w:val="22"/>
                <w:szCs w:val="22"/>
                <w:u w:val="single"/>
              </w:rPr>
            </w:pPr>
            <w:r w:rsidRPr="009828EF">
              <w:rPr>
                <w:rFonts w:ascii="Calibri" w:hAnsi="Calibri" w:cs="Calibri"/>
                <w:sz w:val="22"/>
                <w:szCs w:val="22"/>
                <w:u w:val="single"/>
                <w:lang w:val="es-MX"/>
              </w:rPr>
              <w:t>210 de 2017</w:t>
            </w:r>
          </w:p>
        </w:tc>
        <w:tc>
          <w:tcPr>
            <w:tcW w:w="1805" w:type="dxa"/>
            <w:shd w:val="clear" w:color="auto" w:fill="auto"/>
            <w:vAlign w:val="center"/>
          </w:tcPr>
          <w:p w14:paraId="388DF7ED"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$ 19</w:t>
            </w:r>
            <w:r w:rsidR="00857D9E" w:rsidRPr="009828EF">
              <w:rPr>
                <w:rFonts w:ascii="Calibri" w:hAnsi="Calibri" w:cs="Calibri"/>
                <w:sz w:val="22"/>
                <w:szCs w:val="22"/>
              </w:rPr>
              <w:t>8</w:t>
            </w:r>
            <w:r w:rsidRPr="009828EF">
              <w:rPr>
                <w:rFonts w:ascii="Calibri" w:hAnsi="Calibri" w:cs="Calibri"/>
                <w:sz w:val="22"/>
                <w:szCs w:val="22"/>
              </w:rPr>
              <w:t>.</w:t>
            </w:r>
            <w:r w:rsidR="00857D9E" w:rsidRPr="009828EF">
              <w:rPr>
                <w:rFonts w:ascii="Calibri" w:hAnsi="Calibri" w:cs="Calibri"/>
                <w:sz w:val="22"/>
                <w:szCs w:val="22"/>
              </w:rPr>
              <w:t>000.000</w:t>
            </w:r>
          </w:p>
        </w:tc>
        <w:tc>
          <w:tcPr>
            <w:tcW w:w="1183" w:type="dxa"/>
            <w:shd w:val="clear" w:color="auto" w:fill="auto"/>
          </w:tcPr>
          <w:p w14:paraId="396CFECA"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401</w:t>
            </w:r>
          </w:p>
        </w:tc>
        <w:tc>
          <w:tcPr>
            <w:tcW w:w="1977" w:type="dxa"/>
            <w:shd w:val="clear" w:color="auto" w:fill="auto"/>
          </w:tcPr>
          <w:p w14:paraId="25774DFF"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$ 197.987.433</w:t>
            </w:r>
          </w:p>
        </w:tc>
      </w:tr>
      <w:tr w:rsidR="00D745C5" w:rsidRPr="009828EF" w14:paraId="3FCC24E5" w14:textId="77777777" w:rsidTr="000C13E8">
        <w:trPr>
          <w:jc w:val="center"/>
        </w:trPr>
        <w:tc>
          <w:tcPr>
            <w:tcW w:w="1526" w:type="dxa"/>
            <w:shd w:val="clear" w:color="auto" w:fill="auto"/>
          </w:tcPr>
          <w:p w14:paraId="7F90E185" w14:textId="77777777" w:rsidR="00D745C5" w:rsidRPr="009828EF" w:rsidRDefault="00D745C5" w:rsidP="000C13E8">
            <w:pPr>
              <w:spacing w:line="264" w:lineRule="auto"/>
              <w:jc w:val="both"/>
              <w:rPr>
                <w:rFonts w:ascii="Calibri" w:hAnsi="Calibri" w:cs="Calibri"/>
                <w:sz w:val="22"/>
                <w:szCs w:val="22"/>
                <w:u w:val="single"/>
              </w:rPr>
            </w:pPr>
            <w:r w:rsidRPr="009828EF">
              <w:rPr>
                <w:rFonts w:ascii="Calibri" w:hAnsi="Calibri" w:cs="Calibri"/>
                <w:sz w:val="22"/>
                <w:szCs w:val="22"/>
                <w:u w:val="single"/>
                <w:lang w:val="es-MX"/>
              </w:rPr>
              <w:t>211 de 2017</w:t>
            </w:r>
          </w:p>
        </w:tc>
        <w:tc>
          <w:tcPr>
            <w:tcW w:w="1805" w:type="dxa"/>
            <w:shd w:val="clear" w:color="auto" w:fill="auto"/>
            <w:vAlign w:val="center"/>
          </w:tcPr>
          <w:p w14:paraId="74289EEE"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$ 8</w:t>
            </w:r>
            <w:r w:rsidR="00996BB8" w:rsidRPr="009828EF">
              <w:rPr>
                <w:rFonts w:ascii="Calibri" w:hAnsi="Calibri" w:cs="Calibri"/>
                <w:sz w:val="22"/>
                <w:szCs w:val="22"/>
              </w:rPr>
              <w:t>1</w:t>
            </w:r>
            <w:r w:rsidRPr="009828EF">
              <w:rPr>
                <w:rFonts w:ascii="Calibri" w:hAnsi="Calibri" w:cs="Calibri"/>
                <w:sz w:val="22"/>
                <w:szCs w:val="22"/>
              </w:rPr>
              <w:t>.</w:t>
            </w:r>
            <w:r w:rsidR="00996BB8" w:rsidRPr="009828EF">
              <w:rPr>
                <w:rFonts w:ascii="Calibri" w:hAnsi="Calibri" w:cs="Calibri"/>
                <w:sz w:val="22"/>
                <w:szCs w:val="22"/>
              </w:rPr>
              <w:t>000.000</w:t>
            </w:r>
          </w:p>
        </w:tc>
        <w:tc>
          <w:tcPr>
            <w:tcW w:w="1183" w:type="dxa"/>
            <w:shd w:val="clear" w:color="auto" w:fill="auto"/>
          </w:tcPr>
          <w:p w14:paraId="5565F4CA"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402</w:t>
            </w:r>
          </w:p>
        </w:tc>
        <w:tc>
          <w:tcPr>
            <w:tcW w:w="1977" w:type="dxa"/>
            <w:shd w:val="clear" w:color="auto" w:fill="auto"/>
          </w:tcPr>
          <w:p w14:paraId="436CCB9D"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$ 80.521.320</w:t>
            </w:r>
          </w:p>
        </w:tc>
      </w:tr>
      <w:tr w:rsidR="00D745C5" w:rsidRPr="009828EF" w14:paraId="51C17A1C" w14:textId="77777777" w:rsidTr="000C13E8">
        <w:trPr>
          <w:jc w:val="center"/>
        </w:trPr>
        <w:tc>
          <w:tcPr>
            <w:tcW w:w="1526" w:type="dxa"/>
            <w:shd w:val="clear" w:color="auto" w:fill="auto"/>
          </w:tcPr>
          <w:p w14:paraId="15B03D63" w14:textId="77777777" w:rsidR="00D745C5" w:rsidRPr="009828EF" w:rsidRDefault="00D745C5" w:rsidP="000C13E8">
            <w:pPr>
              <w:spacing w:line="264" w:lineRule="auto"/>
              <w:jc w:val="both"/>
              <w:rPr>
                <w:rFonts w:ascii="Calibri" w:hAnsi="Calibri" w:cs="Calibri"/>
                <w:sz w:val="22"/>
                <w:szCs w:val="22"/>
                <w:u w:val="single"/>
              </w:rPr>
            </w:pPr>
            <w:r w:rsidRPr="009828EF">
              <w:rPr>
                <w:rFonts w:ascii="Calibri" w:hAnsi="Calibri" w:cs="Calibri"/>
                <w:sz w:val="22"/>
                <w:szCs w:val="22"/>
                <w:u w:val="single"/>
                <w:lang w:val="es-MX"/>
              </w:rPr>
              <w:t>234 de 2017</w:t>
            </w:r>
          </w:p>
        </w:tc>
        <w:tc>
          <w:tcPr>
            <w:tcW w:w="1805" w:type="dxa"/>
            <w:shd w:val="clear" w:color="auto" w:fill="auto"/>
            <w:vAlign w:val="center"/>
          </w:tcPr>
          <w:p w14:paraId="252FAA6D"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xml:space="preserve">$ </w:t>
            </w:r>
            <w:r w:rsidR="008B2167" w:rsidRPr="009828EF">
              <w:rPr>
                <w:rFonts w:ascii="Calibri" w:hAnsi="Calibri" w:cs="Calibri"/>
                <w:sz w:val="22"/>
                <w:szCs w:val="22"/>
              </w:rPr>
              <w:t>205.000.000</w:t>
            </w:r>
          </w:p>
        </w:tc>
        <w:tc>
          <w:tcPr>
            <w:tcW w:w="1183" w:type="dxa"/>
            <w:shd w:val="clear" w:color="auto" w:fill="auto"/>
          </w:tcPr>
          <w:p w14:paraId="30A9D890"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404</w:t>
            </w:r>
          </w:p>
        </w:tc>
        <w:tc>
          <w:tcPr>
            <w:tcW w:w="1977" w:type="dxa"/>
            <w:shd w:val="clear" w:color="auto" w:fill="auto"/>
          </w:tcPr>
          <w:p w14:paraId="7EE5D24B"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$ 188.430.834</w:t>
            </w:r>
          </w:p>
        </w:tc>
      </w:tr>
      <w:tr w:rsidR="00D745C5" w:rsidRPr="009828EF" w14:paraId="1FAF207F" w14:textId="77777777" w:rsidTr="000C13E8">
        <w:trPr>
          <w:jc w:val="center"/>
        </w:trPr>
        <w:tc>
          <w:tcPr>
            <w:tcW w:w="1526" w:type="dxa"/>
            <w:shd w:val="clear" w:color="auto" w:fill="auto"/>
          </w:tcPr>
          <w:p w14:paraId="06766F8C" w14:textId="77777777" w:rsidR="00D745C5" w:rsidRPr="009828EF" w:rsidRDefault="00D745C5" w:rsidP="000C13E8">
            <w:pPr>
              <w:spacing w:line="264" w:lineRule="auto"/>
              <w:jc w:val="both"/>
              <w:rPr>
                <w:rFonts w:ascii="Calibri" w:hAnsi="Calibri" w:cs="Calibri"/>
                <w:sz w:val="22"/>
                <w:szCs w:val="22"/>
              </w:rPr>
            </w:pPr>
            <w:r w:rsidRPr="009828EF">
              <w:rPr>
                <w:rFonts w:ascii="Calibri" w:hAnsi="Calibri" w:cs="Calibri"/>
                <w:sz w:val="22"/>
                <w:szCs w:val="22"/>
                <w:lang w:val="es-MX"/>
              </w:rPr>
              <w:t>235 de 2017</w:t>
            </w:r>
          </w:p>
        </w:tc>
        <w:tc>
          <w:tcPr>
            <w:tcW w:w="1805" w:type="dxa"/>
            <w:shd w:val="clear" w:color="auto" w:fill="auto"/>
            <w:vAlign w:val="center"/>
          </w:tcPr>
          <w:p w14:paraId="08A20C81"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$ 72.000.000</w:t>
            </w:r>
          </w:p>
        </w:tc>
        <w:tc>
          <w:tcPr>
            <w:tcW w:w="1183" w:type="dxa"/>
            <w:shd w:val="clear" w:color="auto" w:fill="auto"/>
          </w:tcPr>
          <w:p w14:paraId="4BC65EA5" w14:textId="77777777" w:rsidR="00D745C5" w:rsidRPr="009828EF" w:rsidRDefault="00D745C5" w:rsidP="000C13E8">
            <w:pPr>
              <w:spacing w:line="264" w:lineRule="auto"/>
              <w:jc w:val="center"/>
              <w:rPr>
                <w:rFonts w:ascii="Calibri" w:hAnsi="Calibri" w:cs="Calibri"/>
                <w:sz w:val="22"/>
                <w:szCs w:val="22"/>
              </w:rPr>
            </w:pPr>
            <w:r w:rsidRPr="009828EF">
              <w:rPr>
                <w:rFonts w:ascii="Calibri" w:hAnsi="Calibri" w:cs="Calibri"/>
                <w:sz w:val="22"/>
                <w:szCs w:val="22"/>
              </w:rPr>
              <w:t>405</w:t>
            </w:r>
          </w:p>
        </w:tc>
        <w:tc>
          <w:tcPr>
            <w:tcW w:w="1977" w:type="dxa"/>
            <w:shd w:val="clear" w:color="auto" w:fill="auto"/>
          </w:tcPr>
          <w:p w14:paraId="1429B91C" w14:textId="77777777" w:rsidR="00D745C5" w:rsidRPr="009828EF" w:rsidRDefault="00D745C5" w:rsidP="000C13E8">
            <w:pPr>
              <w:spacing w:line="264" w:lineRule="auto"/>
              <w:jc w:val="right"/>
              <w:rPr>
                <w:rFonts w:ascii="Calibri" w:hAnsi="Calibri" w:cs="Calibri"/>
                <w:sz w:val="22"/>
                <w:szCs w:val="22"/>
              </w:rPr>
            </w:pPr>
            <w:r w:rsidRPr="009828EF">
              <w:rPr>
                <w:rFonts w:ascii="Calibri" w:hAnsi="Calibri" w:cs="Calibri"/>
                <w:sz w:val="22"/>
                <w:szCs w:val="22"/>
              </w:rPr>
              <w:t>$ 72.000.000</w:t>
            </w:r>
          </w:p>
        </w:tc>
      </w:tr>
    </w:tbl>
    <w:p w14:paraId="1C7E59E4" w14:textId="77777777" w:rsidR="00FD19B4" w:rsidRPr="00FD19B4" w:rsidRDefault="00FD19B4" w:rsidP="008823BB">
      <w:pPr>
        <w:spacing w:line="264" w:lineRule="auto"/>
        <w:jc w:val="both"/>
        <w:rPr>
          <w:rFonts w:ascii="Verdana" w:hAnsi="Verdana" w:cs="Arial"/>
        </w:rPr>
      </w:pPr>
    </w:p>
    <w:p w14:paraId="364B4AAF" w14:textId="77777777" w:rsidR="00AA2708" w:rsidRDefault="00AA2708" w:rsidP="009D7400">
      <w:pPr>
        <w:spacing w:line="264" w:lineRule="auto"/>
        <w:jc w:val="both"/>
        <w:rPr>
          <w:rFonts w:ascii="Verdana" w:hAnsi="Verdana" w:cs="Arial"/>
        </w:rPr>
      </w:pPr>
    </w:p>
    <w:p w14:paraId="017CE0AA" w14:textId="77777777" w:rsidR="008C68F5" w:rsidRDefault="00F97283" w:rsidP="009D7400">
      <w:pPr>
        <w:spacing w:line="264" w:lineRule="auto"/>
        <w:jc w:val="both"/>
        <w:rPr>
          <w:rFonts w:ascii="Verdana" w:hAnsi="Verdana" w:cs="Arial"/>
        </w:rPr>
      </w:pPr>
      <w:r>
        <w:rPr>
          <w:rFonts w:ascii="Verdana" w:hAnsi="Verdana" w:cs="Arial"/>
        </w:rPr>
        <w:t>Del contenido de las pretensiones de la demanda se extrae que</w:t>
      </w:r>
      <w:r w:rsidR="00AD1690">
        <w:rPr>
          <w:rFonts w:ascii="Verdana" w:hAnsi="Verdana" w:cs="Arial"/>
        </w:rPr>
        <w:t>,</w:t>
      </w:r>
      <w:r>
        <w:rPr>
          <w:rFonts w:ascii="Verdana" w:hAnsi="Verdana" w:cs="Arial"/>
        </w:rPr>
        <w:t xml:space="preserve"> la parte actora solicita</w:t>
      </w:r>
      <w:r w:rsidR="00807C55">
        <w:rPr>
          <w:rFonts w:ascii="Verdana" w:hAnsi="Verdana" w:cs="Arial"/>
        </w:rPr>
        <w:t xml:space="preserve"> </w:t>
      </w:r>
      <w:r w:rsidR="00807C55" w:rsidRPr="006531C1">
        <w:rPr>
          <w:rFonts w:ascii="Verdana" w:hAnsi="Verdana" w:cs="Arial"/>
          <w:u w:val="single"/>
        </w:rPr>
        <w:t>expresamente</w:t>
      </w:r>
      <w:r w:rsidR="00807C55">
        <w:rPr>
          <w:rFonts w:ascii="Verdana" w:hAnsi="Verdana" w:cs="Arial"/>
        </w:rPr>
        <w:t xml:space="preserve"> que se libre mandamiento de pago por el valor de cada una de las anteriores facturas junto con la correspondiente indexación e intereses moratorios.</w:t>
      </w:r>
    </w:p>
    <w:p w14:paraId="2EC37901" w14:textId="77777777" w:rsidR="008C68F5" w:rsidRDefault="008C68F5" w:rsidP="009D7400">
      <w:pPr>
        <w:spacing w:line="264" w:lineRule="auto"/>
        <w:jc w:val="both"/>
        <w:rPr>
          <w:rFonts w:ascii="Verdana" w:hAnsi="Verdana" w:cs="Arial"/>
        </w:rPr>
      </w:pPr>
    </w:p>
    <w:p w14:paraId="1C05EB64" w14:textId="77777777" w:rsidR="004C711C" w:rsidRDefault="008C68F5" w:rsidP="009D7400">
      <w:pPr>
        <w:spacing w:line="264" w:lineRule="auto"/>
        <w:jc w:val="both"/>
        <w:rPr>
          <w:rFonts w:ascii="Verdana" w:hAnsi="Verdana" w:cs="Arial"/>
        </w:rPr>
      </w:pPr>
      <w:r>
        <w:rPr>
          <w:rFonts w:ascii="Verdana" w:hAnsi="Verdana" w:cs="Arial"/>
        </w:rPr>
        <w:t>Lo anterior permite al Despacho inferir que</w:t>
      </w:r>
      <w:r w:rsidR="00144828">
        <w:rPr>
          <w:rFonts w:ascii="Verdana" w:hAnsi="Verdana" w:cs="Arial"/>
        </w:rPr>
        <w:t>,</w:t>
      </w:r>
      <w:r>
        <w:rPr>
          <w:rFonts w:ascii="Verdana" w:hAnsi="Verdana" w:cs="Arial"/>
        </w:rPr>
        <w:t xml:space="preserve"> si bien las facturas cuya ejecución se invoca fueron proferidas con ocasión de la ejecución de los referidos contratos</w:t>
      </w:r>
      <w:r w:rsidR="007D64A6">
        <w:rPr>
          <w:rFonts w:ascii="Verdana" w:hAnsi="Verdana" w:cs="Arial"/>
        </w:rPr>
        <w:t xml:space="preserve">, ello no necesariamente implica que el conocimiento del asunto </w:t>
      </w:r>
      <w:r w:rsidR="00144828">
        <w:rPr>
          <w:rFonts w:ascii="Verdana" w:hAnsi="Verdana" w:cs="Arial"/>
        </w:rPr>
        <w:t xml:space="preserve">corresponda </w:t>
      </w:r>
      <w:r w:rsidR="007D64A6">
        <w:rPr>
          <w:rFonts w:ascii="Verdana" w:hAnsi="Verdana" w:cs="Arial"/>
        </w:rPr>
        <w:t>a esta jurisdicción. Como se dijo, del contenido de los artículos 104.6</w:t>
      </w:r>
      <w:r w:rsidR="00935F07">
        <w:rPr>
          <w:rFonts w:ascii="Verdana" w:hAnsi="Verdana" w:cs="Arial"/>
        </w:rPr>
        <w:t xml:space="preserve"> y 297.3</w:t>
      </w:r>
      <w:r w:rsidR="007D64A6">
        <w:rPr>
          <w:rFonts w:ascii="Verdana" w:hAnsi="Verdana" w:cs="Arial"/>
        </w:rPr>
        <w:t xml:space="preserve"> del CPACA y 75</w:t>
      </w:r>
      <w:r w:rsidR="00807C55">
        <w:rPr>
          <w:rFonts w:ascii="Verdana" w:hAnsi="Verdana" w:cs="Arial"/>
        </w:rPr>
        <w:t xml:space="preserve"> </w:t>
      </w:r>
      <w:r w:rsidR="007D64A6">
        <w:rPr>
          <w:rFonts w:ascii="Verdana" w:hAnsi="Verdana" w:cs="Arial"/>
        </w:rPr>
        <w:t>de la Ley</w:t>
      </w:r>
      <w:r w:rsidR="00144828">
        <w:rPr>
          <w:rFonts w:ascii="Verdana" w:hAnsi="Verdana" w:cs="Arial"/>
        </w:rPr>
        <w:t xml:space="preserve"> 80 de 1993, se deriva que la jurisdicción de lo contencioso administrativo es competente para conocer de los procesos ejecutivos derivados </w:t>
      </w:r>
      <w:r w:rsidR="00935F07" w:rsidRPr="00935F07">
        <w:rPr>
          <w:rFonts w:ascii="Verdana" w:hAnsi="Verdana" w:cs="Arial"/>
          <w:u w:val="single"/>
        </w:rPr>
        <w:t>de los contratos</w:t>
      </w:r>
      <w:r w:rsidR="00935F07">
        <w:rPr>
          <w:rFonts w:ascii="Verdana" w:hAnsi="Verdana" w:cs="Arial"/>
        </w:rPr>
        <w:t xml:space="preserve"> estatales. Para tales efectos podrá aportarse un título complejo conformado por el contrato y otros documentos que den cuenta de la existencia de obligaciones claras, expresas y exigibles. </w:t>
      </w:r>
      <w:r w:rsidR="004C711C">
        <w:rPr>
          <w:rFonts w:ascii="Verdana" w:hAnsi="Verdana" w:cs="Arial"/>
        </w:rPr>
        <w:t xml:space="preserve">Según esto, la ejecución de la que conoce esta jurisdicción es la del contrato propiamente dicho y no la relativa a los títulos valores que se profieran con ocasión de su ejecución. </w:t>
      </w:r>
    </w:p>
    <w:p w14:paraId="2A241A02" w14:textId="77777777" w:rsidR="004C711C" w:rsidRDefault="004C711C" w:rsidP="009D7400">
      <w:pPr>
        <w:spacing w:line="264" w:lineRule="auto"/>
        <w:jc w:val="both"/>
        <w:rPr>
          <w:rFonts w:ascii="Verdana" w:hAnsi="Verdana" w:cs="Arial"/>
        </w:rPr>
      </w:pPr>
    </w:p>
    <w:p w14:paraId="4606832C" w14:textId="77777777" w:rsidR="00EB7EBC" w:rsidRDefault="004C711C" w:rsidP="009D7400">
      <w:pPr>
        <w:spacing w:line="264" w:lineRule="auto"/>
        <w:jc w:val="both"/>
        <w:rPr>
          <w:rFonts w:ascii="Verdana" w:hAnsi="Verdana" w:cs="Arial"/>
        </w:rPr>
      </w:pPr>
      <w:r>
        <w:rPr>
          <w:rFonts w:ascii="Verdana" w:hAnsi="Verdana" w:cs="Arial"/>
        </w:rPr>
        <w:t xml:space="preserve">En el </w:t>
      </w:r>
      <w:r>
        <w:rPr>
          <w:rFonts w:ascii="Verdana" w:hAnsi="Verdana" w:cs="Arial"/>
          <w:i/>
          <w:iCs/>
        </w:rPr>
        <w:t>sub examine</w:t>
      </w:r>
      <w:r w:rsidR="003514E7">
        <w:rPr>
          <w:rFonts w:ascii="Verdana" w:hAnsi="Verdana" w:cs="Arial"/>
          <w:i/>
          <w:iCs/>
        </w:rPr>
        <w:t>,</w:t>
      </w:r>
      <w:r>
        <w:rPr>
          <w:rFonts w:ascii="Verdana" w:hAnsi="Verdana" w:cs="Arial"/>
        </w:rPr>
        <w:t xml:space="preserve"> en las </w:t>
      </w:r>
      <w:r w:rsidR="003514E7">
        <w:rPr>
          <w:rFonts w:ascii="Verdana" w:hAnsi="Verdana" w:cs="Arial"/>
        </w:rPr>
        <w:t>cláusulas</w:t>
      </w:r>
      <w:r>
        <w:rPr>
          <w:rFonts w:ascii="Verdana" w:hAnsi="Verdana" w:cs="Arial"/>
        </w:rPr>
        <w:t xml:space="preserve"> relativas a la forma de pago, en ejercicio de su autonomía de la voluntad y libertad contractual</w:t>
      </w:r>
      <w:r w:rsidR="006110D9">
        <w:rPr>
          <w:rFonts w:ascii="Verdana" w:hAnsi="Verdana" w:cs="Arial"/>
        </w:rPr>
        <w:t xml:space="preserve"> las partes</w:t>
      </w:r>
      <w:r>
        <w:rPr>
          <w:rFonts w:ascii="Verdana" w:hAnsi="Verdana" w:cs="Arial"/>
        </w:rPr>
        <w:t xml:space="preserve"> estipularon que para el pago de las prestaciones sería requis</w:t>
      </w:r>
      <w:r w:rsidR="003514E7">
        <w:rPr>
          <w:rFonts w:ascii="Verdana" w:hAnsi="Verdana" w:cs="Arial"/>
        </w:rPr>
        <w:t>i</w:t>
      </w:r>
      <w:r>
        <w:rPr>
          <w:rFonts w:ascii="Verdana" w:hAnsi="Verdana" w:cs="Arial"/>
        </w:rPr>
        <w:t xml:space="preserve">to </w:t>
      </w:r>
      <w:r w:rsidR="003514E7">
        <w:rPr>
          <w:rFonts w:ascii="Verdana" w:hAnsi="Verdana" w:cs="Arial"/>
          <w:i/>
          <w:iCs/>
        </w:rPr>
        <w:t xml:space="preserve">sine qua non </w:t>
      </w:r>
      <w:r w:rsidR="003514E7">
        <w:rPr>
          <w:rFonts w:ascii="Verdana" w:hAnsi="Verdana" w:cs="Arial"/>
        </w:rPr>
        <w:t xml:space="preserve">presentar, entre otros documentos </w:t>
      </w:r>
      <w:r w:rsidR="006110D9" w:rsidRPr="00AE1D89">
        <w:rPr>
          <w:rFonts w:ascii="Verdana" w:hAnsi="Verdana" w:cs="Arial"/>
          <w:i/>
          <w:iCs/>
          <w:sz w:val="22"/>
          <w:szCs w:val="22"/>
        </w:rPr>
        <w:t>“</w:t>
      </w:r>
      <w:r w:rsidR="006110D9" w:rsidRPr="00AE1D89">
        <w:rPr>
          <w:rFonts w:ascii="Verdana" w:hAnsi="Verdana" w:cs="Arial"/>
          <w:i/>
          <w:iCs/>
          <w:sz w:val="22"/>
          <w:szCs w:val="22"/>
          <w:u w:val="single"/>
        </w:rPr>
        <w:t>factura cambiaria de compraventa legalmente registrada ante la DIAN, donde se facturen los servicios y actividades efectivamente prestados al Hospital</w:t>
      </w:r>
      <w:r w:rsidR="003514E7" w:rsidRPr="00AE1D89">
        <w:rPr>
          <w:rFonts w:ascii="Verdana" w:hAnsi="Verdana" w:cs="Arial"/>
          <w:i/>
          <w:iCs/>
          <w:sz w:val="22"/>
          <w:szCs w:val="22"/>
        </w:rPr>
        <w:t>”</w:t>
      </w:r>
      <w:r w:rsidR="006110D9">
        <w:rPr>
          <w:rFonts w:ascii="Verdana" w:hAnsi="Verdana" w:cs="Arial"/>
          <w:i/>
          <w:iCs/>
        </w:rPr>
        <w:t>.</w:t>
      </w:r>
      <w:r w:rsidR="00935F07">
        <w:rPr>
          <w:rFonts w:ascii="Verdana" w:hAnsi="Verdana" w:cs="Arial"/>
        </w:rPr>
        <w:t xml:space="preserve"> </w:t>
      </w:r>
      <w:r w:rsidR="006A1036">
        <w:rPr>
          <w:rFonts w:ascii="Verdana" w:hAnsi="Verdana" w:cs="Arial"/>
        </w:rPr>
        <w:t xml:space="preserve">Es decir que, el cobro de </w:t>
      </w:r>
      <w:r w:rsidR="00901888">
        <w:rPr>
          <w:rFonts w:ascii="Verdana" w:hAnsi="Verdana" w:cs="Arial"/>
        </w:rPr>
        <w:t>las sumas adeudadas se haría a través de facturas cambiarias. Lo cual, resulta conveniente dada la forma de ejecución de los contratos celebrados. En cada uno de ellos se pactó un valor total</w:t>
      </w:r>
      <w:r w:rsidR="00FF71EC">
        <w:rPr>
          <w:rFonts w:ascii="Verdana" w:hAnsi="Verdana" w:cs="Arial"/>
        </w:rPr>
        <w:t xml:space="preserve">. Sin embargo, el valor pagado por la entidad contratante sería el registrado en las respectivas facturas, sin superar </w:t>
      </w:r>
      <w:r w:rsidR="00075C9C">
        <w:rPr>
          <w:rFonts w:ascii="Verdana" w:hAnsi="Verdana" w:cs="Arial"/>
        </w:rPr>
        <w:t xml:space="preserve">su </w:t>
      </w:r>
      <w:r w:rsidR="00FF71EC">
        <w:rPr>
          <w:rFonts w:ascii="Verdana" w:hAnsi="Verdana" w:cs="Arial"/>
        </w:rPr>
        <w:t>valor</w:t>
      </w:r>
      <w:r w:rsidR="00075C9C">
        <w:rPr>
          <w:rFonts w:ascii="Verdana" w:hAnsi="Verdana" w:cs="Arial"/>
        </w:rPr>
        <w:t xml:space="preserve"> inicial.</w:t>
      </w:r>
    </w:p>
    <w:p w14:paraId="02E31946" w14:textId="77777777" w:rsidR="00EB7EBC" w:rsidRDefault="00EB7EBC" w:rsidP="009D7400">
      <w:pPr>
        <w:spacing w:line="264" w:lineRule="auto"/>
        <w:jc w:val="both"/>
        <w:rPr>
          <w:rFonts w:ascii="Verdana" w:hAnsi="Verdana" w:cs="Arial"/>
        </w:rPr>
      </w:pPr>
    </w:p>
    <w:p w14:paraId="5D4D4BF9" w14:textId="3A4F5511" w:rsidR="006B6104" w:rsidRDefault="00EB7EBC" w:rsidP="009D7400">
      <w:pPr>
        <w:spacing w:line="264" w:lineRule="auto"/>
        <w:jc w:val="both"/>
        <w:rPr>
          <w:rFonts w:ascii="Verdana" w:hAnsi="Verdana" w:cs="Arial"/>
        </w:rPr>
      </w:pPr>
      <w:r>
        <w:rPr>
          <w:rFonts w:ascii="Verdana" w:hAnsi="Verdana" w:cs="Arial"/>
        </w:rPr>
        <w:t xml:space="preserve">En efecto, se corrobora que </w:t>
      </w:r>
      <w:r w:rsidR="00276305">
        <w:rPr>
          <w:rFonts w:ascii="Verdana" w:hAnsi="Verdana" w:cs="Arial"/>
        </w:rPr>
        <w:t>l</w:t>
      </w:r>
      <w:r>
        <w:rPr>
          <w:rFonts w:ascii="Verdana" w:hAnsi="Verdana" w:cs="Arial"/>
        </w:rPr>
        <w:t>os</w:t>
      </w:r>
      <w:r w:rsidR="009D6716">
        <w:rPr>
          <w:rFonts w:ascii="Verdana" w:hAnsi="Verdana" w:cs="Arial"/>
        </w:rPr>
        <w:t xml:space="preserve"> contratos</w:t>
      </w:r>
      <w:r>
        <w:rPr>
          <w:rFonts w:ascii="Verdana" w:hAnsi="Verdana" w:cs="Arial"/>
        </w:rPr>
        <w:t xml:space="preserve"> </w:t>
      </w:r>
      <w:r w:rsidR="00872F97">
        <w:rPr>
          <w:rFonts w:ascii="Verdana" w:hAnsi="Verdana" w:cs="Arial"/>
        </w:rPr>
        <w:t>No. 167</w:t>
      </w:r>
      <w:r w:rsidR="00D745C5">
        <w:rPr>
          <w:rFonts w:ascii="Verdana" w:hAnsi="Verdana" w:cs="Arial"/>
        </w:rPr>
        <w:t>,</w:t>
      </w:r>
      <w:r w:rsidR="00872F97">
        <w:rPr>
          <w:rFonts w:ascii="Verdana" w:hAnsi="Verdana" w:cs="Arial"/>
        </w:rPr>
        <w:t xml:space="preserve"> </w:t>
      </w:r>
      <w:r w:rsidR="00857D9E">
        <w:rPr>
          <w:rFonts w:ascii="Verdana" w:hAnsi="Verdana" w:cs="Arial"/>
        </w:rPr>
        <w:t xml:space="preserve">188, </w:t>
      </w:r>
      <w:r w:rsidR="00D745C5">
        <w:rPr>
          <w:rFonts w:ascii="Verdana" w:hAnsi="Verdana" w:cs="Arial"/>
        </w:rPr>
        <w:t>210,</w:t>
      </w:r>
      <w:r w:rsidR="008B2167">
        <w:rPr>
          <w:rFonts w:ascii="Verdana" w:hAnsi="Verdana" w:cs="Arial"/>
        </w:rPr>
        <w:t xml:space="preserve"> 211 y 234</w:t>
      </w:r>
      <w:r w:rsidR="00276305">
        <w:rPr>
          <w:rFonts w:ascii="Verdana" w:hAnsi="Verdana" w:cs="Arial"/>
        </w:rPr>
        <w:t xml:space="preserve"> son de mayor valor a aquel cuya ejecución se persigue.</w:t>
      </w:r>
      <w:r w:rsidR="009D6716">
        <w:rPr>
          <w:rFonts w:ascii="Verdana" w:hAnsi="Verdana" w:cs="Arial"/>
        </w:rPr>
        <w:t xml:space="preserve"> Razón por la cual, es evidente que, tal como se consignó en las pretensiones de la demanda, </w:t>
      </w:r>
      <w:r w:rsidR="000B2828">
        <w:rPr>
          <w:rFonts w:ascii="Verdana" w:hAnsi="Verdana" w:cs="Arial"/>
        </w:rPr>
        <w:t>la ejecución no se predica de los contratos propiamente dichos</w:t>
      </w:r>
      <w:r w:rsidR="006531C1">
        <w:rPr>
          <w:rFonts w:ascii="Verdana" w:hAnsi="Verdana" w:cs="Arial"/>
        </w:rPr>
        <w:t xml:space="preserve"> o de sus actas de liquidación</w:t>
      </w:r>
      <w:r w:rsidR="000B2828">
        <w:rPr>
          <w:rFonts w:ascii="Verdana" w:hAnsi="Verdana" w:cs="Arial"/>
        </w:rPr>
        <w:t xml:space="preserve">, sino </w:t>
      </w:r>
      <w:r w:rsidR="000B2828">
        <w:rPr>
          <w:rFonts w:ascii="Verdana" w:hAnsi="Verdana" w:cs="Arial"/>
        </w:rPr>
        <w:lastRenderedPageBreak/>
        <w:t>de las facturas cambiar</w:t>
      </w:r>
      <w:r w:rsidR="001261D7">
        <w:rPr>
          <w:rFonts w:ascii="Verdana" w:hAnsi="Verdana" w:cs="Arial"/>
        </w:rPr>
        <w:t>i</w:t>
      </w:r>
      <w:r w:rsidR="000B2828">
        <w:rPr>
          <w:rFonts w:ascii="Verdana" w:hAnsi="Verdana" w:cs="Arial"/>
        </w:rPr>
        <w:t xml:space="preserve">as expedidas con ocasión de su ejecución. Estos títulos valores son los que contienen el valor real de la deuda en la medida que acreditan los servicios realmente prestados y objeto de cobro a la ejecutada. </w:t>
      </w:r>
    </w:p>
    <w:p w14:paraId="79687C7A" w14:textId="77777777" w:rsidR="006B6104" w:rsidRDefault="006B6104" w:rsidP="009D7400">
      <w:pPr>
        <w:spacing w:line="264" w:lineRule="auto"/>
        <w:jc w:val="both"/>
        <w:rPr>
          <w:rFonts w:ascii="Verdana" w:hAnsi="Verdana" w:cs="Arial"/>
        </w:rPr>
      </w:pPr>
    </w:p>
    <w:p w14:paraId="387C502D" w14:textId="7DFC7450" w:rsidR="0083376C" w:rsidRDefault="0031002D" w:rsidP="009D7400">
      <w:pPr>
        <w:spacing w:line="264" w:lineRule="auto"/>
        <w:jc w:val="both"/>
        <w:rPr>
          <w:rFonts w:ascii="Verdana" w:hAnsi="Verdana" w:cs="Arial"/>
        </w:rPr>
      </w:pPr>
      <w:r>
        <w:rPr>
          <w:rFonts w:ascii="Verdana" w:hAnsi="Verdana" w:cs="Arial"/>
        </w:rPr>
        <w:t xml:space="preserve">Según </w:t>
      </w:r>
      <w:r w:rsidR="006B6104">
        <w:rPr>
          <w:rFonts w:ascii="Verdana" w:hAnsi="Verdana" w:cs="Arial"/>
        </w:rPr>
        <w:t>lo dilucidó la Sala Jurisdiccional Disciplinaria</w:t>
      </w:r>
      <w:r w:rsidR="001261D7">
        <w:rPr>
          <w:rFonts w:ascii="Verdana" w:hAnsi="Verdana" w:cs="Arial"/>
        </w:rPr>
        <w:t>,</w:t>
      </w:r>
      <w:r w:rsidR="006B6104">
        <w:rPr>
          <w:rFonts w:ascii="Verdana" w:hAnsi="Verdana" w:cs="Arial"/>
        </w:rPr>
        <w:t xml:space="preserve"> </w:t>
      </w:r>
      <w:r w:rsidR="006B6104" w:rsidRPr="00853939">
        <w:rPr>
          <w:rFonts w:ascii="Verdana" w:hAnsi="Verdana" w:cs="Arial"/>
          <w:i/>
          <w:iCs/>
          <w:sz w:val="22"/>
          <w:szCs w:val="22"/>
        </w:rPr>
        <w:t>“</w:t>
      </w:r>
      <w:r w:rsidR="006B6104" w:rsidRPr="00853939">
        <w:rPr>
          <w:rFonts w:ascii="Verdana" w:hAnsi="Verdana" w:cs="Arial"/>
          <w:i/>
          <w:iCs/>
          <w:sz w:val="22"/>
          <w:szCs w:val="22"/>
          <w:lang w:val="es-CO"/>
        </w:rPr>
        <w:t>el elemento determinador del juez natural en el presente asunto, no puede ser otro que el propio documento que se quiere hacer valer como título valor</w:t>
      </w:r>
      <w:r w:rsidR="006B6104">
        <w:rPr>
          <w:rFonts w:ascii="Verdana" w:hAnsi="Verdana" w:cs="Arial"/>
          <w:i/>
          <w:iCs/>
          <w:sz w:val="22"/>
          <w:szCs w:val="22"/>
          <w:lang w:val="es-CO"/>
        </w:rPr>
        <w:t xml:space="preserve"> (…)</w:t>
      </w:r>
      <w:r w:rsidR="006B6104" w:rsidRPr="00853939">
        <w:rPr>
          <w:rFonts w:ascii="Verdana" w:hAnsi="Verdana" w:cs="Arial"/>
          <w:i/>
          <w:iCs/>
          <w:sz w:val="22"/>
          <w:szCs w:val="22"/>
        </w:rPr>
        <w:t>”</w:t>
      </w:r>
      <w:r w:rsidR="001261D7">
        <w:rPr>
          <w:rFonts w:ascii="Verdana" w:hAnsi="Verdana" w:cs="Arial"/>
          <w:i/>
          <w:iCs/>
          <w:sz w:val="22"/>
          <w:szCs w:val="22"/>
        </w:rPr>
        <w:t>,</w:t>
      </w:r>
      <w:r w:rsidR="006B6104">
        <w:rPr>
          <w:rFonts w:ascii="Verdana" w:hAnsi="Verdana" w:cs="Arial"/>
          <w:i/>
          <w:iCs/>
          <w:sz w:val="22"/>
          <w:szCs w:val="22"/>
        </w:rPr>
        <w:t xml:space="preserve"> </w:t>
      </w:r>
      <w:r w:rsidR="006B6104">
        <w:rPr>
          <w:rFonts w:ascii="Verdana" w:hAnsi="Verdana" w:cs="Arial"/>
        </w:rPr>
        <w:t>que, para el presente caso, no son otro</w:t>
      </w:r>
      <w:r w:rsidR="00EE4649">
        <w:rPr>
          <w:rFonts w:ascii="Verdana" w:hAnsi="Verdana" w:cs="Arial"/>
        </w:rPr>
        <w:t xml:space="preserve">s que las facturas cambiarias No. </w:t>
      </w:r>
      <w:r w:rsidR="00EE4649" w:rsidRPr="00EE4649">
        <w:rPr>
          <w:rFonts w:ascii="Verdana" w:hAnsi="Verdana" w:cs="Arial"/>
        </w:rPr>
        <w:t>00303, 00304 y 00305 de 2016,</w:t>
      </w:r>
      <w:r w:rsidR="00970CE8">
        <w:rPr>
          <w:rFonts w:ascii="Verdana" w:hAnsi="Verdana" w:cs="Arial"/>
        </w:rPr>
        <w:t xml:space="preserve"> y</w:t>
      </w:r>
      <w:r w:rsidR="00EE4649" w:rsidRPr="00EE4649">
        <w:rPr>
          <w:rFonts w:ascii="Verdana" w:hAnsi="Verdana" w:cs="Arial"/>
        </w:rPr>
        <w:t xml:space="preserve"> 00394</w:t>
      </w:r>
      <w:r w:rsidR="00EE4649">
        <w:rPr>
          <w:rFonts w:ascii="Verdana" w:hAnsi="Verdana" w:cs="Arial"/>
        </w:rPr>
        <w:t>,</w:t>
      </w:r>
      <w:r w:rsidR="00EE4649" w:rsidRPr="00EE4649">
        <w:rPr>
          <w:rFonts w:ascii="Verdana" w:hAnsi="Verdana" w:cs="Arial"/>
        </w:rPr>
        <w:t xml:space="preserve"> 00395 00401</w:t>
      </w:r>
      <w:r w:rsidR="00EE4649">
        <w:rPr>
          <w:rFonts w:ascii="Verdana" w:hAnsi="Verdana" w:cs="Arial"/>
        </w:rPr>
        <w:t>,</w:t>
      </w:r>
      <w:r w:rsidR="00EE4649" w:rsidRPr="00EE4649">
        <w:rPr>
          <w:rFonts w:ascii="Verdana" w:hAnsi="Verdana" w:cs="Arial"/>
        </w:rPr>
        <w:t xml:space="preserve"> 00402</w:t>
      </w:r>
      <w:r w:rsidR="00970CE8">
        <w:rPr>
          <w:rFonts w:ascii="Verdana" w:hAnsi="Verdana" w:cs="Arial"/>
        </w:rPr>
        <w:t>,</w:t>
      </w:r>
      <w:r w:rsidR="00EE4649" w:rsidRPr="00EE4649">
        <w:rPr>
          <w:rFonts w:ascii="Verdana" w:hAnsi="Verdana" w:cs="Arial"/>
        </w:rPr>
        <w:t xml:space="preserve"> </w:t>
      </w:r>
      <w:r w:rsidR="00970CE8">
        <w:rPr>
          <w:rFonts w:ascii="Verdana" w:hAnsi="Verdana" w:cs="Arial"/>
        </w:rPr>
        <w:t>0</w:t>
      </w:r>
      <w:r w:rsidR="00EE4649" w:rsidRPr="00EE4649">
        <w:rPr>
          <w:rFonts w:ascii="Verdana" w:hAnsi="Verdana" w:cs="Arial"/>
        </w:rPr>
        <w:t>0404 y 00405 de 2017</w:t>
      </w:r>
      <w:r w:rsidR="00970CE8">
        <w:rPr>
          <w:rFonts w:ascii="Verdana" w:hAnsi="Verdana" w:cs="Arial"/>
        </w:rPr>
        <w:t>, las cuales, se reitera, consagran l</w:t>
      </w:r>
      <w:r w:rsidR="002862EA">
        <w:rPr>
          <w:rFonts w:ascii="Verdana" w:hAnsi="Verdana" w:cs="Arial"/>
        </w:rPr>
        <w:t xml:space="preserve">a obligación </w:t>
      </w:r>
      <w:r w:rsidR="00970CE8">
        <w:rPr>
          <w:rFonts w:ascii="Verdana" w:hAnsi="Verdana" w:cs="Arial"/>
        </w:rPr>
        <w:t xml:space="preserve">cuyo pago persigue la ejecutante. </w:t>
      </w:r>
      <w:r>
        <w:rPr>
          <w:rFonts w:ascii="Verdana" w:hAnsi="Verdana" w:cs="Arial"/>
        </w:rPr>
        <w:t xml:space="preserve">Como se señaló en las consideraciones precedentes, la literalidad y autonomía que </w:t>
      </w:r>
      <w:r w:rsidR="0083376C">
        <w:rPr>
          <w:rFonts w:ascii="Verdana" w:hAnsi="Verdana" w:cs="Arial"/>
        </w:rPr>
        <w:t>caracteriza a tales títulos valores permite su ejecución independiente. Sin embargo, esta no es la jurisdicción competente para conocer esta clase de asuntos. Dicho de otro modo, es evidente que, la ejecución de las pluricitadas facturas puede llevarse</w:t>
      </w:r>
      <w:r w:rsidR="002862EA">
        <w:rPr>
          <w:rFonts w:ascii="Verdana" w:hAnsi="Verdana" w:cs="Arial"/>
        </w:rPr>
        <w:t xml:space="preserve"> a cabo </w:t>
      </w:r>
      <w:r w:rsidR="00EE4DF1">
        <w:rPr>
          <w:rFonts w:ascii="Verdana" w:hAnsi="Verdana" w:cs="Arial"/>
        </w:rPr>
        <w:t>al margen de la relación contractual, pues como se señaló, no dependen de manera directa de tales negocios jurídicos. El derecho en ellos incorporados es exigible por vía de ejecución</w:t>
      </w:r>
      <w:r w:rsidR="002A4065">
        <w:rPr>
          <w:rFonts w:ascii="Verdana" w:hAnsi="Verdana" w:cs="Arial"/>
        </w:rPr>
        <w:t xml:space="preserve"> y no requieren de la aportación de otros </w:t>
      </w:r>
      <w:r w:rsidR="00BD7489">
        <w:rPr>
          <w:rFonts w:ascii="Verdana" w:hAnsi="Verdana" w:cs="Arial"/>
        </w:rPr>
        <w:t>documentos que</w:t>
      </w:r>
      <w:r w:rsidR="002A4065">
        <w:rPr>
          <w:rFonts w:ascii="Verdana" w:hAnsi="Verdana" w:cs="Arial"/>
        </w:rPr>
        <w:t xml:space="preserve"> den cuenta de su existencia y valide</w:t>
      </w:r>
      <w:r w:rsidR="00BD7489">
        <w:rPr>
          <w:rFonts w:ascii="Verdana" w:hAnsi="Verdana" w:cs="Arial"/>
        </w:rPr>
        <w:t>z</w:t>
      </w:r>
      <w:r w:rsidR="002A4065">
        <w:rPr>
          <w:rFonts w:ascii="Verdana" w:hAnsi="Verdana" w:cs="Arial"/>
        </w:rPr>
        <w:t xml:space="preserve">, </w:t>
      </w:r>
      <w:r w:rsidR="002A4065">
        <w:rPr>
          <w:rFonts w:ascii="Verdana" w:hAnsi="Verdana" w:cs="Arial"/>
          <w:i/>
          <w:iCs/>
        </w:rPr>
        <w:t xml:space="preserve">verbi gratia </w:t>
      </w:r>
      <w:r w:rsidR="00A24561">
        <w:rPr>
          <w:rFonts w:ascii="Verdana" w:hAnsi="Verdana" w:cs="Arial"/>
        </w:rPr>
        <w:t xml:space="preserve">el contrato estatal. </w:t>
      </w:r>
      <w:r w:rsidR="00EE4DF1">
        <w:rPr>
          <w:rFonts w:ascii="Verdana" w:hAnsi="Verdana" w:cs="Arial"/>
        </w:rPr>
        <w:t xml:space="preserve"> </w:t>
      </w:r>
      <w:r w:rsidR="0083376C">
        <w:rPr>
          <w:rFonts w:ascii="Verdana" w:hAnsi="Verdana" w:cs="Arial"/>
        </w:rPr>
        <w:t xml:space="preserve"> </w:t>
      </w:r>
    </w:p>
    <w:p w14:paraId="141CB1EE" w14:textId="77777777" w:rsidR="00AA2256" w:rsidRDefault="00AA2256" w:rsidP="009D7400">
      <w:pPr>
        <w:spacing w:line="264" w:lineRule="auto"/>
        <w:jc w:val="both"/>
        <w:rPr>
          <w:rFonts w:ascii="Verdana" w:hAnsi="Verdana" w:cs="Arial"/>
        </w:rPr>
      </w:pPr>
    </w:p>
    <w:p w14:paraId="2BE2BA4C" w14:textId="77777777" w:rsidR="00A24561" w:rsidRPr="009D7400" w:rsidRDefault="002A45F6" w:rsidP="009D7400">
      <w:pPr>
        <w:spacing w:line="264" w:lineRule="auto"/>
        <w:jc w:val="both"/>
        <w:rPr>
          <w:rFonts w:ascii="Verdana" w:hAnsi="Verdana" w:cs="Arial"/>
        </w:rPr>
      </w:pPr>
      <w:r>
        <w:rPr>
          <w:rFonts w:ascii="Verdana" w:hAnsi="Verdana" w:cs="Arial"/>
        </w:rPr>
        <w:t>En suma,</w:t>
      </w:r>
      <w:r w:rsidR="00CC1650">
        <w:rPr>
          <w:rFonts w:ascii="Verdana" w:hAnsi="Verdana" w:cs="Arial"/>
        </w:rPr>
        <w:t xml:space="preserve"> </w:t>
      </w:r>
      <w:r w:rsidR="00271ACC">
        <w:rPr>
          <w:rFonts w:ascii="Verdana" w:hAnsi="Verdana" w:cs="Arial"/>
        </w:rPr>
        <w:t>tal</w:t>
      </w:r>
      <w:r w:rsidR="004960EE">
        <w:rPr>
          <w:rFonts w:ascii="Verdana" w:hAnsi="Verdana" w:cs="Arial"/>
        </w:rPr>
        <w:t xml:space="preserve"> como</w:t>
      </w:r>
      <w:r w:rsidR="00271ACC">
        <w:rPr>
          <w:rFonts w:ascii="Verdana" w:hAnsi="Verdana" w:cs="Arial"/>
        </w:rPr>
        <w:t xml:space="preserve"> se deriva literalmente de la </w:t>
      </w:r>
      <w:r w:rsidR="00271ACC" w:rsidRPr="00923252">
        <w:rPr>
          <w:rFonts w:ascii="Verdana" w:hAnsi="Verdana" w:cs="Arial"/>
          <w:i/>
          <w:iCs/>
        </w:rPr>
        <w:t>causa</w:t>
      </w:r>
      <w:r w:rsidR="00271ACC">
        <w:rPr>
          <w:rFonts w:ascii="Verdana" w:hAnsi="Verdana" w:cs="Arial"/>
          <w:i/>
          <w:iCs/>
        </w:rPr>
        <w:t xml:space="preserve"> petendi</w:t>
      </w:r>
      <w:r w:rsidR="00271ACC">
        <w:rPr>
          <w:rFonts w:ascii="Verdana" w:hAnsi="Verdana" w:cs="Arial"/>
        </w:rPr>
        <w:t xml:space="preserve"> y de las pretensiones de la demanda, </w:t>
      </w:r>
      <w:r w:rsidR="00CC1650">
        <w:rPr>
          <w:rFonts w:ascii="Verdana" w:hAnsi="Verdana" w:cs="Arial"/>
        </w:rPr>
        <w:t>la ejecución no se predica de las obligaciones contenidas en los contratos estatales</w:t>
      </w:r>
      <w:r w:rsidR="00271ACC">
        <w:rPr>
          <w:rFonts w:ascii="Verdana" w:hAnsi="Verdana" w:cs="Arial"/>
        </w:rPr>
        <w:t>,</w:t>
      </w:r>
      <w:r w:rsidR="00CC1650">
        <w:rPr>
          <w:rFonts w:ascii="Verdana" w:hAnsi="Verdana" w:cs="Arial"/>
        </w:rPr>
        <w:t xml:space="preserve"> sino en las facturas cambiarias. </w:t>
      </w:r>
      <w:r w:rsidR="00271ACC">
        <w:rPr>
          <w:rFonts w:ascii="Verdana" w:hAnsi="Verdana" w:cs="Arial"/>
        </w:rPr>
        <w:t xml:space="preserve">Las cuales, </w:t>
      </w:r>
      <w:r w:rsidR="00EB5365">
        <w:rPr>
          <w:rFonts w:ascii="Verdana" w:hAnsi="Verdana" w:cs="Arial"/>
        </w:rPr>
        <w:t>al tenor de lo consignado en los artículos 780 y ss del Código de Comercio, pueden ser objeto de acción cambiaria</w:t>
      </w:r>
      <w:r w:rsidR="00923252">
        <w:rPr>
          <w:rFonts w:ascii="Verdana" w:hAnsi="Verdana" w:cs="Arial"/>
        </w:rPr>
        <w:t xml:space="preserve">. </w:t>
      </w:r>
      <w:r w:rsidR="00CC1650">
        <w:rPr>
          <w:rFonts w:ascii="Verdana" w:hAnsi="Verdana" w:cs="Arial"/>
        </w:rPr>
        <w:t xml:space="preserve"> </w:t>
      </w:r>
    </w:p>
    <w:p w14:paraId="45A39FDC" w14:textId="77777777" w:rsidR="00AE1D89" w:rsidRDefault="00AE1D89" w:rsidP="009D7400">
      <w:pPr>
        <w:spacing w:line="264" w:lineRule="auto"/>
        <w:jc w:val="both"/>
        <w:rPr>
          <w:rFonts w:ascii="Verdana" w:hAnsi="Verdana" w:cs="Arial"/>
        </w:rPr>
      </w:pPr>
    </w:p>
    <w:p w14:paraId="2A72BEE6" w14:textId="5AB0A480" w:rsidR="00465458" w:rsidRPr="009D7400" w:rsidRDefault="00AE40EB" w:rsidP="009D7400">
      <w:pPr>
        <w:spacing w:line="264" w:lineRule="auto"/>
        <w:jc w:val="both"/>
        <w:rPr>
          <w:rFonts w:ascii="Verdana" w:hAnsi="Verdana" w:cs="Arial"/>
        </w:rPr>
      </w:pPr>
      <w:r w:rsidRPr="009D7400">
        <w:rPr>
          <w:rFonts w:ascii="Verdana" w:hAnsi="Verdana" w:cs="Arial"/>
        </w:rPr>
        <w:t xml:space="preserve">En atención a lo expuesto, se tiene que la competencia para conocer del presente proceso ejecutivo, corresponde a la </w:t>
      </w:r>
      <w:r w:rsidR="00A24561">
        <w:rPr>
          <w:rFonts w:ascii="Verdana" w:hAnsi="Verdana" w:cs="Arial"/>
        </w:rPr>
        <w:t>j</w:t>
      </w:r>
      <w:r w:rsidRPr="009D7400">
        <w:rPr>
          <w:rFonts w:ascii="Verdana" w:hAnsi="Verdana" w:cs="Arial"/>
        </w:rPr>
        <w:t xml:space="preserve">urisdicción </w:t>
      </w:r>
      <w:r w:rsidR="00A24561">
        <w:rPr>
          <w:rFonts w:ascii="Verdana" w:hAnsi="Verdana" w:cs="Arial"/>
        </w:rPr>
        <w:t>o</w:t>
      </w:r>
      <w:r w:rsidRPr="009D7400">
        <w:rPr>
          <w:rFonts w:ascii="Verdana" w:hAnsi="Verdana" w:cs="Arial"/>
        </w:rPr>
        <w:t>rdinaria</w:t>
      </w:r>
      <w:r w:rsidR="00A24561">
        <w:rPr>
          <w:rFonts w:ascii="Verdana" w:hAnsi="Verdana" w:cs="Arial"/>
        </w:rPr>
        <w:t xml:space="preserve"> en su especialidad c</w:t>
      </w:r>
      <w:r w:rsidRPr="009D7400">
        <w:rPr>
          <w:rFonts w:ascii="Verdana" w:hAnsi="Verdana" w:cs="Arial"/>
        </w:rPr>
        <w:t>ivil</w:t>
      </w:r>
      <w:r w:rsidR="00A24561">
        <w:rPr>
          <w:rFonts w:ascii="Verdana" w:hAnsi="Verdana" w:cs="Arial"/>
        </w:rPr>
        <w:t>. En tal sentido,</w:t>
      </w:r>
      <w:r w:rsidR="00AA2708">
        <w:rPr>
          <w:rFonts w:ascii="Verdana" w:hAnsi="Verdana" w:cs="Arial"/>
        </w:rPr>
        <w:t xml:space="preserve"> como lo impone al artículo 168 del CPACA</w:t>
      </w:r>
      <w:r w:rsidR="00A24561">
        <w:rPr>
          <w:rFonts w:ascii="Verdana" w:hAnsi="Verdana" w:cs="Arial"/>
        </w:rPr>
        <w:t xml:space="preserve"> </w:t>
      </w:r>
      <w:r w:rsidR="00AA2708">
        <w:rPr>
          <w:rFonts w:ascii="Verdana" w:hAnsi="Verdana" w:cs="Arial"/>
        </w:rPr>
        <w:t xml:space="preserve">y </w:t>
      </w:r>
      <w:r w:rsidR="00465458">
        <w:rPr>
          <w:rFonts w:ascii="Verdana" w:hAnsi="Verdana" w:cs="Arial"/>
        </w:rPr>
        <w:t>en atención al factor cuantía y territorial</w:t>
      </w:r>
      <w:r w:rsidR="00AD52F9">
        <w:rPr>
          <w:rFonts w:ascii="Verdana" w:hAnsi="Verdana" w:cs="Arial"/>
        </w:rPr>
        <w:t xml:space="preserve"> según las previsiones de los artículos 20, </w:t>
      </w:r>
      <w:r w:rsidR="00915972">
        <w:rPr>
          <w:rFonts w:ascii="Verdana" w:hAnsi="Verdana" w:cs="Arial"/>
        </w:rPr>
        <w:t>25, 26.1 y 28.3 del CGP</w:t>
      </w:r>
      <w:r w:rsidR="00465458">
        <w:rPr>
          <w:rFonts w:ascii="Verdana" w:hAnsi="Verdana" w:cs="Arial"/>
        </w:rPr>
        <w:t xml:space="preserve">, </w:t>
      </w:r>
      <w:r w:rsidR="00A24561">
        <w:rPr>
          <w:rFonts w:ascii="Verdana" w:hAnsi="Verdana" w:cs="Arial"/>
        </w:rPr>
        <w:t xml:space="preserve">se ordenará la remisión de las diligencias ante los Juzgados Civiles del Circuito </w:t>
      </w:r>
      <w:r w:rsidR="00915972">
        <w:rPr>
          <w:rFonts w:ascii="Verdana" w:hAnsi="Verdana" w:cs="Arial"/>
        </w:rPr>
        <w:t>de Guateque</w:t>
      </w:r>
      <w:r w:rsidR="004D7810">
        <w:rPr>
          <w:rFonts w:ascii="Verdana" w:hAnsi="Verdana" w:cs="Arial"/>
        </w:rPr>
        <w:t xml:space="preserve"> </w:t>
      </w:r>
      <w:r w:rsidR="00A24561">
        <w:rPr>
          <w:rFonts w:ascii="Verdana" w:hAnsi="Verdana" w:cs="Arial"/>
        </w:rPr>
        <w:t>– Reparto</w:t>
      </w:r>
      <w:r w:rsidR="004D7810">
        <w:rPr>
          <w:rFonts w:ascii="Verdana" w:hAnsi="Verdana" w:cs="Arial"/>
        </w:rPr>
        <w:t xml:space="preserve">, para lo pertinente. </w:t>
      </w:r>
      <w:r w:rsidR="00B17C23">
        <w:rPr>
          <w:rFonts w:ascii="Verdana" w:hAnsi="Verdana" w:cs="Arial"/>
        </w:rPr>
        <w:t xml:space="preserve">Conforme a dichas normas </w:t>
      </w:r>
      <w:r w:rsidR="00B17C23">
        <w:rPr>
          <w:rFonts w:ascii="Verdana" w:hAnsi="Verdana" w:cs="Arial"/>
          <w:i/>
          <w:iCs/>
        </w:rPr>
        <w:t xml:space="preserve">i) </w:t>
      </w:r>
      <w:r w:rsidR="00B17C23">
        <w:rPr>
          <w:rFonts w:ascii="Verdana" w:hAnsi="Verdana" w:cs="Arial"/>
        </w:rPr>
        <w:t>los Jueces Civiles del Circuito conocen de los procesos de mayor cuantía -superiores a 150 SMLMV-,</w:t>
      </w:r>
      <w:r w:rsidR="00DE300E">
        <w:rPr>
          <w:rFonts w:ascii="Verdana" w:hAnsi="Verdana" w:cs="Arial"/>
        </w:rPr>
        <w:t xml:space="preserve"> y</w:t>
      </w:r>
      <w:r w:rsidR="004D7810">
        <w:rPr>
          <w:rFonts w:ascii="Verdana" w:hAnsi="Verdana" w:cs="Arial"/>
        </w:rPr>
        <w:t xml:space="preserve"> </w:t>
      </w:r>
      <w:r w:rsidR="00B17C23" w:rsidRPr="00B17C23">
        <w:rPr>
          <w:rFonts w:ascii="Verdana" w:hAnsi="Verdana" w:cs="Arial"/>
          <w:i/>
          <w:iCs/>
        </w:rPr>
        <w:t>ii)</w:t>
      </w:r>
      <w:r w:rsidR="00B17C23">
        <w:rPr>
          <w:rFonts w:ascii="Verdana" w:hAnsi="Verdana" w:cs="Arial"/>
          <w:i/>
          <w:iCs/>
        </w:rPr>
        <w:t xml:space="preserve"> </w:t>
      </w:r>
      <w:r w:rsidR="00DE300E">
        <w:rPr>
          <w:rFonts w:ascii="Verdana" w:hAnsi="Verdana" w:cs="Arial"/>
        </w:rPr>
        <w:t xml:space="preserve">respecto de la ejecución de títulos ejecutivos es competente el </w:t>
      </w:r>
      <w:r w:rsidR="00465458" w:rsidRPr="00465458">
        <w:rPr>
          <w:rFonts w:ascii="Verdana" w:hAnsi="Verdana" w:cs="Arial"/>
        </w:rPr>
        <w:t xml:space="preserve">juez del lugar de cumplimiento de las obligaciones. </w:t>
      </w:r>
    </w:p>
    <w:p w14:paraId="0F124BDC" w14:textId="77777777" w:rsidR="00AE40EB" w:rsidRPr="009D7400" w:rsidRDefault="00AE40EB" w:rsidP="009D7400">
      <w:pPr>
        <w:spacing w:line="264" w:lineRule="auto"/>
        <w:jc w:val="both"/>
        <w:rPr>
          <w:rFonts w:ascii="Verdana" w:hAnsi="Verdana" w:cs="Arial"/>
        </w:rPr>
      </w:pPr>
    </w:p>
    <w:p w14:paraId="4BF4E347" w14:textId="77777777" w:rsidR="0062484C" w:rsidRPr="009D7400" w:rsidRDefault="0062484C" w:rsidP="009D7400">
      <w:pPr>
        <w:spacing w:line="264" w:lineRule="auto"/>
        <w:jc w:val="both"/>
        <w:rPr>
          <w:rFonts w:ascii="Verdana" w:hAnsi="Verdana" w:cs="Arial"/>
        </w:rPr>
      </w:pPr>
      <w:r w:rsidRPr="009D7400">
        <w:rPr>
          <w:rFonts w:ascii="Verdana" w:hAnsi="Verdana" w:cs="Arial"/>
        </w:rPr>
        <w:t xml:space="preserve">En </w:t>
      </w:r>
      <w:r w:rsidR="006E5676" w:rsidRPr="009D7400">
        <w:rPr>
          <w:rFonts w:ascii="Verdana" w:hAnsi="Verdana" w:cs="Arial"/>
        </w:rPr>
        <w:t>mérito</w:t>
      </w:r>
      <w:r w:rsidRPr="009D7400">
        <w:rPr>
          <w:rFonts w:ascii="Verdana" w:hAnsi="Verdana" w:cs="Arial"/>
        </w:rPr>
        <w:t xml:space="preserve"> de lo anterior, el Despacho</w:t>
      </w:r>
    </w:p>
    <w:p w14:paraId="0CC00904" w14:textId="77777777" w:rsidR="0062484C" w:rsidRPr="009D7400" w:rsidRDefault="0062484C" w:rsidP="009D7400">
      <w:pPr>
        <w:spacing w:line="264" w:lineRule="auto"/>
        <w:jc w:val="both"/>
        <w:rPr>
          <w:rFonts w:ascii="Verdana" w:hAnsi="Verdana" w:cs="Arial"/>
        </w:rPr>
      </w:pPr>
    </w:p>
    <w:p w14:paraId="69D5BC54" w14:textId="218BDE27" w:rsidR="00207D22" w:rsidRPr="00AE1D89" w:rsidRDefault="00DE3316" w:rsidP="009D7400">
      <w:pPr>
        <w:spacing w:line="264" w:lineRule="auto"/>
        <w:jc w:val="center"/>
        <w:rPr>
          <w:rFonts w:ascii="Verdana" w:hAnsi="Verdana" w:cs="Arial"/>
          <w:b/>
          <w:sz w:val="26"/>
          <w:szCs w:val="26"/>
        </w:rPr>
      </w:pPr>
      <w:r w:rsidRPr="00AE1D89">
        <w:rPr>
          <w:rFonts w:ascii="Verdana" w:hAnsi="Verdana"/>
          <w:b/>
          <w:sz w:val="26"/>
          <w:szCs w:val="26"/>
        </w:rPr>
        <w:lastRenderedPageBreak/>
        <w:t xml:space="preserve">III. </w:t>
      </w:r>
      <w:r w:rsidR="00AE1D89" w:rsidRPr="00AE1D89">
        <w:rPr>
          <w:rFonts w:ascii="Verdana" w:hAnsi="Verdana"/>
          <w:b/>
          <w:sz w:val="26"/>
          <w:szCs w:val="26"/>
        </w:rPr>
        <w:t xml:space="preserve">  </w:t>
      </w:r>
      <w:r w:rsidR="00207D22" w:rsidRPr="00AE1D89">
        <w:rPr>
          <w:rFonts w:ascii="Verdana" w:hAnsi="Verdana"/>
          <w:b/>
          <w:sz w:val="26"/>
          <w:szCs w:val="26"/>
        </w:rPr>
        <w:t>R</w:t>
      </w:r>
      <w:r w:rsidR="00342CE2" w:rsidRPr="00AE1D89">
        <w:rPr>
          <w:rFonts w:ascii="Verdana" w:hAnsi="Verdana"/>
          <w:b/>
          <w:sz w:val="26"/>
          <w:szCs w:val="26"/>
        </w:rPr>
        <w:t xml:space="preserve"> </w:t>
      </w:r>
      <w:r w:rsidR="00207D22" w:rsidRPr="00AE1D89">
        <w:rPr>
          <w:rFonts w:ascii="Verdana" w:hAnsi="Verdana"/>
          <w:b/>
          <w:sz w:val="26"/>
          <w:szCs w:val="26"/>
        </w:rPr>
        <w:t>E</w:t>
      </w:r>
      <w:r w:rsidR="00342CE2" w:rsidRPr="00AE1D89">
        <w:rPr>
          <w:rFonts w:ascii="Verdana" w:hAnsi="Verdana"/>
          <w:b/>
          <w:sz w:val="26"/>
          <w:szCs w:val="26"/>
        </w:rPr>
        <w:t xml:space="preserve"> </w:t>
      </w:r>
      <w:r w:rsidR="00207D22" w:rsidRPr="00AE1D89">
        <w:rPr>
          <w:rFonts w:ascii="Verdana" w:hAnsi="Verdana"/>
          <w:b/>
          <w:sz w:val="26"/>
          <w:szCs w:val="26"/>
        </w:rPr>
        <w:t>S</w:t>
      </w:r>
      <w:r w:rsidR="00342CE2" w:rsidRPr="00AE1D89">
        <w:rPr>
          <w:rFonts w:ascii="Verdana" w:hAnsi="Verdana"/>
          <w:b/>
          <w:sz w:val="26"/>
          <w:szCs w:val="26"/>
        </w:rPr>
        <w:t xml:space="preserve"> </w:t>
      </w:r>
      <w:r w:rsidR="00207D22" w:rsidRPr="00AE1D89">
        <w:rPr>
          <w:rFonts w:ascii="Verdana" w:hAnsi="Verdana"/>
          <w:b/>
          <w:sz w:val="26"/>
          <w:szCs w:val="26"/>
        </w:rPr>
        <w:t>U</w:t>
      </w:r>
      <w:r w:rsidR="00342CE2" w:rsidRPr="00AE1D89">
        <w:rPr>
          <w:rFonts w:ascii="Verdana" w:hAnsi="Verdana"/>
          <w:b/>
          <w:sz w:val="26"/>
          <w:szCs w:val="26"/>
        </w:rPr>
        <w:t xml:space="preserve"> </w:t>
      </w:r>
      <w:r w:rsidR="00207D22" w:rsidRPr="00AE1D89">
        <w:rPr>
          <w:rFonts w:ascii="Verdana" w:hAnsi="Verdana"/>
          <w:b/>
          <w:sz w:val="26"/>
          <w:szCs w:val="26"/>
        </w:rPr>
        <w:t>E</w:t>
      </w:r>
      <w:r w:rsidR="00342CE2" w:rsidRPr="00AE1D89">
        <w:rPr>
          <w:rFonts w:ascii="Verdana" w:hAnsi="Verdana"/>
          <w:b/>
          <w:sz w:val="26"/>
          <w:szCs w:val="26"/>
        </w:rPr>
        <w:t xml:space="preserve"> </w:t>
      </w:r>
      <w:r w:rsidR="00207D22" w:rsidRPr="00AE1D89">
        <w:rPr>
          <w:rFonts w:ascii="Verdana" w:hAnsi="Verdana"/>
          <w:b/>
          <w:sz w:val="26"/>
          <w:szCs w:val="26"/>
        </w:rPr>
        <w:t>L</w:t>
      </w:r>
      <w:r w:rsidR="00342CE2" w:rsidRPr="00AE1D89">
        <w:rPr>
          <w:rFonts w:ascii="Verdana" w:hAnsi="Verdana"/>
          <w:b/>
          <w:sz w:val="26"/>
          <w:szCs w:val="26"/>
        </w:rPr>
        <w:t xml:space="preserve"> </w:t>
      </w:r>
      <w:r w:rsidR="00207D22" w:rsidRPr="00AE1D89">
        <w:rPr>
          <w:rFonts w:ascii="Verdana" w:hAnsi="Verdana"/>
          <w:b/>
          <w:sz w:val="26"/>
          <w:szCs w:val="26"/>
        </w:rPr>
        <w:t>V</w:t>
      </w:r>
      <w:r w:rsidR="00342CE2" w:rsidRPr="00AE1D89">
        <w:rPr>
          <w:rFonts w:ascii="Verdana" w:hAnsi="Verdana"/>
          <w:b/>
          <w:sz w:val="26"/>
          <w:szCs w:val="26"/>
        </w:rPr>
        <w:t xml:space="preserve"> </w:t>
      </w:r>
      <w:r w:rsidR="00207D22" w:rsidRPr="00AE1D89">
        <w:rPr>
          <w:rFonts w:ascii="Verdana" w:hAnsi="Verdana"/>
          <w:b/>
          <w:sz w:val="26"/>
          <w:szCs w:val="26"/>
        </w:rPr>
        <w:t>E</w:t>
      </w:r>
      <w:r w:rsidR="00AE1D89" w:rsidRPr="00AE1D89">
        <w:rPr>
          <w:rFonts w:ascii="Verdana" w:hAnsi="Verdana"/>
          <w:b/>
          <w:sz w:val="26"/>
          <w:szCs w:val="26"/>
        </w:rPr>
        <w:t xml:space="preserve"> </w:t>
      </w:r>
      <w:r w:rsidR="00207D22" w:rsidRPr="00AE1D89">
        <w:rPr>
          <w:rFonts w:ascii="Verdana" w:hAnsi="Verdana"/>
          <w:b/>
          <w:sz w:val="26"/>
          <w:szCs w:val="26"/>
        </w:rPr>
        <w:t>:</w:t>
      </w:r>
    </w:p>
    <w:p w14:paraId="47A6C9EB" w14:textId="77777777" w:rsidR="00E71D87" w:rsidRPr="009D7400" w:rsidRDefault="00E71D87" w:rsidP="009D7400">
      <w:pPr>
        <w:spacing w:line="264" w:lineRule="auto"/>
        <w:jc w:val="both"/>
        <w:rPr>
          <w:rFonts w:ascii="Verdana" w:hAnsi="Verdana"/>
          <w:b/>
          <w:bCs/>
        </w:rPr>
      </w:pPr>
    </w:p>
    <w:p w14:paraId="649D0952" w14:textId="77777777" w:rsidR="00DD3EAF" w:rsidRPr="009D7400" w:rsidRDefault="00DD3EAF" w:rsidP="009D7400">
      <w:pPr>
        <w:spacing w:line="264" w:lineRule="auto"/>
        <w:jc w:val="both"/>
        <w:rPr>
          <w:rFonts w:ascii="Verdana" w:hAnsi="Verdana"/>
          <w:b/>
          <w:bCs/>
        </w:rPr>
      </w:pPr>
    </w:p>
    <w:p w14:paraId="777B7D88" w14:textId="77777777" w:rsidR="004960EE" w:rsidRDefault="00AE40EB" w:rsidP="009D7400">
      <w:pPr>
        <w:spacing w:line="264" w:lineRule="auto"/>
        <w:jc w:val="both"/>
        <w:rPr>
          <w:rFonts w:ascii="Verdana" w:hAnsi="Verdana"/>
          <w:bCs/>
        </w:rPr>
      </w:pPr>
      <w:r w:rsidRPr="009D7400">
        <w:rPr>
          <w:rFonts w:ascii="Verdana" w:hAnsi="Verdana"/>
          <w:b/>
          <w:bCs/>
        </w:rPr>
        <w:t xml:space="preserve">PRIMERO: </w:t>
      </w:r>
      <w:r w:rsidR="004960EE">
        <w:rPr>
          <w:rFonts w:ascii="Verdana" w:hAnsi="Verdana"/>
          <w:b/>
          <w:bCs/>
        </w:rPr>
        <w:t xml:space="preserve">DECLARAR </w:t>
      </w:r>
      <w:r w:rsidR="004960EE">
        <w:rPr>
          <w:rFonts w:ascii="Verdana" w:hAnsi="Verdana"/>
        </w:rPr>
        <w:t>la falta jurisdicción para conocer del presente asunto, según l</w:t>
      </w:r>
      <w:r w:rsidRPr="009D7400">
        <w:rPr>
          <w:rFonts w:ascii="Verdana" w:hAnsi="Verdana"/>
          <w:bCs/>
        </w:rPr>
        <w:t>as razones antes expuestas.</w:t>
      </w:r>
    </w:p>
    <w:p w14:paraId="578BB614" w14:textId="77777777" w:rsidR="004960EE" w:rsidRDefault="004960EE" w:rsidP="009D7400">
      <w:pPr>
        <w:spacing w:line="264" w:lineRule="auto"/>
        <w:jc w:val="both"/>
        <w:rPr>
          <w:rFonts w:ascii="Verdana" w:hAnsi="Verdana"/>
          <w:bCs/>
        </w:rPr>
      </w:pPr>
    </w:p>
    <w:p w14:paraId="25D4F7DB" w14:textId="77777777" w:rsidR="004960EE" w:rsidRDefault="00AE40EB" w:rsidP="009D7400">
      <w:pPr>
        <w:spacing w:line="264" w:lineRule="auto"/>
        <w:jc w:val="both"/>
        <w:rPr>
          <w:rFonts w:ascii="Verdana" w:hAnsi="Verdana"/>
          <w:bCs/>
        </w:rPr>
      </w:pPr>
      <w:r w:rsidRPr="009D7400">
        <w:rPr>
          <w:rFonts w:ascii="Verdana" w:hAnsi="Verdana"/>
          <w:b/>
          <w:bCs/>
        </w:rPr>
        <w:t xml:space="preserve">SEGUNDO: </w:t>
      </w:r>
      <w:r w:rsidR="004960EE">
        <w:rPr>
          <w:rFonts w:ascii="Verdana" w:hAnsi="Verdana"/>
        </w:rPr>
        <w:t>Por Secretaría, de manera inmediata r</w:t>
      </w:r>
      <w:r w:rsidRPr="009D7400">
        <w:rPr>
          <w:rFonts w:ascii="Verdana" w:hAnsi="Verdana"/>
          <w:bCs/>
        </w:rPr>
        <w:t>emitir el expediente a</w:t>
      </w:r>
      <w:r w:rsidR="004960EE">
        <w:rPr>
          <w:rFonts w:ascii="Verdana" w:hAnsi="Verdana"/>
          <w:bCs/>
        </w:rPr>
        <w:t xml:space="preserve">nte </w:t>
      </w:r>
      <w:r w:rsidR="004960EE">
        <w:rPr>
          <w:rFonts w:ascii="Verdana" w:hAnsi="Verdana" w:cs="Arial"/>
        </w:rPr>
        <w:t>los Juzgados Civiles del Circuito de Guateque – Reparto, para lo pertinente.</w:t>
      </w:r>
      <w:r w:rsidR="004960EE">
        <w:rPr>
          <w:rFonts w:ascii="Verdana" w:hAnsi="Verdana"/>
          <w:bCs/>
        </w:rPr>
        <w:t xml:space="preserve"> </w:t>
      </w:r>
    </w:p>
    <w:p w14:paraId="7635572F" w14:textId="77777777" w:rsidR="003C5C15" w:rsidRDefault="003C5C15" w:rsidP="009D7400">
      <w:pPr>
        <w:spacing w:line="264" w:lineRule="auto"/>
        <w:jc w:val="both"/>
        <w:rPr>
          <w:rFonts w:ascii="Verdana" w:hAnsi="Verdana"/>
          <w:bCs/>
        </w:rPr>
      </w:pPr>
    </w:p>
    <w:p w14:paraId="775EA2FA" w14:textId="77777777" w:rsidR="003C5C15" w:rsidRDefault="003C5C15" w:rsidP="003C5C15">
      <w:pPr>
        <w:spacing w:line="276" w:lineRule="auto"/>
        <w:jc w:val="both"/>
        <w:rPr>
          <w:rFonts w:ascii="Verdana" w:hAnsi="Verdana" w:cs="Arial"/>
          <w:color w:val="000000"/>
          <w:lang w:eastAsia="en-US"/>
        </w:rPr>
      </w:pPr>
      <w:r>
        <w:rPr>
          <w:rFonts w:ascii="Verdana" w:hAnsi="Verdana" w:cs="Arial"/>
          <w:b/>
          <w:color w:val="000000"/>
        </w:rPr>
        <w:t>TERCERO:</w:t>
      </w:r>
      <w:r>
        <w:rPr>
          <w:rFonts w:ascii="Verdana" w:hAnsi="Verdana" w:cs="Arial"/>
          <w:color w:val="000000"/>
        </w:rPr>
        <w:t xml:space="preserve"> Déjense las anotaciones y constancias de rigor en el sistema SAMAI. </w:t>
      </w:r>
      <w:r w:rsidR="00AA2708">
        <w:rPr>
          <w:rFonts w:ascii="Verdana" w:hAnsi="Verdana" w:cs="Arial"/>
          <w:color w:val="000000"/>
        </w:rPr>
        <w:t>Dese</w:t>
      </w:r>
      <w:r>
        <w:rPr>
          <w:rFonts w:ascii="Verdana" w:hAnsi="Verdana" w:cs="Arial"/>
          <w:color w:val="000000"/>
        </w:rPr>
        <w:t xml:space="preserve"> de baja en el inventario.</w:t>
      </w:r>
    </w:p>
    <w:p w14:paraId="049F493C" w14:textId="77777777" w:rsidR="003C5C15" w:rsidRDefault="003C5C15" w:rsidP="009D7400">
      <w:pPr>
        <w:spacing w:line="264" w:lineRule="auto"/>
        <w:jc w:val="both"/>
        <w:rPr>
          <w:rFonts w:ascii="Verdana" w:hAnsi="Verdana"/>
          <w:bCs/>
        </w:rPr>
      </w:pPr>
    </w:p>
    <w:p w14:paraId="6DC93260" w14:textId="77777777" w:rsidR="004960EE" w:rsidRDefault="004960EE" w:rsidP="009D7400">
      <w:pPr>
        <w:spacing w:line="264" w:lineRule="auto"/>
        <w:jc w:val="both"/>
        <w:rPr>
          <w:rFonts w:ascii="Verdana" w:hAnsi="Verdana"/>
          <w:bCs/>
        </w:rPr>
      </w:pPr>
    </w:p>
    <w:p w14:paraId="3610DC71" w14:textId="77777777" w:rsidR="00207D22" w:rsidRPr="009D7400" w:rsidRDefault="00207D22" w:rsidP="009D7400">
      <w:pPr>
        <w:spacing w:line="264" w:lineRule="auto"/>
        <w:jc w:val="center"/>
        <w:rPr>
          <w:rFonts w:ascii="Verdana" w:hAnsi="Verdana"/>
        </w:rPr>
      </w:pPr>
      <w:r w:rsidRPr="009D7400">
        <w:rPr>
          <w:rFonts w:ascii="Verdana" w:hAnsi="Verdana"/>
        </w:rPr>
        <w:t>Notifíquese y cúmplase</w:t>
      </w:r>
    </w:p>
    <w:p w14:paraId="3FE5A515" w14:textId="2143FF87" w:rsidR="005B30B7" w:rsidRDefault="005B30B7" w:rsidP="009D7400">
      <w:pPr>
        <w:spacing w:line="264" w:lineRule="auto"/>
        <w:jc w:val="center"/>
        <w:rPr>
          <w:rFonts w:ascii="Verdana" w:hAnsi="Verdana"/>
        </w:rPr>
      </w:pPr>
    </w:p>
    <w:p w14:paraId="48AE8FCC" w14:textId="77777777" w:rsidR="00AE1D89" w:rsidRPr="009D7400" w:rsidRDefault="00AE1D89" w:rsidP="009D7400">
      <w:pPr>
        <w:spacing w:line="264" w:lineRule="auto"/>
        <w:jc w:val="center"/>
        <w:rPr>
          <w:rFonts w:ascii="Verdana" w:hAnsi="Verdana"/>
        </w:rPr>
      </w:pPr>
    </w:p>
    <w:p w14:paraId="67FADBC9" w14:textId="77777777" w:rsidR="00D06AAD" w:rsidRDefault="00D06AAD" w:rsidP="009D7400">
      <w:pPr>
        <w:spacing w:line="264" w:lineRule="auto"/>
        <w:jc w:val="center"/>
        <w:rPr>
          <w:rFonts w:ascii="Verdana" w:hAnsi="Verdana"/>
        </w:rPr>
      </w:pPr>
    </w:p>
    <w:p w14:paraId="1DCEA0F6" w14:textId="39759044" w:rsidR="004960EE" w:rsidRPr="00AE1D89" w:rsidRDefault="00AE1D89" w:rsidP="009D7400">
      <w:pPr>
        <w:spacing w:line="264" w:lineRule="auto"/>
        <w:jc w:val="center"/>
        <w:rPr>
          <w:rFonts w:ascii="Verdana" w:hAnsi="Verdana"/>
          <w:i/>
          <w:iCs/>
        </w:rPr>
      </w:pPr>
      <w:r w:rsidRPr="00AE1D89">
        <w:rPr>
          <w:rFonts w:ascii="Verdana" w:hAnsi="Verdana"/>
          <w:i/>
          <w:iCs/>
        </w:rPr>
        <w:t>(firmado electrónicamente en SAMAI)</w:t>
      </w:r>
    </w:p>
    <w:p w14:paraId="2E9335FB" w14:textId="77777777" w:rsidR="00434005" w:rsidRPr="009D7400" w:rsidRDefault="00516EC9" w:rsidP="009D7400">
      <w:pPr>
        <w:spacing w:line="264" w:lineRule="auto"/>
        <w:jc w:val="center"/>
        <w:rPr>
          <w:rFonts w:ascii="Verdana" w:hAnsi="Verdana"/>
          <w:b/>
        </w:rPr>
      </w:pPr>
      <w:r w:rsidRPr="009D7400">
        <w:rPr>
          <w:rFonts w:ascii="Verdana" w:hAnsi="Verdana"/>
          <w:b/>
        </w:rPr>
        <w:t>FAB</w:t>
      </w:r>
      <w:r w:rsidR="00207D22" w:rsidRPr="009D7400">
        <w:rPr>
          <w:rFonts w:ascii="Verdana" w:hAnsi="Verdana"/>
          <w:b/>
        </w:rPr>
        <w:t>IO IVÁN AFANADOR GARCÍA</w:t>
      </w:r>
    </w:p>
    <w:p w14:paraId="608AB6D2" w14:textId="77777777" w:rsidR="00582E15" w:rsidRPr="009D7400" w:rsidRDefault="00F5484A" w:rsidP="009D7400">
      <w:pPr>
        <w:spacing w:line="264" w:lineRule="auto"/>
        <w:jc w:val="center"/>
        <w:rPr>
          <w:rFonts w:ascii="Verdana" w:hAnsi="Verdana"/>
        </w:rPr>
      </w:pPr>
      <w:r w:rsidRPr="009D7400">
        <w:rPr>
          <w:rFonts w:ascii="Verdana" w:hAnsi="Verdana"/>
        </w:rPr>
        <w:t>Magistrado</w:t>
      </w:r>
    </w:p>
    <w:p w14:paraId="449491EC" w14:textId="77777777" w:rsidR="00582E15" w:rsidRPr="00582E15" w:rsidRDefault="00582E15" w:rsidP="00582E15">
      <w:pPr>
        <w:rPr>
          <w:rFonts w:ascii="Verdana" w:hAnsi="Verdana"/>
        </w:rPr>
      </w:pPr>
    </w:p>
    <w:p w14:paraId="58D48079" w14:textId="77777777" w:rsidR="00982166" w:rsidRPr="000C13E8" w:rsidRDefault="00467316" w:rsidP="00582E15">
      <w:pPr>
        <w:rPr>
          <w:rFonts w:ascii="Verdana" w:hAnsi="Verdana"/>
          <w:color w:val="767171"/>
          <w:sz w:val="12"/>
          <w:szCs w:val="12"/>
        </w:rPr>
      </w:pPr>
      <w:r w:rsidRPr="000C13E8">
        <w:rPr>
          <w:rFonts w:ascii="Verdana" w:hAnsi="Verdana"/>
          <w:color w:val="767171"/>
          <w:sz w:val="12"/>
          <w:szCs w:val="12"/>
        </w:rPr>
        <w:t>D</w:t>
      </w:r>
      <w:r w:rsidR="00982166" w:rsidRPr="000C13E8">
        <w:rPr>
          <w:rFonts w:ascii="Verdana" w:hAnsi="Verdana"/>
          <w:color w:val="767171"/>
          <w:sz w:val="12"/>
          <w:szCs w:val="12"/>
        </w:rPr>
        <w:t>iego</w:t>
      </w:r>
    </w:p>
    <w:sectPr w:rsidR="00982166" w:rsidRPr="000C13E8" w:rsidSect="0004709F">
      <w:headerReference w:type="even" r:id="rId12"/>
      <w:headerReference w:type="default" r:id="rId13"/>
      <w:footerReference w:type="even" r:id="rId14"/>
      <w:footerReference w:type="default" r:id="rId15"/>
      <w:headerReference w:type="first" r:id="rId16"/>
      <w:type w:val="continuous"/>
      <w:pgSz w:w="12240" w:h="18720" w:code="14"/>
      <w:pgMar w:top="1985" w:right="1928" w:bottom="1871" w:left="2268" w:header="737" w:footer="737"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BBC1B0" w14:textId="77777777" w:rsidR="00C73F6C" w:rsidRDefault="00C73F6C">
      <w:r>
        <w:separator/>
      </w:r>
    </w:p>
  </w:endnote>
  <w:endnote w:type="continuationSeparator" w:id="0">
    <w:p w14:paraId="11B314D5" w14:textId="77777777" w:rsidR="00C73F6C" w:rsidRDefault="00C73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C30F" w14:textId="77777777" w:rsidR="00DA693E" w:rsidRDefault="00DA693E" w:rsidP="000E1DF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CBAF815" w14:textId="77777777" w:rsidR="00DA693E" w:rsidRDefault="00DA693E">
    <w:pPr>
      <w:pStyle w:val="Piedep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2DD9A" w14:textId="402EB3FE" w:rsidR="00DA693E" w:rsidRPr="007A4F35" w:rsidRDefault="00DA693E">
    <w:pPr>
      <w:pStyle w:val="Piedepgina"/>
      <w:jc w:val="center"/>
      <w:rPr>
        <w:rFonts w:ascii="Verdana" w:hAnsi="Verdana"/>
      </w:rPr>
    </w:pPr>
    <w:r w:rsidRPr="007A4F35">
      <w:rPr>
        <w:rFonts w:ascii="Verdana" w:hAnsi="Verdana"/>
      </w:rPr>
      <w:t>[</w:t>
    </w:r>
    <w:r w:rsidRPr="007A4F35">
      <w:rPr>
        <w:rFonts w:ascii="Verdana" w:hAnsi="Verdana"/>
      </w:rPr>
      <w:fldChar w:fldCharType="begin"/>
    </w:r>
    <w:r w:rsidRPr="007A4F35">
      <w:rPr>
        <w:rFonts w:ascii="Verdana" w:hAnsi="Verdana"/>
      </w:rPr>
      <w:instrText xml:space="preserve"> PAGE   \* MERGEFORMAT </w:instrText>
    </w:r>
    <w:r w:rsidRPr="007A4F35">
      <w:rPr>
        <w:rFonts w:ascii="Verdana" w:hAnsi="Verdana"/>
      </w:rPr>
      <w:fldChar w:fldCharType="separate"/>
    </w:r>
    <w:r w:rsidR="00352EED">
      <w:rPr>
        <w:rFonts w:ascii="Verdana" w:hAnsi="Verdana"/>
        <w:noProof/>
      </w:rPr>
      <w:t>2</w:t>
    </w:r>
    <w:r w:rsidRPr="007A4F35">
      <w:rPr>
        <w:rFonts w:ascii="Verdana" w:hAnsi="Verdana"/>
      </w:rPr>
      <w:fldChar w:fldCharType="end"/>
    </w:r>
    <w:r w:rsidRPr="007A4F35">
      <w:rPr>
        <w:rFonts w:ascii="Verdana" w:hAnsi="Verdana"/>
      </w:rPr>
      <w:t>]</w:t>
    </w:r>
  </w:p>
  <w:p w14:paraId="4D8C5222" w14:textId="77777777" w:rsidR="00DA693E" w:rsidRDefault="00DA693E">
    <w:pPr>
      <w:pStyle w:val="Piedepgina"/>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34851A" w14:textId="77777777" w:rsidR="00C73F6C" w:rsidRDefault="00C73F6C">
      <w:r>
        <w:separator/>
      </w:r>
    </w:p>
  </w:footnote>
  <w:footnote w:type="continuationSeparator" w:id="0">
    <w:p w14:paraId="20163717" w14:textId="77777777" w:rsidR="00C73F6C" w:rsidRDefault="00C73F6C">
      <w:r>
        <w:continuationSeparator/>
      </w:r>
    </w:p>
  </w:footnote>
  <w:footnote w:id="1">
    <w:p w14:paraId="1FD1ADF1" w14:textId="77777777" w:rsidR="00DA693E" w:rsidRDefault="00DA693E" w:rsidP="00DA693E">
      <w:pPr>
        <w:pStyle w:val="Textonotapie"/>
        <w:jc w:val="both"/>
        <w:rPr>
          <w:rFonts w:ascii="Verdana" w:hAnsi="Verdana"/>
          <w:sz w:val="18"/>
          <w:szCs w:val="18"/>
        </w:rPr>
      </w:pPr>
    </w:p>
    <w:p w14:paraId="4A0AAA40" w14:textId="77777777" w:rsidR="00DA693E" w:rsidRPr="00DA693E" w:rsidRDefault="00DA693E" w:rsidP="00DA693E">
      <w:pPr>
        <w:pStyle w:val="Textonotapie"/>
        <w:jc w:val="both"/>
        <w:rPr>
          <w:rFonts w:ascii="Verdana" w:hAnsi="Verdana"/>
          <w:sz w:val="18"/>
          <w:szCs w:val="18"/>
          <w:lang w:val="es-MX"/>
        </w:rPr>
      </w:pPr>
      <w:r w:rsidRPr="00DA693E">
        <w:rPr>
          <w:rStyle w:val="Refdenotaalpie"/>
          <w:rFonts w:ascii="Verdana" w:hAnsi="Verdana"/>
          <w:sz w:val="18"/>
          <w:szCs w:val="18"/>
          <w:vertAlign w:val="baseline"/>
        </w:rPr>
        <w:footnoteRef/>
      </w:r>
      <w:r w:rsidRPr="00DA693E">
        <w:rPr>
          <w:rFonts w:ascii="Verdana" w:hAnsi="Verdana"/>
          <w:sz w:val="18"/>
          <w:szCs w:val="18"/>
        </w:rPr>
        <w:t xml:space="preserve">. </w:t>
      </w:r>
      <w:r w:rsidRPr="00DA693E">
        <w:rPr>
          <w:rFonts w:ascii="Verdana" w:hAnsi="Verdana"/>
          <w:sz w:val="18"/>
          <w:szCs w:val="18"/>
          <w:lang w:val="es-MX"/>
        </w:rPr>
        <w:t xml:space="preserve">A saber: </w:t>
      </w:r>
      <w:r w:rsidRPr="00DA693E">
        <w:rPr>
          <w:rFonts w:ascii="Verdana" w:hAnsi="Verdana"/>
          <w:i/>
          <w:iCs/>
          <w:sz w:val="18"/>
          <w:szCs w:val="18"/>
          <w:lang w:val="es-MX"/>
        </w:rPr>
        <w:t>i)</w:t>
      </w:r>
      <w:r w:rsidRPr="00DA693E">
        <w:rPr>
          <w:rFonts w:ascii="Verdana" w:hAnsi="Verdana"/>
          <w:sz w:val="18"/>
          <w:szCs w:val="18"/>
          <w:lang w:val="es-MX"/>
        </w:rPr>
        <w:t xml:space="preserve"> No. 167-2016, </w:t>
      </w:r>
      <w:r w:rsidRPr="00DA693E">
        <w:rPr>
          <w:rFonts w:ascii="Verdana" w:hAnsi="Verdana"/>
          <w:i/>
          <w:iCs/>
          <w:sz w:val="18"/>
          <w:szCs w:val="18"/>
          <w:lang w:val="es-MX"/>
        </w:rPr>
        <w:t>ii)</w:t>
      </w:r>
      <w:r w:rsidRPr="00DA693E">
        <w:rPr>
          <w:rFonts w:ascii="Verdana" w:hAnsi="Verdana"/>
          <w:sz w:val="18"/>
          <w:szCs w:val="18"/>
          <w:lang w:val="es-MX"/>
        </w:rPr>
        <w:t xml:space="preserve"> 210 de 2017, </w:t>
      </w:r>
      <w:r w:rsidRPr="00DA693E">
        <w:rPr>
          <w:rFonts w:ascii="Verdana" w:hAnsi="Verdana"/>
          <w:i/>
          <w:iCs/>
          <w:sz w:val="18"/>
          <w:szCs w:val="18"/>
          <w:lang w:val="es-MX"/>
        </w:rPr>
        <w:t xml:space="preserve">iii) </w:t>
      </w:r>
      <w:r w:rsidRPr="00DA693E">
        <w:rPr>
          <w:rFonts w:ascii="Verdana" w:hAnsi="Verdana"/>
          <w:sz w:val="18"/>
          <w:szCs w:val="18"/>
          <w:lang w:val="es-MX"/>
        </w:rPr>
        <w:t xml:space="preserve">211 de 2017, </w:t>
      </w:r>
      <w:r w:rsidRPr="00DA693E">
        <w:rPr>
          <w:rFonts w:ascii="Verdana" w:hAnsi="Verdana"/>
          <w:i/>
          <w:iCs/>
          <w:sz w:val="18"/>
          <w:szCs w:val="18"/>
          <w:lang w:val="es-MX"/>
        </w:rPr>
        <w:t xml:space="preserve">iv) </w:t>
      </w:r>
      <w:r w:rsidRPr="00DA693E">
        <w:rPr>
          <w:rFonts w:ascii="Verdana" w:hAnsi="Verdana"/>
          <w:sz w:val="18"/>
          <w:szCs w:val="18"/>
          <w:lang w:val="es-MX"/>
        </w:rPr>
        <w:t xml:space="preserve">187 de 2017, </w:t>
      </w:r>
      <w:r w:rsidRPr="00DA693E">
        <w:rPr>
          <w:rFonts w:ascii="Verdana" w:hAnsi="Verdana"/>
          <w:i/>
          <w:iCs/>
          <w:sz w:val="18"/>
          <w:szCs w:val="18"/>
          <w:lang w:val="es-MX"/>
        </w:rPr>
        <w:t xml:space="preserve">v) </w:t>
      </w:r>
      <w:r w:rsidRPr="00DA693E">
        <w:rPr>
          <w:rFonts w:ascii="Verdana" w:hAnsi="Verdana"/>
          <w:sz w:val="18"/>
          <w:szCs w:val="18"/>
          <w:lang w:val="es-MX"/>
        </w:rPr>
        <w:t xml:space="preserve">188 de 2017, </w:t>
      </w:r>
      <w:r w:rsidRPr="00DA693E">
        <w:rPr>
          <w:rFonts w:ascii="Verdana" w:hAnsi="Verdana"/>
          <w:i/>
          <w:iCs/>
          <w:sz w:val="18"/>
          <w:szCs w:val="18"/>
          <w:lang w:val="es-MX"/>
        </w:rPr>
        <w:t xml:space="preserve">vi) </w:t>
      </w:r>
      <w:r w:rsidRPr="00DA693E">
        <w:rPr>
          <w:rFonts w:ascii="Verdana" w:hAnsi="Verdana"/>
          <w:sz w:val="18"/>
          <w:szCs w:val="18"/>
          <w:lang w:val="es-MX"/>
        </w:rPr>
        <w:t xml:space="preserve">234 de 2017, y </w:t>
      </w:r>
      <w:r w:rsidRPr="00DA693E">
        <w:rPr>
          <w:rFonts w:ascii="Verdana" w:hAnsi="Verdana"/>
          <w:i/>
          <w:iCs/>
          <w:sz w:val="18"/>
          <w:szCs w:val="18"/>
          <w:lang w:val="es-MX"/>
        </w:rPr>
        <w:t xml:space="preserve">vii) </w:t>
      </w:r>
      <w:r w:rsidRPr="00DA693E">
        <w:rPr>
          <w:rFonts w:ascii="Verdana" w:hAnsi="Verdana"/>
          <w:sz w:val="18"/>
          <w:szCs w:val="18"/>
          <w:lang w:val="es-MX"/>
        </w:rPr>
        <w:t xml:space="preserve">235 de 2017. </w:t>
      </w:r>
    </w:p>
  </w:footnote>
  <w:footnote w:id="2">
    <w:p w14:paraId="16323FD4" w14:textId="77777777" w:rsidR="00DA693E" w:rsidRPr="00DA693E" w:rsidRDefault="00DA693E" w:rsidP="00DA693E">
      <w:pPr>
        <w:jc w:val="both"/>
        <w:rPr>
          <w:rFonts w:ascii="Verdana" w:hAnsi="Verdana" w:cs="Arial"/>
          <w:sz w:val="18"/>
          <w:szCs w:val="18"/>
          <w:lang w:val="es-ES_tradnl"/>
        </w:rPr>
      </w:pPr>
    </w:p>
    <w:p w14:paraId="20C7750B" w14:textId="77777777" w:rsidR="00DA693E" w:rsidRPr="00DA693E" w:rsidRDefault="00DA693E" w:rsidP="00DA693E">
      <w:pPr>
        <w:jc w:val="both"/>
        <w:rPr>
          <w:rFonts w:ascii="Verdana" w:hAnsi="Verdana" w:cs="Arial"/>
          <w:sz w:val="18"/>
          <w:szCs w:val="18"/>
          <w:lang w:val="es-MX"/>
        </w:rPr>
      </w:pPr>
      <w:r w:rsidRPr="00DA693E">
        <w:rPr>
          <w:rStyle w:val="Refdenotaalpie"/>
          <w:rFonts w:ascii="Verdana" w:hAnsi="Verdana"/>
          <w:sz w:val="18"/>
          <w:szCs w:val="18"/>
          <w:vertAlign w:val="baseline"/>
        </w:rPr>
        <w:footnoteRef/>
      </w:r>
      <w:r w:rsidRPr="00DA693E">
        <w:rPr>
          <w:rFonts w:ascii="Verdana" w:hAnsi="Verdana" w:cs="Arial"/>
          <w:sz w:val="18"/>
          <w:szCs w:val="18"/>
          <w:lang w:val="es-ES_tradnl"/>
        </w:rPr>
        <w:t xml:space="preserve">. Consejo Superior de la Judicatura. Sala Jurisdiccional Disciplinaria. Sentencia 2014-00588 del 27 de marzo de 2014. M.P: Pedro Alonso Sanabria Buitrago. </w:t>
      </w:r>
    </w:p>
  </w:footnote>
  <w:footnote w:id="3">
    <w:p w14:paraId="1EE1F659" w14:textId="77777777" w:rsidR="00DA693E" w:rsidRPr="00DA693E" w:rsidRDefault="00DA693E" w:rsidP="00DA693E">
      <w:pPr>
        <w:pStyle w:val="Textonotapie"/>
        <w:jc w:val="both"/>
        <w:rPr>
          <w:rFonts w:ascii="Verdana" w:hAnsi="Verdana"/>
          <w:sz w:val="18"/>
          <w:szCs w:val="18"/>
          <w:lang w:val="es-MX"/>
        </w:rPr>
      </w:pPr>
      <w:r w:rsidRPr="00DA693E">
        <w:rPr>
          <w:rStyle w:val="Refdenotaalpie"/>
          <w:rFonts w:ascii="Verdana" w:hAnsi="Verdana"/>
          <w:sz w:val="18"/>
          <w:szCs w:val="18"/>
          <w:vertAlign w:val="baseline"/>
        </w:rPr>
        <w:footnoteRef/>
      </w:r>
      <w:r w:rsidRPr="00DA693E">
        <w:rPr>
          <w:rFonts w:ascii="Verdana" w:hAnsi="Verdana"/>
          <w:sz w:val="18"/>
          <w:szCs w:val="18"/>
        </w:rPr>
        <w:t xml:space="preserve">. </w:t>
      </w:r>
      <w:r w:rsidRPr="00DA693E">
        <w:rPr>
          <w:rFonts w:ascii="Verdana" w:hAnsi="Verdana" w:cs="Arial"/>
          <w:sz w:val="18"/>
          <w:szCs w:val="18"/>
          <w:lang w:val="es-ES_tradnl"/>
        </w:rPr>
        <w:t xml:space="preserve">Consejo Superior de la Judicatura. Sala Jurisdiccional Disciplinaria. Sentencia del 12 de agosto de 2020. Exp: </w:t>
      </w:r>
      <w:r w:rsidRPr="00DA693E">
        <w:rPr>
          <w:rFonts w:ascii="Verdana" w:hAnsi="Verdana" w:cs="Arial"/>
          <w:sz w:val="18"/>
          <w:szCs w:val="18"/>
        </w:rPr>
        <w:t>11001010200020200018600(17468-39).</w:t>
      </w:r>
      <w:r w:rsidRPr="00DA693E">
        <w:rPr>
          <w:rFonts w:ascii="Verdana" w:hAnsi="Verdana" w:cs="Arial"/>
          <w:sz w:val="18"/>
          <w:szCs w:val="18"/>
          <w:lang w:val="es-ES_tradnl"/>
        </w:rPr>
        <w:t xml:space="preserve"> M.P: Julia Emma Garzón.</w:t>
      </w:r>
      <w:r w:rsidRPr="00DA693E">
        <w:rPr>
          <w:rFonts w:ascii="Verdana" w:hAnsi="Verdana"/>
          <w:sz w:val="18"/>
          <w:szCs w:val="18"/>
        </w:rPr>
        <w:t xml:space="preserve"> </w:t>
      </w:r>
    </w:p>
  </w:footnote>
  <w:footnote w:id="4">
    <w:p w14:paraId="5DB47585" w14:textId="77777777" w:rsidR="00DA693E" w:rsidRPr="00DA693E" w:rsidRDefault="00DA693E" w:rsidP="00DA693E">
      <w:pPr>
        <w:jc w:val="both"/>
        <w:rPr>
          <w:rFonts w:ascii="Verdana" w:hAnsi="Verdana" w:cs="Arial"/>
          <w:sz w:val="18"/>
          <w:szCs w:val="18"/>
          <w:lang w:val="es-ES_tradnl"/>
        </w:rPr>
      </w:pPr>
    </w:p>
    <w:p w14:paraId="6F0D4A34" w14:textId="77777777" w:rsidR="00DA693E" w:rsidRPr="00DA693E" w:rsidRDefault="00DA693E" w:rsidP="00DA693E">
      <w:pPr>
        <w:jc w:val="both"/>
        <w:rPr>
          <w:rFonts w:ascii="Verdana" w:hAnsi="Verdana" w:cs="Arial"/>
          <w:sz w:val="18"/>
          <w:szCs w:val="18"/>
          <w:lang w:val="es-MX"/>
        </w:rPr>
      </w:pPr>
      <w:r w:rsidRPr="00DA693E">
        <w:rPr>
          <w:rStyle w:val="Refdenotaalpie"/>
          <w:rFonts w:ascii="Verdana" w:hAnsi="Verdana"/>
          <w:sz w:val="18"/>
          <w:szCs w:val="18"/>
          <w:vertAlign w:val="baseline"/>
        </w:rPr>
        <w:footnoteRef/>
      </w:r>
      <w:r w:rsidRPr="00DA693E">
        <w:rPr>
          <w:rFonts w:ascii="Verdana" w:hAnsi="Verdana" w:cs="Arial"/>
          <w:sz w:val="18"/>
          <w:szCs w:val="18"/>
          <w:lang w:val="es-ES_tradnl"/>
        </w:rPr>
        <w:t xml:space="preserve">. Corte Suprema de Justicia. Sala Plena. Auto APL 2642-2017 del 23 de marzo de 2017. M.P: Patricia Salazar Cuellar. </w:t>
      </w:r>
    </w:p>
  </w:footnote>
  <w:footnote w:id="5">
    <w:p w14:paraId="6BE49364" w14:textId="77777777" w:rsidR="00DA693E" w:rsidRPr="00DA693E" w:rsidRDefault="00DA693E" w:rsidP="00DA693E">
      <w:pPr>
        <w:pStyle w:val="Textonotapie"/>
        <w:jc w:val="both"/>
        <w:rPr>
          <w:rFonts w:ascii="Verdana" w:hAnsi="Verdana"/>
          <w:sz w:val="18"/>
          <w:szCs w:val="18"/>
          <w:lang w:val="es-MX"/>
        </w:rPr>
      </w:pPr>
      <w:r w:rsidRPr="00DA693E">
        <w:rPr>
          <w:rStyle w:val="Refdenotaalpie"/>
          <w:rFonts w:ascii="Verdana" w:hAnsi="Verdana"/>
          <w:sz w:val="18"/>
          <w:szCs w:val="18"/>
          <w:vertAlign w:val="baseline"/>
        </w:rPr>
        <w:footnoteRef/>
      </w:r>
      <w:r w:rsidRPr="00DA693E">
        <w:rPr>
          <w:rFonts w:ascii="Verdana" w:hAnsi="Verdana"/>
          <w:sz w:val="18"/>
          <w:szCs w:val="18"/>
        </w:rPr>
        <w:t>.</w:t>
      </w:r>
      <w:r w:rsidRPr="00DA693E">
        <w:rPr>
          <w:rFonts w:ascii="Verdana" w:hAnsi="Verdana" w:cs="Arial"/>
          <w:sz w:val="18"/>
          <w:szCs w:val="18"/>
          <w:lang w:val="es-ES_tradnl"/>
        </w:rPr>
        <w:t xml:space="preserve"> Consejo Superior de la Judicatura. Sala Jurisdiccional Disciplinaria. Sentencia del 13 de abril de 2016. Exp: </w:t>
      </w:r>
      <w:r w:rsidRPr="00DA693E">
        <w:rPr>
          <w:rFonts w:ascii="Verdana" w:hAnsi="Verdana" w:cs="Arial"/>
          <w:sz w:val="18"/>
          <w:szCs w:val="18"/>
        </w:rPr>
        <w:t>11001010200020160016500(11781-28).</w:t>
      </w:r>
      <w:r w:rsidRPr="00DA693E">
        <w:rPr>
          <w:rFonts w:ascii="Verdana" w:hAnsi="Verdana" w:cs="Arial"/>
          <w:sz w:val="18"/>
          <w:szCs w:val="18"/>
          <w:lang w:val="es-ES_tradnl"/>
        </w:rPr>
        <w:t xml:space="preserve"> M.P: Julia Emma Garzón.</w:t>
      </w:r>
      <w:r w:rsidRPr="00DA693E">
        <w:rPr>
          <w:rFonts w:ascii="Verdana" w:hAnsi="Verdana"/>
          <w:sz w:val="18"/>
          <w:szCs w:val="18"/>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ECBA2" w14:textId="77777777" w:rsidR="00DA693E" w:rsidRDefault="00DA693E" w:rsidP="00C455DE">
    <w:pPr>
      <w:pStyle w:val="Encabezado"/>
      <w:framePr w:wrap="around" w:vAnchor="text" w:hAnchor="margin" w:y="1"/>
      <w:rPr>
        <w:rStyle w:val="Nmerodepgina"/>
      </w:rPr>
    </w:pPr>
    <w:r>
      <w:rPr>
        <w:rStyle w:val="Nmerodepgina"/>
      </w:rPr>
      <w:fldChar w:fldCharType="begin"/>
    </w:r>
    <w:r>
      <w:rPr>
        <w:rStyle w:val="Nmerodepgina"/>
      </w:rPr>
      <w:instrText xml:space="preserve">PAGE  </w:instrText>
    </w:r>
    <w:r>
      <w:rPr>
        <w:rStyle w:val="Nmerodepgina"/>
      </w:rPr>
      <w:fldChar w:fldCharType="end"/>
    </w:r>
  </w:p>
  <w:p w14:paraId="0D86CB8A" w14:textId="77777777" w:rsidR="00DA693E" w:rsidRDefault="00DA693E" w:rsidP="00C455DE">
    <w:pPr>
      <w:pStyle w:val="Encabezado"/>
      <w:ind w:right="360"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0ED6F1" w14:textId="77777777" w:rsidR="00DA693E" w:rsidRPr="0004709F" w:rsidRDefault="00DA693E" w:rsidP="0004709F">
    <w:pPr>
      <w:pStyle w:val="Encabezado"/>
      <w:jc w:val="center"/>
      <w:rPr>
        <w:rFonts w:ascii="Verdana" w:hAnsi="Verdana"/>
        <w:sz w:val="16"/>
        <w:szCs w:val="16"/>
      </w:rPr>
    </w:pPr>
    <w:r w:rsidRPr="0004709F">
      <w:rPr>
        <w:rFonts w:ascii="Verdana" w:hAnsi="Verdana"/>
        <w:sz w:val="16"/>
        <w:szCs w:val="16"/>
      </w:rPr>
      <w:t>Ejecutivo</w:t>
    </w:r>
  </w:p>
  <w:p w14:paraId="5758D10A" w14:textId="71B9062A" w:rsidR="00DA693E" w:rsidRPr="0004709F" w:rsidRDefault="00DA693E" w:rsidP="0004709F">
    <w:pPr>
      <w:pStyle w:val="Encabezado"/>
      <w:jc w:val="center"/>
      <w:rPr>
        <w:rFonts w:ascii="Verdana" w:hAnsi="Verdana"/>
        <w:sz w:val="16"/>
        <w:szCs w:val="16"/>
      </w:rPr>
    </w:pPr>
    <w:r w:rsidRPr="0004709F">
      <w:rPr>
        <w:rFonts w:ascii="Verdana" w:hAnsi="Verdana"/>
        <w:sz w:val="16"/>
        <w:szCs w:val="16"/>
      </w:rPr>
      <w:t>Rad: 150013333013201900036-0</w:t>
    </w:r>
    <w:r w:rsidR="00A972C7">
      <w:rPr>
        <w:rFonts w:ascii="Verdana" w:hAnsi="Verdana"/>
        <w:sz w:val="16"/>
        <w:szCs w:val="16"/>
      </w:rPr>
      <w:t>1</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9EFC8" w14:textId="77777777" w:rsidR="00DA693E" w:rsidRPr="00B942AF" w:rsidRDefault="00DA693E">
    <w:pPr>
      <w:pStyle w:val="Encabezado"/>
      <w:ind w:right="360"/>
      <w:jc w:val="center"/>
      <w:rPr>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D3DC7"/>
    <w:multiLevelType w:val="hybridMultilevel"/>
    <w:tmpl w:val="2976E3D2"/>
    <w:lvl w:ilvl="0" w:tplc="0C0A000F">
      <w:start w:val="2"/>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85F2BD7"/>
    <w:multiLevelType w:val="hybridMultilevel"/>
    <w:tmpl w:val="59D4B6B2"/>
    <w:lvl w:ilvl="0" w:tplc="A328BDD0">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1AE035B3"/>
    <w:multiLevelType w:val="hybridMultilevel"/>
    <w:tmpl w:val="044064B0"/>
    <w:lvl w:ilvl="0" w:tplc="849E3EA8">
      <w:start w:val="1"/>
      <w:numFmt w:val="decimal"/>
      <w:lvlText w:val="%1."/>
      <w:lvlJc w:val="left"/>
      <w:pPr>
        <w:ind w:left="720" w:hanging="360"/>
      </w:pPr>
      <w:rPr>
        <w:rFonts w:hint="default"/>
        <w:color w:val="E36C0A"/>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C7857B3"/>
    <w:multiLevelType w:val="hybridMultilevel"/>
    <w:tmpl w:val="413CEF42"/>
    <w:lvl w:ilvl="0" w:tplc="25DEFDF4">
      <w:start w:val="2"/>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D4A463D"/>
    <w:multiLevelType w:val="hybridMultilevel"/>
    <w:tmpl w:val="C27C8CA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D6159B5"/>
    <w:multiLevelType w:val="hybridMultilevel"/>
    <w:tmpl w:val="DFDECFD6"/>
    <w:lvl w:ilvl="0" w:tplc="B3DECD76">
      <w:start w:val="2"/>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6" w15:restartNumberingAfterBreak="0">
    <w:nsid w:val="24E04E75"/>
    <w:multiLevelType w:val="hybridMultilevel"/>
    <w:tmpl w:val="5F2801E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7A64BFC"/>
    <w:multiLevelType w:val="hybridMultilevel"/>
    <w:tmpl w:val="0D76E7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AAA7235"/>
    <w:multiLevelType w:val="hybridMultilevel"/>
    <w:tmpl w:val="79E003BC"/>
    <w:lvl w:ilvl="0" w:tplc="4C1A0AFA">
      <w:numFmt w:val="bullet"/>
      <w:lvlText w:val="-"/>
      <w:lvlJc w:val="left"/>
      <w:pPr>
        <w:tabs>
          <w:tab w:val="num" w:pos="1440"/>
        </w:tabs>
        <w:ind w:left="1440" w:hanging="360"/>
      </w:pPr>
      <w:rPr>
        <w:rFonts w:ascii="Arial Narrow" w:eastAsia="Times New Roman" w:hAnsi="Arial Narrow" w:cs="Arial" w:hint="default"/>
      </w:rPr>
    </w:lvl>
    <w:lvl w:ilvl="1" w:tplc="0C0A0003" w:tentative="1">
      <w:start w:val="1"/>
      <w:numFmt w:val="bullet"/>
      <w:lvlText w:val="o"/>
      <w:lvlJc w:val="left"/>
      <w:pPr>
        <w:tabs>
          <w:tab w:val="num" w:pos="1980"/>
        </w:tabs>
        <w:ind w:left="1980" w:hanging="360"/>
      </w:pPr>
      <w:rPr>
        <w:rFonts w:ascii="Courier New" w:hAnsi="Courier New" w:cs="Courier New" w:hint="default"/>
      </w:rPr>
    </w:lvl>
    <w:lvl w:ilvl="2" w:tplc="0C0A0005" w:tentative="1">
      <w:start w:val="1"/>
      <w:numFmt w:val="bullet"/>
      <w:lvlText w:val=""/>
      <w:lvlJc w:val="left"/>
      <w:pPr>
        <w:tabs>
          <w:tab w:val="num" w:pos="2700"/>
        </w:tabs>
        <w:ind w:left="2700" w:hanging="360"/>
      </w:pPr>
      <w:rPr>
        <w:rFonts w:ascii="Wingdings" w:hAnsi="Wingdings" w:hint="default"/>
      </w:rPr>
    </w:lvl>
    <w:lvl w:ilvl="3" w:tplc="0C0A0001" w:tentative="1">
      <w:start w:val="1"/>
      <w:numFmt w:val="bullet"/>
      <w:lvlText w:val=""/>
      <w:lvlJc w:val="left"/>
      <w:pPr>
        <w:tabs>
          <w:tab w:val="num" w:pos="3420"/>
        </w:tabs>
        <w:ind w:left="3420" w:hanging="360"/>
      </w:pPr>
      <w:rPr>
        <w:rFonts w:ascii="Symbol" w:hAnsi="Symbol" w:hint="default"/>
      </w:rPr>
    </w:lvl>
    <w:lvl w:ilvl="4" w:tplc="0C0A0003" w:tentative="1">
      <w:start w:val="1"/>
      <w:numFmt w:val="bullet"/>
      <w:lvlText w:val="o"/>
      <w:lvlJc w:val="left"/>
      <w:pPr>
        <w:tabs>
          <w:tab w:val="num" w:pos="4140"/>
        </w:tabs>
        <w:ind w:left="4140" w:hanging="360"/>
      </w:pPr>
      <w:rPr>
        <w:rFonts w:ascii="Courier New" w:hAnsi="Courier New" w:cs="Courier New" w:hint="default"/>
      </w:rPr>
    </w:lvl>
    <w:lvl w:ilvl="5" w:tplc="0C0A0005" w:tentative="1">
      <w:start w:val="1"/>
      <w:numFmt w:val="bullet"/>
      <w:lvlText w:val=""/>
      <w:lvlJc w:val="left"/>
      <w:pPr>
        <w:tabs>
          <w:tab w:val="num" w:pos="4860"/>
        </w:tabs>
        <w:ind w:left="4860" w:hanging="360"/>
      </w:pPr>
      <w:rPr>
        <w:rFonts w:ascii="Wingdings" w:hAnsi="Wingdings" w:hint="default"/>
      </w:rPr>
    </w:lvl>
    <w:lvl w:ilvl="6" w:tplc="0C0A0001" w:tentative="1">
      <w:start w:val="1"/>
      <w:numFmt w:val="bullet"/>
      <w:lvlText w:val=""/>
      <w:lvlJc w:val="left"/>
      <w:pPr>
        <w:tabs>
          <w:tab w:val="num" w:pos="5580"/>
        </w:tabs>
        <w:ind w:left="5580" w:hanging="360"/>
      </w:pPr>
      <w:rPr>
        <w:rFonts w:ascii="Symbol" w:hAnsi="Symbol" w:hint="default"/>
      </w:rPr>
    </w:lvl>
    <w:lvl w:ilvl="7" w:tplc="0C0A0003" w:tentative="1">
      <w:start w:val="1"/>
      <w:numFmt w:val="bullet"/>
      <w:lvlText w:val="o"/>
      <w:lvlJc w:val="left"/>
      <w:pPr>
        <w:tabs>
          <w:tab w:val="num" w:pos="6300"/>
        </w:tabs>
        <w:ind w:left="6300" w:hanging="360"/>
      </w:pPr>
      <w:rPr>
        <w:rFonts w:ascii="Courier New" w:hAnsi="Courier New" w:cs="Courier New" w:hint="default"/>
      </w:rPr>
    </w:lvl>
    <w:lvl w:ilvl="8" w:tplc="0C0A0005" w:tentative="1">
      <w:start w:val="1"/>
      <w:numFmt w:val="bullet"/>
      <w:lvlText w:val=""/>
      <w:lvlJc w:val="left"/>
      <w:pPr>
        <w:tabs>
          <w:tab w:val="num" w:pos="7020"/>
        </w:tabs>
        <w:ind w:left="7020" w:hanging="360"/>
      </w:pPr>
      <w:rPr>
        <w:rFonts w:ascii="Wingdings" w:hAnsi="Wingdings" w:hint="default"/>
      </w:rPr>
    </w:lvl>
  </w:abstractNum>
  <w:abstractNum w:abstractNumId="9" w15:restartNumberingAfterBreak="0">
    <w:nsid w:val="2E0240B2"/>
    <w:multiLevelType w:val="hybridMultilevel"/>
    <w:tmpl w:val="F9862462"/>
    <w:lvl w:ilvl="0" w:tplc="CD721910">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0142449"/>
    <w:multiLevelType w:val="hybridMultilevel"/>
    <w:tmpl w:val="410E007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1F71D61"/>
    <w:multiLevelType w:val="hybridMultilevel"/>
    <w:tmpl w:val="FDF40BB6"/>
    <w:lvl w:ilvl="0" w:tplc="0C0A000F">
      <w:start w:val="1"/>
      <w:numFmt w:val="decimal"/>
      <w:lvlText w:val="%1."/>
      <w:lvlJc w:val="left"/>
      <w:pPr>
        <w:ind w:left="720" w:hanging="360"/>
      </w:pPr>
      <w:rPr>
        <w:rFonts w:ascii="Times New Roman" w:hAnsi="Times New Roman" w:cs="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2593160"/>
    <w:multiLevelType w:val="hybridMultilevel"/>
    <w:tmpl w:val="297496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AFA55DA"/>
    <w:multiLevelType w:val="hybridMultilevel"/>
    <w:tmpl w:val="7B54A62E"/>
    <w:lvl w:ilvl="0" w:tplc="80444AB6">
      <w:start w:val="1"/>
      <w:numFmt w:val="decimal"/>
      <w:lvlText w:val="%1."/>
      <w:lvlJc w:val="left"/>
      <w:pPr>
        <w:ind w:left="1080" w:hanging="375"/>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14" w15:restartNumberingAfterBreak="0">
    <w:nsid w:val="3B1E3252"/>
    <w:multiLevelType w:val="hybridMultilevel"/>
    <w:tmpl w:val="E9526ADC"/>
    <w:lvl w:ilvl="0" w:tplc="EED6326C">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DB4753E"/>
    <w:multiLevelType w:val="hybridMultilevel"/>
    <w:tmpl w:val="EC8C6F6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406D66D8"/>
    <w:multiLevelType w:val="hybridMultilevel"/>
    <w:tmpl w:val="2048F4AC"/>
    <w:lvl w:ilvl="0" w:tplc="FB302D2A">
      <w:start w:val="1"/>
      <w:numFmt w:val="decimal"/>
      <w:lvlText w:val="%1."/>
      <w:lvlJc w:val="left"/>
      <w:pPr>
        <w:ind w:left="720" w:hanging="360"/>
      </w:pPr>
      <w:rPr>
        <w:rFonts w:hint="default"/>
        <w:b w:val="0"/>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46D6538A"/>
    <w:multiLevelType w:val="hybridMultilevel"/>
    <w:tmpl w:val="EA22B798"/>
    <w:lvl w:ilvl="0" w:tplc="41FCEFE6">
      <w:start w:val="1"/>
      <w:numFmt w:val="decimal"/>
      <w:lvlText w:val="%1."/>
      <w:lvlJc w:val="left"/>
      <w:pPr>
        <w:ind w:left="1068"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8" w15:restartNumberingAfterBreak="0">
    <w:nsid w:val="48260E52"/>
    <w:multiLevelType w:val="hybridMultilevel"/>
    <w:tmpl w:val="FB5EF1E6"/>
    <w:lvl w:ilvl="0" w:tplc="1F00A1D6">
      <w:start w:val="6"/>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19" w15:restartNumberingAfterBreak="0">
    <w:nsid w:val="4EDB62BD"/>
    <w:multiLevelType w:val="hybridMultilevel"/>
    <w:tmpl w:val="8D64E132"/>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51EB620F"/>
    <w:multiLevelType w:val="hybridMultilevel"/>
    <w:tmpl w:val="A0C054D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283309B"/>
    <w:multiLevelType w:val="hybridMultilevel"/>
    <w:tmpl w:val="93129C58"/>
    <w:lvl w:ilvl="0" w:tplc="0C0A000F">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5605340D"/>
    <w:multiLevelType w:val="hybridMultilevel"/>
    <w:tmpl w:val="A4E42DFC"/>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AE251D9"/>
    <w:multiLevelType w:val="hybridMultilevel"/>
    <w:tmpl w:val="06EA78B8"/>
    <w:lvl w:ilvl="0" w:tplc="CEA05602">
      <w:start w:val="1"/>
      <w:numFmt w:val="decimal"/>
      <w:lvlText w:val="%1."/>
      <w:lvlJc w:val="left"/>
      <w:pPr>
        <w:ind w:left="720" w:hanging="360"/>
      </w:pPr>
      <w:rPr>
        <w:rFonts w:hint="default"/>
        <w:color w:val="7030A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4" w15:restartNumberingAfterBreak="0">
    <w:nsid w:val="5D1C3B5D"/>
    <w:multiLevelType w:val="hybridMultilevel"/>
    <w:tmpl w:val="B60439F8"/>
    <w:lvl w:ilvl="0" w:tplc="AC1AF1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15:restartNumberingAfterBreak="0">
    <w:nsid w:val="5DB112C6"/>
    <w:multiLevelType w:val="multilevel"/>
    <w:tmpl w:val="F0605066"/>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800" w:hanging="1440"/>
      </w:pPr>
      <w:rPr>
        <w:rFonts w:hint="default"/>
      </w:rPr>
    </w:lvl>
    <w:lvl w:ilvl="4">
      <w:start w:val="1"/>
      <w:numFmt w:val="decimal"/>
      <w:isLgl/>
      <w:lvlText w:val="%1.%2.%3.%4.%5."/>
      <w:lvlJc w:val="left"/>
      <w:pPr>
        <w:ind w:left="2160" w:hanging="180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3240" w:hanging="2880"/>
      </w:pPr>
      <w:rPr>
        <w:rFonts w:hint="default"/>
      </w:rPr>
    </w:lvl>
  </w:abstractNum>
  <w:abstractNum w:abstractNumId="26" w15:restartNumberingAfterBreak="0">
    <w:nsid w:val="5F993866"/>
    <w:multiLevelType w:val="hybridMultilevel"/>
    <w:tmpl w:val="E424C2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FEE75AB"/>
    <w:multiLevelType w:val="hybridMultilevel"/>
    <w:tmpl w:val="CDA48CEC"/>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61066B60"/>
    <w:multiLevelType w:val="hybridMultilevel"/>
    <w:tmpl w:val="13A2A4D6"/>
    <w:lvl w:ilvl="0" w:tplc="9212467E">
      <w:start w:val="1"/>
      <w:numFmt w:val="upperRoman"/>
      <w:lvlText w:val="%1."/>
      <w:lvlJc w:val="left"/>
      <w:pPr>
        <w:tabs>
          <w:tab w:val="num" w:pos="1080"/>
        </w:tabs>
        <w:ind w:left="1080" w:hanging="720"/>
      </w:pPr>
      <w:rPr>
        <w:rFonts w:hint="default"/>
      </w:rPr>
    </w:lvl>
    <w:lvl w:ilvl="1" w:tplc="DA86DDF2">
      <w:start w:val="1"/>
      <w:numFmt w:val="bullet"/>
      <w:lvlText w:val=""/>
      <w:lvlJc w:val="left"/>
      <w:pPr>
        <w:tabs>
          <w:tab w:val="num" w:pos="1440"/>
        </w:tabs>
        <w:ind w:left="1440" w:hanging="360"/>
      </w:pPr>
      <w:rPr>
        <w:rFonts w:ascii="Symbol" w:hAnsi="Symbol" w:hint="default"/>
        <w:b/>
        <w:i w:val="0"/>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9" w15:restartNumberingAfterBreak="0">
    <w:nsid w:val="62BC07CB"/>
    <w:multiLevelType w:val="hybridMultilevel"/>
    <w:tmpl w:val="FE5EFA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9355E36"/>
    <w:multiLevelType w:val="hybridMultilevel"/>
    <w:tmpl w:val="2FDED94A"/>
    <w:lvl w:ilvl="0" w:tplc="9510F5FA">
      <w:start w:val="1"/>
      <w:numFmt w:val="decimal"/>
      <w:lvlText w:val="%1."/>
      <w:lvlJc w:val="left"/>
      <w:pPr>
        <w:ind w:left="1069" w:hanging="360"/>
      </w:pPr>
      <w:rPr>
        <w:rFonts w:hint="default"/>
      </w:rPr>
    </w:lvl>
    <w:lvl w:ilvl="1" w:tplc="0C0A0019" w:tentative="1">
      <w:start w:val="1"/>
      <w:numFmt w:val="lowerLetter"/>
      <w:lvlText w:val="%2."/>
      <w:lvlJc w:val="left"/>
      <w:pPr>
        <w:ind w:left="1789" w:hanging="360"/>
      </w:pPr>
    </w:lvl>
    <w:lvl w:ilvl="2" w:tplc="0C0A001B" w:tentative="1">
      <w:start w:val="1"/>
      <w:numFmt w:val="lowerRoman"/>
      <w:lvlText w:val="%3."/>
      <w:lvlJc w:val="right"/>
      <w:pPr>
        <w:ind w:left="2509" w:hanging="180"/>
      </w:pPr>
    </w:lvl>
    <w:lvl w:ilvl="3" w:tplc="0C0A000F" w:tentative="1">
      <w:start w:val="1"/>
      <w:numFmt w:val="decimal"/>
      <w:lvlText w:val="%4."/>
      <w:lvlJc w:val="left"/>
      <w:pPr>
        <w:ind w:left="3229" w:hanging="360"/>
      </w:pPr>
    </w:lvl>
    <w:lvl w:ilvl="4" w:tplc="0C0A0019" w:tentative="1">
      <w:start w:val="1"/>
      <w:numFmt w:val="lowerLetter"/>
      <w:lvlText w:val="%5."/>
      <w:lvlJc w:val="left"/>
      <w:pPr>
        <w:ind w:left="3949" w:hanging="360"/>
      </w:pPr>
    </w:lvl>
    <w:lvl w:ilvl="5" w:tplc="0C0A001B" w:tentative="1">
      <w:start w:val="1"/>
      <w:numFmt w:val="lowerRoman"/>
      <w:lvlText w:val="%6."/>
      <w:lvlJc w:val="right"/>
      <w:pPr>
        <w:ind w:left="4669" w:hanging="180"/>
      </w:pPr>
    </w:lvl>
    <w:lvl w:ilvl="6" w:tplc="0C0A000F" w:tentative="1">
      <w:start w:val="1"/>
      <w:numFmt w:val="decimal"/>
      <w:lvlText w:val="%7."/>
      <w:lvlJc w:val="left"/>
      <w:pPr>
        <w:ind w:left="5389" w:hanging="360"/>
      </w:pPr>
    </w:lvl>
    <w:lvl w:ilvl="7" w:tplc="0C0A0019" w:tentative="1">
      <w:start w:val="1"/>
      <w:numFmt w:val="lowerLetter"/>
      <w:lvlText w:val="%8."/>
      <w:lvlJc w:val="left"/>
      <w:pPr>
        <w:ind w:left="6109" w:hanging="360"/>
      </w:pPr>
    </w:lvl>
    <w:lvl w:ilvl="8" w:tplc="0C0A001B" w:tentative="1">
      <w:start w:val="1"/>
      <w:numFmt w:val="lowerRoman"/>
      <w:lvlText w:val="%9."/>
      <w:lvlJc w:val="right"/>
      <w:pPr>
        <w:ind w:left="6829" w:hanging="180"/>
      </w:pPr>
    </w:lvl>
  </w:abstractNum>
  <w:abstractNum w:abstractNumId="31" w15:restartNumberingAfterBreak="0">
    <w:nsid w:val="6ADC45A6"/>
    <w:multiLevelType w:val="hybridMultilevel"/>
    <w:tmpl w:val="590A39D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15:restartNumberingAfterBreak="0">
    <w:nsid w:val="6C235B88"/>
    <w:multiLevelType w:val="hybridMultilevel"/>
    <w:tmpl w:val="E8DE1410"/>
    <w:lvl w:ilvl="0" w:tplc="7CA08014">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6F501B4C"/>
    <w:multiLevelType w:val="hybridMultilevel"/>
    <w:tmpl w:val="DC44B800"/>
    <w:lvl w:ilvl="0" w:tplc="9A7C0FC8">
      <w:start w:val="1"/>
      <w:numFmt w:val="decimal"/>
      <w:lvlText w:val="%1."/>
      <w:lvlJc w:val="left"/>
      <w:pPr>
        <w:ind w:left="72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73775BBC"/>
    <w:multiLevelType w:val="hybridMultilevel"/>
    <w:tmpl w:val="F91C52BC"/>
    <w:lvl w:ilvl="0" w:tplc="21E49E78">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4650A73"/>
    <w:multiLevelType w:val="hybridMultilevel"/>
    <w:tmpl w:val="8B20F51A"/>
    <w:lvl w:ilvl="0" w:tplc="0C0A000F">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15:restartNumberingAfterBreak="0">
    <w:nsid w:val="78B04C47"/>
    <w:multiLevelType w:val="hybridMultilevel"/>
    <w:tmpl w:val="8BFEFF4E"/>
    <w:lvl w:ilvl="0" w:tplc="FC005360">
      <w:start w:val="1"/>
      <w:numFmt w:val="decimal"/>
      <w:lvlText w:val="%1."/>
      <w:lvlJc w:val="left"/>
      <w:pPr>
        <w:tabs>
          <w:tab w:val="num" w:pos="2340"/>
        </w:tabs>
        <w:ind w:left="2340" w:hanging="360"/>
      </w:pPr>
      <w:rPr>
        <w:rFonts w:ascii="Century Gothic" w:hAnsi="Century Gothic" w:hint="default"/>
        <w:b/>
        <w:i/>
        <w:sz w:val="24"/>
        <w:szCs w:val="24"/>
      </w:rPr>
    </w:lvl>
    <w:lvl w:ilvl="1" w:tplc="DA86DDF2">
      <w:start w:val="1"/>
      <w:numFmt w:val="bullet"/>
      <w:lvlText w:val=""/>
      <w:lvlJc w:val="left"/>
      <w:pPr>
        <w:tabs>
          <w:tab w:val="num" w:pos="1440"/>
        </w:tabs>
        <w:ind w:left="1440" w:hanging="360"/>
      </w:pPr>
      <w:rPr>
        <w:rFonts w:ascii="Symbol" w:hAnsi="Symbol" w:hint="default"/>
        <w:b/>
        <w:i w:val="0"/>
        <w:sz w:val="24"/>
        <w:szCs w:val="24"/>
      </w:rPr>
    </w:lvl>
    <w:lvl w:ilvl="2" w:tplc="0C8A6926">
      <w:start w:val="1"/>
      <w:numFmt w:val="lowerLetter"/>
      <w:lvlText w:val="%3."/>
      <w:lvlJc w:val="left"/>
      <w:pPr>
        <w:tabs>
          <w:tab w:val="num" w:pos="2340"/>
        </w:tabs>
        <w:ind w:left="2340" w:hanging="360"/>
      </w:pPr>
      <w:rPr>
        <w:rFonts w:hint="default"/>
        <w:b/>
        <w:i/>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7" w15:restartNumberingAfterBreak="0">
    <w:nsid w:val="79271492"/>
    <w:multiLevelType w:val="hybridMultilevel"/>
    <w:tmpl w:val="96E8B48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15:restartNumberingAfterBreak="0">
    <w:nsid w:val="7C454433"/>
    <w:multiLevelType w:val="hybridMultilevel"/>
    <w:tmpl w:val="A61C14DE"/>
    <w:lvl w:ilvl="0" w:tplc="390AC30E">
      <w:start w:val="1"/>
      <w:numFmt w:val="decimal"/>
      <w:lvlText w:val="%1."/>
      <w:lvlJc w:val="left"/>
      <w:pPr>
        <w:ind w:left="720" w:hanging="360"/>
      </w:pPr>
      <w:rPr>
        <w:rFonts w:ascii="Arial Narrow" w:hAnsi="Arial Narrow" w:hint="default"/>
        <w:color w:val="auto"/>
        <w:sz w:val="28"/>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15:restartNumberingAfterBreak="0">
    <w:nsid w:val="7D3702AB"/>
    <w:multiLevelType w:val="hybridMultilevel"/>
    <w:tmpl w:val="77B0077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15:restartNumberingAfterBreak="0">
    <w:nsid w:val="7F326466"/>
    <w:multiLevelType w:val="hybridMultilevel"/>
    <w:tmpl w:val="FFBC9C4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1" w15:restartNumberingAfterBreak="0">
    <w:nsid w:val="7F412C21"/>
    <w:multiLevelType w:val="hybridMultilevel"/>
    <w:tmpl w:val="F7D2DC0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8"/>
  </w:num>
  <w:num w:numId="2">
    <w:abstractNumId w:val="36"/>
  </w:num>
  <w:num w:numId="3">
    <w:abstractNumId w:val="34"/>
  </w:num>
  <w:num w:numId="4">
    <w:abstractNumId w:val="33"/>
  </w:num>
  <w:num w:numId="5">
    <w:abstractNumId w:val="14"/>
  </w:num>
  <w:num w:numId="6">
    <w:abstractNumId w:val="32"/>
  </w:num>
  <w:num w:numId="7">
    <w:abstractNumId w:val="9"/>
  </w:num>
  <w:num w:numId="8">
    <w:abstractNumId w:val="3"/>
  </w:num>
  <w:num w:numId="9">
    <w:abstractNumId w:val="35"/>
  </w:num>
  <w:num w:numId="10">
    <w:abstractNumId w:val="22"/>
  </w:num>
  <w:num w:numId="11">
    <w:abstractNumId w:val="0"/>
  </w:num>
  <w:num w:numId="12">
    <w:abstractNumId w:val="19"/>
  </w:num>
  <w:num w:numId="13">
    <w:abstractNumId w:val="39"/>
  </w:num>
  <w:num w:numId="14">
    <w:abstractNumId w:val="37"/>
  </w:num>
  <w:num w:numId="15">
    <w:abstractNumId w:val="8"/>
  </w:num>
  <w:num w:numId="16">
    <w:abstractNumId w:val="2"/>
  </w:num>
  <w:num w:numId="17">
    <w:abstractNumId w:val="21"/>
  </w:num>
  <w:num w:numId="18">
    <w:abstractNumId w:val="38"/>
  </w:num>
  <w:num w:numId="19">
    <w:abstractNumId w:val="40"/>
  </w:num>
  <w:num w:numId="20">
    <w:abstractNumId w:val="29"/>
  </w:num>
  <w:num w:numId="21">
    <w:abstractNumId w:val="12"/>
  </w:num>
  <w:num w:numId="22">
    <w:abstractNumId w:val="1"/>
  </w:num>
  <w:num w:numId="23">
    <w:abstractNumId w:val="16"/>
  </w:num>
  <w:num w:numId="24">
    <w:abstractNumId w:val="23"/>
  </w:num>
  <w:num w:numId="25">
    <w:abstractNumId w:val="15"/>
  </w:num>
  <w:num w:numId="26">
    <w:abstractNumId w:val="7"/>
  </w:num>
  <w:num w:numId="27">
    <w:abstractNumId w:val="31"/>
  </w:num>
  <w:num w:numId="28">
    <w:abstractNumId w:val="6"/>
  </w:num>
  <w:num w:numId="29">
    <w:abstractNumId w:val="11"/>
  </w:num>
  <w:num w:numId="30">
    <w:abstractNumId w:val="26"/>
  </w:num>
  <w:num w:numId="31">
    <w:abstractNumId w:val="20"/>
  </w:num>
  <w:num w:numId="32">
    <w:abstractNumId w:val="10"/>
  </w:num>
  <w:num w:numId="33">
    <w:abstractNumId w:val="27"/>
  </w:num>
  <w:num w:numId="34">
    <w:abstractNumId w:val="5"/>
  </w:num>
  <w:num w:numId="35">
    <w:abstractNumId w:val="17"/>
  </w:num>
  <w:num w:numId="36">
    <w:abstractNumId w:val="41"/>
  </w:num>
  <w:num w:numId="37">
    <w:abstractNumId w:val="25"/>
  </w:num>
  <w:num w:numId="38">
    <w:abstractNumId w:val="30"/>
  </w:num>
  <w:num w:numId="39">
    <w:abstractNumId w:val="18"/>
  </w:num>
  <w:num w:numId="40">
    <w:abstractNumId w:val="13"/>
  </w:num>
  <w:num w:numId="41">
    <w:abstractNumId w:val="4"/>
  </w:num>
  <w:num w:numId="4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59D1"/>
    <w:rsid w:val="00000670"/>
    <w:rsid w:val="000034F2"/>
    <w:rsid w:val="00003CB3"/>
    <w:rsid w:val="00004EFC"/>
    <w:rsid w:val="00005AFC"/>
    <w:rsid w:val="00005D8C"/>
    <w:rsid w:val="00005DB0"/>
    <w:rsid w:val="000067D1"/>
    <w:rsid w:val="00010D13"/>
    <w:rsid w:val="000139F1"/>
    <w:rsid w:val="00015B93"/>
    <w:rsid w:val="00016869"/>
    <w:rsid w:val="00017DAF"/>
    <w:rsid w:val="00022DDE"/>
    <w:rsid w:val="00023A40"/>
    <w:rsid w:val="00023F88"/>
    <w:rsid w:val="00024534"/>
    <w:rsid w:val="00026F09"/>
    <w:rsid w:val="000275DF"/>
    <w:rsid w:val="00027E8C"/>
    <w:rsid w:val="000302C7"/>
    <w:rsid w:val="000308F0"/>
    <w:rsid w:val="00036A71"/>
    <w:rsid w:val="00042974"/>
    <w:rsid w:val="00043321"/>
    <w:rsid w:val="00046C2E"/>
    <w:rsid w:val="0004709F"/>
    <w:rsid w:val="000474A6"/>
    <w:rsid w:val="000477F5"/>
    <w:rsid w:val="00051816"/>
    <w:rsid w:val="00052D82"/>
    <w:rsid w:val="000538AB"/>
    <w:rsid w:val="00054071"/>
    <w:rsid w:val="00055320"/>
    <w:rsid w:val="000562DC"/>
    <w:rsid w:val="00056454"/>
    <w:rsid w:val="00057933"/>
    <w:rsid w:val="00057B62"/>
    <w:rsid w:val="000602E3"/>
    <w:rsid w:val="00062764"/>
    <w:rsid w:val="00070976"/>
    <w:rsid w:val="00071365"/>
    <w:rsid w:val="000737A6"/>
    <w:rsid w:val="00074C52"/>
    <w:rsid w:val="00075C9C"/>
    <w:rsid w:val="00076D41"/>
    <w:rsid w:val="0007707E"/>
    <w:rsid w:val="000774D2"/>
    <w:rsid w:val="000776C6"/>
    <w:rsid w:val="00077EA1"/>
    <w:rsid w:val="00080808"/>
    <w:rsid w:val="0008160C"/>
    <w:rsid w:val="000828CB"/>
    <w:rsid w:val="0008428B"/>
    <w:rsid w:val="00085A18"/>
    <w:rsid w:val="0008682C"/>
    <w:rsid w:val="000901FA"/>
    <w:rsid w:val="000903E8"/>
    <w:rsid w:val="000919AA"/>
    <w:rsid w:val="00094ED0"/>
    <w:rsid w:val="00095686"/>
    <w:rsid w:val="00097D07"/>
    <w:rsid w:val="000A0467"/>
    <w:rsid w:val="000A2521"/>
    <w:rsid w:val="000A2C45"/>
    <w:rsid w:val="000A2E2D"/>
    <w:rsid w:val="000A319A"/>
    <w:rsid w:val="000A597B"/>
    <w:rsid w:val="000B2828"/>
    <w:rsid w:val="000B3333"/>
    <w:rsid w:val="000B7DFF"/>
    <w:rsid w:val="000C0D03"/>
    <w:rsid w:val="000C13E8"/>
    <w:rsid w:val="000C16E9"/>
    <w:rsid w:val="000C3B95"/>
    <w:rsid w:val="000C5041"/>
    <w:rsid w:val="000C698A"/>
    <w:rsid w:val="000C7FC6"/>
    <w:rsid w:val="000D213F"/>
    <w:rsid w:val="000D5A68"/>
    <w:rsid w:val="000D6446"/>
    <w:rsid w:val="000D7262"/>
    <w:rsid w:val="000E1DFB"/>
    <w:rsid w:val="000E2F84"/>
    <w:rsid w:val="000E3BCC"/>
    <w:rsid w:val="000E55C6"/>
    <w:rsid w:val="000F1E37"/>
    <w:rsid w:val="000F24B2"/>
    <w:rsid w:val="000F30B0"/>
    <w:rsid w:val="000F4227"/>
    <w:rsid w:val="000F5EC9"/>
    <w:rsid w:val="000F6DB8"/>
    <w:rsid w:val="0010412E"/>
    <w:rsid w:val="00105344"/>
    <w:rsid w:val="001062FD"/>
    <w:rsid w:val="00111602"/>
    <w:rsid w:val="00111EB4"/>
    <w:rsid w:val="00112767"/>
    <w:rsid w:val="00113D1D"/>
    <w:rsid w:val="00113DF9"/>
    <w:rsid w:val="00114BFB"/>
    <w:rsid w:val="0011660A"/>
    <w:rsid w:val="00117382"/>
    <w:rsid w:val="0011795F"/>
    <w:rsid w:val="00120756"/>
    <w:rsid w:val="00120C7D"/>
    <w:rsid w:val="00120F08"/>
    <w:rsid w:val="00120FDD"/>
    <w:rsid w:val="00121B74"/>
    <w:rsid w:val="001252F8"/>
    <w:rsid w:val="001252F9"/>
    <w:rsid w:val="00125F27"/>
    <w:rsid w:val="001261D7"/>
    <w:rsid w:val="001267C2"/>
    <w:rsid w:val="0012682B"/>
    <w:rsid w:val="00127730"/>
    <w:rsid w:val="00130144"/>
    <w:rsid w:val="001312B7"/>
    <w:rsid w:val="00132911"/>
    <w:rsid w:val="00133F21"/>
    <w:rsid w:val="001363A4"/>
    <w:rsid w:val="00137DDA"/>
    <w:rsid w:val="00137F30"/>
    <w:rsid w:val="001411C0"/>
    <w:rsid w:val="00141874"/>
    <w:rsid w:val="00144828"/>
    <w:rsid w:val="001500DD"/>
    <w:rsid w:val="0015157B"/>
    <w:rsid w:val="0015194D"/>
    <w:rsid w:val="001531D7"/>
    <w:rsid w:val="00154A10"/>
    <w:rsid w:val="0015628B"/>
    <w:rsid w:val="00157AEE"/>
    <w:rsid w:val="00157E1F"/>
    <w:rsid w:val="001613F7"/>
    <w:rsid w:val="00162D3C"/>
    <w:rsid w:val="001650D9"/>
    <w:rsid w:val="0017072E"/>
    <w:rsid w:val="00170E39"/>
    <w:rsid w:val="0017160F"/>
    <w:rsid w:val="00172312"/>
    <w:rsid w:val="001723CB"/>
    <w:rsid w:val="00173203"/>
    <w:rsid w:val="00173578"/>
    <w:rsid w:val="001738F2"/>
    <w:rsid w:val="00174B86"/>
    <w:rsid w:val="0017626C"/>
    <w:rsid w:val="00177688"/>
    <w:rsid w:val="00177748"/>
    <w:rsid w:val="00180984"/>
    <w:rsid w:val="00181218"/>
    <w:rsid w:val="001816F8"/>
    <w:rsid w:val="00183238"/>
    <w:rsid w:val="001834A2"/>
    <w:rsid w:val="00183990"/>
    <w:rsid w:val="00184726"/>
    <w:rsid w:val="00184C38"/>
    <w:rsid w:val="00185C96"/>
    <w:rsid w:val="00185D02"/>
    <w:rsid w:val="0018612B"/>
    <w:rsid w:val="00186E6B"/>
    <w:rsid w:val="00187505"/>
    <w:rsid w:val="00187FB2"/>
    <w:rsid w:val="0019152B"/>
    <w:rsid w:val="001917B0"/>
    <w:rsid w:val="001924F8"/>
    <w:rsid w:val="001934CB"/>
    <w:rsid w:val="00193F3C"/>
    <w:rsid w:val="0019599E"/>
    <w:rsid w:val="0019740C"/>
    <w:rsid w:val="001A1773"/>
    <w:rsid w:val="001A46DB"/>
    <w:rsid w:val="001A716A"/>
    <w:rsid w:val="001A738F"/>
    <w:rsid w:val="001B0C07"/>
    <w:rsid w:val="001B23BE"/>
    <w:rsid w:val="001B29CB"/>
    <w:rsid w:val="001B2EBD"/>
    <w:rsid w:val="001B42A8"/>
    <w:rsid w:val="001B5606"/>
    <w:rsid w:val="001B5FF1"/>
    <w:rsid w:val="001B641C"/>
    <w:rsid w:val="001C0789"/>
    <w:rsid w:val="001C0C9D"/>
    <w:rsid w:val="001C23E2"/>
    <w:rsid w:val="001C4680"/>
    <w:rsid w:val="001C6BCE"/>
    <w:rsid w:val="001C7E20"/>
    <w:rsid w:val="001D34CA"/>
    <w:rsid w:val="001D35C8"/>
    <w:rsid w:val="001D4009"/>
    <w:rsid w:val="001E2F01"/>
    <w:rsid w:val="001E2F76"/>
    <w:rsid w:val="001E350B"/>
    <w:rsid w:val="001E3CA1"/>
    <w:rsid w:val="001E5A37"/>
    <w:rsid w:val="001E5B76"/>
    <w:rsid w:val="001E6DED"/>
    <w:rsid w:val="001F2F12"/>
    <w:rsid w:val="001F441F"/>
    <w:rsid w:val="001F5410"/>
    <w:rsid w:val="001F61C7"/>
    <w:rsid w:val="001F6974"/>
    <w:rsid w:val="0020095E"/>
    <w:rsid w:val="00201174"/>
    <w:rsid w:val="00201890"/>
    <w:rsid w:val="00201C96"/>
    <w:rsid w:val="00201DBC"/>
    <w:rsid w:val="00202E89"/>
    <w:rsid w:val="00204114"/>
    <w:rsid w:val="0020717C"/>
    <w:rsid w:val="002073F5"/>
    <w:rsid w:val="00207D22"/>
    <w:rsid w:val="0021205A"/>
    <w:rsid w:val="00212BB9"/>
    <w:rsid w:val="00213E92"/>
    <w:rsid w:val="00214C50"/>
    <w:rsid w:val="00214E7D"/>
    <w:rsid w:val="0021551B"/>
    <w:rsid w:val="00215B36"/>
    <w:rsid w:val="002164CF"/>
    <w:rsid w:val="00217263"/>
    <w:rsid w:val="0021778B"/>
    <w:rsid w:val="0022371E"/>
    <w:rsid w:val="00224EEE"/>
    <w:rsid w:val="00225977"/>
    <w:rsid w:val="002266C8"/>
    <w:rsid w:val="00227B3E"/>
    <w:rsid w:val="002302BC"/>
    <w:rsid w:val="0023060A"/>
    <w:rsid w:val="00235927"/>
    <w:rsid w:val="00235F0C"/>
    <w:rsid w:val="00236EC2"/>
    <w:rsid w:val="0023755D"/>
    <w:rsid w:val="0023796C"/>
    <w:rsid w:val="00240AE8"/>
    <w:rsid w:val="00241FB5"/>
    <w:rsid w:val="002434DD"/>
    <w:rsid w:val="00243F9D"/>
    <w:rsid w:val="00246642"/>
    <w:rsid w:val="002468DC"/>
    <w:rsid w:val="00247C3C"/>
    <w:rsid w:val="00250077"/>
    <w:rsid w:val="00250CB2"/>
    <w:rsid w:val="00251F7D"/>
    <w:rsid w:val="00252921"/>
    <w:rsid w:val="00255BDE"/>
    <w:rsid w:val="00256F46"/>
    <w:rsid w:val="00260AE2"/>
    <w:rsid w:val="00261034"/>
    <w:rsid w:val="00262324"/>
    <w:rsid w:val="002644DB"/>
    <w:rsid w:val="00266280"/>
    <w:rsid w:val="002664AC"/>
    <w:rsid w:val="00266792"/>
    <w:rsid w:val="00271ACC"/>
    <w:rsid w:val="002735A4"/>
    <w:rsid w:val="00274D15"/>
    <w:rsid w:val="00276305"/>
    <w:rsid w:val="00276933"/>
    <w:rsid w:val="00276ACE"/>
    <w:rsid w:val="002771C7"/>
    <w:rsid w:val="00280126"/>
    <w:rsid w:val="00280F86"/>
    <w:rsid w:val="00282CC5"/>
    <w:rsid w:val="00284C74"/>
    <w:rsid w:val="00284CC6"/>
    <w:rsid w:val="002862EA"/>
    <w:rsid w:val="00286700"/>
    <w:rsid w:val="00286C54"/>
    <w:rsid w:val="00287ED7"/>
    <w:rsid w:val="00293789"/>
    <w:rsid w:val="002959C8"/>
    <w:rsid w:val="00297920"/>
    <w:rsid w:val="002A03C1"/>
    <w:rsid w:val="002A08F9"/>
    <w:rsid w:val="002A0BC6"/>
    <w:rsid w:val="002A18F7"/>
    <w:rsid w:val="002A1DD2"/>
    <w:rsid w:val="002A2059"/>
    <w:rsid w:val="002A4065"/>
    <w:rsid w:val="002A45F6"/>
    <w:rsid w:val="002A4962"/>
    <w:rsid w:val="002A4E1E"/>
    <w:rsid w:val="002A517B"/>
    <w:rsid w:val="002A6C1C"/>
    <w:rsid w:val="002B05BB"/>
    <w:rsid w:val="002B0852"/>
    <w:rsid w:val="002B3FB6"/>
    <w:rsid w:val="002B6294"/>
    <w:rsid w:val="002B6EFA"/>
    <w:rsid w:val="002C27CF"/>
    <w:rsid w:val="002C32AE"/>
    <w:rsid w:val="002C32FA"/>
    <w:rsid w:val="002C41BC"/>
    <w:rsid w:val="002C4256"/>
    <w:rsid w:val="002C527B"/>
    <w:rsid w:val="002C588B"/>
    <w:rsid w:val="002C6A6A"/>
    <w:rsid w:val="002C73DD"/>
    <w:rsid w:val="002D06AB"/>
    <w:rsid w:val="002D3B48"/>
    <w:rsid w:val="002D3E25"/>
    <w:rsid w:val="002D45EB"/>
    <w:rsid w:val="002D47C8"/>
    <w:rsid w:val="002D5749"/>
    <w:rsid w:val="002D7A09"/>
    <w:rsid w:val="002E10DB"/>
    <w:rsid w:val="002E37DF"/>
    <w:rsid w:val="002E6777"/>
    <w:rsid w:val="002E75FD"/>
    <w:rsid w:val="002E7D2F"/>
    <w:rsid w:val="002F0538"/>
    <w:rsid w:val="002F2E53"/>
    <w:rsid w:val="002F511A"/>
    <w:rsid w:val="002F545F"/>
    <w:rsid w:val="00300D98"/>
    <w:rsid w:val="00302294"/>
    <w:rsid w:val="00303625"/>
    <w:rsid w:val="00303D41"/>
    <w:rsid w:val="00307CCF"/>
    <w:rsid w:val="0031002D"/>
    <w:rsid w:val="003108E2"/>
    <w:rsid w:val="00310EA8"/>
    <w:rsid w:val="00311CF3"/>
    <w:rsid w:val="0031218E"/>
    <w:rsid w:val="00313290"/>
    <w:rsid w:val="003133D3"/>
    <w:rsid w:val="00313634"/>
    <w:rsid w:val="00314990"/>
    <w:rsid w:val="00314FF3"/>
    <w:rsid w:val="003152DF"/>
    <w:rsid w:val="0031578F"/>
    <w:rsid w:val="00316C5C"/>
    <w:rsid w:val="00317B48"/>
    <w:rsid w:val="0032086D"/>
    <w:rsid w:val="00321278"/>
    <w:rsid w:val="0032173B"/>
    <w:rsid w:val="00321D56"/>
    <w:rsid w:val="00321DEA"/>
    <w:rsid w:val="0032280B"/>
    <w:rsid w:val="00323B00"/>
    <w:rsid w:val="00323D0B"/>
    <w:rsid w:val="003243B3"/>
    <w:rsid w:val="0032475D"/>
    <w:rsid w:val="00324D23"/>
    <w:rsid w:val="00331BA4"/>
    <w:rsid w:val="003322ED"/>
    <w:rsid w:val="0033678D"/>
    <w:rsid w:val="003407FC"/>
    <w:rsid w:val="0034159A"/>
    <w:rsid w:val="00342362"/>
    <w:rsid w:val="00342365"/>
    <w:rsid w:val="0034273E"/>
    <w:rsid w:val="003429E5"/>
    <w:rsid w:val="00342CE2"/>
    <w:rsid w:val="00346FE5"/>
    <w:rsid w:val="00347896"/>
    <w:rsid w:val="003514E7"/>
    <w:rsid w:val="00352B14"/>
    <w:rsid w:val="00352D69"/>
    <w:rsid w:val="00352EED"/>
    <w:rsid w:val="00354952"/>
    <w:rsid w:val="00356D06"/>
    <w:rsid w:val="0036137C"/>
    <w:rsid w:val="003615B3"/>
    <w:rsid w:val="00363602"/>
    <w:rsid w:val="00364298"/>
    <w:rsid w:val="00365E2E"/>
    <w:rsid w:val="00366C35"/>
    <w:rsid w:val="003677ED"/>
    <w:rsid w:val="00370B0D"/>
    <w:rsid w:val="0037265E"/>
    <w:rsid w:val="00373E1F"/>
    <w:rsid w:val="00375A5F"/>
    <w:rsid w:val="00380796"/>
    <w:rsid w:val="00380BFD"/>
    <w:rsid w:val="00382E01"/>
    <w:rsid w:val="003835BB"/>
    <w:rsid w:val="00384141"/>
    <w:rsid w:val="00385C0A"/>
    <w:rsid w:val="00386CFC"/>
    <w:rsid w:val="0038777D"/>
    <w:rsid w:val="0039004C"/>
    <w:rsid w:val="003910FD"/>
    <w:rsid w:val="0039283C"/>
    <w:rsid w:val="00392D4B"/>
    <w:rsid w:val="00392F45"/>
    <w:rsid w:val="00393093"/>
    <w:rsid w:val="0039476C"/>
    <w:rsid w:val="0039482E"/>
    <w:rsid w:val="00395D16"/>
    <w:rsid w:val="0039797B"/>
    <w:rsid w:val="00397EC3"/>
    <w:rsid w:val="003A1B9E"/>
    <w:rsid w:val="003A563F"/>
    <w:rsid w:val="003A5BE6"/>
    <w:rsid w:val="003A6D8C"/>
    <w:rsid w:val="003A76B0"/>
    <w:rsid w:val="003B0DF9"/>
    <w:rsid w:val="003B2045"/>
    <w:rsid w:val="003B21F1"/>
    <w:rsid w:val="003B3101"/>
    <w:rsid w:val="003B4510"/>
    <w:rsid w:val="003B508B"/>
    <w:rsid w:val="003B6369"/>
    <w:rsid w:val="003C0B94"/>
    <w:rsid w:val="003C2D19"/>
    <w:rsid w:val="003C35EC"/>
    <w:rsid w:val="003C3FA8"/>
    <w:rsid w:val="003C55F6"/>
    <w:rsid w:val="003C5724"/>
    <w:rsid w:val="003C5C15"/>
    <w:rsid w:val="003D5D9F"/>
    <w:rsid w:val="003D7CFC"/>
    <w:rsid w:val="003E00DB"/>
    <w:rsid w:val="003E16EA"/>
    <w:rsid w:val="003E20BB"/>
    <w:rsid w:val="003E2369"/>
    <w:rsid w:val="003E3B3E"/>
    <w:rsid w:val="003E485B"/>
    <w:rsid w:val="003E67C7"/>
    <w:rsid w:val="003F0138"/>
    <w:rsid w:val="003F1CCA"/>
    <w:rsid w:val="003F2EA4"/>
    <w:rsid w:val="003F467B"/>
    <w:rsid w:val="003F634E"/>
    <w:rsid w:val="003F648D"/>
    <w:rsid w:val="00403436"/>
    <w:rsid w:val="00405755"/>
    <w:rsid w:val="004058E2"/>
    <w:rsid w:val="00405969"/>
    <w:rsid w:val="00407465"/>
    <w:rsid w:val="00410966"/>
    <w:rsid w:val="004109E7"/>
    <w:rsid w:val="00412420"/>
    <w:rsid w:val="004127FC"/>
    <w:rsid w:val="00414A38"/>
    <w:rsid w:val="00414B22"/>
    <w:rsid w:val="004156E8"/>
    <w:rsid w:val="00415E01"/>
    <w:rsid w:val="00420B0B"/>
    <w:rsid w:val="00421741"/>
    <w:rsid w:val="00422F2D"/>
    <w:rsid w:val="00423D34"/>
    <w:rsid w:val="00424587"/>
    <w:rsid w:val="00426EAA"/>
    <w:rsid w:val="0043084E"/>
    <w:rsid w:val="00434005"/>
    <w:rsid w:val="00434B8D"/>
    <w:rsid w:val="004374A9"/>
    <w:rsid w:val="00437B82"/>
    <w:rsid w:val="004413B0"/>
    <w:rsid w:val="00445C6A"/>
    <w:rsid w:val="00445F55"/>
    <w:rsid w:val="00451A51"/>
    <w:rsid w:val="00453ECF"/>
    <w:rsid w:val="00454179"/>
    <w:rsid w:val="004553AF"/>
    <w:rsid w:val="0045555B"/>
    <w:rsid w:val="00455655"/>
    <w:rsid w:val="004574E2"/>
    <w:rsid w:val="00457C49"/>
    <w:rsid w:val="0046003A"/>
    <w:rsid w:val="00461617"/>
    <w:rsid w:val="004618D5"/>
    <w:rsid w:val="00461CF9"/>
    <w:rsid w:val="00462198"/>
    <w:rsid w:val="004622BA"/>
    <w:rsid w:val="00462FEA"/>
    <w:rsid w:val="0046324C"/>
    <w:rsid w:val="00465458"/>
    <w:rsid w:val="0046554C"/>
    <w:rsid w:val="004657FB"/>
    <w:rsid w:val="00467316"/>
    <w:rsid w:val="00472F44"/>
    <w:rsid w:val="004752CC"/>
    <w:rsid w:val="00477B32"/>
    <w:rsid w:val="00481898"/>
    <w:rsid w:val="00481ACB"/>
    <w:rsid w:val="004823F7"/>
    <w:rsid w:val="004836D5"/>
    <w:rsid w:val="00483C71"/>
    <w:rsid w:val="00485291"/>
    <w:rsid w:val="004857B7"/>
    <w:rsid w:val="00485CD0"/>
    <w:rsid w:val="00485EC3"/>
    <w:rsid w:val="00486214"/>
    <w:rsid w:val="00486378"/>
    <w:rsid w:val="00486E3F"/>
    <w:rsid w:val="00486E8D"/>
    <w:rsid w:val="00490710"/>
    <w:rsid w:val="0049114E"/>
    <w:rsid w:val="00491305"/>
    <w:rsid w:val="00492A4B"/>
    <w:rsid w:val="00493FB3"/>
    <w:rsid w:val="00494497"/>
    <w:rsid w:val="004954FA"/>
    <w:rsid w:val="00495677"/>
    <w:rsid w:val="004960EE"/>
    <w:rsid w:val="004963BF"/>
    <w:rsid w:val="00496460"/>
    <w:rsid w:val="004974A9"/>
    <w:rsid w:val="0049782E"/>
    <w:rsid w:val="00497C95"/>
    <w:rsid w:val="004A0263"/>
    <w:rsid w:val="004A5715"/>
    <w:rsid w:val="004B14C3"/>
    <w:rsid w:val="004B465F"/>
    <w:rsid w:val="004B5144"/>
    <w:rsid w:val="004B6AE3"/>
    <w:rsid w:val="004B719D"/>
    <w:rsid w:val="004B724B"/>
    <w:rsid w:val="004B7AAD"/>
    <w:rsid w:val="004C2BBE"/>
    <w:rsid w:val="004C2EC2"/>
    <w:rsid w:val="004C334D"/>
    <w:rsid w:val="004C4D18"/>
    <w:rsid w:val="004C4F23"/>
    <w:rsid w:val="004C61D3"/>
    <w:rsid w:val="004C6DFD"/>
    <w:rsid w:val="004C711C"/>
    <w:rsid w:val="004D12EB"/>
    <w:rsid w:val="004D7810"/>
    <w:rsid w:val="004E30A3"/>
    <w:rsid w:val="004E5183"/>
    <w:rsid w:val="004E535B"/>
    <w:rsid w:val="004E5AC9"/>
    <w:rsid w:val="004E6FE8"/>
    <w:rsid w:val="004E781D"/>
    <w:rsid w:val="004F026E"/>
    <w:rsid w:val="004F465E"/>
    <w:rsid w:val="004F4B62"/>
    <w:rsid w:val="004F5F65"/>
    <w:rsid w:val="004F640C"/>
    <w:rsid w:val="004F7BA1"/>
    <w:rsid w:val="005004C5"/>
    <w:rsid w:val="005012F8"/>
    <w:rsid w:val="0050319A"/>
    <w:rsid w:val="005037F1"/>
    <w:rsid w:val="00504A40"/>
    <w:rsid w:val="0050542D"/>
    <w:rsid w:val="0050599B"/>
    <w:rsid w:val="00506BFF"/>
    <w:rsid w:val="0050795C"/>
    <w:rsid w:val="005108F2"/>
    <w:rsid w:val="00511B81"/>
    <w:rsid w:val="005122F5"/>
    <w:rsid w:val="0051335A"/>
    <w:rsid w:val="00513744"/>
    <w:rsid w:val="0051481F"/>
    <w:rsid w:val="00514E85"/>
    <w:rsid w:val="0051501A"/>
    <w:rsid w:val="00516A6F"/>
    <w:rsid w:val="00516EC9"/>
    <w:rsid w:val="0052005A"/>
    <w:rsid w:val="0052378F"/>
    <w:rsid w:val="005252C1"/>
    <w:rsid w:val="0052539A"/>
    <w:rsid w:val="00525844"/>
    <w:rsid w:val="00525FF0"/>
    <w:rsid w:val="0052686E"/>
    <w:rsid w:val="00527B39"/>
    <w:rsid w:val="00530548"/>
    <w:rsid w:val="00530B24"/>
    <w:rsid w:val="00530FE3"/>
    <w:rsid w:val="005310C8"/>
    <w:rsid w:val="00531140"/>
    <w:rsid w:val="005320A6"/>
    <w:rsid w:val="00532B18"/>
    <w:rsid w:val="005337EC"/>
    <w:rsid w:val="00533DF3"/>
    <w:rsid w:val="0053462C"/>
    <w:rsid w:val="00535A61"/>
    <w:rsid w:val="005361AF"/>
    <w:rsid w:val="00536F82"/>
    <w:rsid w:val="00537FF7"/>
    <w:rsid w:val="005416B4"/>
    <w:rsid w:val="00542AB2"/>
    <w:rsid w:val="005433B3"/>
    <w:rsid w:val="00543B3C"/>
    <w:rsid w:val="00544A7E"/>
    <w:rsid w:val="00545DAB"/>
    <w:rsid w:val="005466A1"/>
    <w:rsid w:val="005479C9"/>
    <w:rsid w:val="00550461"/>
    <w:rsid w:val="00551FDF"/>
    <w:rsid w:val="00552187"/>
    <w:rsid w:val="00554329"/>
    <w:rsid w:val="00555118"/>
    <w:rsid w:val="00556696"/>
    <w:rsid w:val="00556EB7"/>
    <w:rsid w:val="00557641"/>
    <w:rsid w:val="00557B4F"/>
    <w:rsid w:val="00560634"/>
    <w:rsid w:val="0056225A"/>
    <w:rsid w:val="00562686"/>
    <w:rsid w:val="00562ADE"/>
    <w:rsid w:val="00563A29"/>
    <w:rsid w:val="00565B38"/>
    <w:rsid w:val="005672B5"/>
    <w:rsid w:val="00571BF4"/>
    <w:rsid w:val="00572B0C"/>
    <w:rsid w:val="00572D51"/>
    <w:rsid w:val="00573B03"/>
    <w:rsid w:val="00576011"/>
    <w:rsid w:val="005809AE"/>
    <w:rsid w:val="00581F98"/>
    <w:rsid w:val="00582E15"/>
    <w:rsid w:val="00583394"/>
    <w:rsid w:val="0058483A"/>
    <w:rsid w:val="0058574B"/>
    <w:rsid w:val="0058613D"/>
    <w:rsid w:val="00587817"/>
    <w:rsid w:val="00587A3A"/>
    <w:rsid w:val="00590482"/>
    <w:rsid w:val="00590ED1"/>
    <w:rsid w:val="00591DE3"/>
    <w:rsid w:val="00594401"/>
    <w:rsid w:val="0059482A"/>
    <w:rsid w:val="005953B7"/>
    <w:rsid w:val="00596100"/>
    <w:rsid w:val="00597722"/>
    <w:rsid w:val="005A2773"/>
    <w:rsid w:val="005A4777"/>
    <w:rsid w:val="005B0D77"/>
    <w:rsid w:val="005B25BA"/>
    <w:rsid w:val="005B30B7"/>
    <w:rsid w:val="005B4776"/>
    <w:rsid w:val="005B4B58"/>
    <w:rsid w:val="005B61C6"/>
    <w:rsid w:val="005B6CDC"/>
    <w:rsid w:val="005B6E83"/>
    <w:rsid w:val="005B7039"/>
    <w:rsid w:val="005C2FCD"/>
    <w:rsid w:val="005C37A3"/>
    <w:rsid w:val="005C5040"/>
    <w:rsid w:val="005C50BC"/>
    <w:rsid w:val="005C6B0B"/>
    <w:rsid w:val="005C6D6B"/>
    <w:rsid w:val="005D091C"/>
    <w:rsid w:val="005D3147"/>
    <w:rsid w:val="005D36B8"/>
    <w:rsid w:val="005E0FA1"/>
    <w:rsid w:val="005E18B2"/>
    <w:rsid w:val="005E1D1B"/>
    <w:rsid w:val="005E2369"/>
    <w:rsid w:val="005E2EB5"/>
    <w:rsid w:val="005E308A"/>
    <w:rsid w:val="005E3609"/>
    <w:rsid w:val="005E4F31"/>
    <w:rsid w:val="005E65EA"/>
    <w:rsid w:val="005F009B"/>
    <w:rsid w:val="005F37A3"/>
    <w:rsid w:val="005F3AAB"/>
    <w:rsid w:val="005F4F6F"/>
    <w:rsid w:val="005F501E"/>
    <w:rsid w:val="005F6572"/>
    <w:rsid w:val="005F752F"/>
    <w:rsid w:val="006000E5"/>
    <w:rsid w:val="00600E80"/>
    <w:rsid w:val="00602298"/>
    <w:rsid w:val="006029D9"/>
    <w:rsid w:val="00603A48"/>
    <w:rsid w:val="00604853"/>
    <w:rsid w:val="00604FF4"/>
    <w:rsid w:val="00605215"/>
    <w:rsid w:val="00605392"/>
    <w:rsid w:val="0060727E"/>
    <w:rsid w:val="00610FD9"/>
    <w:rsid w:val="006110D9"/>
    <w:rsid w:val="006115FE"/>
    <w:rsid w:val="006117EA"/>
    <w:rsid w:val="00615F68"/>
    <w:rsid w:val="00616E0F"/>
    <w:rsid w:val="00620A29"/>
    <w:rsid w:val="006214AB"/>
    <w:rsid w:val="006224CF"/>
    <w:rsid w:val="0062337F"/>
    <w:rsid w:val="00623A71"/>
    <w:rsid w:val="0062430A"/>
    <w:rsid w:val="00624317"/>
    <w:rsid w:val="0062484C"/>
    <w:rsid w:val="00624A7C"/>
    <w:rsid w:val="00624E5D"/>
    <w:rsid w:val="00627BA6"/>
    <w:rsid w:val="00631287"/>
    <w:rsid w:val="0063211B"/>
    <w:rsid w:val="006339A1"/>
    <w:rsid w:val="0063600E"/>
    <w:rsid w:val="00636538"/>
    <w:rsid w:val="0063682D"/>
    <w:rsid w:val="00637D80"/>
    <w:rsid w:val="00641F81"/>
    <w:rsid w:val="00642B24"/>
    <w:rsid w:val="006431D1"/>
    <w:rsid w:val="006436DB"/>
    <w:rsid w:val="00643773"/>
    <w:rsid w:val="006459D6"/>
    <w:rsid w:val="00645BCE"/>
    <w:rsid w:val="006464B8"/>
    <w:rsid w:val="00646581"/>
    <w:rsid w:val="00646898"/>
    <w:rsid w:val="006505BD"/>
    <w:rsid w:val="006512FA"/>
    <w:rsid w:val="006519E5"/>
    <w:rsid w:val="006531C1"/>
    <w:rsid w:val="00653AC0"/>
    <w:rsid w:val="00653DEA"/>
    <w:rsid w:val="00654224"/>
    <w:rsid w:val="0065440A"/>
    <w:rsid w:val="0065594F"/>
    <w:rsid w:val="00655AB9"/>
    <w:rsid w:val="00657DA9"/>
    <w:rsid w:val="0066092E"/>
    <w:rsid w:val="00662839"/>
    <w:rsid w:val="0066318A"/>
    <w:rsid w:val="00671AD8"/>
    <w:rsid w:val="00673D98"/>
    <w:rsid w:val="0067546E"/>
    <w:rsid w:val="00676433"/>
    <w:rsid w:val="0067790E"/>
    <w:rsid w:val="00677D87"/>
    <w:rsid w:val="00680275"/>
    <w:rsid w:val="0068082C"/>
    <w:rsid w:val="00681FCD"/>
    <w:rsid w:val="00682701"/>
    <w:rsid w:val="006871F7"/>
    <w:rsid w:val="0069010E"/>
    <w:rsid w:val="0069246F"/>
    <w:rsid w:val="00692F6E"/>
    <w:rsid w:val="00693D8E"/>
    <w:rsid w:val="00695555"/>
    <w:rsid w:val="00697673"/>
    <w:rsid w:val="00697BCC"/>
    <w:rsid w:val="00697DF3"/>
    <w:rsid w:val="006A1036"/>
    <w:rsid w:val="006A10BB"/>
    <w:rsid w:val="006A4B2C"/>
    <w:rsid w:val="006A4DA9"/>
    <w:rsid w:val="006A6684"/>
    <w:rsid w:val="006A6E41"/>
    <w:rsid w:val="006A7FB7"/>
    <w:rsid w:val="006B1A9B"/>
    <w:rsid w:val="006B1F22"/>
    <w:rsid w:val="006B405F"/>
    <w:rsid w:val="006B6094"/>
    <w:rsid w:val="006B6104"/>
    <w:rsid w:val="006B688C"/>
    <w:rsid w:val="006B6AB4"/>
    <w:rsid w:val="006B6EA8"/>
    <w:rsid w:val="006B7EC0"/>
    <w:rsid w:val="006C050C"/>
    <w:rsid w:val="006C1555"/>
    <w:rsid w:val="006C2B0B"/>
    <w:rsid w:val="006C492B"/>
    <w:rsid w:val="006C5205"/>
    <w:rsid w:val="006C5826"/>
    <w:rsid w:val="006C675B"/>
    <w:rsid w:val="006D26BD"/>
    <w:rsid w:val="006D2899"/>
    <w:rsid w:val="006D2BE9"/>
    <w:rsid w:val="006D369E"/>
    <w:rsid w:val="006D37D3"/>
    <w:rsid w:val="006D50ED"/>
    <w:rsid w:val="006D51EF"/>
    <w:rsid w:val="006D6967"/>
    <w:rsid w:val="006D6AA7"/>
    <w:rsid w:val="006E0DA8"/>
    <w:rsid w:val="006E32DF"/>
    <w:rsid w:val="006E3C2C"/>
    <w:rsid w:val="006E4725"/>
    <w:rsid w:val="006E5676"/>
    <w:rsid w:val="006E599B"/>
    <w:rsid w:val="006E6834"/>
    <w:rsid w:val="006E6BD5"/>
    <w:rsid w:val="006E7398"/>
    <w:rsid w:val="006E76E3"/>
    <w:rsid w:val="006F0AA7"/>
    <w:rsid w:val="006F0C27"/>
    <w:rsid w:val="006F0F7A"/>
    <w:rsid w:val="006F36F0"/>
    <w:rsid w:val="006F3DB5"/>
    <w:rsid w:val="006F481B"/>
    <w:rsid w:val="006F5024"/>
    <w:rsid w:val="006F5307"/>
    <w:rsid w:val="006F62A9"/>
    <w:rsid w:val="006F6D60"/>
    <w:rsid w:val="006F6D76"/>
    <w:rsid w:val="006F79A6"/>
    <w:rsid w:val="007012AA"/>
    <w:rsid w:val="00704959"/>
    <w:rsid w:val="007064F1"/>
    <w:rsid w:val="0071171F"/>
    <w:rsid w:val="00711970"/>
    <w:rsid w:val="0071310C"/>
    <w:rsid w:val="007136DB"/>
    <w:rsid w:val="007140C6"/>
    <w:rsid w:val="007167F2"/>
    <w:rsid w:val="007216C7"/>
    <w:rsid w:val="00721754"/>
    <w:rsid w:val="007217C0"/>
    <w:rsid w:val="00721EF0"/>
    <w:rsid w:val="0072405A"/>
    <w:rsid w:val="00724BB2"/>
    <w:rsid w:val="00724F5E"/>
    <w:rsid w:val="00725149"/>
    <w:rsid w:val="007254E1"/>
    <w:rsid w:val="00726F7B"/>
    <w:rsid w:val="00727066"/>
    <w:rsid w:val="00730DE0"/>
    <w:rsid w:val="00730EE7"/>
    <w:rsid w:val="0073210D"/>
    <w:rsid w:val="0073345C"/>
    <w:rsid w:val="00734136"/>
    <w:rsid w:val="007355EF"/>
    <w:rsid w:val="007408CF"/>
    <w:rsid w:val="0074093F"/>
    <w:rsid w:val="007421EB"/>
    <w:rsid w:val="00742978"/>
    <w:rsid w:val="007438EC"/>
    <w:rsid w:val="0074477B"/>
    <w:rsid w:val="007454E9"/>
    <w:rsid w:val="00745DB1"/>
    <w:rsid w:val="00746E3E"/>
    <w:rsid w:val="00747275"/>
    <w:rsid w:val="00747665"/>
    <w:rsid w:val="00751567"/>
    <w:rsid w:val="00751940"/>
    <w:rsid w:val="00752542"/>
    <w:rsid w:val="00754ED9"/>
    <w:rsid w:val="007551E5"/>
    <w:rsid w:val="007575E1"/>
    <w:rsid w:val="00760E4A"/>
    <w:rsid w:val="007642D0"/>
    <w:rsid w:val="0076432D"/>
    <w:rsid w:val="007643B7"/>
    <w:rsid w:val="007652AC"/>
    <w:rsid w:val="007656B0"/>
    <w:rsid w:val="007676C7"/>
    <w:rsid w:val="00773B05"/>
    <w:rsid w:val="00773E8A"/>
    <w:rsid w:val="00773FB0"/>
    <w:rsid w:val="00775E40"/>
    <w:rsid w:val="00776294"/>
    <w:rsid w:val="0077640C"/>
    <w:rsid w:val="00776D4A"/>
    <w:rsid w:val="00777198"/>
    <w:rsid w:val="00782301"/>
    <w:rsid w:val="007835C2"/>
    <w:rsid w:val="00786B7D"/>
    <w:rsid w:val="00787D9E"/>
    <w:rsid w:val="0079276D"/>
    <w:rsid w:val="00793E47"/>
    <w:rsid w:val="00793FF8"/>
    <w:rsid w:val="00794974"/>
    <w:rsid w:val="007960D4"/>
    <w:rsid w:val="00797D12"/>
    <w:rsid w:val="007A04F4"/>
    <w:rsid w:val="007A0844"/>
    <w:rsid w:val="007A3D4D"/>
    <w:rsid w:val="007A4F35"/>
    <w:rsid w:val="007B0FAD"/>
    <w:rsid w:val="007B0FD4"/>
    <w:rsid w:val="007B20DF"/>
    <w:rsid w:val="007B4653"/>
    <w:rsid w:val="007B46A3"/>
    <w:rsid w:val="007B48B4"/>
    <w:rsid w:val="007B55E9"/>
    <w:rsid w:val="007B6025"/>
    <w:rsid w:val="007B6AC0"/>
    <w:rsid w:val="007B72D8"/>
    <w:rsid w:val="007C50F0"/>
    <w:rsid w:val="007C51FB"/>
    <w:rsid w:val="007C56FF"/>
    <w:rsid w:val="007C6EA9"/>
    <w:rsid w:val="007C7B5A"/>
    <w:rsid w:val="007C7C8C"/>
    <w:rsid w:val="007D0490"/>
    <w:rsid w:val="007D0911"/>
    <w:rsid w:val="007D12FA"/>
    <w:rsid w:val="007D3FBF"/>
    <w:rsid w:val="007D64A6"/>
    <w:rsid w:val="007E00E5"/>
    <w:rsid w:val="007E03F7"/>
    <w:rsid w:val="007E081F"/>
    <w:rsid w:val="007E2CE9"/>
    <w:rsid w:val="007E316D"/>
    <w:rsid w:val="007E4768"/>
    <w:rsid w:val="007E49F4"/>
    <w:rsid w:val="007E58A6"/>
    <w:rsid w:val="007E651C"/>
    <w:rsid w:val="007E6CD3"/>
    <w:rsid w:val="007F077F"/>
    <w:rsid w:val="007F111E"/>
    <w:rsid w:val="007F2060"/>
    <w:rsid w:val="007F3FD8"/>
    <w:rsid w:val="007F7570"/>
    <w:rsid w:val="00801674"/>
    <w:rsid w:val="008023A5"/>
    <w:rsid w:val="00802593"/>
    <w:rsid w:val="008049F5"/>
    <w:rsid w:val="0080619C"/>
    <w:rsid w:val="00807C55"/>
    <w:rsid w:val="00810F11"/>
    <w:rsid w:val="00813B66"/>
    <w:rsid w:val="00820572"/>
    <w:rsid w:val="00820838"/>
    <w:rsid w:val="00821483"/>
    <w:rsid w:val="00824076"/>
    <w:rsid w:val="00825699"/>
    <w:rsid w:val="00825D25"/>
    <w:rsid w:val="00826EC7"/>
    <w:rsid w:val="0083006C"/>
    <w:rsid w:val="00830F57"/>
    <w:rsid w:val="00832ED6"/>
    <w:rsid w:val="0083376C"/>
    <w:rsid w:val="008337D9"/>
    <w:rsid w:val="00834D71"/>
    <w:rsid w:val="008363FE"/>
    <w:rsid w:val="00837004"/>
    <w:rsid w:val="008406C2"/>
    <w:rsid w:val="00841530"/>
    <w:rsid w:val="008470B6"/>
    <w:rsid w:val="00852AE8"/>
    <w:rsid w:val="0085347B"/>
    <w:rsid w:val="0085350A"/>
    <w:rsid w:val="00853939"/>
    <w:rsid w:val="00857D9E"/>
    <w:rsid w:val="00861117"/>
    <w:rsid w:val="00861A73"/>
    <w:rsid w:val="00863C28"/>
    <w:rsid w:val="00863FD2"/>
    <w:rsid w:val="00866236"/>
    <w:rsid w:val="0086655C"/>
    <w:rsid w:val="00866968"/>
    <w:rsid w:val="00867633"/>
    <w:rsid w:val="00872F97"/>
    <w:rsid w:val="008739FB"/>
    <w:rsid w:val="008769E7"/>
    <w:rsid w:val="00880048"/>
    <w:rsid w:val="00880D15"/>
    <w:rsid w:val="0088108A"/>
    <w:rsid w:val="008823BB"/>
    <w:rsid w:val="00883EF8"/>
    <w:rsid w:val="008842C7"/>
    <w:rsid w:val="00885D83"/>
    <w:rsid w:val="008861D6"/>
    <w:rsid w:val="0088623C"/>
    <w:rsid w:val="0088682A"/>
    <w:rsid w:val="008874E9"/>
    <w:rsid w:val="00892E12"/>
    <w:rsid w:val="00893CE0"/>
    <w:rsid w:val="0089537A"/>
    <w:rsid w:val="008A29F8"/>
    <w:rsid w:val="008A3ACB"/>
    <w:rsid w:val="008A599E"/>
    <w:rsid w:val="008B0D34"/>
    <w:rsid w:val="008B2167"/>
    <w:rsid w:val="008B471C"/>
    <w:rsid w:val="008B5A98"/>
    <w:rsid w:val="008B609D"/>
    <w:rsid w:val="008C08AC"/>
    <w:rsid w:val="008C1994"/>
    <w:rsid w:val="008C31A5"/>
    <w:rsid w:val="008C4481"/>
    <w:rsid w:val="008C5601"/>
    <w:rsid w:val="008C68F5"/>
    <w:rsid w:val="008D06C7"/>
    <w:rsid w:val="008D33F6"/>
    <w:rsid w:val="008D4445"/>
    <w:rsid w:val="008D54D0"/>
    <w:rsid w:val="008D5962"/>
    <w:rsid w:val="008D64E7"/>
    <w:rsid w:val="008D7F68"/>
    <w:rsid w:val="008E0DC4"/>
    <w:rsid w:val="008E0E7F"/>
    <w:rsid w:val="008E30B0"/>
    <w:rsid w:val="008E57CE"/>
    <w:rsid w:val="008E6279"/>
    <w:rsid w:val="008E7547"/>
    <w:rsid w:val="008F01C4"/>
    <w:rsid w:val="008F2FA2"/>
    <w:rsid w:val="008F3B28"/>
    <w:rsid w:val="008F440D"/>
    <w:rsid w:val="008F4ED8"/>
    <w:rsid w:val="008F5E0E"/>
    <w:rsid w:val="00901272"/>
    <w:rsid w:val="00901655"/>
    <w:rsid w:val="00901888"/>
    <w:rsid w:val="00902E86"/>
    <w:rsid w:val="009066E0"/>
    <w:rsid w:val="00907636"/>
    <w:rsid w:val="00910678"/>
    <w:rsid w:val="00912685"/>
    <w:rsid w:val="00912E9F"/>
    <w:rsid w:val="00915972"/>
    <w:rsid w:val="009167B0"/>
    <w:rsid w:val="00920472"/>
    <w:rsid w:val="00920F88"/>
    <w:rsid w:val="00921612"/>
    <w:rsid w:val="009231B6"/>
    <w:rsid w:val="00923252"/>
    <w:rsid w:val="009236F0"/>
    <w:rsid w:val="00923C46"/>
    <w:rsid w:val="00923DB9"/>
    <w:rsid w:val="00924EFF"/>
    <w:rsid w:val="009255FF"/>
    <w:rsid w:val="00926955"/>
    <w:rsid w:val="00926D8A"/>
    <w:rsid w:val="00927CC8"/>
    <w:rsid w:val="009307BB"/>
    <w:rsid w:val="00930D89"/>
    <w:rsid w:val="00931C77"/>
    <w:rsid w:val="0093255A"/>
    <w:rsid w:val="00933F2C"/>
    <w:rsid w:val="0093554A"/>
    <w:rsid w:val="00935A87"/>
    <w:rsid w:val="00935BFE"/>
    <w:rsid w:val="00935F07"/>
    <w:rsid w:val="00937046"/>
    <w:rsid w:val="00937CC6"/>
    <w:rsid w:val="0094425E"/>
    <w:rsid w:val="009458CB"/>
    <w:rsid w:val="0094766D"/>
    <w:rsid w:val="00947738"/>
    <w:rsid w:val="00947972"/>
    <w:rsid w:val="00952462"/>
    <w:rsid w:val="00952F9F"/>
    <w:rsid w:val="00953F0E"/>
    <w:rsid w:val="009553EB"/>
    <w:rsid w:val="009559D5"/>
    <w:rsid w:val="00961ECA"/>
    <w:rsid w:val="0096233E"/>
    <w:rsid w:val="00962B77"/>
    <w:rsid w:val="009630B2"/>
    <w:rsid w:val="0096342F"/>
    <w:rsid w:val="009637BD"/>
    <w:rsid w:val="009649D7"/>
    <w:rsid w:val="00964ADD"/>
    <w:rsid w:val="00967662"/>
    <w:rsid w:val="00970CE8"/>
    <w:rsid w:val="00970F3C"/>
    <w:rsid w:val="00971B43"/>
    <w:rsid w:val="00971F12"/>
    <w:rsid w:val="009735FA"/>
    <w:rsid w:val="00973E83"/>
    <w:rsid w:val="00975197"/>
    <w:rsid w:val="00976589"/>
    <w:rsid w:val="0098122F"/>
    <w:rsid w:val="009817C6"/>
    <w:rsid w:val="00982166"/>
    <w:rsid w:val="009828EF"/>
    <w:rsid w:val="00984001"/>
    <w:rsid w:val="00984F5E"/>
    <w:rsid w:val="0098546B"/>
    <w:rsid w:val="00985D9F"/>
    <w:rsid w:val="00986215"/>
    <w:rsid w:val="00986EF4"/>
    <w:rsid w:val="00990193"/>
    <w:rsid w:val="009907E4"/>
    <w:rsid w:val="00992C33"/>
    <w:rsid w:val="00992E33"/>
    <w:rsid w:val="0099383D"/>
    <w:rsid w:val="00996BB8"/>
    <w:rsid w:val="009A047B"/>
    <w:rsid w:val="009A1319"/>
    <w:rsid w:val="009A3035"/>
    <w:rsid w:val="009A35E6"/>
    <w:rsid w:val="009A3891"/>
    <w:rsid w:val="009A6AB8"/>
    <w:rsid w:val="009B0BD8"/>
    <w:rsid w:val="009B279E"/>
    <w:rsid w:val="009B3303"/>
    <w:rsid w:val="009C0B9F"/>
    <w:rsid w:val="009C3AC7"/>
    <w:rsid w:val="009C4F65"/>
    <w:rsid w:val="009C5478"/>
    <w:rsid w:val="009C5FA2"/>
    <w:rsid w:val="009D0716"/>
    <w:rsid w:val="009D44B1"/>
    <w:rsid w:val="009D4A4E"/>
    <w:rsid w:val="009D613E"/>
    <w:rsid w:val="009D6716"/>
    <w:rsid w:val="009D7400"/>
    <w:rsid w:val="009D7F3E"/>
    <w:rsid w:val="009E19CB"/>
    <w:rsid w:val="009E1A62"/>
    <w:rsid w:val="009E3053"/>
    <w:rsid w:val="009E6340"/>
    <w:rsid w:val="009F0318"/>
    <w:rsid w:val="009F22DA"/>
    <w:rsid w:val="009F5CDC"/>
    <w:rsid w:val="00A01A82"/>
    <w:rsid w:val="00A025C3"/>
    <w:rsid w:val="00A04115"/>
    <w:rsid w:val="00A0535D"/>
    <w:rsid w:val="00A06B0A"/>
    <w:rsid w:val="00A1113B"/>
    <w:rsid w:val="00A11254"/>
    <w:rsid w:val="00A11A78"/>
    <w:rsid w:val="00A11D0B"/>
    <w:rsid w:val="00A12A58"/>
    <w:rsid w:val="00A13C66"/>
    <w:rsid w:val="00A14394"/>
    <w:rsid w:val="00A164E8"/>
    <w:rsid w:val="00A1688F"/>
    <w:rsid w:val="00A2183A"/>
    <w:rsid w:val="00A22BFC"/>
    <w:rsid w:val="00A24561"/>
    <w:rsid w:val="00A255BF"/>
    <w:rsid w:val="00A26D2A"/>
    <w:rsid w:val="00A27E8B"/>
    <w:rsid w:val="00A3099E"/>
    <w:rsid w:val="00A310DA"/>
    <w:rsid w:val="00A315DE"/>
    <w:rsid w:val="00A322C8"/>
    <w:rsid w:val="00A339C3"/>
    <w:rsid w:val="00A34376"/>
    <w:rsid w:val="00A35E2D"/>
    <w:rsid w:val="00A40D1A"/>
    <w:rsid w:val="00A41A8F"/>
    <w:rsid w:val="00A41A99"/>
    <w:rsid w:val="00A42AA1"/>
    <w:rsid w:val="00A432AE"/>
    <w:rsid w:val="00A450BB"/>
    <w:rsid w:val="00A4581F"/>
    <w:rsid w:val="00A45EB3"/>
    <w:rsid w:val="00A45EDC"/>
    <w:rsid w:val="00A464FA"/>
    <w:rsid w:val="00A47E92"/>
    <w:rsid w:val="00A50DA9"/>
    <w:rsid w:val="00A51FF1"/>
    <w:rsid w:val="00A523C7"/>
    <w:rsid w:val="00A54612"/>
    <w:rsid w:val="00A54E34"/>
    <w:rsid w:val="00A56210"/>
    <w:rsid w:val="00A61A32"/>
    <w:rsid w:val="00A62519"/>
    <w:rsid w:val="00A65C33"/>
    <w:rsid w:val="00A676BF"/>
    <w:rsid w:val="00A67F59"/>
    <w:rsid w:val="00A74564"/>
    <w:rsid w:val="00A748CB"/>
    <w:rsid w:val="00A75397"/>
    <w:rsid w:val="00A75DBD"/>
    <w:rsid w:val="00A76343"/>
    <w:rsid w:val="00A765DC"/>
    <w:rsid w:val="00A80ED0"/>
    <w:rsid w:val="00A82EFA"/>
    <w:rsid w:val="00A84F62"/>
    <w:rsid w:val="00A90448"/>
    <w:rsid w:val="00A90834"/>
    <w:rsid w:val="00A91331"/>
    <w:rsid w:val="00A91573"/>
    <w:rsid w:val="00A94938"/>
    <w:rsid w:val="00A95C1B"/>
    <w:rsid w:val="00A9729F"/>
    <w:rsid w:val="00A972C7"/>
    <w:rsid w:val="00AA04C3"/>
    <w:rsid w:val="00AA1CE1"/>
    <w:rsid w:val="00AA2256"/>
    <w:rsid w:val="00AA2708"/>
    <w:rsid w:val="00AA4366"/>
    <w:rsid w:val="00AA6673"/>
    <w:rsid w:val="00AB0814"/>
    <w:rsid w:val="00AB23D9"/>
    <w:rsid w:val="00AB7A31"/>
    <w:rsid w:val="00AC0360"/>
    <w:rsid w:val="00AC1055"/>
    <w:rsid w:val="00AC2277"/>
    <w:rsid w:val="00AC250E"/>
    <w:rsid w:val="00AC2D38"/>
    <w:rsid w:val="00AC3853"/>
    <w:rsid w:val="00AC67F6"/>
    <w:rsid w:val="00AC791A"/>
    <w:rsid w:val="00AD0587"/>
    <w:rsid w:val="00AD1690"/>
    <w:rsid w:val="00AD2BE1"/>
    <w:rsid w:val="00AD2F1F"/>
    <w:rsid w:val="00AD3959"/>
    <w:rsid w:val="00AD52F9"/>
    <w:rsid w:val="00AD6956"/>
    <w:rsid w:val="00AE0E9C"/>
    <w:rsid w:val="00AE1D89"/>
    <w:rsid w:val="00AE40EB"/>
    <w:rsid w:val="00AE4EF8"/>
    <w:rsid w:val="00AE65B5"/>
    <w:rsid w:val="00AE69B2"/>
    <w:rsid w:val="00AF0CDC"/>
    <w:rsid w:val="00AF156E"/>
    <w:rsid w:val="00AF2EFA"/>
    <w:rsid w:val="00AF7369"/>
    <w:rsid w:val="00B02947"/>
    <w:rsid w:val="00B02FE7"/>
    <w:rsid w:val="00B05129"/>
    <w:rsid w:val="00B11D9E"/>
    <w:rsid w:val="00B1513D"/>
    <w:rsid w:val="00B157F8"/>
    <w:rsid w:val="00B15829"/>
    <w:rsid w:val="00B16526"/>
    <w:rsid w:val="00B16535"/>
    <w:rsid w:val="00B16D77"/>
    <w:rsid w:val="00B17C23"/>
    <w:rsid w:val="00B22B2A"/>
    <w:rsid w:val="00B230EA"/>
    <w:rsid w:val="00B2596D"/>
    <w:rsid w:val="00B25F86"/>
    <w:rsid w:val="00B26B92"/>
    <w:rsid w:val="00B30882"/>
    <w:rsid w:val="00B30988"/>
    <w:rsid w:val="00B31901"/>
    <w:rsid w:val="00B319C4"/>
    <w:rsid w:val="00B31CEB"/>
    <w:rsid w:val="00B31FBF"/>
    <w:rsid w:val="00B331CD"/>
    <w:rsid w:val="00B33CCD"/>
    <w:rsid w:val="00B34410"/>
    <w:rsid w:val="00B37C3E"/>
    <w:rsid w:val="00B4081C"/>
    <w:rsid w:val="00B41FEA"/>
    <w:rsid w:val="00B44E7A"/>
    <w:rsid w:val="00B46D48"/>
    <w:rsid w:val="00B46E7D"/>
    <w:rsid w:val="00B51206"/>
    <w:rsid w:val="00B54497"/>
    <w:rsid w:val="00B55770"/>
    <w:rsid w:val="00B56553"/>
    <w:rsid w:val="00B57AE6"/>
    <w:rsid w:val="00B60B51"/>
    <w:rsid w:val="00B611AA"/>
    <w:rsid w:val="00B7033D"/>
    <w:rsid w:val="00B7041E"/>
    <w:rsid w:val="00B7369C"/>
    <w:rsid w:val="00B74F18"/>
    <w:rsid w:val="00B7558B"/>
    <w:rsid w:val="00B76A21"/>
    <w:rsid w:val="00B802DB"/>
    <w:rsid w:val="00B8149C"/>
    <w:rsid w:val="00B814A5"/>
    <w:rsid w:val="00B81EBD"/>
    <w:rsid w:val="00B8505B"/>
    <w:rsid w:val="00B8604C"/>
    <w:rsid w:val="00B8612D"/>
    <w:rsid w:val="00B8658E"/>
    <w:rsid w:val="00B86DD7"/>
    <w:rsid w:val="00B86E40"/>
    <w:rsid w:val="00B87B5E"/>
    <w:rsid w:val="00B90F2E"/>
    <w:rsid w:val="00B93B33"/>
    <w:rsid w:val="00B94CB1"/>
    <w:rsid w:val="00B962C1"/>
    <w:rsid w:val="00B96363"/>
    <w:rsid w:val="00B97C5D"/>
    <w:rsid w:val="00BA278D"/>
    <w:rsid w:val="00BA2F57"/>
    <w:rsid w:val="00BA4C7C"/>
    <w:rsid w:val="00BB03F0"/>
    <w:rsid w:val="00BB0F26"/>
    <w:rsid w:val="00BB2970"/>
    <w:rsid w:val="00BB2B57"/>
    <w:rsid w:val="00BB31F1"/>
    <w:rsid w:val="00BB5EBB"/>
    <w:rsid w:val="00BB7250"/>
    <w:rsid w:val="00BB7639"/>
    <w:rsid w:val="00BB77FD"/>
    <w:rsid w:val="00BB79AE"/>
    <w:rsid w:val="00BC124F"/>
    <w:rsid w:val="00BC2148"/>
    <w:rsid w:val="00BC415B"/>
    <w:rsid w:val="00BC50CB"/>
    <w:rsid w:val="00BC7526"/>
    <w:rsid w:val="00BD09C5"/>
    <w:rsid w:val="00BD1D09"/>
    <w:rsid w:val="00BD5BBA"/>
    <w:rsid w:val="00BD61D0"/>
    <w:rsid w:val="00BD7489"/>
    <w:rsid w:val="00BD7BA1"/>
    <w:rsid w:val="00BD7EB2"/>
    <w:rsid w:val="00BE1198"/>
    <w:rsid w:val="00BE3DDD"/>
    <w:rsid w:val="00BE4B56"/>
    <w:rsid w:val="00BE7848"/>
    <w:rsid w:val="00BF1C6B"/>
    <w:rsid w:val="00BF1DDB"/>
    <w:rsid w:val="00BF2D6A"/>
    <w:rsid w:val="00BF4C9D"/>
    <w:rsid w:val="00BF5286"/>
    <w:rsid w:val="00C006B7"/>
    <w:rsid w:val="00C02CB2"/>
    <w:rsid w:val="00C03060"/>
    <w:rsid w:val="00C03F78"/>
    <w:rsid w:val="00C048E6"/>
    <w:rsid w:val="00C0554C"/>
    <w:rsid w:val="00C0696B"/>
    <w:rsid w:val="00C06AEF"/>
    <w:rsid w:val="00C07BC7"/>
    <w:rsid w:val="00C122A9"/>
    <w:rsid w:val="00C136CA"/>
    <w:rsid w:val="00C13A41"/>
    <w:rsid w:val="00C15C40"/>
    <w:rsid w:val="00C16F51"/>
    <w:rsid w:val="00C1731F"/>
    <w:rsid w:val="00C20E4F"/>
    <w:rsid w:val="00C2164E"/>
    <w:rsid w:val="00C21AB9"/>
    <w:rsid w:val="00C220D8"/>
    <w:rsid w:val="00C230DD"/>
    <w:rsid w:val="00C248D6"/>
    <w:rsid w:val="00C2648D"/>
    <w:rsid w:val="00C26985"/>
    <w:rsid w:val="00C2758A"/>
    <w:rsid w:val="00C30895"/>
    <w:rsid w:val="00C3133C"/>
    <w:rsid w:val="00C31493"/>
    <w:rsid w:val="00C31D50"/>
    <w:rsid w:val="00C32CAC"/>
    <w:rsid w:val="00C32CB7"/>
    <w:rsid w:val="00C33E1A"/>
    <w:rsid w:val="00C34914"/>
    <w:rsid w:val="00C35414"/>
    <w:rsid w:val="00C357C6"/>
    <w:rsid w:val="00C36A5A"/>
    <w:rsid w:val="00C4086F"/>
    <w:rsid w:val="00C409E8"/>
    <w:rsid w:val="00C44E48"/>
    <w:rsid w:val="00C455DE"/>
    <w:rsid w:val="00C45973"/>
    <w:rsid w:val="00C45AC1"/>
    <w:rsid w:val="00C462F3"/>
    <w:rsid w:val="00C52AB3"/>
    <w:rsid w:val="00C539DE"/>
    <w:rsid w:val="00C53C9B"/>
    <w:rsid w:val="00C556C7"/>
    <w:rsid w:val="00C559D1"/>
    <w:rsid w:val="00C56C58"/>
    <w:rsid w:val="00C57637"/>
    <w:rsid w:val="00C57D77"/>
    <w:rsid w:val="00C60A43"/>
    <w:rsid w:val="00C60D5F"/>
    <w:rsid w:val="00C623FF"/>
    <w:rsid w:val="00C64F0B"/>
    <w:rsid w:val="00C66642"/>
    <w:rsid w:val="00C67F3C"/>
    <w:rsid w:val="00C70931"/>
    <w:rsid w:val="00C71CBF"/>
    <w:rsid w:val="00C72515"/>
    <w:rsid w:val="00C733BD"/>
    <w:rsid w:val="00C73F6C"/>
    <w:rsid w:val="00C74C72"/>
    <w:rsid w:val="00C7556C"/>
    <w:rsid w:val="00C82AD8"/>
    <w:rsid w:val="00C84FB1"/>
    <w:rsid w:val="00C855AC"/>
    <w:rsid w:val="00C87960"/>
    <w:rsid w:val="00C879C5"/>
    <w:rsid w:val="00C918CE"/>
    <w:rsid w:val="00C919DB"/>
    <w:rsid w:val="00C91BB7"/>
    <w:rsid w:val="00C953EA"/>
    <w:rsid w:val="00C95CD1"/>
    <w:rsid w:val="00CA0AED"/>
    <w:rsid w:val="00CA10A5"/>
    <w:rsid w:val="00CA356A"/>
    <w:rsid w:val="00CA532C"/>
    <w:rsid w:val="00CA5C63"/>
    <w:rsid w:val="00CA6E1F"/>
    <w:rsid w:val="00CA7E9D"/>
    <w:rsid w:val="00CB17A0"/>
    <w:rsid w:val="00CB1901"/>
    <w:rsid w:val="00CB1B81"/>
    <w:rsid w:val="00CB2E57"/>
    <w:rsid w:val="00CB307D"/>
    <w:rsid w:val="00CB49A5"/>
    <w:rsid w:val="00CB5D0F"/>
    <w:rsid w:val="00CB68D0"/>
    <w:rsid w:val="00CB7292"/>
    <w:rsid w:val="00CC095F"/>
    <w:rsid w:val="00CC0E19"/>
    <w:rsid w:val="00CC0E47"/>
    <w:rsid w:val="00CC0F77"/>
    <w:rsid w:val="00CC15D5"/>
    <w:rsid w:val="00CC1650"/>
    <w:rsid w:val="00CC20B6"/>
    <w:rsid w:val="00CC234F"/>
    <w:rsid w:val="00CC3121"/>
    <w:rsid w:val="00CC6E32"/>
    <w:rsid w:val="00CC7C5E"/>
    <w:rsid w:val="00CD3EEB"/>
    <w:rsid w:val="00CE0048"/>
    <w:rsid w:val="00CE3909"/>
    <w:rsid w:val="00CE4F7E"/>
    <w:rsid w:val="00CE6380"/>
    <w:rsid w:val="00CF0C67"/>
    <w:rsid w:val="00CF1611"/>
    <w:rsid w:val="00CF30DD"/>
    <w:rsid w:val="00CF363F"/>
    <w:rsid w:val="00CF49BF"/>
    <w:rsid w:val="00CF5559"/>
    <w:rsid w:val="00CF6DD4"/>
    <w:rsid w:val="00CF6E46"/>
    <w:rsid w:val="00D01F81"/>
    <w:rsid w:val="00D03E6B"/>
    <w:rsid w:val="00D04E26"/>
    <w:rsid w:val="00D06A9F"/>
    <w:rsid w:val="00D06AAD"/>
    <w:rsid w:val="00D070C9"/>
    <w:rsid w:val="00D07340"/>
    <w:rsid w:val="00D07486"/>
    <w:rsid w:val="00D13060"/>
    <w:rsid w:val="00D13B42"/>
    <w:rsid w:val="00D15F3A"/>
    <w:rsid w:val="00D1697A"/>
    <w:rsid w:val="00D20E61"/>
    <w:rsid w:val="00D223E2"/>
    <w:rsid w:val="00D235D2"/>
    <w:rsid w:val="00D2551C"/>
    <w:rsid w:val="00D25E15"/>
    <w:rsid w:val="00D26677"/>
    <w:rsid w:val="00D27750"/>
    <w:rsid w:val="00D303C9"/>
    <w:rsid w:val="00D31995"/>
    <w:rsid w:val="00D324CF"/>
    <w:rsid w:val="00D3264D"/>
    <w:rsid w:val="00D35A39"/>
    <w:rsid w:val="00D360B5"/>
    <w:rsid w:val="00D40853"/>
    <w:rsid w:val="00D429E3"/>
    <w:rsid w:val="00D442BE"/>
    <w:rsid w:val="00D443A1"/>
    <w:rsid w:val="00D44D79"/>
    <w:rsid w:val="00D4508C"/>
    <w:rsid w:val="00D46190"/>
    <w:rsid w:val="00D5146A"/>
    <w:rsid w:val="00D55530"/>
    <w:rsid w:val="00D56309"/>
    <w:rsid w:val="00D56843"/>
    <w:rsid w:val="00D57BCB"/>
    <w:rsid w:val="00D61E17"/>
    <w:rsid w:val="00D651DF"/>
    <w:rsid w:val="00D658F0"/>
    <w:rsid w:val="00D67557"/>
    <w:rsid w:val="00D712F0"/>
    <w:rsid w:val="00D7190D"/>
    <w:rsid w:val="00D7190E"/>
    <w:rsid w:val="00D7426B"/>
    <w:rsid w:val="00D745C5"/>
    <w:rsid w:val="00D74DF5"/>
    <w:rsid w:val="00D75835"/>
    <w:rsid w:val="00D75C17"/>
    <w:rsid w:val="00D7652B"/>
    <w:rsid w:val="00D77697"/>
    <w:rsid w:val="00D80537"/>
    <w:rsid w:val="00D84611"/>
    <w:rsid w:val="00D8486C"/>
    <w:rsid w:val="00D862B8"/>
    <w:rsid w:val="00D9276A"/>
    <w:rsid w:val="00D95E6D"/>
    <w:rsid w:val="00D97680"/>
    <w:rsid w:val="00D97A43"/>
    <w:rsid w:val="00DA035D"/>
    <w:rsid w:val="00DA0504"/>
    <w:rsid w:val="00DA1108"/>
    <w:rsid w:val="00DA1FF4"/>
    <w:rsid w:val="00DA2050"/>
    <w:rsid w:val="00DA304D"/>
    <w:rsid w:val="00DA39C2"/>
    <w:rsid w:val="00DA42CA"/>
    <w:rsid w:val="00DA5E0A"/>
    <w:rsid w:val="00DA6119"/>
    <w:rsid w:val="00DA693E"/>
    <w:rsid w:val="00DA6ECD"/>
    <w:rsid w:val="00DA73A3"/>
    <w:rsid w:val="00DA77D1"/>
    <w:rsid w:val="00DA7D2A"/>
    <w:rsid w:val="00DB0C50"/>
    <w:rsid w:val="00DB1EB6"/>
    <w:rsid w:val="00DB3357"/>
    <w:rsid w:val="00DB43A7"/>
    <w:rsid w:val="00DB4BFB"/>
    <w:rsid w:val="00DB6181"/>
    <w:rsid w:val="00DB61B1"/>
    <w:rsid w:val="00DB632D"/>
    <w:rsid w:val="00DB7171"/>
    <w:rsid w:val="00DB750B"/>
    <w:rsid w:val="00DC3109"/>
    <w:rsid w:val="00DD06F7"/>
    <w:rsid w:val="00DD1774"/>
    <w:rsid w:val="00DD23CE"/>
    <w:rsid w:val="00DD3EAF"/>
    <w:rsid w:val="00DD6244"/>
    <w:rsid w:val="00DD6807"/>
    <w:rsid w:val="00DE20F4"/>
    <w:rsid w:val="00DE25FD"/>
    <w:rsid w:val="00DE300E"/>
    <w:rsid w:val="00DE3316"/>
    <w:rsid w:val="00DE5412"/>
    <w:rsid w:val="00DE646F"/>
    <w:rsid w:val="00DE6E13"/>
    <w:rsid w:val="00DF08E2"/>
    <w:rsid w:val="00DF0BE6"/>
    <w:rsid w:val="00DF198F"/>
    <w:rsid w:val="00DF1E5B"/>
    <w:rsid w:val="00DF2057"/>
    <w:rsid w:val="00DF3DBE"/>
    <w:rsid w:val="00DF4C28"/>
    <w:rsid w:val="00DF547D"/>
    <w:rsid w:val="00DF5947"/>
    <w:rsid w:val="00DF66F9"/>
    <w:rsid w:val="00E02C97"/>
    <w:rsid w:val="00E0395F"/>
    <w:rsid w:val="00E03D01"/>
    <w:rsid w:val="00E05AF6"/>
    <w:rsid w:val="00E06E86"/>
    <w:rsid w:val="00E1027C"/>
    <w:rsid w:val="00E114F9"/>
    <w:rsid w:val="00E1207B"/>
    <w:rsid w:val="00E142E2"/>
    <w:rsid w:val="00E160FA"/>
    <w:rsid w:val="00E16D63"/>
    <w:rsid w:val="00E21F33"/>
    <w:rsid w:val="00E22664"/>
    <w:rsid w:val="00E229BC"/>
    <w:rsid w:val="00E23398"/>
    <w:rsid w:val="00E244F9"/>
    <w:rsid w:val="00E263CB"/>
    <w:rsid w:val="00E27822"/>
    <w:rsid w:val="00E27C87"/>
    <w:rsid w:val="00E33FAB"/>
    <w:rsid w:val="00E3777B"/>
    <w:rsid w:val="00E41499"/>
    <w:rsid w:val="00E43577"/>
    <w:rsid w:val="00E4472E"/>
    <w:rsid w:val="00E447AC"/>
    <w:rsid w:val="00E45FDF"/>
    <w:rsid w:val="00E505CE"/>
    <w:rsid w:val="00E52D91"/>
    <w:rsid w:val="00E52E71"/>
    <w:rsid w:val="00E538AD"/>
    <w:rsid w:val="00E53D6C"/>
    <w:rsid w:val="00E55639"/>
    <w:rsid w:val="00E56F2D"/>
    <w:rsid w:val="00E57E05"/>
    <w:rsid w:val="00E62C13"/>
    <w:rsid w:val="00E63937"/>
    <w:rsid w:val="00E64E65"/>
    <w:rsid w:val="00E65D1C"/>
    <w:rsid w:val="00E6644E"/>
    <w:rsid w:val="00E67223"/>
    <w:rsid w:val="00E71D87"/>
    <w:rsid w:val="00E74FD3"/>
    <w:rsid w:val="00E7559F"/>
    <w:rsid w:val="00E763F4"/>
    <w:rsid w:val="00E7706A"/>
    <w:rsid w:val="00E80A1E"/>
    <w:rsid w:val="00E8355A"/>
    <w:rsid w:val="00E83F08"/>
    <w:rsid w:val="00E84CCA"/>
    <w:rsid w:val="00E852A6"/>
    <w:rsid w:val="00E90234"/>
    <w:rsid w:val="00E90716"/>
    <w:rsid w:val="00E9394B"/>
    <w:rsid w:val="00E97783"/>
    <w:rsid w:val="00EA06F4"/>
    <w:rsid w:val="00EA32CB"/>
    <w:rsid w:val="00EA5137"/>
    <w:rsid w:val="00EA5F87"/>
    <w:rsid w:val="00EB1ECA"/>
    <w:rsid w:val="00EB2991"/>
    <w:rsid w:val="00EB3625"/>
    <w:rsid w:val="00EB5365"/>
    <w:rsid w:val="00EB5506"/>
    <w:rsid w:val="00EB69D1"/>
    <w:rsid w:val="00EB6A1F"/>
    <w:rsid w:val="00EB7EBC"/>
    <w:rsid w:val="00EC168B"/>
    <w:rsid w:val="00EC3115"/>
    <w:rsid w:val="00EC63C6"/>
    <w:rsid w:val="00EC6E6F"/>
    <w:rsid w:val="00EC790F"/>
    <w:rsid w:val="00ED345F"/>
    <w:rsid w:val="00ED5766"/>
    <w:rsid w:val="00ED5E46"/>
    <w:rsid w:val="00ED60CC"/>
    <w:rsid w:val="00ED7FE8"/>
    <w:rsid w:val="00EE05BF"/>
    <w:rsid w:val="00EE120E"/>
    <w:rsid w:val="00EE1B5F"/>
    <w:rsid w:val="00EE32BB"/>
    <w:rsid w:val="00EE4329"/>
    <w:rsid w:val="00EE4649"/>
    <w:rsid w:val="00EE4B2C"/>
    <w:rsid w:val="00EE4DF1"/>
    <w:rsid w:val="00EE500B"/>
    <w:rsid w:val="00EE5107"/>
    <w:rsid w:val="00EE6B0D"/>
    <w:rsid w:val="00EF23E3"/>
    <w:rsid w:val="00EF404D"/>
    <w:rsid w:val="00EF457E"/>
    <w:rsid w:val="00EF48EF"/>
    <w:rsid w:val="00EF5A18"/>
    <w:rsid w:val="00EF6588"/>
    <w:rsid w:val="00F024B0"/>
    <w:rsid w:val="00F0590E"/>
    <w:rsid w:val="00F05C62"/>
    <w:rsid w:val="00F0698A"/>
    <w:rsid w:val="00F0710C"/>
    <w:rsid w:val="00F13421"/>
    <w:rsid w:val="00F14C6B"/>
    <w:rsid w:val="00F16E3E"/>
    <w:rsid w:val="00F207E7"/>
    <w:rsid w:val="00F20C49"/>
    <w:rsid w:val="00F2148D"/>
    <w:rsid w:val="00F2271F"/>
    <w:rsid w:val="00F228D4"/>
    <w:rsid w:val="00F22AA2"/>
    <w:rsid w:val="00F23FDC"/>
    <w:rsid w:val="00F2464F"/>
    <w:rsid w:val="00F2535E"/>
    <w:rsid w:val="00F256E5"/>
    <w:rsid w:val="00F25858"/>
    <w:rsid w:val="00F25D02"/>
    <w:rsid w:val="00F25D72"/>
    <w:rsid w:val="00F26588"/>
    <w:rsid w:val="00F26D94"/>
    <w:rsid w:val="00F26FB6"/>
    <w:rsid w:val="00F3034C"/>
    <w:rsid w:val="00F3074B"/>
    <w:rsid w:val="00F31A73"/>
    <w:rsid w:val="00F32864"/>
    <w:rsid w:val="00F350B5"/>
    <w:rsid w:val="00F3625C"/>
    <w:rsid w:val="00F402A8"/>
    <w:rsid w:val="00F41937"/>
    <w:rsid w:val="00F43046"/>
    <w:rsid w:val="00F43E3B"/>
    <w:rsid w:val="00F45C19"/>
    <w:rsid w:val="00F46C2D"/>
    <w:rsid w:val="00F478EF"/>
    <w:rsid w:val="00F50A52"/>
    <w:rsid w:val="00F51005"/>
    <w:rsid w:val="00F53944"/>
    <w:rsid w:val="00F53CBD"/>
    <w:rsid w:val="00F5484A"/>
    <w:rsid w:val="00F54BD5"/>
    <w:rsid w:val="00F61959"/>
    <w:rsid w:val="00F6302F"/>
    <w:rsid w:val="00F63668"/>
    <w:rsid w:val="00F637AD"/>
    <w:rsid w:val="00F6403B"/>
    <w:rsid w:val="00F64C0F"/>
    <w:rsid w:val="00F70BE2"/>
    <w:rsid w:val="00F718D2"/>
    <w:rsid w:val="00F736C0"/>
    <w:rsid w:val="00F7384E"/>
    <w:rsid w:val="00F75BD0"/>
    <w:rsid w:val="00F80E2F"/>
    <w:rsid w:val="00F829BE"/>
    <w:rsid w:val="00F84406"/>
    <w:rsid w:val="00F85071"/>
    <w:rsid w:val="00F864F8"/>
    <w:rsid w:val="00F8667D"/>
    <w:rsid w:val="00F87AF5"/>
    <w:rsid w:val="00F91D41"/>
    <w:rsid w:val="00F94EE0"/>
    <w:rsid w:val="00F95014"/>
    <w:rsid w:val="00F961D3"/>
    <w:rsid w:val="00F97283"/>
    <w:rsid w:val="00FA0196"/>
    <w:rsid w:val="00FA28A2"/>
    <w:rsid w:val="00FA307D"/>
    <w:rsid w:val="00FA3B2D"/>
    <w:rsid w:val="00FA44F9"/>
    <w:rsid w:val="00FA4FF0"/>
    <w:rsid w:val="00FA67D1"/>
    <w:rsid w:val="00FA6C7A"/>
    <w:rsid w:val="00FA778E"/>
    <w:rsid w:val="00FB1BDE"/>
    <w:rsid w:val="00FB2A2F"/>
    <w:rsid w:val="00FC01C2"/>
    <w:rsid w:val="00FC0310"/>
    <w:rsid w:val="00FC124C"/>
    <w:rsid w:val="00FC3B46"/>
    <w:rsid w:val="00FD036B"/>
    <w:rsid w:val="00FD040B"/>
    <w:rsid w:val="00FD19B4"/>
    <w:rsid w:val="00FD265F"/>
    <w:rsid w:val="00FD2799"/>
    <w:rsid w:val="00FD4399"/>
    <w:rsid w:val="00FD4652"/>
    <w:rsid w:val="00FD5551"/>
    <w:rsid w:val="00FD7717"/>
    <w:rsid w:val="00FD7854"/>
    <w:rsid w:val="00FE00CD"/>
    <w:rsid w:val="00FE0FF6"/>
    <w:rsid w:val="00FE1C2A"/>
    <w:rsid w:val="00FE2306"/>
    <w:rsid w:val="00FE79B4"/>
    <w:rsid w:val="00FE7B4D"/>
    <w:rsid w:val="00FF030A"/>
    <w:rsid w:val="00FF165C"/>
    <w:rsid w:val="00FF1B92"/>
    <w:rsid w:val="00FF25D9"/>
    <w:rsid w:val="00FF4180"/>
    <w:rsid w:val="00FF4DC9"/>
    <w:rsid w:val="00FF4E82"/>
    <w:rsid w:val="00FF59EF"/>
    <w:rsid w:val="00FF71EC"/>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6AC763"/>
  <w15:chartTrackingRefBased/>
  <w15:docId w15:val="{92B23BD8-5660-41AF-988B-93024A6A7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Salutation" w:uiPriority="99"/>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5677"/>
    <w:rPr>
      <w:sz w:val="24"/>
      <w:szCs w:val="24"/>
      <w:lang w:val="es-ES" w:eastAsia="es-ES"/>
    </w:rPr>
  </w:style>
  <w:style w:type="paragraph" w:styleId="Ttulo1">
    <w:name w:val="heading 1"/>
    <w:basedOn w:val="Normal"/>
    <w:next w:val="Normal"/>
    <w:link w:val="Ttulo1Car"/>
    <w:qFormat/>
    <w:rsid w:val="00C559D1"/>
    <w:pPr>
      <w:keepNext/>
      <w:spacing w:before="240" w:after="60"/>
      <w:outlineLvl w:val="0"/>
    </w:pPr>
    <w:rPr>
      <w:rFonts w:ascii="Arial" w:hAnsi="Arial" w:cs="Arial"/>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C559D1"/>
    <w:pPr>
      <w:tabs>
        <w:tab w:val="center" w:pos="4252"/>
        <w:tab w:val="right" w:pos="8504"/>
      </w:tabs>
      <w:overflowPunct w:val="0"/>
      <w:autoSpaceDE w:val="0"/>
      <w:autoSpaceDN w:val="0"/>
      <w:adjustRightInd w:val="0"/>
      <w:textAlignment w:val="baseline"/>
    </w:pPr>
    <w:rPr>
      <w:rFonts w:ascii="Arial" w:hAnsi="Arial"/>
      <w:kern w:val="28"/>
      <w:szCs w:val="20"/>
      <w:lang w:val="es-ES_tradnl"/>
    </w:rPr>
  </w:style>
  <w:style w:type="character" w:customStyle="1" w:styleId="EncabezadoCar">
    <w:name w:val="Encabezado Car"/>
    <w:link w:val="Encabezado"/>
    <w:uiPriority w:val="99"/>
    <w:rsid w:val="00C559D1"/>
    <w:rPr>
      <w:rFonts w:ascii="Arial" w:hAnsi="Arial"/>
      <w:kern w:val="28"/>
      <w:sz w:val="24"/>
      <w:lang w:val="es-ES_tradnl" w:eastAsia="es-ES" w:bidi="ar-SA"/>
    </w:rPr>
  </w:style>
  <w:style w:type="paragraph" w:styleId="Piedepgina">
    <w:name w:val="footer"/>
    <w:basedOn w:val="Normal"/>
    <w:link w:val="PiedepginaCar"/>
    <w:uiPriority w:val="99"/>
    <w:rsid w:val="00C559D1"/>
    <w:pPr>
      <w:tabs>
        <w:tab w:val="center" w:pos="4252"/>
        <w:tab w:val="right" w:pos="8504"/>
      </w:tabs>
      <w:overflowPunct w:val="0"/>
      <w:autoSpaceDE w:val="0"/>
      <w:autoSpaceDN w:val="0"/>
      <w:adjustRightInd w:val="0"/>
      <w:textAlignment w:val="baseline"/>
    </w:pPr>
    <w:rPr>
      <w:rFonts w:ascii="Arial" w:hAnsi="Arial"/>
      <w:kern w:val="28"/>
      <w:szCs w:val="20"/>
      <w:lang w:val="es-ES_tradnl"/>
    </w:rPr>
  </w:style>
  <w:style w:type="character" w:customStyle="1" w:styleId="PiedepginaCar">
    <w:name w:val="Pie de página Car"/>
    <w:link w:val="Piedepgina"/>
    <w:uiPriority w:val="99"/>
    <w:rsid w:val="00C559D1"/>
    <w:rPr>
      <w:rFonts w:ascii="Arial" w:hAnsi="Arial"/>
      <w:kern w:val="28"/>
      <w:sz w:val="24"/>
      <w:lang w:val="es-ES_tradnl" w:eastAsia="es-ES" w:bidi="ar-SA"/>
    </w:rPr>
  </w:style>
  <w:style w:type="character" w:styleId="Nmerodepgina">
    <w:name w:val="page number"/>
    <w:basedOn w:val="Fuentedeprrafopredeter"/>
    <w:rsid w:val="00C559D1"/>
  </w:style>
  <w:style w:type="table" w:styleId="Tablaconcuadrcula">
    <w:name w:val="Table Grid"/>
    <w:basedOn w:val="Tablanormal"/>
    <w:rsid w:val="00C559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texto de nota al pie,Footnote Text Char Char Char,Footnote Text Char,Footnote Text Char Char Char Char Char Char Char Cha"/>
    <w:basedOn w:val="Normal"/>
    <w:link w:val="TextonotapieCar"/>
    <w:uiPriority w:val="99"/>
    <w:rsid w:val="00C918CE"/>
    <w:rPr>
      <w:sz w:val="20"/>
      <w:szCs w:val="20"/>
    </w:rPr>
  </w:style>
  <w:style w:type="character" w:styleId="Refdenotaalpie">
    <w:name w:val="footnote reference"/>
    <w:aliases w:val="Ref. de nota al pie 2,Texto de nota al pie,referencia nota al pie,Footnotes refss,Appel note de bas de page,Footnote number,BVI fnr,Pie de Página,FC,Texto de nota al pi,Texto de nota al p,Pie de Pàgina,F,Pie de P_gin,Pie de P_,4"/>
    <w:uiPriority w:val="99"/>
    <w:rsid w:val="00C918CE"/>
    <w:rPr>
      <w:vertAlign w:val="superscript"/>
    </w:rPr>
  </w:style>
  <w:style w:type="paragraph" w:customStyle="1" w:styleId="Textoindependiente21">
    <w:name w:val="Texto independiente 21"/>
    <w:basedOn w:val="Normal"/>
    <w:rsid w:val="00C455DE"/>
    <w:pPr>
      <w:overflowPunct w:val="0"/>
      <w:autoSpaceDE w:val="0"/>
      <w:autoSpaceDN w:val="0"/>
      <w:adjustRightInd w:val="0"/>
      <w:spacing w:line="360" w:lineRule="auto"/>
      <w:jc w:val="both"/>
    </w:pPr>
    <w:rPr>
      <w:rFonts w:ascii="Arial" w:hAnsi="Arial"/>
      <w:color w:val="000000"/>
      <w:sz w:val="28"/>
      <w:szCs w:val="20"/>
      <w:lang w:val="es-ES_tradnl"/>
    </w:rPr>
  </w:style>
  <w:style w:type="paragraph" w:styleId="Textoindependiente">
    <w:name w:val="Body Text"/>
    <w:basedOn w:val="Normal"/>
    <w:link w:val="TextoindependienteCar"/>
    <w:rsid w:val="00C455DE"/>
    <w:pPr>
      <w:spacing w:after="120"/>
    </w:pPr>
    <w:rPr>
      <w:sz w:val="20"/>
      <w:szCs w:val="20"/>
      <w:lang w:val="es-ES_tradnl"/>
    </w:rPr>
  </w:style>
  <w:style w:type="paragraph" w:styleId="Textodeglobo">
    <w:name w:val="Balloon Text"/>
    <w:basedOn w:val="Normal"/>
    <w:semiHidden/>
    <w:rsid w:val="00C455DE"/>
    <w:rPr>
      <w:rFonts w:ascii="Tahoma" w:hAnsi="Tahoma" w:cs="Tahoma"/>
      <w:sz w:val="16"/>
      <w:szCs w:val="16"/>
    </w:rPr>
  </w:style>
  <w:style w:type="paragraph" w:styleId="Prrafodelista">
    <w:name w:val="List Paragraph"/>
    <w:basedOn w:val="Normal"/>
    <w:uiPriority w:val="34"/>
    <w:qFormat/>
    <w:rsid w:val="00A11D0B"/>
    <w:pPr>
      <w:ind w:left="708"/>
    </w:pPr>
  </w:style>
  <w:style w:type="paragraph" w:styleId="Sangradetextonormal">
    <w:name w:val="Body Text Indent"/>
    <w:basedOn w:val="Normal"/>
    <w:link w:val="SangradetextonormalCar"/>
    <w:rsid w:val="00CC20B6"/>
    <w:pPr>
      <w:spacing w:after="120"/>
      <w:ind w:left="283"/>
    </w:pPr>
  </w:style>
  <w:style w:type="character" w:customStyle="1" w:styleId="SangradetextonormalCar">
    <w:name w:val="Sangría de texto normal Car"/>
    <w:link w:val="Sangradetextonormal"/>
    <w:rsid w:val="00CC20B6"/>
    <w:rPr>
      <w:sz w:val="24"/>
      <w:szCs w:val="24"/>
    </w:rPr>
  </w:style>
  <w:style w:type="character" w:customStyle="1" w:styleId="TextoindependienteCar">
    <w:name w:val="Texto independiente Car"/>
    <w:link w:val="Textoindependiente"/>
    <w:rsid w:val="00CC20B6"/>
    <w:rPr>
      <w:lang w:val="es-ES_tradnl"/>
    </w:rPr>
  </w:style>
  <w:style w:type="paragraph" w:styleId="Textosinformato">
    <w:name w:val="Plain Text"/>
    <w:basedOn w:val="Normal"/>
    <w:link w:val="TextosinformatoCar"/>
    <w:rsid w:val="00CC20B6"/>
    <w:rPr>
      <w:rFonts w:ascii="Courier New" w:hAnsi="Courier New" w:cs="Courier New"/>
      <w:sz w:val="20"/>
      <w:szCs w:val="20"/>
    </w:rPr>
  </w:style>
  <w:style w:type="character" w:customStyle="1" w:styleId="TextosinformatoCar">
    <w:name w:val="Texto sin formato Car"/>
    <w:link w:val="Textosinformato"/>
    <w:rsid w:val="00CC20B6"/>
    <w:rPr>
      <w:rFonts w:ascii="Courier New" w:hAnsi="Courier New" w:cs="Courier New"/>
    </w:rPr>
  </w:style>
  <w:style w:type="character" w:customStyle="1" w:styleId="Ttulo1Car">
    <w:name w:val="Título 1 Car"/>
    <w:link w:val="Ttulo1"/>
    <w:rsid w:val="009236F0"/>
    <w:rPr>
      <w:rFonts w:ascii="Arial" w:hAnsi="Arial" w:cs="Arial"/>
      <w:b/>
      <w:bCs/>
      <w:kern w:val="32"/>
      <w:sz w:val="32"/>
      <w:szCs w:val="32"/>
    </w:rPr>
  </w:style>
  <w:style w:type="character" w:customStyle="1" w:styleId="TextonotapieCar">
    <w:name w:val="Texto nota pie Car"/>
    <w:aliases w:val="Footnote Text Char Char Char Char Char Car,Footnote Text Char Char Char Char Car,Footnote reference Car,FA Fu Car,texto de nota al pie Car,Footnote Text Char Char Char Car,Footnote Text Char Car"/>
    <w:basedOn w:val="Fuentedeprrafopredeter"/>
    <w:link w:val="Textonotapie"/>
    <w:uiPriority w:val="99"/>
    <w:rsid w:val="004B724B"/>
  </w:style>
  <w:style w:type="character" w:customStyle="1" w:styleId="textonavy1">
    <w:name w:val="texto_navy1"/>
    <w:rsid w:val="0039283C"/>
    <w:rPr>
      <w:color w:val="000080"/>
    </w:rPr>
  </w:style>
  <w:style w:type="character" w:styleId="Hipervnculo">
    <w:name w:val="Hyperlink"/>
    <w:uiPriority w:val="99"/>
    <w:unhideWhenUsed/>
    <w:rsid w:val="00DA77D1"/>
    <w:rPr>
      <w:color w:val="0000FF"/>
      <w:u w:val="single"/>
    </w:rPr>
  </w:style>
  <w:style w:type="character" w:styleId="Refdecomentario">
    <w:name w:val="annotation reference"/>
    <w:rsid w:val="008F2FA2"/>
    <w:rPr>
      <w:sz w:val="16"/>
      <w:szCs w:val="16"/>
    </w:rPr>
  </w:style>
  <w:style w:type="paragraph" w:styleId="Textocomentario">
    <w:name w:val="annotation text"/>
    <w:basedOn w:val="Normal"/>
    <w:link w:val="TextocomentarioCar"/>
    <w:rsid w:val="008F2FA2"/>
    <w:rPr>
      <w:sz w:val="20"/>
      <w:szCs w:val="20"/>
    </w:rPr>
  </w:style>
  <w:style w:type="character" w:customStyle="1" w:styleId="TextocomentarioCar">
    <w:name w:val="Texto comentario Car"/>
    <w:link w:val="Textocomentario"/>
    <w:rsid w:val="008F2FA2"/>
    <w:rPr>
      <w:lang w:val="es-ES" w:eastAsia="es-ES"/>
    </w:rPr>
  </w:style>
  <w:style w:type="paragraph" w:styleId="Asuntodelcomentario">
    <w:name w:val="annotation subject"/>
    <w:basedOn w:val="Textocomentario"/>
    <w:next w:val="Textocomentario"/>
    <w:link w:val="AsuntodelcomentarioCar"/>
    <w:rsid w:val="008F2FA2"/>
    <w:rPr>
      <w:b/>
      <w:bCs/>
    </w:rPr>
  </w:style>
  <w:style w:type="character" w:customStyle="1" w:styleId="AsuntodelcomentarioCar">
    <w:name w:val="Asunto del comentario Car"/>
    <w:link w:val="Asuntodelcomentario"/>
    <w:rsid w:val="008F2FA2"/>
    <w:rPr>
      <w:b/>
      <w:bCs/>
      <w:lang w:val="es-ES" w:eastAsia="es-ES"/>
    </w:rPr>
  </w:style>
  <w:style w:type="paragraph" w:styleId="Saludo">
    <w:name w:val="Salutation"/>
    <w:basedOn w:val="Normal"/>
    <w:next w:val="Normal"/>
    <w:link w:val="SaludoCar"/>
    <w:uiPriority w:val="99"/>
    <w:rsid w:val="002B6294"/>
    <w:rPr>
      <w:rFonts w:ascii="Lucida Bright" w:hAnsi="Lucida Bright"/>
    </w:rPr>
  </w:style>
  <w:style w:type="character" w:customStyle="1" w:styleId="SaludoCar">
    <w:name w:val="Saludo Car"/>
    <w:link w:val="Saludo"/>
    <w:uiPriority w:val="99"/>
    <w:rsid w:val="002B6294"/>
    <w:rPr>
      <w:rFonts w:ascii="Lucida Bright" w:hAnsi="Lucida Bright"/>
      <w:sz w:val="24"/>
      <w:szCs w:val="24"/>
      <w:lang w:val="es-ES" w:eastAsia="es-ES"/>
    </w:rPr>
  </w:style>
  <w:style w:type="paragraph" w:customStyle="1" w:styleId="Lneadeasunto">
    <w:name w:val="Línea de asunto"/>
    <w:basedOn w:val="Normal"/>
    <w:uiPriority w:val="99"/>
    <w:rsid w:val="002B6294"/>
    <w:rPr>
      <w:rFonts w:ascii="Lucida Bright" w:hAnsi="Lucida Br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5551">
      <w:bodyDiv w:val="1"/>
      <w:marLeft w:val="200"/>
      <w:marRight w:val="200"/>
      <w:marTop w:val="200"/>
      <w:marBottom w:val="200"/>
      <w:divBdr>
        <w:top w:val="none" w:sz="0" w:space="0" w:color="auto"/>
        <w:left w:val="none" w:sz="0" w:space="0" w:color="auto"/>
        <w:bottom w:val="none" w:sz="0" w:space="0" w:color="auto"/>
        <w:right w:val="none" w:sz="0" w:space="0" w:color="auto"/>
      </w:divBdr>
      <w:divsChild>
        <w:div w:id="830175811">
          <w:marLeft w:val="0"/>
          <w:marRight w:val="0"/>
          <w:marTop w:val="0"/>
          <w:marBottom w:val="0"/>
          <w:divBdr>
            <w:top w:val="none" w:sz="0" w:space="0" w:color="auto"/>
            <w:left w:val="none" w:sz="0" w:space="0" w:color="auto"/>
            <w:bottom w:val="none" w:sz="0" w:space="0" w:color="auto"/>
            <w:right w:val="none" w:sz="0" w:space="0" w:color="auto"/>
          </w:divBdr>
        </w:div>
      </w:divsChild>
    </w:div>
    <w:div w:id="161553473">
      <w:bodyDiv w:val="1"/>
      <w:marLeft w:val="136"/>
      <w:marRight w:val="136"/>
      <w:marTop w:val="136"/>
      <w:marBottom w:val="136"/>
      <w:divBdr>
        <w:top w:val="none" w:sz="0" w:space="0" w:color="auto"/>
        <w:left w:val="none" w:sz="0" w:space="0" w:color="auto"/>
        <w:bottom w:val="none" w:sz="0" w:space="0" w:color="auto"/>
        <w:right w:val="none" w:sz="0" w:space="0" w:color="auto"/>
      </w:divBdr>
      <w:divsChild>
        <w:div w:id="824006022">
          <w:marLeft w:val="0"/>
          <w:marRight w:val="0"/>
          <w:marTop w:val="0"/>
          <w:marBottom w:val="0"/>
          <w:divBdr>
            <w:top w:val="none" w:sz="0" w:space="0" w:color="auto"/>
            <w:left w:val="none" w:sz="0" w:space="0" w:color="auto"/>
            <w:bottom w:val="none" w:sz="0" w:space="0" w:color="auto"/>
            <w:right w:val="none" w:sz="0" w:space="0" w:color="auto"/>
          </w:divBdr>
        </w:div>
        <w:div w:id="1998074881">
          <w:marLeft w:val="0"/>
          <w:marRight w:val="0"/>
          <w:marTop w:val="0"/>
          <w:marBottom w:val="0"/>
          <w:divBdr>
            <w:top w:val="none" w:sz="0" w:space="0" w:color="auto"/>
            <w:left w:val="none" w:sz="0" w:space="0" w:color="auto"/>
            <w:bottom w:val="none" w:sz="0" w:space="0" w:color="auto"/>
            <w:right w:val="none" w:sz="0" w:space="0" w:color="auto"/>
          </w:divBdr>
        </w:div>
      </w:divsChild>
    </w:div>
    <w:div w:id="328794773">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97794579">
          <w:marLeft w:val="0"/>
          <w:marRight w:val="0"/>
          <w:marTop w:val="0"/>
          <w:marBottom w:val="0"/>
          <w:divBdr>
            <w:top w:val="none" w:sz="0" w:space="0" w:color="auto"/>
            <w:left w:val="none" w:sz="0" w:space="0" w:color="auto"/>
            <w:bottom w:val="none" w:sz="0" w:space="0" w:color="auto"/>
            <w:right w:val="none" w:sz="0" w:space="0" w:color="auto"/>
          </w:divBdr>
        </w:div>
      </w:divsChild>
    </w:div>
    <w:div w:id="810828152">
      <w:bodyDiv w:val="1"/>
      <w:marLeft w:val="136"/>
      <w:marRight w:val="136"/>
      <w:marTop w:val="136"/>
      <w:marBottom w:val="136"/>
      <w:divBdr>
        <w:top w:val="none" w:sz="0" w:space="0" w:color="auto"/>
        <w:left w:val="none" w:sz="0" w:space="0" w:color="auto"/>
        <w:bottom w:val="none" w:sz="0" w:space="0" w:color="auto"/>
        <w:right w:val="none" w:sz="0" w:space="0" w:color="auto"/>
      </w:divBdr>
      <w:divsChild>
        <w:div w:id="1242107289">
          <w:marLeft w:val="0"/>
          <w:marRight w:val="0"/>
          <w:marTop w:val="0"/>
          <w:marBottom w:val="0"/>
          <w:divBdr>
            <w:top w:val="none" w:sz="0" w:space="0" w:color="auto"/>
            <w:left w:val="none" w:sz="0" w:space="0" w:color="auto"/>
            <w:bottom w:val="none" w:sz="0" w:space="0" w:color="auto"/>
            <w:right w:val="none" w:sz="0" w:space="0" w:color="auto"/>
          </w:divBdr>
        </w:div>
      </w:divsChild>
    </w:div>
    <w:div w:id="1240023551">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749114441">
          <w:marLeft w:val="0"/>
          <w:marRight w:val="0"/>
          <w:marTop w:val="0"/>
          <w:marBottom w:val="0"/>
          <w:divBdr>
            <w:top w:val="none" w:sz="0" w:space="0" w:color="auto"/>
            <w:left w:val="none" w:sz="0" w:space="0" w:color="auto"/>
            <w:bottom w:val="none" w:sz="0" w:space="0" w:color="auto"/>
            <w:right w:val="none" w:sz="0" w:space="0" w:color="auto"/>
          </w:divBdr>
        </w:div>
      </w:divsChild>
    </w:div>
    <w:div w:id="15570100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2492705">
          <w:marLeft w:val="0"/>
          <w:marRight w:val="0"/>
          <w:marTop w:val="0"/>
          <w:marBottom w:val="0"/>
          <w:divBdr>
            <w:top w:val="none" w:sz="0" w:space="0" w:color="auto"/>
            <w:left w:val="none" w:sz="0" w:space="0" w:color="auto"/>
            <w:bottom w:val="none" w:sz="0" w:space="0" w:color="auto"/>
            <w:right w:val="none" w:sz="0" w:space="0" w:color="auto"/>
          </w:divBdr>
        </w:div>
      </w:divsChild>
    </w:div>
    <w:div w:id="1732146860">
      <w:bodyDiv w:val="1"/>
      <w:marLeft w:val="136"/>
      <w:marRight w:val="136"/>
      <w:marTop w:val="136"/>
      <w:marBottom w:val="136"/>
      <w:divBdr>
        <w:top w:val="none" w:sz="0" w:space="0" w:color="auto"/>
        <w:left w:val="none" w:sz="0" w:space="0" w:color="auto"/>
        <w:bottom w:val="none" w:sz="0" w:space="0" w:color="auto"/>
        <w:right w:val="none" w:sz="0" w:space="0" w:color="auto"/>
      </w:divBdr>
      <w:divsChild>
        <w:div w:id="385303473">
          <w:marLeft w:val="0"/>
          <w:marRight w:val="0"/>
          <w:marTop w:val="0"/>
          <w:marBottom w:val="0"/>
          <w:divBdr>
            <w:top w:val="none" w:sz="0" w:space="0" w:color="auto"/>
            <w:left w:val="none" w:sz="0" w:space="0" w:color="auto"/>
            <w:bottom w:val="none" w:sz="0" w:space="0" w:color="auto"/>
            <w:right w:val="none" w:sz="0" w:space="0" w:color="auto"/>
          </w:divBdr>
        </w:div>
        <w:div w:id="745346770">
          <w:marLeft w:val="0"/>
          <w:marRight w:val="0"/>
          <w:marTop w:val="0"/>
          <w:marBottom w:val="0"/>
          <w:divBdr>
            <w:top w:val="none" w:sz="0" w:space="0" w:color="auto"/>
            <w:left w:val="none" w:sz="0" w:space="0" w:color="auto"/>
            <w:bottom w:val="none" w:sz="0" w:space="0" w:color="auto"/>
            <w:right w:val="none" w:sz="0" w:space="0" w:color="auto"/>
          </w:divBdr>
        </w:div>
        <w:div w:id="1636138024">
          <w:marLeft w:val="0"/>
          <w:marRight w:val="0"/>
          <w:marTop w:val="0"/>
          <w:marBottom w:val="0"/>
          <w:divBdr>
            <w:top w:val="none" w:sz="0" w:space="0" w:color="auto"/>
            <w:left w:val="none" w:sz="0" w:space="0" w:color="auto"/>
            <w:bottom w:val="none" w:sz="0" w:space="0" w:color="auto"/>
            <w:right w:val="none" w:sz="0" w:space="0" w:color="auto"/>
          </w:divBdr>
        </w:div>
      </w:divsChild>
    </w:div>
    <w:div w:id="1855144611">
      <w:bodyDiv w:val="1"/>
      <w:marLeft w:val="0"/>
      <w:marRight w:val="0"/>
      <w:marTop w:val="0"/>
      <w:marBottom w:val="0"/>
      <w:divBdr>
        <w:top w:val="none" w:sz="0" w:space="0" w:color="auto"/>
        <w:left w:val="none" w:sz="0" w:space="0" w:color="auto"/>
        <w:bottom w:val="none" w:sz="0" w:space="0" w:color="auto"/>
        <w:right w:val="none" w:sz="0" w:space="0" w:color="auto"/>
      </w:divBdr>
    </w:div>
    <w:div w:id="1980724125">
      <w:bodyDiv w:val="1"/>
      <w:marLeft w:val="0"/>
      <w:marRight w:val="0"/>
      <w:marTop w:val="0"/>
      <w:marBottom w:val="0"/>
      <w:divBdr>
        <w:top w:val="none" w:sz="0" w:space="0" w:color="auto"/>
        <w:left w:val="none" w:sz="0" w:space="0" w:color="auto"/>
        <w:bottom w:val="none" w:sz="0" w:space="0" w:color="auto"/>
        <w:right w:val="none" w:sz="0" w:space="0" w:color="auto"/>
      </w:divBdr>
    </w:div>
    <w:div w:id="2008170345">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19027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BF5F8EB3B015164686C904CDFD7AD381" ma:contentTypeVersion="9" ma:contentTypeDescription="Crear nuevo documento." ma:contentTypeScope="" ma:versionID="9c6ab9efe60a4662fe836299ca8da904">
  <xsd:schema xmlns:xsd="http://www.w3.org/2001/XMLSchema" xmlns:xs="http://www.w3.org/2001/XMLSchema" xmlns:p="http://schemas.microsoft.com/office/2006/metadata/properties" xmlns:ns2="22284b6d-4320-4c1c-b93c-fb5ab6f9e403" targetNamespace="http://schemas.microsoft.com/office/2006/metadata/properties" ma:root="true" ma:fieldsID="af8c17dfe219db78be3d7a2b79a8e6b2" ns2:_="">
    <xsd:import namespace="22284b6d-4320-4c1c-b93c-fb5ab6f9e4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284b6d-4320-4c1c-b93c-fb5ab6f9e4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18E82E-5CF1-4263-A07A-D624A32993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B63E02A-ACD2-44D2-8D5A-40D0C0CDF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284b6d-4320-4c1c-b93c-fb5ab6f9e4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9289A2-BC67-439D-AFF8-A9C3B1097843}">
  <ds:schemaRefs>
    <ds:schemaRef ds:uri="http://schemas.microsoft.com/sharepoint/v3/contenttype/forms"/>
  </ds:schemaRefs>
</ds:datastoreItem>
</file>

<file path=customXml/itemProps4.xml><?xml version="1.0" encoding="utf-8"?>
<ds:datastoreItem xmlns:ds="http://schemas.openxmlformats.org/officeDocument/2006/customXml" ds:itemID="{A4E576A3-6BCC-4FCC-A001-DCA99233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2373</Words>
  <Characters>13528</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lpstr>
    </vt:vector>
  </TitlesOfParts>
  <Company>CSJ</Company>
  <LinksUpToDate>false</LinksUpToDate>
  <CharactersWithSpaces>15870</CharactersWithSpaces>
  <SharedDoc>false</SharedDoc>
  <HLinks>
    <vt:vector size="6" baseType="variant">
      <vt:variant>
        <vt:i4>7405679</vt:i4>
      </vt:variant>
      <vt:variant>
        <vt:i4>2255</vt:i4>
      </vt:variant>
      <vt:variant>
        <vt:i4>1032</vt:i4>
      </vt:variant>
      <vt:variant>
        <vt:i4>1</vt:i4>
      </vt:variant>
      <vt:variant>
        <vt:lpwstr>http://images.google.com.co/url?q=http://www.cajpe.org.pe/infomacionporpaises/images/colombia_escudo.gif&amp;usg=AFrqEzfgWyWgrhxYM1_HhyEayeIxMYvdTA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CSJ;DIEGO F RODRIGUEZ</dc:creator>
  <cp:keywords/>
  <dc:description/>
  <cp:lastModifiedBy>GONZALO</cp:lastModifiedBy>
  <cp:revision>2</cp:revision>
  <cp:lastPrinted>2019-10-24T21:44:00Z</cp:lastPrinted>
  <dcterms:created xsi:type="dcterms:W3CDTF">2021-03-12T17:18:00Z</dcterms:created>
  <dcterms:modified xsi:type="dcterms:W3CDTF">2021-03-12T17:18:00Z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0x010100BF5F8EB3B015164686C904CDFD7AD381</vt:lpwstr>
  </property>
</Properties>
</file>