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0B48B" w14:textId="77777777" w:rsidR="00B203C9" w:rsidRPr="00C27F8A" w:rsidRDefault="00B203C9" w:rsidP="00C27F8A">
      <w:pPr>
        <w:pStyle w:val="Ttulo"/>
        <w:spacing w:line="360" w:lineRule="auto"/>
        <w:rPr>
          <w:rFonts w:ascii="Verdana" w:hAnsi="Verdana" w:cs="Georgia"/>
        </w:rPr>
      </w:pPr>
      <w:r>
        <w:rPr>
          <w:noProof/>
          <w:lang w:val="en-US" w:eastAsia="en-US"/>
        </w:rPr>
        <w:drawing>
          <wp:inline distT="0" distB="0" distL="0" distR="0" wp14:anchorId="327C2099" wp14:editId="1A715E05">
            <wp:extent cx="548640" cy="516890"/>
            <wp:effectExtent l="0" t="0" r="381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8640" cy="516890"/>
                    </a:xfrm>
                    <a:prstGeom prst="rect">
                      <a:avLst/>
                    </a:prstGeom>
                  </pic:spPr>
                </pic:pic>
              </a:graphicData>
            </a:graphic>
          </wp:inline>
        </w:drawing>
      </w:r>
    </w:p>
    <w:p w14:paraId="0E3B1F87" w14:textId="77777777" w:rsidR="00B203C9" w:rsidRPr="00C27F8A" w:rsidRDefault="00727DAD" w:rsidP="00C27F8A">
      <w:pPr>
        <w:pStyle w:val="Ttulo"/>
        <w:spacing w:line="360" w:lineRule="auto"/>
        <w:rPr>
          <w:rFonts w:ascii="Verdana" w:hAnsi="Verdana" w:cs="Georgia"/>
        </w:rPr>
      </w:pPr>
      <w:r w:rsidRPr="00C27F8A">
        <w:rPr>
          <w:rFonts w:ascii="Verdana" w:hAnsi="Verdana" w:cs="Georgia"/>
        </w:rPr>
        <w:t>TRIBUNAL ADMINISTRATIVO</w:t>
      </w:r>
      <w:r w:rsidR="00B203C9" w:rsidRPr="00C27F8A">
        <w:rPr>
          <w:rFonts w:ascii="Verdana" w:hAnsi="Verdana" w:cs="Georgia"/>
        </w:rPr>
        <w:t xml:space="preserve"> DE </w:t>
      </w:r>
      <w:r w:rsidRPr="00C27F8A">
        <w:rPr>
          <w:rFonts w:ascii="Verdana" w:hAnsi="Verdana" w:cs="Georgia"/>
        </w:rPr>
        <w:t>BOYACÁ</w:t>
      </w:r>
    </w:p>
    <w:p w14:paraId="0D353F29" w14:textId="1A3E7C9F" w:rsidR="00B203C9" w:rsidRPr="00C27F8A" w:rsidRDefault="00B203C9" w:rsidP="00C27F8A">
      <w:pPr>
        <w:pStyle w:val="Ttulo"/>
        <w:spacing w:line="360" w:lineRule="auto"/>
        <w:rPr>
          <w:rFonts w:ascii="Verdana" w:hAnsi="Verdana" w:cs="Georgia"/>
        </w:rPr>
      </w:pPr>
      <w:r w:rsidRPr="00C27F8A">
        <w:rPr>
          <w:rFonts w:ascii="Verdana" w:hAnsi="Verdana" w:cs="Georgia"/>
        </w:rPr>
        <w:t xml:space="preserve">SALA DE DECISIÓN No. </w:t>
      </w:r>
      <w:r w:rsidR="006B0A42">
        <w:rPr>
          <w:rFonts w:ascii="Verdana" w:hAnsi="Verdana" w:cs="Georgia"/>
        </w:rPr>
        <w:t>6</w:t>
      </w:r>
    </w:p>
    <w:p w14:paraId="4EC4B573" w14:textId="77777777" w:rsidR="00B203C9" w:rsidRPr="00C27F8A" w:rsidRDefault="00B203C9" w:rsidP="00C27F8A">
      <w:pPr>
        <w:pStyle w:val="Ttulo"/>
        <w:spacing w:line="360" w:lineRule="auto"/>
        <w:rPr>
          <w:rFonts w:ascii="Verdana" w:hAnsi="Verdana" w:cs="Georgia"/>
        </w:rPr>
      </w:pPr>
      <w:r w:rsidRPr="00C27F8A">
        <w:rPr>
          <w:rFonts w:ascii="Verdana" w:hAnsi="Verdana" w:cs="Georgia"/>
        </w:rPr>
        <w:t>MAGISTRADO PONENTE: FÉLIX ALBERTO RODRÍGUEZ RIVEROS</w:t>
      </w:r>
    </w:p>
    <w:p w14:paraId="6B71E766" w14:textId="77777777" w:rsidR="00B203C9" w:rsidRPr="00C27F8A" w:rsidRDefault="00B203C9" w:rsidP="00C27F8A">
      <w:pPr>
        <w:spacing w:line="360" w:lineRule="auto"/>
        <w:jc w:val="both"/>
        <w:rPr>
          <w:rFonts w:ascii="Verdana" w:hAnsi="Verdana" w:cs="Georgia"/>
        </w:rPr>
      </w:pPr>
    </w:p>
    <w:p w14:paraId="0BC7201B" w14:textId="32AA3BB0" w:rsidR="00B203C9" w:rsidRPr="00C27F8A" w:rsidRDefault="00B203C9" w:rsidP="00C27F8A">
      <w:pPr>
        <w:spacing w:line="360" w:lineRule="auto"/>
        <w:jc w:val="both"/>
        <w:rPr>
          <w:rFonts w:ascii="Verdana" w:hAnsi="Verdana" w:cs="Georgia"/>
        </w:rPr>
      </w:pPr>
      <w:r w:rsidRPr="6C840B4C">
        <w:rPr>
          <w:rFonts w:ascii="Verdana" w:hAnsi="Verdana" w:cs="Georgia"/>
        </w:rPr>
        <w:t xml:space="preserve">Tunja, </w:t>
      </w:r>
      <w:r w:rsidR="1A79F74C" w:rsidRPr="6C840B4C">
        <w:rPr>
          <w:rFonts w:ascii="Verdana" w:hAnsi="Verdana" w:cs="Georgia"/>
        </w:rPr>
        <w:t>once (11) de marzo de dos mil veintiuno (2021)</w:t>
      </w:r>
    </w:p>
    <w:p w14:paraId="71275C96" w14:textId="77777777" w:rsidR="00B203C9" w:rsidRPr="00C27F8A" w:rsidRDefault="00B203C9" w:rsidP="00C27F8A">
      <w:pPr>
        <w:spacing w:line="360" w:lineRule="auto"/>
        <w:jc w:val="both"/>
        <w:rPr>
          <w:rFonts w:ascii="Verdana" w:hAnsi="Verdana" w:cs="Georgia"/>
        </w:rPr>
      </w:pPr>
    </w:p>
    <w:p w14:paraId="0E17C9DA" w14:textId="77777777" w:rsidR="00B203C9" w:rsidRPr="00C27F8A" w:rsidRDefault="00B203C9" w:rsidP="00C27F8A">
      <w:pPr>
        <w:spacing w:line="360" w:lineRule="auto"/>
        <w:jc w:val="both"/>
        <w:rPr>
          <w:rFonts w:ascii="Verdana" w:hAnsi="Verdana" w:cs="Georgia"/>
          <w:b/>
          <w:bCs/>
        </w:rPr>
      </w:pPr>
      <w:r w:rsidRPr="00C27F8A">
        <w:rPr>
          <w:rFonts w:ascii="Verdana" w:hAnsi="Verdana" w:cs="Georgia"/>
          <w:b/>
          <w:bCs/>
        </w:rPr>
        <w:t xml:space="preserve">MEDIO DE CONTROL: </w:t>
      </w:r>
      <w:r w:rsidR="00727DAD" w:rsidRPr="00C27F8A">
        <w:rPr>
          <w:rFonts w:ascii="Verdana" w:hAnsi="Verdana" w:cs="Georgia"/>
          <w:b/>
          <w:bCs/>
        </w:rPr>
        <w:t xml:space="preserve">REPETICIÓN </w:t>
      </w:r>
    </w:p>
    <w:p w14:paraId="41A75E47" w14:textId="7722925A" w:rsidR="00B203C9" w:rsidRPr="006B0A42" w:rsidRDefault="00B203C9" w:rsidP="00C27F8A">
      <w:pPr>
        <w:spacing w:line="360" w:lineRule="auto"/>
        <w:jc w:val="both"/>
        <w:rPr>
          <w:rFonts w:ascii="Verdana" w:hAnsi="Verdana" w:cs="Georgia"/>
          <w:b/>
          <w:bCs/>
        </w:rPr>
      </w:pPr>
      <w:r w:rsidRPr="00C27F8A">
        <w:rPr>
          <w:rFonts w:ascii="Verdana" w:hAnsi="Verdana" w:cs="Georgia"/>
          <w:b/>
          <w:bCs/>
        </w:rPr>
        <w:t>DEMANDANTE</w:t>
      </w:r>
      <w:r w:rsidRPr="006B0A42">
        <w:rPr>
          <w:rFonts w:ascii="Verdana" w:hAnsi="Verdana" w:cs="Georgia"/>
          <w:b/>
          <w:bCs/>
        </w:rPr>
        <w:t xml:space="preserve">: </w:t>
      </w:r>
      <w:r w:rsidR="006B0A42" w:rsidRPr="006B0A42">
        <w:rPr>
          <w:rFonts w:ascii="Verdana" w:hAnsi="Verdana" w:cs="Georgia"/>
          <w:b/>
          <w:bCs/>
        </w:rPr>
        <w:t>ESE HOSPITAL REGIONAL DE DUITAMA</w:t>
      </w:r>
    </w:p>
    <w:p w14:paraId="4CD89878" w14:textId="08FAA0F0" w:rsidR="00B203C9" w:rsidRPr="006B0A42" w:rsidRDefault="00B203C9" w:rsidP="00C27F8A">
      <w:pPr>
        <w:spacing w:line="360" w:lineRule="auto"/>
        <w:jc w:val="both"/>
        <w:rPr>
          <w:rFonts w:ascii="Verdana" w:hAnsi="Verdana" w:cs="Georgia"/>
          <w:b/>
          <w:bCs/>
        </w:rPr>
      </w:pPr>
      <w:r w:rsidRPr="006B0A42">
        <w:rPr>
          <w:rFonts w:ascii="Verdana" w:hAnsi="Verdana" w:cs="Georgia"/>
          <w:b/>
          <w:bCs/>
        </w:rPr>
        <w:t xml:space="preserve">DEMANDADO: </w:t>
      </w:r>
      <w:r w:rsidR="006B0A42" w:rsidRPr="006B0A42">
        <w:rPr>
          <w:rFonts w:ascii="Verdana" w:hAnsi="Verdana"/>
          <w:b/>
          <w:bCs/>
        </w:rPr>
        <w:t>COOSERVISALUD CTA Y MARÍA CECILIA GONZÁLEZ</w:t>
      </w:r>
    </w:p>
    <w:p w14:paraId="2C5E02CB" w14:textId="33D5706B" w:rsidR="00B203C9" w:rsidRPr="006B0A42" w:rsidRDefault="00B203C9" w:rsidP="00C27F8A">
      <w:pPr>
        <w:spacing w:line="360" w:lineRule="auto"/>
        <w:jc w:val="both"/>
        <w:rPr>
          <w:rFonts w:ascii="Verdana" w:hAnsi="Verdana" w:cs="Georgia"/>
          <w:b/>
          <w:bCs/>
        </w:rPr>
      </w:pPr>
      <w:r w:rsidRPr="006B0A42">
        <w:rPr>
          <w:rFonts w:ascii="Verdana" w:hAnsi="Verdana" w:cs="Georgia"/>
          <w:b/>
          <w:bCs/>
        </w:rPr>
        <w:t xml:space="preserve">RADICACIÓN: </w:t>
      </w:r>
      <w:r w:rsidR="006B0A42" w:rsidRPr="006B0A42">
        <w:rPr>
          <w:rFonts w:ascii="Verdana" w:hAnsi="Verdana"/>
          <w:b/>
          <w:bCs/>
        </w:rPr>
        <w:t>152383333002-202000051-0</w:t>
      </w:r>
      <w:r w:rsidR="00BC1A2A" w:rsidRPr="006B0A42">
        <w:rPr>
          <w:rFonts w:ascii="Verdana" w:hAnsi="Verdana" w:cs="Georgia"/>
          <w:b/>
          <w:bCs/>
        </w:rPr>
        <w:t>1</w:t>
      </w:r>
    </w:p>
    <w:p w14:paraId="2D9DFF5D" w14:textId="77777777" w:rsidR="00BF67C0" w:rsidRPr="00C27F8A" w:rsidRDefault="00BF67C0" w:rsidP="00C27F8A">
      <w:pPr>
        <w:pStyle w:val="Textoindependiente"/>
        <w:spacing w:line="360" w:lineRule="auto"/>
        <w:rPr>
          <w:rFonts w:ascii="Verdana" w:hAnsi="Verdana" w:cs="Georgia"/>
          <w:b/>
          <w:bCs/>
          <w:spacing w:val="-3"/>
          <w:sz w:val="24"/>
          <w:szCs w:val="24"/>
        </w:rPr>
      </w:pPr>
      <w:bookmarkStart w:id="0" w:name="_GoBack"/>
      <w:bookmarkEnd w:id="0"/>
    </w:p>
    <w:p w14:paraId="215A4F8E" w14:textId="77777777" w:rsidR="004D425D" w:rsidRPr="00C27F8A" w:rsidRDefault="004D425D" w:rsidP="00C27F8A">
      <w:pPr>
        <w:pStyle w:val="Textoindependiente"/>
        <w:numPr>
          <w:ilvl w:val="0"/>
          <w:numId w:val="1"/>
        </w:numPr>
        <w:spacing w:line="360" w:lineRule="auto"/>
        <w:jc w:val="center"/>
        <w:rPr>
          <w:rFonts w:ascii="Verdana" w:hAnsi="Verdana" w:cs="Arial"/>
          <w:sz w:val="24"/>
          <w:szCs w:val="24"/>
        </w:rPr>
      </w:pPr>
      <w:r w:rsidRPr="00C27F8A">
        <w:rPr>
          <w:rFonts w:ascii="Verdana" w:hAnsi="Verdana" w:cs="Georgia"/>
          <w:b/>
          <w:bCs/>
          <w:spacing w:val="-3"/>
          <w:sz w:val="24"/>
          <w:szCs w:val="24"/>
        </w:rPr>
        <w:t>ASUNTO A RESOLVER</w:t>
      </w:r>
    </w:p>
    <w:p w14:paraId="20AAB9FA" w14:textId="77777777" w:rsidR="004D425D" w:rsidRPr="00C27F8A" w:rsidRDefault="004D425D" w:rsidP="00C27F8A">
      <w:pPr>
        <w:pStyle w:val="Textoindependiente"/>
        <w:spacing w:line="360" w:lineRule="auto"/>
        <w:ind w:left="1080"/>
        <w:rPr>
          <w:rFonts w:ascii="Verdana" w:hAnsi="Verdana" w:cs="Arial"/>
          <w:sz w:val="24"/>
          <w:szCs w:val="24"/>
        </w:rPr>
      </w:pPr>
    </w:p>
    <w:p w14:paraId="50AD78EC" w14:textId="2487C63B" w:rsidR="00BF67C0" w:rsidRPr="00C27F8A" w:rsidRDefault="00BF67C0" w:rsidP="00C27F8A">
      <w:pPr>
        <w:spacing w:line="360" w:lineRule="auto"/>
        <w:jc w:val="both"/>
        <w:rPr>
          <w:rFonts w:ascii="Verdana" w:hAnsi="Verdana"/>
        </w:rPr>
      </w:pPr>
      <w:r w:rsidRPr="00C27F8A">
        <w:rPr>
          <w:rFonts w:ascii="Verdana" w:hAnsi="Verdana"/>
        </w:rPr>
        <w:t xml:space="preserve">Procede la Sala a resolver lo que en derecho corresponda respecto del recurso de apelación que ha sido interpuesto dentro del término legal por el apoderado judicial de la </w:t>
      </w:r>
      <w:r w:rsidR="006B0A42">
        <w:rPr>
          <w:rFonts w:ascii="Verdana" w:hAnsi="Verdana"/>
        </w:rPr>
        <w:t>ESE demandante c</w:t>
      </w:r>
      <w:r w:rsidR="00922975" w:rsidRPr="00C27F8A">
        <w:rPr>
          <w:rFonts w:ascii="Verdana" w:hAnsi="Verdana"/>
        </w:rPr>
        <w:t xml:space="preserve">ontra del auto </w:t>
      </w:r>
      <w:r w:rsidR="006B0A42">
        <w:rPr>
          <w:rFonts w:ascii="Verdana" w:hAnsi="Verdana"/>
        </w:rPr>
        <w:t xml:space="preserve">proferido el 29 de octubre de 2020 por el </w:t>
      </w:r>
      <w:r w:rsidRPr="00C27F8A">
        <w:rPr>
          <w:rFonts w:ascii="Verdana" w:hAnsi="Verdana"/>
        </w:rPr>
        <w:t xml:space="preserve">Juzgado </w:t>
      </w:r>
      <w:r w:rsidR="006B0A42">
        <w:rPr>
          <w:rFonts w:ascii="Verdana" w:hAnsi="Verdana"/>
        </w:rPr>
        <w:t>Segundo A</w:t>
      </w:r>
      <w:r w:rsidRPr="00C27F8A">
        <w:rPr>
          <w:rFonts w:ascii="Verdana" w:hAnsi="Verdana"/>
        </w:rPr>
        <w:t>dministrativo</w:t>
      </w:r>
      <w:r w:rsidR="001D4720" w:rsidRPr="00C27F8A">
        <w:rPr>
          <w:rFonts w:ascii="Verdana" w:hAnsi="Verdana"/>
        </w:rPr>
        <w:t xml:space="preserve"> del Circuito Judicial</w:t>
      </w:r>
      <w:r w:rsidRPr="00C27F8A">
        <w:rPr>
          <w:rFonts w:ascii="Verdana" w:hAnsi="Verdana"/>
        </w:rPr>
        <w:t xml:space="preserve"> de </w:t>
      </w:r>
      <w:r w:rsidR="006B0A42">
        <w:rPr>
          <w:rFonts w:ascii="Verdana" w:hAnsi="Verdana"/>
        </w:rPr>
        <w:t xml:space="preserve">Duitama que </w:t>
      </w:r>
      <w:r w:rsidRPr="00C27F8A">
        <w:rPr>
          <w:rFonts w:ascii="Verdana" w:hAnsi="Verdana"/>
        </w:rPr>
        <w:t>rechazó la demanda por caducidad de la acción.</w:t>
      </w:r>
    </w:p>
    <w:p w14:paraId="2A04CC0E" w14:textId="77777777" w:rsidR="004D425D" w:rsidRPr="00C27F8A" w:rsidRDefault="004D425D" w:rsidP="00C27F8A">
      <w:pPr>
        <w:spacing w:line="360" w:lineRule="auto"/>
        <w:jc w:val="both"/>
        <w:rPr>
          <w:rFonts w:ascii="Verdana" w:hAnsi="Verdana"/>
        </w:rPr>
      </w:pPr>
    </w:p>
    <w:p w14:paraId="1514F228" w14:textId="77777777" w:rsidR="00BF67C0" w:rsidRPr="00C27F8A" w:rsidRDefault="00BF67C0" w:rsidP="00C27F8A">
      <w:pPr>
        <w:pStyle w:val="Textoindependiente22"/>
        <w:numPr>
          <w:ilvl w:val="0"/>
          <w:numId w:val="1"/>
        </w:numPr>
        <w:spacing w:line="360" w:lineRule="auto"/>
        <w:jc w:val="center"/>
        <w:rPr>
          <w:rFonts w:ascii="Verdana" w:hAnsi="Verdana" w:cs="Arial"/>
          <w:b/>
          <w:szCs w:val="24"/>
        </w:rPr>
      </w:pPr>
      <w:r w:rsidRPr="00C27F8A">
        <w:rPr>
          <w:rFonts w:ascii="Verdana" w:hAnsi="Verdana" w:cs="Arial"/>
          <w:b/>
          <w:szCs w:val="24"/>
        </w:rPr>
        <w:t xml:space="preserve"> ANTECEDENTES</w:t>
      </w:r>
    </w:p>
    <w:p w14:paraId="5F9A9D6E" w14:textId="77777777" w:rsidR="00BF67C0" w:rsidRPr="00C27F8A" w:rsidRDefault="00BF67C0" w:rsidP="00C27F8A">
      <w:pPr>
        <w:pStyle w:val="Textoindependiente22"/>
        <w:spacing w:line="360" w:lineRule="auto"/>
        <w:ind w:firstLine="0"/>
        <w:rPr>
          <w:rFonts w:ascii="Verdana" w:hAnsi="Verdana" w:cs="Arial"/>
          <w:b/>
          <w:szCs w:val="24"/>
          <w:u w:val="single"/>
        </w:rPr>
      </w:pPr>
    </w:p>
    <w:p w14:paraId="55FEE9BA" w14:textId="7D5BAFA9" w:rsidR="00E42B68" w:rsidRPr="00B651A5" w:rsidRDefault="00BF67C0" w:rsidP="00E42B68">
      <w:pPr>
        <w:pStyle w:val="Textoindependiente22"/>
        <w:numPr>
          <w:ilvl w:val="1"/>
          <w:numId w:val="1"/>
        </w:numPr>
        <w:tabs>
          <w:tab w:val="clear" w:pos="4536"/>
          <w:tab w:val="left" w:pos="567"/>
        </w:tabs>
        <w:spacing w:line="360" w:lineRule="auto"/>
        <w:ind w:left="0" w:firstLine="0"/>
        <w:rPr>
          <w:rFonts w:ascii="Verdana" w:hAnsi="Verdana" w:cs="Arial"/>
          <w:szCs w:val="24"/>
        </w:rPr>
      </w:pPr>
      <w:r w:rsidRPr="00E42B68">
        <w:rPr>
          <w:rFonts w:ascii="Verdana" w:hAnsi="Verdana" w:cs="Arial"/>
          <w:b/>
          <w:szCs w:val="24"/>
          <w:u w:val="single"/>
        </w:rPr>
        <w:t>La demanda.</w:t>
      </w:r>
      <w:r w:rsidRPr="00E42B68">
        <w:rPr>
          <w:rFonts w:ascii="Verdana" w:hAnsi="Verdana" w:cs="Arial"/>
          <w:b/>
          <w:szCs w:val="24"/>
        </w:rPr>
        <w:t xml:space="preserve"> </w:t>
      </w:r>
      <w:r w:rsidRPr="00E42B68">
        <w:rPr>
          <w:rFonts w:ascii="Verdana" w:hAnsi="Verdana" w:cs="Arial"/>
          <w:szCs w:val="24"/>
        </w:rPr>
        <w:t xml:space="preserve">En ejercicio de la acción de </w:t>
      </w:r>
      <w:r w:rsidR="004D425D" w:rsidRPr="00E42B68">
        <w:rPr>
          <w:rFonts w:ascii="Verdana" w:hAnsi="Verdana" w:cs="Arial"/>
          <w:szCs w:val="24"/>
        </w:rPr>
        <w:t>Repetición</w:t>
      </w:r>
      <w:r w:rsidR="00810481" w:rsidRPr="00E42B68">
        <w:rPr>
          <w:rFonts w:ascii="Verdana" w:hAnsi="Verdana" w:cs="Arial"/>
          <w:szCs w:val="24"/>
        </w:rPr>
        <w:t xml:space="preserve"> que </w:t>
      </w:r>
      <w:r w:rsidRPr="00E42B68">
        <w:rPr>
          <w:rFonts w:ascii="Verdana" w:hAnsi="Verdana" w:cs="Arial"/>
          <w:szCs w:val="24"/>
        </w:rPr>
        <w:t xml:space="preserve">contempla el artículo </w:t>
      </w:r>
      <w:r w:rsidR="006D3AE1" w:rsidRPr="00E42B68">
        <w:rPr>
          <w:rFonts w:ascii="Verdana" w:hAnsi="Verdana" w:cs="Arial"/>
          <w:szCs w:val="24"/>
        </w:rPr>
        <w:t>1</w:t>
      </w:r>
      <w:r w:rsidR="004D425D" w:rsidRPr="00E42B68">
        <w:rPr>
          <w:rFonts w:ascii="Verdana" w:hAnsi="Verdana" w:cs="Arial"/>
          <w:szCs w:val="24"/>
        </w:rPr>
        <w:t>42</w:t>
      </w:r>
      <w:r w:rsidRPr="00E42B68">
        <w:rPr>
          <w:rFonts w:ascii="Verdana" w:hAnsi="Verdana" w:cs="Arial"/>
          <w:szCs w:val="24"/>
        </w:rPr>
        <w:t xml:space="preserve"> del C.</w:t>
      </w:r>
      <w:r w:rsidR="006D3AE1" w:rsidRPr="00E42B68">
        <w:rPr>
          <w:rFonts w:ascii="Verdana" w:hAnsi="Verdana" w:cs="Arial"/>
          <w:szCs w:val="24"/>
        </w:rPr>
        <w:t>P.</w:t>
      </w:r>
      <w:r w:rsidR="004D425D" w:rsidRPr="00E42B68">
        <w:rPr>
          <w:rFonts w:ascii="Verdana" w:hAnsi="Verdana" w:cs="Arial"/>
          <w:szCs w:val="24"/>
        </w:rPr>
        <w:t>A.</w:t>
      </w:r>
      <w:r w:rsidR="00D11CDE" w:rsidRPr="00E42B68">
        <w:rPr>
          <w:rFonts w:ascii="Verdana" w:hAnsi="Verdana" w:cs="Arial"/>
          <w:szCs w:val="24"/>
        </w:rPr>
        <w:t xml:space="preserve">C.A., </w:t>
      </w:r>
      <w:r w:rsidR="00E42B68" w:rsidRPr="00E42B68">
        <w:rPr>
          <w:rFonts w:ascii="Verdana" w:hAnsi="Verdana" w:cs="Arial"/>
          <w:szCs w:val="24"/>
        </w:rPr>
        <w:t xml:space="preserve">el apoderado de la ESE HOSPITAL REGIONAL DE </w:t>
      </w:r>
      <w:r w:rsidR="00E42B68" w:rsidRPr="00B651A5">
        <w:rPr>
          <w:rFonts w:ascii="Verdana" w:hAnsi="Verdana" w:cs="Arial"/>
          <w:szCs w:val="24"/>
        </w:rPr>
        <w:t>DUITAMA</w:t>
      </w:r>
      <w:r w:rsidRPr="00B651A5">
        <w:rPr>
          <w:rFonts w:ascii="Verdana" w:hAnsi="Verdana" w:cs="Arial"/>
          <w:szCs w:val="24"/>
        </w:rPr>
        <w:t xml:space="preserve"> instauró dema</w:t>
      </w:r>
      <w:r w:rsidR="00A96372" w:rsidRPr="00B651A5">
        <w:rPr>
          <w:rFonts w:ascii="Verdana" w:hAnsi="Verdana" w:cs="Arial"/>
          <w:szCs w:val="24"/>
        </w:rPr>
        <w:t>nd</w:t>
      </w:r>
      <w:r w:rsidR="00ED71B3" w:rsidRPr="00B651A5">
        <w:rPr>
          <w:rFonts w:ascii="Verdana" w:hAnsi="Verdana" w:cs="Arial"/>
          <w:szCs w:val="24"/>
        </w:rPr>
        <w:t>a con el fin de que se declarare</w:t>
      </w:r>
      <w:r w:rsidR="00E42B68" w:rsidRPr="00B651A5">
        <w:rPr>
          <w:rFonts w:ascii="Verdana" w:hAnsi="Verdana" w:cs="Arial"/>
          <w:szCs w:val="24"/>
        </w:rPr>
        <w:t xml:space="preserve"> </w:t>
      </w:r>
      <w:r w:rsidR="00E42B68" w:rsidRPr="00B651A5">
        <w:rPr>
          <w:rFonts w:ascii="Verdana" w:hAnsi="Verdana"/>
        </w:rPr>
        <w:t xml:space="preserve">responsable patrimonialmente a la </w:t>
      </w:r>
      <w:r w:rsidR="00B651A5">
        <w:rPr>
          <w:rFonts w:ascii="Verdana" w:hAnsi="Verdana"/>
        </w:rPr>
        <w:t>médico</w:t>
      </w:r>
      <w:r w:rsidR="00E42B68" w:rsidRPr="00B651A5">
        <w:rPr>
          <w:rFonts w:ascii="Verdana" w:hAnsi="Verdana"/>
        </w:rPr>
        <w:t xml:space="preserve"> MARIA CECILIA GONZALEZ y/o COOSERVISALUD CTA, por los perjuicios y del detrimento patrimonial ocasionado a la E.S.E. HOSPITAL REGIONAL DE DUITAMA, como consecuencia del pago de la sentencia proferida por el Tribunal Administrativo de Boyacá dentro del proceso de reparación directa con número de radicación 2010-00376, en el cual se condenó a la E.S.E. a pagar las sumas de dinero correspondientes a la indemnización por los daños morales y materiales sufrido</w:t>
      </w:r>
      <w:r w:rsidR="00B651A5">
        <w:rPr>
          <w:rFonts w:ascii="Verdana" w:hAnsi="Verdana"/>
        </w:rPr>
        <w:t>s</w:t>
      </w:r>
      <w:r w:rsidR="00E42B68" w:rsidRPr="00B651A5">
        <w:rPr>
          <w:rFonts w:ascii="Verdana" w:hAnsi="Verdana"/>
        </w:rPr>
        <w:t xml:space="preserve"> por los familiares del señor ELKIN YAMID JAIMES PIMIENTO (Q.E.P.D.). </w:t>
      </w:r>
    </w:p>
    <w:p w14:paraId="4FAAE6CA" w14:textId="77777777" w:rsidR="00E42B68" w:rsidRDefault="00E42B68" w:rsidP="00E42B68">
      <w:pPr>
        <w:pStyle w:val="Textoindependiente22"/>
        <w:tabs>
          <w:tab w:val="clear" w:pos="4536"/>
          <w:tab w:val="left" w:pos="567"/>
        </w:tabs>
        <w:spacing w:line="360" w:lineRule="auto"/>
        <w:ind w:firstLine="0"/>
      </w:pPr>
    </w:p>
    <w:p w14:paraId="499667F1" w14:textId="3D1A6D1A" w:rsidR="00736431" w:rsidRPr="00E6407F" w:rsidRDefault="00E42B68" w:rsidP="00F439DD">
      <w:pPr>
        <w:pStyle w:val="Textoindependiente22"/>
        <w:tabs>
          <w:tab w:val="clear" w:pos="4536"/>
          <w:tab w:val="left" w:pos="567"/>
        </w:tabs>
        <w:spacing w:line="360" w:lineRule="auto"/>
        <w:ind w:firstLine="0"/>
        <w:rPr>
          <w:rFonts w:ascii="Verdana" w:hAnsi="Verdana" w:cs="Arial"/>
          <w:szCs w:val="24"/>
        </w:rPr>
      </w:pPr>
      <w:r w:rsidRPr="00E6407F">
        <w:rPr>
          <w:rFonts w:ascii="Verdana" w:hAnsi="Verdana"/>
        </w:rPr>
        <w:lastRenderedPageBreak/>
        <w:t>Como consecuencia de lo anterior, solicitó que se ordene a los demandados resarcir, restituir y cancelar los valores pagados en cumplimiento de la referida sentencia condenatoria</w:t>
      </w:r>
      <w:r w:rsidR="00F439DD" w:rsidRPr="00E6407F">
        <w:rPr>
          <w:rFonts w:ascii="Verdana" w:hAnsi="Verdana"/>
        </w:rPr>
        <w:t>.</w:t>
      </w:r>
      <w:r w:rsidRPr="00E6407F">
        <w:rPr>
          <w:rFonts w:ascii="Verdana" w:hAnsi="Verdana"/>
        </w:rPr>
        <w:t xml:space="preserve"> </w:t>
      </w:r>
    </w:p>
    <w:p w14:paraId="2A1E605E" w14:textId="77777777" w:rsidR="00BF67C0" w:rsidRPr="00E6407F" w:rsidRDefault="00BF67C0" w:rsidP="00C27F8A">
      <w:pPr>
        <w:pStyle w:val="Textoindependiente22"/>
        <w:spacing w:line="360" w:lineRule="auto"/>
        <w:ind w:firstLine="0"/>
        <w:rPr>
          <w:rFonts w:ascii="Verdana" w:hAnsi="Verdana" w:cs="Arial"/>
          <w:szCs w:val="24"/>
        </w:rPr>
      </w:pPr>
    </w:p>
    <w:p w14:paraId="091E08AE" w14:textId="2C5171AA" w:rsidR="008C4A6F" w:rsidRPr="00E6407F" w:rsidRDefault="00BF67C0" w:rsidP="008C4A6F">
      <w:pPr>
        <w:pStyle w:val="Prrafodelista"/>
        <w:numPr>
          <w:ilvl w:val="1"/>
          <w:numId w:val="1"/>
        </w:numPr>
        <w:spacing w:line="360" w:lineRule="auto"/>
        <w:ind w:left="0" w:firstLine="0"/>
        <w:jc w:val="both"/>
        <w:rPr>
          <w:rFonts w:ascii="Verdana" w:hAnsi="Verdana"/>
        </w:rPr>
      </w:pPr>
      <w:r w:rsidRPr="00C27F8A">
        <w:rPr>
          <w:rFonts w:ascii="Verdana" w:hAnsi="Verdana"/>
          <w:b/>
          <w:u w:val="single"/>
        </w:rPr>
        <w:t>La providencia impugnada:</w:t>
      </w:r>
      <w:r w:rsidRPr="00C27F8A">
        <w:rPr>
          <w:rFonts w:ascii="Verdana" w:hAnsi="Verdana"/>
          <w:b/>
        </w:rPr>
        <w:t xml:space="preserve"> </w:t>
      </w:r>
      <w:r w:rsidRPr="00C27F8A">
        <w:rPr>
          <w:rFonts w:ascii="Verdana" w:hAnsi="Verdana"/>
          <w:lang w:val="es-MX"/>
        </w:rPr>
        <w:t xml:space="preserve">Se trata del auto </w:t>
      </w:r>
      <w:r w:rsidR="007C089D" w:rsidRPr="00C27F8A">
        <w:rPr>
          <w:rFonts w:ascii="Verdana" w:hAnsi="Verdana"/>
          <w:lang w:val="es-MX"/>
        </w:rPr>
        <w:t>proferido el</w:t>
      </w:r>
      <w:r w:rsidRPr="00C27F8A">
        <w:rPr>
          <w:rFonts w:ascii="Verdana" w:hAnsi="Verdana"/>
          <w:lang w:val="es-MX"/>
        </w:rPr>
        <w:t xml:space="preserve"> </w:t>
      </w:r>
      <w:r w:rsidR="003D1300">
        <w:rPr>
          <w:rFonts w:ascii="Verdana" w:hAnsi="Verdana"/>
          <w:lang w:val="es-MX"/>
        </w:rPr>
        <w:t xml:space="preserve">29 de octubre de 2020 </w:t>
      </w:r>
      <w:r w:rsidR="000A1FE2" w:rsidRPr="00C27F8A">
        <w:rPr>
          <w:rFonts w:ascii="Verdana" w:hAnsi="Verdana"/>
        </w:rPr>
        <w:t xml:space="preserve">por el Juzgado </w:t>
      </w:r>
      <w:r w:rsidR="003D1300">
        <w:rPr>
          <w:rFonts w:ascii="Verdana" w:hAnsi="Verdana"/>
        </w:rPr>
        <w:t>Segundo</w:t>
      </w:r>
      <w:r w:rsidR="000A1FE2" w:rsidRPr="00C27F8A">
        <w:rPr>
          <w:rFonts w:ascii="Verdana" w:hAnsi="Verdana"/>
        </w:rPr>
        <w:t xml:space="preserve"> Administrativo del Circuito Judicial de </w:t>
      </w:r>
      <w:r w:rsidR="003D1300">
        <w:rPr>
          <w:rFonts w:ascii="Verdana" w:hAnsi="Verdana"/>
        </w:rPr>
        <w:t>Duitama</w:t>
      </w:r>
      <w:r w:rsidR="00717A48" w:rsidRPr="00C27F8A">
        <w:rPr>
          <w:rFonts w:ascii="Verdana" w:hAnsi="Verdana"/>
        </w:rPr>
        <w:t xml:space="preserve">, </w:t>
      </w:r>
      <w:r w:rsidR="007C089D" w:rsidRPr="00C27F8A">
        <w:rPr>
          <w:rFonts w:ascii="Verdana" w:hAnsi="Verdana"/>
        </w:rPr>
        <w:t>en</w:t>
      </w:r>
      <w:r w:rsidRPr="00C27F8A">
        <w:rPr>
          <w:rFonts w:ascii="Verdana" w:hAnsi="Verdana"/>
          <w:lang w:val="es-MX"/>
        </w:rPr>
        <w:t xml:space="preserve"> el</w:t>
      </w:r>
      <w:r w:rsidR="007C089D" w:rsidRPr="00C27F8A">
        <w:rPr>
          <w:rFonts w:ascii="Verdana" w:hAnsi="Verdana"/>
          <w:lang w:val="es-MX"/>
        </w:rPr>
        <w:t xml:space="preserve"> que se dispuso rechazar </w:t>
      </w:r>
      <w:r w:rsidRPr="00C27F8A">
        <w:rPr>
          <w:rFonts w:ascii="Verdana" w:hAnsi="Verdana"/>
        </w:rPr>
        <w:t>la demanda por</w:t>
      </w:r>
      <w:r w:rsidR="007C089D" w:rsidRPr="00C27F8A">
        <w:rPr>
          <w:rFonts w:ascii="Verdana" w:hAnsi="Verdana"/>
        </w:rPr>
        <w:t xml:space="preserve"> encontrarse caducada. P</w:t>
      </w:r>
      <w:r w:rsidR="001E23C0" w:rsidRPr="00C27F8A">
        <w:rPr>
          <w:rFonts w:ascii="Verdana" w:hAnsi="Verdana"/>
        </w:rPr>
        <w:t>ara llegar a dicha decisión</w:t>
      </w:r>
      <w:r w:rsidR="00FB6E2D" w:rsidRPr="00C27F8A">
        <w:rPr>
          <w:rFonts w:ascii="Verdana" w:hAnsi="Verdana"/>
        </w:rPr>
        <w:t>,</w:t>
      </w:r>
      <w:r w:rsidR="001E23C0" w:rsidRPr="00C27F8A">
        <w:rPr>
          <w:rFonts w:ascii="Verdana" w:hAnsi="Verdana"/>
        </w:rPr>
        <w:t xml:space="preserve"> l</w:t>
      </w:r>
      <w:r w:rsidR="003D1300">
        <w:rPr>
          <w:rFonts w:ascii="Verdana" w:hAnsi="Verdana"/>
        </w:rPr>
        <w:t>a</w:t>
      </w:r>
      <w:r w:rsidR="001E23C0" w:rsidRPr="00C27F8A">
        <w:rPr>
          <w:rFonts w:ascii="Verdana" w:hAnsi="Verdana"/>
        </w:rPr>
        <w:t xml:space="preserve"> </w:t>
      </w:r>
      <w:r w:rsidR="00C4102E" w:rsidRPr="00C27F8A">
        <w:rPr>
          <w:rFonts w:ascii="Verdana" w:hAnsi="Verdana"/>
        </w:rPr>
        <w:t xml:space="preserve">juez </w:t>
      </w:r>
      <w:r w:rsidR="001E23C0" w:rsidRPr="00C27F8A">
        <w:rPr>
          <w:rFonts w:ascii="Verdana" w:hAnsi="Verdana"/>
        </w:rPr>
        <w:t>a quo indic</w:t>
      </w:r>
      <w:r w:rsidR="00434169">
        <w:rPr>
          <w:rFonts w:ascii="Verdana" w:hAnsi="Verdana"/>
        </w:rPr>
        <w:t>ó</w:t>
      </w:r>
      <w:r w:rsidR="001E23C0" w:rsidRPr="00C27F8A">
        <w:rPr>
          <w:rFonts w:ascii="Verdana" w:hAnsi="Verdana"/>
        </w:rPr>
        <w:t xml:space="preserve"> que</w:t>
      </w:r>
      <w:r w:rsidR="008C4A6F">
        <w:rPr>
          <w:rFonts w:ascii="Verdana" w:hAnsi="Verdana"/>
        </w:rPr>
        <w:t xml:space="preserve"> en el proceso de </w:t>
      </w:r>
      <w:r w:rsidR="008C4A6F" w:rsidRPr="00E6407F">
        <w:rPr>
          <w:rFonts w:ascii="Verdana" w:hAnsi="Verdana"/>
        </w:rPr>
        <w:t xml:space="preserve">reparación directa radicado bajo el No. 156933331002-201000376-00, se profirió sentencia de segunda instancia el 9 de mayo de 2018, cobrando ejecutoria el 23 de mayo de 2018, venciendo los 18 meses para el pago de la condena el día 5 de noviembre de 2019, </w:t>
      </w:r>
      <w:r w:rsidR="00E6407F">
        <w:rPr>
          <w:rFonts w:ascii="Verdana" w:hAnsi="Verdana"/>
        </w:rPr>
        <w:t>y que</w:t>
      </w:r>
      <w:r w:rsidR="008C4A6F" w:rsidRPr="00E6407F">
        <w:rPr>
          <w:rFonts w:ascii="Verdana" w:hAnsi="Verdana"/>
        </w:rPr>
        <w:t xml:space="preserve"> teniendo en cuenta que la ESE Hospital Regional de Duitama  pago la condena con antelación a dicha calenda, esto es, el </w:t>
      </w:r>
      <w:r w:rsidR="008C4A6F" w:rsidRPr="00E6407F">
        <w:rPr>
          <w:rFonts w:ascii="Verdana" w:hAnsi="Verdana"/>
          <w:b/>
          <w:bCs/>
        </w:rPr>
        <w:t>06 de julio de 2018</w:t>
      </w:r>
      <w:r w:rsidR="008C4A6F" w:rsidRPr="00E6407F">
        <w:rPr>
          <w:rFonts w:ascii="Verdana" w:hAnsi="Verdana"/>
        </w:rPr>
        <w:t xml:space="preserve">, es a partir de dicha calenda que se debe contabilidad los dos (2) años de caducidad establecidos para el medio de control de repetición, concluyendo que como la demanda fue radicada el </w:t>
      </w:r>
      <w:r w:rsidR="008C4A6F" w:rsidRPr="00E6407F">
        <w:rPr>
          <w:rFonts w:ascii="Verdana" w:hAnsi="Verdana"/>
          <w:b/>
          <w:bCs/>
        </w:rPr>
        <w:t>18 de septiembre de 2020</w:t>
      </w:r>
      <w:r w:rsidR="008C4A6F" w:rsidRPr="00E6407F">
        <w:rPr>
          <w:rFonts w:ascii="Verdana" w:hAnsi="Verdana"/>
        </w:rPr>
        <w:t>, resulta</w:t>
      </w:r>
      <w:r w:rsidR="00E6407F">
        <w:rPr>
          <w:rFonts w:ascii="Verdana" w:hAnsi="Verdana"/>
        </w:rPr>
        <w:t>ba</w:t>
      </w:r>
      <w:r w:rsidR="008C4A6F" w:rsidRPr="00E6407F">
        <w:rPr>
          <w:rFonts w:ascii="Verdana" w:hAnsi="Verdana"/>
        </w:rPr>
        <w:t xml:space="preserve"> evidente que la misma fue radicada extemporáneamente.</w:t>
      </w:r>
    </w:p>
    <w:p w14:paraId="4271D6EB" w14:textId="77777777" w:rsidR="008C4A6F" w:rsidRPr="00E6407F" w:rsidRDefault="008C4A6F" w:rsidP="008C4A6F">
      <w:pPr>
        <w:pStyle w:val="Prrafodelista"/>
        <w:spacing w:line="360" w:lineRule="auto"/>
        <w:ind w:left="0"/>
        <w:jc w:val="both"/>
        <w:rPr>
          <w:rFonts w:ascii="Verdana" w:hAnsi="Verdana"/>
        </w:rPr>
      </w:pPr>
    </w:p>
    <w:p w14:paraId="5F259E75" w14:textId="16449912" w:rsidR="00463831" w:rsidRPr="008E43A3" w:rsidRDefault="00BF67C0" w:rsidP="002B07E6">
      <w:pPr>
        <w:pStyle w:val="Textoindependiente22"/>
        <w:numPr>
          <w:ilvl w:val="1"/>
          <w:numId w:val="1"/>
        </w:numPr>
        <w:tabs>
          <w:tab w:val="left" w:pos="708"/>
        </w:tabs>
        <w:spacing w:line="360" w:lineRule="auto"/>
        <w:ind w:left="0" w:firstLine="0"/>
        <w:rPr>
          <w:rFonts w:ascii="Verdana" w:hAnsi="Verdana" w:cs="Arial"/>
          <w:spacing w:val="-3"/>
          <w:szCs w:val="24"/>
          <w:lang w:val="es-MX"/>
        </w:rPr>
      </w:pPr>
      <w:r w:rsidRPr="00463831">
        <w:rPr>
          <w:rFonts w:ascii="Verdana" w:hAnsi="Verdana" w:cs="Arial"/>
          <w:b/>
          <w:szCs w:val="24"/>
          <w:u w:val="single"/>
        </w:rPr>
        <w:t>El recurso de apelación:</w:t>
      </w:r>
      <w:r w:rsidRPr="00463831">
        <w:rPr>
          <w:rFonts w:ascii="Verdana" w:hAnsi="Verdana" w:cs="Arial"/>
          <w:b/>
          <w:szCs w:val="24"/>
        </w:rPr>
        <w:t xml:space="preserve"> </w:t>
      </w:r>
      <w:r w:rsidRPr="00463831">
        <w:rPr>
          <w:rFonts w:ascii="Verdana" w:hAnsi="Verdana" w:cs="Arial"/>
          <w:szCs w:val="24"/>
          <w:lang w:val="es-MX"/>
        </w:rPr>
        <w:t>El apoderado de</w:t>
      </w:r>
      <w:r w:rsidR="00144F71" w:rsidRPr="00463831">
        <w:rPr>
          <w:rFonts w:ascii="Verdana" w:hAnsi="Verdana" w:cs="Arial"/>
          <w:szCs w:val="24"/>
          <w:lang w:val="es-MX"/>
        </w:rPr>
        <w:t xml:space="preserve"> </w:t>
      </w:r>
      <w:r w:rsidRPr="00463831">
        <w:rPr>
          <w:rFonts w:ascii="Verdana" w:hAnsi="Verdana" w:cs="Arial"/>
          <w:szCs w:val="24"/>
          <w:lang w:val="es-MX"/>
        </w:rPr>
        <w:t>l</w:t>
      </w:r>
      <w:r w:rsidR="00144F71" w:rsidRPr="00463831">
        <w:rPr>
          <w:rFonts w:ascii="Verdana" w:hAnsi="Verdana" w:cs="Arial"/>
          <w:szCs w:val="24"/>
          <w:lang w:val="es-MX"/>
        </w:rPr>
        <w:t>a</w:t>
      </w:r>
      <w:r w:rsidR="00463831" w:rsidRPr="00463831">
        <w:rPr>
          <w:rFonts w:ascii="Verdana" w:hAnsi="Verdana" w:cs="Arial"/>
          <w:szCs w:val="24"/>
          <w:lang w:val="es-MX"/>
        </w:rPr>
        <w:t xml:space="preserve"> ESE HOSPITAL REGIONAL DE DUITAMA, </w:t>
      </w:r>
      <w:r w:rsidRPr="00463831">
        <w:rPr>
          <w:rFonts w:ascii="Verdana" w:hAnsi="Verdana" w:cs="Arial"/>
          <w:szCs w:val="24"/>
          <w:lang w:val="es-MX"/>
        </w:rPr>
        <w:t>solicitó la revocatoria</w:t>
      </w:r>
      <w:r w:rsidR="009829AF" w:rsidRPr="00463831">
        <w:rPr>
          <w:rFonts w:ascii="Verdana" w:hAnsi="Verdana" w:cs="Arial"/>
          <w:szCs w:val="24"/>
          <w:lang w:val="es-MX"/>
        </w:rPr>
        <w:t xml:space="preserve"> del proveído impugnado, </w:t>
      </w:r>
      <w:r w:rsidR="00463831">
        <w:rPr>
          <w:rFonts w:ascii="Verdana" w:hAnsi="Verdana" w:cs="Arial"/>
          <w:szCs w:val="24"/>
          <w:lang w:val="es-MX"/>
        </w:rPr>
        <w:t>aduciendo que no tienen ningún reproche en cuanto a la fecha a partir de la cual se computa la caducidad del medio de control de repetición, es decir, el 06 de julio de 2018</w:t>
      </w:r>
      <w:r w:rsidR="00E6407F">
        <w:rPr>
          <w:rFonts w:ascii="Verdana" w:hAnsi="Verdana" w:cs="Arial"/>
          <w:szCs w:val="24"/>
          <w:lang w:val="es-MX"/>
        </w:rPr>
        <w:t>- fecha de pago de la condena</w:t>
      </w:r>
      <w:r w:rsidR="00463831">
        <w:rPr>
          <w:rFonts w:ascii="Verdana" w:hAnsi="Verdana" w:cs="Arial"/>
          <w:szCs w:val="24"/>
          <w:lang w:val="es-MX"/>
        </w:rPr>
        <w:t xml:space="preserve">, sin embargo, señaló que la Juez de instancia al realizar el computo de caducidad, paso por alto que el COVID-19 afecto el ejercicio de las funciones de la administración de justicia, </w:t>
      </w:r>
      <w:r w:rsidR="00AE2310">
        <w:rPr>
          <w:rFonts w:ascii="Verdana" w:hAnsi="Verdana" w:cs="Arial"/>
          <w:szCs w:val="24"/>
          <w:lang w:val="es-MX"/>
        </w:rPr>
        <w:t xml:space="preserve">debido a que dejó de prestar el servicio a la ciudadanía desde el día 16 de marzo de 2020 y solo hasta el </w:t>
      </w:r>
      <w:r w:rsidR="008E43A3">
        <w:rPr>
          <w:rFonts w:ascii="Verdana" w:hAnsi="Verdana" w:cs="Arial"/>
          <w:szCs w:val="24"/>
          <w:lang w:val="es-MX"/>
        </w:rPr>
        <w:t>30 de junio</w:t>
      </w:r>
      <w:r w:rsidR="00AE2310">
        <w:rPr>
          <w:rFonts w:ascii="Verdana" w:hAnsi="Verdana" w:cs="Arial"/>
          <w:szCs w:val="24"/>
          <w:lang w:val="es-MX"/>
        </w:rPr>
        <w:t xml:space="preserve"> del mismo año reabrió atención de manera digital y electrónica, asegurando que durante dicho término fueron suspendidos todos los términos judiciales, entre ellos el de caducidad</w:t>
      </w:r>
      <w:r w:rsidR="008E43A3">
        <w:rPr>
          <w:rFonts w:ascii="Verdana" w:hAnsi="Verdana" w:cs="Arial"/>
          <w:szCs w:val="24"/>
          <w:lang w:val="es-MX"/>
        </w:rPr>
        <w:t>, como se dejó establecido el artículo 1° del Decreto 564 de 2020.</w:t>
      </w:r>
    </w:p>
    <w:p w14:paraId="3AD7FB10" w14:textId="77777777" w:rsidR="008E43A3" w:rsidRDefault="008E43A3" w:rsidP="008E43A3">
      <w:pPr>
        <w:pStyle w:val="Prrafodelista"/>
        <w:rPr>
          <w:rFonts w:ascii="Verdana" w:hAnsi="Verdana"/>
          <w:lang w:val="es-MX"/>
        </w:rPr>
      </w:pPr>
    </w:p>
    <w:p w14:paraId="48CEA68B" w14:textId="1C82FE70" w:rsidR="008E43A3" w:rsidRPr="00AE2310" w:rsidRDefault="008E43A3" w:rsidP="008E43A3">
      <w:pPr>
        <w:pStyle w:val="Textoindependiente22"/>
        <w:tabs>
          <w:tab w:val="left" w:pos="708"/>
        </w:tabs>
        <w:spacing w:line="360" w:lineRule="auto"/>
        <w:ind w:firstLine="0"/>
        <w:rPr>
          <w:rFonts w:ascii="Verdana" w:hAnsi="Verdana" w:cs="Arial"/>
          <w:spacing w:val="-3"/>
          <w:szCs w:val="24"/>
          <w:lang w:val="es-MX"/>
        </w:rPr>
      </w:pPr>
      <w:r>
        <w:rPr>
          <w:rFonts w:ascii="Verdana" w:hAnsi="Verdana" w:cs="Arial"/>
          <w:spacing w:val="-3"/>
          <w:szCs w:val="24"/>
          <w:lang w:val="es-MX"/>
        </w:rPr>
        <w:t xml:space="preserve">De acuerdo con lo anterior, concluyó que, para el día de suspensión decretada por efectos de la pandemia, había transcurrido 1 año, 8 meses y 9 días, corriendo nuevamente los términos para radicar la demanda desde el 1° de julio de 2020, venciendo los dos (2) años el 21 de octubre de 2020, </w:t>
      </w:r>
      <w:r>
        <w:rPr>
          <w:rFonts w:ascii="Verdana" w:hAnsi="Verdana" w:cs="Arial"/>
          <w:spacing w:val="-3"/>
          <w:szCs w:val="24"/>
          <w:lang w:val="es-MX"/>
        </w:rPr>
        <w:lastRenderedPageBreak/>
        <w:t xml:space="preserve">asegurando que como la demanda se radicó el 18 de septiembre de 2020, se puede concluir que fue presentada en término. </w:t>
      </w:r>
    </w:p>
    <w:p w14:paraId="0E57587B" w14:textId="77777777" w:rsidR="00AE2310" w:rsidRDefault="00AE2310" w:rsidP="00AE2310">
      <w:pPr>
        <w:pStyle w:val="Prrafodelista"/>
        <w:rPr>
          <w:rFonts w:ascii="Verdana" w:hAnsi="Verdana"/>
          <w:lang w:val="es-MX"/>
        </w:rPr>
      </w:pPr>
    </w:p>
    <w:p w14:paraId="4B7F9FD7" w14:textId="77777777" w:rsidR="00C65688" w:rsidRPr="00C27F8A" w:rsidRDefault="00C65688" w:rsidP="00C27F8A">
      <w:pPr>
        <w:pStyle w:val="Textoindependiente22"/>
        <w:tabs>
          <w:tab w:val="left" w:pos="708"/>
        </w:tabs>
        <w:spacing w:line="360" w:lineRule="auto"/>
        <w:ind w:firstLine="0"/>
        <w:jc w:val="center"/>
        <w:rPr>
          <w:rFonts w:ascii="Verdana" w:hAnsi="Verdana" w:cs="Arial"/>
          <w:b/>
          <w:szCs w:val="24"/>
        </w:rPr>
      </w:pPr>
    </w:p>
    <w:p w14:paraId="7A23DEAF" w14:textId="77777777" w:rsidR="00B8697F" w:rsidRPr="00C27F8A" w:rsidRDefault="00144F71" w:rsidP="00C27F8A">
      <w:pPr>
        <w:pStyle w:val="Textoindependiente22"/>
        <w:tabs>
          <w:tab w:val="left" w:pos="708"/>
        </w:tabs>
        <w:spacing w:line="360" w:lineRule="auto"/>
        <w:ind w:firstLine="0"/>
        <w:jc w:val="center"/>
        <w:rPr>
          <w:rFonts w:ascii="Verdana" w:hAnsi="Verdana" w:cs="Arial"/>
          <w:b/>
          <w:szCs w:val="24"/>
        </w:rPr>
      </w:pPr>
      <w:r w:rsidRPr="00C27F8A">
        <w:rPr>
          <w:rFonts w:ascii="Verdana" w:hAnsi="Verdana" w:cs="Arial"/>
          <w:b/>
          <w:szCs w:val="24"/>
        </w:rPr>
        <w:t xml:space="preserve">III. </w:t>
      </w:r>
      <w:r w:rsidR="000A1FE2" w:rsidRPr="00C27F8A">
        <w:rPr>
          <w:rFonts w:ascii="Verdana" w:hAnsi="Verdana" w:cs="Arial"/>
          <w:b/>
          <w:szCs w:val="24"/>
        </w:rPr>
        <w:t>COMPETENCIA</w:t>
      </w:r>
    </w:p>
    <w:p w14:paraId="4D22C8C6" w14:textId="77777777" w:rsidR="00BF67C0" w:rsidRPr="00C27F8A" w:rsidRDefault="00BF67C0" w:rsidP="00C27F8A">
      <w:pPr>
        <w:pStyle w:val="Textoindependiente21"/>
        <w:spacing w:line="360" w:lineRule="auto"/>
        <w:ind w:firstLine="0"/>
        <w:rPr>
          <w:rFonts w:ascii="Verdana" w:hAnsi="Verdana" w:cs="Times New Roman"/>
          <w:b/>
          <w:bCs/>
        </w:rPr>
      </w:pPr>
    </w:p>
    <w:p w14:paraId="4A7D2EAB" w14:textId="77777777" w:rsidR="004E2534" w:rsidRPr="00C27F8A" w:rsidRDefault="004E2534" w:rsidP="00C27F8A">
      <w:pPr>
        <w:spacing w:line="360" w:lineRule="auto"/>
        <w:jc w:val="both"/>
        <w:rPr>
          <w:rFonts w:ascii="Verdana" w:hAnsi="Verdana"/>
          <w:b/>
        </w:rPr>
      </w:pPr>
      <w:r w:rsidRPr="00C27F8A">
        <w:rPr>
          <w:rFonts w:ascii="Verdana" w:hAnsi="Verdana"/>
          <w:b/>
        </w:rPr>
        <w:t>3.1 Competencia.</w:t>
      </w:r>
    </w:p>
    <w:p w14:paraId="3F742EB0" w14:textId="77777777" w:rsidR="004E2534" w:rsidRPr="00C27F8A" w:rsidRDefault="004E2534" w:rsidP="00C27F8A">
      <w:pPr>
        <w:spacing w:line="360" w:lineRule="auto"/>
        <w:jc w:val="both"/>
        <w:rPr>
          <w:rFonts w:ascii="Verdana" w:hAnsi="Verdana"/>
        </w:rPr>
      </w:pPr>
    </w:p>
    <w:p w14:paraId="672FE43C" w14:textId="77777777" w:rsidR="00C65688" w:rsidRPr="00C27F8A" w:rsidRDefault="00C65688" w:rsidP="00C27F8A">
      <w:pPr>
        <w:spacing w:line="360" w:lineRule="auto"/>
        <w:jc w:val="both"/>
        <w:rPr>
          <w:rFonts w:ascii="Verdana" w:hAnsi="Verdana"/>
        </w:rPr>
      </w:pPr>
      <w:r w:rsidRPr="00C27F8A">
        <w:rPr>
          <w:rFonts w:ascii="Verdana" w:hAnsi="Verdana"/>
        </w:rPr>
        <w:t>De conformidad con las prescripciones del numeral 1º del artículo 243</w:t>
      </w:r>
      <w:r w:rsidR="007B54A2">
        <w:rPr>
          <w:rFonts w:ascii="Verdana" w:hAnsi="Verdana"/>
        </w:rPr>
        <w:t xml:space="preserve"> </w:t>
      </w:r>
      <w:r w:rsidRPr="00C27F8A">
        <w:rPr>
          <w:rFonts w:ascii="Verdana" w:hAnsi="Verdana"/>
        </w:rPr>
        <w:t>del CPACA, en concordancia con el artículo 153 ibídem, es competente esta Corporación para estudiar y decidir el recurso de apelación interpuesto por la apoderada de la parte actora contra el auto que rechazó la demanda por caducidad, por lo que entrará a decidirlo en los siguientes términos:</w:t>
      </w:r>
    </w:p>
    <w:p w14:paraId="3353CAE2" w14:textId="77777777" w:rsidR="008953B4" w:rsidRPr="00C27F8A" w:rsidRDefault="008953B4" w:rsidP="00C27F8A">
      <w:pPr>
        <w:tabs>
          <w:tab w:val="left" w:pos="-1440"/>
          <w:tab w:val="left" w:pos="-720"/>
          <w:tab w:val="left" w:pos="0"/>
          <w:tab w:val="left" w:pos="3311"/>
        </w:tabs>
        <w:suppressAutoHyphens/>
        <w:spacing w:line="360" w:lineRule="auto"/>
        <w:jc w:val="both"/>
        <w:rPr>
          <w:rFonts w:ascii="Verdana" w:hAnsi="Verdana"/>
        </w:rPr>
      </w:pPr>
    </w:p>
    <w:p w14:paraId="309B07F6" w14:textId="77777777" w:rsidR="004E2534" w:rsidRPr="00C27F8A" w:rsidRDefault="004E2534" w:rsidP="00C27F8A">
      <w:pPr>
        <w:tabs>
          <w:tab w:val="left" w:pos="-1440"/>
          <w:tab w:val="left" w:pos="-720"/>
          <w:tab w:val="left" w:pos="0"/>
          <w:tab w:val="left" w:pos="3311"/>
        </w:tabs>
        <w:suppressAutoHyphens/>
        <w:spacing w:line="360" w:lineRule="auto"/>
        <w:jc w:val="both"/>
        <w:rPr>
          <w:rFonts w:ascii="Verdana" w:hAnsi="Verdana"/>
          <w:b/>
        </w:rPr>
      </w:pPr>
      <w:r w:rsidRPr="00C27F8A">
        <w:rPr>
          <w:rFonts w:ascii="Verdana" w:hAnsi="Verdana"/>
          <w:b/>
        </w:rPr>
        <w:t>3.2. Problema Jurídico</w:t>
      </w:r>
    </w:p>
    <w:p w14:paraId="468D2343" w14:textId="77777777" w:rsidR="004E2534" w:rsidRPr="00C27F8A" w:rsidRDefault="004E2534" w:rsidP="00C27F8A">
      <w:pPr>
        <w:spacing w:line="360" w:lineRule="auto"/>
        <w:ind w:right="-91"/>
        <w:jc w:val="both"/>
        <w:rPr>
          <w:rFonts w:ascii="Verdana" w:hAnsi="Verdana" w:cs="Tahoma"/>
        </w:rPr>
      </w:pPr>
      <w:r w:rsidRPr="00C27F8A">
        <w:rPr>
          <w:rFonts w:ascii="Verdana" w:hAnsi="Verdana" w:cs="Tahoma"/>
        </w:rPr>
        <w:t xml:space="preserve">     </w:t>
      </w:r>
    </w:p>
    <w:p w14:paraId="4CF92419" w14:textId="366C4C1B" w:rsidR="00CF4FC6" w:rsidRDefault="004E2534" w:rsidP="00C27F8A">
      <w:pPr>
        <w:spacing w:line="360" w:lineRule="auto"/>
        <w:ind w:right="-91"/>
        <w:jc w:val="both"/>
        <w:rPr>
          <w:rFonts w:ascii="Verdana" w:hAnsi="Verdana" w:cs="Tahoma"/>
        </w:rPr>
      </w:pPr>
      <w:r w:rsidRPr="00C27F8A">
        <w:rPr>
          <w:rFonts w:ascii="Verdana" w:hAnsi="Verdana" w:cs="Tahoma"/>
        </w:rPr>
        <w:t>El debate se contrae a determinar si</w:t>
      </w:r>
      <w:r w:rsidR="00C27F8A" w:rsidRPr="00C27F8A">
        <w:rPr>
          <w:rFonts w:ascii="Verdana" w:hAnsi="Verdana" w:cs="Tahoma"/>
        </w:rPr>
        <w:t xml:space="preserve"> </w:t>
      </w:r>
      <w:r w:rsidR="00CF4FC6">
        <w:rPr>
          <w:rFonts w:ascii="Verdana" w:hAnsi="Verdana" w:cs="Tahoma"/>
        </w:rPr>
        <w:t xml:space="preserve">durante la suspensión de términos establecido en el artículo 1° del </w:t>
      </w:r>
      <w:r w:rsidR="00CF4FC6">
        <w:rPr>
          <w:rFonts w:ascii="Verdana" w:hAnsi="Verdana"/>
          <w:lang w:val="es-MX"/>
        </w:rPr>
        <w:t xml:space="preserve">Decreto 564 de 2020, se interrumpió el cómputo del término de caducidad del medio de control de repetición, o si se debió continuar con el conteo del mismo, y radicar la demanda una vez fue levantada la suspensión de términos.   </w:t>
      </w:r>
    </w:p>
    <w:p w14:paraId="23D5D5F1" w14:textId="77777777" w:rsidR="00CF4FC6" w:rsidRDefault="00CF4FC6" w:rsidP="00C27F8A">
      <w:pPr>
        <w:spacing w:line="360" w:lineRule="auto"/>
        <w:ind w:right="-91"/>
        <w:jc w:val="both"/>
        <w:rPr>
          <w:rFonts w:ascii="Verdana" w:hAnsi="Verdana" w:cs="Tahoma"/>
        </w:rPr>
      </w:pPr>
    </w:p>
    <w:p w14:paraId="0B90D4A6" w14:textId="77777777" w:rsidR="004E2534" w:rsidRPr="00C27F8A" w:rsidRDefault="004E2534" w:rsidP="00C27F8A">
      <w:pPr>
        <w:tabs>
          <w:tab w:val="left" w:pos="-1440"/>
          <w:tab w:val="left" w:pos="-720"/>
          <w:tab w:val="left" w:pos="0"/>
          <w:tab w:val="left" w:pos="3311"/>
        </w:tabs>
        <w:suppressAutoHyphens/>
        <w:spacing w:line="360" w:lineRule="auto"/>
        <w:jc w:val="both"/>
        <w:rPr>
          <w:rFonts w:ascii="Verdana" w:hAnsi="Verdana"/>
        </w:rPr>
      </w:pPr>
    </w:p>
    <w:p w14:paraId="4E3A8AE4" w14:textId="77777777" w:rsidR="000A1FE2" w:rsidRPr="00C27F8A" w:rsidRDefault="000A1FE2" w:rsidP="00C27F8A">
      <w:pPr>
        <w:pStyle w:val="Textoindependiente21"/>
        <w:numPr>
          <w:ilvl w:val="0"/>
          <w:numId w:val="2"/>
        </w:numPr>
        <w:spacing w:line="360" w:lineRule="auto"/>
        <w:jc w:val="center"/>
        <w:rPr>
          <w:rFonts w:ascii="Verdana" w:hAnsi="Verdana"/>
          <w:b/>
          <w:bCs/>
        </w:rPr>
      </w:pPr>
      <w:r w:rsidRPr="00C27F8A">
        <w:rPr>
          <w:rFonts w:ascii="Verdana" w:hAnsi="Verdana"/>
          <w:b/>
          <w:bCs/>
        </w:rPr>
        <w:t>C O N S I D E R A C I O N E S</w:t>
      </w:r>
    </w:p>
    <w:p w14:paraId="36EF3B93" w14:textId="77777777" w:rsidR="0079710A" w:rsidRPr="00C27F8A" w:rsidRDefault="0079710A" w:rsidP="00C27F8A">
      <w:pPr>
        <w:tabs>
          <w:tab w:val="left" w:pos="-1440"/>
          <w:tab w:val="left" w:pos="-720"/>
          <w:tab w:val="left" w:pos="0"/>
          <w:tab w:val="left" w:pos="3311"/>
        </w:tabs>
        <w:suppressAutoHyphens/>
        <w:spacing w:line="360" w:lineRule="auto"/>
        <w:jc w:val="both"/>
        <w:rPr>
          <w:rFonts w:ascii="Verdana" w:hAnsi="Verdana"/>
        </w:rPr>
      </w:pPr>
    </w:p>
    <w:p w14:paraId="12CD3BB7" w14:textId="77777777" w:rsidR="00C27F8A" w:rsidRPr="00C27F8A" w:rsidRDefault="00C27F8A" w:rsidP="00C27F8A">
      <w:pPr>
        <w:pStyle w:val="Textoindependiente"/>
        <w:spacing w:line="360" w:lineRule="auto"/>
        <w:rPr>
          <w:rFonts w:ascii="Verdana" w:hAnsi="Verdana" w:cs="Arial"/>
          <w:sz w:val="24"/>
          <w:szCs w:val="24"/>
        </w:rPr>
      </w:pPr>
      <w:r w:rsidRPr="00C27F8A">
        <w:rPr>
          <w:rFonts w:ascii="Verdana" w:hAnsi="Verdana" w:cs="Arial"/>
          <w:sz w:val="24"/>
          <w:szCs w:val="24"/>
        </w:rPr>
        <w:t>De conformidad con las previsiones constitucionales contenidas en el art. 90 Superior, la acción de repetición fue consagrada constitucionalmente como un deber atribuido a los entes estatales al disponer que el Estado responderá patrimonialmente por los daños antijurídicos que le sean imputables, causados por la acción u omisión de las autoridades públicas, previendo que, en el supuesto de que se imponga una condena al Estado como consecuencia de la reparación patrimonial de un daño que haya sido causado por cuenta de la conducta dolosa o gravemente culposa de un agente suyo, el Estado deberá repetir contra éste</w:t>
      </w:r>
      <w:r w:rsidRPr="00C27F8A">
        <w:rPr>
          <w:rStyle w:val="Refdenotaalpie"/>
          <w:rFonts w:ascii="Verdana" w:hAnsi="Verdana"/>
          <w:sz w:val="24"/>
          <w:szCs w:val="24"/>
        </w:rPr>
        <w:footnoteReference w:id="1"/>
      </w:r>
      <w:r w:rsidRPr="00C27F8A">
        <w:rPr>
          <w:rFonts w:ascii="Verdana" w:hAnsi="Verdana" w:cs="Arial"/>
          <w:sz w:val="24"/>
          <w:szCs w:val="24"/>
        </w:rPr>
        <w:t xml:space="preserve">.  </w:t>
      </w:r>
    </w:p>
    <w:p w14:paraId="3A2AFD83" w14:textId="5ECE923C" w:rsidR="00C27F8A" w:rsidRPr="00C27F8A" w:rsidRDefault="00C27F8A" w:rsidP="00C27F8A">
      <w:pPr>
        <w:pStyle w:val="Textoindependiente"/>
        <w:spacing w:line="360" w:lineRule="auto"/>
        <w:rPr>
          <w:rFonts w:ascii="Verdana" w:hAnsi="Verdana" w:cs="Arial"/>
          <w:color w:val="000000"/>
          <w:sz w:val="24"/>
          <w:szCs w:val="24"/>
          <w:lang w:val="es-CO" w:eastAsia="es-CO"/>
        </w:rPr>
      </w:pPr>
      <w:r w:rsidRPr="00C27F8A">
        <w:rPr>
          <w:rFonts w:ascii="Verdana" w:hAnsi="Verdana" w:cs="Arial"/>
          <w:sz w:val="24"/>
          <w:szCs w:val="24"/>
        </w:rPr>
        <w:lastRenderedPageBreak/>
        <w:t xml:space="preserve">Dicho planteamiento constitucional fue desarrollado por la Ley 678 de 2001, </w:t>
      </w:r>
      <w:r w:rsidRPr="00C27F8A">
        <w:rPr>
          <w:rStyle w:val="Textoennegrita"/>
          <w:rFonts w:ascii="Verdana" w:hAnsi="Verdana"/>
          <w:color w:val="000000"/>
          <w:sz w:val="24"/>
          <w:szCs w:val="24"/>
          <w:shd w:val="clear" w:color="auto" w:fill="FFFFFF"/>
        </w:rPr>
        <w:t xml:space="preserve">por la cual se reglamentó la determinación de responsabilidad patrimonial de los agentes del Estado, indicando que esta acción está encaminada a </w:t>
      </w:r>
      <w:r w:rsidRPr="00C27F8A">
        <w:rPr>
          <w:rFonts w:ascii="Verdana" w:hAnsi="Verdana" w:cs="Arial"/>
          <w:color w:val="000000"/>
          <w:sz w:val="24"/>
          <w:szCs w:val="24"/>
          <w:shd w:val="clear" w:color="auto" w:fill="FFFFFF"/>
          <w:lang w:val="es-CO" w:eastAsia="es-CO"/>
        </w:rPr>
        <w:t xml:space="preserve">garantizar los principios de moralidad y eficiencia de la función pública, es así que constituye un </w:t>
      </w:r>
      <w:r w:rsidRPr="00C27F8A">
        <w:rPr>
          <w:rFonts w:ascii="Verdana" w:hAnsi="Verdana" w:cs="Arial"/>
          <w:color w:val="000000"/>
          <w:sz w:val="24"/>
          <w:szCs w:val="24"/>
          <w:lang w:val="es-CO" w:eastAsia="es-CO"/>
        </w:rPr>
        <w:t xml:space="preserve">deber de las entidades públicas promover la acción de </w:t>
      </w:r>
      <w:r w:rsidR="5B2B0412" w:rsidRPr="00C27F8A">
        <w:rPr>
          <w:rFonts w:ascii="Verdana" w:hAnsi="Verdana" w:cs="Arial"/>
          <w:color w:val="000000"/>
          <w:sz w:val="24"/>
          <w:szCs w:val="24"/>
          <w:lang w:val="es-CO" w:eastAsia="es-CO"/>
        </w:rPr>
        <w:t>repetición cuando</w:t>
      </w:r>
      <w:r w:rsidRPr="00C27F8A">
        <w:rPr>
          <w:rFonts w:ascii="Verdana" w:hAnsi="Verdana" w:cs="Arial"/>
          <w:color w:val="000000"/>
          <w:sz w:val="24"/>
          <w:szCs w:val="24"/>
          <w:lang w:val="es-CO" w:eastAsia="es-CO"/>
        </w:rPr>
        <w:t xml:space="preserve"> el daño causado por el Estado haya sido consecuencia de la conducta dolosa o gravemente culposa de sus agentes. Esta normativa, estipuló que la acción de repetición caducará al vencimiento de dos (2) años contados a partir del día siguiente al pago total efectuado por la entidad pública.</w:t>
      </w:r>
    </w:p>
    <w:p w14:paraId="1E4C6541" w14:textId="77777777" w:rsidR="00C27F8A" w:rsidRPr="00C27F8A" w:rsidRDefault="00C27F8A" w:rsidP="00C27F8A">
      <w:pPr>
        <w:pStyle w:val="Textoindependiente"/>
        <w:spacing w:line="360" w:lineRule="auto"/>
        <w:rPr>
          <w:rFonts w:ascii="Verdana" w:hAnsi="Verdana" w:cs="Arial"/>
          <w:sz w:val="24"/>
          <w:szCs w:val="24"/>
        </w:rPr>
      </w:pPr>
    </w:p>
    <w:p w14:paraId="73D54035" w14:textId="77777777" w:rsidR="00C27F8A" w:rsidRPr="00C27F8A" w:rsidRDefault="00C27F8A" w:rsidP="00C27F8A">
      <w:pPr>
        <w:pStyle w:val="Textoindependiente"/>
        <w:spacing w:line="360" w:lineRule="auto"/>
        <w:rPr>
          <w:rFonts w:ascii="Verdana" w:hAnsi="Verdana" w:cs="Arial"/>
          <w:sz w:val="24"/>
          <w:szCs w:val="24"/>
        </w:rPr>
      </w:pPr>
      <w:r>
        <w:rPr>
          <w:rFonts w:ascii="Verdana" w:hAnsi="Verdana" w:cs="Arial"/>
          <w:sz w:val="24"/>
          <w:szCs w:val="24"/>
        </w:rPr>
        <w:t xml:space="preserve">En efecto, </w:t>
      </w:r>
      <w:r w:rsidRPr="00C27F8A">
        <w:rPr>
          <w:rFonts w:ascii="Verdana" w:hAnsi="Verdana" w:cs="Arial"/>
          <w:sz w:val="24"/>
          <w:szCs w:val="24"/>
        </w:rPr>
        <w:t>la figura de la caducidad ha sido definida como una institución jurídico procesal a través de la cual, el legislador, en uso de su potestad de configuración normativa, limita en el tiempo el derecho que tiene toda persona de acceder a la jurisdicción con el fin de obtener pronta y cumplida justicia</w:t>
      </w:r>
      <w:r w:rsidRPr="00C27F8A">
        <w:rPr>
          <w:rStyle w:val="Refdenotaalpie"/>
          <w:rFonts w:ascii="Verdana" w:hAnsi="Verdana"/>
          <w:sz w:val="24"/>
          <w:szCs w:val="24"/>
        </w:rPr>
        <w:footnoteReference w:id="2"/>
      </w:r>
      <w:r w:rsidRPr="00C27F8A">
        <w:rPr>
          <w:rFonts w:ascii="Verdana" w:hAnsi="Verdana" w:cs="Arial"/>
          <w:sz w:val="24"/>
          <w:szCs w:val="24"/>
        </w:rPr>
        <w:t>. Ahora bien, el Máximo Tribunal Constitucional al referirse a la constitucionalidad del numeral 9° del art. 136 del C.C.A. señaló que el plazo previsto en el art. 177 del C.C.A. resulta aplicable en acciones de repetición, en la medida en que el plazo con que cuenta la entidad estatal para realizar el pago de las sentencias de condena en su contra, no es indeterminado, pues de serlo, se estaría vulnerando el derecho al debido proceso al crearse una prerrogativa desproporcionada en favor de la administración.</w:t>
      </w:r>
      <w:r w:rsidRPr="00C27F8A">
        <w:rPr>
          <w:rStyle w:val="Refdenotaalpie"/>
          <w:rFonts w:ascii="Verdana" w:hAnsi="Verdana"/>
          <w:sz w:val="24"/>
          <w:szCs w:val="24"/>
        </w:rPr>
        <w:footnoteReference w:id="3"/>
      </w:r>
      <w:r w:rsidRPr="00C27F8A">
        <w:rPr>
          <w:rFonts w:ascii="Verdana" w:hAnsi="Verdana" w:cs="Arial"/>
          <w:sz w:val="24"/>
          <w:szCs w:val="24"/>
        </w:rPr>
        <w:t xml:space="preserve">  </w:t>
      </w:r>
    </w:p>
    <w:p w14:paraId="570D2A0A" w14:textId="77777777" w:rsidR="00C27F8A" w:rsidRPr="00C27F8A" w:rsidRDefault="00C27F8A" w:rsidP="00C27F8A">
      <w:pPr>
        <w:pStyle w:val="Textoindependiente"/>
        <w:spacing w:line="360" w:lineRule="auto"/>
        <w:rPr>
          <w:rFonts w:ascii="Verdana" w:hAnsi="Verdana" w:cs="Arial"/>
          <w:sz w:val="24"/>
          <w:szCs w:val="24"/>
        </w:rPr>
      </w:pPr>
    </w:p>
    <w:p w14:paraId="2D1492B0" w14:textId="77777777" w:rsidR="00A2004B" w:rsidRDefault="006455AB" w:rsidP="00C27F8A">
      <w:pPr>
        <w:pStyle w:val="Textoindependiente"/>
        <w:spacing w:line="360" w:lineRule="auto"/>
        <w:rPr>
          <w:rFonts w:ascii="Verdana" w:hAnsi="Verdana" w:cs="Arial"/>
          <w:sz w:val="24"/>
          <w:szCs w:val="24"/>
        </w:rPr>
      </w:pPr>
      <w:r>
        <w:rPr>
          <w:rFonts w:ascii="Verdana" w:hAnsi="Verdana" w:cs="Arial"/>
          <w:sz w:val="24"/>
          <w:szCs w:val="24"/>
        </w:rPr>
        <w:t>Ahora, e</w:t>
      </w:r>
      <w:r w:rsidR="00C27F8A" w:rsidRPr="00C27F8A">
        <w:rPr>
          <w:rFonts w:ascii="Verdana" w:hAnsi="Verdana" w:cs="Arial"/>
          <w:sz w:val="24"/>
          <w:szCs w:val="24"/>
        </w:rPr>
        <w:t>n cuanto al término de caducidad de la acción</w:t>
      </w:r>
      <w:r>
        <w:rPr>
          <w:rFonts w:ascii="Verdana" w:hAnsi="Verdana" w:cs="Arial"/>
          <w:sz w:val="24"/>
          <w:szCs w:val="24"/>
        </w:rPr>
        <w:t xml:space="preserve">, </w:t>
      </w:r>
      <w:r w:rsidR="00C27F8A" w:rsidRPr="00C27F8A">
        <w:rPr>
          <w:rFonts w:ascii="Verdana" w:hAnsi="Verdana" w:cs="Arial"/>
          <w:sz w:val="24"/>
          <w:szCs w:val="24"/>
        </w:rPr>
        <w:t>el art. 164 numeral 2° literal L) del C.P.A.C.A. establece que cuando se pretenda repetir para recuperar lo pagado como consecuencia de una condena, conciliación, u otra forma de terminación de un conflicto, el término será de 2 años contados a partir del día siguiente de la fecha del pago o, a más tardar, desde el vencimiento del plazo que tiene la administración para el pago de condenas</w:t>
      </w:r>
      <w:r w:rsidR="00A2004B">
        <w:rPr>
          <w:rFonts w:ascii="Verdana" w:hAnsi="Verdana" w:cs="Arial"/>
          <w:sz w:val="24"/>
          <w:szCs w:val="24"/>
        </w:rPr>
        <w:t>.</w:t>
      </w:r>
    </w:p>
    <w:p w14:paraId="4DFEF8E5" w14:textId="77777777" w:rsidR="00A2004B" w:rsidRDefault="00A2004B" w:rsidP="00C27F8A">
      <w:pPr>
        <w:pStyle w:val="Textoindependiente"/>
        <w:spacing w:line="360" w:lineRule="auto"/>
        <w:rPr>
          <w:rFonts w:ascii="Verdana" w:hAnsi="Verdana" w:cs="Arial"/>
          <w:sz w:val="24"/>
          <w:szCs w:val="24"/>
        </w:rPr>
      </w:pPr>
    </w:p>
    <w:p w14:paraId="50FE96D0" w14:textId="77777777" w:rsidR="003618C4" w:rsidRPr="0064693C" w:rsidRDefault="003618C4" w:rsidP="003618C4">
      <w:pPr>
        <w:spacing w:line="360" w:lineRule="auto"/>
        <w:jc w:val="both"/>
        <w:rPr>
          <w:rFonts w:ascii="Verdana" w:hAnsi="Verdana"/>
        </w:rPr>
      </w:pPr>
      <w:r>
        <w:rPr>
          <w:rFonts w:ascii="Verdana" w:hAnsi="Verdana"/>
        </w:rPr>
        <w:t xml:space="preserve">En este punto es importarte señalar que </w:t>
      </w:r>
      <w:r w:rsidR="003D1A3C">
        <w:rPr>
          <w:rFonts w:ascii="Verdana" w:hAnsi="Verdana"/>
        </w:rPr>
        <w:t xml:space="preserve">en virtud de lo establecido en el numeral 4º del artículo 1º del </w:t>
      </w:r>
      <w:r>
        <w:rPr>
          <w:rFonts w:ascii="Verdana" w:hAnsi="Verdana"/>
        </w:rPr>
        <w:t>Decreto 768 de 1993</w:t>
      </w:r>
      <w:r>
        <w:rPr>
          <w:rStyle w:val="Refdenotaalpie"/>
          <w:rFonts w:ascii="Verdana" w:hAnsi="Verdana"/>
        </w:rPr>
        <w:footnoteReference w:id="4"/>
      </w:r>
      <w:r>
        <w:rPr>
          <w:rFonts w:ascii="Verdana" w:hAnsi="Verdana"/>
        </w:rPr>
        <w:t xml:space="preserve"> </w:t>
      </w:r>
      <w:r w:rsidRPr="00235A8B">
        <w:rPr>
          <w:rFonts w:ascii="Verdana" w:hAnsi="Verdana"/>
          <w:i/>
          <w:sz w:val="20"/>
          <w:szCs w:val="20"/>
        </w:rPr>
        <w:t xml:space="preserve">por el cual se regula lo atinente </w:t>
      </w:r>
      <w:r w:rsidRPr="00235A8B">
        <w:rPr>
          <w:rFonts w:ascii="Verdana" w:hAnsi="Verdana"/>
          <w:i/>
          <w:sz w:val="20"/>
          <w:szCs w:val="20"/>
        </w:rPr>
        <w:lastRenderedPageBreak/>
        <w:t>a las obligaciones por parte de las autoridades a quienes corresponda la ejecución de una sentencia</w:t>
      </w:r>
      <w:r w:rsidR="003D1A3C">
        <w:rPr>
          <w:rFonts w:ascii="Verdana" w:hAnsi="Verdana"/>
        </w:rPr>
        <w:t xml:space="preserve">, en concordancia con </w:t>
      </w:r>
      <w:r w:rsidRPr="0064693C">
        <w:rPr>
          <w:rFonts w:ascii="Verdana" w:hAnsi="Verdana"/>
        </w:rPr>
        <w:t xml:space="preserve">el principio de legalidad del gasto público </w:t>
      </w:r>
      <w:r w:rsidR="003D1A3C">
        <w:rPr>
          <w:rFonts w:ascii="Verdana" w:hAnsi="Verdana"/>
        </w:rPr>
        <w:t xml:space="preserve">previsto en </w:t>
      </w:r>
      <w:r>
        <w:rPr>
          <w:rFonts w:ascii="Verdana" w:hAnsi="Verdana"/>
        </w:rPr>
        <w:t xml:space="preserve">los </w:t>
      </w:r>
      <w:r w:rsidRPr="0064693C">
        <w:rPr>
          <w:rFonts w:ascii="Verdana" w:hAnsi="Verdana"/>
        </w:rPr>
        <w:t>artículos 345 y 346</w:t>
      </w:r>
      <w:r>
        <w:rPr>
          <w:rFonts w:ascii="Verdana" w:hAnsi="Verdana"/>
        </w:rPr>
        <w:t xml:space="preserve"> superiores</w:t>
      </w:r>
      <w:r w:rsidRPr="0064693C">
        <w:rPr>
          <w:rFonts w:ascii="Verdana" w:hAnsi="Verdana"/>
        </w:rPr>
        <w:t xml:space="preserve">, </w:t>
      </w:r>
      <w:r w:rsidR="003D1A3C">
        <w:rPr>
          <w:rFonts w:ascii="Verdana" w:hAnsi="Verdana"/>
        </w:rPr>
        <w:t>es deber d</w:t>
      </w:r>
      <w:r w:rsidRPr="0064693C">
        <w:rPr>
          <w:rFonts w:ascii="Verdana" w:hAnsi="Verdana"/>
        </w:rPr>
        <w:t>el Estado</w:t>
      </w:r>
      <w:r>
        <w:rPr>
          <w:rFonts w:ascii="Verdana" w:hAnsi="Verdana"/>
        </w:rPr>
        <w:t xml:space="preserve"> realizar las gestiones pertinentes en el </w:t>
      </w:r>
      <w:r w:rsidRPr="0064693C">
        <w:rPr>
          <w:rFonts w:ascii="Verdana" w:hAnsi="Verdana"/>
        </w:rPr>
        <w:t xml:space="preserve">plazo de </w:t>
      </w:r>
      <w:r>
        <w:rPr>
          <w:rFonts w:ascii="Verdana" w:hAnsi="Verdana"/>
        </w:rPr>
        <w:t xml:space="preserve">18 </w:t>
      </w:r>
      <w:r w:rsidRPr="0064693C">
        <w:rPr>
          <w:rFonts w:ascii="Verdana" w:hAnsi="Verdana"/>
        </w:rPr>
        <w:t xml:space="preserve">meses para realizar </w:t>
      </w:r>
      <w:r>
        <w:rPr>
          <w:rFonts w:ascii="Verdana" w:hAnsi="Verdana"/>
        </w:rPr>
        <w:t>efectivamente el cumplimiento-</w:t>
      </w:r>
      <w:r w:rsidRPr="0064693C">
        <w:rPr>
          <w:rFonts w:ascii="Verdana" w:hAnsi="Verdana"/>
        </w:rPr>
        <w:t>pago</w:t>
      </w:r>
      <w:r>
        <w:rPr>
          <w:rFonts w:ascii="Verdana" w:hAnsi="Verdana"/>
        </w:rPr>
        <w:t>-</w:t>
      </w:r>
      <w:r w:rsidRPr="0064693C">
        <w:rPr>
          <w:rFonts w:ascii="Verdana" w:hAnsi="Verdana"/>
        </w:rPr>
        <w:t xml:space="preserve"> de las </w:t>
      </w:r>
      <w:r>
        <w:rPr>
          <w:rFonts w:ascii="Verdana" w:hAnsi="Verdana"/>
        </w:rPr>
        <w:t>condenas impuestas</w:t>
      </w:r>
      <w:r w:rsidRPr="0064693C">
        <w:rPr>
          <w:rFonts w:ascii="Verdana" w:hAnsi="Verdana"/>
        </w:rPr>
        <w:t>, so pena de sanciones disciplinarias a los funcionarios que no procedan de acuerdo con el trámite anteriormente explicado.</w:t>
      </w:r>
    </w:p>
    <w:p w14:paraId="51EC78C3" w14:textId="77777777" w:rsidR="003618C4" w:rsidRPr="00C27F8A" w:rsidRDefault="003618C4" w:rsidP="00C27F8A">
      <w:pPr>
        <w:pStyle w:val="Textoindependiente"/>
        <w:spacing w:line="360" w:lineRule="auto"/>
        <w:rPr>
          <w:rFonts w:ascii="Verdana" w:hAnsi="Verdana" w:cs="Arial"/>
          <w:sz w:val="24"/>
          <w:szCs w:val="24"/>
        </w:rPr>
      </w:pPr>
    </w:p>
    <w:p w14:paraId="6450FF05" w14:textId="76B98AB7" w:rsidR="008C2F12" w:rsidRPr="009E31AA" w:rsidRDefault="00C27F8A" w:rsidP="009E31AA">
      <w:pPr>
        <w:spacing w:line="360" w:lineRule="auto"/>
        <w:ind w:right="-79"/>
        <w:jc w:val="both"/>
        <w:rPr>
          <w:rFonts w:ascii="Verdana" w:hAnsi="Verdana"/>
        </w:rPr>
      </w:pPr>
      <w:r w:rsidRPr="008C2F12">
        <w:rPr>
          <w:rFonts w:ascii="Verdana" w:hAnsi="Verdana"/>
          <w:bCs/>
        </w:rPr>
        <w:t xml:space="preserve">Ahora, al descender al caso concreto, la Sala observa que </w:t>
      </w:r>
      <w:r w:rsidRPr="008C2F12">
        <w:rPr>
          <w:rFonts w:ascii="Verdana" w:hAnsi="Verdana"/>
        </w:rPr>
        <w:t xml:space="preserve">el fallo </w:t>
      </w:r>
      <w:r w:rsidR="008C2F12" w:rsidRPr="008C2F12">
        <w:rPr>
          <w:rFonts w:ascii="Verdana" w:hAnsi="Verdana"/>
        </w:rPr>
        <w:t xml:space="preserve">de segunda instancia </w:t>
      </w:r>
      <w:r w:rsidRPr="008C2F12">
        <w:rPr>
          <w:rFonts w:ascii="Verdana" w:hAnsi="Verdana"/>
        </w:rPr>
        <w:t>que impuso</w:t>
      </w:r>
      <w:r w:rsidR="008C2F12" w:rsidRPr="008C2F12">
        <w:rPr>
          <w:rFonts w:ascii="Verdana" w:hAnsi="Verdana"/>
        </w:rPr>
        <w:t xml:space="preserve"> a la ESE HOSPITAL REGIONAL DE DUITAMA dentro del proceso de Reparación Directa RAD. No. 156933331002-201000376-00, fue proferido el 9 de mayo de 2018 (fls. 29 a 85), cobró ejecutoria el 23 de mayo de 2018 (fls. 171), venció el plazo de los 18 meses para su cumplimiento (Art. 177 del C.C.A.), el </w:t>
      </w:r>
      <w:r w:rsidR="00C4798D">
        <w:rPr>
          <w:rFonts w:ascii="Verdana" w:hAnsi="Verdana"/>
        </w:rPr>
        <w:t xml:space="preserve">día </w:t>
      </w:r>
      <w:r w:rsidR="008C2F12" w:rsidRPr="00C4798D">
        <w:rPr>
          <w:rFonts w:ascii="Verdana" w:hAnsi="Verdana"/>
          <w:b/>
          <w:bCs/>
        </w:rPr>
        <w:t>25 de noviembre de 2019</w:t>
      </w:r>
      <w:r w:rsidR="008C2F12" w:rsidRPr="008C2F12">
        <w:rPr>
          <w:rFonts w:ascii="Verdana" w:hAnsi="Verdana"/>
        </w:rPr>
        <w:t xml:space="preserve">, siendo pagada la condena con antelación a dicha calenda, esto es, el </w:t>
      </w:r>
      <w:r w:rsidR="008C2F12" w:rsidRPr="00C4798D">
        <w:rPr>
          <w:rFonts w:ascii="Verdana" w:hAnsi="Verdana"/>
          <w:b/>
          <w:bCs/>
          <w:u w:val="single"/>
        </w:rPr>
        <w:t>6 de julio de 2018</w:t>
      </w:r>
      <w:r w:rsidR="008C2F12" w:rsidRPr="008C2F12">
        <w:rPr>
          <w:rFonts w:ascii="Verdana" w:hAnsi="Verdana"/>
        </w:rPr>
        <w:t xml:space="preserve"> (fl. 14)</w:t>
      </w:r>
      <w:r w:rsidR="009E31AA">
        <w:rPr>
          <w:rFonts w:ascii="Verdana" w:hAnsi="Verdana"/>
        </w:rPr>
        <w:t xml:space="preserve">, </w:t>
      </w:r>
      <w:r w:rsidR="009E31AA" w:rsidRPr="009E31AA">
        <w:rPr>
          <w:rFonts w:ascii="Verdana" w:hAnsi="Verdana"/>
        </w:rPr>
        <w:t xml:space="preserve">y presentada la demanda </w:t>
      </w:r>
      <w:r w:rsidR="008C2F12" w:rsidRPr="009E31AA">
        <w:rPr>
          <w:rFonts w:ascii="Verdana" w:hAnsi="Verdana"/>
        </w:rPr>
        <w:t>el 18 de septiembre de 2020 (fl. 105).</w:t>
      </w:r>
    </w:p>
    <w:p w14:paraId="498D1251" w14:textId="77777777" w:rsidR="008C2F12" w:rsidRDefault="008C2F12" w:rsidP="008C2F12">
      <w:pPr>
        <w:spacing w:line="360" w:lineRule="auto"/>
        <w:ind w:right="-81"/>
        <w:jc w:val="both"/>
        <w:rPr>
          <w:rFonts w:ascii="Verdana" w:hAnsi="Verdana"/>
        </w:rPr>
      </w:pPr>
    </w:p>
    <w:p w14:paraId="26A82D55" w14:textId="61B1195B" w:rsidR="009E31AA" w:rsidRDefault="009E31AA" w:rsidP="009E31AA">
      <w:pPr>
        <w:pStyle w:val="BodyText23"/>
        <w:shd w:val="clear" w:color="auto" w:fill="FFFFFF" w:themeFill="background1"/>
        <w:rPr>
          <w:rFonts w:ascii="Verdana" w:hAnsi="Verdana" w:cs="Arial"/>
          <w:szCs w:val="24"/>
          <w:shd w:val="clear" w:color="auto" w:fill="FAF9F8"/>
        </w:rPr>
      </w:pPr>
      <w:r>
        <w:rPr>
          <w:rFonts w:ascii="Verdana" w:hAnsi="Verdana"/>
        </w:rPr>
        <w:t xml:space="preserve">A efectos de determinar si la demanda de repetición de la referencia fue radicada dentro del término de caducidad de los dos (2) años previstos en el </w:t>
      </w:r>
      <w:r w:rsidRPr="00C27F8A">
        <w:rPr>
          <w:rFonts w:ascii="Verdana" w:hAnsi="Verdana" w:cs="Arial"/>
          <w:szCs w:val="24"/>
        </w:rPr>
        <w:t xml:space="preserve">art. </w:t>
      </w:r>
      <w:r w:rsidRPr="009E31AA">
        <w:rPr>
          <w:rFonts w:ascii="Verdana" w:hAnsi="Verdana" w:cs="Arial"/>
          <w:szCs w:val="24"/>
        </w:rPr>
        <w:t>164 numeral 2° literal L) del C.P.A.C.A.</w:t>
      </w:r>
      <w:r w:rsidRPr="009E31AA">
        <w:rPr>
          <w:rFonts w:ascii="Verdana" w:hAnsi="Verdana"/>
          <w:szCs w:val="24"/>
        </w:rPr>
        <w:t xml:space="preserve">, es menester tener presente que </w:t>
      </w:r>
      <w:r w:rsidRPr="009E31AA">
        <w:rPr>
          <w:rFonts w:ascii="Verdana" w:hAnsi="Verdana" w:cs="Arial"/>
          <w:szCs w:val="24"/>
          <w:shd w:val="clear" w:color="auto" w:fill="FAF9F8"/>
        </w:rPr>
        <w:t>el Consejo Superior de la Judicatura mediante Acuerdos PCSJA-11517, PCSJA20-11518, PCSJA-11519, PCSJA-11521, PCSJA20-11526, PCSJA-11527, PCSJA-11528, PCSJA-11529, PCSJA-11532, PCSJA-11546, PCSJA-11549, PCSJA-11556 y PCSJA-11567 suspendió los términos judiciales</w:t>
      </w:r>
      <w:r w:rsidR="00140AB7">
        <w:rPr>
          <w:rFonts w:ascii="Verdana" w:hAnsi="Verdana" w:cs="Arial"/>
          <w:szCs w:val="24"/>
          <w:shd w:val="clear" w:color="auto" w:fill="FAF9F8"/>
        </w:rPr>
        <w:t xml:space="preserve"> a partir </w:t>
      </w:r>
      <w:r w:rsidR="00140AB7" w:rsidRPr="00140AB7">
        <w:rPr>
          <w:rFonts w:ascii="Verdana" w:hAnsi="Verdana" w:cs="Arial"/>
          <w:b/>
          <w:bCs/>
          <w:szCs w:val="24"/>
          <w:shd w:val="clear" w:color="auto" w:fill="FAF9F8"/>
        </w:rPr>
        <w:t xml:space="preserve">del </w:t>
      </w:r>
      <w:r w:rsidR="00140AB7" w:rsidRPr="00140AB7">
        <w:rPr>
          <w:rFonts w:ascii="Verdana" w:hAnsi="Verdana"/>
          <w:b/>
          <w:bCs/>
        </w:rPr>
        <w:t xml:space="preserve">16 de marzo de 2020 </w:t>
      </w:r>
      <w:r w:rsidRPr="009E31AA">
        <w:rPr>
          <w:rFonts w:ascii="Verdana" w:hAnsi="Verdana" w:cs="Arial"/>
          <w:szCs w:val="24"/>
          <w:shd w:val="clear" w:color="auto" w:fill="FAF9F8"/>
        </w:rPr>
        <w:t>por motivos de salubridad pública y fuerza mayor con ocasión de la pandemia de la COVID-19, la cual ha sido catalogada por la Organización Mundial de la Salud como una emergencia de salud pública de impacto mundial (sic).</w:t>
      </w:r>
      <w:r w:rsidR="00140AB7">
        <w:rPr>
          <w:rFonts w:ascii="Verdana" w:hAnsi="Verdana" w:cs="Arial"/>
          <w:szCs w:val="24"/>
          <w:shd w:val="clear" w:color="auto" w:fill="FAF9F8"/>
        </w:rPr>
        <w:t xml:space="preserve"> </w:t>
      </w:r>
    </w:p>
    <w:p w14:paraId="062795FF" w14:textId="25C9AB19" w:rsidR="00C9424E" w:rsidRPr="00311856" w:rsidRDefault="00575D13" w:rsidP="009E31AA">
      <w:pPr>
        <w:pStyle w:val="BodyText23"/>
        <w:rPr>
          <w:rFonts w:ascii="Verdana" w:hAnsi="Verdana" w:cs="Arial"/>
          <w:szCs w:val="24"/>
          <w:shd w:val="clear" w:color="auto" w:fill="FAF9F8"/>
        </w:rPr>
      </w:pPr>
      <w:r>
        <w:rPr>
          <w:rFonts w:ascii="Verdana" w:hAnsi="Verdana" w:cs="Arial"/>
          <w:szCs w:val="24"/>
          <w:shd w:val="clear" w:color="auto" w:fill="FAF9F8"/>
        </w:rPr>
        <w:lastRenderedPageBreak/>
        <w:t>Posteriormente</w:t>
      </w:r>
      <w:r w:rsidR="009E31AA" w:rsidRPr="00311856">
        <w:rPr>
          <w:rFonts w:ascii="Verdana" w:hAnsi="Verdana" w:cs="Arial"/>
          <w:szCs w:val="24"/>
          <w:shd w:val="clear" w:color="auto" w:fill="FAF9F8"/>
        </w:rPr>
        <w:t>, mediante Acuerdo PCSJA-11581 del 27 de mayo de 2020 el Consejo Superior de la Judicatura dispuso el levantamiento de términos judiciales, a partir del 1º de julio de 2020.</w:t>
      </w:r>
    </w:p>
    <w:p w14:paraId="443EAAC2" w14:textId="77777777" w:rsidR="00C9424E" w:rsidRPr="00311856" w:rsidRDefault="00C9424E" w:rsidP="009E31AA">
      <w:pPr>
        <w:pStyle w:val="BodyText23"/>
        <w:rPr>
          <w:rFonts w:ascii="Verdana" w:hAnsi="Verdana" w:cs="Arial"/>
          <w:szCs w:val="24"/>
          <w:shd w:val="clear" w:color="auto" w:fill="FAF9F8"/>
        </w:rPr>
      </w:pPr>
    </w:p>
    <w:p w14:paraId="37431DB0" w14:textId="2C6110F2" w:rsidR="009E31AA" w:rsidRPr="006F6B7F" w:rsidRDefault="00C9424E" w:rsidP="009E31AA">
      <w:pPr>
        <w:pStyle w:val="BodyText23"/>
        <w:rPr>
          <w:rFonts w:ascii="Verdana" w:hAnsi="Verdana"/>
          <w:szCs w:val="24"/>
        </w:rPr>
      </w:pPr>
      <w:r w:rsidRPr="006F6B7F">
        <w:rPr>
          <w:rFonts w:ascii="Verdana" w:hAnsi="Verdana" w:cs="Arial"/>
          <w:szCs w:val="24"/>
          <w:shd w:val="clear" w:color="auto" w:fill="FAF9F8"/>
        </w:rPr>
        <w:t xml:space="preserve">Por su parte, </w:t>
      </w:r>
      <w:r w:rsidR="00311856">
        <w:rPr>
          <w:rFonts w:ascii="Verdana" w:hAnsi="Verdana" w:cs="Arial"/>
          <w:szCs w:val="24"/>
          <w:shd w:val="clear" w:color="auto" w:fill="FAF9F8"/>
        </w:rPr>
        <w:t xml:space="preserve">el artículo 1 del </w:t>
      </w:r>
      <w:r w:rsidR="006F6B7F" w:rsidRPr="006F6B7F">
        <w:rPr>
          <w:rFonts w:ascii="Verdana" w:hAnsi="Verdana" w:cs="Arial"/>
          <w:szCs w:val="24"/>
          <w:shd w:val="clear" w:color="auto" w:fill="FAF9F8"/>
        </w:rPr>
        <w:t xml:space="preserve">Decreto Legislativo No. </w:t>
      </w:r>
      <w:r w:rsidR="006F6B7F" w:rsidRPr="006F6B7F">
        <w:rPr>
          <w:rFonts w:ascii="Verdana" w:hAnsi="Verdana"/>
          <w:szCs w:val="24"/>
        </w:rPr>
        <w:t xml:space="preserve">564 </w:t>
      </w:r>
      <w:r w:rsidR="00311856">
        <w:rPr>
          <w:rFonts w:ascii="Verdana" w:hAnsi="Verdana"/>
          <w:szCs w:val="24"/>
        </w:rPr>
        <w:t>de</w:t>
      </w:r>
      <w:r w:rsidR="006F6B7F" w:rsidRPr="006F6B7F">
        <w:rPr>
          <w:rFonts w:ascii="Verdana" w:hAnsi="Verdana"/>
          <w:szCs w:val="24"/>
        </w:rPr>
        <w:t xml:space="preserve"> 2020</w:t>
      </w:r>
      <w:r w:rsidR="00311856">
        <w:rPr>
          <w:rFonts w:ascii="Verdana" w:hAnsi="Verdana"/>
          <w:szCs w:val="24"/>
        </w:rPr>
        <w:t xml:space="preserve"> efectuó precisiones respecto a la suspensión </w:t>
      </w:r>
      <w:r w:rsidR="006F6B7F" w:rsidRPr="006F6B7F">
        <w:rPr>
          <w:rFonts w:ascii="Verdana" w:hAnsi="Verdana"/>
          <w:szCs w:val="24"/>
        </w:rPr>
        <w:t>de términos de prescripción y caducidad</w:t>
      </w:r>
      <w:r w:rsidR="00575D13">
        <w:rPr>
          <w:rFonts w:ascii="Verdana" w:hAnsi="Verdana"/>
          <w:szCs w:val="24"/>
        </w:rPr>
        <w:t>, en los siguientes términos</w:t>
      </w:r>
      <w:r w:rsidR="00311856">
        <w:rPr>
          <w:rFonts w:ascii="Verdana" w:hAnsi="Verdana"/>
          <w:szCs w:val="24"/>
        </w:rPr>
        <w:t>:</w:t>
      </w:r>
    </w:p>
    <w:p w14:paraId="4074956B" w14:textId="77777777" w:rsidR="006F6B7F" w:rsidRDefault="006F6B7F" w:rsidP="009E31AA">
      <w:pPr>
        <w:shd w:val="clear" w:color="auto" w:fill="FFFFFF" w:themeFill="background1"/>
        <w:spacing w:line="360" w:lineRule="auto"/>
        <w:ind w:right="-81"/>
        <w:jc w:val="both"/>
      </w:pPr>
    </w:p>
    <w:p w14:paraId="49EB305A" w14:textId="77777777" w:rsidR="006F6B7F" w:rsidRPr="006F6B7F" w:rsidRDefault="006F6B7F" w:rsidP="006F6B7F">
      <w:pPr>
        <w:shd w:val="clear" w:color="auto" w:fill="FFFFFF" w:themeFill="background1"/>
        <w:ind w:left="567" w:right="-79"/>
        <w:jc w:val="both"/>
        <w:rPr>
          <w:rFonts w:ascii="Verdana" w:hAnsi="Verdana"/>
          <w:i/>
          <w:iCs/>
          <w:sz w:val="22"/>
          <w:szCs w:val="22"/>
        </w:rPr>
      </w:pPr>
      <w:r w:rsidRPr="006F6B7F">
        <w:rPr>
          <w:rFonts w:ascii="Verdana" w:hAnsi="Verdana"/>
          <w:i/>
          <w:iCs/>
          <w:sz w:val="22"/>
          <w:szCs w:val="22"/>
        </w:rPr>
        <w:t>“</w:t>
      </w:r>
      <w:r w:rsidR="00D90396" w:rsidRPr="006F6B7F">
        <w:rPr>
          <w:rFonts w:ascii="Verdana" w:hAnsi="Verdana"/>
          <w:b/>
          <w:bCs/>
          <w:i/>
          <w:iCs/>
          <w:sz w:val="22"/>
          <w:szCs w:val="22"/>
        </w:rPr>
        <w:t>Artículo 1. Suspensión términos de prescripción y caducidad.</w:t>
      </w:r>
      <w:r w:rsidR="00D90396" w:rsidRPr="006F6B7F">
        <w:rPr>
          <w:rFonts w:ascii="Verdana" w:hAnsi="Verdana"/>
          <w:i/>
          <w:iCs/>
          <w:sz w:val="22"/>
          <w:szCs w:val="22"/>
        </w:rPr>
        <w:t xml:space="preserve"> Los términos de prescripción y de caducidad previstos en cualquier norma sustancial o procesal para derechos, acciones, medios control</w:t>
      </w:r>
      <w:r w:rsidRPr="006F6B7F">
        <w:rPr>
          <w:rFonts w:ascii="Verdana" w:hAnsi="Verdana"/>
          <w:i/>
          <w:iCs/>
          <w:sz w:val="22"/>
          <w:szCs w:val="22"/>
        </w:rPr>
        <w:t xml:space="preserve"> </w:t>
      </w:r>
      <w:r w:rsidR="00D90396" w:rsidRPr="006F6B7F">
        <w:rPr>
          <w:rFonts w:ascii="Verdana" w:hAnsi="Verdana"/>
          <w:i/>
          <w:iCs/>
          <w:sz w:val="22"/>
          <w:szCs w:val="22"/>
        </w:rPr>
        <w:t>o presentar demandas</w:t>
      </w:r>
      <w:r w:rsidRPr="006F6B7F">
        <w:rPr>
          <w:rFonts w:ascii="Verdana" w:hAnsi="Verdana"/>
          <w:i/>
          <w:iCs/>
          <w:sz w:val="22"/>
          <w:szCs w:val="22"/>
        </w:rPr>
        <w:t xml:space="preserve"> ante </w:t>
      </w:r>
      <w:r w:rsidR="00D90396" w:rsidRPr="006F6B7F">
        <w:rPr>
          <w:rFonts w:ascii="Verdana" w:hAnsi="Verdana"/>
          <w:i/>
          <w:iCs/>
          <w:sz w:val="22"/>
          <w:szCs w:val="22"/>
        </w:rPr>
        <w:t xml:space="preserve">la Judicial o ante los tribunales arbitrales, sean de meses o años, se encuentran suspendidos </w:t>
      </w:r>
      <w:r w:rsidRPr="006F6B7F">
        <w:rPr>
          <w:rFonts w:ascii="Verdana" w:hAnsi="Verdana"/>
          <w:i/>
          <w:iCs/>
          <w:sz w:val="22"/>
          <w:szCs w:val="22"/>
        </w:rPr>
        <w:t xml:space="preserve">desde </w:t>
      </w:r>
      <w:r w:rsidR="00D90396" w:rsidRPr="006F6B7F">
        <w:rPr>
          <w:rFonts w:ascii="Verdana" w:hAnsi="Verdana"/>
          <w:i/>
          <w:iCs/>
          <w:sz w:val="22"/>
          <w:szCs w:val="22"/>
        </w:rPr>
        <w:t>el 16 marzo 2020 hasta el día que Consejo Superior de la Judicatura disponga la reanudación los términos judiciales.</w:t>
      </w:r>
    </w:p>
    <w:p w14:paraId="594CFEE8" w14:textId="77777777" w:rsidR="006F6B7F" w:rsidRPr="006F6B7F" w:rsidRDefault="006F6B7F" w:rsidP="006F6B7F">
      <w:pPr>
        <w:shd w:val="clear" w:color="auto" w:fill="FFFFFF" w:themeFill="background1"/>
        <w:ind w:left="567" w:right="-79"/>
        <w:jc w:val="both"/>
        <w:rPr>
          <w:rFonts w:ascii="Verdana" w:hAnsi="Verdana"/>
          <w:i/>
          <w:iCs/>
          <w:sz w:val="22"/>
          <w:szCs w:val="22"/>
        </w:rPr>
      </w:pPr>
    </w:p>
    <w:p w14:paraId="2241F436" w14:textId="4B5182E0" w:rsidR="00D90396" w:rsidRPr="006F6B7F" w:rsidRDefault="00D90396" w:rsidP="006F6B7F">
      <w:pPr>
        <w:shd w:val="clear" w:color="auto" w:fill="FFFFFF" w:themeFill="background1"/>
        <w:ind w:left="567" w:right="-79"/>
        <w:jc w:val="both"/>
        <w:rPr>
          <w:rFonts w:ascii="Verdana" w:hAnsi="Verdana"/>
          <w:i/>
          <w:iCs/>
          <w:sz w:val="22"/>
          <w:szCs w:val="22"/>
        </w:rPr>
      </w:pPr>
      <w:r w:rsidRPr="00C4798D">
        <w:rPr>
          <w:rFonts w:ascii="Verdana" w:hAnsi="Verdana"/>
          <w:b/>
          <w:bCs/>
          <w:i/>
          <w:iCs/>
          <w:sz w:val="22"/>
          <w:szCs w:val="22"/>
          <w:u w:val="single"/>
        </w:rPr>
        <w:t>El conteo</w:t>
      </w:r>
      <w:r w:rsidRPr="00311856">
        <w:rPr>
          <w:rFonts w:ascii="Verdana" w:hAnsi="Verdana"/>
          <w:b/>
          <w:bCs/>
          <w:i/>
          <w:iCs/>
          <w:sz w:val="22"/>
          <w:szCs w:val="22"/>
        </w:rPr>
        <w:t xml:space="preserve"> los términos prescripción y caducidad </w:t>
      </w:r>
      <w:r w:rsidRPr="00C4798D">
        <w:rPr>
          <w:rFonts w:ascii="Verdana" w:hAnsi="Verdana"/>
          <w:b/>
          <w:bCs/>
          <w:i/>
          <w:iCs/>
          <w:sz w:val="22"/>
          <w:szCs w:val="22"/>
          <w:u w:val="single"/>
        </w:rPr>
        <w:t>se reanudará</w:t>
      </w:r>
      <w:r w:rsidRPr="00311856">
        <w:rPr>
          <w:rFonts w:ascii="Verdana" w:hAnsi="Verdana"/>
          <w:b/>
          <w:bCs/>
          <w:i/>
          <w:iCs/>
          <w:sz w:val="22"/>
          <w:szCs w:val="22"/>
        </w:rPr>
        <w:t xml:space="preserve"> a partir del día hábil siguiente a la fecha en que cese la suspensión términos judiciales ordenada por Consejo Superior de la Judicatura.</w:t>
      </w:r>
      <w:r w:rsidRPr="006F6B7F">
        <w:rPr>
          <w:rFonts w:ascii="Verdana" w:hAnsi="Verdana"/>
          <w:i/>
          <w:iCs/>
          <w:sz w:val="22"/>
          <w:szCs w:val="22"/>
        </w:rPr>
        <w:t xml:space="preserve"> No obstante, cuando al decretarse la suspensión de términos por dicha Corporación, el plazo que restaba para interrumpir prescripción o </w:t>
      </w:r>
      <w:r w:rsidR="006F6B7F" w:rsidRPr="006F6B7F">
        <w:rPr>
          <w:rFonts w:ascii="Verdana" w:hAnsi="Verdana"/>
          <w:i/>
          <w:iCs/>
          <w:sz w:val="22"/>
          <w:szCs w:val="22"/>
        </w:rPr>
        <w:t xml:space="preserve">hacer </w:t>
      </w:r>
      <w:r w:rsidRPr="006F6B7F">
        <w:rPr>
          <w:rFonts w:ascii="Verdana" w:hAnsi="Verdana"/>
          <w:i/>
          <w:iCs/>
          <w:sz w:val="22"/>
          <w:szCs w:val="22"/>
        </w:rPr>
        <w:t>inoperante la caducidad era inferior a treinta (30) días, interesado tendrá un mes contado a partir del día</w:t>
      </w:r>
      <w:r w:rsidR="006F6B7F" w:rsidRPr="006F6B7F">
        <w:rPr>
          <w:rFonts w:ascii="Verdana" w:hAnsi="Verdana"/>
          <w:i/>
          <w:iCs/>
          <w:sz w:val="22"/>
          <w:szCs w:val="22"/>
        </w:rPr>
        <w:t xml:space="preserve"> </w:t>
      </w:r>
      <w:r w:rsidRPr="006F6B7F">
        <w:rPr>
          <w:rFonts w:ascii="Verdana" w:hAnsi="Verdana"/>
          <w:i/>
          <w:iCs/>
          <w:sz w:val="22"/>
          <w:szCs w:val="22"/>
        </w:rPr>
        <w:t>siguiente al levantamiento de la suspensión, para realizar oportunamente la actuación correspondiente.</w:t>
      </w:r>
      <w:r w:rsidR="006F6B7F" w:rsidRPr="006F6B7F">
        <w:rPr>
          <w:rFonts w:ascii="Verdana" w:hAnsi="Verdana"/>
          <w:i/>
          <w:iCs/>
          <w:sz w:val="22"/>
          <w:szCs w:val="22"/>
        </w:rPr>
        <w:t>”</w:t>
      </w:r>
    </w:p>
    <w:p w14:paraId="59F9C98C" w14:textId="77777777" w:rsidR="006F6B7F" w:rsidRDefault="006F6B7F" w:rsidP="008C2F12">
      <w:pPr>
        <w:spacing w:line="360" w:lineRule="auto"/>
        <w:ind w:right="-81"/>
        <w:jc w:val="both"/>
        <w:rPr>
          <w:rFonts w:ascii="Verdana" w:hAnsi="Verdana"/>
        </w:rPr>
      </w:pPr>
    </w:p>
    <w:p w14:paraId="3C52C4A5" w14:textId="0A246245" w:rsidR="006312FD" w:rsidRDefault="00311856" w:rsidP="006312FD">
      <w:pPr>
        <w:spacing w:line="360" w:lineRule="auto"/>
        <w:ind w:right="-81"/>
        <w:jc w:val="both"/>
        <w:rPr>
          <w:rFonts w:ascii="Verdana" w:hAnsi="Verdana"/>
        </w:rPr>
      </w:pPr>
      <w:r w:rsidRPr="0853F571">
        <w:rPr>
          <w:rFonts w:ascii="Verdana" w:hAnsi="Verdana"/>
        </w:rPr>
        <w:t>De acuerdo de lo anterior, ha de colegirse que el</w:t>
      </w:r>
      <w:r w:rsidR="006312FD" w:rsidRPr="0853F571">
        <w:rPr>
          <w:rFonts w:ascii="Verdana" w:hAnsi="Verdana"/>
        </w:rPr>
        <w:t xml:space="preserve"> </w:t>
      </w:r>
      <w:r w:rsidR="006312FD" w:rsidRPr="0853F571">
        <w:rPr>
          <w:rFonts w:ascii="Verdana" w:hAnsi="Verdana"/>
          <w:b/>
          <w:bCs/>
        </w:rPr>
        <w:t xml:space="preserve">cómputo </w:t>
      </w:r>
      <w:r w:rsidR="006312FD" w:rsidRPr="0853F571">
        <w:rPr>
          <w:rFonts w:ascii="Verdana" w:hAnsi="Verdana"/>
        </w:rPr>
        <w:t>del</w:t>
      </w:r>
      <w:r w:rsidRPr="0853F571">
        <w:rPr>
          <w:rFonts w:ascii="Verdana" w:hAnsi="Verdana"/>
        </w:rPr>
        <w:t xml:space="preserve"> término de caducidad fue suspendido desde el </w:t>
      </w:r>
      <w:r w:rsidRPr="0853F571">
        <w:rPr>
          <w:rFonts w:ascii="Verdana" w:hAnsi="Verdana"/>
          <w:b/>
          <w:bCs/>
        </w:rPr>
        <w:t>16 de marzo de 2020</w:t>
      </w:r>
      <w:r w:rsidRPr="0853F571">
        <w:rPr>
          <w:rFonts w:ascii="Verdana" w:hAnsi="Verdana"/>
        </w:rPr>
        <w:t xml:space="preserve"> y hasta el </w:t>
      </w:r>
      <w:r w:rsidRPr="0853F571">
        <w:rPr>
          <w:rFonts w:ascii="Verdana" w:hAnsi="Verdana"/>
          <w:b/>
          <w:bCs/>
        </w:rPr>
        <w:t xml:space="preserve">30 de junio del </w:t>
      </w:r>
      <w:r w:rsidR="17497C63" w:rsidRPr="0853F571">
        <w:rPr>
          <w:rFonts w:ascii="Verdana" w:hAnsi="Verdana"/>
          <w:b/>
          <w:bCs/>
        </w:rPr>
        <w:t>mismo año</w:t>
      </w:r>
      <w:r w:rsidR="006312FD" w:rsidRPr="0853F571">
        <w:rPr>
          <w:rFonts w:ascii="Verdana" w:hAnsi="Verdana"/>
        </w:rPr>
        <w:t xml:space="preserve">, conforme se dispuso en los referidos Acuerdos expedidos por el Consejo Superior de la Judicatura, reanudándose el mismo a partir del </w:t>
      </w:r>
      <w:r w:rsidR="006312FD" w:rsidRPr="0853F571">
        <w:rPr>
          <w:rFonts w:ascii="Verdana" w:hAnsi="Verdana"/>
          <w:b/>
          <w:bCs/>
        </w:rPr>
        <w:t>1° de julio de 2020.</w:t>
      </w:r>
      <w:r w:rsidR="006312FD" w:rsidRPr="0853F571">
        <w:rPr>
          <w:rFonts w:ascii="Verdana" w:hAnsi="Verdana"/>
        </w:rPr>
        <w:t xml:space="preserve"> Disponiéndose una excepción garantista del cómputo del término de prescripción y caducidad respecto de los casos en que el plazo que restaba para interrumpir </w:t>
      </w:r>
      <w:r w:rsidR="00575D13" w:rsidRPr="0853F571">
        <w:rPr>
          <w:rFonts w:ascii="Verdana" w:hAnsi="Verdana"/>
        </w:rPr>
        <w:t xml:space="preserve">la </w:t>
      </w:r>
      <w:r w:rsidR="006312FD" w:rsidRPr="0853F571">
        <w:rPr>
          <w:rFonts w:ascii="Verdana" w:hAnsi="Verdana"/>
        </w:rPr>
        <w:t>prescripción o hacer inoperante la caducidad era inferior a treinta (30) días, evento en el que se le conced</w:t>
      </w:r>
      <w:r w:rsidR="00575D13" w:rsidRPr="0853F571">
        <w:rPr>
          <w:rFonts w:ascii="Verdana" w:hAnsi="Verdana"/>
        </w:rPr>
        <w:t>ió</w:t>
      </w:r>
      <w:r w:rsidR="006312FD" w:rsidRPr="0853F571">
        <w:rPr>
          <w:rFonts w:ascii="Verdana" w:hAnsi="Verdana"/>
        </w:rPr>
        <w:t xml:space="preserve"> al interesado un mes contado a partir del día siguiente al levantamiento de la suspensión, para realizar la actuación correspondiente.</w:t>
      </w:r>
    </w:p>
    <w:p w14:paraId="68426FCC" w14:textId="57C7E204" w:rsidR="006312FD" w:rsidRDefault="006312FD" w:rsidP="006312FD">
      <w:pPr>
        <w:spacing w:line="360" w:lineRule="auto"/>
        <w:ind w:right="-81"/>
        <w:jc w:val="both"/>
        <w:rPr>
          <w:rFonts w:ascii="Verdana" w:hAnsi="Verdana"/>
        </w:rPr>
      </w:pPr>
    </w:p>
    <w:p w14:paraId="0DA748A1" w14:textId="47AF19D2" w:rsidR="009A14AD" w:rsidRPr="009E31AA" w:rsidRDefault="006312FD" w:rsidP="009A14AD">
      <w:pPr>
        <w:spacing w:line="360" w:lineRule="auto"/>
        <w:ind w:right="-79"/>
        <w:jc w:val="both"/>
        <w:rPr>
          <w:rFonts w:ascii="Verdana" w:hAnsi="Verdana"/>
        </w:rPr>
      </w:pPr>
      <w:r>
        <w:rPr>
          <w:rFonts w:ascii="Verdana" w:hAnsi="Verdana"/>
        </w:rPr>
        <w:t>Bajo dicha precisión, considera la Sala que, contrario a lo establecido por la Juez de instancia, en el presente caso el medio de control no se</w:t>
      </w:r>
      <w:r w:rsidR="0069715B">
        <w:rPr>
          <w:rFonts w:ascii="Verdana" w:hAnsi="Verdana"/>
        </w:rPr>
        <w:t xml:space="preserve"> encuentra caducado, si se tenía</w:t>
      </w:r>
      <w:r>
        <w:rPr>
          <w:rFonts w:ascii="Verdana" w:hAnsi="Verdana"/>
        </w:rPr>
        <w:t xml:space="preserve"> en cuenta que </w:t>
      </w:r>
      <w:r w:rsidR="00C4798D">
        <w:rPr>
          <w:rFonts w:ascii="Verdana" w:hAnsi="Verdana"/>
        </w:rPr>
        <w:t xml:space="preserve">entre </w:t>
      </w:r>
      <w:r w:rsidR="00E267C5">
        <w:rPr>
          <w:rFonts w:ascii="Verdana" w:hAnsi="Verdana"/>
        </w:rPr>
        <w:t xml:space="preserve">día siguiente a </w:t>
      </w:r>
      <w:r w:rsidR="00C4798D">
        <w:rPr>
          <w:rFonts w:ascii="Verdana" w:hAnsi="Verdana"/>
        </w:rPr>
        <w:t xml:space="preserve">la fecha en que fue pagada la condena impuesta a la ESE HOSPITAL REGIONAL DE DUITAMA </w:t>
      </w:r>
      <w:r w:rsidR="00C4798D" w:rsidRPr="008C2F12">
        <w:rPr>
          <w:rFonts w:ascii="Verdana" w:hAnsi="Verdana"/>
        </w:rPr>
        <w:t>dentro del proceso de Reparación Directa RAD. No. 156933331002-201000376-00</w:t>
      </w:r>
      <w:r w:rsidR="00C4798D">
        <w:rPr>
          <w:rFonts w:ascii="Verdana" w:hAnsi="Verdana"/>
        </w:rPr>
        <w:t xml:space="preserve"> (</w:t>
      </w:r>
      <w:r w:rsidR="00E267C5" w:rsidRPr="00E267C5">
        <w:rPr>
          <w:rFonts w:ascii="Verdana" w:hAnsi="Verdana"/>
          <w:b/>
          <w:bCs/>
        </w:rPr>
        <w:t>7</w:t>
      </w:r>
      <w:r w:rsidR="00C4798D" w:rsidRPr="00C4798D">
        <w:rPr>
          <w:rFonts w:ascii="Verdana" w:hAnsi="Verdana"/>
          <w:b/>
          <w:bCs/>
          <w:u w:val="single"/>
        </w:rPr>
        <w:t xml:space="preserve"> de julio de 2018</w:t>
      </w:r>
      <w:r w:rsidR="00C4798D">
        <w:rPr>
          <w:rFonts w:ascii="Verdana" w:hAnsi="Verdana"/>
          <w:b/>
          <w:bCs/>
          <w:u w:val="single"/>
        </w:rPr>
        <w:t xml:space="preserve">), </w:t>
      </w:r>
      <w:r w:rsidR="00C4798D">
        <w:rPr>
          <w:rFonts w:ascii="Verdana" w:hAnsi="Verdana"/>
        </w:rPr>
        <w:t xml:space="preserve">y la calenda en que se dispuso suspender los términos judiciales con ocasión de la pandemia causada por el </w:t>
      </w:r>
      <w:r w:rsidR="00C4798D">
        <w:rPr>
          <w:rFonts w:ascii="Verdana" w:hAnsi="Verdana"/>
        </w:rPr>
        <w:lastRenderedPageBreak/>
        <w:t>COVID-19 (</w:t>
      </w:r>
      <w:r w:rsidR="00C4798D" w:rsidRPr="00C4798D">
        <w:rPr>
          <w:rFonts w:ascii="Verdana" w:hAnsi="Verdana"/>
          <w:b/>
          <w:bCs/>
        </w:rPr>
        <w:t>16 de marzo de 2020</w:t>
      </w:r>
      <w:r w:rsidR="00C4798D">
        <w:rPr>
          <w:rFonts w:ascii="Verdana" w:hAnsi="Verdana"/>
        </w:rPr>
        <w:t xml:space="preserve">), trascurrió 1 año, </w:t>
      </w:r>
      <w:r w:rsidR="00E267C5">
        <w:rPr>
          <w:rFonts w:ascii="Verdana" w:hAnsi="Verdana"/>
        </w:rPr>
        <w:t>8</w:t>
      </w:r>
      <w:r w:rsidR="00C4798D">
        <w:rPr>
          <w:rFonts w:ascii="Verdana" w:hAnsi="Verdana"/>
        </w:rPr>
        <w:t xml:space="preserve"> meses y </w:t>
      </w:r>
      <w:r w:rsidR="00E267C5">
        <w:rPr>
          <w:rFonts w:ascii="Verdana" w:hAnsi="Verdana"/>
        </w:rPr>
        <w:t>9</w:t>
      </w:r>
      <w:r w:rsidR="00C4798D">
        <w:rPr>
          <w:rFonts w:ascii="Verdana" w:hAnsi="Verdana"/>
        </w:rPr>
        <w:t xml:space="preserve"> días, de manera que al reanudarse el cómputo de la caducidad a partir del </w:t>
      </w:r>
      <w:r w:rsidR="00C4798D" w:rsidRPr="00055B08">
        <w:rPr>
          <w:rFonts w:ascii="Verdana" w:hAnsi="Verdana"/>
          <w:b/>
          <w:bCs/>
        </w:rPr>
        <w:t>1° de julio de 2020</w:t>
      </w:r>
      <w:r w:rsidR="00C4798D">
        <w:rPr>
          <w:rFonts w:ascii="Verdana" w:hAnsi="Verdana"/>
        </w:rPr>
        <w:t>, la ESE</w:t>
      </w:r>
      <w:r w:rsidR="00AC3C94">
        <w:rPr>
          <w:rFonts w:ascii="Verdana" w:hAnsi="Verdana"/>
        </w:rPr>
        <w:t xml:space="preserve"> demandante contaba con </w:t>
      </w:r>
      <w:r w:rsidR="00E267C5">
        <w:rPr>
          <w:rFonts w:ascii="Verdana" w:hAnsi="Verdana"/>
        </w:rPr>
        <w:t>3</w:t>
      </w:r>
      <w:r w:rsidR="00AC3C94">
        <w:rPr>
          <w:rFonts w:ascii="Verdana" w:hAnsi="Verdana"/>
        </w:rPr>
        <w:t xml:space="preserve"> meses</w:t>
      </w:r>
      <w:r w:rsidR="009A14AD">
        <w:rPr>
          <w:rFonts w:ascii="Verdana" w:hAnsi="Verdana"/>
        </w:rPr>
        <w:t xml:space="preserve"> y 2</w:t>
      </w:r>
      <w:r w:rsidR="00E267C5">
        <w:rPr>
          <w:rFonts w:ascii="Verdana" w:hAnsi="Verdana"/>
        </w:rPr>
        <w:t>1</w:t>
      </w:r>
      <w:r w:rsidR="009A14AD">
        <w:rPr>
          <w:rFonts w:ascii="Verdana" w:hAnsi="Verdana"/>
        </w:rPr>
        <w:t xml:space="preserve"> días siguientes</w:t>
      </w:r>
      <w:r w:rsidR="00055B08">
        <w:rPr>
          <w:rFonts w:ascii="Verdana" w:hAnsi="Verdana"/>
        </w:rPr>
        <w:t xml:space="preserve"> contabilizados a partir de dicha calenda,</w:t>
      </w:r>
      <w:r w:rsidR="009A14AD">
        <w:rPr>
          <w:rFonts w:ascii="Verdana" w:hAnsi="Verdana"/>
        </w:rPr>
        <w:t xml:space="preserve"> </w:t>
      </w:r>
      <w:r w:rsidR="00AC3C94">
        <w:rPr>
          <w:rFonts w:ascii="Verdana" w:hAnsi="Verdana"/>
        </w:rPr>
        <w:t>para presentar la demanda</w:t>
      </w:r>
      <w:r w:rsidR="00055B08">
        <w:rPr>
          <w:rFonts w:ascii="Verdana" w:hAnsi="Verdana"/>
        </w:rPr>
        <w:t xml:space="preserve"> de repetición dentro del término del término de caducidad establecido en el</w:t>
      </w:r>
      <w:r w:rsidR="00055B08" w:rsidRPr="00055B08">
        <w:rPr>
          <w:rFonts w:ascii="Verdana" w:hAnsi="Verdana"/>
        </w:rPr>
        <w:t xml:space="preserve"> </w:t>
      </w:r>
      <w:r w:rsidR="00055B08" w:rsidRPr="00C27F8A">
        <w:rPr>
          <w:rFonts w:ascii="Verdana" w:hAnsi="Verdana"/>
        </w:rPr>
        <w:t>art. 164 numeral 2° literal L) del C.P.A.C.A.</w:t>
      </w:r>
      <w:r w:rsidR="00055B08">
        <w:rPr>
          <w:rFonts w:ascii="Verdana" w:hAnsi="Verdana"/>
        </w:rPr>
        <w:t xml:space="preserve">, </w:t>
      </w:r>
      <w:r w:rsidR="009A14AD">
        <w:rPr>
          <w:rFonts w:ascii="Verdana" w:hAnsi="Verdana"/>
        </w:rPr>
        <w:t xml:space="preserve">es decir, tenía como plazo </w:t>
      </w:r>
      <w:r w:rsidR="00055B08">
        <w:rPr>
          <w:rFonts w:ascii="Verdana" w:hAnsi="Verdana"/>
        </w:rPr>
        <w:t xml:space="preserve">máximo </w:t>
      </w:r>
      <w:r w:rsidR="009A14AD">
        <w:rPr>
          <w:rFonts w:ascii="Verdana" w:hAnsi="Verdana"/>
        </w:rPr>
        <w:t xml:space="preserve">hasta el </w:t>
      </w:r>
      <w:r w:rsidR="00055B08" w:rsidRPr="00055B08">
        <w:rPr>
          <w:rFonts w:ascii="Verdana" w:hAnsi="Verdana"/>
          <w:b/>
          <w:bCs/>
        </w:rPr>
        <w:t xml:space="preserve">21 de octubre </w:t>
      </w:r>
      <w:r w:rsidR="009A14AD" w:rsidRPr="00055B08">
        <w:rPr>
          <w:rFonts w:ascii="Verdana" w:hAnsi="Verdana"/>
          <w:b/>
          <w:bCs/>
        </w:rPr>
        <w:t>de 2020</w:t>
      </w:r>
      <w:r w:rsidR="009A14AD">
        <w:rPr>
          <w:rFonts w:ascii="Verdana" w:hAnsi="Verdana"/>
        </w:rPr>
        <w:t xml:space="preserve">, en consecuencia, al radicar la demanda el día </w:t>
      </w:r>
      <w:r w:rsidR="009A14AD" w:rsidRPr="009E31AA">
        <w:rPr>
          <w:rFonts w:ascii="Verdana" w:hAnsi="Verdana"/>
        </w:rPr>
        <w:t>18 de septiembre de 2020 (fl. 105)</w:t>
      </w:r>
      <w:r w:rsidR="009A14AD">
        <w:rPr>
          <w:rFonts w:ascii="Verdana" w:hAnsi="Verdana"/>
        </w:rPr>
        <w:t xml:space="preserve">, fuerza concluir que la </w:t>
      </w:r>
      <w:r w:rsidR="00055B08">
        <w:rPr>
          <w:rFonts w:ascii="Verdana" w:hAnsi="Verdana"/>
        </w:rPr>
        <w:t>misma</w:t>
      </w:r>
      <w:r w:rsidR="009A14AD">
        <w:rPr>
          <w:rFonts w:ascii="Verdana" w:hAnsi="Verdana"/>
        </w:rPr>
        <w:t xml:space="preserve"> fue presentada </w:t>
      </w:r>
      <w:r w:rsidR="00055B08">
        <w:rPr>
          <w:rFonts w:ascii="Verdana" w:hAnsi="Verdana"/>
        </w:rPr>
        <w:t xml:space="preserve">oportunamente, </w:t>
      </w:r>
      <w:r w:rsidR="009A14AD">
        <w:rPr>
          <w:rFonts w:ascii="Verdana" w:hAnsi="Verdana"/>
        </w:rPr>
        <w:t>razón por la que se revocará el auto apelado.</w:t>
      </w:r>
      <w:r w:rsidR="009A14AD" w:rsidRPr="00C27F8A">
        <w:rPr>
          <w:rFonts w:ascii="Verdana" w:hAnsi="Verdana"/>
        </w:rPr>
        <w:t xml:space="preserve"> </w:t>
      </w:r>
      <w:r w:rsidR="009A14AD">
        <w:rPr>
          <w:rFonts w:ascii="Verdana" w:hAnsi="Verdana"/>
        </w:rPr>
        <w:t xml:space="preserve"> </w:t>
      </w:r>
    </w:p>
    <w:p w14:paraId="1325A4C2" w14:textId="659A09E6" w:rsidR="00AC3C94" w:rsidRDefault="00AC3C94" w:rsidP="006312FD">
      <w:pPr>
        <w:spacing w:line="360" w:lineRule="auto"/>
        <w:ind w:right="-81"/>
        <w:jc w:val="both"/>
        <w:rPr>
          <w:rFonts w:ascii="Verdana" w:hAnsi="Verdana"/>
        </w:rPr>
      </w:pPr>
    </w:p>
    <w:p w14:paraId="22608C8A" w14:textId="6CD2D1F3" w:rsidR="00CA677E" w:rsidRDefault="00CA677E" w:rsidP="00C27F8A">
      <w:pPr>
        <w:pStyle w:val="Textoindependiente2"/>
        <w:spacing w:after="0" w:line="360" w:lineRule="auto"/>
        <w:jc w:val="center"/>
        <w:rPr>
          <w:rFonts w:ascii="Verdana" w:hAnsi="Verdana"/>
          <w:b/>
          <w:sz w:val="24"/>
          <w:szCs w:val="24"/>
        </w:rPr>
      </w:pPr>
      <w:r w:rsidRPr="00C27F8A">
        <w:rPr>
          <w:rFonts w:ascii="Verdana" w:hAnsi="Verdana"/>
          <w:b/>
          <w:sz w:val="24"/>
          <w:szCs w:val="24"/>
        </w:rPr>
        <w:t>V. DECISIÓN</w:t>
      </w:r>
    </w:p>
    <w:p w14:paraId="6ECD4904" w14:textId="77777777" w:rsidR="00101705" w:rsidRPr="00C27F8A" w:rsidRDefault="00101705" w:rsidP="00C27F8A">
      <w:pPr>
        <w:pStyle w:val="Textoindependiente2"/>
        <w:spacing w:after="0" w:line="360" w:lineRule="auto"/>
        <w:jc w:val="center"/>
        <w:rPr>
          <w:rFonts w:ascii="Verdana" w:hAnsi="Verdana"/>
          <w:b/>
          <w:sz w:val="24"/>
          <w:szCs w:val="24"/>
        </w:rPr>
      </w:pPr>
    </w:p>
    <w:p w14:paraId="6CFC4792" w14:textId="66ACEF3E" w:rsidR="00BF67C0" w:rsidRPr="00C27F8A" w:rsidRDefault="00CA677E" w:rsidP="00C27F8A">
      <w:pPr>
        <w:pStyle w:val="Textoindependiente2"/>
        <w:spacing w:after="0" w:line="360" w:lineRule="auto"/>
        <w:jc w:val="both"/>
        <w:rPr>
          <w:rFonts w:ascii="Verdana" w:hAnsi="Verdana"/>
          <w:sz w:val="24"/>
          <w:szCs w:val="24"/>
        </w:rPr>
      </w:pPr>
      <w:r w:rsidRPr="00C27F8A">
        <w:rPr>
          <w:rFonts w:ascii="Verdana" w:hAnsi="Verdana"/>
          <w:sz w:val="24"/>
          <w:szCs w:val="24"/>
        </w:rPr>
        <w:t xml:space="preserve">En mérito de lo expuesto, la Sala de Decisión No. </w:t>
      </w:r>
      <w:r w:rsidR="009A14AD">
        <w:rPr>
          <w:rFonts w:ascii="Verdana" w:hAnsi="Verdana"/>
          <w:sz w:val="24"/>
          <w:szCs w:val="24"/>
        </w:rPr>
        <w:t>6</w:t>
      </w:r>
      <w:r w:rsidRPr="00C27F8A">
        <w:rPr>
          <w:rFonts w:ascii="Verdana" w:hAnsi="Verdana"/>
          <w:sz w:val="24"/>
          <w:szCs w:val="24"/>
        </w:rPr>
        <w:t xml:space="preserve"> del Tribunal Administrativo de Boyacá, administrando justicia en nombre de la República y por autoridad de la ley,</w:t>
      </w:r>
    </w:p>
    <w:p w14:paraId="2552AA25" w14:textId="77777777" w:rsidR="00CA677E" w:rsidRPr="00C27F8A" w:rsidRDefault="00CA677E" w:rsidP="00C27F8A">
      <w:pPr>
        <w:pStyle w:val="Textoindependiente2"/>
        <w:spacing w:after="0" w:line="360" w:lineRule="auto"/>
        <w:jc w:val="both"/>
        <w:rPr>
          <w:rFonts w:ascii="Verdana" w:hAnsi="Verdana" w:cs="Times New Roman"/>
          <w:sz w:val="24"/>
          <w:szCs w:val="24"/>
        </w:rPr>
      </w:pPr>
    </w:p>
    <w:p w14:paraId="6F561BE4" w14:textId="77777777" w:rsidR="00BF67C0" w:rsidRPr="00C27F8A" w:rsidRDefault="00BF67C0" w:rsidP="00C27F8A">
      <w:pPr>
        <w:widowControl w:val="0"/>
        <w:spacing w:line="360" w:lineRule="auto"/>
        <w:jc w:val="center"/>
        <w:rPr>
          <w:rFonts w:ascii="Verdana" w:hAnsi="Verdana"/>
          <w:b/>
          <w:bCs/>
        </w:rPr>
      </w:pPr>
      <w:r w:rsidRPr="00C27F8A">
        <w:rPr>
          <w:rFonts w:ascii="Verdana" w:hAnsi="Verdana"/>
          <w:b/>
          <w:bCs/>
        </w:rPr>
        <w:t>RESUELVE</w:t>
      </w:r>
    </w:p>
    <w:p w14:paraId="5578DA7C" w14:textId="77777777" w:rsidR="00BF67C0" w:rsidRPr="00C27F8A" w:rsidRDefault="00BF67C0" w:rsidP="00C27F8A">
      <w:pPr>
        <w:spacing w:line="360" w:lineRule="auto"/>
        <w:jc w:val="both"/>
        <w:rPr>
          <w:rFonts w:ascii="Verdana" w:hAnsi="Verdana"/>
          <w:b/>
          <w:iCs/>
        </w:rPr>
      </w:pPr>
    </w:p>
    <w:p w14:paraId="1862AD2D" w14:textId="54771477" w:rsidR="00BF67C0" w:rsidRPr="00C27F8A" w:rsidRDefault="00BF67C0" w:rsidP="00C27F8A">
      <w:pPr>
        <w:spacing w:line="360" w:lineRule="auto"/>
        <w:jc w:val="both"/>
        <w:rPr>
          <w:rFonts w:ascii="Verdana" w:hAnsi="Verdana"/>
          <w:b/>
          <w:iCs/>
        </w:rPr>
      </w:pPr>
      <w:r w:rsidRPr="00C27F8A">
        <w:rPr>
          <w:rFonts w:ascii="Verdana" w:hAnsi="Verdana"/>
          <w:b/>
          <w:iCs/>
        </w:rPr>
        <w:t>PRIMERO.</w:t>
      </w:r>
      <w:r w:rsidR="009A14AD">
        <w:rPr>
          <w:rFonts w:ascii="Verdana" w:hAnsi="Verdana"/>
          <w:b/>
          <w:iCs/>
        </w:rPr>
        <w:t xml:space="preserve"> REVOCAR </w:t>
      </w:r>
      <w:r w:rsidR="009A14AD" w:rsidRPr="008B5649">
        <w:rPr>
          <w:rFonts w:ascii="Verdana" w:hAnsi="Verdana"/>
          <w:bCs/>
          <w:iCs/>
        </w:rPr>
        <w:t>el auto proferido el 29 de octubre de 2020</w:t>
      </w:r>
      <w:r w:rsidR="008B5649" w:rsidRPr="008B5649">
        <w:rPr>
          <w:rFonts w:ascii="Verdana" w:hAnsi="Verdana"/>
          <w:bCs/>
          <w:iCs/>
        </w:rPr>
        <w:t xml:space="preserve"> por el Juzgado Segundo Administrativo Oral del Circuito Judicial de Duitama, en el que rechazo la demanda por caducidad</w:t>
      </w:r>
      <w:r w:rsidRPr="008B5649">
        <w:rPr>
          <w:rFonts w:ascii="Verdana" w:hAnsi="Verdana"/>
          <w:bCs/>
        </w:rPr>
        <w:t>,</w:t>
      </w:r>
      <w:r w:rsidR="008B5649">
        <w:rPr>
          <w:rFonts w:ascii="Verdana" w:hAnsi="Verdana"/>
        </w:rPr>
        <w:t xml:space="preserve"> de acuerdo con </w:t>
      </w:r>
      <w:r w:rsidR="000D6B14">
        <w:rPr>
          <w:rFonts w:ascii="Verdana" w:hAnsi="Verdana"/>
        </w:rPr>
        <w:t>las razones expuestas en la parte motiva de esta providencia.</w:t>
      </w:r>
    </w:p>
    <w:p w14:paraId="1C9A60EE" w14:textId="77777777" w:rsidR="00BF67C0" w:rsidRPr="00C27F8A" w:rsidRDefault="00BF67C0" w:rsidP="00C27F8A">
      <w:pPr>
        <w:spacing w:line="360" w:lineRule="auto"/>
        <w:jc w:val="both"/>
        <w:rPr>
          <w:rFonts w:ascii="Verdana" w:hAnsi="Verdana"/>
        </w:rPr>
      </w:pPr>
    </w:p>
    <w:p w14:paraId="69854C2C" w14:textId="2F7826C0" w:rsidR="00BF67C0" w:rsidRPr="00C27F8A" w:rsidRDefault="00BF67C0" w:rsidP="00C27F8A">
      <w:pPr>
        <w:tabs>
          <w:tab w:val="left" w:pos="-720"/>
        </w:tabs>
        <w:suppressAutoHyphens/>
        <w:spacing w:line="360" w:lineRule="auto"/>
        <w:jc w:val="both"/>
        <w:rPr>
          <w:rFonts w:ascii="Verdana" w:hAnsi="Verdana"/>
        </w:rPr>
      </w:pPr>
      <w:r w:rsidRPr="00C27F8A">
        <w:rPr>
          <w:rFonts w:ascii="Verdana" w:hAnsi="Verdana"/>
          <w:b/>
        </w:rPr>
        <w:t>SEGUNDO.</w:t>
      </w:r>
      <w:r w:rsidR="008B5649">
        <w:rPr>
          <w:rFonts w:ascii="Verdana" w:hAnsi="Verdana"/>
          <w:b/>
        </w:rPr>
        <w:t xml:space="preserve"> </w:t>
      </w:r>
      <w:r w:rsidRPr="00C27F8A">
        <w:rPr>
          <w:rFonts w:ascii="Verdana" w:hAnsi="Verdana"/>
          <w:lang w:val="es-CO"/>
        </w:rPr>
        <w:t xml:space="preserve">En firme ésta providencia, </w:t>
      </w:r>
      <w:r w:rsidRPr="00C27F8A">
        <w:rPr>
          <w:rFonts w:ascii="Verdana" w:hAnsi="Verdana"/>
          <w:b/>
        </w:rPr>
        <w:t>Devuélvase</w:t>
      </w:r>
      <w:r w:rsidRPr="00C27F8A">
        <w:rPr>
          <w:rFonts w:ascii="Verdana" w:hAnsi="Verdana"/>
        </w:rPr>
        <w:t xml:space="preserve"> el expediente al Juzgado de origen, para que provea lo pertinente. </w:t>
      </w:r>
    </w:p>
    <w:p w14:paraId="39C8194A" w14:textId="77777777" w:rsidR="00BF67C0" w:rsidRPr="00C27F8A" w:rsidRDefault="00BF67C0" w:rsidP="00C27F8A">
      <w:pPr>
        <w:spacing w:line="360" w:lineRule="auto"/>
        <w:jc w:val="both"/>
        <w:rPr>
          <w:rFonts w:ascii="Verdana" w:hAnsi="Verdana" w:cs="Times New Roman"/>
          <w:lang w:val="es-CO"/>
        </w:rPr>
      </w:pPr>
    </w:p>
    <w:p w14:paraId="4C7EF589" w14:textId="77777777" w:rsidR="00BF67C0" w:rsidRPr="00C27F8A" w:rsidRDefault="00BF67C0" w:rsidP="00C27F8A">
      <w:pPr>
        <w:spacing w:line="360" w:lineRule="auto"/>
        <w:jc w:val="both"/>
        <w:rPr>
          <w:rFonts w:ascii="Verdana" w:hAnsi="Verdana"/>
          <w:b/>
          <w:bCs/>
        </w:rPr>
      </w:pPr>
    </w:p>
    <w:p w14:paraId="3D9E77D0" w14:textId="77777777" w:rsidR="00BF67C0" w:rsidRPr="00C27F8A" w:rsidRDefault="00EA07B6" w:rsidP="00C27F8A">
      <w:pPr>
        <w:spacing w:line="360" w:lineRule="auto"/>
        <w:jc w:val="both"/>
        <w:rPr>
          <w:rFonts w:ascii="Verdana" w:hAnsi="Verdana"/>
          <w:b/>
          <w:bCs/>
        </w:rPr>
      </w:pPr>
      <w:r w:rsidRPr="00C27F8A">
        <w:rPr>
          <w:rFonts w:ascii="Verdana" w:hAnsi="Verdana"/>
          <w:b/>
          <w:bCs/>
        </w:rPr>
        <w:t>NOTIFÍQUESE</w:t>
      </w:r>
      <w:r w:rsidR="00BF67C0" w:rsidRPr="00C27F8A">
        <w:rPr>
          <w:rFonts w:ascii="Verdana" w:hAnsi="Verdana"/>
          <w:b/>
          <w:bCs/>
        </w:rPr>
        <w:t xml:space="preserve"> Y </w:t>
      </w:r>
      <w:r w:rsidRPr="00C27F8A">
        <w:rPr>
          <w:rFonts w:ascii="Verdana" w:hAnsi="Verdana"/>
          <w:b/>
          <w:bCs/>
        </w:rPr>
        <w:t>CÚMPLASE</w:t>
      </w:r>
      <w:r w:rsidR="00BF67C0" w:rsidRPr="00C27F8A">
        <w:rPr>
          <w:rFonts w:ascii="Verdana" w:hAnsi="Verdana"/>
          <w:b/>
          <w:bCs/>
        </w:rPr>
        <w:t>.</w:t>
      </w:r>
    </w:p>
    <w:p w14:paraId="036747C0" w14:textId="77777777" w:rsidR="00BF67C0" w:rsidRPr="00C27F8A" w:rsidRDefault="00BF67C0" w:rsidP="00C27F8A">
      <w:pPr>
        <w:spacing w:line="360" w:lineRule="auto"/>
        <w:rPr>
          <w:rFonts w:ascii="Verdana" w:hAnsi="Verdana" w:cs="Times New Roman"/>
          <w:lang w:val="es-ES_tradnl"/>
        </w:rPr>
      </w:pPr>
    </w:p>
    <w:p w14:paraId="2C38346B" w14:textId="77777777" w:rsidR="00BF67C0" w:rsidRPr="00C27F8A" w:rsidRDefault="00BF67C0" w:rsidP="00C27F8A">
      <w:pPr>
        <w:spacing w:line="360" w:lineRule="auto"/>
        <w:jc w:val="both"/>
        <w:rPr>
          <w:rFonts w:ascii="Verdana" w:hAnsi="Verdana"/>
        </w:rPr>
      </w:pPr>
      <w:r w:rsidRPr="00C27F8A">
        <w:rPr>
          <w:rFonts w:ascii="Verdana" w:hAnsi="Verdana"/>
        </w:rPr>
        <w:t>Los Magistrados,</w:t>
      </w:r>
    </w:p>
    <w:p w14:paraId="033FB209" w14:textId="77777777" w:rsidR="00BF67C0" w:rsidRPr="00C27F8A" w:rsidRDefault="00BF67C0" w:rsidP="00C27F8A">
      <w:pPr>
        <w:spacing w:line="360" w:lineRule="auto"/>
        <w:jc w:val="both"/>
        <w:rPr>
          <w:rFonts w:ascii="Verdana" w:hAnsi="Verdana"/>
        </w:rPr>
      </w:pPr>
    </w:p>
    <w:p w14:paraId="3FD507A4" w14:textId="36699F47" w:rsidR="6C840B4C" w:rsidRDefault="6C840B4C" w:rsidP="6C840B4C">
      <w:pPr>
        <w:spacing w:line="360" w:lineRule="auto"/>
        <w:jc w:val="both"/>
      </w:pPr>
    </w:p>
    <w:p w14:paraId="73A6CF2E" w14:textId="16B4832A" w:rsidR="6BF9F88F" w:rsidRDefault="6BF9F88F" w:rsidP="0853F571">
      <w:pPr>
        <w:spacing w:line="360" w:lineRule="auto"/>
        <w:jc w:val="both"/>
      </w:pPr>
      <w:r w:rsidRPr="6C840B4C">
        <w:t xml:space="preserve">                                                     </w:t>
      </w:r>
    </w:p>
    <w:p w14:paraId="647BC5F3" w14:textId="77777777" w:rsidR="0037462C" w:rsidRPr="00C27F8A" w:rsidRDefault="0037462C" w:rsidP="00C27F8A">
      <w:pPr>
        <w:spacing w:line="360" w:lineRule="auto"/>
        <w:jc w:val="center"/>
        <w:rPr>
          <w:rFonts w:ascii="Verdana" w:hAnsi="Verdana" w:cs="Georgia"/>
          <w:b/>
          <w:bCs/>
        </w:rPr>
      </w:pPr>
      <w:r w:rsidRPr="00C27F8A">
        <w:rPr>
          <w:rFonts w:ascii="Verdana" w:hAnsi="Verdana" w:cs="Georgia"/>
          <w:b/>
          <w:bCs/>
        </w:rPr>
        <w:t>FÉLIX ALBERTO RODRÍGUEZ RIVEROS</w:t>
      </w:r>
    </w:p>
    <w:p w14:paraId="7B65EC31" w14:textId="77777777" w:rsidR="0037462C" w:rsidRPr="00C27F8A" w:rsidRDefault="0037462C" w:rsidP="00C27F8A">
      <w:pPr>
        <w:spacing w:line="360" w:lineRule="auto"/>
        <w:jc w:val="both"/>
        <w:rPr>
          <w:rFonts w:ascii="Verdana" w:hAnsi="Verdana" w:cs="Georgia"/>
          <w:b/>
          <w:bCs/>
        </w:rPr>
      </w:pPr>
    </w:p>
    <w:p w14:paraId="102309BE" w14:textId="77777777" w:rsidR="0037462C" w:rsidRPr="00C27F8A" w:rsidRDefault="0037462C" w:rsidP="00C27F8A">
      <w:pPr>
        <w:spacing w:line="360" w:lineRule="auto"/>
        <w:jc w:val="both"/>
        <w:rPr>
          <w:rFonts w:ascii="Verdana" w:hAnsi="Verdana" w:cs="Georgia"/>
          <w:b/>
          <w:bCs/>
        </w:rPr>
      </w:pPr>
    </w:p>
    <w:p w14:paraId="553A1361" w14:textId="77777777" w:rsidR="000A1FE2" w:rsidRPr="00C27F8A" w:rsidRDefault="000A1FE2" w:rsidP="00C27F8A">
      <w:pPr>
        <w:spacing w:line="360" w:lineRule="auto"/>
        <w:jc w:val="both"/>
        <w:rPr>
          <w:rFonts w:ascii="Verdana" w:hAnsi="Verdana" w:cs="Georgia"/>
          <w:b/>
          <w:bCs/>
        </w:rPr>
      </w:pPr>
    </w:p>
    <w:p w14:paraId="30064FA0" w14:textId="52C736C5" w:rsidR="000A1FE2" w:rsidRDefault="000A1FE2" w:rsidP="00C27F8A">
      <w:pPr>
        <w:spacing w:line="360" w:lineRule="auto"/>
        <w:jc w:val="both"/>
        <w:rPr>
          <w:rFonts w:ascii="Verdana" w:hAnsi="Verdana" w:cs="Georgia"/>
          <w:b/>
          <w:bCs/>
        </w:rPr>
      </w:pPr>
    </w:p>
    <w:p w14:paraId="3F8D1083" w14:textId="3FA35256" w:rsidR="00073E19" w:rsidRDefault="00073E19" w:rsidP="00C27F8A">
      <w:pPr>
        <w:spacing w:line="360" w:lineRule="auto"/>
        <w:jc w:val="both"/>
        <w:rPr>
          <w:rFonts w:ascii="Verdana" w:hAnsi="Verdana" w:cs="Georgia"/>
          <w:b/>
          <w:bCs/>
        </w:rPr>
      </w:pPr>
    </w:p>
    <w:p w14:paraId="62EF2CBB" w14:textId="78DEBE41" w:rsidR="6C840B4C" w:rsidRDefault="6C840B4C" w:rsidP="6C840B4C">
      <w:pPr>
        <w:spacing w:line="360" w:lineRule="auto"/>
        <w:jc w:val="both"/>
        <w:rPr>
          <w:b/>
          <w:bCs/>
        </w:rPr>
      </w:pPr>
    </w:p>
    <w:p w14:paraId="779A8FB2" w14:textId="77777777" w:rsidR="00073E19" w:rsidRPr="00C27F8A" w:rsidRDefault="00073E19" w:rsidP="00C27F8A">
      <w:pPr>
        <w:spacing w:line="360" w:lineRule="auto"/>
        <w:jc w:val="both"/>
        <w:rPr>
          <w:rFonts w:ascii="Verdana" w:hAnsi="Verdana" w:cs="Georgia"/>
          <w:b/>
          <w:bCs/>
        </w:rPr>
      </w:pPr>
    </w:p>
    <w:p w14:paraId="7D29695D" w14:textId="79C58DF5" w:rsidR="0037462C" w:rsidRDefault="000A1FE2" w:rsidP="00C27F8A">
      <w:pPr>
        <w:tabs>
          <w:tab w:val="left" w:pos="0"/>
        </w:tabs>
        <w:spacing w:line="360" w:lineRule="auto"/>
        <w:ind w:right="20"/>
        <w:jc w:val="center"/>
        <w:rPr>
          <w:rFonts w:ascii="Verdana" w:hAnsi="Verdana" w:cs="Georgia"/>
          <w:b/>
          <w:bCs/>
        </w:rPr>
      </w:pPr>
      <w:r w:rsidRPr="00C27F8A">
        <w:rPr>
          <w:rFonts w:ascii="Verdana" w:hAnsi="Verdana" w:cs="Georgia"/>
          <w:b/>
          <w:bCs/>
        </w:rPr>
        <w:t xml:space="preserve">FABIO IVÁN AFANADOR </w:t>
      </w:r>
      <w:r w:rsidR="0037462C" w:rsidRPr="00C27F8A">
        <w:rPr>
          <w:rFonts w:ascii="Verdana" w:hAnsi="Verdana" w:cs="Georgia"/>
          <w:b/>
          <w:bCs/>
        </w:rPr>
        <w:t>GARCÍA</w:t>
      </w:r>
    </w:p>
    <w:p w14:paraId="2AE3F2D5" w14:textId="05E78E8E" w:rsidR="00073E19" w:rsidRDefault="00073E19" w:rsidP="00C27F8A">
      <w:pPr>
        <w:tabs>
          <w:tab w:val="left" w:pos="0"/>
        </w:tabs>
        <w:spacing w:line="360" w:lineRule="auto"/>
        <w:ind w:right="20"/>
        <w:jc w:val="center"/>
        <w:rPr>
          <w:rFonts w:ascii="Verdana" w:hAnsi="Verdana" w:cs="Georgia"/>
          <w:b/>
          <w:bCs/>
        </w:rPr>
      </w:pPr>
    </w:p>
    <w:p w14:paraId="1F548167" w14:textId="07F51F84" w:rsidR="00073E19" w:rsidRDefault="00073E19" w:rsidP="00C27F8A">
      <w:pPr>
        <w:tabs>
          <w:tab w:val="left" w:pos="0"/>
        </w:tabs>
        <w:spacing w:line="360" w:lineRule="auto"/>
        <w:ind w:right="20"/>
        <w:jc w:val="center"/>
        <w:rPr>
          <w:rFonts w:ascii="Verdana" w:hAnsi="Verdana" w:cs="Georgia"/>
          <w:b/>
          <w:bCs/>
        </w:rPr>
      </w:pPr>
    </w:p>
    <w:p w14:paraId="61C6CF49" w14:textId="230B1689" w:rsidR="00073E19" w:rsidRDefault="00073E19" w:rsidP="00C27F8A">
      <w:pPr>
        <w:tabs>
          <w:tab w:val="left" w:pos="0"/>
        </w:tabs>
        <w:spacing w:line="360" w:lineRule="auto"/>
        <w:ind w:right="20"/>
        <w:jc w:val="center"/>
        <w:rPr>
          <w:rFonts w:ascii="Verdana" w:hAnsi="Verdana" w:cs="Georgia"/>
          <w:b/>
          <w:bCs/>
        </w:rPr>
      </w:pPr>
    </w:p>
    <w:p w14:paraId="7B6C58A3" w14:textId="06916160" w:rsidR="00073E19" w:rsidRDefault="00073E19" w:rsidP="6C840B4C">
      <w:pPr>
        <w:spacing w:line="360" w:lineRule="auto"/>
        <w:ind w:right="20"/>
        <w:jc w:val="center"/>
        <w:rPr>
          <w:rFonts w:ascii="Verdana" w:hAnsi="Verdana" w:cs="Georgia"/>
          <w:b/>
          <w:bCs/>
        </w:rPr>
      </w:pPr>
    </w:p>
    <w:p w14:paraId="24DFF0FC" w14:textId="18873506" w:rsidR="6C840B4C" w:rsidRDefault="6C840B4C" w:rsidP="6C840B4C">
      <w:pPr>
        <w:spacing w:line="360" w:lineRule="auto"/>
        <w:ind w:right="20"/>
        <w:jc w:val="center"/>
        <w:rPr>
          <w:b/>
          <w:bCs/>
        </w:rPr>
      </w:pPr>
    </w:p>
    <w:p w14:paraId="1251529B" w14:textId="49B19308" w:rsidR="00073E19" w:rsidRPr="00C27F8A" w:rsidRDefault="00073E19" w:rsidP="00C27F8A">
      <w:pPr>
        <w:tabs>
          <w:tab w:val="left" w:pos="0"/>
        </w:tabs>
        <w:spacing w:line="360" w:lineRule="auto"/>
        <w:ind w:right="20"/>
        <w:jc w:val="center"/>
        <w:rPr>
          <w:rFonts w:ascii="Verdana" w:hAnsi="Verdana" w:cs="Georgia"/>
          <w:b/>
          <w:bCs/>
        </w:rPr>
      </w:pPr>
      <w:r>
        <w:rPr>
          <w:rFonts w:ascii="Verdana" w:hAnsi="Verdana" w:cs="Georgia"/>
          <w:b/>
          <w:bCs/>
        </w:rPr>
        <w:t>LUIS ERNESTO ARCINIEGAS TRIANA</w:t>
      </w:r>
    </w:p>
    <w:p w14:paraId="38BC167D" w14:textId="77777777" w:rsidR="0037462C" w:rsidRPr="00C27F8A" w:rsidRDefault="0037462C" w:rsidP="00C27F8A">
      <w:pPr>
        <w:tabs>
          <w:tab w:val="left" w:pos="0"/>
        </w:tabs>
        <w:spacing w:line="360" w:lineRule="auto"/>
        <w:ind w:right="20"/>
        <w:jc w:val="both"/>
        <w:rPr>
          <w:rFonts w:ascii="Verdana" w:hAnsi="Verdana" w:cs="Georgia"/>
          <w:b/>
          <w:bCs/>
        </w:rPr>
      </w:pPr>
    </w:p>
    <w:p w14:paraId="22B77D13" w14:textId="77777777" w:rsidR="0037462C" w:rsidRPr="00C27F8A" w:rsidRDefault="0037462C" w:rsidP="00C27F8A">
      <w:pPr>
        <w:spacing w:line="360" w:lineRule="auto"/>
        <w:rPr>
          <w:rFonts w:ascii="Verdana" w:hAnsi="Verdana" w:cs="Georgia"/>
        </w:rPr>
      </w:pPr>
    </w:p>
    <w:p w14:paraId="7445F633" w14:textId="0E64F993" w:rsidR="0037462C" w:rsidRPr="00C27F8A" w:rsidRDefault="0037462C" w:rsidP="00C27F8A">
      <w:pPr>
        <w:spacing w:line="360" w:lineRule="auto"/>
        <w:ind w:left="2124"/>
        <w:jc w:val="both"/>
        <w:rPr>
          <w:rFonts w:ascii="Verdana" w:hAnsi="Verdana" w:cs="Georgia"/>
          <w:i/>
          <w:iCs/>
        </w:rPr>
      </w:pPr>
    </w:p>
    <w:p w14:paraId="3B02FA7D" w14:textId="77777777" w:rsidR="009001BF" w:rsidRPr="00C27F8A" w:rsidRDefault="009001BF" w:rsidP="00C27F8A">
      <w:pPr>
        <w:shd w:val="clear" w:color="auto" w:fill="FFFFFF"/>
        <w:spacing w:line="360" w:lineRule="auto"/>
        <w:jc w:val="center"/>
        <w:rPr>
          <w:rFonts w:ascii="Verdana" w:hAnsi="Verdana"/>
          <w:b/>
          <w:bCs/>
          <w:color w:val="000000"/>
          <w:spacing w:val="0"/>
        </w:rPr>
      </w:pPr>
    </w:p>
    <w:p w14:paraId="7C505FE7" w14:textId="77777777" w:rsidR="009F649F" w:rsidRPr="00C27F8A" w:rsidRDefault="009F649F" w:rsidP="00C27F8A">
      <w:pPr>
        <w:spacing w:line="360" w:lineRule="auto"/>
        <w:rPr>
          <w:rFonts w:ascii="Verdana" w:hAnsi="Verdana"/>
        </w:rPr>
      </w:pPr>
    </w:p>
    <w:sectPr w:rsidR="009F649F" w:rsidRPr="00C27F8A" w:rsidSect="005131A6">
      <w:footerReference w:type="default" r:id="rId12"/>
      <w:pgSz w:w="12240" w:h="18720" w:code="14"/>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F3054" w14:textId="77777777" w:rsidR="00911552" w:rsidRDefault="00911552" w:rsidP="00BF67C0">
      <w:r>
        <w:separator/>
      </w:r>
    </w:p>
  </w:endnote>
  <w:endnote w:type="continuationSeparator" w:id="0">
    <w:p w14:paraId="18F1B2CC" w14:textId="77777777" w:rsidR="00911552" w:rsidRDefault="00911552" w:rsidP="00BF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895179"/>
      <w:docPartObj>
        <w:docPartGallery w:val="Page Numbers (Bottom of Page)"/>
        <w:docPartUnique/>
      </w:docPartObj>
    </w:sdtPr>
    <w:sdtEndPr/>
    <w:sdtContent>
      <w:p w14:paraId="222244B1" w14:textId="5EA56EAD" w:rsidR="00B50EE0" w:rsidRDefault="00B50EE0">
        <w:pPr>
          <w:pStyle w:val="Piedepgina"/>
          <w:jc w:val="right"/>
        </w:pPr>
        <w:r>
          <w:fldChar w:fldCharType="begin"/>
        </w:r>
        <w:r>
          <w:instrText>PAGE   \* MERGEFORMAT</w:instrText>
        </w:r>
        <w:r>
          <w:fldChar w:fldCharType="separate"/>
        </w:r>
        <w:r w:rsidR="007244A6">
          <w:rPr>
            <w:noProof/>
          </w:rPr>
          <w:t>6</w:t>
        </w:r>
        <w:r>
          <w:fldChar w:fldCharType="end"/>
        </w:r>
      </w:p>
    </w:sdtContent>
  </w:sdt>
  <w:p w14:paraId="17B1ED54" w14:textId="77777777" w:rsidR="00B50EE0" w:rsidRDefault="00B50EE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CA330" w14:textId="77777777" w:rsidR="00911552" w:rsidRDefault="00911552" w:rsidP="00BF67C0">
      <w:r>
        <w:separator/>
      </w:r>
    </w:p>
  </w:footnote>
  <w:footnote w:type="continuationSeparator" w:id="0">
    <w:p w14:paraId="2E0C376E" w14:textId="77777777" w:rsidR="00911552" w:rsidRDefault="00911552" w:rsidP="00BF67C0">
      <w:r>
        <w:continuationSeparator/>
      </w:r>
    </w:p>
  </w:footnote>
  <w:footnote w:id="1">
    <w:p w14:paraId="09A57746" w14:textId="77777777" w:rsidR="00C27F8A" w:rsidRPr="005131A6" w:rsidRDefault="00C27F8A" w:rsidP="005131A6">
      <w:pPr>
        <w:pStyle w:val="NormalWeb"/>
        <w:shd w:val="clear" w:color="auto" w:fill="FFFFFF"/>
        <w:spacing w:before="0" w:beforeAutospacing="0" w:after="0" w:afterAutospacing="0"/>
        <w:rPr>
          <w:rFonts w:ascii="Verdana" w:hAnsi="Verdana" w:cs="Arial"/>
          <w:color w:val="000000"/>
          <w:sz w:val="14"/>
          <w:szCs w:val="14"/>
          <w:lang w:val="es-CO" w:eastAsia="es-CO"/>
        </w:rPr>
      </w:pPr>
      <w:r w:rsidRPr="00CA6A53">
        <w:rPr>
          <w:rStyle w:val="Refdenotaalpie"/>
          <w:rFonts w:asciiTheme="minorHAnsi" w:hAnsiTheme="minorHAnsi"/>
          <w:sz w:val="16"/>
          <w:szCs w:val="16"/>
        </w:rPr>
        <w:footnoteRef/>
      </w:r>
      <w:r w:rsidRPr="00CA6A53">
        <w:rPr>
          <w:rFonts w:asciiTheme="minorHAnsi" w:hAnsiTheme="minorHAnsi"/>
          <w:sz w:val="16"/>
          <w:szCs w:val="16"/>
        </w:rPr>
        <w:t xml:space="preserve"> </w:t>
      </w:r>
      <w:r w:rsidRPr="005131A6">
        <w:rPr>
          <w:rFonts w:ascii="Verdana" w:hAnsi="Verdana" w:cs="Arial"/>
          <w:b/>
          <w:bCs/>
          <w:color w:val="000000"/>
          <w:sz w:val="14"/>
          <w:szCs w:val="14"/>
          <w:lang w:val="es-CO" w:eastAsia="es-CO"/>
        </w:rPr>
        <w:t>ARTICULO   90. </w:t>
      </w:r>
      <w:r w:rsidRPr="005131A6">
        <w:rPr>
          <w:rFonts w:ascii="Verdana" w:hAnsi="Verdana" w:cs="Arial"/>
          <w:color w:val="000000"/>
          <w:sz w:val="14"/>
          <w:szCs w:val="14"/>
          <w:lang w:val="es-CO" w:eastAsia="es-CO"/>
        </w:rPr>
        <w:t>El Estado responderá patrimonialmente por los daños antijurídicos que le sean imputables, causados por la acción o la omisión de las autoridades públicas.</w:t>
      </w:r>
    </w:p>
    <w:p w14:paraId="2BDD72F4" w14:textId="77777777" w:rsidR="00C27F8A" w:rsidRPr="005131A6" w:rsidRDefault="00C27F8A" w:rsidP="005131A6">
      <w:pPr>
        <w:shd w:val="clear" w:color="auto" w:fill="FFFFFF"/>
        <w:rPr>
          <w:rFonts w:ascii="Verdana" w:hAnsi="Verdana"/>
          <w:color w:val="000000"/>
          <w:sz w:val="14"/>
          <w:szCs w:val="14"/>
          <w:lang w:val="es-CO" w:eastAsia="es-CO"/>
        </w:rPr>
      </w:pPr>
      <w:r w:rsidRPr="005131A6">
        <w:rPr>
          <w:rFonts w:ascii="Verdana" w:hAnsi="Verdana"/>
          <w:color w:val="000000"/>
          <w:sz w:val="14"/>
          <w:szCs w:val="14"/>
          <w:lang w:val="es-CO" w:eastAsia="es-CO"/>
        </w:rPr>
        <w:t>En el evento de ser condenado el Estado a la reparación patrimonial de uno de tales daños, que haya sido consecuencia de la conducta dolosa o gravemente culposa de un agente suyo, aquél deberá repetir contra éste.</w:t>
      </w:r>
    </w:p>
    <w:p w14:paraId="698FBFCA" w14:textId="77777777" w:rsidR="00C27F8A" w:rsidRPr="005131A6" w:rsidRDefault="00C27F8A" w:rsidP="005131A6">
      <w:pPr>
        <w:pStyle w:val="Textonotapie"/>
        <w:rPr>
          <w:rFonts w:ascii="Verdana" w:hAnsi="Verdana"/>
          <w:sz w:val="14"/>
          <w:szCs w:val="14"/>
          <w:lang w:val="es-CO"/>
        </w:rPr>
      </w:pPr>
    </w:p>
  </w:footnote>
  <w:footnote w:id="2">
    <w:p w14:paraId="4ABD8C13" w14:textId="77777777" w:rsidR="00C27F8A" w:rsidRPr="005131A6" w:rsidRDefault="00C27F8A" w:rsidP="005131A6">
      <w:pPr>
        <w:pStyle w:val="Textonotapie"/>
        <w:rPr>
          <w:rFonts w:ascii="Verdana" w:hAnsi="Verdana"/>
          <w:sz w:val="14"/>
          <w:szCs w:val="14"/>
          <w:lang w:val="es-CO"/>
        </w:rPr>
      </w:pPr>
      <w:r w:rsidRPr="005131A6">
        <w:rPr>
          <w:rStyle w:val="Refdenotaalpie"/>
          <w:rFonts w:ascii="Verdana" w:hAnsi="Verdana"/>
          <w:sz w:val="14"/>
          <w:szCs w:val="14"/>
        </w:rPr>
        <w:footnoteRef/>
      </w:r>
      <w:r w:rsidRPr="005131A6">
        <w:rPr>
          <w:rFonts w:ascii="Verdana" w:hAnsi="Verdana"/>
          <w:sz w:val="14"/>
          <w:szCs w:val="14"/>
        </w:rPr>
        <w:t xml:space="preserve"> </w:t>
      </w:r>
      <w:r w:rsidRPr="005131A6">
        <w:rPr>
          <w:rFonts w:ascii="Verdana" w:hAnsi="Verdana"/>
          <w:sz w:val="14"/>
          <w:szCs w:val="14"/>
          <w:lang w:val="es-CO"/>
        </w:rPr>
        <w:t>C-832 de 2001</w:t>
      </w:r>
    </w:p>
  </w:footnote>
  <w:footnote w:id="3">
    <w:p w14:paraId="64B39568" w14:textId="77777777" w:rsidR="00C27F8A" w:rsidRPr="005131A6" w:rsidRDefault="00C27F8A" w:rsidP="005131A6">
      <w:pPr>
        <w:pStyle w:val="Textonotapie"/>
        <w:rPr>
          <w:rFonts w:ascii="Verdana" w:hAnsi="Verdana"/>
          <w:sz w:val="14"/>
          <w:szCs w:val="14"/>
          <w:lang w:val="es-CO"/>
        </w:rPr>
      </w:pPr>
      <w:r w:rsidRPr="005131A6">
        <w:rPr>
          <w:rStyle w:val="Refdenotaalpie"/>
          <w:rFonts w:ascii="Verdana" w:hAnsi="Verdana"/>
          <w:sz w:val="14"/>
          <w:szCs w:val="14"/>
        </w:rPr>
        <w:footnoteRef/>
      </w:r>
      <w:r w:rsidRPr="005131A6">
        <w:rPr>
          <w:rFonts w:ascii="Verdana" w:hAnsi="Verdana"/>
          <w:sz w:val="14"/>
          <w:szCs w:val="14"/>
        </w:rPr>
        <w:t xml:space="preserve"> </w:t>
      </w:r>
      <w:r w:rsidRPr="005131A6">
        <w:rPr>
          <w:rFonts w:ascii="Verdana" w:hAnsi="Verdana"/>
          <w:sz w:val="14"/>
          <w:szCs w:val="14"/>
          <w:lang w:val="es-CO"/>
        </w:rPr>
        <w:t>Corte Constitucional, C-832 de fecha 08 de agosto de 2001, Ponente: Rodrigo Escobar Gil</w:t>
      </w:r>
    </w:p>
  </w:footnote>
  <w:footnote w:id="4">
    <w:p w14:paraId="5877B52F" w14:textId="77777777" w:rsidR="003618C4" w:rsidRPr="005131A6" w:rsidRDefault="003618C4" w:rsidP="005131A6">
      <w:pPr>
        <w:pStyle w:val="Textonotapie"/>
        <w:jc w:val="both"/>
        <w:rPr>
          <w:rFonts w:ascii="Verdana" w:hAnsi="Verdana"/>
          <w:sz w:val="14"/>
          <w:szCs w:val="14"/>
        </w:rPr>
      </w:pPr>
      <w:r w:rsidRPr="005131A6">
        <w:rPr>
          <w:rStyle w:val="Refdenotaalpie"/>
          <w:rFonts w:ascii="Verdana" w:hAnsi="Verdana"/>
          <w:sz w:val="14"/>
          <w:szCs w:val="14"/>
        </w:rPr>
        <w:footnoteRef/>
      </w:r>
      <w:r w:rsidRPr="005131A6">
        <w:rPr>
          <w:rFonts w:ascii="Verdana" w:hAnsi="Verdana"/>
          <w:sz w:val="14"/>
          <w:szCs w:val="14"/>
        </w:rPr>
        <w:t xml:space="preserve"> Por el cual se reglamentan los artículos 2°, literal f), del Decreto 2112 de 1992, los artículos 176 y 177 del Código Contencioso Administrativo, y el artículo 16 de la Ley 38 de 1989. regula lo atinente a las obligaciones por parte de las autoridades a quienes corresponda la ejecución de una sentencia y las atribuciones del agente del Ministerio Público en lo que se refiere a condenas dinerarias en contra de la Nación</w:t>
      </w:r>
      <w:r w:rsidR="00224A2F" w:rsidRPr="005131A6">
        <w:rPr>
          <w:rFonts w:ascii="Verdana" w:hAnsi="Verdana"/>
          <w:sz w:val="14"/>
          <w:szCs w:val="14"/>
        </w:rPr>
        <w:t>.</w:t>
      </w:r>
    </w:p>
    <w:p w14:paraId="036EB654" w14:textId="77777777" w:rsidR="00224A2F" w:rsidRPr="005131A6" w:rsidRDefault="00224A2F" w:rsidP="005131A6">
      <w:pPr>
        <w:pStyle w:val="Textonotapie"/>
        <w:jc w:val="both"/>
        <w:rPr>
          <w:rFonts w:ascii="Verdana" w:hAnsi="Verdana"/>
          <w:sz w:val="14"/>
          <w:szCs w:val="14"/>
        </w:rPr>
      </w:pPr>
    </w:p>
    <w:p w14:paraId="4955575B" w14:textId="77777777" w:rsidR="00224A2F" w:rsidRPr="005131A6" w:rsidRDefault="00224A2F" w:rsidP="005131A6">
      <w:pPr>
        <w:pStyle w:val="NormalWeb"/>
        <w:shd w:val="clear" w:color="auto" w:fill="FFFFFF"/>
        <w:spacing w:before="0" w:beforeAutospacing="0" w:after="0" w:afterAutospacing="0"/>
        <w:jc w:val="both"/>
        <w:rPr>
          <w:rStyle w:val="apple-converted-space"/>
          <w:rFonts w:ascii="Verdana" w:hAnsi="Verdana"/>
          <w:color w:val="000000"/>
          <w:sz w:val="14"/>
          <w:szCs w:val="14"/>
        </w:rPr>
      </w:pPr>
      <w:r w:rsidRPr="005131A6">
        <w:rPr>
          <w:rStyle w:val="Textoennegrita"/>
          <w:rFonts w:ascii="Verdana" w:hAnsi="Verdana" w:cs="Arial"/>
          <w:color w:val="000000"/>
          <w:sz w:val="14"/>
          <w:szCs w:val="14"/>
        </w:rPr>
        <w:t>Artículo 1° INFORMACION PREVIA AL PAGO DE OBLIGACIONES DINERARIAS DERIVADAS DE SENTENCIAS CONDENATORIAS A CARGO DE LA NACION.</w:t>
      </w:r>
      <w:r w:rsidRPr="005131A6">
        <w:rPr>
          <w:rStyle w:val="apple-converted-space"/>
          <w:rFonts w:ascii="Verdana" w:hAnsi="Verdana" w:cs="Arial"/>
          <w:color w:val="000000"/>
          <w:sz w:val="14"/>
          <w:szCs w:val="14"/>
        </w:rPr>
        <w:t> </w:t>
      </w:r>
    </w:p>
    <w:p w14:paraId="6A0529A7" w14:textId="77777777" w:rsidR="00224A2F" w:rsidRPr="005131A6" w:rsidRDefault="00224A2F" w:rsidP="005131A6">
      <w:pPr>
        <w:pStyle w:val="NormalWeb"/>
        <w:shd w:val="clear" w:color="auto" w:fill="FFFFFF"/>
        <w:spacing w:before="0" w:beforeAutospacing="0" w:after="0" w:afterAutospacing="0"/>
        <w:jc w:val="both"/>
        <w:rPr>
          <w:rStyle w:val="apple-converted-space"/>
          <w:rFonts w:ascii="Verdana" w:hAnsi="Verdana"/>
          <w:color w:val="000000"/>
          <w:sz w:val="14"/>
          <w:szCs w:val="14"/>
        </w:rPr>
      </w:pPr>
      <w:r w:rsidRPr="005131A6">
        <w:rPr>
          <w:rStyle w:val="apple-converted-space"/>
          <w:rFonts w:ascii="Verdana" w:hAnsi="Verdana"/>
          <w:color w:val="000000"/>
          <w:sz w:val="14"/>
          <w:szCs w:val="14"/>
        </w:rPr>
        <w:t>(…)</w:t>
      </w:r>
    </w:p>
    <w:p w14:paraId="631BE593" w14:textId="77777777" w:rsidR="00224A2F" w:rsidRPr="005131A6" w:rsidRDefault="00224A2F" w:rsidP="005131A6">
      <w:pPr>
        <w:pStyle w:val="NormalWeb"/>
        <w:shd w:val="clear" w:color="auto" w:fill="FFFFFF"/>
        <w:spacing w:before="0" w:beforeAutospacing="0" w:after="0" w:afterAutospacing="0"/>
        <w:jc w:val="both"/>
        <w:rPr>
          <w:rFonts w:ascii="Verdana" w:hAnsi="Verdana" w:cs="Arial"/>
          <w:color w:val="000000"/>
          <w:sz w:val="14"/>
          <w:szCs w:val="14"/>
        </w:rPr>
      </w:pPr>
      <w:r w:rsidRPr="005131A6">
        <w:rPr>
          <w:rFonts w:ascii="Verdana" w:hAnsi="Verdana" w:cs="Arial"/>
          <w:color w:val="000000"/>
          <w:sz w:val="14"/>
          <w:szCs w:val="14"/>
        </w:rPr>
        <w:t>4. Cuando la sentencia ordene el reintegro de un funcionario, deberá acompañarse copia auténtica del acto administrativo en que se dé cumplimiento a dicha orden y del acta de posesión respectiva. Así mismo, deberá adjuntarse una certificación donde aparezcan en forma detallada los sueldos, primas, bonificaciones, cesantías y demás prestaciones adeudadas, que correspondan al cargo para el que se ordena el reintegro, así como las sumas efectivamente pagadas en el último año laboral al beneficiario del mismo. Deberá informarse además, sobre el nivel y grado correspondiente al último cargo desempeñado por el beneficiario del reintegro, la fecha de su primera posesión y su última dirección registrada. La certificación a que se viene haciendo referencia deberá ser expedida por el pagador del organismo condenado.</w:t>
      </w:r>
    </w:p>
    <w:p w14:paraId="4043268C" w14:textId="77777777" w:rsidR="00224A2F" w:rsidRPr="005131A6" w:rsidRDefault="00224A2F" w:rsidP="005131A6">
      <w:pPr>
        <w:pStyle w:val="NormalWeb"/>
        <w:shd w:val="clear" w:color="auto" w:fill="FFFFFF"/>
        <w:spacing w:before="0" w:beforeAutospacing="0" w:after="0" w:afterAutospacing="0"/>
        <w:jc w:val="both"/>
        <w:rPr>
          <w:rFonts w:ascii="Verdana" w:hAnsi="Verdana" w:cs="Arial"/>
          <w:color w:val="000000"/>
          <w:sz w:val="14"/>
          <w:szCs w:val="14"/>
        </w:rPr>
      </w:pPr>
      <w:r w:rsidRPr="005131A6">
        <w:rPr>
          <w:rFonts w:ascii="Verdana" w:hAnsi="Verdana" w:cs="Arial"/>
          <w:b/>
          <w:color w:val="000000"/>
          <w:sz w:val="14"/>
          <w:szCs w:val="14"/>
          <w:u w:val="single"/>
          <w:shd w:val="clear" w:color="auto" w:fill="FFFFFF"/>
        </w:rPr>
        <w:t>Cuando por cualquier motivo el organismo condenado retarde o incumpla la actuación administrativa requerida para hacer efectivo un reintegro, sin perjuicio de la responsabilidad disciplinaria en que éste incurriere</w:t>
      </w:r>
      <w:r w:rsidRPr="005131A6">
        <w:rPr>
          <w:rFonts w:ascii="Verdana" w:hAnsi="Verdana" w:cs="Arial"/>
          <w:color w:val="000000"/>
          <w:sz w:val="14"/>
          <w:szCs w:val="14"/>
          <w:shd w:val="clear" w:color="auto" w:fill="FFFFFF"/>
        </w:rPr>
        <w:t>, la Subsecretaría Jurídica del Ministerio de Hacienda y Crédito Público, podrá efectuar pagos parciales por los valores debidos desde la ejecutoria de la sentencia hasta la fecha en que se presente la respectiva solicitud, y desde esa fecha hasta que se produzca la actuación administrativa correspondiente. Para lo anterior, la mencionada Subsecretaría Jurídica solicitará al organismo condenado, certificación de que aún no se ha producido el acto administrativo de reintegro.</w:t>
      </w:r>
    </w:p>
    <w:p w14:paraId="6B2AA325" w14:textId="77777777" w:rsidR="00224A2F" w:rsidRPr="005131A6" w:rsidRDefault="00224A2F" w:rsidP="005131A6">
      <w:pPr>
        <w:pStyle w:val="Textonotapie"/>
        <w:jc w:val="both"/>
        <w:rPr>
          <w:rFonts w:ascii="Verdana" w:hAnsi="Verdana"/>
          <w:sz w:val="14"/>
          <w:szCs w:val="14"/>
        </w:rPr>
      </w:pPr>
    </w:p>
    <w:p w14:paraId="5DC1BDEC" w14:textId="77777777" w:rsidR="003618C4" w:rsidRPr="005131A6" w:rsidRDefault="003618C4" w:rsidP="005131A6">
      <w:pPr>
        <w:pStyle w:val="Textonotapie"/>
        <w:jc w:val="both"/>
        <w:rPr>
          <w:rFonts w:ascii="Verdana" w:hAnsi="Verdana"/>
          <w:sz w:val="14"/>
          <w:szCs w:val="14"/>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C2AFF"/>
    <w:multiLevelType w:val="multilevel"/>
    <w:tmpl w:val="F1282BDA"/>
    <w:lvl w:ilvl="0">
      <w:start w:val="1"/>
      <w:numFmt w:val="upperRoman"/>
      <w:lvlText w:val="%1."/>
      <w:lvlJc w:val="left"/>
      <w:pPr>
        <w:ind w:left="1080" w:hanging="720"/>
      </w:pPr>
      <w:rPr>
        <w:rFonts w:cs="Georgia" w:hint="default"/>
        <w:b/>
      </w:rPr>
    </w:lvl>
    <w:lvl w:ilvl="1">
      <w:start w:val="1"/>
      <w:numFmt w:val="decimal"/>
      <w:isLgl/>
      <w:lvlText w:val="%1.%2."/>
      <w:lvlJc w:val="left"/>
      <w:pPr>
        <w:ind w:left="1545" w:hanging="720"/>
      </w:pPr>
      <w:rPr>
        <w:rFonts w:hint="default"/>
        <w:b/>
        <w:u w:val="single"/>
      </w:rPr>
    </w:lvl>
    <w:lvl w:ilvl="2">
      <w:start w:val="1"/>
      <w:numFmt w:val="decimal"/>
      <w:isLgl/>
      <w:lvlText w:val="%1.%2.%3."/>
      <w:lvlJc w:val="left"/>
      <w:pPr>
        <w:ind w:left="2370" w:hanging="1080"/>
      </w:pPr>
      <w:rPr>
        <w:rFonts w:hint="default"/>
        <w:b/>
        <w:u w:val="single"/>
      </w:rPr>
    </w:lvl>
    <w:lvl w:ilvl="3">
      <w:start w:val="1"/>
      <w:numFmt w:val="decimal"/>
      <w:isLgl/>
      <w:lvlText w:val="%1.%2.%3.%4."/>
      <w:lvlJc w:val="left"/>
      <w:pPr>
        <w:ind w:left="3195" w:hanging="1440"/>
      </w:pPr>
      <w:rPr>
        <w:rFonts w:hint="default"/>
        <w:b/>
        <w:u w:val="single"/>
      </w:rPr>
    </w:lvl>
    <w:lvl w:ilvl="4">
      <w:start w:val="1"/>
      <w:numFmt w:val="decimal"/>
      <w:isLgl/>
      <w:lvlText w:val="%1.%2.%3.%4.%5."/>
      <w:lvlJc w:val="left"/>
      <w:pPr>
        <w:ind w:left="3660" w:hanging="1440"/>
      </w:pPr>
      <w:rPr>
        <w:rFonts w:hint="default"/>
        <w:b/>
        <w:u w:val="single"/>
      </w:rPr>
    </w:lvl>
    <w:lvl w:ilvl="5">
      <w:start w:val="1"/>
      <w:numFmt w:val="decimal"/>
      <w:isLgl/>
      <w:lvlText w:val="%1.%2.%3.%4.%5.%6."/>
      <w:lvlJc w:val="left"/>
      <w:pPr>
        <w:ind w:left="4485" w:hanging="1800"/>
      </w:pPr>
      <w:rPr>
        <w:rFonts w:hint="default"/>
        <w:b/>
        <w:u w:val="single"/>
      </w:rPr>
    </w:lvl>
    <w:lvl w:ilvl="6">
      <w:start w:val="1"/>
      <w:numFmt w:val="decimal"/>
      <w:isLgl/>
      <w:lvlText w:val="%1.%2.%3.%4.%5.%6.%7."/>
      <w:lvlJc w:val="left"/>
      <w:pPr>
        <w:ind w:left="5310" w:hanging="2160"/>
      </w:pPr>
      <w:rPr>
        <w:rFonts w:hint="default"/>
        <w:b/>
        <w:u w:val="single"/>
      </w:rPr>
    </w:lvl>
    <w:lvl w:ilvl="7">
      <w:start w:val="1"/>
      <w:numFmt w:val="decimal"/>
      <w:isLgl/>
      <w:lvlText w:val="%1.%2.%3.%4.%5.%6.%7.%8."/>
      <w:lvlJc w:val="left"/>
      <w:pPr>
        <w:ind w:left="6135" w:hanging="2520"/>
      </w:pPr>
      <w:rPr>
        <w:rFonts w:hint="default"/>
        <w:b/>
        <w:u w:val="single"/>
      </w:rPr>
    </w:lvl>
    <w:lvl w:ilvl="8">
      <w:start w:val="1"/>
      <w:numFmt w:val="decimal"/>
      <w:isLgl/>
      <w:lvlText w:val="%1.%2.%3.%4.%5.%6.%7.%8.%9."/>
      <w:lvlJc w:val="left"/>
      <w:pPr>
        <w:ind w:left="6960" w:hanging="2880"/>
      </w:pPr>
      <w:rPr>
        <w:rFonts w:hint="default"/>
        <w:b/>
        <w:u w:val="single"/>
      </w:rPr>
    </w:lvl>
  </w:abstractNum>
  <w:abstractNum w:abstractNumId="1" w15:restartNumberingAfterBreak="0">
    <w:nsid w:val="60864201"/>
    <w:multiLevelType w:val="hybridMultilevel"/>
    <w:tmpl w:val="D0C2476A"/>
    <w:lvl w:ilvl="0" w:tplc="9FBA3E20">
      <w:start w:val="4"/>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7C0"/>
    <w:rsid w:val="00001372"/>
    <w:rsid w:val="0000349A"/>
    <w:rsid w:val="0001272C"/>
    <w:rsid w:val="00012B8B"/>
    <w:rsid w:val="00025A38"/>
    <w:rsid w:val="00034446"/>
    <w:rsid w:val="00055B08"/>
    <w:rsid w:val="000732FB"/>
    <w:rsid w:val="00073E19"/>
    <w:rsid w:val="00094891"/>
    <w:rsid w:val="000A1FE2"/>
    <w:rsid w:val="000B0306"/>
    <w:rsid w:val="000D6B14"/>
    <w:rsid w:val="000F7FFC"/>
    <w:rsid w:val="00101705"/>
    <w:rsid w:val="001026D2"/>
    <w:rsid w:val="001339CD"/>
    <w:rsid w:val="00140AB7"/>
    <w:rsid w:val="00144F71"/>
    <w:rsid w:val="00151371"/>
    <w:rsid w:val="0017288A"/>
    <w:rsid w:val="00180682"/>
    <w:rsid w:val="001D4720"/>
    <w:rsid w:val="001E23C0"/>
    <w:rsid w:val="00201C8A"/>
    <w:rsid w:val="00204D41"/>
    <w:rsid w:val="00224A2F"/>
    <w:rsid w:val="00235A8B"/>
    <w:rsid w:val="0025157E"/>
    <w:rsid w:val="002532CE"/>
    <w:rsid w:val="002663DE"/>
    <w:rsid w:val="002864E1"/>
    <w:rsid w:val="002912C2"/>
    <w:rsid w:val="002932F1"/>
    <w:rsid w:val="002D26BF"/>
    <w:rsid w:val="00311856"/>
    <w:rsid w:val="00330DCA"/>
    <w:rsid w:val="00340044"/>
    <w:rsid w:val="00354CE9"/>
    <w:rsid w:val="003618C4"/>
    <w:rsid w:val="0037462C"/>
    <w:rsid w:val="003755AF"/>
    <w:rsid w:val="0038454C"/>
    <w:rsid w:val="00394731"/>
    <w:rsid w:val="003B5776"/>
    <w:rsid w:val="003D1300"/>
    <w:rsid w:val="003D1A3C"/>
    <w:rsid w:val="003D5DFD"/>
    <w:rsid w:val="003E784B"/>
    <w:rsid w:val="00405FEF"/>
    <w:rsid w:val="00421BAB"/>
    <w:rsid w:val="00434169"/>
    <w:rsid w:val="0043454D"/>
    <w:rsid w:val="0044035E"/>
    <w:rsid w:val="00463831"/>
    <w:rsid w:val="004667C7"/>
    <w:rsid w:val="004822AE"/>
    <w:rsid w:val="004843A2"/>
    <w:rsid w:val="00487AFB"/>
    <w:rsid w:val="004930C2"/>
    <w:rsid w:val="004B3831"/>
    <w:rsid w:val="004D425D"/>
    <w:rsid w:val="004D7EA5"/>
    <w:rsid w:val="004E2534"/>
    <w:rsid w:val="004F0A15"/>
    <w:rsid w:val="005020E8"/>
    <w:rsid w:val="0051259F"/>
    <w:rsid w:val="005131A6"/>
    <w:rsid w:val="00532F50"/>
    <w:rsid w:val="00554384"/>
    <w:rsid w:val="00572229"/>
    <w:rsid w:val="00575D13"/>
    <w:rsid w:val="005B44E8"/>
    <w:rsid w:val="005D779A"/>
    <w:rsid w:val="005E2631"/>
    <w:rsid w:val="00607438"/>
    <w:rsid w:val="006256CF"/>
    <w:rsid w:val="0062689F"/>
    <w:rsid w:val="006312FD"/>
    <w:rsid w:val="006336C5"/>
    <w:rsid w:val="006344AF"/>
    <w:rsid w:val="00634594"/>
    <w:rsid w:val="006455AB"/>
    <w:rsid w:val="0064693C"/>
    <w:rsid w:val="0069715B"/>
    <w:rsid w:val="006B0A42"/>
    <w:rsid w:val="006C518D"/>
    <w:rsid w:val="006C73D6"/>
    <w:rsid w:val="006D3AE1"/>
    <w:rsid w:val="006F6AC1"/>
    <w:rsid w:val="006F6B7F"/>
    <w:rsid w:val="006F7B57"/>
    <w:rsid w:val="00717A48"/>
    <w:rsid w:val="007244A6"/>
    <w:rsid w:val="00727DAD"/>
    <w:rsid w:val="00736431"/>
    <w:rsid w:val="0074397E"/>
    <w:rsid w:val="00753E7D"/>
    <w:rsid w:val="00792EEC"/>
    <w:rsid w:val="00794FC6"/>
    <w:rsid w:val="0079710A"/>
    <w:rsid w:val="007B54A2"/>
    <w:rsid w:val="007C089D"/>
    <w:rsid w:val="007C3BC4"/>
    <w:rsid w:val="007D7EA1"/>
    <w:rsid w:val="007F1529"/>
    <w:rsid w:val="00810481"/>
    <w:rsid w:val="0081262A"/>
    <w:rsid w:val="00863B25"/>
    <w:rsid w:val="00867E15"/>
    <w:rsid w:val="00885A3A"/>
    <w:rsid w:val="008953B4"/>
    <w:rsid w:val="008A2934"/>
    <w:rsid w:val="008B5649"/>
    <w:rsid w:val="008C2F12"/>
    <w:rsid w:val="008C4A6F"/>
    <w:rsid w:val="008E43A3"/>
    <w:rsid w:val="009001BF"/>
    <w:rsid w:val="0090273D"/>
    <w:rsid w:val="0090457F"/>
    <w:rsid w:val="00910950"/>
    <w:rsid w:val="00911552"/>
    <w:rsid w:val="009210DB"/>
    <w:rsid w:val="00922975"/>
    <w:rsid w:val="00935469"/>
    <w:rsid w:val="00936E19"/>
    <w:rsid w:val="00941B37"/>
    <w:rsid w:val="009466A8"/>
    <w:rsid w:val="00953965"/>
    <w:rsid w:val="009750EB"/>
    <w:rsid w:val="009829AF"/>
    <w:rsid w:val="00991EB9"/>
    <w:rsid w:val="009A14AD"/>
    <w:rsid w:val="009B22A8"/>
    <w:rsid w:val="009E1197"/>
    <w:rsid w:val="009E31AA"/>
    <w:rsid w:val="009F649F"/>
    <w:rsid w:val="00A2004B"/>
    <w:rsid w:val="00A758E2"/>
    <w:rsid w:val="00A96372"/>
    <w:rsid w:val="00AB27E4"/>
    <w:rsid w:val="00AC3C94"/>
    <w:rsid w:val="00AE2310"/>
    <w:rsid w:val="00AE2B1E"/>
    <w:rsid w:val="00AE52B2"/>
    <w:rsid w:val="00AF5A8D"/>
    <w:rsid w:val="00B13E6A"/>
    <w:rsid w:val="00B154C7"/>
    <w:rsid w:val="00B203C9"/>
    <w:rsid w:val="00B50EE0"/>
    <w:rsid w:val="00B63370"/>
    <w:rsid w:val="00B651A5"/>
    <w:rsid w:val="00B768AC"/>
    <w:rsid w:val="00B8697F"/>
    <w:rsid w:val="00B90F97"/>
    <w:rsid w:val="00B92CF5"/>
    <w:rsid w:val="00B94730"/>
    <w:rsid w:val="00BC1A2A"/>
    <w:rsid w:val="00BE2A11"/>
    <w:rsid w:val="00BF67C0"/>
    <w:rsid w:val="00C03F79"/>
    <w:rsid w:val="00C04F4C"/>
    <w:rsid w:val="00C27152"/>
    <w:rsid w:val="00C27F8A"/>
    <w:rsid w:val="00C30A35"/>
    <w:rsid w:val="00C3529C"/>
    <w:rsid w:val="00C37522"/>
    <w:rsid w:val="00C37C8C"/>
    <w:rsid w:val="00C4102E"/>
    <w:rsid w:val="00C417BB"/>
    <w:rsid w:val="00C4798D"/>
    <w:rsid w:val="00C63F8F"/>
    <w:rsid w:val="00C65688"/>
    <w:rsid w:val="00C73392"/>
    <w:rsid w:val="00C82CB3"/>
    <w:rsid w:val="00C8754C"/>
    <w:rsid w:val="00C9424E"/>
    <w:rsid w:val="00CA677E"/>
    <w:rsid w:val="00CD1FB1"/>
    <w:rsid w:val="00CF4FC6"/>
    <w:rsid w:val="00CF769A"/>
    <w:rsid w:val="00D11A59"/>
    <w:rsid w:val="00D11CDE"/>
    <w:rsid w:val="00D16CD0"/>
    <w:rsid w:val="00D27E34"/>
    <w:rsid w:val="00D36147"/>
    <w:rsid w:val="00D74FF5"/>
    <w:rsid w:val="00D756E1"/>
    <w:rsid w:val="00D90396"/>
    <w:rsid w:val="00D973AD"/>
    <w:rsid w:val="00DA0D48"/>
    <w:rsid w:val="00DC082C"/>
    <w:rsid w:val="00DC35D4"/>
    <w:rsid w:val="00DD3EB6"/>
    <w:rsid w:val="00DE4059"/>
    <w:rsid w:val="00E01F25"/>
    <w:rsid w:val="00E10FD0"/>
    <w:rsid w:val="00E267C5"/>
    <w:rsid w:val="00E345C1"/>
    <w:rsid w:val="00E36167"/>
    <w:rsid w:val="00E42B68"/>
    <w:rsid w:val="00E4570B"/>
    <w:rsid w:val="00E60692"/>
    <w:rsid w:val="00E6394E"/>
    <w:rsid w:val="00E6407F"/>
    <w:rsid w:val="00E674F1"/>
    <w:rsid w:val="00E75B1F"/>
    <w:rsid w:val="00E80EFE"/>
    <w:rsid w:val="00EA07B6"/>
    <w:rsid w:val="00EB7264"/>
    <w:rsid w:val="00ED71B3"/>
    <w:rsid w:val="00EF7881"/>
    <w:rsid w:val="00F110D8"/>
    <w:rsid w:val="00F13030"/>
    <w:rsid w:val="00F439DD"/>
    <w:rsid w:val="00F8355D"/>
    <w:rsid w:val="00F8483A"/>
    <w:rsid w:val="00F9303A"/>
    <w:rsid w:val="00F949D6"/>
    <w:rsid w:val="00FA2E34"/>
    <w:rsid w:val="00FB6E2D"/>
    <w:rsid w:val="00FD3DA3"/>
    <w:rsid w:val="00FE2CFC"/>
    <w:rsid w:val="0853F571"/>
    <w:rsid w:val="17497C63"/>
    <w:rsid w:val="1A79F74C"/>
    <w:rsid w:val="20A16A16"/>
    <w:rsid w:val="286088E3"/>
    <w:rsid w:val="2DE3F4FA"/>
    <w:rsid w:val="5B2B0412"/>
    <w:rsid w:val="5CEFAA47"/>
    <w:rsid w:val="6BF9F88F"/>
    <w:rsid w:val="6C840B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80015"/>
  <w15:docId w15:val="{7543B06E-1CFF-403C-8E05-0702EF8C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7C0"/>
    <w:pPr>
      <w:spacing w:after="0" w:line="240" w:lineRule="auto"/>
    </w:pPr>
    <w:rPr>
      <w:rFonts w:ascii="Arial" w:eastAsia="Times New Roman" w:hAnsi="Arial" w:cs="Arial"/>
      <w:spacing w:val="-3"/>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F67C0"/>
    <w:pPr>
      <w:spacing w:before="100" w:beforeAutospacing="1" w:after="100" w:afterAutospacing="1"/>
    </w:pPr>
    <w:rPr>
      <w:rFonts w:ascii="Times New Roman" w:hAnsi="Times New Roman" w:cs="Times New Roman"/>
      <w:spacing w:val="0"/>
    </w:rPr>
  </w:style>
  <w:style w:type="paragraph" w:styleId="Textonotapie">
    <w:name w:val="footnote text"/>
    <w:aliases w:val="Footnote Text Char Char Char Char Char,Footnote Text Char Char Char Char,Footnote reference,FA Fu,Footnote Text Char Char Char,Footnote Text Char Char Char Char Char Char Char Char,texto de nota al pie,Footnote Text Cha,FA Fu Car,ft,FA,fn"/>
    <w:basedOn w:val="Normal"/>
    <w:link w:val="TextonotapieCar"/>
    <w:unhideWhenUsed/>
    <w:qFormat/>
    <w:rsid w:val="00BF67C0"/>
    <w:pPr>
      <w:snapToGrid w:val="0"/>
    </w:pPr>
    <w:rPr>
      <w:rFonts w:cs="Times New Roman"/>
      <w:sz w:val="20"/>
      <w:szCs w:val="20"/>
    </w:rPr>
  </w:style>
  <w:style w:type="character" w:customStyle="1" w:styleId="TextonotapieCar">
    <w:name w:val="Texto nota pie Car"/>
    <w:aliases w:val="Footnote Text Char Char Char Char Char Car,Footnote Text Char Char Char Char Car,Footnote reference Car,FA Fu Car1,Footnote Text Char Char Char Car,Footnote Text Char Char Char Char Char Char Char Char Car,texto de nota al pie Car"/>
    <w:basedOn w:val="Fuentedeprrafopredeter"/>
    <w:link w:val="Textonotapie"/>
    <w:rsid w:val="00BF67C0"/>
    <w:rPr>
      <w:rFonts w:ascii="Arial" w:eastAsia="Times New Roman" w:hAnsi="Arial" w:cs="Times New Roman"/>
      <w:spacing w:val="-3"/>
      <w:sz w:val="20"/>
      <w:szCs w:val="20"/>
      <w:lang w:eastAsia="es-ES"/>
    </w:rPr>
  </w:style>
  <w:style w:type="paragraph" w:styleId="Ttulo">
    <w:name w:val="Title"/>
    <w:basedOn w:val="Normal"/>
    <w:link w:val="TtuloCar"/>
    <w:uiPriority w:val="99"/>
    <w:qFormat/>
    <w:rsid w:val="00BF67C0"/>
    <w:pPr>
      <w:snapToGrid w:val="0"/>
      <w:jc w:val="center"/>
    </w:pPr>
    <w:rPr>
      <w:b/>
      <w:bCs/>
    </w:rPr>
  </w:style>
  <w:style w:type="character" w:customStyle="1" w:styleId="TtuloCar">
    <w:name w:val="Título Car"/>
    <w:basedOn w:val="Fuentedeprrafopredeter"/>
    <w:link w:val="Ttulo"/>
    <w:uiPriority w:val="99"/>
    <w:rsid w:val="00BF67C0"/>
    <w:rPr>
      <w:rFonts w:ascii="Arial" w:eastAsia="Times New Roman" w:hAnsi="Arial" w:cs="Arial"/>
      <w:b/>
      <w:bCs/>
      <w:spacing w:val="-3"/>
      <w:sz w:val="24"/>
      <w:szCs w:val="24"/>
      <w:lang w:eastAsia="es-ES"/>
    </w:rPr>
  </w:style>
  <w:style w:type="paragraph" w:styleId="Textoindependiente">
    <w:name w:val="Body Text"/>
    <w:basedOn w:val="Normal"/>
    <w:link w:val="TextoindependienteCar"/>
    <w:unhideWhenUsed/>
    <w:rsid w:val="00BF67C0"/>
    <w:pPr>
      <w:jc w:val="both"/>
    </w:pPr>
    <w:rPr>
      <w:rFonts w:ascii="Century Gothic" w:hAnsi="Century Gothic" w:cs="Century Gothic"/>
      <w:spacing w:val="0"/>
      <w:sz w:val="28"/>
      <w:szCs w:val="28"/>
    </w:rPr>
  </w:style>
  <w:style w:type="character" w:customStyle="1" w:styleId="TextoindependienteCar">
    <w:name w:val="Texto independiente Car"/>
    <w:basedOn w:val="Fuentedeprrafopredeter"/>
    <w:link w:val="Textoindependiente"/>
    <w:rsid w:val="00BF67C0"/>
    <w:rPr>
      <w:rFonts w:ascii="Century Gothic" w:eastAsia="Times New Roman" w:hAnsi="Century Gothic" w:cs="Century Gothic"/>
      <w:sz w:val="28"/>
      <w:szCs w:val="28"/>
      <w:lang w:eastAsia="es-ES"/>
    </w:rPr>
  </w:style>
  <w:style w:type="paragraph" w:styleId="Textoindependiente2">
    <w:name w:val="Body Text 2"/>
    <w:basedOn w:val="Normal"/>
    <w:link w:val="Textoindependiente2Car"/>
    <w:semiHidden/>
    <w:unhideWhenUsed/>
    <w:rsid w:val="00BF67C0"/>
    <w:pPr>
      <w:spacing w:after="120" w:line="480" w:lineRule="auto"/>
    </w:pPr>
    <w:rPr>
      <w:spacing w:val="0"/>
      <w:sz w:val="20"/>
      <w:szCs w:val="20"/>
    </w:rPr>
  </w:style>
  <w:style w:type="character" w:customStyle="1" w:styleId="Textoindependiente2Car">
    <w:name w:val="Texto independiente 2 Car"/>
    <w:basedOn w:val="Fuentedeprrafopredeter"/>
    <w:link w:val="Textoindependiente2"/>
    <w:semiHidden/>
    <w:rsid w:val="00BF67C0"/>
    <w:rPr>
      <w:rFonts w:ascii="Arial" w:eastAsia="Times New Roman" w:hAnsi="Arial" w:cs="Arial"/>
      <w:sz w:val="20"/>
      <w:szCs w:val="20"/>
      <w:lang w:eastAsia="es-ES"/>
    </w:rPr>
  </w:style>
  <w:style w:type="paragraph" w:customStyle="1" w:styleId="Textoindependiente21">
    <w:name w:val="Texto independiente 21"/>
    <w:basedOn w:val="Normal"/>
    <w:rsid w:val="00BF67C0"/>
    <w:pPr>
      <w:tabs>
        <w:tab w:val="left" w:pos="4536"/>
      </w:tabs>
      <w:overflowPunct w:val="0"/>
      <w:autoSpaceDE w:val="0"/>
      <w:autoSpaceDN w:val="0"/>
      <w:adjustRightInd w:val="0"/>
      <w:ind w:firstLine="900"/>
      <w:jc w:val="both"/>
    </w:pPr>
    <w:rPr>
      <w:spacing w:val="0"/>
    </w:rPr>
  </w:style>
  <w:style w:type="paragraph" w:customStyle="1" w:styleId="Textoindependiente22">
    <w:name w:val="Texto independiente 22"/>
    <w:basedOn w:val="Normal"/>
    <w:rsid w:val="00BF67C0"/>
    <w:pPr>
      <w:tabs>
        <w:tab w:val="left" w:pos="4536"/>
      </w:tabs>
      <w:overflowPunct w:val="0"/>
      <w:autoSpaceDE w:val="0"/>
      <w:autoSpaceDN w:val="0"/>
      <w:adjustRightInd w:val="0"/>
      <w:ind w:firstLine="900"/>
      <w:jc w:val="both"/>
    </w:pPr>
    <w:rPr>
      <w:rFonts w:cs="Times New Roman"/>
      <w:spacing w:val="0"/>
      <w:szCs w:val="20"/>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Nota de pie"/>
    <w:unhideWhenUsed/>
    <w:qFormat/>
    <w:rsid w:val="00BF67C0"/>
    <w:rPr>
      <w:vertAlign w:val="superscript"/>
    </w:rPr>
  </w:style>
  <w:style w:type="paragraph" w:styleId="Textodeglobo">
    <w:name w:val="Balloon Text"/>
    <w:basedOn w:val="Normal"/>
    <w:link w:val="TextodegloboCar"/>
    <w:uiPriority w:val="99"/>
    <w:semiHidden/>
    <w:unhideWhenUsed/>
    <w:rsid w:val="005020E8"/>
    <w:rPr>
      <w:rFonts w:ascii="Tahoma" w:hAnsi="Tahoma" w:cs="Tahoma"/>
      <w:sz w:val="16"/>
      <w:szCs w:val="16"/>
    </w:rPr>
  </w:style>
  <w:style w:type="character" w:customStyle="1" w:styleId="TextodegloboCar">
    <w:name w:val="Texto de globo Car"/>
    <w:basedOn w:val="Fuentedeprrafopredeter"/>
    <w:link w:val="Textodeglobo"/>
    <w:uiPriority w:val="99"/>
    <w:semiHidden/>
    <w:rsid w:val="005020E8"/>
    <w:rPr>
      <w:rFonts w:ascii="Tahoma" w:eastAsia="Times New Roman" w:hAnsi="Tahoma" w:cs="Tahoma"/>
      <w:spacing w:val="-3"/>
      <w:sz w:val="16"/>
      <w:szCs w:val="16"/>
      <w:lang w:eastAsia="es-ES"/>
    </w:rPr>
  </w:style>
  <w:style w:type="paragraph" w:styleId="Prrafodelista">
    <w:name w:val="List Paragraph"/>
    <w:basedOn w:val="Normal"/>
    <w:uiPriority w:val="34"/>
    <w:qFormat/>
    <w:rsid w:val="00736431"/>
    <w:pPr>
      <w:ind w:left="720"/>
      <w:contextualSpacing/>
    </w:pPr>
  </w:style>
  <w:style w:type="character" w:customStyle="1" w:styleId="apple-converted-space">
    <w:name w:val="apple-converted-space"/>
    <w:basedOn w:val="Fuentedeprrafopredeter"/>
    <w:rsid w:val="009001BF"/>
  </w:style>
  <w:style w:type="character" w:styleId="Textoennegrita">
    <w:name w:val="Strong"/>
    <w:basedOn w:val="Fuentedeprrafopredeter"/>
    <w:uiPriority w:val="22"/>
    <w:qFormat/>
    <w:rsid w:val="009001BF"/>
    <w:rPr>
      <w:b/>
      <w:bCs/>
    </w:rPr>
  </w:style>
  <w:style w:type="character" w:styleId="Hipervnculo">
    <w:name w:val="Hyperlink"/>
    <w:basedOn w:val="Fuentedeprrafopredeter"/>
    <w:uiPriority w:val="99"/>
    <w:semiHidden/>
    <w:unhideWhenUsed/>
    <w:rsid w:val="009001BF"/>
    <w:rPr>
      <w:color w:val="0000FF"/>
      <w:u w:val="single"/>
    </w:rPr>
  </w:style>
  <w:style w:type="paragraph" w:styleId="Encabezado">
    <w:name w:val="header"/>
    <w:basedOn w:val="Normal"/>
    <w:link w:val="EncabezadoCar"/>
    <w:uiPriority w:val="99"/>
    <w:unhideWhenUsed/>
    <w:rsid w:val="001339CD"/>
    <w:pPr>
      <w:tabs>
        <w:tab w:val="center" w:pos="4252"/>
        <w:tab w:val="right" w:pos="8504"/>
      </w:tabs>
    </w:pPr>
  </w:style>
  <w:style w:type="character" w:customStyle="1" w:styleId="EncabezadoCar">
    <w:name w:val="Encabezado Car"/>
    <w:basedOn w:val="Fuentedeprrafopredeter"/>
    <w:link w:val="Encabezado"/>
    <w:uiPriority w:val="99"/>
    <w:rsid w:val="001339CD"/>
    <w:rPr>
      <w:rFonts w:ascii="Arial" w:eastAsia="Times New Roman" w:hAnsi="Arial" w:cs="Arial"/>
      <w:spacing w:val="-3"/>
      <w:sz w:val="24"/>
      <w:szCs w:val="24"/>
      <w:lang w:eastAsia="es-ES"/>
    </w:rPr>
  </w:style>
  <w:style w:type="paragraph" w:styleId="Piedepgina">
    <w:name w:val="footer"/>
    <w:basedOn w:val="Normal"/>
    <w:link w:val="PiedepginaCar"/>
    <w:uiPriority w:val="99"/>
    <w:unhideWhenUsed/>
    <w:rsid w:val="001339CD"/>
    <w:pPr>
      <w:tabs>
        <w:tab w:val="center" w:pos="4252"/>
        <w:tab w:val="right" w:pos="8504"/>
      </w:tabs>
    </w:pPr>
  </w:style>
  <w:style w:type="character" w:customStyle="1" w:styleId="PiedepginaCar">
    <w:name w:val="Pie de página Car"/>
    <w:basedOn w:val="Fuentedeprrafopredeter"/>
    <w:link w:val="Piedepgina"/>
    <w:uiPriority w:val="99"/>
    <w:rsid w:val="001339CD"/>
    <w:rPr>
      <w:rFonts w:ascii="Arial" w:eastAsia="Times New Roman" w:hAnsi="Arial" w:cs="Arial"/>
      <w:spacing w:val="-3"/>
      <w:sz w:val="24"/>
      <w:szCs w:val="24"/>
      <w:lang w:eastAsia="es-ES"/>
    </w:rPr>
  </w:style>
  <w:style w:type="paragraph" w:customStyle="1" w:styleId="BodyText23">
    <w:name w:val="Body Text 23"/>
    <w:basedOn w:val="Normal"/>
    <w:rsid w:val="009E31AA"/>
    <w:pPr>
      <w:spacing w:line="360" w:lineRule="auto"/>
      <w:jc w:val="both"/>
    </w:pPr>
    <w:rPr>
      <w:rFonts w:ascii="Times New Roman" w:hAnsi="Times New Roman" w:cs="Times New Roman"/>
      <w:spacing w:val="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73535">
      <w:bodyDiv w:val="1"/>
      <w:marLeft w:val="0"/>
      <w:marRight w:val="0"/>
      <w:marTop w:val="0"/>
      <w:marBottom w:val="0"/>
      <w:divBdr>
        <w:top w:val="none" w:sz="0" w:space="0" w:color="auto"/>
        <w:left w:val="none" w:sz="0" w:space="0" w:color="auto"/>
        <w:bottom w:val="none" w:sz="0" w:space="0" w:color="auto"/>
        <w:right w:val="none" w:sz="0" w:space="0" w:color="auto"/>
      </w:divBdr>
    </w:div>
    <w:div w:id="1736196557">
      <w:bodyDiv w:val="1"/>
      <w:marLeft w:val="0"/>
      <w:marRight w:val="0"/>
      <w:marTop w:val="0"/>
      <w:marBottom w:val="0"/>
      <w:divBdr>
        <w:top w:val="none" w:sz="0" w:space="0" w:color="auto"/>
        <w:left w:val="none" w:sz="0" w:space="0" w:color="auto"/>
        <w:bottom w:val="none" w:sz="0" w:space="0" w:color="auto"/>
        <w:right w:val="none" w:sz="0" w:space="0" w:color="auto"/>
      </w:divBdr>
    </w:div>
    <w:div w:id="202535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0" ma:contentTypeDescription="Crear nuevo documento." ma:contentTypeScope="" ma:versionID="a9d79334ffd159d3bb5a8a3bb7320388">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8b055bc2635a8665edb59a4923077a9"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08D84-DF4B-4124-9798-F134E7A5B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52202-61AA-4E7A-8F23-C2AFF32260AC}">
  <ds:schemaRefs>
    <ds:schemaRef ds:uri="http://schemas.microsoft.com/sharepoint/v3/contenttype/forms"/>
  </ds:schemaRefs>
</ds:datastoreItem>
</file>

<file path=customXml/itemProps3.xml><?xml version="1.0" encoding="utf-8"?>
<ds:datastoreItem xmlns:ds="http://schemas.openxmlformats.org/officeDocument/2006/customXml" ds:itemID="{51EF304F-B8A1-4394-873A-268670B7CB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84774E-D45D-4C5C-82DE-676A6D09D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1991</Words>
  <Characters>11350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GONZALO</cp:lastModifiedBy>
  <cp:revision>2</cp:revision>
  <cp:lastPrinted>2016-06-24T22:52:00Z</cp:lastPrinted>
  <dcterms:created xsi:type="dcterms:W3CDTF">2021-03-17T17:07:00Z</dcterms:created>
  <dcterms:modified xsi:type="dcterms:W3CDTF">2021-03-17T17:07:00Z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61200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