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F688F" w14:textId="77777777" w:rsidR="0006439E" w:rsidRPr="00134356" w:rsidRDefault="0006439E" w:rsidP="0006439E">
      <w:pPr>
        <w:pStyle w:val="Descripcin"/>
        <w:spacing w:line="276" w:lineRule="auto"/>
        <w:rPr>
          <w:rFonts w:ascii="Verdana" w:hAnsi="Verdana" w:cs="Arial"/>
          <w:sz w:val="22"/>
          <w:szCs w:val="22"/>
        </w:rPr>
      </w:pPr>
      <w:r w:rsidRPr="00134356">
        <w:rPr>
          <w:rFonts w:ascii="Verdana" w:hAnsi="Verdana" w:cs="Arial"/>
          <w:sz w:val="22"/>
          <w:szCs w:val="22"/>
        </w:rPr>
        <w:t>REPUBLICA DE COLOMBIA</w:t>
      </w:r>
    </w:p>
    <w:p w14:paraId="4D9A2A19" w14:textId="77777777" w:rsidR="0006439E" w:rsidRPr="00134356" w:rsidRDefault="0006439E" w:rsidP="0006439E">
      <w:pPr>
        <w:spacing w:line="276" w:lineRule="auto"/>
        <w:rPr>
          <w:rFonts w:ascii="Verdana" w:hAnsi="Verdana"/>
          <w:sz w:val="22"/>
          <w:szCs w:val="22"/>
          <w:lang w:val="es-ES_tradnl"/>
        </w:rPr>
      </w:pPr>
      <w:r w:rsidRPr="00134356">
        <w:rPr>
          <w:rFonts w:ascii="Verdana" w:hAnsi="Verdana" w:cs="Arial"/>
          <w:b/>
          <w:noProof/>
          <w:sz w:val="22"/>
          <w:szCs w:val="22"/>
          <w:lang w:val="en-US" w:eastAsia="en-US"/>
        </w:rPr>
        <w:drawing>
          <wp:anchor distT="0" distB="0" distL="114300" distR="114300" simplePos="0" relativeHeight="251659264" behindDoc="1" locked="0" layoutInCell="1" allowOverlap="1" wp14:anchorId="23C2DD5B" wp14:editId="05B2B27F">
            <wp:simplePos x="0" y="0"/>
            <wp:positionH relativeFrom="margin">
              <wp:align>center</wp:align>
            </wp:positionH>
            <wp:positionV relativeFrom="paragraph">
              <wp:posOffset>8312</wp:posOffset>
            </wp:positionV>
            <wp:extent cx="762935" cy="723666"/>
            <wp:effectExtent l="0" t="0" r="0" b="635"/>
            <wp:wrapNone/>
            <wp:docPr id="2" name="Imagen 2" descr="Logo_Rama_Judicial_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_3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935" cy="723666"/>
                    </a:xfrm>
                    <a:prstGeom prst="rect">
                      <a:avLst/>
                    </a:prstGeom>
                    <a:noFill/>
                    <a:ln>
                      <a:noFill/>
                    </a:ln>
                  </pic:spPr>
                </pic:pic>
              </a:graphicData>
            </a:graphic>
          </wp:anchor>
        </w:drawing>
      </w:r>
    </w:p>
    <w:p w14:paraId="672A6659" w14:textId="77777777" w:rsidR="0006439E" w:rsidRPr="00134356" w:rsidRDefault="0006439E" w:rsidP="0006439E">
      <w:pPr>
        <w:spacing w:line="276" w:lineRule="auto"/>
        <w:rPr>
          <w:rFonts w:ascii="Verdana" w:hAnsi="Verdana"/>
          <w:sz w:val="22"/>
          <w:szCs w:val="22"/>
          <w:lang w:val="es-ES_tradnl"/>
        </w:rPr>
      </w:pPr>
    </w:p>
    <w:p w14:paraId="0A37501D" w14:textId="77777777" w:rsidR="0006439E" w:rsidRPr="00134356" w:rsidRDefault="0006439E" w:rsidP="0006439E">
      <w:pPr>
        <w:spacing w:line="276" w:lineRule="auto"/>
        <w:rPr>
          <w:rFonts w:ascii="Verdana" w:hAnsi="Verdana"/>
          <w:sz w:val="22"/>
          <w:szCs w:val="22"/>
          <w:lang w:val="es-ES_tradnl"/>
        </w:rPr>
      </w:pPr>
    </w:p>
    <w:p w14:paraId="5DAB6C7B" w14:textId="77777777" w:rsidR="0006439E" w:rsidRPr="00134356" w:rsidRDefault="00BD5BF8" w:rsidP="00BD5BF8">
      <w:pPr>
        <w:tabs>
          <w:tab w:val="left" w:pos="2955"/>
        </w:tabs>
        <w:spacing w:line="276" w:lineRule="auto"/>
        <w:rPr>
          <w:rFonts w:ascii="Verdana" w:hAnsi="Verdana"/>
          <w:sz w:val="22"/>
          <w:szCs w:val="22"/>
          <w:lang w:val="es-ES_tradnl"/>
        </w:rPr>
      </w:pPr>
      <w:r w:rsidRPr="00134356">
        <w:rPr>
          <w:rFonts w:ascii="Verdana" w:hAnsi="Verdana"/>
          <w:sz w:val="22"/>
          <w:szCs w:val="22"/>
          <w:lang w:val="es-ES_tradnl"/>
        </w:rPr>
        <w:tab/>
      </w:r>
    </w:p>
    <w:p w14:paraId="5AD5BBFC" w14:textId="77777777" w:rsidR="0006439E" w:rsidRPr="00134356" w:rsidRDefault="0006439E" w:rsidP="0006439E">
      <w:pPr>
        <w:pStyle w:val="Descripcin"/>
        <w:spacing w:line="276" w:lineRule="auto"/>
        <w:rPr>
          <w:rFonts w:ascii="Verdana" w:hAnsi="Verdana" w:cs="Arial"/>
          <w:sz w:val="22"/>
          <w:szCs w:val="22"/>
        </w:rPr>
      </w:pPr>
      <w:r w:rsidRPr="00134356">
        <w:rPr>
          <w:rFonts w:ascii="Verdana" w:hAnsi="Verdana" w:cs="Arial"/>
          <w:sz w:val="22"/>
          <w:szCs w:val="22"/>
        </w:rPr>
        <w:t>TRIBUNAL ADMINISTRATIVO DE BOYACÁ</w:t>
      </w:r>
    </w:p>
    <w:p w14:paraId="6F5D623D" w14:textId="77777777" w:rsidR="0006439E" w:rsidRPr="00134356" w:rsidRDefault="0006439E" w:rsidP="0006439E">
      <w:pPr>
        <w:spacing w:line="276" w:lineRule="auto"/>
        <w:jc w:val="center"/>
        <w:rPr>
          <w:rFonts w:ascii="Verdana" w:hAnsi="Verdana" w:cs="Arial"/>
          <w:b/>
          <w:sz w:val="22"/>
          <w:szCs w:val="22"/>
        </w:rPr>
      </w:pPr>
      <w:r w:rsidRPr="00134356">
        <w:rPr>
          <w:rFonts w:ascii="Verdana" w:hAnsi="Verdana" w:cs="Arial"/>
          <w:b/>
          <w:sz w:val="22"/>
          <w:szCs w:val="22"/>
        </w:rPr>
        <w:t>SALA DE DECISIÓN No. 6</w:t>
      </w:r>
    </w:p>
    <w:p w14:paraId="02EB378F" w14:textId="77777777" w:rsidR="0006439E" w:rsidRPr="00134356" w:rsidRDefault="0006439E" w:rsidP="0006439E">
      <w:pPr>
        <w:spacing w:line="276" w:lineRule="auto"/>
        <w:jc w:val="center"/>
        <w:rPr>
          <w:rFonts w:ascii="Verdana" w:hAnsi="Verdana" w:cs="Arial"/>
          <w:b/>
          <w:sz w:val="22"/>
          <w:szCs w:val="22"/>
        </w:rPr>
      </w:pPr>
    </w:p>
    <w:p w14:paraId="3F4BCEAA" w14:textId="77777777" w:rsidR="0006439E" w:rsidRPr="00134356" w:rsidRDefault="0006439E" w:rsidP="0006439E">
      <w:pPr>
        <w:pStyle w:val="Ttulo6"/>
        <w:spacing w:line="276" w:lineRule="auto"/>
        <w:rPr>
          <w:rFonts w:ascii="Verdana" w:hAnsi="Verdana" w:cs="Arial"/>
          <w:szCs w:val="22"/>
        </w:rPr>
      </w:pPr>
      <w:r w:rsidRPr="00134356">
        <w:rPr>
          <w:rFonts w:ascii="Verdana" w:hAnsi="Verdana" w:cs="Arial"/>
          <w:szCs w:val="22"/>
        </w:rPr>
        <w:t xml:space="preserve">MAGISTRADO PONENTE: FÉLIX ALBERTO RODRÍGUEZ RIVEROS </w:t>
      </w:r>
    </w:p>
    <w:p w14:paraId="6A05A809" w14:textId="77777777" w:rsidR="0006439E" w:rsidRPr="00134356" w:rsidRDefault="0006439E" w:rsidP="0006439E">
      <w:pPr>
        <w:spacing w:line="276" w:lineRule="auto"/>
        <w:jc w:val="both"/>
        <w:rPr>
          <w:rFonts w:ascii="Verdana" w:hAnsi="Verdana" w:cs="Arial"/>
          <w:sz w:val="22"/>
          <w:szCs w:val="22"/>
        </w:rPr>
      </w:pPr>
    </w:p>
    <w:p w14:paraId="3E952D11" w14:textId="2431EA89" w:rsidR="0006439E" w:rsidRPr="00134356" w:rsidRDefault="0006439E" w:rsidP="0006439E">
      <w:pPr>
        <w:spacing w:line="276" w:lineRule="auto"/>
        <w:jc w:val="both"/>
        <w:rPr>
          <w:rFonts w:ascii="Verdana" w:hAnsi="Verdana" w:cs="Arial"/>
          <w:sz w:val="22"/>
          <w:szCs w:val="22"/>
        </w:rPr>
      </w:pPr>
      <w:r w:rsidRPr="00134356">
        <w:rPr>
          <w:rFonts w:ascii="Verdana" w:hAnsi="Verdana" w:cs="Arial"/>
          <w:sz w:val="22"/>
          <w:szCs w:val="22"/>
        </w:rPr>
        <w:t xml:space="preserve">Tunja, </w:t>
      </w:r>
      <w:r w:rsidR="001D31DB">
        <w:rPr>
          <w:rFonts w:ascii="Verdana" w:hAnsi="Verdana" w:cs="Arial"/>
          <w:sz w:val="22"/>
          <w:szCs w:val="22"/>
        </w:rPr>
        <w:t>veinti</w:t>
      </w:r>
      <w:r w:rsidR="0087499A">
        <w:rPr>
          <w:rFonts w:ascii="Verdana" w:hAnsi="Verdana" w:cs="Arial"/>
          <w:sz w:val="22"/>
          <w:szCs w:val="22"/>
        </w:rPr>
        <w:t>nueve</w:t>
      </w:r>
      <w:r w:rsidR="001D31DB">
        <w:rPr>
          <w:rFonts w:ascii="Verdana" w:hAnsi="Verdana" w:cs="Arial"/>
          <w:sz w:val="22"/>
          <w:szCs w:val="22"/>
        </w:rPr>
        <w:t xml:space="preserve"> (2</w:t>
      </w:r>
      <w:r w:rsidR="0087499A">
        <w:rPr>
          <w:rFonts w:ascii="Verdana" w:hAnsi="Verdana" w:cs="Arial"/>
          <w:sz w:val="22"/>
          <w:szCs w:val="22"/>
        </w:rPr>
        <w:t>9</w:t>
      </w:r>
      <w:r w:rsidR="001D31DB">
        <w:rPr>
          <w:rFonts w:ascii="Verdana" w:hAnsi="Verdana" w:cs="Arial"/>
          <w:sz w:val="22"/>
          <w:szCs w:val="22"/>
        </w:rPr>
        <w:t xml:space="preserve">) de </w:t>
      </w:r>
      <w:r w:rsidR="0087499A">
        <w:rPr>
          <w:rFonts w:ascii="Verdana" w:hAnsi="Verdana" w:cs="Arial"/>
          <w:sz w:val="22"/>
          <w:szCs w:val="22"/>
        </w:rPr>
        <w:t>abril</w:t>
      </w:r>
      <w:r w:rsidR="00D959F4">
        <w:rPr>
          <w:rFonts w:ascii="Verdana" w:hAnsi="Verdana" w:cs="Arial"/>
          <w:sz w:val="22"/>
          <w:szCs w:val="22"/>
        </w:rPr>
        <w:t xml:space="preserve"> de dos mil </w:t>
      </w:r>
      <w:r w:rsidR="001D31DB">
        <w:rPr>
          <w:rFonts w:ascii="Verdana" w:hAnsi="Verdana" w:cs="Arial"/>
          <w:sz w:val="22"/>
          <w:szCs w:val="22"/>
        </w:rPr>
        <w:t>veint</w:t>
      </w:r>
      <w:r w:rsidR="0087499A">
        <w:rPr>
          <w:rFonts w:ascii="Verdana" w:hAnsi="Verdana" w:cs="Arial"/>
          <w:sz w:val="22"/>
          <w:szCs w:val="22"/>
        </w:rPr>
        <w:t>iuno</w:t>
      </w:r>
      <w:r w:rsidR="001D31DB">
        <w:rPr>
          <w:rFonts w:ascii="Verdana" w:hAnsi="Verdana" w:cs="Arial"/>
          <w:sz w:val="22"/>
          <w:szCs w:val="22"/>
        </w:rPr>
        <w:t xml:space="preserve"> (202</w:t>
      </w:r>
      <w:r w:rsidR="0087499A">
        <w:rPr>
          <w:rFonts w:ascii="Verdana" w:hAnsi="Verdana" w:cs="Arial"/>
          <w:sz w:val="22"/>
          <w:szCs w:val="22"/>
        </w:rPr>
        <w:t>1</w:t>
      </w:r>
      <w:r w:rsidR="001D31DB">
        <w:rPr>
          <w:rFonts w:ascii="Verdana" w:hAnsi="Verdana" w:cs="Arial"/>
          <w:sz w:val="22"/>
          <w:szCs w:val="22"/>
        </w:rPr>
        <w:t>)</w:t>
      </w:r>
    </w:p>
    <w:p w14:paraId="5A39BBE3" w14:textId="77777777" w:rsidR="0006439E" w:rsidRPr="00134356" w:rsidRDefault="0006439E" w:rsidP="0006439E">
      <w:pPr>
        <w:spacing w:line="276" w:lineRule="auto"/>
        <w:jc w:val="both"/>
        <w:rPr>
          <w:rFonts w:ascii="Verdana" w:hAnsi="Verdana" w:cs="Arial"/>
          <w:sz w:val="22"/>
          <w:szCs w:val="22"/>
        </w:rPr>
      </w:pPr>
    </w:p>
    <w:p w14:paraId="068176A5" w14:textId="77777777" w:rsidR="0006439E" w:rsidRPr="00134356" w:rsidRDefault="0006439E" w:rsidP="0006439E">
      <w:pPr>
        <w:spacing w:line="276" w:lineRule="auto"/>
        <w:ind w:firstLine="708"/>
        <w:jc w:val="both"/>
        <w:rPr>
          <w:rFonts w:ascii="Verdana" w:hAnsi="Verdana"/>
          <w:b/>
          <w:sz w:val="22"/>
          <w:szCs w:val="22"/>
        </w:rPr>
      </w:pPr>
      <w:r w:rsidRPr="00134356">
        <w:rPr>
          <w:rFonts w:ascii="Verdana" w:hAnsi="Verdana"/>
          <w:b/>
          <w:sz w:val="22"/>
          <w:szCs w:val="22"/>
        </w:rPr>
        <w:t>REFERENCIA: VALIDEZ DE ACUERDO MUNICIPAL</w:t>
      </w:r>
    </w:p>
    <w:p w14:paraId="11B2BB69" w14:textId="77777777" w:rsidR="0006439E" w:rsidRPr="00134356" w:rsidRDefault="0006439E" w:rsidP="0006439E">
      <w:pPr>
        <w:spacing w:line="276" w:lineRule="auto"/>
        <w:jc w:val="both"/>
        <w:rPr>
          <w:rFonts w:ascii="Verdana" w:hAnsi="Verdana"/>
          <w:b/>
          <w:sz w:val="22"/>
          <w:szCs w:val="22"/>
        </w:rPr>
      </w:pPr>
      <w:r w:rsidRPr="00134356">
        <w:rPr>
          <w:rFonts w:ascii="Verdana" w:hAnsi="Verdana"/>
          <w:b/>
          <w:sz w:val="22"/>
          <w:szCs w:val="22"/>
        </w:rPr>
        <w:tab/>
        <w:t>DEMANDANTE: DEPARTAMENTO DE BOYACÁ</w:t>
      </w:r>
    </w:p>
    <w:p w14:paraId="02F3AC41" w14:textId="26A7A11F" w:rsidR="0006439E" w:rsidRPr="00134356" w:rsidRDefault="0006439E" w:rsidP="0006439E">
      <w:pPr>
        <w:tabs>
          <w:tab w:val="left" w:pos="708"/>
          <w:tab w:val="left" w:pos="1416"/>
          <w:tab w:val="left" w:pos="2124"/>
          <w:tab w:val="left" w:pos="2832"/>
          <w:tab w:val="left" w:pos="3540"/>
          <w:tab w:val="left" w:pos="4248"/>
          <w:tab w:val="left" w:pos="4956"/>
          <w:tab w:val="left" w:pos="5580"/>
        </w:tabs>
        <w:spacing w:line="276" w:lineRule="auto"/>
        <w:jc w:val="both"/>
        <w:rPr>
          <w:rFonts w:ascii="Verdana" w:hAnsi="Verdana"/>
          <w:b/>
          <w:sz w:val="22"/>
          <w:szCs w:val="22"/>
        </w:rPr>
      </w:pPr>
      <w:r w:rsidRPr="00134356">
        <w:rPr>
          <w:rFonts w:ascii="Verdana" w:hAnsi="Verdana"/>
          <w:b/>
          <w:sz w:val="22"/>
          <w:szCs w:val="22"/>
        </w:rPr>
        <w:tab/>
        <w:t xml:space="preserve">DEMANDADO: MUNICIPIO DE </w:t>
      </w:r>
      <w:r w:rsidR="0087499A">
        <w:rPr>
          <w:rFonts w:ascii="Verdana" w:hAnsi="Verdana"/>
          <w:b/>
          <w:sz w:val="22"/>
          <w:szCs w:val="22"/>
        </w:rPr>
        <w:t>CHIVAT</w:t>
      </w:r>
      <w:r w:rsidR="00543E6E" w:rsidRPr="00134356">
        <w:rPr>
          <w:rFonts w:ascii="Verdana" w:hAnsi="Verdana"/>
          <w:b/>
          <w:sz w:val="22"/>
          <w:szCs w:val="22"/>
        </w:rPr>
        <w:t>Á</w:t>
      </w:r>
    </w:p>
    <w:p w14:paraId="07F5A9A4" w14:textId="28C253FF" w:rsidR="0006439E" w:rsidRPr="00134356" w:rsidRDefault="0006439E" w:rsidP="0006439E">
      <w:pPr>
        <w:spacing w:line="276" w:lineRule="auto"/>
        <w:jc w:val="both"/>
        <w:rPr>
          <w:rFonts w:ascii="Verdana" w:hAnsi="Verdana"/>
          <w:b/>
          <w:sz w:val="22"/>
          <w:szCs w:val="22"/>
        </w:rPr>
      </w:pPr>
      <w:r w:rsidRPr="00134356">
        <w:rPr>
          <w:rFonts w:ascii="Verdana" w:hAnsi="Verdana"/>
          <w:b/>
          <w:sz w:val="22"/>
          <w:szCs w:val="22"/>
        </w:rPr>
        <w:tab/>
        <w:t xml:space="preserve">RADICADOS: </w:t>
      </w:r>
      <w:r w:rsidR="00543E6E" w:rsidRPr="00134356">
        <w:rPr>
          <w:rFonts w:ascii="Verdana" w:hAnsi="Verdana"/>
          <w:b/>
          <w:sz w:val="22"/>
          <w:szCs w:val="22"/>
        </w:rPr>
        <w:t>150012333000202</w:t>
      </w:r>
      <w:r w:rsidR="0087499A">
        <w:rPr>
          <w:rFonts w:ascii="Verdana" w:hAnsi="Verdana"/>
          <w:b/>
          <w:sz w:val="22"/>
          <w:szCs w:val="22"/>
        </w:rPr>
        <w:t>1</w:t>
      </w:r>
      <w:r w:rsidRPr="00134356">
        <w:rPr>
          <w:rFonts w:ascii="Verdana" w:hAnsi="Verdana"/>
          <w:b/>
          <w:sz w:val="22"/>
          <w:szCs w:val="22"/>
        </w:rPr>
        <w:t>000</w:t>
      </w:r>
      <w:r w:rsidR="0087499A">
        <w:rPr>
          <w:rFonts w:ascii="Verdana" w:hAnsi="Verdana"/>
          <w:b/>
          <w:sz w:val="22"/>
          <w:szCs w:val="22"/>
        </w:rPr>
        <w:t>39-</w:t>
      </w:r>
      <w:r w:rsidRPr="00134356">
        <w:rPr>
          <w:rFonts w:ascii="Verdana" w:hAnsi="Verdana"/>
          <w:b/>
          <w:sz w:val="22"/>
          <w:szCs w:val="22"/>
        </w:rPr>
        <w:t>00</w:t>
      </w:r>
    </w:p>
    <w:p w14:paraId="41C8F396" w14:textId="77777777" w:rsidR="0006439E" w:rsidRPr="00134356" w:rsidRDefault="0006439E" w:rsidP="0006439E">
      <w:pPr>
        <w:spacing w:line="360" w:lineRule="auto"/>
        <w:jc w:val="both"/>
        <w:rPr>
          <w:rFonts w:ascii="Verdana" w:hAnsi="Verdana"/>
          <w:sz w:val="22"/>
          <w:szCs w:val="22"/>
        </w:rPr>
      </w:pPr>
    </w:p>
    <w:p w14:paraId="7639DDA1" w14:textId="77777777" w:rsidR="0006439E" w:rsidRPr="00134356" w:rsidRDefault="0006439E" w:rsidP="0006439E">
      <w:pPr>
        <w:pStyle w:val="Ttulo2"/>
        <w:numPr>
          <w:ilvl w:val="0"/>
          <w:numId w:val="1"/>
        </w:numPr>
        <w:spacing w:line="360" w:lineRule="auto"/>
        <w:rPr>
          <w:rFonts w:ascii="Verdana" w:eastAsia="Times New Roman" w:hAnsi="Verdana"/>
          <w:sz w:val="22"/>
          <w:szCs w:val="22"/>
          <w:lang w:eastAsia="es-ES"/>
        </w:rPr>
      </w:pPr>
      <w:bookmarkStart w:id="0" w:name="_GoBack"/>
      <w:bookmarkEnd w:id="0"/>
      <w:r w:rsidRPr="00134356">
        <w:rPr>
          <w:rFonts w:ascii="Verdana" w:eastAsia="Times New Roman" w:hAnsi="Verdana"/>
          <w:sz w:val="22"/>
          <w:szCs w:val="22"/>
          <w:lang w:eastAsia="es-ES"/>
        </w:rPr>
        <w:t>LA ACCIÓN</w:t>
      </w:r>
    </w:p>
    <w:p w14:paraId="72A3D3EC" w14:textId="77777777" w:rsidR="0006439E" w:rsidRPr="00134356" w:rsidRDefault="0006439E" w:rsidP="0006439E">
      <w:pPr>
        <w:spacing w:line="360" w:lineRule="auto"/>
        <w:jc w:val="both"/>
        <w:rPr>
          <w:rFonts w:ascii="Verdana" w:hAnsi="Verdana"/>
          <w:b/>
          <w:sz w:val="22"/>
          <w:szCs w:val="22"/>
          <w:lang w:val="es-MX"/>
        </w:rPr>
      </w:pPr>
    </w:p>
    <w:p w14:paraId="3DB758B6" w14:textId="241E6C56" w:rsidR="0006439E" w:rsidRPr="00134356" w:rsidRDefault="0006439E" w:rsidP="0006439E">
      <w:pPr>
        <w:pStyle w:val="BodyText23"/>
        <w:rPr>
          <w:rFonts w:ascii="Verdana" w:hAnsi="Verdana"/>
          <w:sz w:val="22"/>
          <w:szCs w:val="22"/>
          <w:lang w:val="es-MX" w:eastAsia="es-ES"/>
        </w:rPr>
      </w:pPr>
      <w:r w:rsidRPr="00134356">
        <w:rPr>
          <w:rFonts w:ascii="Verdana" w:hAnsi="Verdana"/>
          <w:sz w:val="22"/>
          <w:szCs w:val="22"/>
          <w:lang w:val="es-MX" w:eastAsia="es-ES"/>
        </w:rPr>
        <w:t xml:space="preserve">Procede la Sala de Decisión No. 6 de la Corporación a dictar sentencia para resolver la demanda que ha dado origen al proceso de la referencia, impetrada por el DEPARTAMENTO DE BOYACÁ en contra del MUNICIPIO DE </w:t>
      </w:r>
      <w:r w:rsidR="007C6326">
        <w:rPr>
          <w:rFonts w:ascii="Verdana" w:hAnsi="Verdana"/>
          <w:sz w:val="22"/>
          <w:szCs w:val="22"/>
          <w:lang w:val="es-MX" w:eastAsia="es-ES"/>
        </w:rPr>
        <w:t>CHIVATÁ.</w:t>
      </w:r>
    </w:p>
    <w:p w14:paraId="0D0B940D" w14:textId="77777777" w:rsidR="0006439E" w:rsidRPr="00134356" w:rsidRDefault="0006439E" w:rsidP="0006439E">
      <w:pPr>
        <w:pStyle w:val="BodyText23"/>
        <w:rPr>
          <w:rFonts w:ascii="Verdana" w:hAnsi="Verdana"/>
          <w:sz w:val="22"/>
          <w:szCs w:val="22"/>
          <w:lang w:val="es-MX" w:eastAsia="es-ES"/>
        </w:rPr>
      </w:pPr>
    </w:p>
    <w:p w14:paraId="20491523" w14:textId="77777777" w:rsidR="0006439E" w:rsidRPr="00134356" w:rsidRDefault="0006439E" w:rsidP="0006439E">
      <w:pPr>
        <w:pStyle w:val="Ttulo2"/>
        <w:spacing w:line="360" w:lineRule="auto"/>
        <w:rPr>
          <w:rFonts w:ascii="Verdana" w:eastAsia="Times New Roman" w:hAnsi="Verdana"/>
          <w:sz w:val="22"/>
          <w:szCs w:val="22"/>
          <w:lang w:eastAsia="es-ES"/>
        </w:rPr>
      </w:pPr>
      <w:r w:rsidRPr="00134356">
        <w:rPr>
          <w:rFonts w:ascii="Verdana" w:eastAsia="Times New Roman" w:hAnsi="Verdana"/>
          <w:sz w:val="22"/>
          <w:szCs w:val="22"/>
          <w:lang w:eastAsia="es-ES"/>
        </w:rPr>
        <w:t xml:space="preserve">      II.  ANTECEDENTES</w:t>
      </w:r>
    </w:p>
    <w:p w14:paraId="0E27B00A" w14:textId="77777777" w:rsidR="0006439E" w:rsidRPr="00134356" w:rsidRDefault="0006439E" w:rsidP="0006439E">
      <w:pPr>
        <w:spacing w:line="360" w:lineRule="auto"/>
        <w:jc w:val="both"/>
        <w:rPr>
          <w:rFonts w:ascii="Verdana" w:hAnsi="Verdana"/>
          <w:b/>
          <w:sz w:val="22"/>
          <w:szCs w:val="22"/>
          <w:lang w:val="es-MX"/>
        </w:rPr>
      </w:pPr>
    </w:p>
    <w:p w14:paraId="0E4ADD6C" w14:textId="77777777" w:rsidR="0006439E" w:rsidRPr="00134356" w:rsidRDefault="0006439E" w:rsidP="0006439E">
      <w:pPr>
        <w:spacing w:line="360" w:lineRule="auto"/>
        <w:jc w:val="both"/>
        <w:rPr>
          <w:rFonts w:ascii="Verdana" w:hAnsi="Verdana"/>
          <w:b/>
          <w:sz w:val="22"/>
          <w:szCs w:val="22"/>
          <w:lang w:val="es-MX"/>
        </w:rPr>
      </w:pPr>
      <w:r w:rsidRPr="00134356">
        <w:rPr>
          <w:rFonts w:ascii="Verdana" w:hAnsi="Verdana"/>
          <w:b/>
          <w:sz w:val="22"/>
          <w:szCs w:val="22"/>
          <w:lang w:val="es-MX"/>
        </w:rPr>
        <w:t>2.1. – Pretensiones</w:t>
      </w:r>
    </w:p>
    <w:p w14:paraId="60061E4C" w14:textId="77777777" w:rsidR="0006439E" w:rsidRPr="00134356" w:rsidRDefault="0006439E" w:rsidP="0006439E">
      <w:pPr>
        <w:spacing w:line="360" w:lineRule="auto"/>
        <w:jc w:val="both"/>
        <w:rPr>
          <w:rFonts w:ascii="Verdana" w:hAnsi="Verdana"/>
          <w:b/>
          <w:sz w:val="22"/>
          <w:szCs w:val="22"/>
          <w:lang w:val="es-MX"/>
        </w:rPr>
      </w:pPr>
    </w:p>
    <w:p w14:paraId="1CF102F1" w14:textId="176ABA8D" w:rsidR="0006439E" w:rsidRPr="00134356" w:rsidRDefault="0006439E" w:rsidP="0ADF79A1">
      <w:pPr>
        <w:pStyle w:val="BodyText23"/>
        <w:rPr>
          <w:rFonts w:ascii="Verdana" w:hAnsi="Verdana"/>
          <w:i/>
          <w:iCs/>
          <w:sz w:val="22"/>
          <w:szCs w:val="22"/>
          <w:lang w:val="es-MX" w:eastAsia="es-ES"/>
        </w:rPr>
      </w:pPr>
      <w:r w:rsidRPr="0ADF79A1">
        <w:rPr>
          <w:rFonts w:ascii="Verdana" w:hAnsi="Verdana"/>
          <w:sz w:val="22"/>
          <w:szCs w:val="22"/>
          <w:lang w:val="es-MX" w:eastAsia="es-ES"/>
        </w:rPr>
        <w:t xml:space="preserve">Pretende la entidad actora que esta Corporación declare la invalidez del Acuerdo No. </w:t>
      </w:r>
      <w:r w:rsidR="00A51CA1">
        <w:rPr>
          <w:rFonts w:ascii="Verdana" w:hAnsi="Verdana"/>
          <w:sz w:val="22"/>
          <w:szCs w:val="22"/>
          <w:lang w:val="es-MX" w:eastAsia="es-ES"/>
        </w:rPr>
        <w:t xml:space="preserve">015 </w:t>
      </w:r>
      <w:r w:rsidR="00633EC9" w:rsidRPr="0ADF79A1">
        <w:rPr>
          <w:rFonts w:ascii="Verdana" w:hAnsi="Verdana"/>
          <w:sz w:val="22"/>
          <w:szCs w:val="22"/>
          <w:lang w:val="es-MX" w:eastAsia="es-ES"/>
        </w:rPr>
        <w:t>de</w:t>
      </w:r>
      <w:r w:rsidRPr="0ADF79A1">
        <w:rPr>
          <w:rFonts w:ascii="Verdana" w:hAnsi="Verdana"/>
          <w:sz w:val="22"/>
          <w:szCs w:val="22"/>
          <w:lang w:val="es-MX" w:eastAsia="es-ES"/>
        </w:rPr>
        <w:t xml:space="preserve"> </w:t>
      </w:r>
      <w:r w:rsidR="00A51CA1">
        <w:rPr>
          <w:rFonts w:ascii="Verdana" w:hAnsi="Verdana"/>
          <w:sz w:val="22"/>
          <w:szCs w:val="22"/>
          <w:lang w:val="es-MX" w:eastAsia="es-ES"/>
        </w:rPr>
        <w:t>30</w:t>
      </w:r>
      <w:r w:rsidR="00633EC9" w:rsidRPr="0ADF79A1">
        <w:rPr>
          <w:rFonts w:ascii="Verdana" w:hAnsi="Verdana"/>
          <w:sz w:val="22"/>
          <w:szCs w:val="22"/>
          <w:lang w:val="es-MX" w:eastAsia="es-ES"/>
        </w:rPr>
        <w:t xml:space="preserve"> de </w:t>
      </w:r>
      <w:r w:rsidR="00A51CA1">
        <w:rPr>
          <w:rFonts w:ascii="Verdana" w:hAnsi="Verdana"/>
          <w:sz w:val="22"/>
          <w:szCs w:val="22"/>
          <w:lang w:val="es-MX" w:eastAsia="es-ES"/>
        </w:rPr>
        <w:t>novie</w:t>
      </w:r>
      <w:r w:rsidR="00633EC9" w:rsidRPr="0ADF79A1">
        <w:rPr>
          <w:rFonts w:ascii="Verdana" w:hAnsi="Verdana"/>
          <w:sz w:val="22"/>
          <w:szCs w:val="22"/>
          <w:lang w:val="es-MX" w:eastAsia="es-ES"/>
        </w:rPr>
        <w:t>mbre de 20</w:t>
      </w:r>
      <w:r w:rsidR="00A51CA1">
        <w:rPr>
          <w:rFonts w:ascii="Verdana" w:hAnsi="Verdana"/>
          <w:sz w:val="22"/>
          <w:szCs w:val="22"/>
          <w:lang w:val="es-MX" w:eastAsia="es-ES"/>
        </w:rPr>
        <w:t>20</w:t>
      </w:r>
      <w:r w:rsidRPr="0ADF79A1">
        <w:rPr>
          <w:rFonts w:ascii="Verdana" w:hAnsi="Verdana"/>
          <w:sz w:val="22"/>
          <w:szCs w:val="22"/>
          <w:lang w:val="es-MX" w:eastAsia="es-ES"/>
        </w:rPr>
        <w:t xml:space="preserve"> </w:t>
      </w:r>
      <w:bookmarkStart w:id="1" w:name="_Hlk70482786"/>
      <w:r w:rsidR="006D19B1" w:rsidRPr="006D19B1">
        <w:rPr>
          <w:rFonts w:ascii="Verdana" w:hAnsi="Verdana"/>
          <w:i/>
          <w:iCs/>
          <w:sz w:val="22"/>
          <w:szCs w:val="22"/>
          <w:lang w:val="es-MX" w:eastAsia="es-ES"/>
        </w:rPr>
        <w:t>"POR MEDIO DEL CUAL SE AUTORIZA AL ALCALDE MUNICIPAL PARA COMPROMETER VIGENCIAS FUTURAS ORDINARIAS PARA LA EJECUCIÓN DE PROYECTOS DE INVERSION INCLUIDOS EN EL PLAN DE DESARROLLO “CHIVATÁ SOMOS TODOS 2020 - 2023</w:t>
      </w:r>
      <w:r w:rsidRPr="0ADF79A1">
        <w:rPr>
          <w:rFonts w:ascii="Verdana" w:hAnsi="Verdana"/>
          <w:i/>
          <w:iCs/>
          <w:sz w:val="22"/>
          <w:szCs w:val="22"/>
          <w:lang w:val="es-MX" w:eastAsia="es-ES"/>
        </w:rPr>
        <w:t>”</w:t>
      </w:r>
      <w:bookmarkEnd w:id="1"/>
      <w:r w:rsidRPr="0ADF79A1">
        <w:rPr>
          <w:rFonts w:ascii="Verdana" w:hAnsi="Verdana"/>
          <w:i/>
          <w:iCs/>
          <w:sz w:val="22"/>
          <w:szCs w:val="22"/>
          <w:lang w:val="es-MX" w:eastAsia="es-ES"/>
        </w:rPr>
        <w:t xml:space="preserve">. </w:t>
      </w:r>
    </w:p>
    <w:p w14:paraId="44EAFD9C" w14:textId="77777777" w:rsidR="0006439E" w:rsidRPr="00134356" w:rsidRDefault="0006439E" w:rsidP="0006439E">
      <w:pPr>
        <w:pStyle w:val="BodyText23"/>
        <w:rPr>
          <w:rFonts w:ascii="Verdana" w:hAnsi="Verdana"/>
          <w:sz w:val="22"/>
          <w:szCs w:val="22"/>
          <w:lang w:val="es-MX" w:eastAsia="es-ES"/>
        </w:rPr>
      </w:pPr>
    </w:p>
    <w:p w14:paraId="08EC272F" w14:textId="77777777" w:rsidR="0006439E" w:rsidRPr="00134356" w:rsidRDefault="0006439E" w:rsidP="0006439E">
      <w:pPr>
        <w:pStyle w:val="BodyText23"/>
        <w:rPr>
          <w:rFonts w:ascii="Verdana" w:hAnsi="Verdana"/>
          <w:b/>
          <w:sz w:val="22"/>
          <w:szCs w:val="22"/>
          <w:lang w:val="es-MX" w:eastAsia="es-ES"/>
        </w:rPr>
      </w:pPr>
      <w:r w:rsidRPr="00134356">
        <w:rPr>
          <w:rFonts w:ascii="Verdana" w:hAnsi="Verdana"/>
          <w:b/>
          <w:sz w:val="22"/>
          <w:szCs w:val="22"/>
          <w:lang w:val="es-MX" w:eastAsia="es-ES"/>
        </w:rPr>
        <w:t>2.2- Supuestos de hecho</w:t>
      </w:r>
    </w:p>
    <w:p w14:paraId="4B94D5A5" w14:textId="77777777" w:rsidR="0006439E" w:rsidRPr="00134356" w:rsidRDefault="0006439E" w:rsidP="0006439E">
      <w:pPr>
        <w:pStyle w:val="BodyText23"/>
        <w:rPr>
          <w:rFonts w:ascii="Verdana" w:hAnsi="Verdana"/>
          <w:sz w:val="22"/>
          <w:szCs w:val="22"/>
          <w:lang w:val="es-MX" w:eastAsia="es-ES"/>
        </w:rPr>
      </w:pPr>
    </w:p>
    <w:p w14:paraId="7618FB30" w14:textId="77777777" w:rsidR="0006439E" w:rsidRPr="00134356" w:rsidRDefault="0006439E" w:rsidP="0006439E">
      <w:pPr>
        <w:pStyle w:val="BodyText23"/>
        <w:rPr>
          <w:rFonts w:ascii="Verdana" w:hAnsi="Verdana"/>
          <w:sz w:val="22"/>
          <w:szCs w:val="22"/>
          <w:lang w:val="es-MX" w:eastAsia="es-ES"/>
        </w:rPr>
      </w:pPr>
      <w:r w:rsidRPr="00134356">
        <w:rPr>
          <w:rFonts w:ascii="Verdana" w:hAnsi="Verdana"/>
          <w:sz w:val="22"/>
          <w:szCs w:val="22"/>
          <w:lang w:val="es-MX" w:eastAsia="es-ES"/>
        </w:rPr>
        <w:t>Los hechos que relata el Departamento como fundamento de sus pretensiones son, en resumen, los que a continuación se relacionan.</w:t>
      </w:r>
    </w:p>
    <w:p w14:paraId="3DEEC669" w14:textId="77777777" w:rsidR="0006439E" w:rsidRPr="00134356" w:rsidRDefault="0006439E" w:rsidP="0006439E">
      <w:pPr>
        <w:pStyle w:val="BodyText23"/>
        <w:rPr>
          <w:rFonts w:ascii="Verdana" w:hAnsi="Verdana"/>
          <w:sz w:val="22"/>
          <w:szCs w:val="22"/>
          <w:lang w:val="es-MX" w:eastAsia="es-ES"/>
        </w:rPr>
      </w:pPr>
    </w:p>
    <w:p w14:paraId="3BDBBD75" w14:textId="32CA1705" w:rsidR="00B473EA" w:rsidRPr="00134356" w:rsidRDefault="00A75476" w:rsidP="0ADF79A1">
      <w:pPr>
        <w:pStyle w:val="BodyText23"/>
        <w:rPr>
          <w:rFonts w:ascii="Verdana" w:hAnsi="Verdana"/>
          <w:i/>
          <w:iCs/>
          <w:sz w:val="22"/>
          <w:szCs w:val="22"/>
          <w:lang w:val="es-MX" w:eastAsia="es-ES"/>
        </w:rPr>
      </w:pPr>
      <w:r w:rsidRPr="0ADF79A1">
        <w:rPr>
          <w:rFonts w:ascii="Verdana" w:hAnsi="Verdana"/>
          <w:sz w:val="22"/>
          <w:szCs w:val="22"/>
          <w:lang w:val="es-MX" w:eastAsia="es-ES"/>
        </w:rPr>
        <w:t xml:space="preserve">El Concejo Municipal de </w:t>
      </w:r>
      <w:r w:rsidR="00C019A3">
        <w:rPr>
          <w:rFonts w:ascii="Verdana" w:hAnsi="Verdana"/>
          <w:sz w:val="22"/>
          <w:szCs w:val="22"/>
          <w:lang w:val="es-MX" w:eastAsia="es-ES"/>
        </w:rPr>
        <w:t>Chivat</w:t>
      </w:r>
      <w:r w:rsidRPr="0ADF79A1">
        <w:rPr>
          <w:rFonts w:ascii="Verdana" w:hAnsi="Verdana"/>
          <w:sz w:val="22"/>
          <w:szCs w:val="22"/>
          <w:lang w:val="es-MX" w:eastAsia="es-ES"/>
        </w:rPr>
        <w:t>á</w:t>
      </w:r>
      <w:r w:rsidR="0006439E" w:rsidRPr="0ADF79A1">
        <w:rPr>
          <w:rFonts w:ascii="Verdana" w:hAnsi="Verdana"/>
          <w:sz w:val="22"/>
          <w:szCs w:val="22"/>
          <w:lang w:val="es-MX" w:eastAsia="es-ES"/>
        </w:rPr>
        <w:t xml:space="preserve">, expidió el Acuerdo </w:t>
      </w:r>
      <w:r w:rsidR="00C019A3" w:rsidRPr="0ADF79A1">
        <w:rPr>
          <w:rFonts w:ascii="Verdana" w:hAnsi="Verdana"/>
          <w:sz w:val="22"/>
          <w:szCs w:val="22"/>
          <w:lang w:val="es-MX" w:eastAsia="es-ES"/>
        </w:rPr>
        <w:t xml:space="preserve">No. </w:t>
      </w:r>
      <w:r w:rsidR="00C019A3">
        <w:rPr>
          <w:rFonts w:ascii="Verdana" w:hAnsi="Verdana"/>
          <w:sz w:val="22"/>
          <w:szCs w:val="22"/>
          <w:lang w:val="es-MX" w:eastAsia="es-ES"/>
        </w:rPr>
        <w:t xml:space="preserve">015 </w:t>
      </w:r>
      <w:r w:rsidR="00C019A3" w:rsidRPr="0ADF79A1">
        <w:rPr>
          <w:rFonts w:ascii="Verdana" w:hAnsi="Verdana"/>
          <w:sz w:val="22"/>
          <w:szCs w:val="22"/>
          <w:lang w:val="es-MX" w:eastAsia="es-ES"/>
        </w:rPr>
        <w:t xml:space="preserve">de </w:t>
      </w:r>
      <w:r w:rsidR="00C019A3">
        <w:rPr>
          <w:rFonts w:ascii="Verdana" w:hAnsi="Verdana"/>
          <w:sz w:val="22"/>
          <w:szCs w:val="22"/>
          <w:lang w:val="es-MX" w:eastAsia="es-ES"/>
        </w:rPr>
        <w:t>30</w:t>
      </w:r>
      <w:r w:rsidR="00C019A3" w:rsidRPr="0ADF79A1">
        <w:rPr>
          <w:rFonts w:ascii="Verdana" w:hAnsi="Verdana"/>
          <w:sz w:val="22"/>
          <w:szCs w:val="22"/>
          <w:lang w:val="es-MX" w:eastAsia="es-ES"/>
        </w:rPr>
        <w:t xml:space="preserve"> de </w:t>
      </w:r>
      <w:r w:rsidR="00C019A3">
        <w:rPr>
          <w:rFonts w:ascii="Verdana" w:hAnsi="Verdana"/>
          <w:sz w:val="22"/>
          <w:szCs w:val="22"/>
          <w:lang w:val="es-MX" w:eastAsia="es-ES"/>
        </w:rPr>
        <w:t>novie</w:t>
      </w:r>
      <w:r w:rsidR="00C019A3" w:rsidRPr="0ADF79A1">
        <w:rPr>
          <w:rFonts w:ascii="Verdana" w:hAnsi="Verdana"/>
          <w:sz w:val="22"/>
          <w:szCs w:val="22"/>
          <w:lang w:val="es-MX" w:eastAsia="es-ES"/>
        </w:rPr>
        <w:t>mbre de 20</w:t>
      </w:r>
      <w:r w:rsidR="00C019A3">
        <w:rPr>
          <w:rFonts w:ascii="Verdana" w:hAnsi="Verdana"/>
          <w:sz w:val="22"/>
          <w:szCs w:val="22"/>
          <w:lang w:val="es-MX" w:eastAsia="es-ES"/>
        </w:rPr>
        <w:t>20</w:t>
      </w:r>
      <w:r w:rsidR="00C019A3" w:rsidRPr="0ADF79A1">
        <w:rPr>
          <w:rFonts w:ascii="Verdana" w:hAnsi="Verdana"/>
          <w:sz w:val="22"/>
          <w:szCs w:val="22"/>
          <w:lang w:val="es-MX" w:eastAsia="es-ES"/>
        </w:rPr>
        <w:t xml:space="preserve"> </w:t>
      </w:r>
      <w:r w:rsidR="00C019A3" w:rsidRPr="006D19B1">
        <w:rPr>
          <w:rFonts w:ascii="Verdana" w:hAnsi="Verdana"/>
          <w:i/>
          <w:iCs/>
          <w:sz w:val="22"/>
          <w:szCs w:val="22"/>
          <w:lang w:val="es-MX" w:eastAsia="es-ES"/>
        </w:rPr>
        <w:t xml:space="preserve">"POR MEDIO DEL CUAL SE AUTORIZA AL ALCALDE MUNICIPAL PARA COMPROMETER VIGENCIAS FUTURAS ORDINARIAS PARA LA EJECUCIÓN DE </w:t>
      </w:r>
      <w:r w:rsidR="00C019A3" w:rsidRPr="006D19B1">
        <w:rPr>
          <w:rFonts w:ascii="Verdana" w:hAnsi="Verdana"/>
          <w:i/>
          <w:iCs/>
          <w:sz w:val="22"/>
          <w:szCs w:val="22"/>
          <w:lang w:val="es-MX" w:eastAsia="es-ES"/>
        </w:rPr>
        <w:lastRenderedPageBreak/>
        <w:t>PROYECTOS DE INVERSION INCLUIDOS EN EL PLAN DE DESARROLLO “CHIVATÁ SOMOS TODOS 2020 - 2023</w:t>
      </w:r>
      <w:r w:rsidR="00C019A3" w:rsidRPr="0ADF79A1">
        <w:rPr>
          <w:rFonts w:ascii="Verdana" w:hAnsi="Verdana"/>
          <w:i/>
          <w:iCs/>
          <w:sz w:val="22"/>
          <w:szCs w:val="22"/>
          <w:lang w:val="es-MX" w:eastAsia="es-ES"/>
        </w:rPr>
        <w:t>”.</w:t>
      </w:r>
      <w:r w:rsidR="00B473EA" w:rsidRPr="0ADF79A1">
        <w:rPr>
          <w:rFonts w:ascii="Verdana" w:hAnsi="Verdana"/>
          <w:i/>
          <w:iCs/>
          <w:sz w:val="22"/>
          <w:szCs w:val="22"/>
          <w:lang w:val="es-MX" w:eastAsia="es-ES"/>
        </w:rPr>
        <w:t xml:space="preserve"> </w:t>
      </w:r>
    </w:p>
    <w:p w14:paraId="3656B9AB" w14:textId="77777777" w:rsidR="0006439E" w:rsidRPr="00134356" w:rsidRDefault="0006439E" w:rsidP="0006439E">
      <w:pPr>
        <w:pStyle w:val="BodyText23"/>
        <w:rPr>
          <w:rFonts w:ascii="Verdana" w:hAnsi="Verdana"/>
          <w:sz w:val="22"/>
          <w:szCs w:val="22"/>
          <w:lang w:val="es-MX" w:eastAsia="es-ES"/>
        </w:rPr>
      </w:pPr>
    </w:p>
    <w:p w14:paraId="75B6C750" w14:textId="60DD800A" w:rsidR="0006439E" w:rsidRPr="00134356" w:rsidRDefault="0006439E" w:rsidP="0006439E">
      <w:pPr>
        <w:pStyle w:val="BodyText23"/>
        <w:rPr>
          <w:rFonts w:ascii="Verdana" w:hAnsi="Verdana"/>
          <w:sz w:val="22"/>
          <w:szCs w:val="22"/>
          <w:lang w:val="es-MX" w:eastAsia="es-ES"/>
        </w:rPr>
      </w:pPr>
      <w:r w:rsidRPr="00134356">
        <w:rPr>
          <w:rFonts w:ascii="Verdana" w:hAnsi="Verdana"/>
          <w:sz w:val="22"/>
          <w:szCs w:val="22"/>
          <w:lang w:val="es-MX" w:eastAsia="es-ES"/>
        </w:rPr>
        <w:t xml:space="preserve">Que el Acuerdo mencionado fue radicado en la Dirección Jurídica del Departamento el </w:t>
      </w:r>
      <w:r w:rsidR="00AB1C8E">
        <w:rPr>
          <w:rFonts w:ascii="Verdana" w:hAnsi="Verdana"/>
          <w:sz w:val="22"/>
          <w:szCs w:val="22"/>
          <w:lang w:val="es-MX" w:eastAsia="es-ES"/>
        </w:rPr>
        <w:t xml:space="preserve">10 </w:t>
      </w:r>
      <w:r w:rsidR="00A75476" w:rsidRPr="00134356">
        <w:rPr>
          <w:rFonts w:ascii="Verdana" w:hAnsi="Verdana"/>
          <w:sz w:val="22"/>
          <w:szCs w:val="22"/>
          <w:lang w:val="es-MX" w:eastAsia="es-ES"/>
        </w:rPr>
        <w:t>de diciembre de 20</w:t>
      </w:r>
      <w:r w:rsidR="00AB1C8E">
        <w:rPr>
          <w:rFonts w:ascii="Verdana" w:hAnsi="Verdana"/>
          <w:sz w:val="22"/>
          <w:szCs w:val="22"/>
          <w:lang w:val="es-MX" w:eastAsia="es-ES"/>
        </w:rPr>
        <w:t>20</w:t>
      </w:r>
      <w:r w:rsidRPr="00134356">
        <w:rPr>
          <w:rFonts w:ascii="Verdana" w:hAnsi="Verdana"/>
          <w:sz w:val="22"/>
          <w:szCs w:val="22"/>
          <w:lang w:val="es-MX" w:eastAsia="es-ES"/>
        </w:rPr>
        <w:t>.</w:t>
      </w:r>
    </w:p>
    <w:p w14:paraId="45FB0818" w14:textId="77777777" w:rsidR="0006439E" w:rsidRPr="00134356" w:rsidRDefault="0006439E" w:rsidP="0006439E">
      <w:pPr>
        <w:pStyle w:val="BodyText23"/>
        <w:rPr>
          <w:rFonts w:ascii="Verdana" w:hAnsi="Verdana"/>
          <w:sz w:val="22"/>
          <w:szCs w:val="22"/>
          <w:lang w:val="es-MX" w:eastAsia="es-ES"/>
        </w:rPr>
      </w:pPr>
    </w:p>
    <w:p w14:paraId="04947202" w14:textId="77777777" w:rsidR="0006439E" w:rsidRPr="00134356" w:rsidRDefault="0006439E" w:rsidP="0006439E">
      <w:pPr>
        <w:pStyle w:val="BodyText23"/>
        <w:rPr>
          <w:rFonts w:ascii="Verdana" w:hAnsi="Verdana"/>
          <w:sz w:val="22"/>
          <w:szCs w:val="22"/>
          <w:lang w:val="es-MX" w:eastAsia="es-ES"/>
        </w:rPr>
      </w:pPr>
      <w:r w:rsidRPr="00134356">
        <w:rPr>
          <w:rFonts w:ascii="Verdana" w:hAnsi="Verdana"/>
          <w:sz w:val="22"/>
          <w:szCs w:val="22"/>
          <w:lang w:val="es-MX" w:eastAsia="es-ES"/>
        </w:rPr>
        <w:t xml:space="preserve">Que una vez realizada la revisión jurídica por parte del Departamento, se encontró que el acuerdo citado es contrario a la Ley. </w:t>
      </w:r>
    </w:p>
    <w:p w14:paraId="049F31CB" w14:textId="77777777" w:rsidR="0006439E" w:rsidRPr="00134356" w:rsidRDefault="0006439E" w:rsidP="0006439E">
      <w:pPr>
        <w:pStyle w:val="BodyText23"/>
        <w:rPr>
          <w:rFonts w:ascii="Verdana" w:hAnsi="Verdana"/>
          <w:sz w:val="22"/>
          <w:szCs w:val="22"/>
          <w:lang w:val="es-MX" w:eastAsia="es-ES"/>
        </w:rPr>
      </w:pPr>
    </w:p>
    <w:p w14:paraId="4B1C1344" w14:textId="77777777" w:rsidR="0006439E" w:rsidRPr="00134356" w:rsidRDefault="0006439E" w:rsidP="0006439E">
      <w:pPr>
        <w:pStyle w:val="BodyText23"/>
        <w:rPr>
          <w:rFonts w:ascii="Verdana" w:hAnsi="Verdana"/>
          <w:b/>
          <w:sz w:val="22"/>
          <w:szCs w:val="22"/>
          <w:lang w:val="es-MX" w:eastAsia="es-ES"/>
        </w:rPr>
      </w:pPr>
      <w:r w:rsidRPr="00134356">
        <w:rPr>
          <w:rFonts w:ascii="Verdana" w:hAnsi="Verdana"/>
          <w:b/>
          <w:sz w:val="22"/>
          <w:szCs w:val="22"/>
          <w:lang w:val="es-MX" w:eastAsia="es-ES"/>
        </w:rPr>
        <w:t xml:space="preserve">2.3.- Normas violadas y concepto de violación </w:t>
      </w:r>
    </w:p>
    <w:p w14:paraId="53128261" w14:textId="51E7E507" w:rsidR="0006439E" w:rsidRDefault="0006439E" w:rsidP="0006439E">
      <w:pPr>
        <w:pStyle w:val="BodyText23"/>
        <w:rPr>
          <w:rFonts w:ascii="Verdana" w:hAnsi="Verdana"/>
          <w:sz w:val="22"/>
          <w:szCs w:val="22"/>
          <w:lang w:val="es-MX" w:eastAsia="es-ES"/>
        </w:rPr>
      </w:pPr>
    </w:p>
    <w:p w14:paraId="67094459" w14:textId="39103BA7" w:rsidR="0006439E" w:rsidRPr="00134356" w:rsidRDefault="00276062" w:rsidP="00276062">
      <w:pPr>
        <w:pStyle w:val="BodyText23"/>
        <w:rPr>
          <w:rFonts w:ascii="Verdana" w:hAnsi="Verdana"/>
          <w:sz w:val="22"/>
          <w:szCs w:val="22"/>
          <w:lang w:val="es-MX" w:eastAsia="es-ES"/>
        </w:rPr>
      </w:pPr>
      <w:r>
        <w:rPr>
          <w:rFonts w:ascii="Verdana" w:hAnsi="Verdana"/>
          <w:sz w:val="22"/>
          <w:szCs w:val="22"/>
          <w:lang w:val="es-MX" w:eastAsia="es-ES"/>
        </w:rPr>
        <w:t xml:space="preserve">Invoca como tales: </w:t>
      </w:r>
      <w:r w:rsidRPr="00276062">
        <w:rPr>
          <w:rFonts w:ascii="Verdana" w:hAnsi="Verdana"/>
          <w:sz w:val="22"/>
          <w:szCs w:val="22"/>
          <w:lang w:val="es-MX" w:eastAsia="es-ES"/>
        </w:rPr>
        <w:t>De orden Constitucional</w:t>
      </w:r>
      <w:r>
        <w:rPr>
          <w:rFonts w:ascii="Verdana" w:hAnsi="Verdana"/>
          <w:sz w:val="22"/>
          <w:szCs w:val="22"/>
          <w:lang w:val="es-MX" w:eastAsia="es-ES"/>
        </w:rPr>
        <w:t xml:space="preserve"> el</w:t>
      </w:r>
      <w:r w:rsidRPr="00276062">
        <w:rPr>
          <w:rFonts w:ascii="Verdana" w:hAnsi="Verdana"/>
          <w:sz w:val="22"/>
          <w:szCs w:val="22"/>
          <w:lang w:val="es-MX" w:eastAsia="es-ES"/>
        </w:rPr>
        <w:t xml:space="preserve"> Artículo 6</w:t>
      </w:r>
      <w:r>
        <w:rPr>
          <w:rFonts w:ascii="Verdana" w:hAnsi="Verdana"/>
          <w:sz w:val="22"/>
          <w:szCs w:val="22"/>
          <w:lang w:val="es-MX" w:eastAsia="es-ES"/>
        </w:rPr>
        <w:t>, d</w:t>
      </w:r>
      <w:r w:rsidRPr="00276062">
        <w:rPr>
          <w:rFonts w:ascii="Verdana" w:hAnsi="Verdana"/>
          <w:sz w:val="22"/>
          <w:szCs w:val="22"/>
          <w:lang w:val="es-MX" w:eastAsia="es-ES"/>
        </w:rPr>
        <w:t>e orden lega</w:t>
      </w:r>
      <w:r>
        <w:rPr>
          <w:rFonts w:ascii="Verdana" w:hAnsi="Verdana"/>
          <w:sz w:val="22"/>
          <w:szCs w:val="22"/>
          <w:lang w:val="es-MX" w:eastAsia="es-ES"/>
        </w:rPr>
        <w:t>l los artículos</w:t>
      </w:r>
      <w:r w:rsidRPr="00276062">
        <w:rPr>
          <w:rFonts w:ascii="Verdana" w:hAnsi="Verdana"/>
          <w:sz w:val="22"/>
          <w:szCs w:val="22"/>
          <w:lang w:val="es-MX" w:eastAsia="es-ES"/>
        </w:rPr>
        <w:t xml:space="preserve"> 8 y 12 de la Ley 819 de 2003 y el </w:t>
      </w:r>
      <w:r>
        <w:rPr>
          <w:rFonts w:ascii="Verdana" w:hAnsi="Verdana"/>
          <w:sz w:val="22"/>
          <w:szCs w:val="22"/>
          <w:lang w:val="es-MX" w:eastAsia="es-ES"/>
        </w:rPr>
        <w:t xml:space="preserve">artículo </w:t>
      </w:r>
      <w:r w:rsidRPr="00276062">
        <w:rPr>
          <w:rFonts w:ascii="Verdana" w:hAnsi="Verdana"/>
          <w:sz w:val="22"/>
          <w:szCs w:val="22"/>
          <w:lang w:val="es-MX" w:eastAsia="es-ES"/>
        </w:rPr>
        <w:t>3 del Decreto 4836 de 2011, que modificó el artículo 1 del Decreto 1957 de 2007</w:t>
      </w:r>
      <w:r w:rsidR="00C436BD">
        <w:rPr>
          <w:rFonts w:ascii="Verdana" w:hAnsi="Verdana"/>
          <w:sz w:val="22"/>
          <w:szCs w:val="22"/>
          <w:lang w:val="es-MX" w:eastAsia="es-ES"/>
        </w:rPr>
        <w:t>.</w:t>
      </w:r>
    </w:p>
    <w:p w14:paraId="62486C05" w14:textId="77777777" w:rsidR="00A75476" w:rsidRPr="00134356" w:rsidRDefault="00A75476" w:rsidP="0006439E">
      <w:pPr>
        <w:pStyle w:val="BodyText23"/>
        <w:rPr>
          <w:rFonts w:ascii="Verdana" w:hAnsi="Verdana"/>
          <w:sz w:val="22"/>
          <w:szCs w:val="22"/>
          <w:lang w:val="es-MX" w:eastAsia="es-ES"/>
        </w:rPr>
      </w:pPr>
    </w:p>
    <w:p w14:paraId="1C1ADB22" w14:textId="068E6B10" w:rsidR="0006439E" w:rsidRPr="00134356" w:rsidRDefault="00A75476" w:rsidP="0006439E">
      <w:pPr>
        <w:pStyle w:val="BodyText23"/>
        <w:rPr>
          <w:rFonts w:ascii="Verdana" w:hAnsi="Verdana"/>
          <w:sz w:val="22"/>
          <w:szCs w:val="22"/>
          <w:lang w:val="es-MX" w:eastAsia="es-ES"/>
        </w:rPr>
      </w:pPr>
      <w:r w:rsidRPr="0ADF79A1">
        <w:rPr>
          <w:rFonts w:ascii="Verdana" w:hAnsi="Verdana"/>
          <w:sz w:val="22"/>
          <w:szCs w:val="22"/>
          <w:lang w:val="es-MX" w:eastAsia="es-ES"/>
        </w:rPr>
        <w:t xml:space="preserve">En el concepto de violación, </w:t>
      </w:r>
      <w:r w:rsidR="001338AC">
        <w:rPr>
          <w:rFonts w:ascii="Verdana" w:hAnsi="Verdana"/>
          <w:sz w:val="22"/>
          <w:szCs w:val="22"/>
          <w:lang w:val="es-MX" w:eastAsia="es-ES"/>
        </w:rPr>
        <w:t xml:space="preserve">la apoderada del Departamento de Boyacá formuló un cargo relativo a la carencia de los requisitos legales de las vigencias futuras ordinarias, al respecto </w:t>
      </w:r>
      <w:r w:rsidRPr="0ADF79A1">
        <w:rPr>
          <w:rFonts w:ascii="Verdana" w:hAnsi="Verdana"/>
          <w:sz w:val="22"/>
          <w:szCs w:val="22"/>
          <w:lang w:val="es-MX" w:eastAsia="es-ES"/>
        </w:rPr>
        <w:t>adujo que el acuerdo no se enmarca dentro del concepto de vigencias futuras ordinarias previsto en el artículo 12 de la ley 819 de 2003, por cuanto</w:t>
      </w:r>
      <w:r w:rsidR="006C7C12">
        <w:rPr>
          <w:rFonts w:ascii="Verdana" w:hAnsi="Verdana"/>
          <w:sz w:val="22"/>
          <w:szCs w:val="22"/>
          <w:lang w:val="es-MX" w:eastAsia="es-ES"/>
        </w:rPr>
        <w:t xml:space="preserve"> no se incluyeron los CDP de </w:t>
      </w:r>
      <w:r w:rsidR="006C7C12" w:rsidRPr="006C7C12">
        <w:rPr>
          <w:rFonts w:ascii="Verdana" w:hAnsi="Verdana"/>
          <w:sz w:val="22"/>
          <w:szCs w:val="22"/>
          <w:lang w:val="es-MX" w:eastAsia="es-ES"/>
        </w:rPr>
        <w:t>los proyectos enunciados</w:t>
      </w:r>
      <w:r w:rsidR="006C7C12">
        <w:rPr>
          <w:rFonts w:ascii="Verdana" w:hAnsi="Verdana"/>
          <w:sz w:val="22"/>
          <w:szCs w:val="22"/>
          <w:lang w:val="es-MX" w:eastAsia="es-ES"/>
        </w:rPr>
        <w:t xml:space="preserve"> en el acuerdo demandado</w:t>
      </w:r>
      <w:r w:rsidR="006C7C12" w:rsidRPr="006C7C12">
        <w:rPr>
          <w:rFonts w:ascii="Verdana" w:hAnsi="Verdana"/>
          <w:sz w:val="22"/>
          <w:szCs w:val="22"/>
          <w:lang w:val="es-MX" w:eastAsia="es-ES"/>
        </w:rPr>
        <w:t xml:space="preserve"> y por el contenido de la exposición de motivos, se concluye que al momento de proferi</w:t>
      </w:r>
      <w:r w:rsidR="006C7C12">
        <w:rPr>
          <w:rFonts w:ascii="Verdana" w:hAnsi="Verdana"/>
          <w:sz w:val="22"/>
          <w:szCs w:val="22"/>
          <w:lang w:val="es-MX" w:eastAsia="es-ES"/>
        </w:rPr>
        <w:t>rlo</w:t>
      </w:r>
      <w:r w:rsidR="006C7C12" w:rsidRPr="006C7C12">
        <w:rPr>
          <w:rFonts w:ascii="Verdana" w:hAnsi="Verdana"/>
          <w:sz w:val="22"/>
          <w:szCs w:val="22"/>
          <w:lang w:val="es-MX" w:eastAsia="es-ES"/>
        </w:rPr>
        <w:t>, no se había iniciado el proceso contractual</w:t>
      </w:r>
      <w:r w:rsidR="006C7C12">
        <w:rPr>
          <w:rFonts w:ascii="Verdana" w:hAnsi="Verdana"/>
          <w:sz w:val="22"/>
          <w:szCs w:val="22"/>
          <w:lang w:val="es-MX" w:eastAsia="es-ES"/>
        </w:rPr>
        <w:t xml:space="preserve">. Adicionalmente, no </w:t>
      </w:r>
      <w:r w:rsidR="006C7C12" w:rsidRPr="006C7C12">
        <w:rPr>
          <w:rFonts w:ascii="Verdana" w:hAnsi="Verdana"/>
          <w:sz w:val="22"/>
          <w:szCs w:val="22"/>
          <w:lang w:val="es-MX" w:eastAsia="es-ES"/>
        </w:rPr>
        <w:t xml:space="preserve">determinó al menos el 15 % de apropiación en la vigencia que se autoriza, </w:t>
      </w:r>
      <w:r w:rsidR="006C7C12">
        <w:rPr>
          <w:rFonts w:ascii="Verdana" w:hAnsi="Verdana"/>
          <w:sz w:val="22"/>
          <w:szCs w:val="22"/>
          <w:lang w:val="es-MX" w:eastAsia="es-ES"/>
        </w:rPr>
        <w:t>siendo este</w:t>
      </w:r>
      <w:r w:rsidR="006C7C12" w:rsidRPr="006C7C12">
        <w:rPr>
          <w:rFonts w:ascii="Verdana" w:hAnsi="Verdana"/>
          <w:sz w:val="22"/>
          <w:szCs w:val="22"/>
          <w:lang w:val="es-MX" w:eastAsia="es-ES"/>
        </w:rPr>
        <w:t xml:space="preserve"> un requisito fundamental para poder aprobar este tipo de iniciativa.</w:t>
      </w:r>
    </w:p>
    <w:p w14:paraId="4101652C" w14:textId="07BFBE29" w:rsidR="00A75476" w:rsidRDefault="00A75476" w:rsidP="0006439E">
      <w:pPr>
        <w:pStyle w:val="BodyText23"/>
        <w:rPr>
          <w:rFonts w:ascii="Verdana" w:hAnsi="Verdana"/>
          <w:sz w:val="22"/>
          <w:szCs w:val="22"/>
          <w:lang w:val="es-MX" w:eastAsia="es-ES"/>
        </w:rPr>
      </w:pPr>
    </w:p>
    <w:p w14:paraId="61EECD96" w14:textId="77F2C7C3" w:rsidR="005B757D" w:rsidRDefault="005B757D" w:rsidP="0006439E">
      <w:pPr>
        <w:pStyle w:val="BodyText23"/>
        <w:rPr>
          <w:rFonts w:ascii="Verdana" w:hAnsi="Verdana"/>
          <w:sz w:val="22"/>
          <w:szCs w:val="22"/>
          <w:lang w:val="es-MX" w:eastAsia="es-ES"/>
        </w:rPr>
      </w:pPr>
      <w:r>
        <w:rPr>
          <w:rFonts w:ascii="Verdana" w:hAnsi="Verdana"/>
          <w:sz w:val="22"/>
          <w:szCs w:val="22"/>
          <w:lang w:val="es-MX" w:eastAsia="es-ES"/>
        </w:rPr>
        <w:t xml:space="preserve">Señaló la entidad demandante que el acuerdo objetado fue sancionado el 3 de diciembre de 2020, lo que implica que el proceso contractual ya se haya iniciado, pues de conformidad con el Decreto 4836 de 2011 </w:t>
      </w:r>
      <w:r w:rsidRPr="005B757D">
        <w:rPr>
          <w:rFonts w:ascii="Verdana" w:hAnsi="Verdana"/>
          <w:sz w:val="22"/>
          <w:szCs w:val="22"/>
          <w:lang w:val="es-MX" w:eastAsia="es-ES"/>
        </w:rPr>
        <w:t>esta forma de asumir vigencias futuras implica la recepción del objeto del proyecto y no el inicio del proceso contractual</w:t>
      </w:r>
      <w:r w:rsidR="005445F1">
        <w:rPr>
          <w:rFonts w:ascii="Verdana" w:hAnsi="Verdana"/>
          <w:sz w:val="22"/>
          <w:szCs w:val="22"/>
          <w:lang w:val="es-MX" w:eastAsia="es-ES"/>
        </w:rPr>
        <w:t xml:space="preserve"> </w:t>
      </w:r>
      <w:bookmarkStart w:id="2" w:name="_Hlk70450637"/>
      <w:r w:rsidR="005445F1">
        <w:rPr>
          <w:rFonts w:ascii="Verdana" w:hAnsi="Verdana"/>
          <w:sz w:val="22"/>
          <w:szCs w:val="22"/>
          <w:lang w:val="es-MX" w:eastAsia="es-ES"/>
        </w:rPr>
        <w:t>(</w:t>
      </w:r>
      <w:r w:rsidR="005445F1" w:rsidRPr="005445F1">
        <w:rPr>
          <w:rFonts w:ascii="Verdana" w:hAnsi="Verdana"/>
          <w:i/>
          <w:iCs/>
          <w:sz w:val="22"/>
          <w:szCs w:val="22"/>
          <w:lang w:val="es-MX" w:eastAsia="es-ES"/>
        </w:rPr>
        <w:t>Documento 1 E.E.)</w:t>
      </w:r>
      <w:r w:rsidR="009F527F">
        <w:rPr>
          <w:rFonts w:ascii="Verdana" w:hAnsi="Verdana"/>
          <w:i/>
          <w:iCs/>
          <w:sz w:val="22"/>
          <w:szCs w:val="22"/>
          <w:lang w:val="es-MX" w:eastAsia="es-ES"/>
        </w:rPr>
        <w:t>.</w:t>
      </w:r>
    </w:p>
    <w:bookmarkEnd w:id="2"/>
    <w:p w14:paraId="4B99056E" w14:textId="77777777" w:rsidR="00A75476" w:rsidRPr="00134356" w:rsidRDefault="00A75476" w:rsidP="0006439E">
      <w:pPr>
        <w:pStyle w:val="BodyText23"/>
        <w:rPr>
          <w:rFonts w:ascii="Verdana" w:hAnsi="Verdana"/>
          <w:sz w:val="22"/>
          <w:szCs w:val="22"/>
          <w:lang w:val="es-MX" w:eastAsia="es-ES"/>
        </w:rPr>
      </w:pPr>
    </w:p>
    <w:p w14:paraId="53F32952" w14:textId="06DE0771" w:rsidR="0006439E" w:rsidRPr="00134356" w:rsidRDefault="0006439E" w:rsidP="0006439E">
      <w:pPr>
        <w:pStyle w:val="BodyText23"/>
        <w:rPr>
          <w:rFonts w:ascii="Verdana" w:hAnsi="Verdana"/>
          <w:sz w:val="22"/>
          <w:szCs w:val="22"/>
          <w:lang w:val="es-MX" w:eastAsia="es-ES"/>
        </w:rPr>
      </w:pPr>
      <w:r w:rsidRPr="00134356">
        <w:rPr>
          <w:rFonts w:ascii="Verdana" w:hAnsi="Verdana"/>
          <w:b/>
          <w:sz w:val="22"/>
          <w:szCs w:val="22"/>
          <w:lang w:val="es-MX" w:eastAsia="es-ES"/>
        </w:rPr>
        <w:t xml:space="preserve">2.4. Respuesta del municipio de </w:t>
      </w:r>
      <w:r w:rsidR="005445F1">
        <w:rPr>
          <w:rFonts w:ascii="Verdana" w:hAnsi="Verdana"/>
          <w:b/>
          <w:sz w:val="22"/>
          <w:szCs w:val="22"/>
          <w:lang w:val="es-MX" w:eastAsia="es-ES"/>
        </w:rPr>
        <w:t>Chivat</w:t>
      </w:r>
      <w:r w:rsidR="00B473EA" w:rsidRPr="00134356">
        <w:rPr>
          <w:rFonts w:ascii="Verdana" w:hAnsi="Verdana"/>
          <w:b/>
          <w:sz w:val="22"/>
          <w:szCs w:val="22"/>
          <w:lang w:val="es-MX" w:eastAsia="es-ES"/>
        </w:rPr>
        <w:t>á</w:t>
      </w:r>
      <w:r w:rsidR="009F527F">
        <w:rPr>
          <w:rFonts w:ascii="Verdana" w:hAnsi="Verdana"/>
          <w:b/>
          <w:sz w:val="22"/>
          <w:szCs w:val="22"/>
          <w:lang w:val="es-MX" w:eastAsia="es-ES"/>
        </w:rPr>
        <w:t xml:space="preserve"> </w:t>
      </w:r>
      <w:r w:rsidR="009F527F" w:rsidRPr="009F527F">
        <w:rPr>
          <w:rFonts w:ascii="Verdana" w:hAnsi="Verdana"/>
          <w:b/>
          <w:sz w:val="22"/>
          <w:szCs w:val="22"/>
          <w:lang w:val="es-MX" w:eastAsia="es-ES"/>
        </w:rPr>
        <w:t xml:space="preserve">(Documento </w:t>
      </w:r>
      <w:r w:rsidR="009F527F">
        <w:rPr>
          <w:rFonts w:ascii="Verdana" w:hAnsi="Verdana"/>
          <w:b/>
          <w:sz w:val="22"/>
          <w:szCs w:val="22"/>
          <w:lang w:val="es-MX" w:eastAsia="es-ES"/>
        </w:rPr>
        <w:t>9</w:t>
      </w:r>
      <w:r w:rsidR="009F527F" w:rsidRPr="009F527F">
        <w:rPr>
          <w:rFonts w:ascii="Verdana" w:hAnsi="Verdana"/>
          <w:b/>
          <w:sz w:val="22"/>
          <w:szCs w:val="22"/>
          <w:lang w:val="es-MX" w:eastAsia="es-ES"/>
        </w:rPr>
        <w:t xml:space="preserve"> E.E.).</w:t>
      </w:r>
    </w:p>
    <w:p w14:paraId="1299C43A" w14:textId="77777777" w:rsidR="0006439E" w:rsidRPr="00134356" w:rsidRDefault="0006439E" w:rsidP="0006439E">
      <w:pPr>
        <w:pStyle w:val="BodyText23"/>
        <w:rPr>
          <w:rFonts w:ascii="Verdana" w:hAnsi="Verdana"/>
          <w:sz w:val="22"/>
          <w:szCs w:val="22"/>
          <w:lang w:val="es-MX" w:eastAsia="es-ES"/>
        </w:rPr>
      </w:pPr>
    </w:p>
    <w:p w14:paraId="1ECEF0F8" w14:textId="3BC08965" w:rsidR="00F16113" w:rsidRDefault="008C1A86" w:rsidP="0006439E">
      <w:pPr>
        <w:pStyle w:val="BodyText23"/>
        <w:rPr>
          <w:rFonts w:ascii="Verdana" w:hAnsi="Verdana"/>
          <w:sz w:val="22"/>
          <w:szCs w:val="22"/>
          <w:lang w:val="es-MX" w:eastAsia="es-ES"/>
        </w:rPr>
      </w:pPr>
      <w:r w:rsidRPr="4F77423D">
        <w:rPr>
          <w:rFonts w:ascii="Verdana" w:hAnsi="Verdana"/>
          <w:sz w:val="22"/>
          <w:szCs w:val="22"/>
          <w:lang w:val="es-MX" w:eastAsia="es-ES"/>
        </w:rPr>
        <w:t xml:space="preserve">La entidad demandada contestó la demanda a través de su apoderado judicial </w:t>
      </w:r>
      <w:r w:rsidR="001857AB" w:rsidRPr="4F77423D">
        <w:rPr>
          <w:rFonts w:ascii="Verdana" w:hAnsi="Verdana"/>
          <w:sz w:val="22"/>
          <w:szCs w:val="22"/>
          <w:lang w:val="es-MX" w:eastAsia="es-ES"/>
        </w:rPr>
        <w:t xml:space="preserve">solicitando se niegue la pretensión de invalidez del acuerdo objetado, para lo cual </w:t>
      </w:r>
      <w:r w:rsidR="00F16113" w:rsidRPr="4F77423D">
        <w:rPr>
          <w:rFonts w:ascii="Verdana" w:hAnsi="Verdana"/>
          <w:sz w:val="22"/>
          <w:szCs w:val="22"/>
          <w:lang w:val="es-MX" w:eastAsia="es-ES"/>
        </w:rPr>
        <w:t xml:space="preserve">hizo referencia </w:t>
      </w:r>
      <w:r w:rsidR="68B72B3B" w:rsidRPr="4F77423D">
        <w:rPr>
          <w:rFonts w:ascii="Verdana" w:hAnsi="Verdana"/>
          <w:sz w:val="22"/>
          <w:szCs w:val="22"/>
          <w:lang w:val="es-MX" w:eastAsia="es-ES"/>
        </w:rPr>
        <w:t>a los</w:t>
      </w:r>
      <w:r w:rsidRPr="4F77423D">
        <w:rPr>
          <w:rFonts w:ascii="Verdana" w:hAnsi="Verdana"/>
          <w:sz w:val="22"/>
          <w:szCs w:val="22"/>
          <w:lang w:val="es-MX" w:eastAsia="es-ES"/>
        </w:rPr>
        <w:t xml:space="preserve"> antecedentes del acto administrativo</w:t>
      </w:r>
      <w:r w:rsidR="00F16113" w:rsidRPr="4F77423D">
        <w:rPr>
          <w:rFonts w:ascii="Verdana" w:hAnsi="Verdana"/>
          <w:sz w:val="22"/>
          <w:szCs w:val="22"/>
          <w:lang w:val="es-MX" w:eastAsia="es-ES"/>
        </w:rPr>
        <w:t>, así:</w:t>
      </w:r>
    </w:p>
    <w:p w14:paraId="10A0F069" w14:textId="7D2EF3D9" w:rsidR="0006439E" w:rsidRDefault="00F16113" w:rsidP="0006439E">
      <w:pPr>
        <w:pStyle w:val="BodyText23"/>
        <w:rPr>
          <w:rFonts w:ascii="Verdana" w:hAnsi="Verdana"/>
          <w:sz w:val="22"/>
          <w:szCs w:val="22"/>
          <w:lang w:val="es-MX" w:eastAsia="es-ES"/>
        </w:rPr>
      </w:pPr>
      <w:r>
        <w:rPr>
          <w:rFonts w:ascii="Verdana" w:hAnsi="Verdana"/>
          <w:sz w:val="22"/>
          <w:szCs w:val="22"/>
          <w:lang w:val="es-MX" w:eastAsia="es-ES"/>
        </w:rPr>
        <w:lastRenderedPageBreak/>
        <w:t>S</w:t>
      </w:r>
      <w:r w:rsidR="008C1A86">
        <w:rPr>
          <w:rFonts w:ascii="Verdana" w:hAnsi="Verdana"/>
          <w:sz w:val="22"/>
          <w:szCs w:val="22"/>
          <w:lang w:val="es-MX" w:eastAsia="es-ES"/>
        </w:rPr>
        <w:t xml:space="preserve">eñaló que el municipio de Chivatá determinó la necesidad de contratar los bienes y servicios enunciados en el acuerdo objetado y que dentro de los estudios previos </w:t>
      </w:r>
      <w:r w:rsidR="008C1A86" w:rsidRPr="008C1A86">
        <w:rPr>
          <w:rFonts w:ascii="Verdana" w:hAnsi="Verdana"/>
          <w:sz w:val="22"/>
          <w:szCs w:val="22"/>
          <w:lang w:val="es-MX" w:eastAsia="es-ES"/>
        </w:rPr>
        <w:t xml:space="preserve">definió que el </w:t>
      </w:r>
      <w:r w:rsidR="008C1A86" w:rsidRPr="001857AB">
        <w:rPr>
          <w:rFonts w:ascii="Verdana" w:hAnsi="Verdana"/>
          <w:sz w:val="22"/>
          <w:szCs w:val="22"/>
          <w:lang w:val="es-MX" w:eastAsia="es-ES"/>
        </w:rPr>
        <w:t>bien o servicio se recibiría en la vigencia 2021.</w:t>
      </w:r>
    </w:p>
    <w:p w14:paraId="0D4DC392" w14:textId="77777777" w:rsidR="000D2412" w:rsidRDefault="000D2412" w:rsidP="0006439E">
      <w:pPr>
        <w:pStyle w:val="BodyText23"/>
        <w:rPr>
          <w:rFonts w:ascii="Verdana" w:hAnsi="Verdana"/>
          <w:sz w:val="22"/>
          <w:szCs w:val="22"/>
          <w:lang w:val="es-MX" w:eastAsia="es-ES"/>
        </w:rPr>
      </w:pPr>
    </w:p>
    <w:p w14:paraId="33B9F99C" w14:textId="08240C9D" w:rsidR="00903DD1" w:rsidRDefault="0082623C" w:rsidP="00903DD1">
      <w:pPr>
        <w:pStyle w:val="BodyText23"/>
        <w:rPr>
          <w:rFonts w:ascii="Verdana" w:hAnsi="Verdana"/>
          <w:sz w:val="22"/>
          <w:szCs w:val="22"/>
          <w:lang w:val="es-MX" w:eastAsia="es-ES"/>
        </w:rPr>
      </w:pPr>
      <w:r>
        <w:rPr>
          <w:rFonts w:ascii="Verdana" w:hAnsi="Verdana"/>
          <w:sz w:val="22"/>
          <w:szCs w:val="22"/>
          <w:lang w:val="es-MX" w:eastAsia="es-ES"/>
        </w:rPr>
        <w:t xml:space="preserve">Asimismo, indicó que el ente territorial contaba en la vigencia 2020 con la disponibilidad presupuestal para adquirir </w:t>
      </w:r>
      <w:r w:rsidRPr="0082623C">
        <w:rPr>
          <w:rFonts w:ascii="Verdana" w:hAnsi="Verdana"/>
          <w:sz w:val="22"/>
          <w:szCs w:val="22"/>
          <w:lang w:val="es-MX" w:eastAsia="es-ES"/>
        </w:rPr>
        <w:t>cada uno de los bienes y servicios</w:t>
      </w:r>
      <w:r>
        <w:rPr>
          <w:rFonts w:ascii="Verdana" w:hAnsi="Verdana"/>
          <w:sz w:val="22"/>
          <w:szCs w:val="22"/>
          <w:lang w:val="es-MX" w:eastAsia="es-ES"/>
        </w:rPr>
        <w:t>, siendo expedidos los respectivos certificados de disponibilidad presupuestal e</w:t>
      </w:r>
      <w:r w:rsidR="00903DD1">
        <w:rPr>
          <w:rFonts w:ascii="Verdana" w:hAnsi="Verdana"/>
          <w:sz w:val="22"/>
          <w:szCs w:val="22"/>
          <w:lang w:val="es-MX" w:eastAsia="es-ES"/>
        </w:rPr>
        <w:t>l 1</w:t>
      </w:r>
      <w:r w:rsidR="000D59F9">
        <w:rPr>
          <w:rFonts w:ascii="Verdana" w:hAnsi="Verdana"/>
          <w:sz w:val="22"/>
          <w:szCs w:val="22"/>
          <w:lang w:val="es-MX" w:eastAsia="es-ES"/>
        </w:rPr>
        <w:t>6</w:t>
      </w:r>
      <w:r w:rsidR="00903DD1">
        <w:rPr>
          <w:rFonts w:ascii="Verdana" w:hAnsi="Verdana"/>
          <w:sz w:val="22"/>
          <w:szCs w:val="22"/>
          <w:lang w:val="es-MX" w:eastAsia="es-ES"/>
        </w:rPr>
        <w:t xml:space="preserve"> de</w:t>
      </w:r>
      <w:r>
        <w:rPr>
          <w:rFonts w:ascii="Verdana" w:hAnsi="Verdana"/>
          <w:sz w:val="22"/>
          <w:szCs w:val="22"/>
          <w:lang w:val="es-MX" w:eastAsia="es-ES"/>
        </w:rPr>
        <w:t xml:space="preserve"> octubre de 2020</w:t>
      </w:r>
      <w:r w:rsidR="00903DD1">
        <w:rPr>
          <w:rFonts w:ascii="Verdana" w:hAnsi="Verdana"/>
          <w:sz w:val="22"/>
          <w:szCs w:val="22"/>
          <w:lang w:val="es-MX" w:eastAsia="es-ES"/>
        </w:rPr>
        <w:t xml:space="preserve">, esto es, CDP´s No. </w:t>
      </w:r>
      <w:r w:rsidR="00903DD1" w:rsidRPr="00903DD1">
        <w:rPr>
          <w:rFonts w:ascii="Verdana" w:hAnsi="Verdana"/>
          <w:sz w:val="22"/>
          <w:szCs w:val="22"/>
          <w:lang w:val="es-MX" w:eastAsia="es-ES"/>
        </w:rPr>
        <w:t>20200394, 20200395, 20200396,  20200398, 20200410, 20200411</w:t>
      </w:r>
      <w:r w:rsidR="00903DD1">
        <w:rPr>
          <w:rFonts w:ascii="Verdana" w:hAnsi="Verdana"/>
          <w:sz w:val="22"/>
          <w:szCs w:val="22"/>
          <w:lang w:val="es-MX" w:eastAsia="es-ES"/>
        </w:rPr>
        <w:t xml:space="preserve"> y </w:t>
      </w:r>
      <w:r w:rsidR="00903DD1" w:rsidRPr="00903DD1">
        <w:rPr>
          <w:rFonts w:ascii="Verdana" w:hAnsi="Verdana"/>
          <w:sz w:val="22"/>
          <w:szCs w:val="22"/>
          <w:lang w:val="es-MX" w:eastAsia="es-ES"/>
        </w:rPr>
        <w:t>20200423</w:t>
      </w:r>
      <w:r w:rsidR="00903DD1">
        <w:rPr>
          <w:rFonts w:ascii="Verdana" w:hAnsi="Verdana"/>
          <w:sz w:val="22"/>
          <w:szCs w:val="22"/>
          <w:lang w:val="es-MX" w:eastAsia="es-ES"/>
        </w:rPr>
        <w:t xml:space="preserve">, </w:t>
      </w:r>
      <w:r>
        <w:rPr>
          <w:rFonts w:ascii="Verdana" w:hAnsi="Verdana"/>
          <w:sz w:val="22"/>
          <w:szCs w:val="22"/>
          <w:lang w:val="es-MX" w:eastAsia="es-ES"/>
        </w:rPr>
        <w:t>lo cual se acredita</w:t>
      </w:r>
      <w:r w:rsidR="00903DD1">
        <w:rPr>
          <w:rFonts w:ascii="Verdana" w:hAnsi="Verdana"/>
          <w:sz w:val="22"/>
          <w:szCs w:val="22"/>
          <w:lang w:val="es-MX" w:eastAsia="es-ES"/>
        </w:rPr>
        <w:t xml:space="preserve"> además</w:t>
      </w:r>
      <w:r>
        <w:rPr>
          <w:rFonts w:ascii="Verdana" w:hAnsi="Verdana"/>
          <w:sz w:val="22"/>
          <w:szCs w:val="22"/>
          <w:lang w:val="es-MX" w:eastAsia="es-ES"/>
        </w:rPr>
        <w:t xml:space="preserve"> con </w:t>
      </w:r>
      <w:r w:rsidR="00903DD1">
        <w:rPr>
          <w:rFonts w:ascii="Verdana" w:hAnsi="Verdana"/>
          <w:sz w:val="22"/>
          <w:szCs w:val="22"/>
          <w:lang w:val="es-MX" w:eastAsia="es-ES"/>
        </w:rPr>
        <w:t>lo consignado en el</w:t>
      </w:r>
      <w:r w:rsidRPr="0082623C">
        <w:rPr>
          <w:rFonts w:ascii="Verdana" w:hAnsi="Verdana"/>
          <w:sz w:val="22"/>
          <w:szCs w:val="22"/>
          <w:lang w:val="es-MX" w:eastAsia="es-ES"/>
        </w:rPr>
        <w:t xml:space="preserve"> acta de reunión del CONFIS municipal,</w:t>
      </w:r>
      <w:r w:rsidR="00FA39D8">
        <w:rPr>
          <w:rFonts w:ascii="Verdana" w:hAnsi="Verdana"/>
          <w:sz w:val="22"/>
          <w:szCs w:val="22"/>
          <w:lang w:val="es-MX" w:eastAsia="es-ES"/>
        </w:rPr>
        <w:t xml:space="preserve"> por tanto, adujo</w:t>
      </w:r>
      <w:r w:rsidRPr="0082623C">
        <w:rPr>
          <w:rFonts w:ascii="Verdana" w:hAnsi="Verdana"/>
          <w:sz w:val="22"/>
          <w:szCs w:val="22"/>
          <w:lang w:val="es-MX" w:eastAsia="es-ES"/>
        </w:rPr>
        <w:t xml:space="preserve"> </w:t>
      </w:r>
      <w:r w:rsidR="00FA39D8" w:rsidRPr="00FA39D8">
        <w:rPr>
          <w:rFonts w:ascii="Verdana" w:hAnsi="Verdana"/>
          <w:sz w:val="22"/>
          <w:szCs w:val="22"/>
          <w:lang w:val="es-MX" w:eastAsia="es-ES"/>
        </w:rPr>
        <w:t>que al contarse con el 100 % de los recursos para amparar los compromisos contractuales se cumplía con la exigencia de</w:t>
      </w:r>
      <w:r w:rsidR="00FA39D8">
        <w:rPr>
          <w:rFonts w:ascii="Verdana" w:hAnsi="Verdana"/>
          <w:sz w:val="22"/>
          <w:szCs w:val="22"/>
          <w:lang w:val="es-MX" w:eastAsia="es-ES"/>
        </w:rPr>
        <w:t>l literal b del artículo 12 de</w:t>
      </w:r>
      <w:r w:rsidR="00FA39D8" w:rsidRPr="00FA39D8">
        <w:rPr>
          <w:rFonts w:ascii="Verdana" w:hAnsi="Verdana"/>
          <w:sz w:val="22"/>
          <w:szCs w:val="22"/>
          <w:lang w:val="es-MX" w:eastAsia="es-ES"/>
        </w:rPr>
        <w:t xml:space="preserve"> la </w:t>
      </w:r>
      <w:r w:rsidR="00FA39D8">
        <w:rPr>
          <w:rFonts w:ascii="Verdana" w:hAnsi="Verdana"/>
          <w:sz w:val="22"/>
          <w:szCs w:val="22"/>
          <w:lang w:val="es-MX" w:eastAsia="es-ES"/>
        </w:rPr>
        <w:t>L</w:t>
      </w:r>
      <w:r w:rsidR="00FA39D8" w:rsidRPr="00FA39D8">
        <w:rPr>
          <w:rFonts w:ascii="Verdana" w:hAnsi="Verdana"/>
          <w:sz w:val="22"/>
          <w:szCs w:val="22"/>
          <w:lang w:val="es-MX" w:eastAsia="es-ES"/>
        </w:rPr>
        <w:t xml:space="preserve">ey 819 de 2003 </w:t>
      </w:r>
      <w:r w:rsidR="00FA39D8">
        <w:rPr>
          <w:rFonts w:ascii="Verdana" w:hAnsi="Verdana"/>
          <w:sz w:val="22"/>
          <w:szCs w:val="22"/>
          <w:lang w:val="es-MX" w:eastAsia="es-ES"/>
        </w:rPr>
        <w:t xml:space="preserve">que </w:t>
      </w:r>
      <w:r w:rsidR="00FA39D8" w:rsidRPr="00FA39D8">
        <w:rPr>
          <w:rFonts w:ascii="Verdana" w:hAnsi="Verdana"/>
          <w:sz w:val="22"/>
          <w:szCs w:val="22"/>
          <w:lang w:val="es-MX" w:eastAsia="es-ES"/>
        </w:rPr>
        <w:t>r</w:t>
      </w:r>
      <w:r w:rsidR="000D2412">
        <w:rPr>
          <w:rFonts w:ascii="Verdana" w:hAnsi="Verdana"/>
          <w:sz w:val="22"/>
          <w:szCs w:val="22"/>
          <w:lang w:val="es-MX" w:eastAsia="es-ES"/>
        </w:rPr>
        <w:t>equiere</w:t>
      </w:r>
      <w:r w:rsidR="00FA39D8" w:rsidRPr="00FA39D8">
        <w:rPr>
          <w:rFonts w:ascii="Verdana" w:hAnsi="Verdana"/>
          <w:sz w:val="22"/>
          <w:szCs w:val="22"/>
          <w:lang w:val="es-MX" w:eastAsia="es-ES"/>
        </w:rPr>
        <w:t xml:space="preserve"> mínimo el 15 % del monto del compromiso a adquirir</w:t>
      </w:r>
      <w:r w:rsidR="00903DD1">
        <w:rPr>
          <w:rFonts w:ascii="Verdana" w:hAnsi="Verdana"/>
          <w:sz w:val="22"/>
          <w:szCs w:val="22"/>
          <w:lang w:val="es-MX" w:eastAsia="es-ES"/>
        </w:rPr>
        <w:t>.</w:t>
      </w:r>
    </w:p>
    <w:p w14:paraId="372969CB" w14:textId="100F3D93" w:rsidR="0082623C" w:rsidRDefault="00903DD1" w:rsidP="00903DD1">
      <w:pPr>
        <w:pStyle w:val="BodyText23"/>
        <w:rPr>
          <w:rFonts w:ascii="Verdana" w:hAnsi="Verdana"/>
          <w:sz w:val="22"/>
          <w:szCs w:val="22"/>
          <w:lang w:val="es-MX" w:eastAsia="es-ES"/>
        </w:rPr>
      </w:pPr>
      <w:r>
        <w:rPr>
          <w:rFonts w:ascii="Verdana" w:hAnsi="Verdana"/>
          <w:sz w:val="22"/>
          <w:szCs w:val="22"/>
          <w:lang w:val="es-MX" w:eastAsia="es-ES"/>
        </w:rPr>
        <w:t xml:space="preserve"> </w:t>
      </w:r>
    </w:p>
    <w:p w14:paraId="01C0AD6D" w14:textId="57B0C078" w:rsidR="0082623C" w:rsidRDefault="00FA39D8" w:rsidP="0006439E">
      <w:pPr>
        <w:pStyle w:val="BodyText23"/>
        <w:rPr>
          <w:rFonts w:ascii="Verdana" w:hAnsi="Verdana"/>
          <w:sz w:val="22"/>
          <w:szCs w:val="22"/>
          <w:lang w:val="es-MX" w:eastAsia="es-ES"/>
        </w:rPr>
      </w:pPr>
      <w:r w:rsidRPr="00FA39D8">
        <w:rPr>
          <w:rFonts w:ascii="Verdana" w:hAnsi="Verdana"/>
          <w:sz w:val="22"/>
          <w:szCs w:val="22"/>
          <w:lang w:val="es-MX" w:eastAsia="es-ES"/>
        </w:rPr>
        <w:t xml:space="preserve">Por lo </w:t>
      </w:r>
      <w:r>
        <w:rPr>
          <w:rFonts w:ascii="Verdana" w:hAnsi="Verdana"/>
          <w:sz w:val="22"/>
          <w:szCs w:val="22"/>
          <w:lang w:val="es-MX" w:eastAsia="es-ES"/>
        </w:rPr>
        <w:t>anterior</w:t>
      </w:r>
      <w:r w:rsidRPr="00FA39D8">
        <w:rPr>
          <w:rFonts w:ascii="Verdana" w:hAnsi="Verdana"/>
          <w:sz w:val="22"/>
          <w:szCs w:val="22"/>
          <w:lang w:val="es-MX" w:eastAsia="es-ES"/>
        </w:rPr>
        <w:t xml:space="preserve">, </w:t>
      </w:r>
      <w:r>
        <w:rPr>
          <w:rFonts w:ascii="Verdana" w:hAnsi="Verdana"/>
          <w:sz w:val="22"/>
          <w:szCs w:val="22"/>
          <w:lang w:val="es-MX" w:eastAsia="es-ES"/>
        </w:rPr>
        <w:t>sostuvo que la</w:t>
      </w:r>
      <w:r w:rsidRPr="00FA39D8">
        <w:rPr>
          <w:rFonts w:ascii="Verdana" w:hAnsi="Verdana"/>
          <w:sz w:val="22"/>
          <w:szCs w:val="22"/>
          <w:lang w:val="es-MX" w:eastAsia="es-ES"/>
        </w:rPr>
        <w:t xml:space="preserve"> finalidad del acuerdo </w:t>
      </w:r>
      <w:r>
        <w:rPr>
          <w:rFonts w:ascii="Verdana" w:hAnsi="Verdana"/>
          <w:sz w:val="22"/>
          <w:szCs w:val="22"/>
          <w:lang w:val="es-MX" w:eastAsia="es-ES"/>
        </w:rPr>
        <w:t xml:space="preserve">fue la de </w:t>
      </w:r>
      <w:r w:rsidRPr="00FA39D8">
        <w:rPr>
          <w:rFonts w:ascii="Verdana" w:hAnsi="Verdana"/>
          <w:sz w:val="22"/>
          <w:szCs w:val="22"/>
          <w:lang w:val="es-MX" w:eastAsia="es-ES"/>
        </w:rPr>
        <w:t>obtener autorización del Concejo para comprometer vigencias futuras de ejecución, en razón de haberse determinado que los bienes y servicios se recibirían en vigencia diferente a la vigencia en la que se iniciaba el proceso de contratación</w:t>
      </w:r>
      <w:r w:rsidR="00EB0544">
        <w:rPr>
          <w:rFonts w:ascii="Verdana" w:hAnsi="Verdana"/>
          <w:sz w:val="22"/>
          <w:szCs w:val="22"/>
          <w:lang w:val="es-MX" w:eastAsia="es-ES"/>
        </w:rPr>
        <w:t xml:space="preserve"> y que la entidad demandada de manera errónea asumió que el municipio estaba tramitando vigencias futuras ordinarias</w:t>
      </w:r>
      <w:r w:rsidR="00195BE4">
        <w:rPr>
          <w:rFonts w:ascii="Verdana" w:hAnsi="Verdana"/>
          <w:sz w:val="22"/>
          <w:szCs w:val="22"/>
          <w:lang w:val="es-MX" w:eastAsia="es-ES"/>
        </w:rPr>
        <w:t xml:space="preserve"> </w:t>
      </w:r>
      <w:r w:rsidR="00195BE4" w:rsidRPr="00195BE4">
        <w:rPr>
          <w:rFonts w:ascii="Verdana" w:hAnsi="Verdana"/>
          <w:sz w:val="22"/>
          <w:szCs w:val="22"/>
          <w:lang w:val="es-MX" w:eastAsia="es-ES"/>
        </w:rPr>
        <w:t>reguladas en el artículo 12 de la ley 819 de 2013</w:t>
      </w:r>
      <w:r w:rsidR="00EB0544">
        <w:rPr>
          <w:rFonts w:ascii="Verdana" w:hAnsi="Verdana"/>
          <w:sz w:val="22"/>
          <w:szCs w:val="22"/>
          <w:lang w:val="es-MX" w:eastAsia="es-ES"/>
        </w:rPr>
        <w:t xml:space="preserve">, </w:t>
      </w:r>
      <w:r w:rsidR="00EB0544" w:rsidRPr="00EB0544">
        <w:rPr>
          <w:rFonts w:ascii="Verdana" w:hAnsi="Verdana"/>
          <w:sz w:val="22"/>
          <w:szCs w:val="22"/>
          <w:lang w:val="es-MX" w:eastAsia="es-ES"/>
        </w:rPr>
        <w:t>dirigidas a obtener financiación de los proyectos con recursos de la</w:t>
      </w:r>
      <w:r w:rsidR="00EB0544">
        <w:rPr>
          <w:rFonts w:ascii="Verdana" w:hAnsi="Verdana"/>
          <w:sz w:val="22"/>
          <w:szCs w:val="22"/>
          <w:lang w:val="es-MX" w:eastAsia="es-ES"/>
        </w:rPr>
        <w:t>(s)</w:t>
      </w:r>
      <w:r w:rsidR="00EB0544" w:rsidRPr="00EB0544">
        <w:rPr>
          <w:rFonts w:ascii="Verdana" w:hAnsi="Verdana"/>
          <w:sz w:val="22"/>
          <w:szCs w:val="22"/>
          <w:lang w:val="es-MX" w:eastAsia="es-ES"/>
        </w:rPr>
        <w:t xml:space="preserve"> siguiente</w:t>
      </w:r>
      <w:r w:rsidR="00EB0544">
        <w:rPr>
          <w:rFonts w:ascii="Verdana" w:hAnsi="Verdana"/>
          <w:sz w:val="22"/>
          <w:szCs w:val="22"/>
          <w:lang w:val="es-MX" w:eastAsia="es-ES"/>
        </w:rPr>
        <w:t xml:space="preserve">(s) </w:t>
      </w:r>
      <w:r w:rsidR="00EB0544" w:rsidRPr="00EB0544">
        <w:rPr>
          <w:rFonts w:ascii="Verdana" w:hAnsi="Verdana"/>
          <w:sz w:val="22"/>
          <w:szCs w:val="22"/>
          <w:lang w:val="es-MX" w:eastAsia="es-ES"/>
        </w:rPr>
        <w:t>vigencia</w:t>
      </w:r>
      <w:r w:rsidR="00EB0544">
        <w:rPr>
          <w:rFonts w:ascii="Verdana" w:hAnsi="Verdana"/>
          <w:sz w:val="22"/>
          <w:szCs w:val="22"/>
          <w:lang w:val="es-MX" w:eastAsia="es-ES"/>
        </w:rPr>
        <w:t>(s).</w:t>
      </w:r>
    </w:p>
    <w:p w14:paraId="384FB6DD" w14:textId="77777777" w:rsidR="00A35ACA" w:rsidRDefault="00A35ACA" w:rsidP="00A35ACA">
      <w:pPr>
        <w:pStyle w:val="BodyText23"/>
        <w:rPr>
          <w:rFonts w:ascii="Verdana" w:hAnsi="Verdana"/>
          <w:sz w:val="22"/>
          <w:szCs w:val="22"/>
          <w:lang w:val="es-MX" w:eastAsia="es-ES"/>
        </w:rPr>
      </w:pPr>
    </w:p>
    <w:p w14:paraId="4ED206E6" w14:textId="348A41BD" w:rsidR="008C1A86" w:rsidRPr="00134356" w:rsidRDefault="00A35ACA" w:rsidP="00A35ACA">
      <w:pPr>
        <w:pStyle w:val="BodyText23"/>
        <w:rPr>
          <w:rFonts w:ascii="Verdana" w:hAnsi="Verdana"/>
          <w:sz w:val="22"/>
          <w:szCs w:val="22"/>
          <w:lang w:val="es-MX" w:eastAsia="es-ES"/>
        </w:rPr>
      </w:pPr>
      <w:r>
        <w:rPr>
          <w:rFonts w:ascii="Verdana" w:hAnsi="Verdana"/>
          <w:sz w:val="22"/>
          <w:szCs w:val="22"/>
          <w:lang w:val="es-MX" w:eastAsia="es-ES"/>
        </w:rPr>
        <w:t xml:space="preserve">Adujo que el acuerdo en mención se expidió tomando como base la </w:t>
      </w:r>
      <w:r w:rsidRPr="00A35ACA">
        <w:rPr>
          <w:rFonts w:ascii="Verdana" w:hAnsi="Verdana"/>
          <w:sz w:val="22"/>
          <w:szCs w:val="22"/>
          <w:lang w:val="es-MX" w:eastAsia="es-ES"/>
        </w:rPr>
        <w:t>Circular Externa No. 43 de diciembre 22 de 2008</w:t>
      </w:r>
      <w:r>
        <w:rPr>
          <w:rFonts w:ascii="Verdana" w:hAnsi="Verdana"/>
          <w:sz w:val="22"/>
          <w:szCs w:val="22"/>
          <w:lang w:val="es-MX" w:eastAsia="es-ES"/>
        </w:rPr>
        <w:t xml:space="preserve"> del</w:t>
      </w:r>
      <w:r w:rsidRPr="00A35ACA">
        <w:rPr>
          <w:rFonts w:ascii="Verdana" w:hAnsi="Verdana"/>
          <w:sz w:val="22"/>
          <w:szCs w:val="22"/>
          <w:lang w:val="es-MX" w:eastAsia="es-ES"/>
        </w:rPr>
        <w:t xml:space="preserve"> Ministerio de Hacienda y Crédito Público </w:t>
      </w:r>
      <w:r w:rsidR="00EE3EB8">
        <w:rPr>
          <w:rFonts w:ascii="Verdana" w:hAnsi="Verdana"/>
          <w:sz w:val="22"/>
          <w:szCs w:val="22"/>
          <w:lang w:val="es-MX" w:eastAsia="es-ES"/>
        </w:rPr>
        <w:t xml:space="preserve">por medio de la cual se implementó la figura de vigencias futuras de ejecución, que anteriormente se conocía como reserva presupuestal, </w:t>
      </w:r>
      <w:r>
        <w:rPr>
          <w:rFonts w:ascii="Verdana" w:hAnsi="Verdana"/>
          <w:sz w:val="22"/>
          <w:szCs w:val="22"/>
          <w:lang w:val="es-MX" w:eastAsia="es-ES"/>
        </w:rPr>
        <w:t>con el fin de</w:t>
      </w:r>
      <w:r w:rsidRPr="00A35ACA">
        <w:rPr>
          <w:rFonts w:ascii="Verdana" w:hAnsi="Verdana"/>
          <w:sz w:val="22"/>
          <w:szCs w:val="22"/>
          <w:lang w:val="es-MX" w:eastAsia="es-ES"/>
        </w:rPr>
        <w:t xml:space="preserve"> obtener autorización del Concejo para recibir el bien o servicios en vigencia diferente a la que se iniciaban los procesos de selección, los cuales se encontraban financiados en un 100 % con</w:t>
      </w:r>
      <w:r>
        <w:rPr>
          <w:rFonts w:ascii="Verdana" w:hAnsi="Verdana"/>
          <w:sz w:val="22"/>
          <w:szCs w:val="22"/>
          <w:lang w:val="es-MX" w:eastAsia="es-ES"/>
        </w:rPr>
        <w:t xml:space="preserve"> </w:t>
      </w:r>
      <w:r w:rsidRPr="00A35ACA">
        <w:rPr>
          <w:rFonts w:ascii="Verdana" w:hAnsi="Verdana"/>
          <w:sz w:val="22"/>
          <w:szCs w:val="22"/>
          <w:lang w:val="es-MX" w:eastAsia="es-ES"/>
        </w:rPr>
        <w:t>recursos de la vigencia 2020,</w:t>
      </w:r>
      <w:r>
        <w:rPr>
          <w:rFonts w:ascii="Verdana" w:hAnsi="Verdana"/>
          <w:sz w:val="22"/>
          <w:szCs w:val="22"/>
          <w:lang w:val="es-MX" w:eastAsia="es-ES"/>
        </w:rPr>
        <w:t xml:space="preserve"> </w:t>
      </w:r>
      <w:r w:rsidRPr="00A35ACA">
        <w:rPr>
          <w:rFonts w:ascii="Verdana" w:hAnsi="Verdana"/>
          <w:sz w:val="22"/>
          <w:szCs w:val="22"/>
          <w:lang w:val="es-MX" w:eastAsia="es-ES"/>
        </w:rPr>
        <w:t>acreditados con los correspondientes certificados de disponibilidad presupuestales previos a la presentación del acuerdo y al inicio de los procesos de selección.</w:t>
      </w:r>
    </w:p>
    <w:p w14:paraId="4DDBEF00" w14:textId="6A04935D" w:rsidR="0006439E" w:rsidRDefault="0006439E" w:rsidP="0006439E">
      <w:pPr>
        <w:pStyle w:val="BodyText23"/>
        <w:rPr>
          <w:rFonts w:ascii="Verdana" w:hAnsi="Verdana"/>
          <w:b/>
          <w:sz w:val="22"/>
          <w:szCs w:val="22"/>
          <w:lang w:val="es-MX" w:eastAsia="es-ES"/>
        </w:rPr>
      </w:pPr>
    </w:p>
    <w:p w14:paraId="4C9636B1" w14:textId="39BD1152" w:rsidR="000D59F9" w:rsidRDefault="000D59F9" w:rsidP="0006439E">
      <w:pPr>
        <w:pStyle w:val="BodyText23"/>
        <w:rPr>
          <w:rFonts w:ascii="Verdana" w:hAnsi="Verdana"/>
          <w:b/>
          <w:sz w:val="22"/>
          <w:szCs w:val="22"/>
          <w:lang w:val="es-MX" w:eastAsia="es-ES"/>
        </w:rPr>
      </w:pPr>
    </w:p>
    <w:p w14:paraId="254E5BA5" w14:textId="4A1E8F26" w:rsidR="000D59F9" w:rsidRDefault="000D59F9" w:rsidP="0006439E">
      <w:pPr>
        <w:pStyle w:val="BodyText23"/>
        <w:rPr>
          <w:rFonts w:ascii="Verdana" w:hAnsi="Verdana"/>
          <w:b/>
          <w:sz w:val="22"/>
          <w:szCs w:val="22"/>
          <w:lang w:val="es-MX" w:eastAsia="es-ES"/>
        </w:rPr>
      </w:pPr>
    </w:p>
    <w:p w14:paraId="11668637" w14:textId="77777777" w:rsidR="000D59F9" w:rsidRDefault="000D59F9" w:rsidP="0006439E">
      <w:pPr>
        <w:pStyle w:val="BodyText23"/>
        <w:rPr>
          <w:rFonts w:ascii="Verdana" w:hAnsi="Verdana"/>
          <w:b/>
          <w:sz w:val="22"/>
          <w:szCs w:val="22"/>
          <w:lang w:val="es-MX" w:eastAsia="es-ES"/>
        </w:rPr>
      </w:pPr>
    </w:p>
    <w:p w14:paraId="634CE744" w14:textId="7141D8F4" w:rsidR="009F527F" w:rsidRDefault="0094208F" w:rsidP="009F527F">
      <w:pPr>
        <w:pStyle w:val="BodyText23"/>
        <w:rPr>
          <w:rFonts w:ascii="Verdana" w:hAnsi="Verdana"/>
          <w:sz w:val="22"/>
          <w:szCs w:val="22"/>
          <w:lang w:val="es-MX" w:eastAsia="es-ES"/>
        </w:rPr>
      </w:pPr>
      <w:r>
        <w:rPr>
          <w:rFonts w:ascii="Verdana" w:hAnsi="Verdana"/>
          <w:b/>
          <w:sz w:val="22"/>
          <w:szCs w:val="22"/>
          <w:lang w:val="es-MX" w:eastAsia="es-ES"/>
        </w:rPr>
        <w:lastRenderedPageBreak/>
        <w:t>2</w:t>
      </w:r>
      <w:r w:rsidRPr="00134356">
        <w:rPr>
          <w:rFonts w:ascii="Verdana" w:hAnsi="Verdana"/>
          <w:b/>
          <w:sz w:val="22"/>
          <w:szCs w:val="22"/>
          <w:lang w:val="es-MX" w:eastAsia="es-ES"/>
        </w:rPr>
        <w:t>.</w:t>
      </w:r>
      <w:r>
        <w:rPr>
          <w:rFonts w:ascii="Verdana" w:hAnsi="Verdana"/>
          <w:b/>
          <w:sz w:val="22"/>
          <w:szCs w:val="22"/>
          <w:lang w:val="es-MX" w:eastAsia="es-ES"/>
        </w:rPr>
        <w:t>5</w:t>
      </w:r>
      <w:r w:rsidRPr="00134356">
        <w:rPr>
          <w:rFonts w:ascii="Verdana" w:hAnsi="Verdana"/>
          <w:b/>
          <w:sz w:val="22"/>
          <w:szCs w:val="22"/>
          <w:lang w:val="es-MX" w:eastAsia="es-ES"/>
        </w:rPr>
        <w:t xml:space="preserve">. </w:t>
      </w:r>
      <w:r>
        <w:rPr>
          <w:rFonts w:ascii="Verdana" w:hAnsi="Verdana"/>
          <w:b/>
          <w:sz w:val="22"/>
          <w:szCs w:val="22"/>
          <w:lang w:val="es-MX" w:eastAsia="es-ES"/>
        </w:rPr>
        <w:t>Concepto del Ministerio Público</w:t>
      </w:r>
      <w:r w:rsidR="009F527F">
        <w:rPr>
          <w:rFonts w:ascii="Verdana" w:hAnsi="Verdana"/>
          <w:b/>
          <w:sz w:val="22"/>
          <w:szCs w:val="22"/>
          <w:lang w:val="es-MX" w:eastAsia="es-ES"/>
        </w:rPr>
        <w:t xml:space="preserve"> </w:t>
      </w:r>
      <w:r w:rsidR="009F527F" w:rsidRPr="009F527F">
        <w:rPr>
          <w:rFonts w:ascii="Verdana" w:hAnsi="Verdana"/>
          <w:b/>
          <w:bCs/>
          <w:sz w:val="22"/>
          <w:szCs w:val="22"/>
          <w:lang w:val="es-MX" w:eastAsia="es-ES"/>
        </w:rPr>
        <w:t>(</w:t>
      </w:r>
      <w:r w:rsidR="009F527F" w:rsidRPr="009F527F">
        <w:rPr>
          <w:rFonts w:ascii="Verdana" w:hAnsi="Verdana"/>
          <w:b/>
          <w:bCs/>
          <w:i/>
          <w:iCs/>
          <w:sz w:val="22"/>
          <w:szCs w:val="22"/>
          <w:lang w:val="es-MX" w:eastAsia="es-ES"/>
        </w:rPr>
        <w:t>Documento 11 E.E.)</w:t>
      </w:r>
    </w:p>
    <w:p w14:paraId="034D7600" w14:textId="1851002F" w:rsidR="0094208F" w:rsidRPr="00134356" w:rsidRDefault="0094208F" w:rsidP="0094208F">
      <w:pPr>
        <w:pStyle w:val="BodyText23"/>
        <w:rPr>
          <w:rFonts w:ascii="Verdana" w:hAnsi="Verdana"/>
          <w:sz w:val="22"/>
          <w:szCs w:val="22"/>
          <w:lang w:val="es-MX" w:eastAsia="es-ES"/>
        </w:rPr>
      </w:pPr>
    </w:p>
    <w:p w14:paraId="644D071A" w14:textId="77777777" w:rsidR="00CB1987" w:rsidRDefault="0094208F" w:rsidP="0094208F">
      <w:pPr>
        <w:pStyle w:val="BodyText23"/>
        <w:rPr>
          <w:rFonts w:ascii="Verdana" w:hAnsi="Verdana"/>
          <w:sz w:val="22"/>
          <w:szCs w:val="22"/>
          <w:lang w:val="es-MX" w:eastAsia="es-ES"/>
        </w:rPr>
      </w:pPr>
      <w:r>
        <w:rPr>
          <w:rFonts w:ascii="Verdana" w:hAnsi="Verdana"/>
          <w:sz w:val="22"/>
          <w:szCs w:val="22"/>
          <w:lang w:val="es-MX" w:eastAsia="es-ES"/>
        </w:rPr>
        <w:t xml:space="preserve">La </w:t>
      </w:r>
      <w:r w:rsidRPr="0094208F">
        <w:rPr>
          <w:rFonts w:ascii="Verdana" w:hAnsi="Verdana"/>
          <w:sz w:val="22"/>
          <w:szCs w:val="22"/>
          <w:lang w:val="es-MX" w:eastAsia="es-ES"/>
        </w:rPr>
        <w:t>Procuradora 121 Judicial II Administrativo</w:t>
      </w:r>
      <w:r>
        <w:rPr>
          <w:rFonts w:ascii="Verdana" w:hAnsi="Verdana"/>
          <w:sz w:val="22"/>
          <w:szCs w:val="22"/>
          <w:lang w:val="es-MX" w:eastAsia="es-ES"/>
        </w:rPr>
        <w:t xml:space="preserve"> emitió concepto en el asunto de la referencia </w:t>
      </w:r>
      <w:r w:rsidR="00CB1987">
        <w:rPr>
          <w:rFonts w:ascii="Verdana" w:hAnsi="Verdana"/>
          <w:sz w:val="22"/>
          <w:szCs w:val="22"/>
          <w:lang w:val="es-MX" w:eastAsia="es-ES"/>
        </w:rPr>
        <w:t xml:space="preserve">solicitando declarar la invalidez del </w:t>
      </w:r>
      <w:r w:rsidR="00CB1987" w:rsidRPr="00CB1987">
        <w:rPr>
          <w:rFonts w:ascii="Verdana" w:hAnsi="Verdana"/>
          <w:sz w:val="22"/>
          <w:szCs w:val="22"/>
          <w:lang w:val="es-MX" w:eastAsia="es-ES"/>
        </w:rPr>
        <w:t xml:space="preserve">Acuerdo </w:t>
      </w:r>
      <w:r w:rsidR="00CB1987">
        <w:rPr>
          <w:rFonts w:ascii="Verdana" w:hAnsi="Verdana"/>
          <w:sz w:val="22"/>
          <w:szCs w:val="22"/>
          <w:lang w:val="es-MX" w:eastAsia="es-ES"/>
        </w:rPr>
        <w:t>No.</w:t>
      </w:r>
      <w:r w:rsidR="00CB1987" w:rsidRPr="00CB1987">
        <w:rPr>
          <w:rFonts w:ascii="Verdana" w:hAnsi="Verdana"/>
          <w:sz w:val="22"/>
          <w:szCs w:val="22"/>
          <w:lang w:val="es-MX" w:eastAsia="es-ES"/>
        </w:rPr>
        <w:t xml:space="preserve"> 015 del 30 de noviembre de 2020</w:t>
      </w:r>
      <w:r w:rsidR="00CB1987">
        <w:rPr>
          <w:rFonts w:ascii="Verdana" w:hAnsi="Verdana"/>
          <w:sz w:val="22"/>
          <w:szCs w:val="22"/>
          <w:lang w:val="es-MX" w:eastAsia="es-ES"/>
        </w:rPr>
        <w:t xml:space="preserve">. </w:t>
      </w:r>
    </w:p>
    <w:p w14:paraId="49038C74" w14:textId="77777777" w:rsidR="00CB1987" w:rsidRDefault="00CB1987" w:rsidP="0094208F">
      <w:pPr>
        <w:pStyle w:val="BodyText23"/>
        <w:rPr>
          <w:rFonts w:ascii="Verdana" w:hAnsi="Verdana"/>
          <w:sz w:val="22"/>
          <w:szCs w:val="22"/>
          <w:lang w:val="es-MX" w:eastAsia="es-ES"/>
        </w:rPr>
      </w:pPr>
    </w:p>
    <w:p w14:paraId="01B7CD59" w14:textId="09A25BC9" w:rsidR="0094208F" w:rsidRPr="00A627CE" w:rsidRDefault="00CB1987" w:rsidP="0094208F">
      <w:pPr>
        <w:pStyle w:val="BodyText23"/>
        <w:rPr>
          <w:rFonts w:ascii="Verdana" w:hAnsi="Verdana"/>
          <w:sz w:val="22"/>
          <w:szCs w:val="22"/>
          <w:lang w:val="es-MX" w:eastAsia="es-ES"/>
        </w:rPr>
      </w:pPr>
      <w:r>
        <w:rPr>
          <w:rFonts w:ascii="Verdana" w:hAnsi="Verdana"/>
          <w:sz w:val="22"/>
          <w:szCs w:val="22"/>
          <w:lang w:val="es-MX" w:eastAsia="es-ES"/>
        </w:rPr>
        <w:t>En comienzo, hizo referencia</w:t>
      </w:r>
      <w:r w:rsidR="0094208F">
        <w:rPr>
          <w:rFonts w:ascii="Verdana" w:hAnsi="Verdana"/>
          <w:sz w:val="22"/>
          <w:szCs w:val="22"/>
          <w:lang w:val="es-MX" w:eastAsia="es-ES"/>
        </w:rPr>
        <w:t xml:space="preserve"> al marco jurídico </w:t>
      </w:r>
      <w:r w:rsidR="007F7167">
        <w:rPr>
          <w:rFonts w:ascii="Verdana" w:hAnsi="Verdana"/>
          <w:sz w:val="22"/>
          <w:szCs w:val="22"/>
          <w:lang w:val="es-MX" w:eastAsia="es-ES"/>
        </w:rPr>
        <w:t xml:space="preserve">y jurisprudencial de las vigencias futuras ordinarias y extraordinarias de las entidades territoriales, las reservas presupuestales y las cuentas por pagar, luego, </w:t>
      </w:r>
      <w:r w:rsidR="00A627CE">
        <w:rPr>
          <w:rFonts w:ascii="Verdana" w:hAnsi="Verdana"/>
          <w:sz w:val="22"/>
          <w:szCs w:val="22"/>
          <w:lang w:val="es-MX" w:eastAsia="es-ES"/>
        </w:rPr>
        <w:t>abordó el caso concreto señalando que</w:t>
      </w:r>
      <w:r w:rsidR="00D818D3">
        <w:rPr>
          <w:rFonts w:ascii="Verdana" w:hAnsi="Verdana"/>
          <w:sz w:val="22"/>
          <w:szCs w:val="22"/>
          <w:lang w:val="es-MX" w:eastAsia="es-ES"/>
        </w:rPr>
        <w:t xml:space="preserve"> </w:t>
      </w:r>
      <w:r w:rsidR="00D818D3" w:rsidRPr="00D818D3">
        <w:rPr>
          <w:rFonts w:ascii="Verdana" w:hAnsi="Verdana"/>
          <w:sz w:val="22"/>
          <w:szCs w:val="22"/>
          <w:lang w:val="es-MX" w:eastAsia="es-ES"/>
        </w:rPr>
        <w:t>el ente territorial confunde los instrumentos presupuestales que se constituyen en excepciones al principio de anualidad</w:t>
      </w:r>
      <w:r w:rsidR="00D818D3">
        <w:rPr>
          <w:rFonts w:ascii="Verdana" w:hAnsi="Verdana"/>
          <w:sz w:val="22"/>
          <w:szCs w:val="22"/>
          <w:lang w:val="es-MX" w:eastAsia="es-ES"/>
        </w:rPr>
        <w:t>,</w:t>
      </w:r>
      <w:r w:rsidR="00F70866">
        <w:rPr>
          <w:rFonts w:ascii="Verdana" w:hAnsi="Verdana"/>
          <w:sz w:val="22"/>
          <w:szCs w:val="22"/>
          <w:lang w:val="es-MX" w:eastAsia="es-ES"/>
        </w:rPr>
        <w:t xml:space="preserve"> esto es, vigencias futuras, reservas presupuestales y cuentas por pagar,</w:t>
      </w:r>
      <w:r w:rsidR="00D818D3">
        <w:rPr>
          <w:rFonts w:ascii="Verdana" w:hAnsi="Verdana"/>
          <w:sz w:val="22"/>
          <w:szCs w:val="22"/>
          <w:lang w:val="es-MX" w:eastAsia="es-ES"/>
        </w:rPr>
        <w:t xml:space="preserve"> teniendo en cuenta que </w:t>
      </w:r>
      <w:r w:rsidR="00A627CE">
        <w:rPr>
          <w:rFonts w:ascii="Verdana" w:hAnsi="Verdana"/>
          <w:sz w:val="22"/>
          <w:szCs w:val="22"/>
          <w:lang w:val="es-MX" w:eastAsia="es-ES"/>
        </w:rPr>
        <w:t xml:space="preserve">el acuerdo demandado se </w:t>
      </w:r>
      <w:r w:rsidR="00A627CE" w:rsidRPr="00A627CE">
        <w:rPr>
          <w:rFonts w:ascii="Verdana" w:hAnsi="Verdana"/>
          <w:sz w:val="22"/>
          <w:szCs w:val="22"/>
          <w:lang w:val="es-MX" w:eastAsia="es-ES"/>
        </w:rPr>
        <w:t>denominó “</w:t>
      </w:r>
      <w:r w:rsidR="00A627CE" w:rsidRPr="00A627CE">
        <w:rPr>
          <w:rFonts w:ascii="Verdana" w:hAnsi="Verdana"/>
          <w:i/>
          <w:iCs/>
          <w:sz w:val="22"/>
          <w:szCs w:val="22"/>
        </w:rPr>
        <w:t xml:space="preserve">POR MEDIO DEL CUAL SE </w:t>
      </w:r>
      <w:r w:rsidR="00A627CE" w:rsidRPr="00A627CE">
        <w:rPr>
          <w:rFonts w:ascii="Verdana" w:hAnsi="Verdana"/>
          <w:b/>
          <w:bCs/>
          <w:i/>
          <w:iCs/>
          <w:sz w:val="22"/>
          <w:szCs w:val="22"/>
        </w:rPr>
        <w:t>AUTORIZA AL ALCALDE MUNICIPAL PARA COMPROMETER VIGENCIAS FUTURAS</w:t>
      </w:r>
      <w:r w:rsidR="00A627CE" w:rsidRPr="00A627CE">
        <w:rPr>
          <w:rFonts w:ascii="Verdana" w:hAnsi="Verdana"/>
          <w:i/>
          <w:iCs/>
          <w:sz w:val="22"/>
          <w:szCs w:val="22"/>
        </w:rPr>
        <w:t xml:space="preserve"> </w:t>
      </w:r>
      <w:r w:rsidR="00A627CE" w:rsidRPr="00A627CE">
        <w:rPr>
          <w:rFonts w:ascii="Verdana" w:hAnsi="Verdana"/>
          <w:b/>
          <w:bCs/>
          <w:i/>
          <w:iCs/>
          <w:sz w:val="22"/>
          <w:szCs w:val="22"/>
        </w:rPr>
        <w:t>ORDINARIAS</w:t>
      </w:r>
      <w:r w:rsidR="00A627CE" w:rsidRPr="00A627CE">
        <w:rPr>
          <w:rFonts w:ascii="Verdana" w:hAnsi="Verdana"/>
          <w:i/>
          <w:iCs/>
          <w:sz w:val="22"/>
          <w:szCs w:val="22"/>
        </w:rPr>
        <w:t xml:space="preserve"> PARA LA EJECUCIÓN DE PROYECTOS DE INVERSION INCLUIDOS EN EL PLAN DE DESARROLLO “CHIVATÁ SOMOS TODOS 2020 - 2023”</w:t>
      </w:r>
      <w:r w:rsidR="00A627CE">
        <w:rPr>
          <w:rFonts w:ascii="Verdana" w:hAnsi="Verdana"/>
          <w:i/>
          <w:iCs/>
          <w:sz w:val="22"/>
          <w:szCs w:val="22"/>
        </w:rPr>
        <w:t xml:space="preserve">, </w:t>
      </w:r>
      <w:r w:rsidR="00A627CE" w:rsidRPr="00A627CE">
        <w:rPr>
          <w:rFonts w:ascii="Verdana" w:hAnsi="Verdana"/>
          <w:sz w:val="22"/>
          <w:szCs w:val="22"/>
          <w:lang w:val="es-MX" w:eastAsia="es-ES"/>
        </w:rPr>
        <w:t>no obstante, en el artículo primero estableció lo siguiente:</w:t>
      </w:r>
    </w:p>
    <w:p w14:paraId="40126E39" w14:textId="77777777" w:rsidR="00A627CE" w:rsidRDefault="00A627CE" w:rsidP="0094208F">
      <w:pPr>
        <w:pStyle w:val="BodyText23"/>
        <w:rPr>
          <w:rFonts w:ascii="Verdana" w:hAnsi="Verdana"/>
          <w:i/>
          <w:iCs/>
          <w:sz w:val="22"/>
          <w:szCs w:val="22"/>
        </w:rPr>
      </w:pPr>
    </w:p>
    <w:p w14:paraId="315F6250" w14:textId="32BDA5FB" w:rsidR="00A627CE" w:rsidRDefault="00A627CE" w:rsidP="4F77423D">
      <w:pPr>
        <w:pStyle w:val="BodyText23"/>
        <w:ind w:left="708"/>
        <w:rPr>
          <w:rFonts w:ascii="Verdana" w:hAnsi="Verdana"/>
          <w:i/>
          <w:iCs/>
          <w:sz w:val="22"/>
          <w:szCs w:val="22"/>
        </w:rPr>
      </w:pPr>
      <w:r w:rsidRPr="4F77423D">
        <w:rPr>
          <w:rFonts w:ascii="Verdana" w:hAnsi="Verdana"/>
          <w:i/>
          <w:iCs/>
          <w:sz w:val="22"/>
          <w:szCs w:val="22"/>
        </w:rPr>
        <w:t xml:space="preserve">“ARTÍCULO PRIMERO: AUTORÍCESE al </w:t>
      </w:r>
      <w:r w:rsidR="4C22A654" w:rsidRPr="4F77423D">
        <w:rPr>
          <w:rFonts w:ascii="Verdana" w:hAnsi="Verdana"/>
          <w:i/>
          <w:iCs/>
          <w:sz w:val="22"/>
          <w:szCs w:val="22"/>
        </w:rPr>
        <w:t>alcalde</w:t>
      </w:r>
      <w:r w:rsidRPr="4F77423D">
        <w:rPr>
          <w:rFonts w:ascii="Verdana" w:hAnsi="Verdana"/>
          <w:i/>
          <w:iCs/>
          <w:sz w:val="22"/>
          <w:szCs w:val="22"/>
        </w:rPr>
        <w:t xml:space="preserve"> Municipal de Chivatá – Boyacá, </w:t>
      </w:r>
      <w:r w:rsidRPr="4F77423D">
        <w:rPr>
          <w:rFonts w:ascii="Verdana" w:hAnsi="Verdana"/>
          <w:b/>
          <w:bCs/>
          <w:i/>
          <w:iCs/>
          <w:sz w:val="22"/>
          <w:szCs w:val="22"/>
        </w:rPr>
        <w:t>para comprometer en la actual vigencia fiscal, recursos que tienen disponibilidad presupuestal, para la ejecución de proyectos</w:t>
      </w:r>
      <w:r w:rsidRPr="4F77423D">
        <w:rPr>
          <w:rFonts w:ascii="Verdana" w:hAnsi="Verdana"/>
          <w:i/>
          <w:iCs/>
          <w:sz w:val="22"/>
          <w:szCs w:val="22"/>
        </w:rPr>
        <w:t xml:space="preserve"> de inversión en infraestructura contemplados en el Plan de Desarrollo Municipal (…)”.</w:t>
      </w:r>
    </w:p>
    <w:p w14:paraId="00CC6466" w14:textId="77777777" w:rsidR="005933E4" w:rsidRDefault="005933E4" w:rsidP="00A627CE">
      <w:pPr>
        <w:pStyle w:val="BodyText23"/>
        <w:ind w:left="708"/>
        <w:rPr>
          <w:rFonts w:ascii="Verdana" w:hAnsi="Verdana"/>
          <w:i/>
          <w:iCs/>
          <w:sz w:val="22"/>
          <w:szCs w:val="22"/>
        </w:rPr>
      </w:pPr>
    </w:p>
    <w:p w14:paraId="7326B8F8" w14:textId="3C345CF8" w:rsidR="00A627CE" w:rsidRDefault="005933E4" w:rsidP="0094208F">
      <w:pPr>
        <w:pStyle w:val="BodyText23"/>
        <w:rPr>
          <w:rFonts w:ascii="Verdana" w:hAnsi="Verdana"/>
          <w:sz w:val="22"/>
          <w:szCs w:val="22"/>
          <w:lang w:val="es-MX" w:eastAsia="es-ES"/>
        </w:rPr>
      </w:pPr>
      <w:r>
        <w:rPr>
          <w:rFonts w:ascii="Verdana" w:hAnsi="Verdana"/>
          <w:sz w:val="22"/>
          <w:szCs w:val="22"/>
          <w:lang w:val="es-MX" w:eastAsia="es-ES"/>
        </w:rPr>
        <w:t>Y a su vez, en la exposición de motivos del mencionado acuerdo explicó:</w:t>
      </w:r>
    </w:p>
    <w:p w14:paraId="5CBF1E12" w14:textId="77777777" w:rsidR="00D818D3" w:rsidRDefault="00D818D3" w:rsidP="005933E4">
      <w:pPr>
        <w:pStyle w:val="BodyText23"/>
        <w:ind w:left="708"/>
        <w:rPr>
          <w:rFonts w:ascii="Verdana" w:hAnsi="Verdana"/>
          <w:i/>
          <w:iCs/>
          <w:sz w:val="22"/>
          <w:szCs w:val="22"/>
        </w:rPr>
      </w:pPr>
    </w:p>
    <w:p w14:paraId="757FDEE8" w14:textId="750165CC" w:rsidR="005933E4" w:rsidRDefault="005933E4" w:rsidP="005933E4">
      <w:pPr>
        <w:pStyle w:val="BodyText23"/>
        <w:ind w:left="708"/>
        <w:rPr>
          <w:rFonts w:ascii="Verdana" w:hAnsi="Verdana"/>
          <w:i/>
          <w:iCs/>
          <w:sz w:val="22"/>
          <w:szCs w:val="22"/>
        </w:rPr>
      </w:pPr>
      <w:r w:rsidRPr="005933E4">
        <w:rPr>
          <w:rFonts w:ascii="Verdana" w:hAnsi="Verdana"/>
          <w:i/>
          <w:iCs/>
          <w:sz w:val="22"/>
          <w:szCs w:val="22"/>
        </w:rPr>
        <w:t>“Que mediante Acuerdo No. 005 del 29 de May</w:t>
      </w:r>
      <w:r w:rsidR="00F168CE">
        <w:rPr>
          <w:rFonts w:ascii="Verdana" w:hAnsi="Verdana"/>
          <w:i/>
          <w:iCs/>
          <w:sz w:val="22"/>
          <w:szCs w:val="22"/>
        </w:rPr>
        <w:t>o</w:t>
      </w:r>
      <w:r w:rsidRPr="005933E4">
        <w:rPr>
          <w:rFonts w:ascii="Verdana" w:hAnsi="Verdana"/>
          <w:i/>
          <w:iCs/>
          <w:sz w:val="22"/>
          <w:szCs w:val="22"/>
        </w:rPr>
        <w:t xml:space="preserve"> de 2020, se aprobó en Plan de Desarrollo "CHIVATA SOMOS TODOS 2020 —2023" y en el mismo se contempla la ejecución de proyectos en infraestructura, de servicios públicos, equipamientos comunitarios, entre otros, </w:t>
      </w:r>
      <w:r w:rsidRPr="005933E4">
        <w:rPr>
          <w:rFonts w:ascii="Verdana" w:hAnsi="Verdana"/>
          <w:b/>
          <w:bCs/>
          <w:i/>
          <w:iCs/>
          <w:sz w:val="22"/>
          <w:szCs w:val="22"/>
        </w:rPr>
        <w:t>los cuales se contrataran en la presente vigencia fiscal, contando con la respectiva disponibilidad presupuestal en un 100%,</w:t>
      </w:r>
      <w:r w:rsidRPr="005933E4">
        <w:rPr>
          <w:rFonts w:ascii="Verdana" w:hAnsi="Verdana"/>
          <w:i/>
          <w:iCs/>
          <w:sz w:val="22"/>
          <w:szCs w:val="22"/>
        </w:rPr>
        <w:t xml:space="preserve"> pero cuyos bienes y servicios contratados se ejecutaran y entregaran al Municipio en la vigencia 2020.”</w:t>
      </w:r>
    </w:p>
    <w:p w14:paraId="51AB3D18" w14:textId="31539078" w:rsidR="003E0B55" w:rsidRDefault="003E0B55" w:rsidP="005933E4">
      <w:pPr>
        <w:pStyle w:val="BodyText23"/>
        <w:ind w:left="708"/>
        <w:rPr>
          <w:rFonts w:ascii="Verdana" w:hAnsi="Verdana"/>
          <w:i/>
          <w:iCs/>
          <w:sz w:val="22"/>
          <w:szCs w:val="22"/>
        </w:rPr>
      </w:pPr>
    </w:p>
    <w:p w14:paraId="6DDA21C2" w14:textId="2E65D318" w:rsidR="003E0B55" w:rsidRDefault="003E0B55" w:rsidP="003E0B55">
      <w:pPr>
        <w:pStyle w:val="BodyText23"/>
        <w:rPr>
          <w:rFonts w:ascii="Verdana" w:hAnsi="Verdana"/>
          <w:i/>
          <w:iCs/>
          <w:sz w:val="22"/>
          <w:szCs w:val="22"/>
        </w:rPr>
      </w:pPr>
      <w:r w:rsidRPr="003E0B55">
        <w:rPr>
          <w:rFonts w:ascii="Verdana" w:hAnsi="Verdana"/>
          <w:sz w:val="22"/>
          <w:szCs w:val="22"/>
        </w:rPr>
        <w:t xml:space="preserve">En atención a lo anterior, la agente del Ministerio Público sostuvo que no era procedente el empleo de la figura de vigencias futuras -según la denominación </w:t>
      </w:r>
      <w:r w:rsidRPr="003E0B55">
        <w:rPr>
          <w:rFonts w:ascii="Verdana" w:hAnsi="Verdana"/>
          <w:sz w:val="22"/>
          <w:szCs w:val="22"/>
        </w:rPr>
        <w:lastRenderedPageBreak/>
        <w:t xml:space="preserve">del acuerdo-, cuando en su articulado establecía una autorización </w:t>
      </w:r>
      <w:r w:rsidRPr="003F1E83">
        <w:rPr>
          <w:rFonts w:ascii="Verdana" w:hAnsi="Verdana"/>
          <w:sz w:val="22"/>
          <w:szCs w:val="22"/>
        </w:rPr>
        <w:t>para</w:t>
      </w:r>
      <w:r w:rsidRPr="003F1E83">
        <w:rPr>
          <w:rFonts w:ascii="Verdana" w:hAnsi="Verdana"/>
          <w:i/>
          <w:iCs/>
          <w:sz w:val="22"/>
          <w:szCs w:val="22"/>
        </w:rPr>
        <w:t xml:space="preserve"> comprometer en la actual vigencia fiscal, recursos que tienen disponibilidad presupuestal.</w:t>
      </w:r>
    </w:p>
    <w:p w14:paraId="13600B79" w14:textId="66A4ECEF" w:rsidR="003F1E83" w:rsidRDefault="003F1E83" w:rsidP="003E0B55">
      <w:pPr>
        <w:pStyle w:val="BodyText23"/>
        <w:rPr>
          <w:rFonts w:ascii="Verdana" w:hAnsi="Verdana"/>
          <w:i/>
          <w:iCs/>
          <w:sz w:val="22"/>
          <w:szCs w:val="22"/>
        </w:rPr>
      </w:pPr>
    </w:p>
    <w:p w14:paraId="60226DB4" w14:textId="1E551B45" w:rsidR="003F1E83" w:rsidRDefault="003F1E83" w:rsidP="003E0B55">
      <w:pPr>
        <w:pStyle w:val="BodyText23"/>
        <w:rPr>
          <w:rFonts w:ascii="Verdana" w:hAnsi="Verdana"/>
          <w:sz w:val="22"/>
          <w:szCs w:val="22"/>
        </w:rPr>
      </w:pPr>
      <w:r w:rsidRPr="003F1E83">
        <w:rPr>
          <w:rFonts w:ascii="Verdana" w:hAnsi="Verdana"/>
          <w:sz w:val="22"/>
          <w:szCs w:val="22"/>
        </w:rPr>
        <w:t>Señaló que en virtud de esa confusión el acuerdo objetado</w:t>
      </w:r>
      <w:r w:rsidR="0053094B">
        <w:rPr>
          <w:rFonts w:ascii="Verdana" w:hAnsi="Verdana"/>
          <w:sz w:val="22"/>
          <w:szCs w:val="22"/>
        </w:rPr>
        <w:t xml:space="preserve"> </w:t>
      </w:r>
      <w:r w:rsidRPr="003F1E83">
        <w:rPr>
          <w:rFonts w:ascii="Verdana" w:hAnsi="Verdana"/>
          <w:sz w:val="22"/>
          <w:szCs w:val="22"/>
        </w:rPr>
        <w:t>no cumplió con los requisitos del artículo 12 de la Ley 819 de 2003 para comprometer vigencias futuras y que tampoco es posible determinar con claridad la figura que habría sido procedente dado que en la exposición de motivos se dijo que</w:t>
      </w:r>
      <w:r>
        <w:rPr>
          <w:rFonts w:ascii="Verdana" w:hAnsi="Verdana"/>
          <w:i/>
          <w:iCs/>
          <w:sz w:val="22"/>
          <w:szCs w:val="22"/>
        </w:rPr>
        <w:t xml:space="preserve"> </w:t>
      </w:r>
      <w:r w:rsidRPr="003F1E83">
        <w:rPr>
          <w:rFonts w:ascii="Verdana" w:hAnsi="Verdana"/>
          <w:i/>
          <w:iCs/>
          <w:sz w:val="22"/>
          <w:szCs w:val="22"/>
        </w:rPr>
        <w:t xml:space="preserve">“(…) la administración municipal </w:t>
      </w:r>
      <w:r w:rsidRPr="003F1E83">
        <w:rPr>
          <w:rFonts w:ascii="Verdana" w:hAnsi="Verdana"/>
          <w:b/>
          <w:bCs/>
          <w:i/>
          <w:iCs/>
          <w:sz w:val="22"/>
          <w:szCs w:val="22"/>
        </w:rPr>
        <w:t>prevé iniciar la contratación y ejecución de proyectos de inversión que sobrepasan su ejecución de la vigencia 2020</w:t>
      </w:r>
      <w:r w:rsidRPr="003F1E83">
        <w:rPr>
          <w:rFonts w:ascii="Verdana" w:hAnsi="Verdana"/>
          <w:i/>
          <w:iCs/>
          <w:sz w:val="22"/>
          <w:szCs w:val="22"/>
        </w:rPr>
        <w:t xml:space="preserve"> (…)”,</w:t>
      </w:r>
      <w:r w:rsidR="0060093C">
        <w:rPr>
          <w:rFonts w:ascii="Verdana" w:hAnsi="Verdana"/>
          <w:i/>
          <w:iCs/>
          <w:sz w:val="22"/>
          <w:szCs w:val="22"/>
        </w:rPr>
        <w:t xml:space="preserve"> </w:t>
      </w:r>
      <w:r w:rsidR="0060093C" w:rsidRPr="0060093C">
        <w:rPr>
          <w:rFonts w:ascii="Verdana" w:hAnsi="Verdana"/>
          <w:sz w:val="22"/>
          <w:szCs w:val="22"/>
        </w:rPr>
        <w:t>teniendo en cuenta que tanto la figura de vigencias futuras o de reserva presupuestal requieren que los procesos contractuales ya se hayan iniciado.</w:t>
      </w:r>
    </w:p>
    <w:p w14:paraId="4203E6CE" w14:textId="2ABA4447" w:rsidR="00202549" w:rsidRDefault="00202549" w:rsidP="003E0B55">
      <w:pPr>
        <w:pStyle w:val="BodyText23"/>
        <w:rPr>
          <w:rFonts w:ascii="Verdana" w:hAnsi="Verdana"/>
          <w:sz w:val="22"/>
          <w:szCs w:val="22"/>
        </w:rPr>
      </w:pPr>
    </w:p>
    <w:p w14:paraId="46DA30A8" w14:textId="46F57CAF" w:rsidR="00202549" w:rsidRPr="0060093C" w:rsidRDefault="00202549" w:rsidP="003E0B55">
      <w:pPr>
        <w:pStyle w:val="BodyText23"/>
        <w:rPr>
          <w:rFonts w:ascii="Verdana" w:hAnsi="Verdana"/>
          <w:sz w:val="22"/>
          <w:szCs w:val="22"/>
        </w:rPr>
      </w:pPr>
      <w:r>
        <w:rPr>
          <w:rFonts w:ascii="Verdana" w:hAnsi="Verdana"/>
          <w:sz w:val="22"/>
          <w:szCs w:val="22"/>
        </w:rPr>
        <w:t xml:space="preserve">Concluyó que </w:t>
      </w:r>
      <w:r w:rsidRPr="00202549">
        <w:rPr>
          <w:rFonts w:ascii="Verdana" w:hAnsi="Verdana"/>
          <w:sz w:val="22"/>
          <w:szCs w:val="22"/>
        </w:rPr>
        <w:t>el cargo de ilegalidad está llamado a prosperar, por cuanto no se advirt</w:t>
      </w:r>
      <w:r>
        <w:rPr>
          <w:rFonts w:ascii="Verdana" w:hAnsi="Verdana"/>
          <w:sz w:val="22"/>
          <w:szCs w:val="22"/>
        </w:rPr>
        <w:t>ió</w:t>
      </w:r>
      <w:r w:rsidRPr="00202549">
        <w:rPr>
          <w:rFonts w:ascii="Verdana" w:hAnsi="Verdana"/>
          <w:sz w:val="22"/>
          <w:szCs w:val="22"/>
        </w:rPr>
        <w:t xml:space="preserve"> el cumplimiento de los requisitos atinentes a la autorización de vigencias futuras previstos en las Leyes 819 de 2003 y 1485 de 2011 y sus decretos reglamentarios.</w:t>
      </w:r>
    </w:p>
    <w:p w14:paraId="21B307EA" w14:textId="77777777" w:rsidR="0094208F" w:rsidRPr="00134356" w:rsidRDefault="0094208F" w:rsidP="0094208F">
      <w:pPr>
        <w:pStyle w:val="BodyText23"/>
        <w:rPr>
          <w:rFonts w:ascii="Verdana" w:hAnsi="Verdana"/>
          <w:b/>
          <w:sz w:val="22"/>
          <w:szCs w:val="22"/>
          <w:lang w:val="es-MX" w:eastAsia="es-ES"/>
        </w:rPr>
      </w:pPr>
    </w:p>
    <w:p w14:paraId="5EBB8835" w14:textId="724F2009" w:rsidR="0006439E" w:rsidRPr="00134356" w:rsidRDefault="0006439E" w:rsidP="0006439E">
      <w:pPr>
        <w:pStyle w:val="BodyText23"/>
        <w:rPr>
          <w:rFonts w:ascii="Verdana" w:hAnsi="Verdana"/>
          <w:b/>
          <w:sz w:val="22"/>
          <w:szCs w:val="22"/>
          <w:lang w:val="es-MX" w:eastAsia="es-ES"/>
        </w:rPr>
      </w:pPr>
      <w:r w:rsidRPr="00134356">
        <w:rPr>
          <w:rFonts w:ascii="Verdana" w:hAnsi="Verdana"/>
          <w:b/>
          <w:sz w:val="22"/>
          <w:szCs w:val="22"/>
          <w:lang w:val="es-MX" w:eastAsia="es-ES"/>
        </w:rPr>
        <w:t>2.</w:t>
      </w:r>
      <w:r w:rsidR="0094208F">
        <w:rPr>
          <w:rFonts w:ascii="Verdana" w:hAnsi="Verdana"/>
          <w:b/>
          <w:sz w:val="22"/>
          <w:szCs w:val="22"/>
          <w:lang w:val="es-MX" w:eastAsia="es-ES"/>
        </w:rPr>
        <w:t>6</w:t>
      </w:r>
      <w:r w:rsidRPr="00134356">
        <w:rPr>
          <w:rFonts w:ascii="Verdana" w:hAnsi="Verdana"/>
          <w:b/>
          <w:sz w:val="22"/>
          <w:szCs w:val="22"/>
          <w:lang w:val="es-MX" w:eastAsia="es-ES"/>
        </w:rPr>
        <w:t xml:space="preserve">.-Actuación procesal </w:t>
      </w:r>
    </w:p>
    <w:p w14:paraId="3461D779" w14:textId="77777777" w:rsidR="0006439E" w:rsidRPr="00134356" w:rsidRDefault="0006439E" w:rsidP="0006439E">
      <w:pPr>
        <w:pStyle w:val="BodyText23"/>
        <w:rPr>
          <w:rFonts w:ascii="Verdana" w:hAnsi="Verdana"/>
          <w:b/>
          <w:sz w:val="22"/>
          <w:szCs w:val="22"/>
          <w:lang w:val="es-MX" w:eastAsia="es-ES"/>
        </w:rPr>
      </w:pPr>
    </w:p>
    <w:p w14:paraId="0C800596" w14:textId="341E5800" w:rsidR="0006439E" w:rsidRPr="00134356" w:rsidRDefault="0006439E" w:rsidP="0006439E">
      <w:pPr>
        <w:pStyle w:val="BodyText23"/>
        <w:rPr>
          <w:rFonts w:ascii="Verdana" w:hAnsi="Verdana"/>
          <w:sz w:val="22"/>
          <w:szCs w:val="22"/>
        </w:rPr>
      </w:pPr>
      <w:r w:rsidRPr="00134356">
        <w:rPr>
          <w:rFonts w:ascii="Verdana" w:hAnsi="Verdana"/>
          <w:sz w:val="22"/>
          <w:szCs w:val="22"/>
        </w:rPr>
        <w:t xml:space="preserve">La demanda se presentó ante la Oficina Judicial de Tunja el </w:t>
      </w:r>
      <w:r w:rsidR="00D40BEA">
        <w:rPr>
          <w:rFonts w:ascii="Verdana" w:hAnsi="Verdana"/>
          <w:sz w:val="22"/>
          <w:szCs w:val="22"/>
        </w:rPr>
        <w:t>25</w:t>
      </w:r>
      <w:r w:rsidRPr="00134356">
        <w:rPr>
          <w:rFonts w:ascii="Verdana" w:hAnsi="Verdana"/>
          <w:sz w:val="22"/>
          <w:szCs w:val="22"/>
        </w:rPr>
        <w:t xml:space="preserve"> de </w:t>
      </w:r>
      <w:r w:rsidR="00D40BEA">
        <w:rPr>
          <w:rFonts w:ascii="Verdana" w:hAnsi="Verdana"/>
          <w:sz w:val="22"/>
          <w:szCs w:val="22"/>
        </w:rPr>
        <w:t>ene</w:t>
      </w:r>
      <w:r w:rsidRPr="00134356">
        <w:rPr>
          <w:rFonts w:ascii="Verdana" w:hAnsi="Verdana"/>
          <w:sz w:val="22"/>
          <w:szCs w:val="22"/>
        </w:rPr>
        <w:t>ro de 20</w:t>
      </w:r>
      <w:r w:rsidR="00B473EA" w:rsidRPr="00134356">
        <w:rPr>
          <w:rFonts w:ascii="Verdana" w:hAnsi="Verdana"/>
          <w:sz w:val="22"/>
          <w:szCs w:val="22"/>
        </w:rPr>
        <w:t>2</w:t>
      </w:r>
      <w:r w:rsidR="00FC7F84">
        <w:rPr>
          <w:rFonts w:ascii="Verdana" w:hAnsi="Verdana"/>
          <w:sz w:val="22"/>
          <w:szCs w:val="22"/>
        </w:rPr>
        <w:t>1</w:t>
      </w:r>
      <w:r w:rsidRPr="00134356">
        <w:rPr>
          <w:rFonts w:ascii="Verdana" w:hAnsi="Verdana"/>
          <w:sz w:val="22"/>
          <w:szCs w:val="22"/>
        </w:rPr>
        <w:t xml:space="preserve"> (</w:t>
      </w:r>
      <w:r w:rsidR="00FC7F84">
        <w:rPr>
          <w:rFonts w:ascii="Verdana" w:hAnsi="Verdana"/>
          <w:sz w:val="22"/>
          <w:szCs w:val="22"/>
        </w:rPr>
        <w:t>documento 3 E.E.</w:t>
      </w:r>
      <w:r w:rsidRPr="00134356">
        <w:rPr>
          <w:rFonts w:ascii="Verdana" w:hAnsi="Verdana"/>
          <w:sz w:val="22"/>
          <w:szCs w:val="22"/>
        </w:rPr>
        <w:t xml:space="preserve">), siendo admitida por auto del </w:t>
      </w:r>
      <w:r w:rsidR="00B473EA" w:rsidRPr="00134356">
        <w:rPr>
          <w:rFonts w:ascii="Verdana" w:hAnsi="Verdana"/>
          <w:sz w:val="22"/>
          <w:szCs w:val="22"/>
        </w:rPr>
        <w:t>1</w:t>
      </w:r>
      <w:r w:rsidR="00FC7F84">
        <w:rPr>
          <w:rFonts w:ascii="Verdana" w:hAnsi="Verdana"/>
          <w:sz w:val="22"/>
          <w:szCs w:val="22"/>
        </w:rPr>
        <w:t xml:space="preserve">2 </w:t>
      </w:r>
      <w:r w:rsidRPr="00134356">
        <w:rPr>
          <w:rFonts w:ascii="Verdana" w:hAnsi="Verdana"/>
          <w:sz w:val="22"/>
          <w:szCs w:val="22"/>
        </w:rPr>
        <w:t>de febrero del año en curso (</w:t>
      </w:r>
      <w:r w:rsidR="00FC7F84">
        <w:rPr>
          <w:rFonts w:ascii="Verdana" w:hAnsi="Verdana"/>
          <w:sz w:val="22"/>
          <w:szCs w:val="22"/>
        </w:rPr>
        <w:t>documento 4 E.E.</w:t>
      </w:r>
      <w:r w:rsidRPr="00134356">
        <w:rPr>
          <w:rFonts w:ascii="Verdana" w:hAnsi="Verdana"/>
          <w:sz w:val="22"/>
          <w:szCs w:val="22"/>
        </w:rPr>
        <w:t>)</w:t>
      </w:r>
      <w:r w:rsidR="00FC7F84">
        <w:rPr>
          <w:rFonts w:ascii="Verdana" w:hAnsi="Verdana"/>
          <w:sz w:val="22"/>
          <w:szCs w:val="22"/>
        </w:rPr>
        <w:t xml:space="preserve"> </w:t>
      </w:r>
      <w:r w:rsidRPr="00134356">
        <w:rPr>
          <w:rFonts w:ascii="Verdana" w:hAnsi="Verdana"/>
          <w:sz w:val="22"/>
          <w:szCs w:val="22"/>
          <w:lang w:val="es-MX" w:eastAsia="es-ES"/>
        </w:rPr>
        <w:t xml:space="preserve">y sometida a las ritualidades propias del proceso previsto en el artículo </w:t>
      </w:r>
      <w:smartTag w:uri="urn:schemas-microsoft-com:office:smarttags" w:element="metricconverter">
        <w:smartTagPr>
          <w:attr w:name="ProductID" w:val="151 C"/>
        </w:smartTagPr>
        <w:r w:rsidRPr="00134356">
          <w:rPr>
            <w:rFonts w:ascii="Verdana" w:hAnsi="Verdana"/>
            <w:sz w:val="22"/>
            <w:szCs w:val="22"/>
            <w:lang w:val="es-MX" w:eastAsia="es-ES"/>
          </w:rPr>
          <w:t>151 C</w:t>
        </w:r>
      </w:smartTag>
      <w:r w:rsidRPr="00134356">
        <w:rPr>
          <w:rFonts w:ascii="Verdana" w:hAnsi="Verdana"/>
          <w:sz w:val="22"/>
          <w:szCs w:val="22"/>
          <w:lang w:val="es-MX" w:eastAsia="es-ES"/>
        </w:rPr>
        <w:t xml:space="preserve">.P.A.C.A. </w:t>
      </w:r>
      <w:r w:rsidRPr="00134356">
        <w:rPr>
          <w:rFonts w:ascii="Verdana" w:hAnsi="Verdana"/>
          <w:sz w:val="22"/>
          <w:szCs w:val="22"/>
        </w:rPr>
        <w:t>y en el D. L. 1333 de 1986</w:t>
      </w:r>
      <w:r w:rsidR="008D1D22">
        <w:rPr>
          <w:rFonts w:ascii="Verdana" w:hAnsi="Verdana"/>
          <w:sz w:val="22"/>
          <w:szCs w:val="22"/>
        </w:rPr>
        <w:t>, allegándose</w:t>
      </w:r>
      <w:r w:rsidR="00D40BEA">
        <w:rPr>
          <w:rFonts w:ascii="Verdana" w:hAnsi="Verdana"/>
          <w:sz w:val="22"/>
          <w:szCs w:val="22"/>
        </w:rPr>
        <w:t xml:space="preserve"> contestación a la demanda por parte del Municipio de Chivatá </w:t>
      </w:r>
      <w:r w:rsidR="00D40BEA" w:rsidRPr="00134356">
        <w:rPr>
          <w:rFonts w:ascii="Verdana" w:hAnsi="Verdana"/>
          <w:sz w:val="22"/>
          <w:szCs w:val="22"/>
        </w:rPr>
        <w:t>(</w:t>
      </w:r>
      <w:r w:rsidR="00D40BEA">
        <w:rPr>
          <w:rFonts w:ascii="Verdana" w:hAnsi="Verdana"/>
          <w:sz w:val="22"/>
          <w:szCs w:val="22"/>
        </w:rPr>
        <w:t>documentos 9 y 10 E.E.</w:t>
      </w:r>
      <w:r w:rsidR="00D40BEA" w:rsidRPr="00134356">
        <w:rPr>
          <w:rFonts w:ascii="Verdana" w:hAnsi="Verdana"/>
          <w:sz w:val="22"/>
          <w:szCs w:val="22"/>
        </w:rPr>
        <w:t>)</w:t>
      </w:r>
      <w:r w:rsidR="00D40BEA">
        <w:rPr>
          <w:rFonts w:ascii="Verdana" w:hAnsi="Verdana"/>
          <w:sz w:val="22"/>
          <w:szCs w:val="22"/>
        </w:rPr>
        <w:t xml:space="preserve"> y </w:t>
      </w:r>
      <w:r w:rsidR="00982DBB">
        <w:rPr>
          <w:rFonts w:ascii="Verdana" w:hAnsi="Verdana"/>
          <w:sz w:val="22"/>
          <w:szCs w:val="22"/>
        </w:rPr>
        <w:t>concepto por parte del</w:t>
      </w:r>
      <w:r w:rsidR="00D40BEA">
        <w:rPr>
          <w:rFonts w:ascii="Verdana" w:hAnsi="Verdana"/>
          <w:sz w:val="22"/>
          <w:szCs w:val="22"/>
        </w:rPr>
        <w:t xml:space="preserve"> Ministerio Público </w:t>
      </w:r>
      <w:r w:rsidR="00D40BEA" w:rsidRPr="00134356">
        <w:rPr>
          <w:rFonts w:ascii="Verdana" w:hAnsi="Verdana"/>
          <w:sz w:val="22"/>
          <w:szCs w:val="22"/>
        </w:rPr>
        <w:t>(</w:t>
      </w:r>
      <w:r w:rsidR="00D40BEA">
        <w:rPr>
          <w:rFonts w:ascii="Verdana" w:hAnsi="Verdana"/>
          <w:sz w:val="22"/>
          <w:szCs w:val="22"/>
        </w:rPr>
        <w:t>documentos 11 y 12 E.E.</w:t>
      </w:r>
      <w:r w:rsidR="00D40BEA" w:rsidRPr="00134356">
        <w:rPr>
          <w:rFonts w:ascii="Verdana" w:hAnsi="Verdana"/>
          <w:sz w:val="22"/>
          <w:szCs w:val="22"/>
        </w:rPr>
        <w:t>)</w:t>
      </w:r>
      <w:r w:rsidR="00D40BEA">
        <w:rPr>
          <w:rFonts w:ascii="Verdana" w:hAnsi="Verdana"/>
          <w:sz w:val="22"/>
          <w:szCs w:val="22"/>
        </w:rPr>
        <w:t xml:space="preserve">. </w:t>
      </w:r>
      <w:r w:rsidRPr="00134356">
        <w:rPr>
          <w:rFonts w:ascii="Verdana" w:hAnsi="Verdana"/>
          <w:sz w:val="22"/>
          <w:szCs w:val="22"/>
        </w:rPr>
        <w:t xml:space="preserve">Mediante providencia del </w:t>
      </w:r>
      <w:r w:rsidR="00D40BEA">
        <w:rPr>
          <w:rFonts w:ascii="Verdana" w:hAnsi="Verdana"/>
          <w:sz w:val="22"/>
          <w:szCs w:val="22"/>
        </w:rPr>
        <w:t>12</w:t>
      </w:r>
      <w:r w:rsidRPr="00134356">
        <w:rPr>
          <w:rFonts w:ascii="Verdana" w:hAnsi="Verdana"/>
          <w:sz w:val="22"/>
          <w:szCs w:val="22"/>
        </w:rPr>
        <w:t xml:space="preserve"> de </w:t>
      </w:r>
      <w:r w:rsidR="00FC7F84">
        <w:rPr>
          <w:rFonts w:ascii="Verdana" w:hAnsi="Verdana"/>
          <w:sz w:val="22"/>
          <w:szCs w:val="22"/>
        </w:rPr>
        <w:t>marzo</w:t>
      </w:r>
      <w:r w:rsidRPr="00134356">
        <w:rPr>
          <w:rFonts w:ascii="Verdana" w:hAnsi="Verdana"/>
          <w:sz w:val="22"/>
          <w:szCs w:val="22"/>
        </w:rPr>
        <w:t xml:space="preserve"> del año que cursa (</w:t>
      </w:r>
      <w:r w:rsidR="00FC7F84">
        <w:rPr>
          <w:rFonts w:ascii="Verdana" w:hAnsi="Verdana"/>
          <w:sz w:val="22"/>
          <w:szCs w:val="22"/>
        </w:rPr>
        <w:t>documento 1</w:t>
      </w:r>
      <w:r w:rsidR="00D40BEA">
        <w:rPr>
          <w:rFonts w:ascii="Verdana" w:hAnsi="Verdana"/>
          <w:sz w:val="22"/>
          <w:szCs w:val="22"/>
        </w:rPr>
        <w:t>3</w:t>
      </w:r>
      <w:r w:rsidR="00FC7F84">
        <w:rPr>
          <w:rFonts w:ascii="Verdana" w:hAnsi="Verdana"/>
          <w:sz w:val="22"/>
          <w:szCs w:val="22"/>
        </w:rPr>
        <w:t xml:space="preserve"> E.E.</w:t>
      </w:r>
      <w:r w:rsidRPr="00134356">
        <w:rPr>
          <w:rFonts w:ascii="Verdana" w:hAnsi="Verdana"/>
          <w:sz w:val="22"/>
          <w:szCs w:val="22"/>
        </w:rPr>
        <w:t>), se abrió a pruebas el proceso y, una vez vencida la etapa probatoria, es del caso pasar a dictar la sentencia que en derecho corresponda.</w:t>
      </w:r>
    </w:p>
    <w:p w14:paraId="3CF2D8B6" w14:textId="77777777" w:rsidR="0006439E" w:rsidRPr="00134356" w:rsidRDefault="0006439E" w:rsidP="0006439E">
      <w:pPr>
        <w:pStyle w:val="BodyText23"/>
        <w:rPr>
          <w:rFonts w:ascii="Verdana" w:hAnsi="Verdana"/>
          <w:sz w:val="22"/>
          <w:szCs w:val="22"/>
        </w:rPr>
      </w:pPr>
    </w:p>
    <w:p w14:paraId="2E0A79F2" w14:textId="77777777" w:rsidR="0006439E" w:rsidRPr="00134356" w:rsidRDefault="0006439E" w:rsidP="0006439E">
      <w:pPr>
        <w:pStyle w:val="BodyText23"/>
        <w:numPr>
          <w:ilvl w:val="0"/>
          <w:numId w:val="2"/>
        </w:numPr>
        <w:jc w:val="center"/>
        <w:rPr>
          <w:rFonts w:ascii="Verdana" w:hAnsi="Verdana"/>
          <w:b/>
          <w:sz w:val="22"/>
          <w:szCs w:val="22"/>
        </w:rPr>
      </w:pPr>
      <w:r w:rsidRPr="00134356">
        <w:rPr>
          <w:rFonts w:ascii="Verdana" w:hAnsi="Verdana"/>
          <w:b/>
          <w:sz w:val="22"/>
          <w:szCs w:val="22"/>
        </w:rPr>
        <w:t>CONSIDERACIONES</w:t>
      </w:r>
    </w:p>
    <w:p w14:paraId="0FB78278" w14:textId="77777777" w:rsidR="0006439E" w:rsidRPr="00134356" w:rsidRDefault="0006439E" w:rsidP="0006439E">
      <w:pPr>
        <w:pStyle w:val="BodyText23"/>
        <w:rPr>
          <w:rFonts w:ascii="Verdana" w:hAnsi="Verdana"/>
          <w:b/>
          <w:sz w:val="22"/>
          <w:szCs w:val="22"/>
        </w:rPr>
      </w:pPr>
    </w:p>
    <w:p w14:paraId="5CEA44AC" w14:textId="77777777" w:rsidR="0006439E" w:rsidRPr="00134356" w:rsidRDefault="0006439E" w:rsidP="0006439E">
      <w:pPr>
        <w:spacing w:line="360" w:lineRule="auto"/>
        <w:jc w:val="both"/>
        <w:rPr>
          <w:rFonts w:ascii="Verdana" w:hAnsi="Verdana"/>
          <w:b/>
          <w:sz w:val="22"/>
          <w:szCs w:val="22"/>
        </w:rPr>
      </w:pPr>
      <w:r w:rsidRPr="00134356">
        <w:rPr>
          <w:rFonts w:ascii="Verdana" w:hAnsi="Verdana"/>
          <w:b/>
          <w:sz w:val="22"/>
          <w:szCs w:val="22"/>
        </w:rPr>
        <w:t>3.1. El problema jurídico</w:t>
      </w:r>
    </w:p>
    <w:p w14:paraId="1FC39945" w14:textId="77777777" w:rsidR="0006439E" w:rsidRPr="00134356" w:rsidRDefault="0006439E" w:rsidP="0006439E">
      <w:pPr>
        <w:spacing w:line="360" w:lineRule="auto"/>
        <w:ind w:left="360"/>
        <w:jc w:val="both"/>
        <w:rPr>
          <w:rFonts w:ascii="Verdana" w:hAnsi="Verdana"/>
          <w:b/>
          <w:sz w:val="22"/>
          <w:szCs w:val="22"/>
        </w:rPr>
      </w:pPr>
    </w:p>
    <w:p w14:paraId="46D1D85C" w14:textId="636C5901" w:rsidR="0006439E" w:rsidRPr="00134356" w:rsidRDefault="0006439E" w:rsidP="4F77423D">
      <w:pPr>
        <w:pStyle w:val="BodyText23"/>
        <w:rPr>
          <w:rFonts w:ascii="Verdana" w:hAnsi="Verdana"/>
          <w:i/>
          <w:iCs/>
          <w:sz w:val="22"/>
          <w:szCs w:val="22"/>
        </w:rPr>
      </w:pPr>
      <w:r w:rsidRPr="4F77423D">
        <w:rPr>
          <w:rFonts w:ascii="Verdana" w:hAnsi="Verdana"/>
          <w:sz w:val="22"/>
          <w:szCs w:val="22"/>
        </w:rPr>
        <w:t xml:space="preserve">De lo expuesto en la demanda se desprende que el debate jurídico se contrae a determinar si el </w:t>
      </w:r>
      <w:r w:rsidR="00D473EA" w:rsidRPr="4F77423D">
        <w:rPr>
          <w:rFonts w:ascii="Verdana" w:hAnsi="Verdana"/>
          <w:sz w:val="22"/>
          <w:szCs w:val="22"/>
          <w:lang w:val="es-MX" w:eastAsia="es-ES"/>
        </w:rPr>
        <w:t xml:space="preserve">Acuerdo No. 015 de 30 de noviembre de 2020 </w:t>
      </w:r>
      <w:r w:rsidR="00D473EA" w:rsidRPr="4F77423D">
        <w:rPr>
          <w:rFonts w:ascii="Verdana" w:hAnsi="Verdana"/>
          <w:i/>
          <w:iCs/>
          <w:sz w:val="22"/>
          <w:szCs w:val="22"/>
          <w:lang w:val="es-MX" w:eastAsia="es-ES"/>
        </w:rPr>
        <w:t xml:space="preserve">"POR MEDIO DEL CUAL SE AUTORIZA AL ALCALDE MUNICIPAL PARA COMPROMETER VIGENCIAS </w:t>
      </w:r>
      <w:r w:rsidR="00D473EA" w:rsidRPr="4F77423D">
        <w:rPr>
          <w:rFonts w:ascii="Verdana" w:hAnsi="Verdana"/>
          <w:i/>
          <w:iCs/>
          <w:sz w:val="22"/>
          <w:szCs w:val="22"/>
          <w:lang w:val="es-MX" w:eastAsia="es-ES"/>
        </w:rPr>
        <w:lastRenderedPageBreak/>
        <w:t>FUTURAS ORDINARIAS PARA LA EJECUCIÓN DE PROYECTOS DE INVERSION INCLUIDOS EN EL PLAN DE DESARROLLO “CHIVATÁ SOMOS TODOS 2020 - 2023”,</w:t>
      </w:r>
      <w:r w:rsidR="002B1694" w:rsidRPr="4F77423D">
        <w:rPr>
          <w:rFonts w:ascii="Verdana" w:hAnsi="Verdana"/>
          <w:i/>
          <w:iCs/>
          <w:sz w:val="22"/>
          <w:szCs w:val="22"/>
          <w:lang w:val="es-MX" w:eastAsia="es-ES"/>
        </w:rPr>
        <w:t xml:space="preserve"> </w:t>
      </w:r>
      <w:r w:rsidR="002B1694" w:rsidRPr="4F77423D">
        <w:rPr>
          <w:rFonts w:ascii="Verdana" w:hAnsi="Verdana"/>
          <w:sz w:val="22"/>
          <w:szCs w:val="22"/>
          <w:lang w:val="es-MX" w:eastAsia="es-ES"/>
        </w:rPr>
        <w:t xml:space="preserve">emitido por el Concejo Municipal de </w:t>
      </w:r>
      <w:r w:rsidR="00D473EA" w:rsidRPr="4F77423D">
        <w:rPr>
          <w:rFonts w:ascii="Verdana" w:hAnsi="Verdana"/>
          <w:sz w:val="22"/>
          <w:szCs w:val="22"/>
          <w:lang w:val="es-MX" w:eastAsia="es-ES"/>
        </w:rPr>
        <w:t>Chivat</w:t>
      </w:r>
      <w:r w:rsidR="002B1694" w:rsidRPr="4F77423D">
        <w:rPr>
          <w:rFonts w:ascii="Verdana" w:hAnsi="Verdana"/>
          <w:sz w:val="22"/>
          <w:szCs w:val="22"/>
          <w:lang w:val="es-MX" w:eastAsia="es-ES"/>
        </w:rPr>
        <w:t>á</w:t>
      </w:r>
      <w:r w:rsidR="00444CE9" w:rsidRPr="4F77423D">
        <w:rPr>
          <w:rFonts w:ascii="Verdana" w:hAnsi="Verdana"/>
          <w:sz w:val="22"/>
          <w:szCs w:val="22"/>
        </w:rPr>
        <w:t xml:space="preserve">, tiene como fundamento las disposiciones consagradas </w:t>
      </w:r>
      <w:r w:rsidR="045A8257" w:rsidRPr="4F77423D">
        <w:rPr>
          <w:rFonts w:ascii="Verdana" w:hAnsi="Verdana"/>
          <w:sz w:val="22"/>
          <w:szCs w:val="22"/>
        </w:rPr>
        <w:t>en</w:t>
      </w:r>
      <w:r w:rsidR="00444CE9" w:rsidRPr="4F77423D">
        <w:rPr>
          <w:rFonts w:ascii="Verdana" w:hAnsi="Verdana"/>
          <w:sz w:val="22"/>
          <w:szCs w:val="22"/>
        </w:rPr>
        <w:t xml:space="preserve"> el artículo 12 de </w:t>
      </w:r>
      <w:r w:rsidR="005C1CA6" w:rsidRPr="4F77423D">
        <w:rPr>
          <w:rFonts w:ascii="Verdana" w:hAnsi="Verdana"/>
          <w:sz w:val="22"/>
          <w:szCs w:val="22"/>
        </w:rPr>
        <w:t>la Ley 819 de 2003</w:t>
      </w:r>
      <w:r w:rsidR="00444CE9" w:rsidRPr="4F77423D">
        <w:rPr>
          <w:rFonts w:ascii="Verdana" w:hAnsi="Verdana"/>
          <w:sz w:val="22"/>
          <w:szCs w:val="22"/>
        </w:rPr>
        <w:t xml:space="preserve"> o si, contrario </w:t>
      </w:r>
      <w:r w:rsidR="00444CE9" w:rsidRPr="4F77423D">
        <w:rPr>
          <w:rFonts w:ascii="Verdana" w:hAnsi="Verdana"/>
          <w:i/>
          <w:iCs/>
          <w:sz w:val="22"/>
          <w:szCs w:val="22"/>
        </w:rPr>
        <w:t>sensu</w:t>
      </w:r>
      <w:r w:rsidR="00444CE9" w:rsidRPr="4F77423D">
        <w:rPr>
          <w:rFonts w:ascii="Verdana" w:hAnsi="Verdana"/>
          <w:sz w:val="22"/>
          <w:szCs w:val="22"/>
        </w:rPr>
        <w:t xml:space="preserve"> corresponde a la figura presupuestal prevista en el artículo 8 de la ley ya citada</w:t>
      </w:r>
      <w:r w:rsidR="005C1CA6" w:rsidRPr="4F77423D">
        <w:rPr>
          <w:rFonts w:ascii="Verdana" w:hAnsi="Verdana"/>
          <w:sz w:val="22"/>
          <w:szCs w:val="22"/>
        </w:rPr>
        <w:t xml:space="preserve">. </w:t>
      </w:r>
      <w:r w:rsidRPr="4F77423D">
        <w:rPr>
          <w:rFonts w:ascii="Verdana" w:hAnsi="Verdana"/>
          <w:sz w:val="22"/>
          <w:szCs w:val="22"/>
        </w:rPr>
        <w:t xml:space="preserve"> Para resolver la controversia, en primer </w:t>
      </w:r>
      <w:r w:rsidR="52020C80" w:rsidRPr="4F77423D">
        <w:rPr>
          <w:rFonts w:ascii="Verdana" w:hAnsi="Verdana"/>
          <w:sz w:val="22"/>
          <w:szCs w:val="22"/>
        </w:rPr>
        <w:t>lugar,</w:t>
      </w:r>
      <w:r w:rsidRPr="4F77423D">
        <w:rPr>
          <w:rFonts w:ascii="Verdana" w:hAnsi="Verdana"/>
          <w:sz w:val="22"/>
          <w:szCs w:val="22"/>
        </w:rPr>
        <w:t xml:space="preserve"> pasará la Corporación a analizar el marco jurídico y jurisprudencial aplicable, para luego estudiar el caso concreto.</w:t>
      </w:r>
    </w:p>
    <w:p w14:paraId="0562CB0E" w14:textId="77777777" w:rsidR="0006439E" w:rsidRPr="00134356" w:rsidRDefault="0006439E" w:rsidP="0006439E">
      <w:pPr>
        <w:pStyle w:val="BodyText23"/>
        <w:rPr>
          <w:rFonts w:ascii="Verdana" w:hAnsi="Verdana"/>
          <w:i/>
          <w:sz w:val="22"/>
          <w:szCs w:val="22"/>
          <w:lang w:val="es-ES_tradnl"/>
        </w:rPr>
      </w:pPr>
    </w:p>
    <w:p w14:paraId="3F02CF00" w14:textId="77777777" w:rsidR="0006439E" w:rsidRPr="00134356" w:rsidRDefault="0006439E" w:rsidP="0006439E">
      <w:pPr>
        <w:pStyle w:val="03Cuerpo"/>
        <w:spacing w:line="360" w:lineRule="auto"/>
        <w:ind w:firstLine="0"/>
        <w:rPr>
          <w:rFonts w:ascii="Verdana" w:hAnsi="Verdana" w:cs="Georgia"/>
          <w:b/>
          <w:szCs w:val="22"/>
        </w:rPr>
      </w:pPr>
      <w:r w:rsidRPr="00134356">
        <w:rPr>
          <w:rFonts w:ascii="Verdana" w:hAnsi="Verdana" w:cs="Georgia"/>
          <w:b/>
          <w:szCs w:val="22"/>
        </w:rPr>
        <w:t>3.2. Marco Jurídico y Jurisprudencial</w:t>
      </w:r>
    </w:p>
    <w:p w14:paraId="34CE0A41" w14:textId="77777777" w:rsidR="0006439E" w:rsidRPr="00134356" w:rsidRDefault="0006439E" w:rsidP="0006439E">
      <w:pPr>
        <w:pStyle w:val="03Cuerpo"/>
        <w:spacing w:line="276" w:lineRule="auto"/>
        <w:ind w:firstLine="0"/>
        <w:rPr>
          <w:rFonts w:ascii="Verdana" w:hAnsi="Verdana" w:cs="Georgia"/>
          <w:b/>
          <w:szCs w:val="22"/>
        </w:rPr>
      </w:pPr>
    </w:p>
    <w:p w14:paraId="7C9FEB13" w14:textId="77777777" w:rsidR="005D447D" w:rsidRPr="00134356" w:rsidRDefault="00BA7624" w:rsidP="00444CE9">
      <w:pPr>
        <w:pStyle w:val="Textoindependiente2"/>
        <w:rPr>
          <w:sz w:val="22"/>
          <w:szCs w:val="22"/>
          <w:u w:val="none"/>
        </w:rPr>
      </w:pPr>
      <w:r w:rsidRPr="00134356">
        <w:rPr>
          <w:sz w:val="22"/>
          <w:szCs w:val="22"/>
          <w:u w:val="none"/>
        </w:rPr>
        <w:t>3.2.1.</w:t>
      </w:r>
      <w:r w:rsidR="005D447D" w:rsidRPr="00134356">
        <w:rPr>
          <w:sz w:val="22"/>
          <w:szCs w:val="22"/>
          <w:u w:val="none"/>
        </w:rPr>
        <w:t xml:space="preserve"> De la figura presupuestal prevista en el artículo 8 de la ley 819 de 2003.</w:t>
      </w:r>
    </w:p>
    <w:p w14:paraId="62EBF3C5" w14:textId="77777777" w:rsidR="00A22A95" w:rsidRPr="00134356" w:rsidRDefault="00A22A95" w:rsidP="00BA7624">
      <w:pPr>
        <w:spacing w:line="360" w:lineRule="auto"/>
        <w:jc w:val="both"/>
        <w:rPr>
          <w:rFonts w:ascii="Verdana" w:hAnsi="Verdana" w:cs="Georgia"/>
          <w:b/>
          <w:i/>
          <w:sz w:val="22"/>
          <w:szCs w:val="22"/>
          <w:u w:val="single"/>
        </w:rPr>
      </w:pPr>
    </w:p>
    <w:p w14:paraId="2DE2E556" w14:textId="77777777" w:rsidR="00BD5BF8" w:rsidRPr="00134356" w:rsidRDefault="00A22A95" w:rsidP="004D75D0">
      <w:pPr>
        <w:pStyle w:val="BodyText23"/>
        <w:rPr>
          <w:rFonts w:ascii="Verdana" w:hAnsi="Verdana" w:cs="Georgia"/>
          <w:sz w:val="22"/>
          <w:szCs w:val="22"/>
          <w:lang w:eastAsia="es-ES"/>
        </w:rPr>
      </w:pPr>
      <w:r w:rsidRPr="00134356">
        <w:rPr>
          <w:rFonts w:ascii="Verdana" w:hAnsi="Verdana" w:cs="Georgia"/>
          <w:sz w:val="22"/>
          <w:szCs w:val="22"/>
          <w:lang w:eastAsia="es-ES"/>
        </w:rPr>
        <w:t>El artículo 8 de la ley 819 de 2003</w:t>
      </w:r>
      <w:r w:rsidR="00BD5BF8" w:rsidRPr="00134356">
        <w:rPr>
          <w:rStyle w:val="Refdenotaalpie"/>
          <w:rFonts w:ascii="Verdana" w:hAnsi="Verdana" w:cs="Georgia"/>
          <w:sz w:val="22"/>
          <w:szCs w:val="22"/>
          <w:lang w:eastAsia="es-ES"/>
        </w:rPr>
        <w:footnoteReference w:id="1"/>
      </w:r>
      <w:r w:rsidR="00BD5BF8" w:rsidRPr="00134356">
        <w:rPr>
          <w:rFonts w:ascii="Verdana" w:hAnsi="Verdana" w:cs="Georgia"/>
          <w:sz w:val="22"/>
          <w:szCs w:val="22"/>
          <w:lang w:eastAsia="es-ES"/>
        </w:rPr>
        <w:t xml:space="preserve"> consagra la regulación de la programación presupuestal, en los siguientes términos:</w:t>
      </w:r>
    </w:p>
    <w:p w14:paraId="22AA6DC9" w14:textId="77777777" w:rsidR="00BD5BF8" w:rsidRPr="00134356" w:rsidRDefault="009B57B3" w:rsidP="00BD5BF8">
      <w:pPr>
        <w:pStyle w:val="NormalWeb"/>
        <w:ind w:left="708"/>
        <w:jc w:val="both"/>
        <w:rPr>
          <w:rFonts w:ascii="Verdana" w:hAnsi="Verdana" w:cs="Arial"/>
          <w:i/>
          <w:sz w:val="22"/>
          <w:szCs w:val="22"/>
        </w:rPr>
      </w:pPr>
      <w:bookmarkStart w:id="3" w:name="8"/>
      <w:r w:rsidRPr="00134356">
        <w:rPr>
          <w:rFonts w:ascii="Verdana" w:hAnsi="Verdana" w:cs="Arial"/>
          <w:b/>
          <w:bCs/>
          <w:i/>
          <w:sz w:val="22"/>
          <w:szCs w:val="22"/>
        </w:rPr>
        <w:t>“</w:t>
      </w:r>
      <w:r w:rsidR="00BD5BF8" w:rsidRPr="00134356">
        <w:rPr>
          <w:rFonts w:ascii="Verdana" w:hAnsi="Verdana" w:cs="Arial"/>
          <w:b/>
          <w:bCs/>
          <w:i/>
          <w:sz w:val="22"/>
          <w:szCs w:val="22"/>
        </w:rPr>
        <w:t>ARTÍCULO 8o. REGLAMENTACIÓN A LA PROGRAMACIÓN PRESUPUESTAL.</w:t>
      </w:r>
      <w:bookmarkEnd w:id="3"/>
      <w:r w:rsidR="00BD5BF8" w:rsidRPr="00134356">
        <w:rPr>
          <w:rFonts w:ascii="Verdana" w:hAnsi="Verdana" w:cs="Arial"/>
          <w:i/>
          <w:sz w:val="22"/>
          <w:szCs w:val="22"/>
        </w:rPr>
        <w:t> La preparación y elaboración del presupuesto general de la Nación y el de las Entidades Territoriales, deberá sujetarse a los correspondientes Marcos Fiscales de Mediano Plazo de manera que las apropiaciones presupuestales aprobadas por el Congreso de la República, las Asambleas y los Concejos, puedan ejecutarse en su totalidad durante la vigencia fiscal correspondiente.</w:t>
      </w:r>
    </w:p>
    <w:p w14:paraId="4F80DFF7" w14:textId="77777777" w:rsidR="00BD5BF8" w:rsidRPr="00134356" w:rsidRDefault="00BD5BF8" w:rsidP="00BD5BF8">
      <w:pPr>
        <w:pStyle w:val="NormalWeb"/>
        <w:ind w:left="708"/>
        <w:jc w:val="both"/>
        <w:rPr>
          <w:rFonts w:ascii="Verdana" w:hAnsi="Verdana" w:cs="Arial"/>
          <w:i/>
          <w:sz w:val="22"/>
          <w:szCs w:val="22"/>
        </w:rPr>
      </w:pPr>
      <w:r w:rsidRPr="00134356">
        <w:rPr>
          <w:rFonts w:ascii="Verdana" w:hAnsi="Verdana" w:cs="Arial"/>
          <w:i/>
          <w:sz w:val="22"/>
          <w:szCs w:val="22"/>
        </w:rPr>
        <w:t>En los eventos en que se encuentre en trámite una licitación, concurso de méritos o cualquier otro proceso de selección del contratista con todos los requerimientos legales, incluida la disponibilidad presupuestal, y su perfeccionamiento se efectúe en la vigencia fiscal siguiente, se atenderá con el presupuesto de esta última vigencia, previo el cumplimiento de los ajustes presupuestales correspondientes.</w:t>
      </w:r>
    </w:p>
    <w:p w14:paraId="6B239C9D" w14:textId="77777777" w:rsidR="00BD5BF8" w:rsidRPr="00134356" w:rsidRDefault="00BD5BF8" w:rsidP="00BD5BF8">
      <w:pPr>
        <w:pStyle w:val="NormalWeb"/>
        <w:ind w:left="708"/>
        <w:jc w:val="both"/>
        <w:rPr>
          <w:rFonts w:ascii="Verdana" w:hAnsi="Verdana" w:cs="Arial"/>
          <w:i/>
          <w:sz w:val="22"/>
          <w:szCs w:val="22"/>
        </w:rPr>
      </w:pPr>
      <w:r w:rsidRPr="00134356">
        <w:rPr>
          <w:rStyle w:val="baj"/>
          <w:rFonts w:ascii="Verdana" w:eastAsia="Arial Unicode MS" w:hAnsi="Verdana" w:cs="Arial"/>
          <w:b/>
          <w:bCs/>
          <w:i/>
          <w:sz w:val="22"/>
          <w:szCs w:val="22"/>
        </w:rPr>
        <w:t>PARÁGRAFO</w:t>
      </w:r>
      <w:r w:rsidRPr="00134356">
        <w:rPr>
          <w:rFonts w:ascii="Verdana" w:hAnsi="Verdana" w:cs="Arial"/>
          <w:i/>
          <w:sz w:val="22"/>
          <w:szCs w:val="22"/>
        </w:rPr>
        <w:t> </w:t>
      </w:r>
      <w:r w:rsidRPr="00134356">
        <w:rPr>
          <w:rStyle w:val="baj"/>
          <w:rFonts w:ascii="Verdana" w:eastAsia="Arial Unicode MS" w:hAnsi="Verdana" w:cs="Arial"/>
          <w:b/>
          <w:bCs/>
          <w:i/>
          <w:sz w:val="22"/>
          <w:szCs w:val="22"/>
        </w:rPr>
        <w:t>TRANSITORIO.</w:t>
      </w:r>
      <w:r w:rsidRPr="00134356">
        <w:rPr>
          <w:rFonts w:ascii="Verdana" w:hAnsi="Verdana" w:cs="Arial"/>
          <w:i/>
          <w:sz w:val="22"/>
          <w:szCs w:val="22"/>
        </w:rPr>
        <w:t> Lo preceptuado en este artículo empezará a regir, una vez sea culminada la siguiente transición:</w:t>
      </w:r>
    </w:p>
    <w:p w14:paraId="363114B2" w14:textId="77777777" w:rsidR="00BD5BF8" w:rsidRPr="00134356" w:rsidRDefault="00BD5BF8" w:rsidP="00BD5BF8">
      <w:pPr>
        <w:pStyle w:val="NormalWeb"/>
        <w:ind w:left="708"/>
        <w:jc w:val="both"/>
        <w:rPr>
          <w:rFonts w:ascii="Verdana" w:hAnsi="Verdana" w:cs="Arial"/>
          <w:i/>
          <w:sz w:val="22"/>
          <w:szCs w:val="22"/>
        </w:rPr>
      </w:pPr>
      <w:r w:rsidRPr="00134356">
        <w:rPr>
          <w:rFonts w:ascii="Verdana" w:hAnsi="Verdana" w:cs="Arial"/>
          <w:i/>
          <w:sz w:val="22"/>
          <w:szCs w:val="22"/>
        </w:rPr>
        <w:t>El treinta por ciento (30%) de las reservas del Presupuesto General de la Nación y de las Entidades Territoriales que se constituyan al cierre de la vigencia fiscal del 2004 se atenderán con cargo al presupuesto del año 2005. A su vez, el setenta por ciento (70%) de las reservas del Presupuesto General de la Nación y de las Entidades Territoriales que se constituyan al cierre de la vigencia fiscal de 2005 se atenderán con cargo al presupuesto del año 2006.</w:t>
      </w:r>
    </w:p>
    <w:p w14:paraId="65FC907D" w14:textId="77777777" w:rsidR="00BD5BF8" w:rsidRPr="00134356" w:rsidRDefault="00BD5BF8" w:rsidP="00BD5BF8">
      <w:pPr>
        <w:pStyle w:val="NormalWeb"/>
        <w:ind w:left="708"/>
        <w:jc w:val="both"/>
        <w:rPr>
          <w:rFonts w:ascii="Verdana" w:hAnsi="Verdana" w:cs="Arial"/>
          <w:sz w:val="22"/>
          <w:szCs w:val="22"/>
        </w:rPr>
      </w:pPr>
      <w:r w:rsidRPr="00134356">
        <w:rPr>
          <w:rFonts w:ascii="Verdana" w:hAnsi="Verdana" w:cs="Arial"/>
          <w:i/>
          <w:sz w:val="22"/>
          <w:szCs w:val="22"/>
        </w:rPr>
        <w:lastRenderedPageBreak/>
        <w:t>Para lo cual, el Gobierno Nacional y los Gobiernos Territoriales, respectivamente harán por decreto los ajustes correspondientes.</w:t>
      </w:r>
      <w:r w:rsidR="00690A5A" w:rsidRPr="00134356">
        <w:rPr>
          <w:rFonts w:ascii="Verdana" w:hAnsi="Verdana" w:cs="Arial"/>
          <w:i/>
          <w:sz w:val="22"/>
          <w:szCs w:val="22"/>
        </w:rPr>
        <w:t>”</w:t>
      </w:r>
    </w:p>
    <w:p w14:paraId="6D98A12B" w14:textId="77777777" w:rsidR="005D447D" w:rsidRPr="00134356" w:rsidRDefault="005D447D" w:rsidP="00BA7624">
      <w:pPr>
        <w:spacing w:line="360" w:lineRule="auto"/>
        <w:jc w:val="both"/>
        <w:rPr>
          <w:rFonts w:ascii="Verdana" w:hAnsi="Verdana" w:cs="Georgia"/>
          <w:b/>
          <w:i/>
          <w:sz w:val="22"/>
          <w:szCs w:val="22"/>
          <w:u w:val="single"/>
        </w:rPr>
      </w:pPr>
    </w:p>
    <w:p w14:paraId="2684AA73" w14:textId="77777777" w:rsidR="005D447D" w:rsidRPr="00134356" w:rsidRDefault="005D447D" w:rsidP="005D447D">
      <w:pPr>
        <w:pStyle w:val="Cuerpodeltexto20"/>
        <w:shd w:val="clear" w:color="auto" w:fill="auto"/>
        <w:spacing w:before="0" w:after="0" w:line="360" w:lineRule="auto"/>
        <w:rPr>
          <w:rFonts w:ascii="Verdana" w:hAnsi="Verdana"/>
        </w:rPr>
      </w:pPr>
      <w:r w:rsidRPr="00134356">
        <w:rPr>
          <w:rFonts w:ascii="Verdana" w:hAnsi="Verdana"/>
        </w:rPr>
        <w:t>El artículo 8 de la ley 819 de 2003, consagra en su inciso primero que tanto la preparación como elaboración del PGN y el de las entidades territoriales, debe corresponder a los Marcos Fiscales de Mediano plazo, de manera que las apropiaciones presupuestales aprobadas por la corporación respectiva –en este caso, por los concejos municipales-</w:t>
      </w:r>
      <w:r w:rsidRPr="00134356">
        <w:rPr>
          <w:rFonts w:ascii="Verdana" w:hAnsi="Verdana" w:cs="Arial"/>
          <w:color w:val="4B4949"/>
        </w:rPr>
        <w:t xml:space="preserve"> </w:t>
      </w:r>
      <w:r w:rsidRPr="00134356">
        <w:rPr>
          <w:rFonts w:ascii="Verdana" w:hAnsi="Verdana" w:cs="Arial"/>
          <w:i/>
        </w:rPr>
        <w:t>puedan ejecutarse en su totalidad durante la vigencia fiscal correspondiente.</w:t>
      </w:r>
      <w:r w:rsidRPr="00134356">
        <w:rPr>
          <w:rFonts w:ascii="Verdana" w:hAnsi="Verdana"/>
        </w:rPr>
        <w:t xml:space="preserve"> </w:t>
      </w:r>
    </w:p>
    <w:p w14:paraId="2946DB82" w14:textId="77777777" w:rsidR="005D447D" w:rsidRPr="00134356" w:rsidRDefault="005D447D" w:rsidP="005D447D">
      <w:pPr>
        <w:pStyle w:val="Cuerpodeltexto20"/>
        <w:shd w:val="clear" w:color="auto" w:fill="auto"/>
        <w:spacing w:before="0" w:after="0" w:line="360" w:lineRule="auto"/>
        <w:rPr>
          <w:rFonts w:ascii="Verdana" w:hAnsi="Verdana"/>
        </w:rPr>
      </w:pPr>
    </w:p>
    <w:p w14:paraId="40568EE5" w14:textId="7379CB50" w:rsidR="005D447D" w:rsidRPr="00134356" w:rsidRDefault="005D447D" w:rsidP="005D447D">
      <w:pPr>
        <w:pStyle w:val="Cuerpodeltexto20"/>
        <w:shd w:val="clear" w:color="auto" w:fill="auto"/>
        <w:spacing w:before="0" w:after="0" w:line="360" w:lineRule="auto"/>
        <w:rPr>
          <w:rFonts w:ascii="Verdana" w:hAnsi="Verdana" w:cs="Arial"/>
        </w:rPr>
      </w:pPr>
      <w:r w:rsidRPr="00134356">
        <w:rPr>
          <w:rFonts w:ascii="Verdana" w:hAnsi="Verdana"/>
        </w:rPr>
        <w:t>Con todo, el inciso segundo del precepto normativo en cita, consagra que</w:t>
      </w:r>
      <w:r w:rsidR="0075399E">
        <w:rPr>
          <w:rFonts w:ascii="Verdana" w:hAnsi="Verdana"/>
        </w:rPr>
        <w:t xml:space="preserve"> </w:t>
      </w:r>
      <w:r w:rsidRPr="00134356">
        <w:rPr>
          <w:rFonts w:ascii="Verdana" w:hAnsi="Verdana"/>
          <w:i/>
        </w:rPr>
        <w:t>”E</w:t>
      </w:r>
      <w:r w:rsidRPr="00134356">
        <w:rPr>
          <w:rFonts w:ascii="Verdana" w:hAnsi="Verdana" w:cs="Arial"/>
          <w:i/>
        </w:rPr>
        <w:t xml:space="preserve">n los eventos en que se encuentre en trámite una licitación, concurso de méritos o cualquier otro proceso de selección del contratista con todos los requerimientos legales, incluida la disponibilidad presupuestal, </w:t>
      </w:r>
      <w:r w:rsidRPr="00134356">
        <w:rPr>
          <w:rFonts w:ascii="Verdana" w:hAnsi="Verdana" w:cs="Arial"/>
          <w:b/>
          <w:i/>
        </w:rPr>
        <w:t>y su perfeccionamiento se efectúe en la vigencia fiscal siguiente, se atenderá con el presupuesto de esta última vigencia, previo el cumplimiento de los ajustes presupuestales correspondientes.</w:t>
      </w:r>
      <w:r w:rsidRPr="00134356">
        <w:rPr>
          <w:rFonts w:ascii="Verdana" w:hAnsi="Verdana" w:cs="Arial"/>
          <w:i/>
        </w:rPr>
        <w:t xml:space="preserve">” </w:t>
      </w:r>
      <w:r w:rsidRPr="00134356">
        <w:rPr>
          <w:rFonts w:ascii="Verdana" w:hAnsi="Verdana" w:cs="Arial"/>
        </w:rPr>
        <w:t>(Resalta la Sala).</w:t>
      </w:r>
    </w:p>
    <w:p w14:paraId="5997CC1D" w14:textId="77777777" w:rsidR="005D447D" w:rsidRPr="00134356" w:rsidRDefault="005D447D" w:rsidP="005D447D">
      <w:pPr>
        <w:pStyle w:val="Cuerpodeltexto20"/>
        <w:shd w:val="clear" w:color="auto" w:fill="auto"/>
        <w:spacing w:before="0" w:after="0" w:line="360" w:lineRule="auto"/>
        <w:rPr>
          <w:rFonts w:ascii="Verdana" w:hAnsi="Verdana" w:cs="Arial"/>
        </w:rPr>
      </w:pPr>
    </w:p>
    <w:p w14:paraId="21074825" w14:textId="010E4EE0" w:rsidR="005D447D" w:rsidRPr="00134356" w:rsidRDefault="005D447D" w:rsidP="005D447D">
      <w:pPr>
        <w:pStyle w:val="Cuerpodeltexto20"/>
        <w:shd w:val="clear" w:color="auto" w:fill="auto"/>
        <w:spacing w:before="0" w:after="0" w:line="360" w:lineRule="auto"/>
        <w:rPr>
          <w:rFonts w:ascii="Verdana" w:hAnsi="Verdana" w:cs="Arial"/>
        </w:rPr>
      </w:pPr>
      <w:r w:rsidRPr="00134356">
        <w:rPr>
          <w:rFonts w:ascii="Verdana" w:hAnsi="Verdana" w:cs="Arial"/>
        </w:rPr>
        <w:t>En otras palabras, de acuerdo con lo expuesto en la norma en cita, si el proceso de lic</w:t>
      </w:r>
      <w:r w:rsidR="00BD5BF8" w:rsidRPr="00134356">
        <w:rPr>
          <w:rFonts w:ascii="Verdana" w:hAnsi="Verdana" w:cs="Arial"/>
        </w:rPr>
        <w:t>itación se inicia en el año 20</w:t>
      </w:r>
      <w:r w:rsidR="00F02BD3">
        <w:rPr>
          <w:rFonts w:ascii="Verdana" w:hAnsi="Verdana" w:cs="Arial"/>
        </w:rPr>
        <w:t>20</w:t>
      </w:r>
      <w:r w:rsidRPr="00134356">
        <w:rPr>
          <w:rFonts w:ascii="Verdana" w:hAnsi="Verdana" w:cs="Arial"/>
        </w:rPr>
        <w:t xml:space="preserve"> y su perfeccionamiento se concluye en el año 20</w:t>
      </w:r>
      <w:r w:rsidR="00BD5BF8" w:rsidRPr="00134356">
        <w:rPr>
          <w:rFonts w:ascii="Verdana" w:hAnsi="Verdana" w:cs="Arial"/>
        </w:rPr>
        <w:t>2</w:t>
      </w:r>
      <w:r w:rsidR="00F02BD3">
        <w:rPr>
          <w:rFonts w:ascii="Verdana" w:hAnsi="Verdana" w:cs="Arial"/>
        </w:rPr>
        <w:t>1</w:t>
      </w:r>
      <w:r w:rsidRPr="00134356">
        <w:rPr>
          <w:rFonts w:ascii="Verdana" w:hAnsi="Verdana" w:cs="Arial"/>
        </w:rPr>
        <w:t>- vigencia fiscal siguiente-, dicho compromiso debe atende</w:t>
      </w:r>
      <w:r w:rsidR="00BD5BF8" w:rsidRPr="00134356">
        <w:rPr>
          <w:rFonts w:ascii="Verdana" w:hAnsi="Verdana" w:cs="Arial"/>
        </w:rPr>
        <w:t>rse con la vigencia del año 202</w:t>
      </w:r>
      <w:r w:rsidR="00F02BD3">
        <w:rPr>
          <w:rFonts w:ascii="Verdana" w:hAnsi="Verdana" w:cs="Arial"/>
        </w:rPr>
        <w:t>1</w:t>
      </w:r>
      <w:r w:rsidRPr="00134356">
        <w:rPr>
          <w:rFonts w:ascii="Verdana" w:hAnsi="Verdana" w:cs="Arial"/>
        </w:rPr>
        <w:t>, esto es, con la que corresponde a la del perfeccionamiento</w:t>
      </w:r>
      <w:r w:rsidRPr="00134356">
        <w:rPr>
          <w:rStyle w:val="Refdenotaalpie"/>
          <w:rFonts w:ascii="Verdana" w:hAnsi="Verdana" w:cs="Arial"/>
        </w:rPr>
        <w:footnoteReference w:id="2"/>
      </w:r>
      <w:r w:rsidRPr="00134356">
        <w:rPr>
          <w:rFonts w:ascii="Verdana" w:hAnsi="Verdana" w:cs="Arial"/>
        </w:rPr>
        <w:t>.</w:t>
      </w:r>
    </w:p>
    <w:p w14:paraId="110FFD37" w14:textId="77777777" w:rsidR="005D447D" w:rsidRPr="00134356" w:rsidRDefault="005D447D" w:rsidP="005D447D">
      <w:pPr>
        <w:pStyle w:val="Cuerpodeltexto20"/>
        <w:shd w:val="clear" w:color="auto" w:fill="auto"/>
        <w:spacing w:before="0" w:after="0" w:line="360" w:lineRule="auto"/>
        <w:rPr>
          <w:rFonts w:ascii="Verdana" w:hAnsi="Verdana" w:cs="Arial"/>
        </w:rPr>
      </w:pPr>
    </w:p>
    <w:p w14:paraId="1D5EC00A" w14:textId="77777777" w:rsidR="005D447D" w:rsidRPr="00134356" w:rsidRDefault="005D447D" w:rsidP="005D447D">
      <w:pPr>
        <w:pStyle w:val="Cuerpodeltexto20"/>
        <w:shd w:val="clear" w:color="auto" w:fill="auto"/>
        <w:spacing w:before="0" w:after="0" w:line="360" w:lineRule="auto"/>
        <w:rPr>
          <w:rFonts w:ascii="Verdana" w:hAnsi="Verdana"/>
        </w:rPr>
      </w:pPr>
      <w:r w:rsidRPr="00134356">
        <w:rPr>
          <w:rFonts w:ascii="Verdana" w:hAnsi="Verdana"/>
        </w:rPr>
        <w:t xml:space="preserve">Así, respecto a la forma como operan las vigencias futuras en punto a las ejecución de los contratos y el alcance de los incisos 1 y 2 del artículo 8 de la ley 819 </w:t>
      </w:r>
      <w:r w:rsidRPr="0ADF79A1">
        <w:rPr>
          <w:rFonts w:ascii="Verdana" w:hAnsi="Verdana"/>
          <w:i/>
          <w:iCs/>
        </w:rPr>
        <w:t>ibídem</w:t>
      </w:r>
      <w:r w:rsidRPr="00134356">
        <w:rPr>
          <w:rFonts w:ascii="Verdana" w:hAnsi="Verdana"/>
        </w:rPr>
        <w:t>, se cita el concepto del Ministerio de Hacienda y Crédito público, que en criterio de la Sala, resulta aplicable al presente asunto</w:t>
      </w:r>
      <w:r w:rsidRPr="00134356">
        <w:rPr>
          <w:rStyle w:val="Refdenotaalpie"/>
          <w:rFonts w:ascii="Verdana" w:hAnsi="Verdana"/>
        </w:rPr>
        <w:footnoteReference w:id="3"/>
      </w:r>
      <w:r w:rsidRPr="00134356">
        <w:rPr>
          <w:rFonts w:ascii="Verdana" w:hAnsi="Verdana"/>
        </w:rPr>
        <w:t xml:space="preserve">: </w:t>
      </w:r>
    </w:p>
    <w:p w14:paraId="6B699379" w14:textId="77777777" w:rsidR="005D447D" w:rsidRPr="00134356" w:rsidRDefault="005D447D" w:rsidP="005D447D">
      <w:pPr>
        <w:pStyle w:val="Cuerpodeltexto20"/>
        <w:shd w:val="clear" w:color="auto" w:fill="auto"/>
        <w:spacing w:before="0" w:after="0" w:line="360" w:lineRule="auto"/>
        <w:rPr>
          <w:rFonts w:ascii="Verdana" w:hAnsi="Verdana"/>
        </w:rPr>
      </w:pPr>
    </w:p>
    <w:p w14:paraId="615D31E1" w14:textId="77777777" w:rsidR="005D447D" w:rsidRPr="00134356" w:rsidRDefault="005D447D" w:rsidP="005D447D">
      <w:pPr>
        <w:pStyle w:val="Cuerpodeltexto50"/>
        <w:shd w:val="clear" w:color="auto" w:fill="auto"/>
        <w:spacing w:before="0" w:after="242" w:line="267" w:lineRule="exact"/>
        <w:ind w:left="900" w:right="620" w:firstLine="0"/>
        <w:rPr>
          <w:lang w:val="es-ES" w:eastAsia="es-ES"/>
        </w:rPr>
      </w:pPr>
      <w:r w:rsidRPr="00134356">
        <w:rPr>
          <w:color w:val="000000"/>
        </w:rPr>
        <w:t xml:space="preserve">"Los gastos autorizados en el presupuesto en una vigencia fiscal </w:t>
      </w:r>
      <w:r w:rsidRPr="00134356">
        <w:rPr>
          <w:rStyle w:val="Cuerpodeltexto5Sincursiva"/>
        </w:rPr>
        <w:t xml:space="preserve">se </w:t>
      </w:r>
      <w:r w:rsidRPr="00134356">
        <w:rPr>
          <w:color w:val="000000"/>
        </w:rPr>
        <w:t xml:space="preserve">deben comprometer y ejecutar en esa vigencia, es decir se deben recibir a satisfacción entre el 01 de enero y el 31 de diciembre. </w:t>
      </w:r>
      <w:r w:rsidRPr="00D60855">
        <w:rPr>
          <w:b/>
          <w:bCs/>
          <w:color w:val="000000"/>
        </w:rPr>
        <w:t>Si por alguna razón</w:t>
      </w:r>
      <w:r w:rsidRPr="00D60855">
        <w:rPr>
          <w:rStyle w:val="Cuerpodeltexto5Sincursiva"/>
          <w:b/>
          <w:bCs/>
        </w:rPr>
        <w:t xml:space="preserve">, </w:t>
      </w:r>
      <w:r w:rsidRPr="00D60855">
        <w:rPr>
          <w:b/>
          <w:bCs/>
          <w:color w:val="000000"/>
        </w:rPr>
        <w:t>que hemos considerado ajena a la entidad territorial</w:t>
      </w:r>
      <w:r w:rsidRPr="00D60855">
        <w:rPr>
          <w:rStyle w:val="Cuerpodeltexto5Sincursiva"/>
          <w:b/>
          <w:bCs/>
        </w:rPr>
        <w:t xml:space="preserve">, </w:t>
      </w:r>
      <w:r w:rsidRPr="00D60855">
        <w:rPr>
          <w:b/>
          <w:bCs/>
          <w:color w:val="000000"/>
        </w:rPr>
        <w:t>no se recibieron</w:t>
      </w:r>
      <w:r w:rsidRPr="00D60855">
        <w:rPr>
          <w:rStyle w:val="Cuerpodeltexto5Sincursiva"/>
          <w:b/>
          <w:bCs/>
        </w:rPr>
        <w:t xml:space="preserve">, se </w:t>
      </w:r>
      <w:r w:rsidRPr="00D60855">
        <w:rPr>
          <w:b/>
          <w:bCs/>
          <w:color w:val="000000"/>
        </w:rPr>
        <w:t xml:space="preserve">constituirá </w:t>
      </w:r>
      <w:r w:rsidRPr="00D60855">
        <w:rPr>
          <w:b/>
          <w:bCs/>
          <w:color w:val="000000"/>
        </w:rPr>
        <w:lastRenderedPageBreak/>
        <w:t>al cierre de la vigencia reserva presupuestal lo que indica que el gasto se terminará de ejecutar en la siguiente vigencia pero con cargo a la vigencia en que se originó</w:t>
      </w:r>
      <w:r w:rsidRPr="00134356">
        <w:rPr>
          <w:color w:val="000000"/>
        </w:rPr>
        <w:t>.</w:t>
      </w:r>
    </w:p>
    <w:p w14:paraId="190F621A" w14:textId="77777777" w:rsidR="005D447D" w:rsidRPr="00134356" w:rsidRDefault="005D447D" w:rsidP="005D447D">
      <w:pPr>
        <w:pStyle w:val="Cuerpodeltexto50"/>
        <w:shd w:val="clear" w:color="auto" w:fill="auto"/>
        <w:spacing w:before="0" w:after="238" w:line="264" w:lineRule="exact"/>
        <w:ind w:left="900" w:right="620" w:firstLine="0"/>
        <w:rPr>
          <w:b/>
        </w:rPr>
      </w:pPr>
      <w:r w:rsidRPr="00134356">
        <w:rPr>
          <w:b/>
          <w:color w:val="000000"/>
        </w:rPr>
        <w:t>En la vigencia futura la ejecución se inicia en la vigencia en curso o en la vigencia siguiente y el compromiso se ejecuta o recibe a satisfacción en vigencia (s) posteriores</w:t>
      </w:r>
      <w:r w:rsidRPr="00134356">
        <w:rPr>
          <w:rStyle w:val="Cuerpodeltexto5Sincursiva"/>
          <w:b/>
        </w:rPr>
        <w:t xml:space="preserve">, </w:t>
      </w:r>
      <w:r w:rsidRPr="00134356">
        <w:rPr>
          <w:b/>
          <w:color w:val="000000"/>
        </w:rPr>
        <w:t>lo que indica que el compromiso se cargará a cada una de las vigencias en que se ejecuta.</w:t>
      </w:r>
    </w:p>
    <w:p w14:paraId="774E8E35" w14:textId="77777777" w:rsidR="005D447D" w:rsidRPr="00134356" w:rsidRDefault="005D447D" w:rsidP="005D447D">
      <w:pPr>
        <w:pStyle w:val="Cuerpodeltexto50"/>
        <w:shd w:val="clear" w:color="auto" w:fill="auto"/>
        <w:spacing w:before="0" w:after="245" w:line="267" w:lineRule="exact"/>
        <w:ind w:left="900" w:right="620" w:firstLine="0"/>
        <w:rPr>
          <w:b/>
        </w:rPr>
      </w:pPr>
      <w:r w:rsidRPr="00134356">
        <w:rPr>
          <w:color w:val="000000"/>
        </w:rPr>
        <w:t xml:space="preserve">Es decir que la diferencia entre las reservas y las vigencias futuras radica básicamente </w:t>
      </w:r>
      <w:r w:rsidRPr="00134356">
        <w:rPr>
          <w:b/>
          <w:color w:val="000000"/>
        </w:rPr>
        <w:t>en la certeza que exista sobre la ejecución de un compromiso o gasto (y el respectivo contrato que origina) certeza que exige de una adecuada planeación y programación presupuestal tal y como lo dispone el artículo 8 de la Ley 819 de 2003.</w:t>
      </w:r>
    </w:p>
    <w:p w14:paraId="076CA1EA" w14:textId="77777777" w:rsidR="005D447D" w:rsidRPr="00134356" w:rsidRDefault="005D447D" w:rsidP="005D447D">
      <w:pPr>
        <w:pStyle w:val="Cuerpodeltexto50"/>
        <w:shd w:val="clear" w:color="auto" w:fill="auto"/>
        <w:spacing w:before="0" w:after="238" w:line="261" w:lineRule="exact"/>
        <w:ind w:left="900" w:right="620" w:firstLine="0"/>
        <w:rPr>
          <w:b/>
          <w:color w:val="000000"/>
          <w:u w:val="single"/>
        </w:rPr>
      </w:pPr>
      <w:r w:rsidRPr="00134356">
        <w:rPr>
          <w:color w:val="000000"/>
        </w:rPr>
        <w:t xml:space="preserve">De esta manera, </w:t>
      </w:r>
      <w:r w:rsidRPr="00F77519">
        <w:rPr>
          <w:b/>
          <w:color w:val="000000"/>
        </w:rPr>
        <w:t>por ejemplo, si al programar la ejecución de determinado proyecto de inversión se observa que su ejecución (incluido todo el proceso contractual) va a superar la vigencia fiscal se debe solicitar autorización para comprometer vigencias  futuras, de manera que el proceso contractual irá acompañado no sólo de certificado de disponibilidad sino de autorización de vigencias futuras.</w:t>
      </w:r>
      <w:r w:rsidRPr="00134356">
        <w:rPr>
          <w:b/>
          <w:color w:val="000000"/>
          <w:u w:val="single"/>
        </w:rPr>
        <w:t xml:space="preserve"> </w:t>
      </w:r>
    </w:p>
    <w:p w14:paraId="4D0834EF" w14:textId="2CB02459" w:rsidR="005D447D" w:rsidRPr="00134356" w:rsidRDefault="005D447D" w:rsidP="291D4545">
      <w:pPr>
        <w:pStyle w:val="Cuerpodeltexto50"/>
        <w:shd w:val="clear" w:color="auto" w:fill="auto"/>
        <w:spacing w:before="0" w:after="238" w:line="261" w:lineRule="exact"/>
        <w:ind w:left="900" w:right="620" w:firstLine="0"/>
        <w:rPr>
          <w:i w:val="0"/>
          <w:iCs w:val="0"/>
          <w:color w:val="000000"/>
        </w:rPr>
      </w:pPr>
      <w:r w:rsidRPr="291D4545">
        <w:rPr>
          <w:color w:val="000000" w:themeColor="text1"/>
        </w:rPr>
        <w:t xml:space="preserve">Si por el contrario, si al programar la ejecución de un proyecto de inversión se observa que su ejecución (incluido todo el proceso contractual) no va a superar el 31 de diciembre, es decir que se recibirán los bienes y servicios contratados a más tardar en esta fecha, obviamente no se requiere autorización de vigencias futuras, de forma que el proceso contractual sólo requerirá certificado de disponibilidad y tendrá como plazo de ejecución máximo 31 de diciembre. </w:t>
      </w:r>
      <w:r w:rsidR="5E1AED09" w:rsidRPr="00F77519">
        <w:rPr>
          <w:b/>
          <w:bCs/>
          <w:color w:val="000000" w:themeColor="text1"/>
        </w:rPr>
        <w:t>Si llegado el plazo máximo por alguna circunstancia no se reciben los bienes o servicios, en el proceso de cierre presupuestal se constituirá reserva presupuesta</w:t>
      </w:r>
      <w:r w:rsidR="00F77519" w:rsidRPr="00F77519">
        <w:rPr>
          <w:b/>
          <w:bCs/>
          <w:color w:val="000000" w:themeColor="text1"/>
        </w:rPr>
        <w:t>l</w:t>
      </w:r>
      <w:r w:rsidRPr="291D4545">
        <w:rPr>
          <w:color w:val="000000" w:themeColor="text1"/>
        </w:rPr>
        <w:t xml:space="preserve"> por la parte del compromiso que resta por ejecutar"</w:t>
      </w:r>
      <w:r w:rsidRPr="291D4545">
        <w:rPr>
          <w:i w:val="0"/>
          <w:iCs w:val="0"/>
          <w:color w:val="000000" w:themeColor="text1"/>
        </w:rPr>
        <w:t xml:space="preserve"> (Subraya y resalta la Sala)</w:t>
      </w:r>
    </w:p>
    <w:p w14:paraId="3D1B4233" w14:textId="629BF720" w:rsidR="005D447D" w:rsidRPr="00134356" w:rsidRDefault="005D447D" w:rsidP="0ADF79A1">
      <w:pPr>
        <w:pStyle w:val="Cuerpodeltexto50"/>
        <w:shd w:val="clear" w:color="auto" w:fill="auto"/>
        <w:spacing w:before="0" w:after="238" w:line="360" w:lineRule="auto"/>
        <w:ind w:right="620" w:firstLine="0"/>
        <w:rPr>
          <w:i w:val="0"/>
          <w:iCs w:val="0"/>
          <w:color w:val="000000"/>
        </w:rPr>
      </w:pPr>
      <w:r w:rsidRPr="0ADF79A1">
        <w:rPr>
          <w:i w:val="0"/>
          <w:iCs w:val="0"/>
          <w:color w:val="000000" w:themeColor="text1"/>
        </w:rPr>
        <w:t>En ese sentido, y de acuerdo al concepto técnico en cita, lo procedente en caso de no lograrse el perfeccionamiento del contrato en la vigencia fiscal en curso, será acudir a la figura de la autorización de las vigencias futuras, conforme a lo expuesto.</w:t>
      </w:r>
    </w:p>
    <w:p w14:paraId="28FF3FDF" w14:textId="4142B7B1" w:rsidR="00BA7624" w:rsidRPr="00134356" w:rsidRDefault="00ED7183" w:rsidP="00BA7624">
      <w:pPr>
        <w:spacing w:line="360" w:lineRule="auto"/>
        <w:jc w:val="both"/>
        <w:rPr>
          <w:rFonts w:ascii="Verdana" w:hAnsi="Verdana" w:cs="Georgia"/>
          <w:sz w:val="22"/>
          <w:szCs w:val="22"/>
        </w:rPr>
      </w:pPr>
      <w:r w:rsidRPr="0ADF79A1">
        <w:rPr>
          <w:rFonts w:ascii="Verdana" w:hAnsi="Verdana" w:cs="Georgia"/>
          <w:b/>
          <w:bCs/>
          <w:sz w:val="22"/>
          <w:szCs w:val="22"/>
        </w:rPr>
        <w:t>3.2.2.-</w:t>
      </w:r>
      <w:r w:rsidR="00BA7624" w:rsidRPr="0ADF79A1">
        <w:rPr>
          <w:rFonts w:ascii="Verdana" w:hAnsi="Verdana" w:cs="Georgia"/>
          <w:b/>
          <w:bCs/>
          <w:sz w:val="22"/>
          <w:szCs w:val="22"/>
        </w:rPr>
        <w:t>Del concepto de vigencia futura y su clasificación.</w:t>
      </w:r>
      <w:r w:rsidR="00BA7624" w:rsidRPr="0ADF79A1">
        <w:rPr>
          <w:rFonts w:ascii="Verdana" w:hAnsi="Verdana" w:cs="Georgia"/>
          <w:sz w:val="22"/>
          <w:szCs w:val="22"/>
        </w:rPr>
        <w:t xml:space="preserve"> Las vigencias futuras pueden entenderse como aquellos instrumentos de financiación de proyectos de mediano y largo plazo, cuyos recursos no pueden apropiarse, en algunos casos, </w:t>
      </w:r>
      <w:r w:rsidR="00BA7624" w:rsidRPr="0ADF79A1">
        <w:rPr>
          <w:rFonts w:ascii="Verdana" w:hAnsi="Verdana" w:cs="Georgia"/>
          <w:b/>
          <w:bCs/>
          <w:sz w:val="22"/>
          <w:szCs w:val="22"/>
        </w:rPr>
        <w:t>parcialmente</w:t>
      </w:r>
      <w:r w:rsidR="38BBE78D" w:rsidRPr="0ADF79A1">
        <w:rPr>
          <w:rFonts w:ascii="Verdana" w:hAnsi="Verdana" w:cs="Georgia"/>
          <w:b/>
          <w:bCs/>
          <w:sz w:val="22"/>
          <w:szCs w:val="22"/>
        </w:rPr>
        <w:t>,</w:t>
      </w:r>
      <w:r w:rsidR="00BA7624" w:rsidRPr="0ADF79A1">
        <w:rPr>
          <w:rFonts w:ascii="Verdana" w:hAnsi="Verdana" w:cs="Georgia"/>
          <w:sz w:val="22"/>
          <w:szCs w:val="22"/>
        </w:rPr>
        <w:t xml:space="preserve"> y en otros, en su totalidad en la vigencia actual, siendo necesario apropiarlos, en el primer evento, de manera parcial, y en el segundo caso en su totalidad, en vigencias futuras. No obstante, ello ha de interpretarse como una excepción al principio de anualidad que rige el presupuesto de cada entidad territorial, en virtud del cual, el periodo fiscal está </w:t>
      </w:r>
      <w:r w:rsidR="00BA7624" w:rsidRPr="0ADF79A1">
        <w:rPr>
          <w:rFonts w:ascii="Verdana" w:hAnsi="Verdana" w:cs="Georgia"/>
          <w:sz w:val="22"/>
          <w:szCs w:val="22"/>
        </w:rPr>
        <w:lastRenderedPageBreak/>
        <w:t xml:space="preserve">comprendido entre el primero (1º) de enero y el treinta y uno (31) de diciembre de cada año. </w:t>
      </w:r>
    </w:p>
    <w:p w14:paraId="3FE9F23F" w14:textId="77777777" w:rsidR="00BA7624" w:rsidRPr="00134356" w:rsidRDefault="00BA7624" w:rsidP="00BA7624">
      <w:pPr>
        <w:spacing w:line="360" w:lineRule="auto"/>
        <w:jc w:val="both"/>
        <w:rPr>
          <w:rFonts w:ascii="Verdana" w:hAnsi="Verdana" w:cs="Georgia"/>
          <w:sz w:val="22"/>
          <w:szCs w:val="22"/>
        </w:rPr>
      </w:pPr>
    </w:p>
    <w:p w14:paraId="7CFA3D37" w14:textId="77777777" w:rsidR="00BA7624" w:rsidRPr="00134356" w:rsidRDefault="00BA7624" w:rsidP="00BA7624">
      <w:pPr>
        <w:spacing w:line="360" w:lineRule="auto"/>
        <w:jc w:val="both"/>
        <w:rPr>
          <w:rFonts w:ascii="Verdana" w:hAnsi="Verdana"/>
          <w:i/>
          <w:sz w:val="22"/>
          <w:szCs w:val="22"/>
          <w:lang w:val="es-CO"/>
        </w:rPr>
      </w:pPr>
      <w:r w:rsidRPr="00134356">
        <w:rPr>
          <w:rFonts w:ascii="Verdana" w:hAnsi="Verdana" w:cs="Georgia"/>
          <w:sz w:val="22"/>
          <w:szCs w:val="22"/>
        </w:rPr>
        <w:t xml:space="preserve">Al respecto, el Consejo de Estado ha señalado que </w:t>
      </w:r>
      <w:r w:rsidRPr="00134356">
        <w:rPr>
          <w:rFonts w:ascii="Verdana" w:hAnsi="Verdana" w:cs="Georgia"/>
          <w:i/>
          <w:sz w:val="22"/>
          <w:szCs w:val="22"/>
        </w:rPr>
        <w:t>“la Ley 819 de 2003 (…) denomina vigencias futuras a l</w:t>
      </w:r>
      <w:r w:rsidRPr="00134356">
        <w:rPr>
          <w:rFonts w:ascii="Verdana" w:hAnsi="Verdana" w:cs="Arial"/>
          <w:i/>
          <w:sz w:val="22"/>
          <w:szCs w:val="22"/>
          <w:lang w:val="es-CO"/>
        </w:rPr>
        <w:t xml:space="preserve">os </w:t>
      </w:r>
      <w:r w:rsidRPr="007A1D32">
        <w:rPr>
          <w:rFonts w:ascii="Verdana" w:hAnsi="Verdana" w:cs="Arial"/>
          <w:b/>
          <w:i/>
          <w:sz w:val="22"/>
          <w:szCs w:val="22"/>
          <w:lang w:val="es-CO"/>
        </w:rPr>
        <w:t>instrumentos de financiación de proyectos</w:t>
      </w:r>
      <w:r w:rsidRPr="007A1D32">
        <w:rPr>
          <w:rFonts w:ascii="Verdana" w:hAnsi="Verdana" w:cs="Arial"/>
          <w:i/>
          <w:sz w:val="22"/>
          <w:szCs w:val="22"/>
          <w:lang w:val="es-CO"/>
        </w:rPr>
        <w:t xml:space="preserve"> a nivel nacional y local. Las clasifica en </w:t>
      </w:r>
      <w:r w:rsidRPr="007A1D32">
        <w:rPr>
          <w:rFonts w:ascii="Verdana" w:hAnsi="Verdana" w:cs="Arial"/>
          <w:bCs/>
          <w:i/>
          <w:sz w:val="22"/>
          <w:szCs w:val="22"/>
          <w:lang w:val="es-CO"/>
        </w:rPr>
        <w:t xml:space="preserve">vigencias futuras ordinarias y vigencias futuras excepcionales. </w:t>
      </w:r>
      <w:r w:rsidRPr="007A1D32">
        <w:rPr>
          <w:rFonts w:ascii="Verdana" w:hAnsi="Verdana" w:cs="Arial"/>
          <w:i/>
          <w:sz w:val="22"/>
          <w:szCs w:val="22"/>
          <w:lang w:val="es-CO"/>
        </w:rPr>
        <w:t xml:space="preserve">Dichas vigencias constituyen una excepción a la ejecución presupuestal anual, y, por tanto, </w:t>
      </w:r>
      <w:r w:rsidRPr="007A1D32">
        <w:rPr>
          <w:rFonts w:ascii="Verdana" w:hAnsi="Verdana" w:cs="Arial"/>
          <w:b/>
          <w:i/>
          <w:sz w:val="22"/>
          <w:szCs w:val="22"/>
          <w:lang w:val="es-CO"/>
        </w:rPr>
        <w:t>deben tratarse con rigor y con un carácter extraordinario para cierta clase de proyectos de mediano y largo plazo</w:t>
      </w:r>
      <w:r w:rsidRPr="007A1D32">
        <w:rPr>
          <w:rFonts w:ascii="Verdana" w:hAnsi="Verdana" w:cs="Arial"/>
          <w:i/>
          <w:sz w:val="22"/>
          <w:szCs w:val="22"/>
          <w:lang w:val="es-CO"/>
        </w:rPr>
        <w:t>,</w:t>
      </w:r>
      <w:r w:rsidRPr="00134356">
        <w:rPr>
          <w:rFonts w:ascii="Verdana" w:hAnsi="Verdana" w:cs="Arial"/>
          <w:i/>
          <w:sz w:val="22"/>
          <w:szCs w:val="22"/>
          <w:lang w:val="es-CO"/>
        </w:rPr>
        <w:t xml:space="preserve"> so pena de inducir en desorden la ejecución presupuestal y comprometer los programas de las administraciones futuras. Por ello, es imprescindible que las vigencias futuras excepcionales consulten metas plurianuales del Marco Fiscal de mediano plazo”.</w:t>
      </w:r>
      <w:r w:rsidRPr="00134356">
        <w:rPr>
          <w:rStyle w:val="Refdenotaalpie"/>
          <w:rFonts w:ascii="Verdana" w:eastAsia="Calibri" w:hAnsi="Verdana"/>
          <w:i/>
          <w:sz w:val="22"/>
          <w:szCs w:val="22"/>
          <w:lang w:val="es-CO"/>
        </w:rPr>
        <w:footnoteReference w:id="4"/>
      </w:r>
    </w:p>
    <w:p w14:paraId="1F72F646" w14:textId="77777777" w:rsidR="00BA7624" w:rsidRPr="00134356" w:rsidRDefault="00BA7624" w:rsidP="00BA7624">
      <w:pPr>
        <w:pStyle w:val="03Cuerpo"/>
        <w:spacing w:line="276" w:lineRule="auto"/>
        <w:ind w:firstLine="0"/>
        <w:rPr>
          <w:rFonts w:ascii="Verdana" w:hAnsi="Verdana" w:cs="Georgia"/>
          <w:szCs w:val="22"/>
          <w:lang w:val="es-CO"/>
        </w:rPr>
      </w:pPr>
    </w:p>
    <w:p w14:paraId="2F98ECCF" w14:textId="77777777" w:rsidR="00BA7624" w:rsidRPr="00134356" w:rsidRDefault="00BA7624" w:rsidP="00BA7624">
      <w:pPr>
        <w:pStyle w:val="03Cuerpo"/>
        <w:spacing w:line="360" w:lineRule="auto"/>
        <w:ind w:firstLine="0"/>
        <w:rPr>
          <w:rFonts w:ascii="Verdana" w:hAnsi="Verdana" w:cs="Georgia"/>
          <w:szCs w:val="22"/>
        </w:rPr>
      </w:pPr>
      <w:r w:rsidRPr="00134356">
        <w:rPr>
          <w:rFonts w:ascii="Verdana" w:hAnsi="Verdana" w:cs="Georgia"/>
          <w:szCs w:val="22"/>
        </w:rPr>
        <w:t xml:space="preserve">Ciertamente, las vigencias futuras se clasifican en </w:t>
      </w:r>
      <w:r w:rsidRPr="00134356">
        <w:rPr>
          <w:rFonts w:ascii="Verdana" w:hAnsi="Verdana" w:cs="Georgia"/>
          <w:i/>
          <w:szCs w:val="22"/>
        </w:rPr>
        <w:t xml:space="preserve">ordinarias y excepcionales. </w:t>
      </w:r>
      <w:r w:rsidRPr="00134356">
        <w:rPr>
          <w:rFonts w:ascii="Verdana" w:hAnsi="Verdana" w:cs="Georgia"/>
          <w:szCs w:val="22"/>
        </w:rPr>
        <w:t xml:space="preserve">En las primeras, la ejecución de las obligaciones empieza en la misma vigencia en que fueron autorizadas y, por lo tanto, la respectiva entidad territorial debe contar con una apropiación presupuestal del quince por ciento (15%) como mínimo. En tanto que, si se trata de vigencias futuras excepcionales, no es necesario contar con una apropiación en la vigencia en que se concede la autorización por parte de la corporación pública, y sólo pueden ser empleadas para financiar proyectos de inversión. </w:t>
      </w:r>
    </w:p>
    <w:p w14:paraId="08CE6F91" w14:textId="77777777" w:rsidR="00BA7624" w:rsidRPr="00134356" w:rsidRDefault="00BA7624" w:rsidP="00BA7624">
      <w:pPr>
        <w:pStyle w:val="03Cuerpo"/>
        <w:spacing w:line="276" w:lineRule="auto"/>
        <w:ind w:firstLine="0"/>
        <w:rPr>
          <w:rFonts w:ascii="Verdana" w:hAnsi="Verdana" w:cs="Georgia"/>
          <w:szCs w:val="22"/>
        </w:rPr>
      </w:pPr>
    </w:p>
    <w:p w14:paraId="1E6843E6" w14:textId="77777777" w:rsidR="00BA7624" w:rsidRPr="00134356" w:rsidRDefault="00BA7624" w:rsidP="00BA7624">
      <w:pPr>
        <w:pStyle w:val="03Cuerpo"/>
        <w:spacing w:line="360" w:lineRule="auto"/>
        <w:ind w:firstLine="0"/>
        <w:rPr>
          <w:rFonts w:ascii="Verdana" w:hAnsi="Verdana" w:cs="Georgia"/>
          <w:szCs w:val="22"/>
        </w:rPr>
      </w:pPr>
      <w:r w:rsidRPr="00134356">
        <w:rPr>
          <w:rFonts w:ascii="Verdana" w:hAnsi="Verdana" w:cs="Georgia"/>
          <w:szCs w:val="22"/>
        </w:rPr>
        <w:t xml:space="preserve">De esta manera, las ordinarias se encuentran establecidas en el artículo 12 de la Ley 819 de 2003, como sigue: </w:t>
      </w:r>
    </w:p>
    <w:p w14:paraId="61CDCEAD" w14:textId="77777777" w:rsidR="00BA7624" w:rsidRPr="00134356" w:rsidRDefault="00BA7624" w:rsidP="00BA7624">
      <w:pPr>
        <w:pStyle w:val="03Cuerpo"/>
        <w:spacing w:line="276" w:lineRule="auto"/>
        <w:ind w:firstLine="0"/>
        <w:rPr>
          <w:rFonts w:ascii="Verdana" w:hAnsi="Verdana" w:cs="Georgia"/>
          <w:szCs w:val="22"/>
        </w:rPr>
      </w:pPr>
    </w:p>
    <w:p w14:paraId="5DAE241C" w14:textId="77777777" w:rsidR="00BA7624" w:rsidRPr="00134356" w:rsidRDefault="00BA7624" w:rsidP="00BA7624">
      <w:pPr>
        <w:tabs>
          <w:tab w:val="left" w:pos="935"/>
        </w:tabs>
        <w:spacing w:line="276" w:lineRule="auto"/>
        <w:ind w:left="567" w:right="760"/>
        <w:jc w:val="both"/>
        <w:rPr>
          <w:rFonts w:ascii="Verdana" w:hAnsi="Verdana" w:cs="Arial"/>
          <w:i/>
          <w:sz w:val="22"/>
          <w:szCs w:val="22"/>
        </w:rPr>
      </w:pPr>
      <w:r w:rsidRPr="00134356">
        <w:rPr>
          <w:rFonts w:ascii="Verdana" w:hAnsi="Verdana" w:cs="Arial"/>
          <w:b/>
          <w:i/>
          <w:sz w:val="22"/>
          <w:szCs w:val="22"/>
        </w:rPr>
        <w:t>“Artículo 12. Vigencias futuras ordinarias para entidades territoriales.</w:t>
      </w:r>
      <w:r w:rsidRPr="00134356">
        <w:rPr>
          <w:rFonts w:ascii="Verdana" w:hAnsi="Verdana" w:cs="Arial"/>
          <w:i/>
          <w:sz w:val="22"/>
          <w:szCs w:val="22"/>
        </w:rPr>
        <w:t xml:space="preserve"> En las entidades territoriales, las autorizaciones para comprometer vigencias futuras serán impartidas por la asamblea o concejo respectivo, a iniciativa del gobierno local, previa aprobación por el Confis territorial o el órgano que haga sus veces.</w:t>
      </w:r>
    </w:p>
    <w:p w14:paraId="6BB9E253" w14:textId="77777777" w:rsidR="00BA7624" w:rsidRPr="00134356" w:rsidRDefault="00BA7624" w:rsidP="00BA7624">
      <w:pPr>
        <w:tabs>
          <w:tab w:val="left" w:pos="935"/>
        </w:tabs>
        <w:spacing w:line="276" w:lineRule="auto"/>
        <w:ind w:left="567" w:right="760"/>
        <w:jc w:val="both"/>
        <w:rPr>
          <w:rFonts w:ascii="Verdana" w:hAnsi="Verdana" w:cs="Arial"/>
          <w:i/>
          <w:sz w:val="22"/>
          <w:szCs w:val="22"/>
        </w:rPr>
      </w:pPr>
    </w:p>
    <w:p w14:paraId="7B69CCF1" w14:textId="77777777" w:rsidR="00BA7624" w:rsidRPr="00134356" w:rsidRDefault="00BA7624" w:rsidP="00BA7624">
      <w:pPr>
        <w:tabs>
          <w:tab w:val="left" w:pos="935"/>
        </w:tabs>
        <w:spacing w:line="276" w:lineRule="auto"/>
        <w:ind w:left="567" w:right="760"/>
        <w:jc w:val="both"/>
        <w:rPr>
          <w:rFonts w:ascii="Verdana" w:hAnsi="Verdana" w:cs="Arial"/>
          <w:i/>
          <w:sz w:val="22"/>
          <w:szCs w:val="22"/>
        </w:rPr>
      </w:pPr>
      <w:r w:rsidRPr="00134356">
        <w:rPr>
          <w:rFonts w:ascii="Verdana" w:hAnsi="Verdana" w:cs="Arial"/>
          <w:i/>
          <w:sz w:val="22"/>
          <w:szCs w:val="22"/>
        </w:rPr>
        <w:t>Se podrá autorizar la asunción de obligaciones que afecten presupuestos de vigencias futuras cuando su ejecución se inicie con presupuesto de la vigencia en curso y el objeto del compromiso se lleve a cabo en cada una de ellas siempre y cuando se cumpla que:</w:t>
      </w:r>
    </w:p>
    <w:p w14:paraId="23DE523C" w14:textId="77777777" w:rsidR="00BA7624" w:rsidRPr="00134356" w:rsidRDefault="00BA7624" w:rsidP="00BA7624">
      <w:pPr>
        <w:tabs>
          <w:tab w:val="left" w:pos="935"/>
        </w:tabs>
        <w:spacing w:line="276" w:lineRule="auto"/>
        <w:ind w:left="567" w:right="760"/>
        <w:jc w:val="both"/>
        <w:rPr>
          <w:rFonts w:ascii="Verdana" w:hAnsi="Verdana" w:cs="Arial"/>
          <w:i/>
          <w:sz w:val="22"/>
          <w:szCs w:val="22"/>
        </w:rPr>
      </w:pPr>
    </w:p>
    <w:p w14:paraId="5BC164F4" w14:textId="77777777" w:rsidR="00BA7624" w:rsidRPr="00134356" w:rsidRDefault="00BA7624" w:rsidP="00BA7624">
      <w:pPr>
        <w:tabs>
          <w:tab w:val="left" w:pos="935"/>
        </w:tabs>
        <w:spacing w:line="276" w:lineRule="auto"/>
        <w:ind w:left="567" w:right="760"/>
        <w:jc w:val="both"/>
        <w:rPr>
          <w:rFonts w:ascii="Verdana" w:hAnsi="Verdana" w:cs="Arial"/>
          <w:i/>
          <w:sz w:val="22"/>
          <w:szCs w:val="22"/>
        </w:rPr>
      </w:pPr>
      <w:r w:rsidRPr="00134356">
        <w:rPr>
          <w:rFonts w:ascii="Verdana" w:hAnsi="Verdana" w:cs="Arial"/>
          <w:b/>
          <w:i/>
          <w:sz w:val="22"/>
          <w:szCs w:val="22"/>
        </w:rPr>
        <w:lastRenderedPageBreak/>
        <w:t>a)</w:t>
      </w:r>
      <w:r w:rsidRPr="00134356">
        <w:rPr>
          <w:rFonts w:ascii="Verdana" w:hAnsi="Verdana" w:cs="Arial"/>
          <w:i/>
          <w:sz w:val="22"/>
          <w:szCs w:val="22"/>
        </w:rPr>
        <w:t xml:space="preserve"> El monto máximo de vigencias futuras, el plazo y las condiciones de las mismas consulte las metas plurianuales del Marco Fiscal de Mediano Plazo de que trata el artículo 1º de esta ley; </w:t>
      </w:r>
    </w:p>
    <w:p w14:paraId="50655EC2" w14:textId="77777777" w:rsidR="00BA7624" w:rsidRPr="00134356" w:rsidRDefault="00BA7624" w:rsidP="00BA7624">
      <w:pPr>
        <w:tabs>
          <w:tab w:val="left" w:pos="935"/>
        </w:tabs>
        <w:spacing w:line="276" w:lineRule="auto"/>
        <w:ind w:left="567" w:right="760"/>
        <w:jc w:val="both"/>
        <w:rPr>
          <w:rFonts w:ascii="Verdana" w:hAnsi="Verdana" w:cs="Arial"/>
          <w:i/>
          <w:sz w:val="22"/>
          <w:szCs w:val="22"/>
        </w:rPr>
      </w:pPr>
      <w:r w:rsidRPr="00134356">
        <w:rPr>
          <w:rFonts w:ascii="Verdana" w:hAnsi="Verdana" w:cs="Arial"/>
          <w:b/>
          <w:i/>
          <w:sz w:val="22"/>
          <w:szCs w:val="22"/>
        </w:rPr>
        <w:t>b)</w:t>
      </w:r>
      <w:r w:rsidRPr="00134356">
        <w:rPr>
          <w:rFonts w:ascii="Verdana" w:hAnsi="Verdana" w:cs="Arial"/>
          <w:i/>
          <w:sz w:val="22"/>
          <w:szCs w:val="22"/>
        </w:rPr>
        <w:t xml:space="preserve"> Como mínimo, de las vigencias futuras que se soliciten se deberá contar con apropiación del quince por ciento (15%) en la vigencia fiscal en la que estas sean autorizadas; </w:t>
      </w:r>
    </w:p>
    <w:p w14:paraId="66506322" w14:textId="77777777" w:rsidR="00BA7624" w:rsidRPr="00134356" w:rsidRDefault="00BA7624" w:rsidP="00BA7624">
      <w:pPr>
        <w:tabs>
          <w:tab w:val="left" w:pos="935"/>
        </w:tabs>
        <w:spacing w:line="276" w:lineRule="auto"/>
        <w:ind w:left="567" w:right="760"/>
        <w:jc w:val="both"/>
        <w:rPr>
          <w:rFonts w:ascii="Verdana" w:hAnsi="Verdana" w:cs="Arial"/>
          <w:i/>
          <w:sz w:val="22"/>
          <w:szCs w:val="22"/>
        </w:rPr>
      </w:pPr>
      <w:r w:rsidRPr="00134356">
        <w:rPr>
          <w:rFonts w:ascii="Verdana" w:hAnsi="Verdana" w:cs="Arial"/>
          <w:b/>
          <w:i/>
          <w:sz w:val="22"/>
          <w:szCs w:val="22"/>
        </w:rPr>
        <w:t>c)</w:t>
      </w:r>
      <w:r w:rsidRPr="00134356">
        <w:rPr>
          <w:rFonts w:ascii="Verdana" w:hAnsi="Verdana" w:cs="Arial"/>
          <w:i/>
          <w:sz w:val="22"/>
          <w:szCs w:val="22"/>
        </w:rPr>
        <w:t xml:space="preserve"> Cuando se trate de proyectos que conlleven inversión nacional deberá obtenerse el concepto previo y favorable del Departamento Nacional de Planeación. </w:t>
      </w:r>
    </w:p>
    <w:p w14:paraId="51EC963A" w14:textId="77777777" w:rsidR="00BA7624" w:rsidRPr="00134356" w:rsidRDefault="00BA7624" w:rsidP="00BA7624">
      <w:pPr>
        <w:tabs>
          <w:tab w:val="left" w:pos="935"/>
        </w:tabs>
        <w:spacing w:line="276" w:lineRule="auto"/>
        <w:ind w:left="567" w:right="760"/>
        <w:jc w:val="both"/>
        <w:rPr>
          <w:rFonts w:ascii="Verdana" w:hAnsi="Verdana" w:cs="Arial"/>
          <w:i/>
          <w:sz w:val="22"/>
          <w:szCs w:val="22"/>
        </w:rPr>
      </w:pPr>
      <w:r w:rsidRPr="00134356">
        <w:rPr>
          <w:rFonts w:ascii="Verdana" w:hAnsi="Verdana" w:cs="Arial"/>
          <w:i/>
          <w:sz w:val="22"/>
          <w:szCs w:val="22"/>
        </w:rPr>
        <w:t xml:space="preserve">La corporación de elección popular se abstendrá de otorgar la autorización si los proyectos objeto de la vigencia futura no están consignados en el Plan de Desarrollo respectivo y si sumados todos los compromisos que se pretendan adquirir por esta modalidad y sus costos futuros de mantenimiento y/o administración, se excede su capacidad de endeudamiento. </w:t>
      </w:r>
    </w:p>
    <w:p w14:paraId="52E56223" w14:textId="77777777" w:rsidR="00BA7624" w:rsidRPr="00134356" w:rsidRDefault="00BA7624" w:rsidP="00BA7624">
      <w:pPr>
        <w:tabs>
          <w:tab w:val="left" w:pos="935"/>
        </w:tabs>
        <w:spacing w:line="276" w:lineRule="auto"/>
        <w:ind w:left="567" w:right="760"/>
        <w:jc w:val="both"/>
        <w:rPr>
          <w:rFonts w:ascii="Verdana" w:hAnsi="Verdana" w:cs="Arial"/>
          <w:i/>
          <w:sz w:val="22"/>
          <w:szCs w:val="22"/>
        </w:rPr>
      </w:pPr>
    </w:p>
    <w:p w14:paraId="16AC763D" w14:textId="77777777" w:rsidR="00BA7624" w:rsidRPr="00134356" w:rsidRDefault="00BA7624" w:rsidP="00BA7624">
      <w:pPr>
        <w:tabs>
          <w:tab w:val="left" w:pos="935"/>
        </w:tabs>
        <w:spacing w:line="276" w:lineRule="auto"/>
        <w:ind w:left="567" w:right="760"/>
        <w:jc w:val="both"/>
        <w:rPr>
          <w:rFonts w:ascii="Verdana" w:hAnsi="Verdana" w:cs="Arial"/>
          <w:i/>
          <w:sz w:val="22"/>
          <w:szCs w:val="22"/>
        </w:rPr>
      </w:pPr>
      <w:r w:rsidRPr="00134356">
        <w:rPr>
          <w:rFonts w:ascii="Verdana" w:hAnsi="Verdana" w:cs="Arial"/>
          <w:i/>
          <w:sz w:val="22"/>
          <w:szCs w:val="22"/>
        </w:rPr>
        <w:t xml:space="preserve">La autorización por parte del Confis para comprometer presupuesto con cargo a vigencias futuras no podrá superar el respectivo periodo de gobierno. Se exceptúan los proyectos de gastos de inversión en aquellos casos en que el Consejo de Gobierno previamente los declare de importancia estratégica. </w:t>
      </w:r>
    </w:p>
    <w:p w14:paraId="07547A01" w14:textId="77777777" w:rsidR="00BA7624" w:rsidRPr="00134356" w:rsidRDefault="00BA7624" w:rsidP="00BA7624">
      <w:pPr>
        <w:tabs>
          <w:tab w:val="left" w:pos="935"/>
        </w:tabs>
        <w:spacing w:line="276" w:lineRule="auto"/>
        <w:ind w:left="567" w:right="760"/>
        <w:jc w:val="both"/>
        <w:rPr>
          <w:rFonts w:ascii="Verdana" w:hAnsi="Verdana" w:cs="Arial"/>
          <w:i/>
          <w:sz w:val="22"/>
          <w:szCs w:val="22"/>
        </w:rPr>
      </w:pPr>
    </w:p>
    <w:p w14:paraId="06D9B26D" w14:textId="77777777" w:rsidR="00BA7624" w:rsidRPr="00134356" w:rsidRDefault="00BA7624" w:rsidP="00BA7624">
      <w:pPr>
        <w:tabs>
          <w:tab w:val="left" w:pos="935"/>
        </w:tabs>
        <w:spacing w:line="276" w:lineRule="auto"/>
        <w:ind w:left="567" w:right="760"/>
        <w:jc w:val="both"/>
        <w:rPr>
          <w:rFonts w:ascii="Verdana" w:hAnsi="Verdana" w:cs="Arial"/>
          <w:i/>
          <w:sz w:val="22"/>
          <w:szCs w:val="22"/>
        </w:rPr>
      </w:pPr>
      <w:r w:rsidRPr="00134356">
        <w:rPr>
          <w:rFonts w:ascii="Verdana" w:hAnsi="Verdana" w:cs="Arial"/>
          <w:i/>
          <w:sz w:val="22"/>
          <w:szCs w:val="22"/>
        </w:rPr>
        <w:t xml:space="preserve">En las entidades territoriales, queda prohibida la aprobación de cualquier vigencia futura, en el último año de gobierno del respectivo alcalde o gobernador, excepto la celebración de operaciones conexas de crédito público. </w:t>
      </w:r>
    </w:p>
    <w:p w14:paraId="27631554" w14:textId="217E8D49" w:rsidR="00BA7624" w:rsidRDefault="00BA7624" w:rsidP="00BA7624">
      <w:pPr>
        <w:tabs>
          <w:tab w:val="left" w:pos="935"/>
        </w:tabs>
        <w:spacing w:line="276" w:lineRule="auto"/>
        <w:ind w:left="567" w:right="760"/>
        <w:jc w:val="both"/>
        <w:rPr>
          <w:rFonts w:ascii="Verdana" w:hAnsi="Verdana" w:cs="Arial"/>
          <w:i/>
          <w:sz w:val="22"/>
          <w:szCs w:val="22"/>
        </w:rPr>
      </w:pPr>
      <w:r w:rsidRPr="00134356">
        <w:rPr>
          <w:rFonts w:ascii="Verdana" w:hAnsi="Verdana" w:cs="Arial"/>
          <w:i/>
          <w:sz w:val="22"/>
          <w:szCs w:val="22"/>
        </w:rPr>
        <w:t>(…)</w:t>
      </w:r>
    </w:p>
    <w:p w14:paraId="0EFEEB4F" w14:textId="77777777" w:rsidR="005F54D6" w:rsidRPr="00134356" w:rsidRDefault="005F54D6" w:rsidP="00BA7624">
      <w:pPr>
        <w:tabs>
          <w:tab w:val="left" w:pos="935"/>
        </w:tabs>
        <w:spacing w:line="276" w:lineRule="auto"/>
        <w:ind w:left="567" w:right="760"/>
        <w:jc w:val="both"/>
        <w:rPr>
          <w:rFonts w:ascii="Verdana" w:hAnsi="Verdana" w:cs="Arial"/>
          <w:i/>
          <w:sz w:val="22"/>
          <w:szCs w:val="22"/>
        </w:rPr>
      </w:pPr>
    </w:p>
    <w:p w14:paraId="2C6D62BB" w14:textId="373ABC44" w:rsidR="00BA7624" w:rsidRPr="00134356" w:rsidRDefault="00BA7624" w:rsidP="00BA7624">
      <w:pPr>
        <w:tabs>
          <w:tab w:val="left" w:pos="935"/>
        </w:tabs>
        <w:spacing w:line="360" w:lineRule="auto"/>
        <w:jc w:val="both"/>
        <w:rPr>
          <w:rFonts w:ascii="Verdana" w:hAnsi="Verdana" w:cs="Arial"/>
          <w:sz w:val="22"/>
          <w:szCs w:val="22"/>
        </w:rPr>
      </w:pPr>
      <w:r w:rsidRPr="00134356">
        <w:rPr>
          <w:rFonts w:ascii="Verdana" w:hAnsi="Verdana"/>
          <w:sz w:val="22"/>
          <w:szCs w:val="22"/>
        </w:rPr>
        <w:t xml:space="preserve">Conforme lo anterior, para comprometer vigencias futuras ordinarias la ley establece una serie de requisitos, los cuales deben estar satisfechos en su totalidad dado que, como lo ha señalado esta Corporación en reciente pronunciamiento, </w:t>
      </w:r>
      <w:r w:rsidRPr="0ADF79A1">
        <w:rPr>
          <w:rFonts w:ascii="Verdana" w:hAnsi="Verdana"/>
          <w:i/>
          <w:iCs/>
          <w:sz w:val="22"/>
          <w:szCs w:val="22"/>
        </w:rPr>
        <w:t>el instrumento de financiación en comento constituye una excepción al principio de ejecución presupuestal anual y, por tanto, merecen un tratamiento extraordinario y restrictivo</w:t>
      </w:r>
      <w:r w:rsidRPr="00134356">
        <w:rPr>
          <w:rStyle w:val="Refdenotaalpie"/>
          <w:rFonts w:ascii="Verdana" w:eastAsia="Arial Narrow" w:hAnsi="Verdana"/>
          <w:sz w:val="22"/>
          <w:szCs w:val="22"/>
        </w:rPr>
        <w:footnoteReference w:id="5"/>
      </w:r>
      <w:r w:rsidRPr="0ADF79A1">
        <w:rPr>
          <w:rFonts w:ascii="Verdana" w:hAnsi="Verdana"/>
          <w:i/>
          <w:iCs/>
          <w:sz w:val="22"/>
          <w:szCs w:val="22"/>
        </w:rPr>
        <w:t xml:space="preserve">. </w:t>
      </w:r>
      <w:r w:rsidRPr="00134356">
        <w:rPr>
          <w:rFonts w:ascii="Verdana" w:hAnsi="Verdana"/>
          <w:sz w:val="22"/>
          <w:szCs w:val="22"/>
        </w:rPr>
        <w:t xml:space="preserve">Así, los requisitos de procedencia consisten en </w:t>
      </w:r>
      <w:r w:rsidRPr="0ADF79A1">
        <w:rPr>
          <w:rFonts w:ascii="Verdana" w:hAnsi="Verdana"/>
          <w:b/>
          <w:bCs/>
          <w:sz w:val="22"/>
          <w:szCs w:val="22"/>
        </w:rPr>
        <w:t xml:space="preserve">i) </w:t>
      </w:r>
      <w:r w:rsidRPr="00134356">
        <w:rPr>
          <w:rFonts w:ascii="Verdana" w:hAnsi="Verdana"/>
          <w:sz w:val="22"/>
          <w:szCs w:val="22"/>
        </w:rPr>
        <w:t xml:space="preserve">que deben ser aprobadas por el Concejo Municipal, </w:t>
      </w:r>
      <w:r w:rsidRPr="0ADF79A1">
        <w:rPr>
          <w:rFonts w:ascii="Verdana" w:hAnsi="Verdana"/>
          <w:b/>
          <w:bCs/>
          <w:sz w:val="22"/>
          <w:szCs w:val="22"/>
        </w:rPr>
        <w:t xml:space="preserve">ii) </w:t>
      </w:r>
      <w:r w:rsidRPr="00134356">
        <w:rPr>
          <w:rFonts w:ascii="Verdana" w:hAnsi="Verdana"/>
          <w:sz w:val="22"/>
          <w:szCs w:val="22"/>
        </w:rPr>
        <w:t xml:space="preserve">deben ser consideradas por la Corporación edilicia, a iniciativa del Alcalde, </w:t>
      </w:r>
      <w:r w:rsidRPr="0ADF79A1">
        <w:rPr>
          <w:rFonts w:ascii="Verdana" w:hAnsi="Verdana"/>
          <w:b/>
          <w:bCs/>
          <w:sz w:val="22"/>
          <w:szCs w:val="22"/>
        </w:rPr>
        <w:t xml:space="preserve">iii) </w:t>
      </w:r>
      <w:r w:rsidRPr="00134356">
        <w:rPr>
          <w:rFonts w:ascii="Verdana" w:hAnsi="Verdana"/>
          <w:sz w:val="22"/>
          <w:szCs w:val="22"/>
        </w:rPr>
        <w:t xml:space="preserve">deben contar con la autorización del CONFIS municipal o el organismo que haga sus veces, </w:t>
      </w:r>
      <w:r w:rsidRPr="0ADF79A1">
        <w:rPr>
          <w:rFonts w:ascii="Verdana" w:hAnsi="Verdana"/>
          <w:b/>
          <w:bCs/>
          <w:sz w:val="22"/>
          <w:szCs w:val="22"/>
        </w:rPr>
        <w:t xml:space="preserve">iv) </w:t>
      </w:r>
      <w:r w:rsidRPr="00134356">
        <w:rPr>
          <w:rFonts w:ascii="Verdana" w:hAnsi="Verdana"/>
          <w:sz w:val="22"/>
          <w:szCs w:val="22"/>
        </w:rPr>
        <w:t xml:space="preserve">de las vigencias futuras que se soliciten se deberá contar con apropiación del quince por ciento (15%) en la vigencia fiscal en la que estas sean autorizadas, </w:t>
      </w:r>
      <w:r w:rsidRPr="0ADF79A1">
        <w:rPr>
          <w:rFonts w:ascii="Verdana" w:hAnsi="Verdana"/>
          <w:b/>
          <w:bCs/>
          <w:sz w:val="22"/>
          <w:szCs w:val="22"/>
        </w:rPr>
        <w:t xml:space="preserve">v) </w:t>
      </w:r>
      <w:r w:rsidRPr="00134356">
        <w:rPr>
          <w:rFonts w:ascii="Verdana" w:hAnsi="Verdana"/>
          <w:sz w:val="22"/>
          <w:szCs w:val="22"/>
        </w:rPr>
        <w:t xml:space="preserve">la autorización de los recursos no puede exceder el periodo del Alcalde, ni conferirse para el último año de gobierno; </w:t>
      </w:r>
      <w:r w:rsidRPr="0ADF79A1">
        <w:rPr>
          <w:rFonts w:ascii="Verdana" w:hAnsi="Verdana"/>
          <w:b/>
          <w:bCs/>
          <w:sz w:val="22"/>
          <w:szCs w:val="22"/>
        </w:rPr>
        <w:t xml:space="preserve">vi) </w:t>
      </w:r>
      <w:r w:rsidRPr="00134356">
        <w:rPr>
          <w:rFonts w:ascii="Verdana" w:hAnsi="Verdana"/>
          <w:sz w:val="22"/>
          <w:szCs w:val="22"/>
        </w:rPr>
        <w:t xml:space="preserve">además de esto, la autorización de vigencias futuras ordinarias tiene como propósito exclusivo el financiamiento </w:t>
      </w:r>
      <w:r w:rsidRPr="00134356">
        <w:rPr>
          <w:rFonts w:ascii="Verdana" w:hAnsi="Verdana"/>
          <w:sz w:val="22"/>
          <w:szCs w:val="22"/>
        </w:rPr>
        <w:lastRenderedPageBreak/>
        <w:t xml:space="preserve">de proyectos de inversión, el que además </w:t>
      </w:r>
      <w:r w:rsidRPr="0ADF79A1">
        <w:rPr>
          <w:rFonts w:ascii="Verdana" w:hAnsi="Verdana"/>
          <w:b/>
          <w:bCs/>
          <w:sz w:val="22"/>
          <w:szCs w:val="22"/>
        </w:rPr>
        <w:t xml:space="preserve">vii) </w:t>
      </w:r>
      <w:r w:rsidRPr="00134356">
        <w:rPr>
          <w:rFonts w:ascii="Verdana" w:hAnsi="Verdana"/>
          <w:sz w:val="22"/>
          <w:szCs w:val="22"/>
        </w:rPr>
        <w:t xml:space="preserve">deberá estar consignado en el Plan de Desarrollo del municipio, y que </w:t>
      </w:r>
      <w:r w:rsidRPr="0ADF79A1">
        <w:rPr>
          <w:rFonts w:ascii="Verdana" w:hAnsi="Verdana"/>
          <w:b/>
          <w:bCs/>
          <w:sz w:val="22"/>
          <w:szCs w:val="22"/>
        </w:rPr>
        <w:t xml:space="preserve">viii) </w:t>
      </w:r>
      <w:r w:rsidRPr="00134356">
        <w:rPr>
          <w:rFonts w:ascii="Verdana" w:hAnsi="Verdana"/>
          <w:sz w:val="22"/>
          <w:szCs w:val="22"/>
        </w:rPr>
        <w:t xml:space="preserve">sumados todos los compromisos que se pretendan adquirir por esta modalidad y sus costos futuros de mantenimiento y/o administración, </w:t>
      </w:r>
      <w:r w:rsidR="19D65064" w:rsidRPr="00134356">
        <w:rPr>
          <w:rFonts w:ascii="Verdana" w:hAnsi="Verdana"/>
          <w:sz w:val="22"/>
          <w:szCs w:val="22"/>
        </w:rPr>
        <w:t xml:space="preserve">no </w:t>
      </w:r>
      <w:r w:rsidRPr="00134356">
        <w:rPr>
          <w:rFonts w:ascii="Verdana" w:hAnsi="Verdana"/>
          <w:sz w:val="22"/>
          <w:szCs w:val="22"/>
        </w:rPr>
        <w:t>se exced</w:t>
      </w:r>
      <w:r w:rsidR="2CD84ABB" w:rsidRPr="00134356">
        <w:rPr>
          <w:rFonts w:ascii="Verdana" w:hAnsi="Verdana"/>
          <w:sz w:val="22"/>
          <w:szCs w:val="22"/>
        </w:rPr>
        <w:t>a</w:t>
      </w:r>
      <w:r w:rsidRPr="00134356">
        <w:rPr>
          <w:rFonts w:ascii="Verdana" w:hAnsi="Verdana"/>
          <w:sz w:val="22"/>
          <w:szCs w:val="22"/>
        </w:rPr>
        <w:t xml:space="preserve"> su capacidad de endeudamiento, y finalmente, que </w:t>
      </w:r>
      <w:r w:rsidRPr="0ADF79A1">
        <w:rPr>
          <w:rFonts w:ascii="Verdana" w:hAnsi="Verdana"/>
          <w:b/>
          <w:bCs/>
          <w:sz w:val="22"/>
          <w:szCs w:val="22"/>
        </w:rPr>
        <w:t xml:space="preserve">ix) </w:t>
      </w:r>
      <w:r w:rsidRPr="00134356">
        <w:rPr>
          <w:rFonts w:ascii="Verdana" w:hAnsi="Verdana"/>
          <w:sz w:val="22"/>
          <w:szCs w:val="22"/>
        </w:rPr>
        <w:t xml:space="preserve">el monto máximo de vigencias futuras, el plazo y las condiciones de las mismas deberá consultar las metas plurianuales del Marco Fiscal de Mediano Plazo.  </w:t>
      </w:r>
    </w:p>
    <w:p w14:paraId="5043CB0F" w14:textId="77777777" w:rsidR="00BA7624" w:rsidRPr="00134356" w:rsidRDefault="00BA7624" w:rsidP="00BA7624">
      <w:pPr>
        <w:tabs>
          <w:tab w:val="left" w:pos="935"/>
        </w:tabs>
        <w:spacing w:line="276" w:lineRule="auto"/>
        <w:jc w:val="both"/>
        <w:rPr>
          <w:rFonts w:ascii="Verdana" w:hAnsi="Verdana" w:cs="Arial"/>
          <w:sz w:val="22"/>
          <w:szCs w:val="22"/>
        </w:rPr>
      </w:pPr>
    </w:p>
    <w:p w14:paraId="2262D31F" w14:textId="77777777" w:rsidR="0006439E" w:rsidRPr="00134356" w:rsidRDefault="00BA7624" w:rsidP="00BA7624">
      <w:pPr>
        <w:spacing w:line="360" w:lineRule="auto"/>
        <w:jc w:val="both"/>
        <w:rPr>
          <w:rFonts w:ascii="Verdana" w:hAnsi="Verdana"/>
          <w:sz w:val="22"/>
          <w:szCs w:val="22"/>
        </w:rPr>
      </w:pPr>
      <w:r w:rsidRPr="00134356">
        <w:rPr>
          <w:rFonts w:ascii="Verdana" w:hAnsi="Verdana" w:cs="Arial"/>
          <w:sz w:val="22"/>
          <w:szCs w:val="22"/>
        </w:rPr>
        <w:t xml:space="preserve">Por su parte, la ley 1483 de 2011 consagró en su artículo 1 lo atinente a las vigencias futuras excepcionales; sin embargo, como quiera que dentro del presente asunto la Litis no se contrae a ésta herramienta presupuestal, la Sala no ahondará en su estudio normativo. </w:t>
      </w:r>
      <w:r w:rsidR="0006439E" w:rsidRPr="00134356">
        <w:rPr>
          <w:rFonts w:ascii="Verdana" w:hAnsi="Verdana"/>
          <w:sz w:val="22"/>
          <w:szCs w:val="22"/>
        </w:rPr>
        <w:t xml:space="preserve">  </w:t>
      </w:r>
    </w:p>
    <w:p w14:paraId="07459315" w14:textId="77777777" w:rsidR="0006439E" w:rsidRPr="00134356" w:rsidRDefault="0006439E" w:rsidP="0006439E">
      <w:pPr>
        <w:spacing w:line="360" w:lineRule="auto"/>
        <w:jc w:val="both"/>
        <w:rPr>
          <w:rFonts w:ascii="Verdana" w:hAnsi="Verdana"/>
          <w:sz w:val="22"/>
          <w:szCs w:val="22"/>
        </w:rPr>
      </w:pPr>
    </w:p>
    <w:p w14:paraId="3F842AE9" w14:textId="77777777" w:rsidR="00BA7624" w:rsidRPr="00134356" w:rsidRDefault="00BA7624" w:rsidP="0006439E">
      <w:pPr>
        <w:spacing w:line="360" w:lineRule="auto"/>
        <w:jc w:val="both"/>
        <w:rPr>
          <w:rFonts w:ascii="Verdana" w:hAnsi="Verdana"/>
          <w:b/>
          <w:sz w:val="22"/>
          <w:szCs w:val="22"/>
        </w:rPr>
      </w:pPr>
      <w:r w:rsidRPr="00134356">
        <w:rPr>
          <w:rFonts w:ascii="Verdana" w:hAnsi="Verdana"/>
          <w:b/>
          <w:sz w:val="22"/>
          <w:szCs w:val="22"/>
        </w:rPr>
        <w:t>3.3.-  Caso concreto</w:t>
      </w:r>
    </w:p>
    <w:p w14:paraId="6537F28F" w14:textId="77777777" w:rsidR="00BA7624" w:rsidRPr="00134356" w:rsidRDefault="00BA7624" w:rsidP="0006439E">
      <w:pPr>
        <w:spacing w:line="360" w:lineRule="auto"/>
        <w:jc w:val="both"/>
        <w:rPr>
          <w:rFonts w:ascii="Verdana" w:hAnsi="Verdana"/>
          <w:b/>
          <w:sz w:val="22"/>
          <w:szCs w:val="22"/>
        </w:rPr>
      </w:pPr>
    </w:p>
    <w:p w14:paraId="6DFB9E20" w14:textId="05E919FF" w:rsidR="0006439E" w:rsidRDefault="00A840A9" w:rsidP="0006439E">
      <w:pPr>
        <w:spacing w:line="360" w:lineRule="auto"/>
        <w:jc w:val="both"/>
        <w:rPr>
          <w:rFonts w:ascii="Verdana" w:hAnsi="Verdana"/>
          <w:sz w:val="22"/>
          <w:szCs w:val="22"/>
        </w:rPr>
      </w:pPr>
      <w:r w:rsidRPr="00134356">
        <w:rPr>
          <w:rFonts w:ascii="Verdana" w:hAnsi="Verdana"/>
          <w:b/>
          <w:sz w:val="22"/>
          <w:szCs w:val="22"/>
        </w:rPr>
        <w:t>3.3.1-</w:t>
      </w:r>
      <w:r w:rsidRPr="00134356">
        <w:rPr>
          <w:rFonts w:ascii="Verdana" w:hAnsi="Verdana"/>
          <w:sz w:val="22"/>
          <w:szCs w:val="22"/>
        </w:rPr>
        <w:t xml:space="preserve"> </w:t>
      </w:r>
      <w:r w:rsidR="0006439E" w:rsidRPr="00134356">
        <w:rPr>
          <w:rFonts w:ascii="Verdana" w:hAnsi="Verdana"/>
          <w:sz w:val="22"/>
          <w:szCs w:val="22"/>
        </w:rPr>
        <w:t xml:space="preserve">Descendiendo al caso concreto, </w:t>
      </w:r>
      <w:r w:rsidR="00BA7624" w:rsidRPr="00134356">
        <w:rPr>
          <w:rFonts w:ascii="Verdana" w:hAnsi="Verdana"/>
          <w:sz w:val="22"/>
          <w:szCs w:val="22"/>
        </w:rPr>
        <w:t xml:space="preserve">memora la Sala que el </w:t>
      </w:r>
      <w:r w:rsidR="00AC0326">
        <w:rPr>
          <w:rFonts w:ascii="Verdana" w:hAnsi="Verdana"/>
          <w:sz w:val="22"/>
          <w:szCs w:val="22"/>
        </w:rPr>
        <w:t>D</w:t>
      </w:r>
      <w:r w:rsidR="00BA7624" w:rsidRPr="00134356">
        <w:rPr>
          <w:rFonts w:ascii="Verdana" w:hAnsi="Verdana"/>
          <w:sz w:val="22"/>
          <w:szCs w:val="22"/>
        </w:rPr>
        <w:t xml:space="preserve">epartamento de </w:t>
      </w:r>
      <w:r w:rsidR="0006439E" w:rsidRPr="00134356">
        <w:rPr>
          <w:rFonts w:ascii="Verdana" w:hAnsi="Verdana"/>
          <w:sz w:val="22"/>
          <w:szCs w:val="22"/>
        </w:rPr>
        <w:t>Boyacá</w:t>
      </w:r>
      <w:r w:rsidRPr="00134356">
        <w:rPr>
          <w:rFonts w:ascii="Verdana" w:hAnsi="Verdana"/>
          <w:sz w:val="22"/>
          <w:szCs w:val="22"/>
        </w:rPr>
        <w:t xml:space="preserve"> en su escrito de demanda</w:t>
      </w:r>
      <w:r w:rsidR="00AC0326">
        <w:rPr>
          <w:rFonts w:ascii="Verdana" w:hAnsi="Verdana"/>
          <w:sz w:val="22"/>
          <w:szCs w:val="22"/>
        </w:rPr>
        <w:t xml:space="preserve"> formuló</w:t>
      </w:r>
      <w:r w:rsidR="003437F3">
        <w:rPr>
          <w:rFonts w:ascii="Verdana" w:hAnsi="Verdana"/>
          <w:sz w:val="22"/>
          <w:szCs w:val="22"/>
        </w:rPr>
        <w:t xml:space="preserve"> un cargo relacionado con la carencia de los requisitos legales de las vigencias futuras ordinarias</w:t>
      </w:r>
      <w:r w:rsidR="00F7687B">
        <w:rPr>
          <w:rFonts w:ascii="Verdana" w:hAnsi="Verdana"/>
          <w:sz w:val="22"/>
          <w:szCs w:val="22"/>
        </w:rPr>
        <w:t xml:space="preserve"> al incumplir</w:t>
      </w:r>
      <w:r w:rsidR="003437F3">
        <w:rPr>
          <w:rFonts w:ascii="Verdana" w:hAnsi="Verdana"/>
          <w:sz w:val="22"/>
          <w:szCs w:val="22"/>
        </w:rPr>
        <w:t xml:space="preserve"> los parámetros del artículo 12 de la Ley 819 de 2003</w:t>
      </w:r>
      <w:r w:rsidR="00C0567D">
        <w:rPr>
          <w:rFonts w:ascii="Verdana" w:hAnsi="Verdana"/>
          <w:sz w:val="22"/>
          <w:szCs w:val="22"/>
        </w:rPr>
        <w:t xml:space="preserve">, particularmente el contenido en el literal </w:t>
      </w:r>
      <w:r w:rsidR="00F7687B">
        <w:rPr>
          <w:rFonts w:ascii="Verdana" w:hAnsi="Verdana"/>
          <w:sz w:val="22"/>
          <w:szCs w:val="22"/>
        </w:rPr>
        <w:t>“</w:t>
      </w:r>
      <w:r w:rsidR="00C0567D">
        <w:rPr>
          <w:rFonts w:ascii="Verdana" w:hAnsi="Verdana"/>
          <w:sz w:val="22"/>
          <w:szCs w:val="22"/>
        </w:rPr>
        <w:t>b</w:t>
      </w:r>
      <w:r w:rsidR="00F7687B">
        <w:rPr>
          <w:rFonts w:ascii="Verdana" w:hAnsi="Verdana"/>
          <w:sz w:val="22"/>
          <w:szCs w:val="22"/>
        </w:rPr>
        <w:t>”</w:t>
      </w:r>
      <w:r w:rsidR="00C0567D">
        <w:rPr>
          <w:rFonts w:ascii="Verdana" w:hAnsi="Verdana"/>
          <w:sz w:val="22"/>
          <w:szCs w:val="22"/>
        </w:rPr>
        <w:t xml:space="preserve"> relativo a la </w:t>
      </w:r>
      <w:r w:rsidR="00C0567D" w:rsidRPr="00C0567D">
        <w:rPr>
          <w:rFonts w:ascii="Verdana" w:hAnsi="Verdana"/>
          <w:sz w:val="22"/>
          <w:szCs w:val="22"/>
        </w:rPr>
        <w:t xml:space="preserve">apropiación del quince por ciento (15%) </w:t>
      </w:r>
      <w:r w:rsidR="00C0567D">
        <w:rPr>
          <w:rFonts w:ascii="Verdana" w:hAnsi="Verdana"/>
          <w:sz w:val="22"/>
          <w:szCs w:val="22"/>
        </w:rPr>
        <w:t xml:space="preserve">como mínimo </w:t>
      </w:r>
      <w:r w:rsidR="00C0567D" w:rsidRPr="00C0567D">
        <w:rPr>
          <w:rFonts w:ascii="Verdana" w:hAnsi="Verdana"/>
          <w:sz w:val="22"/>
          <w:szCs w:val="22"/>
        </w:rPr>
        <w:t>en la vigencia fiscal</w:t>
      </w:r>
      <w:r w:rsidRPr="00134356">
        <w:rPr>
          <w:rFonts w:ascii="Verdana" w:hAnsi="Verdana"/>
          <w:sz w:val="22"/>
          <w:szCs w:val="22"/>
        </w:rPr>
        <w:t>,</w:t>
      </w:r>
      <w:r w:rsidR="00C0567D">
        <w:rPr>
          <w:rFonts w:ascii="Verdana" w:hAnsi="Verdana"/>
          <w:sz w:val="22"/>
          <w:szCs w:val="22"/>
        </w:rPr>
        <w:t xml:space="preserve"> y los parámetros fijados en el </w:t>
      </w:r>
      <w:r w:rsidR="00C0567D" w:rsidRPr="00C0567D">
        <w:rPr>
          <w:rFonts w:ascii="Verdana" w:hAnsi="Verdana"/>
          <w:sz w:val="22"/>
          <w:szCs w:val="22"/>
        </w:rPr>
        <w:t>Artículo 3</w:t>
      </w:r>
      <w:r w:rsidR="00C0567D">
        <w:rPr>
          <w:rFonts w:ascii="Verdana" w:hAnsi="Verdana"/>
          <w:sz w:val="22"/>
          <w:szCs w:val="22"/>
        </w:rPr>
        <w:t xml:space="preserve"> del Decreto 4836 de 2011 que m</w:t>
      </w:r>
      <w:r w:rsidR="00C0567D" w:rsidRPr="00C0567D">
        <w:rPr>
          <w:rFonts w:ascii="Verdana" w:hAnsi="Verdana"/>
          <w:sz w:val="22"/>
          <w:szCs w:val="22"/>
        </w:rPr>
        <w:t>odif</w:t>
      </w:r>
      <w:r w:rsidR="00C0567D">
        <w:rPr>
          <w:rFonts w:ascii="Verdana" w:hAnsi="Verdana"/>
          <w:sz w:val="22"/>
          <w:szCs w:val="22"/>
        </w:rPr>
        <w:t>icó</w:t>
      </w:r>
      <w:r w:rsidR="00C0567D" w:rsidRPr="00C0567D">
        <w:rPr>
          <w:rFonts w:ascii="Verdana" w:hAnsi="Verdana"/>
          <w:sz w:val="22"/>
          <w:szCs w:val="22"/>
        </w:rPr>
        <w:t xml:space="preserve"> el artículo 1° del Decreto 1957 de 200</w:t>
      </w:r>
      <w:r w:rsidR="00C0567D">
        <w:rPr>
          <w:rFonts w:ascii="Verdana" w:hAnsi="Verdana"/>
          <w:sz w:val="22"/>
          <w:szCs w:val="22"/>
        </w:rPr>
        <w:t>7 para la recepción de bienes y servicios en las vigencias siguientes</w:t>
      </w:r>
      <w:r w:rsidR="00C0567D" w:rsidRPr="00C0567D">
        <w:rPr>
          <w:rFonts w:ascii="Verdana" w:hAnsi="Verdana"/>
          <w:sz w:val="22"/>
          <w:szCs w:val="22"/>
        </w:rPr>
        <w:t xml:space="preserve"> </w:t>
      </w:r>
      <w:r w:rsidR="00F7687B">
        <w:rPr>
          <w:rFonts w:ascii="Verdana" w:hAnsi="Verdana"/>
          <w:sz w:val="22"/>
          <w:szCs w:val="22"/>
        </w:rPr>
        <w:t>por no contar con CDP y</w:t>
      </w:r>
      <w:r w:rsidR="00C0567D" w:rsidRPr="00C0567D">
        <w:rPr>
          <w:rFonts w:ascii="Verdana" w:hAnsi="Verdana"/>
          <w:sz w:val="22"/>
          <w:szCs w:val="22"/>
        </w:rPr>
        <w:t xml:space="preserve"> no haberse iniciado el proceso contractual al momento de la autorización</w:t>
      </w:r>
      <w:r w:rsidR="00F7687B">
        <w:rPr>
          <w:rFonts w:ascii="Verdana" w:hAnsi="Verdana"/>
          <w:sz w:val="22"/>
          <w:szCs w:val="22"/>
        </w:rPr>
        <w:t>.</w:t>
      </w:r>
      <w:r w:rsidRPr="00134356">
        <w:rPr>
          <w:rFonts w:ascii="Verdana" w:hAnsi="Verdana"/>
          <w:sz w:val="22"/>
          <w:szCs w:val="22"/>
        </w:rPr>
        <w:t xml:space="preserve"> </w:t>
      </w:r>
    </w:p>
    <w:p w14:paraId="5A96FEBD" w14:textId="77777777" w:rsidR="00F7687B" w:rsidRPr="00A704BB" w:rsidRDefault="00F7687B" w:rsidP="0006439E">
      <w:pPr>
        <w:spacing w:line="360" w:lineRule="auto"/>
        <w:jc w:val="both"/>
        <w:rPr>
          <w:rFonts w:ascii="Verdana" w:hAnsi="Verdana"/>
          <w:color w:val="FF0000"/>
          <w:sz w:val="22"/>
          <w:szCs w:val="22"/>
        </w:rPr>
      </w:pPr>
    </w:p>
    <w:p w14:paraId="72251E2F" w14:textId="2A2B58BE" w:rsidR="00532182" w:rsidRPr="00134356" w:rsidRDefault="00A840A9" w:rsidP="00A704BB">
      <w:pPr>
        <w:spacing w:line="360" w:lineRule="auto"/>
        <w:jc w:val="both"/>
        <w:rPr>
          <w:rFonts w:ascii="Verdana" w:hAnsi="Verdana"/>
          <w:sz w:val="22"/>
          <w:szCs w:val="22"/>
        </w:rPr>
      </w:pPr>
      <w:r w:rsidRPr="00134356">
        <w:rPr>
          <w:rFonts w:ascii="Verdana" w:hAnsi="Verdana"/>
          <w:sz w:val="22"/>
          <w:szCs w:val="22"/>
        </w:rPr>
        <w:t>En ese sentido, y conforme a las pruebas obrantes en el expediente, se tiene acreditado lo siguiente:</w:t>
      </w:r>
      <w:r w:rsidR="004C176E" w:rsidRPr="00134356">
        <w:rPr>
          <w:rFonts w:ascii="Verdana" w:hAnsi="Verdana"/>
          <w:sz w:val="22"/>
          <w:szCs w:val="22"/>
        </w:rPr>
        <w:t xml:space="preserve"> </w:t>
      </w:r>
    </w:p>
    <w:p w14:paraId="144A5D23" w14:textId="449E4729" w:rsidR="00597E1E" w:rsidRDefault="00597E1E" w:rsidP="00FA7F81">
      <w:pPr>
        <w:pStyle w:val="BodyText23"/>
        <w:rPr>
          <w:rFonts w:ascii="Verdana" w:hAnsi="Verdana"/>
          <w:sz w:val="22"/>
          <w:szCs w:val="22"/>
          <w:lang w:eastAsia="es-ES"/>
        </w:rPr>
      </w:pPr>
    </w:p>
    <w:p w14:paraId="071CBDD3" w14:textId="240BA5B2" w:rsidR="00734272" w:rsidRDefault="00734272" w:rsidP="00FA7F81">
      <w:pPr>
        <w:pStyle w:val="BodyText23"/>
        <w:rPr>
          <w:rFonts w:ascii="Verdana" w:hAnsi="Verdana"/>
          <w:sz w:val="22"/>
          <w:szCs w:val="22"/>
          <w:lang w:eastAsia="es-ES"/>
        </w:rPr>
      </w:pPr>
      <w:r w:rsidRPr="00134356">
        <w:rPr>
          <w:rFonts w:ascii="Verdana" w:hAnsi="Verdana"/>
          <w:sz w:val="22"/>
          <w:szCs w:val="22"/>
          <w:lang w:eastAsia="es-ES"/>
        </w:rPr>
        <w:t xml:space="preserve">- </w:t>
      </w:r>
      <w:r>
        <w:rPr>
          <w:rFonts w:ascii="Verdana" w:hAnsi="Verdana"/>
          <w:sz w:val="22"/>
          <w:szCs w:val="22"/>
          <w:lang w:eastAsia="es-ES"/>
        </w:rPr>
        <w:t xml:space="preserve">La Secretaría de Hacienda del Municipio de Chivatá expidió los siguientes certificados de disponibilidad presupuestal </w:t>
      </w:r>
      <w:r w:rsidR="00A07B0D">
        <w:rPr>
          <w:rFonts w:ascii="Verdana" w:hAnsi="Verdana"/>
          <w:sz w:val="22"/>
          <w:szCs w:val="22"/>
          <w:lang w:eastAsia="es-ES"/>
        </w:rPr>
        <w:t xml:space="preserve">-CDP- </w:t>
      </w:r>
      <w:r>
        <w:rPr>
          <w:rFonts w:ascii="Verdana" w:hAnsi="Verdana"/>
          <w:sz w:val="22"/>
          <w:szCs w:val="22"/>
          <w:lang w:eastAsia="es-ES"/>
        </w:rPr>
        <w:t xml:space="preserve">relacionados con </w:t>
      </w:r>
      <w:r w:rsidR="00A07B0D">
        <w:rPr>
          <w:rFonts w:ascii="Verdana" w:hAnsi="Verdana"/>
          <w:sz w:val="22"/>
          <w:szCs w:val="22"/>
          <w:lang w:eastAsia="es-ES"/>
        </w:rPr>
        <w:t xml:space="preserve">los </w:t>
      </w:r>
      <w:r w:rsidR="00E94EB7">
        <w:rPr>
          <w:rFonts w:ascii="Verdana" w:hAnsi="Verdana"/>
          <w:sz w:val="22"/>
          <w:szCs w:val="22"/>
          <w:lang w:eastAsia="es-ES"/>
        </w:rPr>
        <w:t>proyectos de inversión de infraestructura conte</w:t>
      </w:r>
      <w:r w:rsidR="00A07B0D">
        <w:rPr>
          <w:rFonts w:ascii="Verdana" w:hAnsi="Verdana"/>
          <w:sz w:val="22"/>
          <w:szCs w:val="22"/>
          <w:lang w:eastAsia="es-ES"/>
        </w:rPr>
        <w:t>nidos</w:t>
      </w:r>
      <w:r w:rsidR="00E94EB7">
        <w:rPr>
          <w:rFonts w:ascii="Verdana" w:hAnsi="Verdana"/>
          <w:sz w:val="22"/>
          <w:szCs w:val="22"/>
          <w:lang w:eastAsia="es-ES"/>
        </w:rPr>
        <w:t xml:space="preserve"> en </w:t>
      </w:r>
      <w:r>
        <w:rPr>
          <w:rFonts w:ascii="Verdana" w:hAnsi="Verdana"/>
          <w:sz w:val="22"/>
          <w:szCs w:val="22"/>
          <w:lang w:eastAsia="es-ES"/>
        </w:rPr>
        <w:t>la autorización que efectuó el Concejo Municipal en el acuerdo objetado</w:t>
      </w:r>
      <w:r w:rsidR="00A07B0D">
        <w:rPr>
          <w:rFonts w:ascii="Verdana" w:hAnsi="Verdana"/>
          <w:sz w:val="22"/>
          <w:szCs w:val="22"/>
          <w:lang w:eastAsia="es-ES"/>
        </w:rPr>
        <w:t xml:space="preserve"> </w:t>
      </w:r>
      <w:r w:rsidR="00A07B0D">
        <w:rPr>
          <w:rFonts w:ascii="Verdana" w:hAnsi="Verdana"/>
          <w:i/>
          <w:iCs/>
          <w:sz w:val="22"/>
          <w:szCs w:val="22"/>
          <w:lang w:eastAsia="es-ES"/>
        </w:rPr>
        <w:t>(Documento 09 -CDPs- E.E.</w:t>
      </w:r>
      <w:r w:rsidR="00A07B0D" w:rsidRPr="00134356">
        <w:rPr>
          <w:rFonts w:ascii="Verdana" w:hAnsi="Verdana"/>
          <w:sz w:val="22"/>
          <w:szCs w:val="22"/>
          <w:lang w:eastAsia="es-ES"/>
        </w:rPr>
        <w:t>)</w:t>
      </w:r>
      <w:r>
        <w:rPr>
          <w:rFonts w:ascii="Verdana" w:hAnsi="Verdana"/>
          <w:sz w:val="22"/>
          <w:szCs w:val="22"/>
          <w:lang w:eastAsia="es-ES"/>
        </w:rPr>
        <w:t>:</w:t>
      </w:r>
    </w:p>
    <w:p w14:paraId="23E37DA6" w14:textId="69580492" w:rsidR="00734272" w:rsidRDefault="00734272" w:rsidP="00FA7F81">
      <w:pPr>
        <w:pStyle w:val="BodyText23"/>
        <w:rPr>
          <w:rFonts w:ascii="Verdana" w:hAnsi="Verdana"/>
          <w:sz w:val="22"/>
          <w:szCs w:val="22"/>
          <w:lang w:eastAsia="es-ES"/>
        </w:rPr>
      </w:pPr>
    </w:p>
    <w:tbl>
      <w:tblPr>
        <w:tblStyle w:val="Tablaconcuadrcula"/>
        <w:tblW w:w="8784" w:type="dxa"/>
        <w:tblLook w:val="04A0" w:firstRow="1" w:lastRow="0" w:firstColumn="1" w:lastColumn="0" w:noHBand="0" w:noVBand="1"/>
      </w:tblPr>
      <w:tblGrid>
        <w:gridCol w:w="4673"/>
        <w:gridCol w:w="1559"/>
        <w:gridCol w:w="1418"/>
        <w:gridCol w:w="1134"/>
      </w:tblGrid>
      <w:tr w:rsidR="00734272" w14:paraId="2A6F981F" w14:textId="77777777" w:rsidTr="003C7856">
        <w:tc>
          <w:tcPr>
            <w:tcW w:w="4673" w:type="dxa"/>
            <w:vAlign w:val="center"/>
          </w:tcPr>
          <w:p w14:paraId="4F5CB289" w14:textId="438D03ED" w:rsidR="00734272" w:rsidRPr="0082623C" w:rsidRDefault="00734272" w:rsidP="003C7856">
            <w:pPr>
              <w:pStyle w:val="BodyText23"/>
              <w:spacing w:line="240" w:lineRule="auto"/>
              <w:jc w:val="center"/>
              <w:rPr>
                <w:rFonts w:ascii="Verdana" w:hAnsi="Verdana"/>
                <w:b/>
                <w:bCs/>
                <w:sz w:val="18"/>
                <w:szCs w:val="18"/>
                <w:lang w:val="es-MX" w:eastAsia="es-ES"/>
              </w:rPr>
            </w:pPr>
            <w:r>
              <w:rPr>
                <w:rFonts w:ascii="Verdana" w:hAnsi="Verdana"/>
                <w:b/>
                <w:bCs/>
                <w:sz w:val="18"/>
                <w:szCs w:val="18"/>
                <w:lang w:val="es-MX" w:eastAsia="es-ES"/>
              </w:rPr>
              <w:t>Concepto</w:t>
            </w:r>
          </w:p>
        </w:tc>
        <w:tc>
          <w:tcPr>
            <w:tcW w:w="1559" w:type="dxa"/>
            <w:vAlign w:val="center"/>
          </w:tcPr>
          <w:p w14:paraId="323A00AC" w14:textId="6990B38B" w:rsidR="00734272" w:rsidRPr="0082623C" w:rsidRDefault="00734272" w:rsidP="003C7856">
            <w:pPr>
              <w:pStyle w:val="BodyText23"/>
              <w:spacing w:line="240" w:lineRule="auto"/>
              <w:jc w:val="center"/>
              <w:rPr>
                <w:rFonts w:ascii="Verdana" w:hAnsi="Verdana"/>
                <w:b/>
                <w:bCs/>
                <w:sz w:val="18"/>
                <w:szCs w:val="18"/>
                <w:lang w:val="es-MX" w:eastAsia="es-ES"/>
              </w:rPr>
            </w:pPr>
            <w:r w:rsidRPr="0082623C">
              <w:rPr>
                <w:rFonts w:ascii="Verdana" w:hAnsi="Verdana"/>
                <w:b/>
                <w:bCs/>
                <w:sz w:val="18"/>
                <w:szCs w:val="18"/>
                <w:lang w:val="es-MX" w:eastAsia="es-ES"/>
              </w:rPr>
              <w:t>V</w:t>
            </w:r>
            <w:r>
              <w:rPr>
                <w:rFonts w:ascii="Verdana" w:hAnsi="Verdana"/>
                <w:b/>
                <w:bCs/>
                <w:sz w:val="18"/>
                <w:szCs w:val="18"/>
                <w:lang w:val="es-MX" w:eastAsia="es-ES"/>
              </w:rPr>
              <w:t>alor</w:t>
            </w:r>
            <w:r w:rsidR="00A07B0D">
              <w:rPr>
                <w:rFonts w:ascii="Verdana" w:hAnsi="Verdana"/>
                <w:b/>
                <w:bCs/>
                <w:sz w:val="18"/>
                <w:szCs w:val="18"/>
                <w:lang w:val="es-MX" w:eastAsia="es-ES"/>
              </w:rPr>
              <w:t xml:space="preserve"> total CDP</w:t>
            </w:r>
          </w:p>
        </w:tc>
        <w:tc>
          <w:tcPr>
            <w:tcW w:w="1418" w:type="dxa"/>
            <w:vAlign w:val="center"/>
          </w:tcPr>
          <w:p w14:paraId="76388439" w14:textId="307B8ACB" w:rsidR="00734272" w:rsidRPr="0082623C" w:rsidRDefault="00734272" w:rsidP="003C7856">
            <w:pPr>
              <w:pStyle w:val="BodyText23"/>
              <w:spacing w:line="240" w:lineRule="auto"/>
              <w:jc w:val="center"/>
              <w:rPr>
                <w:rFonts w:ascii="Verdana" w:hAnsi="Verdana"/>
                <w:b/>
                <w:bCs/>
                <w:sz w:val="18"/>
                <w:szCs w:val="18"/>
                <w:lang w:val="es-MX" w:eastAsia="es-ES"/>
              </w:rPr>
            </w:pPr>
            <w:r>
              <w:rPr>
                <w:rFonts w:ascii="Verdana" w:hAnsi="Verdana"/>
                <w:b/>
                <w:bCs/>
                <w:sz w:val="18"/>
                <w:szCs w:val="18"/>
                <w:lang w:val="es-MX" w:eastAsia="es-ES"/>
              </w:rPr>
              <w:t>Fecha CDP</w:t>
            </w:r>
          </w:p>
        </w:tc>
        <w:tc>
          <w:tcPr>
            <w:tcW w:w="1134" w:type="dxa"/>
            <w:vAlign w:val="center"/>
          </w:tcPr>
          <w:p w14:paraId="71357252" w14:textId="3EFAD6FD" w:rsidR="00734272" w:rsidRPr="0082623C" w:rsidRDefault="00734272" w:rsidP="003C7856">
            <w:pPr>
              <w:pStyle w:val="BodyText23"/>
              <w:spacing w:line="240" w:lineRule="auto"/>
              <w:jc w:val="center"/>
              <w:rPr>
                <w:rFonts w:ascii="Verdana" w:hAnsi="Verdana"/>
                <w:b/>
                <w:bCs/>
                <w:sz w:val="18"/>
                <w:szCs w:val="18"/>
                <w:lang w:val="es-MX" w:eastAsia="es-ES"/>
              </w:rPr>
            </w:pPr>
            <w:r>
              <w:rPr>
                <w:rFonts w:ascii="Verdana" w:hAnsi="Verdana"/>
                <w:b/>
                <w:bCs/>
                <w:sz w:val="18"/>
                <w:szCs w:val="18"/>
                <w:lang w:val="es-MX" w:eastAsia="es-ES"/>
              </w:rPr>
              <w:t xml:space="preserve">No. </w:t>
            </w:r>
            <w:r w:rsidRPr="0082623C">
              <w:rPr>
                <w:rFonts w:ascii="Verdana" w:hAnsi="Verdana"/>
                <w:b/>
                <w:bCs/>
                <w:sz w:val="18"/>
                <w:szCs w:val="18"/>
                <w:lang w:val="es-MX" w:eastAsia="es-ES"/>
              </w:rPr>
              <w:t>CDP</w:t>
            </w:r>
          </w:p>
        </w:tc>
      </w:tr>
      <w:tr w:rsidR="00734272" w14:paraId="559FBD53" w14:textId="77777777" w:rsidTr="003C7856">
        <w:tc>
          <w:tcPr>
            <w:tcW w:w="4673" w:type="dxa"/>
            <w:vAlign w:val="center"/>
          </w:tcPr>
          <w:p w14:paraId="162B9922" w14:textId="77777777" w:rsidR="00734272" w:rsidRPr="0082623C" w:rsidRDefault="00734272" w:rsidP="003C7856">
            <w:pPr>
              <w:pStyle w:val="BodyText23"/>
              <w:spacing w:line="240" w:lineRule="auto"/>
              <w:rPr>
                <w:rFonts w:ascii="Verdana" w:hAnsi="Verdana"/>
                <w:sz w:val="18"/>
                <w:szCs w:val="18"/>
                <w:lang w:val="es-MX" w:eastAsia="es-ES"/>
              </w:rPr>
            </w:pPr>
            <w:r w:rsidRPr="0082623C">
              <w:rPr>
                <w:rFonts w:ascii="Verdana" w:hAnsi="Verdana"/>
                <w:sz w:val="18"/>
                <w:szCs w:val="18"/>
                <w:lang w:val="es-MX" w:eastAsia="es-ES"/>
              </w:rPr>
              <w:t>Construcción y adecuación obras de infraestructura para el municipio de chivata, departamento de Boyacá.</w:t>
            </w:r>
          </w:p>
        </w:tc>
        <w:tc>
          <w:tcPr>
            <w:tcW w:w="1559" w:type="dxa"/>
            <w:vAlign w:val="center"/>
          </w:tcPr>
          <w:p w14:paraId="219E65DA" w14:textId="77777777" w:rsidR="00734272" w:rsidRPr="0082623C" w:rsidRDefault="00734272" w:rsidP="003C7856">
            <w:pPr>
              <w:pStyle w:val="BodyText23"/>
              <w:spacing w:line="240" w:lineRule="auto"/>
              <w:rPr>
                <w:rFonts w:ascii="Verdana" w:hAnsi="Verdana"/>
                <w:sz w:val="18"/>
                <w:szCs w:val="18"/>
                <w:lang w:val="es-MX" w:eastAsia="es-ES"/>
              </w:rPr>
            </w:pPr>
            <w:r w:rsidRPr="0082623C">
              <w:rPr>
                <w:rFonts w:ascii="Verdana" w:hAnsi="Verdana"/>
                <w:sz w:val="18"/>
                <w:szCs w:val="18"/>
                <w:lang w:val="es-MX" w:eastAsia="es-ES"/>
              </w:rPr>
              <w:t>$ 569’403.999</w:t>
            </w:r>
          </w:p>
        </w:tc>
        <w:tc>
          <w:tcPr>
            <w:tcW w:w="1418" w:type="dxa"/>
            <w:vAlign w:val="center"/>
          </w:tcPr>
          <w:p w14:paraId="54B60E06" w14:textId="62803728" w:rsidR="00734272" w:rsidRPr="0082623C" w:rsidRDefault="00734272" w:rsidP="003C7856">
            <w:pPr>
              <w:pStyle w:val="BodyText23"/>
              <w:spacing w:line="240" w:lineRule="auto"/>
              <w:rPr>
                <w:rFonts w:ascii="Verdana" w:hAnsi="Verdana"/>
                <w:sz w:val="18"/>
                <w:szCs w:val="18"/>
                <w:lang w:val="es-MX" w:eastAsia="es-ES"/>
              </w:rPr>
            </w:pPr>
            <w:r>
              <w:rPr>
                <w:rFonts w:ascii="Verdana" w:hAnsi="Verdana"/>
                <w:sz w:val="18"/>
                <w:szCs w:val="18"/>
                <w:lang w:val="es-MX" w:eastAsia="es-ES"/>
              </w:rPr>
              <w:t>16/10/2020</w:t>
            </w:r>
          </w:p>
        </w:tc>
        <w:tc>
          <w:tcPr>
            <w:tcW w:w="1134" w:type="dxa"/>
            <w:vAlign w:val="center"/>
          </w:tcPr>
          <w:p w14:paraId="6744CE00" w14:textId="77777777" w:rsidR="00734272" w:rsidRPr="0082623C" w:rsidRDefault="00734272" w:rsidP="003C7856">
            <w:pPr>
              <w:pStyle w:val="BodyText23"/>
              <w:spacing w:line="240" w:lineRule="auto"/>
              <w:rPr>
                <w:rFonts w:ascii="Verdana" w:hAnsi="Verdana"/>
                <w:sz w:val="18"/>
                <w:szCs w:val="18"/>
                <w:lang w:val="es-MX" w:eastAsia="es-ES"/>
              </w:rPr>
            </w:pPr>
            <w:r w:rsidRPr="0082623C">
              <w:rPr>
                <w:rFonts w:ascii="Verdana" w:hAnsi="Verdana"/>
                <w:sz w:val="18"/>
                <w:szCs w:val="18"/>
                <w:lang w:val="es-MX" w:eastAsia="es-ES"/>
              </w:rPr>
              <w:t>20200395</w:t>
            </w:r>
          </w:p>
        </w:tc>
      </w:tr>
      <w:tr w:rsidR="00734272" w14:paraId="58A31819" w14:textId="77777777" w:rsidTr="003C7856">
        <w:tc>
          <w:tcPr>
            <w:tcW w:w="4673" w:type="dxa"/>
            <w:vAlign w:val="center"/>
          </w:tcPr>
          <w:p w14:paraId="6C2F057F" w14:textId="77777777" w:rsidR="00734272" w:rsidRPr="0082623C" w:rsidRDefault="00734272" w:rsidP="003C7856">
            <w:pPr>
              <w:pStyle w:val="BodyText23"/>
              <w:spacing w:line="240" w:lineRule="auto"/>
              <w:rPr>
                <w:rFonts w:ascii="Verdana" w:hAnsi="Verdana"/>
                <w:sz w:val="18"/>
                <w:szCs w:val="18"/>
                <w:lang w:val="es-MX" w:eastAsia="es-ES"/>
              </w:rPr>
            </w:pPr>
            <w:r w:rsidRPr="0082623C">
              <w:rPr>
                <w:rFonts w:ascii="Verdana" w:hAnsi="Verdana"/>
                <w:sz w:val="18"/>
                <w:szCs w:val="18"/>
                <w:lang w:val="es-MX" w:eastAsia="es-ES"/>
              </w:rPr>
              <w:t xml:space="preserve">Interventoría técnica, administrativa, financiera y jurídica al contrato de construcción y adecuación </w:t>
            </w:r>
            <w:r w:rsidRPr="0082623C">
              <w:rPr>
                <w:rFonts w:ascii="Verdana" w:hAnsi="Verdana"/>
                <w:sz w:val="18"/>
                <w:szCs w:val="18"/>
                <w:lang w:val="es-MX" w:eastAsia="es-ES"/>
              </w:rPr>
              <w:lastRenderedPageBreak/>
              <w:t>de obras de infraestructura para el municipio de Chivatá departamento de Boyacá.</w:t>
            </w:r>
          </w:p>
        </w:tc>
        <w:tc>
          <w:tcPr>
            <w:tcW w:w="1559" w:type="dxa"/>
            <w:vAlign w:val="center"/>
          </w:tcPr>
          <w:p w14:paraId="62F2CC00" w14:textId="77777777" w:rsidR="00734272" w:rsidRPr="0082623C" w:rsidRDefault="00734272" w:rsidP="003C7856">
            <w:pPr>
              <w:pStyle w:val="BodyText23"/>
              <w:spacing w:line="240" w:lineRule="auto"/>
              <w:rPr>
                <w:rFonts w:ascii="Verdana" w:hAnsi="Verdana"/>
                <w:sz w:val="18"/>
                <w:szCs w:val="18"/>
                <w:lang w:val="es-MX" w:eastAsia="es-ES"/>
              </w:rPr>
            </w:pPr>
            <w:r w:rsidRPr="0082623C">
              <w:rPr>
                <w:rFonts w:ascii="Verdana" w:hAnsi="Verdana"/>
                <w:sz w:val="18"/>
                <w:szCs w:val="18"/>
                <w:lang w:val="es-MX" w:eastAsia="es-ES"/>
              </w:rPr>
              <w:lastRenderedPageBreak/>
              <w:t>$ 24’500.000</w:t>
            </w:r>
          </w:p>
        </w:tc>
        <w:tc>
          <w:tcPr>
            <w:tcW w:w="1418" w:type="dxa"/>
            <w:vAlign w:val="center"/>
          </w:tcPr>
          <w:p w14:paraId="17890760" w14:textId="33ECD9C9" w:rsidR="00734272" w:rsidRPr="0082623C" w:rsidRDefault="00A07B0D" w:rsidP="003C7856">
            <w:pPr>
              <w:pStyle w:val="BodyText23"/>
              <w:spacing w:line="240" w:lineRule="auto"/>
              <w:rPr>
                <w:rFonts w:ascii="Verdana" w:hAnsi="Verdana"/>
                <w:sz w:val="18"/>
                <w:szCs w:val="18"/>
                <w:lang w:val="es-MX" w:eastAsia="es-ES"/>
              </w:rPr>
            </w:pPr>
            <w:r>
              <w:rPr>
                <w:rFonts w:ascii="Verdana" w:hAnsi="Verdana"/>
                <w:sz w:val="18"/>
                <w:szCs w:val="18"/>
                <w:lang w:val="es-MX" w:eastAsia="es-ES"/>
              </w:rPr>
              <w:t>16/10/2020</w:t>
            </w:r>
          </w:p>
        </w:tc>
        <w:tc>
          <w:tcPr>
            <w:tcW w:w="1134" w:type="dxa"/>
            <w:vAlign w:val="center"/>
          </w:tcPr>
          <w:p w14:paraId="7EECAC83" w14:textId="77777777" w:rsidR="00734272" w:rsidRPr="0082623C" w:rsidRDefault="00734272" w:rsidP="003C7856">
            <w:pPr>
              <w:pStyle w:val="BodyText23"/>
              <w:spacing w:line="240" w:lineRule="auto"/>
              <w:rPr>
                <w:rFonts w:ascii="Verdana" w:hAnsi="Verdana"/>
                <w:sz w:val="18"/>
                <w:szCs w:val="18"/>
                <w:lang w:val="es-MX" w:eastAsia="es-ES"/>
              </w:rPr>
            </w:pPr>
            <w:r>
              <w:rPr>
                <w:rFonts w:ascii="Verdana" w:hAnsi="Verdana"/>
                <w:sz w:val="18"/>
                <w:szCs w:val="18"/>
                <w:lang w:val="es-MX" w:eastAsia="es-ES"/>
              </w:rPr>
              <w:t>20200398</w:t>
            </w:r>
          </w:p>
        </w:tc>
      </w:tr>
      <w:tr w:rsidR="00734272" w14:paraId="097E986C" w14:textId="77777777" w:rsidTr="003C7856">
        <w:tc>
          <w:tcPr>
            <w:tcW w:w="4673" w:type="dxa"/>
            <w:vAlign w:val="center"/>
          </w:tcPr>
          <w:p w14:paraId="03E05053" w14:textId="77777777" w:rsidR="00734272" w:rsidRPr="0082623C" w:rsidRDefault="00734272" w:rsidP="003C7856">
            <w:pPr>
              <w:pStyle w:val="BodyText23"/>
              <w:spacing w:line="240" w:lineRule="auto"/>
              <w:rPr>
                <w:rFonts w:ascii="Verdana" w:hAnsi="Verdana"/>
                <w:sz w:val="18"/>
                <w:szCs w:val="18"/>
                <w:lang w:val="es-MX" w:eastAsia="es-ES"/>
              </w:rPr>
            </w:pPr>
            <w:r w:rsidRPr="00AB16FD">
              <w:rPr>
                <w:rFonts w:ascii="Verdana" w:hAnsi="Verdana"/>
                <w:sz w:val="18"/>
                <w:szCs w:val="18"/>
                <w:lang w:val="es-MX" w:eastAsia="es-ES"/>
              </w:rPr>
              <w:lastRenderedPageBreak/>
              <w:t>Construcción de estrado en el parque principal para eventos culturales institucionales del municipio de Chivatá.</w:t>
            </w:r>
          </w:p>
        </w:tc>
        <w:tc>
          <w:tcPr>
            <w:tcW w:w="1559" w:type="dxa"/>
            <w:vAlign w:val="center"/>
          </w:tcPr>
          <w:p w14:paraId="4F764071" w14:textId="77777777" w:rsidR="00734272" w:rsidRPr="0082623C" w:rsidRDefault="00734272" w:rsidP="003C7856">
            <w:pPr>
              <w:pStyle w:val="BodyText23"/>
              <w:spacing w:line="240" w:lineRule="auto"/>
              <w:rPr>
                <w:rFonts w:ascii="Verdana" w:hAnsi="Verdana"/>
                <w:sz w:val="18"/>
                <w:szCs w:val="18"/>
                <w:lang w:val="es-MX" w:eastAsia="es-ES"/>
              </w:rPr>
            </w:pPr>
            <w:r>
              <w:rPr>
                <w:rFonts w:ascii="Verdana" w:hAnsi="Verdana"/>
                <w:sz w:val="18"/>
                <w:szCs w:val="18"/>
                <w:lang w:val="es-MX" w:eastAsia="es-ES"/>
              </w:rPr>
              <w:t xml:space="preserve">$ </w:t>
            </w:r>
            <w:r w:rsidRPr="00AB16FD">
              <w:rPr>
                <w:rFonts w:ascii="Verdana" w:hAnsi="Verdana"/>
                <w:sz w:val="18"/>
                <w:szCs w:val="18"/>
                <w:lang w:val="es-MX" w:eastAsia="es-ES"/>
              </w:rPr>
              <w:t>92’500.000</w:t>
            </w:r>
          </w:p>
        </w:tc>
        <w:tc>
          <w:tcPr>
            <w:tcW w:w="1418" w:type="dxa"/>
            <w:vAlign w:val="center"/>
          </w:tcPr>
          <w:p w14:paraId="0693030D" w14:textId="0F3DCF21" w:rsidR="00734272" w:rsidRPr="0082623C" w:rsidRDefault="00A07B0D" w:rsidP="003C7856">
            <w:pPr>
              <w:pStyle w:val="BodyText23"/>
              <w:spacing w:line="240" w:lineRule="auto"/>
              <w:rPr>
                <w:rFonts w:ascii="Verdana" w:hAnsi="Verdana"/>
                <w:sz w:val="18"/>
                <w:szCs w:val="18"/>
                <w:lang w:val="es-MX" w:eastAsia="es-ES"/>
              </w:rPr>
            </w:pPr>
            <w:r>
              <w:rPr>
                <w:rFonts w:ascii="Verdana" w:hAnsi="Verdana"/>
                <w:sz w:val="18"/>
                <w:szCs w:val="18"/>
                <w:lang w:val="es-MX" w:eastAsia="es-ES"/>
              </w:rPr>
              <w:t>16/10/2020</w:t>
            </w:r>
          </w:p>
        </w:tc>
        <w:tc>
          <w:tcPr>
            <w:tcW w:w="1134" w:type="dxa"/>
            <w:vAlign w:val="center"/>
          </w:tcPr>
          <w:p w14:paraId="50E8AE96" w14:textId="77777777" w:rsidR="00734272" w:rsidRPr="0082623C" w:rsidRDefault="00734272" w:rsidP="003C7856">
            <w:pPr>
              <w:pStyle w:val="BodyText23"/>
              <w:spacing w:line="240" w:lineRule="auto"/>
              <w:rPr>
                <w:rFonts w:ascii="Verdana" w:hAnsi="Verdana"/>
                <w:sz w:val="18"/>
                <w:szCs w:val="18"/>
                <w:lang w:val="es-MX" w:eastAsia="es-ES"/>
              </w:rPr>
            </w:pPr>
            <w:r>
              <w:rPr>
                <w:rFonts w:ascii="Verdana" w:hAnsi="Verdana"/>
                <w:sz w:val="18"/>
                <w:szCs w:val="18"/>
                <w:lang w:val="es-MX" w:eastAsia="es-ES"/>
              </w:rPr>
              <w:t>20200396</w:t>
            </w:r>
          </w:p>
        </w:tc>
      </w:tr>
      <w:tr w:rsidR="00734272" w14:paraId="5AF7941B" w14:textId="77777777" w:rsidTr="003C7856">
        <w:tc>
          <w:tcPr>
            <w:tcW w:w="4673" w:type="dxa"/>
            <w:vAlign w:val="center"/>
          </w:tcPr>
          <w:p w14:paraId="58AA183C" w14:textId="77777777" w:rsidR="00734272" w:rsidRPr="0082623C" w:rsidRDefault="00734272" w:rsidP="003C7856">
            <w:pPr>
              <w:pStyle w:val="BodyText23"/>
              <w:spacing w:line="240" w:lineRule="auto"/>
              <w:rPr>
                <w:rFonts w:ascii="Verdana" w:hAnsi="Verdana"/>
                <w:sz w:val="18"/>
                <w:szCs w:val="18"/>
                <w:lang w:val="es-MX" w:eastAsia="es-ES"/>
              </w:rPr>
            </w:pPr>
            <w:r w:rsidRPr="00230886">
              <w:rPr>
                <w:rFonts w:ascii="Verdana" w:hAnsi="Verdana"/>
                <w:sz w:val="18"/>
                <w:szCs w:val="18"/>
                <w:lang w:val="es-MX" w:eastAsia="es-ES"/>
              </w:rPr>
              <w:t>Adecuación del coliseo y polideportivo del casco urbano del municipio de Chivatá.</w:t>
            </w:r>
          </w:p>
        </w:tc>
        <w:tc>
          <w:tcPr>
            <w:tcW w:w="1559" w:type="dxa"/>
            <w:vAlign w:val="center"/>
          </w:tcPr>
          <w:p w14:paraId="1070AE0F" w14:textId="77777777" w:rsidR="00734272" w:rsidRPr="0082623C" w:rsidRDefault="00734272" w:rsidP="003C7856">
            <w:pPr>
              <w:pStyle w:val="BodyText23"/>
              <w:spacing w:line="240" w:lineRule="auto"/>
              <w:rPr>
                <w:rFonts w:ascii="Verdana" w:hAnsi="Verdana"/>
                <w:sz w:val="18"/>
                <w:szCs w:val="18"/>
                <w:lang w:val="es-MX" w:eastAsia="es-ES"/>
              </w:rPr>
            </w:pPr>
            <w:r w:rsidRPr="00230886">
              <w:rPr>
                <w:rFonts w:ascii="Verdana" w:hAnsi="Verdana"/>
                <w:sz w:val="18"/>
                <w:szCs w:val="18"/>
                <w:lang w:val="es-MX" w:eastAsia="es-ES"/>
              </w:rPr>
              <w:t>$ 183.000.000</w:t>
            </w:r>
          </w:p>
        </w:tc>
        <w:tc>
          <w:tcPr>
            <w:tcW w:w="1418" w:type="dxa"/>
            <w:vAlign w:val="center"/>
          </w:tcPr>
          <w:p w14:paraId="4DD23D61" w14:textId="05AA0D61" w:rsidR="00734272" w:rsidRPr="0082623C" w:rsidRDefault="00A07B0D" w:rsidP="003C7856">
            <w:pPr>
              <w:pStyle w:val="BodyText23"/>
              <w:spacing w:line="240" w:lineRule="auto"/>
              <w:rPr>
                <w:rFonts w:ascii="Verdana" w:hAnsi="Verdana"/>
                <w:sz w:val="18"/>
                <w:szCs w:val="18"/>
                <w:lang w:val="es-MX" w:eastAsia="es-ES"/>
              </w:rPr>
            </w:pPr>
            <w:r>
              <w:rPr>
                <w:rFonts w:ascii="Verdana" w:hAnsi="Verdana"/>
                <w:sz w:val="18"/>
                <w:szCs w:val="18"/>
                <w:lang w:val="es-MX" w:eastAsia="es-ES"/>
              </w:rPr>
              <w:t>16/10/2020</w:t>
            </w:r>
          </w:p>
        </w:tc>
        <w:tc>
          <w:tcPr>
            <w:tcW w:w="1134" w:type="dxa"/>
            <w:vAlign w:val="center"/>
          </w:tcPr>
          <w:p w14:paraId="15899A77" w14:textId="77777777" w:rsidR="00734272" w:rsidRPr="0082623C" w:rsidRDefault="00734272" w:rsidP="003C7856">
            <w:pPr>
              <w:pStyle w:val="BodyText23"/>
              <w:spacing w:line="240" w:lineRule="auto"/>
              <w:rPr>
                <w:rFonts w:ascii="Verdana" w:hAnsi="Verdana"/>
                <w:sz w:val="18"/>
                <w:szCs w:val="18"/>
                <w:lang w:val="es-MX" w:eastAsia="es-ES"/>
              </w:rPr>
            </w:pPr>
            <w:r>
              <w:rPr>
                <w:rFonts w:ascii="Verdana" w:hAnsi="Verdana"/>
                <w:sz w:val="18"/>
                <w:szCs w:val="18"/>
                <w:lang w:val="es-MX" w:eastAsia="es-ES"/>
              </w:rPr>
              <w:t>20200410</w:t>
            </w:r>
          </w:p>
        </w:tc>
      </w:tr>
      <w:tr w:rsidR="00734272" w14:paraId="0E061402" w14:textId="77777777" w:rsidTr="003C7856">
        <w:tc>
          <w:tcPr>
            <w:tcW w:w="4673" w:type="dxa"/>
            <w:vAlign w:val="center"/>
          </w:tcPr>
          <w:p w14:paraId="66F9B795" w14:textId="77777777" w:rsidR="00734272" w:rsidRPr="0082623C" w:rsidRDefault="00734272" w:rsidP="003C7856">
            <w:pPr>
              <w:pStyle w:val="BodyText23"/>
              <w:spacing w:line="240" w:lineRule="auto"/>
              <w:rPr>
                <w:rFonts w:ascii="Verdana" w:hAnsi="Verdana"/>
                <w:sz w:val="18"/>
                <w:szCs w:val="18"/>
                <w:lang w:val="es-MX" w:eastAsia="es-ES"/>
              </w:rPr>
            </w:pPr>
            <w:r w:rsidRPr="00230886">
              <w:rPr>
                <w:rFonts w:ascii="Verdana" w:hAnsi="Verdana"/>
                <w:sz w:val="18"/>
                <w:szCs w:val="18"/>
                <w:lang w:val="es-MX" w:eastAsia="es-ES"/>
              </w:rPr>
              <w:t>Construcción y mejoramiento de vivienda en el área rural del municipio de Chivatá.</w:t>
            </w:r>
          </w:p>
        </w:tc>
        <w:tc>
          <w:tcPr>
            <w:tcW w:w="1559" w:type="dxa"/>
            <w:vAlign w:val="center"/>
          </w:tcPr>
          <w:p w14:paraId="1504BEED" w14:textId="77777777" w:rsidR="00734272" w:rsidRPr="0082623C" w:rsidRDefault="00734272" w:rsidP="003C7856">
            <w:pPr>
              <w:pStyle w:val="BodyText23"/>
              <w:spacing w:line="240" w:lineRule="auto"/>
              <w:rPr>
                <w:rFonts w:ascii="Verdana" w:hAnsi="Verdana"/>
                <w:sz w:val="18"/>
                <w:szCs w:val="18"/>
                <w:lang w:val="es-MX" w:eastAsia="es-ES"/>
              </w:rPr>
            </w:pPr>
            <w:r w:rsidRPr="00230886">
              <w:rPr>
                <w:rFonts w:ascii="Verdana" w:hAnsi="Verdana"/>
                <w:sz w:val="18"/>
                <w:szCs w:val="18"/>
                <w:lang w:val="es-MX" w:eastAsia="es-ES"/>
              </w:rPr>
              <w:t>$ 225’500.000</w:t>
            </w:r>
          </w:p>
        </w:tc>
        <w:tc>
          <w:tcPr>
            <w:tcW w:w="1418" w:type="dxa"/>
            <w:vAlign w:val="center"/>
          </w:tcPr>
          <w:p w14:paraId="721D3DDF" w14:textId="0FE5E250" w:rsidR="00734272" w:rsidRPr="0082623C" w:rsidRDefault="00734272" w:rsidP="003C7856">
            <w:pPr>
              <w:pStyle w:val="BodyText23"/>
              <w:spacing w:line="240" w:lineRule="auto"/>
              <w:rPr>
                <w:rFonts w:ascii="Verdana" w:hAnsi="Verdana"/>
                <w:sz w:val="18"/>
                <w:szCs w:val="18"/>
                <w:lang w:val="es-MX" w:eastAsia="es-ES"/>
              </w:rPr>
            </w:pPr>
            <w:r>
              <w:rPr>
                <w:rFonts w:ascii="Verdana" w:hAnsi="Verdana"/>
                <w:sz w:val="18"/>
                <w:szCs w:val="18"/>
                <w:lang w:val="es-MX" w:eastAsia="es-ES"/>
              </w:rPr>
              <w:t>16/10/2020</w:t>
            </w:r>
          </w:p>
        </w:tc>
        <w:tc>
          <w:tcPr>
            <w:tcW w:w="1134" w:type="dxa"/>
            <w:vAlign w:val="center"/>
          </w:tcPr>
          <w:p w14:paraId="66DB818E" w14:textId="77777777" w:rsidR="00734272" w:rsidRPr="0082623C" w:rsidRDefault="00734272" w:rsidP="003C7856">
            <w:pPr>
              <w:pStyle w:val="BodyText23"/>
              <w:spacing w:line="240" w:lineRule="auto"/>
              <w:rPr>
                <w:rFonts w:ascii="Verdana" w:hAnsi="Verdana"/>
                <w:sz w:val="18"/>
                <w:szCs w:val="18"/>
                <w:lang w:val="es-MX" w:eastAsia="es-ES"/>
              </w:rPr>
            </w:pPr>
            <w:r>
              <w:rPr>
                <w:rFonts w:ascii="Verdana" w:hAnsi="Verdana"/>
                <w:sz w:val="18"/>
                <w:szCs w:val="18"/>
                <w:lang w:val="es-MX" w:eastAsia="es-ES"/>
              </w:rPr>
              <w:t>20200394</w:t>
            </w:r>
          </w:p>
        </w:tc>
      </w:tr>
      <w:tr w:rsidR="00734272" w14:paraId="4DE1D0F8" w14:textId="77777777" w:rsidTr="003C7856">
        <w:tc>
          <w:tcPr>
            <w:tcW w:w="4673" w:type="dxa"/>
            <w:vAlign w:val="center"/>
          </w:tcPr>
          <w:p w14:paraId="1A3A4807" w14:textId="74415DF1" w:rsidR="00734272" w:rsidRPr="0082623C" w:rsidRDefault="00734272" w:rsidP="003C7856">
            <w:pPr>
              <w:pStyle w:val="BodyText23"/>
              <w:spacing w:line="240" w:lineRule="auto"/>
              <w:rPr>
                <w:rFonts w:ascii="Verdana" w:hAnsi="Verdana"/>
                <w:sz w:val="18"/>
                <w:szCs w:val="18"/>
                <w:lang w:val="es-MX" w:eastAsia="es-ES"/>
              </w:rPr>
            </w:pPr>
            <w:r w:rsidRPr="00230886">
              <w:rPr>
                <w:rFonts w:ascii="Verdana" w:hAnsi="Verdana"/>
                <w:sz w:val="18"/>
                <w:szCs w:val="18"/>
                <w:lang w:val="es-MX" w:eastAsia="es-ES"/>
              </w:rPr>
              <w:t xml:space="preserve">Mejoramiento de vía avenida Jiménez, vereda </w:t>
            </w:r>
            <w:r w:rsidR="00E94EB7">
              <w:rPr>
                <w:rFonts w:ascii="Verdana" w:hAnsi="Verdana"/>
                <w:sz w:val="18"/>
                <w:szCs w:val="18"/>
                <w:lang w:val="es-MX" w:eastAsia="es-ES"/>
              </w:rPr>
              <w:t>P</w:t>
            </w:r>
            <w:r w:rsidRPr="00230886">
              <w:rPr>
                <w:rFonts w:ascii="Verdana" w:hAnsi="Verdana"/>
                <w:sz w:val="18"/>
                <w:szCs w:val="18"/>
                <w:lang w:val="es-MX" w:eastAsia="es-ES"/>
              </w:rPr>
              <w:t>ontezuela en el municipio de Chivatá.</w:t>
            </w:r>
          </w:p>
        </w:tc>
        <w:tc>
          <w:tcPr>
            <w:tcW w:w="1559" w:type="dxa"/>
            <w:vAlign w:val="center"/>
          </w:tcPr>
          <w:p w14:paraId="48E9E9F7" w14:textId="77777777" w:rsidR="00734272" w:rsidRPr="0082623C" w:rsidRDefault="00734272" w:rsidP="003C7856">
            <w:pPr>
              <w:pStyle w:val="BodyText23"/>
              <w:spacing w:line="240" w:lineRule="auto"/>
              <w:rPr>
                <w:rFonts w:ascii="Verdana" w:hAnsi="Verdana"/>
                <w:sz w:val="18"/>
                <w:szCs w:val="18"/>
                <w:lang w:val="es-MX" w:eastAsia="es-ES"/>
              </w:rPr>
            </w:pPr>
            <w:r w:rsidRPr="00230886">
              <w:rPr>
                <w:rFonts w:ascii="Verdana" w:hAnsi="Verdana"/>
                <w:sz w:val="18"/>
                <w:szCs w:val="18"/>
                <w:lang w:val="es-MX" w:eastAsia="es-ES"/>
              </w:rPr>
              <w:t>$ 467’516.765</w:t>
            </w:r>
          </w:p>
        </w:tc>
        <w:tc>
          <w:tcPr>
            <w:tcW w:w="1418" w:type="dxa"/>
            <w:vAlign w:val="center"/>
          </w:tcPr>
          <w:p w14:paraId="50C19620" w14:textId="1FC2CD24" w:rsidR="00734272" w:rsidRPr="0082623C" w:rsidRDefault="00A07B0D" w:rsidP="003C7856">
            <w:pPr>
              <w:pStyle w:val="BodyText23"/>
              <w:spacing w:line="240" w:lineRule="auto"/>
              <w:rPr>
                <w:rFonts w:ascii="Verdana" w:hAnsi="Verdana"/>
                <w:sz w:val="18"/>
                <w:szCs w:val="18"/>
                <w:lang w:val="es-MX" w:eastAsia="es-ES"/>
              </w:rPr>
            </w:pPr>
            <w:r>
              <w:rPr>
                <w:rFonts w:ascii="Verdana" w:hAnsi="Verdana"/>
                <w:sz w:val="18"/>
                <w:szCs w:val="18"/>
                <w:lang w:val="es-MX" w:eastAsia="es-ES"/>
              </w:rPr>
              <w:t>16/10/2020</w:t>
            </w:r>
          </w:p>
        </w:tc>
        <w:tc>
          <w:tcPr>
            <w:tcW w:w="1134" w:type="dxa"/>
            <w:vAlign w:val="center"/>
          </w:tcPr>
          <w:p w14:paraId="2DA92AF5" w14:textId="77777777" w:rsidR="00734272" w:rsidRPr="0082623C" w:rsidRDefault="00734272" w:rsidP="003C7856">
            <w:pPr>
              <w:pStyle w:val="BodyText23"/>
              <w:spacing w:line="240" w:lineRule="auto"/>
              <w:rPr>
                <w:rFonts w:ascii="Verdana" w:hAnsi="Verdana"/>
                <w:sz w:val="18"/>
                <w:szCs w:val="18"/>
                <w:lang w:val="es-MX" w:eastAsia="es-ES"/>
              </w:rPr>
            </w:pPr>
            <w:r w:rsidRPr="00230886">
              <w:rPr>
                <w:rFonts w:ascii="Verdana" w:hAnsi="Verdana"/>
                <w:sz w:val="18"/>
                <w:szCs w:val="18"/>
                <w:lang w:val="es-MX" w:eastAsia="es-ES"/>
              </w:rPr>
              <w:t>20200411</w:t>
            </w:r>
          </w:p>
        </w:tc>
      </w:tr>
      <w:tr w:rsidR="00734272" w14:paraId="63191E2E" w14:textId="77777777" w:rsidTr="003C7856">
        <w:tc>
          <w:tcPr>
            <w:tcW w:w="4673" w:type="dxa"/>
            <w:vAlign w:val="center"/>
          </w:tcPr>
          <w:p w14:paraId="6B1A9D5F" w14:textId="323ECC61" w:rsidR="00734272" w:rsidRPr="0082623C" w:rsidRDefault="00734272" w:rsidP="003C7856">
            <w:pPr>
              <w:pStyle w:val="BodyText23"/>
              <w:spacing w:line="240" w:lineRule="auto"/>
              <w:rPr>
                <w:rFonts w:ascii="Verdana" w:hAnsi="Verdana"/>
                <w:sz w:val="18"/>
                <w:szCs w:val="18"/>
                <w:lang w:val="es-MX" w:eastAsia="es-ES"/>
              </w:rPr>
            </w:pPr>
            <w:r w:rsidRPr="00230886">
              <w:rPr>
                <w:rFonts w:ascii="Verdana" w:hAnsi="Verdana"/>
                <w:sz w:val="18"/>
                <w:szCs w:val="18"/>
                <w:lang w:val="es-MX" w:eastAsia="es-ES"/>
              </w:rPr>
              <w:t xml:space="preserve">Interventoría técnica, administrativa, financiera y jurídica al contrato de Mejoramiento de vía avenida Jiménez, vereda </w:t>
            </w:r>
            <w:r w:rsidR="00E94EB7">
              <w:rPr>
                <w:rFonts w:ascii="Verdana" w:hAnsi="Verdana"/>
                <w:sz w:val="18"/>
                <w:szCs w:val="18"/>
                <w:lang w:val="es-MX" w:eastAsia="es-ES"/>
              </w:rPr>
              <w:t>P</w:t>
            </w:r>
            <w:r w:rsidRPr="00230886">
              <w:rPr>
                <w:rFonts w:ascii="Verdana" w:hAnsi="Verdana"/>
                <w:sz w:val="18"/>
                <w:szCs w:val="18"/>
                <w:lang w:val="es-MX" w:eastAsia="es-ES"/>
              </w:rPr>
              <w:t>ontezuela en el municipio de Chivatá.</w:t>
            </w:r>
          </w:p>
        </w:tc>
        <w:tc>
          <w:tcPr>
            <w:tcW w:w="1559" w:type="dxa"/>
            <w:vAlign w:val="center"/>
          </w:tcPr>
          <w:p w14:paraId="77143933" w14:textId="77777777" w:rsidR="00734272" w:rsidRPr="0082623C" w:rsidRDefault="00734272" w:rsidP="003C7856">
            <w:pPr>
              <w:pStyle w:val="BodyText23"/>
              <w:spacing w:line="240" w:lineRule="auto"/>
              <w:rPr>
                <w:rFonts w:ascii="Verdana" w:hAnsi="Verdana"/>
                <w:sz w:val="18"/>
                <w:szCs w:val="18"/>
                <w:lang w:val="es-MX" w:eastAsia="es-ES"/>
              </w:rPr>
            </w:pPr>
            <w:r w:rsidRPr="00230886">
              <w:rPr>
                <w:rFonts w:ascii="Verdana" w:hAnsi="Verdana"/>
                <w:sz w:val="18"/>
                <w:szCs w:val="18"/>
                <w:lang w:val="es-MX" w:eastAsia="es-ES"/>
              </w:rPr>
              <w:t>$ 24’500.000</w:t>
            </w:r>
          </w:p>
        </w:tc>
        <w:tc>
          <w:tcPr>
            <w:tcW w:w="1418" w:type="dxa"/>
            <w:vAlign w:val="center"/>
          </w:tcPr>
          <w:p w14:paraId="5DE344C0" w14:textId="689E80BD" w:rsidR="00734272" w:rsidRPr="0082623C" w:rsidRDefault="00A07B0D" w:rsidP="003C7856">
            <w:pPr>
              <w:pStyle w:val="BodyText23"/>
              <w:spacing w:line="240" w:lineRule="auto"/>
              <w:rPr>
                <w:rFonts w:ascii="Verdana" w:hAnsi="Verdana"/>
                <w:sz w:val="18"/>
                <w:szCs w:val="18"/>
                <w:lang w:val="es-MX" w:eastAsia="es-ES"/>
              </w:rPr>
            </w:pPr>
            <w:r>
              <w:rPr>
                <w:rFonts w:ascii="Verdana" w:hAnsi="Verdana"/>
                <w:sz w:val="18"/>
                <w:szCs w:val="18"/>
                <w:lang w:val="es-MX" w:eastAsia="es-ES"/>
              </w:rPr>
              <w:t>16/10/2020</w:t>
            </w:r>
          </w:p>
        </w:tc>
        <w:tc>
          <w:tcPr>
            <w:tcW w:w="1134" w:type="dxa"/>
            <w:vAlign w:val="center"/>
          </w:tcPr>
          <w:p w14:paraId="72D150E4" w14:textId="77777777" w:rsidR="00734272" w:rsidRPr="0082623C" w:rsidRDefault="00734272" w:rsidP="003C7856">
            <w:pPr>
              <w:pStyle w:val="BodyText23"/>
              <w:spacing w:line="240" w:lineRule="auto"/>
              <w:rPr>
                <w:rFonts w:ascii="Verdana" w:hAnsi="Verdana"/>
                <w:sz w:val="18"/>
                <w:szCs w:val="18"/>
                <w:lang w:val="es-MX" w:eastAsia="es-ES"/>
              </w:rPr>
            </w:pPr>
            <w:r w:rsidRPr="00230886">
              <w:rPr>
                <w:rFonts w:ascii="Verdana" w:hAnsi="Verdana"/>
                <w:sz w:val="18"/>
                <w:szCs w:val="18"/>
                <w:lang w:val="es-MX" w:eastAsia="es-ES"/>
              </w:rPr>
              <w:t>202004</w:t>
            </w:r>
            <w:r>
              <w:rPr>
                <w:rFonts w:ascii="Verdana" w:hAnsi="Verdana"/>
                <w:sz w:val="18"/>
                <w:szCs w:val="18"/>
                <w:lang w:val="es-MX" w:eastAsia="es-ES"/>
              </w:rPr>
              <w:t>23</w:t>
            </w:r>
          </w:p>
        </w:tc>
      </w:tr>
    </w:tbl>
    <w:p w14:paraId="70B448E0" w14:textId="77777777" w:rsidR="00734272" w:rsidRDefault="00734272" w:rsidP="00FA7F81">
      <w:pPr>
        <w:pStyle w:val="BodyText23"/>
        <w:rPr>
          <w:rFonts w:ascii="Verdana" w:hAnsi="Verdana"/>
          <w:sz w:val="22"/>
          <w:szCs w:val="22"/>
          <w:lang w:eastAsia="es-ES"/>
        </w:rPr>
      </w:pPr>
    </w:p>
    <w:p w14:paraId="5DE6F8DE" w14:textId="77777777" w:rsidR="00734272" w:rsidRPr="00134356" w:rsidRDefault="00734272" w:rsidP="00FA7F81">
      <w:pPr>
        <w:pStyle w:val="BodyText23"/>
        <w:rPr>
          <w:rFonts w:ascii="Verdana" w:hAnsi="Verdana"/>
          <w:sz w:val="22"/>
          <w:szCs w:val="22"/>
          <w:lang w:eastAsia="es-ES"/>
        </w:rPr>
      </w:pPr>
    </w:p>
    <w:p w14:paraId="11B5D0EB" w14:textId="34B3E050" w:rsidR="00597E1E" w:rsidRPr="00134356" w:rsidRDefault="00597E1E" w:rsidP="00FA7F81">
      <w:pPr>
        <w:pStyle w:val="BodyText23"/>
        <w:rPr>
          <w:rFonts w:ascii="Verdana" w:hAnsi="Verdana"/>
          <w:sz w:val="22"/>
          <w:szCs w:val="22"/>
          <w:lang w:eastAsia="es-ES"/>
        </w:rPr>
      </w:pPr>
      <w:r w:rsidRPr="00134356">
        <w:rPr>
          <w:rFonts w:ascii="Verdana" w:hAnsi="Verdana"/>
          <w:sz w:val="22"/>
          <w:szCs w:val="22"/>
          <w:lang w:eastAsia="es-ES"/>
        </w:rPr>
        <w:t xml:space="preserve">- </w:t>
      </w:r>
      <w:r w:rsidR="00A704BB">
        <w:rPr>
          <w:rFonts w:ascii="Verdana" w:hAnsi="Verdana"/>
          <w:sz w:val="22"/>
          <w:szCs w:val="22"/>
          <w:lang w:eastAsia="es-ES"/>
        </w:rPr>
        <w:t>Mediante acta 003 de 13 de noviembre de 2020 el Consejo Municipal de Política Fiscal -</w:t>
      </w:r>
      <w:r w:rsidRPr="00134356">
        <w:rPr>
          <w:rFonts w:ascii="Verdana" w:hAnsi="Verdana"/>
          <w:sz w:val="22"/>
          <w:szCs w:val="22"/>
          <w:lang w:eastAsia="es-ES"/>
        </w:rPr>
        <w:t>COMFIS</w:t>
      </w:r>
      <w:r w:rsidR="00A704BB">
        <w:rPr>
          <w:rFonts w:ascii="Verdana" w:hAnsi="Verdana"/>
          <w:sz w:val="22"/>
          <w:szCs w:val="22"/>
          <w:lang w:eastAsia="es-ES"/>
        </w:rPr>
        <w:t>-</w:t>
      </w:r>
      <w:r w:rsidRPr="00134356">
        <w:rPr>
          <w:rFonts w:ascii="Verdana" w:hAnsi="Verdana"/>
          <w:sz w:val="22"/>
          <w:szCs w:val="22"/>
          <w:lang w:eastAsia="es-ES"/>
        </w:rPr>
        <w:t xml:space="preserve"> del municipio de </w:t>
      </w:r>
      <w:r w:rsidR="00A704BB">
        <w:rPr>
          <w:rFonts w:ascii="Verdana" w:hAnsi="Verdana"/>
          <w:sz w:val="22"/>
          <w:szCs w:val="22"/>
          <w:lang w:eastAsia="es-ES"/>
        </w:rPr>
        <w:t>Chivatá</w:t>
      </w:r>
      <w:r w:rsidRPr="00134356">
        <w:rPr>
          <w:rFonts w:ascii="Verdana" w:hAnsi="Verdana"/>
          <w:sz w:val="22"/>
          <w:szCs w:val="22"/>
          <w:lang w:eastAsia="es-ES"/>
        </w:rPr>
        <w:t xml:space="preserve"> </w:t>
      </w:r>
      <w:r w:rsidR="00A704BB">
        <w:rPr>
          <w:rFonts w:ascii="Verdana" w:hAnsi="Verdana"/>
          <w:sz w:val="22"/>
          <w:szCs w:val="22"/>
          <w:lang w:eastAsia="es-ES"/>
        </w:rPr>
        <w:t xml:space="preserve">emitió concepto favorable respecto del proyecto de acuerdo </w:t>
      </w:r>
      <w:r w:rsidR="00A704BB" w:rsidRPr="00A704BB">
        <w:rPr>
          <w:rFonts w:ascii="Verdana" w:hAnsi="Verdana"/>
          <w:i/>
          <w:iCs/>
          <w:sz w:val="22"/>
          <w:szCs w:val="22"/>
          <w:lang w:eastAsia="es-ES"/>
        </w:rPr>
        <w:t xml:space="preserve">"POR EL CUAL SE AUTORIZA AL ALCALDE MUNICIPAL PARA COMPROMETER VIGENCIAS FUTURAS ORDINARIAS PARA LA EJECUCIÓN DE PROYECTOS DE INVERSION </w:t>
      </w:r>
      <w:r w:rsidR="00A704BB">
        <w:rPr>
          <w:rFonts w:ascii="Verdana" w:hAnsi="Verdana"/>
          <w:i/>
          <w:iCs/>
          <w:sz w:val="22"/>
          <w:szCs w:val="22"/>
          <w:lang w:eastAsia="es-ES"/>
        </w:rPr>
        <w:t xml:space="preserve">(Documento 09 </w:t>
      </w:r>
      <w:r w:rsidR="007146CF">
        <w:rPr>
          <w:rFonts w:ascii="Verdana" w:hAnsi="Verdana"/>
          <w:i/>
          <w:iCs/>
          <w:sz w:val="22"/>
          <w:szCs w:val="22"/>
          <w:lang w:eastAsia="es-ES"/>
        </w:rPr>
        <w:t xml:space="preserve">-Acta COMFIS- </w:t>
      </w:r>
      <w:r w:rsidR="00A704BB">
        <w:rPr>
          <w:rFonts w:ascii="Verdana" w:hAnsi="Verdana"/>
          <w:i/>
          <w:iCs/>
          <w:sz w:val="22"/>
          <w:szCs w:val="22"/>
          <w:lang w:eastAsia="es-ES"/>
        </w:rPr>
        <w:t>E.E.</w:t>
      </w:r>
      <w:r w:rsidRPr="00134356">
        <w:rPr>
          <w:rFonts w:ascii="Verdana" w:hAnsi="Verdana"/>
          <w:sz w:val="22"/>
          <w:szCs w:val="22"/>
          <w:lang w:eastAsia="es-ES"/>
        </w:rPr>
        <w:t>)</w:t>
      </w:r>
    </w:p>
    <w:p w14:paraId="738610EB" w14:textId="77777777" w:rsidR="0006439E" w:rsidRPr="00134356" w:rsidRDefault="0006439E" w:rsidP="00597E1E">
      <w:pPr>
        <w:pStyle w:val="BodyText23"/>
        <w:rPr>
          <w:rFonts w:ascii="Verdana" w:hAnsi="Verdana"/>
          <w:sz w:val="22"/>
          <w:szCs w:val="22"/>
          <w:lang w:eastAsia="es-ES"/>
        </w:rPr>
      </w:pPr>
    </w:p>
    <w:p w14:paraId="0353651E" w14:textId="3F4340B3" w:rsidR="008F7593" w:rsidRDefault="00597E1E" w:rsidP="00A95ED9">
      <w:pPr>
        <w:pStyle w:val="BodyText23"/>
        <w:rPr>
          <w:rFonts w:ascii="Verdana" w:hAnsi="Verdana"/>
          <w:sz w:val="22"/>
          <w:szCs w:val="22"/>
          <w:lang w:eastAsia="es-ES"/>
        </w:rPr>
      </w:pPr>
      <w:r w:rsidRPr="0ADF79A1">
        <w:rPr>
          <w:rFonts w:ascii="Verdana" w:hAnsi="Verdana"/>
          <w:sz w:val="22"/>
          <w:szCs w:val="22"/>
          <w:lang w:eastAsia="es-ES"/>
        </w:rPr>
        <w:t xml:space="preserve">- </w:t>
      </w:r>
      <w:r w:rsidR="00CC1D2F">
        <w:rPr>
          <w:rFonts w:ascii="Verdana" w:hAnsi="Verdana"/>
          <w:sz w:val="22"/>
          <w:szCs w:val="22"/>
          <w:lang w:eastAsia="es-ES"/>
        </w:rPr>
        <w:t>Con fecha 18 de noviembre de 2020, e</w:t>
      </w:r>
      <w:r w:rsidR="00A95ED9">
        <w:rPr>
          <w:rFonts w:ascii="Verdana" w:hAnsi="Verdana"/>
          <w:sz w:val="22"/>
          <w:szCs w:val="22"/>
          <w:lang w:eastAsia="es-ES"/>
        </w:rPr>
        <w:t xml:space="preserve">l alcalde municipal de Chivatá puso a consideración del Concejo Municipal de ese municipio el proyecto de acuerdo </w:t>
      </w:r>
      <w:r w:rsidR="00A95ED9" w:rsidRPr="00A95ED9">
        <w:rPr>
          <w:rFonts w:ascii="Verdana" w:hAnsi="Verdana"/>
          <w:sz w:val="22"/>
          <w:szCs w:val="22"/>
          <w:lang w:eastAsia="es-ES"/>
        </w:rPr>
        <w:t>"POR EL CUAL SE AUTORIZA AL ALCALDE MUNICIPAL</w:t>
      </w:r>
      <w:r w:rsidR="00A95ED9">
        <w:rPr>
          <w:rFonts w:ascii="Verdana" w:hAnsi="Verdana"/>
          <w:sz w:val="22"/>
          <w:szCs w:val="22"/>
          <w:lang w:eastAsia="es-ES"/>
        </w:rPr>
        <w:t xml:space="preserve"> </w:t>
      </w:r>
      <w:r w:rsidR="00A95ED9" w:rsidRPr="00A95ED9">
        <w:rPr>
          <w:rFonts w:ascii="Verdana" w:hAnsi="Verdana"/>
          <w:sz w:val="22"/>
          <w:szCs w:val="22"/>
          <w:lang w:eastAsia="es-ES"/>
        </w:rPr>
        <w:t>PARA COMPROMETER VIGENCIAS FUTURAS ORDINARIAS PARA LA EJECUCION DE</w:t>
      </w:r>
      <w:r w:rsidR="00A95ED9">
        <w:rPr>
          <w:rFonts w:ascii="Verdana" w:hAnsi="Verdana"/>
          <w:sz w:val="22"/>
          <w:szCs w:val="22"/>
          <w:lang w:eastAsia="es-ES"/>
        </w:rPr>
        <w:t xml:space="preserve"> </w:t>
      </w:r>
      <w:r w:rsidR="00A95ED9" w:rsidRPr="00A95ED9">
        <w:rPr>
          <w:rFonts w:ascii="Verdana" w:hAnsi="Verdana"/>
          <w:sz w:val="22"/>
          <w:szCs w:val="22"/>
          <w:lang w:eastAsia="es-ES"/>
        </w:rPr>
        <w:t>PROYECTOS DE INVERSION INCLUIDOS EN EL PLAN DE DESARROLLO "CHIVATA</w:t>
      </w:r>
      <w:r w:rsidR="00A95ED9">
        <w:rPr>
          <w:rFonts w:ascii="Verdana" w:hAnsi="Verdana"/>
          <w:sz w:val="22"/>
          <w:szCs w:val="22"/>
          <w:lang w:eastAsia="es-ES"/>
        </w:rPr>
        <w:t xml:space="preserve"> </w:t>
      </w:r>
      <w:r w:rsidR="00A95ED9" w:rsidRPr="00A95ED9">
        <w:rPr>
          <w:rFonts w:ascii="Verdana" w:hAnsi="Verdana"/>
          <w:sz w:val="22"/>
          <w:szCs w:val="22"/>
          <w:lang w:eastAsia="es-ES"/>
        </w:rPr>
        <w:t>SOMOS TODOS 2020 — 2023"</w:t>
      </w:r>
      <w:r w:rsidRPr="0ADF79A1">
        <w:rPr>
          <w:rFonts w:ascii="Verdana" w:hAnsi="Verdana"/>
          <w:sz w:val="22"/>
          <w:szCs w:val="22"/>
          <w:lang w:eastAsia="es-ES"/>
        </w:rPr>
        <w:t xml:space="preserve"> </w:t>
      </w:r>
      <w:r w:rsidR="00A95ED9">
        <w:rPr>
          <w:rFonts w:ascii="Verdana" w:hAnsi="Verdana"/>
          <w:sz w:val="22"/>
          <w:szCs w:val="22"/>
          <w:lang w:eastAsia="es-ES"/>
        </w:rPr>
        <w:t>con la respectiva exposición de motivos</w:t>
      </w:r>
      <w:r w:rsidR="008F7593" w:rsidRPr="0ADF79A1">
        <w:rPr>
          <w:rFonts w:ascii="Verdana" w:hAnsi="Verdana"/>
          <w:sz w:val="22"/>
          <w:szCs w:val="22"/>
          <w:lang w:eastAsia="es-ES"/>
        </w:rPr>
        <w:t xml:space="preserve"> </w:t>
      </w:r>
      <w:r w:rsidRPr="0ADF79A1">
        <w:rPr>
          <w:rFonts w:ascii="Verdana" w:hAnsi="Verdana"/>
          <w:sz w:val="22"/>
          <w:szCs w:val="22"/>
          <w:lang w:eastAsia="es-ES"/>
        </w:rPr>
        <w:t>(</w:t>
      </w:r>
      <w:r w:rsidR="00D06ACF">
        <w:rPr>
          <w:rFonts w:ascii="Verdana" w:hAnsi="Verdana"/>
          <w:sz w:val="22"/>
          <w:szCs w:val="22"/>
          <w:lang w:eastAsia="es-ES"/>
        </w:rPr>
        <w:t xml:space="preserve">Documento 1 -demanda- </w:t>
      </w:r>
      <w:r w:rsidRPr="0ADF79A1">
        <w:rPr>
          <w:rFonts w:ascii="Verdana" w:hAnsi="Verdana"/>
          <w:sz w:val="22"/>
          <w:szCs w:val="22"/>
          <w:lang w:eastAsia="es-ES"/>
        </w:rPr>
        <w:t>fls.</w:t>
      </w:r>
      <w:r w:rsidR="00A95ED9">
        <w:rPr>
          <w:rFonts w:ascii="Verdana" w:hAnsi="Verdana"/>
          <w:sz w:val="22"/>
          <w:szCs w:val="22"/>
          <w:lang w:eastAsia="es-ES"/>
        </w:rPr>
        <w:t xml:space="preserve"> </w:t>
      </w:r>
      <w:r w:rsidR="00D06ACF">
        <w:rPr>
          <w:rFonts w:ascii="Verdana" w:hAnsi="Verdana"/>
          <w:sz w:val="22"/>
          <w:szCs w:val="22"/>
          <w:lang w:eastAsia="es-ES"/>
        </w:rPr>
        <w:t>16</w:t>
      </w:r>
      <w:r w:rsidR="00A95ED9">
        <w:rPr>
          <w:rFonts w:ascii="Verdana" w:hAnsi="Verdana"/>
          <w:sz w:val="22"/>
          <w:szCs w:val="22"/>
          <w:lang w:eastAsia="es-ES"/>
        </w:rPr>
        <w:t>-</w:t>
      </w:r>
      <w:r w:rsidR="00D06ACF">
        <w:rPr>
          <w:rFonts w:ascii="Verdana" w:hAnsi="Verdana"/>
          <w:sz w:val="22"/>
          <w:szCs w:val="22"/>
          <w:lang w:eastAsia="es-ES"/>
        </w:rPr>
        <w:t>18</w:t>
      </w:r>
      <w:r w:rsidR="008F7593" w:rsidRPr="0ADF79A1">
        <w:rPr>
          <w:rFonts w:ascii="Verdana" w:hAnsi="Verdana"/>
          <w:sz w:val="22"/>
          <w:szCs w:val="22"/>
          <w:lang w:eastAsia="es-ES"/>
        </w:rPr>
        <w:t xml:space="preserve"> </w:t>
      </w:r>
      <w:r w:rsidR="00A95ED9">
        <w:rPr>
          <w:rFonts w:ascii="Verdana" w:hAnsi="Verdana"/>
          <w:sz w:val="22"/>
          <w:szCs w:val="22"/>
          <w:lang w:eastAsia="es-ES"/>
        </w:rPr>
        <w:t>E.E.</w:t>
      </w:r>
      <w:r w:rsidR="008F7593" w:rsidRPr="0ADF79A1">
        <w:rPr>
          <w:rFonts w:ascii="Verdana" w:hAnsi="Verdana"/>
          <w:sz w:val="22"/>
          <w:szCs w:val="22"/>
          <w:lang w:eastAsia="es-ES"/>
        </w:rPr>
        <w:t>).</w:t>
      </w:r>
    </w:p>
    <w:p w14:paraId="648D41A2" w14:textId="1A1BCEC7" w:rsidR="00AC37A0" w:rsidRDefault="00AC37A0" w:rsidP="00A95ED9">
      <w:pPr>
        <w:pStyle w:val="BodyText23"/>
        <w:rPr>
          <w:rFonts w:ascii="Verdana" w:hAnsi="Verdana"/>
          <w:sz w:val="22"/>
          <w:szCs w:val="22"/>
          <w:lang w:eastAsia="es-ES"/>
        </w:rPr>
      </w:pPr>
    </w:p>
    <w:p w14:paraId="37D8637D" w14:textId="0B2160D7" w:rsidR="00AC37A0" w:rsidRPr="00AC37A0" w:rsidRDefault="0048338D" w:rsidP="0048338D">
      <w:pPr>
        <w:pStyle w:val="BodyText23"/>
        <w:rPr>
          <w:rFonts w:ascii="Verdana" w:hAnsi="Verdana"/>
          <w:sz w:val="22"/>
          <w:szCs w:val="22"/>
          <w:lang w:eastAsia="es-ES"/>
        </w:rPr>
      </w:pPr>
      <w:r>
        <w:rPr>
          <w:rFonts w:ascii="Verdana" w:hAnsi="Verdana"/>
          <w:sz w:val="22"/>
          <w:szCs w:val="22"/>
          <w:lang w:eastAsia="es-ES"/>
        </w:rPr>
        <w:t xml:space="preserve">- </w:t>
      </w:r>
      <w:r w:rsidR="00AC37A0">
        <w:rPr>
          <w:rFonts w:ascii="Verdana" w:hAnsi="Verdana"/>
          <w:sz w:val="22"/>
          <w:szCs w:val="22"/>
          <w:lang w:eastAsia="es-ES"/>
        </w:rPr>
        <w:t>Conforme a certificación del 2 de diciembre de 2020 expedida por el Presidente del Concejo Municipal de Chivatá, el A</w:t>
      </w:r>
      <w:r w:rsidR="00AC37A0" w:rsidRPr="00AC37A0">
        <w:rPr>
          <w:rFonts w:ascii="Verdana" w:hAnsi="Verdana"/>
          <w:sz w:val="22"/>
          <w:szCs w:val="22"/>
          <w:lang w:eastAsia="es-ES"/>
        </w:rPr>
        <w:t>cuerdo</w:t>
      </w:r>
      <w:r w:rsidR="00AC37A0">
        <w:rPr>
          <w:rFonts w:ascii="Verdana" w:hAnsi="Verdana"/>
          <w:sz w:val="22"/>
          <w:szCs w:val="22"/>
          <w:lang w:eastAsia="es-ES"/>
        </w:rPr>
        <w:t xml:space="preserve"> 015 de 30 de noviembre de 2020</w:t>
      </w:r>
      <w:r w:rsidR="00D06ACF">
        <w:rPr>
          <w:rFonts w:ascii="Verdana" w:hAnsi="Verdana"/>
          <w:sz w:val="22"/>
          <w:szCs w:val="22"/>
          <w:lang w:eastAsia="es-ES"/>
        </w:rPr>
        <w:t xml:space="preserve"> </w:t>
      </w:r>
      <w:r w:rsidR="00AC37A0" w:rsidRPr="00AC37A0">
        <w:rPr>
          <w:rFonts w:ascii="Verdana" w:hAnsi="Verdana"/>
          <w:sz w:val="22"/>
          <w:szCs w:val="22"/>
          <w:lang w:eastAsia="es-ES"/>
        </w:rPr>
        <w:t xml:space="preserve">fue debatido el (24) de noviembre en Comisión Tercera Permanente de Asuntos Administrativos y de Gobierno y el treinta (30) del mismo mes ante la Plenaria </w:t>
      </w:r>
      <w:r w:rsidR="00AC37A0">
        <w:rPr>
          <w:rFonts w:ascii="Verdana" w:hAnsi="Verdana"/>
          <w:sz w:val="22"/>
          <w:szCs w:val="22"/>
          <w:lang w:eastAsia="es-ES"/>
        </w:rPr>
        <w:t>del</w:t>
      </w:r>
      <w:r w:rsidR="00AC37A0" w:rsidRPr="00AC37A0">
        <w:rPr>
          <w:rFonts w:ascii="Verdana" w:hAnsi="Verdana"/>
          <w:sz w:val="22"/>
          <w:szCs w:val="22"/>
          <w:lang w:eastAsia="es-ES"/>
        </w:rPr>
        <w:t xml:space="preserve"> Concejo Municipa</w:t>
      </w:r>
      <w:r w:rsidR="00AC37A0">
        <w:rPr>
          <w:rFonts w:ascii="Verdana" w:hAnsi="Verdana"/>
          <w:sz w:val="22"/>
          <w:szCs w:val="22"/>
          <w:lang w:eastAsia="es-ES"/>
        </w:rPr>
        <w:t>l (Documento 1 -demanda- fl. 14 E.E.)</w:t>
      </w:r>
      <w:r w:rsidR="00D53C86">
        <w:rPr>
          <w:rFonts w:ascii="Verdana" w:hAnsi="Verdana"/>
          <w:sz w:val="22"/>
          <w:szCs w:val="22"/>
          <w:lang w:eastAsia="es-ES"/>
        </w:rPr>
        <w:t>; y fue sancionado y publicado el 3 de diciembre de 2020  (Documento 1 -demanda- fl. 15 E.E.)</w:t>
      </w:r>
      <w:r w:rsidR="001D0505">
        <w:rPr>
          <w:rFonts w:ascii="Verdana" w:hAnsi="Verdana"/>
          <w:sz w:val="22"/>
          <w:szCs w:val="22"/>
          <w:lang w:eastAsia="es-ES"/>
        </w:rPr>
        <w:t>.</w:t>
      </w:r>
    </w:p>
    <w:p w14:paraId="4A6DE680" w14:textId="7530919E" w:rsidR="00CC1D2F" w:rsidRDefault="00CC1D2F" w:rsidP="00A95ED9">
      <w:pPr>
        <w:pStyle w:val="BodyText23"/>
        <w:rPr>
          <w:rFonts w:ascii="Verdana" w:hAnsi="Verdana"/>
          <w:sz w:val="22"/>
          <w:szCs w:val="22"/>
          <w:lang w:eastAsia="es-ES"/>
        </w:rPr>
      </w:pPr>
    </w:p>
    <w:p w14:paraId="7F171041" w14:textId="0FEC6891" w:rsidR="008F7593" w:rsidRPr="00134356" w:rsidRDefault="008F7593" w:rsidP="00216D83">
      <w:pPr>
        <w:pStyle w:val="BodyText23"/>
        <w:rPr>
          <w:rFonts w:ascii="Verdana" w:hAnsi="Verdana"/>
          <w:sz w:val="22"/>
          <w:szCs w:val="22"/>
        </w:rPr>
      </w:pPr>
      <w:r w:rsidRPr="00134356">
        <w:rPr>
          <w:rFonts w:ascii="Verdana" w:hAnsi="Verdana"/>
          <w:sz w:val="22"/>
          <w:szCs w:val="22"/>
        </w:rPr>
        <w:t xml:space="preserve">- Finalmente, el </w:t>
      </w:r>
      <w:r w:rsidR="00D06ACF">
        <w:rPr>
          <w:rFonts w:ascii="Verdana" w:hAnsi="Verdana"/>
          <w:sz w:val="22"/>
          <w:szCs w:val="22"/>
        </w:rPr>
        <w:t>C</w:t>
      </w:r>
      <w:r w:rsidRPr="00134356">
        <w:rPr>
          <w:rFonts w:ascii="Verdana" w:hAnsi="Verdana"/>
          <w:sz w:val="22"/>
          <w:szCs w:val="22"/>
        </w:rPr>
        <w:t>oncejo</w:t>
      </w:r>
      <w:r w:rsidR="00D06ACF">
        <w:rPr>
          <w:rFonts w:ascii="Verdana" w:hAnsi="Verdana"/>
          <w:sz w:val="22"/>
          <w:szCs w:val="22"/>
        </w:rPr>
        <w:t xml:space="preserve"> Municipal</w:t>
      </w:r>
      <w:r w:rsidRPr="00134356">
        <w:rPr>
          <w:rFonts w:ascii="Verdana" w:hAnsi="Verdana"/>
          <w:sz w:val="22"/>
          <w:szCs w:val="22"/>
        </w:rPr>
        <w:t xml:space="preserve"> de</w:t>
      </w:r>
      <w:r w:rsidR="00676890">
        <w:rPr>
          <w:rFonts w:ascii="Verdana" w:hAnsi="Verdana"/>
          <w:sz w:val="22"/>
          <w:szCs w:val="22"/>
        </w:rPr>
        <w:t xml:space="preserve"> Chivatá</w:t>
      </w:r>
      <w:r w:rsidRPr="00134356">
        <w:rPr>
          <w:rFonts w:ascii="Verdana" w:hAnsi="Verdana"/>
          <w:sz w:val="22"/>
          <w:szCs w:val="22"/>
        </w:rPr>
        <w:t xml:space="preserve"> expidió el Acuerdo No. </w:t>
      </w:r>
      <w:r w:rsidR="00676890">
        <w:rPr>
          <w:rFonts w:ascii="Verdana" w:hAnsi="Verdana"/>
          <w:sz w:val="22"/>
          <w:szCs w:val="22"/>
        </w:rPr>
        <w:t xml:space="preserve">015 </w:t>
      </w:r>
      <w:r w:rsidRPr="00134356">
        <w:rPr>
          <w:rFonts w:ascii="Verdana" w:hAnsi="Verdana"/>
          <w:sz w:val="22"/>
          <w:szCs w:val="22"/>
        </w:rPr>
        <w:t xml:space="preserve">del </w:t>
      </w:r>
      <w:r w:rsidR="00676890">
        <w:rPr>
          <w:rFonts w:ascii="Verdana" w:hAnsi="Verdana"/>
          <w:sz w:val="22"/>
          <w:szCs w:val="22"/>
        </w:rPr>
        <w:t>30</w:t>
      </w:r>
      <w:r w:rsidRPr="00134356">
        <w:rPr>
          <w:rFonts w:ascii="Verdana" w:hAnsi="Verdana"/>
          <w:sz w:val="22"/>
          <w:szCs w:val="22"/>
        </w:rPr>
        <w:t xml:space="preserve"> de </w:t>
      </w:r>
      <w:r w:rsidR="00676890">
        <w:rPr>
          <w:rFonts w:ascii="Verdana" w:hAnsi="Verdana"/>
          <w:sz w:val="22"/>
          <w:szCs w:val="22"/>
        </w:rPr>
        <w:t>noviembre de 2020</w:t>
      </w:r>
      <w:r w:rsidRPr="00134356">
        <w:rPr>
          <w:rFonts w:ascii="Verdana" w:hAnsi="Verdana"/>
          <w:sz w:val="22"/>
          <w:szCs w:val="22"/>
        </w:rPr>
        <w:t xml:space="preserve">, </w:t>
      </w:r>
      <w:r w:rsidR="00AC37A0">
        <w:rPr>
          <w:rFonts w:ascii="Verdana" w:hAnsi="Verdana"/>
          <w:sz w:val="22"/>
          <w:szCs w:val="22"/>
        </w:rPr>
        <w:t xml:space="preserve">que denominó </w:t>
      </w:r>
      <w:r w:rsidR="00AC37A0" w:rsidRPr="00D06ACF">
        <w:rPr>
          <w:rFonts w:ascii="Verdana" w:hAnsi="Verdana"/>
          <w:i/>
          <w:iCs/>
          <w:sz w:val="22"/>
          <w:szCs w:val="22"/>
        </w:rPr>
        <w:t xml:space="preserve">“POR EL CUAL SE AUTORIZA AL ALCALDE MUNICIPAL </w:t>
      </w:r>
      <w:r w:rsidR="00AC37A0" w:rsidRPr="00D06ACF">
        <w:rPr>
          <w:rFonts w:ascii="Verdana" w:hAnsi="Verdana"/>
          <w:b/>
          <w:bCs/>
          <w:i/>
          <w:iCs/>
          <w:sz w:val="22"/>
          <w:szCs w:val="22"/>
        </w:rPr>
        <w:t>PARA COMPROMETER VIGENCIAS FUTURAS ORDINARIAS</w:t>
      </w:r>
      <w:r w:rsidR="00AC37A0" w:rsidRPr="00D06ACF">
        <w:rPr>
          <w:rFonts w:ascii="Verdana" w:hAnsi="Verdana"/>
          <w:i/>
          <w:iCs/>
          <w:sz w:val="22"/>
          <w:szCs w:val="22"/>
        </w:rPr>
        <w:t xml:space="preserve"> PARA LA EJECUCION DE PROYECTOS DE INVERSION INCLUIDOS EN EL PLAN DE DESARROLLO "CHIVATA SOMOS TODOS 2020 2023"</w:t>
      </w:r>
      <w:r w:rsidRPr="00134356">
        <w:rPr>
          <w:rFonts w:ascii="Verdana" w:hAnsi="Verdana"/>
          <w:sz w:val="22"/>
          <w:szCs w:val="22"/>
        </w:rPr>
        <w:t xml:space="preserve"> </w:t>
      </w:r>
      <w:r w:rsidR="00D06ACF">
        <w:rPr>
          <w:rFonts w:ascii="Verdana" w:hAnsi="Verdana"/>
          <w:sz w:val="22"/>
          <w:szCs w:val="22"/>
        </w:rPr>
        <w:t xml:space="preserve">(Negrilla fuera de texto) </w:t>
      </w:r>
      <w:r w:rsidR="00D06ACF">
        <w:rPr>
          <w:rFonts w:ascii="Verdana" w:hAnsi="Verdana"/>
          <w:sz w:val="22"/>
          <w:szCs w:val="22"/>
          <w:lang w:eastAsia="es-ES"/>
        </w:rPr>
        <w:lastRenderedPageBreak/>
        <w:t>(Documento 1 -demanda- fls. 19-21 E.E.)</w:t>
      </w:r>
      <w:r w:rsidRPr="00134356">
        <w:rPr>
          <w:rFonts w:ascii="Verdana" w:hAnsi="Verdana"/>
          <w:sz w:val="22"/>
          <w:szCs w:val="22"/>
        </w:rPr>
        <w:t>; como parte de la motivación expuesta en esa oportunidad se dijo lo siguiente:</w:t>
      </w:r>
    </w:p>
    <w:p w14:paraId="463F29E8" w14:textId="77777777" w:rsidR="008F7593" w:rsidRPr="00134356" w:rsidRDefault="008F7593" w:rsidP="008F7593">
      <w:pPr>
        <w:spacing w:line="360" w:lineRule="auto"/>
        <w:jc w:val="both"/>
        <w:rPr>
          <w:rFonts w:ascii="Verdana" w:hAnsi="Verdana"/>
          <w:sz w:val="22"/>
          <w:szCs w:val="22"/>
        </w:rPr>
      </w:pPr>
    </w:p>
    <w:p w14:paraId="44444575" w14:textId="65313DA5" w:rsidR="008F7593" w:rsidRPr="00BC2AA8" w:rsidRDefault="008F7593" w:rsidP="00BC2AA8">
      <w:pPr>
        <w:ind w:left="705"/>
        <w:jc w:val="both"/>
        <w:rPr>
          <w:rFonts w:ascii="Verdana" w:hAnsi="Verdana"/>
          <w:i/>
          <w:iCs/>
          <w:sz w:val="20"/>
          <w:szCs w:val="20"/>
        </w:rPr>
      </w:pPr>
      <w:r w:rsidRPr="00BC2AA8">
        <w:rPr>
          <w:rFonts w:ascii="Verdana" w:hAnsi="Verdana"/>
          <w:i/>
          <w:iCs/>
          <w:sz w:val="20"/>
          <w:szCs w:val="20"/>
        </w:rPr>
        <w:t>“</w:t>
      </w:r>
      <w:r w:rsidR="004B7BCD" w:rsidRPr="00BC2AA8">
        <w:rPr>
          <w:rFonts w:ascii="Verdana" w:hAnsi="Verdana"/>
          <w:i/>
          <w:iCs/>
          <w:sz w:val="20"/>
          <w:szCs w:val="20"/>
        </w:rPr>
        <w:t>Que mediante Acuerdo No. 005 de 2020, se aprobó el Plan de Desarrollo "Chivata Somos Todos 2020 — 2023" y en el mismo se contempla la ejecución de proyectos en infraestructura, de servicios públicos, equipamientos comunitarios, entre otros, los cuales se contratarán en la presente vigencia fiscal, contando con la respectiva disponibilidad presupuestal en un 100%, pero cuyos bienes y servicios contratados se ejecutarán y entregarán al Municipio en la vigencia 2021.</w:t>
      </w:r>
    </w:p>
    <w:p w14:paraId="17032A01" w14:textId="77777777" w:rsidR="00A70C4B" w:rsidRPr="00BC2AA8" w:rsidRDefault="00A70C4B" w:rsidP="00BC2AA8">
      <w:pPr>
        <w:pStyle w:val="Sangradetextonormal"/>
        <w:spacing w:line="240" w:lineRule="auto"/>
        <w:rPr>
          <w:sz w:val="20"/>
          <w:szCs w:val="20"/>
        </w:rPr>
      </w:pPr>
    </w:p>
    <w:p w14:paraId="7E603065" w14:textId="2D38B77C" w:rsidR="008F7593" w:rsidRPr="00BC2AA8" w:rsidRDefault="00A70C4B" w:rsidP="00BC2AA8">
      <w:pPr>
        <w:pStyle w:val="Sangradetextonormal"/>
        <w:spacing w:line="240" w:lineRule="auto"/>
        <w:rPr>
          <w:sz w:val="20"/>
          <w:szCs w:val="20"/>
        </w:rPr>
      </w:pPr>
      <w:r w:rsidRPr="00BC2AA8">
        <w:rPr>
          <w:sz w:val="20"/>
          <w:szCs w:val="20"/>
        </w:rPr>
        <w:t>Que el artículo 8 de la Ley 819 de 2003 dispone: "REGLAMENTACION A LA PROGRAMACION PRESUPUESTAL. La preparación y elaboración del presupuesto general de la Nación y el de las Entidades Territoriales, deberá sujetarse a los correspondientes Marcos Fiscales de Mediano Plazo</w:t>
      </w:r>
      <w:r w:rsidR="009D3EBB">
        <w:rPr>
          <w:sz w:val="20"/>
          <w:szCs w:val="20"/>
        </w:rPr>
        <w:t xml:space="preserve"> </w:t>
      </w:r>
      <w:r w:rsidRPr="00BC2AA8">
        <w:rPr>
          <w:sz w:val="20"/>
          <w:szCs w:val="20"/>
        </w:rPr>
        <w:t>de manera que las apropiaciones presupuestales aprobadas por el Congreso de la Republica, las Asambleas y los Concejos, puedan ejecutarse en su totalidad durante la vigencia fiscal correspondiente.</w:t>
      </w:r>
    </w:p>
    <w:p w14:paraId="552DF5BE" w14:textId="77777777" w:rsidR="00A70C4B" w:rsidRPr="00BC2AA8" w:rsidRDefault="00A70C4B" w:rsidP="00BC2AA8">
      <w:pPr>
        <w:pStyle w:val="Sangradetextonormal"/>
        <w:spacing w:line="240" w:lineRule="auto"/>
        <w:rPr>
          <w:sz w:val="20"/>
          <w:szCs w:val="20"/>
        </w:rPr>
      </w:pPr>
    </w:p>
    <w:p w14:paraId="4B87D0E4" w14:textId="3DAAF758" w:rsidR="00A70C4B" w:rsidRPr="00BC2AA8" w:rsidRDefault="00A70C4B" w:rsidP="00BC2AA8">
      <w:pPr>
        <w:pStyle w:val="Sangradetextonormal"/>
        <w:spacing w:line="240" w:lineRule="auto"/>
        <w:rPr>
          <w:sz w:val="20"/>
          <w:szCs w:val="20"/>
        </w:rPr>
      </w:pPr>
      <w:r w:rsidRPr="00BC2AA8">
        <w:rPr>
          <w:sz w:val="20"/>
          <w:szCs w:val="20"/>
        </w:rPr>
        <w:t>En los eventos en que se encuentre en trámite una licitación, concurso de méritos o cualquier otro proceso de selección del contratista con todos los requerimientos legales, incluida la disponibilidad presupuestal, y su perfeccionamiento se efectúe en la vigencia fiscal siguiente, se atenderá con el presupuesto de esta última vigencia, previo el cumplimiento de los ajustes presupuestales correspondientes.</w:t>
      </w:r>
    </w:p>
    <w:p w14:paraId="62DFC7CE" w14:textId="77777777" w:rsidR="00A70C4B" w:rsidRPr="00BC2AA8" w:rsidRDefault="00A70C4B" w:rsidP="00BC2AA8">
      <w:pPr>
        <w:pStyle w:val="Sangradetextonormal"/>
        <w:spacing w:line="240" w:lineRule="auto"/>
        <w:rPr>
          <w:sz w:val="20"/>
          <w:szCs w:val="20"/>
        </w:rPr>
      </w:pPr>
    </w:p>
    <w:p w14:paraId="7C3AA081" w14:textId="77777777" w:rsidR="00A70C4B" w:rsidRPr="00BC2AA8" w:rsidRDefault="00A70C4B" w:rsidP="00BC2AA8">
      <w:pPr>
        <w:pStyle w:val="Sangradetextonormal"/>
        <w:spacing w:line="240" w:lineRule="auto"/>
        <w:rPr>
          <w:sz w:val="20"/>
          <w:szCs w:val="20"/>
        </w:rPr>
      </w:pPr>
      <w:r w:rsidRPr="00BC2AA8">
        <w:rPr>
          <w:sz w:val="20"/>
          <w:szCs w:val="20"/>
        </w:rPr>
        <w:t>Que mediante circular externa No. 43 de diciembre 22 de 2008, suscrita por el Ministerio de Hacienda y Crédito Público se indica "Cuando la Nación o las entidades territoriales requieran celebrar compromisos que afecten presupuestos de vigencias futuras. o aun, sin afectar tales presupuestos subsiguientes, cuando el compromiso este destinado a ser ejecutado o cumplido en los términos ya explicados, en vigencias subsiguientes a la de su celebración, se requiere la previa autorización, al respecto, en el caso de la Nación del CONFIS y en el caso de las entidades territoriales, de los Concejos Municipales o Distritales o de las Asambleas Departamentales.</w:t>
      </w:r>
    </w:p>
    <w:p w14:paraId="71D39EAE" w14:textId="77777777" w:rsidR="00A70C4B" w:rsidRPr="00BC2AA8" w:rsidRDefault="00A70C4B" w:rsidP="00BC2AA8">
      <w:pPr>
        <w:pStyle w:val="Sangradetextonormal"/>
        <w:spacing w:line="240" w:lineRule="auto"/>
        <w:rPr>
          <w:sz w:val="20"/>
          <w:szCs w:val="20"/>
        </w:rPr>
      </w:pPr>
    </w:p>
    <w:p w14:paraId="400ABEFB" w14:textId="24D0B434" w:rsidR="00A70C4B" w:rsidRPr="00BC2AA8" w:rsidRDefault="00A70C4B" w:rsidP="00BC2AA8">
      <w:pPr>
        <w:pStyle w:val="Sangradetextonormal"/>
        <w:spacing w:line="240" w:lineRule="auto"/>
        <w:rPr>
          <w:sz w:val="20"/>
          <w:szCs w:val="20"/>
        </w:rPr>
      </w:pPr>
      <w:r w:rsidRPr="00BC2AA8">
        <w:rPr>
          <w:sz w:val="20"/>
          <w:szCs w:val="20"/>
        </w:rPr>
        <w:t>Que el artículo 12 de la Ley 819 de 2003, establece: "VIGENCIAS FUTURAS ORDINARIAS PARA ENTIDADES TERRITORIALES. En las entidades territoriales, las autorizaciones para comprometer vigencias futuras serán impartidas por la asamblea o concejo respectivo, a iniciativa del gobierno local, previa aprobación por el Confis territorial o el órgano que haga sus veces...</w:t>
      </w:r>
    </w:p>
    <w:p w14:paraId="759DFDF0" w14:textId="4923D23A" w:rsidR="00A70C4B" w:rsidRPr="00BC2AA8" w:rsidRDefault="00A70C4B" w:rsidP="00BC2AA8">
      <w:pPr>
        <w:pStyle w:val="Sangradetextonormal"/>
        <w:spacing w:line="240" w:lineRule="auto"/>
        <w:rPr>
          <w:sz w:val="20"/>
          <w:szCs w:val="20"/>
        </w:rPr>
      </w:pPr>
    </w:p>
    <w:p w14:paraId="7E44E697" w14:textId="74F8F675" w:rsidR="00A70C4B" w:rsidRPr="00BC2AA8" w:rsidRDefault="00A70C4B" w:rsidP="00BC2AA8">
      <w:pPr>
        <w:pStyle w:val="Sangradetextonormal"/>
        <w:spacing w:line="240" w:lineRule="auto"/>
        <w:rPr>
          <w:sz w:val="20"/>
          <w:szCs w:val="20"/>
        </w:rPr>
      </w:pPr>
      <w:r w:rsidRPr="00BC2AA8">
        <w:rPr>
          <w:sz w:val="20"/>
          <w:szCs w:val="20"/>
        </w:rPr>
        <w:t>Que el Procurador General de la Nación mediante la Circular 031 de 2011, impartió precisas instrucciones respecto de las instituciones presupuestales conocidas como reservas presupuestales y vigencias futuras, quien citando el Articulo 12 de la Ley 819 precisó: "... Cuando las entidades territoriales requieran celebrar contratos que generen obligaciones cuya ejecución se inicie con el presupuesto en curso y continúe en las vigencias fiscales posteriores requerirán la autorización de</w:t>
      </w:r>
      <w:r w:rsidR="009D3EBB">
        <w:rPr>
          <w:sz w:val="20"/>
          <w:szCs w:val="20"/>
        </w:rPr>
        <w:t xml:space="preserve"> </w:t>
      </w:r>
      <w:r w:rsidRPr="00BC2AA8">
        <w:rPr>
          <w:sz w:val="20"/>
          <w:szCs w:val="20"/>
        </w:rPr>
        <w:t>vigencias futuras otorgadas por la correspondiente corporación político administrativa</w:t>
      </w:r>
      <w:r w:rsidR="00BC2AA8" w:rsidRPr="00BC2AA8">
        <w:rPr>
          <w:sz w:val="20"/>
          <w:szCs w:val="20"/>
        </w:rPr>
        <w:t>…</w:t>
      </w:r>
      <w:r w:rsidRPr="00BC2AA8">
        <w:rPr>
          <w:sz w:val="20"/>
          <w:szCs w:val="20"/>
        </w:rPr>
        <w:t>"</w:t>
      </w:r>
      <w:r w:rsidR="00BC2AA8" w:rsidRPr="00BC2AA8">
        <w:rPr>
          <w:sz w:val="20"/>
          <w:szCs w:val="20"/>
        </w:rPr>
        <w:t>.</w:t>
      </w:r>
    </w:p>
    <w:p w14:paraId="763392CA" w14:textId="33935355" w:rsidR="00BC2AA8" w:rsidRPr="00BC2AA8" w:rsidRDefault="00BC2AA8" w:rsidP="00BC2AA8">
      <w:pPr>
        <w:pStyle w:val="Sangradetextonormal"/>
        <w:spacing w:line="240" w:lineRule="auto"/>
        <w:rPr>
          <w:sz w:val="20"/>
          <w:szCs w:val="20"/>
        </w:rPr>
      </w:pPr>
    </w:p>
    <w:p w14:paraId="75627F2F" w14:textId="55CF06D2" w:rsidR="00BC2AA8" w:rsidRPr="00BC2AA8" w:rsidRDefault="00BC2AA8" w:rsidP="00BC2AA8">
      <w:pPr>
        <w:pStyle w:val="Sangradetextonormal"/>
        <w:spacing w:line="240" w:lineRule="auto"/>
        <w:rPr>
          <w:sz w:val="20"/>
          <w:szCs w:val="20"/>
        </w:rPr>
      </w:pPr>
      <w:r w:rsidRPr="00BC2AA8">
        <w:rPr>
          <w:sz w:val="20"/>
          <w:szCs w:val="20"/>
        </w:rPr>
        <w:t>Que la ley 819 de 2003, dispone la autorización para comprometer el presupuesto con cargo a vigencia Futuras las cuales no pueden superar el respectivo periodo del Alcalde, para lo que en el presente proyecto de acuerdo se está solicitando la autorización de vigencias futuras de ejecución, en razón a la necesidad de adelantar procesos de contratación con el fin de cumplir con los programas y proyectos del plan de desarrollo, respecto de los cuales se cuenta con el total de los recursos en la presente vigencia, pero cuyos servicios o bines se recibirán en la siguiente vigencia.</w:t>
      </w:r>
    </w:p>
    <w:p w14:paraId="3EDE48D5" w14:textId="77777777" w:rsidR="00BC2AA8" w:rsidRPr="00BC2AA8" w:rsidRDefault="00BC2AA8" w:rsidP="00BC2AA8">
      <w:pPr>
        <w:pStyle w:val="Sangradetextonormal"/>
        <w:spacing w:line="240" w:lineRule="auto"/>
        <w:rPr>
          <w:sz w:val="20"/>
          <w:szCs w:val="20"/>
        </w:rPr>
      </w:pPr>
    </w:p>
    <w:p w14:paraId="35F0B8C6" w14:textId="3BE1F9F4" w:rsidR="00BC2AA8" w:rsidRPr="00BC2AA8" w:rsidRDefault="00BC2AA8" w:rsidP="00BC2AA8">
      <w:pPr>
        <w:pStyle w:val="Sangradetextonormal"/>
        <w:spacing w:line="240" w:lineRule="auto"/>
        <w:rPr>
          <w:sz w:val="20"/>
          <w:szCs w:val="20"/>
        </w:rPr>
      </w:pPr>
      <w:r w:rsidRPr="00BC2AA8">
        <w:rPr>
          <w:sz w:val="20"/>
          <w:szCs w:val="20"/>
        </w:rPr>
        <w:lastRenderedPageBreak/>
        <w:t>Que en consecuencia la administración municipal prevé iniciar la contratación y ejecución de proyectos de inversión que sobrepasan su ejecución de la vigencia 2020, proyectos incorporados en el Plan de desarrollo "Chivata somos todos 2020 - 2023".</w:t>
      </w:r>
      <w:r>
        <w:rPr>
          <w:sz w:val="20"/>
          <w:szCs w:val="20"/>
        </w:rPr>
        <w:t>”</w:t>
      </w:r>
    </w:p>
    <w:p w14:paraId="304D3CE0" w14:textId="77777777" w:rsidR="00BC2AA8" w:rsidRDefault="00BC2AA8" w:rsidP="00A70C4B">
      <w:pPr>
        <w:pStyle w:val="Sangradetextonormal"/>
      </w:pPr>
    </w:p>
    <w:p w14:paraId="61829076" w14:textId="77777777" w:rsidR="008F7593" w:rsidRPr="00134356" w:rsidRDefault="008F7593" w:rsidP="008F7593">
      <w:pPr>
        <w:spacing w:line="360" w:lineRule="auto"/>
        <w:jc w:val="both"/>
        <w:rPr>
          <w:rFonts w:ascii="Verdana" w:hAnsi="Verdana"/>
          <w:i/>
          <w:sz w:val="22"/>
          <w:szCs w:val="22"/>
        </w:rPr>
      </w:pPr>
    </w:p>
    <w:p w14:paraId="48ED27CD" w14:textId="77777777" w:rsidR="00BC2AA8" w:rsidRDefault="00BC2AA8" w:rsidP="008F7593">
      <w:pPr>
        <w:pStyle w:val="BodyText23"/>
        <w:rPr>
          <w:rFonts w:ascii="Verdana" w:hAnsi="Verdana"/>
          <w:sz w:val="22"/>
          <w:szCs w:val="22"/>
          <w:lang w:eastAsia="es-ES"/>
        </w:rPr>
      </w:pPr>
      <w:r>
        <w:rPr>
          <w:rFonts w:ascii="Verdana" w:hAnsi="Verdana"/>
          <w:sz w:val="22"/>
          <w:szCs w:val="22"/>
          <w:lang w:eastAsia="es-ES"/>
        </w:rPr>
        <w:t>Ahora, e</w:t>
      </w:r>
      <w:r w:rsidR="008F7593" w:rsidRPr="0ADF79A1">
        <w:rPr>
          <w:rFonts w:ascii="Verdana" w:hAnsi="Verdana"/>
          <w:sz w:val="22"/>
          <w:szCs w:val="22"/>
          <w:lang w:eastAsia="es-ES"/>
        </w:rPr>
        <w:t>n la parte resolutiva del acto administrativo en mención, se acordó</w:t>
      </w:r>
      <w:r>
        <w:rPr>
          <w:rFonts w:ascii="Verdana" w:hAnsi="Verdana"/>
          <w:sz w:val="22"/>
          <w:szCs w:val="22"/>
          <w:lang w:eastAsia="es-ES"/>
        </w:rPr>
        <w:t>:</w:t>
      </w:r>
    </w:p>
    <w:p w14:paraId="4134EDC3" w14:textId="77777777" w:rsidR="00B02A3B" w:rsidRDefault="00B02A3B" w:rsidP="003C7856">
      <w:pPr>
        <w:pStyle w:val="BodyText23"/>
        <w:rPr>
          <w:rFonts w:ascii="Verdana" w:hAnsi="Verdana"/>
          <w:sz w:val="22"/>
          <w:szCs w:val="22"/>
          <w:lang w:eastAsia="es-ES"/>
        </w:rPr>
      </w:pPr>
    </w:p>
    <w:p w14:paraId="60EB2B01" w14:textId="580B3674" w:rsidR="00BC2AA8" w:rsidRPr="00B02A3B" w:rsidRDefault="003C7856" w:rsidP="00B02A3B">
      <w:pPr>
        <w:pStyle w:val="BodyText23"/>
        <w:spacing w:line="240" w:lineRule="auto"/>
        <w:ind w:left="708"/>
        <w:rPr>
          <w:rFonts w:ascii="Verdana" w:hAnsi="Verdana"/>
          <w:i/>
          <w:iCs/>
          <w:sz w:val="20"/>
          <w:lang w:eastAsia="es-ES"/>
        </w:rPr>
      </w:pPr>
      <w:r w:rsidRPr="00B02A3B">
        <w:rPr>
          <w:rFonts w:ascii="Verdana" w:hAnsi="Verdana"/>
          <w:b/>
          <w:bCs/>
          <w:i/>
          <w:iCs/>
          <w:sz w:val="20"/>
          <w:lang w:eastAsia="es-ES"/>
        </w:rPr>
        <w:t>ARTICULO PRIMERO: AUTORICESE</w:t>
      </w:r>
      <w:r w:rsidRPr="00B02A3B">
        <w:rPr>
          <w:rFonts w:ascii="Verdana" w:hAnsi="Verdana"/>
          <w:i/>
          <w:iCs/>
          <w:sz w:val="20"/>
          <w:lang w:eastAsia="es-ES"/>
        </w:rPr>
        <w:t xml:space="preserve"> al Alcalde Municipal de Chivatá - Boyacá, para comprometer en la actual vigencia fiscal, recursos que tienen disponibilidad presupuestal, para la ejecución de proyectos de inversión en Infraestructura contemplados en el Plan de Desarrollo Municipal "Chivata Somos Todos 2020 — 2023", cuyo proceso de selección y ejecución contractual se iniciará en el presente año y se culminará en el año 2021, hasta por un monto de MIL QUINIENTOS OCHENTA Y SEIS MILLONES NOVECIENTOS VEINTE MIL SETECIENTOS SESENTA Y CUATRO PESOS ML/CTE ($1.586.920.764) , según el siguiente detalle:</w:t>
      </w:r>
    </w:p>
    <w:p w14:paraId="21AB3192" w14:textId="5EB7CF71" w:rsidR="003C7856" w:rsidRDefault="003C7856" w:rsidP="003C7856">
      <w:pPr>
        <w:pStyle w:val="BodyText23"/>
        <w:rPr>
          <w:rFonts w:ascii="Verdana" w:hAnsi="Verdana"/>
          <w:sz w:val="22"/>
          <w:szCs w:val="22"/>
          <w:lang w:eastAsia="es-ES"/>
        </w:rPr>
      </w:pPr>
    </w:p>
    <w:tbl>
      <w:tblPr>
        <w:tblStyle w:val="Tablaconcuadrcula"/>
        <w:tblW w:w="8784" w:type="dxa"/>
        <w:tblLook w:val="04A0" w:firstRow="1" w:lastRow="0" w:firstColumn="1" w:lastColumn="0" w:noHBand="0" w:noVBand="1"/>
      </w:tblPr>
      <w:tblGrid>
        <w:gridCol w:w="3850"/>
        <w:gridCol w:w="1594"/>
        <w:gridCol w:w="1373"/>
        <w:gridCol w:w="1967"/>
      </w:tblGrid>
      <w:tr w:rsidR="003C7856" w:rsidRPr="0082623C" w14:paraId="03225119" w14:textId="77777777" w:rsidTr="009D3EBB">
        <w:tc>
          <w:tcPr>
            <w:tcW w:w="3923" w:type="dxa"/>
            <w:vAlign w:val="center"/>
          </w:tcPr>
          <w:p w14:paraId="648D2339" w14:textId="77777777" w:rsidR="003C7856" w:rsidRPr="0082623C" w:rsidRDefault="003C7856" w:rsidP="003C7856">
            <w:pPr>
              <w:pStyle w:val="BodyText23"/>
              <w:spacing w:line="240" w:lineRule="auto"/>
              <w:jc w:val="center"/>
              <w:rPr>
                <w:rFonts w:ascii="Verdana" w:hAnsi="Verdana"/>
                <w:b/>
                <w:bCs/>
                <w:sz w:val="18"/>
                <w:szCs w:val="18"/>
                <w:lang w:val="es-MX" w:eastAsia="es-ES"/>
              </w:rPr>
            </w:pPr>
            <w:r w:rsidRPr="0082623C">
              <w:rPr>
                <w:rFonts w:ascii="Verdana" w:hAnsi="Verdana"/>
                <w:b/>
                <w:bCs/>
                <w:sz w:val="18"/>
                <w:szCs w:val="18"/>
                <w:lang w:val="es-MX" w:eastAsia="es-ES"/>
              </w:rPr>
              <w:t>PROYECTO</w:t>
            </w:r>
          </w:p>
        </w:tc>
        <w:tc>
          <w:tcPr>
            <w:tcW w:w="1601" w:type="dxa"/>
            <w:vAlign w:val="center"/>
          </w:tcPr>
          <w:p w14:paraId="158D1FE5" w14:textId="77777777" w:rsidR="003C7856" w:rsidRPr="0082623C" w:rsidRDefault="003C7856" w:rsidP="003C7856">
            <w:pPr>
              <w:pStyle w:val="BodyText23"/>
              <w:spacing w:line="240" w:lineRule="auto"/>
              <w:jc w:val="center"/>
              <w:rPr>
                <w:rFonts w:ascii="Verdana" w:hAnsi="Verdana"/>
                <w:b/>
                <w:bCs/>
                <w:sz w:val="18"/>
                <w:szCs w:val="18"/>
                <w:lang w:val="es-MX" w:eastAsia="es-ES"/>
              </w:rPr>
            </w:pPr>
            <w:r w:rsidRPr="0082623C">
              <w:rPr>
                <w:rFonts w:ascii="Verdana" w:hAnsi="Verdana"/>
                <w:b/>
                <w:bCs/>
                <w:sz w:val="18"/>
                <w:szCs w:val="18"/>
                <w:lang w:val="es-MX" w:eastAsia="es-ES"/>
              </w:rPr>
              <w:t>VALOR</w:t>
            </w:r>
          </w:p>
        </w:tc>
        <w:tc>
          <w:tcPr>
            <w:tcW w:w="1287" w:type="dxa"/>
            <w:vAlign w:val="center"/>
          </w:tcPr>
          <w:p w14:paraId="620D5407" w14:textId="77777777" w:rsidR="003C7856" w:rsidRPr="0082623C" w:rsidRDefault="003C7856" w:rsidP="003C7856">
            <w:pPr>
              <w:pStyle w:val="BodyText23"/>
              <w:spacing w:line="240" w:lineRule="auto"/>
              <w:jc w:val="center"/>
              <w:rPr>
                <w:rFonts w:ascii="Verdana" w:hAnsi="Verdana"/>
                <w:b/>
                <w:bCs/>
                <w:sz w:val="18"/>
                <w:szCs w:val="18"/>
                <w:lang w:val="es-MX" w:eastAsia="es-ES"/>
              </w:rPr>
            </w:pPr>
            <w:r w:rsidRPr="0082623C">
              <w:rPr>
                <w:rFonts w:ascii="Verdana" w:hAnsi="Verdana"/>
                <w:b/>
                <w:bCs/>
                <w:sz w:val="18"/>
                <w:szCs w:val="18"/>
                <w:lang w:val="es-MX" w:eastAsia="es-ES"/>
              </w:rPr>
              <w:t>PLAZO DE EJECUCIÓN</w:t>
            </w:r>
          </w:p>
        </w:tc>
        <w:tc>
          <w:tcPr>
            <w:tcW w:w="1973" w:type="dxa"/>
            <w:vAlign w:val="center"/>
          </w:tcPr>
          <w:p w14:paraId="345D8775" w14:textId="02DE49ED" w:rsidR="003C7856" w:rsidRPr="0082623C" w:rsidRDefault="003C7856" w:rsidP="003C7856">
            <w:pPr>
              <w:pStyle w:val="BodyText23"/>
              <w:spacing w:line="240" w:lineRule="auto"/>
              <w:jc w:val="center"/>
              <w:rPr>
                <w:rFonts w:ascii="Verdana" w:hAnsi="Verdana"/>
                <w:b/>
                <w:bCs/>
                <w:sz w:val="18"/>
                <w:szCs w:val="18"/>
                <w:lang w:val="es-MX" w:eastAsia="es-ES"/>
              </w:rPr>
            </w:pPr>
            <w:r>
              <w:rPr>
                <w:rFonts w:ascii="Verdana" w:hAnsi="Verdana"/>
                <w:b/>
                <w:bCs/>
                <w:sz w:val="18"/>
                <w:szCs w:val="18"/>
                <w:lang w:val="es-MX" w:eastAsia="es-ES"/>
              </w:rPr>
              <w:t>FUENTE FINANCIACIÓN 2020 SGP PG Libre Inversión</w:t>
            </w:r>
          </w:p>
        </w:tc>
      </w:tr>
      <w:tr w:rsidR="003C7856" w:rsidRPr="0082623C" w14:paraId="5630442E" w14:textId="77777777" w:rsidTr="009D3EBB">
        <w:tc>
          <w:tcPr>
            <w:tcW w:w="3923" w:type="dxa"/>
            <w:vAlign w:val="center"/>
          </w:tcPr>
          <w:p w14:paraId="568DEB65" w14:textId="77777777" w:rsidR="003C7856" w:rsidRPr="003C7856" w:rsidRDefault="003C7856" w:rsidP="003C7856">
            <w:pPr>
              <w:pStyle w:val="BodyText23"/>
              <w:spacing w:line="240" w:lineRule="auto"/>
              <w:rPr>
                <w:rFonts w:ascii="Verdana" w:hAnsi="Verdana"/>
                <w:i/>
                <w:iCs/>
                <w:sz w:val="18"/>
                <w:szCs w:val="18"/>
                <w:lang w:val="es-MX" w:eastAsia="es-ES"/>
              </w:rPr>
            </w:pPr>
            <w:r w:rsidRPr="003C7856">
              <w:rPr>
                <w:rFonts w:ascii="Verdana" w:hAnsi="Verdana"/>
                <w:i/>
                <w:iCs/>
                <w:sz w:val="18"/>
                <w:szCs w:val="18"/>
                <w:lang w:val="es-MX" w:eastAsia="es-ES"/>
              </w:rPr>
              <w:t>Construcción y adecuación obras de infraestructura para el municipio de chivata, departamento de Boyacá.</w:t>
            </w:r>
          </w:p>
        </w:tc>
        <w:tc>
          <w:tcPr>
            <w:tcW w:w="1601" w:type="dxa"/>
            <w:vAlign w:val="center"/>
          </w:tcPr>
          <w:p w14:paraId="1D8C6E31" w14:textId="77777777" w:rsidR="003C7856" w:rsidRPr="003C7856" w:rsidRDefault="003C7856" w:rsidP="003C7856">
            <w:pPr>
              <w:pStyle w:val="BodyText23"/>
              <w:spacing w:line="240" w:lineRule="auto"/>
              <w:rPr>
                <w:rFonts w:ascii="Verdana" w:hAnsi="Verdana"/>
                <w:i/>
                <w:iCs/>
                <w:sz w:val="18"/>
                <w:szCs w:val="18"/>
                <w:lang w:val="es-MX" w:eastAsia="es-ES"/>
              </w:rPr>
            </w:pPr>
            <w:r w:rsidRPr="003C7856">
              <w:rPr>
                <w:rFonts w:ascii="Verdana" w:hAnsi="Verdana"/>
                <w:i/>
                <w:iCs/>
                <w:sz w:val="18"/>
                <w:szCs w:val="18"/>
                <w:lang w:val="es-MX" w:eastAsia="es-ES"/>
              </w:rPr>
              <w:t>$ 569’403.999</w:t>
            </w:r>
          </w:p>
        </w:tc>
        <w:tc>
          <w:tcPr>
            <w:tcW w:w="1287" w:type="dxa"/>
            <w:vAlign w:val="center"/>
          </w:tcPr>
          <w:p w14:paraId="2F6C18E1" w14:textId="46C9FBAF" w:rsidR="003C7856" w:rsidRPr="003C7856" w:rsidRDefault="003C7856" w:rsidP="003C7856">
            <w:pPr>
              <w:pStyle w:val="BodyText23"/>
              <w:spacing w:line="240" w:lineRule="auto"/>
              <w:rPr>
                <w:rFonts w:ascii="Verdana" w:hAnsi="Verdana"/>
                <w:i/>
                <w:iCs/>
                <w:sz w:val="18"/>
                <w:szCs w:val="18"/>
                <w:lang w:val="es-MX" w:eastAsia="es-ES"/>
              </w:rPr>
            </w:pPr>
            <w:r w:rsidRPr="003C7856">
              <w:rPr>
                <w:rFonts w:ascii="Verdana" w:hAnsi="Verdana"/>
                <w:i/>
                <w:iCs/>
                <w:sz w:val="18"/>
                <w:szCs w:val="18"/>
                <w:lang w:val="es-MX" w:eastAsia="es-ES"/>
              </w:rPr>
              <w:t>Cuatro (4) meses</w:t>
            </w:r>
          </w:p>
        </w:tc>
        <w:tc>
          <w:tcPr>
            <w:tcW w:w="1973" w:type="dxa"/>
            <w:vAlign w:val="center"/>
          </w:tcPr>
          <w:p w14:paraId="41E534A4" w14:textId="77777777" w:rsidR="003C7856" w:rsidRPr="003C7856" w:rsidRDefault="003C7856" w:rsidP="003C7856">
            <w:pPr>
              <w:pStyle w:val="BodyText23"/>
              <w:spacing w:line="240" w:lineRule="auto"/>
              <w:rPr>
                <w:rFonts w:ascii="Verdana" w:hAnsi="Verdana"/>
                <w:i/>
                <w:iCs/>
                <w:sz w:val="18"/>
                <w:szCs w:val="18"/>
                <w:lang w:val="es-MX" w:eastAsia="es-ES"/>
              </w:rPr>
            </w:pPr>
            <w:r w:rsidRPr="003C7856">
              <w:rPr>
                <w:rFonts w:ascii="Verdana" w:hAnsi="Verdana"/>
                <w:i/>
                <w:iCs/>
                <w:sz w:val="18"/>
                <w:szCs w:val="18"/>
                <w:lang w:val="es-MX" w:eastAsia="es-ES"/>
              </w:rPr>
              <w:t>SGP APSB</w:t>
            </w:r>
          </w:p>
          <w:p w14:paraId="33190449" w14:textId="77777777" w:rsidR="003C7856" w:rsidRPr="003C7856" w:rsidRDefault="003C7856" w:rsidP="003C7856">
            <w:pPr>
              <w:pStyle w:val="BodyText23"/>
              <w:spacing w:line="240" w:lineRule="auto"/>
              <w:rPr>
                <w:rFonts w:ascii="Verdana" w:hAnsi="Verdana"/>
                <w:i/>
                <w:iCs/>
                <w:sz w:val="18"/>
                <w:szCs w:val="18"/>
                <w:lang w:val="es-MX" w:eastAsia="es-ES"/>
              </w:rPr>
            </w:pPr>
            <w:r w:rsidRPr="003C7856">
              <w:rPr>
                <w:rFonts w:ascii="Verdana" w:hAnsi="Verdana"/>
                <w:i/>
                <w:iCs/>
                <w:sz w:val="18"/>
                <w:szCs w:val="18"/>
                <w:lang w:val="es-MX" w:eastAsia="es-ES"/>
              </w:rPr>
              <w:t>SGP PG</w:t>
            </w:r>
          </w:p>
          <w:p w14:paraId="610349BA" w14:textId="170B1863" w:rsidR="003C7856" w:rsidRPr="003C7856" w:rsidRDefault="003C7856" w:rsidP="003C7856">
            <w:pPr>
              <w:pStyle w:val="BodyText23"/>
              <w:spacing w:line="240" w:lineRule="auto"/>
              <w:rPr>
                <w:rFonts w:ascii="Verdana" w:hAnsi="Verdana"/>
                <w:i/>
                <w:iCs/>
                <w:sz w:val="18"/>
                <w:szCs w:val="18"/>
                <w:lang w:val="es-MX" w:eastAsia="es-ES"/>
              </w:rPr>
            </w:pPr>
            <w:r w:rsidRPr="003C7856">
              <w:rPr>
                <w:rFonts w:ascii="Verdana" w:hAnsi="Verdana"/>
                <w:i/>
                <w:iCs/>
                <w:sz w:val="18"/>
                <w:szCs w:val="18"/>
                <w:lang w:val="es-MX" w:eastAsia="es-ES"/>
              </w:rPr>
              <w:t>SGP libre invers</w:t>
            </w:r>
            <w:r>
              <w:rPr>
                <w:rFonts w:ascii="Verdana" w:hAnsi="Verdana"/>
                <w:i/>
                <w:iCs/>
                <w:sz w:val="18"/>
                <w:szCs w:val="18"/>
                <w:lang w:val="es-MX" w:eastAsia="es-ES"/>
              </w:rPr>
              <w:t>ión</w:t>
            </w:r>
          </w:p>
        </w:tc>
      </w:tr>
      <w:tr w:rsidR="003C7856" w:rsidRPr="0082623C" w14:paraId="70FAF801" w14:textId="77777777" w:rsidTr="009D3EBB">
        <w:tc>
          <w:tcPr>
            <w:tcW w:w="3923" w:type="dxa"/>
            <w:vAlign w:val="center"/>
          </w:tcPr>
          <w:p w14:paraId="14B469DC" w14:textId="77777777" w:rsidR="003C7856" w:rsidRPr="003C7856" w:rsidRDefault="003C7856" w:rsidP="003C7856">
            <w:pPr>
              <w:pStyle w:val="BodyText23"/>
              <w:spacing w:line="240" w:lineRule="auto"/>
              <w:rPr>
                <w:rFonts w:ascii="Verdana" w:hAnsi="Verdana"/>
                <w:i/>
                <w:iCs/>
                <w:sz w:val="18"/>
                <w:szCs w:val="18"/>
                <w:lang w:val="es-MX" w:eastAsia="es-ES"/>
              </w:rPr>
            </w:pPr>
            <w:r w:rsidRPr="003C7856">
              <w:rPr>
                <w:rFonts w:ascii="Verdana" w:hAnsi="Verdana"/>
                <w:i/>
                <w:iCs/>
                <w:sz w:val="18"/>
                <w:szCs w:val="18"/>
                <w:lang w:val="es-MX" w:eastAsia="es-ES"/>
              </w:rPr>
              <w:t>Interventoría técnica, administrativa, financiera y jurídica al contrato de construcción y adecuación de obras de infraestructura para el municipio de Chivatá departamento de Boyacá.</w:t>
            </w:r>
          </w:p>
        </w:tc>
        <w:tc>
          <w:tcPr>
            <w:tcW w:w="1601" w:type="dxa"/>
            <w:vAlign w:val="center"/>
          </w:tcPr>
          <w:p w14:paraId="684DEBE5" w14:textId="77777777" w:rsidR="003C7856" w:rsidRPr="003C7856" w:rsidRDefault="003C7856" w:rsidP="003C7856">
            <w:pPr>
              <w:pStyle w:val="BodyText23"/>
              <w:spacing w:line="240" w:lineRule="auto"/>
              <w:rPr>
                <w:rFonts w:ascii="Verdana" w:hAnsi="Verdana"/>
                <w:i/>
                <w:iCs/>
                <w:sz w:val="18"/>
                <w:szCs w:val="18"/>
                <w:lang w:val="es-MX" w:eastAsia="es-ES"/>
              </w:rPr>
            </w:pPr>
            <w:r w:rsidRPr="003C7856">
              <w:rPr>
                <w:rFonts w:ascii="Verdana" w:hAnsi="Verdana"/>
                <w:i/>
                <w:iCs/>
                <w:sz w:val="18"/>
                <w:szCs w:val="18"/>
                <w:lang w:val="es-MX" w:eastAsia="es-ES"/>
              </w:rPr>
              <w:t>$ 24’500.000</w:t>
            </w:r>
          </w:p>
        </w:tc>
        <w:tc>
          <w:tcPr>
            <w:tcW w:w="1287" w:type="dxa"/>
            <w:vAlign w:val="center"/>
          </w:tcPr>
          <w:p w14:paraId="105F9B44" w14:textId="0B4565CF" w:rsidR="003C7856" w:rsidRPr="003C7856" w:rsidRDefault="003C7856" w:rsidP="003C7856">
            <w:pPr>
              <w:pStyle w:val="BodyText23"/>
              <w:spacing w:line="240" w:lineRule="auto"/>
              <w:rPr>
                <w:rFonts w:ascii="Verdana" w:hAnsi="Verdana"/>
                <w:i/>
                <w:iCs/>
                <w:sz w:val="18"/>
                <w:szCs w:val="18"/>
                <w:lang w:val="es-MX" w:eastAsia="es-ES"/>
              </w:rPr>
            </w:pPr>
            <w:r w:rsidRPr="003C7856">
              <w:rPr>
                <w:rFonts w:ascii="Verdana" w:hAnsi="Verdana"/>
                <w:i/>
                <w:iCs/>
                <w:sz w:val="18"/>
                <w:szCs w:val="18"/>
                <w:lang w:val="es-MX" w:eastAsia="es-ES"/>
              </w:rPr>
              <w:t>Cuatro (4) meses</w:t>
            </w:r>
          </w:p>
        </w:tc>
        <w:tc>
          <w:tcPr>
            <w:tcW w:w="1973" w:type="dxa"/>
            <w:vAlign w:val="center"/>
          </w:tcPr>
          <w:p w14:paraId="2F13DB98" w14:textId="77777777" w:rsidR="003C7856" w:rsidRPr="003C7856" w:rsidRDefault="003C7856" w:rsidP="003C7856">
            <w:pPr>
              <w:pStyle w:val="BodyText23"/>
              <w:spacing w:line="240" w:lineRule="auto"/>
              <w:rPr>
                <w:rFonts w:ascii="Verdana" w:hAnsi="Verdana"/>
                <w:i/>
                <w:iCs/>
                <w:sz w:val="18"/>
                <w:szCs w:val="18"/>
                <w:lang w:val="es-MX" w:eastAsia="es-ES"/>
              </w:rPr>
            </w:pPr>
            <w:r w:rsidRPr="003C7856">
              <w:rPr>
                <w:rFonts w:ascii="Verdana" w:hAnsi="Verdana"/>
                <w:i/>
                <w:iCs/>
                <w:sz w:val="18"/>
                <w:szCs w:val="18"/>
                <w:lang w:val="es-MX" w:eastAsia="es-ES"/>
              </w:rPr>
              <w:t>SGP APSB</w:t>
            </w:r>
          </w:p>
          <w:p w14:paraId="27DC33CE" w14:textId="77777777" w:rsidR="003C7856" w:rsidRPr="003C7856" w:rsidRDefault="003C7856" w:rsidP="003C7856">
            <w:pPr>
              <w:pStyle w:val="BodyText23"/>
              <w:spacing w:line="240" w:lineRule="auto"/>
              <w:rPr>
                <w:rFonts w:ascii="Verdana" w:hAnsi="Verdana"/>
                <w:i/>
                <w:iCs/>
                <w:sz w:val="18"/>
                <w:szCs w:val="18"/>
                <w:lang w:val="es-MX" w:eastAsia="es-ES"/>
              </w:rPr>
            </w:pPr>
            <w:r w:rsidRPr="003C7856">
              <w:rPr>
                <w:rFonts w:ascii="Verdana" w:hAnsi="Verdana"/>
                <w:i/>
                <w:iCs/>
                <w:sz w:val="18"/>
                <w:szCs w:val="18"/>
                <w:lang w:val="es-MX" w:eastAsia="es-ES"/>
              </w:rPr>
              <w:t>SGP PG</w:t>
            </w:r>
          </w:p>
          <w:p w14:paraId="3ED448D5" w14:textId="06BE16D9" w:rsidR="003C7856" w:rsidRPr="003C7856" w:rsidRDefault="003C7856" w:rsidP="003C7856">
            <w:pPr>
              <w:pStyle w:val="BodyText23"/>
              <w:spacing w:line="240" w:lineRule="auto"/>
              <w:rPr>
                <w:rFonts w:ascii="Verdana" w:hAnsi="Verdana"/>
                <w:i/>
                <w:iCs/>
                <w:sz w:val="18"/>
                <w:szCs w:val="18"/>
                <w:lang w:val="es-MX" w:eastAsia="es-ES"/>
              </w:rPr>
            </w:pPr>
            <w:r w:rsidRPr="003C7856">
              <w:rPr>
                <w:rFonts w:ascii="Verdana" w:hAnsi="Verdana"/>
                <w:i/>
                <w:iCs/>
                <w:sz w:val="18"/>
                <w:szCs w:val="18"/>
                <w:lang w:val="es-MX" w:eastAsia="es-ES"/>
              </w:rPr>
              <w:t>SGP libre invers</w:t>
            </w:r>
            <w:r>
              <w:rPr>
                <w:rFonts w:ascii="Verdana" w:hAnsi="Verdana"/>
                <w:i/>
                <w:iCs/>
                <w:sz w:val="18"/>
                <w:szCs w:val="18"/>
                <w:lang w:val="es-MX" w:eastAsia="es-ES"/>
              </w:rPr>
              <w:t>ión</w:t>
            </w:r>
          </w:p>
        </w:tc>
      </w:tr>
      <w:tr w:rsidR="003C7856" w:rsidRPr="0082623C" w14:paraId="700CF4C7" w14:textId="77777777" w:rsidTr="009D3EBB">
        <w:tc>
          <w:tcPr>
            <w:tcW w:w="3923" w:type="dxa"/>
            <w:vAlign w:val="center"/>
          </w:tcPr>
          <w:p w14:paraId="67093C64" w14:textId="77777777" w:rsidR="003C7856" w:rsidRPr="003C7856" w:rsidRDefault="003C7856" w:rsidP="003C7856">
            <w:pPr>
              <w:pStyle w:val="BodyText23"/>
              <w:spacing w:line="240" w:lineRule="auto"/>
              <w:rPr>
                <w:rFonts w:ascii="Verdana" w:hAnsi="Verdana"/>
                <w:i/>
                <w:iCs/>
                <w:sz w:val="18"/>
                <w:szCs w:val="18"/>
                <w:lang w:val="es-MX" w:eastAsia="es-ES"/>
              </w:rPr>
            </w:pPr>
            <w:r w:rsidRPr="003C7856">
              <w:rPr>
                <w:rFonts w:ascii="Verdana" w:hAnsi="Verdana"/>
                <w:i/>
                <w:iCs/>
                <w:sz w:val="18"/>
                <w:szCs w:val="18"/>
                <w:lang w:val="es-MX" w:eastAsia="es-ES"/>
              </w:rPr>
              <w:t>Construcción de estrado en el parque principal para eventos culturales institucionales del municipio de Chivatá.</w:t>
            </w:r>
          </w:p>
        </w:tc>
        <w:tc>
          <w:tcPr>
            <w:tcW w:w="1601" w:type="dxa"/>
            <w:vAlign w:val="center"/>
          </w:tcPr>
          <w:p w14:paraId="685EB63F" w14:textId="77777777" w:rsidR="003C7856" w:rsidRPr="003C7856" w:rsidRDefault="003C7856" w:rsidP="003C7856">
            <w:pPr>
              <w:pStyle w:val="BodyText23"/>
              <w:spacing w:line="240" w:lineRule="auto"/>
              <w:rPr>
                <w:rFonts w:ascii="Verdana" w:hAnsi="Verdana"/>
                <w:i/>
                <w:iCs/>
                <w:sz w:val="18"/>
                <w:szCs w:val="18"/>
                <w:lang w:val="es-MX" w:eastAsia="es-ES"/>
              </w:rPr>
            </w:pPr>
            <w:r w:rsidRPr="003C7856">
              <w:rPr>
                <w:rFonts w:ascii="Verdana" w:hAnsi="Verdana"/>
                <w:i/>
                <w:iCs/>
                <w:sz w:val="18"/>
                <w:szCs w:val="18"/>
                <w:lang w:val="es-MX" w:eastAsia="es-ES"/>
              </w:rPr>
              <w:t>$ 92’500.000</w:t>
            </w:r>
          </w:p>
        </w:tc>
        <w:tc>
          <w:tcPr>
            <w:tcW w:w="1287" w:type="dxa"/>
            <w:vAlign w:val="center"/>
          </w:tcPr>
          <w:p w14:paraId="14827AA3" w14:textId="5B2E6497" w:rsidR="003C7856" w:rsidRPr="003C7856" w:rsidRDefault="003C7856" w:rsidP="003C7856">
            <w:pPr>
              <w:pStyle w:val="BodyText23"/>
              <w:spacing w:line="240" w:lineRule="auto"/>
              <w:rPr>
                <w:rFonts w:ascii="Verdana" w:hAnsi="Verdana"/>
                <w:i/>
                <w:iCs/>
                <w:sz w:val="18"/>
                <w:szCs w:val="18"/>
                <w:lang w:val="es-MX" w:eastAsia="es-ES"/>
              </w:rPr>
            </w:pPr>
            <w:r w:rsidRPr="003C7856">
              <w:rPr>
                <w:rFonts w:ascii="Verdana" w:hAnsi="Verdana"/>
                <w:i/>
                <w:iCs/>
                <w:sz w:val="18"/>
                <w:szCs w:val="18"/>
                <w:lang w:val="es-MX" w:eastAsia="es-ES"/>
              </w:rPr>
              <w:t>Dos (2) meses</w:t>
            </w:r>
          </w:p>
        </w:tc>
        <w:tc>
          <w:tcPr>
            <w:tcW w:w="1973" w:type="dxa"/>
            <w:vAlign w:val="center"/>
          </w:tcPr>
          <w:p w14:paraId="6CA77A55" w14:textId="6066A5B5" w:rsidR="003C7856" w:rsidRPr="003C7856" w:rsidRDefault="003C7856" w:rsidP="003C7856">
            <w:pPr>
              <w:pStyle w:val="BodyText23"/>
              <w:spacing w:line="240" w:lineRule="auto"/>
              <w:rPr>
                <w:rFonts w:ascii="Verdana" w:hAnsi="Verdana"/>
                <w:i/>
                <w:iCs/>
                <w:sz w:val="18"/>
                <w:szCs w:val="18"/>
                <w:lang w:val="es-MX" w:eastAsia="es-ES"/>
              </w:rPr>
            </w:pPr>
            <w:r>
              <w:rPr>
                <w:rFonts w:ascii="Verdana" w:hAnsi="Verdana"/>
                <w:i/>
                <w:iCs/>
                <w:sz w:val="18"/>
                <w:szCs w:val="18"/>
                <w:lang w:val="es-MX" w:eastAsia="es-ES"/>
              </w:rPr>
              <w:t>SGP Propósito General</w:t>
            </w:r>
          </w:p>
        </w:tc>
      </w:tr>
      <w:tr w:rsidR="003C7856" w:rsidRPr="0082623C" w14:paraId="04E8AB3C" w14:textId="77777777" w:rsidTr="009D3EBB">
        <w:tc>
          <w:tcPr>
            <w:tcW w:w="3923" w:type="dxa"/>
            <w:vAlign w:val="center"/>
          </w:tcPr>
          <w:p w14:paraId="3C1777B2" w14:textId="77777777" w:rsidR="003C7856" w:rsidRPr="003C7856" w:rsidRDefault="003C7856" w:rsidP="003C7856">
            <w:pPr>
              <w:pStyle w:val="BodyText23"/>
              <w:spacing w:line="240" w:lineRule="auto"/>
              <w:rPr>
                <w:rFonts w:ascii="Verdana" w:hAnsi="Verdana"/>
                <w:i/>
                <w:iCs/>
                <w:sz w:val="18"/>
                <w:szCs w:val="18"/>
                <w:lang w:val="es-MX" w:eastAsia="es-ES"/>
              </w:rPr>
            </w:pPr>
            <w:r w:rsidRPr="003C7856">
              <w:rPr>
                <w:rFonts w:ascii="Verdana" w:hAnsi="Verdana"/>
                <w:i/>
                <w:iCs/>
                <w:sz w:val="18"/>
                <w:szCs w:val="18"/>
                <w:lang w:val="es-MX" w:eastAsia="es-ES"/>
              </w:rPr>
              <w:t>Adecuación del coliseo y polideportivo del casco urbano del municipio de Chivatá.</w:t>
            </w:r>
          </w:p>
        </w:tc>
        <w:tc>
          <w:tcPr>
            <w:tcW w:w="1601" w:type="dxa"/>
            <w:vAlign w:val="center"/>
          </w:tcPr>
          <w:p w14:paraId="6B57B5D0" w14:textId="77777777" w:rsidR="003C7856" w:rsidRPr="003C7856" w:rsidRDefault="003C7856" w:rsidP="003C7856">
            <w:pPr>
              <w:pStyle w:val="BodyText23"/>
              <w:spacing w:line="240" w:lineRule="auto"/>
              <w:rPr>
                <w:rFonts w:ascii="Verdana" w:hAnsi="Verdana"/>
                <w:i/>
                <w:iCs/>
                <w:sz w:val="18"/>
                <w:szCs w:val="18"/>
                <w:lang w:val="es-MX" w:eastAsia="es-ES"/>
              </w:rPr>
            </w:pPr>
            <w:r w:rsidRPr="003C7856">
              <w:rPr>
                <w:rFonts w:ascii="Verdana" w:hAnsi="Verdana"/>
                <w:i/>
                <w:iCs/>
                <w:sz w:val="18"/>
                <w:szCs w:val="18"/>
                <w:lang w:val="es-MX" w:eastAsia="es-ES"/>
              </w:rPr>
              <w:t>$ 183.000.000</w:t>
            </w:r>
          </w:p>
        </w:tc>
        <w:tc>
          <w:tcPr>
            <w:tcW w:w="1287" w:type="dxa"/>
            <w:vAlign w:val="center"/>
          </w:tcPr>
          <w:p w14:paraId="1EE6D7B6" w14:textId="0FD679A0" w:rsidR="003C7856" w:rsidRPr="003C7856" w:rsidRDefault="003C7856" w:rsidP="003C7856">
            <w:pPr>
              <w:pStyle w:val="BodyText23"/>
              <w:spacing w:line="240" w:lineRule="auto"/>
              <w:rPr>
                <w:rFonts w:ascii="Verdana" w:hAnsi="Verdana"/>
                <w:i/>
                <w:iCs/>
                <w:sz w:val="18"/>
                <w:szCs w:val="18"/>
                <w:lang w:val="es-MX" w:eastAsia="es-ES"/>
              </w:rPr>
            </w:pPr>
            <w:r w:rsidRPr="003C7856">
              <w:rPr>
                <w:rFonts w:ascii="Verdana" w:hAnsi="Verdana"/>
                <w:i/>
                <w:iCs/>
                <w:sz w:val="18"/>
                <w:szCs w:val="18"/>
                <w:lang w:val="es-MX" w:eastAsia="es-ES"/>
              </w:rPr>
              <w:t>Dos (2) meses</w:t>
            </w:r>
          </w:p>
        </w:tc>
        <w:tc>
          <w:tcPr>
            <w:tcW w:w="1973" w:type="dxa"/>
            <w:vAlign w:val="center"/>
          </w:tcPr>
          <w:p w14:paraId="18EE315E" w14:textId="6313F524" w:rsidR="003C7856" w:rsidRPr="003C7856" w:rsidRDefault="003C7856" w:rsidP="003C7856">
            <w:pPr>
              <w:pStyle w:val="BodyText23"/>
              <w:spacing w:line="240" w:lineRule="auto"/>
              <w:rPr>
                <w:rFonts w:ascii="Verdana" w:hAnsi="Verdana"/>
                <w:i/>
                <w:iCs/>
                <w:sz w:val="18"/>
                <w:szCs w:val="18"/>
                <w:lang w:val="es-MX" w:eastAsia="es-ES"/>
              </w:rPr>
            </w:pPr>
            <w:r>
              <w:rPr>
                <w:rFonts w:ascii="Verdana" w:hAnsi="Verdana"/>
                <w:i/>
                <w:iCs/>
                <w:sz w:val="18"/>
                <w:szCs w:val="18"/>
                <w:lang w:val="es-MX" w:eastAsia="es-ES"/>
              </w:rPr>
              <w:t>SGP Propósito General</w:t>
            </w:r>
          </w:p>
        </w:tc>
      </w:tr>
      <w:tr w:rsidR="003C7856" w:rsidRPr="0082623C" w14:paraId="7DE6C666" w14:textId="77777777" w:rsidTr="009D3EBB">
        <w:tc>
          <w:tcPr>
            <w:tcW w:w="3923" w:type="dxa"/>
            <w:vAlign w:val="center"/>
          </w:tcPr>
          <w:p w14:paraId="6CFDC63B" w14:textId="77777777" w:rsidR="003C7856" w:rsidRPr="003C7856" w:rsidRDefault="003C7856" w:rsidP="003C7856">
            <w:pPr>
              <w:pStyle w:val="BodyText23"/>
              <w:spacing w:line="240" w:lineRule="auto"/>
              <w:rPr>
                <w:rFonts w:ascii="Verdana" w:hAnsi="Verdana"/>
                <w:i/>
                <w:iCs/>
                <w:sz w:val="18"/>
                <w:szCs w:val="18"/>
                <w:lang w:val="es-MX" w:eastAsia="es-ES"/>
              </w:rPr>
            </w:pPr>
            <w:r w:rsidRPr="003C7856">
              <w:rPr>
                <w:rFonts w:ascii="Verdana" w:hAnsi="Verdana"/>
                <w:i/>
                <w:iCs/>
                <w:sz w:val="18"/>
                <w:szCs w:val="18"/>
                <w:lang w:val="es-MX" w:eastAsia="es-ES"/>
              </w:rPr>
              <w:t>Construcción y mejoramiento de vivienda en el área rural del municipio de Chivatá.</w:t>
            </w:r>
          </w:p>
        </w:tc>
        <w:tc>
          <w:tcPr>
            <w:tcW w:w="1601" w:type="dxa"/>
            <w:vAlign w:val="center"/>
          </w:tcPr>
          <w:p w14:paraId="5EAAB06E" w14:textId="77777777" w:rsidR="003C7856" w:rsidRPr="003C7856" w:rsidRDefault="003C7856" w:rsidP="003C7856">
            <w:pPr>
              <w:pStyle w:val="BodyText23"/>
              <w:spacing w:line="240" w:lineRule="auto"/>
              <w:rPr>
                <w:rFonts w:ascii="Verdana" w:hAnsi="Verdana"/>
                <w:i/>
                <w:iCs/>
                <w:sz w:val="18"/>
                <w:szCs w:val="18"/>
                <w:lang w:val="es-MX" w:eastAsia="es-ES"/>
              </w:rPr>
            </w:pPr>
            <w:r w:rsidRPr="003C7856">
              <w:rPr>
                <w:rFonts w:ascii="Verdana" w:hAnsi="Verdana"/>
                <w:i/>
                <w:iCs/>
                <w:sz w:val="18"/>
                <w:szCs w:val="18"/>
                <w:lang w:val="es-MX" w:eastAsia="es-ES"/>
              </w:rPr>
              <w:t>$ 225’500.000</w:t>
            </w:r>
          </w:p>
        </w:tc>
        <w:tc>
          <w:tcPr>
            <w:tcW w:w="1287" w:type="dxa"/>
            <w:vAlign w:val="center"/>
          </w:tcPr>
          <w:p w14:paraId="553F547C" w14:textId="760FC8ED" w:rsidR="003C7856" w:rsidRPr="003C7856" w:rsidRDefault="003C7856" w:rsidP="003C7856">
            <w:pPr>
              <w:pStyle w:val="BodyText23"/>
              <w:spacing w:line="240" w:lineRule="auto"/>
              <w:rPr>
                <w:rFonts w:ascii="Verdana" w:hAnsi="Verdana"/>
                <w:i/>
                <w:iCs/>
                <w:sz w:val="18"/>
                <w:szCs w:val="18"/>
                <w:lang w:val="es-MX" w:eastAsia="es-ES"/>
              </w:rPr>
            </w:pPr>
            <w:r w:rsidRPr="003C7856">
              <w:rPr>
                <w:rFonts w:ascii="Verdana" w:hAnsi="Verdana"/>
                <w:i/>
                <w:iCs/>
                <w:sz w:val="18"/>
                <w:szCs w:val="18"/>
                <w:lang w:val="es-MX" w:eastAsia="es-ES"/>
              </w:rPr>
              <w:t>Dos (2) meses</w:t>
            </w:r>
          </w:p>
        </w:tc>
        <w:tc>
          <w:tcPr>
            <w:tcW w:w="1973" w:type="dxa"/>
            <w:vAlign w:val="center"/>
          </w:tcPr>
          <w:p w14:paraId="799901CB" w14:textId="794018A4" w:rsidR="003C7856" w:rsidRPr="003C7856" w:rsidRDefault="003C7856" w:rsidP="003C7856">
            <w:pPr>
              <w:pStyle w:val="BodyText23"/>
              <w:spacing w:line="240" w:lineRule="auto"/>
              <w:rPr>
                <w:rFonts w:ascii="Verdana" w:hAnsi="Verdana"/>
                <w:i/>
                <w:iCs/>
                <w:sz w:val="18"/>
                <w:szCs w:val="18"/>
                <w:lang w:val="es-MX" w:eastAsia="es-ES"/>
              </w:rPr>
            </w:pPr>
            <w:r>
              <w:rPr>
                <w:rFonts w:ascii="Verdana" w:hAnsi="Verdana"/>
                <w:i/>
                <w:iCs/>
                <w:sz w:val="18"/>
                <w:szCs w:val="18"/>
                <w:lang w:val="es-MX" w:eastAsia="es-ES"/>
              </w:rPr>
              <w:t>SGP Propósito General</w:t>
            </w:r>
          </w:p>
        </w:tc>
      </w:tr>
      <w:tr w:rsidR="003C7856" w:rsidRPr="0082623C" w14:paraId="1C18B6BA" w14:textId="77777777" w:rsidTr="009D3EBB">
        <w:tc>
          <w:tcPr>
            <w:tcW w:w="3923" w:type="dxa"/>
            <w:vAlign w:val="center"/>
          </w:tcPr>
          <w:p w14:paraId="1956286D" w14:textId="77777777" w:rsidR="003C7856" w:rsidRPr="003C7856" w:rsidRDefault="003C7856" w:rsidP="003C7856">
            <w:pPr>
              <w:pStyle w:val="BodyText23"/>
              <w:spacing w:line="240" w:lineRule="auto"/>
              <w:rPr>
                <w:rFonts w:ascii="Verdana" w:hAnsi="Verdana"/>
                <w:i/>
                <w:iCs/>
                <w:sz w:val="18"/>
                <w:szCs w:val="18"/>
                <w:lang w:val="es-MX" w:eastAsia="es-ES"/>
              </w:rPr>
            </w:pPr>
            <w:r w:rsidRPr="003C7856">
              <w:rPr>
                <w:rFonts w:ascii="Verdana" w:hAnsi="Verdana"/>
                <w:i/>
                <w:iCs/>
                <w:sz w:val="18"/>
                <w:szCs w:val="18"/>
                <w:lang w:val="es-MX" w:eastAsia="es-ES"/>
              </w:rPr>
              <w:t>Mejoramiento de vía avenida Jiménez, vereda pontezuela en el municipio de Chivatá.</w:t>
            </w:r>
          </w:p>
        </w:tc>
        <w:tc>
          <w:tcPr>
            <w:tcW w:w="1601" w:type="dxa"/>
            <w:vAlign w:val="center"/>
          </w:tcPr>
          <w:p w14:paraId="19598A55" w14:textId="77777777" w:rsidR="003C7856" w:rsidRPr="003C7856" w:rsidRDefault="003C7856" w:rsidP="003C7856">
            <w:pPr>
              <w:pStyle w:val="BodyText23"/>
              <w:spacing w:line="240" w:lineRule="auto"/>
              <w:rPr>
                <w:rFonts w:ascii="Verdana" w:hAnsi="Verdana"/>
                <w:i/>
                <w:iCs/>
                <w:sz w:val="18"/>
                <w:szCs w:val="18"/>
                <w:lang w:val="es-MX" w:eastAsia="es-ES"/>
              </w:rPr>
            </w:pPr>
            <w:r w:rsidRPr="003C7856">
              <w:rPr>
                <w:rFonts w:ascii="Verdana" w:hAnsi="Verdana"/>
                <w:i/>
                <w:iCs/>
                <w:sz w:val="18"/>
                <w:szCs w:val="18"/>
                <w:lang w:val="es-MX" w:eastAsia="es-ES"/>
              </w:rPr>
              <w:t>$ 467’516.765</w:t>
            </w:r>
          </w:p>
        </w:tc>
        <w:tc>
          <w:tcPr>
            <w:tcW w:w="1287" w:type="dxa"/>
            <w:vAlign w:val="center"/>
          </w:tcPr>
          <w:p w14:paraId="1B1CA337" w14:textId="67F698BD" w:rsidR="003C7856" w:rsidRPr="003C7856" w:rsidRDefault="003C7856" w:rsidP="003C7856">
            <w:pPr>
              <w:pStyle w:val="BodyText23"/>
              <w:spacing w:line="240" w:lineRule="auto"/>
              <w:rPr>
                <w:rFonts w:ascii="Verdana" w:hAnsi="Verdana"/>
                <w:i/>
                <w:iCs/>
                <w:sz w:val="18"/>
                <w:szCs w:val="18"/>
                <w:lang w:val="es-MX" w:eastAsia="es-ES"/>
              </w:rPr>
            </w:pPr>
            <w:r w:rsidRPr="003C7856">
              <w:rPr>
                <w:rFonts w:ascii="Verdana" w:hAnsi="Verdana"/>
                <w:i/>
                <w:iCs/>
                <w:sz w:val="18"/>
                <w:szCs w:val="18"/>
                <w:lang w:val="es-MX" w:eastAsia="es-ES"/>
              </w:rPr>
              <w:t>Tres (3) meses</w:t>
            </w:r>
          </w:p>
        </w:tc>
        <w:tc>
          <w:tcPr>
            <w:tcW w:w="1973" w:type="dxa"/>
            <w:vAlign w:val="center"/>
          </w:tcPr>
          <w:p w14:paraId="34AE41A2" w14:textId="77F611AD" w:rsidR="003C7856" w:rsidRPr="003C7856" w:rsidRDefault="003C7856" w:rsidP="003C7856">
            <w:pPr>
              <w:pStyle w:val="BodyText23"/>
              <w:spacing w:line="240" w:lineRule="auto"/>
              <w:rPr>
                <w:rFonts w:ascii="Verdana" w:hAnsi="Verdana"/>
                <w:i/>
                <w:iCs/>
                <w:sz w:val="18"/>
                <w:szCs w:val="18"/>
                <w:lang w:val="es-MX" w:eastAsia="es-ES"/>
              </w:rPr>
            </w:pPr>
            <w:r>
              <w:rPr>
                <w:rFonts w:ascii="Verdana" w:hAnsi="Verdana"/>
                <w:i/>
                <w:iCs/>
                <w:sz w:val="18"/>
                <w:szCs w:val="18"/>
                <w:lang w:val="es-MX" w:eastAsia="es-ES"/>
              </w:rPr>
              <w:t>SGP Propósito General</w:t>
            </w:r>
          </w:p>
        </w:tc>
      </w:tr>
      <w:tr w:rsidR="003C7856" w:rsidRPr="0082623C" w14:paraId="1DB93F92" w14:textId="77777777" w:rsidTr="009D3EBB">
        <w:tc>
          <w:tcPr>
            <w:tcW w:w="3923" w:type="dxa"/>
            <w:vAlign w:val="center"/>
          </w:tcPr>
          <w:p w14:paraId="7B26ACFF" w14:textId="77777777" w:rsidR="003C7856" w:rsidRPr="003C7856" w:rsidRDefault="003C7856" w:rsidP="003C7856">
            <w:pPr>
              <w:pStyle w:val="BodyText23"/>
              <w:spacing w:line="240" w:lineRule="auto"/>
              <w:rPr>
                <w:rFonts w:ascii="Verdana" w:hAnsi="Verdana"/>
                <w:i/>
                <w:iCs/>
                <w:sz w:val="18"/>
                <w:szCs w:val="18"/>
                <w:lang w:val="es-MX" w:eastAsia="es-ES"/>
              </w:rPr>
            </w:pPr>
            <w:r w:rsidRPr="003C7856">
              <w:rPr>
                <w:rFonts w:ascii="Verdana" w:hAnsi="Verdana"/>
                <w:i/>
                <w:iCs/>
                <w:sz w:val="18"/>
                <w:szCs w:val="18"/>
                <w:lang w:val="es-MX" w:eastAsia="es-ES"/>
              </w:rPr>
              <w:t>Interventoría técnica, administrativa, financiera y jurídica al contrato de Mejoramiento de vía avenida Jiménez, vereda pontezuela en el municipio de Chivatá.</w:t>
            </w:r>
          </w:p>
        </w:tc>
        <w:tc>
          <w:tcPr>
            <w:tcW w:w="1601" w:type="dxa"/>
            <w:vAlign w:val="center"/>
          </w:tcPr>
          <w:p w14:paraId="15C7B205" w14:textId="77777777" w:rsidR="003C7856" w:rsidRPr="003C7856" w:rsidRDefault="003C7856" w:rsidP="003C7856">
            <w:pPr>
              <w:pStyle w:val="BodyText23"/>
              <w:spacing w:line="240" w:lineRule="auto"/>
              <w:rPr>
                <w:rFonts w:ascii="Verdana" w:hAnsi="Verdana"/>
                <w:i/>
                <w:iCs/>
                <w:sz w:val="18"/>
                <w:szCs w:val="18"/>
                <w:lang w:val="es-MX" w:eastAsia="es-ES"/>
              </w:rPr>
            </w:pPr>
            <w:r w:rsidRPr="003C7856">
              <w:rPr>
                <w:rFonts w:ascii="Verdana" w:hAnsi="Verdana"/>
                <w:i/>
                <w:iCs/>
                <w:sz w:val="18"/>
                <w:szCs w:val="18"/>
                <w:lang w:val="es-MX" w:eastAsia="es-ES"/>
              </w:rPr>
              <w:t>$ 24’500.000</w:t>
            </w:r>
          </w:p>
        </w:tc>
        <w:tc>
          <w:tcPr>
            <w:tcW w:w="1287" w:type="dxa"/>
            <w:vAlign w:val="center"/>
          </w:tcPr>
          <w:p w14:paraId="29051534" w14:textId="5EDCBAC3" w:rsidR="003C7856" w:rsidRPr="003C7856" w:rsidRDefault="003C7856" w:rsidP="003C7856">
            <w:pPr>
              <w:pStyle w:val="BodyText23"/>
              <w:spacing w:line="240" w:lineRule="auto"/>
              <w:rPr>
                <w:rFonts w:ascii="Verdana" w:hAnsi="Verdana"/>
                <w:i/>
                <w:iCs/>
                <w:sz w:val="18"/>
                <w:szCs w:val="18"/>
                <w:lang w:val="es-MX" w:eastAsia="es-ES"/>
              </w:rPr>
            </w:pPr>
            <w:r w:rsidRPr="003C7856">
              <w:rPr>
                <w:rFonts w:ascii="Verdana" w:hAnsi="Verdana"/>
                <w:i/>
                <w:iCs/>
                <w:sz w:val="18"/>
                <w:szCs w:val="18"/>
                <w:lang w:val="es-MX" w:eastAsia="es-ES"/>
              </w:rPr>
              <w:t>Tres (3) meses</w:t>
            </w:r>
          </w:p>
        </w:tc>
        <w:tc>
          <w:tcPr>
            <w:tcW w:w="1973" w:type="dxa"/>
            <w:vAlign w:val="center"/>
          </w:tcPr>
          <w:p w14:paraId="430B25E3" w14:textId="49635392" w:rsidR="003C7856" w:rsidRPr="003C7856" w:rsidRDefault="003C7856" w:rsidP="003C7856">
            <w:pPr>
              <w:pStyle w:val="BodyText23"/>
              <w:spacing w:line="240" w:lineRule="auto"/>
              <w:rPr>
                <w:rFonts w:ascii="Verdana" w:hAnsi="Verdana"/>
                <w:i/>
                <w:iCs/>
                <w:sz w:val="18"/>
                <w:szCs w:val="18"/>
                <w:lang w:val="es-MX" w:eastAsia="es-ES"/>
              </w:rPr>
            </w:pPr>
            <w:r>
              <w:rPr>
                <w:rFonts w:ascii="Verdana" w:hAnsi="Verdana"/>
                <w:i/>
                <w:iCs/>
                <w:sz w:val="18"/>
                <w:szCs w:val="18"/>
                <w:lang w:val="es-MX" w:eastAsia="es-ES"/>
              </w:rPr>
              <w:t>SGP Propósito General</w:t>
            </w:r>
          </w:p>
        </w:tc>
      </w:tr>
    </w:tbl>
    <w:p w14:paraId="4C9E00AF" w14:textId="77777777" w:rsidR="003C7856" w:rsidRPr="00B02A3B" w:rsidRDefault="003C7856" w:rsidP="003C7856">
      <w:pPr>
        <w:pStyle w:val="BodyText23"/>
        <w:rPr>
          <w:rFonts w:ascii="Verdana" w:hAnsi="Verdana"/>
          <w:b/>
          <w:bCs/>
          <w:sz w:val="22"/>
          <w:szCs w:val="22"/>
          <w:lang w:eastAsia="es-ES"/>
        </w:rPr>
      </w:pPr>
    </w:p>
    <w:p w14:paraId="7B94E73B" w14:textId="20231F79" w:rsidR="003C7856" w:rsidRPr="00B02A3B" w:rsidRDefault="003C7856" w:rsidP="00B02A3B">
      <w:pPr>
        <w:pStyle w:val="BodyText23"/>
        <w:spacing w:line="240" w:lineRule="auto"/>
        <w:ind w:left="708"/>
        <w:rPr>
          <w:rFonts w:ascii="Verdana" w:hAnsi="Verdana"/>
          <w:i/>
          <w:iCs/>
          <w:sz w:val="20"/>
          <w:lang w:eastAsia="es-ES"/>
        </w:rPr>
      </w:pPr>
      <w:r w:rsidRPr="00B02A3B">
        <w:rPr>
          <w:rFonts w:ascii="Verdana" w:hAnsi="Verdana"/>
          <w:b/>
          <w:bCs/>
          <w:i/>
          <w:iCs/>
          <w:sz w:val="20"/>
          <w:lang w:eastAsia="es-ES"/>
        </w:rPr>
        <w:t>ARTICULO SEGUNDO:</w:t>
      </w:r>
      <w:r w:rsidRPr="00B02A3B">
        <w:rPr>
          <w:rFonts w:ascii="Verdana" w:hAnsi="Verdana"/>
          <w:i/>
          <w:iCs/>
          <w:sz w:val="20"/>
          <w:lang w:eastAsia="es-ES"/>
        </w:rPr>
        <w:t xml:space="preserve"> La presente autorizaci</w:t>
      </w:r>
      <w:r w:rsidR="00B02A3B" w:rsidRPr="00B02A3B">
        <w:rPr>
          <w:rFonts w:ascii="Verdana" w:hAnsi="Verdana"/>
          <w:i/>
          <w:iCs/>
          <w:sz w:val="20"/>
          <w:lang w:eastAsia="es-ES"/>
        </w:rPr>
        <w:t>ó</w:t>
      </w:r>
      <w:r w:rsidRPr="00B02A3B">
        <w:rPr>
          <w:rFonts w:ascii="Verdana" w:hAnsi="Verdana"/>
          <w:i/>
          <w:iCs/>
          <w:sz w:val="20"/>
          <w:lang w:eastAsia="es-ES"/>
        </w:rPr>
        <w:t>n comprende la totalidad de las obras a realizar por</w:t>
      </w:r>
      <w:r w:rsidR="00B02A3B" w:rsidRPr="00B02A3B">
        <w:rPr>
          <w:rFonts w:ascii="Verdana" w:hAnsi="Verdana"/>
          <w:i/>
          <w:iCs/>
          <w:sz w:val="20"/>
          <w:lang w:eastAsia="es-ES"/>
        </w:rPr>
        <w:t xml:space="preserve"> </w:t>
      </w:r>
      <w:r w:rsidRPr="00B02A3B">
        <w:rPr>
          <w:rFonts w:ascii="Verdana" w:hAnsi="Verdana"/>
          <w:i/>
          <w:iCs/>
          <w:sz w:val="20"/>
          <w:lang w:eastAsia="es-ES"/>
        </w:rPr>
        <w:t xml:space="preserve">parte de </w:t>
      </w:r>
      <w:r w:rsidR="00B02A3B" w:rsidRPr="00B02A3B">
        <w:rPr>
          <w:rFonts w:ascii="Verdana" w:hAnsi="Verdana"/>
          <w:i/>
          <w:iCs/>
          <w:sz w:val="20"/>
          <w:lang w:eastAsia="es-ES"/>
        </w:rPr>
        <w:t>l</w:t>
      </w:r>
      <w:r w:rsidRPr="00B02A3B">
        <w:rPr>
          <w:rFonts w:ascii="Verdana" w:hAnsi="Verdana"/>
          <w:i/>
          <w:iCs/>
          <w:sz w:val="20"/>
          <w:lang w:eastAsia="es-ES"/>
        </w:rPr>
        <w:t>a Administraci</w:t>
      </w:r>
      <w:r w:rsidR="00B02A3B" w:rsidRPr="00B02A3B">
        <w:rPr>
          <w:rFonts w:ascii="Verdana" w:hAnsi="Verdana"/>
          <w:i/>
          <w:iCs/>
          <w:sz w:val="20"/>
          <w:lang w:eastAsia="es-ES"/>
        </w:rPr>
        <w:t>ó</w:t>
      </w:r>
      <w:r w:rsidRPr="00B02A3B">
        <w:rPr>
          <w:rFonts w:ascii="Verdana" w:hAnsi="Verdana"/>
          <w:i/>
          <w:iCs/>
          <w:sz w:val="20"/>
          <w:lang w:eastAsia="es-ES"/>
        </w:rPr>
        <w:t>n Municipal, acorde con los estudios previos elaborados para calla una de</w:t>
      </w:r>
      <w:r w:rsidR="00B02A3B" w:rsidRPr="00B02A3B">
        <w:rPr>
          <w:rFonts w:ascii="Verdana" w:hAnsi="Verdana"/>
          <w:i/>
          <w:iCs/>
          <w:sz w:val="20"/>
          <w:lang w:eastAsia="es-ES"/>
        </w:rPr>
        <w:t xml:space="preserve"> </w:t>
      </w:r>
      <w:r w:rsidRPr="00B02A3B">
        <w:rPr>
          <w:rFonts w:ascii="Verdana" w:hAnsi="Verdana"/>
          <w:i/>
          <w:iCs/>
          <w:sz w:val="20"/>
          <w:lang w:eastAsia="es-ES"/>
        </w:rPr>
        <w:t xml:space="preserve">los </w:t>
      </w:r>
      <w:r w:rsidR="00B02A3B" w:rsidRPr="00B02A3B">
        <w:rPr>
          <w:rFonts w:ascii="Verdana" w:hAnsi="Verdana"/>
          <w:i/>
          <w:iCs/>
          <w:sz w:val="20"/>
          <w:lang w:eastAsia="es-ES"/>
        </w:rPr>
        <w:t>í</w:t>
      </w:r>
      <w:r w:rsidRPr="00B02A3B">
        <w:rPr>
          <w:rFonts w:ascii="Verdana" w:hAnsi="Verdana"/>
          <w:i/>
          <w:iCs/>
          <w:sz w:val="20"/>
          <w:lang w:eastAsia="es-ES"/>
        </w:rPr>
        <w:t>tems establecidos en el art</w:t>
      </w:r>
      <w:r w:rsidR="00B02A3B" w:rsidRPr="00B02A3B">
        <w:rPr>
          <w:rFonts w:ascii="Verdana" w:hAnsi="Verdana"/>
          <w:i/>
          <w:iCs/>
          <w:sz w:val="20"/>
          <w:lang w:eastAsia="es-ES"/>
        </w:rPr>
        <w:t>í</w:t>
      </w:r>
      <w:r w:rsidRPr="00B02A3B">
        <w:rPr>
          <w:rFonts w:ascii="Verdana" w:hAnsi="Verdana"/>
          <w:i/>
          <w:iCs/>
          <w:sz w:val="20"/>
          <w:lang w:eastAsia="es-ES"/>
        </w:rPr>
        <w:t>culo anterior.</w:t>
      </w:r>
    </w:p>
    <w:p w14:paraId="2BA226A1" w14:textId="77777777" w:rsidR="008F7593" w:rsidRPr="00134356" w:rsidRDefault="008F7593" w:rsidP="00597E1E">
      <w:pPr>
        <w:pStyle w:val="BodyText23"/>
        <w:rPr>
          <w:rFonts w:ascii="Verdana" w:hAnsi="Verdana"/>
          <w:sz w:val="22"/>
          <w:szCs w:val="22"/>
          <w:lang w:eastAsia="es-ES"/>
        </w:rPr>
      </w:pPr>
    </w:p>
    <w:p w14:paraId="08E7ABEA" w14:textId="2067C26C" w:rsidR="00563876" w:rsidRPr="00134356" w:rsidRDefault="002868DA" w:rsidP="00597E1E">
      <w:pPr>
        <w:pStyle w:val="BodyText23"/>
        <w:rPr>
          <w:rFonts w:ascii="Verdana" w:hAnsi="Verdana"/>
          <w:sz w:val="22"/>
          <w:szCs w:val="22"/>
          <w:lang w:eastAsia="es-ES"/>
        </w:rPr>
      </w:pPr>
      <w:r w:rsidRPr="00134356">
        <w:rPr>
          <w:rFonts w:ascii="Verdana" w:hAnsi="Verdana"/>
          <w:b/>
          <w:sz w:val="22"/>
          <w:szCs w:val="22"/>
          <w:lang w:eastAsia="es-ES"/>
        </w:rPr>
        <w:t>3.3.2.-</w:t>
      </w:r>
      <w:r w:rsidRPr="00134356">
        <w:rPr>
          <w:rFonts w:ascii="Verdana" w:hAnsi="Verdana"/>
          <w:sz w:val="22"/>
          <w:szCs w:val="22"/>
          <w:lang w:eastAsia="es-ES"/>
        </w:rPr>
        <w:t xml:space="preserve"> </w:t>
      </w:r>
      <w:r w:rsidR="00F77E5A">
        <w:rPr>
          <w:rFonts w:ascii="Verdana" w:hAnsi="Verdana"/>
          <w:sz w:val="22"/>
          <w:szCs w:val="22"/>
          <w:lang w:eastAsia="es-ES"/>
        </w:rPr>
        <w:t>Señalado</w:t>
      </w:r>
      <w:r w:rsidRPr="00134356">
        <w:rPr>
          <w:rFonts w:ascii="Verdana" w:hAnsi="Verdana"/>
          <w:sz w:val="22"/>
          <w:szCs w:val="22"/>
          <w:lang w:eastAsia="es-ES"/>
        </w:rPr>
        <w:t xml:space="preserve"> lo anterior, l</w:t>
      </w:r>
      <w:r w:rsidR="00563876" w:rsidRPr="00134356">
        <w:rPr>
          <w:rFonts w:ascii="Verdana" w:hAnsi="Verdana"/>
          <w:sz w:val="22"/>
          <w:szCs w:val="22"/>
          <w:lang w:eastAsia="es-ES"/>
        </w:rPr>
        <w:t>a</w:t>
      </w:r>
      <w:r w:rsidRPr="00134356">
        <w:rPr>
          <w:rFonts w:ascii="Verdana" w:hAnsi="Verdana"/>
          <w:sz w:val="22"/>
          <w:szCs w:val="22"/>
          <w:lang w:eastAsia="es-ES"/>
        </w:rPr>
        <w:t xml:space="preserve"> Sala precisa</w:t>
      </w:r>
      <w:r w:rsidR="00563876" w:rsidRPr="00134356">
        <w:rPr>
          <w:rFonts w:ascii="Verdana" w:hAnsi="Verdana"/>
          <w:sz w:val="22"/>
          <w:szCs w:val="22"/>
          <w:lang w:eastAsia="es-ES"/>
        </w:rPr>
        <w:t xml:space="preserve"> de entrada que denegará las pretensiones de la demanda, en razón a lo siguiente:</w:t>
      </w:r>
    </w:p>
    <w:p w14:paraId="17AD93B2" w14:textId="77777777" w:rsidR="00563876" w:rsidRPr="00134356" w:rsidRDefault="00563876" w:rsidP="00597E1E">
      <w:pPr>
        <w:pStyle w:val="BodyText23"/>
        <w:rPr>
          <w:rFonts w:ascii="Verdana" w:hAnsi="Verdana"/>
          <w:sz w:val="22"/>
          <w:szCs w:val="22"/>
          <w:lang w:eastAsia="es-ES"/>
        </w:rPr>
      </w:pPr>
    </w:p>
    <w:p w14:paraId="6F0E49BE" w14:textId="0224FE19" w:rsidR="00C13238" w:rsidRPr="00134356" w:rsidRDefault="00C13238" w:rsidP="00C13238">
      <w:pPr>
        <w:pStyle w:val="BodyText23"/>
        <w:rPr>
          <w:rFonts w:ascii="Verdana" w:hAnsi="Verdana"/>
          <w:sz w:val="22"/>
          <w:szCs w:val="22"/>
          <w:lang w:val="es-CO"/>
        </w:rPr>
      </w:pPr>
      <w:r w:rsidRPr="0ADF79A1">
        <w:rPr>
          <w:rFonts w:ascii="Verdana" w:hAnsi="Verdana"/>
          <w:sz w:val="22"/>
          <w:szCs w:val="22"/>
          <w:lang w:val="es-CO"/>
        </w:rPr>
        <w:t xml:space="preserve">Inicialmente, tomando en consideración lo expuesto en el marco normativo de esta providencia, lo primero que debe señalar la Sala es que, contrario a lo </w:t>
      </w:r>
      <w:r w:rsidRPr="0ADF79A1">
        <w:rPr>
          <w:rFonts w:ascii="Verdana" w:hAnsi="Verdana"/>
          <w:sz w:val="22"/>
          <w:szCs w:val="22"/>
          <w:lang w:val="es-CO"/>
        </w:rPr>
        <w:lastRenderedPageBreak/>
        <w:t xml:space="preserve">señalado por el Departamento de Boyacá al exponer el concepto de violación, el análisis de la figura presupuestal prevista en el acuerdo objeto de estudio, no corresponde a la prevista en </w:t>
      </w:r>
      <w:r w:rsidR="3A558990" w:rsidRPr="0ADF79A1">
        <w:rPr>
          <w:rFonts w:ascii="Verdana" w:hAnsi="Verdana"/>
          <w:sz w:val="22"/>
          <w:szCs w:val="22"/>
          <w:lang w:val="es-CO"/>
        </w:rPr>
        <w:t>el artículo</w:t>
      </w:r>
      <w:r w:rsidRPr="0ADF79A1">
        <w:rPr>
          <w:rFonts w:ascii="Verdana" w:hAnsi="Verdana"/>
          <w:sz w:val="22"/>
          <w:szCs w:val="22"/>
          <w:lang w:val="es-CO"/>
        </w:rPr>
        <w:t xml:space="preserve"> 12 de la ley 819 de 2003- vigencias futuras ordinarias- sino a la consagrada en el artículo 8 del mismo precepto. </w:t>
      </w:r>
    </w:p>
    <w:p w14:paraId="0DE4B5B7" w14:textId="77777777" w:rsidR="00C13238" w:rsidRPr="00134356" w:rsidRDefault="00C13238" w:rsidP="00C13238">
      <w:pPr>
        <w:pStyle w:val="BodyText23"/>
        <w:rPr>
          <w:rFonts w:ascii="Verdana" w:hAnsi="Verdana"/>
          <w:sz w:val="22"/>
          <w:szCs w:val="22"/>
          <w:lang w:val="es-CO"/>
        </w:rPr>
      </w:pPr>
    </w:p>
    <w:p w14:paraId="6CDDCF0C" w14:textId="4CAFA30E" w:rsidR="00C13238" w:rsidRPr="00134356" w:rsidRDefault="00C13238" w:rsidP="00C13238">
      <w:pPr>
        <w:pStyle w:val="BodyText23"/>
        <w:rPr>
          <w:rFonts w:ascii="Verdana" w:hAnsi="Verdana"/>
          <w:sz w:val="22"/>
          <w:szCs w:val="22"/>
          <w:lang w:val="es-CO"/>
        </w:rPr>
      </w:pPr>
      <w:r w:rsidRPr="0ADF79A1">
        <w:rPr>
          <w:rFonts w:ascii="Verdana" w:hAnsi="Verdana"/>
          <w:sz w:val="22"/>
          <w:szCs w:val="22"/>
          <w:lang w:val="es-CO"/>
        </w:rPr>
        <w:t xml:space="preserve">Ciertamente, conforme a lo señalado por el Departamento de Boyacá, uno de los requisitos previstos </w:t>
      </w:r>
      <w:r w:rsidR="36951687" w:rsidRPr="0ADF79A1">
        <w:rPr>
          <w:rFonts w:ascii="Verdana" w:hAnsi="Verdana"/>
          <w:sz w:val="22"/>
          <w:szCs w:val="22"/>
          <w:lang w:val="es-CO"/>
        </w:rPr>
        <w:t xml:space="preserve">para la aprobación de </w:t>
      </w:r>
      <w:r w:rsidRPr="0ADF79A1">
        <w:rPr>
          <w:rFonts w:ascii="Verdana" w:hAnsi="Verdana"/>
          <w:sz w:val="22"/>
          <w:szCs w:val="22"/>
          <w:lang w:val="es-CO"/>
        </w:rPr>
        <w:t xml:space="preserve">vigencias futuras ordinarias consagradas en el artículo 12 de la ley 819 de 2013, tiene que ver con que la respectiva entidad territorial debe contar con una apropiación presupuestal del quince por ciento (15%) como mínimo, de tal manera que se deba afectar </w:t>
      </w:r>
      <w:r w:rsidR="006733CA">
        <w:rPr>
          <w:rFonts w:ascii="Verdana" w:hAnsi="Verdana"/>
          <w:sz w:val="22"/>
          <w:szCs w:val="22"/>
          <w:lang w:val="es-CO"/>
        </w:rPr>
        <w:t xml:space="preserve">el </w:t>
      </w:r>
      <w:r w:rsidRPr="0ADF79A1">
        <w:rPr>
          <w:rFonts w:ascii="Verdana" w:hAnsi="Verdana"/>
          <w:sz w:val="22"/>
          <w:szCs w:val="22"/>
          <w:lang w:val="es-CO"/>
        </w:rPr>
        <w:t>presupuesto de la vigencia futura para finiquitar la ejecución del contrato</w:t>
      </w:r>
      <w:r w:rsidR="006733CA">
        <w:rPr>
          <w:rFonts w:ascii="Verdana" w:hAnsi="Verdana"/>
          <w:sz w:val="22"/>
          <w:szCs w:val="22"/>
          <w:lang w:val="es-CO"/>
        </w:rPr>
        <w:t>.</w:t>
      </w:r>
    </w:p>
    <w:p w14:paraId="66204FF1" w14:textId="77777777" w:rsidR="00C13238" w:rsidRPr="00134356" w:rsidRDefault="00C13238" w:rsidP="00C13238">
      <w:pPr>
        <w:pStyle w:val="BodyText23"/>
        <w:rPr>
          <w:rFonts w:ascii="Verdana" w:hAnsi="Verdana"/>
          <w:sz w:val="22"/>
          <w:szCs w:val="22"/>
          <w:lang w:val="es-CO"/>
        </w:rPr>
      </w:pPr>
    </w:p>
    <w:p w14:paraId="439D3B81" w14:textId="77777777" w:rsidR="00D50C35" w:rsidRDefault="00C13238" w:rsidP="00C13238">
      <w:pPr>
        <w:pStyle w:val="BodyText23"/>
        <w:rPr>
          <w:rFonts w:ascii="Verdana" w:hAnsi="Verdana"/>
          <w:sz w:val="22"/>
          <w:szCs w:val="22"/>
          <w:lang w:val="es-CO"/>
        </w:rPr>
      </w:pPr>
      <w:r w:rsidRPr="00134356">
        <w:rPr>
          <w:rFonts w:ascii="Verdana" w:hAnsi="Verdana"/>
          <w:sz w:val="22"/>
          <w:szCs w:val="22"/>
          <w:lang w:val="es-CO"/>
        </w:rPr>
        <w:t xml:space="preserve">Empero, en el </w:t>
      </w:r>
      <w:r w:rsidRPr="00134356">
        <w:rPr>
          <w:rFonts w:ascii="Verdana" w:hAnsi="Verdana"/>
          <w:i/>
          <w:sz w:val="22"/>
          <w:szCs w:val="22"/>
          <w:lang w:val="es-CO"/>
        </w:rPr>
        <w:t>sub júdice</w:t>
      </w:r>
      <w:r w:rsidRPr="00134356">
        <w:rPr>
          <w:rFonts w:ascii="Verdana" w:hAnsi="Verdana"/>
          <w:sz w:val="22"/>
          <w:szCs w:val="22"/>
          <w:lang w:val="es-CO"/>
        </w:rPr>
        <w:t xml:space="preserve"> NO se presenta el escenario presupuestal fijado en el artículo 12 citado, pues para la vigencia fiscal 20</w:t>
      </w:r>
      <w:r w:rsidR="00B25661">
        <w:rPr>
          <w:rFonts w:ascii="Verdana" w:hAnsi="Verdana"/>
          <w:sz w:val="22"/>
          <w:szCs w:val="22"/>
          <w:lang w:val="es-CO"/>
        </w:rPr>
        <w:t>20</w:t>
      </w:r>
      <w:r w:rsidRPr="00134356">
        <w:rPr>
          <w:rFonts w:ascii="Verdana" w:hAnsi="Verdana"/>
          <w:sz w:val="22"/>
          <w:szCs w:val="22"/>
          <w:lang w:val="es-CO"/>
        </w:rPr>
        <w:t xml:space="preserve">, el municipio de </w:t>
      </w:r>
      <w:r w:rsidR="00B25661">
        <w:rPr>
          <w:rFonts w:ascii="Verdana" w:hAnsi="Verdana"/>
          <w:sz w:val="22"/>
          <w:szCs w:val="22"/>
          <w:lang w:val="es-CO"/>
        </w:rPr>
        <w:t>Chivat</w:t>
      </w:r>
      <w:r w:rsidRPr="00134356">
        <w:rPr>
          <w:rFonts w:ascii="Verdana" w:hAnsi="Verdana"/>
          <w:sz w:val="22"/>
          <w:szCs w:val="22"/>
          <w:lang w:val="es-CO"/>
        </w:rPr>
        <w:t xml:space="preserve">á contaba con el 100% de disponibilidad presupuestal para la ejecución </w:t>
      </w:r>
      <w:r w:rsidR="00B25661">
        <w:rPr>
          <w:rFonts w:ascii="Verdana" w:hAnsi="Verdana"/>
          <w:sz w:val="22"/>
          <w:szCs w:val="22"/>
          <w:lang w:val="es-CO"/>
        </w:rPr>
        <w:t>de los diferentes proyectos allí señalados</w:t>
      </w:r>
      <w:r w:rsidR="00D50C35">
        <w:rPr>
          <w:rFonts w:ascii="Verdana" w:hAnsi="Verdana"/>
          <w:sz w:val="22"/>
          <w:szCs w:val="22"/>
          <w:lang w:val="es-CO"/>
        </w:rPr>
        <w:t>.</w:t>
      </w:r>
    </w:p>
    <w:p w14:paraId="3D605A1E" w14:textId="77777777" w:rsidR="00D50C35" w:rsidRDefault="00C13238" w:rsidP="00C13238">
      <w:pPr>
        <w:pStyle w:val="BodyText23"/>
        <w:rPr>
          <w:rFonts w:ascii="Verdana" w:hAnsi="Verdana"/>
          <w:sz w:val="22"/>
          <w:szCs w:val="22"/>
          <w:lang w:val="es-CO"/>
        </w:rPr>
      </w:pPr>
      <w:r w:rsidRPr="00134356">
        <w:rPr>
          <w:rFonts w:ascii="Verdana" w:hAnsi="Verdana"/>
          <w:sz w:val="22"/>
          <w:szCs w:val="22"/>
          <w:lang w:val="es-CO"/>
        </w:rPr>
        <w:t xml:space="preserve"> </w:t>
      </w:r>
    </w:p>
    <w:p w14:paraId="61363701" w14:textId="5084BC77" w:rsidR="00D50C35" w:rsidRDefault="00D50C35" w:rsidP="00C13238">
      <w:pPr>
        <w:pStyle w:val="BodyText23"/>
        <w:rPr>
          <w:rFonts w:ascii="Verdana" w:hAnsi="Verdana"/>
          <w:sz w:val="22"/>
          <w:szCs w:val="22"/>
          <w:lang w:val="es-CO"/>
        </w:rPr>
      </w:pPr>
      <w:r w:rsidRPr="38035CBB">
        <w:rPr>
          <w:rFonts w:ascii="Verdana" w:hAnsi="Verdana"/>
          <w:sz w:val="22"/>
          <w:szCs w:val="22"/>
          <w:lang w:val="es-CO"/>
        </w:rPr>
        <w:t>L</w:t>
      </w:r>
      <w:r w:rsidR="00C13238" w:rsidRPr="38035CBB">
        <w:rPr>
          <w:rFonts w:ascii="Verdana" w:hAnsi="Verdana"/>
          <w:sz w:val="22"/>
          <w:szCs w:val="22"/>
          <w:lang w:val="es-CO"/>
        </w:rPr>
        <w:t xml:space="preserve">o anterior, conforme a lo </w:t>
      </w:r>
      <w:r w:rsidR="009D3EBB" w:rsidRPr="38035CBB">
        <w:rPr>
          <w:rFonts w:ascii="Verdana" w:hAnsi="Verdana"/>
          <w:sz w:val="22"/>
          <w:szCs w:val="22"/>
          <w:lang w:val="es-CO"/>
        </w:rPr>
        <w:t xml:space="preserve">consignado en el acta COMFIS </w:t>
      </w:r>
      <w:r w:rsidRPr="38035CBB">
        <w:rPr>
          <w:rFonts w:ascii="Verdana" w:hAnsi="Verdana"/>
          <w:sz w:val="22"/>
          <w:szCs w:val="22"/>
          <w:lang w:val="es-CO"/>
        </w:rPr>
        <w:t xml:space="preserve">003 de </w:t>
      </w:r>
      <w:r w:rsidR="00D57877" w:rsidRPr="38035CBB">
        <w:rPr>
          <w:rFonts w:ascii="Verdana" w:hAnsi="Verdana"/>
          <w:sz w:val="22"/>
          <w:szCs w:val="22"/>
          <w:lang w:val="es-CO"/>
        </w:rPr>
        <w:t xml:space="preserve">13 de noviembre </w:t>
      </w:r>
      <w:r w:rsidRPr="38035CBB">
        <w:rPr>
          <w:rFonts w:ascii="Verdana" w:hAnsi="Verdana"/>
          <w:sz w:val="22"/>
          <w:szCs w:val="22"/>
          <w:lang w:val="es-CO"/>
        </w:rPr>
        <w:t>2020</w:t>
      </w:r>
      <w:r w:rsidR="009D3EBB" w:rsidRPr="38035CBB">
        <w:rPr>
          <w:rFonts w:ascii="Verdana" w:hAnsi="Verdana"/>
          <w:sz w:val="22"/>
          <w:szCs w:val="22"/>
          <w:lang w:val="es-CO"/>
        </w:rPr>
        <w:t xml:space="preserve">, en la </w:t>
      </w:r>
      <w:r w:rsidRPr="38035CBB">
        <w:rPr>
          <w:rFonts w:ascii="Verdana" w:hAnsi="Verdana"/>
          <w:sz w:val="22"/>
          <w:szCs w:val="22"/>
          <w:lang w:val="es-CO"/>
        </w:rPr>
        <w:t>que se sometió a consideración del Consejo Municipal de Política Fiscal del Municipio de Chivatá el proyecto del acuerdo ahora objetado, y se dejó consignado que:</w:t>
      </w:r>
    </w:p>
    <w:p w14:paraId="18188746" w14:textId="313946F8" w:rsidR="38035CBB" w:rsidRDefault="38035CBB" w:rsidP="38035CBB">
      <w:pPr>
        <w:pStyle w:val="BodyText23"/>
        <w:rPr>
          <w:szCs w:val="24"/>
          <w:lang w:val="es-CO"/>
        </w:rPr>
      </w:pPr>
    </w:p>
    <w:p w14:paraId="42C3F304" w14:textId="2D74498B" w:rsidR="00D50C35" w:rsidRPr="00D50C35" w:rsidRDefault="00D50C35" w:rsidP="00D50C35">
      <w:pPr>
        <w:pStyle w:val="BodyText23"/>
        <w:spacing w:line="240" w:lineRule="auto"/>
        <w:ind w:left="708"/>
        <w:rPr>
          <w:rFonts w:ascii="Verdana" w:hAnsi="Verdana"/>
          <w:sz w:val="20"/>
          <w:lang w:val="es-CO"/>
        </w:rPr>
      </w:pPr>
      <w:r w:rsidRPr="00D50C35">
        <w:rPr>
          <w:rFonts w:ascii="Verdana" w:hAnsi="Verdana"/>
          <w:i/>
          <w:iCs/>
          <w:sz w:val="20"/>
          <w:lang w:val="es-CO"/>
        </w:rPr>
        <w:t>“La secretaria de Hacienda Municipal da lectura al mencionado proyecto de acuerdo y explica que se requiere el trámite de este tipo de acuerdos con el propósito de dar continuidad a la ejecución de proyectos en infraestructura, servicios públicos, equipamientos comunitarios, entre otros, los cuales se contratarán en la presente vigencia fiscal, contando con la respectiva disponibilidad presupuestal en un 100%, pero cuyos bienes y servicios contratados se ejecutarán y entregarán al Municipio en la vigencia 2021</w:t>
      </w:r>
      <w:r w:rsidRPr="00D50C35">
        <w:rPr>
          <w:rFonts w:ascii="Verdana" w:hAnsi="Verdana"/>
          <w:sz w:val="20"/>
          <w:lang w:val="es-CO"/>
        </w:rPr>
        <w:t>”.</w:t>
      </w:r>
    </w:p>
    <w:p w14:paraId="4FBE12E5" w14:textId="77777777" w:rsidR="00D50C35" w:rsidRDefault="00D50C35" w:rsidP="00C13238">
      <w:pPr>
        <w:pStyle w:val="BodyText23"/>
        <w:rPr>
          <w:rFonts w:ascii="Verdana" w:hAnsi="Verdana"/>
          <w:sz w:val="22"/>
          <w:szCs w:val="22"/>
          <w:lang w:val="es-CO"/>
        </w:rPr>
      </w:pPr>
    </w:p>
    <w:p w14:paraId="7BB6FDCB" w14:textId="47E45669" w:rsidR="00C13238" w:rsidRPr="00134356" w:rsidRDefault="00D50C35" w:rsidP="00C13238">
      <w:pPr>
        <w:pStyle w:val="BodyText23"/>
        <w:rPr>
          <w:rFonts w:ascii="Verdana" w:hAnsi="Verdana"/>
          <w:sz w:val="22"/>
          <w:szCs w:val="22"/>
          <w:lang w:val="es-CO"/>
        </w:rPr>
      </w:pPr>
      <w:r>
        <w:rPr>
          <w:rFonts w:ascii="Verdana" w:hAnsi="Verdana"/>
          <w:sz w:val="22"/>
          <w:szCs w:val="22"/>
          <w:lang w:val="es-CO"/>
        </w:rPr>
        <w:t xml:space="preserve">De igual forma, en la </w:t>
      </w:r>
      <w:r w:rsidR="009D3EBB">
        <w:rPr>
          <w:rFonts w:ascii="Verdana" w:hAnsi="Verdana"/>
          <w:sz w:val="22"/>
          <w:szCs w:val="22"/>
          <w:lang w:val="es-CO"/>
        </w:rPr>
        <w:t xml:space="preserve">parte motiva del </w:t>
      </w:r>
      <w:r>
        <w:rPr>
          <w:rFonts w:ascii="Verdana" w:hAnsi="Verdana"/>
          <w:sz w:val="22"/>
          <w:szCs w:val="22"/>
          <w:lang w:val="es-CO"/>
        </w:rPr>
        <w:t>A</w:t>
      </w:r>
      <w:r w:rsidR="009D3EBB">
        <w:rPr>
          <w:rFonts w:ascii="Verdana" w:hAnsi="Verdana"/>
          <w:sz w:val="22"/>
          <w:szCs w:val="22"/>
          <w:lang w:val="es-CO"/>
        </w:rPr>
        <w:t xml:space="preserve">cuerdo </w:t>
      </w:r>
      <w:r>
        <w:rPr>
          <w:rFonts w:ascii="Verdana" w:hAnsi="Verdana"/>
          <w:sz w:val="22"/>
          <w:szCs w:val="22"/>
          <w:lang w:val="es-CO"/>
        </w:rPr>
        <w:t>No. 015 de 2020</w:t>
      </w:r>
      <w:r w:rsidR="009D3EBB">
        <w:rPr>
          <w:rFonts w:ascii="Verdana" w:hAnsi="Verdana"/>
          <w:sz w:val="22"/>
          <w:szCs w:val="22"/>
          <w:lang w:val="es-CO"/>
        </w:rPr>
        <w:t xml:space="preserve"> se señaló “</w:t>
      </w:r>
      <w:r w:rsidR="009D3EBB" w:rsidRPr="009D3EBB">
        <w:rPr>
          <w:rFonts w:ascii="Verdana" w:hAnsi="Verdana"/>
          <w:i/>
          <w:iCs/>
          <w:sz w:val="22"/>
          <w:szCs w:val="22"/>
          <w:lang w:val="es-CO"/>
        </w:rPr>
        <w:t>contando con la respectiva disponibilidad presupuestal en un 100%, pero cuyos bienes y servicios contratados se ejecutarán y entregarán al Municipio en la vigencia 2021</w:t>
      </w:r>
      <w:r w:rsidR="009D3EBB">
        <w:rPr>
          <w:rFonts w:ascii="Verdana" w:hAnsi="Verdana"/>
          <w:sz w:val="22"/>
          <w:szCs w:val="22"/>
          <w:lang w:val="es-CO"/>
        </w:rPr>
        <w:t xml:space="preserve">”, y </w:t>
      </w:r>
      <w:r w:rsidR="00C13238" w:rsidRPr="00134356">
        <w:rPr>
          <w:rFonts w:ascii="Verdana" w:hAnsi="Verdana"/>
          <w:sz w:val="22"/>
          <w:szCs w:val="22"/>
          <w:lang w:val="es-CO"/>
        </w:rPr>
        <w:t xml:space="preserve">en la parte resolutiva </w:t>
      </w:r>
      <w:r w:rsidR="009D3EBB">
        <w:rPr>
          <w:rFonts w:ascii="Verdana" w:hAnsi="Verdana"/>
          <w:sz w:val="22"/>
          <w:szCs w:val="22"/>
          <w:lang w:val="es-CO"/>
        </w:rPr>
        <w:t>que autorizó</w:t>
      </w:r>
      <w:r w:rsidR="009D3EBB" w:rsidRPr="009D3EBB">
        <w:rPr>
          <w:rFonts w:ascii="Verdana" w:hAnsi="Verdana"/>
          <w:sz w:val="22"/>
          <w:szCs w:val="22"/>
          <w:lang w:val="es-CO"/>
        </w:rPr>
        <w:t xml:space="preserve"> al Alcalde Municipal de Chivatá - Boyacá, </w:t>
      </w:r>
      <w:r w:rsidR="009D3EBB">
        <w:rPr>
          <w:rFonts w:ascii="Verdana" w:hAnsi="Verdana"/>
          <w:sz w:val="22"/>
          <w:szCs w:val="22"/>
          <w:lang w:val="es-CO"/>
        </w:rPr>
        <w:t>“</w:t>
      </w:r>
      <w:r w:rsidR="009D3EBB" w:rsidRPr="009D3EBB">
        <w:rPr>
          <w:rFonts w:ascii="Verdana" w:hAnsi="Verdana"/>
          <w:i/>
          <w:iCs/>
          <w:sz w:val="22"/>
          <w:szCs w:val="22"/>
          <w:lang w:val="es-CO"/>
        </w:rPr>
        <w:t>para comprometer en la actual vigencia fiscal, recursos que tienen disponibilidad presupuestal, para la ejecución de proyectos de inversión en Infraestructura</w:t>
      </w:r>
      <w:r w:rsidR="009D3EBB">
        <w:rPr>
          <w:rFonts w:ascii="Verdana" w:hAnsi="Verdana"/>
          <w:i/>
          <w:iCs/>
          <w:sz w:val="22"/>
          <w:szCs w:val="22"/>
          <w:lang w:val="es-CO"/>
        </w:rPr>
        <w:t>…</w:t>
      </w:r>
      <w:r w:rsidR="009D3EBB">
        <w:rPr>
          <w:rFonts w:ascii="Verdana" w:hAnsi="Verdana"/>
          <w:sz w:val="22"/>
          <w:szCs w:val="22"/>
          <w:lang w:val="es-CO"/>
        </w:rPr>
        <w:t>”</w:t>
      </w:r>
      <w:r>
        <w:rPr>
          <w:rFonts w:ascii="Verdana" w:hAnsi="Verdana"/>
          <w:sz w:val="22"/>
          <w:szCs w:val="22"/>
          <w:lang w:val="es-CO"/>
        </w:rPr>
        <w:t>,</w:t>
      </w:r>
      <w:r w:rsidR="009D3EBB" w:rsidRPr="009D3EBB">
        <w:rPr>
          <w:rFonts w:ascii="Verdana" w:hAnsi="Verdana"/>
          <w:sz w:val="22"/>
          <w:szCs w:val="22"/>
          <w:lang w:val="es-CO"/>
        </w:rPr>
        <w:t xml:space="preserve"> </w:t>
      </w:r>
      <w:r>
        <w:rPr>
          <w:rFonts w:ascii="Verdana" w:hAnsi="Verdana"/>
          <w:sz w:val="22"/>
          <w:szCs w:val="22"/>
          <w:lang w:val="es-CO"/>
        </w:rPr>
        <w:t xml:space="preserve">aseveraciones que tienen sustento en </w:t>
      </w:r>
      <w:r w:rsidR="009D3EBB">
        <w:rPr>
          <w:rFonts w:ascii="Verdana" w:hAnsi="Verdana"/>
          <w:sz w:val="22"/>
          <w:szCs w:val="22"/>
          <w:lang w:val="es-CO"/>
        </w:rPr>
        <w:t>los</w:t>
      </w:r>
      <w:r w:rsidR="00C13238" w:rsidRPr="00134356">
        <w:rPr>
          <w:rFonts w:ascii="Verdana" w:hAnsi="Verdana"/>
          <w:sz w:val="22"/>
          <w:szCs w:val="22"/>
          <w:lang w:val="es-CO"/>
        </w:rPr>
        <w:t xml:space="preserve"> certificado</w:t>
      </w:r>
      <w:r w:rsidR="009D3EBB">
        <w:rPr>
          <w:rFonts w:ascii="Verdana" w:hAnsi="Verdana"/>
          <w:sz w:val="22"/>
          <w:szCs w:val="22"/>
          <w:lang w:val="es-CO"/>
        </w:rPr>
        <w:t>s</w:t>
      </w:r>
      <w:r w:rsidR="00C13238" w:rsidRPr="00134356">
        <w:rPr>
          <w:rFonts w:ascii="Verdana" w:hAnsi="Verdana"/>
          <w:sz w:val="22"/>
          <w:szCs w:val="22"/>
          <w:lang w:val="es-CO"/>
        </w:rPr>
        <w:t xml:space="preserve"> de disponibilidad presupuestal </w:t>
      </w:r>
      <w:r w:rsidR="009D3EBB">
        <w:rPr>
          <w:rFonts w:ascii="Verdana" w:hAnsi="Verdana"/>
          <w:sz w:val="22"/>
          <w:szCs w:val="22"/>
          <w:lang w:val="es-CO"/>
        </w:rPr>
        <w:t>enlistados previamente,</w:t>
      </w:r>
      <w:r w:rsidR="00C13238" w:rsidRPr="00134356">
        <w:rPr>
          <w:rFonts w:ascii="Verdana" w:hAnsi="Verdana"/>
          <w:sz w:val="22"/>
          <w:szCs w:val="22"/>
          <w:lang w:val="es-CO"/>
        </w:rPr>
        <w:t xml:space="preserve"> </w:t>
      </w:r>
      <w:r w:rsidR="009D3EBB">
        <w:rPr>
          <w:rFonts w:ascii="Verdana" w:hAnsi="Verdana"/>
          <w:sz w:val="22"/>
          <w:szCs w:val="22"/>
          <w:lang w:val="es-CO"/>
        </w:rPr>
        <w:t xml:space="preserve">que fueron </w:t>
      </w:r>
      <w:r w:rsidR="00D57877">
        <w:rPr>
          <w:rFonts w:ascii="Verdana" w:hAnsi="Verdana"/>
          <w:sz w:val="22"/>
          <w:szCs w:val="22"/>
          <w:lang w:val="es-CO"/>
        </w:rPr>
        <w:t xml:space="preserve">expedidos </w:t>
      </w:r>
      <w:r w:rsidR="00E96DA2">
        <w:rPr>
          <w:rFonts w:ascii="Verdana" w:hAnsi="Verdana"/>
          <w:sz w:val="22"/>
          <w:szCs w:val="22"/>
          <w:lang w:val="es-CO"/>
        </w:rPr>
        <w:t xml:space="preserve">por la Secretaría de Hacienda Municipal el 10 de octubre de 2020 </w:t>
      </w:r>
      <w:r w:rsidR="009D3EBB" w:rsidRPr="009D3EBB">
        <w:rPr>
          <w:rFonts w:ascii="Verdana" w:hAnsi="Verdana"/>
          <w:sz w:val="22"/>
          <w:szCs w:val="22"/>
          <w:lang w:val="es-CO"/>
        </w:rPr>
        <w:t>(Documento 09 -CDPs- E.E.)</w:t>
      </w:r>
    </w:p>
    <w:p w14:paraId="2DBF0D7D" w14:textId="77777777" w:rsidR="00C13238" w:rsidRPr="00134356" w:rsidRDefault="00C13238" w:rsidP="00C13238">
      <w:pPr>
        <w:pStyle w:val="BodyText23"/>
        <w:rPr>
          <w:rFonts w:ascii="Verdana" w:hAnsi="Verdana"/>
          <w:sz w:val="22"/>
          <w:szCs w:val="22"/>
          <w:lang w:val="es-CO"/>
        </w:rPr>
      </w:pPr>
    </w:p>
    <w:p w14:paraId="0BA9501C" w14:textId="62F8FEFE" w:rsidR="003533F4" w:rsidRDefault="00C13238" w:rsidP="00F71466">
      <w:pPr>
        <w:pStyle w:val="BodyText23"/>
        <w:rPr>
          <w:rFonts w:ascii="Verdana" w:hAnsi="Verdana"/>
          <w:b/>
          <w:bCs/>
          <w:i/>
          <w:iCs/>
          <w:sz w:val="22"/>
          <w:szCs w:val="22"/>
          <w:lang w:eastAsia="es-ES"/>
        </w:rPr>
      </w:pPr>
      <w:r w:rsidRPr="00134356">
        <w:rPr>
          <w:rFonts w:ascii="Verdana" w:hAnsi="Verdana"/>
          <w:sz w:val="22"/>
          <w:szCs w:val="22"/>
          <w:lang w:val="es-CO"/>
        </w:rPr>
        <w:t>Cabe señalar que</w:t>
      </w:r>
      <w:r w:rsidR="003533F4">
        <w:rPr>
          <w:rFonts w:ascii="Verdana" w:hAnsi="Verdana"/>
          <w:sz w:val="22"/>
          <w:szCs w:val="22"/>
          <w:lang w:val="es-CO"/>
        </w:rPr>
        <w:t xml:space="preserve"> </w:t>
      </w:r>
      <w:r w:rsidR="003533F4">
        <w:rPr>
          <w:rFonts w:ascii="Verdana" w:hAnsi="Verdana"/>
          <w:sz w:val="22"/>
          <w:szCs w:val="22"/>
          <w:lang w:eastAsia="es-ES"/>
        </w:rPr>
        <w:t>en la exposición de motivos del proyecto de acuerdo en mención, se expresó “</w:t>
      </w:r>
      <w:r w:rsidR="003533F4" w:rsidRPr="007F0809">
        <w:rPr>
          <w:rFonts w:ascii="Verdana" w:hAnsi="Verdana"/>
          <w:i/>
          <w:iCs/>
          <w:sz w:val="22"/>
          <w:szCs w:val="22"/>
          <w:lang w:eastAsia="es-ES"/>
        </w:rPr>
        <w:t xml:space="preserve">En este orden de ideas </w:t>
      </w:r>
      <w:r w:rsidR="003533F4">
        <w:rPr>
          <w:rFonts w:ascii="Verdana" w:hAnsi="Verdana"/>
          <w:i/>
          <w:iCs/>
          <w:sz w:val="22"/>
          <w:szCs w:val="22"/>
          <w:lang w:eastAsia="es-ES"/>
        </w:rPr>
        <w:t>l</w:t>
      </w:r>
      <w:r w:rsidR="003533F4" w:rsidRPr="007F0809">
        <w:rPr>
          <w:rFonts w:ascii="Verdana" w:hAnsi="Verdana"/>
          <w:i/>
          <w:iCs/>
          <w:sz w:val="22"/>
          <w:szCs w:val="22"/>
          <w:lang w:eastAsia="es-ES"/>
        </w:rPr>
        <w:t xml:space="preserve">a ley 819 de 2003, dispone </w:t>
      </w:r>
      <w:r w:rsidR="003533F4">
        <w:rPr>
          <w:rFonts w:ascii="Verdana" w:hAnsi="Verdana"/>
          <w:i/>
          <w:iCs/>
          <w:sz w:val="22"/>
          <w:szCs w:val="22"/>
          <w:lang w:eastAsia="es-ES"/>
        </w:rPr>
        <w:t>l</w:t>
      </w:r>
      <w:r w:rsidR="003533F4" w:rsidRPr="007F0809">
        <w:rPr>
          <w:rFonts w:ascii="Verdana" w:hAnsi="Verdana"/>
          <w:i/>
          <w:iCs/>
          <w:sz w:val="22"/>
          <w:szCs w:val="22"/>
          <w:lang w:eastAsia="es-ES"/>
        </w:rPr>
        <w:t>a autorizaci</w:t>
      </w:r>
      <w:r w:rsidR="003533F4">
        <w:rPr>
          <w:rFonts w:ascii="Verdana" w:hAnsi="Verdana"/>
          <w:i/>
          <w:iCs/>
          <w:sz w:val="22"/>
          <w:szCs w:val="22"/>
          <w:lang w:eastAsia="es-ES"/>
        </w:rPr>
        <w:t>ó</w:t>
      </w:r>
      <w:r w:rsidR="003533F4" w:rsidRPr="007F0809">
        <w:rPr>
          <w:rFonts w:ascii="Verdana" w:hAnsi="Verdana"/>
          <w:i/>
          <w:iCs/>
          <w:sz w:val="22"/>
          <w:szCs w:val="22"/>
          <w:lang w:eastAsia="es-ES"/>
        </w:rPr>
        <w:t>n para comprometer el</w:t>
      </w:r>
      <w:r w:rsidR="003533F4">
        <w:rPr>
          <w:rFonts w:ascii="Verdana" w:hAnsi="Verdana"/>
          <w:i/>
          <w:iCs/>
          <w:sz w:val="22"/>
          <w:szCs w:val="22"/>
          <w:lang w:eastAsia="es-ES"/>
        </w:rPr>
        <w:t xml:space="preserve"> </w:t>
      </w:r>
      <w:r w:rsidR="003533F4" w:rsidRPr="007F0809">
        <w:rPr>
          <w:rFonts w:ascii="Verdana" w:hAnsi="Verdana"/>
          <w:i/>
          <w:iCs/>
          <w:sz w:val="22"/>
          <w:szCs w:val="22"/>
          <w:lang w:eastAsia="es-ES"/>
        </w:rPr>
        <w:t>presupuesto con cargo a vigencia Futuras las cuales no pueden superar el respectivo periodo</w:t>
      </w:r>
      <w:r w:rsidR="003533F4">
        <w:rPr>
          <w:rFonts w:ascii="Verdana" w:hAnsi="Verdana"/>
          <w:i/>
          <w:iCs/>
          <w:sz w:val="22"/>
          <w:szCs w:val="22"/>
          <w:lang w:eastAsia="es-ES"/>
        </w:rPr>
        <w:t xml:space="preserve"> </w:t>
      </w:r>
      <w:r w:rsidR="003533F4" w:rsidRPr="007F0809">
        <w:rPr>
          <w:rFonts w:ascii="Verdana" w:hAnsi="Verdana"/>
          <w:i/>
          <w:iCs/>
          <w:sz w:val="22"/>
          <w:szCs w:val="22"/>
          <w:lang w:eastAsia="es-ES"/>
        </w:rPr>
        <w:t xml:space="preserve">del Alcalde, para lo que </w:t>
      </w:r>
      <w:r w:rsidR="003533F4" w:rsidRPr="007F0809">
        <w:rPr>
          <w:rFonts w:ascii="Verdana" w:hAnsi="Verdana"/>
          <w:b/>
          <w:bCs/>
          <w:i/>
          <w:iCs/>
          <w:sz w:val="22"/>
          <w:szCs w:val="22"/>
          <w:lang w:eastAsia="es-ES"/>
        </w:rPr>
        <w:t xml:space="preserve">en el presente proyecto de acuerdo </w:t>
      </w:r>
      <w:r w:rsidR="003533F4" w:rsidRPr="00293DBE">
        <w:rPr>
          <w:rFonts w:ascii="Verdana" w:hAnsi="Verdana"/>
          <w:b/>
          <w:bCs/>
          <w:i/>
          <w:iCs/>
          <w:sz w:val="22"/>
          <w:szCs w:val="22"/>
          <w:lang w:eastAsia="es-ES"/>
        </w:rPr>
        <w:t>se está solicitando la autorización de vigencias futuras de ejecución</w:t>
      </w:r>
      <w:r w:rsidR="003533F4" w:rsidRPr="00293DBE">
        <w:rPr>
          <w:rFonts w:ascii="Verdana" w:hAnsi="Verdana"/>
          <w:i/>
          <w:iCs/>
          <w:sz w:val="22"/>
          <w:szCs w:val="22"/>
          <w:lang w:eastAsia="es-ES"/>
        </w:rPr>
        <w:t xml:space="preserve">, </w:t>
      </w:r>
      <w:r w:rsidR="003533F4" w:rsidRPr="007F0809">
        <w:rPr>
          <w:rFonts w:ascii="Verdana" w:hAnsi="Verdana"/>
          <w:b/>
          <w:bCs/>
          <w:i/>
          <w:iCs/>
          <w:sz w:val="22"/>
          <w:szCs w:val="22"/>
          <w:lang w:eastAsia="es-ES"/>
        </w:rPr>
        <w:t>en razón a la necesidad de adelantar los procesos de contratación con el fin de cumplir con los programas y proyectos del plan de desarrollo, respecto de los cuales se cuenta con el total de los recursos en la presente vigencia, pero cuyos servicios o bines se recibirán en la siguiente vigencia</w:t>
      </w:r>
      <w:r w:rsidR="003533F4">
        <w:rPr>
          <w:rFonts w:ascii="Verdana" w:hAnsi="Verdana"/>
          <w:b/>
          <w:bCs/>
          <w:i/>
          <w:iCs/>
          <w:sz w:val="22"/>
          <w:szCs w:val="22"/>
          <w:lang w:eastAsia="es-ES"/>
        </w:rPr>
        <w:t>.</w:t>
      </w:r>
      <w:r w:rsidR="00851B9B">
        <w:rPr>
          <w:rFonts w:ascii="Verdana" w:hAnsi="Verdana"/>
          <w:b/>
          <w:bCs/>
          <w:i/>
          <w:iCs/>
          <w:sz w:val="22"/>
          <w:szCs w:val="22"/>
          <w:lang w:eastAsia="es-ES"/>
        </w:rPr>
        <w:t xml:space="preserve"> </w:t>
      </w:r>
      <w:r w:rsidR="00851B9B" w:rsidRPr="00851B9B">
        <w:rPr>
          <w:rFonts w:ascii="Verdana" w:hAnsi="Verdana"/>
          <w:i/>
          <w:iCs/>
          <w:sz w:val="22"/>
          <w:szCs w:val="22"/>
          <w:lang w:eastAsia="es-ES"/>
        </w:rPr>
        <w:t>Que</w:t>
      </w:r>
      <w:r w:rsidR="00851B9B" w:rsidRPr="00777EC0">
        <w:rPr>
          <w:rFonts w:ascii="Verdana" w:hAnsi="Verdana"/>
          <w:i/>
          <w:iCs/>
          <w:sz w:val="22"/>
          <w:szCs w:val="22"/>
          <w:lang w:eastAsia="es-ES"/>
        </w:rPr>
        <w:t xml:space="preserve"> en consecuencia la administración municipal prevé iniciar la contratación y ejecución de proyectos de inversión que sobrepasan su ejecución de la vigencia 2020, proyectos incorporados en el Plan de desarrollo (…)</w:t>
      </w:r>
      <w:r w:rsidR="00851B9B" w:rsidRPr="00777EC0">
        <w:rPr>
          <w:rFonts w:ascii="Verdana" w:hAnsi="Verdana"/>
          <w:sz w:val="22"/>
          <w:szCs w:val="22"/>
          <w:lang w:eastAsia="es-ES"/>
        </w:rPr>
        <w:t>”.</w:t>
      </w:r>
    </w:p>
    <w:p w14:paraId="4AFEAAB3" w14:textId="77777777" w:rsidR="003533F4" w:rsidRDefault="003533F4" w:rsidP="00F71466">
      <w:pPr>
        <w:pStyle w:val="BodyText23"/>
        <w:rPr>
          <w:rFonts w:ascii="Verdana" w:hAnsi="Verdana"/>
          <w:b/>
          <w:bCs/>
          <w:i/>
          <w:iCs/>
          <w:sz w:val="22"/>
          <w:szCs w:val="22"/>
          <w:lang w:eastAsia="es-ES"/>
        </w:rPr>
      </w:pPr>
    </w:p>
    <w:p w14:paraId="58BB438C" w14:textId="1BB1FCC5" w:rsidR="00C13238" w:rsidRDefault="003533F4" w:rsidP="00F71466">
      <w:pPr>
        <w:pStyle w:val="BodyText23"/>
        <w:rPr>
          <w:rFonts w:ascii="Verdana" w:hAnsi="Verdana"/>
          <w:sz w:val="22"/>
          <w:szCs w:val="22"/>
          <w:lang w:val="es-CO"/>
        </w:rPr>
      </w:pPr>
      <w:r w:rsidRPr="003533F4">
        <w:rPr>
          <w:rFonts w:ascii="Verdana" w:hAnsi="Verdana"/>
          <w:sz w:val="22"/>
          <w:szCs w:val="22"/>
          <w:lang w:val="es-CO"/>
        </w:rPr>
        <w:t>Aunado a lo anterior,</w:t>
      </w:r>
      <w:r>
        <w:rPr>
          <w:rFonts w:ascii="Verdana" w:hAnsi="Verdana"/>
          <w:b/>
          <w:bCs/>
          <w:i/>
          <w:iCs/>
          <w:sz w:val="22"/>
          <w:szCs w:val="22"/>
          <w:lang w:eastAsia="es-ES"/>
        </w:rPr>
        <w:t xml:space="preserve"> </w:t>
      </w:r>
      <w:r w:rsidR="00C13238" w:rsidRPr="00134356">
        <w:rPr>
          <w:rFonts w:ascii="Verdana" w:hAnsi="Verdana"/>
          <w:sz w:val="22"/>
          <w:szCs w:val="22"/>
          <w:lang w:val="es-CO"/>
        </w:rPr>
        <w:t xml:space="preserve"> en la parte considerativa del acuerdo objeto de análisis, la corporación edilicia precisó que la autorización de las vigencias futuras </w:t>
      </w:r>
      <w:r w:rsidR="002D0B8F">
        <w:rPr>
          <w:rFonts w:ascii="Verdana" w:hAnsi="Verdana"/>
          <w:sz w:val="22"/>
          <w:szCs w:val="22"/>
          <w:lang w:val="es-CO"/>
        </w:rPr>
        <w:t xml:space="preserve">de </w:t>
      </w:r>
      <w:r w:rsidR="002D0B8F" w:rsidRPr="003533F4">
        <w:rPr>
          <w:rFonts w:ascii="Verdana" w:hAnsi="Verdana"/>
          <w:sz w:val="22"/>
          <w:szCs w:val="22"/>
          <w:lang w:val="es-CO"/>
        </w:rPr>
        <w:t>ejecución</w:t>
      </w:r>
      <w:r w:rsidR="00711645" w:rsidRPr="003533F4">
        <w:rPr>
          <w:rFonts w:ascii="Verdana" w:hAnsi="Verdana"/>
          <w:sz w:val="22"/>
          <w:szCs w:val="22"/>
          <w:lang w:val="es-CO"/>
        </w:rPr>
        <w:t>,</w:t>
      </w:r>
      <w:r w:rsidR="00C13238" w:rsidRPr="00134356">
        <w:rPr>
          <w:rFonts w:ascii="Verdana" w:hAnsi="Verdana"/>
          <w:sz w:val="22"/>
          <w:szCs w:val="22"/>
          <w:lang w:val="es-CO"/>
        </w:rPr>
        <w:t xml:space="preserve"> </w:t>
      </w:r>
      <w:r w:rsidR="002D0B8F">
        <w:rPr>
          <w:rFonts w:ascii="Verdana" w:hAnsi="Verdana"/>
          <w:sz w:val="22"/>
          <w:szCs w:val="22"/>
          <w:lang w:val="es-CO"/>
        </w:rPr>
        <w:t xml:space="preserve">se solicitó por el alcalde </w:t>
      </w:r>
      <w:r w:rsidR="00C13238" w:rsidRPr="00134356">
        <w:rPr>
          <w:rFonts w:ascii="Verdana" w:hAnsi="Verdana"/>
          <w:i/>
          <w:sz w:val="22"/>
          <w:szCs w:val="22"/>
          <w:lang w:val="es-CO"/>
        </w:rPr>
        <w:t>“</w:t>
      </w:r>
      <w:r w:rsidR="00F71466" w:rsidRPr="00F71466">
        <w:rPr>
          <w:rFonts w:ascii="Verdana" w:hAnsi="Verdana"/>
          <w:i/>
          <w:sz w:val="22"/>
          <w:szCs w:val="22"/>
          <w:lang w:val="es-CO"/>
        </w:rPr>
        <w:t>en raz</w:t>
      </w:r>
      <w:r w:rsidR="00F71466">
        <w:rPr>
          <w:rFonts w:ascii="Verdana" w:hAnsi="Verdana"/>
          <w:i/>
          <w:sz w:val="22"/>
          <w:szCs w:val="22"/>
          <w:lang w:val="es-CO"/>
        </w:rPr>
        <w:t>ó</w:t>
      </w:r>
      <w:r w:rsidR="00F71466" w:rsidRPr="00F71466">
        <w:rPr>
          <w:rFonts w:ascii="Verdana" w:hAnsi="Verdana"/>
          <w:i/>
          <w:sz w:val="22"/>
          <w:szCs w:val="22"/>
          <w:lang w:val="es-CO"/>
        </w:rPr>
        <w:t>n a la necesidad de adelantar procesos de contrataci</w:t>
      </w:r>
      <w:r w:rsidR="00F71466">
        <w:rPr>
          <w:rFonts w:ascii="Verdana" w:hAnsi="Verdana"/>
          <w:i/>
          <w:sz w:val="22"/>
          <w:szCs w:val="22"/>
          <w:lang w:val="es-CO"/>
        </w:rPr>
        <w:t>ó</w:t>
      </w:r>
      <w:r w:rsidR="00F71466" w:rsidRPr="00F71466">
        <w:rPr>
          <w:rFonts w:ascii="Verdana" w:hAnsi="Verdana"/>
          <w:i/>
          <w:sz w:val="22"/>
          <w:szCs w:val="22"/>
          <w:lang w:val="es-CO"/>
        </w:rPr>
        <w:t>n con el fin de cumplir con los</w:t>
      </w:r>
      <w:r w:rsidR="00F71466">
        <w:rPr>
          <w:rFonts w:ascii="Verdana" w:hAnsi="Verdana"/>
          <w:i/>
          <w:sz w:val="22"/>
          <w:szCs w:val="22"/>
          <w:lang w:val="es-CO"/>
        </w:rPr>
        <w:t xml:space="preserve"> </w:t>
      </w:r>
      <w:r w:rsidR="00F71466" w:rsidRPr="00F71466">
        <w:rPr>
          <w:rFonts w:ascii="Verdana" w:hAnsi="Verdana"/>
          <w:i/>
          <w:sz w:val="22"/>
          <w:szCs w:val="22"/>
          <w:lang w:val="es-CO"/>
        </w:rPr>
        <w:t xml:space="preserve">programas y proyectos del plan de desarrollo, </w:t>
      </w:r>
      <w:r w:rsidR="00F71466" w:rsidRPr="002D0B8F">
        <w:rPr>
          <w:rFonts w:ascii="Verdana" w:hAnsi="Verdana"/>
          <w:b/>
          <w:bCs/>
          <w:i/>
          <w:sz w:val="22"/>
          <w:szCs w:val="22"/>
          <w:lang w:val="es-CO"/>
        </w:rPr>
        <w:t>respecto de los cuales se cuenta con el total de los recursos en la presente vigencia, pero cuyos servicios o bines se recibirán en la siguiente vigencia</w:t>
      </w:r>
      <w:r w:rsidR="00C13238" w:rsidRPr="00134356">
        <w:rPr>
          <w:rFonts w:ascii="Verdana" w:hAnsi="Verdana"/>
          <w:i/>
          <w:sz w:val="22"/>
          <w:szCs w:val="22"/>
          <w:lang w:val="es-CO"/>
        </w:rPr>
        <w:t>”</w:t>
      </w:r>
      <w:r w:rsidR="00C13238" w:rsidRPr="00134356">
        <w:rPr>
          <w:rFonts w:ascii="Verdana" w:hAnsi="Verdana"/>
          <w:sz w:val="22"/>
          <w:szCs w:val="22"/>
          <w:lang w:val="es-CO"/>
        </w:rPr>
        <w:t>, lo que respalda la improcedencia de la figura presupuestal de las vigencias futuras ordinarias consagradas en el artículo 12 de la ley 819 de 2003.</w:t>
      </w:r>
    </w:p>
    <w:p w14:paraId="39606BEB" w14:textId="77777777" w:rsidR="00F71466" w:rsidRPr="00134356" w:rsidRDefault="00F71466" w:rsidP="00C13238">
      <w:pPr>
        <w:pStyle w:val="BodyText23"/>
        <w:rPr>
          <w:rFonts w:ascii="Verdana" w:hAnsi="Verdana"/>
          <w:sz w:val="22"/>
          <w:szCs w:val="22"/>
          <w:lang w:val="es-CO"/>
        </w:rPr>
      </w:pPr>
    </w:p>
    <w:p w14:paraId="0AE10BB5" w14:textId="27417C99" w:rsidR="00C13238" w:rsidRPr="00134356" w:rsidRDefault="00C13238" w:rsidP="00C13238">
      <w:pPr>
        <w:pStyle w:val="BodyText23"/>
        <w:rPr>
          <w:rFonts w:ascii="Verdana" w:hAnsi="Verdana"/>
          <w:sz w:val="22"/>
          <w:szCs w:val="22"/>
          <w:lang w:val="es-CO"/>
        </w:rPr>
      </w:pPr>
      <w:r w:rsidRPr="00134356">
        <w:rPr>
          <w:rFonts w:ascii="Verdana" w:hAnsi="Verdana"/>
          <w:sz w:val="22"/>
          <w:szCs w:val="22"/>
          <w:lang w:val="es-CO"/>
        </w:rPr>
        <w:t xml:space="preserve">Así las cosas, tomando en consideración lo expuesto en el marco normativo de esta providencia, cabe concluir entonces que las vigencias futuras cuya autorización se encuentra prevista en el </w:t>
      </w:r>
      <w:r w:rsidR="00837F46">
        <w:rPr>
          <w:rFonts w:ascii="Verdana" w:hAnsi="Verdana"/>
          <w:sz w:val="22"/>
          <w:szCs w:val="22"/>
          <w:lang w:val="es-CO"/>
        </w:rPr>
        <w:t>A</w:t>
      </w:r>
      <w:r w:rsidRPr="00134356">
        <w:rPr>
          <w:rFonts w:ascii="Verdana" w:hAnsi="Verdana"/>
          <w:sz w:val="22"/>
          <w:szCs w:val="22"/>
          <w:lang w:val="es-CO"/>
        </w:rPr>
        <w:t xml:space="preserve">cuerdo </w:t>
      </w:r>
      <w:r w:rsidR="00837F46">
        <w:rPr>
          <w:rFonts w:ascii="Verdana" w:hAnsi="Verdana"/>
          <w:sz w:val="22"/>
          <w:szCs w:val="22"/>
          <w:lang w:val="es-CO"/>
        </w:rPr>
        <w:t>No. 015 de 30 de noviembre de 2020</w:t>
      </w:r>
      <w:r w:rsidRPr="00134356">
        <w:rPr>
          <w:rFonts w:ascii="Verdana" w:hAnsi="Verdana"/>
          <w:sz w:val="22"/>
          <w:szCs w:val="22"/>
          <w:lang w:val="es-CO"/>
        </w:rPr>
        <w:t xml:space="preserve"> serán aquellas a las que se hace referencia en el artículo 8 de la ley 819 de 2003, pese a que </w:t>
      </w:r>
      <w:r w:rsidR="00134356">
        <w:rPr>
          <w:rFonts w:ascii="Verdana" w:hAnsi="Verdana"/>
          <w:sz w:val="22"/>
          <w:szCs w:val="22"/>
          <w:lang w:val="es-CO"/>
        </w:rPr>
        <w:t>en el A</w:t>
      </w:r>
      <w:r w:rsidRPr="00134356">
        <w:rPr>
          <w:rFonts w:ascii="Verdana" w:hAnsi="Verdana"/>
          <w:sz w:val="22"/>
          <w:szCs w:val="22"/>
          <w:lang w:val="es-CO"/>
        </w:rPr>
        <w:t>cuerdo</w:t>
      </w:r>
      <w:r w:rsidR="00134356">
        <w:rPr>
          <w:rFonts w:ascii="Verdana" w:hAnsi="Verdana"/>
          <w:sz w:val="22"/>
          <w:szCs w:val="22"/>
          <w:lang w:val="es-CO"/>
        </w:rPr>
        <w:t xml:space="preserve"> municipal</w:t>
      </w:r>
      <w:r w:rsidRPr="00134356">
        <w:rPr>
          <w:rFonts w:ascii="Verdana" w:hAnsi="Verdana"/>
          <w:sz w:val="22"/>
          <w:szCs w:val="22"/>
          <w:lang w:val="es-CO"/>
        </w:rPr>
        <w:t xml:space="preserve">, la corporación edilicia igualmente hizo referencia a las vigencias futuras ordinarias </w:t>
      </w:r>
      <w:r w:rsidR="00134356">
        <w:rPr>
          <w:rFonts w:ascii="Verdana" w:hAnsi="Verdana"/>
          <w:sz w:val="22"/>
          <w:szCs w:val="22"/>
          <w:lang w:val="es-CO"/>
        </w:rPr>
        <w:t>-</w:t>
      </w:r>
      <w:r w:rsidRPr="00134356">
        <w:rPr>
          <w:rFonts w:ascii="Verdana" w:hAnsi="Verdana"/>
          <w:sz w:val="22"/>
          <w:szCs w:val="22"/>
          <w:lang w:val="es-CO"/>
        </w:rPr>
        <w:t>consagradas en el artículo 12 ya citado</w:t>
      </w:r>
      <w:r w:rsidR="00134356">
        <w:rPr>
          <w:rFonts w:ascii="Verdana" w:hAnsi="Verdana"/>
          <w:sz w:val="22"/>
          <w:szCs w:val="22"/>
          <w:lang w:val="es-CO"/>
        </w:rPr>
        <w:t>-</w:t>
      </w:r>
      <w:r w:rsidRPr="00134356">
        <w:rPr>
          <w:rFonts w:ascii="Verdana" w:hAnsi="Verdana"/>
          <w:sz w:val="22"/>
          <w:szCs w:val="22"/>
          <w:lang w:val="es-CO"/>
        </w:rPr>
        <w:t>.</w:t>
      </w:r>
    </w:p>
    <w:p w14:paraId="02F2C34E" w14:textId="77777777" w:rsidR="00C13238" w:rsidRPr="00134356" w:rsidRDefault="00C13238" w:rsidP="00C13238">
      <w:pPr>
        <w:pStyle w:val="BodyText23"/>
        <w:rPr>
          <w:rFonts w:ascii="Verdana" w:hAnsi="Verdana"/>
          <w:sz w:val="22"/>
          <w:szCs w:val="22"/>
          <w:lang w:val="es-CO"/>
        </w:rPr>
      </w:pPr>
    </w:p>
    <w:p w14:paraId="028BBDF4" w14:textId="590E62C1" w:rsidR="00C13238" w:rsidRPr="00134356" w:rsidRDefault="00C13238" w:rsidP="00C13238">
      <w:pPr>
        <w:pStyle w:val="BodyText23"/>
        <w:rPr>
          <w:rFonts w:ascii="Verdana" w:hAnsi="Verdana"/>
          <w:sz w:val="22"/>
          <w:szCs w:val="22"/>
          <w:lang w:val="es-CO"/>
        </w:rPr>
      </w:pPr>
      <w:r w:rsidRPr="00134356">
        <w:rPr>
          <w:rFonts w:ascii="Verdana" w:hAnsi="Verdana"/>
          <w:sz w:val="22"/>
          <w:szCs w:val="22"/>
          <w:lang w:val="es-CO"/>
        </w:rPr>
        <w:t xml:space="preserve">En ese orden de ideas, la Sala precisa que al no ser la figura de las vigencias futuras ordinaras la aplicable a la ejecución </w:t>
      </w:r>
      <w:r w:rsidR="00844F7C">
        <w:rPr>
          <w:rFonts w:ascii="Verdana" w:hAnsi="Verdana"/>
          <w:sz w:val="22"/>
          <w:szCs w:val="22"/>
          <w:lang w:val="es-CO"/>
        </w:rPr>
        <w:t>de los diferentes proyectos de inversión consagrados en el acuerdo objetado</w:t>
      </w:r>
      <w:r w:rsidRPr="00134356">
        <w:rPr>
          <w:rFonts w:ascii="Verdana" w:hAnsi="Verdana"/>
          <w:sz w:val="22"/>
          <w:szCs w:val="22"/>
          <w:lang w:val="es-CO"/>
        </w:rPr>
        <w:t xml:space="preserve">, queda concluir que </w:t>
      </w:r>
      <w:r w:rsidR="00844F7C">
        <w:rPr>
          <w:rFonts w:ascii="Verdana" w:hAnsi="Verdana"/>
          <w:sz w:val="22"/>
          <w:szCs w:val="22"/>
          <w:lang w:val="es-CO"/>
        </w:rPr>
        <w:t>el</w:t>
      </w:r>
      <w:r w:rsidRPr="00134356">
        <w:rPr>
          <w:rFonts w:ascii="Verdana" w:hAnsi="Verdana"/>
          <w:sz w:val="22"/>
          <w:szCs w:val="22"/>
          <w:lang w:val="es-CO"/>
        </w:rPr>
        <w:t xml:space="preserve"> cargo expuesto en el concepto de violación invocado por la apoderada judicial del </w:t>
      </w:r>
      <w:r w:rsidRPr="00134356">
        <w:rPr>
          <w:rFonts w:ascii="Verdana" w:hAnsi="Verdana"/>
          <w:sz w:val="22"/>
          <w:szCs w:val="22"/>
          <w:lang w:val="es-CO"/>
        </w:rPr>
        <w:lastRenderedPageBreak/>
        <w:t xml:space="preserve">departamento de Boyacá </w:t>
      </w:r>
      <w:r w:rsidR="00844F7C">
        <w:rPr>
          <w:rFonts w:ascii="Verdana" w:hAnsi="Verdana"/>
          <w:sz w:val="22"/>
          <w:szCs w:val="22"/>
          <w:lang w:val="es-CO"/>
        </w:rPr>
        <w:t xml:space="preserve">relativo a la carencia de los requisitos legales de las vigencias futuras ordinarias </w:t>
      </w:r>
      <w:r w:rsidRPr="00134356">
        <w:rPr>
          <w:rFonts w:ascii="Verdana" w:hAnsi="Verdana"/>
          <w:sz w:val="22"/>
          <w:szCs w:val="22"/>
          <w:lang w:val="es-CO"/>
        </w:rPr>
        <w:t>no sería llamado</w:t>
      </w:r>
      <w:r w:rsidR="00844F7C">
        <w:rPr>
          <w:rFonts w:ascii="Verdana" w:hAnsi="Verdana"/>
          <w:sz w:val="22"/>
          <w:szCs w:val="22"/>
          <w:lang w:val="es-CO"/>
        </w:rPr>
        <w:t xml:space="preserve"> </w:t>
      </w:r>
      <w:r w:rsidRPr="00134356">
        <w:rPr>
          <w:rFonts w:ascii="Verdana" w:hAnsi="Verdana"/>
          <w:sz w:val="22"/>
          <w:szCs w:val="22"/>
          <w:lang w:val="es-CO"/>
        </w:rPr>
        <w:t xml:space="preserve">a prosperar pues tanto lo atinente a la apropiación del 15% del presupuesto, como </w:t>
      </w:r>
      <w:r w:rsidR="00F14574">
        <w:rPr>
          <w:rFonts w:ascii="Verdana" w:hAnsi="Verdana"/>
          <w:sz w:val="22"/>
          <w:szCs w:val="22"/>
          <w:lang w:val="es-CO"/>
        </w:rPr>
        <w:t>no haberse</w:t>
      </w:r>
      <w:r w:rsidR="00844F7C">
        <w:rPr>
          <w:rFonts w:ascii="Verdana" w:hAnsi="Verdana"/>
          <w:sz w:val="22"/>
          <w:szCs w:val="22"/>
          <w:lang w:val="es-CO"/>
        </w:rPr>
        <w:t xml:space="preserve"> iniciado el proceso contractual al momento de la autorización</w:t>
      </w:r>
      <w:r w:rsidRPr="00134356">
        <w:rPr>
          <w:rFonts w:ascii="Verdana" w:hAnsi="Verdana"/>
          <w:sz w:val="22"/>
          <w:szCs w:val="22"/>
          <w:lang w:val="es-CO"/>
        </w:rPr>
        <w:t xml:space="preserve">, </w:t>
      </w:r>
      <w:r w:rsidR="00E86C01">
        <w:rPr>
          <w:rFonts w:ascii="Verdana" w:hAnsi="Verdana"/>
          <w:sz w:val="22"/>
          <w:szCs w:val="22"/>
          <w:lang w:val="es-CO"/>
        </w:rPr>
        <w:t>por no</w:t>
      </w:r>
      <w:r w:rsidRPr="00134356">
        <w:rPr>
          <w:rFonts w:ascii="Verdana" w:hAnsi="Verdana"/>
          <w:sz w:val="22"/>
          <w:szCs w:val="22"/>
          <w:lang w:val="es-CO"/>
        </w:rPr>
        <w:t xml:space="preserve"> corresponde</w:t>
      </w:r>
      <w:r w:rsidR="00E86C01">
        <w:rPr>
          <w:rFonts w:ascii="Verdana" w:hAnsi="Verdana"/>
          <w:sz w:val="22"/>
          <w:szCs w:val="22"/>
          <w:lang w:val="es-CO"/>
        </w:rPr>
        <w:t xml:space="preserve">r </w:t>
      </w:r>
      <w:r w:rsidRPr="00134356">
        <w:rPr>
          <w:rFonts w:ascii="Verdana" w:hAnsi="Verdana"/>
          <w:sz w:val="22"/>
          <w:szCs w:val="22"/>
          <w:lang w:val="es-CO"/>
        </w:rPr>
        <w:t>a la figura presupuestal que se advierte</w:t>
      </w:r>
      <w:r w:rsidR="00E86C01">
        <w:rPr>
          <w:rFonts w:ascii="Verdana" w:hAnsi="Verdana"/>
          <w:sz w:val="22"/>
          <w:szCs w:val="22"/>
          <w:lang w:val="es-CO"/>
        </w:rPr>
        <w:t xml:space="preserve"> </w:t>
      </w:r>
      <w:r w:rsidR="00DE1282">
        <w:rPr>
          <w:rFonts w:ascii="Verdana" w:hAnsi="Verdana"/>
          <w:sz w:val="22"/>
          <w:szCs w:val="22"/>
          <w:lang w:val="es-CO"/>
        </w:rPr>
        <w:t xml:space="preserve">(artículo 12 </w:t>
      </w:r>
      <w:r w:rsidR="00DE1282" w:rsidRPr="00134356">
        <w:rPr>
          <w:rFonts w:ascii="Verdana" w:hAnsi="Verdana"/>
          <w:sz w:val="22"/>
          <w:szCs w:val="22"/>
          <w:lang w:val="es-CO"/>
        </w:rPr>
        <w:t>de la ley 819 de 2003</w:t>
      </w:r>
      <w:r w:rsidR="00DE1282">
        <w:rPr>
          <w:rFonts w:ascii="Verdana" w:hAnsi="Verdana"/>
          <w:sz w:val="22"/>
          <w:szCs w:val="22"/>
          <w:lang w:val="es-CO"/>
        </w:rPr>
        <w:t xml:space="preserve">) </w:t>
      </w:r>
      <w:r w:rsidRPr="00134356">
        <w:rPr>
          <w:rFonts w:ascii="Verdana" w:hAnsi="Verdana"/>
          <w:sz w:val="22"/>
          <w:szCs w:val="22"/>
          <w:lang w:val="es-CO"/>
        </w:rPr>
        <w:t xml:space="preserve">y que </w:t>
      </w:r>
      <w:r w:rsidR="00E86C01">
        <w:rPr>
          <w:rFonts w:ascii="Verdana" w:hAnsi="Verdana"/>
          <w:sz w:val="22"/>
          <w:szCs w:val="22"/>
          <w:lang w:val="es-CO"/>
        </w:rPr>
        <w:t xml:space="preserve">realmente </w:t>
      </w:r>
      <w:r w:rsidRPr="00134356">
        <w:rPr>
          <w:rFonts w:ascii="Verdana" w:hAnsi="Verdana"/>
          <w:sz w:val="22"/>
          <w:szCs w:val="22"/>
          <w:lang w:val="es-CO"/>
        </w:rPr>
        <w:t>corresponde a la prevista en el artículo 8 de la ley 819 de 2003.</w:t>
      </w:r>
    </w:p>
    <w:p w14:paraId="680A4E5D" w14:textId="77777777" w:rsidR="00C13238" w:rsidRPr="00134356" w:rsidRDefault="00C13238" w:rsidP="00C13238">
      <w:pPr>
        <w:pStyle w:val="BodyText23"/>
        <w:rPr>
          <w:rFonts w:ascii="Verdana" w:hAnsi="Verdana"/>
          <w:sz w:val="22"/>
          <w:szCs w:val="22"/>
          <w:lang w:val="es-CO"/>
        </w:rPr>
      </w:pPr>
    </w:p>
    <w:p w14:paraId="7B914473" w14:textId="58DF453D" w:rsidR="00C13238" w:rsidRPr="00134356" w:rsidRDefault="00C13238" w:rsidP="00C13238">
      <w:pPr>
        <w:pStyle w:val="BodyText23"/>
        <w:rPr>
          <w:rFonts w:ascii="Verdana" w:hAnsi="Verdana"/>
          <w:sz w:val="22"/>
          <w:szCs w:val="22"/>
          <w:lang w:val="es-CO"/>
        </w:rPr>
      </w:pPr>
      <w:r w:rsidRPr="38035CBB">
        <w:rPr>
          <w:rFonts w:ascii="Verdana" w:hAnsi="Verdana"/>
          <w:sz w:val="22"/>
          <w:szCs w:val="22"/>
          <w:lang w:val="es-CO"/>
        </w:rPr>
        <w:t xml:space="preserve">Por lo demás, y a partir de la interpretación del artículo 8 de la ley 819 de 2003 realizada por el Ministerio de Hacienda y crédito Público a la que se hizo referencia en el acápite normativo de </w:t>
      </w:r>
      <w:r w:rsidR="1D7E9902" w:rsidRPr="38035CBB">
        <w:rPr>
          <w:rFonts w:ascii="Verdana" w:hAnsi="Verdana"/>
          <w:sz w:val="22"/>
          <w:szCs w:val="22"/>
          <w:lang w:val="es-CO"/>
        </w:rPr>
        <w:t>esta</w:t>
      </w:r>
      <w:r w:rsidRPr="38035CBB">
        <w:rPr>
          <w:rFonts w:ascii="Verdana" w:hAnsi="Verdana"/>
          <w:sz w:val="22"/>
          <w:szCs w:val="22"/>
          <w:lang w:val="es-CO"/>
        </w:rPr>
        <w:t xml:space="preserve"> providencia</w:t>
      </w:r>
      <w:r w:rsidR="6B03D707" w:rsidRPr="38035CBB">
        <w:rPr>
          <w:rFonts w:ascii="Verdana" w:hAnsi="Verdana"/>
          <w:sz w:val="22"/>
          <w:szCs w:val="22"/>
          <w:lang w:val="es-CO"/>
        </w:rPr>
        <w:t>,</w:t>
      </w:r>
      <w:r w:rsidR="71612CD9" w:rsidRPr="38035CBB">
        <w:rPr>
          <w:rFonts w:ascii="Verdana" w:hAnsi="Verdana"/>
          <w:sz w:val="22"/>
          <w:szCs w:val="22"/>
          <w:lang w:val="es-CO"/>
        </w:rPr>
        <w:t xml:space="preserve"> y que esta Sala de decisión acoge en su integridad</w:t>
      </w:r>
      <w:r w:rsidRPr="38035CBB">
        <w:rPr>
          <w:rFonts w:ascii="Verdana" w:hAnsi="Verdana"/>
          <w:sz w:val="22"/>
          <w:szCs w:val="22"/>
          <w:lang w:val="es-CO"/>
        </w:rPr>
        <w:t xml:space="preserve">, </w:t>
      </w:r>
      <w:r w:rsidR="23E52F66" w:rsidRPr="38035CBB">
        <w:rPr>
          <w:rFonts w:ascii="Verdana" w:hAnsi="Verdana"/>
          <w:sz w:val="22"/>
          <w:szCs w:val="22"/>
          <w:lang w:val="es-CO"/>
        </w:rPr>
        <w:t xml:space="preserve">se </w:t>
      </w:r>
      <w:r w:rsidRPr="38035CBB">
        <w:rPr>
          <w:rFonts w:ascii="Verdana" w:hAnsi="Verdana"/>
          <w:sz w:val="22"/>
          <w:szCs w:val="22"/>
          <w:lang w:val="es-CO"/>
        </w:rPr>
        <w:t>conclu</w:t>
      </w:r>
      <w:r w:rsidR="15FFB3FE" w:rsidRPr="38035CBB">
        <w:rPr>
          <w:rFonts w:ascii="Verdana" w:hAnsi="Verdana"/>
          <w:sz w:val="22"/>
          <w:szCs w:val="22"/>
          <w:lang w:val="es-CO"/>
        </w:rPr>
        <w:t>ye</w:t>
      </w:r>
      <w:r w:rsidRPr="38035CBB">
        <w:rPr>
          <w:rFonts w:ascii="Verdana" w:hAnsi="Verdana"/>
          <w:sz w:val="22"/>
          <w:szCs w:val="22"/>
          <w:lang w:val="es-CO"/>
        </w:rPr>
        <w:t xml:space="preserve"> que la autorización de vigencias futuras por parte del Concejo municipal de </w:t>
      </w:r>
      <w:r w:rsidR="00E44814" w:rsidRPr="38035CBB">
        <w:rPr>
          <w:rFonts w:ascii="Verdana" w:hAnsi="Verdana"/>
          <w:sz w:val="22"/>
          <w:szCs w:val="22"/>
          <w:lang w:val="es-CO"/>
        </w:rPr>
        <w:t>Chivat</w:t>
      </w:r>
      <w:r w:rsidR="180D95C0" w:rsidRPr="38035CBB">
        <w:rPr>
          <w:rFonts w:ascii="Verdana" w:hAnsi="Verdana"/>
          <w:sz w:val="22"/>
          <w:szCs w:val="22"/>
          <w:lang w:val="es-CO"/>
        </w:rPr>
        <w:t>á</w:t>
      </w:r>
      <w:r w:rsidRPr="38035CBB">
        <w:rPr>
          <w:rFonts w:ascii="Verdana" w:hAnsi="Verdana"/>
          <w:sz w:val="22"/>
          <w:szCs w:val="22"/>
          <w:lang w:val="es-CO"/>
        </w:rPr>
        <w:t xml:space="preserve"> en el </w:t>
      </w:r>
      <w:r w:rsidR="00E44814" w:rsidRPr="38035CBB">
        <w:rPr>
          <w:rFonts w:ascii="Verdana" w:hAnsi="Verdana"/>
          <w:sz w:val="22"/>
          <w:szCs w:val="22"/>
          <w:lang w:val="es-MX" w:eastAsia="es-ES"/>
        </w:rPr>
        <w:t>Acuerdo No. 015 de 30 de noviembre de 2020</w:t>
      </w:r>
      <w:r w:rsidRPr="38035CBB">
        <w:rPr>
          <w:rFonts w:ascii="Verdana" w:hAnsi="Verdana"/>
          <w:sz w:val="22"/>
          <w:szCs w:val="22"/>
          <w:lang w:val="es-CO"/>
        </w:rPr>
        <w:t>, resulta ajustada a la legalidad</w:t>
      </w:r>
      <w:r w:rsidR="006C0D71" w:rsidRPr="38035CBB">
        <w:rPr>
          <w:rFonts w:ascii="Verdana" w:hAnsi="Verdana"/>
          <w:sz w:val="22"/>
          <w:szCs w:val="22"/>
          <w:lang w:val="es-CO"/>
        </w:rPr>
        <w:t xml:space="preserve">, </w:t>
      </w:r>
      <w:r w:rsidRPr="38035CBB">
        <w:rPr>
          <w:rFonts w:ascii="Verdana" w:hAnsi="Verdana"/>
          <w:sz w:val="22"/>
          <w:szCs w:val="22"/>
          <w:lang w:val="es-CO"/>
        </w:rPr>
        <w:t xml:space="preserve">en el entendido que </w:t>
      </w:r>
      <w:r w:rsidR="0032338F" w:rsidRPr="38035CBB">
        <w:rPr>
          <w:rFonts w:ascii="Verdana" w:hAnsi="Verdana"/>
          <w:sz w:val="22"/>
          <w:szCs w:val="22"/>
          <w:lang w:val="es-CO"/>
        </w:rPr>
        <w:t>al p</w:t>
      </w:r>
      <w:r w:rsidR="11C0F50F" w:rsidRPr="38035CBB">
        <w:rPr>
          <w:rFonts w:ascii="Verdana" w:hAnsi="Verdana"/>
          <w:sz w:val="22"/>
          <w:szCs w:val="22"/>
          <w:lang w:val="es-CO"/>
        </w:rPr>
        <w:t>lanear</w:t>
      </w:r>
      <w:r w:rsidR="0032338F" w:rsidRPr="38035CBB">
        <w:rPr>
          <w:rFonts w:ascii="Verdana" w:hAnsi="Verdana"/>
          <w:sz w:val="22"/>
          <w:szCs w:val="22"/>
          <w:lang w:val="es-CO"/>
        </w:rPr>
        <w:t xml:space="preserve"> la </w:t>
      </w:r>
      <w:r w:rsidRPr="38035CBB">
        <w:rPr>
          <w:rFonts w:ascii="Verdana" w:hAnsi="Verdana"/>
          <w:sz w:val="22"/>
          <w:szCs w:val="22"/>
          <w:lang w:val="es-CO"/>
        </w:rPr>
        <w:t>ejecución</w:t>
      </w:r>
      <w:r w:rsidR="0032338F" w:rsidRPr="38035CBB">
        <w:rPr>
          <w:rFonts w:ascii="Verdana" w:hAnsi="Verdana"/>
          <w:sz w:val="22"/>
          <w:szCs w:val="22"/>
          <w:lang w:val="es-CO"/>
        </w:rPr>
        <w:t xml:space="preserve"> de </w:t>
      </w:r>
      <w:r w:rsidR="00152A35" w:rsidRPr="38035CBB">
        <w:rPr>
          <w:rFonts w:ascii="Verdana" w:hAnsi="Verdana"/>
          <w:sz w:val="22"/>
          <w:szCs w:val="22"/>
          <w:lang w:val="es-CO"/>
        </w:rPr>
        <w:t>los</w:t>
      </w:r>
      <w:r w:rsidR="0032338F" w:rsidRPr="38035CBB">
        <w:rPr>
          <w:rFonts w:ascii="Verdana" w:hAnsi="Verdana"/>
          <w:sz w:val="22"/>
          <w:szCs w:val="22"/>
          <w:lang w:val="es-CO"/>
        </w:rPr>
        <w:t xml:space="preserve"> proyecto</w:t>
      </w:r>
      <w:r w:rsidR="00152A35" w:rsidRPr="38035CBB">
        <w:rPr>
          <w:rFonts w:ascii="Verdana" w:hAnsi="Verdana"/>
          <w:sz w:val="22"/>
          <w:szCs w:val="22"/>
          <w:lang w:val="es-CO"/>
        </w:rPr>
        <w:t>s</w:t>
      </w:r>
      <w:r w:rsidR="0032338F" w:rsidRPr="38035CBB">
        <w:rPr>
          <w:rFonts w:ascii="Verdana" w:hAnsi="Verdana"/>
          <w:sz w:val="22"/>
          <w:szCs w:val="22"/>
          <w:lang w:val="es-CO"/>
        </w:rPr>
        <w:t xml:space="preserve"> de inversión </w:t>
      </w:r>
      <w:r w:rsidR="00152A35" w:rsidRPr="38035CBB">
        <w:rPr>
          <w:rFonts w:ascii="Verdana" w:hAnsi="Verdana"/>
          <w:sz w:val="22"/>
          <w:szCs w:val="22"/>
          <w:lang w:val="es-CO"/>
        </w:rPr>
        <w:t xml:space="preserve">sobre los cuales se solicitó autorización, el municipio observó </w:t>
      </w:r>
      <w:r w:rsidR="0032338F" w:rsidRPr="38035CBB">
        <w:rPr>
          <w:rFonts w:ascii="Verdana" w:hAnsi="Verdana"/>
          <w:sz w:val="22"/>
          <w:szCs w:val="22"/>
          <w:lang w:val="es-CO"/>
        </w:rPr>
        <w:t xml:space="preserve">que su ejecución (incluido todo el proceso contractual) </w:t>
      </w:r>
      <w:r w:rsidR="00152A35" w:rsidRPr="38035CBB">
        <w:rPr>
          <w:rFonts w:ascii="Verdana" w:hAnsi="Verdana"/>
          <w:sz w:val="22"/>
          <w:szCs w:val="22"/>
          <w:lang w:val="es-CO"/>
        </w:rPr>
        <w:t>ib</w:t>
      </w:r>
      <w:r w:rsidR="0032338F" w:rsidRPr="38035CBB">
        <w:rPr>
          <w:rFonts w:ascii="Verdana" w:hAnsi="Verdana"/>
          <w:sz w:val="22"/>
          <w:szCs w:val="22"/>
          <w:lang w:val="es-CO"/>
        </w:rPr>
        <w:t xml:space="preserve">a a superar </w:t>
      </w:r>
      <w:r w:rsidR="00152A35" w:rsidRPr="38035CBB">
        <w:rPr>
          <w:rFonts w:ascii="Verdana" w:hAnsi="Verdana"/>
          <w:sz w:val="22"/>
          <w:szCs w:val="22"/>
          <w:lang w:val="es-CO"/>
        </w:rPr>
        <w:t xml:space="preserve">la vigencia fiscal </w:t>
      </w:r>
      <w:r w:rsidRPr="38035CBB">
        <w:rPr>
          <w:rFonts w:ascii="Verdana" w:hAnsi="Verdana"/>
          <w:sz w:val="22"/>
          <w:szCs w:val="22"/>
          <w:lang w:val="es-CO"/>
        </w:rPr>
        <w:t>2020.</w:t>
      </w:r>
    </w:p>
    <w:p w14:paraId="19219836" w14:textId="77777777" w:rsidR="00C13238" w:rsidRPr="00134356" w:rsidRDefault="00C13238" w:rsidP="00C13238">
      <w:pPr>
        <w:pStyle w:val="BodyText23"/>
        <w:rPr>
          <w:rFonts w:ascii="Verdana" w:hAnsi="Verdana"/>
          <w:sz w:val="22"/>
          <w:szCs w:val="22"/>
          <w:lang w:val="es-CO"/>
        </w:rPr>
      </w:pPr>
    </w:p>
    <w:p w14:paraId="769D0D3C" w14:textId="746A61E5" w:rsidR="00C13238" w:rsidRPr="00134356" w:rsidRDefault="00C13238" w:rsidP="00C13238">
      <w:pPr>
        <w:pStyle w:val="BodyText23"/>
        <w:rPr>
          <w:rFonts w:ascii="Verdana" w:hAnsi="Verdana"/>
          <w:sz w:val="22"/>
          <w:szCs w:val="22"/>
          <w:lang w:val="es-CO"/>
        </w:rPr>
      </w:pPr>
      <w:r w:rsidRPr="38035CBB">
        <w:rPr>
          <w:rFonts w:ascii="Verdana" w:hAnsi="Verdana"/>
          <w:sz w:val="22"/>
          <w:szCs w:val="22"/>
          <w:lang w:val="es-CO"/>
        </w:rPr>
        <w:t xml:space="preserve">Al respecto, tenemos que </w:t>
      </w:r>
      <w:r w:rsidR="00807B3A" w:rsidRPr="38035CBB">
        <w:rPr>
          <w:rFonts w:ascii="Verdana" w:hAnsi="Verdana"/>
          <w:sz w:val="22"/>
          <w:szCs w:val="22"/>
          <w:lang w:val="es-CO"/>
        </w:rPr>
        <w:t xml:space="preserve">de acuerdo con el acta COMFIS 003 de 13 de noviembre de 2020 </w:t>
      </w:r>
      <w:r w:rsidR="00673429" w:rsidRPr="38035CBB">
        <w:rPr>
          <w:rFonts w:ascii="Verdana" w:hAnsi="Verdana"/>
          <w:sz w:val="22"/>
          <w:szCs w:val="22"/>
          <w:lang w:val="es-CO"/>
        </w:rPr>
        <w:t xml:space="preserve">el Secretario de Planeación Municipal sostuvo que </w:t>
      </w:r>
      <w:r w:rsidR="005422CC" w:rsidRPr="38035CBB">
        <w:rPr>
          <w:rFonts w:ascii="Verdana" w:hAnsi="Verdana"/>
          <w:i/>
          <w:iCs/>
          <w:sz w:val="22"/>
          <w:szCs w:val="22"/>
          <w:lang w:val="es-CO"/>
        </w:rPr>
        <w:t xml:space="preserve">“a la fecha la administración municipal prevé iniciar la contratación y ejecución de proyectos de inversión que sobrepasan su ejecución de la vigencia 2020 (…)” </w:t>
      </w:r>
      <w:r w:rsidR="005422CC" w:rsidRPr="38035CBB">
        <w:rPr>
          <w:rFonts w:ascii="Verdana" w:hAnsi="Verdana"/>
          <w:sz w:val="22"/>
          <w:szCs w:val="22"/>
          <w:lang w:val="es-CO"/>
        </w:rPr>
        <w:t xml:space="preserve">y en el </w:t>
      </w:r>
      <w:r w:rsidR="56483E82" w:rsidRPr="38035CBB">
        <w:rPr>
          <w:rFonts w:ascii="Verdana" w:hAnsi="Verdana"/>
          <w:sz w:val="22"/>
          <w:szCs w:val="22"/>
          <w:lang w:val="es-CO"/>
        </w:rPr>
        <w:t xml:space="preserve">último </w:t>
      </w:r>
      <w:r w:rsidR="005422CC" w:rsidRPr="38035CBB">
        <w:rPr>
          <w:rFonts w:ascii="Verdana" w:hAnsi="Verdana"/>
          <w:sz w:val="22"/>
          <w:szCs w:val="22"/>
          <w:lang w:val="es-CO"/>
        </w:rPr>
        <w:t>considerando del acuerdo demandado al referirse a los proyectos de inversión se dij</w:t>
      </w:r>
      <w:r w:rsidR="005422CC" w:rsidRPr="38035CBB">
        <w:rPr>
          <w:rFonts w:ascii="Verdana" w:hAnsi="Verdana"/>
          <w:i/>
          <w:iCs/>
          <w:sz w:val="22"/>
          <w:szCs w:val="22"/>
          <w:lang w:val="es-CO"/>
        </w:rPr>
        <w:t xml:space="preserve">o </w:t>
      </w:r>
      <w:r w:rsidR="00B142B2" w:rsidRPr="38035CBB">
        <w:rPr>
          <w:rFonts w:ascii="Verdana" w:hAnsi="Verdana"/>
          <w:i/>
          <w:iCs/>
          <w:sz w:val="22"/>
          <w:szCs w:val="22"/>
          <w:lang w:val="es-CO"/>
        </w:rPr>
        <w:t xml:space="preserve"> “Que en consecuencia la administración municipal prevé iniciar la contratación y ejecución de proyectos de inversión que sobrepasan su ejecución de la vigencia 2020”.</w:t>
      </w:r>
      <w:r w:rsidR="00B142B2">
        <w:t xml:space="preserve"> </w:t>
      </w:r>
      <w:r w:rsidR="00B142B2" w:rsidRPr="38035CBB">
        <w:rPr>
          <w:rFonts w:ascii="Verdana" w:hAnsi="Verdana"/>
          <w:sz w:val="22"/>
          <w:szCs w:val="22"/>
          <w:lang w:val="es-CO"/>
        </w:rPr>
        <w:t>Asimismo, en la contestación de la demanda el Municipio informó que dentro de la configuración de los estudios previos de cada uno de los bienes o servicios a adquirir se definió que el bien o servicio se recibiría en la vigencia 2021</w:t>
      </w:r>
      <w:r w:rsidR="00781A7D" w:rsidRPr="38035CBB">
        <w:rPr>
          <w:rFonts w:ascii="Verdana" w:hAnsi="Verdana"/>
          <w:sz w:val="22"/>
          <w:szCs w:val="22"/>
          <w:lang w:val="es-CO"/>
        </w:rPr>
        <w:t xml:space="preserve">, es decir, la etapa precontractual de elaboración y aprobación de estudios previos permitió prever que </w:t>
      </w:r>
      <w:r w:rsidR="27357289" w:rsidRPr="38035CBB">
        <w:rPr>
          <w:rFonts w:ascii="Verdana" w:hAnsi="Verdana"/>
          <w:sz w:val="22"/>
          <w:szCs w:val="22"/>
          <w:lang w:val="es-CO"/>
        </w:rPr>
        <w:t xml:space="preserve">el proceso contractual iba a superar la </w:t>
      </w:r>
      <w:r w:rsidR="00781A7D" w:rsidRPr="38035CBB">
        <w:rPr>
          <w:rFonts w:ascii="Verdana" w:hAnsi="Verdana"/>
          <w:sz w:val="22"/>
          <w:szCs w:val="22"/>
          <w:lang w:val="es-CO"/>
        </w:rPr>
        <w:t>vigencia 202</w:t>
      </w:r>
      <w:r w:rsidR="0E9FA844" w:rsidRPr="38035CBB">
        <w:rPr>
          <w:rFonts w:ascii="Verdana" w:hAnsi="Verdana"/>
          <w:sz w:val="22"/>
          <w:szCs w:val="22"/>
          <w:lang w:val="es-CO"/>
        </w:rPr>
        <w:t>0</w:t>
      </w:r>
      <w:r w:rsidR="00781A7D" w:rsidRPr="38035CBB">
        <w:rPr>
          <w:rFonts w:ascii="Verdana" w:hAnsi="Verdana"/>
          <w:sz w:val="22"/>
          <w:szCs w:val="22"/>
          <w:lang w:val="es-CO"/>
        </w:rPr>
        <w:t xml:space="preserve"> a pesar de </w:t>
      </w:r>
      <w:r w:rsidR="5D3A8D7D" w:rsidRPr="38035CBB">
        <w:rPr>
          <w:rFonts w:ascii="Verdana" w:hAnsi="Verdana"/>
          <w:sz w:val="22"/>
          <w:szCs w:val="22"/>
          <w:lang w:val="es-CO"/>
        </w:rPr>
        <w:t>tener disponibilidad del 100% de los recursos requeridos,</w:t>
      </w:r>
      <w:r w:rsidR="00781A7D" w:rsidRPr="38035CBB">
        <w:rPr>
          <w:rFonts w:ascii="Verdana" w:hAnsi="Verdana"/>
          <w:sz w:val="22"/>
          <w:szCs w:val="22"/>
          <w:lang w:val="es-CO"/>
        </w:rPr>
        <w:t xml:space="preserve"> por esta razón, se solicitó la autorización de vigencias futuras.</w:t>
      </w:r>
      <w:r w:rsidR="00396A54" w:rsidRPr="38035CBB">
        <w:rPr>
          <w:rFonts w:ascii="Verdana" w:hAnsi="Verdana"/>
          <w:sz w:val="22"/>
          <w:szCs w:val="22"/>
          <w:lang w:val="es-CO"/>
        </w:rPr>
        <w:t xml:space="preserve"> </w:t>
      </w:r>
    </w:p>
    <w:p w14:paraId="6B73D0BF" w14:textId="76D491B1" w:rsidR="6F8E2CE6" w:rsidRDefault="6F8E2CE6" w:rsidP="6F8E2CE6">
      <w:pPr>
        <w:pStyle w:val="BodyText23"/>
        <w:rPr>
          <w:szCs w:val="24"/>
          <w:lang w:val="es-CO"/>
        </w:rPr>
      </w:pPr>
    </w:p>
    <w:p w14:paraId="78D7D602" w14:textId="62B09461" w:rsidR="008D3A39" w:rsidRPr="00134356" w:rsidRDefault="00E048AE" w:rsidP="00C13238">
      <w:pPr>
        <w:pStyle w:val="BodyText23"/>
        <w:rPr>
          <w:rFonts w:ascii="Verdana" w:hAnsi="Verdana"/>
          <w:sz w:val="22"/>
          <w:szCs w:val="22"/>
          <w:lang w:val="es-CO"/>
        </w:rPr>
      </w:pPr>
      <w:r w:rsidRPr="38035CBB">
        <w:rPr>
          <w:rFonts w:ascii="Verdana" w:hAnsi="Verdana"/>
          <w:sz w:val="22"/>
          <w:szCs w:val="22"/>
          <w:lang w:val="es-CO"/>
        </w:rPr>
        <w:t xml:space="preserve">En suma, al encontrarse acreditado que </w:t>
      </w:r>
      <w:r w:rsidRPr="38035CBB">
        <w:rPr>
          <w:rFonts w:ascii="Verdana" w:hAnsi="Verdana"/>
          <w:i/>
          <w:iCs/>
          <w:sz w:val="22"/>
          <w:szCs w:val="22"/>
          <w:lang w:val="es-CO"/>
        </w:rPr>
        <w:t>(i)</w:t>
      </w:r>
      <w:r w:rsidRPr="38035CBB">
        <w:rPr>
          <w:rFonts w:ascii="Verdana" w:hAnsi="Verdana"/>
          <w:sz w:val="22"/>
          <w:szCs w:val="22"/>
          <w:lang w:val="es-CO"/>
        </w:rPr>
        <w:t xml:space="preserve"> la figura presupuestal aplicada en el </w:t>
      </w:r>
      <w:r w:rsidR="00D92972" w:rsidRPr="38035CBB">
        <w:rPr>
          <w:rFonts w:ascii="Verdana" w:hAnsi="Verdana"/>
          <w:sz w:val="22"/>
          <w:szCs w:val="22"/>
          <w:lang w:val="es-CO"/>
        </w:rPr>
        <w:t>A</w:t>
      </w:r>
      <w:r w:rsidRPr="38035CBB">
        <w:rPr>
          <w:rFonts w:ascii="Verdana" w:hAnsi="Verdana"/>
          <w:sz w:val="22"/>
          <w:szCs w:val="22"/>
          <w:lang w:val="es-CO"/>
        </w:rPr>
        <w:t xml:space="preserve">cuerdo </w:t>
      </w:r>
      <w:r w:rsidR="00D92972" w:rsidRPr="38035CBB">
        <w:rPr>
          <w:rFonts w:ascii="Verdana" w:hAnsi="Verdana"/>
          <w:sz w:val="22"/>
          <w:szCs w:val="22"/>
          <w:lang w:val="es-CO"/>
        </w:rPr>
        <w:t>No.</w:t>
      </w:r>
      <w:r w:rsidR="008A339F" w:rsidRPr="38035CBB">
        <w:rPr>
          <w:rFonts w:ascii="Verdana" w:hAnsi="Verdana"/>
          <w:sz w:val="22"/>
          <w:szCs w:val="22"/>
          <w:lang w:val="es-CO"/>
        </w:rPr>
        <w:t xml:space="preserve"> 015</w:t>
      </w:r>
      <w:r w:rsidR="00D92972" w:rsidRPr="38035CBB">
        <w:rPr>
          <w:rFonts w:ascii="Verdana" w:hAnsi="Verdana"/>
          <w:sz w:val="22"/>
          <w:szCs w:val="22"/>
          <w:lang w:val="es-CO"/>
        </w:rPr>
        <w:t xml:space="preserve"> </w:t>
      </w:r>
      <w:r w:rsidRPr="38035CBB">
        <w:rPr>
          <w:rFonts w:ascii="Verdana" w:hAnsi="Verdana"/>
          <w:sz w:val="22"/>
          <w:szCs w:val="22"/>
          <w:lang w:val="es-CO"/>
        </w:rPr>
        <w:t xml:space="preserve"> de </w:t>
      </w:r>
      <w:r w:rsidR="008A339F" w:rsidRPr="38035CBB">
        <w:rPr>
          <w:rFonts w:ascii="Verdana" w:hAnsi="Verdana"/>
          <w:sz w:val="22"/>
          <w:szCs w:val="22"/>
          <w:lang w:val="es-CO"/>
        </w:rPr>
        <w:t xml:space="preserve">30 </w:t>
      </w:r>
      <w:r w:rsidRPr="38035CBB">
        <w:rPr>
          <w:rFonts w:ascii="Verdana" w:hAnsi="Verdana"/>
          <w:sz w:val="22"/>
          <w:szCs w:val="22"/>
          <w:lang w:val="es-CO"/>
        </w:rPr>
        <w:t xml:space="preserve">de </w:t>
      </w:r>
      <w:r w:rsidR="008A339F" w:rsidRPr="38035CBB">
        <w:rPr>
          <w:rFonts w:ascii="Verdana" w:hAnsi="Verdana"/>
          <w:sz w:val="22"/>
          <w:szCs w:val="22"/>
          <w:lang w:val="es-CO"/>
        </w:rPr>
        <w:t>noviem</w:t>
      </w:r>
      <w:r w:rsidRPr="38035CBB">
        <w:rPr>
          <w:rFonts w:ascii="Verdana" w:hAnsi="Verdana"/>
          <w:sz w:val="22"/>
          <w:szCs w:val="22"/>
          <w:lang w:val="es-CO"/>
        </w:rPr>
        <w:t>bre de 20</w:t>
      </w:r>
      <w:r w:rsidR="008A339F" w:rsidRPr="38035CBB">
        <w:rPr>
          <w:rFonts w:ascii="Verdana" w:hAnsi="Verdana"/>
          <w:sz w:val="22"/>
          <w:szCs w:val="22"/>
          <w:lang w:val="es-CO"/>
        </w:rPr>
        <w:t>20</w:t>
      </w:r>
      <w:r w:rsidRPr="38035CBB">
        <w:rPr>
          <w:rFonts w:ascii="Verdana" w:hAnsi="Verdana"/>
          <w:sz w:val="22"/>
          <w:szCs w:val="22"/>
          <w:lang w:val="es-CO"/>
        </w:rPr>
        <w:t xml:space="preserve"> por el con</w:t>
      </w:r>
      <w:r w:rsidR="73FBC2C0" w:rsidRPr="38035CBB">
        <w:rPr>
          <w:rFonts w:ascii="Verdana" w:hAnsi="Verdana"/>
          <w:sz w:val="22"/>
          <w:szCs w:val="22"/>
          <w:lang w:val="es-CO"/>
        </w:rPr>
        <w:t>c</w:t>
      </w:r>
      <w:r w:rsidRPr="38035CBB">
        <w:rPr>
          <w:rFonts w:ascii="Verdana" w:hAnsi="Verdana"/>
          <w:sz w:val="22"/>
          <w:szCs w:val="22"/>
          <w:lang w:val="es-CO"/>
        </w:rPr>
        <w:t xml:space="preserve">ejo municipal de </w:t>
      </w:r>
      <w:r w:rsidR="008A339F" w:rsidRPr="38035CBB">
        <w:rPr>
          <w:rFonts w:ascii="Verdana" w:hAnsi="Verdana"/>
          <w:sz w:val="22"/>
          <w:szCs w:val="22"/>
          <w:lang w:val="es-CO"/>
        </w:rPr>
        <w:t>Chivat</w:t>
      </w:r>
      <w:r w:rsidRPr="38035CBB">
        <w:rPr>
          <w:rFonts w:ascii="Verdana" w:hAnsi="Verdana"/>
          <w:sz w:val="22"/>
          <w:szCs w:val="22"/>
          <w:lang w:val="es-CO"/>
        </w:rPr>
        <w:t>á</w:t>
      </w:r>
      <w:r w:rsidR="70CA86B0" w:rsidRPr="38035CBB">
        <w:rPr>
          <w:rFonts w:ascii="Verdana" w:hAnsi="Verdana"/>
          <w:sz w:val="22"/>
          <w:szCs w:val="22"/>
          <w:lang w:val="es-CO"/>
        </w:rPr>
        <w:t>,</w:t>
      </w:r>
      <w:r w:rsidRPr="38035CBB">
        <w:rPr>
          <w:rFonts w:ascii="Verdana" w:hAnsi="Verdana"/>
          <w:sz w:val="22"/>
          <w:szCs w:val="22"/>
          <w:lang w:val="es-CO"/>
        </w:rPr>
        <w:t xml:space="preserve"> NO es la prevista en el artículo 12 de la ley 819 de 2003 – vigencias futuras ordinarias- sino la consagrada en el artículo 8</w:t>
      </w:r>
      <w:r w:rsidR="001D31DB" w:rsidRPr="38035CBB">
        <w:rPr>
          <w:rFonts w:ascii="Verdana" w:hAnsi="Verdana"/>
          <w:sz w:val="22"/>
          <w:szCs w:val="22"/>
          <w:lang w:val="es-CO"/>
        </w:rPr>
        <w:t xml:space="preserve"> del aludido precepto normativo,</w:t>
      </w:r>
      <w:r w:rsidRPr="38035CBB">
        <w:rPr>
          <w:rFonts w:ascii="Verdana" w:hAnsi="Verdana"/>
          <w:sz w:val="22"/>
          <w:szCs w:val="22"/>
          <w:lang w:val="es-CO"/>
        </w:rPr>
        <w:t xml:space="preserve"> </w:t>
      </w:r>
      <w:r w:rsidRPr="38035CBB">
        <w:rPr>
          <w:rFonts w:ascii="Verdana" w:hAnsi="Verdana"/>
          <w:i/>
          <w:iCs/>
          <w:sz w:val="22"/>
          <w:szCs w:val="22"/>
          <w:lang w:val="es-CO"/>
        </w:rPr>
        <w:t>(ii)</w:t>
      </w:r>
      <w:r w:rsidRPr="38035CBB">
        <w:rPr>
          <w:rFonts w:ascii="Verdana" w:hAnsi="Verdana"/>
          <w:sz w:val="22"/>
          <w:szCs w:val="22"/>
          <w:lang w:val="es-CO"/>
        </w:rPr>
        <w:t xml:space="preserve"> para el año 20</w:t>
      </w:r>
      <w:r w:rsidR="008A339F" w:rsidRPr="38035CBB">
        <w:rPr>
          <w:rFonts w:ascii="Verdana" w:hAnsi="Verdana"/>
          <w:sz w:val="22"/>
          <w:szCs w:val="22"/>
          <w:lang w:val="es-CO"/>
        </w:rPr>
        <w:t>20</w:t>
      </w:r>
      <w:r w:rsidRPr="38035CBB">
        <w:rPr>
          <w:rFonts w:ascii="Verdana" w:hAnsi="Verdana"/>
          <w:sz w:val="22"/>
          <w:szCs w:val="22"/>
          <w:lang w:val="es-CO"/>
        </w:rPr>
        <w:t xml:space="preserve"> se contaba con el 100% de la disponibilidad </w:t>
      </w:r>
      <w:r w:rsidRPr="38035CBB">
        <w:rPr>
          <w:rFonts w:ascii="Verdana" w:hAnsi="Verdana"/>
          <w:sz w:val="22"/>
          <w:szCs w:val="22"/>
          <w:lang w:val="es-CO"/>
        </w:rPr>
        <w:lastRenderedPageBreak/>
        <w:t>presupuestal para la ejecución de</w:t>
      </w:r>
      <w:r w:rsidR="008A339F" w:rsidRPr="38035CBB">
        <w:rPr>
          <w:rFonts w:ascii="Verdana" w:hAnsi="Verdana"/>
          <w:sz w:val="22"/>
          <w:szCs w:val="22"/>
          <w:lang w:val="es-CO"/>
        </w:rPr>
        <w:t xml:space="preserve"> los </w:t>
      </w:r>
      <w:r w:rsidRPr="38035CBB">
        <w:rPr>
          <w:rFonts w:ascii="Verdana" w:hAnsi="Verdana"/>
          <w:sz w:val="22"/>
          <w:szCs w:val="22"/>
          <w:lang w:val="es-CO"/>
        </w:rPr>
        <w:t>proyecto</w:t>
      </w:r>
      <w:r w:rsidR="008A339F" w:rsidRPr="38035CBB">
        <w:rPr>
          <w:rFonts w:ascii="Verdana" w:hAnsi="Verdana"/>
          <w:sz w:val="22"/>
          <w:szCs w:val="22"/>
          <w:lang w:val="es-CO"/>
        </w:rPr>
        <w:t>s de inversión establecidos en el acuerdo</w:t>
      </w:r>
      <w:r w:rsidRPr="38035CBB">
        <w:rPr>
          <w:rFonts w:ascii="Verdana" w:hAnsi="Verdana"/>
          <w:sz w:val="22"/>
          <w:szCs w:val="22"/>
          <w:lang w:val="es-CO"/>
        </w:rPr>
        <w:t xml:space="preserve"> y </w:t>
      </w:r>
      <w:r w:rsidRPr="38035CBB">
        <w:rPr>
          <w:rFonts w:ascii="Verdana" w:hAnsi="Verdana"/>
          <w:i/>
          <w:iCs/>
          <w:sz w:val="22"/>
          <w:szCs w:val="22"/>
          <w:lang w:val="es-CO"/>
        </w:rPr>
        <w:t>(iii)</w:t>
      </w:r>
      <w:r w:rsidRPr="38035CBB">
        <w:rPr>
          <w:rFonts w:ascii="Verdana" w:hAnsi="Verdana"/>
          <w:sz w:val="22"/>
          <w:szCs w:val="22"/>
          <w:lang w:val="es-CO"/>
        </w:rPr>
        <w:t xml:space="preserve"> </w:t>
      </w:r>
      <w:r w:rsidR="008A339F" w:rsidRPr="38035CBB">
        <w:rPr>
          <w:rFonts w:ascii="Verdana" w:hAnsi="Verdana"/>
          <w:sz w:val="22"/>
          <w:szCs w:val="22"/>
          <w:lang w:val="es-CO"/>
        </w:rPr>
        <w:t xml:space="preserve">se previó que </w:t>
      </w:r>
      <w:r w:rsidRPr="38035CBB">
        <w:rPr>
          <w:rFonts w:ascii="Verdana" w:hAnsi="Verdana"/>
          <w:sz w:val="22"/>
          <w:szCs w:val="22"/>
          <w:lang w:val="es-CO"/>
        </w:rPr>
        <w:t>la ejecución de</w:t>
      </w:r>
      <w:r w:rsidR="008A339F" w:rsidRPr="38035CBB">
        <w:rPr>
          <w:rFonts w:ascii="Verdana" w:hAnsi="Verdana"/>
          <w:sz w:val="22"/>
          <w:szCs w:val="22"/>
          <w:lang w:val="es-CO"/>
        </w:rPr>
        <w:t xml:space="preserve"> estos</w:t>
      </w:r>
      <w:r w:rsidRPr="38035CBB">
        <w:rPr>
          <w:rFonts w:ascii="Verdana" w:hAnsi="Verdana"/>
          <w:sz w:val="22"/>
          <w:szCs w:val="22"/>
          <w:lang w:val="es-CO"/>
        </w:rPr>
        <w:t xml:space="preserve"> proyecto</w:t>
      </w:r>
      <w:r w:rsidR="008A339F" w:rsidRPr="38035CBB">
        <w:rPr>
          <w:rFonts w:ascii="Verdana" w:hAnsi="Verdana"/>
          <w:sz w:val="22"/>
          <w:szCs w:val="22"/>
          <w:lang w:val="es-CO"/>
        </w:rPr>
        <w:t>s</w:t>
      </w:r>
      <w:r w:rsidRPr="38035CBB">
        <w:rPr>
          <w:rFonts w:ascii="Verdana" w:hAnsi="Verdana"/>
          <w:sz w:val="22"/>
          <w:szCs w:val="22"/>
          <w:lang w:val="es-CO"/>
        </w:rPr>
        <w:t xml:space="preserve"> super</w:t>
      </w:r>
      <w:r w:rsidR="008A339F" w:rsidRPr="38035CBB">
        <w:rPr>
          <w:rFonts w:ascii="Verdana" w:hAnsi="Verdana"/>
          <w:sz w:val="22"/>
          <w:szCs w:val="22"/>
          <w:lang w:val="es-CO"/>
        </w:rPr>
        <w:t>aba la</w:t>
      </w:r>
      <w:r w:rsidRPr="38035CBB">
        <w:rPr>
          <w:rFonts w:ascii="Verdana" w:hAnsi="Verdana"/>
          <w:sz w:val="22"/>
          <w:szCs w:val="22"/>
          <w:lang w:val="es-CO"/>
        </w:rPr>
        <w:t xml:space="preserve"> </w:t>
      </w:r>
      <w:r w:rsidR="00C13238" w:rsidRPr="38035CBB">
        <w:rPr>
          <w:rFonts w:ascii="Verdana" w:hAnsi="Verdana"/>
          <w:sz w:val="22"/>
          <w:szCs w:val="22"/>
          <w:lang w:val="es-CO"/>
        </w:rPr>
        <w:t>vigencia presupuestal 20</w:t>
      </w:r>
      <w:r w:rsidR="008A339F" w:rsidRPr="38035CBB">
        <w:rPr>
          <w:rFonts w:ascii="Verdana" w:hAnsi="Verdana"/>
          <w:sz w:val="22"/>
          <w:szCs w:val="22"/>
          <w:lang w:val="es-CO"/>
        </w:rPr>
        <w:t>20</w:t>
      </w:r>
      <w:r w:rsidR="00C13238" w:rsidRPr="38035CBB">
        <w:rPr>
          <w:rFonts w:ascii="Verdana" w:hAnsi="Verdana"/>
          <w:sz w:val="22"/>
          <w:szCs w:val="22"/>
          <w:lang w:val="es-CO"/>
        </w:rPr>
        <w:t>,</w:t>
      </w:r>
      <w:r w:rsidRPr="38035CBB">
        <w:rPr>
          <w:rFonts w:ascii="Verdana" w:hAnsi="Verdana"/>
          <w:sz w:val="22"/>
          <w:szCs w:val="22"/>
          <w:lang w:val="es-CO"/>
        </w:rPr>
        <w:t xml:space="preserve"> la Sala concluye que en el presente caso se deben denegar las pretensiones de la demanda conforme a los cargos invocados en el concepto de violación de la misma.</w:t>
      </w:r>
    </w:p>
    <w:p w14:paraId="76276B3B" w14:textId="0F83FC76" w:rsidR="38035CBB" w:rsidRDefault="38035CBB" w:rsidP="38035CBB">
      <w:pPr>
        <w:pStyle w:val="BodyText23"/>
        <w:rPr>
          <w:szCs w:val="24"/>
          <w:lang w:val="es-CO"/>
        </w:rPr>
      </w:pPr>
    </w:p>
    <w:p w14:paraId="54FB57C7" w14:textId="77777777" w:rsidR="0006439E" w:rsidRPr="00134356" w:rsidRDefault="0006439E" w:rsidP="0006439E">
      <w:pPr>
        <w:pStyle w:val="BodyText23"/>
        <w:numPr>
          <w:ilvl w:val="0"/>
          <w:numId w:val="2"/>
        </w:numPr>
        <w:jc w:val="center"/>
        <w:rPr>
          <w:rFonts w:ascii="Verdana" w:hAnsi="Verdana"/>
          <w:b/>
          <w:sz w:val="22"/>
          <w:szCs w:val="22"/>
        </w:rPr>
      </w:pPr>
      <w:r w:rsidRPr="00134356">
        <w:rPr>
          <w:rFonts w:ascii="Verdana" w:hAnsi="Verdana"/>
          <w:b/>
          <w:sz w:val="22"/>
          <w:szCs w:val="22"/>
        </w:rPr>
        <w:t>DECISIÓN</w:t>
      </w:r>
    </w:p>
    <w:p w14:paraId="30D7AA69" w14:textId="77777777" w:rsidR="0006439E" w:rsidRPr="00134356" w:rsidRDefault="0006439E" w:rsidP="0006439E">
      <w:pPr>
        <w:pStyle w:val="BodyText23"/>
        <w:jc w:val="center"/>
        <w:rPr>
          <w:rFonts w:ascii="Verdana" w:hAnsi="Verdana"/>
          <w:b/>
          <w:sz w:val="22"/>
          <w:szCs w:val="22"/>
        </w:rPr>
      </w:pPr>
    </w:p>
    <w:p w14:paraId="59F6578F" w14:textId="77777777" w:rsidR="0006439E" w:rsidRPr="00134356" w:rsidRDefault="0006439E" w:rsidP="0006439E">
      <w:pPr>
        <w:pStyle w:val="BodyText23"/>
        <w:rPr>
          <w:rFonts w:ascii="Verdana" w:hAnsi="Verdana"/>
          <w:sz w:val="22"/>
          <w:szCs w:val="22"/>
        </w:rPr>
      </w:pPr>
      <w:r w:rsidRPr="00134356">
        <w:rPr>
          <w:rFonts w:ascii="Verdana" w:hAnsi="Verdana"/>
          <w:sz w:val="22"/>
          <w:szCs w:val="22"/>
        </w:rPr>
        <w:t xml:space="preserve">En mérito de lo expuesto, el Tribunal Administrativo de Boyacá, Sala de Decisión No. 6, administrando justicia en nombre de la República y por autoridad de la Ley, </w:t>
      </w:r>
    </w:p>
    <w:p w14:paraId="7196D064" w14:textId="26A12F0B" w:rsidR="0006439E" w:rsidRPr="00134356" w:rsidRDefault="0006439E" w:rsidP="0006439E">
      <w:pPr>
        <w:pStyle w:val="BodyText23"/>
        <w:rPr>
          <w:rFonts w:ascii="Verdana" w:hAnsi="Verdana"/>
          <w:b/>
          <w:sz w:val="22"/>
          <w:szCs w:val="22"/>
        </w:rPr>
      </w:pPr>
    </w:p>
    <w:p w14:paraId="71C88679" w14:textId="77777777" w:rsidR="0006439E" w:rsidRPr="00134356" w:rsidRDefault="0006439E" w:rsidP="0006439E">
      <w:pPr>
        <w:pStyle w:val="BodyText23"/>
        <w:jc w:val="center"/>
        <w:rPr>
          <w:rFonts w:ascii="Verdana" w:hAnsi="Verdana"/>
          <w:b/>
          <w:sz w:val="22"/>
          <w:szCs w:val="22"/>
        </w:rPr>
      </w:pPr>
      <w:r w:rsidRPr="00134356">
        <w:rPr>
          <w:rFonts w:ascii="Verdana" w:hAnsi="Verdana"/>
          <w:b/>
          <w:sz w:val="22"/>
          <w:szCs w:val="22"/>
        </w:rPr>
        <w:t>FALLA</w:t>
      </w:r>
    </w:p>
    <w:p w14:paraId="34FF1C98" w14:textId="77777777" w:rsidR="0006439E" w:rsidRPr="00134356" w:rsidRDefault="0006439E" w:rsidP="0006439E">
      <w:pPr>
        <w:pStyle w:val="BodyText23"/>
        <w:spacing w:line="276" w:lineRule="auto"/>
        <w:jc w:val="center"/>
        <w:rPr>
          <w:rFonts w:ascii="Verdana" w:hAnsi="Verdana"/>
          <w:b/>
          <w:sz w:val="22"/>
          <w:szCs w:val="22"/>
        </w:rPr>
      </w:pPr>
    </w:p>
    <w:p w14:paraId="1B4344DC" w14:textId="77777777" w:rsidR="0006439E" w:rsidRPr="00134356" w:rsidRDefault="0006439E" w:rsidP="0006439E">
      <w:pPr>
        <w:pStyle w:val="BodyText23"/>
        <w:rPr>
          <w:rFonts w:ascii="Verdana" w:hAnsi="Verdana"/>
          <w:sz w:val="22"/>
          <w:szCs w:val="22"/>
          <w:lang w:val="es-MX" w:eastAsia="es-ES"/>
        </w:rPr>
      </w:pPr>
      <w:r w:rsidRPr="00134356">
        <w:rPr>
          <w:rFonts w:ascii="Verdana" w:hAnsi="Verdana"/>
          <w:b/>
          <w:sz w:val="22"/>
          <w:szCs w:val="22"/>
        </w:rPr>
        <w:t xml:space="preserve">PRIMERO: </w:t>
      </w:r>
      <w:r w:rsidR="00C13238" w:rsidRPr="00134356">
        <w:rPr>
          <w:rFonts w:ascii="Verdana" w:hAnsi="Verdana"/>
          <w:b/>
          <w:sz w:val="22"/>
          <w:szCs w:val="22"/>
        </w:rPr>
        <w:t xml:space="preserve">Denegar </w:t>
      </w:r>
      <w:r w:rsidR="00C13238" w:rsidRPr="00134356">
        <w:rPr>
          <w:rFonts w:ascii="Verdana" w:hAnsi="Verdana"/>
          <w:sz w:val="22"/>
          <w:szCs w:val="22"/>
        </w:rPr>
        <w:t>las pretensiones de la demanda</w:t>
      </w:r>
      <w:r w:rsidRPr="00134356">
        <w:rPr>
          <w:rFonts w:ascii="Verdana" w:hAnsi="Verdana"/>
          <w:i/>
          <w:sz w:val="22"/>
          <w:szCs w:val="22"/>
        </w:rPr>
        <w:t xml:space="preserve">, </w:t>
      </w:r>
      <w:r w:rsidRPr="00134356">
        <w:rPr>
          <w:rFonts w:ascii="Verdana" w:hAnsi="Verdana"/>
          <w:sz w:val="22"/>
          <w:szCs w:val="22"/>
        </w:rPr>
        <w:t xml:space="preserve">conforme lo expuesto. </w:t>
      </w:r>
    </w:p>
    <w:p w14:paraId="29D6B04F" w14:textId="77777777" w:rsidR="0006439E" w:rsidRPr="00134356" w:rsidRDefault="0006439E" w:rsidP="0006439E">
      <w:pPr>
        <w:pStyle w:val="BodyText23"/>
        <w:spacing w:line="276" w:lineRule="auto"/>
        <w:rPr>
          <w:rFonts w:ascii="Verdana" w:hAnsi="Verdana"/>
          <w:b/>
          <w:sz w:val="22"/>
          <w:szCs w:val="22"/>
        </w:rPr>
      </w:pPr>
      <w:r w:rsidRPr="00134356">
        <w:rPr>
          <w:rFonts w:ascii="Verdana" w:hAnsi="Verdana"/>
          <w:b/>
          <w:sz w:val="22"/>
          <w:szCs w:val="22"/>
        </w:rPr>
        <w:t xml:space="preserve"> </w:t>
      </w:r>
    </w:p>
    <w:p w14:paraId="2A3F9933" w14:textId="0B098836" w:rsidR="0006439E" w:rsidRPr="00134356" w:rsidRDefault="0006439E" w:rsidP="0006439E">
      <w:pPr>
        <w:pStyle w:val="BodyText23"/>
        <w:rPr>
          <w:rFonts w:ascii="Verdana" w:hAnsi="Verdana"/>
          <w:sz w:val="22"/>
          <w:szCs w:val="22"/>
        </w:rPr>
      </w:pPr>
      <w:r w:rsidRPr="4F77423D">
        <w:rPr>
          <w:rFonts w:ascii="Verdana" w:hAnsi="Verdana"/>
          <w:b/>
          <w:bCs/>
          <w:sz w:val="22"/>
          <w:szCs w:val="22"/>
        </w:rPr>
        <w:t xml:space="preserve">SEGUNDO: </w:t>
      </w:r>
      <w:r w:rsidRPr="4F77423D">
        <w:rPr>
          <w:rFonts w:ascii="Verdana" w:hAnsi="Verdana"/>
          <w:sz w:val="22"/>
          <w:szCs w:val="22"/>
        </w:rPr>
        <w:t xml:space="preserve">Comuníquese esta determinación al Departamento de Boyacá, al </w:t>
      </w:r>
      <w:r w:rsidR="58C26E70" w:rsidRPr="4F77423D">
        <w:rPr>
          <w:rFonts w:ascii="Verdana" w:hAnsi="Verdana"/>
          <w:sz w:val="22"/>
          <w:szCs w:val="22"/>
        </w:rPr>
        <w:t>presidente</w:t>
      </w:r>
      <w:r w:rsidRPr="4F77423D">
        <w:rPr>
          <w:rFonts w:ascii="Verdana" w:hAnsi="Verdana"/>
          <w:sz w:val="22"/>
          <w:szCs w:val="22"/>
        </w:rPr>
        <w:t xml:space="preserve"> del Concejo, al </w:t>
      </w:r>
      <w:r w:rsidR="7330C3D3" w:rsidRPr="4F77423D">
        <w:rPr>
          <w:rFonts w:ascii="Verdana" w:hAnsi="Verdana"/>
          <w:sz w:val="22"/>
          <w:szCs w:val="22"/>
        </w:rPr>
        <w:t>alcalde</w:t>
      </w:r>
      <w:r w:rsidRPr="4F77423D">
        <w:rPr>
          <w:rFonts w:ascii="Verdana" w:hAnsi="Verdana"/>
          <w:sz w:val="22"/>
          <w:szCs w:val="22"/>
        </w:rPr>
        <w:t xml:space="preserve"> y al Personero Municipal de </w:t>
      </w:r>
      <w:r w:rsidR="004B39B4" w:rsidRPr="4F77423D">
        <w:rPr>
          <w:rFonts w:ascii="Verdana" w:hAnsi="Verdana"/>
          <w:sz w:val="22"/>
          <w:szCs w:val="22"/>
        </w:rPr>
        <w:t>Chivat</w:t>
      </w:r>
      <w:r w:rsidR="002868DA" w:rsidRPr="4F77423D">
        <w:rPr>
          <w:rFonts w:ascii="Verdana" w:hAnsi="Verdana"/>
          <w:sz w:val="22"/>
          <w:szCs w:val="22"/>
        </w:rPr>
        <w:t>á</w:t>
      </w:r>
      <w:r w:rsidRPr="4F77423D">
        <w:rPr>
          <w:rFonts w:ascii="Verdana" w:hAnsi="Verdana"/>
          <w:sz w:val="22"/>
          <w:szCs w:val="22"/>
        </w:rPr>
        <w:t xml:space="preserve">.  </w:t>
      </w:r>
    </w:p>
    <w:p w14:paraId="6D072C0D" w14:textId="77777777" w:rsidR="0006439E" w:rsidRPr="00134356" w:rsidRDefault="0006439E" w:rsidP="0006439E">
      <w:pPr>
        <w:pStyle w:val="BodyText23"/>
        <w:spacing w:line="276" w:lineRule="auto"/>
        <w:rPr>
          <w:rFonts w:ascii="Verdana" w:hAnsi="Verdana"/>
          <w:b/>
          <w:sz w:val="22"/>
          <w:szCs w:val="22"/>
        </w:rPr>
      </w:pPr>
    </w:p>
    <w:p w14:paraId="5BB06302" w14:textId="77777777" w:rsidR="0006439E" w:rsidRPr="00134356" w:rsidRDefault="0006439E" w:rsidP="0006439E">
      <w:pPr>
        <w:pStyle w:val="BodyText23"/>
        <w:rPr>
          <w:rFonts w:ascii="Verdana" w:hAnsi="Verdana"/>
          <w:sz w:val="22"/>
          <w:szCs w:val="22"/>
        </w:rPr>
      </w:pPr>
      <w:r w:rsidRPr="00134356">
        <w:rPr>
          <w:rFonts w:ascii="Verdana" w:hAnsi="Verdana"/>
          <w:b/>
          <w:sz w:val="22"/>
          <w:szCs w:val="22"/>
        </w:rPr>
        <w:t xml:space="preserve">TERCERO: </w:t>
      </w:r>
      <w:r w:rsidRPr="00134356">
        <w:rPr>
          <w:rFonts w:ascii="Verdana" w:hAnsi="Verdana"/>
          <w:sz w:val="22"/>
          <w:szCs w:val="22"/>
        </w:rPr>
        <w:t>En firme esta providencia procédase a su archivo dejando las anotaciones y constancias de rigor.</w:t>
      </w:r>
    </w:p>
    <w:p w14:paraId="48A21919" w14:textId="77777777" w:rsidR="0006439E" w:rsidRPr="00134356" w:rsidRDefault="0006439E" w:rsidP="0006439E">
      <w:pPr>
        <w:pStyle w:val="BodyText23"/>
        <w:rPr>
          <w:rFonts w:ascii="Verdana" w:hAnsi="Verdana"/>
          <w:sz w:val="22"/>
          <w:szCs w:val="22"/>
        </w:rPr>
      </w:pPr>
    </w:p>
    <w:p w14:paraId="62BF6E02" w14:textId="77777777" w:rsidR="0006439E" w:rsidRPr="00134356" w:rsidRDefault="0006439E" w:rsidP="0006439E">
      <w:pPr>
        <w:pStyle w:val="BodyText23"/>
        <w:rPr>
          <w:rFonts w:ascii="Verdana" w:hAnsi="Verdana"/>
          <w:b/>
          <w:sz w:val="22"/>
          <w:szCs w:val="22"/>
        </w:rPr>
      </w:pPr>
      <w:r w:rsidRPr="00134356">
        <w:rPr>
          <w:rFonts w:ascii="Verdana" w:hAnsi="Verdana"/>
          <w:b/>
          <w:sz w:val="22"/>
          <w:szCs w:val="22"/>
        </w:rPr>
        <w:t>NOTIFÍQUESE Y CÚMPLASE.</w:t>
      </w:r>
    </w:p>
    <w:p w14:paraId="6BD18F9B" w14:textId="77777777" w:rsidR="0006439E" w:rsidRPr="00134356" w:rsidRDefault="0006439E" w:rsidP="0006439E">
      <w:pPr>
        <w:pStyle w:val="BodyText23"/>
        <w:spacing w:line="276" w:lineRule="auto"/>
        <w:rPr>
          <w:rFonts w:ascii="Verdana" w:hAnsi="Verdana"/>
          <w:b/>
          <w:sz w:val="22"/>
          <w:szCs w:val="22"/>
        </w:rPr>
      </w:pPr>
    </w:p>
    <w:p w14:paraId="2FEF51E5" w14:textId="77777777" w:rsidR="0006439E" w:rsidRPr="00134356" w:rsidRDefault="0006439E" w:rsidP="0006439E">
      <w:pPr>
        <w:spacing w:line="360" w:lineRule="auto"/>
        <w:jc w:val="both"/>
        <w:rPr>
          <w:rFonts w:ascii="Verdana" w:hAnsi="Verdana"/>
          <w:sz w:val="22"/>
          <w:szCs w:val="22"/>
        </w:rPr>
      </w:pPr>
      <w:r w:rsidRPr="00134356">
        <w:rPr>
          <w:rFonts w:ascii="Verdana" w:hAnsi="Verdana"/>
          <w:sz w:val="22"/>
          <w:szCs w:val="22"/>
        </w:rPr>
        <w:t>Los Magistrados,</w:t>
      </w:r>
    </w:p>
    <w:p w14:paraId="238601FE" w14:textId="77777777" w:rsidR="0006439E" w:rsidRPr="00134356" w:rsidRDefault="0006439E" w:rsidP="0006439E">
      <w:pPr>
        <w:pStyle w:val="Textoindependiente"/>
        <w:spacing w:line="276" w:lineRule="auto"/>
        <w:jc w:val="center"/>
        <w:rPr>
          <w:rFonts w:ascii="Verdana" w:hAnsi="Verdana"/>
          <w:b/>
          <w:sz w:val="22"/>
          <w:szCs w:val="22"/>
        </w:rPr>
      </w:pPr>
    </w:p>
    <w:p w14:paraId="0F3CABC7" w14:textId="54EEB114" w:rsidR="0006439E" w:rsidRPr="00134356" w:rsidRDefault="52DFEFC9" w:rsidP="0ADF79A1">
      <w:pPr>
        <w:pStyle w:val="Textoindependiente"/>
        <w:spacing w:line="360" w:lineRule="auto"/>
        <w:rPr>
          <w:rFonts w:ascii="Verdana" w:hAnsi="Verdana"/>
          <w:b/>
          <w:bCs/>
          <w:sz w:val="22"/>
          <w:szCs w:val="22"/>
        </w:rPr>
      </w:pPr>
      <w:r w:rsidRPr="291D4545">
        <w:rPr>
          <w:rFonts w:ascii="Verdana" w:hAnsi="Verdana"/>
          <w:b/>
          <w:bCs/>
          <w:sz w:val="22"/>
          <w:szCs w:val="22"/>
        </w:rPr>
        <w:t xml:space="preserve">                                      </w:t>
      </w:r>
    </w:p>
    <w:p w14:paraId="51F4DB1B" w14:textId="77777777" w:rsidR="0006439E" w:rsidRPr="00134356" w:rsidRDefault="0006439E" w:rsidP="0006439E">
      <w:pPr>
        <w:pStyle w:val="Textoindependiente"/>
        <w:spacing w:line="360" w:lineRule="auto"/>
        <w:jc w:val="center"/>
        <w:rPr>
          <w:rFonts w:ascii="Verdana" w:hAnsi="Verdana"/>
          <w:b/>
          <w:sz w:val="22"/>
          <w:szCs w:val="22"/>
        </w:rPr>
      </w:pPr>
      <w:r w:rsidRPr="00134356">
        <w:rPr>
          <w:rFonts w:ascii="Verdana" w:hAnsi="Verdana"/>
          <w:b/>
          <w:sz w:val="22"/>
          <w:szCs w:val="22"/>
        </w:rPr>
        <w:t>FELIX ALBERTO RODRIGUEZ RIVEROS</w:t>
      </w:r>
    </w:p>
    <w:p w14:paraId="70D28111" w14:textId="0D71F3F8" w:rsidR="004B39B4" w:rsidRDefault="004B39B4" w:rsidP="0006439E">
      <w:pPr>
        <w:pStyle w:val="Textoindependiente"/>
        <w:spacing w:line="360" w:lineRule="auto"/>
        <w:jc w:val="center"/>
      </w:pPr>
    </w:p>
    <w:p w14:paraId="67A929E3" w14:textId="77777777" w:rsidR="00EF7F52" w:rsidRPr="00134356" w:rsidRDefault="00EF7F52" w:rsidP="0006439E">
      <w:pPr>
        <w:pStyle w:val="Textoindependiente"/>
        <w:spacing w:line="360" w:lineRule="auto"/>
        <w:jc w:val="center"/>
      </w:pPr>
    </w:p>
    <w:p w14:paraId="051CCCF6" w14:textId="77777777" w:rsidR="0006439E" w:rsidRPr="00134356" w:rsidRDefault="0006439E" w:rsidP="0006439E">
      <w:pPr>
        <w:spacing w:line="360" w:lineRule="auto"/>
        <w:jc w:val="center"/>
        <w:rPr>
          <w:rFonts w:ascii="Verdana" w:hAnsi="Verdana"/>
          <w:b/>
          <w:sz w:val="22"/>
          <w:szCs w:val="22"/>
        </w:rPr>
      </w:pPr>
      <w:r w:rsidRPr="00134356">
        <w:rPr>
          <w:rFonts w:ascii="Verdana" w:hAnsi="Verdana"/>
          <w:b/>
          <w:sz w:val="22"/>
          <w:szCs w:val="22"/>
        </w:rPr>
        <w:t>FABIO IVAN AFANADOR GARCIA</w:t>
      </w:r>
    </w:p>
    <w:p w14:paraId="0AD9C6F4" w14:textId="77777777" w:rsidR="0006439E" w:rsidRPr="00134356" w:rsidRDefault="0006439E" w:rsidP="291D4545">
      <w:pPr>
        <w:spacing w:line="276" w:lineRule="auto"/>
        <w:rPr>
          <w:rFonts w:ascii="Verdana" w:hAnsi="Verdana"/>
          <w:b/>
          <w:bCs/>
          <w:sz w:val="22"/>
          <w:szCs w:val="22"/>
        </w:rPr>
      </w:pPr>
    </w:p>
    <w:p w14:paraId="422A22EB" w14:textId="535A9A86" w:rsidR="291D4545" w:rsidRDefault="291D4545" w:rsidP="291D4545">
      <w:pPr>
        <w:spacing w:line="276" w:lineRule="auto"/>
        <w:rPr>
          <w:rFonts w:ascii="Verdana" w:hAnsi="Verdana"/>
          <w:b/>
          <w:bCs/>
          <w:sz w:val="22"/>
          <w:szCs w:val="22"/>
        </w:rPr>
      </w:pPr>
    </w:p>
    <w:p w14:paraId="4B1F511A" w14:textId="51ED08A8" w:rsidR="0006439E" w:rsidRPr="00134356" w:rsidRDefault="159F4222" w:rsidP="291D4545">
      <w:pPr>
        <w:spacing w:line="276" w:lineRule="auto"/>
      </w:pPr>
      <w:r w:rsidRPr="291D4545">
        <w:rPr>
          <w:rFonts w:ascii="Verdana" w:hAnsi="Verdana"/>
          <w:b/>
          <w:bCs/>
          <w:sz w:val="22"/>
          <w:szCs w:val="22"/>
        </w:rPr>
        <w:t xml:space="preserve">                                               </w:t>
      </w:r>
    </w:p>
    <w:p w14:paraId="2D079B3E" w14:textId="77777777" w:rsidR="0006439E" w:rsidRPr="00134356" w:rsidRDefault="0006439E" w:rsidP="0006439E">
      <w:pPr>
        <w:pStyle w:val="BodyText23"/>
        <w:jc w:val="center"/>
        <w:rPr>
          <w:rFonts w:ascii="Verdana" w:hAnsi="Verdana"/>
          <w:sz w:val="22"/>
          <w:szCs w:val="22"/>
          <w:lang w:val="es-MX" w:eastAsia="es-ES"/>
        </w:rPr>
      </w:pPr>
      <w:r w:rsidRPr="00134356">
        <w:rPr>
          <w:rFonts w:ascii="Verdana" w:hAnsi="Verdana"/>
          <w:b/>
          <w:sz w:val="22"/>
          <w:szCs w:val="22"/>
        </w:rPr>
        <w:t>LUIS ERNESTO ARCINIEGAS TRIANA</w:t>
      </w:r>
    </w:p>
    <w:p w14:paraId="65F9C3DC" w14:textId="77777777" w:rsidR="0006439E" w:rsidRPr="00134356" w:rsidRDefault="0006439E" w:rsidP="0006439E">
      <w:pPr>
        <w:pStyle w:val="BodyText23"/>
        <w:rPr>
          <w:rFonts w:ascii="Verdana" w:hAnsi="Verdana"/>
          <w:sz w:val="22"/>
          <w:szCs w:val="22"/>
          <w:lang w:val="es-MX" w:eastAsia="es-ES"/>
        </w:rPr>
      </w:pPr>
    </w:p>
    <w:sectPr w:rsidR="0006439E" w:rsidRPr="00134356" w:rsidSect="006D6A9D">
      <w:headerReference w:type="default" r:id="rId12"/>
      <w:footerReference w:type="even" r:id="rId13"/>
      <w:footerReference w:type="default" r:id="rId14"/>
      <w:footnotePr>
        <w:pos w:val="beneathText"/>
      </w:footnotePr>
      <w:pgSz w:w="12242" w:h="18722" w:code="14"/>
      <w:pgMar w:top="1985"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7143D" w14:textId="77777777" w:rsidR="00B13D92" w:rsidRDefault="00B13D92" w:rsidP="0006439E">
      <w:r>
        <w:separator/>
      </w:r>
    </w:p>
  </w:endnote>
  <w:endnote w:type="continuationSeparator" w:id="0">
    <w:p w14:paraId="7BE2B8EF" w14:textId="77777777" w:rsidR="00B13D92" w:rsidRDefault="00B13D92" w:rsidP="0006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3C7856" w:rsidRDefault="003C7856" w:rsidP="006D6A9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2B00AE" w14:textId="77777777" w:rsidR="003C7856" w:rsidRDefault="003C785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491065"/>
      <w:docPartObj>
        <w:docPartGallery w:val="Page Numbers (Bottom of Page)"/>
        <w:docPartUnique/>
      </w:docPartObj>
    </w:sdtPr>
    <w:sdtEndPr>
      <w:rPr>
        <w:rFonts w:ascii="Verdana" w:hAnsi="Verdana"/>
      </w:rPr>
    </w:sdtEndPr>
    <w:sdtContent>
      <w:p w14:paraId="4A7C3C46" w14:textId="6602A007" w:rsidR="003C7856" w:rsidRPr="00397F51" w:rsidRDefault="003C7856">
        <w:pPr>
          <w:pStyle w:val="Piedepgina"/>
          <w:jc w:val="right"/>
          <w:rPr>
            <w:rFonts w:ascii="Verdana" w:hAnsi="Verdana"/>
          </w:rPr>
        </w:pPr>
        <w:r w:rsidRPr="00397F51">
          <w:rPr>
            <w:rFonts w:ascii="Verdana" w:hAnsi="Verdana"/>
          </w:rPr>
          <w:fldChar w:fldCharType="begin"/>
        </w:r>
        <w:r w:rsidRPr="00397F51">
          <w:rPr>
            <w:rFonts w:ascii="Verdana" w:hAnsi="Verdana"/>
          </w:rPr>
          <w:instrText>PAGE   \* MERGEFORMAT</w:instrText>
        </w:r>
        <w:r w:rsidRPr="00397F51">
          <w:rPr>
            <w:rFonts w:ascii="Verdana" w:hAnsi="Verdana"/>
          </w:rPr>
          <w:fldChar w:fldCharType="separate"/>
        </w:r>
        <w:r w:rsidR="00D959F4" w:rsidRPr="00D959F4">
          <w:rPr>
            <w:rFonts w:ascii="Verdana" w:hAnsi="Verdana"/>
            <w:noProof/>
            <w:lang w:val="es-ES"/>
          </w:rPr>
          <w:t>18</w:t>
        </w:r>
        <w:r w:rsidRPr="00397F51">
          <w:rPr>
            <w:rFonts w:ascii="Verdana" w:hAnsi="Verdana"/>
          </w:rPr>
          <w:fldChar w:fldCharType="end"/>
        </w:r>
      </w:p>
    </w:sdtContent>
  </w:sdt>
  <w:p w14:paraId="3041E394" w14:textId="77777777" w:rsidR="003C7856" w:rsidRDefault="003C785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26617" w14:textId="77777777" w:rsidR="00B13D92" w:rsidRDefault="00B13D92" w:rsidP="0006439E">
      <w:r>
        <w:separator/>
      </w:r>
    </w:p>
  </w:footnote>
  <w:footnote w:type="continuationSeparator" w:id="0">
    <w:p w14:paraId="07A5686F" w14:textId="77777777" w:rsidR="00B13D92" w:rsidRDefault="00B13D92" w:rsidP="0006439E">
      <w:r>
        <w:continuationSeparator/>
      </w:r>
    </w:p>
  </w:footnote>
  <w:footnote w:id="1">
    <w:p w14:paraId="35F9A76F" w14:textId="77777777" w:rsidR="003C7856" w:rsidRPr="00BD5BF8" w:rsidRDefault="003C7856">
      <w:pPr>
        <w:pStyle w:val="Textonotapie"/>
        <w:rPr>
          <w:lang w:val="es-CO"/>
        </w:rPr>
      </w:pPr>
      <w:r>
        <w:rPr>
          <w:rStyle w:val="Refdenotaalpie"/>
        </w:rPr>
        <w:footnoteRef/>
      </w:r>
      <w:r>
        <w:t xml:space="preserve"> </w:t>
      </w:r>
      <w:r>
        <w:rPr>
          <w:lang w:val="es-CO"/>
        </w:rPr>
        <w:t>Por la cual se dictan normas orgánicas en materia de presupuesto, responsabilidad y transparencia fiscal y se dictan otras disposiciones.</w:t>
      </w:r>
    </w:p>
  </w:footnote>
  <w:footnote w:id="2">
    <w:p w14:paraId="2D6893B2" w14:textId="77777777" w:rsidR="003C7856" w:rsidRPr="0081616B" w:rsidRDefault="003C7856" w:rsidP="005D447D">
      <w:pPr>
        <w:pStyle w:val="Textonotapie"/>
        <w:jc w:val="both"/>
        <w:rPr>
          <w:lang w:val="es-CO"/>
        </w:rPr>
      </w:pPr>
      <w:r w:rsidRPr="0081616B">
        <w:rPr>
          <w:rStyle w:val="Refdenotaalpie"/>
        </w:rPr>
        <w:footnoteRef/>
      </w:r>
      <w:r w:rsidRPr="0081616B">
        <w:t xml:space="preserve"> </w:t>
      </w:r>
      <w:r w:rsidRPr="0081616B">
        <w:rPr>
          <w:lang w:val="es-CO"/>
        </w:rPr>
        <w:t>Tribunal Administrativo de Boyacá, Sala de Decisión No. 1, Sentencia de 29 de noviembre de 2017. Expediente 15001233300020170010200 M.P. FABIO IVÁN AFANADOR GARCIA.</w:t>
      </w:r>
    </w:p>
  </w:footnote>
  <w:footnote w:id="3">
    <w:p w14:paraId="259C58BC" w14:textId="77777777" w:rsidR="003C7856" w:rsidRPr="0081616B" w:rsidRDefault="003C7856" w:rsidP="005D447D">
      <w:pPr>
        <w:pStyle w:val="Notaalpie0"/>
        <w:shd w:val="clear" w:color="auto" w:fill="auto"/>
        <w:rPr>
          <w:rFonts w:ascii="Times New Roman" w:hAnsi="Times New Roman" w:cs="Times New Roman"/>
          <w:sz w:val="20"/>
          <w:szCs w:val="20"/>
          <w:lang w:val="es-ES" w:eastAsia="es-ES"/>
        </w:rPr>
      </w:pPr>
      <w:r w:rsidRPr="0081616B">
        <w:rPr>
          <w:rStyle w:val="Refdenotaalpie"/>
          <w:rFonts w:ascii="Times New Roman" w:hAnsi="Times New Roman" w:cs="Times New Roman"/>
          <w:sz w:val="20"/>
          <w:szCs w:val="20"/>
        </w:rPr>
        <w:footnoteRef/>
      </w:r>
      <w:r w:rsidRPr="0081616B">
        <w:rPr>
          <w:rFonts w:ascii="Times New Roman" w:hAnsi="Times New Roman" w:cs="Times New Roman"/>
          <w:sz w:val="20"/>
          <w:szCs w:val="20"/>
        </w:rPr>
        <w:t xml:space="preserve"> </w:t>
      </w:r>
      <w:r w:rsidRPr="0081616B">
        <w:rPr>
          <w:rFonts w:ascii="Times New Roman" w:hAnsi="Times New Roman" w:cs="Times New Roman"/>
          <w:color w:val="000000"/>
          <w:sz w:val="20"/>
          <w:szCs w:val="20"/>
        </w:rPr>
        <w:t xml:space="preserve">Asesoría No. 031570 del 14 de agosto de 2016. Tema: Normas Orgánicas de Presupuesto. Subtema: Vigencias futuras - Aplicación Decreto 4836 de 2011 en entidades territoriales. Citado por </w:t>
      </w:r>
      <w:r w:rsidRPr="0081616B">
        <w:rPr>
          <w:rFonts w:ascii="Times New Roman" w:hAnsi="Times New Roman" w:cs="Times New Roman"/>
          <w:sz w:val="20"/>
          <w:szCs w:val="20"/>
        </w:rPr>
        <w:t>Tribunal Administrativo de Boyacá, Sala de Decisión No. 1, Sentencia de 29 de noviembre de 2017. Expediente 15001233300020170010200 M.P. FABIO IVÁN AFANADOR GARCIA.</w:t>
      </w:r>
    </w:p>
    <w:p w14:paraId="44FB30F8" w14:textId="77777777" w:rsidR="003C7856" w:rsidRPr="00CD6F7E" w:rsidRDefault="003C7856" w:rsidP="005D447D">
      <w:pPr>
        <w:pStyle w:val="Textonotapie"/>
        <w:rPr>
          <w:lang w:val="es-CO"/>
        </w:rPr>
      </w:pPr>
    </w:p>
  </w:footnote>
  <w:footnote w:id="4">
    <w:p w14:paraId="1DA6542E" w14:textId="77777777" w:rsidR="003C7856" w:rsidRPr="00BA4AAD" w:rsidRDefault="003C7856" w:rsidP="00BA7624">
      <w:pPr>
        <w:jc w:val="both"/>
        <w:rPr>
          <w:rFonts w:ascii="Verdana" w:hAnsi="Verdana" w:cs="Tahoma"/>
          <w:i/>
          <w:sz w:val="12"/>
          <w:szCs w:val="12"/>
        </w:rPr>
      </w:pPr>
    </w:p>
    <w:p w14:paraId="5D4A37A2" w14:textId="77777777" w:rsidR="003C7856" w:rsidRPr="00905001" w:rsidRDefault="003C7856" w:rsidP="00BA7624">
      <w:pPr>
        <w:jc w:val="both"/>
        <w:rPr>
          <w:rFonts w:ascii="Calibri Light" w:hAnsi="Calibri Light"/>
          <w:sz w:val="12"/>
          <w:szCs w:val="12"/>
        </w:rPr>
      </w:pPr>
      <w:r w:rsidRPr="00905001">
        <w:rPr>
          <w:rStyle w:val="Refdenotaalpie"/>
          <w:rFonts w:ascii="Calibri Light" w:eastAsia="Calibri" w:hAnsi="Calibri Light" w:cs="Tahoma"/>
          <w:i/>
          <w:sz w:val="16"/>
          <w:szCs w:val="12"/>
        </w:rPr>
        <w:footnoteRef/>
      </w:r>
      <w:r w:rsidRPr="00905001">
        <w:rPr>
          <w:rFonts w:ascii="Calibri Light" w:hAnsi="Calibri Light" w:cs="Tahoma"/>
          <w:i/>
          <w:sz w:val="16"/>
          <w:szCs w:val="12"/>
          <w:lang w:val="es-CO"/>
        </w:rPr>
        <w:t xml:space="preserve"> </w:t>
      </w:r>
      <w:r w:rsidRPr="00905001">
        <w:rPr>
          <w:rFonts w:ascii="Calibri Light" w:hAnsi="Calibri Light" w:cs="Tahoma"/>
          <w:i/>
          <w:sz w:val="16"/>
          <w:szCs w:val="12"/>
        </w:rPr>
        <w:t>Sentencia del 14 de julio de 2011. Radicación número: 85001-23-31-000-2009-00032-</w:t>
      </w:r>
      <w:smartTag w:uri="urn:schemas-microsoft-com:office:smarttags" w:element="metricconverter">
        <w:smartTagPr>
          <w:attr w:name="ProductID" w:val="02. M"/>
        </w:smartTagPr>
        <w:r w:rsidRPr="00905001">
          <w:rPr>
            <w:rFonts w:ascii="Calibri Light" w:hAnsi="Calibri Light" w:cs="Tahoma"/>
            <w:i/>
            <w:sz w:val="16"/>
            <w:szCs w:val="12"/>
          </w:rPr>
          <w:t>02. M</w:t>
        </w:r>
      </w:smartTag>
      <w:r w:rsidRPr="00905001">
        <w:rPr>
          <w:rFonts w:ascii="Calibri Light" w:hAnsi="Calibri Light" w:cs="Tahoma"/>
          <w:i/>
          <w:sz w:val="16"/>
          <w:szCs w:val="12"/>
        </w:rPr>
        <w:t xml:space="preserve">.P. Dra. </w:t>
      </w:r>
      <w:r w:rsidRPr="00905001">
        <w:rPr>
          <w:rFonts w:ascii="Calibri Light" w:hAnsi="Calibri Light" w:cs="Tahoma"/>
          <w:i/>
          <w:sz w:val="16"/>
          <w:szCs w:val="12"/>
          <w:lang w:val="es-CO"/>
        </w:rPr>
        <w:t>MARIA CLAUDIA ROJAS LASSO.</w:t>
      </w:r>
    </w:p>
  </w:footnote>
  <w:footnote w:id="5">
    <w:p w14:paraId="2B480246" w14:textId="77777777" w:rsidR="003C7856" w:rsidRPr="005D25C8" w:rsidRDefault="003C7856" w:rsidP="00BA7624">
      <w:pPr>
        <w:pStyle w:val="Textonotapie"/>
        <w:jc w:val="both"/>
        <w:rPr>
          <w:rFonts w:ascii="Arial" w:hAnsi="Arial" w:cs="Arial"/>
          <w:sz w:val="16"/>
          <w:szCs w:val="16"/>
          <w:lang w:val="es-CO"/>
        </w:rPr>
      </w:pPr>
      <w:r w:rsidRPr="005D25C8">
        <w:rPr>
          <w:rStyle w:val="Refdenotaalpie"/>
          <w:rFonts w:ascii="Arial" w:eastAsia="Arial Narrow" w:hAnsi="Arial" w:cs="Arial"/>
          <w:sz w:val="16"/>
          <w:szCs w:val="16"/>
        </w:rPr>
        <w:footnoteRef/>
      </w:r>
      <w:r w:rsidRPr="005D25C8">
        <w:rPr>
          <w:rFonts w:ascii="Arial" w:hAnsi="Arial" w:cs="Arial"/>
          <w:sz w:val="16"/>
          <w:szCs w:val="16"/>
        </w:rPr>
        <w:t xml:space="preserve"> </w:t>
      </w:r>
      <w:r w:rsidRPr="005D25C8">
        <w:rPr>
          <w:rFonts w:ascii="Arial" w:hAnsi="Arial" w:cs="Arial"/>
          <w:sz w:val="16"/>
          <w:szCs w:val="16"/>
          <w:lang w:val="es-CO"/>
        </w:rPr>
        <w:t>Tribunal Administrativo de Boyacá. Sentencia del 29 de enero de 2019, con ponencia del Magistrado Fabio Iván Afanador García. Exp. 1500123330020180065500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6D796" w14:textId="77777777" w:rsidR="003C7856" w:rsidRPr="0047606B" w:rsidRDefault="003C7856" w:rsidP="006D6A9D">
    <w:pPr>
      <w:pStyle w:val="Encabezado"/>
      <w:rPr>
        <w:rFonts w:asciiTheme="majorHAnsi" w:hAnsiTheme="majorHAnsi"/>
        <w:i/>
        <w:sz w:val="16"/>
        <w:szCs w:val="18"/>
      </w:rPr>
    </w:pPr>
  </w:p>
  <w:p w14:paraId="6E1831B3" w14:textId="77777777" w:rsidR="003C7856" w:rsidRPr="00A575A5" w:rsidRDefault="003C7856" w:rsidP="006D6A9D">
    <w:pPr>
      <w:pStyle w:val="Encabezado"/>
      <w:jc w:val="center"/>
      <w:rPr>
        <w:sz w:val="24"/>
        <w:szCs w:val="24"/>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158"/>
    <w:multiLevelType w:val="multilevel"/>
    <w:tmpl w:val="9AD08226"/>
    <w:lvl w:ilvl="0">
      <w:start w:val="3"/>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 w15:restartNumberingAfterBreak="0">
    <w:nsid w:val="06C86583"/>
    <w:multiLevelType w:val="multilevel"/>
    <w:tmpl w:val="52285CDE"/>
    <w:lvl w:ilvl="0">
      <w:start w:val="3"/>
      <w:numFmt w:val="upperRoman"/>
      <w:lvlText w:val="%1."/>
      <w:lvlJc w:val="left"/>
      <w:pPr>
        <w:ind w:left="1080" w:hanging="720"/>
      </w:pPr>
      <w:rPr>
        <w:rFonts w:hint="default"/>
        <w:b/>
      </w:rPr>
    </w:lvl>
    <w:lvl w:ilvl="1">
      <w:start w:val="2"/>
      <w:numFmt w:val="decimal"/>
      <w:isLgl/>
      <w:lvlText w:val="%1.%2."/>
      <w:lvlJc w:val="left"/>
      <w:pPr>
        <w:ind w:left="1125" w:hanging="765"/>
      </w:pPr>
      <w:rPr>
        <w:rFonts w:hint="default"/>
      </w:rPr>
    </w:lvl>
    <w:lvl w:ilvl="2">
      <w:start w:val="2"/>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 w15:restartNumberingAfterBreak="0">
    <w:nsid w:val="42B97A17"/>
    <w:multiLevelType w:val="hybridMultilevel"/>
    <w:tmpl w:val="723A89E4"/>
    <w:lvl w:ilvl="0" w:tplc="54CEF1CA">
      <w:start w:val="4"/>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9A26A45"/>
    <w:multiLevelType w:val="hybridMultilevel"/>
    <w:tmpl w:val="15DCDC7E"/>
    <w:lvl w:ilvl="0" w:tplc="A8E4D0A0">
      <w:start w:val="4"/>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EAB6F52"/>
    <w:multiLevelType w:val="hybridMultilevel"/>
    <w:tmpl w:val="593A6B28"/>
    <w:lvl w:ilvl="0" w:tplc="EBA26050">
      <w:start w:val="1"/>
      <w:numFmt w:val="upperRoman"/>
      <w:lvlText w:val="%1."/>
      <w:lvlJc w:val="left"/>
      <w:pPr>
        <w:tabs>
          <w:tab w:val="num" w:pos="1080"/>
        </w:tabs>
        <w:ind w:left="1080" w:hanging="720"/>
      </w:pPr>
      <w:rPr>
        <w:rFonts w:hint="default"/>
      </w:rPr>
    </w:lvl>
    <w:lvl w:ilvl="1" w:tplc="6172B6A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39E"/>
    <w:rsid w:val="0006439E"/>
    <w:rsid w:val="000B39EE"/>
    <w:rsid w:val="000C4DBA"/>
    <w:rsid w:val="000D2412"/>
    <w:rsid w:val="000D59F9"/>
    <w:rsid w:val="001338AC"/>
    <w:rsid w:val="00134356"/>
    <w:rsid w:val="00152A35"/>
    <w:rsid w:val="001857AB"/>
    <w:rsid w:val="00194DBC"/>
    <w:rsid w:val="00195BE4"/>
    <w:rsid w:val="001A29C9"/>
    <w:rsid w:val="001B3D9D"/>
    <w:rsid w:val="001C795E"/>
    <w:rsid w:val="001D0505"/>
    <w:rsid w:val="001D31DB"/>
    <w:rsid w:val="001D5918"/>
    <w:rsid w:val="00202549"/>
    <w:rsid w:val="00216D83"/>
    <w:rsid w:val="00230886"/>
    <w:rsid w:val="00276062"/>
    <w:rsid w:val="002868DA"/>
    <w:rsid w:val="00293DBE"/>
    <w:rsid w:val="00297A87"/>
    <w:rsid w:val="002B1694"/>
    <w:rsid w:val="002D0B8F"/>
    <w:rsid w:val="003223FD"/>
    <w:rsid w:val="0032338F"/>
    <w:rsid w:val="003437F3"/>
    <w:rsid w:val="003533F4"/>
    <w:rsid w:val="00384D34"/>
    <w:rsid w:val="00396A54"/>
    <w:rsid w:val="003C7856"/>
    <w:rsid w:val="003E0B55"/>
    <w:rsid w:val="003F1E83"/>
    <w:rsid w:val="00423F76"/>
    <w:rsid w:val="00436B90"/>
    <w:rsid w:val="00444CE9"/>
    <w:rsid w:val="00460506"/>
    <w:rsid w:val="0048338D"/>
    <w:rsid w:val="004B2D7E"/>
    <w:rsid w:val="004B39B4"/>
    <w:rsid w:val="004B7BCD"/>
    <w:rsid w:val="004C176E"/>
    <w:rsid w:val="004D75D0"/>
    <w:rsid w:val="0053094B"/>
    <w:rsid w:val="00532182"/>
    <w:rsid w:val="005422CC"/>
    <w:rsid w:val="00543E6E"/>
    <w:rsid w:val="005445F1"/>
    <w:rsid w:val="00563876"/>
    <w:rsid w:val="005933E4"/>
    <w:rsid w:val="00597E1E"/>
    <w:rsid w:val="005B757D"/>
    <w:rsid w:val="005C1CA6"/>
    <w:rsid w:val="005D447D"/>
    <w:rsid w:val="005F54D6"/>
    <w:rsid w:val="0060093C"/>
    <w:rsid w:val="00622006"/>
    <w:rsid w:val="00633EC9"/>
    <w:rsid w:val="00653E07"/>
    <w:rsid w:val="006733CA"/>
    <w:rsid w:val="00673429"/>
    <w:rsid w:val="00676890"/>
    <w:rsid w:val="00690A5A"/>
    <w:rsid w:val="006C0D71"/>
    <w:rsid w:val="006C7C12"/>
    <w:rsid w:val="006D19B1"/>
    <w:rsid w:val="006D6A9D"/>
    <w:rsid w:val="00711645"/>
    <w:rsid w:val="007146CF"/>
    <w:rsid w:val="00734272"/>
    <w:rsid w:val="007471DB"/>
    <w:rsid w:val="0075399E"/>
    <w:rsid w:val="00777EC0"/>
    <w:rsid w:val="00781A7D"/>
    <w:rsid w:val="00793223"/>
    <w:rsid w:val="007A1D32"/>
    <w:rsid w:val="007C6326"/>
    <w:rsid w:val="007F0809"/>
    <w:rsid w:val="007F7167"/>
    <w:rsid w:val="00807B3A"/>
    <w:rsid w:val="00820F00"/>
    <w:rsid w:val="0082623C"/>
    <w:rsid w:val="00837F46"/>
    <w:rsid w:val="00844F7C"/>
    <w:rsid w:val="00851B9B"/>
    <w:rsid w:val="0087499A"/>
    <w:rsid w:val="008A339F"/>
    <w:rsid w:val="008A3970"/>
    <w:rsid w:val="008C1A86"/>
    <w:rsid w:val="008D1D22"/>
    <w:rsid w:val="008D3A39"/>
    <w:rsid w:val="008E3F51"/>
    <w:rsid w:val="008F7593"/>
    <w:rsid w:val="00903DD1"/>
    <w:rsid w:val="00914C37"/>
    <w:rsid w:val="00922EBE"/>
    <w:rsid w:val="0094208F"/>
    <w:rsid w:val="00982DBB"/>
    <w:rsid w:val="009B57B3"/>
    <w:rsid w:val="009D3EBB"/>
    <w:rsid w:val="009F527F"/>
    <w:rsid w:val="00A07B0D"/>
    <w:rsid w:val="00A22A95"/>
    <w:rsid w:val="00A35ACA"/>
    <w:rsid w:val="00A51CA1"/>
    <w:rsid w:val="00A627CE"/>
    <w:rsid w:val="00A62930"/>
    <w:rsid w:val="00A704BB"/>
    <w:rsid w:val="00A70C4B"/>
    <w:rsid w:val="00A75476"/>
    <w:rsid w:val="00A840A9"/>
    <w:rsid w:val="00A95ED9"/>
    <w:rsid w:val="00AA59D3"/>
    <w:rsid w:val="00AB16FD"/>
    <w:rsid w:val="00AB1C8E"/>
    <w:rsid w:val="00AC0326"/>
    <w:rsid w:val="00AC37A0"/>
    <w:rsid w:val="00B02A3B"/>
    <w:rsid w:val="00B13D92"/>
    <w:rsid w:val="00B142B2"/>
    <w:rsid w:val="00B25661"/>
    <w:rsid w:val="00B4241F"/>
    <w:rsid w:val="00B473EA"/>
    <w:rsid w:val="00B71C3F"/>
    <w:rsid w:val="00BA7624"/>
    <w:rsid w:val="00BB4453"/>
    <w:rsid w:val="00BC2AA8"/>
    <w:rsid w:val="00BD039D"/>
    <w:rsid w:val="00BD5BF8"/>
    <w:rsid w:val="00C019A3"/>
    <w:rsid w:val="00C0567D"/>
    <w:rsid w:val="00C061AE"/>
    <w:rsid w:val="00C13238"/>
    <w:rsid w:val="00C26F55"/>
    <w:rsid w:val="00C436BD"/>
    <w:rsid w:val="00CB1987"/>
    <w:rsid w:val="00CB76C4"/>
    <w:rsid w:val="00CC1D2F"/>
    <w:rsid w:val="00D06ACF"/>
    <w:rsid w:val="00D332FB"/>
    <w:rsid w:val="00D40BEA"/>
    <w:rsid w:val="00D473EA"/>
    <w:rsid w:val="00D50C35"/>
    <w:rsid w:val="00D53C86"/>
    <w:rsid w:val="00D56390"/>
    <w:rsid w:val="00D57877"/>
    <w:rsid w:val="00D60855"/>
    <w:rsid w:val="00D809AD"/>
    <w:rsid w:val="00D818D3"/>
    <w:rsid w:val="00D92972"/>
    <w:rsid w:val="00D945F8"/>
    <w:rsid w:val="00D959F4"/>
    <w:rsid w:val="00DE1282"/>
    <w:rsid w:val="00DF4A1C"/>
    <w:rsid w:val="00E048AE"/>
    <w:rsid w:val="00E44814"/>
    <w:rsid w:val="00E86C01"/>
    <w:rsid w:val="00E908BE"/>
    <w:rsid w:val="00E94EB7"/>
    <w:rsid w:val="00E96DA2"/>
    <w:rsid w:val="00EB0544"/>
    <w:rsid w:val="00ED7183"/>
    <w:rsid w:val="00EE3EB8"/>
    <w:rsid w:val="00EF7C67"/>
    <w:rsid w:val="00EF7F52"/>
    <w:rsid w:val="00F02BD3"/>
    <w:rsid w:val="00F14574"/>
    <w:rsid w:val="00F16113"/>
    <w:rsid w:val="00F168CE"/>
    <w:rsid w:val="00F70866"/>
    <w:rsid w:val="00F71466"/>
    <w:rsid w:val="00F7687B"/>
    <w:rsid w:val="00F77519"/>
    <w:rsid w:val="00F77E5A"/>
    <w:rsid w:val="00FA39D8"/>
    <w:rsid w:val="00FA7F81"/>
    <w:rsid w:val="00FC7F84"/>
    <w:rsid w:val="00FD005F"/>
    <w:rsid w:val="00FF0753"/>
    <w:rsid w:val="00FF737F"/>
    <w:rsid w:val="045A8257"/>
    <w:rsid w:val="09512571"/>
    <w:rsid w:val="0ADF79A1"/>
    <w:rsid w:val="0E9FA844"/>
    <w:rsid w:val="1055414E"/>
    <w:rsid w:val="113D1AAC"/>
    <w:rsid w:val="11BC9B86"/>
    <w:rsid w:val="11C0F50F"/>
    <w:rsid w:val="1203E01D"/>
    <w:rsid w:val="13E8D552"/>
    <w:rsid w:val="13EE64F8"/>
    <w:rsid w:val="153B80DF"/>
    <w:rsid w:val="159F4222"/>
    <w:rsid w:val="15FFB3FE"/>
    <w:rsid w:val="1703EA1B"/>
    <w:rsid w:val="170CD029"/>
    <w:rsid w:val="180D95C0"/>
    <w:rsid w:val="19D65064"/>
    <w:rsid w:val="1AA11DE2"/>
    <w:rsid w:val="1D7E9902"/>
    <w:rsid w:val="1D9E826C"/>
    <w:rsid w:val="1DB42719"/>
    <w:rsid w:val="204643EB"/>
    <w:rsid w:val="2119B103"/>
    <w:rsid w:val="23E52F66"/>
    <w:rsid w:val="27357289"/>
    <w:rsid w:val="291D4545"/>
    <w:rsid w:val="2CD84ABB"/>
    <w:rsid w:val="2E9887BF"/>
    <w:rsid w:val="304A40F5"/>
    <w:rsid w:val="36951687"/>
    <w:rsid w:val="38035CBB"/>
    <w:rsid w:val="384C8D2F"/>
    <w:rsid w:val="38BAC739"/>
    <w:rsid w:val="38BBE78D"/>
    <w:rsid w:val="39AD286B"/>
    <w:rsid w:val="3A558990"/>
    <w:rsid w:val="3C1CC496"/>
    <w:rsid w:val="46BECDCC"/>
    <w:rsid w:val="498397A4"/>
    <w:rsid w:val="4C22A654"/>
    <w:rsid w:val="4F77423D"/>
    <w:rsid w:val="51AD335F"/>
    <w:rsid w:val="52020C80"/>
    <w:rsid w:val="52DFEFC9"/>
    <w:rsid w:val="55CFC342"/>
    <w:rsid w:val="56483E82"/>
    <w:rsid w:val="58C26E70"/>
    <w:rsid w:val="5C237E33"/>
    <w:rsid w:val="5D3A8D7D"/>
    <w:rsid w:val="5DB35941"/>
    <w:rsid w:val="5E1AED09"/>
    <w:rsid w:val="65B25DC5"/>
    <w:rsid w:val="66139460"/>
    <w:rsid w:val="68B72B3B"/>
    <w:rsid w:val="6B03D707"/>
    <w:rsid w:val="6C15FF59"/>
    <w:rsid w:val="6D7698D7"/>
    <w:rsid w:val="6F4869DB"/>
    <w:rsid w:val="6F8E2CE6"/>
    <w:rsid w:val="70CA86B0"/>
    <w:rsid w:val="70D9443D"/>
    <w:rsid w:val="71612CD9"/>
    <w:rsid w:val="7330C3D3"/>
    <w:rsid w:val="73FBC2C0"/>
    <w:rsid w:val="75979391"/>
    <w:rsid w:val="7C6C4974"/>
    <w:rsid w:val="7EF28E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81C3D3"/>
  <w15:chartTrackingRefBased/>
  <w15:docId w15:val="{8AF29806-C7F9-41B0-AE96-CE3219E0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39E"/>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06439E"/>
    <w:pPr>
      <w:keepNext/>
      <w:jc w:val="center"/>
      <w:outlineLvl w:val="1"/>
    </w:pPr>
    <w:rPr>
      <w:rFonts w:ascii="Comic Sans MS" w:eastAsia="Arial Unicode MS" w:hAnsi="Comic Sans MS" w:cs="Arial Unicode MS"/>
      <w:b/>
      <w:szCs w:val="20"/>
      <w:lang w:val="es-MX" w:eastAsia="es-CO"/>
    </w:rPr>
  </w:style>
  <w:style w:type="paragraph" w:styleId="Ttulo6">
    <w:name w:val="heading 6"/>
    <w:basedOn w:val="Normal"/>
    <w:next w:val="Normal"/>
    <w:link w:val="Ttulo6Car"/>
    <w:qFormat/>
    <w:rsid w:val="0006439E"/>
    <w:pPr>
      <w:keepNext/>
      <w:jc w:val="center"/>
      <w:outlineLvl w:val="5"/>
    </w:pPr>
    <w:rPr>
      <w:rFonts w:ascii="Arial" w:eastAsia="Arial Unicode MS" w:hAnsi="Arial"/>
      <w:b/>
      <w:sz w:val="22"/>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6439E"/>
    <w:rPr>
      <w:rFonts w:ascii="Comic Sans MS" w:eastAsia="Arial Unicode MS" w:hAnsi="Comic Sans MS" w:cs="Arial Unicode MS"/>
      <w:b/>
      <w:sz w:val="24"/>
      <w:szCs w:val="20"/>
      <w:lang w:val="es-MX" w:eastAsia="es-CO"/>
    </w:rPr>
  </w:style>
  <w:style w:type="character" w:customStyle="1" w:styleId="Ttulo6Car">
    <w:name w:val="Título 6 Car"/>
    <w:basedOn w:val="Fuentedeprrafopredeter"/>
    <w:link w:val="Ttulo6"/>
    <w:rsid w:val="0006439E"/>
    <w:rPr>
      <w:rFonts w:ascii="Arial" w:eastAsia="Arial Unicode MS" w:hAnsi="Arial" w:cs="Times New Roman"/>
      <w:b/>
      <w:szCs w:val="20"/>
      <w:lang w:val="es-ES" w:eastAsia="es-CO"/>
    </w:rPr>
  </w:style>
  <w:style w:type="paragraph" w:styleId="Descripcin">
    <w:name w:val="caption"/>
    <w:basedOn w:val="Normal"/>
    <w:next w:val="Normal"/>
    <w:qFormat/>
    <w:rsid w:val="0006439E"/>
    <w:pPr>
      <w:jc w:val="center"/>
    </w:pPr>
    <w:rPr>
      <w:rFonts w:ascii="Arial" w:hAnsi="Arial"/>
      <w:b/>
      <w:szCs w:val="20"/>
      <w:lang w:val="es-ES_tradnl"/>
    </w:rPr>
  </w:style>
  <w:style w:type="paragraph" w:customStyle="1" w:styleId="BodyText23">
    <w:name w:val="Body Text 23"/>
    <w:basedOn w:val="Normal"/>
    <w:rsid w:val="0006439E"/>
    <w:pPr>
      <w:spacing w:line="360" w:lineRule="auto"/>
      <w:jc w:val="both"/>
    </w:pPr>
    <w:rPr>
      <w:szCs w:val="20"/>
      <w:lang w:eastAsia="es-CO"/>
    </w:rPr>
  </w:style>
  <w:style w:type="paragraph" w:styleId="Textoindependiente">
    <w:name w:val="Body Text"/>
    <w:basedOn w:val="Normal"/>
    <w:link w:val="TextoindependienteCar"/>
    <w:rsid w:val="0006439E"/>
    <w:pPr>
      <w:jc w:val="both"/>
    </w:pPr>
    <w:rPr>
      <w:rFonts w:ascii="Bookman Old Style" w:hAnsi="Bookman Old Style"/>
      <w:sz w:val="28"/>
      <w:szCs w:val="20"/>
      <w:lang w:eastAsia="es-CO"/>
    </w:rPr>
  </w:style>
  <w:style w:type="character" w:customStyle="1" w:styleId="TextoindependienteCar">
    <w:name w:val="Texto independiente Car"/>
    <w:basedOn w:val="Fuentedeprrafopredeter"/>
    <w:link w:val="Textoindependiente"/>
    <w:rsid w:val="0006439E"/>
    <w:rPr>
      <w:rFonts w:ascii="Bookman Old Style" w:eastAsia="Times New Roman" w:hAnsi="Bookman Old Style" w:cs="Times New Roman"/>
      <w:sz w:val="28"/>
      <w:szCs w:val="20"/>
      <w:lang w:val="es-ES" w:eastAsia="es-CO"/>
    </w:rPr>
  </w:style>
  <w:style w:type="paragraph" w:styleId="Encabezado">
    <w:name w:val="header"/>
    <w:basedOn w:val="Normal"/>
    <w:link w:val="EncabezadoCar"/>
    <w:rsid w:val="0006439E"/>
    <w:pPr>
      <w:tabs>
        <w:tab w:val="center" w:pos="4252"/>
        <w:tab w:val="right" w:pos="8504"/>
      </w:tabs>
    </w:pPr>
    <w:rPr>
      <w:rFonts w:ascii="Arial" w:hAnsi="Arial"/>
      <w:sz w:val="20"/>
      <w:szCs w:val="20"/>
      <w:lang w:val="es-ES_tradnl" w:eastAsia="x-none"/>
    </w:rPr>
  </w:style>
  <w:style w:type="character" w:customStyle="1" w:styleId="EncabezadoCar">
    <w:name w:val="Encabezado Car"/>
    <w:basedOn w:val="Fuentedeprrafopredeter"/>
    <w:link w:val="Encabezado"/>
    <w:rsid w:val="0006439E"/>
    <w:rPr>
      <w:rFonts w:ascii="Arial" w:eastAsia="Times New Roman" w:hAnsi="Arial" w:cs="Times New Roman"/>
      <w:sz w:val="20"/>
      <w:szCs w:val="20"/>
      <w:lang w:val="es-ES_tradnl" w:eastAsia="x-none"/>
    </w:rPr>
  </w:style>
  <w:style w:type="paragraph" w:customStyle="1" w:styleId="03Cuerpo">
    <w:name w:val="03Cuerpo"/>
    <w:rsid w:val="0006439E"/>
    <w:pPr>
      <w:overflowPunct w:val="0"/>
      <w:autoSpaceDE w:val="0"/>
      <w:autoSpaceDN w:val="0"/>
      <w:adjustRightInd w:val="0"/>
      <w:spacing w:after="0" w:line="240" w:lineRule="atLeast"/>
      <w:ind w:firstLine="454"/>
      <w:jc w:val="both"/>
      <w:textAlignment w:val="baseline"/>
    </w:pPr>
    <w:rPr>
      <w:rFonts w:ascii="Book Antiqua" w:eastAsia="Times New Roman" w:hAnsi="Book Antiqua" w:cs="Times New Roman"/>
      <w:szCs w:val="20"/>
      <w:lang w:val="es-ES_tradnl" w:eastAsia="es-ES"/>
    </w:rPr>
  </w:style>
  <w:style w:type="paragraph" w:styleId="Piedepgina">
    <w:name w:val="footer"/>
    <w:basedOn w:val="Normal"/>
    <w:link w:val="PiedepginaCar"/>
    <w:uiPriority w:val="99"/>
    <w:rsid w:val="0006439E"/>
    <w:pPr>
      <w:tabs>
        <w:tab w:val="center" w:pos="4252"/>
        <w:tab w:val="right" w:pos="8504"/>
      </w:tabs>
    </w:pPr>
    <w:rPr>
      <w:lang w:val="x-none" w:eastAsia="x-none"/>
    </w:rPr>
  </w:style>
  <w:style w:type="character" w:customStyle="1" w:styleId="PiedepginaCar">
    <w:name w:val="Pie de página Car"/>
    <w:basedOn w:val="Fuentedeprrafopredeter"/>
    <w:link w:val="Piedepgina"/>
    <w:uiPriority w:val="99"/>
    <w:rsid w:val="0006439E"/>
    <w:rPr>
      <w:rFonts w:ascii="Times New Roman" w:eastAsia="Times New Roman" w:hAnsi="Times New Roman" w:cs="Times New Roman"/>
      <w:sz w:val="24"/>
      <w:szCs w:val="24"/>
      <w:lang w:val="x-none" w:eastAsia="x-none"/>
    </w:rPr>
  </w:style>
  <w:style w:type="paragraph" w:styleId="Textonotapie">
    <w:name w:val="footnote text"/>
    <w:aliases w:val="Footnote Text Char Char Char Char Char,Footnote Text Char Char Char Char,Footnote reference,FA Fu,texto de nota al pie,FA Fu Car,Texto nota pie Car Car,Texto nota pie Car1,Footnote Text Char,Footnote referenc,MI NOTA PIE DE PÁGINA (TEXTO)"/>
    <w:basedOn w:val="Normal"/>
    <w:link w:val="TextonotapieCar"/>
    <w:uiPriority w:val="99"/>
    <w:rsid w:val="0006439E"/>
    <w:rPr>
      <w:sz w:val="20"/>
      <w:szCs w:val="20"/>
    </w:rPr>
  </w:style>
  <w:style w:type="character" w:customStyle="1" w:styleId="TextonotapieCar">
    <w:name w:val="Texto nota pie Car"/>
    <w:aliases w:val="Footnote Text Char Char Char Char Char Car,Footnote Text Char Char Char Char Car,Footnote reference Car,FA Fu Car1,texto de nota al pie Car,FA Fu Car Car,Texto nota pie Car Car Car,Texto nota pie Car1 Car,Footnote Text Char Car"/>
    <w:basedOn w:val="Fuentedeprrafopredeter"/>
    <w:link w:val="Textonotapie"/>
    <w:uiPriority w:val="99"/>
    <w:rsid w:val="0006439E"/>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qFormat/>
    <w:rsid w:val="0006439E"/>
    <w:rPr>
      <w:vertAlign w:val="superscript"/>
    </w:rPr>
  </w:style>
  <w:style w:type="character" w:styleId="Nmerodepgina">
    <w:name w:val="page number"/>
    <w:basedOn w:val="Fuentedeprrafopredeter"/>
    <w:rsid w:val="0006439E"/>
  </w:style>
  <w:style w:type="paragraph" w:styleId="Prrafodelista">
    <w:name w:val="List Paragraph"/>
    <w:basedOn w:val="Normal"/>
    <w:uiPriority w:val="34"/>
    <w:qFormat/>
    <w:rsid w:val="0006439E"/>
    <w:pPr>
      <w:ind w:left="720"/>
      <w:contextualSpacing/>
    </w:pPr>
  </w:style>
  <w:style w:type="paragraph" w:styleId="Ttulo">
    <w:name w:val="Title"/>
    <w:basedOn w:val="Normal"/>
    <w:link w:val="TtuloCar"/>
    <w:uiPriority w:val="99"/>
    <w:qFormat/>
    <w:rsid w:val="002868DA"/>
    <w:pPr>
      <w:snapToGrid w:val="0"/>
      <w:jc w:val="center"/>
    </w:pPr>
    <w:rPr>
      <w:rFonts w:ascii="Arial" w:hAnsi="Arial" w:cs="Arial"/>
      <w:b/>
      <w:bCs/>
      <w:spacing w:val="-3"/>
    </w:rPr>
  </w:style>
  <w:style w:type="character" w:customStyle="1" w:styleId="TtuloCar">
    <w:name w:val="Título Car"/>
    <w:basedOn w:val="Fuentedeprrafopredeter"/>
    <w:link w:val="Ttulo"/>
    <w:uiPriority w:val="99"/>
    <w:rsid w:val="002868DA"/>
    <w:rPr>
      <w:rFonts w:ascii="Arial" w:eastAsia="Times New Roman" w:hAnsi="Arial" w:cs="Arial"/>
      <w:b/>
      <w:bCs/>
      <w:spacing w:val="-3"/>
      <w:sz w:val="24"/>
      <w:szCs w:val="24"/>
      <w:lang w:val="es-ES" w:eastAsia="es-ES"/>
    </w:rPr>
  </w:style>
  <w:style w:type="character" w:customStyle="1" w:styleId="Cuerpodeltexto2">
    <w:name w:val="Cuerpo del texto (2)_"/>
    <w:basedOn w:val="Fuentedeprrafopredeter"/>
    <w:link w:val="Cuerpodeltexto20"/>
    <w:rsid w:val="002868DA"/>
    <w:rPr>
      <w:rFonts w:ascii="Arial Narrow" w:eastAsia="Arial Narrow" w:hAnsi="Arial Narrow" w:cs="Arial Narrow"/>
      <w:shd w:val="clear" w:color="auto" w:fill="FFFFFF"/>
    </w:rPr>
  </w:style>
  <w:style w:type="paragraph" w:customStyle="1" w:styleId="Cuerpodeltexto20">
    <w:name w:val="Cuerpo del texto (2)"/>
    <w:basedOn w:val="Normal"/>
    <w:link w:val="Cuerpodeltexto2"/>
    <w:rsid w:val="002868DA"/>
    <w:pPr>
      <w:widowControl w:val="0"/>
      <w:shd w:val="clear" w:color="auto" w:fill="FFFFFF"/>
      <w:spacing w:before="540" w:after="240" w:line="307" w:lineRule="exact"/>
      <w:jc w:val="both"/>
    </w:pPr>
    <w:rPr>
      <w:rFonts w:ascii="Arial Narrow" w:eastAsia="Arial Narrow" w:hAnsi="Arial Narrow" w:cs="Arial Narrow"/>
      <w:sz w:val="22"/>
      <w:szCs w:val="22"/>
      <w:lang w:val="es-CO" w:eastAsia="en-US"/>
    </w:rPr>
  </w:style>
  <w:style w:type="character" w:customStyle="1" w:styleId="Notaalpie">
    <w:name w:val="Nota al pie_"/>
    <w:basedOn w:val="Fuentedeprrafopredeter"/>
    <w:link w:val="Notaalpie0"/>
    <w:locked/>
    <w:rsid w:val="002868DA"/>
    <w:rPr>
      <w:rFonts w:ascii="Verdana" w:eastAsia="Verdana" w:hAnsi="Verdana" w:cs="Verdana"/>
      <w:sz w:val="18"/>
      <w:szCs w:val="18"/>
      <w:shd w:val="clear" w:color="auto" w:fill="FFFFFF"/>
    </w:rPr>
  </w:style>
  <w:style w:type="paragraph" w:customStyle="1" w:styleId="Notaalpie0">
    <w:name w:val="Nota al pie"/>
    <w:basedOn w:val="Normal"/>
    <w:link w:val="Notaalpie"/>
    <w:rsid w:val="002868DA"/>
    <w:pPr>
      <w:widowControl w:val="0"/>
      <w:shd w:val="clear" w:color="auto" w:fill="FFFFFF"/>
      <w:spacing w:line="213" w:lineRule="exact"/>
      <w:jc w:val="both"/>
    </w:pPr>
    <w:rPr>
      <w:rFonts w:ascii="Verdana" w:eastAsia="Verdana" w:hAnsi="Verdana" w:cs="Verdana"/>
      <w:sz w:val="18"/>
      <w:szCs w:val="18"/>
      <w:lang w:val="es-CO" w:eastAsia="en-US"/>
    </w:rPr>
  </w:style>
  <w:style w:type="character" w:customStyle="1" w:styleId="Cuerpodeltexto5">
    <w:name w:val="Cuerpo del texto (5)_"/>
    <w:basedOn w:val="Fuentedeprrafopredeter"/>
    <w:link w:val="Cuerpodeltexto50"/>
    <w:locked/>
    <w:rsid w:val="002868DA"/>
    <w:rPr>
      <w:rFonts w:ascii="Verdana" w:eastAsia="Verdana" w:hAnsi="Verdana" w:cs="Verdana"/>
      <w:i/>
      <w:iCs/>
      <w:shd w:val="clear" w:color="auto" w:fill="FFFFFF"/>
    </w:rPr>
  </w:style>
  <w:style w:type="paragraph" w:customStyle="1" w:styleId="Cuerpodeltexto50">
    <w:name w:val="Cuerpo del texto (5)"/>
    <w:basedOn w:val="Normal"/>
    <w:link w:val="Cuerpodeltexto5"/>
    <w:rsid w:val="002868DA"/>
    <w:pPr>
      <w:widowControl w:val="0"/>
      <w:shd w:val="clear" w:color="auto" w:fill="FFFFFF"/>
      <w:spacing w:before="420" w:line="294" w:lineRule="exact"/>
      <w:ind w:hanging="340"/>
      <w:jc w:val="both"/>
    </w:pPr>
    <w:rPr>
      <w:rFonts w:ascii="Verdana" w:eastAsia="Verdana" w:hAnsi="Verdana" w:cs="Verdana"/>
      <w:i/>
      <w:iCs/>
      <w:sz w:val="22"/>
      <w:szCs w:val="22"/>
      <w:lang w:val="es-CO" w:eastAsia="en-US"/>
    </w:rPr>
  </w:style>
  <w:style w:type="character" w:customStyle="1" w:styleId="Cuerpodeltexto5Sincursiva">
    <w:name w:val="Cuerpo del texto (5) + Sin cursiva"/>
    <w:basedOn w:val="Cuerpodeltexto5"/>
    <w:rsid w:val="002868DA"/>
    <w:rPr>
      <w:rFonts w:ascii="Verdana" w:eastAsia="Verdana" w:hAnsi="Verdana" w:cs="Verdana"/>
      <w:i/>
      <w:iCs/>
      <w:color w:val="000000"/>
      <w:spacing w:val="0"/>
      <w:w w:val="100"/>
      <w:position w:val="0"/>
      <w:shd w:val="clear" w:color="auto" w:fill="FFFFFF"/>
      <w:lang w:val="es-ES" w:eastAsia="es-ES" w:bidi="es-ES"/>
    </w:rPr>
  </w:style>
  <w:style w:type="paragraph" w:styleId="NormalWeb">
    <w:name w:val="Normal (Web)"/>
    <w:basedOn w:val="Normal"/>
    <w:uiPriority w:val="99"/>
    <w:semiHidden/>
    <w:unhideWhenUsed/>
    <w:rsid w:val="00BD5BF8"/>
    <w:pPr>
      <w:spacing w:before="100" w:beforeAutospacing="1" w:after="100" w:afterAutospacing="1"/>
    </w:pPr>
    <w:rPr>
      <w:lang w:val="es-CO" w:eastAsia="es-CO"/>
    </w:rPr>
  </w:style>
  <w:style w:type="character" w:customStyle="1" w:styleId="baj">
    <w:name w:val="b_aj"/>
    <w:basedOn w:val="Fuentedeprrafopredeter"/>
    <w:rsid w:val="00BD5BF8"/>
  </w:style>
  <w:style w:type="paragraph" w:styleId="Textoindependiente2">
    <w:name w:val="Body Text 2"/>
    <w:basedOn w:val="Normal"/>
    <w:link w:val="Textoindependiente2Car"/>
    <w:uiPriority w:val="99"/>
    <w:unhideWhenUsed/>
    <w:rsid w:val="00444CE9"/>
    <w:pPr>
      <w:spacing w:line="360" w:lineRule="auto"/>
      <w:jc w:val="both"/>
    </w:pPr>
    <w:rPr>
      <w:rFonts w:ascii="Verdana" w:hAnsi="Verdana" w:cs="Georgia"/>
      <w:b/>
      <w:u w:val="single"/>
    </w:rPr>
  </w:style>
  <w:style w:type="character" w:customStyle="1" w:styleId="Textoindependiente2Car">
    <w:name w:val="Texto independiente 2 Car"/>
    <w:basedOn w:val="Fuentedeprrafopredeter"/>
    <w:link w:val="Textoindependiente2"/>
    <w:uiPriority w:val="99"/>
    <w:rsid w:val="00444CE9"/>
    <w:rPr>
      <w:rFonts w:ascii="Verdana" w:eastAsia="Times New Roman" w:hAnsi="Verdana" w:cs="Georgia"/>
      <w:b/>
      <w:sz w:val="24"/>
      <w:szCs w:val="24"/>
      <w:u w:val="single"/>
      <w:lang w:val="es-ES" w:eastAsia="es-ES"/>
    </w:rPr>
  </w:style>
  <w:style w:type="paragraph" w:styleId="Sangradetextonormal">
    <w:name w:val="Body Text Indent"/>
    <w:basedOn w:val="Normal"/>
    <w:link w:val="SangradetextonormalCar"/>
    <w:uiPriority w:val="99"/>
    <w:unhideWhenUsed/>
    <w:rsid w:val="00134356"/>
    <w:pPr>
      <w:spacing w:line="276" w:lineRule="auto"/>
      <w:ind w:left="705"/>
      <w:jc w:val="both"/>
    </w:pPr>
    <w:rPr>
      <w:rFonts w:ascii="Verdana" w:hAnsi="Verdana"/>
      <w:i/>
      <w:sz w:val="22"/>
      <w:szCs w:val="22"/>
    </w:rPr>
  </w:style>
  <w:style w:type="character" w:customStyle="1" w:styleId="SangradetextonormalCar">
    <w:name w:val="Sangría de texto normal Car"/>
    <w:basedOn w:val="Fuentedeprrafopredeter"/>
    <w:link w:val="Sangradetextonormal"/>
    <w:uiPriority w:val="99"/>
    <w:rsid w:val="00134356"/>
    <w:rPr>
      <w:rFonts w:ascii="Verdana" w:eastAsia="Times New Roman" w:hAnsi="Verdana" w:cs="Times New Roman"/>
      <w:i/>
      <w:lang w:val="es-ES" w:eastAsia="es-ES"/>
    </w:rPr>
  </w:style>
  <w:style w:type="table" w:styleId="Tablaconcuadrcula">
    <w:name w:val="Table Grid"/>
    <w:basedOn w:val="Tablanormal"/>
    <w:uiPriority w:val="39"/>
    <w:rsid w:val="00826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60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195738"/>
    <w:rsid w:val="00195738"/>
    <w:rsid w:val="00483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0" ma:contentTypeDescription="Crear nuevo documento." ma:contentTypeScope="" ma:versionID="a9d79334ffd159d3bb5a8a3bb7320388">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8b055bc2635a8665edb59a4923077a9"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BDD94-C043-4576-B1F4-343C3D96805B}">
  <ds:schemaRefs>
    <ds:schemaRef ds:uri="http://schemas.microsoft.com/sharepoint/v3/contenttype/forms"/>
  </ds:schemaRefs>
</ds:datastoreItem>
</file>

<file path=customXml/itemProps2.xml><?xml version="1.0" encoding="utf-8"?>
<ds:datastoreItem xmlns:ds="http://schemas.openxmlformats.org/officeDocument/2006/customXml" ds:itemID="{79F4C9C3-1EF6-48D2-AA9B-6F1836DB2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F12C26-46E2-4542-A16C-A79E316D21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9FDCF1-87AE-4A53-B8AF-0326A964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6053</Words>
  <Characters>34508</Characters>
  <Application>Microsoft Office Word</Application>
  <DocSecurity>0</DocSecurity>
  <Lines>287</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Ibeth Alexandra Acero Vacca</dc:creator>
  <cp:keywords/>
  <dc:description/>
  <cp:lastModifiedBy>GONZALO</cp:lastModifiedBy>
  <cp:revision>2</cp:revision>
  <dcterms:created xsi:type="dcterms:W3CDTF">2021-05-21T17:33:00Z</dcterms:created>
  <dcterms:modified xsi:type="dcterms:W3CDTF">2021-05-21T17:33:00Z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72700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