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630F8" w14:textId="76C08F6D" w:rsidR="00546AE1" w:rsidRDefault="00905A22" w:rsidP="00905A22">
      <w:pPr>
        <w:pStyle w:val="Puesto1"/>
        <w:spacing w:line="240" w:lineRule="auto"/>
        <w:jc w:val="both"/>
        <w:rPr>
          <w:rFonts w:ascii="Arial" w:hAnsi="Arial" w:cs="Arial"/>
          <w:sz w:val="24"/>
          <w:szCs w:val="24"/>
        </w:rPr>
      </w:pPr>
      <w:r>
        <w:rPr>
          <w:rFonts w:ascii="Arial" w:hAnsi="Arial" w:cs="Arial"/>
          <w:sz w:val="24"/>
          <w:szCs w:val="24"/>
        </w:rPr>
        <w:t>RECURSO EXTRAORDINARIO DE UNIFICACIÓN JURISPRUDENCIAL / Procedencia / Determinación de la cuantía.</w:t>
      </w:r>
    </w:p>
    <w:p w14:paraId="3A4150AB" w14:textId="77777777" w:rsidR="00905A22" w:rsidRDefault="00905A22" w:rsidP="00905A22">
      <w:pPr>
        <w:pStyle w:val="Puesto1"/>
        <w:spacing w:line="240" w:lineRule="auto"/>
        <w:jc w:val="both"/>
        <w:rPr>
          <w:rFonts w:ascii="Arial" w:hAnsi="Arial" w:cs="Arial"/>
          <w:sz w:val="24"/>
          <w:szCs w:val="24"/>
        </w:rPr>
      </w:pPr>
    </w:p>
    <w:p w14:paraId="4149DE09" w14:textId="65085464" w:rsidR="00905A22" w:rsidRDefault="00905A22" w:rsidP="00905A22">
      <w:pPr>
        <w:pStyle w:val="Puesto1"/>
        <w:jc w:val="both"/>
        <w:rPr>
          <w:rFonts w:ascii="Arial" w:hAnsi="Arial" w:cs="Arial"/>
          <w:b w:val="0"/>
          <w:sz w:val="24"/>
          <w:szCs w:val="24"/>
          <w:lang w:val="es-ES_tradnl"/>
        </w:rPr>
      </w:pPr>
      <w:r w:rsidRPr="00905A22">
        <w:rPr>
          <w:rFonts w:ascii="Arial" w:hAnsi="Arial" w:cs="Arial"/>
          <w:b w:val="0"/>
          <w:sz w:val="24"/>
          <w:szCs w:val="24"/>
          <w:lang w:val="es-ES_tradnl"/>
        </w:rPr>
        <w:t>A</w:t>
      </w:r>
      <w:r w:rsidRPr="00905A22">
        <w:rPr>
          <w:rFonts w:ascii="Arial" w:hAnsi="Arial" w:cs="Arial"/>
          <w:b w:val="0"/>
          <w:sz w:val="24"/>
          <w:szCs w:val="24"/>
          <w:lang w:val="es-ES_tradnl"/>
        </w:rPr>
        <w:t>tendiendo lo dispuesto en el artículo 257 del CPACA, se tiene, que la cuantía, para efectos de verificar la procedencia del recurso extraordinario de unificación de jurisprudencia, se determina por el valor de la condena de la sentencia, o a la falta de esta, por las pretensiones de la demanda, por lo que la escogencia de la segunda, se erige como supuesto subsidiario que reemplaza a la primera, cuando no exista una condena pecuniaria.</w:t>
      </w:r>
      <w:r>
        <w:rPr>
          <w:rFonts w:ascii="Arial" w:hAnsi="Arial" w:cs="Arial"/>
          <w:b w:val="0"/>
          <w:sz w:val="24"/>
          <w:szCs w:val="24"/>
          <w:lang w:val="es-ES_tradnl"/>
        </w:rPr>
        <w:t xml:space="preserve"> </w:t>
      </w:r>
      <w:r w:rsidRPr="00905A22">
        <w:rPr>
          <w:rFonts w:ascii="Arial" w:hAnsi="Arial" w:cs="Arial"/>
          <w:b w:val="0"/>
          <w:sz w:val="24"/>
          <w:szCs w:val="24"/>
          <w:lang w:val="es-ES_tradnl"/>
        </w:rPr>
        <w:t xml:space="preserve">Vale acotar </w:t>
      </w:r>
      <w:proofErr w:type="gramStart"/>
      <w:r w:rsidRPr="00905A22">
        <w:rPr>
          <w:rFonts w:ascii="Arial" w:hAnsi="Arial" w:cs="Arial"/>
          <w:b w:val="0"/>
          <w:sz w:val="24"/>
          <w:szCs w:val="24"/>
          <w:lang w:val="es-ES_tradnl"/>
        </w:rPr>
        <w:t>que</w:t>
      </w:r>
      <w:proofErr w:type="gramEnd"/>
      <w:r w:rsidRPr="00905A22">
        <w:rPr>
          <w:rFonts w:ascii="Arial" w:hAnsi="Arial" w:cs="Arial"/>
          <w:b w:val="0"/>
          <w:sz w:val="24"/>
          <w:szCs w:val="24"/>
          <w:lang w:val="es-ES_tradnl"/>
        </w:rPr>
        <w:t xml:space="preserve"> si bien la norma contempla la posibilidad de tomar como punto de referencia el valor total de las pretensiones impetradas en la demanda, solo puede acogerse ante la ausencia del objeto principal, es decir, la condena impuesta en la sentencia, pues es claro que el legislador al emplear la expresión “en su defecto”, lo que quiso establecer es que, a falta del primer presupuesto, se utilizará el segundo. </w:t>
      </w:r>
    </w:p>
    <w:p w14:paraId="08D6C1A6" w14:textId="77777777" w:rsidR="001704FE" w:rsidRDefault="001704FE" w:rsidP="00905A22">
      <w:pPr>
        <w:pStyle w:val="Puesto1"/>
        <w:jc w:val="both"/>
        <w:rPr>
          <w:rFonts w:ascii="Arial" w:hAnsi="Arial" w:cs="Arial"/>
          <w:b w:val="0"/>
          <w:sz w:val="24"/>
          <w:szCs w:val="24"/>
          <w:lang w:val="es-ES_tradnl"/>
        </w:rPr>
      </w:pPr>
    </w:p>
    <w:p w14:paraId="31CFC443" w14:textId="5470BA12" w:rsidR="001704FE" w:rsidRPr="001704FE" w:rsidRDefault="001704FE" w:rsidP="001704FE">
      <w:pPr>
        <w:pStyle w:val="Puesto1"/>
        <w:spacing w:line="240" w:lineRule="auto"/>
        <w:jc w:val="both"/>
        <w:rPr>
          <w:rFonts w:ascii="Arial" w:hAnsi="Arial" w:cs="Arial"/>
          <w:sz w:val="24"/>
          <w:szCs w:val="24"/>
        </w:rPr>
      </w:pPr>
      <w:r>
        <w:rPr>
          <w:rFonts w:ascii="Arial" w:hAnsi="Arial" w:cs="Arial"/>
          <w:sz w:val="24"/>
          <w:szCs w:val="24"/>
        </w:rPr>
        <w:t>RECURSO EXTRAORDINARIO DE UNIFICACIÓN JURISPRUDENCIAL / Procedenci</w:t>
      </w:r>
      <w:r>
        <w:rPr>
          <w:rFonts w:ascii="Arial" w:hAnsi="Arial" w:cs="Arial"/>
          <w:sz w:val="24"/>
          <w:szCs w:val="24"/>
        </w:rPr>
        <w:t xml:space="preserve">a / Requisito de cuantía no es aplicable en procesos de nulidad y restablecimiento del derecho en materia laboral. </w:t>
      </w:r>
    </w:p>
    <w:p w14:paraId="5897E82C" w14:textId="77777777" w:rsidR="001704FE" w:rsidRDefault="001704FE" w:rsidP="00905A22">
      <w:pPr>
        <w:pStyle w:val="Puesto1"/>
        <w:jc w:val="both"/>
        <w:rPr>
          <w:rFonts w:ascii="Arial" w:hAnsi="Arial" w:cs="Arial"/>
          <w:b w:val="0"/>
          <w:sz w:val="24"/>
          <w:szCs w:val="24"/>
          <w:lang w:val="es-ES_tradnl"/>
        </w:rPr>
      </w:pPr>
    </w:p>
    <w:p w14:paraId="56B2BE8B" w14:textId="0DEF6340" w:rsidR="001704FE" w:rsidRPr="00905A22" w:rsidRDefault="001704FE" w:rsidP="00905A22">
      <w:pPr>
        <w:pStyle w:val="Puesto1"/>
        <w:jc w:val="both"/>
        <w:rPr>
          <w:rFonts w:ascii="Arial" w:hAnsi="Arial" w:cs="Arial"/>
          <w:b w:val="0"/>
          <w:sz w:val="24"/>
          <w:szCs w:val="24"/>
          <w:lang w:val="es-ES_tradnl"/>
        </w:rPr>
      </w:pPr>
      <w:r w:rsidRPr="001704FE">
        <w:rPr>
          <w:rFonts w:ascii="Arial" w:hAnsi="Arial" w:cs="Arial"/>
          <w:b w:val="0"/>
          <w:sz w:val="24"/>
          <w:szCs w:val="24"/>
          <w:lang w:val="es-ES_tradnl"/>
        </w:rPr>
        <w:t>Adicionalmente, es preciso señalar que tampoco procede en el caso la inaplicación del requisito de la cuantía conforme lo precisó el Consejo de Estado, Sección Segunda, en auto de unificación No.  15001-23-33-000-2003-00605-01(0288-15) del 28 de marzo de 2019, C.P. Dr. William Hernández Gómez, pues esa inaplicabilidad lo es respecto del recurso extraordinario de unificación de jurisprudencia en procesos de nulidad y restablecimiento del derecho en materia laboral</w:t>
      </w:r>
      <w:r>
        <w:rPr>
          <w:rFonts w:ascii="Arial" w:hAnsi="Arial" w:cs="Arial"/>
          <w:b w:val="0"/>
          <w:sz w:val="24"/>
          <w:szCs w:val="24"/>
          <w:lang w:val="es-ES_tradnl"/>
        </w:rPr>
        <w:t xml:space="preserve"> y el presente asunto es</w:t>
      </w:r>
      <w:r w:rsidRPr="001704FE">
        <w:rPr>
          <w:rFonts w:ascii="Arial" w:hAnsi="Arial" w:cs="Arial"/>
          <w:b w:val="0"/>
          <w:sz w:val="24"/>
          <w:szCs w:val="24"/>
          <w:lang w:val="es-ES_tradnl"/>
        </w:rPr>
        <w:t xml:space="preserve"> una reparación </w:t>
      </w:r>
      <w:bookmarkStart w:id="0" w:name="_GoBack"/>
      <w:bookmarkEnd w:id="0"/>
      <w:r w:rsidRPr="001704FE">
        <w:rPr>
          <w:rFonts w:ascii="Arial" w:hAnsi="Arial" w:cs="Arial"/>
          <w:b w:val="0"/>
          <w:sz w:val="24"/>
          <w:szCs w:val="24"/>
          <w:lang w:val="es-ES_tradnl"/>
        </w:rPr>
        <w:t>directa de</w:t>
      </w:r>
      <w:r>
        <w:rPr>
          <w:rFonts w:ascii="Arial" w:hAnsi="Arial" w:cs="Arial"/>
          <w:b w:val="0"/>
          <w:sz w:val="24"/>
          <w:szCs w:val="24"/>
          <w:lang w:val="es-ES_tradnl"/>
        </w:rPr>
        <w:t xml:space="preserve"> </w:t>
      </w:r>
      <w:r w:rsidRPr="001704FE">
        <w:rPr>
          <w:rFonts w:ascii="Arial" w:hAnsi="Arial" w:cs="Arial"/>
          <w:b w:val="0"/>
          <w:sz w:val="24"/>
          <w:szCs w:val="24"/>
          <w:lang w:val="es-ES_tradnl"/>
        </w:rPr>
        <w:t>modo que no se enmarca en la providencia de unificación, debiendo cumplirse el requisito de acreditar la cuantía.</w:t>
      </w:r>
    </w:p>
    <w:p w14:paraId="544B4A99" w14:textId="77777777" w:rsidR="00905A22" w:rsidRPr="00905A22" w:rsidRDefault="00905A22" w:rsidP="00905A22">
      <w:pPr>
        <w:pStyle w:val="Puesto1"/>
        <w:spacing w:line="240" w:lineRule="auto"/>
        <w:jc w:val="both"/>
        <w:rPr>
          <w:rFonts w:ascii="Arial" w:hAnsi="Arial" w:cs="Arial"/>
          <w:sz w:val="24"/>
          <w:szCs w:val="24"/>
          <w:lang w:val="es-ES_tradnl"/>
        </w:rPr>
      </w:pPr>
    </w:p>
    <w:p w14:paraId="6F618AB5" w14:textId="77777777" w:rsidR="00546AE1" w:rsidRDefault="00546AE1" w:rsidP="005B78F8">
      <w:pPr>
        <w:pStyle w:val="Puesto1"/>
        <w:spacing w:line="240" w:lineRule="auto"/>
        <w:rPr>
          <w:szCs w:val="28"/>
        </w:rPr>
      </w:pPr>
    </w:p>
    <w:p w14:paraId="6B7FF0E1" w14:textId="77777777" w:rsidR="005B78F8" w:rsidRDefault="005B78F8" w:rsidP="005B78F8">
      <w:pPr>
        <w:pStyle w:val="Puesto1"/>
        <w:spacing w:line="240" w:lineRule="auto"/>
        <w:rPr>
          <w:szCs w:val="28"/>
        </w:rPr>
      </w:pPr>
      <w:r>
        <w:rPr>
          <w:szCs w:val="28"/>
        </w:rPr>
        <w:t>REPÚBLICA DE COLOMBIA</w:t>
      </w:r>
    </w:p>
    <w:p w14:paraId="672A6659" w14:textId="77777777" w:rsidR="005B78F8" w:rsidRDefault="009A1397" w:rsidP="005B78F8">
      <w:pPr>
        <w:jc w:val="center"/>
        <w:rPr>
          <w:b/>
          <w:sz w:val="28"/>
          <w:szCs w:val="28"/>
        </w:rPr>
      </w:pPr>
      <w:r w:rsidRPr="009767EF">
        <w:rPr>
          <w:b/>
          <w:noProof/>
          <w:sz w:val="28"/>
          <w:szCs w:val="28"/>
          <w:lang w:eastAsia="es-ES_tradnl"/>
        </w:rPr>
        <w:drawing>
          <wp:inline distT="0" distB="0" distL="0" distR="0" wp14:anchorId="7F43EBFC" wp14:editId="07777777">
            <wp:extent cx="542925"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5AD5BBFC" w14:textId="77777777" w:rsidR="005B78F8" w:rsidRDefault="005B78F8" w:rsidP="005B78F8">
      <w:pPr>
        <w:jc w:val="center"/>
        <w:rPr>
          <w:b/>
          <w:sz w:val="28"/>
          <w:szCs w:val="28"/>
        </w:rPr>
      </w:pPr>
      <w:r>
        <w:rPr>
          <w:b/>
          <w:sz w:val="28"/>
          <w:szCs w:val="28"/>
        </w:rPr>
        <w:t>TRIBUNAL ADMINISTRATIVO DE BOYACÁ</w:t>
      </w:r>
    </w:p>
    <w:p w14:paraId="1BF98828" w14:textId="77777777" w:rsidR="005B78F8" w:rsidRDefault="005B78F8" w:rsidP="005B78F8">
      <w:pPr>
        <w:jc w:val="center"/>
        <w:rPr>
          <w:b/>
          <w:sz w:val="28"/>
          <w:szCs w:val="28"/>
        </w:rPr>
      </w:pPr>
      <w:r>
        <w:rPr>
          <w:b/>
          <w:sz w:val="28"/>
          <w:szCs w:val="28"/>
        </w:rPr>
        <w:t>DESPACHO No. 2</w:t>
      </w:r>
    </w:p>
    <w:p w14:paraId="0A37501D" w14:textId="77777777" w:rsidR="00FF4B85" w:rsidRDefault="00FF4B85" w:rsidP="005B78F8">
      <w:pPr>
        <w:pStyle w:val="Textoindependiente"/>
        <w:spacing w:line="240" w:lineRule="auto"/>
        <w:rPr>
          <w:i w:val="0"/>
          <w:sz w:val="28"/>
          <w:szCs w:val="28"/>
        </w:rPr>
      </w:pPr>
    </w:p>
    <w:p w14:paraId="5DAB6C7B" w14:textId="77777777" w:rsidR="005B48B7" w:rsidRDefault="005B48B7" w:rsidP="005B78F8">
      <w:pPr>
        <w:pStyle w:val="Textoindependiente"/>
        <w:spacing w:line="240" w:lineRule="auto"/>
        <w:rPr>
          <w:i w:val="0"/>
          <w:sz w:val="28"/>
          <w:szCs w:val="28"/>
        </w:rPr>
      </w:pPr>
    </w:p>
    <w:p w14:paraId="2B80097E" w14:textId="415F9025" w:rsidR="005B78F8" w:rsidRDefault="005B78F8" w:rsidP="005B78F8">
      <w:pPr>
        <w:pStyle w:val="Textoindependiente"/>
        <w:spacing w:line="240" w:lineRule="auto"/>
        <w:rPr>
          <w:i w:val="0"/>
          <w:sz w:val="28"/>
          <w:szCs w:val="28"/>
        </w:rPr>
      </w:pPr>
      <w:r>
        <w:rPr>
          <w:i w:val="0"/>
          <w:sz w:val="28"/>
          <w:szCs w:val="28"/>
        </w:rPr>
        <w:t>Tunja,</w:t>
      </w:r>
      <w:r w:rsidR="00BE64EC">
        <w:rPr>
          <w:i w:val="0"/>
          <w:sz w:val="28"/>
          <w:szCs w:val="28"/>
        </w:rPr>
        <w:t xml:space="preserve"> 15 de septiembre de 2021</w:t>
      </w:r>
    </w:p>
    <w:p w14:paraId="02EB378F" w14:textId="77777777" w:rsidR="00A8420A" w:rsidRDefault="00A8420A" w:rsidP="005B78F8">
      <w:pPr>
        <w:pStyle w:val="Textoindependiente"/>
        <w:spacing w:line="240" w:lineRule="auto"/>
        <w:rPr>
          <w:i w:val="0"/>
          <w:sz w:val="28"/>
          <w:szCs w:val="28"/>
        </w:rPr>
      </w:pPr>
    </w:p>
    <w:p w14:paraId="6A05A809" w14:textId="77777777" w:rsidR="004217E0" w:rsidRDefault="004217E0" w:rsidP="005B78F8">
      <w:pPr>
        <w:pStyle w:val="Textoindependiente"/>
        <w:spacing w:line="240" w:lineRule="auto"/>
        <w:rPr>
          <w:sz w:val="28"/>
          <w:szCs w:val="28"/>
        </w:rPr>
      </w:pPr>
    </w:p>
    <w:tbl>
      <w:tblPr>
        <w:tblW w:w="0" w:type="auto"/>
        <w:tblLook w:val="01E0" w:firstRow="1" w:lastRow="1" w:firstColumn="1" w:lastColumn="1" w:noHBand="0" w:noVBand="0"/>
      </w:tblPr>
      <w:tblGrid>
        <w:gridCol w:w="2299"/>
        <w:gridCol w:w="294"/>
        <w:gridCol w:w="5879"/>
      </w:tblGrid>
      <w:tr w:rsidR="00A8420A" w:rsidRPr="0058485F" w14:paraId="0508A54C" w14:textId="77777777" w:rsidTr="0403E016">
        <w:tc>
          <w:tcPr>
            <w:tcW w:w="2299" w:type="dxa"/>
          </w:tcPr>
          <w:p w14:paraId="71D00578" w14:textId="57CBE02B" w:rsidR="00A8420A" w:rsidRPr="0058485F" w:rsidRDefault="00A8420A" w:rsidP="00B2304A">
            <w:pPr>
              <w:pStyle w:val="Sinespaciado"/>
              <w:rPr>
                <w:rFonts w:ascii="Times New Roman" w:hAnsi="Times New Roman"/>
                <w:sz w:val="28"/>
                <w:szCs w:val="28"/>
              </w:rPr>
            </w:pPr>
            <w:r w:rsidRPr="0403E016">
              <w:rPr>
                <w:rFonts w:ascii="Times New Roman" w:hAnsi="Times New Roman"/>
                <w:sz w:val="28"/>
                <w:szCs w:val="28"/>
              </w:rPr>
              <w:t xml:space="preserve">Medio de </w:t>
            </w:r>
            <w:r w:rsidR="4832A190" w:rsidRPr="0403E016">
              <w:rPr>
                <w:rFonts w:ascii="Times New Roman" w:hAnsi="Times New Roman"/>
                <w:sz w:val="28"/>
                <w:szCs w:val="28"/>
              </w:rPr>
              <w:t>c</w:t>
            </w:r>
            <w:r w:rsidRPr="0403E016">
              <w:rPr>
                <w:rFonts w:ascii="Times New Roman" w:hAnsi="Times New Roman"/>
                <w:sz w:val="28"/>
                <w:szCs w:val="28"/>
              </w:rPr>
              <w:t>ontrol</w:t>
            </w:r>
          </w:p>
        </w:tc>
        <w:tc>
          <w:tcPr>
            <w:tcW w:w="294" w:type="dxa"/>
          </w:tcPr>
          <w:p w14:paraId="2127E81B" w14:textId="77777777" w:rsidR="00A8420A" w:rsidRPr="0058485F" w:rsidRDefault="00A8420A" w:rsidP="00B2304A">
            <w:pPr>
              <w:pStyle w:val="Sinespaciado"/>
              <w:rPr>
                <w:rFonts w:ascii="Times New Roman" w:hAnsi="Times New Roman"/>
                <w:sz w:val="28"/>
                <w:szCs w:val="28"/>
              </w:rPr>
            </w:pPr>
            <w:r w:rsidRPr="0058485F">
              <w:rPr>
                <w:rFonts w:ascii="Times New Roman" w:hAnsi="Times New Roman"/>
                <w:sz w:val="28"/>
                <w:szCs w:val="28"/>
              </w:rPr>
              <w:t>:</w:t>
            </w:r>
          </w:p>
        </w:tc>
        <w:tc>
          <w:tcPr>
            <w:tcW w:w="5879" w:type="dxa"/>
          </w:tcPr>
          <w:p w14:paraId="10505632" w14:textId="77777777" w:rsidR="00A8420A" w:rsidRPr="0058485F" w:rsidRDefault="005B48B7" w:rsidP="00B2304A">
            <w:pPr>
              <w:pStyle w:val="Sinespaciado"/>
              <w:rPr>
                <w:rFonts w:ascii="Times New Roman" w:hAnsi="Times New Roman"/>
                <w:b/>
                <w:sz w:val="28"/>
                <w:szCs w:val="28"/>
              </w:rPr>
            </w:pPr>
            <w:r>
              <w:rPr>
                <w:rFonts w:ascii="Times New Roman" w:hAnsi="Times New Roman"/>
                <w:b/>
                <w:sz w:val="28"/>
                <w:szCs w:val="28"/>
              </w:rPr>
              <w:t xml:space="preserve">Reparación directa </w:t>
            </w:r>
          </w:p>
        </w:tc>
      </w:tr>
      <w:tr w:rsidR="00A8420A" w:rsidRPr="0058485F" w14:paraId="6CAE46F3" w14:textId="77777777" w:rsidTr="0403E016">
        <w:tc>
          <w:tcPr>
            <w:tcW w:w="2299" w:type="dxa"/>
          </w:tcPr>
          <w:p w14:paraId="4FC50634" w14:textId="77777777" w:rsidR="00A8420A" w:rsidRPr="0058485F" w:rsidRDefault="00A8420A" w:rsidP="00B2304A">
            <w:pPr>
              <w:pStyle w:val="Sinespaciado"/>
              <w:rPr>
                <w:rFonts w:ascii="Times New Roman" w:hAnsi="Times New Roman"/>
                <w:sz w:val="28"/>
                <w:szCs w:val="28"/>
              </w:rPr>
            </w:pPr>
            <w:r w:rsidRPr="0058485F">
              <w:rPr>
                <w:rFonts w:ascii="Times New Roman" w:hAnsi="Times New Roman"/>
                <w:sz w:val="28"/>
                <w:szCs w:val="28"/>
              </w:rPr>
              <w:t xml:space="preserve">Demandante   </w:t>
            </w:r>
          </w:p>
        </w:tc>
        <w:tc>
          <w:tcPr>
            <w:tcW w:w="294" w:type="dxa"/>
          </w:tcPr>
          <w:p w14:paraId="67A8245E" w14:textId="77777777" w:rsidR="00A8420A" w:rsidRPr="0058485F" w:rsidRDefault="00A8420A" w:rsidP="00B2304A">
            <w:pPr>
              <w:pStyle w:val="Sinespaciado"/>
              <w:rPr>
                <w:rFonts w:ascii="Times New Roman" w:hAnsi="Times New Roman"/>
                <w:sz w:val="28"/>
                <w:szCs w:val="28"/>
              </w:rPr>
            </w:pPr>
            <w:r w:rsidRPr="0058485F">
              <w:rPr>
                <w:rFonts w:ascii="Times New Roman" w:hAnsi="Times New Roman"/>
                <w:sz w:val="28"/>
                <w:szCs w:val="28"/>
              </w:rPr>
              <w:t>:</w:t>
            </w:r>
          </w:p>
        </w:tc>
        <w:tc>
          <w:tcPr>
            <w:tcW w:w="5879" w:type="dxa"/>
          </w:tcPr>
          <w:p w14:paraId="45DDE39C" w14:textId="77777777" w:rsidR="00A8420A" w:rsidRPr="0058485F" w:rsidRDefault="007F0EAF" w:rsidP="005B48B7">
            <w:pPr>
              <w:pStyle w:val="Sinespaciado"/>
              <w:rPr>
                <w:rFonts w:ascii="Times New Roman" w:hAnsi="Times New Roman"/>
                <w:b/>
                <w:sz w:val="28"/>
                <w:szCs w:val="28"/>
              </w:rPr>
            </w:pPr>
            <w:r>
              <w:rPr>
                <w:rFonts w:ascii="Times New Roman" w:hAnsi="Times New Roman"/>
                <w:b/>
                <w:sz w:val="28"/>
                <w:szCs w:val="28"/>
              </w:rPr>
              <w:t xml:space="preserve">Carmenza Suárez López </w:t>
            </w:r>
            <w:r w:rsidR="005B48B7">
              <w:rPr>
                <w:rFonts w:ascii="Times New Roman" w:hAnsi="Times New Roman"/>
                <w:b/>
                <w:sz w:val="28"/>
                <w:szCs w:val="28"/>
              </w:rPr>
              <w:t xml:space="preserve"> </w:t>
            </w:r>
            <w:r w:rsidR="006C21BA">
              <w:rPr>
                <w:rFonts w:ascii="Times New Roman" w:hAnsi="Times New Roman"/>
                <w:b/>
                <w:sz w:val="28"/>
                <w:szCs w:val="28"/>
              </w:rPr>
              <w:t xml:space="preserve"> </w:t>
            </w:r>
            <w:r w:rsidR="00B07751">
              <w:rPr>
                <w:rFonts w:ascii="Times New Roman" w:hAnsi="Times New Roman"/>
                <w:b/>
                <w:sz w:val="28"/>
                <w:szCs w:val="28"/>
              </w:rPr>
              <w:t xml:space="preserve"> </w:t>
            </w:r>
            <w:r w:rsidR="009F43DD">
              <w:rPr>
                <w:rFonts w:ascii="Times New Roman" w:hAnsi="Times New Roman"/>
                <w:b/>
                <w:sz w:val="28"/>
                <w:szCs w:val="28"/>
              </w:rPr>
              <w:t xml:space="preserve"> </w:t>
            </w:r>
            <w:r w:rsidR="00A8420A">
              <w:rPr>
                <w:rFonts w:ascii="Times New Roman" w:hAnsi="Times New Roman"/>
                <w:b/>
                <w:sz w:val="28"/>
                <w:szCs w:val="28"/>
              </w:rPr>
              <w:t xml:space="preserve"> </w:t>
            </w:r>
          </w:p>
        </w:tc>
      </w:tr>
      <w:tr w:rsidR="00A8420A" w:rsidRPr="0058485F" w14:paraId="1207A89F" w14:textId="77777777" w:rsidTr="0403E016">
        <w:tc>
          <w:tcPr>
            <w:tcW w:w="2299" w:type="dxa"/>
          </w:tcPr>
          <w:p w14:paraId="700AFC94" w14:textId="77777777" w:rsidR="00A8420A" w:rsidRPr="0058485F" w:rsidRDefault="00A8420A" w:rsidP="00B2304A">
            <w:pPr>
              <w:pStyle w:val="Sinespaciado"/>
              <w:rPr>
                <w:rFonts w:ascii="Times New Roman" w:hAnsi="Times New Roman"/>
                <w:sz w:val="28"/>
                <w:szCs w:val="28"/>
              </w:rPr>
            </w:pPr>
            <w:r w:rsidRPr="0058485F">
              <w:rPr>
                <w:rFonts w:ascii="Times New Roman" w:hAnsi="Times New Roman"/>
                <w:sz w:val="28"/>
                <w:szCs w:val="28"/>
              </w:rPr>
              <w:t xml:space="preserve">Demandado                       </w:t>
            </w:r>
          </w:p>
        </w:tc>
        <w:tc>
          <w:tcPr>
            <w:tcW w:w="294" w:type="dxa"/>
          </w:tcPr>
          <w:p w14:paraId="56A8759A" w14:textId="77777777" w:rsidR="00A8420A" w:rsidRPr="0058485F" w:rsidRDefault="00A8420A" w:rsidP="00B2304A">
            <w:pPr>
              <w:pStyle w:val="Sinespaciado"/>
              <w:rPr>
                <w:rFonts w:ascii="Times New Roman" w:hAnsi="Times New Roman"/>
                <w:sz w:val="28"/>
                <w:szCs w:val="28"/>
              </w:rPr>
            </w:pPr>
            <w:r w:rsidRPr="0058485F">
              <w:rPr>
                <w:rFonts w:ascii="Times New Roman" w:hAnsi="Times New Roman"/>
                <w:sz w:val="28"/>
                <w:szCs w:val="28"/>
              </w:rPr>
              <w:t>:</w:t>
            </w:r>
          </w:p>
        </w:tc>
        <w:tc>
          <w:tcPr>
            <w:tcW w:w="5879" w:type="dxa"/>
          </w:tcPr>
          <w:p w14:paraId="2AEFA099" w14:textId="77777777" w:rsidR="00A8420A" w:rsidRPr="0058485F" w:rsidRDefault="005B48B7" w:rsidP="006C21BA">
            <w:pPr>
              <w:pStyle w:val="Sinespaciado"/>
              <w:rPr>
                <w:rFonts w:ascii="Times New Roman" w:hAnsi="Times New Roman"/>
                <w:b/>
                <w:sz w:val="28"/>
                <w:szCs w:val="28"/>
              </w:rPr>
            </w:pPr>
            <w:r>
              <w:rPr>
                <w:rFonts w:ascii="Times New Roman" w:hAnsi="Times New Roman"/>
                <w:b/>
                <w:sz w:val="28"/>
                <w:szCs w:val="28"/>
              </w:rPr>
              <w:t xml:space="preserve">Nación – Dirección Ejecutiva de Administración Judicial – Rama Judicial </w:t>
            </w:r>
            <w:r w:rsidR="006C21BA">
              <w:rPr>
                <w:rFonts w:ascii="Times New Roman" w:hAnsi="Times New Roman"/>
                <w:b/>
                <w:sz w:val="28"/>
                <w:szCs w:val="28"/>
              </w:rPr>
              <w:t xml:space="preserve"> </w:t>
            </w:r>
            <w:r w:rsidR="00B07751">
              <w:rPr>
                <w:rFonts w:ascii="Times New Roman" w:hAnsi="Times New Roman"/>
                <w:b/>
                <w:sz w:val="28"/>
                <w:szCs w:val="28"/>
              </w:rPr>
              <w:t xml:space="preserve"> </w:t>
            </w:r>
            <w:r w:rsidR="00A8420A">
              <w:rPr>
                <w:rFonts w:ascii="Times New Roman" w:hAnsi="Times New Roman"/>
                <w:b/>
                <w:sz w:val="28"/>
                <w:szCs w:val="28"/>
              </w:rPr>
              <w:t xml:space="preserve">  </w:t>
            </w:r>
          </w:p>
        </w:tc>
      </w:tr>
      <w:tr w:rsidR="00A8420A" w:rsidRPr="0058485F" w14:paraId="158DCF3B" w14:textId="77777777" w:rsidTr="0403E016">
        <w:tc>
          <w:tcPr>
            <w:tcW w:w="2299" w:type="dxa"/>
          </w:tcPr>
          <w:p w14:paraId="2C6DBA4E" w14:textId="77777777" w:rsidR="00A8420A" w:rsidRPr="0058485F" w:rsidRDefault="00A8420A" w:rsidP="00B2304A">
            <w:pPr>
              <w:pStyle w:val="Sinespaciado"/>
              <w:rPr>
                <w:rFonts w:ascii="Times New Roman" w:hAnsi="Times New Roman"/>
                <w:sz w:val="28"/>
                <w:szCs w:val="28"/>
              </w:rPr>
            </w:pPr>
            <w:r w:rsidRPr="0058485F">
              <w:rPr>
                <w:rFonts w:ascii="Times New Roman" w:hAnsi="Times New Roman"/>
                <w:sz w:val="28"/>
                <w:szCs w:val="28"/>
              </w:rPr>
              <w:t xml:space="preserve">Expediente </w:t>
            </w:r>
          </w:p>
        </w:tc>
        <w:tc>
          <w:tcPr>
            <w:tcW w:w="294" w:type="dxa"/>
          </w:tcPr>
          <w:p w14:paraId="18329EB3" w14:textId="77777777" w:rsidR="00A8420A" w:rsidRPr="0058485F" w:rsidRDefault="00A8420A" w:rsidP="00B2304A">
            <w:pPr>
              <w:pStyle w:val="Sinespaciado"/>
              <w:rPr>
                <w:rFonts w:ascii="Times New Roman" w:hAnsi="Times New Roman"/>
                <w:sz w:val="28"/>
                <w:szCs w:val="28"/>
              </w:rPr>
            </w:pPr>
            <w:r w:rsidRPr="0058485F">
              <w:rPr>
                <w:rFonts w:ascii="Times New Roman" w:hAnsi="Times New Roman"/>
                <w:sz w:val="28"/>
                <w:szCs w:val="28"/>
              </w:rPr>
              <w:t>:</w:t>
            </w:r>
          </w:p>
        </w:tc>
        <w:tc>
          <w:tcPr>
            <w:tcW w:w="5879" w:type="dxa"/>
          </w:tcPr>
          <w:p w14:paraId="223E0B7D" w14:textId="77777777" w:rsidR="00A8420A" w:rsidRPr="0058485F" w:rsidRDefault="009F43DD" w:rsidP="005B48B7">
            <w:pPr>
              <w:pStyle w:val="Sinespaciado"/>
              <w:rPr>
                <w:rFonts w:ascii="Times New Roman" w:hAnsi="Times New Roman"/>
                <w:b/>
                <w:sz w:val="28"/>
                <w:szCs w:val="28"/>
              </w:rPr>
            </w:pPr>
            <w:r>
              <w:rPr>
                <w:rFonts w:ascii="Times New Roman" w:hAnsi="Times New Roman"/>
                <w:b/>
                <w:sz w:val="28"/>
                <w:szCs w:val="28"/>
              </w:rPr>
              <w:t>1500</w:t>
            </w:r>
            <w:r w:rsidR="005B48B7">
              <w:rPr>
                <w:rFonts w:ascii="Times New Roman" w:hAnsi="Times New Roman"/>
                <w:b/>
                <w:sz w:val="28"/>
                <w:szCs w:val="28"/>
              </w:rPr>
              <w:t>1-3</w:t>
            </w:r>
            <w:r>
              <w:rPr>
                <w:rFonts w:ascii="Times New Roman" w:hAnsi="Times New Roman"/>
                <w:b/>
                <w:sz w:val="28"/>
                <w:szCs w:val="28"/>
              </w:rPr>
              <w:t>3-3</w:t>
            </w:r>
            <w:r w:rsidR="005B48B7">
              <w:rPr>
                <w:rFonts w:ascii="Times New Roman" w:hAnsi="Times New Roman"/>
                <w:b/>
                <w:sz w:val="28"/>
                <w:szCs w:val="28"/>
              </w:rPr>
              <w:t>3-01</w:t>
            </w:r>
            <w:r w:rsidR="007F0EAF">
              <w:rPr>
                <w:rFonts w:ascii="Times New Roman" w:hAnsi="Times New Roman"/>
                <w:b/>
                <w:sz w:val="28"/>
                <w:szCs w:val="28"/>
              </w:rPr>
              <w:t>4</w:t>
            </w:r>
            <w:r w:rsidR="00A8420A" w:rsidRPr="0058485F">
              <w:rPr>
                <w:rFonts w:ascii="Times New Roman" w:hAnsi="Times New Roman"/>
                <w:b/>
                <w:sz w:val="28"/>
                <w:szCs w:val="28"/>
              </w:rPr>
              <w:t>-20</w:t>
            </w:r>
            <w:r w:rsidR="005B48B7">
              <w:rPr>
                <w:rFonts w:ascii="Times New Roman" w:hAnsi="Times New Roman"/>
                <w:b/>
                <w:sz w:val="28"/>
                <w:szCs w:val="28"/>
              </w:rPr>
              <w:t>1</w:t>
            </w:r>
            <w:r w:rsidR="007F0EAF">
              <w:rPr>
                <w:rFonts w:ascii="Times New Roman" w:hAnsi="Times New Roman"/>
                <w:b/>
                <w:sz w:val="28"/>
                <w:szCs w:val="28"/>
              </w:rPr>
              <w:t>4</w:t>
            </w:r>
            <w:r w:rsidR="00A8420A" w:rsidRPr="0058485F">
              <w:rPr>
                <w:rFonts w:ascii="Times New Roman" w:hAnsi="Times New Roman"/>
                <w:b/>
                <w:sz w:val="28"/>
                <w:szCs w:val="28"/>
              </w:rPr>
              <w:t>-</w:t>
            </w:r>
            <w:r w:rsidR="005B48B7">
              <w:rPr>
                <w:rFonts w:ascii="Times New Roman" w:hAnsi="Times New Roman"/>
                <w:b/>
                <w:sz w:val="28"/>
                <w:szCs w:val="28"/>
              </w:rPr>
              <w:t>0002</w:t>
            </w:r>
            <w:r w:rsidR="007F0EAF">
              <w:rPr>
                <w:rFonts w:ascii="Times New Roman" w:hAnsi="Times New Roman"/>
                <w:b/>
                <w:sz w:val="28"/>
                <w:szCs w:val="28"/>
              </w:rPr>
              <w:t>3</w:t>
            </w:r>
            <w:r w:rsidR="005B48B7">
              <w:rPr>
                <w:rFonts w:ascii="Times New Roman" w:hAnsi="Times New Roman"/>
                <w:b/>
                <w:sz w:val="28"/>
                <w:szCs w:val="28"/>
              </w:rPr>
              <w:t>-0</w:t>
            </w:r>
            <w:r w:rsidR="007F0EAF">
              <w:rPr>
                <w:rFonts w:ascii="Times New Roman" w:hAnsi="Times New Roman"/>
                <w:b/>
                <w:sz w:val="28"/>
                <w:szCs w:val="28"/>
              </w:rPr>
              <w:t>1</w:t>
            </w:r>
          </w:p>
        </w:tc>
      </w:tr>
    </w:tbl>
    <w:p w14:paraId="5A39BBE3" w14:textId="77777777" w:rsidR="00A8420A" w:rsidRDefault="00A8420A" w:rsidP="005B78F8">
      <w:pPr>
        <w:pStyle w:val="Textoindependiente"/>
        <w:spacing w:line="240" w:lineRule="auto"/>
        <w:rPr>
          <w:sz w:val="28"/>
          <w:szCs w:val="28"/>
        </w:rPr>
      </w:pPr>
    </w:p>
    <w:p w14:paraId="41C8F396" w14:textId="77777777" w:rsidR="00A8420A" w:rsidRDefault="00A8420A" w:rsidP="005B78F8">
      <w:pPr>
        <w:pStyle w:val="Textoindependiente"/>
        <w:spacing w:line="240" w:lineRule="auto"/>
        <w:rPr>
          <w:sz w:val="28"/>
          <w:szCs w:val="28"/>
        </w:rPr>
      </w:pPr>
    </w:p>
    <w:p w14:paraId="6C76BCE3" w14:textId="77777777" w:rsidR="00DD584C" w:rsidRDefault="00DD584C" w:rsidP="00D50C67">
      <w:pPr>
        <w:tabs>
          <w:tab w:val="left" w:pos="709"/>
        </w:tabs>
        <w:spacing w:line="360" w:lineRule="auto"/>
        <w:jc w:val="both"/>
        <w:rPr>
          <w:sz w:val="28"/>
          <w:szCs w:val="28"/>
        </w:rPr>
      </w:pPr>
      <w:r w:rsidRPr="00D15F35">
        <w:rPr>
          <w:b/>
          <w:sz w:val="28"/>
          <w:szCs w:val="28"/>
        </w:rPr>
        <w:t>Magistrado Ponente</w:t>
      </w:r>
      <w:r>
        <w:rPr>
          <w:b/>
          <w:sz w:val="28"/>
          <w:szCs w:val="28"/>
        </w:rPr>
        <w:t>: Luís Ernesto Arciniegas Triana</w:t>
      </w:r>
    </w:p>
    <w:p w14:paraId="72A3D3EC" w14:textId="77777777" w:rsidR="00DD584C" w:rsidRDefault="00DD584C" w:rsidP="00D50C67">
      <w:pPr>
        <w:spacing w:line="360" w:lineRule="auto"/>
        <w:jc w:val="both"/>
        <w:rPr>
          <w:iCs/>
          <w:sz w:val="28"/>
          <w:szCs w:val="28"/>
        </w:rPr>
      </w:pPr>
    </w:p>
    <w:p w14:paraId="126D764D" w14:textId="255454DB" w:rsidR="005B78F8" w:rsidRDefault="005B78F8" w:rsidP="00D50C67">
      <w:pPr>
        <w:spacing w:line="360" w:lineRule="auto"/>
        <w:jc w:val="both"/>
        <w:rPr>
          <w:sz w:val="28"/>
          <w:szCs w:val="28"/>
        </w:rPr>
      </w:pPr>
      <w:r w:rsidRPr="0403E016">
        <w:rPr>
          <w:sz w:val="28"/>
          <w:szCs w:val="28"/>
        </w:rPr>
        <w:lastRenderedPageBreak/>
        <w:t xml:space="preserve">Se encuentra el proceso al despacho </w:t>
      </w:r>
      <w:r w:rsidR="20E6BCC5" w:rsidRPr="0403E016">
        <w:rPr>
          <w:sz w:val="28"/>
          <w:szCs w:val="28"/>
        </w:rPr>
        <w:t xml:space="preserve">para resolver los </w:t>
      </w:r>
      <w:r w:rsidR="00D50C67" w:rsidRPr="0403E016">
        <w:rPr>
          <w:sz w:val="28"/>
          <w:szCs w:val="28"/>
        </w:rPr>
        <w:t>recurso</w:t>
      </w:r>
      <w:r w:rsidR="59618E28" w:rsidRPr="0403E016">
        <w:rPr>
          <w:sz w:val="28"/>
          <w:szCs w:val="28"/>
        </w:rPr>
        <w:t>s</w:t>
      </w:r>
      <w:r w:rsidR="00D50C67" w:rsidRPr="0403E016">
        <w:rPr>
          <w:sz w:val="28"/>
          <w:szCs w:val="28"/>
        </w:rPr>
        <w:t xml:space="preserve"> de reposición y en subsidio el de queja interpuesto por el apoderado de la parte actora contra el auto del </w:t>
      </w:r>
      <w:r w:rsidR="007F0EAF" w:rsidRPr="0403E016">
        <w:rPr>
          <w:sz w:val="28"/>
          <w:szCs w:val="28"/>
        </w:rPr>
        <w:t>10 de agosto de 2021</w:t>
      </w:r>
      <w:r w:rsidR="00D50C67" w:rsidRPr="0403E016">
        <w:rPr>
          <w:sz w:val="28"/>
          <w:szCs w:val="28"/>
        </w:rPr>
        <w:t xml:space="preserve">, mediante el cual </w:t>
      </w:r>
      <w:r w:rsidR="007F0EAF" w:rsidRPr="0403E016">
        <w:rPr>
          <w:sz w:val="28"/>
          <w:szCs w:val="28"/>
        </w:rPr>
        <w:t xml:space="preserve">se rechazó </w:t>
      </w:r>
      <w:r w:rsidR="00D50C67" w:rsidRPr="0403E016">
        <w:rPr>
          <w:sz w:val="28"/>
          <w:szCs w:val="28"/>
        </w:rPr>
        <w:t xml:space="preserve">el recurso </w:t>
      </w:r>
      <w:r w:rsidR="00DC5E4E" w:rsidRPr="0403E016">
        <w:rPr>
          <w:sz w:val="28"/>
          <w:szCs w:val="28"/>
        </w:rPr>
        <w:t xml:space="preserve">extraordinario </w:t>
      </w:r>
      <w:r w:rsidR="00D50C67" w:rsidRPr="0403E016">
        <w:rPr>
          <w:sz w:val="28"/>
          <w:szCs w:val="28"/>
        </w:rPr>
        <w:t>de unificación de jurisprudencia</w:t>
      </w:r>
      <w:r w:rsidR="00DC5E4E" w:rsidRPr="0403E016">
        <w:rPr>
          <w:sz w:val="28"/>
          <w:szCs w:val="28"/>
        </w:rPr>
        <w:t xml:space="preserve"> </w:t>
      </w:r>
      <w:r w:rsidRPr="0403E016">
        <w:rPr>
          <w:sz w:val="28"/>
          <w:szCs w:val="28"/>
        </w:rPr>
        <w:t>(</w:t>
      </w:r>
      <w:r w:rsidR="00DC5E4E" w:rsidRPr="0403E016">
        <w:rPr>
          <w:sz w:val="28"/>
          <w:szCs w:val="28"/>
        </w:rPr>
        <w:t xml:space="preserve">expediente digital </w:t>
      </w:r>
      <w:proofErr w:type="spellStart"/>
      <w:r w:rsidR="00DC5E4E" w:rsidRPr="0403E016">
        <w:rPr>
          <w:sz w:val="28"/>
          <w:szCs w:val="28"/>
        </w:rPr>
        <w:t>samai</w:t>
      </w:r>
      <w:proofErr w:type="spellEnd"/>
      <w:r w:rsidR="00DC5E4E" w:rsidRPr="0403E016">
        <w:rPr>
          <w:sz w:val="28"/>
          <w:szCs w:val="28"/>
        </w:rPr>
        <w:t>).</w:t>
      </w:r>
      <w:r w:rsidR="00FF4B85" w:rsidRPr="0403E016">
        <w:rPr>
          <w:sz w:val="28"/>
          <w:szCs w:val="28"/>
        </w:rPr>
        <w:t xml:space="preserve"> </w:t>
      </w:r>
    </w:p>
    <w:p w14:paraId="0D0B940D" w14:textId="77777777" w:rsidR="005B78F8" w:rsidRDefault="005B78F8" w:rsidP="00232E0A">
      <w:pPr>
        <w:spacing w:line="360" w:lineRule="auto"/>
        <w:jc w:val="both"/>
        <w:rPr>
          <w:sz w:val="28"/>
          <w:szCs w:val="28"/>
        </w:rPr>
      </w:pPr>
    </w:p>
    <w:p w14:paraId="77F9542F" w14:textId="77777777" w:rsidR="005B78F8" w:rsidRDefault="00D50C67" w:rsidP="00232E0A">
      <w:pPr>
        <w:spacing w:line="360" w:lineRule="auto"/>
        <w:jc w:val="center"/>
        <w:rPr>
          <w:b/>
          <w:sz w:val="28"/>
          <w:szCs w:val="28"/>
        </w:rPr>
      </w:pPr>
      <w:r>
        <w:rPr>
          <w:b/>
          <w:sz w:val="28"/>
          <w:szCs w:val="28"/>
        </w:rPr>
        <w:t xml:space="preserve">I. </w:t>
      </w:r>
      <w:r w:rsidR="005B78F8">
        <w:rPr>
          <w:b/>
          <w:sz w:val="28"/>
          <w:szCs w:val="28"/>
        </w:rPr>
        <w:t>ANTECEDENTES</w:t>
      </w:r>
    </w:p>
    <w:p w14:paraId="0E27B00A" w14:textId="77777777" w:rsidR="005B78F8" w:rsidRDefault="005B78F8" w:rsidP="00232E0A">
      <w:pPr>
        <w:spacing w:line="360" w:lineRule="auto"/>
        <w:jc w:val="both"/>
        <w:rPr>
          <w:b/>
          <w:sz w:val="28"/>
        </w:rPr>
      </w:pPr>
    </w:p>
    <w:p w14:paraId="4AAADA27" w14:textId="0458B224" w:rsidR="00FF4B85" w:rsidRDefault="000E6ECE" w:rsidP="0403E016">
      <w:pPr>
        <w:spacing w:line="360" w:lineRule="auto"/>
        <w:jc w:val="both"/>
        <w:rPr>
          <w:sz w:val="28"/>
          <w:szCs w:val="28"/>
        </w:rPr>
      </w:pPr>
      <w:r w:rsidRPr="0403E016">
        <w:rPr>
          <w:sz w:val="28"/>
          <w:szCs w:val="28"/>
        </w:rPr>
        <w:t>Mediante au</w:t>
      </w:r>
      <w:r w:rsidR="00D50C67" w:rsidRPr="0403E016">
        <w:rPr>
          <w:sz w:val="28"/>
          <w:szCs w:val="28"/>
        </w:rPr>
        <w:t xml:space="preserve">to del </w:t>
      </w:r>
      <w:r w:rsidR="005B48B7" w:rsidRPr="0403E016">
        <w:rPr>
          <w:sz w:val="28"/>
          <w:szCs w:val="28"/>
        </w:rPr>
        <w:t>2</w:t>
      </w:r>
      <w:r w:rsidR="00DC5E4E" w:rsidRPr="0403E016">
        <w:rPr>
          <w:sz w:val="28"/>
          <w:szCs w:val="28"/>
        </w:rPr>
        <w:t xml:space="preserve">3 </w:t>
      </w:r>
      <w:r w:rsidR="005B48B7" w:rsidRPr="0403E016">
        <w:rPr>
          <w:sz w:val="28"/>
          <w:szCs w:val="28"/>
        </w:rPr>
        <w:t xml:space="preserve">de </w:t>
      </w:r>
      <w:r w:rsidR="00DC5E4E" w:rsidRPr="0403E016">
        <w:rPr>
          <w:sz w:val="28"/>
          <w:szCs w:val="28"/>
        </w:rPr>
        <w:t xml:space="preserve">junio </w:t>
      </w:r>
      <w:r w:rsidR="005B48B7" w:rsidRPr="0403E016">
        <w:rPr>
          <w:sz w:val="28"/>
          <w:szCs w:val="28"/>
        </w:rPr>
        <w:t xml:space="preserve">de </w:t>
      </w:r>
      <w:r w:rsidR="00DC5E4E" w:rsidRPr="0403E016">
        <w:rPr>
          <w:sz w:val="28"/>
          <w:szCs w:val="28"/>
        </w:rPr>
        <w:t>2021</w:t>
      </w:r>
      <w:r w:rsidR="00D50C67" w:rsidRPr="0403E016">
        <w:rPr>
          <w:sz w:val="28"/>
          <w:szCs w:val="28"/>
        </w:rPr>
        <w:t xml:space="preserve">, este </w:t>
      </w:r>
      <w:r w:rsidR="781D9742" w:rsidRPr="0403E016">
        <w:rPr>
          <w:sz w:val="28"/>
          <w:szCs w:val="28"/>
        </w:rPr>
        <w:t>d</w:t>
      </w:r>
      <w:r w:rsidR="00D50C67" w:rsidRPr="0403E016">
        <w:rPr>
          <w:sz w:val="28"/>
          <w:szCs w:val="28"/>
        </w:rPr>
        <w:t>espach</w:t>
      </w:r>
      <w:r w:rsidR="09927F85" w:rsidRPr="0403E016">
        <w:rPr>
          <w:sz w:val="28"/>
          <w:szCs w:val="28"/>
        </w:rPr>
        <w:t>o</w:t>
      </w:r>
      <w:r w:rsidR="00D50C67" w:rsidRPr="0403E016">
        <w:rPr>
          <w:sz w:val="28"/>
          <w:szCs w:val="28"/>
        </w:rPr>
        <w:t xml:space="preserve"> </w:t>
      </w:r>
      <w:r w:rsidR="00D50C67" w:rsidRPr="0403E016">
        <w:rPr>
          <w:b/>
          <w:bCs/>
          <w:sz w:val="28"/>
          <w:szCs w:val="28"/>
        </w:rPr>
        <w:t>rechaz</w:t>
      </w:r>
      <w:r w:rsidR="78CD1524" w:rsidRPr="0403E016">
        <w:rPr>
          <w:b/>
          <w:bCs/>
          <w:sz w:val="28"/>
          <w:szCs w:val="28"/>
        </w:rPr>
        <w:t>ó</w:t>
      </w:r>
      <w:r w:rsidR="00D50C67" w:rsidRPr="0403E016">
        <w:rPr>
          <w:b/>
          <w:bCs/>
          <w:sz w:val="28"/>
          <w:szCs w:val="28"/>
        </w:rPr>
        <w:t xml:space="preserve"> </w:t>
      </w:r>
      <w:r w:rsidR="00D50C67" w:rsidRPr="0403E016">
        <w:rPr>
          <w:sz w:val="28"/>
          <w:szCs w:val="28"/>
        </w:rPr>
        <w:t xml:space="preserve">el recurso extraordinario de unificación de jurisprudencia interpuesto por la parte actora contra la sentencia proferida en segunda instancia por la Sala de Decisión N° 2 del </w:t>
      </w:r>
      <w:r w:rsidR="00DC5E4E" w:rsidRPr="0403E016">
        <w:rPr>
          <w:b/>
          <w:bCs/>
          <w:sz w:val="28"/>
          <w:szCs w:val="28"/>
        </w:rPr>
        <w:t>23 de junio de 2021</w:t>
      </w:r>
      <w:r w:rsidR="00D50C67" w:rsidRPr="0403E016">
        <w:rPr>
          <w:sz w:val="28"/>
          <w:szCs w:val="28"/>
        </w:rPr>
        <w:t xml:space="preserve">, por cuanto el mismo no era procedente al tenor de lo dispuesto en el numeral </w:t>
      </w:r>
      <w:r w:rsidR="00A13418" w:rsidRPr="0403E016">
        <w:rPr>
          <w:sz w:val="28"/>
          <w:szCs w:val="28"/>
        </w:rPr>
        <w:t>5</w:t>
      </w:r>
      <w:r w:rsidR="00D50C67" w:rsidRPr="0403E016">
        <w:rPr>
          <w:sz w:val="28"/>
          <w:szCs w:val="28"/>
        </w:rPr>
        <w:t xml:space="preserve"> del artículo 257 del CPACA, </w:t>
      </w:r>
      <w:r w:rsidR="041A3DC0" w:rsidRPr="0403E016">
        <w:rPr>
          <w:sz w:val="28"/>
          <w:szCs w:val="28"/>
        </w:rPr>
        <w:t xml:space="preserve">dado que </w:t>
      </w:r>
      <w:r w:rsidR="00DC5E4E" w:rsidRPr="0403E016">
        <w:rPr>
          <w:sz w:val="28"/>
          <w:szCs w:val="28"/>
        </w:rPr>
        <w:t xml:space="preserve">no cumple con </w:t>
      </w:r>
      <w:r w:rsidR="00DC5E4E" w:rsidRPr="0403E016">
        <w:rPr>
          <w:b/>
          <w:bCs/>
          <w:sz w:val="28"/>
          <w:szCs w:val="28"/>
          <w:u w:val="single"/>
        </w:rPr>
        <w:t>la cuantía de la condena</w:t>
      </w:r>
      <w:r w:rsidR="00DC5E4E" w:rsidRPr="0403E016">
        <w:rPr>
          <w:b/>
          <w:bCs/>
          <w:sz w:val="28"/>
          <w:szCs w:val="28"/>
        </w:rPr>
        <w:t xml:space="preserve"> </w:t>
      </w:r>
      <w:r w:rsidR="00DC5E4E" w:rsidRPr="0403E016">
        <w:rPr>
          <w:sz w:val="28"/>
          <w:szCs w:val="28"/>
        </w:rPr>
        <w:t>equivalente a una suma igual o superior a</w:t>
      </w:r>
      <w:r w:rsidR="00DC5E4E" w:rsidRPr="0403E016">
        <w:rPr>
          <w:b/>
          <w:bCs/>
          <w:sz w:val="28"/>
          <w:szCs w:val="28"/>
        </w:rPr>
        <w:t xml:space="preserve"> </w:t>
      </w:r>
      <w:r w:rsidR="00DC5E4E" w:rsidRPr="0403E016">
        <w:rPr>
          <w:sz w:val="28"/>
          <w:szCs w:val="28"/>
        </w:rPr>
        <w:t xml:space="preserve">los cuatrocientos cincuenta (450) </w:t>
      </w:r>
      <w:proofErr w:type="spellStart"/>
      <w:r w:rsidR="00DC5E4E" w:rsidRPr="0403E016">
        <w:rPr>
          <w:sz w:val="28"/>
          <w:szCs w:val="28"/>
        </w:rPr>
        <w:t>smlmv</w:t>
      </w:r>
      <w:proofErr w:type="spellEnd"/>
      <w:r w:rsidR="00DC5E4E" w:rsidRPr="0403E016">
        <w:rPr>
          <w:sz w:val="28"/>
          <w:szCs w:val="28"/>
        </w:rPr>
        <w:t>, al momento de la interposición.</w:t>
      </w:r>
    </w:p>
    <w:p w14:paraId="60061E4C" w14:textId="77777777" w:rsidR="005B48B7" w:rsidRDefault="005B48B7" w:rsidP="005B78F8">
      <w:pPr>
        <w:spacing w:line="360" w:lineRule="auto"/>
        <w:jc w:val="both"/>
        <w:rPr>
          <w:sz w:val="28"/>
        </w:rPr>
      </w:pPr>
    </w:p>
    <w:p w14:paraId="44EAFD9C" w14:textId="77777777" w:rsidR="005B48B7" w:rsidRDefault="005B48B7" w:rsidP="005B78F8">
      <w:pPr>
        <w:spacing w:line="360" w:lineRule="auto"/>
        <w:jc w:val="both"/>
        <w:rPr>
          <w:sz w:val="28"/>
        </w:rPr>
      </w:pPr>
    </w:p>
    <w:p w14:paraId="46177D1E" w14:textId="18AECCEE" w:rsidR="00DC5E4E" w:rsidRDefault="00DC5E4E" w:rsidP="00DC5E4E">
      <w:pPr>
        <w:spacing w:line="360" w:lineRule="auto"/>
        <w:jc w:val="both"/>
        <w:rPr>
          <w:sz w:val="28"/>
          <w:szCs w:val="28"/>
        </w:rPr>
      </w:pPr>
      <w:r w:rsidRPr="0403E016">
        <w:rPr>
          <w:sz w:val="28"/>
          <w:szCs w:val="28"/>
        </w:rPr>
        <w:t xml:space="preserve">Se dijo que la sentencia objeto del recurso de unificación de jurisprudencia fue de carácter condenatorio, a favor del </w:t>
      </w:r>
      <w:proofErr w:type="gramStart"/>
      <w:r w:rsidRPr="0403E016">
        <w:rPr>
          <w:sz w:val="28"/>
          <w:szCs w:val="28"/>
        </w:rPr>
        <w:t xml:space="preserve">demandante </w:t>
      </w:r>
      <w:r w:rsidR="71B700DE" w:rsidRPr="0403E016">
        <w:rPr>
          <w:sz w:val="28"/>
          <w:szCs w:val="28"/>
        </w:rPr>
        <w:t xml:space="preserve"> y</w:t>
      </w:r>
      <w:proofErr w:type="gramEnd"/>
      <w:r w:rsidR="71B700DE" w:rsidRPr="0403E016">
        <w:rPr>
          <w:sz w:val="28"/>
          <w:szCs w:val="28"/>
        </w:rPr>
        <w:t xml:space="preserve"> </w:t>
      </w:r>
      <w:r w:rsidRPr="0403E016">
        <w:rPr>
          <w:sz w:val="28"/>
          <w:szCs w:val="28"/>
          <w:lang w:val="es-CO"/>
        </w:rPr>
        <w:t>por 100 salarios mínimos mensuales legales vigentes, suma que corresponde a</w:t>
      </w:r>
      <w:r w:rsidRPr="0403E016">
        <w:rPr>
          <w:sz w:val="28"/>
          <w:szCs w:val="28"/>
        </w:rPr>
        <w:t xml:space="preserve"> </w:t>
      </w:r>
      <w:r w:rsidRPr="0403E016">
        <w:rPr>
          <w:b/>
          <w:bCs/>
          <w:sz w:val="28"/>
          <w:szCs w:val="28"/>
        </w:rPr>
        <w:t>$90.852.600</w:t>
      </w:r>
      <w:r w:rsidRPr="0403E016">
        <w:rPr>
          <w:sz w:val="28"/>
          <w:szCs w:val="28"/>
        </w:rPr>
        <w:t xml:space="preserve">, por lo que la misma resulta </w:t>
      </w:r>
      <w:r w:rsidRPr="0403E016">
        <w:rPr>
          <w:b/>
          <w:bCs/>
          <w:sz w:val="28"/>
          <w:szCs w:val="28"/>
        </w:rPr>
        <w:t>inferior</w:t>
      </w:r>
      <w:r w:rsidRPr="0403E016">
        <w:rPr>
          <w:sz w:val="28"/>
          <w:szCs w:val="28"/>
        </w:rPr>
        <w:t xml:space="preserve"> a la cuantía establecida en la ley para que sea procedente el recurso de unificación. </w:t>
      </w:r>
    </w:p>
    <w:p w14:paraId="4B94D5A5" w14:textId="77777777" w:rsidR="00DC5E4E" w:rsidRDefault="00DC5E4E" w:rsidP="00DC5E4E">
      <w:pPr>
        <w:spacing w:line="360" w:lineRule="auto"/>
        <w:jc w:val="both"/>
        <w:rPr>
          <w:sz w:val="28"/>
          <w:szCs w:val="28"/>
        </w:rPr>
      </w:pPr>
    </w:p>
    <w:p w14:paraId="085E504F" w14:textId="3AA2C8B1" w:rsidR="00DC5E4E" w:rsidRPr="00C26609" w:rsidRDefault="00DC5E4E" w:rsidP="00DC5E4E">
      <w:pPr>
        <w:spacing w:line="360" w:lineRule="auto"/>
        <w:jc w:val="both"/>
        <w:rPr>
          <w:sz w:val="28"/>
          <w:szCs w:val="28"/>
        </w:rPr>
      </w:pPr>
      <w:r w:rsidRPr="0403E016">
        <w:rPr>
          <w:sz w:val="28"/>
          <w:szCs w:val="28"/>
        </w:rPr>
        <w:t xml:space="preserve">En tal sentido, se concluyó que era evidente que el recurso extraordinario de unificación de jurisprudencia en el presente caso es improcedente, por no </w:t>
      </w:r>
      <w:r w:rsidR="4DDD44D2" w:rsidRPr="0403E016">
        <w:rPr>
          <w:sz w:val="28"/>
          <w:szCs w:val="28"/>
        </w:rPr>
        <w:t xml:space="preserve">atenderse </w:t>
      </w:r>
      <w:r w:rsidRPr="0403E016">
        <w:rPr>
          <w:sz w:val="28"/>
          <w:szCs w:val="28"/>
        </w:rPr>
        <w:t>la cuantía establecida por el CPACA.</w:t>
      </w:r>
    </w:p>
    <w:p w14:paraId="3DEEC669" w14:textId="77777777" w:rsidR="005B48B7" w:rsidRDefault="005B48B7" w:rsidP="005B78F8">
      <w:pPr>
        <w:spacing w:line="360" w:lineRule="auto"/>
        <w:jc w:val="both"/>
        <w:rPr>
          <w:sz w:val="28"/>
        </w:rPr>
      </w:pPr>
    </w:p>
    <w:p w14:paraId="0DD58704" w14:textId="07DB2654" w:rsidR="00D50C67" w:rsidRDefault="00D50C67" w:rsidP="0403E016">
      <w:pPr>
        <w:spacing w:line="360" w:lineRule="auto"/>
        <w:jc w:val="center"/>
        <w:rPr>
          <w:b/>
          <w:bCs/>
          <w:sz w:val="28"/>
          <w:szCs w:val="28"/>
        </w:rPr>
      </w:pPr>
      <w:r w:rsidRPr="0403E016">
        <w:rPr>
          <w:b/>
          <w:bCs/>
          <w:sz w:val="28"/>
          <w:szCs w:val="28"/>
        </w:rPr>
        <w:t>II. DEL RECURSO DE REPOSICI</w:t>
      </w:r>
      <w:r w:rsidR="6C7444ED" w:rsidRPr="0403E016">
        <w:rPr>
          <w:b/>
          <w:bCs/>
          <w:sz w:val="28"/>
          <w:szCs w:val="28"/>
        </w:rPr>
        <w:t>Ó</w:t>
      </w:r>
      <w:r w:rsidRPr="0403E016">
        <w:rPr>
          <w:b/>
          <w:bCs/>
          <w:sz w:val="28"/>
          <w:szCs w:val="28"/>
        </w:rPr>
        <w:t>N</w:t>
      </w:r>
    </w:p>
    <w:p w14:paraId="3656B9AB" w14:textId="77777777" w:rsidR="00D50C67" w:rsidRDefault="00D50C67" w:rsidP="00D50C67">
      <w:pPr>
        <w:spacing w:line="360" w:lineRule="auto"/>
        <w:jc w:val="center"/>
        <w:rPr>
          <w:b/>
          <w:sz w:val="28"/>
        </w:rPr>
      </w:pPr>
    </w:p>
    <w:p w14:paraId="591DE3C0" w14:textId="6EFEC08B" w:rsidR="00D50C67" w:rsidRDefault="00D50C67" w:rsidP="0403E016">
      <w:pPr>
        <w:spacing w:line="360" w:lineRule="auto"/>
        <w:jc w:val="both"/>
        <w:rPr>
          <w:sz w:val="28"/>
          <w:szCs w:val="28"/>
        </w:rPr>
      </w:pPr>
      <w:r w:rsidRPr="0403E016">
        <w:rPr>
          <w:sz w:val="28"/>
          <w:szCs w:val="28"/>
        </w:rPr>
        <w:t>El apoderado de la parte actora</w:t>
      </w:r>
      <w:r w:rsidR="00A76A0B" w:rsidRPr="0403E016">
        <w:rPr>
          <w:sz w:val="28"/>
          <w:szCs w:val="28"/>
        </w:rPr>
        <w:t xml:space="preserve"> el 13 de agosto de 2021</w:t>
      </w:r>
      <w:r w:rsidRPr="0403E016">
        <w:rPr>
          <w:sz w:val="28"/>
          <w:szCs w:val="28"/>
        </w:rPr>
        <w:t xml:space="preserve"> interpone recurso de </w:t>
      </w:r>
      <w:r w:rsidR="00A25305" w:rsidRPr="0403E016">
        <w:rPr>
          <w:sz w:val="28"/>
          <w:szCs w:val="28"/>
        </w:rPr>
        <w:t>reposición</w:t>
      </w:r>
      <w:r w:rsidRPr="0403E016">
        <w:rPr>
          <w:sz w:val="28"/>
          <w:szCs w:val="28"/>
        </w:rPr>
        <w:t xml:space="preserve"> y en </w:t>
      </w:r>
      <w:r w:rsidR="00A25305" w:rsidRPr="0403E016">
        <w:rPr>
          <w:sz w:val="28"/>
          <w:szCs w:val="28"/>
        </w:rPr>
        <w:t>subsidio el de queja.</w:t>
      </w:r>
    </w:p>
    <w:p w14:paraId="45FB0818" w14:textId="77777777" w:rsidR="005B48B7" w:rsidRDefault="005B48B7" w:rsidP="00D50C67">
      <w:pPr>
        <w:spacing w:line="360" w:lineRule="auto"/>
        <w:rPr>
          <w:sz w:val="28"/>
        </w:rPr>
      </w:pPr>
    </w:p>
    <w:p w14:paraId="57EC1080" w14:textId="2845C2AF" w:rsidR="00DC5E4E" w:rsidRDefault="00A25305" w:rsidP="0403E016">
      <w:pPr>
        <w:spacing w:line="360" w:lineRule="auto"/>
        <w:jc w:val="both"/>
        <w:rPr>
          <w:sz w:val="28"/>
          <w:szCs w:val="28"/>
        </w:rPr>
      </w:pPr>
      <w:r w:rsidRPr="0403E016">
        <w:rPr>
          <w:sz w:val="28"/>
          <w:szCs w:val="28"/>
        </w:rPr>
        <w:lastRenderedPageBreak/>
        <w:t>Como sustento de su inconformid</w:t>
      </w:r>
      <w:r w:rsidR="002949BD" w:rsidRPr="0403E016">
        <w:rPr>
          <w:sz w:val="28"/>
          <w:szCs w:val="28"/>
        </w:rPr>
        <w:t>ad manifiesta</w:t>
      </w:r>
      <w:r w:rsidRPr="0403E016">
        <w:rPr>
          <w:sz w:val="28"/>
          <w:szCs w:val="28"/>
        </w:rPr>
        <w:t xml:space="preserve"> </w:t>
      </w:r>
      <w:r w:rsidR="00DC5E4E" w:rsidRPr="0403E016">
        <w:rPr>
          <w:sz w:val="28"/>
          <w:szCs w:val="28"/>
        </w:rPr>
        <w:t>no cuestionar que la sentencia fue condenatoria y que la cuantía debe ser superior a 450 S.M.L.M.V, pero que</w:t>
      </w:r>
      <w:r w:rsidR="00962B73" w:rsidRPr="0403E016">
        <w:rPr>
          <w:sz w:val="28"/>
          <w:szCs w:val="28"/>
        </w:rPr>
        <w:t xml:space="preserve"> </w:t>
      </w:r>
      <w:r w:rsidR="00DC5E4E" w:rsidRPr="0403E016">
        <w:rPr>
          <w:sz w:val="28"/>
          <w:szCs w:val="28"/>
        </w:rPr>
        <w:t xml:space="preserve">al rechazar el recurso por improcedente </w:t>
      </w:r>
      <w:r w:rsidR="46A0A38F" w:rsidRPr="0403E016">
        <w:rPr>
          <w:sz w:val="28"/>
          <w:szCs w:val="28"/>
        </w:rPr>
        <w:t xml:space="preserve">tal decisión </w:t>
      </w:r>
      <w:r w:rsidR="00DC5E4E" w:rsidRPr="0403E016">
        <w:rPr>
          <w:sz w:val="28"/>
          <w:szCs w:val="28"/>
        </w:rPr>
        <w:t>no se ajusta a lo establecido en el artículo 257 del CPACA y el artículo 71 de la Ley 2080.</w:t>
      </w:r>
    </w:p>
    <w:p w14:paraId="049F31CB" w14:textId="77777777" w:rsidR="00DC5E4E" w:rsidRDefault="00DC5E4E" w:rsidP="001E6E16">
      <w:pPr>
        <w:spacing w:line="360" w:lineRule="auto"/>
        <w:jc w:val="both"/>
        <w:rPr>
          <w:sz w:val="28"/>
        </w:rPr>
      </w:pPr>
    </w:p>
    <w:p w14:paraId="2314070F" w14:textId="36C59760" w:rsidR="00962B73" w:rsidRDefault="00DC5E4E" w:rsidP="0403E016">
      <w:pPr>
        <w:spacing w:line="360" w:lineRule="auto"/>
        <w:jc w:val="both"/>
        <w:rPr>
          <w:sz w:val="28"/>
          <w:szCs w:val="28"/>
        </w:rPr>
      </w:pPr>
      <w:r w:rsidRPr="0403E016">
        <w:rPr>
          <w:sz w:val="28"/>
          <w:szCs w:val="28"/>
        </w:rPr>
        <w:t xml:space="preserve">Dice que tanto el demandante como la demandada tiene legitimación para recurrir la sentencia </w:t>
      </w:r>
      <w:r w:rsidR="002D4C7C" w:rsidRPr="0403E016">
        <w:rPr>
          <w:sz w:val="28"/>
          <w:szCs w:val="28"/>
        </w:rPr>
        <w:t xml:space="preserve">en recurso extraordinario de unificación, pero que el quid del asunto radica es </w:t>
      </w:r>
      <w:r w:rsidR="4C5D4710" w:rsidRPr="0403E016">
        <w:rPr>
          <w:sz w:val="28"/>
          <w:szCs w:val="28"/>
        </w:rPr>
        <w:t xml:space="preserve">con base </w:t>
      </w:r>
      <w:r w:rsidR="002D4C7C" w:rsidRPr="0403E016">
        <w:rPr>
          <w:sz w:val="28"/>
          <w:szCs w:val="28"/>
        </w:rPr>
        <w:t>en qu</w:t>
      </w:r>
      <w:r w:rsidR="1DE77F55" w:rsidRPr="0403E016">
        <w:rPr>
          <w:sz w:val="28"/>
          <w:szCs w:val="28"/>
        </w:rPr>
        <w:t>é</w:t>
      </w:r>
      <w:r w:rsidR="002D4C7C" w:rsidRPr="0403E016">
        <w:rPr>
          <w:sz w:val="28"/>
          <w:szCs w:val="28"/>
        </w:rPr>
        <w:t xml:space="preserve"> conceptos o ítems se liquida dicha cuantía si el que recurre es la parte actora o la parte demandada. </w:t>
      </w:r>
    </w:p>
    <w:p w14:paraId="53128261" w14:textId="77777777" w:rsidR="002D4C7C" w:rsidRDefault="002D4C7C" w:rsidP="001E6E16">
      <w:pPr>
        <w:spacing w:line="360" w:lineRule="auto"/>
        <w:jc w:val="both"/>
        <w:rPr>
          <w:sz w:val="28"/>
        </w:rPr>
      </w:pPr>
    </w:p>
    <w:p w14:paraId="60EAE3D9" w14:textId="29076613" w:rsidR="002D4C7C" w:rsidRDefault="00A13418" w:rsidP="0403E016">
      <w:pPr>
        <w:spacing w:line="360" w:lineRule="auto"/>
        <w:jc w:val="both"/>
        <w:rPr>
          <w:sz w:val="28"/>
          <w:szCs w:val="28"/>
        </w:rPr>
      </w:pPr>
      <w:proofErr w:type="gramStart"/>
      <w:r w:rsidRPr="0403E016">
        <w:rPr>
          <w:sz w:val="28"/>
          <w:szCs w:val="28"/>
        </w:rPr>
        <w:t>Que</w:t>
      </w:r>
      <w:proofErr w:type="gramEnd"/>
      <w:r w:rsidR="002D4C7C" w:rsidRPr="0403E016">
        <w:rPr>
          <w:sz w:val="28"/>
          <w:szCs w:val="28"/>
        </w:rPr>
        <w:t xml:space="preserve"> a su juicio, si la</w:t>
      </w:r>
      <w:r w:rsidRPr="0403E016">
        <w:rPr>
          <w:sz w:val="28"/>
          <w:szCs w:val="28"/>
        </w:rPr>
        <w:t xml:space="preserve"> sentencia</w:t>
      </w:r>
      <w:r w:rsidR="73972B9C" w:rsidRPr="0403E016">
        <w:rPr>
          <w:sz w:val="28"/>
          <w:szCs w:val="28"/>
        </w:rPr>
        <w:t xml:space="preserve"> es</w:t>
      </w:r>
      <w:r w:rsidRPr="0403E016">
        <w:rPr>
          <w:sz w:val="28"/>
          <w:szCs w:val="28"/>
        </w:rPr>
        <w:t xml:space="preserve"> </w:t>
      </w:r>
      <w:r w:rsidR="002D4C7C" w:rsidRPr="0403E016">
        <w:rPr>
          <w:sz w:val="28"/>
          <w:szCs w:val="28"/>
        </w:rPr>
        <w:t xml:space="preserve">de condena y la demandada quiere recurrirla </w:t>
      </w:r>
      <w:r w:rsidR="2F0FE229" w:rsidRPr="0403E016">
        <w:rPr>
          <w:sz w:val="28"/>
          <w:szCs w:val="28"/>
        </w:rPr>
        <w:t xml:space="preserve">la cuantía </w:t>
      </w:r>
      <w:r w:rsidR="002D4C7C" w:rsidRPr="0403E016">
        <w:rPr>
          <w:sz w:val="28"/>
          <w:szCs w:val="28"/>
        </w:rPr>
        <w:t xml:space="preserve">debe superar los 450 </w:t>
      </w:r>
      <w:proofErr w:type="spellStart"/>
      <w:r w:rsidR="002D4C7C" w:rsidRPr="0403E016">
        <w:rPr>
          <w:sz w:val="28"/>
          <w:szCs w:val="28"/>
        </w:rPr>
        <w:t>smlmv</w:t>
      </w:r>
      <w:proofErr w:type="spellEnd"/>
      <w:r w:rsidR="002D4C7C" w:rsidRPr="0403E016">
        <w:rPr>
          <w:sz w:val="28"/>
          <w:szCs w:val="28"/>
        </w:rPr>
        <w:t xml:space="preserve">, y que si la </w:t>
      </w:r>
      <w:r w:rsidRPr="0403E016">
        <w:rPr>
          <w:sz w:val="28"/>
          <w:szCs w:val="28"/>
        </w:rPr>
        <w:t>sentencia</w:t>
      </w:r>
      <w:r w:rsidR="002D4C7C" w:rsidRPr="0403E016">
        <w:rPr>
          <w:sz w:val="28"/>
          <w:szCs w:val="28"/>
        </w:rPr>
        <w:t xml:space="preserve"> no conden</w:t>
      </w:r>
      <w:r w:rsidR="2FD08126" w:rsidRPr="0403E016">
        <w:rPr>
          <w:sz w:val="28"/>
          <w:szCs w:val="28"/>
        </w:rPr>
        <w:t>ó</w:t>
      </w:r>
      <w:r w:rsidR="002D4C7C" w:rsidRPr="0403E016">
        <w:rPr>
          <w:sz w:val="28"/>
          <w:szCs w:val="28"/>
        </w:rPr>
        <w:t xml:space="preserve"> o no accedió a las </w:t>
      </w:r>
      <w:r w:rsidRPr="0403E016">
        <w:rPr>
          <w:sz w:val="28"/>
          <w:szCs w:val="28"/>
        </w:rPr>
        <w:t>pretensiones</w:t>
      </w:r>
      <w:r w:rsidR="002D4C7C" w:rsidRPr="0403E016">
        <w:rPr>
          <w:sz w:val="28"/>
          <w:szCs w:val="28"/>
        </w:rPr>
        <w:t xml:space="preserve"> debe ser igual o </w:t>
      </w:r>
      <w:r w:rsidRPr="0403E016">
        <w:rPr>
          <w:sz w:val="28"/>
          <w:szCs w:val="28"/>
        </w:rPr>
        <w:t>exceder</w:t>
      </w:r>
      <w:r w:rsidR="002D4C7C" w:rsidRPr="0403E016">
        <w:rPr>
          <w:sz w:val="28"/>
          <w:szCs w:val="28"/>
        </w:rPr>
        <w:t xml:space="preserve"> el mismo monto.</w:t>
      </w:r>
    </w:p>
    <w:p w14:paraId="62486C05" w14:textId="77777777" w:rsidR="002D4C7C" w:rsidRDefault="002D4C7C" w:rsidP="001E6E16">
      <w:pPr>
        <w:spacing w:line="360" w:lineRule="auto"/>
        <w:jc w:val="both"/>
        <w:rPr>
          <w:sz w:val="28"/>
        </w:rPr>
      </w:pPr>
    </w:p>
    <w:p w14:paraId="4B4F6CE3" w14:textId="045648FB" w:rsidR="002D4C7C" w:rsidRDefault="002D4C7C" w:rsidP="0403E016">
      <w:pPr>
        <w:spacing w:line="360" w:lineRule="auto"/>
        <w:jc w:val="both"/>
        <w:rPr>
          <w:sz w:val="28"/>
          <w:szCs w:val="28"/>
        </w:rPr>
      </w:pPr>
      <w:r w:rsidRPr="0403E016">
        <w:rPr>
          <w:sz w:val="28"/>
          <w:szCs w:val="28"/>
        </w:rPr>
        <w:t>Arguye que el auto recurrido solo observ</w:t>
      </w:r>
      <w:r w:rsidR="3129F9EE" w:rsidRPr="0403E016">
        <w:rPr>
          <w:sz w:val="28"/>
          <w:szCs w:val="28"/>
        </w:rPr>
        <w:t>ó</w:t>
      </w:r>
      <w:r w:rsidRPr="0403E016">
        <w:rPr>
          <w:sz w:val="28"/>
          <w:szCs w:val="28"/>
        </w:rPr>
        <w:t xml:space="preserve"> que la sentencia fue condenatoria y que rechaza por cuantía el recurso de unificación sin tener en cuenta el valor de las pretensiones negadas</w:t>
      </w:r>
      <w:r w:rsidR="11043054" w:rsidRPr="0403E016">
        <w:rPr>
          <w:sz w:val="28"/>
          <w:szCs w:val="28"/>
        </w:rPr>
        <w:t>,</w:t>
      </w:r>
      <w:r w:rsidRPr="0403E016">
        <w:rPr>
          <w:sz w:val="28"/>
          <w:szCs w:val="28"/>
        </w:rPr>
        <w:t xml:space="preserve"> que son las que determinan la cuantía para que pueda la parte actora recurrir.</w:t>
      </w:r>
    </w:p>
    <w:p w14:paraId="4101652C" w14:textId="77777777" w:rsidR="002D4C7C" w:rsidRDefault="002D4C7C" w:rsidP="001E6E16">
      <w:pPr>
        <w:spacing w:line="360" w:lineRule="auto"/>
        <w:jc w:val="both"/>
        <w:rPr>
          <w:sz w:val="28"/>
        </w:rPr>
      </w:pPr>
    </w:p>
    <w:p w14:paraId="133DFE6C" w14:textId="5F6A0048" w:rsidR="002D4C7C" w:rsidRDefault="003355F9" w:rsidP="0403E016">
      <w:pPr>
        <w:spacing w:line="360" w:lineRule="auto"/>
        <w:jc w:val="both"/>
        <w:rPr>
          <w:sz w:val="28"/>
          <w:szCs w:val="28"/>
        </w:rPr>
      </w:pPr>
      <w:r w:rsidRPr="0403E016">
        <w:rPr>
          <w:sz w:val="28"/>
          <w:szCs w:val="28"/>
        </w:rPr>
        <w:t>Refiere</w:t>
      </w:r>
      <w:r w:rsidR="03A1E143" w:rsidRPr="0403E016">
        <w:rPr>
          <w:sz w:val="28"/>
          <w:szCs w:val="28"/>
        </w:rPr>
        <w:t>,</w:t>
      </w:r>
      <w:r w:rsidR="002D4C7C" w:rsidRPr="0403E016">
        <w:rPr>
          <w:sz w:val="28"/>
          <w:szCs w:val="28"/>
        </w:rPr>
        <w:t xml:space="preserve"> que</w:t>
      </w:r>
      <w:r w:rsidR="00150D59" w:rsidRPr="0403E016">
        <w:rPr>
          <w:sz w:val="28"/>
          <w:szCs w:val="28"/>
        </w:rPr>
        <w:t xml:space="preserve"> </w:t>
      </w:r>
      <w:r w:rsidR="002D4C7C" w:rsidRPr="0403E016">
        <w:rPr>
          <w:sz w:val="28"/>
          <w:szCs w:val="28"/>
        </w:rPr>
        <w:t xml:space="preserve">si el actor obtuvo parcialmente </w:t>
      </w:r>
      <w:r w:rsidR="79E23797" w:rsidRPr="0403E016">
        <w:rPr>
          <w:sz w:val="28"/>
          <w:szCs w:val="28"/>
        </w:rPr>
        <w:t>respuesta favorable</w:t>
      </w:r>
      <w:r w:rsidR="002D4C7C" w:rsidRPr="0403E016">
        <w:rPr>
          <w:sz w:val="28"/>
          <w:szCs w:val="28"/>
        </w:rPr>
        <w:t xml:space="preserve"> las </w:t>
      </w:r>
      <w:r w:rsidRPr="0403E016">
        <w:rPr>
          <w:sz w:val="28"/>
          <w:szCs w:val="28"/>
        </w:rPr>
        <w:t>pretensiones</w:t>
      </w:r>
      <w:r w:rsidR="002D4C7C" w:rsidRPr="0403E016">
        <w:rPr>
          <w:sz w:val="28"/>
          <w:szCs w:val="28"/>
        </w:rPr>
        <w:t xml:space="preserve"> recurre en unificación de jurisprudencia respecto de las </w:t>
      </w:r>
      <w:r w:rsidR="00150D59" w:rsidRPr="0403E016">
        <w:rPr>
          <w:sz w:val="28"/>
          <w:szCs w:val="28"/>
        </w:rPr>
        <w:t>pretensiones</w:t>
      </w:r>
      <w:r w:rsidR="002D4C7C" w:rsidRPr="0403E016">
        <w:rPr>
          <w:sz w:val="28"/>
          <w:szCs w:val="28"/>
        </w:rPr>
        <w:t xml:space="preserve"> que no</w:t>
      </w:r>
      <w:r w:rsidR="00150D59" w:rsidRPr="0403E016">
        <w:rPr>
          <w:sz w:val="28"/>
          <w:szCs w:val="28"/>
        </w:rPr>
        <w:t xml:space="preserve"> le</w:t>
      </w:r>
      <w:r w:rsidR="002D4C7C" w:rsidRPr="0403E016">
        <w:rPr>
          <w:sz w:val="28"/>
          <w:szCs w:val="28"/>
        </w:rPr>
        <w:t xml:space="preserve"> fueron </w:t>
      </w:r>
      <w:r w:rsidR="00150D59" w:rsidRPr="0403E016">
        <w:rPr>
          <w:sz w:val="28"/>
          <w:szCs w:val="28"/>
        </w:rPr>
        <w:t>concedidas,</w:t>
      </w:r>
      <w:r w:rsidR="002D4C7C" w:rsidRPr="0403E016">
        <w:rPr>
          <w:sz w:val="28"/>
          <w:szCs w:val="28"/>
        </w:rPr>
        <w:t xml:space="preserve"> y que</w:t>
      </w:r>
      <w:r w:rsidR="70C05A12" w:rsidRPr="0403E016">
        <w:rPr>
          <w:sz w:val="28"/>
          <w:szCs w:val="28"/>
        </w:rPr>
        <w:t>, en</w:t>
      </w:r>
      <w:r w:rsidR="002D4C7C" w:rsidRPr="0403E016">
        <w:rPr>
          <w:sz w:val="28"/>
          <w:szCs w:val="28"/>
        </w:rPr>
        <w:t xml:space="preserve"> caso contrario, es la demandada </w:t>
      </w:r>
      <w:r w:rsidR="00150D59" w:rsidRPr="0403E016">
        <w:rPr>
          <w:sz w:val="28"/>
          <w:szCs w:val="28"/>
        </w:rPr>
        <w:t>quien</w:t>
      </w:r>
      <w:r w:rsidR="002D4C7C" w:rsidRPr="0403E016">
        <w:rPr>
          <w:sz w:val="28"/>
          <w:szCs w:val="28"/>
        </w:rPr>
        <w:t xml:space="preserve"> recurr</w:t>
      </w:r>
      <w:r w:rsidR="0FDD6EDB" w:rsidRPr="0403E016">
        <w:rPr>
          <w:sz w:val="28"/>
          <w:szCs w:val="28"/>
        </w:rPr>
        <w:t>irá</w:t>
      </w:r>
      <w:r w:rsidR="002D4C7C" w:rsidRPr="0403E016">
        <w:rPr>
          <w:sz w:val="28"/>
          <w:szCs w:val="28"/>
        </w:rPr>
        <w:t xml:space="preserve"> la </w:t>
      </w:r>
      <w:r w:rsidR="00150D59" w:rsidRPr="0403E016">
        <w:rPr>
          <w:sz w:val="28"/>
          <w:szCs w:val="28"/>
        </w:rPr>
        <w:t>condena</w:t>
      </w:r>
      <w:r w:rsidR="002D4C7C" w:rsidRPr="0403E016">
        <w:rPr>
          <w:sz w:val="28"/>
          <w:szCs w:val="28"/>
        </w:rPr>
        <w:t xml:space="preserve"> </w:t>
      </w:r>
      <w:r w:rsidR="00150D59" w:rsidRPr="0403E016">
        <w:rPr>
          <w:sz w:val="28"/>
          <w:szCs w:val="28"/>
        </w:rPr>
        <w:t>impuesta</w:t>
      </w:r>
      <w:r w:rsidR="002D4C7C" w:rsidRPr="0403E016">
        <w:rPr>
          <w:sz w:val="28"/>
          <w:szCs w:val="28"/>
        </w:rPr>
        <w:t xml:space="preserve"> por lo que en ese caso si era improcedente el recurso </w:t>
      </w:r>
      <w:r w:rsidR="00150D59" w:rsidRPr="0403E016">
        <w:rPr>
          <w:sz w:val="28"/>
          <w:szCs w:val="28"/>
        </w:rPr>
        <w:t>porque</w:t>
      </w:r>
      <w:r w:rsidR="002D4C7C" w:rsidRPr="0403E016">
        <w:rPr>
          <w:sz w:val="28"/>
          <w:szCs w:val="28"/>
        </w:rPr>
        <w:t xml:space="preserve"> so</w:t>
      </w:r>
      <w:r w:rsidR="00150D59" w:rsidRPr="0403E016">
        <w:rPr>
          <w:sz w:val="28"/>
          <w:szCs w:val="28"/>
        </w:rPr>
        <w:t>l</w:t>
      </w:r>
      <w:r w:rsidR="002D4C7C" w:rsidRPr="0403E016">
        <w:rPr>
          <w:sz w:val="28"/>
          <w:szCs w:val="28"/>
        </w:rPr>
        <w:t xml:space="preserve">o llega a $90.852.600, pero que eso no </w:t>
      </w:r>
      <w:r w:rsidRPr="0403E016">
        <w:rPr>
          <w:sz w:val="28"/>
          <w:szCs w:val="28"/>
        </w:rPr>
        <w:t>aplica</w:t>
      </w:r>
      <w:r w:rsidR="002D4C7C" w:rsidRPr="0403E016">
        <w:rPr>
          <w:sz w:val="28"/>
          <w:szCs w:val="28"/>
        </w:rPr>
        <w:t xml:space="preserve"> para </w:t>
      </w:r>
      <w:r w:rsidRPr="0403E016">
        <w:rPr>
          <w:sz w:val="28"/>
          <w:szCs w:val="28"/>
        </w:rPr>
        <w:t xml:space="preserve">la parte </w:t>
      </w:r>
      <w:r w:rsidR="002D4C7C" w:rsidRPr="0403E016">
        <w:rPr>
          <w:sz w:val="28"/>
          <w:szCs w:val="28"/>
        </w:rPr>
        <w:t xml:space="preserve">actora cuya </w:t>
      </w:r>
      <w:r w:rsidR="00150D59" w:rsidRPr="0403E016">
        <w:rPr>
          <w:sz w:val="28"/>
          <w:szCs w:val="28"/>
        </w:rPr>
        <w:t>cuantía</w:t>
      </w:r>
      <w:r w:rsidR="002D4C7C" w:rsidRPr="0403E016">
        <w:rPr>
          <w:sz w:val="28"/>
          <w:szCs w:val="28"/>
        </w:rPr>
        <w:t xml:space="preserve"> no puede determinarse por el valor de la condena sino por el valor de las </w:t>
      </w:r>
      <w:r w:rsidRPr="0403E016">
        <w:rPr>
          <w:sz w:val="28"/>
          <w:szCs w:val="28"/>
        </w:rPr>
        <w:t>pretensiones</w:t>
      </w:r>
      <w:r w:rsidR="002D4C7C" w:rsidRPr="0403E016">
        <w:rPr>
          <w:sz w:val="28"/>
          <w:szCs w:val="28"/>
        </w:rPr>
        <w:t xml:space="preserve"> negadas. </w:t>
      </w:r>
    </w:p>
    <w:p w14:paraId="4B99056E" w14:textId="77777777" w:rsidR="002D4C7C" w:rsidRDefault="002D4C7C" w:rsidP="001E6E16">
      <w:pPr>
        <w:spacing w:line="360" w:lineRule="auto"/>
        <w:jc w:val="both"/>
        <w:rPr>
          <w:sz w:val="28"/>
        </w:rPr>
      </w:pPr>
    </w:p>
    <w:p w14:paraId="6AC50543" w14:textId="66242667" w:rsidR="001E6E16" w:rsidRPr="00850254" w:rsidRDefault="00A25305" w:rsidP="0403E016">
      <w:pPr>
        <w:spacing w:line="360" w:lineRule="auto"/>
        <w:jc w:val="both"/>
        <w:rPr>
          <w:sz w:val="28"/>
          <w:szCs w:val="28"/>
        </w:rPr>
      </w:pPr>
      <w:r w:rsidRPr="0403E016">
        <w:rPr>
          <w:sz w:val="28"/>
          <w:szCs w:val="28"/>
        </w:rPr>
        <w:t>Finalmente</w:t>
      </w:r>
      <w:r w:rsidR="002D4C7C" w:rsidRPr="0403E016">
        <w:rPr>
          <w:sz w:val="28"/>
          <w:szCs w:val="28"/>
        </w:rPr>
        <w:t xml:space="preserve">, sostiene que las pretensiones negadas al día que se presenta el recurso superan los 450 </w:t>
      </w:r>
      <w:proofErr w:type="spellStart"/>
      <w:r w:rsidR="002D4C7C" w:rsidRPr="0403E016">
        <w:rPr>
          <w:sz w:val="28"/>
          <w:szCs w:val="28"/>
        </w:rPr>
        <w:t>smlmv</w:t>
      </w:r>
      <w:proofErr w:type="spellEnd"/>
      <w:r w:rsidR="002D4C7C" w:rsidRPr="0403E016">
        <w:rPr>
          <w:sz w:val="28"/>
          <w:szCs w:val="28"/>
        </w:rPr>
        <w:t xml:space="preserve"> y arguye</w:t>
      </w:r>
      <w:r w:rsidR="001E6E16" w:rsidRPr="0403E016">
        <w:rPr>
          <w:sz w:val="28"/>
          <w:szCs w:val="28"/>
        </w:rPr>
        <w:t xml:space="preserve"> que para resolve</w:t>
      </w:r>
      <w:r w:rsidR="0EE9A803" w:rsidRPr="0403E016">
        <w:rPr>
          <w:sz w:val="28"/>
          <w:szCs w:val="28"/>
        </w:rPr>
        <w:t>rlo</w:t>
      </w:r>
      <w:r w:rsidR="001E6E16" w:rsidRPr="0403E016">
        <w:rPr>
          <w:sz w:val="28"/>
          <w:szCs w:val="28"/>
        </w:rPr>
        <w:t xml:space="preserve"> debe disponerse de</w:t>
      </w:r>
      <w:r w:rsidR="58E48D0E" w:rsidRPr="0403E016">
        <w:rPr>
          <w:sz w:val="28"/>
          <w:szCs w:val="28"/>
        </w:rPr>
        <w:t>l dictamen de</w:t>
      </w:r>
      <w:r w:rsidR="001E6E16" w:rsidRPr="0403E016">
        <w:rPr>
          <w:sz w:val="28"/>
          <w:szCs w:val="28"/>
        </w:rPr>
        <w:t xml:space="preserve"> un perito</w:t>
      </w:r>
      <w:r w:rsidR="002949BD" w:rsidRPr="0403E016">
        <w:rPr>
          <w:sz w:val="28"/>
          <w:szCs w:val="28"/>
        </w:rPr>
        <w:t>,</w:t>
      </w:r>
      <w:r w:rsidR="001E6E16" w:rsidRPr="0403E016">
        <w:rPr>
          <w:sz w:val="28"/>
          <w:szCs w:val="28"/>
        </w:rPr>
        <w:t xml:space="preserve"> que a</w:t>
      </w:r>
      <w:r w:rsidR="002949BD" w:rsidRPr="0403E016">
        <w:rPr>
          <w:sz w:val="28"/>
          <w:szCs w:val="28"/>
        </w:rPr>
        <w:t>demás no sería necesario pues con</w:t>
      </w:r>
      <w:r w:rsidR="001E6E16" w:rsidRPr="0403E016">
        <w:rPr>
          <w:sz w:val="28"/>
          <w:szCs w:val="28"/>
        </w:rPr>
        <w:t xml:space="preserve"> una simple operación aritmética se determina el interés económico para recurrir</w:t>
      </w:r>
      <w:r w:rsidR="002D4C7C" w:rsidRPr="0403E016">
        <w:rPr>
          <w:sz w:val="28"/>
          <w:szCs w:val="28"/>
        </w:rPr>
        <w:t xml:space="preserve">. </w:t>
      </w:r>
    </w:p>
    <w:p w14:paraId="1299C43A" w14:textId="77777777" w:rsidR="001E6E16" w:rsidRPr="00850254" w:rsidRDefault="001E6E16" w:rsidP="00A25305">
      <w:pPr>
        <w:spacing w:line="360" w:lineRule="auto"/>
        <w:jc w:val="both"/>
        <w:rPr>
          <w:sz w:val="28"/>
        </w:rPr>
      </w:pPr>
    </w:p>
    <w:p w14:paraId="62E1E81A" w14:textId="4B3AFF99" w:rsidR="00A25305" w:rsidRPr="00850254" w:rsidRDefault="00061A64" w:rsidP="005B78F8">
      <w:pPr>
        <w:spacing w:line="360" w:lineRule="auto"/>
        <w:jc w:val="both"/>
        <w:rPr>
          <w:sz w:val="28"/>
          <w:szCs w:val="28"/>
        </w:rPr>
      </w:pPr>
      <w:r w:rsidRPr="0403E016">
        <w:rPr>
          <w:sz w:val="28"/>
          <w:szCs w:val="28"/>
        </w:rPr>
        <w:t xml:space="preserve">Por secretaría de la corporación se surtió el </w:t>
      </w:r>
      <w:r w:rsidR="00A25305" w:rsidRPr="0403E016">
        <w:rPr>
          <w:sz w:val="28"/>
          <w:szCs w:val="28"/>
        </w:rPr>
        <w:t xml:space="preserve">respectivo </w:t>
      </w:r>
      <w:r w:rsidRPr="0403E016">
        <w:rPr>
          <w:sz w:val="28"/>
          <w:szCs w:val="28"/>
        </w:rPr>
        <w:t>traslado del recurso</w:t>
      </w:r>
      <w:r w:rsidR="009F43DD" w:rsidRPr="0403E016">
        <w:rPr>
          <w:sz w:val="28"/>
          <w:szCs w:val="28"/>
        </w:rPr>
        <w:t xml:space="preserve"> (</w:t>
      </w:r>
      <w:proofErr w:type="spellStart"/>
      <w:r w:rsidR="00850254" w:rsidRPr="0403E016">
        <w:rPr>
          <w:sz w:val="28"/>
          <w:szCs w:val="28"/>
        </w:rPr>
        <w:t>Samai</w:t>
      </w:r>
      <w:proofErr w:type="spellEnd"/>
      <w:r w:rsidR="00850254" w:rsidRPr="0403E016">
        <w:rPr>
          <w:sz w:val="28"/>
          <w:szCs w:val="28"/>
        </w:rPr>
        <w:t xml:space="preserve"> índice 4</w:t>
      </w:r>
      <w:r w:rsidR="00962B73" w:rsidRPr="0403E016">
        <w:rPr>
          <w:sz w:val="28"/>
          <w:szCs w:val="28"/>
        </w:rPr>
        <w:t>3</w:t>
      </w:r>
      <w:r w:rsidR="009F43DD" w:rsidRPr="0403E016">
        <w:rPr>
          <w:sz w:val="28"/>
          <w:szCs w:val="28"/>
        </w:rPr>
        <w:t>)</w:t>
      </w:r>
      <w:r w:rsidR="00A25305" w:rsidRPr="0403E016">
        <w:rPr>
          <w:sz w:val="28"/>
          <w:szCs w:val="28"/>
        </w:rPr>
        <w:t>.</w:t>
      </w:r>
    </w:p>
    <w:p w14:paraId="4DDBEF00" w14:textId="77777777" w:rsidR="00F02422" w:rsidRDefault="00F02422" w:rsidP="005B78F8">
      <w:pPr>
        <w:spacing w:line="360" w:lineRule="auto"/>
        <w:jc w:val="both"/>
        <w:rPr>
          <w:sz w:val="28"/>
          <w:szCs w:val="28"/>
        </w:rPr>
      </w:pPr>
    </w:p>
    <w:p w14:paraId="4D568F58" w14:textId="77777777" w:rsidR="005B78F8" w:rsidRDefault="00232E0A" w:rsidP="005B78F8">
      <w:pPr>
        <w:spacing w:line="360" w:lineRule="auto"/>
        <w:jc w:val="center"/>
        <w:rPr>
          <w:b/>
          <w:iCs/>
          <w:sz w:val="28"/>
          <w:szCs w:val="28"/>
        </w:rPr>
      </w:pPr>
      <w:r>
        <w:rPr>
          <w:b/>
          <w:iCs/>
          <w:sz w:val="28"/>
          <w:szCs w:val="28"/>
        </w:rPr>
        <w:t xml:space="preserve">III. </w:t>
      </w:r>
      <w:r w:rsidR="005B78F8">
        <w:rPr>
          <w:b/>
          <w:iCs/>
          <w:sz w:val="28"/>
          <w:szCs w:val="28"/>
        </w:rPr>
        <w:t>CONSIDERACIONES</w:t>
      </w:r>
    </w:p>
    <w:p w14:paraId="3461D779" w14:textId="77777777" w:rsidR="005B78F8" w:rsidRDefault="005B78F8" w:rsidP="005B78F8">
      <w:pPr>
        <w:pStyle w:val="Textoindependiente2"/>
        <w:spacing w:line="360" w:lineRule="auto"/>
        <w:jc w:val="both"/>
        <w:rPr>
          <w:sz w:val="28"/>
          <w:szCs w:val="28"/>
        </w:rPr>
      </w:pPr>
    </w:p>
    <w:p w14:paraId="384E6D67" w14:textId="77777777" w:rsidR="005B78F8" w:rsidRDefault="00F16F6D" w:rsidP="005B78F8">
      <w:pPr>
        <w:spacing w:line="360" w:lineRule="auto"/>
        <w:jc w:val="both"/>
        <w:rPr>
          <w:sz w:val="28"/>
          <w:szCs w:val="28"/>
          <w:lang w:val="es-MX"/>
        </w:rPr>
      </w:pPr>
      <w:r>
        <w:rPr>
          <w:sz w:val="28"/>
          <w:szCs w:val="28"/>
          <w:lang w:val="es-MX"/>
        </w:rPr>
        <w:t>El artículo 31</w:t>
      </w:r>
      <w:r w:rsidR="004B08EE">
        <w:rPr>
          <w:sz w:val="28"/>
          <w:szCs w:val="28"/>
          <w:lang w:val="es-MX"/>
        </w:rPr>
        <w:t>8 del C.G.</w:t>
      </w:r>
      <w:r w:rsidR="005B78F8">
        <w:rPr>
          <w:sz w:val="28"/>
          <w:szCs w:val="28"/>
          <w:lang w:val="es-MX"/>
        </w:rPr>
        <w:t>P. otorga a las partes la posibilidad de recurrir</w:t>
      </w:r>
      <w:r w:rsidR="00160A42">
        <w:rPr>
          <w:sz w:val="28"/>
          <w:szCs w:val="28"/>
          <w:lang w:val="es-MX"/>
        </w:rPr>
        <w:t>,</w:t>
      </w:r>
      <w:r w:rsidR="005B78F8">
        <w:rPr>
          <w:sz w:val="28"/>
          <w:szCs w:val="28"/>
          <w:lang w:val="es-MX"/>
        </w:rPr>
        <w:t xml:space="preserve"> en principio, toda actuación dictada por el juez que consideren lesiva o contraria a derecho, teniendo la posibilidad de soli</w:t>
      </w:r>
      <w:r w:rsidR="00AB29E2">
        <w:rPr>
          <w:sz w:val="28"/>
          <w:szCs w:val="28"/>
          <w:lang w:val="es-MX"/>
        </w:rPr>
        <w:t>citar al respectivo funcionario</w:t>
      </w:r>
      <w:r w:rsidR="005B78F8">
        <w:rPr>
          <w:sz w:val="28"/>
          <w:szCs w:val="28"/>
          <w:lang w:val="es-MX"/>
        </w:rPr>
        <w:t xml:space="preserve"> que a través del recurso de reposición la revoque o reforme, a lo cual debe procederse cuando revisada la actuación se establezca que hay mérito para ello.</w:t>
      </w:r>
    </w:p>
    <w:p w14:paraId="3CF2D8B6" w14:textId="77777777" w:rsidR="003B5343" w:rsidRDefault="003B5343" w:rsidP="005B78F8">
      <w:pPr>
        <w:spacing w:line="360" w:lineRule="auto"/>
        <w:jc w:val="both"/>
        <w:rPr>
          <w:sz w:val="28"/>
          <w:szCs w:val="28"/>
          <w:lang w:val="es-MX"/>
        </w:rPr>
      </w:pPr>
    </w:p>
    <w:p w14:paraId="1491F866" w14:textId="2D067EDB" w:rsidR="00A13418" w:rsidRDefault="005B78F8" w:rsidP="002E4B8A">
      <w:pPr>
        <w:tabs>
          <w:tab w:val="left" w:pos="709"/>
        </w:tabs>
        <w:spacing w:line="360" w:lineRule="auto"/>
        <w:jc w:val="both"/>
        <w:rPr>
          <w:sz w:val="28"/>
          <w:szCs w:val="28"/>
        </w:rPr>
      </w:pPr>
      <w:r w:rsidRPr="0403E016">
        <w:rPr>
          <w:sz w:val="28"/>
          <w:szCs w:val="28"/>
          <w:lang w:val="es-MX"/>
        </w:rPr>
        <w:t xml:space="preserve">En la providencia impugnada se </w:t>
      </w:r>
      <w:r w:rsidR="00A25305" w:rsidRPr="0403E016">
        <w:rPr>
          <w:sz w:val="28"/>
          <w:szCs w:val="28"/>
          <w:lang w:val="es-MX"/>
        </w:rPr>
        <w:t>rechazó el recurso extraordinario de jurisprudencia</w:t>
      </w:r>
      <w:r w:rsidR="004B08EE" w:rsidRPr="0403E016">
        <w:rPr>
          <w:sz w:val="28"/>
          <w:szCs w:val="28"/>
          <w:lang w:val="es-MX"/>
        </w:rPr>
        <w:t xml:space="preserve"> dentro del medio de control de </w:t>
      </w:r>
      <w:r w:rsidR="00A13418" w:rsidRPr="0403E016">
        <w:rPr>
          <w:sz w:val="28"/>
          <w:szCs w:val="28"/>
          <w:lang w:val="es-MX"/>
        </w:rPr>
        <w:t>reparación directa</w:t>
      </w:r>
      <w:r w:rsidR="004D5349" w:rsidRPr="0403E016">
        <w:rPr>
          <w:sz w:val="28"/>
          <w:szCs w:val="28"/>
          <w:lang w:val="es-MX"/>
        </w:rPr>
        <w:t xml:space="preserve">, </w:t>
      </w:r>
      <w:r w:rsidR="004B08EE" w:rsidRPr="0403E016">
        <w:rPr>
          <w:sz w:val="28"/>
          <w:szCs w:val="28"/>
          <w:lang w:val="es-MX"/>
        </w:rPr>
        <w:t>al considerar este despacho</w:t>
      </w:r>
      <w:r w:rsidR="00A13418" w:rsidRPr="0403E016">
        <w:rPr>
          <w:sz w:val="28"/>
          <w:szCs w:val="28"/>
          <w:lang w:val="es-MX"/>
        </w:rPr>
        <w:t xml:space="preserve"> que</w:t>
      </w:r>
      <w:r w:rsidR="004B08EE" w:rsidRPr="0403E016">
        <w:rPr>
          <w:sz w:val="28"/>
          <w:szCs w:val="28"/>
          <w:lang w:val="es-MX"/>
        </w:rPr>
        <w:t xml:space="preserve"> </w:t>
      </w:r>
      <w:r w:rsidR="00A13418" w:rsidRPr="0403E016">
        <w:rPr>
          <w:sz w:val="28"/>
          <w:szCs w:val="28"/>
        </w:rPr>
        <w:t xml:space="preserve">la sentencia objeto del recurso de unificación de jurisprudencia fue de carácter condenatorio, cuya condena a favor del demandante </w:t>
      </w:r>
      <w:r w:rsidR="08903B4C" w:rsidRPr="0403E016">
        <w:rPr>
          <w:sz w:val="28"/>
          <w:szCs w:val="28"/>
        </w:rPr>
        <w:t>fue</w:t>
      </w:r>
      <w:r w:rsidR="00A13418" w:rsidRPr="0403E016">
        <w:rPr>
          <w:sz w:val="28"/>
          <w:szCs w:val="28"/>
        </w:rPr>
        <w:t xml:space="preserve"> </w:t>
      </w:r>
      <w:r w:rsidR="00A13418" w:rsidRPr="0403E016">
        <w:rPr>
          <w:sz w:val="28"/>
          <w:szCs w:val="28"/>
          <w:lang w:val="es-CO"/>
        </w:rPr>
        <w:t xml:space="preserve">por 100 salarios mínimos mensuales legales vigentes, esto es, la suma de </w:t>
      </w:r>
      <w:r w:rsidR="00A13418" w:rsidRPr="0403E016">
        <w:rPr>
          <w:b/>
          <w:bCs/>
          <w:sz w:val="28"/>
          <w:szCs w:val="28"/>
        </w:rPr>
        <w:t>$90.852.600</w:t>
      </w:r>
      <w:r w:rsidR="00A13418" w:rsidRPr="0403E016">
        <w:rPr>
          <w:sz w:val="28"/>
          <w:szCs w:val="28"/>
        </w:rPr>
        <w:t xml:space="preserve">, y que por tanto no se cumple con el requisito de procedencia en el entendido que la cuantía de la condena debe ser igual o superior a 450 </w:t>
      </w:r>
      <w:proofErr w:type="spellStart"/>
      <w:r w:rsidR="00A13418" w:rsidRPr="0403E016">
        <w:rPr>
          <w:sz w:val="28"/>
          <w:szCs w:val="28"/>
        </w:rPr>
        <w:t>smlmv</w:t>
      </w:r>
      <w:proofErr w:type="spellEnd"/>
      <w:r w:rsidR="00A13418" w:rsidRPr="0403E016">
        <w:rPr>
          <w:sz w:val="28"/>
          <w:szCs w:val="28"/>
        </w:rPr>
        <w:t>.</w:t>
      </w:r>
    </w:p>
    <w:p w14:paraId="0FB78278" w14:textId="77777777" w:rsidR="00A13418" w:rsidRDefault="00A13418" w:rsidP="002E4B8A">
      <w:pPr>
        <w:tabs>
          <w:tab w:val="left" w:pos="709"/>
        </w:tabs>
        <w:spacing w:line="360" w:lineRule="auto"/>
        <w:jc w:val="both"/>
        <w:rPr>
          <w:sz w:val="28"/>
          <w:szCs w:val="28"/>
        </w:rPr>
      </w:pPr>
    </w:p>
    <w:p w14:paraId="60D2ECCF" w14:textId="4466D17B" w:rsidR="00A8420A" w:rsidRPr="002E4B8A" w:rsidRDefault="00A8420A" w:rsidP="0403E016">
      <w:pPr>
        <w:pStyle w:val="NormalWeb"/>
        <w:shd w:val="clear" w:color="auto" w:fill="FFFFFF" w:themeFill="background1"/>
        <w:spacing w:before="0" w:beforeAutospacing="0" w:after="0" w:afterAutospacing="0" w:line="360" w:lineRule="auto"/>
        <w:jc w:val="both"/>
        <w:rPr>
          <w:color w:val="000000"/>
          <w:sz w:val="28"/>
          <w:szCs w:val="28"/>
        </w:rPr>
      </w:pPr>
      <w:r w:rsidRPr="63A43A95">
        <w:rPr>
          <w:color w:val="000000" w:themeColor="text1"/>
          <w:sz w:val="28"/>
          <w:szCs w:val="28"/>
        </w:rPr>
        <w:t xml:space="preserve">De acuerdo con el artículo 257 del C.P.A.C.A., </w:t>
      </w:r>
      <w:r w:rsidR="4639D014" w:rsidRPr="63A43A95">
        <w:rPr>
          <w:color w:val="000000" w:themeColor="text1"/>
          <w:sz w:val="28"/>
          <w:szCs w:val="28"/>
        </w:rPr>
        <w:t>e</w:t>
      </w:r>
      <w:r w:rsidRPr="63A43A95">
        <w:rPr>
          <w:color w:val="000000" w:themeColor="text1"/>
          <w:sz w:val="28"/>
          <w:szCs w:val="28"/>
        </w:rPr>
        <w:t xml:space="preserve">l recurso extraordinario de unificación de jurisprudencia procede contra las sentencias dictadas en única y segunda instancia por los tribunales administrativos. Tratándose de sentencias de contenido patrimonial o económico, </w:t>
      </w:r>
      <w:r w:rsidRPr="63A43A95">
        <w:rPr>
          <w:color w:val="000000" w:themeColor="text1"/>
          <w:sz w:val="28"/>
          <w:szCs w:val="28"/>
          <w:u w:val="single"/>
        </w:rPr>
        <w:t>el recurso procederá siempre que la cuantía de la condena o, en su defecto, de las pretensiones de la demanda</w:t>
      </w:r>
      <w:r w:rsidRPr="63A43A95">
        <w:rPr>
          <w:color w:val="000000" w:themeColor="text1"/>
          <w:sz w:val="28"/>
          <w:szCs w:val="28"/>
        </w:rPr>
        <w:t>, sea igual o exceda los siguientes montos vigentes al momento de la interposición del recurso:</w:t>
      </w:r>
    </w:p>
    <w:p w14:paraId="1FC39945" w14:textId="77777777" w:rsidR="003B5343" w:rsidRPr="003B5343" w:rsidRDefault="003B5343" w:rsidP="003B5343">
      <w:pPr>
        <w:pStyle w:val="NormalWeb"/>
        <w:shd w:val="clear" w:color="auto" w:fill="FFFFFF"/>
        <w:spacing w:before="0" w:beforeAutospacing="0" w:after="0" w:afterAutospacing="0"/>
        <w:ind w:left="709"/>
        <w:jc w:val="both"/>
        <w:rPr>
          <w:sz w:val="28"/>
          <w:szCs w:val="28"/>
        </w:rPr>
      </w:pPr>
    </w:p>
    <w:p w14:paraId="4ED196D9" w14:textId="6A313399" w:rsidR="003B5343" w:rsidRPr="003B5343" w:rsidRDefault="003B5343" w:rsidP="0403E016">
      <w:pPr>
        <w:pStyle w:val="NormalWeb"/>
        <w:shd w:val="clear" w:color="auto" w:fill="FFFFFF" w:themeFill="background1"/>
        <w:spacing w:before="0" w:beforeAutospacing="0" w:after="0" w:afterAutospacing="0"/>
        <w:ind w:left="708"/>
        <w:jc w:val="both"/>
        <w:rPr>
          <w:sz w:val="28"/>
          <w:szCs w:val="28"/>
        </w:rPr>
      </w:pPr>
    </w:p>
    <w:p w14:paraId="35570DBE" w14:textId="5BB04062" w:rsidR="00A8420A" w:rsidRPr="003B5343" w:rsidRDefault="6B1D15A3" w:rsidP="0403E016">
      <w:pPr>
        <w:pStyle w:val="NormalWeb"/>
        <w:shd w:val="clear" w:color="auto" w:fill="FFFFFF" w:themeFill="background1"/>
        <w:spacing w:before="0" w:beforeAutospacing="0" w:after="0" w:afterAutospacing="0"/>
        <w:ind w:left="708"/>
        <w:jc w:val="both"/>
        <w:rPr>
          <w:sz w:val="28"/>
          <w:szCs w:val="28"/>
        </w:rPr>
      </w:pPr>
      <w:r w:rsidRPr="0403E016">
        <w:rPr>
          <w:sz w:val="28"/>
          <w:szCs w:val="28"/>
        </w:rPr>
        <w:t>“</w:t>
      </w:r>
      <w:r w:rsidR="003B5343" w:rsidRPr="0403E016">
        <w:rPr>
          <w:sz w:val="28"/>
          <w:szCs w:val="28"/>
        </w:rPr>
        <w:t xml:space="preserve">5. Cuatrocientos cincuenta (450) salarios mínimos mensuales legales vigentes, en los procesos de reparación directa y en las acciones de </w:t>
      </w:r>
      <w:r w:rsidR="003B5343" w:rsidRPr="0403E016">
        <w:rPr>
          <w:sz w:val="28"/>
          <w:szCs w:val="28"/>
        </w:rPr>
        <w:lastRenderedPageBreak/>
        <w:t>repetición que el Estado ejerza contra los servidores o ex servidores públicos y personas privadas que de conformidad con la ley cumplan funciones públicas</w:t>
      </w:r>
      <w:r w:rsidR="00A8420A" w:rsidRPr="0403E016">
        <w:rPr>
          <w:sz w:val="28"/>
          <w:szCs w:val="28"/>
        </w:rPr>
        <w:t>”.</w:t>
      </w:r>
    </w:p>
    <w:p w14:paraId="0562CB0E" w14:textId="77777777" w:rsidR="002E4B8A" w:rsidRDefault="002E4B8A" w:rsidP="00A8420A">
      <w:pPr>
        <w:spacing w:line="360" w:lineRule="auto"/>
        <w:jc w:val="both"/>
        <w:rPr>
          <w:sz w:val="28"/>
          <w:szCs w:val="28"/>
        </w:rPr>
      </w:pPr>
    </w:p>
    <w:p w14:paraId="4D7849FC" w14:textId="5594D882" w:rsidR="00533032" w:rsidRPr="00A8420A" w:rsidRDefault="00A8420A" w:rsidP="00A8420A">
      <w:pPr>
        <w:spacing w:line="360" w:lineRule="auto"/>
        <w:jc w:val="both"/>
        <w:rPr>
          <w:color w:val="000000"/>
          <w:sz w:val="28"/>
          <w:szCs w:val="28"/>
        </w:rPr>
      </w:pPr>
      <w:r w:rsidRPr="63A43A95">
        <w:rPr>
          <w:sz w:val="28"/>
          <w:szCs w:val="28"/>
        </w:rPr>
        <w:t xml:space="preserve">Nótese que la preceptiva establece una obligación para que sea procedente el recurso extraordinario, y es que </w:t>
      </w:r>
      <w:r w:rsidRPr="63A43A95">
        <w:rPr>
          <w:b/>
          <w:bCs/>
          <w:sz w:val="28"/>
          <w:szCs w:val="28"/>
        </w:rPr>
        <w:t xml:space="preserve">se cumpla con </w:t>
      </w:r>
      <w:r w:rsidRPr="63A43A95">
        <w:rPr>
          <w:b/>
          <w:bCs/>
          <w:color w:val="000000" w:themeColor="text1"/>
          <w:sz w:val="28"/>
          <w:szCs w:val="28"/>
        </w:rPr>
        <w:t>la cuantía,</w:t>
      </w:r>
      <w:r w:rsidRPr="63A43A95">
        <w:rPr>
          <w:color w:val="000000" w:themeColor="text1"/>
          <w:sz w:val="28"/>
          <w:szCs w:val="28"/>
        </w:rPr>
        <w:t xml:space="preserve"> bien sea</w:t>
      </w:r>
      <w:r w:rsidR="41CC556B" w:rsidRPr="63A43A95">
        <w:rPr>
          <w:color w:val="000000" w:themeColor="text1"/>
          <w:sz w:val="28"/>
          <w:szCs w:val="28"/>
        </w:rPr>
        <w:t xml:space="preserve"> la</w:t>
      </w:r>
      <w:r w:rsidRPr="63A43A95">
        <w:rPr>
          <w:color w:val="000000" w:themeColor="text1"/>
          <w:sz w:val="28"/>
          <w:szCs w:val="28"/>
        </w:rPr>
        <w:t xml:space="preserve"> de la </w:t>
      </w:r>
      <w:r w:rsidRPr="63A43A95">
        <w:rPr>
          <w:b/>
          <w:bCs/>
          <w:color w:val="000000" w:themeColor="text1"/>
          <w:sz w:val="28"/>
          <w:szCs w:val="28"/>
          <w:u w:val="single"/>
        </w:rPr>
        <w:t>condena</w:t>
      </w:r>
      <w:r w:rsidR="010B6D1F" w:rsidRPr="63A43A95">
        <w:rPr>
          <w:b/>
          <w:bCs/>
          <w:color w:val="000000" w:themeColor="text1"/>
          <w:sz w:val="28"/>
          <w:szCs w:val="28"/>
          <w:u w:val="single"/>
        </w:rPr>
        <w:t>,</w:t>
      </w:r>
      <w:r w:rsidRPr="63A43A95">
        <w:rPr>
          <w:b/>
          <w:bCs/>
          <w:color w:val="000000" w:themeColor="text1"/>
          <w:sz w:val="28"/>
          <w:szCs w:val="28"/>
          <w:u w:val="single"/>
        </w:rPr>
        <w:t xml:space="preserve"> o en su defecto</w:t>
      </w:r>
      <w:r w:rsidRPr="63A43A95">
        <w:rPr>
          <w:color w:val="000000" w:themeColor="text1"/>
          <w:sz w:val="28"/>
          <w:szCs w:val="28"/>
        </w:rPr>
        <w:t>, la de las pretensiones de la demanda</w:t>
      </w:r>
      <w:r w:rsidR="002E4B8A" w:rsidRPr="63A43A95">
        <w:rPr>
          <w:color w:val="000000" w:themeColor="text1"/>
          <w:sz w:val="28"/>
          <w:szCs w:val="28"/>
        </w:rPr>
        <w:t xml:space="preserve">, criterio al que se acudió </w:t>
      </w:r>
      <w:r w:rsidR="2F202CF5" w:rsidRPr="63A43A95">
        <w:rPr>
          <w:color w:val="000000" w:themeColor="text1"/>
          <w:sz w:val="28"/>
          <w:szCs w:val="28"/>
        </w:rPr>
        <w:t>en</w:t>
      </w:r>
      <w:r w:rsidRPr="63A43A95">
        <w:rPr>
          <w:color w:val="000000" w:themeColor="text1"/>
          <w:sz w:val="28"/>
          <w:szCs w:val="28"/>
        </w:rPr>
        <w:t xml:space="preserve"> este caso por </w:t>
      </w:r>
      <w:r w:rsidR="00A13418" w:rsidRPr="63A43A95">
        <w:rPr>
          <w:color w:val="000000" w:themeColor="text1"/>
          <w:sz w:val="28"/>
          <w:szCs w:val="28"/>
        </w:rPr>
        <w:t>existir condena</w:t>
      </w:r>
      <w:r w:rsidRPr="63A43A95">
        <w:rPr>
          <w:color w:val="000000" w:themeColor="text1"/>
          <w:sz w:val="28"/>
          <w:szCs w:val="28"/>
        </w:rPr>
        <w:t xml:space="preserve"> de carácter </w:t>
      </w:r>
      <w:r w:rsidR="002E4B8A" w:rsidRPr="63A43A95">
        <w:rPr>
          <w:color w:val="000000" w:themeColor="text1"/>
          <w:sz w:val="28"/>
          <w:szCs w:val="28"/>
        </w:rPr>
        <w:t>económico.</w:t>
      </w:r>
    </w:p>
    <w:p w14:paraId="34CE0A41" w14:textId="77777777" w:rsidR="00A8420A" w:rsidRDefault="00A8420A" w:rsidP="00533032">
      <w:pPr>
        <w:spacing w:line="360" w:lineRule="auto"/>
        <w:jc w:val="both"/>
        <w:rPr>
          <w:sz w:val="28"/>
          <w:szCs w:val="28"/>
        </w:rPr>
      </w:pPr>
    </w:p>
    <w:p w14:paraId="53C17CFB" w14:textId="1A7355EF" w:rsidR="00A8420A" w:rsidRPr="00A8420A" w:rsidRDefault="00A8420A" w:rsidP="00533032">
      <w:pPr>
        <w:spacing w:line="360" w:lineRule="auto"/>
        <w:jc w:val="both"/>
        <w:rPr>
          <w:sz w:val="28"/>
          <w:szCs w:val="28"/>
        </w:rPr>
      </w:pPr>
      <w:r w:rsidRPr="0403E016">
        <w:rPr>
          <w:sz w:val="28"/>
          <w:szCs w:val="28"/>
        </w:rPr>
        <w:t>Ahora</w:t>
      </w:r>
      <w:r w:rsidR="002E4B8A" w:rsidRPr="0403E016">
        <w:rPr>
          <w:sz w:val="28"/>
          <w:szCs w:val="28"/>
        </w:rPr>
        <w:t>,</w:t>
      </w:r>
      <w:r w:rsidRPr="0403E016">
        <w:rPr>
          <w:sz w:val="28"/>
          <w:szCs w:val="28"/>
        </w:rPr>
        <w:t xml:space="preserve"> el recurrente sostiene que </w:t>
      </w:r>
      <w:r w:rsidR="00A13418" w:rsidRPr="0403E016">
        <w:rPr>
          <w:sz w:val="28"/>
          <w:szCs w:val="28"/>
        </w:rPr>
        <w:t xml:space="preserve">no debe tenerse en cuenta la cuantía de la condena sino de las pretensiones negadas, </w:t>
      </w:r>
      <w:r w:rsidR="003B5343" w:rsidRPr="0403E016">
        <w:rPr>
          <w:sz w:val="28"/>
          <w:szCs w:val="28"/>
        </w:rPr>
        <w:t>que a</w:t>
      </w:r>
      <w:r w:rsidR="76E1DE27" w:rsidRPr="0403E016">
        <w:rPr>
          <w:sz w:val="28"/>
          <w:szCs w:val="28"/>
        </w:rPr>
        <w:t>l momento de</w:t>
      </w:r>
      <w:r w:rsidR="003B5343" w:rsidRPr="0403E016">
        <w:rPr>
          <w:sz w:val="28"/>
          <w:szCs w:val="28"/>
        </w:rPr>
        <w:t xml:space="preserve"> la interposición del recurso </w:t>
      </w:r>
      <w:r w:rsidR="00F67BFE" w:rsidRPr="0403E016">
        <w:rPr>
          <w:sz w:val="28"/>
          <w:szCs w:val="28"/>
        </w:rPr>
        <w:t xml:space="preserve">superan los </w:t>
      </w:r>
      <w:r w:rsidR="003B5343" w:rsidRPr="0403E016">
        <w:rPr>
          <w:sz w:val="28"/>
          <w:szCs w:val="28"/>
        </w:rPr>
        <w:t>450</w:t>
      </w:r>
      <w:r w:rsidR="00F67BFE" w:rsidRPr="0403E016">
        <w:rPr>
          <w:sz w:val="28"/>
          <w:szCs w:val="28"/>
        </w:rPr>
        <w:t xml:space="preserve"> S.M.M.L.V.</w:t>
      </w:r>
    </w:p>
    <w:p w14:paraId="6D98A12B" w14:textId="732495D8" w:rsidR="00001814" w:rsidRDefault="00001814" w:rsidP="00D2350E">
      <w:pPr>
        <w:pStyle w:val="Textoindependiente2"/>
        <w:spacing w:after="0" w:line="360" w:lineRule="auto"/>
        <w:jc w:val="both"/>
        <w:rPr>
          <w:sz w:val="28"/>
          <w:szCs w:val="28"/>
        </w:rPr>
      </w:pPr>
    </w:p>
    <w:p w14:paraId="1383C2D9" w14:textId="77777777" w:rsidR="00001814" w:rsidRDefault="00850254" w:rsidP="0403E016">
      <w:pPr>
        <w:pStyle w:val="Textoindependiente2"/>
        <w:spacing w:after="0" w:line="360" w:lineRule="auto"/>
        <w:jc w:val="both"/>
        <w:rPr>
          <w:sz w:val="28"/>
          <w:szCs w:val="28"/>
        </w:rPr>
      </w:pPr>
      <w:r w:rsidRPr="00850254">
        <w:rPr>
          <w:sz w:val="28"/>
          <w:szCs w:val="28"/>
        </w:rPr>
        <w:t>En pronunciamiento de ponente del 27 de julio de 2021, la Sección Tercera – Subsección C del Consejo de Estado</w:t>
      </w:r>
      <w:r>
        <w:rPr>
          <w:rStyle w:val="Refdenotaalpie"/>
          <w:sz w:val="28"/>
          <w:szCs w:val="28"/>
        </w:rPr>
        <w:footnoteReference w:id="1"/>
      </w:r>
      <w:r w:rsidRPr="00850254">
        <w:rPr>
          <w:sz w:val="28"/>
          <w:szCs w:val="28"/>
        </w:rPr>
        <w:t xml:space="preserve"> recordó que el recurso extraordinario de unificación de jurisprudencia tiene como finalidad asegurar la unidad en la interpretación del derecho, su aplicación uniforme y garantizar los derechos tanto de las partes como de terceros que puedan resultar perjudicados con la providencia recurrida.</w:t>
      </w:r>
      <w:r>
        <w:rPr>
          <w:sz w:val="28"/>
          <w:szCs w:val="28"/>
        </w:rPr>
        <w:t xml:space="preserve"> </w:t>
      </w:r>
    </w:p>
    <w:p w14:paraId="53B49DE6" w14:textId="299FBA07" w:rsidR="00001814" w:rsidRDefault="00001814" w:rsidP="0403E016">
      <w:pPr>
        <w:pStyle w:val="Textoindependiente2"/>
        <w:spacing w:after="0" w:line="360" w:lineRule="auto"/>
        <w:jc w:val="both"/>
        <w:rPr>
          <w:sz w:val="28"/>
          <w:szCs w:val="28"/>
        </w:rPr>
      </w:pPr>
    </w:p>
    <w:p w14:paraId="2005218E" w14:textId="77777777" w:rsidR="00001814" w:rsidRDefault="00850254" w:rsidP="00D2350E">
      <w:pPr>
        <w:pStyle w:val="Textoindependiente2"/>
        <w:spacing w:after="0" w:line="360" w:lineRule="auto"/>
        <w:jc w:val="both"/>
        <w:rPr>
          <w:sz w:val="28"/>
          <w:szCs w:val="28"/>
        </w:rPr>
      </w:pPr>
      <w:r w:rsidRPr="00850254">
        <w:rPr>
          <w:sz w:val="28"/>
          <w:szCs w:val="28"/>
        </w:rPr>
        <w:t xml:space="preserve">Puntualizó </w:t>
      </w:r>
      <w:r w:rsidRPr="006039A5">
        <w:rPr>
          <w:sz w:val="28"/>
          <w:szCs w:val="28"/>
        </w:rPr>
        <w:t xml:space="preserve">que según el numeral el numeral 4° del artículo 257 del CPACA cuando la sentencia recurrida sea de contenido patrimonial y con ella se haya resuelto un proceso de reparación directa, el </w:t>
      </w:r>
      <w:r w:rsidRPr="006039A5">
        <w:rPr>
          <w:sz w:val="28"/>
          <w:szCs w:val="28"/>
          <w:u w:val="single"/>
        </w:rPr>
        <w:t>recurso procede cuando la cuantía de la condena</w:t>
      </w:r>
      <w:r w:rsidRPr="006039A5">
        <w:rPr>
          <w:sz w:val="28"/>
          <w:szCs w:val="28"/>
        </w:rPr>
        <w:t xml:space="preserve"> o de las pretensiones, según el caso, </w:t>
      </w:r>
      <w:r w:rsidRPr="006039A5">
        <w:rPr>
          <w:sz w:val="28"/>
          <w:szCs w:val="28"/>
          <w:u w:val="single"/>
        </w:rPr>
        <w:t>sea igual o exceda</w:t>
      </w:r>
      <w:r w:rsidRPr="006039A5">
        <w:rPr>
          <w:sz w:val="28"/>
          <w:szCs w:val="28"/>
        </w:rPr>
        <w:t xml:space="preserve"> al</w:t>
      </w:r>
      <w:r w:rsidRPr="00850254">
        <w:rPr>
          <w:sz w:val="28"/>
          <w:szCs w:val="28"/>
        </w:rPr>
        <w:t xml:space="preserve"> momento de la interposición del recurso los </w:t>
      </w:r>
      <w:r w:rsidRPr="00850254">
        <w:rPr>
          <w:sz w:val="28"/>
          <w:szCs w:val="28"/>
          <w:u w:val="single"/>
        </w:rPr>
        <w:t xml:space="preserve">cuatrocientos cincuenta (450) salarios </w:t>
      </w:r>
      <w:r w:rsidRPr="00850254">
        <w:rPr>
          <w:sz w:val="28"/>
          <w:szCs w:val="28"/>
        </w:rPr>
        <w:t>mínimos legales mensuales vigentes.</w:t>
      </w:r>
    </w:p>
    <w:p w14:paraId="2946DB82" w14:textId="77777777" w:rsidR="000C5323" w:rsidRDefault="000C5323" w:rsidP="000C5323">
      <w:pPr>
        <w:pStyle w:val="Sinespaciado"/>
        <w:spacing w:line="360" w:lineRule="auto"/>
        <w:jc w:val="both"/>
        <w:rPr>
          <w:rFonts w:ascii="Times New Roman" w:hAnsi="Times New Roman"/>
          <w:sz w:val="28"/>
          <w:szCs w:val="28"/>
          <w:lang w:val="es-ES"/>
        </w:rPr>
      </w:pPr>
    </w:p>
    <w:p w14:paraId="002F4AE5" w14:textId="77777777" w:rsidR="000C5323" w:rsidRPr="00835BC4" w:rsidRDefault="000C5323" w:rsidP="00835BC4">
      <w:pPr>
        <w:spacing w:line="360" w:lineRule="auto"/>
        <w:jc w:val="both"/>
        <w:rPr>
          <w:sz w:val="28"/>
          <w:szCs w:val="28"/>
        </w:rPr>
      </w:pPr>
      <w:r w:rsidRPr="000C5323">
        <w:rPr>
          <w:sz w:val="28"/>
          <w:szCs w:val="28"/>
        </w:rPr>
        <w:t xml:space="preserve">Ahora bien, en razón </w:t>
      </w:r>
      <w:r w:rsidR="002E4B8A">
        <w:rPr>
          <w:sz w:val="28"/>
          <w:szCs w:val="28"/>
        </w:rPr>
        <w:t>de</w:t>
      </w:r>
      <w:r w:rsidRPr="000C5323">
        <w:rPr>
          <w:sz w:val="28"/>
          <w:szCs w:val="28"/>
        </w:rPr>
        <w:t xml:space="preserve"> que el re</w:t>
      </w:r>
      <w:r w:rsidR="003B5343">
        <w:rPr>
          <w:sz w:val="28"/>
          <w:szCs w:val="28"/>
        </w:rPr>
        <w:t>curso fue interpuesto en el 20</w:t>
      </w:r>
      <w:r w:rsidR="00CE4599">
        <w:rPr>
          <w:sz w:val="28"/>
          <w:szCs w:val="28"/>
        </w:rPr>
        <w:t>21</w:t>
      </w:r>
      <w:r w:rsidRPr="000C5323">
        <w:rPr>
          <w:rStyle w:val="Refdenotaalpie"/>
          <w:sz w:val="28"/>
          <w:szCs w:val="28"/>
        </w:rPr>
        <w:footnoteReference w:id="2"/>
      </w:r>
      <w:r w:rsidRPr="000C5323">
        <w:rPr>
          <w:sz w:val="28"/>
          <w:szCs w:val="28"/>
        </w:rPr>
        <w:t xml:space="preserve">, </w:t>
      </w:r>
      <w:r w:rsidRPr="000C5323">
        <w:rPr>
          <w:b/>
          <w:sz w:val="28"/>
          <w:szCs w:val="28"/>
          <w:u w:val="single"/>
        </w:rPr>
        <w:t xml:space="preserve">el monto exigido para la procedencia del recurso corresponde a una suma igual o </w:t>
      </w:r>
      <w:r w:rsidRPr="002E4B8A">
        <w:rPr>
          <w:b/>
          <w:sz w:val="28"/>
          <w:szCs w:val="28"/>
          <w:u w:val="single"/>
        </w:rPr>
        <w:t xml:space="preserve">superior </w:t>
      </w:r>
      <w:r w:rsidR="002E4B8A" w:rsidRPr="002E4B8A">
        <w:rPr>
          <w:b/>
          <w:sz w:val="28"/>
          <w:szCs w:val="28"/>
          <w:u w:val="single"/>
        </w:rPr>
        <w:t xml:space="preserve">a </w:t>
      </w:r>
      <w:r w:rsidR="003B5343">
        <w:rPr>
          <w:b/>
          <w:sz w:val="28"/>
          <w:szCs w:val="28"/>
          <w:u w:val="single"/>
        </w:rPr>
        <w:t>450</w:t>
      </w:r>
      <w:r w:rsidRPr="002E4B8A">
        <w:rPr>
          <w:b/>
          <w:sz w:val="28"/>
          <w:szCs w:val="28"/>
          <w:u w:val="single"/>
        </w:rPr>
        <w:t xml:space="preserve"> </w:t>
      </w:r>
      <w:r w:rsidRPr="002E4B8A">
        <w:rPr>
          <w:b/>
          <w:sz w:val="28"/>
          <w:szCs w:val="28"/>
          <w:u w:val="single"/>
          <w:lang w:val="es-CO"/>
        </w:rPr>
        <w:t xml:space="preserve">salarios </w:t>
      </w:r>
      <w:r w:rsidRPr="002E4B8A">
        <w:rPr>
          <w:b/>
          <w:sz w:val="28"/>
          <w:szCs w:val="28"/>
          <w:u w:val="single"/>
        </w:rPr>
        <w:t>para el momento de presentación de la impugnación</w:t>
      </w:r>
      <w:r w:rsidRPr="000C5323">
        <w:rPr>
          <w:sz w:val="28"/>
          <w:szCs w:val="28"/>
        </w:rPr>
        <w:t xml:space="preserve">, por lo que al verificar </w:t>
      </w:r>
      <w:r w:rsidR="00CE4599">
        <w:rPr>
          <w:sz w:val="28"/>
          <w:szCs w:val="28"/>
        </w:rPr>
        <w:t xml:space="preserve">la condena de la </w:t>
      </w:r>
      <w:r w:rsidR="00A76A0B">
        <w:rPr>
          <w:sz w:val="28"/>
          <w:szCs w:val="28"/>
        </w:rPr>
        <w:t>sentencia</w:t>
      </w:r>
      <w:r w:rsidR="00CE4599">
        <w:rPr>
          <w:sz w:val="28"/>
          <w:szCs w:val="28"/>
        </w:rPr>
        <w:t xml:space="preserve"> la </w:t>
      </w:r>
      <w:r w:rsidRPr="000C5323">
        <w:rPr>
          <w:sz w:val="28"/>
          <w:szCs w:val="28"/>
        </w:rPr>
        <w:t>misma</w:t>
      </w:r>
      <w:r w:rsidR="00CE4599">
        <w:rPr>
          <w:sz w:val="28"/>
          <w:szCs w:val="28"/>
        </w:rPr>
        <w:t xml:space="preserve"> </w:t>
      </w:r>
      <w:r w:rsidRPr="000C5323">
        <w:rPr>
          <w:sz w:val="28"/>
          <w:szCs w:val="28"/>
        </w:rPr>
        <w:t xml:space="preserve">se </w:t>
      </w:r>
      <w:r w:rsidRPr="000C5323">
        <w:rPr>
          <w:sz w:val="28"/>
          <w:szCs w:val="28"/>
        </w:rPr>
        <w:lastRenderedPageBreak/>
        <w:t>cuantifica</w:t>
      </w:r>
      <w:r w:rsidR="00A76A0B">
        <w:rPr>
          <w:sz w:val="28"/>
          <w:szCs w:val="28"/>
        </w:rPr>
        <w:t xml:space="preserve"> en 100 SMLMV,</w:t>
      </w:r>
      <w:r w:rsidRPr="000C5323">
        <w:rPr>
          <w:sz w:val="28"/>
          <w:szCs w:val="28"/>
        </w:rPr>
        <w:t xml:space="preserve"> concretamente en la suma de </w:t>
      </w:r>
      <w:r w:rsidR="00CE4599" w:rsidRPr="00C26609">
        <w:rPr>
          <w:b/>
          <w:sz w:val="28"/>
          <w:szCs w:val="28"/>
        </w:rPr>
        <w:t>$90.852.600</w:t>
      </w:r>
      <w:r w:rsidR="00037CBE">
        <w:rPr>
          <w:sz w:val="28"/>
          <w:szCs w:val="28"/>
        </w:rPr>
        <w:t xml:space="preserve">, </w:t>
      </w:r>
      <w:r w:rsidR="002E4B8A">
        <w:rPr>
          <w:sz w:val="28"/>
          <w:szCs w:val="28"/>
        </w:rPr>
        <w:t>de modo</w:t>
      </w:r>
      <w:r w:rsidRPr="000C5323">
        <w:rPr>
          <w:sz w:val="28"/>
          <w:szCs w:val="28"/>
        </w:rPr>
        <w:t xml:space="preserve"> que resulta evidente que el recurso extraordinario de unificación de jurisprudencia </w:t>
      </w:r>
      <w:r w:rsidRPr="006A025A">
        <w:rPr>
          <w:sz w:val="28"/>
          <w:szCs w:val="28"/>
        </w:rPr>
        <w:t>en el presente caso es improcedente, por l</w:t>
      </w:r>
      <w:r w:rsidR="002E4B8A">
        <w:rPr>
          <w:sz w:val="28"/>
          <w:szCs w:val="28"/>
        </w:rPr>
        <w:t>o</w:t>
      </w:r>
      <w:r w:rsidRPr="006A025A">
        <w:rPr>
          <w:sz w:val="28"/>
          <w:szCs w:val="28"/>
        </w:rPr>
        <w:t xml:space="preserve"> cual</w:t>
      </w:r>
      <w:r w:rsidR="002E4B8A">
        <w:rPr>
          <w:sz w:val="28"/>
          <w:szCs w:val="28"/>
        </w:rPr>
        <w:t xml:space="preserve"> hay lugar </w:t>
      </w:r>
      <w:r w:rsidRPr="006A025A">
        <w:rPr>
          <w:sz w:val="28"/>
          <w:szCs w:val="28"/>
        </w:rPr>
        <w:t xml:space="preserve"> </w:t>
      </w:r>
      <w:r w:rsidRPr="00835BC4">
        <w:rPr>
          <w:sz w:val="28"/>
          <w:szCs w:val="28"/>
        </w:rPr>
        <w:t>efectivamente</w:t>
      </w:r>
      <w:r w:rsidR="002E4B8A" w:rsidRPr="00835BC4">
        <w:rPr>
          <w:sz w:val="28"/>
          <w:szCs w:val="28"/>
        </w:rPr>
        <w:t xml:space="preserve"> a</w:t>
      </w:r>
      <w:r w:rsidR="006E2184" w:rsidRPr="00835BC4">
        <w:rPr>
          <w:sz w:val="28"/>
          <w:szCs w:val="28"/>
        </w:rPr>
        <w:t xml:space="preserve"> no concederse. </w:t>
      </w:r>
    </w:p>
    <w:p w14:paraId="5997CC1D" w14:textId="77777777" w:rsidR="000C5323" w:rsidRPr="00835BC4" w:rsidRDefault="000C5323" w:rsidP="00835BC4">
      <w:pPr>
        <w:spacing w:line="360" w:lineRule="auto"/>
        <w:jc w:val="both"/>
        <w:rPr>
          <w:sz w:val="28"/>
          <w:szCs w:val="28"/>
        </w:rPr>
      </w:pPr>
    </w:p>
    <w:p w14:paraId="6F8D3E6E" w14:textId="4B3D912B" w:rsidR="003B5343" w:rsidRPr="00905A22" w:rsidRDefault="00A76A0B" w:rsidP="00835BC4">
      <w:pPr>
        <w:spacing w:line="360" w:lineRule="auto"/>
        <w:jc w:val="both"/>
        <w:rPr>
          <w:sz w:val="28"/>
          <w:szCs w:val="28"/>
        </w:rPr>
      </w:pPr>
      <w:r w:rsidRPr="63A43A95">
        <w:rPr>
          <w:sz w:val="28"/>
          <w:szCs w:val="28"/>
        </w:rPr>
        <w:t xml:space="preserve">De manera que, </w:t>
      </w:r>
      <w:r w:rsidRPr="00905A22">
        <w:rPr>
          <w:sz w:val="28"/>
          <w:szCs w:val="28"/>
        </w:rPr>
        <w:t xml:space="preserve">atendiendo lo dispuesto en el artículo 257 del CPACA, se tiene, que la cuantía, para efectos de verificar la procedencia del recurso extraordinario de unificación de jurisprudencia, se determina por el valor de </w:t>
      </w:r>
      <w:r w:rsidRPr="00905A22">
        <w:rPr>
          <w:sz w:val="28"/>
          <w:szCs w:val="28"/>
          <w:u w:val="single"/>
        </w:rPr>
        <w:t>la condena de la sentencia, o a la falta de esta</w:t>
      </w:r>
      <w:r w:rsidRPr="00905A22">
        <w:rPr>
          <w:sz w:val="28"/>
          <w:szCs w:val="28"/>
        </w:rPr>
        <w:t xml:space="preserve">, </w:t>
      </w:r>
      <w:r w:rsidRPr="00905A22">
        <w:rPr>
          <w:sz w:val="28"/>
          <w:szCs w:val="28"/>
          <w:u w:val="single"/>
        </w:rPr>
        <w:t>por las pretensiones</w:t>
      </w:r>
      <w:r w:rsidRPr="00905A22">
        <w:rPr>
          <w:sz w:val="28"/>
          <w:szCs w:val="28"/>
        </w:rPr>
        <w:t xml:space="preserve"> de la demanda, por lo que la escogencia de la segunda, se erige como supuesto subsidiario que reemplaza a la primera, cuando no exista una condena pecuniaria.</w:t>
      </w:r>
    </w:p>
    <w:p w14:paraId="5A3CEBC1" w14:textId="3083482C" w:rsidR="63A43A95" w:rsidRPr="00905A22" w:rsidRDefault="63A43A95" w:rsidP="63A43A95">
      <w:pPr>
        <w:spacing w:line="360" w:lineRule="auto"/>
        <w:jc w:val="both"/>
        <w:rPr>
          <w:sz w:val="28"/>
          <w:szCs w:val="28"/>
        </w:rPr>
      </w:pPr>
    </w:p>
    <w:p w14:paraId="02AC9CAE" w14:textId="1FFB5A21" w:rsidR="00C72C06" w:rsidRPr="00835BC4" w:rsidRDefault="00C72C06" w:rsidP="00835BC4">
      <w:pPr>
        <w:spacing w:line="360" w:lineRule="auto"/>
        <w:jc w:val="both"/>
        <w:rPr>
          <w:sz w:val="28"/>
          <w:szCs w:val="28"/>
        </w:rPr>
      </w:pPr>
      <w:r w:rsidRPr="00905A22">
        <w:rPr>
          <w:sz w:val="28"/>
          <w:szCs w:val="28"/>
        </w:rPr>
        <w:t xml:space="preserve">Vale acotar </w:t>
      </w:r>
      <w:proofErr w:type="gramStart"/>
      <w:r w:rsidRPr="00905A22">
        <w:rPr>
          <w:sz w:val="28"/>
          <w:szCs w:val="28"/>
        </w:rPr>
        <w:t>que</w:t>
      </w:r>
      <w:proofErr w:type="gramEnd"/>
      <w:r w:rsidR="0B5871CD" w:rsidRPr="00905A22">
        <w:rPr>
          <w:sz w:val="28"/>
          <w:szCs w:val="28"/>
        </w:rPr>
        <w:t xml:space="preserve"> </w:t>
      </w:r>
      <w:r w:rsidRPr="00905A22">
        <w:rPr>
          <w:sz w:val="28"/>
          <w:szCs w:val="28"/>
        </w:rPr>
        <w:t>si bien la norma contempla la posibilidad de tomar como punto de referencia</w:t>
      </w:r>
      <w:r w:rsidR="00835BC4" w:rsidRPr="00905A22">
        <w:rPr>
          <w:sz w:val="28"/>
          <w:szCs w:val="28"/>
        </w:rPr>
        <w:t xml:space="preserve"> </w:t>
      </w:r>
      <w:r w:rsidRPr="00905A22">
        <w:rPr>
          <w:sz w:val="28"/>
          <w:szCs w:val="28"/>
        </w:rPr>
        <w:t>el valor total de las pretensiones impetradas en la demanda, solo puede acogerse ante la ausencia del objeto principal, es decir, la condena impuesta en la sentencia, pues</w:t>
      </w:r>
      <w:r w:rsidR="29CCCB5B" w:rsidRPr="00905A22">
        <w:rPr>
          <w:sz w:val="28"/>
          <w:szCs w:val="28"/>
        </w:rPr>
        <w:t xml:space="preserve"> es claro que</w:t>
      </w:r>
      <w:r w:rsidRPr="00905A22">
        <w:rPr>
          <w:sz w:val="28"/>
          <w:szCs w:val="28"/>
        </w:rPr>
        <w:t xml:space="preserve"> el legislador </w:t>
      </w:r>
      <w:r w:rsidR="4CB38C9B" w:rsidRPr="00905A22">
        <w:rPr>
          <w:sz w:val="28"/>
          <w:szCs w:val="28"/>
        </w:rPr>
        <w:t>al emplear la expresión</w:t>
      </w:r>
      <w:r w:rsidRPr="00905A22">
        <w:rPr>
          <w:sz w:val="28"/>
          <w:szCs w:val="28"/>
        </w:rPr>
        <w:t xml:space="preserve"> “en su defecto”, </w:t>
      </w:r>
      <w:r w:rsidR="00835BC4" w:rsidRPr="00905A22">
        <w:rPr>
          <w:sz w:val="28"/>
          <w:szCs w:val="28"/>
        </w:rPr>
        <w:t xml:space="preserve">lo que quiso establecer es </w:t>
      </w:r>
      <w:r w:rsidRPr="00905A22">
        <w:rPr>
          <w:sz w:val="28"/>
          <w:szCs w:val="28"/>
        </w:rPr>
        <w:t>que</w:t>
      </w:r>
      <w:r w:rsidR="00835BC4" w:rsidRPr="00905A22">
        <w:rPr>
          <w:sz w:val="28"/>
          <w:szCs w:val="28"/>
        </w:rPr>
        <w:t xml:space="preserve">, </w:t>
      </w:r>
      <w:r w:rsidRPr="00905A22">
        <w:rPr>
          <w:sz w:val="28"/>
          <w:szCs w:val="28"/>
        </w:rPr>
        <w:t xml:space="preserve">a </w:t>
      </w:r>
      <w:r w:rsidR="00835BC4" w:rsidRPr="00905A22">
        <w:rPr>
          <w:sz w:val="28"/>
          <w:szCs w:val="28"/>
        </w:rPr>
        <w:t>falta</w:t>
      </w:r>
      <w:r w:rsidRPr="00905A22">
        <w:rPr>
          <w:sz w:val="28"/>
          <w:szCs w:val="28"/>
        </w:rPr>
        <w:t xml:space="preserve"> del </w:t>
      </w:r>
      <w:r w:rsidR="00835BC4" w:rsidRPr="00905A22">
        <w:rPr>
          <w:sz w:val="28"/>
          <w:szCs w:val="28"/>
        </w:rPr>
        <w:t>primer</w:t>
      </w:r>
      <w:r w:rsidRPr="00905A22">
        <w:rPr>
          <w:sz w:val="28"/>
          <w:szCs w:val="28"/>
        </w:rPr>
        <w:t xml:space="preserve"> presupuesto, se utiliza</w:t>
      </w:r>
      <w:r w:rsidR="3D2913AE" w:rsidRPr="00905A22">
        <w:rPr>
          <w:sz w:val="28"/>
          <w:szCs w:val="28"/>
        </w:rPr>
        <w:t>rá</w:t>
      </w:r>
      <w:r w:rsidRPr="00905A22">
        <w:rPr>
          <w:sz w:val="28"/>
          <w:szCs w:val="28"/>
        </w:rPr>
        <w:t xml:space="preserve"> el segundo.</w:t>
      </w:r>
      <w:r w:rsidRPr="63A43A95">
        <w:rPr>
          <w:sz w:val="28"/>
          <w:szCs w:val="28"/>
        </w:rPr>
        <w:t xml:space="preserve"> </w:t>
      </w:r>
    </w:p>
    <w:p w14:paraId="110FFD37" w14:textId="77777777" w:rsidR="00C72C06" w:rsidRPr="00835BC4" w:rsidRDefault="00C72C06" w:rsidP="00835BC4">
      <w:pPr>
        <w:spacing w:line="360" w:lineRule="auto"/>
        <w:jc w:val="both"/>
        <w:rPr>
          <w:sz w:val="28"/>
          <w:szCs w:val="28"/>
        </w:rPr>
      </w:pPr>
    </w:p>
    <w:p w14:paraId="49DB0D54" w14:textId="76586247" w:rsidR="006A025A" w:rsidRDefault="006039A5" w:rsidP="006039A5">
      <w:pPr>
        <w:spacing w:line="360" w:lineRule="auto"/>
        <w:jc w:val="both"/>
        <w:rPr>
          <w:sz w:val="28"/>
          <w:szCs w:val="28"/>
        </w:rPr>
      </w:pPr>
      <w:r w:rsidRPr="63A43A95">
        <w:rPr>
          <w:sz w:val="28"/>
          <w:szCs w:val="28"/>
        </w:rPr>
        <w:t xml:space="preserve">Adicionalmente, es preciso señalar que </w:t>
      </w:r>
      <w:r w:rsidR="003B5343" w:rsidRPr="63A43A95">
        <w:rPr>
          <w:sz w:val="28"/>
          <w:szCs w:val="28"/>
        </w:rPr>
        <w:t xml:space="preserve">tampoco </w:t>
      </w:r>
      <w:r w:rsidR="16AE71A7" w:rsidRPr="63A43A95">
        <w:rPr>
          <w:sz w:val="28"/>
          <w:szCs w:val="28"/>
        </w:rPr>
        <w:t>procede en</w:t>
      </w:r>
      <w:r w:rsidR="003B5343" w:rsidRPr="63A43A95">
        <w:rPr>
          <w:sz w:val="28"/>
          <w:szCs w:val="28"/>
        </w:rPr>
        <w:t xml:space="preserve"> </w:t>
      </w:r>
      <w:r w:rsidR="4AD76396" w:rsidRPr="63A43A95">
        <w:rPr>
          <w:sz w:val="28"/>
          <w:szCs w:val="28"/>
        </w:rPr>
        <w:t>e</w:t>
      </w:r>
      <w:r w:rsidR="003B5343" w:rsidRPr="63A43A95">
        <w:rPr>
          <w:sz w:val="28"/>
          <w:szCs w:val="28"/>
        </w:rPr>
        <w:t xml:space="preserve">l caso la inaplicación del requisito de la cuantía conforme lo </w:t>
      </w:r>
      <w:r w:rsidR="00813437" w:rsidRPr="63A43A95">
        <w:rPr>
          <w:sz w:val="28"/>
          <w:szCs w:val="28"/>
        </w:rPr>
        <w:t>precisó</w:t>
      </w:r>
      <w:r w:rsidR="003B5343" w:rsidRPr="63A43A95">
        <w:rPr>
          <w:sz w:val="28"/>
          <w:szCs w:val="28"/>
        </w:rPr>
        <w:t xml:space="preserve"> el Consejo de Estado, Sección Segunda, </w:t>
      </w:r>
      <w:r w:rsidR="00813437" w:rsidRPr="63A43A95">
        <w:rPr>
          <w:sz w:val="28"/>
          <w:szCs w:val="28"/>
        </w:rPr>
        <w:t>en a</w:t>
      </w:r>
      <w:r w:rsidR="003B5343" w:rsidRPr="63A43A95">
        <w:rPr>
          <w:sz w:val="28"/>
          <w:szCs w:val="28"/>
        </w:rPr>
        <w:t xml:space="preserve">uto </w:t>
      </w:r>
      <w:r w:rsidR="00813437" w:rsidRPr="63A43A95">
        <w:rPr>
          <w:sz w:val="28"/>
          <w:szCs w:val="28"/>
        </w:rPr>
        <w:t xml:space="preserve">de unificación </w:t>
      </w:r>
      <w:r w:rsidR="003B5343" w:rsidRPr="63A43A95">
        <w:rPr>
          <w:sz w:val="28"/>
          <w:szCs w:val="28"/>
        </w:rPr>
        <w:t>No.  15001-23-33-000-2003-00605-01(0288-15)</w:t>
      </w:r>
      <w:r w:rsidR="00813437" w:rsidRPr="63A43A95">
        <w:rPr>
          <w:sz w:val="28"/>
          <w:szCs w:val="28"/>
        </w:rPr>
        <w:t xml:space="preserve"> del </w:t>
      </w:r>
      <w:r w:rsidR="003B5343" w:rsidRPr="63A43A95">
        <w:rPr>
          <w:sz w:val="28"/>
          <w:szCs w:val="28"/>
        </w:rPr>
        <w:t>28 de marzo de 2019, C.P. Dr. William Hernández Gómez</w:t>
      </w:r>
      <w:r w:rsidR="00813437" w:rsidRPr="63A43A95">
        <w:rPr>
          <w:sz w:val="28"/>
          <w:szCs w:val="28"/>
        </w:rPr>
        <w:t xml:space="preserve">, pues esa inaplicabilidad lo es respecto del recurso extraordinario de unificación de jurisprudencia en procesos de </w:t>
      </w:r>
      <w:r w:rsidR="00813437" w:rsidRPr="63A43A95">
        <w:rPr>
          <w:b/>
          <w:bCs/>
          <w:sz w:val="28"/>
          <w:szCs w:val="28"/>
        </w:rPr>
        <w:t xml:space="preserve">nulidad y restablecimiento del derecho en materia laboral </w:t>
      </w:r>
      <w:r w:rsidR="00813437" w:rsidRPr="63A43A95">
        <w:rPr>
          <w:sz w:val="28"/>
          <w:szCs w:val="28"/>
        </w:rPr>
        <w:t>y el presente asunto es</w:t>
      </w:r>
      <w:r w:rsidR="5ADC1E55" w:rsidRPr="63A43A95">
        <w:rPr>
          <w:sz w:val="28"/>
          <w:szCs w:val="28"/>
        </w:rPr>
        <w:t xml:space="preserve">  una</w:t>
      </w:r>
      <w:r w:rsidR="00813437" w:rsidRPr="63A43A95">
        <w:rPr>
          <w:sz w:val="28"/>
          <w:szCs w:val="28"/>
        </w:rPr>
        <w:t xml:space="preserve"> reparación directa </w:t>
      </w:r>
      <w:r w:rsidR="0BC686B2" w:rsidRPr="63A43A95">
        <w:rPr>
          <w:sz w:val="28"/>
          <w:szCs w:val="28"/>
        </w:rPr>
        <w:t xml:space="preserve"> </w:t>
      </w:r>
      <w:proofErr w:type="spellStart"/>
      <w:r w:rsidR="0BC686B2" w:rsidRPr="63A43A95">
        <w:rPr>
          <w:sz w:val="28"/>
          <w:szCs w:val="28"/>
        </w:rPr>
        <w:t>demodo</w:t>
      </w:r>
      <w:proofErr w:type="spellEnd"/>
      <w:r w:rsidR="0BC686B2" w:rsidRPr="63A43A95">
        <w:rPr>
          <w:sz w:val="28"/>
          <w:szCs w:val="28"/>
        </w:rPr>
        <w:t xml:space="preserve"> que </w:t>
      </w:r>
      <w:r w:rsidR="00813437" w:rsidRPr="63A43A95">
        <w:rPr>
          <w:sz w:val="28"/>
          <w:szCs w:val="28"/>
        </w:rPr>
        <w:t>no se enmarca en la providencia de unificación</w:t>
      </w:r>
      <w:r w:rsidR="49F626A0" w:rsidRPr="63A43A95">
        <w:rPr>
          <w:sz w:val="28"/>
          <w:szCs w:val="28"/>
        </w:rPr>
        <w:t>,</w:t>
      </w:r>
      <w:r w:rsidR="00813437" w:rsidRPr="63A43A95">
        <w:rPr>
          <w:sz w:val="28"/>
          <w:szCs w:val="28"/>
        </w:rPr>
        <w:t xml:space="preserve"> debiendo cumplir</w:t>
      </w:r>
      <w:r w:rsidR="550EBC85" w:rsidRPr="63A43A95">
        <w:rPr>
          <w:sz w:val="28"/>
          <w:szCs w:val="28"/>
        </w:rPr>
        <w:t>se</w:t>
      </w:r>
      <w:r w:rsidR="00813437" w:rsidRPr="63A43A95">
        <w:rPr>
          <w:sz w:val="28"/>
          <w:szCs w:val="28"/>
        </w:rPr>
        <w:t xml:space="preserve"> el requisito de acreditar la cuantía</w:t>
      </w:r>
      <w:r w:rsidRPr="63A43A95">
        <w:rPr>
          <w:sz w:val="28"/>
          <w:szCs w:val="28"/>
        </w:rPr>
        <w:t xml:space="preserve">.  En tal sentido </w:t>
      </w:r>
      <w:r w:rsidR="002E4B8A" w:rsidRPr="63A43A95">
        <w:rPr>
          <w:sz w:val="28"/>
          <w:szCs w:val="28"/>
        </w:rPr>
        <w:t xml:space="preserve">no </w:t>
      </w:r>
      <w:r w:rsidR="006A025A" w:rsidRPr="63A43A95">
        <w:rPr>
          <w:sz w:val="28"/>
          <w:szCs w:val="28"/>
        </w:rPr>
        <w:t>se repondrá la decisi</w:t>
      </w:r>
      <w:r w:rsidR="00544312" w:rsidRPr="63A43A95">
        <w:rPr>
          <w:sz w:val="28"/>
          <w:szCs w:val="28"/>
        </w:rPr>
        <w:t>ón c</w:t>
      </w:r>
      <w:r w:rsidR="006A025A" w:rsidRPr="63A43A95">
        <w:rPr>
          <w:sz w:val="28"/>
          <w:szCs w:val="28"/>
        </w:rPr>
        <w:t xml:space="preserve">ontenida en el auto del </w:t>
      </w:r>
      <w:r w:rsidRPr="63A43A95">
        <w:rPr>
          <w:sz w:val="28"/>
          <w:szCs w:val="28"/>
        </w:rPr>
        <w:t>10 de agosto de 2021</w:t>
      </w:r>
    </w:p>
    <w:p w14:paraId="6B699379" w14:textId="77777777" w:rsidR="006A025A" w:rsidRDefault="006A025A" w:rsidP="00D2350E">
      <w:pPr>
        <w:pStyle w:val="Textoindependiente2"/>
        <w:spacing w:after="0" w:line="360" w:lineRule="auto"/>
        <w:jc w:val="both"/>
        <w:rPr>
          <w:sz w:val="28"/>
          <w:szCs w:val="28"/>
        </w:rPr>
      </w:pPr>
    </w:p>
    <w:p w14:paraId="1C8B8596" w14:textId="77777777" w:rsidR="006A025A" w:rsidRPr="00544312" w:rsidRDefault="006A025A" w:rsidP="00544312">
      <w:pPr>
        <w:pStyle w:val="Textoindependiente2"/>
        <w:spacing w:after="0" w:line="360" w:lineRule="auto"/>
        <w:jc w:val="both"/>
        <w:rPr>
          <w:sz w:val="28"/>
          <w:szCs w:val="28"/>
        </w:rPr>
      </w:pPr>
      <w:r>
        <w:rPr>
          <w:sz w:val="28"/>
          <w:szCs w:val="28"/>
        </w:rPr>
        <w:lastRenderedPageBreak/>
        <w:t>Por otra parte, el artículo 245 del CPACA establece que cuando no se concede el recurso extraordinario de revisión y</w:t>
      </w:r>
      <w:r w:rsidR="00544312">
        <w:rPr>
          <w:sz w:val="28"/>
          <w:szCs w:val="28"/>
        </w:rPr>
        <w:t xml:space="preserve"> el de </w:t>
      </w:r>
      <w:r>
        <w:rPr>
          <w:sz w:val="28"/>
          <w:szCs w:val="28"/>
        </w:rPr>
        <w:t xml:space="preserve">unificación de jurisprudencia </w:t>
      </w:r>
      <w:r w:rsidRPr="00544312">
        <w:rPr>
          <w:sz w:val="28"/>
          <w:szCs w:val="28"/>
        </w:rPr>
        <w:t xml:space="preserve">procede el recurso de queja, por lo que se concederá </w:t>
      </w:r>
      <w:r w:rsidR="002949BD">
        <w:rPr>
          <w:sz w:val="28"/>
          <w:szCs w:val="28"/>
        </w:rPr>
        <w:t xml:space="preserve">el recurso de queja </w:t>
      </w:r>
      <w:r w:rsidRPr="00544312">
        <w:rPr>
          <w:sz w:val="28"/>
          <w:szCs w:val="28"/>
        </w:rPr>
        <w:t xml:space="preserve">para su trámite ante el Consejo de Estado en los términos del artículo 353 del CGP en concordancia con el artículo 324 del mismo ordenamiento. </w:t>
      </w:r>
    </w:p>
    <w:p w14:paraId="3FE9F23F" w14:textId="77777777" w:rsidR="00C5761E" w:rsidRPr="00544312" w:rsidRDefault="00C5761E" w:rsidP="00544312">
      <w:pPr>
        <w:pStyle w:val="Textoindependiente2"/>
        <w:spacing w:after="0" w:line="360" w:lineRule="auto"/>
        <w:jc w:val="both"/>
        <w:rPr>
          <w:sz w:val="28"/>
          <w:szCs w:val="28"/>
        </w:rPr>
      </w:pPr>
    </w:p>
    <w:p w14:paraId="7E447773" w14:textId="77777777" w:rsidR="00C5761E" w:rsidRPr="00544312" w:rsidRDefault="00544312" w:rsidP="00544312">
      <w:pPr>
        <w:pStyle w:val="Textoindependiente2"/>
        <w:spacing w:after="0" w:line="360" w:lineRule="auto"/>
        <w:jc w:val="both"/>
        <w:rPr>
          <w:sz w:val="28"/>
          <w:szCs w:val="28"/>
        </w:rPr>
      </w:pPr>
      <w:r>
        <w:rPr>
          <w:sz w:val="28"/>
          <w:szCs w:val="28"/>
        </w:rPr>
        <w:t xml:space="preserve">En </w:t>
      </w:r>
      <w:r w:rsidR="00001814">
        <w:rPr>
          <w:sz w:val="28"/>
          <w:szCs w:val="28"/>
        </w:rPr>
        <w:t>consecuencia,</w:t>
      </w:r>
      <w:r>
        <w:rPr>
          <w:sz w:val="28"/>
          <w:szCs w:val="28"/>
        </w:rPr>
        <w:t xml:space="preserve"> el suscrito magistrado,</w:t>
      </w:r>
    </w:p>
    <w:p w14:paraId="1F72F646" w14:textId="77777777" w:rsidR="006039A5" w:rsidRPr="00544312" w:rsidRDefault="006039A5" w:rsidP="00544312">
      <w:pPr>
        <w:pStyle w:val="Textoindependiente2"/>
        <w:spacing w:after="0" w:line="360" w:lineRule="auto"/>
        <w:jc w:val="both"/>
        <w:rPr>
          <w:sz w:val="28"/>
          <w:szCs w:val="28"/>
        </w:rPr>
      </w:pPr>
    </w:p>
    <w:p w14:paraId="23A75B80" w14:textId="77777777" w:rsidR="00DB5E75" w:rsidRPr="00544312" w:rsidRDefault="00DB5E75" w:rsidP="00544312">
      <w:pPr>
        <w:pStyle w:val="Textoindependiente2"/>
        <w:spacing w:after="0" w:line="360" w:lineRule="auto"/>
        <w:jc w:val="center"/>
        <w:rPr>
          <w:b/>
          <w:sz w:val="28"/>
          <w:szCs w:val="28"/>
        </w:rPr>
      </w:pPr>
      <w:r w:rsidRPr="00544312">
        <w:rPr>
          <w:b/>
          <w:sz w:val="28"/>
          <w:szCs w:val="28"/>
        </w:rPr>
        <w:t>RESUELVE:</w:t>
      </w:r>
    </w:p>
    <w:p w14:paraId="08CE6F91" w14:textId="77777777" w:rsidR="006039A5" w:rsidRDefault="006039A5" w:rsidP="00544312">
      <w:pPr>
        <w:pStyle w:val="Textoindependiente2"/>
        <w:spacing w:after="0" w:line="360" w:lineRule="auto"/>
        <w:jc w:val="both"/>
        <w:rPr>
          <w:b/>
          <w:sz w:val="28"/>
          <w:szCs w:val="28"/>
        </w:rPr>
      </w:pPr>
    </w:p>
    <w:p w14:paraId="730C5B0F" w14:textId="77777777" w:rsidR="00544312" w:rsidRPr="00544312" w:rsidRDefault="009E7EBD" w:rsidP="00544312">
      <w:pPr>
        <w:pStyle w:val="Textoindependiente2"/>
        <w:spacing w:after="0" w:line="360" w:lineRule="auto"/>
        <w:jc w:val="both"/>
        <w:rPr>
          <w:sz w:val="28"/>
          <w:szCs w:val="28"/>
        </w:rPr>
      </w:pPr>
      <w:r w:rsidRPr="63A43A95">
        <w:rPr>
          <w:b/>
          <w:bCs/>
          <w:sz w:val="28"/>
          <w:szCs w:val="28"/>
        </w:rPr>
        <w:t xml:space="preserve">PRIMERO: </w:t>
      </w:r>
      <w:r w:rsidR="00544312" w:rsidRPr="63A43A95">
        <w:rPr>
          <w:b/>
          <w:bCs/>
          <w:sz w:val="28"/>
          <w:szCs w:val="28"/>
        </w:rPr>
        <w:t xml:space="preserve">No reponer </w:t>
      </w:r>
      <w:r w:rsidR="00544312" w:rsidRPr="63A43A95">
        <w:rPr>
          <w:sz w:val="28"/>
          <w:szCs w:val="28"/>
        </w:rPr>
        <w:t>la</w:t>
      </w:r>
      <w:r w:rsidR="00544312" w:rsidRPr="63A43A95">
        <w:rPr>
          <w:b/>
          <w:bCs/>
          <w:sz w:val="28"/>
          <w:szCs w:val="28"/>
        </w:rPr>
        <w:t xml:space="preserve"> </w:t>
      </w:r>
      <w:r w:rsidR="006E2184" w:rsidRPr="63A43A95">
        <w:rPr>
          <w:sz w:val="28"/>
          <w:szCs w:val="28"/>
        </w:rPr>
        <w:t xml:space="preserve">decisión contenida en el auto </w:t>
      </w:r>
      <w:r w:rsidR="003B5343" w:rsidRPr="63A43A95">
        <w:rPr>
          <w:sz w:val="28"/>
          <w:szCs w:val="28"/>
        </w:rPr>
        <w:t xml:space="preserve">del </w:t>
      </w:r>
      <w:r w:rsidR="006039A5" w:rsidRPr="63A43A95">
        <w:rPr>
          <w:sz w:val="28"/>
          <w:szCs w:val="28"/>
        </w:rPr>
        <w:t>10 de agosto de 2021</w:t>
      </w:r>
      <w:r w:rsidR="00544312" w:rsidRPr="63A43A95">
        <w:rPr>
          <w:sz w:val="28"/>
          <w:szCs w:val="28"/>
        </w:rPr>
        <w:t xml:space="preserve">, </w:t>
      </w:r>
      <w:r w:rsidR="006E2184" w:rsidRPr="63A43A95">
        <w:rPr>
          <w:sz w:val="28"/>
          <w:szCs w:val="28"/>
        </w:rPr>
        <w:t xml:space="preserve">mediante el cual no se concedió </w:t>
      </w:r>
      <w:r w:rsidR="00544312" w:rsidRPr="63A43A95">
        <w:rPr>
          <w:sz w:val="28"/>
          <w:szCs w:val="28"/>
        </w:rPr>
        <w:t>el recurso</w:t>
      </w:r>
      <w:r w:rsidR="006E2184" w:rsidRPr="63A43A95">
        <w:rPr>
          <w:sz w:val="28"/>
          <w:szCs w:val="28"/>
        </w:rPr>
        <w:t xml:space="preserve"> extraordinario </w:t>
      </w:r>
      <w:r w:rsidR="00544312" w:rsidRPr="63A43A95">
        <w:rPr>
          <w:sz w:val="28"/>
          <w:szCs w:val="28"/>
        </w:rPr>
        <w:t>de unificación de jurisprudencia, de conformidad con lo expuesto.</w:t>
      </w:r>
    </w:p>
    <w:p w14:paraId="61CDCEAD" w14:textId="77777777" w:rsidR="00544312" w:rsidRPr="00544312" w:rsidRDefault="00544312" w:rsidP="00544312">
      <w:pPr>
        <w:pStyle w:val="Textoindependiente2"/>
        <w:spacing w:after="0" w:line="360" w:lineRule="auto"/>
        <w:jc w:val="both"/>
        <w:rPr>
          <w:sz w:val="28"/>
          <w:szCs w:val="28"/>
        </w:rPr>
      </w:pPr>
    </w:p>
    <w:p w14:paraId="49AF9C59" w14:textId="735C6424" w:rsidR="006039A5" w:rsidRDefault="00544312" w:rsidP="00544312">
      <w:pPr>
        <w:pStyle w:val="Textoindependiente2"/>
        <w:spacing w:after="0" w:line="360" w:lineRule="auto"/>
        <w:jc w:val="both"/>
        <w:rPr>
          <w:sz w:val="28"/>
          <w:szCs w:val="28"/>
        </w:rPr>
      </w:pPr>
      <w:r w:rsidRPr="63A43A95">
        <w:rPr>
          <w:b/>
          <w:bCs/>
          <w:sz w:val="28"/>
          <w:szCs w:val="28"/>
        </w:rPr>
        <w:t>SEGUNDO:</w:t>
      </w:r>
      <w:r w:rsidRPr="63A43A95">
        <w:rPr>
          <w:sz w:val="28"/>
          <w:szCs w:val="28"/>
        </w:rPr>
        <w:t xml:space="preserve"> </w:t>
      </w:r>
      <w:r w:rsidR="006039A5" w:rsidRPr="63A43A95">
        <w:rPr>
          <w:b/>
          <w:bCs/>
          <w:sz w:val="28"/>
          <w:szCs w:val="28"/>
        </w:rPr>
        <w:t xml:space="preserve">Conceder el recurso de queja </w:t>
      </w:r>
      <w:r w:rsidR="006039A5" w:rsidRPr="63A43A95">
        <w:rPr>
          <w:sz w:val="28"/>
          <w:szCs w:val="28"/>
        </w:rPr>
        <w:t>frente al auto del 10 de agosto de 2021</w:t>
      </w:r>
      <w:r w:rsidR="056EDD2D" w:rsidRPr="63A43A95">
        <w:rPr>
          <w:sz w:val="28"/>
          <w:szCs w:val="28"/>
        </w:rPr>
        <w:t>. E</w:t>
      </w:r>
      <w:r w:rsidR="006039A5" w:rsidRPr="63A43A95">
        <w:rPr>
          <w:sz w:val="28"/>
          <w:szCs w:val="28"/>
        </w:rPr>
        <w:t xml:space="preserve">n consecuencia, de conformidad con lo establecido en el artículo 353 del C.G.P. remítase </w:t>
      </w:r>
      <w:r w:rsidR="256F3FE2" w:rsidRPr="63A43A95">
        <w:rPr>
          <w:sz w:val="28"/>
          <w:szCs w:val="28"/>
        </w:rPr>
        <w:t>a</w:t>
      </w:r>
      <w:r w:rsidRPr="63A43A95">
        <w:rPr>
          <w:sz w:val="28"/>
          <w:szCs w:val="28"/>
        </w:rPr>
        <w:t xml:space="preserve">l Consejo de Estado </w:t>
      </w:r>
      <w:r w:rsidR="006039A5" w:rsidRPr="63A43A95">
        <w:rPr>
          <w:sz w:val="28"/>
          <w:szCs w:val="28"/>
        </w:rPr>
        <w:t>las piezas digitales</w:t>
      </w:r>
      <w:r w:rsidR="0B51416F" w:rsidRPr="63A43A95">
        <w:rPr>
          <w:sz w:val="28"/>
          <w:szCs w:val="28"/>
        </w:rPr>
        <w:t xml:space="preserve"> atendiendo lo dispuesto en</w:t>
      </w:r>
      <w:r w:rsidR="006039A5" w:rsidRPr="63A43A95">
        <w:rPr>
          <w:sz w:val="28"/>
          <w:szCs w:val="28"/>
        </w:rPr>
        <w:t xml:space="preserve"> el Decreto 806 de 2020 para el correspondiente trámite.</w:t>
      </w:r>
    </w:p>
    <w:p w14:paraId="6BB9E253" w14:textId="77777777" w:rsidR="006039A5" w:rsidRDefault="006039A5" w:rsidP="00544312">
      <w:pPr>
        <w:pStyle w:val="Textoindependiente2"/>
        <w:spacing w:after="0" w:line="360" w:lineRule="auto"/>
        <w:jc w:val="both"/>
        <w:rPr>
          <w:sz w:val="28"/>
          <w:szCs w:val="28"/>
        </w:rPr>
      </w:pPr>
    </w:p>
    <w:p w14:paraId="571FFB3D" w14:textId="77777777" w:rsidR="00DB5E75" w:rsidRPr="00544312" w:rsidRDefault="00DB5E75" w:rsidP="00813437">
      <w:pPr>
        <w:jc w:val="center"/>
        <w:rPr>
          <w:sz w:val="28"/>
          <w:szCs w:val="28"/>
        </w:rPr>
      </w:pPr>
      <w:r w:rsidRPr="00544312">
        <w:rPr>
          <w:sz w:val="28"/>
          <w:szCs w:val="28"/>
        </w:rPr>
        <w:t>Notifíquese y cúmplase</w:t>
      </w:r>
    </w:p>
    <w:p w14:paraId="23DE523C" w14:textId="77777777" w:rsidR="00DB5E75" w:rsidRDefault="00DB5E75" w:rsidP="00813437">
      <w:pPr>
        <w:pStyle w:val="Textoindependiente"/>
        <w:spacing w:line="240" w:lineRule="auto"/>
        <w:jc w:val="center"/>
        <w:rPr>
          <w:b/>
          <w:i w:val="0"/>
          <w:sz w:val="28"/>
          <w:szCs w:val="28"/>
        </w:rPr>
      </w:pPr>
    </w:p>
    <w:p w14:paraId="52E56223" w14:textId="77777777" w:rsidR="00813437" w:rsidRDefault="00813437" w:rsidP="00813437">
      <w:pPr>
        <w:pStyle w:val="Textoindependiente"/>
        <w:spacing w:line="240" w:lineRule="auto"/>
        <w:jc w:val="center"/>
        <w:rPr>
          <w:b/>
          <w:i w:val="0"/>
          <w:sz w:val="28"/>
          <w:szCs w:val="28"/>
        </w:rPr>
      </w:pPr>
    </w:p>
    <w:p w14:paraId="07547A01" w14:textId="77777777" w:rsidR="00813437" w:rsidRDefault="00813437" w:rsidP="00813437">
      <w:pPr>
        <w:pStyle w:val="Textoindependiente"/>
        <w:spacing w:line="240" w:lineRule="auto"/>
        <w:jc w:val="center"/>
        <w:rPr>
          <w:b/>
          <w:i w:val="0"/>
          <w:sz w:val="28"/>
          <w:szCs w:val="28"/>
        </w:rPr>
      </w:pPr>
    </w:p>
    <w:p w14:paraId="5043CB0F" w14:textId="77777777" w:rsidR="00813437" w:rsidRDefault="00813437" w:rsidP="00813437">
      <w:pPr>
        <w:pStyle w:val="Textoindependiente"/>
        <w:spacing w:line="240" w:lineRule="auto"/>
        <w:jc w:val="center"/>
        <w:rPr>
          <w:b/>
          <w:i w:val="0"/>
          <w:sz w:val="28"/>
          <w:szCs w:val="28"/>
        </w:rPr>
      </w:pPr>
    </w:p>
    <w:p w14:paraId="18098366" w14:textId="77777777" w:rsidR="00DB5E75" w:rsidRPr="00544312" w:rsidRDefault="00DB5E75" w:rsidP="00813437">
      <w:pPr>
        <w:pStyle w:val="Textoindependiente"/>
        <w:spacing w:line="240" w:lineRule="auto"/>
        <w:jc w:val="center"/>
        <w:rPr>
          <w:b/>
          <w:i w:val="0"/>
          <w:sz w:val="28"/>
          <w:szCs w:val="28"/>
        </w:rPr>
      </w:pPr>
      <w:r w:rsidRPr="00544312">
        <w:rPr>
          <w:b/>
          <w:i w:val="0"/>
          <w:sz w:val="28"/>
          <w:szCs w:val="28"/>
        </w:rPr>
        <w:t>LUÍS ERNESTO ARCINIEGAS TRIANA</w:t>
      </w:r>
    </w:p>
    <w:p w14:paraId="2B938A0C" w14:textId="77777777" w:rsidR="002D7F78" w:rsidRPr="00544312" w:rsidRDefault="00DB5E75" w:rsidP="00813437">
      <w:pPr>
        <w:jc w:val="center"/>
        <w:rPr>
          <w:sz w:val="28"/>
          <w:szCs w:val="28"/>
        </w:rPr>
      </w:pPr>
      <w:r w:rsidRPr="00544312">
        <w:rPr>
          <w:sz w:val="28"/>
          <w:szCs w:val="28"/>
        </w:rPr>
        <w:t>Magistrado</w:t>
      </w:r>
    </w:p>
    <w:sectPr w:rsidR="002D7F78" w:rsidRPr="00544312" w:rsidSect="00233967">
      <w:headerReference w:type="even" r:id="rId12"/>
      <w:headerReference w:type="default" r:id="rId13"/>
      <w:pgSz w:w="12242" w:h="18722" w:code="121"/>
      <w:pgMar w:top="1701" w:right="1701" w:bottom="1701" w:left="1701" w:header="391" w:footer="0" w:gutter="0"/>
      <w:cols w:space="708"/>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6BC0F" w14:textId="77777777" w:rsidR="00805C7B" w:rsidRDefault="00805C7B" w:rsidP="005B78F8">
      <w:r>
        <w:separator/>
      </w:r>
    </w:p>
  </w:endnote>
  <w:endnote w:type="continuationSeparator" w:id="0">
    <w:p w14:paraId="39842AA0" w14:textId="77777777" w:rsidR="00805C7B" w:rsidRDefault="00805C7B" w:rsidP="005B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EDF33" w14:textId="77777777" w:rsidR="00805C7B" w:rsidRDefault="00805C7B" w:rsidP="005B78F8">
      <w:r>
        <w:separator/>
      </w:r>
    </w:p>
  </w:footnote>
  <w:footnote w:type="continuationSeparator" w:id="0">
    <w:p w14:paraId="22C83BEA" w14:textId="77777777" w:rsidR="00805C7B" w:rsidRDefault="00805C7B" w:rsidP="005B78F8">
      <w:r>
        <w:continuationSeparator/>
      </w:r>
    </w:p>
  </w:footnote>
  <w:footnote w:id="1">
    <w:p w14:paraId="0A11A3C4" w14:textId="77777777" w:rsidR="00850254" w:rsidRPr="00850254" w:rsidRDefault="00850254">
      <w:pPr>
        <w:pStyle w:val="Textonotapie"/>
        <w:rPr>
          <w:lang w:val="es-ES"/>
        </w:rPr>
      </w:pPr>
      <w:r>
        <w:rPr>
          <w:rStyle w:val="Refdenotaalpie"/>
        </w:rPr>
        <w:footnoteRef/>
      </w:r>
      <w:r>
        <w:t xml:space="preserve"> Radicación número: 27001-23-31-000-2011-00159-01(56569)</w:t>
      </w:r>
    </w:p>
  </w:footnote>
  <w:footnote w:id="2">
    <w:p w14:paraId="3FC216B8" w14:textId="77777777" w:rsidR="000C5323" w:rsidRPr="00544312" w:rsidRDefault="000C5323" w:rsidP="00544312">
      <w:pPr>
        <w:pStyle w:val="Textonotapie"/>
        <w:jc w:val="both"/>
      </w:pPr>
      <w:r w:rsidRPr="00544312">
        <w:rPr>
          <w:rStyle w:val="Refdenotaalpie"/>
        </w:rPr>
        <w:footnoteRef/>
      </w:r>
      <w:r w:rsidRPr="00544312">
        <w:t xml:space="preserve"> Escrito del </w:t>
      </w:r>
      <w:r w:rsidR="00A76A0B">
        <w:t>15 de julio de 2021 (registro samai</w:t>
      </w:r>
      <w:r w:rsidRPr="00544312">
        <w:t xml:space="preserve"> </w:t>
      </w:r>
      <w:r w:rsidR="00A76A0B">
        <w:t>índice 29)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457E1F" w:rsidRDefault="00457E1F" w:rsidP="00457E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4A5D23" w14:textId="77777777" w:rsidR="00457E1F" w:rsidRDefault="00457E1F" w:rsidP="00457E1F">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0BCC4" w14:textId="77777777" w:rsidR="00457E1F" w:rsidRDefault="00457E1F" w:rsidP="00457E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04FE">
      <w:rPr>
        <w:rStyle w:val="Nmerodepgina"/>
        <w:noProof/>
      </w:rPr>
      <w:t>7</w:t>
    </w:r>
    <w:r>
      <w:rPr>
        <w:rStyle w:val="Nmerodepgina"/>
      </w:rPr>
      <w:fldChar w:fldCharType="end"/>
    </w:r>
  </w:p>
  <w:tbl>
    <w:tblPr>
      <w:tblW w:w="0" w:type="auto"/>
      <w:jc w:val="center"/>
      <w:tblLook w:val="01E0" w:firstRow="1" w:lastRow="1" w:firstColumn="1" w:lastColumn="1" w:noHBand="0" w:noVBand="0"/>
    </w:tblPr>
    <w:tblGrid>
      <w:gridCol w:w="1668"/>
      <w:gridCol w:w="283"/>
      <w:gridCol w:w="3827"/>
    </w:tblGrid>
    <w:tr w:rsidR="00A13418" w:rsidRPr="00A13418" w14:paraId="1E186377" w14:textId="77777777" w:rsidTr="00A13418">
      <w:trPr>
        <w:jc w:val="center"/>
      </w:trPr>
      <w:tc>
        <w:tcPr>
          <w:tcW w:w="1668" w:type="dxa"/>
        </w:tcPr>
        <w:p w14:paraId="696F0BDD"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Medio de Control</w:t>
          </w:r>
        </w:p>
      </w:tc>
      <w:tc>
        <w:tcPr>
          <w:tcW w:w="283" w:type="dxa"/>
        </w:tcPr>
        <w:p w14:paraId="370CD116"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w:t>
          </w:r>
        </w:p>
      </w:tc>
      <w:tc>
        <w:tcPr>
          <w:tcW w:w="3827" w:type="dxa"/>
        </w:tcPr>
        <w:p w14:paraId="45D89B4A"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 xml:space="preserve">Reparación directa </w:t>
          </w:r>
        </w:p>
      </w:tc>
    </w:tr>
    <w:tr w:rsidR="00A13418" w:rsidRPr="00A13418" w14:paraId="5F20BDD9" w14:textId="77777777" w:rsidTr="00A13418">
      <w:trPr>
        <w:jc w:val="center"/>
      </w:trPr>
      <w:tc>
        <w:tcPr>
          <w:tcW w:w="1668" w:type="dxa"/>
        </w:tcPr>
        <w:p w14:paraId="4FE9BB72"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 xml:space="preserve">Demandante   </w:t>
          </w:r>
        </w:p>
      </w:tc>
      <w:tc>
        <w:tcPr>
          <w:tcW w:w="283" w:type="dxa"/>
        </w:tcPr>
        <w:p w14:paraId="69B263F4"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w:t>
          </w:r>
        </w:p>
      </w:tc>
      <w:tc>
        <w:tcPr>
          <w:tcW w:w="3827" w:type="dxa"/>
        </w:tcPr>
        <w:p w14:paraId="570B1672"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 xml:space="preserve">Carmenza Suárez López      </w:t>
          </w:r>
        </w:p>
      </w:tc>
    </w:tr>
    <w:tr w:rsidR="00A13418" w:rsidRPr="00A13418" w14:paraId="6D4056F5" w14:textId="77777777" w:rsidTr="00A13418">
      <w:trPr>
        <w:jc w:val="center"/>
      </w:trPr>
      <w:tc>
        <w:tcPr>
          <w:tcW w:w="1668" w:type="dxa"/>
        </w:tcPr>
        <w:p w14:paraId="7AEA35F5"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 xml:space="preserve">Demandado                       </w:t>
          </w:r>
        </w:p>
      </w:tc>
      <w:tc>
        <w:tcPr>
          <w:tcW w:w="283" w:type="dxa"/>
        </w:tcPr>
        <w:p w14:paraId="07ED1FDC"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w:t>
          </w:r>
        </w:p>
      </w:tc>
      <w:tc>
        <w:tcPr>
          <w:tcW w:w="3827" w:type="dxa"/>
        </w:tcPr>
        <w:p w14:paraId="186BB928"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 xml:space="preserve">Nación – Dirección Ejecutiva de Administración Judicial – Rama Judicial     </w:t>
          </w:r>
        </w:p>
      </w:tc>
    </w:tr>
    <w:tr w:rsidR="00A13418" w:rsidRPr="00A13418" w14:paraId="2D2654E0" w14:textId="77777777" w:rsidTr="00A13418">
      <w:trPr>
        <w:jc w:val="center"/>
      </w:trPr>
      <w:tc>
        <w:tcPr>
          <w:tcW w:w="1668" w:type="dxa"/>
        </w:tcPr>
        <w:p w14:paraId="4A76E7A6"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 xml:space="preserve">Expediente </w:t>
          </w:r>
        </w:p>
      </w:tc>
      <w:tc>
        <w:tcPr>
          <w:tcW w:w="283" w:type="dxa"/>
        </w:tcPr>
        <w:p w14:paraId="00A98A65"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w:t>
          </w:r>
        </w:p>
      </w:tc>
      <w:tc>
        <w:tcPr>
          <w:tcW w:w="3827" w:type="dxa"/>
        </w:tcPr>
        <w:p w14:paraId="76D4879E" w14:textId="77777777" w:rsidR="00A13418" w:rsidRPr="00A13418" w:rsidRDefault="00A13418" w:rsidP="00A13418">
          <w:pPr>
            <w:pStyle w:val="Sinespaciado"/>
            <w:rPr>
              <w:rFonts w:ascii="Times New Roman" w:hAnsi="Times New Roman"/>
              <w:sz w:val="20"/>
              <w:szCs w:val="20"/>
            </w:rPr>
          </w:pPr>
          <w:r w:rsidRPr="00A13418">
            <w:rPr>
              <w:rFonts w:ascii="Times New Roman" w:hAnsi="Times New Roman"/>
              <w:sz w:val="20"/>
              <w:szCs w:val="20"/>
            </w:rPr>
            <w:t>15001-33-33-014-2014-00023-01</w:t>
          </w:r>
        </w:p>
      </w:tc>
    </w:tr>
  </w:tbl>
  <w:p w14:paraId="44E871BC" w14:textId="77777777" w:rsidR="00457E1F" w:rsidRPr="00A92F1D" w:rsidRDefault="00457E1F" w:rsidP="00C86E7F">
    <w:pPr>
      <w:pStyle w:val="Encabezad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62126"/>
    <w:multiLevelType w:val="hybridMultilevel"/>
    <w:tmpl w:val="6E2619E6"/>
    <w:lvl w:ilvl="0" w:tplc="E954EA6C">
      <w:start w:val="1"/>
      <w:numFmt w:val="decimal"/>
      <w:lvlText w:val="%1."/>
      <w:lvlJc w:val="left"/>
      <w:pPr>
        <w:ind w:left="786"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FA83717"/>
    <w:multiLevelType w:val="hybridMultilevel"/>
    <w:tmpl w:val="4C7204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F8"/>
    <w:rsid w:val="00001814"/>
    <w:rsid w:val="00004A3B"/>
    <w:rsid w:val="00010D30"/>
    <w:rsid w:val="000130BD"/>
    <w:rsid w:val="00014BF4"/>
    <w:rsid w:val="00014CCB"/>
    <w:rsid w:val="00016FDE"/>
    <w:rsid w:val="000243F5"/>
    <w:rsid w:val="00037CBE"/>
    <w:rsid w:val="00061A64"/>
    <w:rsid w:val="00070B53"/>
    <w:rsid w:val="0007742F"/>
    <w:rsid w:val="000836F7"/>
    <w:rsid w:val="00093680"/>
    <w:rsid w:val="00097B0B"/>
    <w:rsid w:val="000A505D"/>
    <w:rsid w:val="000C27A1"/>
    <w:rsid w:val="000C5323"/>
    <w:rsid w:val="000D0097"/>
    <w:rsid w:val="000E6ECE"/>
    <w:rsid w:val="000F1212"/>
    <w:rsid w:val="00136350"/>
    <w:rsid w:val="00150D59"/>
    <w:rsid w:val="0015764C"/>
    <w:rsid w:val="00160A42"/>
    <w:rsid w:val="001704FE"/>
    <w:rsid w:val="0017333A"/>
    <w:rsid w:val="0019647D"/>
    <w:rsid w:val="001A51F9"/>
    <w:rsid w:val="001B07F9"/>
    <w:rsid w:val="001D08F4"/>
    <w:rsid w:val="001D4C35"/>
    <w:rsid w:val="001E1E0E"/>
    <w:rsid w:val="001E6E16"/>
    <w:rsid w:val="001F103A"/>
    <w:rsid w:val="00205093"/>
    <w:rsid w:val="00207DFA"/>
    <w:rsid w:val="002160CF"/>
    <w:rsid w:val="00232E0A"/>
    <w:rsid w:val="00233967"/>
    <w:rsid w:val="00244CDC"/>
    <w:rsid w:val="00260CF0"/>
    <w:rsid w:val="00291794"/>
    <w:rsid w:val="002949BD"/>
    <w:rsid w:val="00296E11"/>
    <w:rsid w:val="002A70DB"/>
    <w:rsid w:val="002C1E23"/>
    <w:rsid w:val="002D4C7C"/>
    <w:rsid w:val="002D7F78"/>
    <w:rsid w:val="002E4B8A"/>
    <w:rsid w:val="002E7481"/>
    <w:rsid w:val="002F3F2D"/>
    <w:rsid w:val="002F7BA7"/>
    <w:rsid w:val="00303B4B"/>
    <w:rsid w:val="00307F08"/>
    <w:rsid w:val="00320CC1"/>
    <w:rsid w:val="003355F9"/>
    <w:rsid w:val="00346DBA"/>
    <w:rsid w:val="003577C5"/>
    <w:rsid w:val="00357BD1"/>
    <w:rsid w:val="00360B88"/>
    <w:rsid w:val="00385046"/>
    <w:rsid w:val="00385BBE"/>
    <w:rsid w:val="0039025C"/>
    <w:rsid w:val="003A39BB"/>
    <w:rsid w:val="003B4A7E"/>
    <w:rsid w:val="003B5343"/>
    <w:rsid w:val="0041293B"/>
    <w:rsid w:val="004174F0"/>
    <w:rsid w:val="004217E0"/>
    <w:rsid w:val="00446EC0"/>
    <w:rsid w:val="00457E1F"/>
    <w:rsid w:val="004621DE"/>
    <w:rsid w:val="00490BD1"/>
    <w:rsid w:val="004B08EE"/>
    <w:rsid w:val="004C0D1D"/>
    <w:rsid w:val="004D5349"/>
    <w:rsid w:val="004E2E5F"/>
    <w:rsid w:val="004E6737"/>
    <w:rsid w:val="004F1F19"/>
    <w:rsid w:val="004F3E90"/>
    <w:rsid w:val="00533032"/>
    <w:rsid w:val="00535FE8"/>
    <w:rsid w:val="0054401F"/>
    <w:rsid w:val="00544312"/>
    <w:rsid w:val="00546AE1"/>
    <w:rsid w:val="00553325"/>
    <w:rsid w:val="00565B74"/>
    <w:rsid w:val="00566DDC"/>
    <w:rsid w:val="00572500"/>
    <w:rsid w:val="00575F55"/>
    <w:rsid w:val="0057626D"/>
    <w:rsid w:val="005B48B7"/>
    <w:rsid w:val="005B78F8"/>
    <w:rsid w:val="005C4E82"/>
    <w:rsid w:val="005C513A"/>
    <w:rsid w:val="005F35A7"/>
    <w:rsid w:val="00602CCE"/>
    <w:rsid w:val="006039A5"/>
    <w:rsid w:val="00605951"/>
    <w:rsid w:val="006144F3"/>
    <w:rsid w:val="0061769D"/>
    <w:rsid w:val="0062041B"/>
    <w:rsid w:val="00620B2E"/>
    <w:rsid w:val="00621BBC"/>
    <w:rsid w:val="00635E26"/>
    <w:rsid w:val="00690AD4"/>
    <w:rsid w:val="00694568"/>
    <w:rsid w:val="006971FC"/>
    <w:rsid w:val="006A025A"/>
    <w:rsid w:val="006A11CF"/>
    <w:rsid w:val="006C21BA"/>
    <w:rsid w:val="006E2184"/>
    <w:rsid w:val="006E52EC"/>
    <w:rsid w:val="006F666E"/>
    <w:rsid w:val="007032AE"/>
    <w:rsid w:val="00705B27"/>
    <w:rsid w:val="0072283D"/>
    <w:rsid w:val="00730D7E"/>
    <w:rsid w:val="007334A0"/>
    <w:rsid w:val="00763E93"/>
    <w:rsid w:val="00764BDF"/>
    <w:rsid w:val="0076674F"/>
    <w:rsid w:val="00774862"/>
    <w:rsid w:val="00780ABF"/>
    <w:rsid w:val="00784723"/>
    <w:rsid w:val="00787034"/>
    <w:rsid w:val="007907F2"/>
    <w:rsid w:val="00792196"/>
    <w:rsid w:val="00793019"/>
    <w:rsid w:val="0079324C"/>
    <w:rsid w:val="007962DA"/>
    <w:rsid w:val="007C0741"/>
    <w:rsid w:val="007D56A1"/>
    <w:rsid w:val="007E0EC1"/>
    <w:rsid w:val="007E6F67"/>
    <w:rsid w:val="007F09ED"/>
    <w:rsid w:val="007F0EAF"/>
    <w:rsid w:val="00805C7B"/>
    <w:rsid w:val="00811BF8"/>
    <w:rsid w:val="00813437"/>
    <w:rsid w:val="00814C0A"/>
    <w:rsid w:val="00815CE3"/>
    <w:rsid w:val="00827786"/>
    <w:rsid w:val="00835BC4"/>
    <w:rsid w:val="00843790"/>
    <w:rsid w:val="00850254"/>
    <w:rsid w:val="008541E9"/>
    <w:rsid w:val="00886098"/>
    <w:rsid w:val="00887A71"/>
    <w:rsid w:val="008A5797"/>
    <w:rsid w:val="008B3B2C"/>
    <w:rsid w:val="008D5A9B"/>
    <w:rsid w:val="008F7184"/>
    <w:rsid w:val="00903A09"/>
    <w:rsid w:val="00905A22"/>
    <w:rsid w:val="009077EF"/>
    <w:rsid w:val="00931DC5"/>
    <w:rsid w:val="00962B73"/>
    <w:rsid w:val="009767EF"/>
    <w:rsid w:val="009A1397"/>
    <w:rsid w:val="009A34DF"/>
    <w:rsid w:val="009A39E8"/>
    <w:rsid w:val="009A4DCE"/>
    <w:rsid w:val="009E28F6"/>
    <w:rsid w:val="009E7EBD"/>
    <w:rsid w:val="009F43AE"/>
    <w:rsid w:val="009F43DD"/>
    <w:rsid w:val="009F6D25"/>
    <w:rsid w:val="00A0732C"/>
    <w:rsid w:val="00A13418"/>
    <w:rsid w:val="00A137C0"/>
    <w:rsid w:val="00A25305"/>
    <w:rsid w:val="00A56580"/>
    <w:rsid w:val="00A60116"/>
    <w:rsid w:val="00A60CDF"/>
    <w:rsid w:val="00A76A0B"/>
    <w:rsid w:val="00A8420A"/>
    <w:rsid w:val="00AA0FF0"/>
    <w:rsid w:val="00AB29E2"/>
    <w:rsid w:val="00AC7A7F"/>
    <w:rsid w:val="00AE46BB"/>
    <w:rsid w:val="00AF03AE"/>
    <w:rsid w:val="00B06070"/>
    <w:rsid w:val="00B07751"/>
    <w:rsid w:val="00B13A7C"/>
    <w:rsid w:val="00B1519A"/>
    <w:rsid w:val="00B2304A"/>
    <w:rsid w:val="00B37739"/>
    <w:rsid w:val="00B37B33"/>
    <w:rsid w:val="00B40F65"/>
    <w:rsid w:val="00B47C23"/>
    <w:rsid w:val="00B55838"/>
    <w:rsid w:val="00B72CAE"/>
    <w:rsid w:val="00B75937"/>
    <w:rsid w:val="00BE2D49"/>
    <w:rsid w:val="00BE64EC"/>
    <w:rsid w:val="00BF3093"/>
    <w:rsid w:val="00C149C8"/>
    <w:rsid w:val="00C45758"/>
    <w:rsid w:val="00C5761E"/>
    <w:rsid w:val="00C602DA"/>
    <w:rsid w:val="00C64A5D"/>
    <w:rsid w:val="00C6637A"/>
    <w:rsid w:val="00C72C06"/>
    <w:rsid w:val="00C74159"/>
    <w:rsid w:val="00C82FDD"/>
    <w:rsid w:val="00C86E7F"/>
    <w:rsid w:val="00C87D62"/>
    <w:rsid w:val="00C94FDD"/>
    <w:rsid w:val="00CA56F2"/>
    <w:rsid w:val="00CB5066"/>
    <w:rsid w:val="00CD4758"/>
    <w:rsid w:val="00CD5EE3"/>
    <w:rsid w:val="00CE4599"/>
    <w:rsid w:val="00CF1230"/>
    <w:rsid w:val="00D04753"/>
    <w:rsid w:val="00D10E3B"/>
    <w:rsid w:val="00D22C8C"/>
    <w:rsid w:val="00D2350E"/>
    <w:rsid w:val="00D2698C"/>
    <w:rsid w:val="00D340E2"/>
    <w:rsid w:val="00D41BF6"/>
    <w:rsid w:val="00D50C67"/>
    <w:rsid w:val="00D5220F"/>
    <w:rsid w:val="00D5316B"/>
    <w:rsid w:val="00D625EF"/>
    <w:rsid w:val="00D87BC5"/>
    <w:rsid w:val="00DB227D"/>
    <w:rsid w:val="00DB5E75"/>
    <w:rsid w:val="00DC5E4E"/>
    <w:rsid w:val="00DC6DF1"/>
    <w:rsid w:val="00DC767E"/>
    <w:rsid w:val="00DD2F22"/>
    <w:rsid w:val="00DD584C"/>
    <w:rsid w:val="00DE6226"/>
    <w:rsid w:val="00E2027A"/>
    <w:rsid w:val="00E85E2E"/>
    <w:rsid w:val="00E8609C"/>
    <w:rsid w:val="00E92BB0"/>
    <w:rsid w:val="00EA3465"/>
    <w:rsid w:val="00EF2D7A"/>
    <w:rsid w:val="00F02422"/>
    <w:rsid w:val="00F16F6D"/>
    <w:rsid w:val="00F4027D"/>
    <w:rsid w:val="00F613A7"/>
    <w:rsid w:val="00F63997"/>
    <w:rsid w:val="00F67BFE"/>
    <w:rsid w:val="00FB1AAD"/>
    <w:rsid w:val="00FB1B5F"/>
    <w:rsid w:val="00FF4B85"/>
    <w:rsid w:val="010B6D1F"/>
    <w:rsid w:val="02813717"/>
    <w:rsid w:val="03A1E143"/>
    <w:rsid w:val="0403E016"/>
    <w:rsid w:val="041A3DC0"/>
    <w:rsid w:val="056EDD2D"/>
    <w:rsid w:val="05E7CE94"/>
    <w:rsid w:val="08903B4C"/>
    <w:rsid w:val="09927F85"/>
    <w:rsid w:val="0B51416F"/>
    <w:rsid w:val="0B5871CD"/>
    <w:rsid w:val="0BC686B2"/>
    <w:rsid w:val="0CC63B87"/>
    <w:rsid w:val="0EE9A803"/>
    <w:rsid w:val="0FDD6EDB"/>
    <w:rsid w:val="11043054"/>
    <w:rsid w:val="15FC5EC7"/>
    <w:rsid w:val="16AE71A7"/>
    <w:rsid w:val="1AA7CA96"/>
    <w:rsid w:val="1D47CE78"/>
    <w:rsid w:val="1DE77F55"/>
    <w:rsid w:val="20E6BCC5"/>
    <w:rsid w:val="249274DB"/>
    <w:rsid w:val="256F3FE2"/>
    <w:rsid w:val="29CCCB5B"/>
    <w:rsid w:val="2AE88E02"/>
    <w:rsid w:val="2D5C5EAB"/>
    <w:rsid w:val="2F0FE229"/>
    <w:rsid w:val="2F202CF5"/>
    <w:rsid w:val="2FD08126"/>
    <w:rsid w:val="3129F9EE"/>
    <w:rsid w:val="338D032F"/>
    <w:rsid w:val="3B170FE0"/>
    <w:rsid w:val="3D2913AE"/>
    <w:rsid w:val="41CC556B"/>
    <w:rsid w:val="4261AFC8"/>
    <w:rsid w:val="4311B137"/>
    <w:rsid w:val="439C03BC"/>
    <w:rsid w:val="4639D014"/>
    <w:rsid w:val="46A0A38F"/>
    <w:rsid w:val="4832A190"/>
    <w:rsid w:val="4864BE57"/>
    <w:rsid w:val="48B33CDE"/>
    <w:rsid w:val="49F626A0"/>
    <w:rsid w:val="4AD76396"/>
    <w:rsid w:val="4C5D4710"/>
    <w:rsid w:val="4CA94A69"/>
    <w:rsid w:val="4CB38C9B"/>
    <w:rsid w:val="4DDD44D2"/>
    <w:rsid w:val="516CA6E5"/>
    <w:rsid w:val="52138E23"/>
    <w:rsid w:val="550EBC85"/>
    <w:rsid w:val="554B2EE5"/>
    <w:rsid w:val="56FE67B6"/>
    <w:rsid w:val="58E48D0E"/>
    <w:rsid w:val="59618E28"/>
    <w:rsid w:val="5ADC1E55"/>
    <w:rsid w:val="63A43A95"/>
    <w:rsid w:val="64D76B4C"/>
    <w:rsid w:val="65482A52"/>
    <w:rsid w:val="67689237"/>
    <w:rsid w:val="6ACB9669"/>
    <w:rsid w:val="6B1D15A3"/>
    <w:rsid w:val="6C7444ED"/>
    <w:rsid w:val="6E03372B"/>
    <w:rsid w:val="6FDB80F3"/>
    <w:rsid w:val="70C05A12"/>
    <w:rsid w:val="71B700DE"/>
    <w:rsid w:val="73972B9C"/>
    <w:rsid w:val="758461AD"/>
    <w:rsid w:val="76E1DE27"/>
    <w:rsid w:val="781D9742"/>
    <w:rsid w:val="78CD1524"/>
    <w:rsid w:val="79693ADC"/>
    <w:rsid w:val="79E237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2D0EFA"/>
  <w15:chartTrackingRefBased/>
  <w15:docId w15:val="{CA979E46-96C8-4CDB-A2F4-9BE90E89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78F8"/>
    <w:pPr>
      <w:overflowPunct w:val="0"/>
      <w:autoSpaceDE w:val="0"/>
      <w:autoSpaceDN w:val="0"/>
      <w:adjustRightInd w:val="0"/>
    </w:pPr>
    <w:rPr>
      <w:rFonts w:ascii="Times New Roman" w:eastAsia="Times New Roman" w:hAnsi="Times New Roman"/>
      <w:lang w:val="es-ES_tradnl" w:eastAsia="es-ES"/>
    </w:rPr>
  </w:style>
  <w:style w:type="paragraph" w:styleId="Ttulo8">
    <w:name w:val="heading 8"/>
    <w:basedOn w:val="Normal"/>
    <w:next w:val="Normal"/>
    <w:link w:val="Ttulo8Car"/>
    <w:qFormat/>
    <w:rsid w:val="005B78F8"/>
    <w:pPr>
      <w:keepNext/>
      <w:overflowPunct/>
      <w:autoSpaceDE/>
      <w:autoSpaceDN/>
      <w:adjustRightInd/>
      <w:jc w:val="center"/>
      <w:outlineLvl w:val="7"/>
    </w:pPr>
    <w:rPr>
      <w:rFonts w:ascii="Arial" w:hAnsi="Arial"/>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rsid w:val="005B78F8"/>
    <w:rPr>
      <w:rFonts w:ascii="Arial" w:eastAsia="Times New Roman" w:hAnsi="Arial" w:cs="Times New Roman"/>
      <w:b/>
      <w:sz w:val="24"/>
      <w:szCs w:val="20"/>
      <w:lang w:eastAsia="es-ES"/>
    </w:rPr>
  </w:style>
  <w:style w:type="paragraph" w:styleId="Encabezado">
    <w:name w:val="header"/>
    <w:basedOn w:val="Normal"/>
    <w:link w:val="EncabezadoCar"/>
    <w:rsid w:val="005B78F8"/>
    <w:pPr>
      <w:tabs>
        <w:tab w:val="center" w:pos="4252"/>
        <w:tab w:val="right" w:pos="8504"/>
      </w:tabs>
      <w:overflowPunct/>
      <w:autoSpaceDE/>
      <w:autoSpaceDN/>
      <w:adjustRightInd/>
    </w:pPr>
    <w:rPr>
      <w:sz w:val="28"/>
      <w:lang w:val="es-ES"/>
    </w:rPr>
  </w:style>
  <w:style w:type="character" w:customStyle="1" w:styleId="EncabezadoCar">
    <w:name w:val="Encabezado Car"/>
    <w:link w:val="Encabezado"/>
    <w:rsid w:val="005B78F8"/>
    <w:rPr>
      <w:rFonts w:ascii="Times New Roman" w:eastAsia="Times New Roman" w:hAnsi="Times New Roman" w:cs="Times New Roman"/>
      <w:sz w:val="28"/>
      <w:szCs w:val="20"/>
      <w:lang w:eastAsia="es-ES"/>
    </w:rPr>
  </w:style>
  <w:style w:type="paragraph" w:styleId="Textoindependiente">
    <w:name w:val="Body Text"/>
    <w:basedOn w:val="Normal"/>
    <w:link w:val="TextoindependienteCar"/>
    <w:rsid w:val="005B78F8"/>
    <w:pPr>
      <w:tabs>
        <w:tab w:val="left" w:pos="-1440"/>
        <w:tab w:val="left" w:pos="-720"/>
        <w:tab w:val="left" w:pos="0"/>
        <w:tab w:val="left" w:pos="3311"/>
      </w:tabs>
      <w:suppressAutoHyphens/>
      <w:overflowPunct/>
      <w:autoSpaceDE/>
      <w:autoSpaceDN/>
      <w:adjustRightInd/>
      <w:spacing w:line="360" w:lineRule="auto"/>
      <w:jc w:val="both"/>
    </w:pPr>
    <w:rPr>
      <w:i/>
      <w:spacing w:val="20"/>
      <w:sz w:val="24"/>
      <w:lang w:val="es-ES"/>
    </w:rPr>
  </w:style>
  <w:style w:type="character" w:customStyle="1" w:styleId="TextoindependienteCar">
    <w:name w:val="Texto independiente Car"/>
    <w:link w:val="Textoindependiente"/>
    <w:rsid w:val="005B78F8"/>
    <w:rPr>
      <w:rFonts w:ascii="Times New Roman" w:eastAsia="Times New Roman" w:hAnsi="Times New Roman" w:cs="Times New Roman"/>
      <w:i/>
      <w:spacing w:val="20"/>
      <w:sz w:val="24"/>
      <w:szCs w:val="20"/>
      <w:lang w:eastAsia="es-ES"/>
    </w:rPr>
  </w:style>
  <w:style w:type="paragraph" w:customStyle="1" w:styleId="Puesto1">
    <w:name w:val="Puesto1"/>
    <w:basedOn w:val="Normal"/>
    <w:link w:val="PuestoCar"/>
    <w:qFormat/>
    <w:rsid w:val="005B78F8"/>
    <w:pPr>
      <w:overflowPunct/>
      <w:autoSpaceDE/>
      <w:autoSpaceDN/>
      <w:adjustRightInd/>
      <w:spacing w:line="240" w:lineRule="atLeast"/>
      <w:jc w:val="center"/>
    </w:pPr>
    <w:rPr>
      <w:b/>
      <w:sz w:val="28"/>
      <w:lang w:val="es-ES"/>
    </w:rPr>
  </w:style>
  <w:style w:type="character" w:customStyle="1" w:styleId="PuestoCar">
    <w:name w:val="Puesto Car"/>
    <w:link w:val="Puesto1"/>
    <w:rsid w:val="005B78F8"/>
    <w:rPr>
      <w:rFonts w:ascii="Times New Roman" w:eastAsia="Times New Roman" w:hAnsi="Times New Roman" w:cs="Times New Roman"/>
      <w:b/>
      <w:sz w:val="28"/>
      <w:szCs w:val="20"/>
      <w:lang w:eastAsia="es-ES"/>
    </w:rPr>
  </w:style>
  <w:style w:type="character" w:styleId="Nmerodepgina">
    <w:name w:val="page number"/>
    <w:basedOn w:val="Fuentedeprrafopredeter"/>
    <w:rsid w:val="005B78F8"/>
  </w:style>
  <w:style w:type="paragraph" w:styleId="Textoindependiente2">
    <w:name w:val="Body Text 2"/>
    <w:basedOn w:val="Normal"/>
    <w:link w:val="Textoindependiente2Car"/>
    <w:rsid w:val="005B78F8"/>
    <w:pPr>
      <w:spacing w:after="120" w:line="480" w:lineRule="auto"/>
    </w:pPr>
  </w:style>
  <w:style w:type="character" w:customStyle="1" w:styleId="Textoindependiente2Car">
    <w:name w:val="Texto independiente 2 Car"/>
    <w:link w:val="Textoindependiente2"/>
    <w:rsid w:val="005B78F8"/>
    <w:rPr>
      <w:rFonts w:ascii="Times New Roman" w:eastAsia="Times New Roman" w:hAnsi="Times New Roman" w:cs="Times New Roman"/>
      <w:sz w:val="20"/>
      <w:szCs w:val="20"/>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qFormat/>
    <w:rsid w:val="005B78F8"/>
    <w:pPr>
      <w:overflowPunct/>
      <w:adjustRightInd/>
    </w:p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5B78F8"/>
    <w:rPr>
      <w:rFonts w:ascii="Times New Roman" w:eastAsia="Times New Roman" w:hAnsi="Times New Roman" w:cs="Times New Roman"/>
      <w:sz w:val="20"/>
      <w:szCs w:val="20"/>
      <w:lang w:val="es-ES_tradnl" w:eastAsia="es-ES"/>
    </w:rPr>
  </w:style>
  <w:style w:type="character" w:styleId="Refdenotaalpie">
    <w:name w:val="footnote reference"/>
    <w:aliases w:val="Ref. de nota al pie 2,Texto de nota al p,Texto de nota al pie,Pie de Pàgina,F,Pie de P_gin,Pie de P,Pie de Página,FC,Pie de P_,Texto de nota al pi,Pie de P_g,Appel note de bas de page,Footnotes refss,Footnote number,f,4_G,BVI fnr,Ref"/>
    <w:qFormat/>
    <w:rsid w:val="005B78F8"/>
    <w:rPr>
      <w:vertAlign w:val="superscript"/>
    </w:rPr>
  </w:style>
  <w:style w:type="paragraph" w:styleId="Piedepgina">
    <w:name w:val="footer"/>
    <w:basedOn w:val="Normal"/>
    <w:link w:val="PiedepginaCar"/>
    <w:uiPriority w:val="99"/>
    <w:unhideWhenUsed/>
    <w:rsid w:val="00DD2F22"/>
    <w:pPr>
      <w:tabs>
        <w:tab w:val="center" w:pos="4252"/>
        <w:tab w:val="right" w:pos="8504"/>
      </w:tabs>
    </w:pPr>
  </w:style>
  <w:style w:type="character" w:customStyle="1" w:styleId="PiedepginaCar">
    <w:name w:val="Pie de página Car"/>
    <w:link w:val="Piedepgina"/>
    <w:uiPriority w:val="99"/>
    <w:rsid w:val="00DD2F22"/>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7334A0"/>
    <w:pPr>
      <w:ind w:left="720"/>
      <w:contextualSpacing/>
    </w:pPr>
  </w:style>
  <w:style w:type="paragraph" w:styleId="Textodeglobo">
    <w:name w:val="Balloon Text"/>
    <w:basedOn w:val="Normal"/>
    <w:link w:val="TextodegloboCar"/>
    <w:uiPriority w:val="99"/>
    <w:semiHidden/>
    <w:unhideWhenUsed/>
    <w:rsid w:val="00233967"/>
    <w:rPr>
      <w:rFonts w:ascii="Segoe UI" w:hAnsi="Segoe UI" w:cs="Segoe UI"/>
      <w:sz w:val="18"/>
      <w:szCs w:val="18"/>
    </w:rPr>
  </w:style>
  <w:style w:type="character" w:customStyle="1" w:styleId="TextodegloboCar">
    <w:name w:val="Texto de globo Car"/>
    <w:link w:val="Textodeglobo"/>
    <w:uiPriority w:val="99"/>
    <w:semiHidden/>
    <w:rsid w:val="00233967"/>
    <w:rPr>
      <w:rFonts w:ascii="Segoe UI" w:eastAsia="Times New Roman" w:hAnsi="Segoe UI" w:cs="Segoe UI"/>
      <w:sz w:val="18"/>
      <w:szCs w:val="18"/>
      <w:lang w:val="es-ES_tradnl" w:eastAsia="es-ES"/>
    </w:rPr>
  </w:style>
  <w:style w:type="paragraph" w:styleId="Sinespaciado">
    <w:name w:val="No Spacing"/>
    <w:uiPriority w:val="1"/>
    <w:qFormat/>
    <w:rsid w:val="00A8420A"/>
    <w:rPr>
      <w:sz w:val="22"/>
      <w:szCs w:val="22"/>
      <w:lang w:val="es-MX" w:eastAsia="en-US"/>
    </w:rPr>
  </w:style>
  <w:style w:type="paragraph" w:styleId="NormalWeb">
    <w:name w:val="Normal (Web)"/>
    <w:basedOn w:val="Normal"/>
    <w:uiPriority w:val="99"/>
    <w:unhideWhenUsed/>
    <w:rsid w:val="00A8420A"/>
    <w:pPr>
      <w:overflowPunct/>
      <w:autoSpaceDE/>
      <w:autoSpaceDN/>
      <w:adjustRightInd/>
      <w:spacing w:before="100" w:beforeAutospacing="1" w:after="100" w:afterAutospacing="1"/>
    </w:pPr>
    <w:rPr>
      <w:sz w:val="24"/>
      <w:szCs w:val="24"/>
      <w:lang w:val="es-ES"/>
    </w:rPr>
  </w:style>
  <w:style w:type="character" w:customStyle="1" w:styleId="apple-converted-space">
    <w:name w:val="apple-converted-space"/>
    <w:basedOn w:val="Fuentedeprrafopredeter"/>
    <w:rsid w:val="00A8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9" ma:contentTypeDescription="Crear nuevo documento." ma:contentTypeScope="" ma:versionID="29b0e146ee680257ff40985d12151b8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3732803c5cd3671abffac900b84af8a"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wjf xmlns="f4e7b1d2-d9d8-4be6-a468-264bc75ebb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3D79-C793-408C-8D0D-1B1E9FA8AF7B}">
  <ds:schemaRefs>
    <ds:schemaRef ds:uri="http://schemas.microsoft.com/sharepoint/v3/contenttype/forms"/>
  </ds:schemaRefs>
</ds:datastoreItem>
</file>

<file path=customXml/itemProps2.xml><?xml version="1.0" encoding="utf-8"?>
<ds:datastoreItem xmlns:ds="http://schemas.openxmlformats.org/officeDocument/2006/customXml" ds:itemID="{951D7556-6F8F-4EC3-8C5C-60419C80F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8A8B2-D59E-4D06-A497-81BED7C5C934}">
  <ds:schemaRefs>
    <ds:schemaRef ds:uri="http://schemas.microsoft.com/office/2006/metadata/properties"/>
    <ds:schemaRef ds:uri="http://schemas.microsoft.com/office/infopath/2007/PartnerControls"/>
    <ds:schemaRef ds:uri="f4e7b1d2-d9d8-4be6-a468-264bc75ebb9f"/>
  </ds:schemaRefs>
</ds:datastoreItem>
</file>

<file path=customXml/itemProps4.xml><?xml version="1.0" encoding="utf-8"?>
<ds:datastoreItem xmlns:ds="http://schemas.openxmlformats.org/officeDocument/2006/customXml" ds:itemID="{967D082A-8E22-FF45-941F-7F9F41BF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1830</Words>
  <Characters>10071</Characters>
  <Application>Microsoft Macintosh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dc:creator>
  <cp:keywords/>
  <dc:description/>
  <cp:lastModifiedBy>Usuario de Microsoft Office</cp:lastModifiedBy>
  <cp:revision>7</cp:revision>
  <cp:lastPrinted>2019-08-27T14:06:00Z</cp:lastPrinted>
  <dcterms:created xsi:type="dcterms:W3CDTF">2021-09-13T20:15:00Z</dcterms:created>
  <dcterms:modified xsi:type="dcterms:W3CDTF">2021-09-17T21:11:00Z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ies>
</file>