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E30FF" w14:textId="65709AF1" w:rsidR="003D2B19" w:rsidRDefault="003D2B19" w:rsidP="003D2B19">
      <w:pPr>
        <w:spacing w:line="240" w:lineRule="auto"/>
        <w:jc w:val="both"/>
        <w:rPr>
          <w:rFonts w:ascii="Arial" w:hAnsi="Arial" w:cs="Arial"/>
          <w:b/>
          <w:sz w:val="24"/>
          <w:szCs w:val="24"/>
        </w:rPr>
      </w:pPr>
      <w:r>
        <w:rPr>
          <w:rFonts w:ascii="Arial" w:hAnsi="Arial" w:cs="Arial"/>
          <w:b/>
          <w:sz w:val="24"/>
          <w:szCs w:val="24"/>
        </w:rPr>
        <w:t>ACTOS ADMINISTRATIVOS / Tipos / De trámite e interlocutorios / Los segundos son susceptibles de control jurisdiccional y los primeros solo si la decisión que en ellos se adopta impida continuar con la actuación administrativa.</w:t>
      </w:r>
    </w:p>
    <w:p w14:paraId="6AE7DE47" w14:textId="732759F4" w:rsidR="001A45C1" w:rsidRDefault="003D2B19" w:rsidP="00A92B07">
      <w:pPr>
        <w:spacing w:line="240" w:lineRule="auto"/>
        <w:jc w:val="both"/>
        <w:rPr>
          <w:rFonts w:ascii="Arial" w:hAnsi="Arial" w:cs="Arial"/>
          <w:sz w:val="24"/>
          <w:szCs w:val="24"/>
          <w:lang w:val="es-MX"/>
        </w:rPr>
      </w:pPr>
      <w:r w:rsidRPr="003D2B19">
        <w:rPr>
          <w:rFonts w:ascii="Arial" w:hAnsi="Arial" w:cs="Arial"/>
          <w:sz w:val="24"/>
          <w:szCs w:val="24"/>
          <w:lang w:val="es-MX"/>
        </w:rPr>
        <w:t xml:space="preserve">Los </w:t>
      </w:r>
      <w:r w:rsidRPr="003D2B19">
        <w:rPr>
          <w:rFonts w:ascii="Arial" w:hAnsi="Arial" w:cs="Arial"/>
          <w:sz w:val="24"/>
          <w:szCs w:val="24"/>
          <w:lang w:val="es-MX"/>
        </w:rPr>
        <w:t>[de trámite]</w:t>
      </w:r>
      <w:r w:rsidRPr="003D2B19">
        <w:rPr>
          <w:rFonts w:ascii="Arial" w:hAnsi="Arial" w:cs="Arial"/>
          <w:sz w:val="24"/>
          <w:szCs w:val="24"/>
          <w:lang w:val="es-MX"/>
        </w:rPr>
        <w:t xml:space="preserve"> constituyen actos intermediarios, previos o preparatorios que le dan impulso a la actuación administrativa, que se finiquita con la expedición de los segundos que contienen la voluntad de la administración creadora de derechos o efectos jurídicos. No sucede lo mismo con los actos definitivos que, por el contrario, sí son pasibles de recursos, además, pueden ser acusados ante la Jurisdicción de lo Contencioso Administrativo, por cuanto al plasmarse la voluntad de la administración pueden ser objeto de control a fin de establecer si están incurso en alguna causal de nulidad, contempladas en el artículo 137 del CPACA.</w:t>
      </w:r>
      <w:r>
        <w:rPr>
          <w:rFonts w:ascii="Arial" w:hAnsi="Arial" w:cs="Arial"/>
          <w:sz w:val="24"/>
          <w:szCs w:val="24"/>
          <w:lang w:val="es-MX"/>
        </w:rPr>
        <w:t xml:space="preserve"> </w:t>
      </w:r>
      <w:r w:rsidRPr="003D2B19">
        <w:rPr>
          <w:rFonts w:ascii="Arial" w:hAnsi="Arial" w:cs="Arial"/>
          <w:sz w:val="24"/>
          <w:szCs w:val="24"/>
          <w:lang w:val="es-MX"/>
        </w:rPr>
        <w:t xml:space="preserve">Ahora bien, el artículo 43 </w:t>
      </w:r>
      <w:r w:rsidRPr="003D2B19">
        <w:rPr>
          <w:rFonts w:ascii="Arial" w:hAnsi="Arial" w:cs="Arial"/>
          <w:i/>
          <w:sz w:val="24"/>
          <w:szCs w:val="24"/>
          <w:lang w:val="es-MX"/>
        </w:rPr>
        <w:t xml:space="preserve">ibídem </w:t>
      </w:r>
      <w:r w:rsidRPr="003D2B19">
        <w:rPr>
          <w:rFonts w:ascii="Arial" w:hAnsi="Arial" w:cs="Arial"/>
          <w:sz w:val="24"/>
          <w:szCs w:val="24"/>
          <w:lang w:val="es-MX"/>
        </w:rPr>
        <w:t>señala la posibilidad de que actos de trámite puedan convertirse o terminar siendo actos definitivos en la medida en que la decisión allí asumida impida continuar con la actuación administrativa, lo que habilita el ejercicio del control jurisdiccional. En síntesis, una misma actuación administrativa puede acarrear que el acto final o definitivo se enjuicie, así como también los actos prepara</w:t>
      </w:r>
      <w:r>
        <w:rPr>
          <w:rFonts w:ascii="Arial" w:hAnsi="Arial" w:cs="Arial"/>
          <w:sz w:val="24"/>
          <w:szCs w:val="24"/>
          <w:lang w:val="es-MX"/>
        </w:rPr>
        <w:t xml:space="preserve">torios que muten a definitivos. </w:t>
      </w:r>
      <w:r w:rsidRPr="003D2B19">
        <w:rPr>
          <w:rFonts w:ascii="Arial" w:hAnsi="Arial" w:cs="Arial"/>
          <w:sz w:val="24"/>
          <w:szCs w:val="24"/>
          <w:lang w:val="es-MX"/>
        </w:rPr>
        <w:t>Otra de las características determinantes de que un acto administrativo es definitivo y susceptible de control de legalidad es precisamente que produzcan efectos jurídicos, es decir, que contengan la voluntad de la administración dirigida a crear, modificar o extinguir situaciones jurídicas, independientemente la denominación que se le otorgue (oficio, resolución, decreto, circular, acta, instrucción, etc.).</w:t>
      </w:r>
    </w:p>
    <w:p w14:paraId="335FE96D" w14:textId="5D0730F4" w:rsidR="00A92B07" w:rsidRPr="00A92B07" w:rsidRDefault="00A92B07" w:rsidP="00A92B07">
      <w:pPr>
        <w:spacing w:line="240" w:lineRule="auto"/>
        <w:jc w:val="both"/>
        <w:rPr>
          <w:rFonts w:ascii="Arial" w:hAnsi="Arial" w:cs="Arial"/>
          <w:b/>
          <w:sz w:val="24"/>
          <w:szCs w:val="24"/>
          <w:lang w:val="es-MX"/>
        </w:rPr>
      </w:pPr>
      <w:r>
        <w:rPr>
          <w:rFonts w:ascii="Arial" w:hAnsi="Arial" w:cs="Arial"/>
          <w:b/>
          <w:sz w:val="24"/>
          <w:szCs w:val="24"/>
          <w:lang w:val="es-MX"/>
        </w:rPr>
        <w:t>EXCEPCIÓN PREVIA DE INEPTA DEMANDA / Aplicación en lo contencioso administrativo.</w:t>
      </w:r>
    </w:p>
    <w:p w14:paraId="3279600D" w14:textId="7D031921" w:rsidR="00A92B07" w:rsidRDefault="00A92B07" w:rsidP="00A92B07">
      <w:pPr>
        <w:spacing w:line="240" w:lineRule="auto"/>
        <w:jc w:val="both"/>
        <w:rPr>
          <w:rFonts w:ascii="Arial" w:hAnsi="Arial" w:cs="Arial"/>
          <w:sz w:val="24"/>
          <w:szCs w:val="24"/>
        </w:rPr>
      </w:pPr>
      <w:r>
        <w:rPr>
          <w:rFonts w:ascii="Arial" w:hAnsi="Arial" w:cs="Arial"/>
          <w:sz w:val="24"/>
          <w:szCs w:val="24"/>
        </w:rPr>
        <w:t>E</w:t>
      </w:r>
      <w:r w:rsidRPr="00A92B07">
        <w:rPr>
          <w:rFonts w:ascii="Arial" w:hAnsi="Arial" w:cs="Arial"/>
          <w:sz w:val="24"/>
          <w:szCs w:val="24"/>
        </w:rPr>
        <w:t>n la jurisdicción de lo contencioso administrativo puede configurarse la inepta demanda cuando se incumplen las cargas procesales especiales previstas en el Capítulo III del Título V del CPACA y las generales del CGP. El artículo 162 del CPACA contempla los requisitos formales de la demanda. Allí se enlista las formalidades con que se debe acompañar el escrito introductorio, es decir, la designación de las partes, los hechos y omisiones que fundamenten las pretensiones, lo que se pretenda expresado con claridad, los fundamentos de derecho, la petición de pruebas, la estimación razonada de la cuantía y el lugar de notificación de las partes y sus apoderados.</w:t>
      </w:r>
    </w:p>
    <w:p w14:paraId="091D88B9" w14:textId="7474E37B" w:rsidR="004C25D0" w:rsidRPr="004C25D0" w:rsidRDefault="00FA4C3E" w:rsidP="00A92B07">
      <w:pPr>
        <w:spacing w:line="240" w:lineRule="auto"/>
        <w:jc w:val="both"/>
        <w:rPr>
          <w:rFonts w:ascii="Arial" w:hAnsi="Arial" w:cs="Arial"/>
          <w:b/>
          <w:sz w:val="24"/>
          <w:szCs w:val="24"/>
        </w:rPr>
      </w:pPr>
      <w:r>
        <w:rPr>
          <w:rFonts w:ascii="Arial" w:hAnsi="Arial" w:cs="Arial"/>
          <w:b/>
          <w:sz w:val="24"/>
          <w:szCs w:val="24"/>
        </w:rPr>
        <w:t xml:space="preserve">ACTOS ADMINISTRATIVOS / </w:t>
      </w:r>
      <w:r w:rsidR="004C25D0">
        <w:rPr>
          <w:rFonts w:ascii="Arial" w:hAnsi="Arial" w:cs="Arial"/>
          <w:b/>
          <w:sz w:val="24"/>
          <w:szCs w:val="24"/>
        </w:rPr>
        <w:t>Cuando no definen una situación jurídica particular no son susceptibles de control jurisdiccional</w:t>
      </w:r>
      <w:r w:rsidR="004C25D0">
        <w:rPr>
          <w:rFonts w:ascii="Arial" w:hAnsi="Arial" w:cs="Arial"/>
          <w:b/>
          <w:sz w:val="24"/>
          <w:szCs w:val="24"/>
        </w:rPr>
        <w:t>.</w:t>
      </w:r>
    </w:p>
    <w:p w14:paraId="305ED111" w14:textId="2235CE56" w:rsidR="004C25D0" w:rsidRDefault="004C25D0" w:rsidP="00A92B07">
      <w:pPr>
        <w:spacing w:line="240" w:lineRule="auto"/>
        <w:jc w:val="both"/>
        <w:rPr>
          <w:rFonts w:ascii="Arial" w:hAnsi="Arial" w:cs="Arial"/>
          <w:sz w:val="24"/>
          <w:szCs w:val="24"/>
        </w:rPr>
      </w:pPr>
      <w:r>
        <w:rPr>
          <w:rFonts w:ascii="Arial" w:hAnsi="Arial" w:cs="Arial"/>
          <w:sz w:val="24"/>
          <w:szCs w:val="24"/>
        </w:rPr>
        <w:t>S</w:t>
      </w:r>
      <w:r w:rsidRPr="004C25D0">
        <w:rPr>
          <w:rFonts w:ascii="Arial" w:hAnsi="Arial" w:cs="Arial"/>
          <w:sz w:val="24"/>
          <w:szCs w:val="24"/>
        </w:rPr>
        <w:t>e puede concluir con absoluta claridad que las Resoluciones Nros. 074 de 2017, 07 de 2018 y 025 de 2018, dictadas por la Mesa Directiva del Concejo Municipal de Tunja, solo tuvieron como propósito ejecutar la medida de suspensión provisional de Héctor Mauricio Sánchez Abril en su condición de Concejal, obligación legal que nace en virtud del inciso tercero  del artículo 4º de la Ley 974 de 2005. En ese sentido, aquellos no son actos administrativos pasibles de control jurisdiccional, por cuanto, no definen la situación particular del accionante, pues, tal como se dijo, únicamente se encargaron de hacer efectiva la medida de suspensión adoptada por el Consejo de Control de Ética Alianza Verde, que tampoco es autoridad ni ejerce funciones administrativas.</w:t>
      </w:r>
    </w:p>
    <w:p w14:paraId="63B9EF14" w14:textId="7E725705" w:rsidR="00FA4C3E" w:rsidRDefault="00FA4C3E" w:rsidP="00A92B07">
      <w:pPr>
        <w:spacing w:line="240" w:lineRule="auto"/>
        <w:jc w:val="both"/>
        <w:rPr>
          <w:rFonts w:ascii="Arial" w:hAnsi="Arial" w:cs="Arial"/>
          <w:b/>
          <w:sz w:val="24"/>
          <w:szCs w:val="24"/>
        </w:rPr>
      </w:pPr>
      <w:r>
        <w:rPr>
          <w:rFonts w:ascii="Arial" w:hAnsi="Arial" w:cs="Arial"/>
          <w:b/>
          <w:sz w:val="24"/>
          <w:szCs w:val="24"/>
        </w:rPr>
        <w:lastRenderedPageBreak/>
        <w:t>ACTOS ADMINISTRATIVOS / Actos de ejecución / No son susceptibles de control jurisdiccional.</w:t>
      </w:r>
    </w:p>
    <w:p w14:paraId="14AF8C3E" w14:textId="60044D70" w:rsidR="00FA4C3E" w:rsidRPr="00FA4C3E" w:rsidRDefault="00FA4C3E" w:rsidP="00FA4C3E">
      <w:pPr>
        <w:spacing w:line="240" w:lineRule="auto"/>
        <w:jc w:val="both"/>
        <w:rPr>
          <w:rFonts w:ascii="Arial" w:hAnsi="Arial" w:cs="Arial"/>
          <w:sz w:val="24"/>
          <w:szCs w:val="24"/>
        </w:rPr>
      </w:pPr>
      <w:r w:rsidRPr="00FA4C3E">
        <w:rPr>
          <w:rFonts w:ascii="Arial" w:hAnsi="Arial" w:cs="Arial"/>
          <w:sz w:val="24"/>
          <w:szCs w:val="24"/>
        </w:rPr>
        <w:t>E</w:t>
      </w:r>
      <w:r w:rsidRPr="00FA4C3E">
        <w:rPr>
          <w:rFonts w:ascii="Arial" w:hAnsi="Arial" w:cs="Arial"/>
          <w:sz w:val="24"/>
          <w:szCs w:val="24"/>
        </w:rPr>
        <w:t>l Consejo de Estado, al hacer hincapié en varios pronunciamientos dictados en relación con la función que cumple el acto de ejecución, exaltó las características esenciales de un acto administrativo pasible de control judicial. Para ello, señaló:</w:t>
      </w:r>
      <w:r w:rsidRPr="00FA4C3E">
        <w:rPr>
          <w:rFonts w:ascii="Arial" w:hAnsi="Arial" w:cs="Arial"/>
          <w:sz w:val="24"/>
          <w:szCs w:val="24"/>
        </w:rPr>
        <w:t xml:space="preserve"> </w:t>
      </w:r>
      <w:r w:rsidRPr="00FA4C3E">
        <w:rPr>
          <w:rFonts w:ascii="Arial" w:hAnsi="Arial" w:cs="Arial"/>
          <w:i/>
          <w:sz w:val="24"/>
          <w:szCs w:val="24"/>
        </w:rPr>
        <w:t>“Así pues, un acto administrativo subjetivo o acto definitivo particular, es una declaración de voluntad dirigida al ejercicio de la función administrativa, que produce efectos jurídicos, es decir que crea, reconoce, modifica o extingue situaciones jurídicas, mientras que los actos de ejecución se limitan a dar cumplimiento a una decisión judicial o administrativa , sin que pueda afirmarse que de ellos surjan situaciones jurídicas diferentes a las de la sentencia o acto ejecutado</w:t>
      </w:r>
      <w:r w:rsidRPr="00FA4C3E">
        <w:rPr>
          <w:rFonts w:ascii="Arial" w:hAnsi="Arial" w:cs="Arial"/>
          <w:sz w:val="24"/>
          <w:szCs w:val="24"/>
        </w:rPr>
        <w:t xml:space="preserve">. </w:t>
      </w:r>
      <w:r w:rsidRPr="00FA4C3E">
        <w:rPr>
          <w:rFonts w:ascii="Arial" w:hAnsi="Arial" w:cs="Arial"/>
          <w:sz w:val="24"/>
          <w:szCs w:val="24"/>
        </w:rPr>
        <w:t xml:space="preserve"> </w:t>
      </w:r>
      <w:r w:rsidRPr="00FA4C3E">
        <w:rPr>
          <w:rFonts w:ascii="Arial" w:hAnsi="Arial" w:cs="Arial"/>
          <w:i/>
          <w:sz w:val="24"/>
          <w:szCs w:val="24"/>
        </w:rPr>
        <w:t>De acuerdo con lo anterior, únicamente las decisiones de la Administración producto de la conclusión de un procedimiento administrativo o los actos que hacen imposible la continuación de esa actuación, son susceptibles de control de legalidad por parte de la jurisdicción de lo contencioso administrativo, lo que, dicho de otra manera, significa que “los actos de ejecución de una decisión administrativa o jurisdiccional se encuentran excluidos de dicho control, toda vez que a través de ellos no se decide definitivamente una actuación, pues sólo son expedidos en orden a materializar o ejecutar esas decisiones”.</w:t>
      </w:r>
    </w:p>
    <w:p w14:paraId="2267AD5C" w14:textId="49B01BF3" w:rsidR="00FA4C3E" w:rsidRDefault="00354884" w:rsidP="00A92B07">
      <w:pPr>
        <w:spacing w:line="240" w:lineRule="auto"/>
        <w:jc w:val="both"/>
        <w:rPr>
          <w:rFonts w:ascii="Arial" w:hAnsi="Arial" w:cs="Arial"/>
          <w:b/>
          <w:sz w:val="24"/>
          <w:szCs w:val="24"/>
        </w:rPr>
      </w:pPr>
      <w:r>
        <w:rPr>
          <w:rFonts w:ascii="Arial" w:hAnsi="Arial" w:cs="Arial"/>
          <w:b/>
          <w:sz w:val="24"/>
          <w:szCs w:val="24"/>
        </w:rPr>
        <w:t>PARTIDOS Y MOVIMIENTOS POLÍTICOS / Sus decisiones no son ejercicio de autoridad administrativa / No son susceptibles de control jurisdiccional.</w:t>
      </w:r>
    </w:p>
    <w:p w14:paraId="373DF69F" w14:textId="51FB03C8" w:rsidR="00354884" w:rsidRDefault="00354884" w:rsidP="00A92B07">
      <w:pPr>
        <w:spacing w:line="240" w:lineRule="auto"/>
        <w:jc w:val="both"/>
        <w:rPr>
          <w:rFonts w:ascii="Arial" w:hAnsi="Arial" w:cs="Arial"/>
          <w:sz w:val="24"/>
          <w:szCs w:val="24"/>
        </w:rPr>
      </w:pPr>
      <w:r w:rsidRPr="00354884">
        <w:rPr>
          <w:rFonts w:ascii="Arial" w:hAnsi="Arial" w:cs="Arial"/>
          <w:sz w:val="24"/>
          <w:szCs w:val="24"/>
        </w:rPr>
        <w:t>Se descarta que los partidos o movimientos políticos ejerzan autoridad administrativa o función pública. Sus decisiones, dictadas incluso en el marco de un proceso disciplinario, no son actos administrativos, pues éstos necesariamente deben emanar de la Administración Pública y reflejar la manifestación de su voluntad. Así pues, acorde con el artículo 104 del CPACA, las decisiones emitidas por el Consejo de Control de Ética Alianza Verde no son materia de control de legalidad ante esta jurisdicción de lo contencioso administrativo, más aún cuando estas no están sujetas al derecho administrativo, sino a las reglas internas del partido o movimiento político.</w:t>
      </w:r>
    </w:p>
    <w:p w14:paraId="1D534311" w14:textId="463251AA" w:rsidR="00354884" w:rsidRPr="00354884" w:rsidRDefault="00354884" w:rsidP="00A92B07">
      <w:pPr>
        <w:spacing w:line="240" w:lineRule="auto"/>
        <w:jc w:val="both"/>
        <w:rPr>
          <w:rFonts w:ascii="Arial" w:hAnsi="Arial" w:cs="Arial"/>
          <w:b/>
          <w:sz w:val="24"/>
          <w:szCs w:val="24"/>
        </w:rPr>
      </w:pPr>
      <w:r>
        <w:rPr>
          <w:rFonts w:ascii="Arial" w:hAnsi="Arial" w:cs="Arial"/>
          <w:b/>
          <w:sz w:val="24"/>
          <w:szCs w:val="24"/>
        </w:rPr>
        <w:t>PARTIDOS Y MOVIMIENTOS POLÍTICOS / Sanciones emitidas por sus órganos de control solo son reprochables ante el Consejo Nacional Electoral.</w:t>
      </w:r>
    </w:p>
    <w:p w14:paraId="64B2B3A5" w14:textId="4BC69BC9" w:rsidR="00354884" w:rsidRDefault="00354884" w:rsidP="00A92B07">
      <w:pPr>
        <w:spacing w:line="240" w:lineRule="auto"/>
        <w:jc w:val="both"/>
        <w:rPr>
          <w:rFonts w:ascii="Arial" w:hAnsi="Arial" w:cs="Arial"/>
          <w:sz w:val="24"/>
          <w:szCs w:val="24"/>
        </w:rPr>
      </w:pPr>
      <w:r>
        <w:rPr>
          <w:rFonts w:ascii="Arial" w:hAnsi="Arial" w:cs="Arial"/>
          <w:sz w:val="24"/>
          <w:szCs w:val="24"/>
        </w:rPr>
        <w:t>L</w:t>
      </w:r>
      <w:r w:rsidRPr="00354884">
        <w:rPr>
          <w:rFonts w:ascii="Arial" w:hAnsi="Arial" w:cs="Arial"/>
          <w:sz w:val="24"/>
          <w:szCs w:val="24"/>
        </w:rPr>
        <w:t>as sanciones que impongan los partidos políticos a través de sus órganos de control instituidos para ejercer la potestad disciplinaria de sus afiliados o militantes solo son reprochables ante el Consejo Nacional Electoral. Y únicamente aquellas decisiones que asuma esta última serán controvertibles ante la jurisdicción de lo contencioso administrativo.</w:t>
      </w:r>
    </w:p>
    <w:p w14:paraId="65D6D629" w14:textId="7DE2D1B6" w:rsidR="00354884" w:rsidRPr="00354884" w:rsidRDefault="00354884" w:rsidP="00A92B07">
      <w:pPr>
        <w:spacing w:line="240" w:lineRule="auto"/>
        <w:jc w:val="both"/>
        <w:rPr>
          <w:rFonts w:ascii="Arial" w:hAnsi="Arial" w:cs="Arial"/>
          <w:b/>
          <w:sz w:val="24"/>
          <w:szCs w:val="24"/>
        </w:rPr>
      </w:pPr>
      <w:r>
        <w:rPr>
          <w:rFonts w:ascii="Arial" w:hAnsi="Arial" w:cs="Arial"/>
          <w:b/>
          <w:sz w:val="24"/>
          <w:szCs w:val="24"/>
        </w:rPr>
        <w:t>ACTOS ADMINISTRATIVOS DEMANDADOS / No son susceptibles de control jurisdiccional.</w:t>
      </w:r>
    </w:p>
    <w:p w14:paraId="08DBF682" w14:textId="749A7DBE" w:rsidR="00354884" w:rsidRDefault="00354884" w:rsidP="00A92B07">
      <w:pPr>
        <w:spacing w:line="240" w:lineRule="auto"/>
        <w:jc w:val="both"/>
        <w:rPr>
          <w:rFonts w:ascii="Arial" w:hAnsi="Arial" w:cs="Arial"/>
          <w:sz w:val="24"/>
          <w:szCs w:val="24"/>
        </w:rPr>
      </w:pPr>
      <w:r>
        <w:rPr>
          <w:rFonts w:ascii="Arial" w:hAnsi="Arial" w:cs="Arial"/>
          <w:sz w:val="24"/>
          <w:szCs w:val="24"/>
        </w:rPr>
        <w:t>S</w:t>
      </w:r>
      <w:r w:rsidRPr="00354884">
        <w:rPr>
          <w:rFonts w:ascii="Arial" w:hAnsi="Arial" w:cs="Arial"/>
          <w:sz w:val="24"/>
          <w:szCs w:val="24"/>
        </w:rPr>
        <w:t xml:space="preserve">e deduce que las resoluciones demandadas, a pesar de que provienen de una autoridad administrativa, el Concejo municipal de Tunja, no contienen una decisión definitiva ni crean, extingue o modifican una situación particular y, en cambio, se dedican básicamente a cumplir una sanción de suspensión impuesta al demandante que no resultan susceptibles de control jurisdiccional y, las decisiones dictadas dentro del trámite del proceso </w:t>
      </w:r>
      <w:r w:rsidRPr="00354884">
        <w:rPr>
          <w:rFonts w:ascii="Arial" w:hAnsi="Arial" w:cs="Arial"/>
          <w:sz w:val="24"/>
          <w:szCs w:val="24"/>
        </w:rPr>
        <w:lastRenderedPageBreak/>
        <w:t>disciplinario ético que se cursó en contra del señor Sánchez Abril, en su condición de Concejal de Tunja por el partido Alianza Verde, tampoco son actos administrativos pasibles de demanda ante esta jurisdicción, por no emanarse de una autoridad administrativa.</w:t>
      </w:r>
    </w:p>
    <w:p w14:paraId="16164079" w14:textId="73B19056" w:rsidR="00354884" w:rsidRPr="00354884" w:rsidRDefault="00354884" w:rsidP="00A92B07">
      <w:pPr>
        <w:spacing w:line="240" w:lineRule="auto"/>
        <w:jc w:val="both"/>
        <w:rPr>
          <w:rFonts w:ascii="Arial" w:hAnsi="Arial" w:cs="Arial"/>
          <w:b/>
          <w:sz w:val="24"/>
          <w:szCs w:val="24"/>
        </w:rPr>
      </w:pPr>
      <w:r>
        <w:rPr>
          <w:rFonts w:ascii="Arial" w:hAnsi="Arial" w:cs="Arial"/>
          <w:b/>
          <w:sz w:val="24"/>
          <w:szCs w:val="24"/>
        </w:rPr>
        <w:t>EXCEPCIÓN PREVIA DE INEPTA DEMANDA / No se configura cuando el acto de mandado no es susceptible de control jurisdiccional / Se configura causal autónoma de rechazo.</w:t>
      </w:r>
    </w:p>
    <w:p w14:paraId="523EA514" w14:textId="5E108D9F" w:rsidR="00354884" w:rsidRPr="00354884" w:rsidRDefault="00354884" w:rsidP="00354884">
      <w:pPr>
        <w:spacing w:line="240" w:lineRule="auto"/>
        <w:jc w:val="both"/>
        <w:rPr>
          <w:rFonts w:ascii="Arial" w:hAnsi="Arial" w:cs="Arial"/>
          <w:sz w:val="24"/>
          <w:szCs w:val="24"/>
        </w:rPr>
      </w:pPr>
      <w:r>
        <w:rPr>
          <w:rFonts w:ascii="Arial" w:hAnsi="Arial" w:cs="Arial"/>
          <w:sz w:val="24"/>
          <w:szCs w:val="24"/>
        </w:rPr>
        <w:t>L</w:t>
      </w:r>
      <w:r w:rsidRPr="00354884">
        <w:rPr>
          <w:rFonts w:ascii="Arial" w:hAnsi="Arial" w:cs="Arial"/>
          <w:sz w:val="24"/>
          <w:szCs w:val="24"/>
        </w:rPr>
        <w:t>os actos demandados que no son plausibles de control de legalidad ante la jurisdicción de lo contencioso administrativo no se pueden catalogar o enmarcar dentro de la excepción previa de ineptitud de la demanda, pues esta circunstancia constituye una causal autónoma de rechazo.</w:t>
      </w:r>
      <w:r>
        <w:rPr>
          <w:rFonts w:ascii="Arial" w:hAnsi="Arial" w:cs="Arial"/>
          <w:sz w:val="24"/>
          <w:szCs w:val="24"/>
        </w:rPr>
        <w:t xml:space="preserve"> </w:t>
      </w:r>
      <w:r w:rsidRPr="00354884">
        <w:rPr>
          <w:rFonts w:ascii="Arial" w:hAnsi="Arial" w:cs="Arial"/>
          <w:sz w:val="24"/>
          <w:szCs w:val="24"/>
        </w:rPr>
        <w:t xml:space="preserve">De esa manera, la Sala considera que la decisión asumida por el a quo de declarar de oficio la excepción previa de inepta demanda en el presente asunto fue equivocada, pues asimiló el asunto no pasible de control al incumplimiento de los requisitos formales de la demanda, que, a criterio de esta Sala, si se acataron conforme los artículos 162, 163 y 166 del CPACA. De tal manera, que al configurarse la causal de rechazo del numeral 3 del artículo 169 de la Ley 1437 de 2011, en el estudio de admisibilidad de la demanda, el Juez de primer grado ha debido por técnica jurídica proceder al rechazo de plano de la demanda, y no encuadrar tal falencia en una excepción previa que no se acompasa o acomoda. </w:t>
      </w:r>
    </w:p>
    <w:p w14:paraId="211A399B" w14:textId="77777777" w:rsidR="00354884" w:rsidRPr="00354884" w:rsidRDefault="00354884" w:rsidP="00A92B07">
      <w:pPr>
        <w:spacing w:line="240" w:lineRule="auto"/>
        <w:jc w:val="both"/>
        <w:rPr>
          <w:rFonts w:ascii="Arial" w:hAnsi="Arial" w:cs="Arial"/>
          <w:sz w:val="24"/>
          <w:szCs w:val="24"/>
        </w:rPr>
      </w:pPr>
    </w:p>
    <w:tbl>
      <w:tblPr>
        <w:tblW w:w="9504" w:type="dxa"/>
        <w:jc w:val="center"/>
        <w:tblLook w:val="01E0" w:firstRow="1" w:lastRow="1" w:firstColumn="1" w:lastColumn="1" w:noHBand="0" w:noVBand="0"/>
      </w:tblPr>
      <w:tblGrid>
        <w:gridCol w:w="9504"/>
      </w:tblGrid>
      <w:tr w:rsidR="00D6567F" w:rsidRPr="00694840" w14:paraId="4E9E7D06" w14:textId="77777777" w:rsidTr="00BD3D17">
        <w:trPr>
          <w:trHeight w:val="1813"/>
          <w:jc w:val="center"/>
        </w:trPr>
        <w:tc>
          <w:tcPr>
            <w:tcW w:w="9504" w:type="dxa"/>
          </w:tcPr>
          <w:p w14:paraId="5B59E811" w14:textId="77777777" w:rsidR="001A45C1" w:rsidRDefault="001A45C1">
            <w:pPr>
              <w:jc w:val="center"/>
            </w:pPr>
          </w:p>
          <w:tbl>
            <w:tblPr>
              <w:tblW w:w="9180" w:type="dxa"/>
              <w:jc w:val="center"/>
              <w:tblLook w:val="01E0" w:firstRow="1" w:lastRow="1" w:firstColumn="1" w:lastColumn="1" w:noHBand="0" w:noVBand="0"/>
            </w:tblPr>
            <w:tblGrid>
              <w:gridCol w:w="9180"/>
            </w:tblGrid>
            <w:tr w:rsidR="00D6567F" w:rsidRPr="00694840" w14:paraId="4E9E7D04" w14:textId="77777777" w:rsidTr="00BD3D17">
              <w:trPr>
                <w:trHeight w:val="1813"/>
                <w:jc w:val="center"/>
              </w:trPr>
              <w:tc>
                <w:tcPr>
                  <w:tcW w:w="9180" w:type="dxa"/>
                </w:tcPr>
                <w:p w14:paraId="4E9E7CFF" w14:textId="77777777" w:rsidR="00D6567F" w:rsidRPr="00694840" w:rsidRDefault="00D6567F" w:rsidP="00694840">
                  <w:pPr>
                    <w:spacing w:after="0" w:line="264" w:lineRule="auto"/>
                    <w:jc w:val="center"/>
                    <w:rPr>
                      <w:rFonts w:ascii="Verdana" w:eastAsia="Calibri" w:hAnsi="Verdana"/>
                    </w:rPr>
                  </w:pPr>
                  <w:r w:rsidRPr="00694840">
                    <w:rPr>
                      <w:rFonts w:ascii="Verdana" w:hAnsi="Verdana"/>
                    </w:rPr>
                    <w:t>REPÚBLICA DE COLOMBIA</w:t>
                  </w:r>
                </w:p>
                <w:p w14:paraId="4E9E7D00" w14:textId="77777777" w:rsidR="00D6567F" w:rsidRPr="00694840" w:rsidRDefault="00D6567F" w:rsidP="00694840">
                  <w:pPr>
                    <w:spacing w:after="0" w:line="264" w:lineRule="auto"/>
                    <w:jc w:val="center"/>
                    <w:rPr>
                      <w:rFonts w:ascii="Verdana" w:hAnsi="Verdana"/>
                    </w:rPr>
                  </w:pPr>
                  <w:r w:rsidRPr="00694840">
                    <w:rPr>
                      <w:rFonts w:ascii="Verdana" w:hAnsi="Verdana"/>
                      <w:noProof/>
                      <w:lang w:val="es-ES_tradnl" w:eastAsia="es-ES_tradnl"/>
                    </w:rPr>
                    <w:drawing>
                      <wp:inline distT="0" distB="0" distL="0" distR="0" wp14:anchorId="4E9E7E20" wp14:editId="4E9E7E21">
                        <wp:extent cx="676275" cy="628650"/>
                        <wp:effectExtent l="0" t="0" r="9525" b="0"/>
                        <wp:docPr id="1" name="Imagen 1"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28650"/>
                                </a:xfrm>
                                <a:prstGeom prst="rect">
                                  <a:avLst/>
                                </a:prstGeom>
                              </pic:spPr>
                            </pic:pic>
                          </a:graphicData>
                        </a:graphic>
                      </wp:inline>
                    </w:drawing>
                  </w:r>
                </w:p>
                <w:p w14:paraId="4E9E7D01" w14:textId="77777777" w:rsidR="00D6567F" w:rsidRPr="00694840" w:rsidRDefault="00D6567F" w:rsidP="00694840">
                  <w:pPr>
                    <w:spacing w:after="0" w:line="264" w:lineRule="auto"/>
                    <w:jc w:val="center"/>
                    <w:rPr>
                      <w:rFonts w:ascii="Verdana" w:hAnsi="Verdana"/>
                    </w:rPr>
                  </w:pPr>
                  <w:r w:rsidRPr="00694840">
                    <w:rPr>
                      <w:rFonts w:ascii="Verdana" w:hAnsi="Verdana"/>
                    </w:rPr>
                    <w:t>TRIBUNAL ADMINISTRATIVO DE BOYACÁ</w:t>
                  </w:r>
                </w:p>
                <w:p w14:paraId="4E9E7D02" w14:textId="77777777" w:rsidR="00D6567F" w:rsidRPr="00694840" w:rsidRDefault="00D6567F" w:rsidP="00694840">
                  <w:pPr>
                    <w:tabs>
                      <w:tab w:val="center" w:pos="4252"/>
                      <w:tab w:val="right" w:pos="8504"/>
                    </w:tabs>
                    <w:spacing w:after="0" w:line="264" w:lineRule="auto"/>
                    <w:jc w:val="center"/>
                    <w:rPr>
                      <w:rFonts w:ascii="Verdana" w:hAnsi="Verdana"/>
                    </w:rPr>
                  </w:pPr>
                  <w:r w:rsidRPr="00694840">
                    <w:rPr>
                      <w:rFonts w:ascii="Verdana" w:hAnsi="Verdana"/>
                    </w:rPr>
                    <w:t xml:space="preserve">SALA PRIMERA DE DECISIÓN </w:t>
                  </w:r>
                </w:p>
                <w:p w14:paraId="4E9E7D03" w14:textId="77777777" w:rsidR="00D6567F" w:rsidRPr="00694840" w:rsidRDefault="00D6567F" w:rsidP="00694840">
                  <w:pPr>
                    <w:tabs>
                      <w:tab w:val="center" w:pos="4252"/>
                      <w:tab w:val="right" w:pos="8504"/>
                    </w:tabs>
                    <w:spacing w:after="0" w:line="264" w:lineRule="auto"/>
                    <w:jc w:val="center"/>
                    <w:rPr>
                      <w:rFonts w:ascii="Verdana" w:hAnsi="Verdana"/>
                    </w:rPr>
                  </w:pPr>
                </w:p>
              </w:tc>
            </w:tr>
          </w:tbl>
          <w:p w14:paraId="4E9E7D05" w14:textId="77777777" w:rsidR="00D6567F" w:rsidRPr="00694840" w:rsidRDefault="00D6567F" w:rsidP="00694840">
            <w:pPr>
              <w:spacing w:after="0" w:line="264" w:lineRule="auto"/>
              <w:jc w:val="both"/>
              <w:rPr>
                <w:rFonts w:ascii="Verdana" w:hAnsi="Verdana" w:cs="Arial"/>
                <w:b/>
                <w:bCs/>
                <w:sz w:val="24"/>
                <w:szCs w:val="24"/>
              </w:rPr>
            </w:pPr>
          </w:p>
        </w:tc>
      </w:tr>
    </w:tbl>
    <w:p w14:paraId="4E9E7D07" w14:textId="77777777" w:rsidR="00D6567F" w:rsidRPr="00694840" w:rsidRDefault="00D6567F" w:rsidP="00694840">
      <w:pPr>
        <w:spacing w:after="0" w:line="264" w:lineRule="auto"/>
        <w:jc w:val="center"/>
        <w:rPr>
          <w:rFonts w:ascii="Verdana" w:hAnsi="Verdana" w:cs="Arial"/>
          <w:sz w:val="24"/>
          <w:szCs w:val="24"/>
        </w:rPr>
      </w:pPr>
      <w:r w:rsidRPr="00694840">
        <w:rPr>
          <w:rFonts w:ascii="Verdana" w:hAnsi="Verdana" w:cs="Arial"/>
          <w:sz w:val="24"/>
          <w:szCs w:val="24"/>
        </w:rPr>
        <w:t>Magistrado Ponente FABIO IVÁN AFANADOR GARCÍA</w:t>
      </w:r>
    </w:p>
    <w:p w14:paraId="4E9E7D08" w14:textId="77777777" w:rsidR="00D6567F" w:rsidRPr="00694840" w:rsidRDefault="00D6567F" w:rsidP="00694840">
      <w:pPr>
        <w:spacing w:after="0" w:line="264" w:lineRule="auto"/>
        <w:jc w:val="center"/>
        <w:rPr>
          <w:rFonts w:ascii="Verdana" w:hAnsi="Verdana" w:cs="Arial"/>
          <w:sz w:val="24"/>
          <w:szCs w:val="24"/>
        </w:rPr>
      </w:pPr>
    </w:p>
    <w:p w14:paraId="4E9E7D09" w14:textId="77777777" w:rsidR="00D6567F" w:rsidRPr="00694840" w:rsidRDefault="00D6567F" w:rsidP="00694840">
      <w:pPr>
        <w:spacing w:after="0" w:line="264" w:lineRule="auto"/>
        <w:jc w:val="center"/>
        <w:rPr>
          <w:rFonts w:ascii="Verdana" w:hAnsi="Verdana" w:cs="Arial"/>
          <w:sz w:val="24"/>
          <w:szCs w:val="24"/>
        </w:rPr>
      </w:pPr>
    </w:p>
    <w:p w14:paraId="4E9E7D0A" w14:textId="7B86EE62" w:rsidR="00D6567F" w:rsidRPr="00694840" w:rsidRDefault="00D6567F" w:rsidP="00694840">
      <w:pPr>
        <w:spacing w:after="0" w:line="264" w:lineRule="auto"/>
        <w:jc w:val="center"/>
        <w:rPr>
          <w:rFonts w:ascii="Verdana" w:hAnsi="Verdana" w:cs="Arial"/>
          <w:sz w:val="24"/>
          <w:szCs w:val="24"/>
        </w:rPr>
      </w:pPr>
      <w:r w:rsidRPr="00694840">
        <w:rPr>
          <w:rFonts w:ascii="Verdana" w:hAnsi="Verdana" w:cs="Arial"/>
          <w:sz w:val="24"/>
          <w:szCs w:val="24"/>
        </w:rPr>
        <w:t xml:space="preserve">Tunja, </w:t>
      </w:r>
      <w:r w:rsidR="008E40F5">
        <w:rPr>
          <w:rFonts w:ascii="Verdana" w:hAnsi="Verdana" w:cs="Arial"/>
          <w:sz w:val="24"/>
          <w:szCs w:val="24"/>
        </w:rPr>
        <w:t>doce (12) de octubre de dos mil veintiuno (2021)</w:t>
      </w:r>
    </w:p>
    <w:p w14:paraId="4E9E7D0B" w14:textId="77777777" w:rsidR="00D6567F" w:rsidRPr="00694840" w:rsidRDefault="00D6567F" w:rsidP="00694840">
      <w:pPr>
        <w:spacing w:after="0" w:line="264" w:lineRule="auto"/>
        <w:jc w:val="center"/>
        <w:rPr>
          <w:rFonts w:ascii="Verdana" w:hAnsi="Verdana" w:cs="Arial"/>
          <w:sz w:val="24"/>
          <w:szCs w:val="24"/>
        </w:rPr>
      </w:pPr>
    </w:p>
    <w:p w14:paraId="4E9E7D0C" w14:textId="77777777" w:rsidR="00D6567F" w:rsidRPr="00694840" w:rsidRDefault="00D6567F" w:rsidP="00694840">
      <w:pPr>
        <w:spacing w:after="0" w:line="264" w:lineRule="auto"/>
        <w:jc w:val="center"/>
        <w:rPr>
          <w:rFonts w:ascii="Verdana" w:hAnsi="Verdana" w:cs="Arial"/>
          <w:sz w:val="24"/>
          <w:szCs w:val="24"/>
        </w:rPr>
      </w:pPr>
    </w:p>
    <w:p w14:paraId="4E9E7D0D" w14:textId="77777777" w:rsidR="00D6567F" w:rsidRPr="00694840" w:rsidRDefault="00D6567F" w:rsidP="00694840">
      <w:pPr>
        <w:spacing w:after="0" w:line="264" w:lineRule="auto"/>
        <w:jc w:val="center"/>
        <w:rPr>
          <w:rFonts w:ascii="Verdana" w:hAnsi="Verdana" w:cs="Arial"/>
          <w:b/>
          <w:sz w:val="24"/>
          <w:szCs w:val="24"/>
        </w:rPr>
      </w:pPr>
      <w:r w:rsidRPr="00694840">
        <w:rPr>
          <w:rFonts w:ascii="Verdana" w:hAnsi="Verdana" w:cs="Arial"/>
          <w:b/>
          <w:sz w:val="24"/>
          <w:szCs w:val="24"/>
        </w:rPr>
        <w:t>REFERENCIAS</w:t>
      </w:r>
    </w:p>
    <w:p w14:paraId="4E9E7D0E" w14:textId="77777777" w:rsidR="00D6567F" w:rsidRPr="00694840" w:rsidRDefault="00D6567F" w:rsidP="00694840">
      <w:pPr>
        <w:spacing w:after="0" w:line="264" w:lineRule="auto"/>
        <w:ind w:left="3540" w:hanging="3540"/>
        <w:jc w:val="center"/>
        <w:rPr>
          <w:rFonts w:ascii="Verdana" w:hAnsi="Verdana" w:cs="Arial"/>
          <w:sz w:val="24"/>
          <w:szCs w:val="24"/>
        </w:rPr>
      </w:pPr>
    </w:p>
    <w:p w14:paraId="4E9E7D0F" w14:textId="77777777" w:rsidR="00D6567F" w:rsidRPr="00694840" w:rsidRDefault="00D6567F" w:rsidP="00694840">
      <w:pPr>
        <w:spacing w:after="0" w:line="240" w:lineRule="auto"/>
        <w:ind w:left="2832" w:hanging="2832"/>
        <w:jc w:val="both"/>
        <w:rPr>
          <w:rFonts w:ascii="Verdana" w:hAnsi="Verdana" w:cs="Arial"/>
        </w:rPr>
      </w:pPr>
      <w:r w:rsidRPr="00694840">
        <w:rPr>
          <w:rFonts w:ascii="Verdana" w:hAnsi="Verdana" w:cs="Arial"/>
        </w:rPr>
        <w:t>MEDIO DE CONTROL:</w:t>
      </w:r>
      <w:r w:rsidRPr="00694840">
        <w:rPr>
          <w:rFonts w:ascii="Verdana" w:hAnsi="Verdana" w:cs="Arial"/>
          <w:iCs/>
        </w:rPr>
        <w:tab/>
      </w:r>
      <w:r w:rsidRPr="00694840">
        <w:rPr>
          <w:rFonts w:ascii="Verdana" w:hAnsi="Verdana" w:cs="Arial"/>
        </w:rPr>
        <w:t>NULIDAD Y RESTABLECIMIENTO DEL DERECHO</w:t>
      </w:r>
    </w:p>
    <w:p w14:paraId="4E9E7D10" w14:textId="77777777" w:rsidR="00D6567F" w:rsidRPr="00694840" w:rsidRDefault="00D6567F" w:rsidP="00694840">
      <w:pPr>
        <w:spacing w:after="0" w:line="240" w:lineRule="auto"/>
        <w:jc w:val="both"/>
        <w:rPr>
          <w:rFonts w:ascii="Verdana" w:hAnsi="Verdana" w:cs="Arial"/>
        </w:rPr>
      </w:pPr>
      <w:r w:rsidRPr="00694840">
        <w:rPr>
          <w:rFonts w:ascii="Verdana" w:hAnsi="Verdana" w:cs="Arial"/>
        </w:rPr>
        <w:t>DEMANDANTE:</w:t>
      </w:r>
      <w:r w:rsidRPr="00694840">
        <w:rPr>
          <w:rFonts w:ascii="Verdana" w:hAnsi="Verdana" w:cs="Arial"/>
        </w:rPr>
        <w:tab/>
      </w:r>
      <w:r w:rsidRPr="00694840">
        <w:rPr>
          <w:rFonts w:ascii="Verdana" w:hAnsi="Verdana" w:cs="Arial"/>
        </w:rPr>
        <w:tab/>
        <w:t xml:space="preserve">HÉCTOR MAURICIO SÁNCHEZ ABRIL </w:t>
      </w:r>
      <w:r w:rsidR="007E1B47" w:rsidRPr="00694840">
        <w:rPr>
          <w:rFonts w:ascii="Verdana" w:hAnsi="Verdana" w:cs="Arial"/>
        </w:rPr>
        <w:t>Y OTROS</w:t>
      </w:r>
    </w:p>
    <w:p w14:paraId="4E9E7D11" w14:textId="77777777" w:rsidR="00D6567F" w:rsidRPr="00694840" w:rsidRDefault="00D6567F" w:rsidP="00694840">
      <w:pPr>
        <w:tabs>
          <w:tab w:val="left" w:pos="748"/>
        </w:tabs>
        <w:spacing w:after="0" w:line="240" w:lineRule="auto"/>
        <w:ind w:left="2832" w:hanging="2832"/>
        <w:jc w:val="both"/>
        <w:rPr>
          <w:rFonts w:ascii="Verdana" w:hAnsi="Verdana" w:cs="Arial"/>
        </w:rPr>
      </w:pPr>
      <w:r w:rsidRPr="00694840">
        <w:rPr>
          <w:rFonts w:ascii="Verdana" w:hAnsi="Verdana" w:cs="Arial"/>
        </w:rPr>
        <w:t>DEMANDADO:</w:t>
      </w:r>
      <w:r w:rsidRPr="00694840">
        <w:rPr>
          <w:rFonts w:ascii="Verdana" w:hAnsi="Verdana" w:cs="Arial"/>
          <w:iCs/>
        </w:rPr>
        <w:tab/>
        <w:t>MUNICIPIO DE TUNJA-CONCEJO MUNICIPAL DE TUNJA</w:t>
      </w:r>
    </w:p>
    <w:p w14:paraId="4E9E7D12" w14:textId="77777777" w:rsidR="00D6567F" w:rsidRPr="00694840" w:rsidRDefault="00D6567F" w:rsidP="00694840">
      <w:pPr>
        <w:spacing w:after="0" w:line="240" w:lineRule="auto"/>
        <w:jc w:val="both"/>
        <w:rPr>
          <w:rFonts w:ascii="Verdana" w:hAnsi="Verdana" w:cs="Arial"/>
        </w:rPr>
      </w:pPr>
      <w:r w:rsidRPr="00694840">
        <w:rPr>
          <w:rFonts w:ascii="Verdana" w:hAnsi="Verdana" w:cs="Arial"/>
        </w:rPr>
        <w:t>RADICACIÓN:</w:t>
      </w:r>
      <w:r w:rsidRPr="00694840">
        <w:rPr>
          <w:rFonts w:ascii="Verdana" w:hAnsi="Verdana" w:cs="Arial"/>
          <w:iCs/>
        </w:rPr>
        <w:tab/>
      </w:r>
      <w:r w:rsidRPr="00694840">
        <w:rPr>
          <w:rFonts w:ascii="Verdana" w:hAnsi="Verdana" w:cs="Arial"/>
          <w:iCs/>
        </w:rPr>
        <w:tab/>
      </w:r>
      <w:r w:rsidRPr="00694840">
        <w:rPr>
          <w:rFonts w:ascii="Verdana" w:hAnsi="Verdana"/>
        </w:rPr>
        <w:t>150013333</w:t>
      </w:r>
      <w:bookmarkStart w:id="0" w:name="_GoBack"/>
      <w:r w:rsidRPr="00694840">
        <w:rPr>
          <w:rFonts w:ascii="Verdana" w:hAnsi="Verdana"/>
        </w:rPr>
        <w:t>009 201800132 01</w:t>
      </w:r>
      <w:bookmarkEnd w:id="0"/>
    </w:p>
    <w:p w14:paraId="4E9E7D13" w14:textId="77777777" w:rsidR="00D6567F" w:rsidRPr="00694840" w:rsidRDefault="00D6567F" w:rsidP="00694840">
      <w:pPr>
        <w:tabs>
          <w:tab w:val="left" w:pos="6480"/>
        </w:tabs>
        <w:spacing w:after="0" w:line="264" w:lineRule="auto"/>
        <w:jc w:val="both"/>
        <w:rPr>
          <w:rFonts w:ascii="Verdana" w:hAnsi="Verdana" w:cs="Arial"/>
          <w:sz w:val="24"/>
          <w:szCs w:val="24"/>
        </w:rPr>
      </w:pPr>
    </w:p>
    <w:p w14:paraId="4E9E7D14" w14:textId="77777777" w:rsidR="00D6567F" w:rsidRPr="00694840" w:rsidRDefault="00D6567F" w:rsidP="00694840">
      <w:pPr>
        <w:tabs>
          <w:tab w:val="left" w:pos="6480"/>
        </w:tabs>
        <w:spacing w:after="0" w:line="264" w:lineRule="auto"/>
        <w:jc w:val="both"/>
        <w:rPr>
          <w:rFonts w:ascii="Verdana" w:hAnsi="Verdana" w:cs="Arial"/>
          <w:sz w:val="24"/>
          <w:szCs w:val="24"/>
        </w:rPr>
      </w:pPr>
    </w:p>
    <w:p w14:paraId="4E9E7D15" w14:textId="77777777" w:rsidR="00D6567F" w:rsidRPr="00694840" w:rsidRDefault="00D6567F" w:rsidP="00694840">
      <w:pPr>
        <w:tabs>
          <w:tab w:val="left" w:pos="6480"/>
        </w:tabs>
        <w:spacing w:after="0" w:line="264" w:lineRule="auto"/>
        <w:jc w:val="both"/>
        <w:rPr>
          <w:rFonts w:ascii="Verdana" w:hAnsi="Verdana" w:cs="Arial"/>
          <w:sz w:val="24"/>
          <w:szCs w:val="24"/>
        </w:rPr>
      </w:pPr>
    </w:p>
    <w:p w14:paraId="4E9E7D16" w14:textId="50E278EC" w:rsidR="00D6567F" w:rsidRPr="00694840" w:rsidRDefault="00D6567F" w:rsidP="00694840">
      <w:pPr>
        <w:tabs>
          <w:tab w:val="left" w:pos="6480"/>
        </w:tabs>
        <w:spacing w:after="0" w:line="264" w:lineRule="auto"/>
        <w:jc w:val="both"/>
        <w:rPr>
          <w:rFonts w:ascii="Verdana" w:hAnsi="Verdana" w:cs="Arial"/>
          <w:sz w:val="24"/>
          <w:szCs w:val="24"/>
        </w:rPr>
      </w:pPr>
      <w:r w:rsidRPr="00694840">
        <w:rPr>
          <w:rFonts w:ascii="Verdana" w:hAnsi="Verdana" w:cs="Arial"/>
          <w:sz w:val="24"/>
          <w:szCs w:val="24"/>
        </w:rPr>
        <w:lastRenderedPageBreak/>
        <w:t>La Sala procede a resolver el recurso de apelación interpuesto por la parte demandante contra el auto de 1° de octubre de 2020, proferido por el Juzgado Noveno Administrativo de Tunja, que declaró de oficio la excepción de inepta demanda y dio por terminado el proceso.</w:t>
      </w:r>
    </w:p>
    <w:p w14:paraId="4E9E7D17" w14:textId="77777777" w:rsidR="00D6567F" w:rsidRPr="00694840" w:rsidRDefault="00D6567F" w:rsidP="00694840">
      <w:pPr>
        <w:spacing w:after="0" w:line="264" w:lineRule="auto"/>
        <w:jc w:val="both"/>
        <w:rPr>
          <w:rFonts w:ascii="Verdana" w:hAnsi="Verdana" w:cs="Arial"/>
          <w:b/>
          <w:bCs/>
          <w:sz w:val="24"/>
          <w:szCs w:val="24"/>
        </w:rPr>
      </w:pPr>
    </w:p>
    <w:p w14:paraId="4E9E7D18" w14:textId="77777777" w:rsidR="00D6567F" w:rsidRPr="00694840" w:rsidRDefault="00D6567F" w:rsidP="00694840">
      <w:pPr>
        <w:spacing w:after="0" w:line="264" w:lineRule="auto"/>
        <w:jc w:val="both"/>
        <w:rPr>
          <w:rFonts w:ascii="Verdana" w:hAnsi="Verdana" w:cs="Arial"/>
          <w:b/>
          <w:bCs/>
          <w:sz w:val="24"/>
          <w:szCs w:val="24"/>
        </w:rPr>
      </w:pPr>
    </w:p>
    <w:p w14:paraId="4E9E7D19" w14:textId="77777777" w:rsidR="00D6567F" w:rsidRPr="00694840" w:rsidRDefault="00D6567F" w:rsidP="00694840">
      <w:pPr>
        <w:numPr>
          <w:ilvl w:val="0"/>
          <w:numId w:val="1"/>
        </w:numPr>
        <w:tabs>
          <w:tab w:val="left" w:pos="6480"/>
        </w:tabs>
        <w:spacing w:after="0" w:line="264" w:lineRule="auto"/>
        <w:ind w:left="0" w:firstLine="0"/>
        <w:jc w:val="center"/>
        <w:rPr>
          <w:rFonts w:ascii="Verdana" w:hAnsi="Verdana" w:cs="Arial"/>
          <w:b/>
          <w:bCs/>
          <w:sz w:val="26"/>
          <w:szCs w:val="26"/>
        </w:rPr>
      </w:pPr>
      <w:r w:rsidRPr="00694840">
        <w:rPr>
          <w:rFonts w:ascii="Verdana" w:hAnsi="Verdana" w:cs="Arial"/>
          <w:b/>
          <w:bCs/>
          <w:sz w:val="26"/>
          <w:szCs w:val="26"/>
        </w:rPr>
        <w:t>ANTECEDENTES</w:t>
      </w:r>
    </w:p>
    <w:p w14:paraId="4E9E7D1A" w14:textId="77777777" w:rsidR="00D6567F" w:rsidRPr="00694840" w:rsidRDefault="00D6567F" w:rsidP="00694840">
      <w:pPr>
        <w:spacing w:after="0" w:line="264" w:lineRule="auto"/>
        <w:jc w:val="both"/>
        <w:rPr>
          <w:rFonts w:ascii="Verdana" w:hAnsi="Verdana" w:cs="Arial"/>
          <w:sz w:val="24"/>
          <w:szCs w:val="24"/>
        </w:rPr>
      </w:pPr>
    </w:p>
    <w:p w14:paraId="4E9E7D1B" w14:textId="77777777" w:rsidR="00D6567F" w:rsidRPr="00694840" w:rsidRDefault="00D6567F" w:rsidP="00694840">
      <w:pPr>
        <w:spacing w:after="0" w:line="264" w:lineRule="auto"/>
        <w:jc w:val="both"/>
        <w:rPr>
          <w:rFonts w:ascii="Verdana" w:hAnsi="Verdana" w:cs="Arial"/>
          <w:sz w:val="24"/>
          <w:szCs w:val="24"/>
        </w:rPr>
      </w:pPr>
    </w:p>
    <w:p w14:paraId="4E9E7D1C" w14:textId="77777777" w:rsidR="00D6567F" w:rsidRPr="00694840" w:rsidRDefault="00D6567F" w:rsidP="00694840">
      <w:pPr>
        <w:tabs>
          <w:tab w:val="left" w:pos="6480"/>
        </w:tabs>
        <w:spacing w:after="0" w:line="264" w:lineRule="auto"/>
        <w:jc w:val="both"/>
        <w:rPr>
          <w:rFonts w:ascii="Verdana" w:hAnsi="Verdana" w:cs="Arial"/>
          <w:b/>
          <w:bCs/>
          <w:sz w:val="24"/>
          <w:szCs w:val="24"/>
        </w:rPr>
      </w:pPr>
      <w:r w:rsidRPr="00694840">
        <w:rPr>
          <w:rFonts w:ascii="Verdana" w:hAnsi="Verdana" w:cs="Arial"/>
          <w:b/>
          <w:bCs/>
          <w:sz w:val="24"/>
          <w:szCs w:val="24"/>
        </w:rPr>
        <w:t>I.1. La demanda.</w:t>
      </w:r>
    </w:p>
    <w:p w14:paraId="4E9E7D1D" w14:textId="77777777" w:rsidR="00D6567F" w:rsidRPr="00694840" w:rsidRDefault="00D6567F" w:rsidP="00694840">
      <w:pPr>
        <w:tabs>
          <w:tab w:val="left" w:pos="6480"/>
        </w:tabs>
        <w:spacing w:after="0" w:line="264" w:lineRule="auto"/>
        <w:jc w:val="both"/>
        <w:rPr>
          <w:rFonts w:ascii="Verdana" w:hAnsi="Verdana" w:cs="Arial"/>
          <w:b/>
          <w:bCs/>
          <w:sz w:val="24"/>
          <w:szCs w:val="24"/>
        </w:rPr>
      </w:pPr>
    </w:p>
    <w:p w14:paraId="4E9E7D1E" w14:textId="54084A07" w:rsidR="00D6567F" w:rsidRPr="00694840" w:rsidRDefault="00D6567F" w:rsidP="00694840">
      <w:pPr>
        <w:tabs>
          <w:tab w:val="left" w:pos="6480"/>
        </w:tabs>
        <w:spacing w:after="0" w:line="264" w:lineRule="auto"/>
        <w:jc w:val="both"/>
        <w:rPr>
          <w:rFonts w:ascii="Verdana" w:hAnsi="Verdana"/>
          <w:sz w:val="24"/>
          <w:szCs w:val="24"/>
        </w:rPr>
      </w:pPr>
      <w:r w:rsidRPr="00694840">
        <w:rPr>
          <w:rFonts w:ascii="Verdana" w:hAnsi="Verdana" w:cs="Arial"/>
          <w:sz w:val="24"/>
          <w:szCs w:val="24"/>
        </w:rPr>
        <w:t>Héctor Mauricio Sánchez Abril</w:t>
      </w:r>
      <w:r w:rsidR="00C61C9E">
        <w:rPr>
          <w:rFonts w:ascii="Verdana" w:hAnsi="Verdana" w:cs="Arial"/>
          <w:sz w:val="24"/>
          <w:szCs w:val="24"/>
        </w:rPr>
        <w:t xml:space="preserve"> y otros</w:t>
      </w:r>
      <w:r w:rsidR="00061F37" w:rsidRPr="00694840">
        <w:rPr>
          <w:rFonts w:ascii="Verdana" w:hAnsi="Verdana" w:cs="Arial"/>
          <w:sz w:val="24"/>
          <w:szCs w:val="24"/>
        </w:rPr>
        <w:t>, a través de apoderado judicial</w:t>
      </w:r>
      <w:r w:rsidRPr="00694840">
        <w:rPr>
          <w:rFonts w:ascii="Verdana" w:hAnsi="Verdana" w:cs="Arial"/>
          <w:sz w:val="24"/>
          <w:szCs w:val="24"/>
        </w:rPr>
        <w:t>, y en ejercicio del medio de control de nulidad y restablecimiento del derecho previsto en el artículo 138 de</w:t>
      </w:r>
      <w:r w:rsidR="00694840">
        <w:rPr>
          <w:rFonts w:ascii="Verdana" w:hAnsi="Verdana" w:cs="Arial"/>
          <w:sz w:val="24"/>
          <w:szCs w:val="24"/>
        </w:rPr>
        <w:t xml:space="preserve"> </w:t>
      </w:r>
      <w:r w:rsidRPr="00694840">
        <w:rPr>
          <w:rFonts w:ascii="Verdana" w:hAnsi="Verdana" w:cs="Arial"/>
          <w:sz w:val="24"/>
          <w:szCs w:val="24"/>
        </w:rPr>
        <w:t>l</w:t>
      </w:r>
      <w:r w:rsidR="00694840">
        <w:rPr>
          <w:rFonts w:ascii="Verdana" w:hAnsi="Verdana" w:cs="Arial"/>
          <w:sz w:val="24"/>
          <w:szCs w:val="24"/>
        </w:rPr>
        <w:t>a Ley 1437 de 2011 (en adelante</w:t>
      </w:r>
      <w:r w:rsidRPr="00694840">
        <w:rPr>
          <w:rFonts w:ascii="Verdana" w:hAnsi="Verdana" w:cs="Arial"/>
          <w:sz w:val="24"/>
          <w:szCs w:val="24"/>
        </w:rPr>
        <w:t xml:space="preserve"> </w:t>
      </w:r>
      <w:r w:rsidRPr="00694840">
        <w:rPr>
          <w:rFonts w:ascii="Verdana" w:hAnsi="Verdana" w:cs="Arial"/>
          <w:b/>
          <w:bCs/>
          <w:sz w:val="24"/>
          <w:szCs w:val="24"/>
        </w:rPr>
        <w:t>CPACA</w:t>
      </w:r>
      <w:r w:rsidR="00694840">
        <w:rPr>
          <w:rFonts w:ascii="Verdana" w:hAnsi="Verdana" w:cs="Arial"/>
          <w:sz w:val="24"/>
          <w:szCs w:val="24"/>
        </w:rPr>
        <w:t>)</w:t>
      </w:r>
      <w:r w:rsidRPr="00694840">
        <w:rPr>
          <w:rFonts w:ascii="Verdana" w:hAnsi="Verdana" w:cs="Arial"/>
          <w:sz w:val="24"/>
          <w:szCs w:val="24"/>
        </w:rPr>
        <w:t xml:space="preserve">, </w:t>
      </w:r>
      <w:r w:rsidR="00061F37" w:rsidRPr="00694840">
        <w:rPr>
          <w:rFonts w:ascii="Verdana" w:hAnsi="Verdana" w:cs="Arial"/>
          <w:sz w:val="24"/>
          <w:szCs w:val="24"/>
        </w:rPr>
        <w:t>instauraron</w:t>
      </w:r>
      <w:r w:rsidRPr="00694840">
        <w:rPr>
          <w:rFonts w:ascii="Verdana" w:hAnsi="Verdana" w:cs="Arial"/>
          <w:sz w:val="24"/>
          <w:szCs w:val="24"/>
        </w:rPr>
        <w:t xml:space="preserve"> demanda contra el </w:t>
      </w:r>
      <w:r w:rsidR="00694840">
        <w:rPr>
          <w:rFonts w:ascii="Verdana" w:hAnsi="Verdana" w:cs="Arial"/>
          <w:sz w:val="24"/>
          <w:szCs w:val="24"/>
        </w:rPr>
        <w:t>m</w:t>
      </w:r>
      <w:r w:rsidRPr="00694840">
        <w:rPr>
          <w:rFonts w:ascii="Verdana" w:hAnsi="Verdana" w:cs="Arial"/>
          <w:sz w:val="24"/>
          <w:szCs w:val="24"/>
        </w:rPr>
        <w:t>unicipio de Tunja</w:t>
      </w:r>
      <w:r w:rsidR="008A023C" w:rsidRPr="00694840">
        <w:rPr>
          <w:rFonts w:ascii="Verdana" w:hAnsi="Verdana" w:cs="Arial"/>
          <w:sz w:val="24"/>
          <w:szCs w:val="24"/>
        </w:rPr>
        <w:t xml:space="preserve"> y el </w:t>
      </w:r>
      <w:r w:rsidRPr="00694840">
        <w:rPr>
          <w:rFonts w:ascii="Verdana" w:hAnsi="Verdana" w:cs="Arial"/>
          <w:sz w:val="24"/>
          <w:szCs w:val="24"/>
        </w:rPr>
        <w:t xml:space="preserve">Concejo </w:t>
      </w:r>
      <w:r w:rsidR="00694840">
        <w:rPr>
          <w:rFonts w:ascii="Verdana" w:hAnsi="Verdana" w:cs="Arial"/>
          <w:sz w:val="24"/>
          <w:szCs w:val="24"/>
        </w:rPr>
        <w:t>m</w:t>
      </w:r>
      <w:r w:rsidRPr="00694840">
        <w:rPr>
          <w:rFonts w:ascii="Verdana" w:hAnsi="Verdana" w:cs="Arial"/>
          <w:sz w:val="24"/>
          <w:szCs w:val="24"/>
        </w:rPr>
        <w:t xml:space="preserve">unicipal de Tunja </w:t>
      </w:r>
      <w:r w:rsidR="008A023C" w:rsidRPr="00694840">
        <w:rPr>
          <w:rFonts w:ascii="Verdana" w:hAnsi="Verdana" w:cs="Arial"/>
          <w:sz w:val="24"/>
          <w:szCs w:val="24"/>
        </w:rPr>
        <w:t xml:space="preserve">a </w:t>
      </w:r>
      <w:r w:rsidR="008E40F5">
        <w:rPr>
          <w:rFonts w:ascii="Verdana" w:hAnsi="Verdana" w:cs="Arial"/>
          <w:sz w:val="24"/>
          <w:szCs w:val="24"/>
        </w:rPr>
        <w:t>fin</w:t>
      </w:r>
      <w:r w:rsidR="008A023C" w:rsidRPr="00694840">
        <w:rPr>
          <w:rFonts w:ascii="Verdana" w:hAnsi="Verdana" w:cs="Arial"/>
          <w:sz w:val="24"/>
          <w:szCs w:val="24"/>
        </w:rPr>
        <w:t xml:space="preserve"> de que se declare la nulidad de las Resoluciones Nros. </w:t>
      </w:r>
      <w:r w:rsidR="008A023C" w:rsidRPr="00694840">
        <w:rPr>
          <w:rFonts w:ascii="Verdana" w:hAnsi="Verdana"/>
          <w:sz w:val="24"/>
          <w:szCs w:val="24"/>
        </w:rPr>
        <w:t>074 del 26 de diciembre de 2017, 07 del 26 de enero de 2018 y 025 del 05 de abril de 2018, emitidas por la M</w:t>
      </w:r>
      <w:r w:rsidR="008E40F5">
        <w:rPr>
          <w:rFonts w:ascii="Verdana" w:hAnsi="Verdana"/>
          <w:sz w:val="24"/>
          <w:szCs w:val="24"/>
        </w:rPr>
        <w:t xml:space="preserve">esa </w:t>
      </w:r>
      <w:r w:rsidR="008A023C" w:rsidRPr="00694840">
        <w:rPr>
          <w:rFonts w:ascii="Verdana" w:hAnsi="Verdana"/>
          <w:sz w:val="24"/>
          <w:szCs w:val="24"/>
        </w:rPr>
        <w:t>D</w:t>
      </w:r>
      <w:r w:rsidR="008E40F5">
        <w:rPr>
          <w:rFonts w:ascii="Verdana" w:hAnsi="Verdana"/>
          <w:sz w:val="24"/>
          <w:szCs w:val="24"/>
        </w:rPr>
        <w:t xml:space="preserve">irectiva del </w:t>
      </w:r>
      <w:r w:rsidR="008A023C" w:rsidRPr="00694840">
        <w:rPr>
          <w:rFonts w:ascii="Verdana" w:hAnsi="Verdana"/>
          <w:sz w:val="24"/>
          <w:szCs w:val="24"/>
        </w:rPr>
        <w:t>C</w:t>
      </w:r>
      <w:r w:rsidR="008E40F5">
        <w:rPr>
          <w:rFonts w:ascii="Verdana" w:hAnsi="Verdana"/>
          <w:sz w:val="24"/>
          <w:szCs w:val="24"/>
        </w:rPr>
        <w:t>oncejo municipal de Tunja.</w:t>
      </w:r>
    </w:p>
    <w:p w14:paraId="4E9E7D1F" w14:textId="77777777" w:rsidR="008A023C" w:rsidRPr="00694840" w:rsidRDefault="008A023C" w:rsidP="00694840">
      <w:pPr>
        <w:tabs>
          <w:tab w:val="left" w:pos="6480"/>
        </w:tabs>
        <w:spacing w:after="0" w:line="264" w:lineRule="auto"/>
        <w:jc w:val="both"/>
        <w:rPr>
          <w:rFonts w:ascii="Verdana" w:hAnsi="Verdana"/>
          <w:sz w:val="24"/>
          <w:szCs w:val="24"/>
        </w:rPr>
      </w:pPr>
    </w:p>
    <w:p w14:paraId="4E9E7D20" w14:textId="1801E0B3" w:rsidR="008A023C" w:rsidRPr="00694840" w:rsidRDefault="008A023C" w:rsidP="00694840">
      <w:pPr>
        <w:tabs>
          <w:tab w:val="left" w:pos="6480"/>
        </w:tabs>
        <w:spacing w:after="0" w:line="264" w:lineRule="auto"/>
        <w:jc w:val="both"/>
        <w:rPr>
          <w:rFonts w:ascii="Verdana" w:hAnsi="Verdana" w:cs="Arial"/>
          <w:sz w:val="24"/>
          <w:szCs w:val="24"/>
        </w:rPr>
      </w:pPr>
      <w:r w:rsidRPr="00694840">
        <w:rPr>
          <w:rFonts w:ascii="Verdana" w:hAnsi="Verdana"/>
          <w:sz w:val="24"/>
          <w:szCs w:val="24"/>
        </w:rPr>
        <w:t>Como consecuencia de la anterior decla</w:t>
      </w:r>
      <w:r w:rsidR="00061F37" w:rsidRPr="00694840">
        <w:rPr>
          <w:rFonts w:ascii="Verdana" w:hAnsi="Verdana"/>
          <w:sz w:val="24"/>
          <w:szCs w:val="24"/>
        </w:rPr>
        <w:t>ración, solicitaron se condene a la entidad demandada a repararles los perjuicios materiales y morales que se les ocasi</w:t>
      </w:r>
      <w:r w:rsidR="00E22218">
        <w:rPr>
          <w:rFonts w:ascii="Verdana" w:hAnsi="Verdana"/>
          <w:sz w:val="24"/>
          <w:szCs w:val="24"/>
        </w:rPr>
        <w:t xml:space="preserve">onó </w:t>
      </w:r>
      <w:r w:rsidR="00061F37" w:rsidRPr="00694840">
        <w:rPr>
          <w:rFonts w:ascii="Verdana" w:hAnsi="Verdana"/>
          <w:sz w:val="24"/>
          <w:szCs w:val="24"/>
        </w:rPr>
        <w:t xml:space="preserve">con la expedición de los actos administrativos, en la modalidad de lucro cesante, daño emergente y daño moral. </w:t>
      </w:r>
    </w:p>
    <w:p w14:paraId="4E9E7D21" w14:textId="77777777" w:rsidR="00D6567F" w:rsidRPr="00694840" w:rsidRDefault="00D6567F" w:rsidP="00694840">
      <w:pPr>
        <w:tabs>
          <w:tab w:val="left" w:pos="6480"/>
        </w:tabs>
        <w:spacing w:after="0" w:line="264" w:lineRule="auto"/>
        <w:jc w:val="both"/>
        <w:rPr>
          <w:rFonts w:ascii="Verdana" w:hAnsi="Verdana" w:cs="Arial"/>
          <w:sz w:val="24"/>
          <w:szCs w:val="24"/>
        </w:rPr>
      </w:pPr>
    </w:p>
    <w:p w14:paraId="4E9E7D22" w14:textId="77777777" w:rsidR="00D6567F" w:rsidRPr="00694840" w:rsidRDefault="00D6567F" w:rsidP="00694840">
      <w:pPr>
        <w:spacing w:after="0" w:line="264" w:lineRule="auto"/>
        <w:jc w:val="both"/>
        <w:rPr>
          <w:rFonts w:ascii="Verdana" w:hAnsi="Verdana" w:cs="Arial"/>
          <w:sz w:val="24"/>
          <w:szCs w:val="24"/>
        </w:rPr>
      </w:pPr>
      <w:r w:rsidRPr="00694840">
        <w:rPr>
          <w:rFonts w:ascii="Verdana" w:hAnsi="Verdana" w:cs="Arial"/>
          <w:b/>
          <w:bCs/>
          <w:sz w:val="24"/>
          <w:szCs w:val="24"/>
        </w:rPr>
        <w:t xml:space="preserve">I.2. </w:t>
      </w:r>
      <w:r w:rsidR="00CF3B24" w:rsidRPr="00694840">
        <w:rPr>
          <w:rFonts w:ascii="Verdana" w:hAnsi="Verdana" w:cs="Arial"/>
          <w:b/>
          <w:bCs/>
          <w:sz w:val="24"/>
          <w:szCs w:val="24"/>
        </w:rPr>
        <w:t xml:space="preserve">Resolución de la excepción de inepta demanda. </w:t>
      </w:r>
    </w:p>
    <w:p w14:paraId="4E9E7D23" w14:textId="77777777" w:rsidR="00D6567F" w:rsidRPr="00694840" w:rsidRDefault="00D6567F" w:rsidP="00694840">
      <w:pPr>
        <w:spacing w:after="0" w:line="264" w:lineRule="auto"/>
        <w:jc w:val="both"/>
        <w:rPr>
          <w:rFonts w:ascii="Verdana" w:hAnsi="Verdana" w:cs="Arial"/>
          <w:sz w:val="24"/>
          <w:szCs w:val="24"/>
        </w:rPr>
      </w:pPr>
    </w:p>
    <w:p w14:paraId="4E9E7D24" w14:textId="5161C376" w:rsidR="00CF3B24" w:rsidRPr="00694840" w:rsidRDefault="00CF3B24" w:rsidP="00694840">
      <w:pPr>
        <w:spacing w:after="0" w:line="264" w:lineRule="auto"/>
        <w:jc w:val="both"/>
        <w:rPr>
          <w:rFonts w:ascii="Verdana" w:hAnsi="Verdana" w:cs="Arial"/>
          <w:sz w:val="24"/>
          <w:szCs w:val="24"/>
        </w:rPr>
      </w:pPr>
      <w:r w:rsidRPr="00694840">
        <w:rPr>
          <w:rFonts w:ascii="Verdana" w:hAnsi="Verdana" w:cs="Arial"/>
          <w:sz w:val="24"/>
          <w:szCs w:val="24"/>
        </w:rPr>
        <w:t xml:space="preserve">El </w:t>
      </w:r>
      <w:r w:rsidR="00791D20" w:rsidRPr="00E22218">
        <w:rPr>
          <w:rFonts w:ascii="Verdana" w:hAnsi="Verdana" w:cs="Arial"/>
          <w:i/>
          <w:iCs/>
          <w:sz w:val="24"/>
          <w:szCs w:val="24"/>
        </w:rPr>
        <w:t>a</w:t>
      </w:r>
      <w:r w:rsidRPr="00E22218">
        <w:rPr>
          <w:rFonts w:ascii="Verdana" w:hAnsi="Verdana" w:cs="Arial"/>
          <w:i/>
          <w:iCs/>
          <w:sz w:val="24"/>
          <w:szCs w:val="24"/>
        </w:rPr>
        <w:t xml:space="preserve"> quo</w:t>
      </w:r>
      <w:r w:rsidR="00791D20">
        <w:rPr>
          <w:rFonts w:ascii="Verdana" w:hAnsi="Verdana" w:cs="Arial"/>
          <w:sz w:val="24"/>
          <w:szCs w:val="24"/>
        </w:rPr>
        <w:t>,</w:t>
      </w:r>
      <w:r w:rsidRPr="00694840">
        <w:rPr>
          <w:rFonts w:ascii="Verdana" w:hAnsi="Verdana" w:cs="Arial"/>
          <w:sz w:val="24"/>
          <w:szCs w:val="24"/>
        </w:rPr>
        <w:t xml:space="preserve"> a través de la providencia de 1° de octubre de 2020</w:t>
      </w:r>
      <w:r w:rsidR="00791D20">
        <w:rPr>
          <w:rFonts w:ascii="Verdana" w:hAnsi="Verdana" w:cs="Arial"/>
          <w:sz w:val="24"/>
          <w:szCs w:val="24"/>
        </w:rPr>
        <w:t>,</w:t>
      </w:r>
      <w:r w:rsidRPr="00694840">
        <w:rPr>
          <w:rFonts w:ascii="Verdana" w:hAnsi="Verdana" w:cs="Arial"/>
          <w:sz w:val="24"/>
          <w:szCs w:val="24"/>
        </w:rPr>
        <w:t xml:space="preserve"> </w:t>
      </w:r>
      <w:r w:rsidR="00791D20">
        <w:rPr>
          <w:rFonts w:ascii="Verdana" w:hAnsi="Verdana" w:cs="Arial"/>
          <w:sz w:val="24"/>
          <w:szCs w:val="24"/>
        </w:rPr>
        <w:t>declaró</w:t>
      </w:r>
      <w:r w:rsidR="00E22218">
        <w:rPr>
          <w:rFonts w:ascii="Verdana" w:hAnsi="Verdana" w:cs="Arial"/>
          <w:sz w:val="24"/>
          <w:szCs w:val="24"/>
        </w:rPr>
        <w:t xml:space="preserve">, de oficio, </w:t>
      </w:r>
      <w:r w:rsidRPr="00694840">
        <w:rPr>
          <w:rFonts w:ascii="Verdana" w:hAnsi="Verdana" w:cs="Arial"/>
          <w:sz w:val="24"/>
          <w:szCs w:val="24"/>
        </w:rPr>
        <w:t>la excepción de inepta demanda, y</w:t>
      </w:r>
      <w:r w:rsidR="00A405F6">
        <w:rPr>
          <w:rFonts w:ascii="Verdana" w:hAnsi="Verdana" w:cs="Arial"/>
          <w:sz w:val="24"/>
          <w:szCs w:val="24"/>
        </w:rPr>
        <w:t>,</w:t>
      </w:r>
      <w:r w:rsidRPr="00694840">
        <w:rPr>
          <w:rFonts w:ascii="Verdana" w:hAnsi="Verdana" w:cs="Arial"/>
          <w:sz w:val="24"/>
          <w:szCs w:val="24"/>
        </w:rPr>
        <w:t xml:space="preserve"> en consecuencia, dio por terminado el proceso de la referencia. </w:t>
      </w:r>
    </w:p>
    <w:p w14:paraId="4E9E7D25" w14:textId="77777777" w:rsidR="00CF3B24" w:rsidRPr="00694840" w:rsidRDefault="00CF3B24" w:rsidP="00694840">
      <w:pPr>
        <w:spacing w:after="0" w:line="264" w:lineRule="auto"/>
        <w:jc w:val="both"/>
        <w:rPr>
          <w:rFonts w:ascii="Verdana" w:hAnsi="Verdana" w:cs="Arial"/>
          <w:sz w:val="24"/>
          <w:szCs w:val="24"/>
        </w:rPr>
      </w:pPr>
    </w:p>
    <w:p w14:paraId="4E9E7D26" w14:textId="5D0CCA7B" w:rsidR="0014393B" w:rsidRPr="00694840" w:rsidRDefault="00CF3B24" w:rsidP="00694840">
      <w:pPr>
        <w:spacing w:after="0" w:line="264" w:lineRule="auto"/>
        <w:jc w:val="both"/>
        <w:rPr>
          <w:rFonts w:ascii="Verdana" w:hAnsi="Verdana" w:cs="Arial"/>
          <w:sz w:val="24"/>
          <w:szCs w:val="24"/>
        </w:rPr>
      </w:pPr>
      <w:r w:rsidRPr="00694840">
        <w:rPr>
          <w:rFonts w:ascii="Verdana" w:hAnsi="Verdana" w:cs="Arial"/>
          <w:sz w:val="24"/>
          <w:szCs w:val="24"/>
        </w:rPr>
        <w:t>Luego de hacer una amplia exposición sobre los actos definitivos de trámite y de aquellos que son susceptibles de cont</w:t>
      </w:r>
      <w:r w:rsidR="001B0D16" w:rsidRPr="00694840">
        <w:rPr>
          <w:rFonts w:ascii="Verdana" w:hAnsi="Verdana" w:cs="Arial"/>
          <w:sz w:val="24"/>
          <w:szCs w:val="24"/>
        </w:rPr>
        <w:t>rol judicial, concluyó que las</w:t>
      </w:r>
      <w:r w:rsidRPr="00694840">
        <w:rPr>
          <w:rFonts w:ascii="Verdana" w:hAnsi="Verdana" w:cs="Arial"/>
          <w:sz w:val="24"/>
          <w:szCs w:val="24"/>
        </w:rPr>
        <w:t xml:space="preserve"> resoluciones acusadas no eran demandables</w:t>
      </w:r>
      <w:r w:rsidR="0014393B" w:rsidRPr="00694840">
        <w:rPr>
          <w:rFonts w:ascii="Verdana" w:hAnsi="Verdana" w:cs="Arial"/>
          <w:sz w:val="24"/>
          <w:szCs w:val="24"/>
        </w:rPr>
        <w:t>, como quiera que solo se limitaron a cumplir la orden de suspensión emitida por el Consejo Nacional de Ética del Partido Alianza Verde</w:t>
      </w:r>
      <w:r w:rsidRPr="00694840">
        <w:rPr>
          <w:rFonts w:ascii="Verdana" w:hAnsi="Verdana" w:cs="Arial"/>
          <w:sz w:val="24"/>
          <w:szCs w:val="24"/>
        </w:rPr>
        <w:t>.</w:t>
      </w:r>
    </w:p>
    <w:p w14:paraId="4E9E7D27" w14:textId="77777777" w:rsidR="0014393B" w:rsidRPr="00694840" w:rsidRDefault="0014393B" w:rsidP="00694840">
      <w:pPr>
        <w:spacing w:after="0" w:line="264" w:lineRule="auto"/>
        <w:jc w:val="both"/>
        <w:rPr>
          <w:rFonts w:ascii="Verdana" w:hAnsi="Verdana" w:cs="Arial"/>
          <w:sz w:val="24"/>
          <w:szCs w:val="24"/>
        </w:rPr>
      </w:pPr>
    </w:p>
    <w:p w14:paraId="4E9E7D2A" w14:textId="0689C54C" w:rsidR="00CF3B24" w:rsidRPr="00694840" w:rsidRDefault="008E40F5" w:rsidP="00694840">
      <w:pPr>
        <w:spacing w:after="0" w:line="264" w:lineRule="auto"/>
        <w:jc w:val="both"/>
        <w:rPr>
          <w:rFonts w:ascii="Verdana" w:hAnsi="Verdana"/>
          <w:sz w:val="24"/>
          <w:szCs w:val="24"/>
        </w:rPr>
      </w:pPr>
      <w:r>
        <w:rPr>
          <w:rFonts w:ascii="Verdana" w:hAnsi="Verdana" w:cs="Arial"/>
          <w:sz w:val="24"/>
          <w:szCs w:val="24"/>
        </w:rPr>
        <w:t>R</w:t>
      </w:r>
      <w:r w:rsidR="0014393B" w:rsidRPr="00694840">
        <w:rPr>
          <w:rFonts w:ascii="Verdana" w:hAnsi="Verdana" w:cs="Arial"/>
          <w:sz w:val="24"/>
          <w:szCs w:val="24"/>
        </w:rPr>
        <w:t>esaltó que</w:t>
      </w:r>
      <w:r w:rsidR="00CF3B24" w:rsidRPr="00694840">
        <w:rPr>
          <w:rFonts w:ascii="Verdana" w:hAnsi="Verdana" w:cs="Arial"/>
          <w:sz w:val="24"/>
          <w:szCs w:val="24"/>
        </w:rPr>
        <w:t xml:space="preserve"> el auto </w:t>
      </w:r>
      <w:r w:rsidR="0014393B" w:rsidRPr="00694840">
        <w:rPr>
          <w:rFonts w:ascii="Verdana" w:hAnsi="Verdana" w:cs="Arial"/>
          <w:sz w:val="24"/>
          <w:szCs w:val="24"/>
        </w:rPr>
        <w:t>de 19 de diciembre de 2017</w:t>
      </w:r>
      <w:r w:rsidR="007E5D90">
        <w:rPr>
          <w:rFonts w:ascii="Verdana" w:hAnsi="Verdana" w:cs="Arial"/>
          <w:sz w:val="24"/>
          <w:szCs w:val="24"/>
        </w:rPr>
        <w:t>,</w:t>
      </w:r>
      <w:r w:rsidR="0014393B" w:rsidRPr="00694840">
        <w:rPr>
          <w:rFonts w:ascii="Verdana" w:hAnsi="Verdana" w:cs="Arial"/>
          <w:sz w:val="24"/>
          <w:szCs w:val="24"/>
        </w:rPr>
        <w:t xml:space="preserve"> </w:t>
      </w:r>
      <w:r w:rsidR="00CF3B24" w:rsidRPr="00694840">
        <w:rPr>
          <w:rFonts w:ascii="Verdana" w:hAnsi="Verdana" w:cs="Arial"/>
          <w:sz w:val="24"/>
          <w:szCs w:val="24"/>
        </w:rPr>
        <w:t xml:space="preserve">expedido por </w:t>
      </w:r>
      <w:r w:rsidR="00CF3B24" w:rsidRPr="00694840">
        <w:rPr>
          <w:rFonts w:ascii="Verdana" w:hAnsi="Verdana"/>
          <w:sz w:val="24"/>
          <w:szCs w:val="24"/>
        </w:rPr>
        <w:t>el Consejo Nacional de Ética del Partido Alianza Verde</w:t>
      </w:r>
      <w:r w:rsidR="007E5D90">
        <w:rPr>
          <w:rFonts w:ascii="Verdana" w:hAnsi="Verdana"/>
          <w:sz w:val="24"/>
          <w:szCs w:val="24"/>
        </w:rPr>
        <w:t>,</w:t>
      </w:r>
      <w:r w:rsidR="00CF3B24" w:rsidRPr="00694840">
        <w:rPr>
          <w:rFonts w:ascii="Verdana" w:hAnsi="Verdana"/>
          <w:sz w:val="24"/>
          <w:szCs w:val="24"/>
        </w:rPr>
        <w:t xml:space="preserve"> que ordenó la suspens</w:t>
      </w:r>
      <w:r w:rsidR="0014393B" w:rsidRPr="00694840">
        <w:rPr>
          <w:rFonts w:ascii="Verdana" w:hAnsi="Verdana"/>
          <w:sz w:val="24"/>
          <w:szCs w:val="24"/>
        </w:rPr>
        <w:t>ión del</w:t>
      </w:r>
      <w:r w:rsidR="00CF3B24" w:rsidRPr="00694840">
        <w:rPr>
          <w:rFonts w:ascii="Verdana" w:hAnsi="Verdana"/>
          <w:sz w:val="24"/>
          <w:szCs w:val="24"/>
        </w:rPr>
        <w:t xml:space="preserve"> demandante </w:t>
      </w:r>
      <w:r w:rsidR="0014393B" w:rsidRPr="00694840">
        <w:rPr>
          <w:rFonts w:ascii="Verdana" w:hAnsi="Verdana"/>
          <w:sz w:val="24"/>
          <w:szCs w:val="24"/>
        </w:rPr>
        <w:t xml:space="preserve">en </w:t>
      </w:r>
      <w:r w:rsidR="00CF3B24" w:rsidRPr="00694840">
        <w:rPr>
          <w:rFonts w:ascii="Verdana" w:hAnsi="Verdana"/>
          <w:sz w:val="24"/>
          <w:szCs w:val="24"/>
        </w:rPr>
        <w:t xml:space="preserve">su condición de concejal y sus dos prórrogas, </w:t>
      </w:r>
      <w:r w:rsidR="0014393B" w:rsidRPr="00694840">
        <w:rPr>
          <w:rFonts w:ascii="Verdana" w:hAnsi="Verdana"/>
          <w:sz w:val="24"/>
          <w:szCs w:val="24"/>
        </w:rPr>
        <w:t xml:space="preserve">constituían los actos administrativos que definieron </w:t>
      </w:r>
      <w:r>
        <w:rPr>
          <w:rFonts w:ascii="Verdana" w:hAnsi="Verdana"/>
          <w:sz w:val="24"/>
          <w:szCs w:val="24"/>
        </w:rPr>
        <w:t xml:space="preserve">su </w:t>
      </w:r>
      <w:r w:rsidR="0014393B" w:rsidRPr="00694840">
        <w:rPr>
          <w:rFonts w:ascii="Verdana" w:hAnsi="Verdana"/>
          <w:sz w:val="24"/>
          <w:szCs w:val="24"/>
        </w:rPr>
        <w:t>situación particular y que</w:t>
      </w:r>
      <w:r w:rsidR="007E5D90">
        <w:rPr>
          <w:rFonts w:ascii="Verdana" w:hAnsi="Verdana"/>
          <w:sz w:val="24"/>
          <w:szCs w:val="24"/>
        </w:rPr>
        <w:t>,</w:t>
      </w:r>
      <w:r w:rsidR="0014393B" w:rsidRPr="00694840">
        <w:rPr>
          <w:rFonts w:ascii="Verdana" w:hAnsi="Verdana"/>
          <w:sz w:val="24"/>
          <w:szCs w:val="24"/>
        </w:rPr>
        <w:t xml:space="preserve"> aparentemente</w:t>
      </w:r>
      <w:r w:rsidR="00C7205F" w:rsidRPr="00694840">
        <w:rPr>
          <w:rFonts w:ascii="Verdana" w:hAnsi="Verdana"/>
          <w:sz w:val="24"/>
          <w:szCs w:val="24"/>
        </w:rPr>
        <w:t>,</w:t>
      </w:r>
      <w:r w:rsidR="0014393B" w:rsidRPr="00694840">
        <w:rPr>
          <w:rFonts w:ascii="Verdana" w:hAnsi="Verdana"/>
          <w:sz w:val="24"/>
          <w:szCs w:val="24"/>
        </w:rPr>
        <w:t xml:space="preserve"> generaron la lesión alegada, los cuales ha debido demandar.</w:t>
      </w:r>
      <w:r w:rsidR="00851F87">
        <w:rPr>
          <w:rFonts w:ascii="Verdana" w:hAnsi="Verdana"/>
          <w:sz w:val="24"/>
          <w:szCs w:val="24"/>
        </w:rPr>
        <w:t xml:space="preserve"> </w:t>
      </w:r>
      <w:r w:rsidR="0014393B" w:rsidRPr="00694840">
        <w:rPr>
          <w:rFonts w:ascii="Verdana" w:hAnsi="Verdana"/>
          <w:sz w:val="24"/>
          <w:szCs w:val="24"/>
        </w:rPr>
        <w:t xml:space="preserve">En ese entendido, la </w:t>
      </w:r>
      <w:r w:rsidR="0014393B" w:rsidRPr="00694840">
        <w:rPr>
          <w:rFonts w:ascii="Verdana" w:hAnsi="Verdana"/>
          <w:sz w:val="24"/>
          <w:szCs w:val="24"/>
        </w:rPr>
        <w:lastRenderedPageBreak/>
        <w:t xml:space="preserve">fuente del daño </w:t>
      </w:r>
      <w:r w:rsidR="00CF3B24" w:rsidRPr="00694840">
        <w:rPr>
          <w:rFonts w:ascii="Verdana" w:hAnsi="Verdana"/>
          <w:sz w:val="24"/>
          <w:szCs w:val="24"/>
        </w:rPr>
        <w:t>proviene de la decisión unilateral del Consejo de Ética de suspenderlo</w:t>
      </w:r>
      <w:r w:rsidR="00851F87">
        <w:rPr>
          <w:rFonts w:ascii="Verdana" w:hAnsi="Verdana"/>
          <w:sz w:val="24"/>
          <w:szCs w:val="24"/>
        </w:rPr>
        <w:t>,</w:t>
      </w:r>
      <w:r w:rsidR="00CF3B24" w:rsidRPr="00694840">
        <w:rPr>
          <w:rFonts w:ascii="Verdana" w:hAnsi="Verdana"/>
          <w:sz w:val="24"/>
          <w:szCs w:val="24"/>
        </w:rPr>
        <w:t xml:space="preserve"> ante la cual no se agotó la vía administrativa</w:t>
      </w:r>
      <w:r w:rsidR="00851F87">
        <w:rPr>
          <w:rFonts w:ascii="Verdana" w:hAnsi="Verdana"/>
          <w:sz w:val="24"/>
          <w:szCs w:val="24"/>
        </w:rPr>
        <w:t>.</w:t>
      </w:r>
    </w:p>
    <w:p w14:paraId="4E9E7D2B" w14:textId="77777777" w:rsidR="00C7205F" w:rsidRPr="00694840" w:rsidRDefault="00C7205F" w:rsidP="00694840">
      <w:pPr>
        <w:spacing w:after="0" w:line="264" w:lineRule="auto"/>
        <w:jc w:val="both"/>
        <w:rPr>
          <w:rFonts w:ascii="Verdana" w:hAnsi="Verdana"/>
          <w:sz w:val="24"/>
          <w:szCs w:val="24"/>
        </w:rPr>
      </w:pPr>
    </w:p>
    <w:p w14:paraId="4E9E7D2C" w14:textId="13502CCF" w:rsidR="00CF3B24" w:rsidRPr="00694840" w:rsidRDefault="00C7205F" w:rsidP="00694840">
      <w:pPr>
        <w:spacing w:after="0" w:line="264" w:lineRule="auto"/>
        <w:jc w:val="both"/>
        <w:rPr>
          <w:rFonts w:ascii="Verdana" w:hAnsi="Verdana"/>
          <w:sz w:val="24"/>
          <w:szCs w:val="24"/>
        </w:rPr>
      </w:pPr>
      <w:r w:rsidRPr="00694840">
        <w:rPr>
          <w:rFonts w:ascii="Verdana" w:hAnsi="Verdana"/>
          <w:sz w:val="24"/>
          <w:szCs w:val="24"/>
        </w:rPr>
        <w:t>Y</w:t>
      </w:r>
      <w:r w:rsidR="008E40F5">
        <w:rPr>
          <w:rFonts w:ascii="Verdana" w:hAnsi="Verdana"/>
          <w:sz w:val="24"/>
          <w:szCs w:val="24"/>
        </w:rPr>
        <w:t>,</w:t>
      </w:r>
      <w:r w:rsidRPr="00694840">
        <w:rPr>
          <w:rFonts w:ascii="Verdana" w:hAnsi="Verdana"/>
          <w:sz w:val="24"/>
          <w:szCs w:val="24"/>
        </w:rPr>
        <w:t xml:space="preserve"> por último, señaló que se configur</w:t>
      </w:r>
      <w:r w:rsidR="00851F87">
        <w:rPr>
          <w:rFonts w:ascii="Verdana" w:hAnsi="Verdana"/>
          <w:sz w:val="24"/>
          <w:szCs w:val="24"/>
        </w:rPr>
        <w:t>ó</w:t>
      </w:r>
      <w:r w:rsidRPr="00694840">
        <w:rPr>
          <w:rFonts w:ascii="Verdana" w:hAnsi="Verdana"/>
          <w:sz w:val="24"/>
          <w:szCs w:val="24"/>
        </w:rPr>
        <w:t xml:space="preserve"> la excepción de ineptitud sustantiva de la demanda por incumplimiento de los requisitos formales</w:t>
      </w:r>
      <w:r w:rsidR="0027671B">
        <w:rPr>
          <w:rFonts w:ascii="Verdana" w:hAnsi="Verdana"/>
          <w:sz w:val="24"/>
          <w:szCs w:val="24"/>
        </w:rPr>
        <w:t xml:space="preserve">, toda vez que </w:t>
      </w:r>
      <w:r w:rsidR="00F1735B">
        <w:rPr>
          <w:rFonts w:ascii="Verdana" w:hAnsi="Verdana"/>
          <w:sz w:val="24"/>
          <w:szCs w:val="24"/>
        </w:rPr>
        <w:t>no fueron demandados</w:t>
      </w:r>
      <w:r w:rsidR="00426F29" w:rsidRPr="00694840">
        <w:rPr>
          <w:rFonts w:ascii="Verdana" w:hAnsi="Verdana"/>
          <w:sz w:val="24"/>
          <w:szCs w:val="24"/>
        </w:rPr>
        <w:t xml:space="preserve"> </w:t>
      </w:r>
      <w:r w:rsidR="00F1735B">
        <w:rPr>
          <w:rFonts w:ascii="Verdana" w:hAnsi="Verdana"/>
          <w:sz w:val="24"/>
          <w:szCs w:val="24"/>
        </w:rPr>
        <w:t>lo</w:t>
      </w:r>
      <w:r w:rsidR="00426F29" w:rsidRPr="00694840">
        <w:rPr>
          <w:rFonts w:ascii="Verdana" w:hAnsi="Verdana"/>
          <w:sz w:val="24"/>
          <w:szCs w:val="24"/>
        </w:rPr>
        <w:t>s actos administrativos que verdaderamente concretaron la situación del demandante</w:t>
      </w:r>
      <w:r w:rsidR="0040427E" w:rsidRPr="00694840">
        <w:rPr>
          <w:rFonts w:ascii="Verdana" w:hAnsi="Verdana"/>
          <w:sz w:val="24"/>
          <w:szCs w:val="24"/>
        </w:rPr>
        <w:t>,</w:t>
      </w:r>
      <w:r w:rsidR="00426F29" w:rsidRPr="00694840">
        <w:rPr>
          <w:rFonts w:ascii="Verdana" w:hAnsi="Verdana"/>
          <w:sz w:val="24"/>
          <w:szCs w:val="24"/>
        </w:rPr>
        <w:t xml:space="preserve"> y además, porque no fue demandada la autoridad que los expidió</w:t>
      </w:r>
      <w:r w:rsidR="008E40F5">
        <w:rPr>
          <w:rFonts w:ascii="Verdana" w:hAnsi="Verdana"/>
          <w:sz w:val="24"/>
          <w:szCs w:val="24"/>
        </w:rPr>
        <w:t xml:space="preserve">, el </w:t>
      </w:r>
      <w:r w:rsidRPr="00694840">
        <w:rPr>
          <w:rFonts w:ascii="Verdana" w:hAnsi="Verdana"/>
          <w:sz w:val="24"/>
          <w:szCs w:val="24"/>
        </w:rPr>
        <w:t>Consejo de Ética del Partido Alianza Verdad</w:t>
      </w:r>
      <w:r w:rsidR="008E40F5">
        <w:rPr>
          <w:rFonts w:ascii="Verdana" w:hAnsi="Verdana"/>
          <w:sz w:val="24"/>
          <w:szCs w:val="24"/>
        </w:rPr>
        <w:t>.</w:t>
      </w:r>
    </w:p>
    <w:p w14:paraId="4E9E7D2D" w14:textId="77777777" w:rsidR="00426F29" w:rsidRPr="00694840" w:rsidRDefault="00426F29" w:rsidP="00694840">
      <w:pPr>
        <w:spacing w:after="0" w:line="264" w:lineRule="auto"/>
        <w:jc w:val="both"/>
        <w:rPr>
          <w:rFonts w:ascii="Verdana" w:hAnsi="Verdana" w:cs="Arial"/>
          <w:sz w:val="24"/>
          <w:szCs w:val="24"/>
        </w:rPr>
      </w:pPr>
    </w:p>
    <w:p w14:paraId="4E9E7D2E" w14:textId="77777777" w:rsidR="00D6567F" w:rsidRPr="00694840" w:rsidRDefault="00D6567F" w:rsidP="00694840">
      <w:pPr>
        <w:spacing w:after="0" w:line="264" w:lineRule="auto"/>
        <w:jc w:val="both"/>
        <w:rPr>
          <w:rFonts w:ascii="Verdana" w:hAnsi="Verdana" w:cs="Arial"/>
          <w:b/>
          <w:bCs/>
          <w:sz w:val="24"/>
          <w:szCs w:val="24"/>
        </w:rPr>
      </w:pPr>
      <w:r w:rsidRPr="00694840">
        <w:rPr>
          <w:rFonts w:ascii="Verdana" w:hAnsi="Verdana" w:cs="Arial"/>
          <w:b/>
          <w:bCs/>
          <w:sz w:val="24"/>
          <w:szCs w:val="24"/>
        </w:rPr>
        <w:t>I.3. Recurso de apelación.</w:t>
      </w:r>
    </w:p>
    <w:p w14:paraId="4E9E7D2F" w14:textId="77777777" w:rsidR="00D6567F" w:rsidRPr="00694840" w:rsidRDefault="00D6567F" w:rsidP="00694840">
      <w:pPr>
        <w:pStyle w:val="NormalWeb"/>
        <w:spacing w:before="0" w:beforeAutospacing="0" w:after="0" w:afterAutospacing="0" w:line="264" w:lineRule="auto"/>
        <w:jc w:val="both"/>
        <w:rPr>
          <w:rFonts w:ascii="Verdana" w:hAnsi="Verdana" w:cs="Arial"/>
          <w:b/>
          <w:bCs/>
        </w:rPr>
      </w:pPr>
    </w:p>
    <w:p w14:paraId="4E9E7D30" w14:textId="53E27794" w:rsidR="002679CE" w:rsidRPr="00694840" w:rsidRDefault="002679CE" w:rsidP="00694840">
      <w:pPr>
        <w:pStyle w:val="NormalWeb"/>
        <w:spacing w:before="0" w:beforeAutospacing="0" w:after="0" w:afterAutospacing="0" w:line="264" w:lineRule="auto"/>
        <w:jc w:val="both"/>
        <w:rPr>
          <w:rFonts w:ascii="Verdana" w:hAnsi="Verdana" w:cs="Arial"/>
          <w:bCs/>
        </w:rPr>
      </w:pPr>
      <w:r w:rsidRPr="00694840">
        <w:rPr>
          <w:rFonts w:ascii="Verdana" w:hAnsi="Verdana" w:cs="Arial"/>
          <w:bCs/>
        </w:rPr>
        <w:t>La parte accionante</w:t>
      </w:r>
      <w:r w:rsidR="00F1735B">
        <w:rPr>
          <w:rFonts w:ascii="Verdana" w:hAnsi="Verdana" w:cs="Arial"/>
          <w:bCs/>
        </w:rPr>
        <w:t>,</w:t>
      </w:r>
      <w:r w:rsidRPr="00694840">
        <w:rPr>
          <w:rFonts w:ascii="Verdana" w:hAnsi="Verdana" w:cs="Arial"/>
          <w:bCs/>
        </w:rPr>
        <w:t xml:space="preserve"> en desacuerdo con la decisión adoptada por el </w:t>
      </w:r>
      <w:r w:rsidR="00F1735B" w:rsidRPr="00F1735B">
        <w:rPr>
          <w:rFonts w:ascii="Verdana" w:hAnsi="Verdana" w:cs="Arial"/>
          <w:bCs/>
          <w:i/>
          <w:iCs/>
        </w:rPr>
        <w:t>a</w:t>
      </w:r>
      <w:r w:rsidRPr="00F1735B">
        <w:rPr>
          <w:rFonts w:ascii="Verdana" w:hAnsi="Verdana" w:cs="Arial"/>
          <w:bCs/>
          <w:i/>
          <w:iCs/>
        </w:rPr>
        <w:t xml:space="preserve"> quo</w:t>
      </w:r>
      <w:r w:rsidRPr="00694840">
        <w:rPr>
          <w:rFonts w:ascii="Verdana" w:hAnsi="Verdana" w:cs="Arial"/>
          <w:bCs/>
        </w:rPr>
        <w:t>, procedió a apelarla, con sustento en los siguientes argumentos:</w:t>
      </w:r>
    </w:p>
    <w:p w14:paraId="4E9E7D31" w14:textId="77777777" w:rsidR="002679CE" w:rsidRPr="00694840" w:rsidRDefault="002679CE" w:rsidP="00694840">
      <w:pPr>
        <w:pStyle w:val="NormalWeb"/>
        <w:spacing w:before="0" w:beforeAutospacing="0" w:after="0" w:afterAutospacing="0" w:line="264" w:lineRule="auto"/>
        <w:jc w:val="both"/>
        <w:rPr>
          <w:rFonts w:ascii="Verdana" w:hAnsi="Verdana" w:cs="Arial"/>
          <w:bCs/>
        </w:rPr>
      </w:pPr>
    </w:p>
    <w:p w14:paraId="4E9E7D32" w14:textId="74F8117A" w:rsidR="002679CE" w:rsidRPr="00694840" w:rsidRDefault="00624B07" w:rsidP="00694840">
      <w:pPr>
        <w:pStyle w:val="NormalWeb"/>
        <w:spacing w:before="0" w:beforeAutospacing="0" w:after="0" w:afterAutospacing="0" w:line="264" w:lineRule="auto"/>
        <w:jc w:val="both"/>
        <w:rPr>
          <w:rFonts w:ascii="Verdana" w:hAnsi="Verdana" w:cs="Arial"/>
          <w:bCs/>
        </w:rPr>
      </w:pPr>
      <w:r>
        <w:rPr>
          <w:rFonts w:ascii="Verdana" w:hAnsi="Verdana" w:cs="Arial"/>
          <w:bCs/>
        </w:rPr>
        <w:t>D</w:t>
      </w:r>
      <w:r w:rsidR="002679CE" w:rsidRPr="00694840">
        <w:rPr>
          <w:rFonts w:ascii="Verdana" w:hAnsi="Verdana" w:cs="Arial"/>
          <w:bCs/>
        </w:rPr>
        <w:t>e acuerdo con la jurisprudencia del Consejo de Estado</w:t>
      </w:r>
      <w:r>
        <w:rPr>
          <w:rFonts w:ascii="Verdana" w:hAnsi="Verdana" w:cs="Arial"/>
          <w:bCs/>
        </w:rPr>
        <w:t>,</w:t>
      </w:r>
      <w:r w:rsidR="002679CE" w:rsidRPr="00694840">
        <w:rPr>
          <w:rFonts w:ascii="Verdana" w:hAnsi="Verdana" w:cs="Arial"/>
          <w:bCs/>
        </w:rPr>
        <w:t xml:space="preserve"> la inepta demanda tiene 2 manifestaciones: i) indebida acumulación de pretensiones</w:t>
      </w:r>
      <w:r>
        <w:rPr>
          <w:rFonts w:ascii="Verdana" w:hAnsi="Verdana" w:cs="Arial"/>
          <w:bCs/>
        </w:rPr>
        <w:t>,</w:t>
      </w:r>
      <w:r w:rsidR="002679CE" w:rsidRPr="00694840">
        <w:rPr>
          <w:rFonts w:ascii="Verdana" w:hAnsi="Verdana" w:cs="Arial"/>
          <w:bCs/>
        </w:rPr>
        <w:t xml:space="preserve"> y ii) </w:t>
      </w:r>
      <w:r w:rsidR="008E40F5">
        <w:rPr>
          <w:rFonts w:ascii="Verdana" w:hAnsi="Verdana" w:cs="Arial"/>
          <w:bCs/>
        </w:rPr>
        <w:t>no reunir</w:t>
      </w:r>
      <w:r w:rsidR="002679CE" w:rsidRPr="00694840">
        <w:rPr>
          <w:rFonts w:ascii="Verdana" w:hAnsi="Verdana" w:cs="Arial"/>
          <w:bCs/>
        </w:rPr>
        <w:t xml:space="preserve"> los requisitos legales</w:t>
      </w:r>
      <w:r w:rsidR="008E40F5">
        <w:rPr>
          <w:rFonts w:ascii="Verdana" w:hAnsi="Verdana" w:cs="Arial"/>
          <w:bCs/>
        </w:rPr>
        <w:t>;</w:t>
      </w:r>
      <w:r w:rsidR="002679CE" w:rsidRPr="00694840">
        <w:rPr>
          <w:rFonts w:ascii="Verdana" w:hAnsi="Verdana" w:cs="Arial"/>
          <w:bCs/>
        </w:rPr>
        <w:t xml:space="preserve"> </w:t>
      </w:r>
      <w:r w:rsidR="008E40F5">
        <w:rPr>
          <w:rFonts w:ascii="Verdana" w:hAnsi="Verdana" w:cs="Arial"/>
          <w:bCs/>
        </w:rPr>
        <w:t xml:space="preserve">ambas </w:t>
      </w:r>
      <w:r w:rsidR="004852F7" w:rsidRPr="00694840">
        <w:rPr>
          <w:rFonts w:ascii="Verdana" w:hAnsi="Verdana" w:cs="Arial"/>
          <w:bCs/>
        </w:rPr>
        <w:t xml:space="preserve">circunstancias </w:t>
      </w:r>
      <w:r w:rsidR="002679CE" w:rsidRPr="00694840">
        <w:rPr>
          <w:rFonts w:ascii="Verdana" w:hAnsi="Verdana" w:cs="Arial"/>
          <w:bCs/>
        </w:rPr>
        <w:t>en el caso de marras no se configura</w:t>
      </w:r>
      <w:r w:rsidR="004852F7" w:rsidRPr="00694840">
        <w:rPr>
          <w:rFonts w:ascii="Verdana" w:hAnsi="Verdana" w:cs="Arial"/>
          <w:bCs/>
        </w:rPr>
        <w:t>n</w:t>
      </w:r>
      <w:r w:rsidR="002679CE" w:rsidRPr="00694840">
        <w:rPr>
          <w:rFonts w:ascii="Verdana" w:hAnsi="Verdana" w:cs="Arial"/>
          <w:bCs/>
        </w:rPr>
        <w:t>.</w:t>
      </w:r>
    </w:p>
    <w:p w14:paraId="4E9E7D33" w14:textId="77777777" w:rsidR="002679CE" w:rsidRPr="00694840" w:rsidRDefault="002679CE" w:rsidP="00694840">
      <w:pPr>
        <w:pStyle w:val="NormalWeb"/>
        <w:spacing w:before="0" w:beforeAutospacing="0" w:after="0" w:afterAutospacing="0" w:line="264" w:lineRule="auto"/>
        <w:jc w:val="both"/>
        <w:rPr>
          <w:rFonts w:ascii="Verdana" w:hAnsi="Verdana" w:cs="Arial"/>
          <w:bCs/>
        </w:rPr>
      </w:pPr>
    </w:p>
    <w:p w14:paraId="4E9E7D34" w14:textId="0A1754DE" w:rsidR="002679CE" w:rsidRPr="00694840" w:rsidRDefault="002679CE" w:rsidP="00694840">
      <w:pPr>
        <w:pStyle w:val="NormalWeb"/>
        <w:spacing w:before="0" w:beforeAutospacing="0" w:after="0" w:afterAutospacing="0" w:line="264" w:lineRule="auto"/>
        <w:jc w:val="both"/>
        <w:rPr>
          <w:rFonts w:ascii="Verdana" w:hAnsi="Verdana" w:cs="Arial"/>
          <w:b/>
          <w:bCs/>
        </w:rPr>
      </w:pPr>
      <w:r w:rsidRPr="00694840">
        <w:rPr>
          <w:rFonts w:ascii="Verdana" w:hAnsi="Verdana" w:cs="Arial"/>
          <w:bCs/>
        </w:rPr>
        <w:t xml:space="preserve">Agregó que las Resoluciones </w:t>
      </w:r>
      <w:r w:rsidRPr="00694840">
        <w:rPr>
          <w:rFonts w:ascii="Verdana" w:hAnsi="Verdana"/>
        </w:rPr>
        <w:t xml:space="preserve">074 del 26 de diciembre </w:t>
      </w:r>
      <w:r w:rsidR="00624B07">
        <w:rPr>
          <w:rFonts w:ascii="Verdana" w:hAnsi="Verdana"/>
        </w:rPr>
        <w:t xml:space="preserve">de </w:t>
      </w:r>
      <w:r w:rsidRPr="00694840">
        <w:rPr>
          <w:rFonts w:ascii="Verdana" w:hAnsi="Verdana"/>
        </w:rPr>
        <w:t>2017, 07 de</w:t>
      </w:r>
      <w:r w:rsidR="00624B07">
        <w:rPr>
          <w:rFonts w:ascii="Verdana" w:hAnsi="Verdana"/>
        </w:rPr>
        <w:t>l</w:t>
      </w:r>
      <w:r w:rsidRPr="00694840">
        <w:rPr>
          <w:rFonts w:ascii="Verdana" w:hAnsi="Verdana"/>
        </w:rPr>
        <w:t xml:space="preserve"> 26 de enero </w:t>
      </w:r>
      <w:r w:rsidR="00624B07">
        <w:rPr>
          <w:rFonts w:ascii="Verdana" w:hAnsi="Verdana"/>
        </w:rPr>
        <w:t>de</w:t>
      </w:r>
      <w:r w:rsidRPr="00694840">
        <w:rPr>
          <w:rFonts w:ascii="Verdana" w:hAnsi="Verdana"/>
        </w:rPr>
        <w:t xml:space="preserve"> 2018 y 025 del 5 de abril </w:t>
      </w:r>
      <w:r w:rsidR="00624B07">
        <w:rPr>
          <w:rFonts w:ascii="Verdana" w:hAnsi="Verdana"/>
        </w:rPr>
        <w:t>de</w:t>
      </w:r>
      <w:r w:rsidRPr="00694840">
        <w:rPr>
          <w:rFonts w:ascii="Verdana" w:hAnsi="Verdana"/>
        </w:rPr>
        <w:t xml:space="preserve"> 2018, expedidas por el Concejo Municipal de Tunja, son pasibles de análisis de fondo a través del medio de control impetrado, dado que con las mismas se le imposibilitó el ejercer su dignidad de </w:t>
      </w:r>
      <w:proofErr w:type="gramStart"/>
      <w:r w:rsidRPr="00694840">
        <w:rPr>
          <w:rFonts w:ascii="Verdana" w:hAnsi="Verdana"/>
        </w:rPr>
        <w:t>Concejal</w:t>
      </w:r>
      <w:proofErr w:type="gramEnd"/>
      <w:r w:rsidRPr="00694840">
        <w:rPr>
          <w:rFonts w:ascii="Verdana" w:hAnsi="Verdana"/>
        </w:rPr>
        <w:t xml:space="preserve"> electo para el periodo 2016-2019, pues los citado actos son contrarios a la Constitución Política, en especial, por contravenir los artículos 29, 40, 93, 108, 116, entre otros</w:t>
      </w:r>
      <w:r w:rsidR="004852F7" w:rsidRPr="00694840">
        <w:rPr>
          <w:rFonts w:ascii="Verdana" w:hAnsi="Verdana"/>
        </w:rPr>
        <w:t>.</w:t>
      </w:r>
    </w:p>
    <w:p w14:paraId="4E9E7D35" w14:textId="77777777" w:rsidR="00426F29" w:rsidRPr="00694840" w:rsidRDefault="00426F29" w:rsidP="00694840">
      <w:pPr>
        <w:pStyle w:val="NormalWeb"/>
        <w:spacing w:before="0" w:beforeAutospacing="0" w:after="0" w:afterAutospacing="0" w:line="264" w:lineRule="auto"/>
        <w:jc w:val="both"/>
        <w:rPr>
          <w:rFonts w:ascii="Verdana" w:hAnsi="Verdana" w:cs="Arial"/>
          <w:b/>
          <w:bCs/>
        </w:rPr>
      </w:pPr>
    </w:p>
    <w:p w14:paraId="4E9E7D36" w14:textId="77777777" w:rsidR="00426F29" w:rsidRPr="00694840" w:rsidRDefault="00426F29" w:rsidP="00694840">
      <w:pPr>
        <w:pStyle w:val="NormalWeb"/>
        <w:spacing w:before="0" w:beforeAutospacing="0" w:after="0" w:afterAutospacing="0" w:line="264" w:lineRule="auto"/>
        <w:jc w:val="both"/>
        <w:rPr>
          <w:rFonts w:ascii="Verdana" w:hAnsi="Verdana" w:cs="Arial"/>
          <w:b/>
          <w:bCs/>
        </w:rPr>
      </w:pPr>
    </w:p>
    <w:p w14:paraId="4E9E7D37" w14:textId="77777777" w:rsidR="00D6567F" w:rsidRPr="00791D20" w:rsidRDefault="00D6567F" w:rsidP="00694840">
      <w:pPr>
        <w:pStyle w:val="NormalWeb"/>
        <w:numPr>
          <w:ilvl w:val="0"/>
          <w:numId w:val="1"/>
        </w:numPr>
        <w:spacing w:before="0" w:beforeAutospacing="0" w:after="0" w:afterAutospacing="0" w:line="264" w:lineRule="auto"/>
        <w:ind w:left="0" w:firstLine="0"/>
        <w:jc w:val="center"/>
        <w:rPr>
          <w:rFonts w:ascii="Verdana" w:hAnsi="Verdana" w:cs="Arial"/>
          <w:b/>
          <w:bCs/>
          <w:sz w:val="26"/>
          <w:szCs w:val="26"/>
        </w:rPr>
      </w:pPr>
      <w:r w:rsidRPr="00791D20">
        <w:rPr>
          <w:rFonts w:ascii="Verdana" w:hAnsi="Verdana" w:cs="Arial"/>
          <w:b/>
          <w:bCs/>
          <w:sz w:val="26"/>
          <w:szCs w:val="26"/>
        </w:rPr>
        <w:t>CONSIDERACIONES DE LA SALA</w:t>
      </w:r>
    </w:p>
    <w:p w14:paraId="4E9E7D38" w14:textId="4E67E411" w:rsidR="00D6567F" w:rsidRDefault="00D6567F" w:rsidP="00791D20">
      <w:pPr>
        <w:pStyle w:val="NormalWeb"/>
        <w:spacing w:before="0" w:beforeAutospacing="0" w:after="0" w:afterAutospacing="0" w:line="264" w:lineRule="auto"/>
        <w:rPr>
          <w:rFonts w:ascii="Verdana" w:hAnsi="Verdana" w:cs="Arial"/>
          <w:b/>
          <w:bCs/>
        </w:rPr>
      </w:pPr>
    </w:p>
    <w:p w14:paraId="02A533CD" w14:textId="77777777" w:rsidR="00791D20" w:rsidRPr="00694840" w:rsidRDefault="00791D20" w:rsidP="00791D20">
      <w:pPr>
        <w:pStyle w:val="NormalWeb"/>
        <w:spacing w:before="0" w:beforeAutospacing="0" w:after="0" w:afterAutospacing="0" w:line="264" w:lineRule="auto"/>
        <w:rPr>
          <w:rFonts w:ascii="Verdana" w:hAnsi="Verdana" w:cs="Arial"/>
          <w:b/>
          <w:bCs/>
        </w:rPr>
      </w:pPr>
    </w:p>
    <w:p w14:paraId="4E9E7D39" w14:textId="77777777" w:rsidR="00D6567F" w:rsidRPr="00694840" w:rsidRDefault="00D6567F" w:rsidP="00694840">
      <w:pPr>
        <w:pStyle w:val="Encabezado"/>
        <w:tabs>
          <w:tab w:val="clear" w:pos="4252"/>
          <w:tab w:val="clear" w:pos="8504"/>
          <w:tab w:val="left" w:pos="6480"/>
        </w:tabs>
        <w:spacing w:line="264" w:lineRule="auto"/>
        <w:jc w:val="both"/>
        <w:rPr>
          <w:rFonts w:ascii="Verdana" w:hAnsi="Verdana" w:cs="Arial"/>
          <w:b/>
        </w:rPr>
      </w:pPr>
      <w:r w:rsidRPr="00694840">
        <w:rPr>
          <w:rFonts w:ascii="Verdana" w:hAnsi="Verdana" w:cs="Arial"/>
          <w:b/>
        </w:rPr>
        <w:t>II.1. Lo que se debate en segunda instancia y formulación del problema jurídico.</w:t>
      </w:r>
    </w:p>
    <w:p w14:paraId="483446AF" w14:textId="77777777" w:rsidR="008E40F5" w:rsidRPr="00694840" w:rsidRDefault="008E40F5" w:rsidP="008E40F5">
      <w:pPr>
        <w:pStyle w:val="Encabezado"/>
        <w:tabs>
          <w:tab w:val="clear" w:pos="4252"/>
          <w:tab w:val="clear" w:pos="8504"/>
          <w:tab w:val="left" w:pos="6480"/>
        </w:tabs>
        <w:spacing w:line="264" w:lineRule="auto"/>
        <w:jc w:val="both"/>
        <w:rPr>
          <w:rFonts w:ascii="Verdana" w:hAnsi="Verdana" w:cs="Arial"/>
        </w:rPr>
      </w:pPr>
    </w:p>
    <w:p w14:paraId="18888D2E" w14:textId="77777777" w:rsidR="008E40F5" w:rsidRPr="00694840" w:rsidRDefault="008E40F5" w:rsidP="008E40F5">
      <w:pPr>
        <w:pStyle w:val="Encabezado"/>
        <w:numPr>
          <w:ilvl w:val="1"/>
          <w:numId w:val="2"/>
        </w:numPr>
        <w:tabs>
          <w:tab w:val="clear" w:pos="4252"/>
          <w:tab w:val="clear" w:pos="8504"/>
          <w:tab w:val="left" w:pos="6480"/>
        </w:tabs>
        <w:spacing w:line="264" w:lineRule="auto"/>
        <w:jc w:val="both"/>
        <w:rPr>
          <w:rFonts w:ascii="Verdana" w:hAnsi="Verdana" w:cs="Arial"/>
          <w:bCs/>
          <w:i/>
          <w:iCs/>
          <w:u w:val="single"/>
        </w:rPr>
      </w:pPr>
      <w:r w:rsidRPr="00694840">
        <w:rPr>
          <w:rFonts w:ascii="Verdana" w:hAnsi="Verdana" w:cs="Arial"/>
          <w:bCs/>
          <w:i/>
          <w:iCs/>
          <w:u w:val="single"/>
        </w:rPr>
        <w:t>Tesis del Juez de primera instancia.</w:t>
      </w:r>
    </w:p>
    <w:p w14:paraId="76BBB12B" w14:textId="77777777" w:rsidR="008E40F5" w:rsidRDefault="008E40F5" w:rsidP="008E40F5">
      <w:pPr>
        <w:spacing w:after="0" w:line="264" w:lineRule="auto"/>
        <w:jc w:val="both"/>
        <w:rPr>
          <w:rFonts w:ascii="Verdana" w:hAnsi="Verdana" w:cs="Arial"/>
          <w:sz w:val="24"/>
          <w:szCs w:val="24"/>
        </w:rPr>
      </w:pPr>
    </w:p>
    <w:p w14:paraId="21D25BF0" w14:textId="2A19A3EC" w:rsidR="008E40F5" w:rsidRPr="00694840" w:rsidRDefault="008E40F5" w:rsidP="008E40F5">
      <w:pPr>
        <w:spacing w:after="0" w:line="264" w:lineRule="auto"/>
        <w:jc w:val="both"/>
        <w:rPr>
          <w:rFonts w:ascii="Verdana" w:hAnsi="Verdana" w:cs="Arial"/>
          <w:sz w:val="24"/>
          <w:szCs w:val="24"/>
        </w:rPr>
      </w:pPr>
      <w:r>
        <w:rPr>
          <w:rFonts w:ascii="Verdana" w:hAnsi="Verdana" w:cs="Arial"/>
          <w:sz w:val="24"/>
          <w:szCs w:val="24"/>
        </w:rPr>
        <w:t>Declaró</w:t>
      </w:r>
      <w:r w:rsidRPr="00694840">
        <w:rPr>
          <w:rFonts w:ascii="Verdana" w:hAnsi="Verdana" w:cs="Arial"/>
          <w:sz w:val="24"/>
          <w:szCs w:val="24"/>
        </w:rPr>
        <w:t xml:space="preserve"> de oficio la excepción de inepta demanda </w:t>
      </w:r>
      <w:r w:rsidRPr="00694840">
        <w:rPr>
          <w:rFonts w:ascii="Verdana" w:hAnsi="Verdana" w:cs="Arial"/>
          <w:i/>
          <w:sz w:val="24"/>
          <w:szCs w:val="24"/>
        </w:rPr>
        <w:t>“por incumplimiento de los requisitos formales de la demanda”</w:t>
      </w:r>
      <w:r w:rsidRPr="00694840">
        <w:rPr>
          <w:rFonts w:ascii="Verdana" w:hAnsi="Verdana" w:cs="Arial"/>
          <w:sz w:val="24"/>
          <w:szCs w:val="24"/>
        </w:rPr>
        <w:t>, y dio por terminado el proceso de la referencia, al considerar que las resoluciones demandadas no son susceptible</w:t>
      </w:r>
      <w:r>
        <w:rPr>
          <w:rFonts w:ascii="Verdana" w:hAnsi="Verdana" w:cs="Arial"/>
          <w:sz w:val="24"/>
          <w:szCs w:val="24"/>
        </w:rPr>
        <w:t>s</w:t>
      </w:r>
      <w:r w:rsidRPr="00694840">
        <w:rPr>
          <w:rFonts w:ascii="Verdana" w:hAnsi="Verdana" w:cs="Arial"/>
          <w:sz w:val="24"/>
          <w:szCs w:val="24"/>
        </w:rPr>
        <w:t xml:space="preserve"> de control judicial, ya que simplemente se limitaron a acatar la orden de suspensión dictada en contra del demandante por el Consejo Nacional de Ética del Partido Alianza Verde. Agregó que el acto enjuiciable era el </w:t>
      </w:r>
      <w:r w:rsidRPr="00694840">
        <w:rPr>
          <w:rFonts w:ascii="Verdana" w:hAnsi="Verdana" w:cs="Arial"/>
          <w:sz w:val="24"/>
          <w:szCs w:val="24"/>
        </w:rPr>
        <w:lastRenderedPageBreak/>
        <w:t xml:space="preserve">auto de 19 de diciembre de 2017 expedido por </w:t>
      </w:r>
      <w:r w:rsidRPr="00694840">
        <w:rPr>
          <w:rFonts w:ascii="Verdana" w:hAnsi="Verdana"/>
          <w:sz w:val="24"/>
          <w:szCs w:val="24"/>
        </w:rPr>
        <w:t xml:space="preserve">el </w:t>
      </w:r>
      <w:r>
        <w:rPr>
          <w:rFonts w:ascii="Verdana" w:hAnsi="Verdana"/>
          <w:sz w:val="24"/>
          <w:szCs w:val="24"/>
        </w:rPr>
        <w:t>último,</w:t>
      </w:r>
      <w:r w:rsidRPr="00694840">
        <w:rPr>
          <w:rFonts w:ascii="Verdana" w:hAnsi="Verdana"/>
          <w:sz w:val="24"/>
          <w:szCs w:val="24"/>
        </w:rPr>
        <w:t xml:space="preserve"> que ordenó la suspensión del demandante en su condición de concejal de Tunja junto con sus dos prórrogas. </w:t>
      </w:r>
      <w:r w:rsidRPr="00694840">
        <w:rPr>
          <w:rFonts w:ascii="Verdana" w:hAnsi="Verdana" w:cs="Arial"/>
          <w:sz w:val="24"/>
          <w:szCs w:val="24"/>
        </w:rPr>
        <w:t>Y concluyó que</w:t>
      </w:r>
      <w:r>
        <w:rPr>
          <w:rFonts w:ascii="Verdana" w:hAnsi="Verdana" w:cs="Arial"/>
          <w:sz w:val="24"/>
          <w:szCs w:val="24"/>
        </w:rPr>
        <w:t>,</w:t>
      </w:r>
      <w:r w:rsidRPr="00694840">
        <w:rPr>
          <w:rFonts w:ascii="Verdana" w:hAnsi="Verdana" w:cs="Arial"/>
          <w:sz w:val="24"/>
          <w:szCs w:val="24"/>
        </w:rPr>
        <w:t xml:space="preserve"> dada la etapa en que se encontraba el proceso</w:t>
      </w:r>
      <w:r>
        <w:rPr>
          <w:rFonts w:ascii="Verdana" w:hAnsi="Verdana" w:cs="Arial"/>
          <w:sz w:val="24"/>
          <w:szCs w:val="24"/>
        </w:rPr>
        <w:t>,</w:t>
      </w:r>
      <w:r w:rsidRPr="00694840">
        <w:rPr>
          <w:rFonts w:ascii="Verdana" w:hAnsi="Verdana" w:cs="Arial"/>
          <w:sz w:val="24"/>
          <w:szCs w:val="24"/>
        </w:rPr>
        <w:t xml:space="preserve"> no existía ningún mecanismo para subsanarlo.</w:t>
      </w:r>
    </w:p>
    <w:p w14:paraId="4E9E7D3A" w14:textId="77777777" w:rsidR="00D6567F" w:rsidRPr="008E40F5" w:rsidRDefault="00D6567F" w:rsidP="00694840">
      <w:pPr>
        <w:pStyle w:val="Encabezado"/>
        <w:tabs>
          <w:tab w:val="clear" w:pos="4252"/>
          <w:tab w:val="clear" w:pos="8504"/>
          <w:tab w:val="left" w:pos="6480"/>
        </w:tabs>
        <w:spacing w:line="264" w:lineRule="auto"/>
        <w:jc w:val="both"/>
        <w:rPr>
          <w:rFonts w:ascii="Verdana" w:hAnsi="Verdana" w:cs="Arial"/>
          <w:b/>
          <w:lang w:val="es-CO"/>
        </w:rPr>
      </w:pPr>
    </w:p>
    <w:p w14:paraId="4E9E7D3B" w14:textId="77777777" w:rsidR="00D6567F" w:rsidRPr="00694840" w:rsidRDefault="00375881" w:rsidP="00694840">
      <w:pPr>
        <w:pStyle w:val="Encabezado"/>
        <w:numPr>
          <w:ilvl w:val="1"/>
          <w:numId w:val="2"/>
        </w:numPr>
        <w:tabs>
          <w:tab w:val="clear" w:pos="4252"/>
          <w:tab w:val="clear" w:pos="8504"/>
          <w:tab w:val="left" w:pos="6480"/>
        </w:tabs>
        <w:spacing w:line="264" w:lineRule="auto"/>
        <w:jc w:val="both"/>
        <w:rPr>
          <w:rFonts w:ascii="Verdana" w:hAnsi="Verdana" w:cs="Arial"/>
          <w:bCs/>
          <w:i/>
          <w:iCs/>
          <w:u w:val="single"/>
        </w:rPr>
      </w:pPr>
      <w:r w:rsidRPr="00694840">
        <w:rPr>
          <w:rFonts w:ascii="Verdana" w:hAnsi="Verdana" w:cs="Arial"/>
          <w:bCs/>
          <w:i/>
          <w:iCs/>
          <w:u w:val="single"/>
        </w:rPr>
        <w:t>Tesis del apelante-demandante</w:t>
      </w:r>
      <w:r w:rsidR="00D6567F" w:rsidRPr="00694840">
        <w:rPr>
          <w:rFonts w:ascii="Verdana" w:hAnsi="Verdana" w:cs="Arial"/>
          <w:bCs/>
          <w:i/>
          <w:iCs/>
          <w:u w:val="single"/>
        </w:rPr>
        <w:t>.</w:t>
      </w:r>
    </w:p>
    <w:p w14:paraId="3C2EF03D" w14:textId="77777777" w:rsidR="008E40F5" w:rsidRDefault="008E40F5" w:rsidP="00694840">
      <w:pPr>
        <w:pStyle w:val="NormalWeb"/>
        <w:spacing w:before="0" w:beforeAutospacing="0" w:after="0" w:afterAutospacing="0" w:line="264" w:lineRule="auto"/>
        <w:jc w:val="both"/>
        <w:rPr>
          <w:rFonts w:ascii="Verdana" w:hAnsi="Verdana" w:cs="Arial"/>
        </w:rPr>
      </w:pPr>
    </w:p>
    <w:p w14:paraId="4E9E7D3E" w14:textId="09061A11" w:rsidR="007B55A6" w:rsidRPr="00694840" w:rsidRDefault="00123756" w:rsidP="00694840">
      <w:pPr>
        <w:pStyle w:val="NormalWeb"/>
        <w:spacing w:before="0" w:beforeAutospacing="0" w:after="0" w:afterAutospacing="0" w:line="264" w:lineRule="auto"/>
        <w:jc w:val="both"/>
        <w:rPr>
          <w:rFonts w:ascii="Verdana" w:hAnsi="Verdana"/>
        </w:rPr>
      </w:pPr>
      <w:r>
        <w:rPr>
          <w:rFonts w:ascii="Verdana" w:hAnsi="Verdana" w:cs="Arial"/>
        </w:rPr>
        <w:t xml:space="preserve">A su juicio, </w:t>
      </w:r>
      <w:r w:rsidR="00632B94" w:rsidRPr="00694840">
        <w:rPr>
          <w:rFonts w:ascii="Verdana" w:hAnsi="Verdana" w:cs="Arial"/>
        </w:rPr>
        <w:t xml:space="preserve">la excepción de </w:t>
      </w:r>
      <w:r w:rsidR="00632B94" w:rsidRPr="00694840">
        <w:rPr>
          <w:rFonts w:ascii="Verdana" w:hAnsi="Verdana" w:cs="Arial"/>
          <w:i/>
        </w:rPr>
        <w:t>“ineptitud de la demanda”</w:t>
      </w:r>
      <w:r w:rsidR="008E40F5">
        <w:rPr>
          <w:rFonts w:ascii="Verdana" w:hAnsi="Verdana" w:cs="Arial"/>
          <w:i/>
        </w:rPr>
        <w:t>,</w:t>
      </w:r>
      <w:r w:rsidR="00632B94" w:rsidRPr="00694840">
        <w:rPr>
          <w:rFonts w:ascii="Verdana" w:hAnsi="Verdana" w:cs="Arial"/>
        </w:rPr>
        <w:t xml:space="preserve"> declarada de oficio por el </w:t>
      </w:r>
      <w:r w:rsidRPr="00123756">
        <w:rPr>
          <w:rFonts w:ascii="Verdana" w:hAnsi="Verdana" w:cs="Arial"/>
          <w:i/>
          <w:iCs/>
        </w:rPr>
        <w:t>a</w:t>
      </w:r>
      <w:r w:rsidR="00632B94" w:rsidRPr="00123756">
        <w:rPr>
          <w:rFonts w:ascii="Verdana" w:hAnsi="Verdana" w:cs="Arial"/>
          <w:i/>
          <w:iCs/>
        </w:rPr>
        <w:t xml:space="preserve"> quo</w:t>
      </w:r>
      <w:r w:rsidR="008E40F5">
        <w:rPr>
          <w:rFonts w:ascii="Verdana" w:hAnsi="Verdana" w:cs="Arial"/>
          <w:i/>
          <w:iCs/>
        </w:rPr>
        <w:t>,</w:t>
      </w:r>
      <w:r w:rsidR="00632B94" w:rsidRPr="00694840">
        <w:rPr>
          <w:rFonts w:ascii="Verdana" w:hAnsi="Verdana" w:cs="Arial"/>
        </w:rPr>
        <w:t xml:space="preserve"> no se configura en ninguna de las modalidades </w:t>
      </w:r>
      <w:r w:rsidR="007B55A6" w:rsidRPr="00694840">
        <w:rPr>
          <w:rFonts w:ascii="Verdana" w:hAnsi="Verdana" w:cs="Arial"/>
        </w:rPr>
        <w:t>que se ha definido por la jurisprudencia del Consejo de Estado. En cambio, aseveró que las resoluciones demandadas</w:t>
      </w:r>
      <w:r>
        <w:rPr>
          <w:rFonts w:ascii="Verdana" w:hAnsi="Verdana" w:cs="Arial"/>
        </w:rPr>
        <w:t>,</w:t>
      </w:r>
      <w:r w:rsidR="007B55A6" w:rsidRPr="00694840">
        <w:rPr>
          <w:rFonts w:ascii="Verdana" w:hAnsi="Verdana" w:cs="Arial"/>
        </w:rPr>
        <w:t xml:space="preserve"> expedidas por </w:t>
      </w:r>
      <w:r w:rsidR="007B55A6" w:rsidRPr="00694840">
        <w:rPr>
          <w:rFonts w:ascii="Verdana" w:hAnsi="Verdana"/>
        </w:rPr>
        <w:t xml:space="preserve">el Concejo </w:t>
      </w:r>
      <w:r>
        <w:rPr>
          <w:rFonts w:ascii="Verdana" w:hAnsi="Verdana"/>
        </w:rPr>
        <w:t>m</w:t>
      </w:r>
      <w:r w:rsidR="007B55A6" w:rsidRPr="00694840">
        <w:rPr>
          <w:rFonts w:ascii="Verdana" w:hAnsi="Verdana"/>
        </w:rPr>
        <w:t xml:space="preserve">unicipal de Tunja, son pasibles de análisis de fondo a través del medio de control impetrado, ya que se le impidió ejercer como </w:t>
      </w:r>
      <w:proofErr w:type="gramStart"/>
      <w:r w:rsidR="007B55A6" w:rsidRPr="00694840">
        <w:rPr>
          <w:rFonts w:ascii="Verdana" w:hAnsi="Verdana"/>
        </w:rPr>
        <w:t>Concejal</w:t>
      </w:r>
      <w:proofErr w:type="gramEnd"/>
      <w:r w:rsidR="007B55A6" w:rsidRPr="00694840">
        <w:rPr>
          <w:rFonts w:ascii="Verdana" w:hAnsi="Verdana"/>
        </w:rPr>
        <w:t>. Actos administrativos que resultan contrarios a la Constitución Política</w:t>
      </w:r>
      <w:r w:rsidR="008E40F5">
        <w:rPr>
          <w:rFonts w:ascii="Verdana" w:hAnsi="Verdana"/>
        </w:rPr>
        <w:t>,</w:t>
      </w:r>
      <w:r w:rsidR="007B55A6" w:rsidRPr="00694840">
        <w:rPr>
          <w:rFonts w:ascii="Verdana" w:hAnsi="Verdana"/>
        </w:rPr>
        <w:t xml:space="preserve"> la Convención Americana de Derechos Humanos, el Pacto Internacional de Derechos Civiles y Políticos</w:t>
      </w:r>
      <w:r>
        <w:rPr>
          <w:rFonts w:ascii="Verdana" w:hAnsi="Verdana"/>
        </w:rPr>
        <w:t xml:space="preserve"> y</w:t>
      </w:r>
      <w:r w:rsidR="007B55A6" w:rsidRPr="00694840">
        <w:rPr>
          <w:rFonts w:ascii="Verdana" w:hAnsi="Verdana"/>
        </w:rPr>
        <w:t xml:space="preserve"> la Declaración Universal de Derechos Humanos.</w:t>
      </w:r>
    </w:p>
    <w:p w14:paraId="4E9E7D43" w14:textId="0B1E04CA" w:rsidR="001B0D16" w:rsidRDefault="001B0D16" w:rsidP="00694840">
      <w:pPr>
        <w:spacing w:after="0" w:line="264" w:lineRule="auto"/>
        <w:jc w:val="both"/>
        <w:rPr>
          <w:rFonts w:ascii="Verdana" w:hAnsi="Verdana" w:cs="Arial"/>
          <w:sz w:val="24"/>
          <w:szCs w:val="24"/>
          <w:lang w:val="es-ES"/>
        </w:rPr>
      </w:pPr>
    </w:p>
    <w:p w14:paraId="19AA7720" w14:textId="77777777" w:rsidR="005D4C36" w:rsidRPr="008E40F5" w:rsidRDefault="005D4C36" w:rsidP="00694840">
      <w:pPr>
        <w:spacing w:after="0" w:line="264" w:lineRule="auto"/>
        <w:jc w:val="both"/>
        <w:rPr>
          <w:rFonts w:ascii="Verdana" w:hAnsi="Verdana" w:cs="Arial"/>
          <w:sz w:val="24"/>
          <w:szCs w:val="24"/>
          <w:lang w:val="es-ES"/>
        </w:rPr>
      </w:pPr>
    </w:p>
    <w:p w14:paraId="4E9E7D45" w14:textId="77777777" w:rsidR="00D6567F" w:rsidRPr="00694840" w:rsidRDefault="00D6567F" w:rsidP="00694840">
      <w:pPr>
        <w:pStyle w:val="Encabezado"/>
        <w:numPr>
          <w:ilvl w:val="1"/>
          <w:numId w:val="2"/>
        </w:numPr>
        <w:tabs>
          <w:tab w:val="clear" w:pos="4252"/>
          <w:tab w:val="clear" w:pos="8504"/>
          <w:tab w:val="left" w:pos="6480"/>
        </w:tabs>
        <w:spacing w:line="264" w:lineRule="auto"/>
        <w:jc w:val="both"/>
        <w:rPr>
          <w:rFonts w:ascii="Verdana" w:hAnsi="Verdana" w:cs="Arial"/>
          <w:bCs/>
          <w:i/>
          <w:iCs/>
          <w:u w:val="single"/>
        </w:rPr>
      </w:pPr>
      <w:r w:rsidRPr="00694840">
        <w:rPr>
          <w:rFonts w:ascii="Verdana" w:hAnsi="Verdana" w:cs="Arial"/>
          <w:bCs/>
          <w:i/>
          <w:iCs/>
          <w:u w:val="single"/>
        </w:rPr>
        <w:t>Problema jurídico y tesis general de la Sala.</w:t>
      </w:r>
    </w:p>
    <w:p w14:paraId="4E9E7D46" w14:textId="77777777" w:rsidR="00D6567F" w:rsidRPr="00694840" w:rsidRDefault="00D6567F" w:rsidP="00694840">
      <w:pPr>
        <w:pStyle w:val="Encabezado"/>
        <w:tabs>
          <w:tab w:val="clear" w:pos="4252"/>
          <w:tab w:val="clear" w:pos="8504"/>
          <w:tab w:val="left" w:pos="6480"/>
        </w:tabs>
        <w:spacing w:line="264" w:lineRule="auto"/>
        <w:jc w:val="both"/>
        <w:rPr>
          <w:rFonts w:ascii="Verdana" w:hAnsi="Verdana" w:cs="Arial"/>
          <w:bCs/>
        </w:rPr>
      </w:pPr>
    </w:p>
    <w:p w14:paraId="4E9E7D47" w14:textId="77777777" w:rsidR="00D6567F" w:rsidRPr="00694840" w:rsidRDefault="00D6567F" w:rsidP="00694840">
      <w:pPr>
        <w:pStyle w:val="Encabezado"/>
        <w:tabs>
          <w:tab w:val="clear" w:pos="4252"/>
          <w:tab w:val="clear" w:pos="8504"/>
          <w:tab w:val="left" w:pos="6480"/>
        </w:tabs>
        <w:spacing w:line="264" w:lineRule="auto"/>
        <w:jc w:val="both"/>
        <w:rPr>
          <w:rFonts w:ascii="Verdana" w:hAnsi="Verdana" w:cs="Arial"/>
          <w:bCs/>
        </w:rPr>
      </w:pPr>
      <w:r w:rsidRPr="00694840">
        <w:rPr>
          <w:rFonts w:ascii="Verdana" w:hAnsi="Verdana" w:cs="Arial"/>
          <w:bCs/>
        </w:rPr>
        <w:t>Según las tesis planteadas, la Sala de Decisión propone el siguiente cuestionamiento:</w:t>
      </w:r>
    </w:p>
    <w:p w14:paraId="4E9E7D48" w14:textId="77777777" w:rsidR="00D6567F" w:rsidRPr="00694840" w:rsidRDefault="00D6567F" w:rsidP="00694840">
      <w:pPr>
        <w:pStyle w:val="Encabezado"/>
        <w:tabs>
          <w:tab w:val="clear" w:pos="4252"/>
          <w:tab w:val="clear" w:pos="8504"/>
          <w:tab w:val="left" w:pos="6480"/>
        </w:tabs>
        <w:spacing w:line="264" w:lineRule="auto"/>
        <w:jc w:val="both"/>
        <w:rPr>
          <w:rFonts w:ascii="Verdana" w:hAnsi="Verdana" w:cs="Arial"/>
          <w:bCs/>
        </w:rPr>
      </w:pPr>
    </w:p>
    <w:p w14:paraId="4E9E7D49" w14:textId="4DC9219F" w:rsidR="00D6567F" w:rsidRPr="00123756" w:rsidRDefault="00D6567F" w:rsidP="00694840">
      <w:pPr>
        <w:pStyle w:val="Encabezado"/>
        <w:tabs>
          <w:tab w:val="clear" w:pos="4252"/>
          <w:tab w:val="clear" w:pos="8504"/>
          <w:tab w:val="left" w:pos="6480"/>
        </w:tabs>
        <w:spacing w:line="264" w:lineRule="auto"/>
        <w:jc w:val="both"/>
        <w:rPr>
          <w:rFonts w:ascii="Verdana" w:hAnsi="Verdana" w:cs="Arial"/>
          <w:bCs/>
          <w:i/>
          <w:iCs/>
        </w:rPr>
      </w:pPr>
      <w:r w:rsidRPr="00123756">
        <w:rPr>
          <w:rFonts w:ascii="Verdana" w:hAnsi="Verdana" w:cs="Arial"/>
          <w:bCs/>
          <w:i/>
          <w:iCs/>
        </w:rPr>
        <w:t>¿</w:t>
      </w:r>
      <w:r w:rsidR="00EF4735" w:rsidRPr="00123756">
        <w:rPr>
          <w:rFonts w:ascii="Verdana" w:hAnsi="Verdana" w:cs="Arial"/>
          <w:bCs/>
          <w:i/>
          <w:iCs/>
        </w:rPr>
        <w:t xml:space="preserve">Las Resoluciones </w:t>
      </w:r>
      <w:r w:rsidR="00EF4735" w:rsidRPr="00123756">
        <w:rPr>
          <w:rFonts w:ascii="Verdana" w:hAnsi="Verdana"/>
          <w:i/>
          <w:iCs/>
        </w:rPr>
        <w:t xml:space="preserve">074 </w:t>
      </w:r>
      <w:r w:rsidR="00123756" w:rsidRPr="00123756">
        <w:rPr>
          <w:rFonts w:ascii="Verdana" w:hAnsi="Verdana"/>
          <w:i/>
          <w:iCs/>
        </w:rPr>
        <w:t xml:space="preserve">del </w:t>
      </w:r>
      <w:r w:rsidR="00EF4735" w:rsidRPr="00123756">
        <w:rPr>
          <w:rFonts w:ascii="Verdana" w:hAnsi="Verdana"/>
          <w:i/>
          <w:iCs/>
        </w:rPr>
        <w:t xml:space="preserve">26 de diciembre </w:t>
      </w:r>
      <w:r w:rsidR="00123756" w:rsidRPr="00123756">
        <w:rPr>
          <w:rFonts w:ascii="Verdana" w:hAnsi="Verdana"/>
          <w:i/>
          <w:iCs/>
        </w:rPr>
        <w:t xml:space="preserve">de </w:t>
      </w:r>
      <w:r w:rsidR="00EF4735" w:rsidRPr="00123756">
        <w:rPr>
          <w:rFonts w:ascii="Verdana" w:hAnsi="Verdana"/>
          <w:i/>
          <w:iCs/>
        </w:rPr>
        <w:t>2017, 07 de</w:t>
      </w:r>
      <w:r w:rsidR="00123756" w:rsidRPr="00123756">
        <w:rPr>
          <w:rFonts w:ascii="Verdana" w:hAnsi="Verdana"/>
          <w:i/>
          <w:iCs/>
        </w:rPr>
        <w:t>l</w:t>
      </w:r>
      <w:r w:rsidR="00EF4735" w:rsidRPr="00123756">
        <w:rPr>
          <w:rFonts w:ascii="Verdana" w:hAnsi="Verdana"/>
          <w:i/>
          <w:iCs/>
        </w:rPr>
        <w:t xml:space="preserve"> 26 de enero </w:t>
      </w:r>
      <w:r w:rsidR="00123756" w:rsidRPr="00123756">
        <w:rPr>
          <w:rFonts w:ascii="Verdana" w:hAnsi="Verdana"/>
          <w:i/>
          <w:iCs/>
        </w:rPr>
        <w:t>de</w:t>
      </w:r>
      <w:r w:rsidR="00EF4735" w:rsidRPr="00123756">
        <w:rPr>
          <w:rFonts w:ascii="Verdana" w:hAnsi="Verdana"/>
          <w:i/>
          <w:iCs/>
        </w:rPr>
        <w:t xml:space="preserve"> 2018 y 025 del 5 de abril </w:t>
      </w:r>
      <w:r w:rsidR="00123756" w:rsidRPr="00123756">
        <w:rPr>
          <w:rFonts w:ascii="Verdana" w:hAnsi="Verdana"/>
          <w:i/>
          <w:iCs/>
        </w:rPr>
        <w:t>de</w:t>
      </w:r>
      <w:r w:rsidR="00EF4735" w:rsidRPr="00123756">
        <w:rPr>
          <w:rFonts w:ascii="Verdana" w:hAnsi="Verdana"/>
          <w:i/>
          <w:iCs/>
        </w:rPr>
        <w:t xml:space="preserve"> 2018, proferidas por el Concejo Municipal de Tunja</w:t>
      </w:r>
      <w:r w:rsidR="00EF4735" w:rsidRPr="00123756">
        <w:rPr>
          <w:rFonts w:ascii="Verdana" w:hAnsi="Verdana" w:cs="Arial"/>
          <w:bCs/>
          <w:i/>
          <w:iCs/>
        </w:rPr>
        <w:t xml:space="preserve"> </w:t>
      </w:r>
      <w:r w:rsidRPr="00123756">
        <w:rPr>
          <w:rFonts w:ascii="Verdana" w:hAnsi="Verdana" w:cs="Arial"/>
          <w:bCs/>
          <w:i/>
          <w:iCs/>
        </w:rPr>
        <w:t>constituye</w:t>
      </w:r>
      <w:r w:rsidR="00EF4735" w:rsidRPr="00123756">
        <w:rPr>
          <w:rFonts w:ascii="Verdana" w:hAnsi="Verdana" w:cs="Arial"/>
          <w:bCs/>
          <w:i/>
          <w:iCs/>
        </w:rPr>
        <w:t xml:space="preserve">n actos administrativos </w:t>
      </w:r>
      <w:r w:rsidRPr="00123756">
        <w:rPr>
          <w:rFonts w:ascii="Verdana" w:hAnsi="Verdana" w:cs="Arial"/>
          <w:bCs/>
          <w:i/>
          <w:iCs/>
        </w:rPr>
        <w:t>susceptible</w:t>
      </w:r>
      <w:r w:rsidR="00711A5F" w:rsidRPr="00123756">
        <w:rPr>
          <w:rFonts w:ascii="Verdana" w:hAnsi="Verdana" w:cs="Arial"/>
          <w:bCs/>
          <w:i/>
          <w:iCs/>
        </w:rPr>
        <w:t>s</w:t>
      </w:r>
      <w:r w:rsidRPr="00123756">
        <w:rPr>
          <w:rFonts w:ascii="Verdana" w:hAnsi="Verdana" w:cs="Arial"/>
          <w:bCs/>
          <w:i/>
          <w:iCs/>
        </w:rPr>
        <w:t xml:space="preserve"> de control j</w:t>
      </w:r>
      <w:r w:rsidR="00EF4735" w:rsidRPr="00123756">
        <w:rPr>
          <w:rFonts w:ascii="Verdana" w:hAnsi="Verdana" w:cs="Arial"/>
          <w:bCs/>
          <w:i/>
          <w:iCs/>
        </w:rPr>
        <w:t>urisdiccional</w:t>
      </w:r>
      <w:r w:rsidRPr="00123756">
        <w:rPr>
          <w:rFonts w:ascii="Verdana" w:hAnsi="Verdana" w:cs="Arial"/>
          <w:bCs/>
          <w:i/>
          <w:iCs/>
        </w:rPr>
        <w:t xml:space="preserve">, conforme el </w:t>
      </w:r>
      <w:r w:rsidR="00EF4735" w:rsidRPr="00123756">
        <w:rPr>
          <w:rFonts w:ascii="Verdana" w:hAnsi="Verdana" w:cs="Arial"/>
          <w:bCs/>
          <w:i/>
          <w:iCs/>
        </w:rPr>
        <w:t xml:space="preserve">contenido de las decisiones adoptadas </w:t>
      </w:r>
      <w:r w:rsidR="00C01890" w:rsidRPr="00123756">
        <w:rPr>
          <w:rFonts w:ascii="Verdana" w:hAnsi="Verdana" w:cs="Arial"/>
          <w:bCs/>
          <w:i/>
          <w:iCs/>
        </w:rPr>
        <w:t xml:space="preserve">en </w:t>
      </w:r>
      <w:r w:rsidR="00EF4735" w:rsidRPr="00123756">
        <w:rPr>
          <w:rFonts w:ascii="Verdana" w:hAnsi="Verdana" w:cs="Arial"/>
          <w:bCs/>
          <w:i/>
          <w:iCs/>
        </w:rPr>
        <w:t>aquellas</w:t>
      </w:r>
      <w:r w:rsidRPr="00123756">
        <w:rPr>
          <w:rFonts w:ascii="Verdana" w:hAnsi="Verdana" w:cs="Arial"/>
          <w:bCs/>
          <w:i/>
          <w:iCs/>
        </w:rPr>
        <w:t>?</w:t>
      </w:r>
    </w:p>
    <w:p w14:paraId="16E5B935" w14:textId="77777777" w:rsidR="00123756" w:rsidRDefault="00123756" w:rsidP="00694840">
      <w:pPr>
        <w:spacing w:after="0" w:line="264" w:lineRule="auto"/>
        <w:jc w:val="both"/>
        <w:rPr>
          <w:rFonts w:ascii="Verdana" w:hAnsi="Verdana"/>
          <w:sz w:val="24"/>
          <w:szCs w:val="24"/>
          <w:lang w:val="es-ES"/>
        </w:rPr>
      </w:pPr>
    </w:p>
    <w:p w14:paraId="4E9E7D4B" w14:textId="653E37FF" w:rsidR="00D6567F" w:rsidRPr="00694840" w:rsidRDefault="001137E1" w:rsidP="00694840">
      <w:pPr>
        <w:spacing w:after="0" w:line="264" w:lineRule="auto"/>
        <w:jc w:val="both"/>
        <w:rPr>
          <w:rFonts w:ascii="Verdana" w:hAnsi="Verdana"/>
          <w:sz w:val="24"/>
          <w:szCs w:val="24"/>
          <w:lang w:val="es-ES"/>
        </w:rPr>
      </w:pPr>
      <w:r w:rsidRPr="00694840">
        <w:rPr>
          <w:rFonts w:ascii="Verdana" w:hAnsi="Verdana"/>
          <w:sz w:val="24"/>
          <w:szCs w:val="24"/>
          <w:lang w:val="es-ES"/>
        </w:rPr>
        <w:t xml:space="preserve">Al efecto, la Sala precisa que los actos referidos no son pasibles de control judicial, </w:t>
      </w:r>
      <w:r w:rsidR="008E40F5">
        <w:rPr>
          <w:rFonts w:ascii="Verdana" w:hAnsi="Verdana"/>
          <w:sz w:val="24"/>
          <w:szCs w:val="24"/>
          <w:lang w:val="es-ES"/>
        </w:rPr>
        <w:t xml:space="preserve">pues su </w:t>
      </w:r>
      <w:r w:rsidRPr="00694840">
        <w:rPr>
          <w:rFonts w:ascii="Verdana" w:hAnsi="Verdana"/>
          <w:sz w:val="24"/>
          <w:szCs w:val="24"/>
          <w:lang w:val="es-ES"/>
        </w:rPr>
        <w:t>únic</w:t>
      </w:r>
      <w:r w:rsidR="00123756">
        <w:rPr>
          <w:rFonts w:ascii="Verdana" w:hAnsi="Verdana"/>
          <w:sz w:val="24"/>
          <w:szCs w:val="24"/>
          <w:lang w:val="es-ES"/>
        </w:rPr>
        <w:t xml:space="preserve">o </w:t>
      </w:r>
      <w:r w:rsidRPr="00694840">
        <w:rPr>
          <w:rFonts w:ascii="Verdana" w:hAnsi="Verdana"/>
          <w:sz w:val="24"/>
          <w:szCs w:val="24"/>
          <w:lang w:val="es-ES"/>
        </w:rPr>
        <w:t xml:space="preserve">fin fue hacer efectiva la suspensión provisional inmediata impuesta al señor Sánchez Abril por el partido político que avaló su candidatura como </w:t>
      </w:r>
      <w:proofErr w:type="gramStart"/>
      <w:r w:rsidRPr="00694840">
        <w:rPr>
          <w:rFonts w:ascii="Verdana" w:hAnsi="Verdana"/>
          <w:sz w:val="24"/>
          <w:szCs w:val="24"/>
          <w:lang w:val="es-ES"/>
        </w:rPr>
        <w:t>Concejal</w:t>
      </w:r>
      <w:proofErr w:type="gramEnd"/>
      <w:r w:rsidRPr="00694840">
        <w:rPr>
          <w:rFonts w:ascii="Verdana" w:hAnsi="Verdana"/>
          <w:sz w:val="24"/>
          <w:szCs w:val="24"/>
          <w:lang w:val="es-ES"/>
        </w:rPr>
        <w:t xml:space="preserve"> de Tunja periodo 2016-2019 por vulneración al régimen de bancada. </w:t>
      </w:r>
    </w:p>
    <w:p w14:paraId="4E9E7D4C" w14:textId="77777777" w:rsidR="001137E1" w:rsidRPr="00694840" w:rsidRDefault="001137E1" w:rsidP="00694840">
      <w:pPr>
        <w:spacing w:after="0" w:line="264" w:lineRule="auto"/>
        <w:jc w:val="both"/>
        <w:rPr>
          <w:rFonts w:ascii="Verdana" w:hAnsi="Verdana"/>
          <w:sz w:val="24"/>
          <w:szCs w:val="24"/>
          <w:lang w:val="es-ES"/>
        </w:rPr>
      </w:pPr>
    </w:p>
    <w:p w14:paraId="4E9E7D4D" w14:textId="0A3F7D6B" w:rsidR="00642652" w:rsidRPr="00123756" w:rsidRDefault="007A6779" w:rsidP="00694840">
      <w:pPr>
        <w:spacing w:after="0" w:line="264" w:lineRule="auto"/>
        <w:jc w:val="both"/>
        <w:rPr>
          <w:rFonts w:ascii="Verdana" w:hAnsi="Verdana"/>
          <w:i/>
          <w:iCs/>
          <w:sz w:val="24"/>
          <w:szCs w:val="24"/>
          <w:lang w:val="es-ES"/>
        </w:rPr>
      </w:pPr>
      <w:r w:rsidRPr="00694840">
        <w:rPr>
          <w:rFonts w:ascii="Verdana" w:hAnsi="Verdana"/>
          <w:sz w:val="24"/>
          <w:szCs w:val="24"/>
          <w:lang w:val="es-ES"/>
        </w:rPr>
        <w:t xml:space="preserve">De acuerdo con </w:t>
      </w:r>
      <w:r w:rsidR="00123756">
        <w:rPr>
          <w:rFonts w:ascii="Verdana" w:hAnsi="Verdana"/>
          <w:sz w:val="24"/>
          <w:szCs w:val="24"/>
          <w:lang w:val="es-ES"/>
        </w:rPr>
        <w:t xml:space="preserve">el </w:t>
      </w:r>
      <w:r w:rsidRPr="00694840">
        <w:rPr>
          <w:rFonts w:ascii="Verdana" w:hAnsi="Verdana"/>
          <w:sz w:val="24"/>
          <w:szCs w:val="24"/>
          <w:lang w:val="es-ES"/>
        </w:rPr>
        <w:t xml:space="preserve">yerro advertido </w:t>
      </w:r>
      <w:r w:rsidRPr="00123756">
        <w:rPr>
          <w:rFonts w:ascii="Verdana" w:hAnsi="Verdana"/>
          <w:i/>
          <w:iCs/>
          <w:sz w:val="24"/>
          <w:szCs w:val="24"/>
          <w:lang w:val="es-ES"/>
        </w:rPr>
        <w:t>¿Se configura en el present</w:t>
      </w:r>
      <w:r w:rsidR="00123756" w:rsidRPr="00123756">
        <w:rPr>
          <w:rFonts w:ascii="Verdana" w:hAnsi="Verdana"/>
          <w:i/>
          <w:iCs/>
          <w:sz w:val="24"/>
          <w:szCs w:val="24"/>
          <w:lang w:val="es-ES"/>
        </w:rPr>
        <w:t>e</w:t>
      </w:r>
      <w:r w:rsidRPr="00123756">
        <w:rPr>
          <w:rFonts w:ascii="Verdana" w:hAnsi="Verdana"/>
          <w:i/>
          <w:iCs/>
          <w:sz w:val="24"/>
          <w:szCs w:val="24"/>
          <w:lang w:val="es-ES"/>
        </w:rPr>
        <w:t xml:space="preserve"> asunto</w:t>
      </w:r>
      <w:r w:rsidR="00FD6EFC" w:rsidRPr="00123756">
        <w:rPr>
          <w:rFonts w:ascii="Verdana" w:hAnsi="Verdana"/>
          <w:i/>
          <w:iCs/>
          <w:sz w:val="24"/>
          <w:szCs w:val="24"/>
          <w:lang w:val="es-ES"/>
        </w:rPr>
        <w:t>,</w:t>
      </w:r>
      <w:r w:rsidRPr="00123756">
        <w:rPr>
          <w:rFonts w:ascii="Verdana" w:hAnsi="Verdana"/>
          <w:i/>
          <w:iCs/>
          <w:sz w:val="24"/>
          <w:szCs w:val="24"/>
          <w:lang w:val="es-ES"/>
        </w:rPr>
        <w:t xml:space="preserve"> la excepción previa de ineptitud sustantiva de la demanda? </w:t>
      </w:r>
    </w:p>
    <w:p w14:paraId="4E9E7D4E" w14:textId="77777777" w:rsidR="00D6567F" w:rsidRPr="00123756" w:rsidRDefault="00D6567F" w:rsidP="00694840">
      <w:pPr>
        <w:spacing w:after="0" w:line="264" w:lineRule="auto"/>
        <w:jc w:val="both"/>
        <w:rPr>
          <w:rFonts w:ascii="Verdana" w:hAnsi="Verdana"/>
          <w:sz w:val="24"/>
          <w:szCs w:val="24"/>
          <w:lang w:val="es-ES"/>
        </w:rPr>
      </w:pPr>
    </w:p>
    <w:p w14:paraId="4E9E7D4F" w14:textId="36E4B24E" w:rsidR="009104E5" w:rsidRPr="00694840" w:rsidRDefault="001137E1" w:rsidP="00694840">
      <w:pPr>
        <w:spacing w:after="0" w:line="264" w:lineRule="auto"/>
        <w:jc w:val="both"/>
        <w:rPr>
          <w:rFonts w:ascii="Verdana" w:hAnsi="Verdana"/>
          <w:sz w:val="24"/>
          <w:szCs w:val="24"/>
        </w:rPr>
      </w:pPr>
      <w:r w:rsidRPr="00694840">
        <w:rPr>
          <w:rFonts w:ascii="Verdana" w:hAnsi="Verdana"/>
          <w:sz w:val="24"/>
          <w:szCs w:val="24"/>
        </w:rPr>
        <w:t xml:space="preserve">Para la Sala, </w:t>
      </w:r>
      <w:r w:rsidR="00E01D89" w:rsidRPr="00694840">
        <w:rPr>
          <w:rFonts w:ascii="Verdana" w:hAnsi="Verdana"/>
          <w:sz w:val="24"/>
          <w:szCs w:val="24"/>
        </w:rPr>
        <w:t xml:space="preserve">la irregularidad aludida </w:t>
      </w:r>
      <w:r w:rsidRPr="00694840">
        <w:rPr>
          <w:rFonts w:ascii="Verdana" w:hAnsi="Verdana"/>
          <w:sz w:val="24"/>
          <w:szCs w:val="24"/>
        </w:rPr>
        <w:t xml:space="preserve">no se </w:t>
      </w:r>
      <w:r w:rsidR="00E01D89" w:rsidRPr="00694840">
        <w:rPr>
          <w:rFonts w:ascii="Verdana" w:hAnsi="Verdana"/>
          <w:sz w:val="24"/>
          <w:szCs w:val="24"/>
        </w:rPr>
        <w:t xml:space="preserve">puede etiquetar dentro de la </w:t>
      </w:r>
      <w:r w:rsidRPr="00694840">
        <w:rPr>
          <w:rFonts w:ascii="Verdana" w:hAnsi="Verdana"/>
          <w:sz w:val="24"/>
          <w:szCs w:val="24"/>
        </w:rPr>
        <w:t xml:space="preserve">excepción previa decretada de oficio por el </w:t>
      </w:r>
      <w:r w:rsidR="00123756" w:rsidRPr="008E40F5">
        <w:rPr>
          <w:rFonts w:ascii="Verdana" w:hAnsi="Verdana"/>
          <w:i/>
          <w:iCs/>
          <w:sz w:val="24"/>
          <w:szCs w:val="24"/>
        </w:rPr>
        <w:t>a</w:t>
      </w:r>
      <w:r w:rsidRPr="008E40F5">
        <w:rPr>
          <w:rFonts w:ascii="Verdana" w:hAnsi="Verdana"/>
          <w:i/>
          <w:iCs/>
          <w:sz w:val="24"/>
          <w:szCs w:val="24"/>
        </w:rPr>
        <w:t xml:space="preserve"> quo</w:t>
      </w:r>
      <w:r w:rsidRPr="00694840">
        <w:rPr>
          <w:rFonts w:ascii="Verdana" w:hAnsi="Verdana"/>
          <w:sz w:val="24"/>
          <w:szCs w:val="24"/>
        </w:rPr>
        <w:t xml:space="preserve">, </w:t>
      </w:r>
      <w:r w:rsidR="00123756">
        <w:rPr>
          <w:rFonts w:ascii="Verdana" w:hAnsi="Verdana"/>
          <w:sz w:val="24"/>
          <w:szCs w:val="24"/>
        </w:rPr>
        <w:t>pues ella</w:t>
      </w:r>
      <w:r w:rsidRPr="00694840">
        <w:rPr>
          <w:rFonts w:ascii="Verdana" w:hAnsi="Verdana"/>
          <w:sz w:val="24"/>
          <w:szCs w:val="24"/>
        </w:rPr>
        <w:t xml:space="preserve"> constituye una causal de rechazo de la demanda</w:t>
      </w:r>
      <w:r w:rsidR="00981E7D" w:rsidRPr="00694840">
        <w:rPr>
          <w:rFonts w:ascii="Verdana" w:hAnsi="Verdana"/>
          <w:sz w:val="24"/>
          <w:szCs w:val="24"/>
        </w:rPr>
        <w:t xml:space="preserve"> de acuerdo con el numeral 3 del artículo 169 del CPACA</w:t>
      </w:r>
      <w:r w:rsidRPr="00694840">
        <w:rPr>
          <w:rFonts w:ascii="Verdana" w:hAnsi="Verdana"/>
          <w:sz w:val="24"/>
          <w:szCs w:val="24"/>
        </w:rPr>
        <w:t xml:space="preserve">. </w:t>
      </w:r>
    </w:p>
    <w:p w14:paraId="4E9E7D50" w14:textId="7E9935AC" w:rsidR="009104E5" w:rsidRDefault="009104E5" w:rsidP="00694840">
      <w:pPr>
        <w:spacing w:after="0" w:line="264" w:lineRule="auto"/>
        <w:jc w:val="both"/>
        <w:rPr>
          <w:rFonts w:ascii="Verdana" w:hAnsi="Verdana"/>
          <w:sz w:val="24"/>
          <w:szCs w:val="24"/>
        </w:rPr>
      </w:pPr>
    </w:p>
    <w:p w14:paraId="56ACF16F" w14:textId="77777777" w:rsidR="00123756" w:rsidRPr="00694840" w:rsidRDefault="00123756" w:rsidP="00694840">
      <w:pPr>
        <w:spacing w:after="0" w:line="264" w:lineRule="auto"/>
        <w:jc w:val="both"/>
        <w:rPr>
          <w:rFonts w:ascii="Verdana" w:hAnsi="Verdana"/>
          <w:sz w:val="24"/>
          <w:szCs w:val="24"/>
        </w:rPr>
      </w:pPr>
    </w:p>
    <w:p w14:paraId="4E9E7D51" w14:textId="7CA644F2" w:rsidR="00460C9D" w:rsidRPr="00694840" w:rsidRDefault="00D6567F" w:rsidP="00694840">
      <w:pPr>
        <w:spacing w:after="0" w:line="264" w:lineRule="auto"/>
        <w:jc w:val="both"/>
        <w:rPr>
          <w:rFonts w:ascii="Verdana" w:hAnsi="Verdana"/>
          <w:b/>
          <w:bCs/>
          <w:sz w:val="24"/>
          <w:szCs w:val="24"/>
        </w:rPr>
      </w:pPr>
      <w:r w:rsidRPr="00694840">
        <w:rPr>
          <w:rFonts w:ascii="Verdana" w:hAnsi="Verdana"/>
          <w:b/>
          <w:bCs/>
          <w:sz w:val="24"/>
          <w:szCs w:val="24"/>
        </w:rPr>
        <w:t xml:space="preserve">II.2. De </w:t>
      </w:r>
      <w:r w:rsidR="00460C9D" w:rsidRPr="00694840">
        <w:rPr>
          <w:rFonts w:ascii="Verdana" w:hAnsi="Verdana"/>
          <w:b/>
          <w:bCs/>
          <w:sz w:val="24"/>
          <w:szCs w:val="24"/>
        </w:rPr>
        <w:t xml:space="preserve">los actos </w:t>
      </w:r>
      <w:r w:rsidR="002477D4" w:rsidRPr="00694840">
        <w:rPr>
          <w:rFonts w:ascii="Verdana" w:hAnsi="Verdana"/>
          <w:b/>
          <w:bCs/>
          <w:sz w:val="24"/>
          <w:szCs w:val="24"/>
        </w:rPr>
        <w:t xml:space="preserve">administrativos </w:t>
      </w:r>
      <w:r w:rsidR="00460C9D" w:rsidRPr="00694840">
        <w:rPr>
          <w:rFonts w:ascii="Verdana" w:hAnsi="Verdana"/>
          <w:b/>
          <w:bCs/>
          <w:sz w:val="24"/>
          <w:szCs w:val="24"/>
        </w:rPr>
        <w:t>suscep</w:t>
      </w:r>
      <w:r w:rsidR="002477D4" w:rsidRPr="00694840">
        <w:rPr>
          <w:rFonts w:ascii="Verdana" w:hAnsi="Verdana"/>
          <w:b/>
          <w:bCs/>
          <w:sz w:val="24"/>
          <w:szCs w:val="24"/>
        </w:rPr>
        <w:t>tibles de control judicial</w:t>
      </w:r>
      <w:r w:rsidR="00460C9D" w:rsidRPr="00694840">
        <w:rPr>
          <w:rFonts w:ascii="Verdana" w:hAnsi="Verdana"/>
          <w:b/>
          <w:bCs/>
          <w:sz w:val="24"/>
          <w:szCs w:val="24"/>
        </w:rPr>
        <w:t xml:space="preserve"> ante la jurisdicción de lo Contencioso Administrativo</w:t>
      </w:r>
      <w:r w:rsidR="005D4C36">
        <w:rPr>
          <w:rFonts w:ascii="Verdana" w:hAnsi="Verdana"/>
          <w:b/>
          <w:bCs/>
          <w:sz w:val="24"/>
          <w:szCs w:val="24"/>
        </w:rPr>
        <w:t>.</w:t>
      </w:r>
    </w:p>
    <w:p w14:paraId="4E9E7D52" w14:textId="77777777" w:rsidR="002477D4" w:rsidRPr="00694840" w:rsidRDefault="002477D4" w:rsidP="00694840">
      <w:pPr>
        <w:pStyle w:val="Encabezado"/>
        <w:tabs>
          <w:tab w:val="clear" w:pos="4252"/>
          <w:tab w:val="clear" w:pos="8504"/>
          <w:tab w:val="left" w:pos="6480"/>
        </w:tabs>
        <w:spacing w:line="264" w:lineRule="auto"/>
        <w:jc w:val="both"/>
        <w:rPr>
          <w:rFonts w:ascii="Verdana" w:hAnsi="Verdana" w:cs="Arial"/>
          <w:b/>
        </w:rPr>
      </w:pPr>
    </w:p>
    <w:p w14:paraId="59C0BB2E" w14:textId="77777777" w:rsidR="000D5428" w:rsidRDefault="002477D4" w:rsidP="00694840">
      <w:pPr>
        <w:pStyle w:val="Prrafodelista"/>
        <w:spacing w:line="264" w:lineRule="auto"/>
        <w:ind w:left="0"/>
        <w:contextualSpacing w:val="0"/>
        <w:jc w:val="both"/>
        <w:rPr>
          <w:rFonts w:ascii="Verdana" w:hAnsi="Verdana"/>
        </w:rPr>
      </w:pPr>
      <w:r w:rsidRPr="00694840">
        <w:rPr>
          <w:rFonts w:ascii="Verdana" w:hAnsi="Verdana"/>
        </w:rPr>
        <w:t>Según la categorización que ostentan los actos administrativos, es</w:t>
      </w:r>
      <w:r w:rsidR="000D5428">
        <w:rPr>
          <w:rFonts w:ascii="Verdana" w:hAnsi="Verdana"/>
        </w:rPr>
        <w:t xml:space="preserve">tos se clasifican </w:t>
      </w:r>
      <w:r w:rsidRPr="00694840">
        <w:rPr>
          <w:rFonts w:ascii="Verdana" w:hAnsi="Verdana"/>
        </w:rPr>
        <w:t>en actos de trámite y definitivos, distinción que se adopta para determinar cuáles son o no demandables ante la jurisdicción de lo contencioso administrativo</w:t>
      </w:r>
      <w:r w:rsidR="000D5428">
        <w:rPr>
          <w:rFonts w:ascii="Verdana" w:hAnsi="Verdana"/>
        </w:rPr>
        <w:t>.</w:t>
      </w:r>
    </w:p>
    <w:p w14:paraId="2AB51FED" w14:textId="77777777" w:rsidR="000D5428" w:rsidRDefault="000D5428" w:rsidP="00694840">
      <w:pPr>
        <w:pStyle w:val="Prrafodelista"/>
        <w:spacing w:line="264" w:lineRule="auto"/>
        <w:ind w:left="0"/>
        <w:contextualSpacing w:val="0"/>
        <w:jc w:val="both"/>
        <w:rPr>
          <w:rFonts w:ascii="Verdana" w:hAnsi="Verdana"/>
        </w:rPr>
      </w:pPr>
    </w:p>
    <w:p w14:paraId="4E9E7D55" w14:textId="4A9F8E00" w:rsidR="002477D4" w:rsidRPr="00694840" w:rsidRDefault="000D5428" w:rsidP="000D5428">
      <w:pPr>
        <w:pStyle w:val="Prrafodelista"/>
        <w:spacing w:line="264" w:lineRule="auto"/>
        <w:ind w:left="0"/>
        <w:contextualSpacing w:val="0"/>
        <w:jc w:val="both"/>
        <w:rPr>
          <w:rFonts w:ascii="Verdana" w:hAnsi="Verdana" w:cs="Arial"/>
          <w:lang w:val="es-MX"/>
        </w:rPr>
      </w:pPr>
      <w:r w:rsidRPr="003D2B19">
        <w:rPr>
          <w:rFonts w:ascii="Verdana" w:hAnsi="Verdana"/>
        </w:rPr>
        <w:t>L</w:t>
      </w:r>
      <w:r w:rsidR="002477D4" w:rsidRPr="003D2B19">
        <w:rPr>
          <w:rFonts w:ascii="Verdana" w:hAnsi="Verdana"/>
        </w:rPr>
        <w:t>os primeros constituyen actos intermediarios, previos o preparatorios que le dan impulso a la actuación administrativa, que se finiquita con la expedición de los segundos que contienen la voluntad de la administración creadora de derechos o efectos jurídicos.</w:t>
      </w:r>
      <w:r w:rsidRPr="003D2B19">
        <w:rPr>
          <w:rFonts w:ascii="Verdana" w:hAnsi="Verdana"/>
        </w:rPr>
        <w:t xml:space="preserve"> </w:t>
      </w:r>
      <w:r w:rsidR="002477D4" w:rsidRPr="003D2B19">
        <w:rPr>
          <w:rFonts w:ascii="Verdana" w:hAnsi="Verdana" w:cs="Arial"/>
          <w:lang w:val="es-MX"/>
        </w:rPr>
        <w:t>No sucede lo mismo con los actos definitivos que, por el contrario, sí son pasibles de recursos, además</w:t>
      </w:r>
      <w:r w:rsidRPr="003D2B19">
        <w:rPr>
          <w:rFonts w:ascii="Verdana" w:hAnsi="Verdana" w:cs="Arial"/>
          <w:lang w:val="es-MX"/>
        </w:rPr>
        <w:t xml:space="preserve">, </w:t>
      </w:r>
      <w:r w:rsidR="002477D4" w:rsidRPr="003D2B19">
        <w:rPr>
          <w:rFonts w:ascii="Verdana" w:hAnsi="Verdana" w:cs="Arial"/>
          <w:lang w:val="es-MX"/>
        </w:rPr>
        <w:t xml:space="preserve">pueden ser acusados ante la Jurisdicción de lo Contencioso Administrativo, por cuanto al plasmarse la voluntad de la administración pueden ser objeto de control a fin de establecer si están incurso en alguna causal de nulidad, contempladas en el artículo 137 del </w:t>
      </w:r>
      <w:r w:rsidR="00123756" w:rsidRPr="003D2B19">
        <w:rPr>
          <w:rFonts w:ascii="Verdana" w:hAnsi="Verdana" w:cs="Arial"/>
          <w:lang w:val="es-MX"/>
        </w:rPr>
        <w:t>CPACA.</w:t>
      </w:r>
    </w:p>
    <w:p w14:paraId="4E9E7D56" w14:textId="77777777" w:rsidR="002477D4" w:rsidRPr="00694840" w:rsidRDefault="002477D4" w:rsidP="00694840">
      <w:pPr>
        <w:spacing w:after="0" w:line="264" w:lineRule="auto"/>
        <w:jc w:val="both"/>
        <w:rPr>
          <w:rFonts w:ascii="Verdana" w:hAnsi="Verdana" w:cs="Arial"/>
          <w:sz w:val="24"/>
          <w:szCs w:val="24"/>
          <w:lang w:val="es-MX"/>
        </w:rPr>
      </w:pPr>
    </w:p>
    <w:p w14:paraId="4E9E7D57" w14:textId="438174A2" w:rsidR="002477D4" w:rsidRPr="00A92B07" w:rsidRDefault="000D5428" w:rsidP="00694840">
      <w:pPr>
        <w:spacing w:after="0" w:line="264" w:lineRule="auto"/>
        <w:jc w:val="both"/>
        <w:rPr>
          <w:rFonts w:ascii="Verdana" w:hAnsi="Verdana" w:cs="Arial"/>
          <w:sz w:val="24"/>
          <w:szCs w:val="24"/>
          <w:lang w:val="es-MX"/>
        </w:rPr>
      </w:pPr>
      <w:r w:rsidRPr="00A92B07">
        <w:rPr>
          <w:rFonts w:ascii="Verdana" w:hAnsi="Verdana" w:cs="Arial"/>
          <w:sz w:val="24"/>
          <w:szCs w:val="24"/>
          <w:lang w:val="es-MX"/>
        </w:rPr>
        <w:t>Ahora bien, e</w:t>
      </w:r>
      <w:r w:rsidR="002477D4" w:rsidRPr="00A92B07">
        <w:rPr>
          <w:rFonts w:ascii="Verdana" w:hAnsi="Verdana" w:cs="Arial"/>
          <w:sz w:val="24"/>
          <w:szCs w:val="24"/>
          <w:lang w:val="es-MX"/>
        </w:rPr>
        <w:t xml:space="preserve">l artículo 43 </w:t>
      </w:r>
      <w:r w:rsidR="002477D4" w:rsidRPr="00A92B07">
        <w:rPr>
          <w:rFonts w:ascii="Verdana" w:hAnsi="Verdana" w:cs="Arial"/>
          <w:i/>
          <w:iCs/>
          <w:sz w:val="24"/>
          <w:szCs w:val="24"/>
          <w:lang w:val="es-MX"/>
        </w:rPr>
        <w:t>ibídem</w:t>
      </w:r>
      <w:r w:rsidRPr="00A92B07">
        <w:rPr>
          <w:rFonts w:ascii="Verdana" w:hAnsi="Verdana" w:cs="Arial"/>
          <w:sz w:val="24"/>
          <w:szCs w:val="24"/>
          <w:lang w:val="es-MX"/>
        </w:rPr>
        <w:t xml:space="preserve"> señala</w:t>
      </w:r>
      <w:r w:rsidR="002477D4" w:rsidRPr="00A92B07">
        <w:rPr>
          <w:rFonts w:ascii="Verdana" w:hAnsi="Verdana" w:cs="Arial"/>
          <w:sz w:val="24"/>
          <w:szCs w:val="24"/>
          <w:lang w:val="es-MX"/>
        </w:rPr>
        <w:t xml:space="preserve"> la posibilidad de que actos de trámite puedan convertirse o terminar siendo actos definitivos en la medida en que la decisión allí asumida impida continuar con la actuación administrativa, lo que habilita el ejercicio del control jurisdiccional. En síntesis, una misma actuación administrativa puede acarrear que el acto final o definitivo se enjuicie, así como también los actos preparatorios que muten a definitivos</w:t>
      </w:r>
      <w:r w:rsidRPr="00A92B07">
        <w:rPr>
          <w:rFonts w:ascii="Verdana" w:hAnsi="Verdana" w:cs="Arial"/>
          <w:sz w:val="24"/>
          <w:szCs w:val="24"/>
          <w:lang w:val="es-MX"/>
        </w:rPr>
        <w:t>.</w:t>
      </w:r>
    </w:p>
    <w:p w14:paraId="4E9E7D58" w14:textId="77777777" w:rsidR="002477D4" w:rsidRPr="00A92B07" w:rsidRDefault="002477D4" w:rsidP="00694840">
      <w:pPr>
        <w:spacing w:after="0" w:line="264" w:lineRule="auto"/>
        <w:jc w:val="both"/>
        <w:rPr>
          <w:rFonts w:ascii="Verdana" w:hAnsi="Verdana" w:cs="Arial"/>
          <w:sz w:val="24"/>
          <w:szCs w:val="24"/>
          <w:lang w:val="es-MX"/>
        </w:rPr>
      </w:pPr>
    </w:p>
    <w:p w14:paraId="4E9E7D59" w14:textId="6A8777F8" w:rsidR="002477D4" w:rsidRDefault="002477D4" w:rsidP="00694840">
      <w:pPr>
        <w:spacing w:after="0" w:line="264" w:lineRule="auto"/>
        <w:jc w:val="both"/>
        <w:rPr>
          <w:rFonts w:ascii="Verdana" w:hAnsi="Verdana" w:cs="Arial"/>
          <w:sz w:val="24"/>
          <w:szCs w:val="24"/>
          <w:lang w:val="es-MX"/>
        </w:rPr>
      </w:pPr>
      <w:r w:rsidRPr="00A92B07">
        <w:rPr>
          <w:rFonts w:ascii="Verdana" w:hAnsi="Verdana" w:cs="Arial"/>
          <w:sz w:val="24"/>
          <w:szCs w:val="24"/>
          <w:lang w:val="es-MX"/>
        </w:rPr>
        <w:t>Otra de las características determinantes de que un acto administrativo es definitivo y susceptible de control de legalidad es precisamente que produzcan efectos jurídicos, es decir, que contengan la voluntad de la administración dirigida a crear, modificar o extinguir situaciones jurídicas</w:t>
      </w:r>
      <w:r w:rsidR="000D5428" w:rsidRPr="00A92B07">
        <w:rPr>
          <w:rFonts w:ascii="Verdana" w:hAnsi="Verdana" w:cs="Arial"/>
          <w:sz w:val="24"/>
          <w:szCs w:val="24"/>
          <w:lang w:val="es-MX"/>
        </w:rPr>
        <w:t xml:space="preserve">, </w:t>
      </w:r>
      <w:r w:rsidRPr="00A92B07">
        <w:rPr>
          <w:rFonts w:ascii="Verdana" w:hAnsi="Verdana" w:cs="Arial"/>
          <w:sz w:val="24"/>
          <w:szCs w:val="24"/>
          <w:lang w:val="es-MX"/>
        </w:rPr>
        <w:t>independientemente la denominación que se le otorgue (oficio, resolución, decreto, circular, acta, instrucción, etc.).</w:t>
      </w:r>
    </w:p>
    <w:p w14:paraId="7F9E1768" w14:textId="77777777" w:rsidR="00123756" w:rsidRPr="00694840" w:rsidRDefault="00123756" w:rsidP="00694840">
      <w:pPr>
        <w:spacing w:after="0" w:line="264" w:lineRule="auto"/>
        <w:jc w:val="both"/>
        <w:rPr>
          <w:rFonts w:ascii="Verdana" w:hAnsi="Verdana" w:cs="Arial"/>
          <w:sz w:val="24"/>
          <w:szCs w:val="24"/>
          <w:lang w:val="es-MX"/>
        </w:rPr>
      </w:pPr>
    </w:p>
    <w:p w14:paraId="4E9E7D5A" w14:textId="77777777" w:rsidR="009104E5" w:rsidRPr="00694840" w:rsidRDefault="009104E5" w:rsidP="00694840">
      <w:pPr>
        <w:spacing w:after="0" w:line="264" w:lineRule="auto"/>
        <w:jc w:val="both"/>
        <w:rPr>
          <w:rFonts w:ascii="Verdana" w:hAnsi="Verdana" w:cs="Arial"/>
          <w:sz w:val="24"/>
          <w:szCs w:val="24"/>
          <w:lang w:val="es-MX"/>
        </w:rPr>
      </w:pPr>
    </w:p>
    <w:p w14:paraId="4E9E7D5B" w14:textId="77777777" w:rsidR="00D6567F" w:rsidRPr="00694840" w:rsidRDefault="00460C9D" w:rsidP="00694840">
      <w:pPr>
        <w:spacing w:after="0" w:line="264" w:lineRule="auto"/>
        <w:jc w:val="both"/>
        <w:rPr>
          <w:rFonts w:ascii="Verdana" w:hAnsi="Verdana"/>
          <w:b/>
          <w:bCs/>
          <w:sz w:val="24"/>
          <w:szCs w:val="24"/>
        </w:rPr>
      </w:pPr>
      <w:r w:rsidRPr="00694840">
        <w:rPr>
          <w:rFonts w:ascii="Verdana" w:hAnsi="Verdana"/>
          <w:b/>
          <w:bCs/>
          <w:sz w:val="24"/>
          <w:szCs w:val="24"/>
        </w:rPr>
        <w:t xml:space="preserve">II.3. </w:t>
      </w:r>
      <w:r w:rsidR="00D6567F" w:rsidRPr="00694840">
        <w:rPr>
          <w:rFonts w:ascii="Verdana" w:hAnsi="Verdana"/>
          <w:b/>
          <w:bCs/>
          <w:sz w:val="24"/>
          <w:szCs w:val="24"/>
        </w:rPr>
        <w:t>la ineptitud de la demanda como excepción previa.</w:t>
      </w:r>
    </w:p>
    <w:p w14:paraId="4E9E7D5C" w14:textId="77777777" w:rsidR="00D6567F" w:rsidRPr="00694840" w:rsidRDefault="00D6567F" w:rsidP="00694840">
      <w:pPr>
        <w:spacing w:after="0" w:line="264" w:lineRule="auto"/>
        <w:jc w:val="both"/>
        <w:rPr>
          <w:rFonts w:ascii="Verdana" w:hAnsi="Verdana"/>
          <w:bCs/>
          <w:sz w:val="24"/>
          <w:szCs w:val="24"/>
        </w:rPr>
      </w:pPr>
    </w:p>
    <w:p w14:paraId="4E9E7D5D" w14:textId="0BC7AD98" w:rsidR="00D6567F" w:rsidRPr="00694840" w:rsidRDefault="00D6567F" w:rsidP="00694840">
      <w:pPr>
        <w:spacing w:after="0" w:line="264" w:lineRule="auto"/>
        <w:jc w:val="both"/>
        <w:rPr>
          <w:rFonts w:ascii="Verdana" w:hAnsi="Verdana"/>
          <w:bCs/>
          <w:sz w:val="24"/>
          <w:szCs w:val="24"/>
        </w:rPr>
      </w:pPr>
      <w:r w:rsidRPr="00694840">
        <w:rPr>
          <w:rFonts w:ascii="Verdana" w:hAnsi="Verdana"/>
          <w:bCs/>
          <w:sz w:val="24"/>
          <w:szCs w:val="24"/>
        </w:rPr>
        <w:t xml:space="preserve">El numeral 6 del artículo 180 </w:t>
      </w:r>
      <w:r w:rsidR="00123756">
        <w:rPr>
          <w:rFonts w:ascii="Verdana" w:hAnsi="Verdana"/>
          <w:bCs/>
          <w:sz w:val="24"/>
          <w:szCs w:val="24"/>
        </w:rPr>
        <w:t>del CPACA</w:t>
      </w:r>
      <w:r w:rsidRPr="00694840">
        <w:rPr>
          <w:rFonts w:ascii="Verdana" w:hAnsi="Verdana"/>
          <w:bCs/>
          <w:sz w:val="24"/>
          <w:szCs w:val="24"/>
        </w:rPr>
        <w:t>, sin ofrecer un listado de las excepciones previas</w:t>
      </w:r>
      <w:r w:rsidRPr="00694840">
        <w:rPr>
          <w:rStyle w:val="Refdenotaalpie"/>
          <w:rFonts w:ascii="Verdana" w:hAnsi="Verdana"/>
          <w:bCs/>
          <w:sz w:val="24"/>
          <w:szCs w:val="24"/>
        </w:rPr>
        <w:footnoteReference w:id="1"/>
      </w:r>
      <w:r w:rsidRPr="00694840">
        <w:rPr>
          <w:rFonts w:ascii="Verdana" w:hAnsi="Verdana"/>
          <w:bCs/>
          <w:sz w:val="24"/>
          <w:szCs w:val="24"/>
        </w:rPr>
        <w:t xml:space="preserve"> que podrían proponerse, señaló que éstas </w:t>
      </w:r>
      <w:r w:rsidRPr="00694840">
        <w:rPr>
          <w:rFonts w:ascii="Verdana" w:hAnsi="Verdana"/>
          <w:bCs/>
          <w:sz w:val="24"/>
          <w:szCs w:val="24"/>
        </w:rPr>
        <w:lastRenderedPageBreak/>
        <w:t xml:space="preserve">deberían resolverse de oficio o a petición de parte. Tal situación, más allá de simplemente modificar el procedimiento contencioso administrativo, consagra una prerrogativa a la parte demandada consistente en el poder para usar los mecanismos de defensa, denominados “excepciones previas” como recursos procesales idóneos, y, además, impuso al juez un deber en relación con los mismos, pues debe absolverlas, inclusive oficiosamente, en la audiencia inicial </w:t>
      </w:r>
      <w:r w:rsidRPr="00694840">
        <w:rPr>
          <w:rFonts w:ascii="Verdana" w:hAnsi="Verdana"/>
          <w:sz w:val="24"/>
          <w:szCs w:val="24"/>
        </w:rPr>
        <w:t>(sin la modificación de la Ley 2080 de 2021).</w:t>
      </w:r>
    </w:p>
    <w:p w14:paraId="4E9E7D5E" w14:textId="77777777" w:rsidR="00D6567F" w:rsidRPr="00694840" w:rsidRDefault="00D6567F" w:rsidP="00694840">
      <w:pPr>
        <w:spacing w:after="0" w:line="264" w:lineRule="auto"/>
        <w:jc w:val="both"/>
        <w:rPr>
          <w:rFonts w:ascii="Verdana" w:hAnsi="Verdana"/>
          <w:bCs/>
          <w:sz w:val="24"/>
          <w:szCs w:val="24"/>
        </w:rPr>
      </w:pPr>
    </w:p>
    <w:p w14:paraId="4E9E7D5F" w14:textId="662AD3E2" w:rsidR="00D6567F" w:rsidRPr="005749B1" w:rsidRDefault="00D6567F" w:rsidP="00694840">
      <w:pPr>
        <w:spacing w:after="0" w:line="264" w:lineRule="auto"/>
        <w:jc w:val="both"/>
        <w:rPr>
          <w:rFonts w:ascii="Verdana" w:hAnsi="Verdana"/>
          <w:bCs/>
          <w:sz w:val="24"/>
          <w:szCs w:val="24"/>
        </w:rPr>
      </w:pPr>
      <w:r w:rsidRPr="00694840">
        <w:rPr>
          <w:rFonts w:ascii="Verdana" w:hAnsi="Verdana"/>
          <w:bCs/>
          <w:sz w:val="24"/>
          <w:szCs w:val="24"/>
        </w:rPr>
        <w:t xml:space="preserve">Sin embargo, como </w:t>
      </w:r>
      <w:r w:rsidR="00123756">
        <w:rPr>
          <w:rFonts w:ascii="Verdana" w:hAnsi="Verdana"/>
          <w:bCs/>
          <w:sz w:val="24"/>
          <w:szCs w:val="24"/>
        </w:rPr>
        <w:t>el CPACA</w:t>
      </w:r>
      <w:r w:rsidRPr="00694840">
        <w:rPr>
          <w:rFonts w:ascii="Verdana" w:hAnsi="Verdana"/>
          <w:bCs/>
          <w:sz w:val="24"/>
          <w:szCs w:val="24"/>
        </w:rPr>
        <w:t xml:space="preserve"> no determinó cuáles eran las excepciones previas que podían proponerse, tal vacío normativo debe suplirse acudiendo a la legislación procesal civil, conforme la remisión del artículo 306 </w:t>
      </w:r>
      <w:r w:rsidR="00123756">
        <w:rPr>
          <w:rFonts w:ascii="Verdana" w:hAnsi="Verdana"/>
          <w:bCs/>
          <w:sz w:val="24"/>
          <w:szCs w:val="24"/>
        </w:rPr>
        <w:t>ibídem</w:t>
      </w:r>
      <w:r w:rsidRPr="00694840">
        <w:rPr>
          <w:rFonts w:ascii="Verdana" w:hAnsi="Verdana"/>
          <w:bCs/>
          <w:sz w:val="24"/>
          <w:szCs w:val="24"/>
        </w:rPr>
        <w:t xml:space="preserve">. En virtud de tal remisión se concluye que las excepciones previas procedentes son las consagradas en el artículo 100 del </w:t>
      </w:r>
      <w:r w:rsidR="005749B1">
        <w:rPr>
          <w:rFonts w:ascii="Verdana" w:hAnsi="Verdana"/>
          <w:bCs/>
          <w:sz w:val="24"/>
          <w:szCs w:val="24"/>
        </w:rPr>
        <w:t xml:space="preserve">Código General del Proceso (en adelante </w:t>
      </w:r>
      <w:r w:rsidR="005749B1" w:rsidRPr="005749B1">
        <w:rPr>
          <w:rFonts w:ascii="Verdana" w:hAnsi="Verdana"/>
          <w:b/>
          <w:sz w:val="24"/>
          <w:szCs w:val="24"/>
        </w:rPr>
        <w:t>CGP</w:t>
      </w:r>
      <w:r w:rsidR="005749B1">
        <w:rPr>
          <w:rFonts w:ascii="Verdana" w:hAnsi="Verdana"/>
          <w:bCs/>
          <w:sz w:val="24"/>
          <w:szCs w:val="24"/>
        </w:rPr>
        <w:t>)</w:t>
      </w:r>
      <w:r w:rsidRPr="00694840">
        <w:rPr>
          <w:rFonts w:ascii="Verdana" w:hAnsi="Verdana"/>
          <w:bCs/>
          <w:sz w:val="24"/>
          <w:szCs w:val="24"/>
        </w:rPr>
        <w:t>,</w:t>
      </w:r>
      <w:r w:rsidR="005749B1">
        <w:rPr>
          <w:rFonts w:ascii="Verdana" w:hAnsi="Verdana"/>
          <w:bCs/>
          <w:sz w:val="24"/>
          <w:szCs w:val="24"/>
        </w:rPr>
        <w:t xml:space="preserve"> cuyo</w:t>
      </w:r>
      <w:r w:rsidRPr="00694840">
        <w:rPr>
          <w:rFonts w:ascii="Verdana" w:hAnsi="Verdana"/>
          <w:bCs/>
          <w:sz w:val="24"/>
          <w:szCs w:val="24"/>
        </w:rPr>
        <w:t xml:space="preserve"> numeral quinto consagra la ineptitud d</w:t>
      </w:r>
      <w:r w:rsidRPr="005749B1">
        <w:rPr>
          <w:rFonts w:ascii="Verdana" w:hAnsi="Verdana"/>
          <w:bCs/>
          <w:sz w:val="24"/>
          <w:szCs w:val="24"/>
        </w:rPr>
        <w:t xml:space="preserve">e la demanda por falta de los requisitos formales o por indebida acumulación de pretensiones. </w:t>
      </w:r>
    </w:p>
    <w:p w14:paraId="4E9E7D60" w14:textId="77777777" w:rsidR="00D6567F" w:rsidRPr="00694840" w:rsidRDefault="00D6567F" w:rsidP="00694840">
      <w:pPr>
        <w:spacing w:after="0" w:line="264" w:lineRule="auto"/>
        <w:jc w:val="both"/>
        <w:rPr>
          <w:rFonts w:ascii="Verdana" w:hAnsi="Verdana"/>
          <w:bCs/>
          <w:sz w:val="24"/>
          <w:szCs w:val="24"/>
        </w:rPr>
      </w:pPr>
    </w:p>
    <w:p w14:paraId="4E9E7D6D" w14:textId="5BECCA85" w:rsidR="00D6567F" w:rsidRPr="00694840" w:rsidRDefault="00D6567F" w:rsidP="005749B1">
      <w:pPr>
        <w:spacing w:after="0" w:line="264" w:lineRule="auto"/>
        <w:jc w:val="both"/>
        <w:rPr>
          <w:rFonts w:ascii="Verdana" w:hAnsi="Verdana"/>
          <w:bCs/>
          <w:sz w:val="24"/>
          <w:szCs w:val="24"/>
        </w:rPr>
      </w:pPr>
      <w:r w:rsidRPr="00694840">
        <w:rPr>
          <w:rFonts w:ascii="Verdana" w:hAnsi="Verdana"/>
          <w:bCs/>
          <w:sz w:val="24"/>
          <w:szCs w:val="24"/>
        </w:rPr>
        <w:t xml:space="preserve">Así las cosas, </w:t>
      </w:r>
      <w:r w:rsidRPr="00A92B07">
        <w:rPr>
          <w:rFonts w:ascii="Verdana" w:hAnsi="Verdana"/>
          <w:bCs/>
          <w:sz w:val="24"/>
          <w:szCs w:val="24"/>
        </w:rPr>
        <w:t>en la jurisdicción de lo contencioso administrativo puede configurarse la inepta demanda cuando se incumplen las cargas procesales especiales previstas en el Capítulo III del Título V de</w:t>
      </w:r>
      <w:r w:rsidR="005749B1" w:rsidRPr="00A92B07">
        <w:rPr>
          <w:rFonts w:ascii="Verdana" w:hAnsi="Verdana"/>
          <w:bCs/>
          <w:sz w:val="24"/>
          <w:szCs w:val="24"/>
        </w:rPr>
        <w:t>l CPACA</w:t>
      </w:r>
      <w:r w:rsidRPr="00A92B07">
        <w:rPr>
          <w:rFonts w:ascii="Verdana" w:hAnsi="Verdana"/>
          <w:bCs/>
          <w:sz w:val="24"/>
          <w:szCs w:val="24"/>
        </w:rPr>
        <w:t xml:space="preserve"> y las generales del </w:t>
      </w:r>
      <w:r w:rsidR="005749B1" w:rsidRPr="00A92B07">
        <w:rPr>
          <w:rFonts w:ascii="Verdana" w:hAnsi="Verdana"/>
          <w:bCs/>
          <w:sz w:val="24"/>
          <w:szCs w:val="24"/>
        </w:rPr>
        <w:t>CGP</w:t>
      </w:r>
      <w:r w:rsidRPr="00A92B07">
        <w:rPr>
          <w:rFonts w:ascii="Verdana" w:hAnsi="Verdana"/>
          <w:bCs/>
          <w:sz w:val="24"/>
          <w:szCs w:val="24"/>
        </w:rPr>
        <w:t xml:space="preserve">. </w:t>
      </w:r>
      <w:r w:rsidR="005749B1" w:rsidRPr="00A92B07">
        <w:rPr>
          <w:rFonts w:ascii="Verdana" w:hAnsi="Verdana"/>
          <w:bCs/>
          <w:sz w:val="24"/>
          <w:szCs w:val="24"/>
        </w:rPr>
        <w:t>E</w:t>
      </w:r>
      <w:r w:rsidRPr="00A92B07">
        <w:rPr>
          <w:rFonts w:ascii="Verdana" w:hAnsi="Verdana"/>
          <w:bCs/>
          <w:sz w:val="24"/>
          <w:szCs w:val="24"/>
        </w:rPr>
        <w:t>l artículo 162 del CPACA contempla los requisitos formales de la demanda</w:t>
      </w:r>
      <w:r w:rsidR="005749B1" w:rsidRPr="00A92B07">
        <w:rPr>
          <w:rFonts w:ascii="Verdana" w:hAnsi="Verdana"/>
          <w:bCs/>
          <w:sz w:val="24"/>
          <w:szCs w:val="24"/>
        </w:rPr>
        <w:t>. Allí se enlista</w:t>
      </w:r>
      <w:r w:rsidRPr="00A92B07">
        <w:rPr>
          <w:rFonts w:ascii="Verdana" w:hAnsi="Verdana"/>
          <w:bCs/>
          <w:sz w:val="24"/>
          <w:szCs w:val="24"/>
        </w:rPr>
        <w:t xml:space="preserve"> las formalidades con que se debe acompañar el escrito introductorio, es decir, la designación de las partes, los hechos y omisiones que fundamenten las pretensiones, lo que se pretenda expresado con claridad, los fundamentos de derecho, la petición de pruebas, la estimación razonada de la cuantía y el lugar de notificación de las partes y sus apoderados.</w:t>
      </w:r>
    </w:p>
    <w:p w14:paraId="4E9E7D70" w14:textId="77777777" w:rsidR="00D6567F" w:rsidRPr="00694840" w:rsidRDefault="00D6567F" w:rsidP="00694840">
      <w:pPr>
        <w:spacing w:after="0" w:line="264" w:lineRule="auto"/>
        <w:jc w:val="both"/>
        <w:rPr>
          <w:rFonts w:ascii="Verdana" w:hAnsi="Verdana"/>
          <w:bCs/>
          <w:sz w:val="24"/>
          <w:szCs w:val="24"/>
        </w:rPr>
      </w:pPr>
    </w:p>
    <w:p w14:paraId="4E9E7D71" w14:textId="7576D931" w:rsidR="00D6567F" w:rsidRPr="00694840" w:rsidRDefault="00D6567F" w:rsidP="00694840">
      <w:pPr>
        <w:spacing w:after="0" w:line="264" w:lineRule="auto"/>
        <w:jc w:val="both"/>
        <w:rPr>
          <w:rFonts w:ascii="Verdana" w:hAnsi="Verdana"/>
          <w:bCs/>
          <w:sz w:val="24"/>
          <w:szCs w:val="24"/>
        </w:rPr>
      </w:pPr>
      <w:r w:rsidRPr="00694840">
        <w:rPr>
          <w:rFonts w:ascii="Verdana" w:hAnsi="Verdana"/>
          <w:bCs/>
          <w:sz w:val="24"/>
          <w:szCs w:val="24"/>
        </w:rPr>
        <w:t xml:space="preserve">Respecto de los requisitos formales, el extremo activo del litigio tiene el deber de agotar lo dispuesto en la norma </w:t>
      </w:r>
      <w:r w:rsidR="00FD2A7C">
        <w:rPr>
          <w:rFonts w:ascii="Verdana" w:hAnsi="Verdana"/>
          <w:bCs/>
          <w:sz w:val="24"/>
          <w:szCs w:val="24"/>
        </w:rPr>
        <w:t xml:space="preserve">procesal </w:t>
      </w:r>
      <w:r w:rsidRPr="00694840">
        <w:rPr>
          <w:rFonts w:ascii="Verdana" w:hAnsi="Verdana"/>
          <w:bCs/>
          <w:sz w:val="24"/>
          <w:szCs w:val="24"/>
        </w:rPr>
        <w:t>para la admisibilidad de la demanda, es decir, el libelo introductorio debe contener todos los presupuestos necesarios para la admisibilidad del medio de control los cuales están indicados en la misma norma. Dichos requisitos son formales y le atañen únicamente al contenido de la demanda.</w:t>
      </w:r>
    </w:p>
    <w:p w14:paraId="4E9E7D72" w14:textId="26223818" w:rsidR="00F65043" w:rsidRDefault="00F65043" w:rsidP="00694840">
      <w:pPr>
        <w:spacing w:after="0" w:line="264" w:lineRule="auto"/>
        <w:jc w:val="both"/>
        <w:rPr>
          <w:rFonts w:ascii="Verdana" w:hAnsi="Verdana"/>
          <w:bCs/>
          <w:sz w:val="24"/>
          <w:szCs w:val="24"/>
        </w:rPr>
      </w:pPr>
    </w:p>
    <w:p w14:paraId="09CEBA27" w14:textId="77777777" w:rsidR="005749B1" w:rsidRPr="00694840" w:rsidRDefault="005749B1" w:rsidP="00694840">
      <w:pPr>
        <w:spacing w:after="0" w:line="264" w:lineRule="auto"/>
        <w:jc w:val="both"/>
        <w:rPr>
          <w:rFonts w:ascii="Verdana" w:hAnsi="Verdana"/>
          <w:bCs/>
          <w:sz w:val="24"/>
          <w:szCs w:val="24"/>
        </w:rPr>
      </w:pPr>
    </w:p>
    <w:p w14:paraId="4E9E7D73" w14:textId="77777777" w:rsidR="00D6567F" w:rsidRPr="00694840" w:rsidRDefault="00833DF3" w:rsidP="00694840">
      <w:pPr>
        <w:pStyle w:val="Encabezado"/>
        <w:tabs>
          <w:tab w:val="left" w:pos="6480"/>
        </w:tabs>
        <w:spacing w:line="264" w:lineRule="auto"/>
        <w:jc w:val="both"/>
        <w:rPr>
          <w:rFonts w:ascii="Verdana" w:hAnsi="Verdana" w:cs="Arial"/>
          <w:b/>
          <w:bCs/>
        </w:rPr>
      </w:pPr>
      <w:r w:rsidRPr="00694840">
        <w:rPr>
          <w:rFonts w:ascii="Verdana" w:hAnsi="Verdana" w:cs="Arial"/>
          <w:b/>
          <w:bCs/>
        </w:rPr>
        <w:lastRenderedPageBreak/>
        <w:t>II.4</w:t>
      </w:r>
      <w:r w:rsidR="00D6567F" w:rsidRPr="00694840">
        <w:rPr>
          <w:rFonts w:ascii="Verdana" w:hAnsi="Verdana" w:cs="Arial"/>
          <w:b/>
          <w:bCs/>
        </w:rPr>
        <w:t xml:space="preserve"> Solución del caso concreto. </w:t>
      </w:r>
    </w:p>
    <w:p w14:paraId="4E9E7D74" w14:textId="77777777" w:rsidR="00D6567F" w:rsidRPr="00694840" w:rsidRDefault="00D6567F" w:rsidP="00694840">
      <w:pPr>
        <w:spacing w:after="0" w:line="264" w:lineRule="auto"/>
        <w:rPr>
          <w:rFonts w:ascii="Verdana" w:hAnsi="Verdana"/>
          <w:sz w:val="24"/>
          <w:szCs w:val="24"/>
        </w:rPr>
      </w:pPr>
    </w:p>
    <w:p w14:paraId="4E9E7D75" w14:textId="082343DA" w:rsidR="0040427E" w:rsidRPr="00694840" w:rsidRDefault="009C4201" w:rsidP="00694840">
      <w:pPr>
        <w:spacing w:after="0" w:line="264" w:lineRule="auto"/>
        <w:jc w:val="both"/>
        <w:rPr>
          <w:rFonts w:ascii="Verdana" w:hAnsi="Verdana"/>
          <w:sz w:val="24"/>
          <w:szCs w:val="24"/>
        </w:rPr>
      </w:pPr>
      <w:r>
        <w:rPr>
          <w:rFonts w:ascii="Verdana" w:hAnsi="Verdana"/>
          <w:sz w:val="24"/>
          <w:szCs w:val="24"/>
        </w:rPr>
        <w:t>En su escrito de alzada, el demandante</w:t>
      </w:r>
      <w:r w:rsidR="00E43797" w:rsidRPr="00694840">
        <w:rPr>
          <w:rFonts w:ascii="Verdana" w:hAnsi="Verdana"/>
          <w:sz w:val="24"/>
          <w:szCs w:val="24"/>
        </w:rPr>
        <w:t xml:space="preserve"> propone 2 argumentos</w:t>
      </w:r>
      <w:r>
        <w:rPr>
          <w:rFonts w:ascii="Verdana" w:hAnsi="Verdana"/>
          <w:sz w:val="24"/>
          <w:szCs w:val="24"/>
        </w:rPr>
        <w:t xml:space="preserve"> así</w:t>
      </w:r>
      <w:r w:rsidR="00FC2842" w:rsidRPr="00694840">
        <w:rPr>
          <w:rFonts w:ascii="Verdana" w:hAnsi="Verdana"/>
          <w:sz w:val="24"/>
          <w:szCs w:val="24"/>
        </w:rPr>
        <w:t>:</w:t>
      </w:r>
    </w:p>
    <w:p w14:paraId="4E9E7D76" w14:textId="77777777" w:rsidR="00FC2842" w:rsidRPr="00694840" w:rsidRDefault="00FC2842" w:rsidP="00694840">
      <w:pPr>
        <w:spacing w:after="0" w:line="264" w:lineRule="auto"/>
        <w:jc w:val="both"/>
        <w:rPr>
          <w:rFonts w:ascii="Verdana" w:hAnsi="Verdana"/>
          <w:sz w:val="24"/>
          <w:szCs w:val="24"/>
        </w:rPr>
      </w:pPr>
    </w:p>
    <w:p w14:paraId="4E9E7D77" w14:textId="22545B49" w:rsidR="00FC2842" w:rsidRPr="00694840" w:rsidRDefault="009C4201" w:rsidP="00694840">
      <w:pPr>
        <w:pStyle w:val="Prrafodelista"/>
        <w:numPr>
          <w:ilvl w:val="0"/>
          <w:numId w:val="3"/>
        </w:numPr>
        <w:spacing w:line="264" w:lineRule="auto"/>
        <w:ind w:left="0" w:firstLine="0"/>
        <w:contextualSpacing w:val="0"/>
        <w:jc w:val="both"/>
        <w:rPr>
          <w:rFonts w:ascii="Verdana" w:hAnsi="Verdana"/>
        </w:rPr>
      </w:pPr>
      <w:r>
        <w:rPr>
          <w:rFonts w:ascii="Verdana" w:hAnsi="Verdana"/>
        </w:rPr>
        <w:t>L</w:t>
      </w:r>
      <w:r w:rsidR="00FC2842" w:rsidRPr="00694840">
        <w:rPr>
          <w:rFonts w:ascii="Verdana" w:hAnsi="Verdana"/>
        </w:rPr>
        <w:t xml:space="preserve">a ineptitud de la demanda se configura bien por falta de requisitos formales de la demanda o por acumulación indebida de pretensiones, causales que en </w:t>
      </w:r>
      <w:r w:rsidR="00F44543" w:rsidRPr="00694840">
        <w:rPr>
          <w:rFonts w:ascii="Verdana" w:hAnsi="Verdana"/>
        </w:rPr>
        <w:t xml:space="preserve">el </w:t>
      </w:r>
      <w:r w:rsidR="00FC2842" w:rsidRPr="00694840">
        <w:rPr>
          <w:rFonts w:ascii="Verdana" w:hAnsi="Verdana"/>
        </w:rPr>
        <w:t xml:space="preserve">presente asunto no están llamadas a operar. </w:t>
      </w:r>
    </w:p>
    <w:p w14:paraId="4E9E7D78" w14:textId="77777777" w:rsidR="00FC2842" w:rsidRPr="009C4201" w:rsidRDefault="00FC2842" w:rsidP="00694840">
      <w:pPr>
        <w:spacing w:after="0" w:line="264" w:lineRule="auto"/>
        <w:jc w:val="both"/>
        <w:rPr>
          <w:rFonts w:ascii="Verdana" w:hAnsi="Verdana"/>
          <w:sz w:val="24"/>
          <w:szCs w:val="24"/>
          <w:lang w:val="es-ES"/>
        </w:rPr>
      </w:pPr>
    </w:p>
    <w:p w14:paraId="4E9E7D79" w14:textId="0BD3E9BA" w:rsidR="00FC2842" w:rsidRPr="00694840" w:rsidRDefault="009C4201" w:rsidP="00694840">
      <w:pPr>
        <w:pStyle w:val="Prrafodelista"/>
        <w:numPr>
          <w:ilvl w:val="0"/>
          <w:numId w:val="3"/>
        </w:numPr>
        <w:tabs>
          <w:tab w:val="left" w:pos="426"/>
        </w:tabs>
        <w:spacing w:line="264" w:lineRule="auto"/>
        <w:ind w:left="0" w:firstLine="0"/>
        <w:contextualSpacing w:val="0"/>
        <w:jc w:val="both"/>
        <w:rPr>
          <w:rFonts w:ascii="Verdana" w:hAnsi="Verdana" w:cs="Arial"/>
        </w:rPr>
      </w:pPr>
      <w:r>
        <w:rPr>
          <w:rFonts w:ascii="Verdana" w:hAnsi="Verdana"/>
        </w:rPr>
        <w:t>L</w:t>
      </w:r>
      <w:r w:rsidR="00FC2842" w:rsidRPr="00694840">
        <w:rPr>
          <w:rFonts w:ascii="Verdana" w:hAnsi="Verdana"/>
        </w:rPr>
        <w:t xml:space="preserve">as Resoluciones </w:t>
      </w:r>
      <w:proofErr w:type="spellStart"/>
      <w:r w:rsidR="00D877B1" w:rsidRPr="00694840">
        <w:rPr>
          <w:rFonts w:ascii="Verdana" w:hAnsi="Verdana"/>
        </w:rPr>
        <w:t>Nros</w:t>
      </w:r>
      <w:proofErr w:type="spellEnd"/>
      <w:r w:rsidR="00D877B1" w:rsidRPr="00694840">
        <w:rPr>
          <w:rFonts w:ascii="Verdana" w:hAnsi="Verdana"/>
        </w:rPr>
        <w:t xml:space="preserve">. </w:t>
      </w:r>
      <w:r w:rsidR="00FC2842" w:rsidRPr="00694840">
        <w:rPr>
          <w:rFonts w:ascii="Verdana" w:hAnsi="Verdana"/>
        </w:rPr>
        <w:t>074 del día 26 de diciembre del año 2017, 07 de 26 de enero del año 2018 y 025 del día 05 de abril del año 2018, emitidas por el Concejo de Tunja</w:t>
      </w:r>
      <w:r>
        <w:rPr>
          <w:rFonts w:ascii="Verdana" w:hAnsi="Verdana"/>
        </w:rPr>
        <w:t>,</w:t>
      </w:r>
      <w:r w:rsidR="00FC2842" w:rsidRPr="00694840">
        <w:rPr>
          <w:rFonts w:ascii="Verdana" w:hAnsi="Verdana"/>
        </w:rPr>
        <w:t xml:space="preserve"> son objeto de examen de fondo a través del medio de control impetrado, ya que se le impidió ejercer como </w:t>
      </w:r>
      <w:proofErr w:type="gramStart"/>
      <w:r w:rsidR="00FC2842" w:rsidRPr="00694840">
        <w:rPr>
          <w:rFonts w:ascii="Verdana" w:hAnsi="Verdana"/>
        </w:rPr>
        <w:t>Concejal</w:t>
      </w:r>
      <w:proofErr w:type="gramEnd"/>
      <w:r w:rsidR="00FC2842" w:rsidRPr="00694840">
        <w:rPr>
          <w:rFonts w:ascii="Verdana" w:hAnsi="Verdana"/>
        </w:rPr>
        <w:t xml:space="preserve"> para el periodo 2016-2019. </w:t>
      </w:r>
    </w:p>
    <w:p w14:paraId="4E9E7D7A" w14:textId="77777777" w:rsidR="00E43797" w:rsidRPr="009C4201" w:rsidRDefault="00E43797" w:rsidP="00694840">
      <w:pPr>
        <w:spacing w:after="0" w:line="264" w:lineRule="auto"/>
        <w:rPr>
          <w:rFonts w:ascii="Verdana" w:hAnsi="Verdana"/>
          <w:sz w:val="24"/>
          <w:szCs w:val="24"/>
          <w:lang w:val="es-ES"/>
        </w:rPr>
      </w:pPr>
    </w:p>
    <w:p w14:paraId="4E9E7D7B" w14:textId="77777777" w:rsidR="00FC2842" w:rsidRPr="00694840" w:rsidRDefault="00740AAC" w:rsidP="00694840">
      <w:pPr>
        <w:spacing w:after="0" w:line="264" w:lineRule="auto"/>
        <w:jc w:val="both"/>
        <w:rPr>
          <w:rFonts w:ascii="Verdana" w:hAnsi="Verdana"/>
          <w:sz w:val="24"/>
          <w:szCs w:val="24"/>
        </w:rPr>
      </w:pPr>
      <w:r w:rsidRPr="00694840">
        <w:rPr>
          <w:rFonts w:ascii="Verdana" w:hAnsi="Verdana"/>
          <w:sz w:val="24"/>
          <w:szCs w:val="24"/>
        </w:rPr>
        <w:t xml:space="preserve">Conforme los cargos formulados para atacar la providencia impugnada, </w:t>
      </w:r>
      <w:r w:rsidR="001F553E" w:rsidRPr="00694840">
        <w:rPr>
          <w:rFonts w:ascii="Verdana" w:hAnsi="Verdana"/>
          <w:sz w:val="24"/>
          <w:szCs w:val="24"/>
        </w:rPr>
        <w:t>la Sala comenzará por examinar el asunto sustancial</w:t>
      </w:r>
      <w:r w:rsidR="00DD3CEA" w:rsidRPr="00694840">
        <w:rPr>
          <w:rFonts w:ascii="Verdana" w:hAnsi="Verdana"/>
          <w:sz w:val="24"/>
          <w:szCs w:val="24"/>
        </w:rPr>
        <w:t xml:space="preserve"> de la contienda</w:t>
      </w:r>
      <w:r w:rsidR="001F553E" w:rsidRPr="00694840">
        <w:rPr>
          <w:rFonts w:ascii="Verdana" w:hAnsi="Verdana"/>
          <w:sz w:val="24"/>
          <w:szCs w:val="24"/>
        </w:rPr>
        <w:t>, para finalmente arribar al aspecto procesal, así:</w:t>
      </w:r>
    </w:p>
    <w:p w14:paraId="4E9E7D7C" w14:textId="77777777" w:rsidR="001F553E" w:rsidRPr="00694840" w:rsidRDefault="001F553E" w:rsidP="00694840">
      <w:pPr>
        <w:spacing w:after="0" w:line="264" w:lineRule="auto"/>
        <w:jc w:val="both"/>
        <w:rPr>
          <w:rFonts w:ascii="Verdana" w:hAnsi="Verdana"/>
          <w:sz w:val="24"/>
          <w:szCs w:val="24"/>
        </w:rPr>
      </w:pPr>
    </w:p>
    <w:p w14:paraId="4E9E7D7D" w14:textId="77777777" w:rsidR="00833DF3" w:rsidRPr="00694840" w:rsidRDefault="00833DF3" w:rsidP="00694840">
      <w:pPr>
        <w:spacing w:after="0" w:line="264" w:lineRule="auto"/>
        <w:jc w:val="both"/>
        <w:rPr>
          <w:rFonts w:ascii="Verdana" w:hAnsi="Verdana"/>
          <w:i/>
          <w:sz w:val="24"/>
          <w:szCs w:val="24"/>
          <w:u w:val="single"/>
        </w:rPr>
      </w:pPr>
      <w:r w:rsidRPr="00694840">
        <w:rPr>
          <w:rFonts w:ascii="Verdana" w:hAnsi="Verdana"/>
          <w:i/>
          <w:sz w:val="24"/>
          <w:szCs w:val="24"/>
          <w:u w:val="single"/>
        </w:rPr>
        <w:t xml:space="preserve">4.1. De los actos administrativos sujetos a control judicial. </w:t>
      </w:r>
    </w:p>
    <w:p w14:paraId="4E9E7D7E" w14:textId="77777777" w:rsidR="00833DF3" w:rsidRPr="00694840" w:rsidRDefault="00833DF3" w:rsidP="00694840">
      <w:pPr>
        <w:spacing w:after="0" w:line="264" w:lineRule="auto"/>
        <w:jc w:val="both"/>
        <w:rPr>
          <w:rFonts w:ascii="Verdana" w:hAnsi="Verdana"/>
          <w:sz w:val="24"/>
          <w:szCs w:val="24"/>
        </w:rPr>
      </w:pPr>
    </w:p>
    <w:p w14:paraId="4E9E7D7F" w14:textId="7F3742B7" w:rsidR="001F553E" w:rsidRPr="00694840" w:rsidRDefault="00B85B4C" w:rsidP="00694840">
      <w:pPr>
        <w:spacing w:after="0" w:line="264" w:lineRule="auto"/>
        <w:jc w:val="both"/>
        <w:rPr>
          <w:rFonts w:ascii="Verdana" w:hAnsi="Verdana"/>
          <w:sz w:val="24"/>
          <w:szCs w:val="24"/>
        </w:rPr>
      </w:pPr>
      <w:r w:rsidRPr="00694840">
        <w:rPr>
          <w:rFonts w:ascii="Verdana" w:hAnsi="Verdana"/>
          <w:sz w:val="24"/>
          <w:szCs w:val="24"/>
        </w:rPr>
        <w:t xml:space="preserve">En principio, es conveniente hacer un recuento de las actuaciones que surgieron antes de la expedición de los actos acusados, a efectos de determinar </w:t>
      </w:r>
      <w:r w:rsidR="009C4201">
        <w:rPr>
          <w:rFonts w:ascii="Verdana" w:hAnsi="Verdana"/>
          <w:sz w:val="24"/>
          <w:szCs w:val="24"/>
        </w:rPr>
        <w:t>la naturaleza jurídica de las decisiones y si estas son</w:t>
      </w:r>
      <w:r w:rsidRPr="00694840">
        <w:rPr>
          <w:rFonts w:ascii="Verdana" w:hAnsi="Verdana"/>
          <w:sz w:val="24"/>
          <w:szCs w:val="24"/>
        </w:rPr>
        <w:t xml:space="preserve"> obj</w:t>
      </w:r>
      <w:r w:rsidR="005354CE" w:rsidRPr="00694840">
        <w:rPr>
          <w:rFonts w:ascii="Verdana" w:hAnsi="Verdana"/>
          <w:sz w:val="24"/>
          <w:szCs w:val="24"/>
        </w:rPr>
        <w:t>eto de control judicial.</w:t>
      </w:r>
    </w:p>
    <w:p w14:paraId="4E9E7D80" w14:textId="77777777" w:rsidR="00B85B4C" w:rsidRPr="00694840" w:rsidRDefault="00B85B4C" w:rsidP="00694840">
      <w:pPr>
        <w:spacing w:after="0" w:line="264" w:lineRule="auto"/>
        <w:jc w:val="both"/>
        <w:rPr>
          <w:rFonts w:ascii="Verdana" w:hAnsi="Verdana"/>
          <w:sz w:val="24"/>
          <w:szCs w:val="24"/>
        </w:rPr>
      </w:pPr>
    </w:p>
    <w:p w14:paraId="4E9E7D81" w14:textId="24E828C5" w:rsidR="00B85B4C" w:rsidRPr="00694840" w:rsidRDefault="009C4201" w:rsidP="00694840">
      <w:pPr>
        <w:spacing w:after="0" w:line="264" w:lineRule="auto"/>
        <w:jc w:val="both"/>
        <w:rPr>
          <w:rFonts w:ascii="Verdana" w:hAnsi="Verdana"/>
          <w:sz w:val="24"/>
          <w:szCs w:val="24"/>
        </w:rPr>
      </w:pPr>
      <w:r>
        <w:rPr>
          <w:rFonts w:ascii="Verdana" w:hAnsi="Verdana"/>
          <w:sz w:val="24"/>
          <w:szCs w:val="24"/>
        </w:rPr>
        <w:t>D</w:t>
      </w:r>
      <w:r w:rsidR="0092286D" w:rsidRPr="00694840">
        <w:rPr>
          <w:rFonts w:ascii="Verdana" w:hAnsi="Verdana"/>
          <w:sz w:val="24"/>
          <w:szCs w:val="24"/>
        </w:rPr>
        <w:t xml:space="preserve">e acuerdo con lo relatado en algunas de las piezas procesales que obran en el expediente, se puede extraer que </w:t>
      </w:r>
      <w:r>
        <w:rPr>
          <w:rFonts w:ascii="Verdana" w:hAnsi="Verdana"/>
          <w:sz w:val="24"/>
          <w:szCs w:val="24"/>
        </w:rPr>
        <w:t>a través</w:t>
      </w:r>
      <w:r w:rsidR="0092286D" w:rsidRPr="00694840">
        <w:rPr>
          <w:rFonts w:ascii="Verdana" w:hAnsi="Verdana"/>
          <w:sz w:val="24"/>
          <w:szCs w:val="24"/>
        </w:rPr>
        <w:t xml:space="preserve"> del escrito de 6 de diciembre de 2017</w:t>
      </w:r>
      <w:r>
        <w:rPr>
          <w:rFonts w:ascii="Verdana" w:hAnsi="Verdana"/>
          <w:sz w:val="24"/>
          <w:szCs w:val="24"/>
        </w:rPr>
        <w:t>,</w:t>
      </w:r>
      <w:r w:rsidR="0092286D" w:rsidRPr="00694840">
        <w:rPr>
          <w:rFonts w:ascii="Verdana" w:hAnsi="Verdana"/>
          <w:sz w:val="24"/>
          <w:szCs w:val="24"/>
        </w:rPr>
        <w:t xml:space="preserve"> los señores José Eduardo Londoño Ulloa </w:t>
      </w:r>
      <w:r w:rsidR="0092286D" w:rsidRPr="00694840">
        <w:rPr>
          <w:rFonts w:ascii="Verdana" w:hAnsi="Verdana"/>
          <w:i/>
          <w:sz w:val="24"/>
          <w:szCs w:val="24"/>
        </w:rPr>
        <w:t>–Director del Partido Político Alianza Verde</w:t>
      </w:r>
      <w:r w:rsidR="0092286D" w:rsidRPr="00694840">
        <w:rPr>
          <w:rFonts w:ascii="Verdana" w:hAnsi="Verdana"/>
          <w:sz w:val="24"/>
          <w:szCs w:val="24"/>
        </w:rPr>
        <w:t xml:space="preserve">, </w:t>
      </w:r>
      <w:r>
        <w:rPr>
          <w:rFonts w:ascii="Verdana" w:hAnsi="Verdana"/>
          <w:sz w:val="24"/>
          <w:szCs w:val="24"/>
        </w:rPr>
        <w:t xml:space="preserve">y </w:t>
      </w:r>
      <w:r w:rsidR="0092286D" w:rsidRPr="00694840">
        <w:rPr>
          <w:rFonts w:ascii="Verdana" w:hAnsi="Verdana"/>
          <w:sz w:val="24"/>
          <w:szCs w:val="24"/>
        </w:rPr>
        <w:t>Pedro Alexander Pineda Ávila y Jairo Enrique Cabana Fonseca</w:t>
      </w:r>
      <w:r>
        <w:rPr>
          <w:rFonts w:ascii="Verdana" w:hAnsi="Verdana"/>
          <w:sz w:val="24"/>
          <w:szCs w:val="24"/>
        </w:rPr>
        <w:t xml:space="preserve"> </w:t>
      </w:r>
      <w:r w:rsidR="0092286D" w:rsidRPr="00694840">
        <w:rPr>
          <w:rFonts w:ascii="Verdana" w:hAnsi="Verdana"/>
          <w:sz w:val="24"/>
          <w:szCs w:val="24"/>
        </w:rPr>
        <w:t>-</w:t>
      </w:r>
      <w:r w:rsidR="0092286D" w:rsidRPr="00694840">
        <w:rPr>
          <w:rFonts w:ascii="Verdana" w:hAnsi="Verdana"/>
          <w:i/>
          <w:sz w:val="24"/>
          <w:szCs w:val="24"/>
        </w:rPr>
        <w:t>Concejales del Municipio de Tunja-</w:t>
      </w:r>
      <w:r>
        <w:rPr>
          <w:rFonts w:ascii="Verdana" w:hAnsi="Verdana"/>
          <w:i/>
          <w:sz w:val="24"/>
          <w:szCs w:val="24"/>
        </w:rPr>
        <w:t xml:space="preserve"> </w:t>
      </w:r>
      <w:r w:rsidR="0092286D" w:rsidRPr="00694840">
        <w:rPr>
          <w:rFonts w:ascii="Verdana" w:hAnsi="Verdana"/>
          <w:sz w:val="24"/>
          <w:szCs w:val="24"/>
        </w:rPr>
        <w:t>presentaron ante el Consejo de Control Ético del Partido Político Alianza Verde denuncia ético-disciplinaria contra el señor Héctor Mauricio Sánchez Abril</w:t>
      </w:r>
      <w:r>
        <w:rPr>
          <w:rFonts w:ascii="Verdana" w:hAnsi="Verdana"/>
          <w:sz w:val="24"/>
          <w:szCs w:val="24"/>
        </w:rPr>
        <w:t>,</w:t>
      </w:r>
      <w:r w:rsidR="0092286D" w:rsidRPr="00694840">
        <w:rPr>
          <w:rFonts w:ascii="Verdana" w:hAnsi="Verdana"/>
          <w:sz w:val="24"/>
          <w:szCs w:val="24"/>
        </w:rPr>
        <w:t xml:space="preserve"> también concejal del mismo municipio. </w:t>
      </w:r>
    </w:p>
    <w:p w14:paraId="4E9E7D82" w14:textId="77777777" w:rsidR="00BD3D17" w:rsidRPr="00694840" w:rsidRDefault="00BD3D17" w:rsidP="00694840">
      <w:pPr>
        <w:spacing w:after="0" w:line="264" w:lineRule="auto"/>
        <w:jc w:val="both"/>
        <w:rPr>
          <w:rFonts w:ascii="Verdana" w:hAnsi="Verdana"/>
          <w:sz w:val="24"/>
          <w:szCs w:val="24"/>
        </w:rPr>
      </w:pPr>
    </w:p>
    <w:p w14:paraId="4E9E7D83" w14:textId="19AED72F" w:rsidR="00BD3D17" w:rsidRPr="00694840" w:rsidRDefault="009C4201" w:rsidP="00694840">
      <w:pPr>
        <w:spacing w:after="0" w:line="264" w:lineRule="auto"/>
        <w:jc w:val="both"/>
        <w:rPr>
          <w:rFonts w:ascii="Verdana" w:hAnsi="Verdana"/>
          <w:sz w:val="24"/>
          <w:szCs w:val="24"/>
        </w:rPr>
      </w:pPr>
      <w:r>
        <w:rPr>
          <w:rFonts w:ascii="Verdana" w:hAnsi="Verdana"/>
          <w:sz w:val="24"/>
          <w:szCs w:val="24"/>
        </w:rPr>
        <w:t>C</w:t>
      </w:r>
      <w:r w:rsidR="00BD3D17" w:rsidRPr="00694840">
        <w:rPr>
          <w:rFonts w:ascii="Verdana" w:hAnsi="Verdana"/>
          <w:sz w:val="24"/>
          <w:szCs w:val="24"/>
        </w:rPr>
        <w:t>on Auto de 19 de diciembre de 2017, el Consejo de Control Ético del Partido Político Alianza Verde resolvió lo siguiente:</w:t>
      </w:r>
    </w:p>
    <w:p w14:paraId="4E9E7D84" w14:textId="291C07D0" w:rsidR="00BD3D17" w:rsidRDefault="00BD3D17" w:rsidP="00694840">
      <w:pPr>
        <w:spacing w:after="0" w:line="264" w:lineRule="auto"/>
        <w:jc w:val="both"/>
        <w:rPr>
          <w:rFonts w:ascii="Verdana" w:hAnsi="Verdana"/>
          <w:sz w:val="24"/>
          <w:szCs w:val="24"/>
        </w:rPr>
      </w:pPr>
    </w:p>
    <w:p w14:paraId="336471FB" w14:textId="77777777" w:rsidR="00A2370B" w:rsidRPr="00694840" w:rsidRDefault="00A2370B" w:rsidP="00694840">
      <w:pPr>
        <w:spacing w:after="0" w:line="264" w:lineRule="auto"/>
        <w:jc w:val="both"/>
        <w:rPr>
          <w:rFonts w:ascii="Verdana" w:hAnsi="Verdana"/>
          <w:sz w:val="24"/>
          <w:szCs w:val="24"/>
        </w:rPr>
      </w:pPr>
    </w:p>
    <w:p w14:paraId="4E9E7D85" w14:textId="77777777" w:rsidR="00BD3D17" w:rsidRPr="00456D96" w:rsidRDefault="00BD3D17" w:rsidP="00A2370B">
      <w:pPr>
        <w:spacing w:after="0" w:line="240" w:lineRule="auto"/>
        <w:ind w:left="851" w:right="567"/>
        <w:jc w:val="both"/>
        <w:rPr>
          <w:rFonts w:ascii="Verdana" w:hAnsi="Verdana"/>
          <w:sz w:val="21"/>
          <w:szCs w:val="21"/>
        </w:rPr>
      </w:pPr>
      <w:r w:rsidRPr="00456D96">
        <w:rPr>
          <w:rFonts w:ascii="Verdana" w:hAnsi="Verdana"/>
          <w:sz w:val="21"/>
          <w:szCs w:val="21"/>
        </w:rPr>
        <w:t xml:space="preserve">“Artículo Primero: Ordenar la apertura de investigación disciplinaria contra Héctor Mauricio Sánchez Abril actual concejal del municipio de Tunja en representación del Partido Alianza Verde, en los términos del artículo 44 y siguientes del Régimen Disciplinario Interno de la colectividad, por las razones y motivos expuestos con precedencia. </w:t>
      </w:r>
    </w:p>
    <w:p w14:paraId="4E9E7D86" w14:textId="77777777" w:rsidR="00BD3D17" w:rsidRPr="00456D96" w:rsidRDefault="00BD3D17" w:rsidP="00A2370B">
      <w:pPr>
        <w:spacing w:after="0" w:line="240" w:lineRule="auto"/>
        <w:ind w:left="851" w:right="567"/>
        <w:jc w:val="both"/>
        <w:rPr>
          <w:rFonts w:ascii="Verdana" w:hAnsi="Verdana"/>
          <w:sz w:val="21"/>
          <w:szCs w:val="21"/>
        </w:rPr>
      </w:pPr>
    </w:p>
    <w:p w14:paraId="4E9E7D87" w14:textId="60C875F0" w:rsidR="00BD3D17" w:rsidRPr="00456D96" w:rsidRDefault="00BD3D17" w:rsidP="00A2370B">
      <w:pPr>
        <w:spacing w:after="0" w:line="240" w:lineRule="auto"/>
        <w:ind w:left="851" w:right="567"/>
        <w:jc w:val="both"/>
        <w:rPr>
          <w:rFonts w:ascii="Verdana" w:hAnsi="Verdana"/>
          <w:sz w:val="21"/>
          <w:szCs w:val="21"/>
        </w:rPr>
      </w:pPr>
      <w:r w:rsidRPr="00456D96">
        <w:rPr>
          <w:rFonts w:ascii="Verdana" w:hAnsi="Verdana"/>
          <w:sz w:val="21"/>
          <w:szCs w:val="21"/>
        </w:rPr>
        <w:lastRenderedPageBreak/>
        <w:t xml:space="preserve">Artículo Segundo: </w:t>
      </w:r>
      <w:r w:rsidRPr="00456D96">
        <w:rPr>
          <w:rFonts w:ascii="Verdana" w:hAnsi="Verdana"/>
          <w:b/>
          <w:bCs/>
          <w:i/>
          <w:iCs/>
          <w:sz w:val="21"/>
          <w:szCs w:val="21"/>
          <w:u w:val="single"/>
        </w:rPr>
        <w:t xml:space="preserve">Como medida cautelar ordenar la suspensión provisional inmediata de Héctor Mauricio Sánchez Abril en su condición de Concejal del municipio de Tunja en representación </w:t>
      </w:r>
      <w:r w:rsidR="00092890" w:rsidRPr="00456D96">
        <w:rPr>
          <w:rFonts w:ascii="Verdana" w:hAnsi="Verdana"/>
          <w:b/>
          <w:bCs/>
          <w:i/>
          <w:iCs/>
          <w:sz w:val="21"/>
          <w:szCs w:val="21"/>
          <w:u w:val="single"/>
        </w:rPr>
        <w:t>del Partido Alianza Verde, por el término de treinta (30) días</w:t>
      </w:r>
      <w:r w:rsidR="00092890" w:rsidRPr="00A2370B">
        <w:rPr>
          <w:rFonts w:ascii="Verdana" w:hAnsi="Verdana"/>
          <w:b/>
          <w:sz w:val="21"/>
          <w:szCs w:val="21"/>
        </w:rPr>
        <w:t>.</w:t>
      </w:r>
      <w:r w:rsidR="00092890" w:rsidRPr="00456D96">
        <w:rPr>
          <w:rFonts w:ascii="Verdana" w:hAnsi="Verdana"/>
          <w:b/>
          <w:sz w:val="21"/>
          <w:szCs w:val="21"/>
        </w:rPr>
        <w:t xml:space="preserve"> </w:t>
      </w:r>
      <w:r w:rsidR="00092890" w:rsidRPr="00456D96">
        <w:rPr>
          <w:rFonts w:ascii="Verdana" w:hAnsi="Verdana"/>
          <w:sz w:val="21"/>
          <w:szCs w:val="21"/>
        </w:rPr>
        <w:t xml:space="preserve">Líbrese oficiosos por secretaria a la mesa directiva del concejo municipal de Tunja (Boyacá) y a las Directivas del Partido Alianza Verde.” </w:t>
      </w:r>
      <w:r w:rsidR="00456D96">
        <w:rPr>
          <w:rFonts w:ascii="Verdana" w:hAnsi="Verdana"/>
          <w:sz w:val="21"/>
          <w:szCs w:val="21"/>
        </w:rPr>
        <w:t>(Destacado de la Sala)</w:t>
      </w:r>
    </w:p>
    <w:p w14:paraId="4E9E7D88" w14:textId="46552C58" w:rsidR="001E0FB9" w:rsidRDefault="001E0FB9" w:rsidP="00694840">
      <w:pPr>
        <w:spacing w:after="0" w:line="264" w:lineRule="auto"/>
        <w:ind w:right="396"/>
        <w:jc w:val="both"/>
        <w:rPr>
          <w:rFonts w:ascii="Verdana" w:hAnsi="Verdana"/>
          <w:sz w:val="24"/>
          <w:szCs w:val="24"/>
        </w:rPr>
      </w:pPr>
    </w:p>
    <w:p w14:paraId="4C931398" w14:textId="77777777" w:rsidR="00A2370B" w:rsidRPr="00694840" w:rsidRDefault="00A2370B" w:rsidP="00694840">
      <w:pPr>
        <w:spacing w:after="0" w:line="264" w:lineRule="auto"/>
        <w:ind w:right="396"/>
        <w:jc w:val="both"/>
        <w:rPr>
          <w:rFonts w:ascii="Verdana" w:hAnsi="Verdana"/>
          <w:sz w:val="24"/>
          <w:szCs w:val="24"/>
        </w:rPr>
      </w:pPr>
    </w:p>
    <w:p w14:paraId="4E9E7D8C" w14:textId="68557B8A" w:rsidR="001E0FB9" w:rsidRDefault="001E0FB9" w:rsidP="00456D96">
      <w:pPr>
        <w:spacing w:after="0" w:line="264" w:lineRule="auto"/>
        <w:jc w:val="both"/>
        <w:rPr>
          <w:rFonts w:ascii="Verdana" w:hAnsi="Verdana"/>
          <w:sz w:val="24"/>
          <w:szCs w:val="24"/>
        </w:rPr>
      </w:pPr>
      <w:r w:rsidRPr="00694840">
        <w:rPr>
          <w:rFonts w:ascii="Verdana" w:hAnsi="Verdana"/>
          <w:sz w:val="24"/>
          <w:szCs w:val="24"/>
        </w:rPr>
        <w:t>Mediante Resolución No. 074 de 26 de diciembre de 2017, la Mesa Directiva del Concejo Municipal de Tunja materializó la anterior decisión</w:t>
      </w:r>
      <w:r w:rsidR="00456D96">
        <w:rPr>
          <w:rFonts w:ascii="Verdana" w:hAnsi="Verdana"/>
          <w:sz w:val="24"/>
          <w:szCs w:val="24"/>
        </w:rPr>
        <w:t>, haciendo efectiva la medida de suspensión provisional del Concejal Sánchez Abril.</w:t>
      </w:r>
    </w:p>
    <w:p w14:paraId="0A6E759E" w14:textId="77777777" w:rsidR="00A2370B" w:rsidRPr="00694840" w:rsidRDefault="00A2370B" w:rsidP="00A2370B">
      <w:pPr>
        <w:spacing w:after="0" w:line="264" w:lineRule="auto"/>
        <w:ind w:right="396"/>
        <w:jc w:val="both"/>
        <w:rPr>
          <w:rFonts w:ascii="Verdana" w:hAnsi="Verdana"/>
          <w:sz w:val="24"/>
          <w:szCs w:val="24"/>
        </w:rPr>
      </w:pPr>
    </w:p>
    <w:p w14:paraId="4E9E7D95" w14:textId="52220957" w:rsidR="00B63245" w:rsidRPr="00694840" w:rsidRDefault="00BF5938" w:rsidP="00694840">
      <w:pPr>
        <w:spacing w:after="0" w:line="264" w:lineRule="auto"/>
        <w:ind w:right="-28"/>
        <w:jc w:val="both"/>
        <w:rPr>
          <w:rFonts w:ascii="Verdana" w:hAnsi="Verdana"/>
          <w:sz w:val="24"/>
          <w:szCs w:val="24"/>
        </w:rPr>
      </w:pPr>
      <w:r w:rsidRPr="00694840">
        <w:rPr>
          <w:rFonts w:ascii="Verdana" w:hAnsi="Verdana"/>
          <w:sz w:val="24"/>
          <w:szCs w:val="24"/>
        </w:rPr>
        <w:t xml:space="preserve">Conforme con el Comunicado No. C635/CCE/PV de 23 de enero de 2018, emitido por el Consejero Secretario-Consejo de Control Ético Alianza Verde y remitido al Concejo Municipal de Tunja, </w:t>
      </w:r>
      <w:r w:rsidR="00456D96">
        <w:rPr>
          <w:rFonts w:ascii="Verdana" w:hAnsi="Verdana"/>
          <w:sz w:val="24"/>
          <w:szCs w:val="24"/>
        </w:rPr>
        <w:t xml:space="preserve">se </w:t>
      </w:r>
      <w:r w:rsidRPr="00694840">
        <w:rPr>
          <w:rFonts w:ascii="Verdana" w:hAnsi="Verdana"/>
          <w:sz w:val="24"/>
          <w:szCs w:val="24"/>
        </w:rPr>
        <w:t>informó que con auto de la misma fecha se decidió</w:t>
      </w:r>
      <w:r w:rsidR="00456D96">
        <w:rPr>
          <w:rFonts w:ascii="Verdana" w:hAnsi="Verdana"/>
          <w:sz w:val="24"/>
          <w:szCs w:val="24"/>
        </w:rPr>
        <w:t xml:space="preserve"> prorrogar por treinta (30) días la medida de suspensión. Prórroga que fue ejecutada por </w:t>
      </w:r>
      <w:r w:rsidR="00456D96" w:rsidRPr="00694840">
        <w:rPr>
          <w:rFonts w:ascii="Verdana" w:hAnsi="Verdana"/>
          <w:sz w:val="24"/>
          <w:szCs w:val="24"/>
        </w:rPr>
        <w:t>la Mesa Directiva del Concejo Municipal de Tunja</w:t>
      </w:r>
      <w:r w:rsidR="00456D96">
        <w:rPr>
          <w:rFonts w:ascii="Verdana" w:hAnsi="Verdana"/>
          <w:sz w:val="24"/>
          <w:szCs w:val="24"/>
        </w:rPr>
        <w:t xml:space="preserve">, a </w:t>
      </w:r>
      <w:r w:rsidR="00B63245" w:rsidRPr="00694840">
        <w:rPr>
          <w:rFonts w:ascii="Verdana" w:hAnsi="Verdana"/>
          <w:sz w:val="24"/>
          <w:szCs w:val="24"/>
        </w:rPr>
        <w:t>través de Resolución No. 07 de 26 de enero de 201</w:t>
      </w:r>
      <w:r w:rsidR="00B70D9B" w:rsidRPr="00694840">
        <w:rPr>
          <w:rFonts w:ascii="Verdana" w:hAnsi="Verdana"/>
          <w:sz w:val="24"/>
          <w:szCs w:val="24"/>
        </w:rPr>
        <w:t>7</w:t>
      </w:r>
      <w:r w:rsidR="00456D96">
        <w:rPr>
          <w:rFonts w:ascii="Verdana" w:hAnsi="Verdana"/>
          <w:sz w:val="24"/>
          <w:szCs w:val="24"/>
        </w:rPr>
        <w:t xml:space="preserve"> (sic), aclarada con </w:t>
      </w:r>
      <w:r w:rsidR="00B63245" w:rsidRPr="00694840">
        <w:rPr>
          <w:rFonts w:ascii="Verdana" w:hAnsi="Verdana"/>
          <w:sz w:val="24"/>
          <w:szCs w:val="24"/>
        </w:rPr>
        <w:t>Resolución No. 08 de 29 de enero de 2018</w:t>
      </w:r>
      <w:r w:rsidR="00456D96">
        <w:rPr>
          <w:rFonts w:ascii="Verdana" w:hAnsi="Verdana"/>
          <w:sz w:val="24"/>
          <w:szCs w:val="24"/>
        </w:rPr>
        <w:t>.</w:t>
      </w:r>
    </w:p>
    <w:p w14:paraId="4E9E7D96" w14:textId="77777777" w:rsidR="003561CF" w:rsidRPr="00694840" w:rsidRDefault="003561CF" w:rsidP="00694840">
      <w:pPr>
        <w:spacing w:after="0" w:line="264" w:lineRule="auto"/>
        <w:ind w:right="-28"/>
        <w:jc w:val="both"/>
        <w:rPr>
          <w:rFonts w:ascii="Verdana" w:hAnsi="Verdana"/>
          <w:sz w:val="24"/>
          <w:szCs w:val="24"/>
        </w:rPr>
      </w:pPr>
    </w:p>
    <w:p w14:paraId="4E9E7D9B" w14:textId="6C02AA74" w:rsidR="00B70D9B" w:rsidRPr="00694840" w:rsidRDefault="00456D96" w:rsidP="00456D96">
      <w:pPr>
        <w:spacing w:after="0" w:line="264" w:lineRule="auto"/>
        <w:ind w:right="-28"/>
        <w:jc w:val="both"/>
        <w:rPr>
          <w:rFonts w:ascii="Verdana" w:hAnsi="Verdana"/>
          <w:sz w:val="24"/>
          <w:szCs w:val="24"/>
        </w:rPr>
      </w:pPr>
      <w:r>
        <w:rPr>
          <w:rFonts w:ascii="Verdana" w:hAnsi="Verdana"/>
          <w:sz w:val="24"/>
          <w:szCs w:val="24"/>
        </w:rPr>
        <w:t>Con</w:t>
      </w:r>
      <w:r w:rsidR="003561CF" w:rsidRPr="00694840">
        <w:rPr>
          <w:rFonts w:ascii="Verdana" w:hAnsi="Verdana"/>
          <w:sz w:val="24"/>
          <w:szCs w:val="24"/>
        </w:rPr>
        <w:t xml:space="preserve"> comunicado No. C 724/CCE/</w:t>
      </w:r>
      <w:r w:rsidR="002573A5" w:rsidRPr="00694840">
        <w:rPr>
          <w:rFonts w:ascii="Verdana" w:hAnsi="Verdana"/>
          <w:sz w:val="24"/>
          <w:szCs w:val="24"/>
        </w:rPr>
        <w:t>PV de 3 de abril de 2018, proferido por el Consejero Secretario-Consejo de Control Ético Alianza Verde</w:t>
      </w:r>
      <w:r>
        <w:rPr>
          <w:rFonts w:ascii="Verdana" w:hAnsi="Verdana"/>
          <w:sz w:val="24"/>
          <w:szCs w:val="24"/>
        </w:rPr>
        <w:t>,</w:t>
      </w:r>
      <w:r w:rsidR="002573A5" w:rsidRPr="00694840">
        <w:rPr>
          <w:rFonts w:ascii="Verdana" w:hAnsi="Verdana"/>
          <w:sz w:val="24"/>
          <w:szCs w:val="24"/>
        </w:rPr>
        <w:t xml:space="preserve"> enviado al Concejo Municipal de Tunja, </w:t>
      </w:r>
      <w:r>
        <w:rPr>
          <w:rFonts w:ascii="Verdana" w:hAnsi="Verdana"/>
          <w:sz w:val="24"/>
          <w:szCs w:val="24"/>
        </w:rPr>
        <w:t xml:space="preserve">se </w:t>
      </w:r>
      <w:r w:rsidR="002573A5" w:rsidRPr="00694840">
        <w:rPr>
          <w:rFonts w:ascii="Verdana" w:hAnsi="Verdana"/>
          <w:sz w:val="24"/>
          <w:szCs w:val="24"/>
        </w:rPr>
        <w:t xml:space="preserve">informó </w:t>
      </w:r>
      <w:r>
        <w:rPr>
          <w:rFonts w:ascii="Verdana" w:hAnsi="Verdana"/>
          <w:sz w:val="24"/>
          <w:szCs w:val="24"/>
        </w:rPr>
        <w:t xml:space="preserve">de una segunda prórroga por treinta (30) días. Efectiva por </w:t>
      </w:r>
      <w:r w:rsidRPr="00694840">
        <w:rPr>
          <w:rFonts w:ascii="Verdana" w:hAnsi="Verdana"/>
          <w:sz w:val="24"/>
          <w:szCs w:val="24"/>
        </w:rPr>
        <w:t xml:space="preserve">la Mesa Directiva del Concejo Municipal de Tunja </w:t>
      </w:r>
      <w:r>
        <w:rPr>
          <w:rFonts w:ascii="Verdana" w:hAnsi="Verdana"/>
          <w:sz w:val="24"/>
          <w:szCs w:val="24"/>
        </w:rPr>
        <w:t>mediante</w:t>
      </w:r>
      <w:r w:rsidR="00B70D9B" w:rsidRPr="00694840">
        <w:rPr>
          <w:rFonts w:ascii="Verdana" w:hAnsi="Verdana"/>
          <w:sz w:val="24"/>
          <w:szCs w:val="24"/>
        </w:rPr>
        <w:t xml:space="preserve"> la Resolución No. 025 de 5 abril de 2018</w:t>
      </w:r>
      <w:r>
        <w:rPr>
          <w:rFonts w:ascii="Verdana" w:hAnsi="Verdana"/>
          <w:sz w:val="24"/>
          <w:szCs w:val="24"/>
        </w:rPr>
        <w:t>.</w:t>
      </w:r>
    </w:p>
    <w:p w14:paraId="5DD4ADFE" w14:textId="77777777" w:rsidR="00456D96" w:rsidRPr="00694840" w:rsidRDefault="00456D96" w:rsidP="00694840">
      <w:pPr>
        <w:spacing w:after="0" w:line="264" w:lineRule="auto"/>
        <w:jc w:val="both"/>
        <w:rPr>
          <w:rFonts w:ascii="Verdana" w:hAnsi="Verdana"/>
          <w:sz w:val="24"/>
          <w:szCs w:val="24"/>
        </w:rPr>
      </w:pPr>
    </w:p>
    <w:p w14:paraId="4E9E7D9D" w14:textId="0DAFF147" w:rsidR="006835B0" w:rsidRPr="00694840" w:rsidRDefault="00456D96" w:rsidP="00694840">
      <w:pPr>
        <w:spacing w:after="0" w:line="264" w:lineRule="auto"/>
        <w:jc w:val="both"/>
        <w:rPr>
          <w:rFonts w:ascii="Verdana" w:hAnsi="Verdana"/>
          <w:sz w:val="24"/>
          <w:szCs w:val="24"/>
        </w:rPr>
      </w:pPr>
      <w:r>
        <w:rPr>
          <w:rFonts w:ascii="Verdana" w:hAnsi="Verdana"/>
          <w:sz w:val="24"/>
          <w:szCs w:val="24"/>
        </w:rPr>
        <w:t>Finalmente, con</w:t>
      </w:r>
      <w:r w:rsidR="006835B0" w:rsidRPr="00694840">
        <w:rPr>
          <w:rFonts w:ascii="Verdana" w:hAnsi="Verdana"/>
          <w:sz w:val="24"/>
          <w:szCs w:val="24"/>
        </w:rPr>
        <w:t xml:space="preserve"> Comunicado No. C-899/CCE/PV de 14 de agosto de 2018, el Consejero Secretario-Consejo de Control Ético Alianza Verde dirigido informó </w:t>
      </w:r>
      <w:r w:rsidRPr="00694840">
        <w:rPr>
          <w:rFonts w:ascii="Verdana" w:hAnsi="Verdana"/>
          <w:sz w:val="24"/>
          <w:szCs w:val="24"/>
        </w:rPr>
        <w:t xml:space="preserve">al Concejo Municipal de Tunja </w:t>
      </w:r>
      <w:r w:rsidR="006835B0" w:rsidRPr="00694840">
        <w:rPr>
          <w:rFonts w:ascii="Verdana" w:hAnsi="Verdana"/>
          <w:sz w:val="24"/>
          <w:szCs w:val="24"/>
        </w:rPr>
        <w:t xml:space="preserve">que por medio de decisión </w:t>
      </w:r>
      <w:r w:rsidR="00774D0F" w:rsidRPr="00694840">
        <w:rPr>
          <w:rFonts w:ascii="Verdana" w:hAnsi="Verdana"/>
          <w:sz w:val="24"/>
          <w:szCs w:val="24"/>
        </w:rPr>
        <w:t xml:space="preserve">que data de </w:t>
      </w:r>
      <w:r w:rsidR="006835B0" w:rsidRPr="00694840">
        <w:rPr>
          <w:rFonts w:ascii="Verdana" w:hAnsi="Verdana"/>
          <w:sz w:val="24"/>
          <w:szCs w:val="24"/>
        </w:rPr>
        <w:t>la misma fecha se decidió lo siguiente:</w:t>
      </w:r>
    </w:p>
    <w:p w14:paraId="4E9E7D9E" w14:textId="5C2C7353" w:rsidR="006835B0" w:rsidRDefault="006835B0" w:rsidP="00694840">
      <w:pPr>
        <w:spacing w:after="0" w:line="264" w:lineRule="auto"/>
        <w:jc w:val="both"/>
        <w:rPr>
          <w:rFonts w:ascii="Verdana" w:hAnsi="Verdana"/>
          <w:sz w:val="24"/>
          <w:szCs w:val="24"/>
        </w:rPr>
      </w:pPr>
    </w:p>
    <w:p w14:paraId="305122E7" w14:textId="77777777" w:rsidR="00E201BD" w:rsidRPr="00694840" w:rsidRDefault="00E201BD" w:rsidP="00694840">
      <w:pPr>
        <w:spacing w:after="0" w:line="264" w:lineRule="auto"/>
        <w:jc w:val="both"/>
        <w:rPr>
          <w:rFonts w:ascii="Verdana" w:hAnsi="Verdana"/>
          <w:sz w:val="24"/>
          <w:szCs w:val="24"/>
        </w:rPr>
      </w:pPr>
    </w:p>
    <w:p w14:paraId="4E9E7D9F" w14:textId="77777777" w:rsidR="006835B0" w:rsidRPr="00694840" w:rsidRDefault="006835B0" w:rsidP="00694840">
      <w:pPr>
        <w:spacing w:after="0" w:line="264" w:lineRule="auto"/>
        <w:jc w:val="center"/>
        <w:rPr>
          <w:rFonts w:ascii="Verdana" w:hAnsi="Verdana"/>
          <w:sz w:val="24"/>
          <w:szCs w:val="24"/>
        </w:rPr>
      </w:pPr>
      <w:r w:rsidRPr="00694840">
        <w:rPr>
          <w:rFonts w:ascii="Verdana" w:hAnsi="Verdana"/>
          <w:noProof/>
          <w:sz w:val="24"/>
          <w:szCs w:val="24"/>
          <w:lang w:val="es-ES_tradnl" w:eastAsia="es-ES_tradnl"/>
        </w:rPr>
        <w:lastRenderedPageBreak/>
        <w:drawing>
          <wp:inline distT="0" distB="0" distL="0" distR="0" wp14:anchorId="4E9E7E26" wp14:editId="52748328">
            <wp:extent cx="4200525" cy="2181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8667" cy="2185453"/>
                    </a:xfrm>
                    <a:prstGeom prst="rect">
                      <a:avLst/>
                    </a:prstGeom>
                  </pic:spPr>
                </pic:pic>
              </a:graphicData>
            </a:graphic>
          </wp:inline>
        </w:drawing>
      </w:r>
    </w:p>
    <w:p w14:paraId="4E9E7DA0" w14:textId="1E261078" w:rsidR="006835B0" w:rsidRDefault="006835B0" w:rsidP="00694840">
      <w:pPr>
        <w:spacing w:after="0" w:line="264" w:lineRule="auto"/>
        <w:jc w:val="both"/>
        <w:rPr>
          <w:rFonts w:ascii="Verdana" w:hAnsi="Verdana"/>
          <w:sz w:val="24"/>
          <w:szCs w:val="24"/>
        </w:rPr>
      </w:pPr>
    </w:p>
    <w:p w14:paraId="35529D57" w14:textId="77777777" w:rsidR="00DA48F2" w:rsidRPr="00694840" w:rsidRDefault="00DA48F2" w:rsidP="00694840">
      <w:pPr>
        <w:spacing w:after="0" w:line="264" w:lineRule="auto"/>
        <w:jc w:val="both"/>
        <w:rPr>
          <w:rFonts w:ascii="Verdana" w:hAnsi="Verdana"/>
          <w:sz w:val="24"/>
          <w:szCs w:val="24"/>
        </w:rPr>
      </w:pPr>
    </w:p>
    <w:p w14:paraId="4E9E7DA4" w14:textId="6875ACD5" w:rsidR="00FC2842" w:rsidRDefault="00E201BD" w:rsidP="00E201BD">
      <w:pPr>
        <w:spacing w:after="0" w:line="264" w:lineRule="auto"/>
        <w:jc w:val="both"/>
        <w:rPr>
          <w:rFonts w:ascii="Verdana" w:hAnsi="Verdana"/>
          <w:sz w:val="24"/>
          <w:szCs w:val="24"/>
        </w:rPr>
      </w:pPr>
      <w:r>
        <w:rPr>
          <w:rFonts w:ascii="Verdana" w:hAnsi="Verdana"/>
          <w:sz w:val="24"/>
          <w:szCs w:val="24"/>
        </w:rPr>
        <w:t>Decisión disciplinaria que se hizo efectiva mediante R</w:t>
      </w:r>
      <w:r w:rsidR="006835B0" w:rsidRPr="00694840">
        <w:rPr>
          <w:rFonts w:ascii="Verdana" w:hAnsi="Verdana"/>
          <w:sz w:val="24"/>
          <w:szCs w:val="24"/>
        </w:rPr>
        <w:t>esolución No. 57 de 3 de septiembre de 2018, expedida por la Mesa Directiva del Concejo Municipal de Tunja</w:t>
      </w:r>
      <w:r>
        <w:rPr>
          <w:rFonts w:ascii="Verdana" w:hAnsi="Verdana"/>
          <w:sz w:val="24"/>
          <w:szCs w:val="24"/>
        </w:rPr>
        <w:t>.</w:t>
      </w:r>
    </w:p>
    <w:p w14:paraId="3C8D6FD9" w14:textId="77777777" w:rsidR="00DA48F2" w:rsidRPr="00694840" w:rsidRDefault="00DA48F2" w:rsidP="00694840">
      <w:pPr>
        <w:spacing w:after="0" w:line="264" w:lineRule="auto"/>
        <w:rPr>
          <w:rFonts w:ascii="Verdana" w:hAnsi="Verdana"/>
          <w:sz w:val="24"/>
          <w:szCs w:val="24"/>
        </w:rPr>
      </w:pPr>
    </w:p>
    <w:p w14:paraId="4E9E7DA5" w14:textId="069BCF3C" w:rsidR="00C35FF6" w:rsidRDefault="00E201BD" w:rsidP="00694840">
      <w:pPr>
        <w:spacing w:after="0" w:line="264" w:lineRule="auto"/>
        <w:jc w:val="both"/>
        <w:rPr>
          <w:rFonts w:ascii="Verdana" w:hAnsi="Verdana"/>
          <w:sz w:val="24"/>
          <w:szCs w:val="24"/>
        </w:rPr>
      </w:pPr>
      <w:r>
        <w:rPr>
          <w:rFonts w:ascii="Verdana" w:hAnsi="Verdana"/>
          <w:sz w:val="24"/>
          <w:szCs w:val="24"/>
        </w:rPr>
        <w:t>Posteriormente, mediante</w:t>
      </w:r>
      <w:r w:rsidR="00C35FF6" w:rsidRPr="00694840">
        <w:rPr>
          <w:rFonts w:ascii="Verdana" w:hAnsi="Verdana"/>
          <w:sz w:val="24"/>
          <w:szCs w:val="24"/>
        </w:rPr>
        <w:t xml:space="preserve"> Comunicado No. C943/CCE/PV de 5 de febrero de 2019</w:t>
      </w:r>
      <w:r>
        <w:rPr>
          <w:rFonts w:ascii="Verdana" w:hAnsi="Verdana"/>
          <w:sz w:val="24"/>
          <w:szCs w:val="24"/>
        </w:rPr>
        <w:t>,</w:t>
      </w:r>
      <w:r w:rsidR="00C35FF6" w:rsidRPr="00694840">
        <w:rPr>
          <w:rFonts w:ascii="Verdana" w:hAnsi="Verdana"/>
          <w:sz w:val="24"/>
          <w:szCs w:val="24"/>
        </w:rPr>
        <w:t xml:space="preserve"> el Consejero-Consejo de Control </w:t>
      </w:r>
      <w:r w:rsidR="00376AF7" w:rsidRPr="00694840">
        <w:rPr>
          <w:rFonts w:ascii="Verdana" w:hAnsi="Verdana"/>
          <w:sz w:val="24"/>
          <w:szCs w:val="24"/>
        </w:rPr>
        <w:t xml:space="preserve">de </w:t>
      </w:r>
      <w:r w:rsidR="00C35FF6" w:rsidRPr="00694840">
        <w:rPr>
          <w:rFonts w:ascii="Verdana" w:hAnsi="Verdana"/>
          <w:sz w:val="24"/>
          <w:szCs w:val="24"/>
        </w:rPr>
        <w:t>É</w:t>
      </w:r>
      <w:r w:rsidR="00376AF7" w:rsidRPr="00694840">
        <w:rPr>
          <w:rFonts w:ascii="Verdana" w:hAnsi="Verdana"/>
          <w:sz w:val="24"/>
          <w:szCs w:val="24"/>
        </w:rPr>
        <w:t>tica</w:t>
      </w:r>
      <w:r w:rsidR="00C35FF6" w:rsidRPr="00694840">
        <w:rPr>
          <w:rFonts w:ascii="Verdana" w:hAnsi="Verdana"/>
          <w:sz w:val="24"/>
          <w:szCs w:val="24"/>
        </w:rPr>
        <w:t xml:space="preserve"> Alianza Verde informó </w:t>
      </w:r>
      <w:r>
        <w:rPr>
          <w:rFonts w:ascii="Verdana" w:hAnsi="Verdana"/>
          <w:sz w:val="24"/>
          <w:szCs w:val="24"/>
        </w:rPr>
        <w:t xml:space="preserve">al </w:t>
      </w:r>
      <w:r w:rsidRPr="00694840">
        <w:rPr>
          <w:rFonts w:ascii="Verdana" w:hAnsi="Verdana"/>
          <w:sz w:val="24"/>
          <w:szCs w:val="24"/>
        </w:rPr>
        <w:t xml:space="preserve">Concejo </w:t>
      </w:r>
      <w:r>
        <w:rPr>
          <w:rFonts w:ascii="Verdana" w:hAnsi="Verdana"/>
          <w:sz w:val="24"/>
          <w:szCs w:val="24"/>
        </w:rPr>
        <w:t>m</w:t>
      </w:r>
      <w:r w:rsidRPr="00694840">
        <w:rPr>
          <w:rFonts w:ascii="Verdana" w:hAnsi="Verdana"/>
          <w:sz w:val="24"/>
          <w:szCs w:val="24"/>
        </w:rPr>
        <w:t xml:space="preserve">unicipal de Tunja </w:t>
      </w:r>
      <w:r w:rsidR="00C35FF6" w:rsidRPr="00694840">
        <w:rPr>
          <w:rFonts w:ascii="Verdana" w:hAnsi="Verdana"/>
          <w:sz w:val="24"/>
          <w:szCs w:val="24"/>
        </w:rPr>
        <w:t xml:space="preserve">que </w:t>
      </w:r>
      <w:r>
        <w:rPr>
          <w:rFonts w:ascii="Verdana" w:hAnsi="Verdana"/>
          <w:sz w:val="24"/>
          <w:szCs w:val="24"/>
        </w:rPr>
        <w:t xml:space="preserve">con </w:t>
      </w:r>
      <w:r w:rsidR="00C35FF6" w:rsidRPr="00694840">
        <w:rPr>
          <w:rFonts w:ascii="Verdana" w:hAnsi="Verdana"/>
          <w:sz w:val="24"/>
          <w:szCs w:val="24"/>
        </w:rPr>
        <w:t>auto de la misma fecha se había resuelto lo siguiente:</w:t>
      </w:r>
    </w:p>
    <w:p w14:paraId="2269F67B" w14:textId="77777777" w:rsidR="005D4C36" w:rsidRPr="00694840" w:rsidRDefault="005D4C36" w:rsidP="00694840">
      <w:pPr>
        <w:spacing w:after="0" w:line="264" w:lineRule="auto"/>
        <w:jc w:val="both"/>
        <w:rPr>
          <w:rFonts w:ascii="Verdana" w:hAnsi="Verdana"/>
          <w:sz w:val="24"/>
          <w:szCs w:val="24"/>
        </w:rPr>
      </w:pPr>
    </w:p>
    <w:p w14:paraId="4E9E7DA6" w14:textId="77777777" w:rsidR="00C35FF6" w:rsidRPr="00694840" w:rsidRDefault="00C35FF6" w:rsidP="00694840">
      <w:pPr>
        <w:spacing w:after="0" w:line="264" w:lineRule="auto"/>
        <w:rPr>
          <w:rFonts w:ascii="Verdana" w:hAnsi="Verdana"/>
          <w:sz w:val="24"/>
          <w:szCs w:val="24"/>
        </w:rPr>
      </w:pPr>
    </w:p>
    <w:p w14:paraId="4E9E7DA7" w14:textId="77777777" w:rsidR="00C35FF6" w:rsidRPr="00694840" w:rsidRDefault="00C35FF6" w:rsidP="00694840">
      <w:pPr>
        <w:spacing w:after="0" w:line="264" w:lineRule="auto"/>
        <w:ind w:left="851"/>
        <w:rPr>
          <w:rFonts w:ascii="Verdana" w:hAnsi="Verdana"/>
          <w:sz w:val="24"/>
          <w:szCs w:val="24"/>
        </w:rPr>
      </w:pPr>
      <w:r w:rsidRPr="00694840">
        <w:rPr>
          <w:rFonts w:ascii="Verdana" w:hAnsi="Verdana"/>
          <w:noProof/>
          <w:sz w:val="24"/>
          <w:szCs w:val="24"/>
          <w:lang w:val="es-ES_tradnl" w:eastAsia="es-ES_tradnl"/>
        </w:rPr>
        <w:drawing>
          <wp:inline distT="0" distB="0" distL="0" distR="0" wp14:anchorId="4E9E7E28" wp14:editId="68C01EAB">
            <wp:extent cx="4036930" cy="1223159"/>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6010" cy="1231970"/>
                    </a:xfrm>
                    <a:prstGeom prst="rect">
                      <a:avLst/>
                    </a:prstGeom>
                  </pic:spPr>
                </pic:pic>
              </a:graphicData>
            </a:graphic>
          </wp:inline>
        </w:drawing>
      </w:r>
    </w:p>
    <w:p w14:paraId="4E9E7DA8" w14:textId="0D370227" w:rsidR="00C35FF6" w:rsidRDefault="00C35FF6" w:rsidP="00694840">
      <w:pPr>
        <w:spacing w:after="0" w:line="264" w:lineRule="auto"/>
        <w:rPr>
          <w:rFonts w:ascii="Verdana" w:hAnsi="Verdana"/>
          <w:sz w:val="24"/>
          <w:szCs w:val="24"/>
        </w:rPr>
      </w:pPr>
    </w:p>
    <w:p w14:paraId="125A4F76" w14:textId="77777777" w:rsidR="00E201BD" w:rsidRPr="00694840" w:rsidRDefault="00E201BD" w:rsidP="00694840">
      <w:pPr>
        <w:spacing w:after="0" w:line="264" w:lineRule="auto"/>
        <w:rPr>
          <w:rFonts w:ascii="Verdana" w:hAnsi="Verdana"/>
          <w:sz w:val="24"/>
          <w:szCs w:val="24"/>
        </w:rPr>
      </w:pPr>
    </w:p>
    <w:p w14:paraId="4E9E7DA9" w14:textId="1668F136" w:rsidR="00BF5938" w:rsidRPr="00694840" w:rsidRDefault="00BF5938" w:rsidP="00694840">
      <w:pPr>
        <w:spacing w:after="0" w:line="264" w:lineRule="auto"/>
        <w:jc w:val="both"/>
        <w:rPr>
          <w:rFonts w:ascii="Verdana" w:hAnsi="Verdana"/>
          <w:sz w:val="24"/>
          <w:szCs w:val="24"/>
        </w:rPr>
      </w:pPr>
      <w:r w:rsidRPr="00694840">
        <w:rPr>
          <w:rFonts w:ascii="Verdana" w:hAnsi="Verdana"/>
          <w:sz w:val="24"/>
          <w:szCs w:val="24"/>
        </w:rPr>
        <w:t>A través de Resolución No. 009 de 8 de marzo de 2019, la Mesa Directiva del Concejo Municipal de Tunja precisó las suspensiones aplicadas al demandante y la fecha en que vencían las mismas, así:</w:t>
      </w:r>
    </w:p>
    <w:p w14:paraId="4E9E7DAA" w14:textId="62BFFF6E" w:rsidR="00BF5938" w:rsidRDefault="00BF5938" w:rsidP="00694840">
      <w:pPr>
        <w:spacing w:after="0" w:line="264" w:lineRule="auto"/>
        <w:jc w:val="both"/>
        <w:rPr>
          <w:rFonts w:ascii="Verdana" w:hAnsi="Verdana"/>
          <w:sz w:val="24"/>
          <w:szCs w:val="24"/>
        </w:rPr>
      </w:pPr>
    </w:p>
    <w:p w14:paraId="4E9E7DAB" w14:textId="77777777" w:rsidR="00BF5938" w:rsidRPr="00694840" w:rsidRDefault="00BF5938" w:rsidP="00694840">
      <w:pPr>
        <w:spacing w:after="0" w:line="264" w:lineRule="auto"/>
        <w:jc w:val="center"/>
        <w:rPr>
          <w:rFonts w:ascii="Verdana" w:hAnsi="Verdana"/>
          <w:sz w:val="24"/>
          <w:szCs w:val="24"/>
        </w:rPr>
      </w:pPr>
      <w:r w:rsidRPr="00694840">
        <w:rPr>
          <w:rFonts w:ascii="Verdana" w:hAnsi="Verdana"/>
          <w:noProof/>
          <w:sz w:val="24"/>
          <w:szCs w:val="24"/>
          <w:lang w:val="es-ES_tradnl" w:eastAsia="es-ES_tradnl"/>
        </w:rPr>
        <w:lastRenderedPageBreak/>
        <w:drawing>
          <wp:inline distT="0" distB="0" distL="0" distR="0" wp14:anchorId="4E9E7E2A" wp14:editId="1518EF5F">
            <wp:extent cx="4448175" cy="32766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8175" cy="3276600"/>
                    </a:xfrm>
                    <a:prstGeom prst="rect">
                      <a:avLst/>
                    </a:prstGeom>
                  </pic:spPr>
                </pic:pic>
              </a:graphicData>
            </a:graphic>
          </wp:inline>
        </w:drawing>
      </w:r>
    </w:p>
    <w:p w14:paraId="4E9E7DAC" w14:textId="77777777" w:rsidR="00BF5938" w:rsidRPr="00694840" w:rsidRDefault="00BF5938" w:rsidP="00694840">
      <w:pPr>
        <w:spacing w:after="0" w:line="264" w:lineRule="auto"/>
        <w:jc w:val="both"/>
        <w:rPr>
          <w:rFonts w:ascii="Verdana" w:hAnsi="Verdana"/>
          <w:sz w:val="24"/>
          <w:szCs w:val="24"/>
        </w:rPr>
      </w:pPr>
    </w:p>
    <w:p w14:paraId="4E9E7DAD" w14:textId="77777777" w:rsidR="00BF5938" w:rsidRPr="00694840" w:rsidRDefault="00BF5938" w:rsidP="00694840">
      <w:pPr>
        <w:spacing w:after="0" w:line="264" w:lineRule="auto"/>
        <w:rPr>
          <w:rFonts w:ascii="Verdana" w:hAnsi="Verdana"/>
          <w:sz w:val="24"/>
          <w:szCs w:val="24"/>
        </w:rPr>
      </w:pPr>
    </w:p>
    <w:p w14:paraId="4E9E7DAE" w14:textId="04FBF5A9" w:rsidR="00BF5938" w:rsidRPr="00694840" w:rsidRDefault="00CB7DF5" w:rsidP="00694840">
      <w:pPr>
        <w:spacing w:after="0" w:line="264" w:lineRule="auto"/>
        <w:jc w:val="both"/>
        <w:rPr>
          <w:rFonts w:ascii="Verdana" w:hAnsi="Verdana"/>
          <w:sz w:val="24"/>
          <w:szCs w:val="24"/>
        </w:rPr>
      </w:pPr>
      <w:r w:rsidRPr="00694840">
        <w:rPr>
          <w:rFonts w:ascii="Verdana" w:hAnsi="Verdana"/>
          <w:sz w:val="24"/>
          <w:szCs w:val="24"/>
        </w:rPr>
        <w:t>Ilustrado</w:t>
      </w:r>
      <w:r w:rsidR="00BB300E" w:rsidRPr="00694840">
        <w:rPr>
          <w:rFonts w:ascii="Verdana" w:hAnsi="Verdana"/>
          <w:sz w:val="24"/>
          <w:szCs w:val="24"/>
        </w:rPr>
        <w:t xml:space="preserve"> lo anterior, </w:t>
      </w:r>
      <w:r w:rsidR="00BB300E" w:rsidRPr="004C25D0">
        <w:rPr>
          <w:rFonts w:ascii="Verdana" w:hAnsi="Verdana"/>
          <w:sz w:val="24"/>
          <w:szCs w:val="24"/>
        </w:rPr>
        <w:t xml:space="preserve">se puede concluir con absoluta claridad que las Resoluciones Nros. 074 </w:t>
      </w:r>
      <w:r w:rsidR="005066D0" w:rsidRPr="004C25D0">
        <w:rPr>
          <w:rFonts w:ascii="Verdana" w:hAnsi="Verdana"/>
          <w:sz w:val="24"/>
          <w:szCs w:val="24"/>
        </w:rPr>
        <w:t>de</w:t>
      </w:r>
      <w:r w:rsidR="00BB300E" w:rsidRPr="004C25D0">
        <w:rPr>
          <w:rFonts w:ascii="Verdana" w:hAnsi="Verdana"/>
          <w:sz w:val="24"/>
          <w:szCs w:val="24"/>
        </w:rPr>
        <w:t xml:space="preserve"> 2017, 07 </w:t>
      </w:r>
      <w:r w:rsidR="005066D0" w:rsidRPr="004C25D0">
        <w:rPr>
          <w:rFonts w:ascii="Verdana" w:hAnsi="Verdana"/>
          <w:sz w:val="24"/>
          <w:szCs w:val="24"/>
        </w:rPr>
        <w:t>de</w:t>
      </w:r>
      <w:r w:rsidR="00BB300E" w:rsidRPr="004C25D0">
        <w:rPr>
          <w:rFonts w:ascii="Verdana" w:hAnsi="Verdana"/>
          <w:sz w:val="24"/>
          <w:szCs w:val="24"/>
        </w:rPr>
        <w:t xml:space="preserve"> 2018 y 025 </w:t>
      </w:r>
      <w:r w:rsidR="005066D0" w:rsidRPr="004C25D0">
        <w:rPr>
          <w:rFonts w:ascii="Verdana" w:hAnsi="Verdana"/>
          <w:sz w:val="24"/>
          <w:szCs w:val="24"/>
        </w:rPr>
        <w:t>de</w:t>
      </w:r>
      <w:r w:rsidR="00BB300E" w:rsidRPr="004C25D0">
        <w:rPr>
          <w:rFonts w:ascii="Verdana" w:hAnsi="Verdana"/>
          <w:sz w:val="24"/>
          <w:szCs w:val="24"/>
        </w:rPr>
        <w:t xml:space="preserve"> 2018</w:t>
      </w:r>
      <w:r w:rsidR="005066D0" w:rsidRPr="004C25D0">
        <w:rPr>
          <w:rFonts w:ascii="Verdana" w:hAnsi="Verdana"/>
          <w:sz w:val="24"/>
          <w:szCs w:val="24"/>
        </w:rPr>
        <w:t>,</w:t>
      </w:r>
      <w:r w:rsidR="00BB300E" w:rsidRPr="004C25D0">
        <w:rPr>
          <w:rFonts w:ascii="Verdana" w:hAnsi="Verdana"/>
          <w:sz w:val="24"/>
          <w:szCs w:val="24"/>
        </w:rPr>
        <w:t xml:space="preserve"> dictadas por la Mesa Directiva del Concejo Municipal de Tunja</w:t>
      </w:r>
      <w:r w:rsidR="00DC5654" w:rsidRPr="004C25D0">
        <w:rPr>
          <w:rFonts w:ascii="Verdana" w:hAnsi="Verdana"/>
          <w:sz w:val="24"/>
          <w:szCs w:val="24"/>
        </w:rPr>
        <w:t xml:space="preserve">, solo tuvieron como propósito </w:t>
      </w:r>
      <w:r w:rsidR="00376AF7" w:rsidRPr="004C25D0">
        <w:rPr>
          <w:rFonts w:ascii="Verdana" w:hAnsi="Verdana"/>
          <w:sz w:val="24"/>
          <w:szCs w:val="24"/>
        </w:rPr>
        <w:t xml:space="preserve">ejecutar </w:t>
      </w:r>
      <w:r w:rsidR="00DC5654" w:rsidRPr="004C25D0">
        <w:rPr>
          <w:rFonts w:ascii="Verdana" w:hAnsi="Verdana"/>
          <w:sz w:val="24"/>
          <w:szCs w:val="24"/>
        </w:rPr>
        <w:t>la medida de suspensión provisional de Héctor Mauricio Sánchez Abril en su condición de Concejal</w:t>
      </w:r>
      <w:r w:rsidR="009459A7" w:rsidRPr="004C25D0">
        <w:rPr>
          <w:rFonts w:ascii="Verdana" w:hAnsi="Verdana"/>
          <w:sz w:val="24"/>
          <w:szCs w:val="24"/>
        </w:rPr>
        <w:t xml:space="preserve">, obligación </w:t>
      </w:r>
      <w:r w:rsidRPr="004C25D0">
        <w:rPr>
          <w:rFonts w:ascii="Verdana" w:hAnsi="Verdana"/>
          <w:sz w:val="24"/>
          <w:szCs w:val="24"/>
        </w:rPr>
        <w:t xml:space="preserve">legal </w:t>
      </w:r>
      <w:r w:rsidR="009459A7" w:rsidRPr="004C25D0">
        <w:rPr>
          <w:rFonts w:ascii="Verdana" w:hAnsi="Verdana"/>
          <w:sz w:val="24"/>
          <w:szCs w:val="24"/>
        </w:rPr>
        <w:t>que nace en virtud del inciso tercero</w:t>
      </w:r>
      <w:r w:rsidR="009459A7" w:rsidRPr="004C25D0">
        <w:rPr>
          <w:rStyle w:val="Refdenotaalpie"/>
          <w:rFonts w:ascii="Verdana" w:hAnsi="Verdana"/>
          <w:sz w:val="24"/>
          <w:szCs w:val="24"/>
        </w:rPr>
        <w:footnoteReference w:id="2"/>
      </w:r>
      <w:r w:rsidR="009459A7" w:rsidRPr="004C25D0">
        <w:rPr>
          <w:rFonts w:ascii="Verdana" w:hAnsi="Verdana"/>
          <w:sz w:val="24"/>
          <w:szCs w:val="24"/>
        </w:rPr>
        <w:t xml:space="preserve"> del artículo 4</w:t>
      </w:r>
      <w:r w:rsidR="005066D0" w:rsidRPr="004C25D0">
        <w:rPr>
          <w:rFonts w:ascii="Verdana" w:hAnsi="Verdana"/>
          <w:sz w:val="24"/>
          <w:szCs w:val="24"/>
        </w:rPr>
        <w:t xml:space="preserve">º </w:t>
      </w:r>
      <w:r w:rsidR="009459A7" w:rsidRPr="004C25D0">
        <w:rPr>
          <w:rFonts w:ascii="Verdana" w:hAnsi="Verdana"/>
          <w:sz w:val="24"/>
          <w:szCs w:val="24"/>
        </w:rPr>
        <w:t>de la Ley 974 de 2005</w:t>
      </w:r>
      <w:r w:rsidR="00DC5654" w:rsidRPr="004C25D0">
        <w:rPr>
          <w:rFonts w:ascii="Verdana" w:hAnsi="Verdana"/>
          <w:sz w:val="24"/>
          <w:szCs w:val="24"/>
        </w:rPr>
        <w:t xml:space="preserve">. En ese sentido, </w:t>
      </w:r>
      <w:r w:rsidR="005066D0" w:rsidRPr="004C25D0">
        <w:rPr>
          <w:rFonts w:ascii="Verdana" w:hAnsi="Verdana"/>
          <w:sz w:val="24"/>
          <w:szCs w:val="24"/>
        </w:rPr>
        <w:t xml:space="preserve">aquellos </w:t>
      </w:r>
      <w:r w:rsidR="00BB300E" w:rsidRPr="004C25D0">
        <w:rPr>
          <w:rFonts w:ascii="Verdana" w:hAnsi="Verdana"/>
          <w:sz w:val="24"/>
          <w:szCs w:val="24"/>
        </w:rPr>
        <w:t>no son actos administrativo</w:t>
      </w:r>
      <w:r w:rsidR="005066D0" w:rsidRPr="004C25D0">
        <w:rPr>
          <w:rFonts w:ascii="Verdana" w:hAnsi="Verdana"/>
          <w:sz w:val="24"/>
          <w:szCs w:val="24"/>
        </w:rPr>
        <w:t>s</w:t>
      </w:r>
      <w:r w:rsidR="00BB300E" w:rsidRPr="004C25D0">
        <w:rPr>
          <w:rFonts w:ascii="Verdana" w:hAnsi="Verdana"/>
          <w:sz w:val="24"/>
          <w:szCs w:val="24"/>
        </w:rPr>
        <w:t xml:space="preserve"> pasibles de control jurisdiccional, por cuanto, </w:t>
      </w:r>
      <w:r w:rsidR="00DC5654" w:rsidRPr="004C25D0">
        <w:rPr>
          <w:rFonts w:ascii="Verdana" w:hAnsi="Verdana"/>
          <w:sz w:val="24"/>
          <w:szCs w:val="24"/>
        </w:rPr>
        <w:t>no definen la situaci</w:t>
      </w:r>
      <w:r w:rsidR="00376AF7" w:rsidRPr="004C25D0">
        <w:rPr>
          <w:rFonts w:ascii="Verdana" w:hAnsi="Verdana"/>
          <w:sz w:val="24"/>
          <w:szCs w:val="24"/>
        </w:rPr>
        <w:t>ón particular del accionante</w:t>
      </w:r>
      <w:r w:rsidR="005066D0" w:rsidRPr="004C25D0">
        <w:rPr>
          <w:rFonts w:ascii="Verdana" w:hAnsi="Verdana"/>
          <w:sz w:val="24"/>
          <w:szCs w:val="24"/>
        </w:rPr>
        <w:t>, pues,</w:t>
      </w:r>
      <w:r w:rsidR="00376AF7" w:rsidRPr="004C25D0">
        <w:rPr>
          <w:rFonts w:ascii="Verdana" w:hAnsi="Verdana"/>
          <w:sz w:val="24"/>
          <w:szCs w:val="24"/>
        </w:rPr>
        <w:t xml:space="preserve"> tal como se dijo</w:t>
      </w:r>
      <w:r w:rsidRPr="004C25D0">
        <w:rPr>
          <w:rFonts w:ascii="Verdana" w:hAnsi="Verdana"/>
          <w:sz w:val="24"/>
          <w:szCs w:val="24"/>
        </w:rPr>
        <w:t>,</w:t>
      </w:r>
      <w:r w:rsidR="00376AF7" w:rsidRPr="004C25D0">
        <w:rPr>
          <w:rFonts w:ascii="Verdana" w:hAnsi="Verdana"/>
          <w:sz w:val="24"/>
          <w:szCs w:val="24"/>
        </w:rPr>
        <w:t xml:space="preserve"> únicamente se encargaron de hacer efectiva la medida de suspensión adoptada por el Consejo de Control de Ética Alianza Verde</w:t>
      </w:r>
      <w:r w:rsidR="005066D0" w:rsidRPr="004C25D0">
        <w:rPr>
          <w:rFonts w:ascii="Verdana" w:hAnsi="Verdana"/>
          <w:sz w:val="24"/>
          <w:szCs w:val="24"/>
        </w:rPr>
        <w:t>, que</w:t>
      </w:r>
      <w:r w:rsidRPr="004C25D0">
        <w:rPr>
          <w:rFonts w:ascii="Verdana" w:hAnsi="Verdana"/>
          <w:sz w:val="24"/>
          <w:szCs w:val="24"/>
        </w:rPr>
        <w:t xml:space="preserve"> </w:t>
      </w:r>
      <w:r w:rsidR="005066D0" w:rsidRPr="004C25D0">
        <w:rPr>
          <w:rFonts w:ascii="Verdana" w:hAnsi="Verdana"/>
          <w:sz w:val="24"/>
          <w:szCs w:val="24"/>
        </w:rPr>
        <w:t xml:space="preserve">tampoco </w:t>
      </w:r>
      <w:r w:rsidRPr="004C25D0">
        <w:rPr>
          <w:rFonts w:ascii="Verdana" w:hAnsi="Verdana"/>
          <w:sz w:val="24"/>
          <w:szCs w:val="24"/>
        </w:rPr>
        <w:t xml:space="preserve">es </w:t>
      </w:r>
      <w:r w:rsidR="002D06FA" w:rsidRPr="004C25D0">
        <w:rPr>
          <w:rFonts w:ascii="Verdana" w:hAnsi="Verdana"/>
          <w:sz w:val="24"/>
          <w:szCs w:val="24"/>
        </w:rPr>
        <w:t xml:space="preserve">autoridad </w:t>
      </w:r>
      <w:r w:rsidR="005066D0" w:rsidRPr="004C25D0">
        <w:rPr>
          <w:rFonts w:ascii="Verdana" w:hAnsi="Verdana"/>
          <w:sz w:val="24"/>
          <w:szCs w:val="24"/>
        </w:rPr>
        <w:t>ni ejerce funciones administrativas.</w:t>
      </w:r>
    </w:p>
    <w:p w14:paraId="4E9E7DAF" w14:textId="77777777" w:rsidR="00BB300E" w:rsidRPr="00694840" w:rsidRDefault="00BB300E" w:rsidP="00694840">
      <w:pPr>
        <w:spacing w:after="0" w:line="264" w:lineRule="auto"/>
        <w:jc w:val="both"/>
        <w:rPr>
          <w:rFonts w:ascii="Verdana" w:hAnsi="Verdana"/>
          <w:sz w:val="24"/>
          <w:szCs w:val="24"/>
        </w:rPr>
      </w:pPr>
    </w:p>
    <w:p w14:paraId="4E9E7DB0" w14:textId="3E4159C4" w:rsidR="00BB300E" w:rsidRPr="00FA4C3E" w:rsidRDefault="00B846CB" w:rsidP="00694840">
      <w:pPr>
        <w:spacing w:after="0" w:line="264" w:lineRule="auto"/>
        <w:jc w:val="both"/>
        <w:rPr>
          <w:rFonts w:ascii="Verdana" w:hAnsi="Verdana"/>
          <w:sz w:val="24"/>
          <w:szCs w:val="24"/>
        </w:rPr>
      </w:pPr>
      <w:r w:rsidRPr="00694840">
        <w:rPr>
          <w:rFonts w:ascii="Verdana" w:hAnsi="Verdana"/>
          <w:sz w:val="24"/>
          <w:szCs w:val="24"/>
        </w:rPr>
        <w:t>Al respecto, en providencia de 26 de septiembre de 2013</w:t>
      </w:r>
      <w:r w:rsidRPr="00694840">
        <w:rPr>
          <w:rStyle w:val="Refdenotaalpie"/>
          <w:rFonts w:ascii="Verdana" w:hAnsi="Verdana"/>
          <w:sz w:val="24"/>
          <w:szCs w:val="24"/>
        </w:rPr>
        <w:footnoteReference w:id="3"/>
      </w:r>
      <w:r w:rsidRPr="00694840">
        <w:rPr>
          <w:rFonts w:ascii="Verdana" w:hAnsi="Verdana"/>
          <w:sz w:val="24"/>
          <w:szCs w:val="24"/>
        </w:rPr>
        <w:t xml:space="preserve">, </w:t>
      </w:r>
      <w:r w:rsidRPr="00FA4C3E">
        <w:rPr>
          <w:rFonts w:ascii="Verdana" w:hAnsi="Verdana"/>
          <w:sz w:val="24"/>
          <w:szCs w:val="24"/>
        </w:rPr>
        <w:t>el Consejo de Estado</w:t>
      </w:r>
      <w:r w:rsidR="005066D0" w:rsidRPr="00FA4C3E">
        <w:rPr>
          <w:rFonts w:ascii="Verdana" w:hAnsi="Verdana"/>
          <w:sz w:val="24"/>
          <w:szCs w:val="24"/>
        </w:rPr>
        <w:t>,</w:t>
      </w:r>
      <w:r w:rsidRPr="00FA4C3E">
        <w:rPr>
          <w:rFonts w:ascii="Verdana" w:hAnsi="Verdana"/>
          <w:sz w:val="24"/>
          <w:szCs w:val="24"/>
        </w:rPr>
        <w:t xml:space="preserve"> </w:t>
      </w:r>
      <w:r w:rsidR="004350A9" w:rsidRPr="00FA4C3E">
        <w:rPr>
          <w:rFonts w:ascii="Verdana" w:hAnsi="Verdana"/>
          <w:sz w:val="24"/>
          <w:szCs w:val="24"/>
        </w:rPr>
        <w:t xml:space="preserve">al hacer hincapié en </w:t>
      </w:r>
      <w:r w:rsidRPr="00FA4C3E">
        <w:rPr>
          <w:rFonts w:ascii="Verdana" w:hAnsi="Verdana"/>
          <w:sz w:val="24"/>
          <w:szCs w:val="24"/>
        </w:rPr>
        <w:t>varios pronunciamientos dictados en relación con la función qu</w:t>
      </w:r>
      <w:r w:rsidR="00F65043" w:rsidRPr="00FA4C3E">
        <w:rPr>
          <w:rFonts w:ascii="Verdana" w:hAnsi="Verdana"/>
          <w:sz w:val="24"/>
          <w:szCs w:val="24"/>
        </w:rPr>
        <w:t xml:space="preserve">e cumple el acto de ejecución, </w:t>
      </w:r>
      <w:r w:rsidRPr="00FA4C3E">
        <w:rPr>
          <w:rFonts w:ascii="Verdana" w:hAnsi="Verdana"/>
          <w:sz w:val="24"/>
          <w:szCs w:val="24"/>
        </w:rPr>
        <w:t>exaltó las características esenciales de un acto administrativo pasible de control judicial</w:t>
      </w:r>
      <w:r w:rsidR="005D4C36" w:rsidRPr="00FA4C3E">
        <w:rPr>
          <w:rFonts w:ascii="Verdana" w:hAnsi="Verdana"/>
          <w:sz w:val="24"/>
          <w:szCs w:val="24"/>
        </w:rPr>
        <w:t>. P</w:t>
      </w:r>
      <w:r w:rsidRPr="00FA4C3E">
        <w:rPr>
          <w:rFonts w:ascii="Verdana" w:hAnsi="Verdana"/>
          <w:sz w:val="24"/>
          <w:szCs w:val="24"/>
        </w:rPr>
        <w:t>ara ello, señaló:</w:t>
      </w:r>
    </w:p>
    <w:p w14:paraId="4E9E7DB1" w14:textId="02D5E113" w:rsidR="002477D4" w:rsidRPr="00FA4C3E" w:rsidRDefault="002477D4" w:rsidP="00694840">
      <w:pPr>
        <w:spacing w:after="0" w:line="264" w:lineRule="auto"/>
        <w:rPr>
          <w:rFonts w:ascii="Verdana" w:hAnsi="Verdana"/>
          <w:sz w:val="24"/>
          <w:szCs w:val="24"/>
        </w:rPr>
      </w:pPr>
    </w:p>
    <w:p w14:paraId="6228452E" w14:textId="77777777" w:rsidR="00DA48F2" w:rsidRPr="00FA4C3E" w:rsidRDefault="00DA48F2" w:rsidP="00694840">
      <w:pPr>
        <w:spacing w:after="0" w:line="264" w:lineRule="auto"/>
        <w:rPr>
          <w:rFonts w:ascii="Verdana" w:hAnsi="Verdana"/>
          <w:sz w:val="24"/>
          <w:szCs w:val="24"/>
        </w:rPr>
      </w:pPr>
    </w:p>
    <w:p w14:paraId="4E9E7DB2" w14:textId="14E23CD2" w:rsidR="00E43797" w:rsidRPr="00FA4C3E" w:rsidRDefault="00E43797" w:rsidP="00DA48F2">
      <w:pPr>
        <w:spacing w:after="0" w:line="240" w:lineRule="auto"/>
        <w:ind w:left="851" w:right="567"/>
        <w:jc w:val="both"/>
        <w:rPr>
          <w:rFonts w:ascii="Verdana" w:hAnsi="Verdana"/>
          <w:sz w:val="21"/>
          <w:szCs w:val="21"/>
        </w:rPr>
      </w:pPr>
      <w:r w:rsidRPr="00FA4C3E">
        <w:rPr>
          <w:rFonts w:ascii="Verdana" w:hAnsi="Verdana"/>
          <w:sz w:val="21"/>
          <w:szCs w:val="21"/>
        </w:rPr>
        <w:t>“</w:t>
      </w:r>
      <w:r w:rsidR="002477D4" w:rsidRPr="00FA4C3E">
        <w:rPr>
          <w:rFonts w:ascii="Verdana" w:hAnsi="Verdana"/>
          <w:sz w:val="21"/>
          <w:szCs w:val="21"/>
        </w:rPr>
        <w:t xml:space="preserve">Así pues, un acto administrativo subjetivo o acto definitivo particular, es una declaración de voluntad dirigida al ejercicio </w:t>
      </w:r>
      <w:r w:rsidR="002477D4" w:rsidRPr="00FA4C3E">
        <w:rPr>
          <w:rFonts w:ascii="Verdana" w:hAnsi="Verdana"/>
          <w:sz w:val="21"/>
          <w:szCs w:val="21"/>
        </w:rPr>
        <w:lastRenderedPageBreak/>
        <w:t>de la función administrativa, que produce efectos jurídicos, es decir que crea, reconoce, modifica o extingue situaciones jurídicas, mientras que los actos de ejecución se limitan a dar cumplimiento a una decisión judicial o administrativa</w:t>
      </w:r>
      <w:r w:rsidRPr="00FA4C3E">
        <w:rPr>
          <w:rStyle w:val="Refdenotaalpie"/>
          <w:rFonts w:ascii="Verdana" w:hAnsi="Verdana"/>
          <w:sz w:val="21"/>
          <w:szCs w:val="21"/>
        </w:rPr>
        <w:footnoteReference w:id="4"/>
      </w:r>
      <w:r w:rsidR="002477D4" w:rsidRPr="00FA4C3E">
        <w:rPr>
          <w:rFonts w:ascii="Verdana" w:hAnsi="Verdana"/>
          <w:sz w:val="21"/>
          <w:szCs w:val="21"/>
        </w:rPr>
        <w:t xml:space="preserve">, sin que pueda afirmarse que de ellos surjan situaciones jurídicas diferentes a las de la sentencia o acto ejecutado. </w:t>
      </w:r>
    </w:p>
    <w:p w14:paraId="4E9E7DB3" w14:textId="77777777" w:rsidR="00E43797" w:rsidRPr="00FA4C3E" w:rsidRDefault="00E43797" w:rsidP="00DA48F2">
      <w:pPr>
        <w:spacing w:after="0" w:line="240" w:lineRule="auto"/>
        <w:ind w:left="851" w:right="567"/>
        <w:jc w:val="both"/>
        <w:rPr>
          <w:rFonts w:ascii="Verdana" w:hAnsi="Verdana"/>
          <w:sz w:val="21"/>
          <w:szCs w:val="21"/>
        </w:rPr>
      </w:pPr>
    </w:p>
    <w:p w14:paraId="4E9E7DB4" w14:textId="776BF3EB" w:rsidR="002477D4" w:rsidRPr="00DA48F2" w:rsidRDefault="002477D4" w:rsidP="00DA48F2">
      <w:pPr>
        <w:spacing w:after="0" w:line="240" w:lineRule="auto"/>
        <w:ind w:left="851" w:right="567"/>
        <w:jc w:val="both"/>
        <w:rPr>
          <w:rFonts w:ascii="Verdana" w:hAnsi="Verdana"/>
          <w:sz w:val="21"/>
          <w:szCs w:val="21"/>
        </w:rPr>
      </w:pPr>
      <w:r w:rsidRPr="00FA4C3E">
        <w:rPr>
          <w:rFonts w:ascii="Verdana" w:hAnsi="Verdana"/>
          <w:sz w:val="21"/>
          <w:szCs w:val="21"/>
        </w:rPr>
        <w:t xml:space="preserve">De acuerdo con lo anterior, únicamente las decisiones de la Administración producto de la conclusión de un procedimiento administrativo o los actos que hacen imposible la continuación de esa actuación, son susceptibles de control de legalidad por parte de la jurisdicción de lo contencioso administrativo, lo que, dicho de otra manera, significa que </w:t>
      </w:r>
      <w:r w:rsidRPr="00FA4C3E">
        <w:rPr>
          <w:rFonts w:ascii="Verdana" w:hAnsi="Verdana"/>
          <w:b/>
          <w:i/>
          <w:sz w:val="21"/>
          <w:szCs w:val="21"/>
          <w:u w:val="single"/>
        </w:rPr>
        <w:t>“los actos de ejecución de una decisión administrativa o jurisdiccional se encuentran excluidos de dicho control, toda vez que a través de ellos no se decide definitivamente una actuación, pues sólo son expedidos en orden a materializar o ejecutar esas decisiones</w:t>
      </w:r>
      <w:r w:rsidRPr="00FA4C3E">
        <w:rPr>
          <w:rFonts w:ascii="Verdana" w:hAnsi="Verdana"/>
          <w:i/>
          <w:sz w:val="21"/>
          <w:szCs w:val="21"/>
        </w:rPr>
        <w:t>”</w:t>
      </w:r>
      <w:r w:rsidR="005066D0" w:rsidRPr="00FA4C3E">
        <w:rPr>
          <w:rFonts w:ascii="Verdana" w:hAnsi="Verdana"/>
          <w:i/>
          <w:sz w:val="21"/>
          <w:szCs w:val="21"/>
        </w:rPr>
        <w:t>.</w:t>
      </w:r>
      <w:r w:rsidR="00E43797" w:rsidRPr="00FA4C3E">
        <w:rPr>
          <w:rStyle w:val="Refdenotaalpie"/>
          <w:rFonts w:ascii="Verdana" w:hAnsi="Verdana"/>
          <w:sz w:val="21"/>
          <w:szCs w:val="21"/>
        </w:rPr>
        <w:footnoteReference w:id="5"/>
      </w:r>
      <w:r w:rsidR="005066D0">
        <w:rPr>
          <w:rFonts w:ascii="Verdana" w:hAnsi="Verdana"/>
          <w:i/>
          <w:sz w:val="21"/>
          <w:szCs w:val="21"/>
        </w:rPr>
        <w:t xml:space="preserve"> </w:t>
      </w:r>
      <w:r w:rsidR="005D1BF2" w:rsidRPr="00DA48F2">
        <w:rPr>
          <w:rFonts w:ascii="Verdana" w:hAnsi="Verdana"/>
          <w:sz w:val="21"/>
          <w:szCs w:val="21"/>
        </w:rPr>
        <w:t>(Destacado fuera del texto original)</w:t>
      </w:r>
    </w:p>
    <w:p w14:paraId="4E9E7DB5" w14:textId="77777777" w:rsidR="002477D4" w:rsidRPr="00694840" w:rsidRDefault="002477D4" w:rsidP="00694840">
      <w:pPr>
        <w:spacing w:after="0" w:line="264" w:lineRule="auto"/>
        <w:rPr>
          <w:rFonts w:ascii="Verdana" w:hAnsi="Verdana"/>
          <w:sz w:val="24"/>
          <w:szCs w:val="24"/>
        </w:rPr>
      </w:pPr>
    </w:p>
    <w:p w14:paraId="6F1E4059" w14:textId="77777777" w:rsidR="00DA48F2" w:rsidRDefault="00DA48F2" w:rsidP="00694840">
      <w:pPr>
        <w:spacing w:after="0" w:line="264" w:lineRule="auto"/>
        <w:jc w:val="both"/>
        <w:rPr>
          <w:rFonts w:ascii="Verdana" w:hAnsi="Verdana"/>
          <w:sz w:val="24"/>
          <w:szCs w:val="24"/>
        </w:rPr>
      </w:pPr>
    </w:p>
    <w:p w14:paraId="4E9E7DB6" w14:textId="1FDE014A" w:rsidR="001619DB" w:rsidRPr="00694840" w:rsidRDefault="002D06FA" w:rsidP="00694840">
      <w:pPr>
        <w:spacing w:after="0" w:line="264" w:lineRule="auto"/>
        <w:jc w:val="both"/>
        <w:rPr>
          <w:rFonts w:ascii="Verdana" w:hAnsi="Verdana"/>
          <w:sz w:val="24"/>
          <w:szCs w:val="24"/>
        </w:rPr>
      </w:pPr>
      <w:r w:rsidRPr="00694840">
        <w:rPr>
          <w:rFonts w:ascii="Verdana" w:hAnsi="Verdana"/>
          <w:sz w:val="24"/>
          <w:szCs w:val="24"/>
        </w:rPr>
        <w:t>Aunque</w:t>
      </w:r>
      <w:r w:rsidR="005066D0">
        <w:rPr>
          <w:rFonts w:ascii="Verdana" w:hAnsi="Verdana"/>
          <w:sz w:val="24"/>
          <w:szCs w:val="24"/>
        </w:rPr>
        <w:t xml:space="preserve"> la jurisprudencia </w:t>
      </w:r>
      <w:r w:rsidRPr="00694840">
        <w:rPr>
          <w:rFonts w:ascii="Verdana" w:hAnsi="Verdana"/>
          <w:sz w:val="24"/>
          <w:szCs w:val="24"/>
        </w:rPr>
        <w:t xml:space="preserve">indica expresamente la ejecución de decisiones administrativas o judiciales, la Sala </w:t>
      </w:r>
      <w:r w:rsidR="005066D0">
        <w:rPr>
          <w:rFonts w:ascii="Verdana" w:hAnsi="Verdana"/>
          <w:sz w:val="24"/>
          <w:szCs w:val="24"/>
        </w:rPr>
        <w:t>dedicará</w:t>
      </w:r>
      <w:r w:rsidR="00CB7DF5" w:rsidRPr="00694840">
        <w:rPr>
          <w:rFonts w:ascii="Verdana" w:hAnsi="Verdana"/>
          <w:sz w:val="24"/>
          <w:szCs w:val="24"/>
        </w:rPr>
        <w:t xml:space="preserve"> un especial estudio</w:t>
      </w:r>
      <w:r w:rsidR="004350A9" w:rsidRPr="00694840">
        <w:rPr>
          <w:rFonts w:ascii="Verdana" w:hAnsi="Verdana"/>
          <w:sz w:val="24"/>
          <w:szCs w:val="24"/>
        </w:rPr>
        <w:t xml:space="preserve"> para determinar si </w:t>
      </w:r>
      <w:r w:rsidR="005D4C36">
        <w:rPr>
          <w:rFonts w:ascii="Verdana" w:hAnsi="Verdana"/>
          <w:sz w:val="24"/>
          <w:szCs w:val="24"/>
        </w:rPr>
        <w:t>quien</w:t>
      </w:r>
      <w:r w:rsidR="001619DB" w:rsidRPr="00694840">
        <w:rPr>
          <w:rFonts w:ascii="Verdana" w:hAnsi="Verdana"/>
          <w:sz w:val="24"/>
          <w:szCs w:val="24"/>
        </w:rPr>
        <w:t xml:space="preserve"> emitió la suspensión provisional del demandante </w:t>
      </w:r>
      <w:r w:rsidR="005066D0">
        <w:rPr>
          <w:rFonts w:ascii="Verdana" w:hAnsi="Verdana"/>
          <w:sz w:val="24"/>
          <w:szCs w:val="24"/>
        </w:rPr>
        <w:t>es</w:t>
      </w:r>
      <w:r w:rsidR="004350A9" w:rsidRPr="00694840">
        <w:rPr>
          <w:rFonts w:ascii="Verdana" w:hAnsi="Verdana"/>
          <w:sz w:val="24"/>
          <w:szCs w:val="24"/>
        </w:rPr>
        <w:t xml:space="preserve"> una autoridad administrativa</w:t>
      </w:r>
      <w:r w:rsidR="00A63FF4" w:rsidRPr="00694840">
        <w:rPr>
          <w:rFonts w:ascii="Verdana" w:hAnsi="Verdana"/>
          <w:sz w:val="24"/>
          <w:szCs w:val="24"/>
        </w:rPr>
        <w:t xml:space="preserve"> </w:t>
      </w:r>
      <w:r w:rsidR="001619DB" w:rsidRPr="00694840">
        <w:rPr>
          <w:rFonts w:ascii="Verdana" w:hAnsi="Verdana"/>
          <w:sz w:val="24"/>
          <w:szCs w:val="24"/>
        </w:rPr>
        <w:t>y si las decisiones que profiera son demandables ante esta jurisdicción.</w:t>
      </w:r>
    </w:p>
    <w:p w14:paraId="4E9E7DB7" w14:textId="77777777" w:rsidR="001619DB" w:rsidRPr="00694840" w:rsidRDefault="001619DB" w:rsidP="00694840">
      <w:pPr>
        <w:spacing w:after="0" w:line="264" w:lineRule="auto"/>
        <w:jc w:val="both"/>
        <w:rPr>
          <w:rFonts w:ascii="Verdana" w:hAnsi="Verdana"/>
          <w:sz w:val="24"/>
          <w:szCs w:val="24"/>
        </w:rPr>
      </w:pPr>
    </w:p>
    <w:p w14:paraId="4E9E7DB8" w14:textId="49A43BB3" w:rsidR="00A63FF4" w:rsidRPr="00694840" w:rsidRDefault="00A63FF4" w:rsidP="00694840">
      <w:pPr>
        <w:spacing w:after="0" w:line="264" w:lineRule="auto"/>
        <w:jc w:val="both"/>
        <w:rPr>
          <w:rFonts w:ascii="Verdana" w:hAnsi="Verdana"/>
          <w:sz w:val="24"/>
          <w:szCs w:val="24"/>
        </w:rPr>
      </w:pPr>
      <w:r w:rsidRPr="00694840">
        <w:rPr>
          <w:rFonts w:ascii="Verdana" w:hAnsi="Verdana"/>
          <w:sz w:val="24"/>
          <w:szCs w:val="24"/>
        </w:rPr>
        <w:t>Tal como qued</w:t>
      </w:r>
      <w:r w:rsidR="00A405F6">
        <w:rPr>
          <w:rFonts w:ascii="Verdana" w:hAnsi="Verdana"/>
          <w:sz w:val="24"/>
          <w:szCs w:val="24"/>
        </w:rPr>
        <w:t>ó</w:t>
      </w:r>
      <w:r w:rsidRPr="00694840">
        <w:rPr>
          <w:rFonts w:ascii="Verdana" w:hAnsi="Verdana"/>
          <w:sz w:val="24"/>
          <w:szCs w:val="24"/>
        </w:rPr>
        <w:t xml:space="preserve"> consignado en líneas anteriores, se aprecia que dentro del proceso disciplinario ético adelantado contra el accionante</w:t>
      </w:r>
      <w:r w:rsidR="00A405F6">
        <w:rPr>
          <w:rFonts w:ascii="Verdana" w:hAnsi="Verdana"/>
          <w:sz w:val="24"/>
          <w:szCs w:val="24"/>
        </w:rPr>
        <w:t xml:space="preserve">, </w:t>
      </w:r>
      <w:r w:rsidRPr="00694840">
        <w:rPr>
          <w:rFonts w:ascii="Verdana" w:hAnsi="Verdana"/>
          <w:sz w:val="24"/>
          <w:szCs w:val="24"/>
        </w:rPr>
        <w:t>militante del Partido Alianza Verde, fueron proferidas decisiones por el Consejo de Control de Ética Alianza Verde</w:t>
      </w:r>
      <w:r w:rsidR="00EC0D27" w:rsidRPr="00694840">
        <w:rPr>
          <w:rFonts w:ascii="Verdana" w:hAnsi="Verdana"/>
          <w:sz w:val="24"/>
          <w:szCs w:val="24"/>
        </w:rPr>
        <w:t>, órgano de control</w:t>
      </w:r>
      <w:r w:rsidR="00A405F6">
        <w:rPr>
          <w:rFonts w:ascii="Verdana" w:hAnsi="Verdana"/>
          <w:sz w:val="24"/>
          <w:szCs w:val="24"/>
        </w:rPr>
        <w:t>,</w:t>
      </w:r>
      <w:r w:rsidR="00EC0D27" w:rsidRPr="00694840">
        <w:rPr>
          <w:rFonts w:ascii="Verdana" w:hAnsi="Verdana"/>
          <w:sz w:val="24"/>
          <w:szCs w:val="24"/>
        </w:rPr>
        <w:t xml:space="preserve"> que</w:t>
      </w:r>
      <w:r w:rsidR="00A405F6">
        <w:rPr>
          <w:rFonts w:ascii="Verdana" w:hAnsi="Verdana"/>
          <w:sz w:val="24"/>
          <w:szCs w:val="24"/>
        </w:rPr>
        <w:t>,</w:t>
      </w:r>
      <w:r w:rsidR="00EC0D27" w:rsidRPr="00694840">
        <w:rPr>
          <w:rFonts w:ascii="Verdana" w:hAnsi="Verdana"/>
          <w:sz w:val="24"/>
          <w:szCs w:val="24"/>
        </w:rPr>
        <w:t xml:space="preserve"> según los Estatutos del Partido</w:t>
      </w:r>
      <w:r w:rsidR="00A405F6">
        <w:rPr>
          <w:rFonts w:ascii="Verdana" w:hAnsi="Verdana"/>
          <w:sz w:val="24"/>
          <w:szCs w:val="24"/>
        </w:rPr>
        <w:t xml:space="preserve">, </w:t>
      </w:r>
      <w:r w:rsidR="00EC0D27" w:rsidRPr="00694840">
        <w:rPr>
          <w:rFonts w:ascii="Verdana" w:hAnsi="Verdana"/>
          <w:sz w:val="24"/>
          <w:szCs w:val="24"/>
        </w:rPr>
        <w:t>artículo 15</w:t>
      </w:r>
      <w:r w:rsidR="00A405F6">
        <w:rPr>
          <w:rFonts w:ascii="Verdana" w:hAnsi="Verdana"/>
          <w:sz w:val="24"/>
          <w:szCs w:val="24"/>
        </w:rPr>
        <w:t>,</w:t>
      </w:r>
      <w:r w:rsidR="00EC0D27" w:rsidRPr="00694840">
        <w:rPr>
          <w:rFonts w:ascii="Verdana" w:hAnsi="Verdana"/>
          <w:sz w:val="24"/>
          <w:szCs w:val="24"/>
        </w:rPr>
        <w:t xml:space="preserve"> hace parte de la organización y estructura del movimiento político. </w:t>
      </w:r>
      <w:r w:rsidR="00A405F6">
        <w:rPr>
          <w:rFonts w:ascii="Verdana" w:hAnsi="Verdana"/>
          <w:sz w:val="24"/>
          <w:szCs w:val="24"/>
        </w:rPr>
        <w:t>Su</w:t>
      </w:r>
      <w:r w:rsidR="00EC0D27" w:rsidRPr="00694840">
        <w:rPr>
          <w:rFonts w:ascii="Verdana" w:hAnsi="Verdana"/>
          <w:sz w:val="24"/>
          <w:szCs w:val="24"/>
        </w:rPr>
        <w:t xml:space="preserve">s funciones </w:t>
      </w:r>
      <w:r w:rsidR="00A405F6">
        <w:rPr>
          <w:rFonts w:ascii="Verdana" w:hAnsi="Verdana"/>
          <w:sz w:val="24"/>
          <w:szCs w:val="24"/>
        </w:rPr>
        <w:t xml:space="preserve">están enlistadas en </w:t>
      </w:r>
      <w:r w:rsidR="00EC0D27" w:rsidRPr="00694840">
        <w:rPr>
          <w:rFonts w:ascii="Verdana" w:hAnsi="Verdana"/>
          <w:sz w:val="24"/>
          <w:szCs w:val="24"/>
        </w:rPr>
        <w:t xml:space="preserve">el artículo 32 </w:t>
      </w:r>
      <w:r w:rsidR="00A405F6">
        <w:rPr>
          <w:rFonts w:ascii="Verdana" w:hAnsi="Verdana"/>
          <w:sz w:val="24"/>
          <w:szCs w:val="24"/>
        </w:rPr>
        <w:t>de los estatutos así:</w:t>
      </w:r>
    </w:p>
    <w:p w14:paraId="4E9E7DB9" w14:textId="676C978C" w:rsidR="00EC0D27" w:rsidRDefault="00EC0D27" w:rsidP="00694840">
      <w:pPr>
        <w:spacing w:after="0" w:line="264" w:lineRule="auto"/>
        <w:jc w:val="both"/>
        <w:rPr>
          <w:rFonts w:ascii="Verdana" w:hAnsi="Verdana"/>
          <w:sz w:val="24"/>
          <w:szCs w:val="24"/>
        </w:rPr>
      </w:pPr>
    </w:p>
    <w:p w14:paraId="4BFEBD56" w14:textId="77777777" w:rsidR="00D47EFC" w:rsidRPr="00694840" w:rsidRDefault="00D47EFC" w:rsidP="00694840">
      <w:pPr>
        <w:spacing w:after="0" w:line="264" w:lineRule="auto"/>
        <w:jc w:val="both"/>
        <w:rPr>
          <w:rFonts w:ascii="Verdana" w:hAnsi="Verdana"/>
          <w:sz w:val="24"/>
          <w:szCs w:val="24"/>
        </w:rPr>
      </w:pPr>
    </w:p>
    <w:p w14:paraId="4E9E7DBA" w14:textId="77777777" w:rsidR="00EC0D27" w:rsidRPr="00D47EFC" w:rsidRDefault="00EC0D27" w:rsidP="00D47EFC">
      <w:pPr>
        <w:spacing w:after="0" w:line="240" w:lineRule="auto"/>
        <w:ind w:left="851" w:right="567"/>
        <w:jc w:val="both"/>
        <w:rPr>
          <w:rFonts w:ascii="Verdana" w:hAnsi="Verdana"/>
          <w:sz w:val="21"/>
          <w:szCs w:val="21"/>
        </w:rPr>
      </w:pPr>
      <w:r w:rsidRPr="00D47EFC">
        <w:rPr>
          <w:rFonts w:ascii="Verdana" w:hAnsi="Verdana"/>
          <w:sz w:val="21"/>
          <w:szCs w:val="21"/>
        </w:rPr>
        <w:t xml:space="preserve">“1. Velar por el cumplimiento, por parte de los miembros del Partido, de la Constitución, la ley, los valores, principios, prioridades y Estatutos del Partido, en el campo de su competencia. </w:t>
      </w:r>
    </w:p>
    <w:p w14:paraId="73531D4D" w14:textId="77777777" w:rsidR="00A405F6" w:rsidRDefault="00A405F6" w:rsidP="00D47EFC">
      <w:pPr>
        <w:spacing w:after="0" w:line="240" w:lineRule="auto"/>
        <w:ind w:left="851" w:right="567"/>
        <w:jc w:val="both"/>
        <w:rPr>
          <w:rFonts w:ascii="Verdana" w:hAnsi="Verdana"/>
          <w:sz w:val="21"/>
          <w:szCs w:val="21"/>
        </w:rPr>
      </w:pPr>
    </w:p>
    <w:p w14:paraId="4E9E7DBB" w14:textId="3C932083" w:rsidR="00EC0D27" w:rsidRPr="00D47EFC" w:rsidRDefault="00EC0D27" w:rsidP="00D47EFC">
      <w:pPr>
        <w:spacing w:after="0" w:line="240" w:lineRule="auto"/>
        <w:ind w:left="851" w:right="567"/>
        <w:jc w:val="both"/>
        <w:rPr>
          <w:rFonts w:ascii="Verdana" w:hAnsi="Verdana"/>
          <w:sz w:val="21"/>
          <w:szCs w:val="21"/>
        </w:rPr>
      </w:pPr>
      <w:r w:rsidRPr="00D47EFC">
        <w:rPr>
          <w:rFonts w:ascii="Verdana" w:hAnsi="Verdana"/>
          <w:sz w:val="21"/>
          <w:szCs w:val="21"/>
        </w:rPr>
        <w:t xml:space="preserve">2. Garantizar los derechos reconocidos por los presentes Estatutos a todos los afiliados, mediante aplicación de los procedimientos establecidos reglamentariamente. </w:t>
      </w:r>
    </w:p>
    <w:p w14:paraId="1F47A396" w14:textId="77777777" w:rsidR="00A405F6" w:rsidRDefault="00A405F6" w:rsidP="00D47EFC">
      <w:pPr>
        <w:spacing w:after="0" w:line="240" w:lineRule="auto"/>
        <w:ind w:left="851" w:right="567"/>
        <w:jc w:val="both"/>
        <w:rPr>
          <w:rFonts w:ascii="Verdana" w:hAnsi="Verdana"/>
          <w:sz w:val="21"/>
          <w:szCs w:val="21"/>
        </w:rPr>
      </w:pPr>
    </w:p>
    <w:p w14:paraId="4E9E7DBC" w14:textId="5697F966" w:rsidR="00EC0D27" w:rsidRPr="00A405F6" w:rsidRDefault="00EC0D27" w:rsidP="00D47EFC">
      <w:pPr>
        <w:spacing w:after="0" w:line="240" w:lineRule="auto"/>
        <w:ind w:left="851" w:right="567"/>
        <w:jc w:val="both"/>
        <w:rPr>
          <w:rFonts w:ascii="Verdana" w:hAnsi="Verdana"/>
          <w:b/>
          <w:bCs/>
          <w:i/>
          <w:iCs/>
          <w:sz w:val="21"/>
          <w:szCs w:val="21"/>
          <w:u w:val="single"/>
        </w:rPr>
      </w:pPr>
      <w:r w:rsidRPr="00A405F6">
        <w:rPr>
          <w:rFonts w:ascii="Verdana" w:hAnsi="Verdana"/>
          <w:b/>
          <w:bCs/>
          <w:i/>
          <w:iCs/>
          <w:sz w:val="21"/>
          <w:szCs w:val="21"/>
          <w:u w:val="single"/>
        </w:rPr>
        <w:lastRenderedPageBreak/>
        <w:t xml:space="preserve">3. Adelantar de oficio o a petición de los Órganos de Dirección, Administración y Control del Partido o de cualquier ciudadano y con plena observancia a los principios del derecho de defensa y el debido proceso, el procedimiento disciplinario establecido en los presentes Estatutos para determinar la comisión de faltas disciplinarias y la responsabilidad de los presuntos implicados. </w:t>
      </w:r>
    </w:p>
    <w:p w14:paraId="3FF2679E" w14:textId="77777777" w:rsidR="00A405F6" w:rsidRDefault="00A405F6" w:rsidP="00D47EFC">
      <w:pPr>
        <w:spacing w:after="0" w:line="240" w:lineRule="auto"/>
        <w:ind w:left="851" w:right="567"/>
        <w:jc w:val="both"/>
        <w:rPr>
          <w:rFonts w:ascii="Verdana" w:hAnsi="Verdana"/>
          <w:sz w:val="21"/>
          <w:szCs w:val="21"/>
        </w:rPr>
      </w:pPr>
    </w:p>
    <w:p w14:paraId="4E9E7DBD" w14:textId="1A5B69B1" w:rsidR="00EC0D27" w:rsidRPr="00D47EFC" w:rsidRDefault="00EC0D27" w:rsidP="00D47EFC">
      <w:pPr>
        <w:spacing w:after="0" w:line="240" w:lineRule="auto"/>
        <w:ind w:left="851" w:right="567"/>
        <w:jc w:val="both"/>
        <w:rPr>
          <w:rFonts w:ascii="Verdana" w:hAnsi="Verdana"/>
          <w:sz w:val="21"/>
          <w:szCs w:val="21"/>
        </w:rPr>
      </w:pPr>
      <w:r w:rsidRPr="00D47EFC">
        <w:rPr>
          <w:rFonts w:ascii="Verdana" w:hAnsi="Verdana"/>
          <w:sz w:val="21"/>
          <w:szCs w:val="21"/>
        </w:rPr>
        <w:t>4. Divulgar sus decisiones para la aplicación por parte de los Órganos de Dirección, Administración y control y todos los afiliados al Partido.</w:t>
      </w:r>
    </w:p>
    <w:p w14:paraId="6907B137" w14:textId="77777777" w:rsidR="00A405F6" w:rsidRDefault="00A405F6" w:rsidP="00D47EFC">
      <w:pPr>
        <w:spacing w:after="0" w:line="240" w:lineRule="auto"/>
        <w:ind w:left="851" w:right="567"/>
        <w:jc w:val="both"/>
        <w:rPr>
          <w:rFonts w:ascii="Verdana" w:hAnsi="Verdana"/>
          <w:sz w:val="21"/>
          <w:szCs w:val="21"/>
        </w:rPr>
      </w:pPr>
    </w:p>
    <w:p w14:paraId="4E9E7DBE" w14:textId="517DFAB4" w:rsidR="00EC0D27" w:rsidRPr="00D47EFC" w:rsidRDefault="00EC0D27" w:rsidP="00D47EFC">
      <w:pPr>
        <w:spacing w:after="0" w:line="240" w:lineRule="auto"/>
        <w:ind w:left="851" w:right="567"/>
        <w:jc w:val="both"/>
        <w:rPr>
          <w:rFonts w:ascii="Verdana" w:hAnsi="Verdana"/>
          <w:sz w:val="21"/>
          <w:szCs w:val="21"/>
        </w:rPr>
      </w:pPr>
      <w:r w:rsidRPr="00D47EFC">
        <w:rPr>
          <w:rFonts w:ascii="Verdana" w:hAnsi="Verdana"/>
          <w:sz w:val="21"/>
          <w:szCs w:val="21"/>
        </w:rPr>
        <w:t xml:space="preserve">5. Contribuir a la superación de conflictos y divergencias políticas en los casos que le hayan sido encomendados. </w:t>
      </w:r>
    </w:p>
    <w:p w14:paraId="4BD905B4" w14:textId="77777777" w:rsidR="00A405F6" w:rsidRDefault="00A405F6" w:rsidP="00D47EFC">
      <w:pPr>
        <w:spacing w:after="0" w:line="240" w:lineRule="auto"/>
        <w:ind w:left="851" w:right="567"/>
        <w:jc w:val="both"/>
        <w:rPr>
          <w:rFonts w:ascii="Verdana" w:hAnsi="Verdana"/>
          <w:sz w:val="21"/>
          <w:szCs w:val="21"/>
        </w:rPr>
      </w:pPr>
    </w:p>
    <w:p w14:paraId="4E9E7DBF" w14:textId="5D0709C0" w:rsidR="00EC0D27" w:rsidRPr="00D47EFC" w:rsidRDefault="00EC0D27" w:rsidP="00D47EFC">
      <w:pPr>
        <w:spacing w:after="0" w:line="240" w:lineRule="auto"/>
        <w:ind w:left="851" w:right="567"/>
        <w:jc w:val="both"/>
        <w:rPr>
          <w:rFonts w:ascii="Verdana" w:hAnsi="Verdana"/>
          <w:sz w:val="21"/>
          <w:szCs w:val="21"/>
        </w:rPr>
      </w:pPr>
      <w:r w:rsidRPr="00D47EFC">
        <w:rPr>
          <w:rFonts w:ascii="Verdana" w:hAnsi="Verdana"/>
          <w:sz w:val="21"/>
          <w:szCs w:val="21"/>
        </w:rPr>
        <w:t>6. Corresponde a la comisión de Ética vigilar, controlar, decidir e informar sobre el cumplimiento de las normas contenidas en la ley, los Estatutos del Partido y su Código de Ética, en el que se desarrollaran los principios de moralidad y debido proceso, procedimientos para la aplicación de las sanciones por infracción al mismo, mínimos bajo los cuales deben actuar los/las militantes, en especial sus directivos”.</w:t>
      </w:r>
      <w:r w:rsidR="00A405F6">
        <w:rPr>
          <w:rFonts w:ascii="Verdana" w:hAnsi="Verdana"/>
          <w:sz w:val="21"/>
          <w:szCs w:val="21"/>
        </w:rPr>
        <w:t xml:space="preserve"> (Destacado de la Sala)</w:t>
      </w:r>
    </w:p>
    <w:p w14:paraId="4E9E7DC0" w14:textId="1889A2B2" w:rsidR="00A63FF4" w:rsidRDefault="00A63FF4" w:rsidP="00694840">
      <w:pPr>
        <w:spacing w:after="0" w:line="264" w:lineRule="auto"/>
        <w:jc w:val="both"/>
        <w:rPr>
          <w:rFonts w:ascii="Verdana" w:hAnsi="Verdana"/>
          <w:sz w:val="24"/>
          <w:szCs w:val="24"/>
        </w:rPr>
      </w:pPr>
    </w:p>
    <w:p w14:paraId="73333CD6" w14:textId="77777777" w:rsidR="00D47EFC" w:rsidRPr="00694840" w:rsidRDefault="00D47EFC" w:rsidP="00694840">
      <w:pPr>
        <w:spacing w:after="0" w:line="264" w:lineRule="auto"/>
        <w:jc w:val="both"/>
        <w:rPr>
          <w:rFonts w:ascii="Verdana" w:hAnsi="Verdana"/>
          <w:sz w:val="24"/>
          <w:szCs w:val="24"/>
        </w:rPr>
      </w:pPr>
    </w:p>
    <w:p w14:paraId="4E9E7DC1" w14:textId="66DC0A07" w:rsidR="00A63FF4" w:rsidRPr="00694840" w:rsidRDefault="00EC0D27" w:rsidP="00694840">
      <w:pPr>
        <w:spacing w:after="0" w:line="264" w:lineRule="auto"/>
        <w:jc w:val="both"/>
        <w:rPr>
          <w:rFonts w:ascii="Verdana" w:hAnsi="Verdana"/>
          <w:i/>
          <w:sz w:val="24"/>
          <w:szCs w:val="24"/>
        </w:rPr>
      </w:pPr>
      <w:r w:rsidRPr="00694840">
        <w:rPr>
          <w:rFonts w:ascii="Verdana" w:hAnsi="Verdana"/>
          <w:sz w:val="24"/>
          <w:szCs w:val="24"/>
        </w:rPr>
        <w:t xml:space="preserve">En desarrollo de la función 3 antes resaltada, y </w:t>
      </w:r>
      <w:r w:rsidR="00647618" w:rsidRPr="00694840">
        <w:rPr>
          <w:rFonts w:ascii="Verdana" w:hAnsi="Verdana"/>
          <w:sz w:val="24"/>
          <w:szCs w:val="24"/>
        </w:rPr>
        <w:t xml:space="preserve">de acuerdo con lo preceptuado en </w:t>
      </w:r>
      <w:r w:rsidR="00A405F6">
        <w:rPr>
          <w:rFonts w:ascii="Verdana" w:hAnsi="Verdana"/>
          <w:sz w:val="24"/>
          <w:szCs w:val="24"/>
        </w:rPr>
        <w:t xml:space="preserve">los </w:t>
      </w:r>
      <w:r w:rsidR="00647618" w:rsidRPr="00694840">
        <w:rPr>
          <w:rFonts w:ascii="Verdana" w:hAnsi="Verdana"/>
          <w:sz w:val="24"/>
          <w:szCs w:val="24"/>
        </w:rPr>
        <w:t>artículo</w:t>
      </w:r>
      <w:r w:rsidR="00A405F6">
        <w:rPr>
          <w:rFonts w:ascii="Verdana" w:hAnsi="Verdana"/>
          <w:sz w:val="24"/>
          <w:szCs w:val="24"/>
        </w:rPr>
        <w:t>s</w:t>
      </w:r>
      <w:r w:rsidR="00647618" w:rsidRPr="00694840">
        <w:rPr>
          <w:rFonts w:ascii="Verdana" w:hAnsi="Verdana"/>
          <w:sz w:val="24"/>
          <w:szCs w:val="24"/>
        </w:rPr>
        <w:t xml:space="preserve"> 108 Superior, </w:t>
      </w:r>
      <w:r w:rsidRPr="00694840">
        <w:rPr>
          <w:rFonts w:ascii="Verdana" w:hAnsi="Verdana"/>
          <w:sz w:val="24"/>
          <w:szCs w:val="24"/>
        </w:rPr>
        <w:t>4</w:t>
      </w:r>
      <w:r w:rsidR="009459A7" w:rsidRPr="00694840">
        <w:rPr>
          <w:rStyle w:val="Refdenotaalpie"/>
          <w:rFonts w:ascii="Verdana" w:hAnsi="Verdana"/>
          <w:sz w:val="24"/>
          <w:szCs w:val="24"/>
        </w:rPr>
        <w:footnoteReference w:id="6"/>
      </w:r>
      <w:r w:rsidRPr="00694840">
        <w:rPr>
          <w:rFonts w:ascii="Verdana" w:hAnsi="Verdana"/>
          <w:sz w:val="24"/>
          <w:szCs w:val="24"/>
        </w:rPr>
        <w:t xml:space="preserve"> de la Ley 974 de 2005,</w:t>
      </w:r>
      <w:r w:rsidR="00647618" w:rsidRPr="00694840">
        <w:rPr>
          <w:rFonts w:ascii="Verdana" w:hAnsi="Verdana"/>
          <w:sz w:val="24"/>
          <w:szCs w:val="24"/>
        </w:rPr>
        <w:t xml:space="preserve"> </w:t>
      </w:r>
      <w:r w:rsidR="00A405F6">
        <w:rPr>
          <w:rFonts w:ascii="Verdana" w:hAnsi="Verdana"/>
          <w:sz w:val="24"/>
          <w:szCs w:val="24"/>
        </w:rPr>
        <w:t xml:space="preserve">y </w:t>
      </w:r>
      <w:r w:rsidR="00647618" w:rsidRPr="00694840">
        <w:rPr>
          <w:rFonts w:ascii="Verdana" w:hAnsi="Verdana"/>
          <w:sz w:val="24"/>
          <w:szCs w:val="24"/>
        </w:rPr>
        <w:t>4 numeral 9 y 12 de la Ley 1475 de 2011,</w:t>
      </w:r>
      <w:r w:rsidRPr="00694840">
        <w:rPr>
          <w:rFonts w:ascii="Verdana" w:hAnsi="Verdana"/>
          <w:sz w:val="24"/>
          <w:szCs w:val="24"/>
        </w:rPr>
        <w:t xml:space="preserve"> el Partido Alianza Verde expidió su Código de Ética y Régimen Disciplinario Interno, </w:t>
      </w:r>
      <w:r w:rsidR="00147114" w:rsidRPr="00694840">
        <w:rPr>
          <w:rFonts w:ascii="Verdana" w:hAnsi="Verdana"/>
          <w:sz w:val="24"/>
          <w:szCs w:val="24"/>
        </w:rPr>
        <w:t xml:space="preserve">a través del cual atribuyó </w:t>
      </w:r>
      <w:r w:rsidR="00A405F6" w:rsidRPr="00694840">
        <w:rPr>
          <w:rFonts w:ascii="Verdana" w:hAnsi="Verdana"/>
          <w:sz w:val="24"/>
          <w:szCs w:val="24"/>
        </w:rPr>
        <w:t xml:space="preserve">al Consejo de Control de Ética Alianza Verde </w:t>
      </w:r>
      <w:r w:rsidR="00147114" w:rsidRPr="00694840">
        <w:rPr>
          <w:rFonts w:ascii="Verdana" w:hAnsi="Verdana"/>
          <w:sz w:val="24"/>
          <w:szCs w:val="24"/>
        </w:rPr>
        <w:t xml:space="preserve">la función o competencia de disciplinar y sancionar a sus militantes o representantes según el artículo 22 de sus estatutos que reza: </w:t>
      </w:r>
      <w:r w:rsidR="00147114" w:rsidRPr="00D47EFC">
        <w:rPr>
          <w:rFonts w:ascii="Verdana" w:hAnsi="Verdana"/>
          <w:i/>
        </w:rPr>
        <w:t>“</w:t>
      </w:r>
      <w:r w:rsidR="00147114" w:rsidRPr="00D47EFC">
        <w:rPr>
          <w:rFonts w:ascii="Verdana" w:hAnsi="Verdana"/>
          <w:b/>
          <w:i/>
        </w:rPr>
        <w:t>COMPETENCIA</w:t>
      </w:r>
      <w:r w:rsidR="00147114" w:rsidRPr="00D47EFC">
        <w:rPr>
          <w:rFonts w:ascii="Verdana" w:hAnsi="Verdana"/>
          <w:i/>
        </w:rPr>
        <w:t>: La potestad investigadora y sancionatoria del presente régimen disciplinario interno le corresponde a los integrantes del Consejo de Control Ético de acuerdo a las facultades conferidas por ley, los estatutos y por el código de ética.”</w:t>
      </w:r>
    </w:p>
    <w:p w14:paraId="4E9E7DC2" w14:textId="77777777" w:rsidR="00EC0D27" w:rsidRPr="00694840" w:rsidRDefault="00EC0D27" w:rsidP="00694840">
      <w:pPr>
        <w:spacing w:after="0" w:line="264" w:lineRule="auto"/>
        <w:jc w:val="both"/>
        <w:rPr>
          <w:rFonts w:ascii="Verdana" w:hAnsi="Verdana"/>
          <w:sz w:val="24"/>
          <w:szCs w:val="24"/>
        </w:rPr>
      </w:pPr>
    </w:p>
    <w:p w14:paraId="4E9E7DC3" w14:textId="2DDF2CBF" w:rsidR="00EC0D27" w:rsidRPr="00694840" w:rsidRDefault="00B25B52" w:rsidP="00694840">
      <w:pPr>
        <w:spacing w:after="0" w:line="264" w:lineRule="auto"/>
        <w:jc w:val="both"/>
        <w:rPr>
          <w:rFonts w:ascii="Verdana" w:hAnsi="Verdana"/>
          <w:sz w:val="24"/>
          <w:szCs w:val="24"/>
        </w:rPr>
      </w:pPr>
      <w:r w:rsidRPr="00694840">
        <w:rPr>
          <w:rFonts w:ascii="Verdana" w:hAnsi="Verdana"/>
          <w:sz w:val="24"/>
          <w:szCs w:val="24"/>
        </w:rPr>
        <w:t xml:space="preserve">En ese orden, </w:t>
      </w:r>
      <w:r w:rsidR="007A61D6" w:rsidRPr="00694840">
        <w:rPr>
          <w:rFonts w:ascii="Verdana" w:hAnsi="Verdana"/>
          <w:sz w:val="24"/>
          <w:szCs w:val="24"/>
        </w:rPr>
        <w:t xml:space="preserve">al elucidar que el Consejo de Control pertenece a la estructura propia del Partido Alianza Verde, es oportuno establecer </w:t>
      </w:r>
      <w:r w:rsidR="00D01586" w:rsidRPr="00694840">
        <w:rPr>
          <w:rFonts w:ascii="Verdana" w:hAnsi="Verdana"/>
          <w:sz w:val="24"/>
          <w:szCs w:val="24"/>
        </w:rPr>
        <w:t xml:space="preserve">la naturaleza jurídica de </w:t>
      </w:r>
      <w:r w:rsidR="00D21168" w:rsidRPr="00694840">
        <w:rPr>
          <w:rFonts w:ascii="Verdana" w:hAnsi="Verdana"/>
          <w:sz w:val="24"/>
          <w:szCs w:val="24"/>
        </w:rPr>
        <w:t xml:space="preserve">la fuente </w:t>
      </w:r>
      <w:r w:rsidR="00D01586" w:rsidRPr="00694840">
        <w:rPr>
          <w:rFonts w:ascii="Verdana" w:hAnsi="Verdana"/>
          <w:sz w:val="24"/>
          <w:szCs w:val="24"/>
        </w:rPr>
        <w:t xml:space="preserve">o raíz </w:t>
      </w:r>
      <w:r w:rsidR="00D21168" w:rsidRPr="00694840">
        <w:rPr>
          <w:rFonts w:ascii="Verdana" w:hAnsi="Verdana"/>
          <w:sz w:val="24"/>
          <w:szCs w:val="24"/>
        </w:rPr>
        <w:t xml:space="preserve">de su creación, es decir, </w:t>
      </w:r>
      <w:r w:rsidR="007A61D6" w:rsidRPr="00694840">
        <w:rPr>
          <w:rFonts w:ascii="Verdana" w:hAnsi="Verdana"/>
          <w:sz w:val="24"/>
          <w:szCs w:val="24"/>
        </w:rPr>
        <w:lastRenderedPageBreak/>
        <w:t>los partidos o movimientos políticos</w:t>
      </w:r>
      <w:r w:rsidR="00A405F6">
        <w:rPr>
          <w:rFonts w:ascii="Verdana" w:hAnsi="Verdana"/>
          <w:sz w:val="24"/>
          <w:szCs w:val="24"/>
        </w:rPr>
        <w:t>;</w:t>
      </w:r>
      <w:r w:rsidR="007A61D6" w:rsidRPr="00694840">
        <w:rPr>
          <w:rFonts w:ascii="Verdana" w:hAnsi="Verdana"/>
          <w:sz w:val="24"/>
          <w:szCs w:val="24"/>
        </w:rPr>
        <w:t xml:space="preserve"> para ello, el artículo </w:t>
      </w:r>
      <w:r w:rsidR="007603C1" w:rsidRPr="00694840">
        <w:rPr>
          <w:rFonts w:ascii="Verdana" w:hAnsi="Verdana"/>
          <w:sz w:val="24"/>
          <w:szCs w:val="24"/>
        </w:rPr>
        <w:t>2 de la Ley 130 de 1994</w:t>
      </w:r>
      <w:r w:rsidR="00D21168" w:rsidRPr="00694840">
        <w:rPr>
          <w:rStyle w:val="Refdenotaalpie"/>
          <w:rFonts w:ascii="Verdana" w:hAnsi="Verdana"/>
          <w:sz w:val="24"/>
          <w:szCs w:val="24"/>
        </w:rPr>
        <w:footnoteReference w:id="7"/>
      </w:r>
      <w:r w:rsidR="007603C1" w:rsidRPr="00694840">
        <w:rPr>
          <w:rFonts w:ascii="Verdana" w:hAnsi="Verdana"/>
          <w:sz w:val="24"/>
          <w:szCs w:val="24"/>
        </w:rPr>
        <w:t xml:space="preserve"> </w:t>
      </w:r>
      <w:r w:rsidR="00A405F6">
        <w:rPr>
          <w:rFonts w:ascii="Verdana" w:hAnsi="Verdana"/>
          <w:sz w:val="24"/>
          <w:szCs w:val="24"/>
        </w:rPr>
        <w:t>definió</w:t>
      </w:r>
      <w:r w:rsidR="00D21168" w:rsidRPr="00694840">
        <w:rPr>
          <w:rFonts w:ascii="Verdana" w:hAnsi="Verdana"/>
          <w:sz w:val="24"/>
          <w:szCs w:val="24"/>
        </w:rPr>
        <w:t xml:space="preserve"> los partidos en los siguientes términos:</w:t>
      </w:r>
    </w:p>
    <w:p w14:paraId="4E9E7DC4" w14:textId="29C941D2" w:rsidR="00D21168" w:rsidRDefault="00D21168" w:rsidP="00694840">
      <w:pPr>
        <w:spacing w:after="0" w:line="264" w:lineRule="auto"/>
        <w:jc w:val="both"/>
        <w:rPr>
          <w:rFonts w:ascii="Verdana" w:hAnsi="Verdana"/>
          <w:sz w:val="24"/>
          <w:szCs w:val="24"/>
        </w:rPr>
      </w:pPr>
    </w:p>
    <w:p w14:paraId="28EEEF6E" w14:textId="77777777" w:rsidR="00E00A31" w:rsidRDefault="00E00A31" w:rsidP="00694840">
      <w:pPr>
        <w:spacing w:after="0" w:line="264" w:lineRule="auto"/>
        <w:jc w:val="both"/>
        <w:rPr>
          <w:rFonts w:ascii="Verdana" w:hAnsi="Verdana"/>
          <w:sz w:val="24"/>
          <w:szCs w:val="24"/>
        </w:rPr>
      </w:pPr>
    </w:p>
    <w:p w14:paraId="4E9E7DC5" w14:textId="534971FD" w:rsidR="00D21168" w:rsidRPr="00D47EFC" w:rsidRDefault="00A405F6" w:rsidP="00D47EFC">
      <w:pPr>
        <w:spacing w:after="0" w:line="240" w:lineRule="auto"/>
        <w:ind w:left="851" w:right="567"/>
        <w:jc w:val="both"/>
        <w:rPr>
          <w:rFonts w:ascii="Verdana" w:hAnsi="Verdana"/>
          <w:sz w:val="21"/>
          <w:szCs w:val="21"/>
        </w:rPr>
      </w:pPr>
      <w:r>
        <w:rPr>
          <w:rFonts w:ascii="Verdana" w:hAnsi="Verdana"/>
          <w:sz w:val="21"/>
          <w:szCs w:val="21"/>
        </w:rPr>
        <w:t>“</w:t>
      </w:r>
      <w:r w:rsidR="00D21168" w:rsidRPr="00D47EFC">
        <w:rPr>
          <w:rFonts w:ascii="Verdana" w:hAnsi="Verdana"/>
          <w:sz w:val="21"/>
          <w:szCs w:val="21"/>
        </w:rPr>
        <w:t xml:space="preserve">Los partidos son instituciones permanentes que reflejan el pluralismo político, promueven y encauzan la participación de los ciudadanos y contribuyen a la formación y manifestación de la voluntad popular, con el objeto de acceder al poder, a los cargos de elección popular y de influir en las decisiones políticas y democráticas de la Nación. </w:t>
      </w:r>
    </w:p>
    <w:p w14:paraId="4E9E7DC6" w14:textId="77777777" w:rsidR="00D21168" w:rsidRPr="00D47EFC" w:rsidRDefault="00D21168" w:rsidP="00D47EFC">
      <w:pPr>
        <w:spacing w:after="0" w:line="240" w:lineRule="auto"/>
        <w:ind w:left="851" w:right="567"/>
        <w:jc w:val="both"/>
        <w:rPr>
          <w:rFonts w:ascii="Verdana" w:hAnsi="Verdana"/>
          <w:sz w:val="21"/>
          <w:szCs w:val="21"/>
        </w:rPr>
      </w:pPr>
    </w:p>
    <w:p w14:paraId="4E9E7DC7" w14:textId="77777777" w:rsidR="00D21168" w:rsidRPr="00A405F6" w:rsidRDefault="00D21168" w:rsidP="00D47EFC">
      <w:pPr>
        <w:spacing w:after="0" w:line="240" w:lineRule="auto"/>
        <w:ind w:left="851" w:right="567"/>
        <w:jc w:val="both"/>
        <w:rPr>
          <w:rFonts w:ascii="Verdana" w:hAnsi="Verdana"/>
          <w:b/>
          <w:bCs/>
          <w:i/>
          <w:iCs/>
          <w:sz w:val="21"/>
          <w:szCs w:val="21"/>
          <w:u w:val="single"/>
        </w:rPr>
      </w:pPr>
      <w:r w:rsidRPr="00A405F6">
        <w:rPr>
          <w:rFonts w:ascii="Verdana" w:hAnsi="Verdana"/>
          <w:b/>
          <w:bCs/>
          <w:i/>
          <w:iCs/>
          <w:sz w:val="21"/>
          <w:szCs w:val="21"/>
          <w:u w:val="single"/>
        </w:rPr>
        <w:t xml:space="preserve">Los movimientos políticos son asociaciones de ciudadanos constituidas libremente para influir en la formación de la voluntad política o para participar en las elecciones. </w:t>
      </w:r>
    </w:p>
    <w:p w14:paraId="4E9E7DC8" w14:textId="77777777" w:rsidR="00D21168" w:rsidRPr="00D47EFC" w:rsidRDefault="00D21168" w:rsidP="00D47EFC">
      <w:pPr>
        <w:spacing w:after="0" w:line="240" w:lineRule="auto"/>
        <w:ind w:left="851" w:right="567"/>
        <w:jc w:val="both"/>
        <w:rPr>
          <w:rFonts w:ascii="Verdana" w:hAnsi="Verdana"/>
          <w:sz w:val="21"/>
          <w:szCs w:val="21"/>
        </w:rPr>
      </w:pPr>
    </w:p>
    <w:p w14:paraId="4E9E7DC9" w14:textId="7CB3B647" w:rsidR="00D21168" w:rsidRPr="00D47EFC" w:rsidRDefault="00D21168" w:rsidP="00D47EFC">
      <w:pPr>
        <w:spacing w:after="0" w:line="240" w:lineRule="auto"/>
        <w:ind w:left="851" w:right="567"/>
        <w:jc w:val="both"/>
        <w:rPr>
          <w:rFonts w:ascii="Verdana" w:hAnsi="Verdana"/>
          <w:sz w:val="21"/>
          <w:szCs w:val="21"/>
        </w:rPr>
      </w:pPr>
      <w:r w:rsidRPr="00D47EFC">
        <w:rPr>
          <w:rFonts w:ascii="Verdana" w:hAnsi="Verdana"/>
          <w:sz w:val="21"/>
          <w:szCs w:val="21"/>
        </w:rPr>
        <w:t>Los partidos y movimientos políticos constituidos con el lleno de todos los requisitos constitucionales y legales tendrán personería jurídica.”</w:t>
      </w:r>
      <w:r w:rsidR="00A405F6">
        <w:rPr>
          <w:rFonts w:ascii="Verdana" w:hAnsi="Verdana"/>
          <w:sz w:val="21"/>
          <w:szCs w:val="21"/>
        </w:rPr>
        <w:t xml:space="preserve"> (Destacado de la Sala)</w:t>
      </w:r>
    </w:p>
    <w:p w14:paraId="4E9E7DCA" w14:textId="77777777" w:rsidR="00D21168" w:rsidRPr="00694840" w:rsidRDefault="00D21168" w:rsidP="00694840">
      <w:pPr>
        <w:spacing w:after="0" w:line="264" w:lineRule="auto"/>
        <w:jc w:val="both"/>
        <w:rPr>
          <w:rFonts w:ascii="Verdana" w:hAnsi="Verdana"/>
          <w:sz w:val="24"/>
          <w:szCs w:val="24"/>
        </w:rPr>
      </w:pPr>
    </w:p>
    <w:p w14:paraId="101165F8" w14:textId="77777777" w:rsidR="00D47EFC" w:rsidRDefault="00D47EFC" w:rsidP="00694840">
      <w:pPr>
        <w:spacing w:after="0" w:line="264" w:lineRule="auto"/>
        <w:jc w:val="both"/>
        <w:rPr>
          <w:rFonts w:ascii="Verdana" w:hAnsi="Verdana"/>
          <w:sz w:val="24"/>
          <w:szCs w:val="24"/>
        </w:rPr>
      </w:pPr>
    </w:p>
    <w:p w14:paraId="4E9E7DCB" w14:textId="19696E5D" w:rsidR="00D01586" w:rsidRPr="00694840" w:rsidRDefault="00A405F6" w:rsidP="00694840">
      <w:pPr>
        <w:spacing w:after="0" w:line="264" w:lineRule="auto"/>
        <w:jc w:val="both"/>
        <w:rPr>
          <w:rFonts w:ascii="Verdana" w:hAnsi="Verdana"/>
          <w:sz w:val="24"/>
          <w:szCs w:val="24"/>
        </w:rPr>
      </w:pPr>
      <w:r>
        <w:rPr>
          <w:rFonts w:ascii="Verdana" w:hAnsi="Verdana"/>
          <w:sz w:val="24"/>
          <w:szCs w:val="24"/>
        </w:rPr>
        <w:t xml:space="preserve">Partiendo de </w:t>
      </w:r>
      <w:r w:rsidR="00B145E8">
        <w:rPr>
          <w:rFonts w:ascii="Verdana" w:hAnsi="Verdana"/>
          <w:sz w:val="24"/>
          <w:szCs w:val="24"/>
        </w:rPr>
        <w:t>la</w:t>
      </w:r>
      <w:r>
        <w:rPr>
          <w:rFonts w:ascii="Verdana" w:hAnsi="Verdana"/>
          <w:sz w:val="24"/>
          <w:szCs w:val="24"/>
        </w:rPr>
        <w:t xml:space="preserve"> naturaleza eminentemente ciudadana de los partidos y movimientos políticos, el </w:t>
      </w:r>
      <w:r w:rsidR="00D01586" w:rsidRPr="00694840">
        <w:rPr>
          <w:rFonts w:ascii="Verdana" w:hAnsi="Verdana"/>
          <w:sz w:val="24"/>
          <w:szCs w:val="24"/>
        </w:rPr>
        <w:t>Consejo de Estado</w:t>
      </w:r>
      <w:r w:rsidR="00503792" w:rsidRPr="00694840">
        <w:rPr>
          <w:rStyle w:val="Refdenotaalpie"/>
          <w:rFonts w:ascii="Verdana" w:hAnsi="Verdana"/>
          <w:sz w:val="24"/>
          <w:szCs w:val="24"/>
        </w:rPr>
        <w:footnoteReference w:id="8"/>
      </w:r>
      <w:r w:rsidR="00D01586" w:rsidRPr="00694840">
        <w:rPr>
          <w:rFonts w:ascii="Verdana" w:hAnsi="Verdana"/>
          <w:sz w:val="24"/>
          <w:szCs w:val="24"/>
        </w:rPr>
        <w:t xml:space="preserve"> aclaró </w:t>
      </w:r>
      <w:r>
        <w:rPr>
          <w:rFonts w:ascii="Verdana" w:hAnsi="Verdana"/>
          <w:sz w:val="24"/>
          <w:szCs w:val="24"/>
        </w:rPr>
        <w:t>así su condición</w:t>
      </w:r>
      <w:r w:rsidR="00D01586" w:rsidRPr="00694840">
        <w:rPr>
          <w:rFonts w:ascii="Verdana" w:hAnsi="Verdana"/>
          <w:sz w:val="24"/>
          <w:szCs w:val="24"/>
        </w:rPr>
        <w:t xml:space="preserve">: </w:t>
      </w:r>
    </w:p>
    <w:p w14:paraId="4E9E7DCC" w14:textId="06819D1C" w:rsidR="00D01586" w:rsidRDefault="00D01586" w:rsidP="00694840">
      <w:pPr>
        <w:spacing w:after="0" w:line="264" w:lineRule="auto"/>
        <w:jc w:val="both"/>
        <w:rPr>
          <w:rFonts w:ascii="Verdana" w:hAnsi="Verdana"/>
          <w:sz w:val="24"/>
          <w:szCs w:val="24"/>
        </w:rPr>
      </w:pPr>
    </w:p>
    <w:p w14:paraId="3574EF9F" w14:textId="77777777" w:rsidR="00D47EFC" w:rsidRPr="00694840" w:rsidRDefault="00D47EFC" w:rsidP="00694840">
      <w:pPr>
        <w:spacing w:after="0" w:line="264" w:lineRule="auto"/>
        <w:jc w:val="both"/>
        <w:rPr>
          <w:rFonts w:ascii="Verdana" w:hAnsi="Verdana"/>
          <w:sz w:val="24"/>
          <w:szCs w:val="24"/>
        </w:rPr>
      </w:pPr>
    </w:p>
    <w:p w14:paraId="4E9E7DCD" w14:textId="6D2792A4" w:rsidR="007603C1" w:rsidRPr="00D47EFC" w:rsidRDefault="007603C1" w:rsidP="00D47EFC">
      <w:pPr>
        <w:spacing w:after="0" w:line="240" w:lineRule="auto"/>
        <w:ind w:left="851" w:right="567"/>
        <w:jc w:val="both"/>
        <w:rPr>
          <w:rFonts w:ascii="Verdana" w:hAnsi="Verdana"/>
          <w:sz w:val="21"/>
          <w:szCs w:val="21"/>
        </w:rPr>
      </w:pPr>
      <w:r w:rsidRPr="00D47EFC">
        <w:rPr>
          <w:rFonts w:ascii="Verdana" w:hAnsi="Verdana"/>
          <w:sz w:val="21"/>
          <w:szCs w:val="21"/>
        </w:rPr>
        <w:t xml:space="preserve">“Si bien las instituciones diseñadas desde el marco constitucional para lo relativo a esta última actividad, </w:t>
      </w:r>
      <w:r w:rsidRPr="00D47EFC">
        <w:rPr>
          <w:rFonts w:ascii="Verdana" w:hAnsi="Verdana"/>
          <w:b/>
          <w:sz w:val="21"/>
          <w:szCs w:val="21"/>
          <w:u w:val="single"/>
        </w:rPr>
        <w:t>esto es los partidos y movimientos políticos</w:t>
      </w:r>
      <w:r w:rsidRPr="00D47EFC">
        <w:rPr>
          <w:rFonts w:ascii="Verdana" w:hAnsi="Verdana"/>
          <w:sz w:val="21"/>
          <w:szCs w:val="21"/>
        </w:rPr>
        <w:t xml:space="preserve">, no integran la rama ejecutiva, la administración pública y </w:t>
      </w:r>
      <w:r w:rsidRPr="00D47EFC">
        <w:rPr>
          <w:rFonts w:ascii="Verdana" w:hAnsi="Verdana"/>
          <w:b/>
          <w:sz w:val="21"/>
          <w:szCs w:val="21"/>
          <w:u w:val="single"/>
        </w:rPr>
        <w:t>no ejercen autoridad administrativa o función pública</w:t>
      </w:r>
      <w:r w:rsidRPr="00D47EFC">
        <w:rPr>
          <w:rFonts w:ascii="Verdana" w:hAnsi="Verdana"/>
          <w:sz w:val="21"/>
          <w:szCs w:val="21"/>
        </w:rPr>
        <w:t>, de ello no se sigue que i) sean ajenas a la organización del Estado y ii) les sea permitido adelantar su actividad al margen de los intereses generales, de los principios superiores y del adecuado cumplimiento de las funciones y demás fines estatales, esto es, sin sujetarse a las disposiciones constitucionales, en especial de aquellas contenidas en los artículos 2°, 107, 88 y 209.”</w:t>
      </w:r>
      <w:r w:rsidR="00B145E8">
        <w:rPr>
          <w:rFonts w:ascii="Verdana" w:hAnsi="Verdana"/>
          <w:sz w:val="21"/>
          <w:szCs w:val="21"/>
        </w:rPr>
        <w:t xml:space="preserve"> (Destacado de la Sala)</w:t>
      </w:r>
    </w:p>
    <w:p w14:paraId="4E9E7DCE" w14:textId="41E43278" w:rsidR="00EC0D27" w:rsidRDefault="00EC0D27" w:rsidP="00694840">
      <w:pPr>
        <w:spacing w:after="0" w:line="264" w:lineRule="auto"/>
        <w:jc w:val="both"/>
        <w:rPr>
          <w:rFonts w:ascii="Verdana" w:hAnsi="Verdana"/>
          <w:sz w:val="24"/>
          <w:szCs w:val="24"/>
        </w:rPr>
      </w:pPr>
    </w:p>
    <w:p w14:paraId="6A70F876" w14:textId="77777777" w:rsidR="00D47EFC" w:rsidRPr="00694840" w:rsidRDefault="00D47EFC" w:rsidP="00694840">
      <w:pPr>
        <w:spacing w:after="0" w:line="264" w:lineRule="auto"/>
        <w:jc w:val="both"/>
        <w:rPr>
          <w:rFonts w:ascii="Verdana" w:hAnsi="Verdana"/>
          <w:sz w:val="24"/>
          <w:szCs w:val="24"/>
        </w:rPr>
      </w:pPr>
    </w:p>
    <w:p w14:paraId="4E9E7DCF" w14:textId="47EE6268" w:rsidR="00D01586" w:rsidRPr="00694840" w:rsidRDefault="00D01586" w:rsidP="00694840">
      <w:pPr>
        <w:spacing w:after="0" w:line="264" w:lineRule="auto"/>
        <w:jc w:val="both"/>
        <w:rPr>
          <w:rFonts w:ascii="Verdana" w:hAnsi="Verdana"/>
          <w:sz w:val="24"/>
          <w:szCs w:val="24"/>
        </w:rPr>
      </w:pPr>
      <w:r w:rsidRPr="00694840">
        <w:rPr>
          <w:rFonts w:ascii="Verdana" w:hAnsi="Verdana"/>
          <w:sz w:val="24"/>
          <w:szCs w:val="24"/>
        </w:rPr>
        <w:t xml:space="preserve">En ese entendido, </w:t>
      </w:r>
      <w:r w:rsidRPr="00354884">
        <w:rPr>
          <w:rFonts w:ascii="Verdana" w:hAnsi="Verdana"/>
          <w:sz w:val="24"/>
          <w:szCs w:val="24"/>
        </w:rPr>
        <w:t xml:space="preserve">se descarta que los partidos o movimientos políticos </w:t>
      </w:r>
      <w:r w:rsidR="00C9726F" w:rsidRPr="00354884">
        <w:rPr>
          <w:rFonts w:ascii="Verdana" w:hAnsi="Verdana"/>
          <w:sz w:val="24"/>
          <w:szCs w:val="24"/>
        </w:rPr>
        <w:t xml:space="preserve">ejerzan </w:t>
      </w:r>
      <w:r w:rsidRPr="00354884">
        <w:rPr>
          <w:rFonts w:ascii="Verdana" w:hAnsi="Verdana"/>
          <w:sz w:val="24"/>
          <w:szCs w:val="24"/>
        </w:rPr>
        <w:t xml:space="preserve">autoridad administrativa </w:t>
      </w:r>
      <w:r w:rsidR="00C9726F" w:rsidRPr="00354884">
        <w:rPr>
          <w:rFonts w:ascii="Verdana" w:hAnsi="Verdana"/>
          <w:sz w:val="24"/>
          <w:szCs w:val="24"/>
        </w:rPr>
        <w:t xml:space="preserve">o </w:t>
      </w:r>
      <w:r w:rsidRPr="00354884">
        <w:rPr>
          <w:rFonts w:ascii="Verdana" w:hAnsi="Verdana"/>
          <w:sz w:val="24"/>
          <w:szCs w:val="24"/>
        </w:rPr>
        <w:t>función pública</w:t>
      </w:r>
      <w:r w:rsidR="00B145E8" w:rsidRPr="00354884">
        <w:rPr>
          <w:rFonts w:ascii="Verdana" w:hAnsi="Verdana"/>
          <w:sz w:val="24"/>
          <w:szCs w:val="24"/>
        </w:rPr>
        <w:t>. S</w:t>
      </w:r>
      <w:r w:rsidRPr="00354884">
        <w:rPr>
          <w:rFonts w:ascii="Verdana" w:hAnsi="Verdana"/>
          <w:sz w:val="24"/>
          <w:szCs w:val="24"/>
        </w:rPr>
        <w:t>us decisiones</w:t>
      </w:r>
      <w:r w:rsidR="00B145E8" w:rsidRPr="00354884">
        <w:rPr>
          <w:rFonts w:ascii="Verdana" w:hAnsi="Verdana"/>
          <w:sz w:val="24"/>
          <w:szCs w:val="24"/>
        </w:rPr>
        <w:t>,</w:t>
      </w:r>
      <w:r w:rsidRPr="00354884">
        <w:rPr>
          <w:rFonts w:ascii="Verdana" w:hAnsi="Verdana"/>
          <w:sz w:val="24"/>
          <w:szCs w:val="24"/>
        </w:rPr>
        <w:t xml:space="preserve"> dictadas incluso en el marco de un proceso disciplinari</w:t>
      </w:r>
      <w:r w:rsidR="00FA0364" w:rsidRPr="00354884">
        <w:rPr>
          <w:rFonts w:ascii="Verdana" w:hAnsi="Verdana"/>
          <w:sz w:val="24"/>
          <w:szCs w:val="24"/>
        </w:rPr>
        <w:t>o</w:t>
      </w:r>
      <w:r w:rsidR="00B145E8" w:rsidRPr="00354884">
        <w:rPr>
          <w:rFonts w:ascii="Verdana" w:hAnsi="Verdana"/>
          <w:sz w:val="24"/>
          <w:szCs w:val="24"/>
        </w:rPr>
        <w:t>,</w:t>
      </w:r>
      <w:r w:rsidR="00FA0364" w:rsidRPr="00354884">
        <w:rPr>
          <w:rFonts w:ascii="Verdana" w:hAnsi="Verdana"/>
          <w:sz w:val="24"/>
          <w:szCs w:val="24"/>
        </w:rPr>
        <w:t xml:space="preserve"> no son actos administrativos, </w:t>
      </w:r>
      <w:r w:rsidR="00DE1C19" w:rsidRPr="00354884">
        <w:rPr>
          <w:rFonts w:ascii="Verdana" w:hAnsi="Verdana"/>
          <w:sz w:val="24"/>
          <w:szCs w:val="24"/>
        </w:rPr>
        <w:t xml:space="preserve">pues </w:t>
      </w:r>
      <w:r w:rsidR="00B145E8" w:rsidRPr="00354884">
        <w:rPr>
          <w:rFonts w:ascii="Verdana" w:hAnsi="Verdana"/>
          <w:sz w:val="24"/>
          <w:szCs w:val="24"/>
        </w:rPr>
        <w:t xml:space="preserve">éstos </w:t>
      </w:r>
      <w:r w:rsidR="00DE1C19" w:rsidRPr="00354884">
        <w:rPr>
          <w:rFonts w:ascii="Verdana" w:hAnsi="Verdana"/>
          <w:sz w:val="24"/>
          <w:szCs w:val="24"/>
        </w:rPr>
        <w:t xml:space="preserve">necesariamente </w:t>
      </w:r>
      <w:r w:rsidR="00FA0364" w:rsidRPr="00354884">
        <w:rPr>
          <w:rFonts w:ascii="Verdana" w:hAnsi="Verdana"/>
          <w:sz w:val="24"/>
          <w:szCs w:val="24"/>
        </w:rPr>
        <w:t xml:space="preserve">deben emanar de la Administración Pública y </w:t>
      </w:r>
      <w:r w:rsidR="00DE1C19" w:rsidRPr="00354884">
        <w:rPr>
          <w:rFonts w:ascii="Verdana" w:hAnsi="Verdana"/>
          <w:sz w:val="24"/>
          <w:szCs w:val="24"/>
        </w:rPr>
        <w:t xml:space="preserve">reflejar la </w:t>
      </w:r>
      <w:r w:rsidR="00FA0364" w:rsidRPr="00354884">
        <w:rPr>
          <w:rFonts w:ascii="Verdana" w:hAnsi="Verdana"/>
          <w:sz w:val="24"/>
          <w:szCs w:val="24"/>
        </w:rPr>
        <w:t xml:space="preserve">manifestación de su voluntad. </w:t>
      </w:r>
      <w:r w:rsidR="00FF38E1" w:rsidRPr="00354884">
        <w:rPr>
          <w:rFonts w:ascii="Verdana" w:hAnsi="Verdana"/>
          <w:sz w:val="24"/>
          <w:szCs w:val="24"/>
        </w:rPr>
        <w:t xml:space="preserve">Así pues, acorde con el </w:t>
      </w:r>
      <w:r w:rsidR="00FF38E1" w:rsidRPr="00354884">
        <w:rPr>
          <w:rFonts w:ascii="Verdana" w:hAnsi="Verdana"/>
          <w:sz w:val="24"/>
          <w:szCs w:val="24"/>
        </w:rPr>
        <w:lastRenderedPageBreak/>
        <w:t>artículo 104 del CPACA, las decisiones emitidas por el Consejo de Control de Ética Alianza Verde no son materia de control de legalidad ante esta jurisdicción de lo contencioso administrativo</w:t>
      </w:r>
      <w:r w:rsidR="005D4C36" w:rsidRPr="00354884">
        <w:rPr>
          <w:rFonts w:ascii="Verdana" w:hAnsi="Verdana"/>
          <w:sz w:val="24"/>
          <w:szCs w:val="24"/>
        </w:rPr>
        <w:t>, más aún cuando estas no están sujetas al derecho administrativo, sino a las reglas internas del partido o movimiento político.</w:t>
      </w:r>
    </w:p>
    <w:p w14:paraId="4E9E7DD0" w14:textId="77777777" w:rsidR="00F65043" w:rsidRPr="00694840" w:rsidRDefault="00F65043" w:rsidP="00694840">
      <w:pPr>
        <w:spacing w:after="0" w:line="264" w:lineRule="auto"/>
        <w:jc w:val="both"/>
        <w:rPr>
          <w:rFonts w:ascii="Verdana" w:hAnsi="Verdana"/>
          <w:sz w:val="24"/>
          <w:szCs w:val="24"/>
        </w:rPr>
      </w:pPr>
    </w:p>
    <w:p w14:paraId="4E9E7DD1" w14:textId="34680B3C" w:rsidR="00FF38E1" w:rsidRPr="00694840" w:rsidRDefault="00FF38E1" w:rsidP="00694840">
      <w:pPr>
        <w:spacing w:after="0" w:line="264" w:lineRule="auto"/>
        <w:jc w:val="both"/>
        <w:rPr>
          <w:rFonts w:ascii="Verdana" w:hAnsi="Verdana"/>
          <w:sz w:val="24"/>
          <w:szCs w:val="24"/>
        </w:rPr>
      </w:pPr>
      <w:r w:rsidRPr="00694840">
        <w:rPr>
          <w:rFonts w:ascii="Verdana" w:hAnsi="Verdana"/>
          <w:sz w:val="24"/>
          <w:szCs w:val="24"/>
        </w:rPr>
        <w:t>La anterior postura la refuerza el pronunciamiento T-009 de 2017, emitido por la Corte Constitucional en el que se resaltó:</w:t>
      </w:r>
    </w:p>
    <w:p w14:paraId="4E9E7DD2" w14:textId="0AF8C307" w:rsidR="00FF38E1" w:rsidRDefault="00FF38E1" w:rsidP="00694840">
      <w:pPr>
        <w:spacing w:after="0" w:line="264" w:lineRule="auto"/>
        <w:jc w:val="both"/>
        <w:rPr>
          <w:rFonts w:ascii="Verdana" w:hAnsi="Verdana"/>
          <w:sz w:val="24"/>
          <w:szCs w:val="24"/>
        </w:rPr>
      </w:pPr>
    </w:p>
    <w:p w14:paraId="045E9633" w14:textId="77777777" w:rsidR="00D47EFC" w:rsidRPr="00694840" w:rsidRDefault="00D47EFC" w:rsidP="00694840">
      <w:pPr>
        <w:spacing w:after="0" w:line="264" w:lineRule="auto"/>
        <w:jc w:val="both"/>
        <w:rPr>
          <w:rFonts w:ascii="Verdana" w:hAnsi="Verdana"/>
          <w:sz w:val="24"/>
          <w:szCs w:val="24"/>
        </w:rPr>
      </w:pPr>
    </w:p>
    <w:p w14:paraId="4E9E7DD3" w14:textId="2D5295A8" w:rsidR="00FF38E1" w:rsidRPr="00B145E8" w:rsidRDefault="00FF38E1" w:rsidP="00D47EFC">
      <w:pPr>
        <w:shd w:val="clear" w:color="auto" w:fill="FFFFFF"/>
        <w:spacing w:after="0" w:line="240" w:lineRule="auto"/>
        <w:ind w:left="851" w:right="567"/>
        <w:jc w:val="both"/>
        <w:rPr>
          <w:rFonts w:ascii="Verdana" w:eastAsia="Times New Roman" w:hAnsi="Verdana" w:cs="Times New Roman"/>
          <w:color w:val="000000" w:themeColor="text1"/>
          <w:sz w:val="21"/>
          <w:szCs w:val="21"/>
          <w:lang w:eastAsia="es-CO"/>
        </w:rPr>
      </w:pPr>
      <w:r w:rsidRPr="00D47EFC">
        <w:rPr>
          <w:rFonts w:ascii="Verdana" w:hAnsi="Verdana"/>
          <w:color w:val="000000" w:themeColor="text1"/>
          <w:sz w:val="21"/>
          <w:szCs w:val="21"/>
        </w:rPr>
        <w:t>“</w:t>
      </w:r>
      <w:r w:rsidRPr="00D47EFC">
        <w:rPr>
          <w:rFonts w:ascii="Verdana" w:eastAsia="Times New Roman" w:hAnsi="Verdana" w:cs="Times New Roman"/>
          <w:color w:val="000000" w:themeColor="text1"/>
          <w:sz w:val="21"/>
          <w:szCs w:val="21"/>
          <w:lang w:val="es-ES" w:eastAsia="es-CO"/>
        </w:rPr>
        <w:t>Tal y como se afirmó en Sentencia C-490 de 2011, “</w:t>
      </w:r>
      <w:r w:rsidRPr="00D47EFC">
        <w:rPr>
          <w:rFonts w:ascii="Verdana" w:eastAsia="Times New Roman" w:hAnsi="Verdana" w:cs="Times New Roman"/>
          <w:i/>
          <w:iCs/>
          <w:color w:val="000000" w:themeColor="text1"/>
          <w:sz w:val="21"/>
          <w:szCs w:val="21"/>
          <w:lang w:val="es-ES" w:eastAsia="es-CO"/>
        </w:rPr>
        <w:t>la resolución de la impugnación de las</w:t>
      </w:r>
      <w:r w:rsidR="00D47EFC" w:rsidRPr="00D47EFC">
        <w:rPr>
          <w:rFonts w:ascii="Verdana" w:eastAsia="Times New Roman" w:hAnsi="Verdana" w:cs="Times New Roman"/>
          <w:i/>
          <w:iCs/>
          <w:color w:val="000000" w:themeColor="text1"/>
          <w:sz w:val="21"/>
          <w:szCs w:val="21"/>
          <w:lang w:val="es-ES" w:eastAsia="es-CO"/>
        </w:rPr>
        <w:t xml:space="preserve"> </w:t>
      </w:r>
      <w:r w:rsidRPr="00D47EFC">
        <w:rPr>
          <w:rFonts w:ascii="Verdana" w:eastAsia="Times New Roman" w:hAnsi="Verdana" w:cs="Times New Roman"/>
          <w:b/>
          <w:bCs/>
          <w:i/>
          <w:iCs/>
          <w:color w:val="000000" w:themeColor="text1"/>
          <w:sz w:val="21"/>
          <w:szCs w:val="21"/>
          <w:lang w:val="es-ES" w:eastAsia="es-CO"/>
        </w:rPr>
        <w:t>sanciones impuestas por los órganos de control de partidos y movimientos políticos</w:t>
      </w:r>
      <w:r w:rsidRPr="00D47EFC">
        <w:rPr>
          <w:rFonts w:ascii="Verdana" w:eastAsia="Times New Roman" w:hAnsi="Verdana" w:cs="Times New Roman"/>
          <w:i/>
          <w:iCs/>
          <w:color w:val="000000" w:themeColor="text1"/>
          <w:sz w:val="21"/>
          <w:szCs w:val="21"/>
          <w:lang w:val="es-ES" w:eastAsia="es-CO"/>
        </w:rPr>
        <w:t xml:space="preserve">, función ésta que se inserta en la cláusula general prevista en el artículo 265 C.P., cuando le confiere a este organismo la función de ejercer la regulación, inspección, vigilancia y control de la actividad electoral de los partidos y movimientos políticos y, como corolario de esa competencia, velar por el cumplimiento de las normas sobre dichos colectivos, junto con las demás funciones que le confiera la ley. No puede perderse de vista que la resolución de controversias que el legislador estatutario confiere al Consejo Nacional Electoral CNE esta a su vez sometida al escrutinio judicial, en razón a que las decisiones de </w:t>
      </w:r>
      <w:proofErr w:type="gramStart"/>
      <w:r w:rsidRPr="00D47EFC">
        <w:rPr>
          <w:rFonts w:ascii="Verdana" w:eastAsia="Times New Roman" w:hAnsi="Verdana" w:cs="Times New Roman"/>
          <w:i/>
          <w:iCs/>
          <w:color w:val="000000" w:themeColor="text1"/>
          <w:sz w:val="21"/>
          <w:szCs w:val="21"/>
          <w:lang w:val="es-ES" w:eastAsia="es-CO"/>
        </w:rPr>
        <w:t xml:space="preserve">este </w:t>
      </w:r>
      <w:r w:rsidRPr="00B145E8">
        <w:rPr>
          <w:rFonts w:ascii="Verdana" w:eastAsia="Times New Roman" w:hAnsi="Verdana" w:cs="Times New Roman"/>
          <w:i/>
          <w:iCs/>
          <w:color w:val="000000" w:themeColor="text1"/>
          <w:sz w:val="21"/>
          <w:szCs w:val="21"/>
          <w:lang w:val="es-ES" w:eastAsia="es-CO"/>
        </w:rPr>
        <w:t>organismos</w:t>
      </w:r>
      <w:proofErr w:type="gramEnd"/>
      <w:r w:rsidR="00B145E8" w:rsidRPr="00B145E8">
        <w:rPr>
          <w:rFonts w:ascii="Verdana" w:eastAsia="Times New Roman" w:hAnsi="Verdana" w:cs="Times New Roman"/>
          <w:i/>
          <w:iCs/>
          <w:color w:val="000000" w:themeColor="text1"/>
          <w:sz w:val="21"/>
          <w:szCs w:val="21"/>
          <w:lang w:val="es-ES" w:eastAsia="es-CO"/>
        </w:rPr>
        <w:t xml:space="preserve"> </w:t>
      </w:r>
      <w:r w:rsidRPr="00B145E8">
        <w:rPr>
          <w:rFonts w:ascii="Verdana" w:eastAsia="Times New Roman" w:hAnsi="Verdana" w:cs="Times New Roman"/>
          <w:i/>
          <w:iCs/>
          <w:color w:val="000000" w:themeColor="text1"/>
          <w:sz w:val="21"/>
          <w:szCs w:val="21"/>
          <w:lang w:val="es-ES" w:eastAsia="es-CO"/>
        </w:rPr>
        <w:t>son susceptibles de ser demandadas ante la jurisdicción de lo contencioso administrativo.”</w:t>
      </w:r>
    </w:p>
    <w:p w14:paraId="4E9E7DD4" w14:textId="3B7F93AA" w:rsidR="00FF38E1" w:rsidRPr="00D47EFC" w:rsidRDefault="00FF38E1" w:rsidP="00D47EFC">
      <w:pPr>
        <w:shd w:val="clear" w:color="auto" w:fill="FFFFFF"/>
        <w:spacing w:after="0" w:line="240" w:lineRule="auto"/>
        <w:ind w:left="851" w:right="567"/>
        <w:jc w:val="both"/>
        <w:rPr>
          <w:rFonts w:ascii="Verdana" w:eastAsia="Times New Roman" w:hAnsi="Verdana" w:cs="Times New Roman"/>
          <w:color w:val="000000" w:themeColor="text1"/>
          <w:sz w:val="21"/>
          <w:szCs w:val="21"/>
          <w:lang w:eastAsia="es-CO"/>
        </w:rPr>
      </w:pPr>
    </w:p>
    <w:p w14:paraId="4E9E7DD5" w14:textId="3F96B1E7" w:rsidR="00FF38E1" w:rsidRPr="00D47EFC" w:rsidRDefault="00FF38E1" w:rsidP="00D47EFC">
      <w:pPr>
        <w:shd w:val="clear" w:color="auto" w:fill="FFFFFF"/>
        <w:spacing w:after="0" w:line="240" w:lineRule="auto"/>
        <w:ind w:left="851" w:right="567"/>
        <w:jc w:val="both"/>
        <w:rPr>
          <w:rFonts w:ascii="Verdana" w:eastAsia="Times New Roman" w:hAnsi="Verdana" w:cs="Times New Roman"/>
          <w:color w:val="000000" w:themeColor="text1"/>
          <w:sz w:val="21"/>
          <w:szCs w:val="21"/>
          <w:lang w:eastAsia="es-CO"/>
        </w:rPr>
      </w:pPr>
      <w:r w:rsidRPr="00D47EFC">
        <w:rPr>
          <w:rFonts w:ascii="Verdana" w:eastAsia="Times New Roman" w:hAnsi="Verdana" w:cs="Times New Roman"/>
          <w:color w:val="000000" w:themeColor="text1"/>
          <w:sz w:val="21"/>
          <w:szCs w:val="21"/>
          <w:lang w:val="es-ES" w:eastAsia="es-CO"/>
        </w:rPr>
        <w:t xml:space="preserve">Así las cosas, </w:t>
      </w:r>
      <w:r w:rsidRPr="00B145E8">
        <w:rPr>
          <w:rFonts w:ascii="Verdana" w:eastAsia="Times New Roman" w:hAnsi="Verdana" w:cs="Times New Roman"/>
          <w:b/>
          <w:i/>
          <w:iCs/>
          <w:color w:val="000000" w:themeColor="text1"/>
          <w:sz w:val="21"/>
          <w:szCs w:val="21"/>
          <w:u w:val="single"/>
          <w:lang w:val="es-ES" w:eastAsia="es-CO"/>
        </w:rPr>
        <w:t>la impugnación de las sanciones impuestas por los partidos políticos a sus afiliados se tramita ante el Consejo Nacional Electoral; a su vez, la decisión que allí se adopte es demandable ante la jurisdicción de lo contencioso administrativo</w:t>
      </w:r>
      <w:r w:rsidRPr="00D47EFC">
        <w:rPr>
          <w:rFonts w:ascii="Verdana" w:eastAsia="Times New Roman" w:hAnsi="Verdana" w:cs="Times New Roman"/>
          <w:color w:val="000000" w:themeColor="text1"/>
          <w:sz w:val="21"/>
          <w:szCs w:val="21"/>
          <w:lang w:val="es-ES" w:eastAsia="es-CO"/>
        </w:rPr>
        <w:t>. De tal suerte que el único supuesto fáctico existente para la procedencia del amparo contra decisiones adoptadas por los órganos de control de los partidos políticos, en el curso de un proceso disciplinario contra uno de sus afiliados, consiste en la acreditación de un perjuicio irremediable.”</w:t>
      </w:r>
      <w:r w:rsidR="00B145E8">
        <w:rPr>
          <w:rFonts w:ascii="Verdana" w:eastAsia="Times New Roman" w:hAnsi="Verdana" w:cs="Times New Roman"/>
          <w:color w:val="000000" w:themeColor="text1"/>
          <w:sz w:val="21"/>
          <w:szCs w:val="21"/>
          <w:lang w:val="es-ES" w:eastAsia="es-CO"/>
        </w:rPr>
        <w:t xml:space="preserve"> (Destacado de la Sala)</w:t>
      </w:r>
    </w:p>
    <w:p w14:paraId="4E9E7DD6" w14:textId="77777777" w:rsidR="00FF38E1" w:rsidRPr="00694840" w:rsidRDefault="00FF38E1" w:rsidP="00694840">
      <w:pPr>
        <w:spacing w:after="0" w:line="264" w:lineRule="auto"/>
        <w:jc w:val="both"/>
        <w:rPr>
          <w:rFonts w:ascii="Verdana" w:hAnsi="Verdana"/>
          <w:sz w:val="24"/>
          <w:szCs w:val="24"/>
        </w:rPr>
      </w:pPr>
    </w:p>
    <w:p w14:paraId="0CB316CC" w14:textId="77777777" w:rsidR="00D47EFC" w:rsidRDefault="00D47EFC" w:rsidP="00694840">
      <w:pPr>
        <w:spacing w:after="0" w:line="264" w:lineRule="auto"/>
        <w:jc w:val="both"/>
        <w:rPr>
          <w:rFonts w:ascii="Verdana" w:hAnsi="Verdana"/>
          <w:sz w:val="24"/>
          <w:szCs w:val="24"/>
        </w:rPr>
      </w:pPr>
    </w:p>
    <w:p w14:paraId="4E9E7DD7" w14:textId="7C20ADA9" w:rsidR="00D01586" w:rsidRPr="00694840" w:rsidRDefault="00417091" w:rsidP="00694840">
      <w:pPr>
        <w:spacing w:after="0" w:line="264" w:lineRule="auto"/>
        <w:jc w:val="both"/>
        <w:rPr>
          <w:rFonts w:ascii="Verdana" w:hAnsi="Verdana"/>
          <w:sz w:val="24"/>
          <w:szCs w:val="24"/>
        </w:rPr>
      </w:pPr>
      <w:r w:rsidRPr="00694840">
        <w:rPr>
          <w:rFonts w:ascii="Verdana" w:hAnsi="Verdana"/>
          <w:sz w:val="24"/>
          <w:szCs w:val="24"/>
        </w:rPr>
        <w:t xml:space="preserve">Por consiguiente, </w:t>
      </w:r>
      <w:r w:rsidRPr="00354884">
        <w:rPr>
          <w:rFonts w:ascii="Verdana" w:hAnsi="Verdana"/>
          <w:sz w:val="24"/>
          <w:szCs w:val="24"/>
        </w:rPr>
        <w:t>las sanciones que impongan los partidos políticos a través de sus órganos de control instituidos para ejercer la</w:t>
      </w:r>
      <w:r w:rsidR="00C80E38" w:rsidRPr="00354884">
        <w:rPr>
          <w:rFonts w:ascii="Verdana" w:hAnsi="Verdana"/>
          <w:sz w:val="24"/>
          <w:szCs w:val="24"/>
        </w:rPr>
        <w:t xml:space="preserve"> potestad disciplinaria de sus afiliados o militantes solo son reprochables ante el Consejo Nacional Electoral. Y </w:t>
      </w:r>
      <w:r w:rsidR="00F65043" w:rsidRPr="00354884">
        <w:rPr>
          <w:rFonts w:ascii="Verdana" w:hAnsi="Verdana"/>
          <w:sz w:val="24"/>
          <w:szCs w:val="24"/>
        </w:rPr>
        <w:t xml:space="preserve">únicamente </w:t>
      </w:r>
      <w:r w:rsidR="00C80E38" w:rsidRPr="00354884">
        <w:rPr>
          <w:rFonts w:ascii="Verdana" w:hAnsi="Verdana"/>
          <w:sz w:val="24"/>
          <w:szCs w:val="24"/>
        </w:rPr>
        <w:t>aquellas decisiones que asuma esta última serán controvertibles ante la jurisdicción de lo contencioso administrativo.</w:t>
      </w:r>
      <w:r w:rsidR="00C80E38" w:rsidRPr="00694840">
        <w:rPr>
          <w:rFonts w:ascii="Verdana" w:hAnsi="Verdana"/>
          <w:sz w:val="24"/>
          <w:szCs w:val="24"/>
        </w:rPr>
        <w:t xml:space="preserve"> </w:t>
      </w:r>
    </w:p>
    <w:p w14:paraId="4E9E7DD8" w14:textId="77777777" w:rsidR="00C80E38" w:rsidRPr="00694840" w:rsidRDefault="00C80E38" w:rsidP="00694840">
      <w:pPr>
        <w:spacing w:after="0" w:line="264" w:lineRule="auto"/>
        <w:jc w:val="both"/>
        <w:rPr>
          <w:rFonts w:ascii="Verdana" w:hAnsi="Verdana"/>
          <w:sz w:val="24"/>
          <w:szCs w:val="24"/>
        </w:rPr>
      </w:pPr>
    </w:p>
    <w:p w14:paraId="4E9E7DD9" w14:textId="7D697B65" w:rsidR="00C80E38" w:rsidRPr="00694840" w:rsidRDefault="00C80E38" w:rsidP="00694840">
      <w:pPr>
        <w:spacing w:after="0" w:line="264" w:lineRule="auto"/>
        <w:jc w:val="both"/>
        <w:rPr>
          <w:rFonts w:ascii="Verdana" w:hAnsi="Verdana"/>
          <w:sz w:val="24"/>
          <w:szCs w:val="24"/>
        </w:rPr>
      </w:pPr>
      <w:r w:rsidRPr="00694840">
        <w:rPr>
          <w:rFonts w:ascii="Verdana" w:hAnsi="Verdana"/>
          <w:sz w:val="24"/>
          <w:szCs w:val="24"/>
        </w:rPr>
        <w:t xml:space="preserve">De conformidad con lo explicado, </w:t>
      </w:r>
      <w:r w:rsidR="008E2D2C" w:rsidRPr="00354884">
        <w:rPr>
          <w:rFonts w:ascii="Verdana" w:hAnsi="Verdana"/>
          <w:sz w:val="24"/>
          <w:szCs w:val="24"/>
        </w:rPr>
        <w:t xml:space="preserve">se </w:t>
      </w:r>
      <w:r w:rsidR="005D4C36" w:rsidRPr="00354884">
        <w:rPr>
          <w:rFonts w:ascii="Verdana" w:hAnsi="Verdana"/>
          <w:sz w:val="24"/>
          <w:szCs w:val="24"/>
        </w:rPr>
        <w:t>deduce</w:t>
      </w:r>
      <w:r w:rsidR="008E2D2C" w:rsidRPr="00354884">
        <w:rPr>
          <w:rFonts w:ascii="Verdana" w:hAnsi="Verdana"/>
          <w:sz w:val="24"/>
          <w:szCs w:val="24"/>
        </w:rPr>
        <w:t xml:space="preserve"> que </w:t>
      </w:r>
      <w:r w:rsidRPr="00354884">
        <w:rPr>
          <w:rFonts w:ascii="Verdana" w:hAnsi="Verdana"/>
          <w:sz w:val="24"/>
          <w:szCs w:val="24"/>
        </w:rPr>
        <w:t>las resoluciones demandadas</w:t>
      </w:r>
      <w:r w:rsidR="00B145E8" w:rsidRPr="00354884">
        <w:rPr>
          <w:rFonts w:ascii="Verdana" w:hAnsi="Verdana"/>
          <w:sz w:val="24"/>
          <w:szCs w:val="24"/>
        </w:rPr>
        <w:t>,</w:t>
      </w:r>
      <w:r w:rsidRPr="00354884">
        <w:rPr>
          <w:rFonts w:ascii="Verdana" w:hAnsi="Verdana"/>
          <w:sz w:val="24"/>
          <w:szCs w:val="24"/>
        </w:rPr>
        <w:t xml:space="preserve"> a pesar de </w:t>
      </w:r>
      <w:r w:rsidR="00210C24" w:rsidRPr="00354884">
        <w:rPr>
          <w:rFonts w:ascii="Verdana" w:hAnsi="Verdana"/>
          <w:sz w:val="24"/>
          <w:szCs w:val="24"/>
        </w:rPr>
        <w:t xml:space="preserve">que provienen de una autoridad administrativa, </w:t>
      </w:r>
      <w:r w:rsidR="00B145E8" w:rsidRPr="00354884">
        <w:rPr>
          <w:rFonts w:ascii="Verdana" w:hAnsi="Verdana"/>
          <w:sz w:val="24"/>
          <w:szCs w:val="24"/>
        </w:rPr>
        <w:t xml:space="preserve">el Concejo municipal de Tunja, </w:t>
      </w:r>
      <w:r w:rsidR="001769A1" w:rsidRPr="00354884">
        <w:rPr>
          <w:rFonts w:ascii="Verdana" w:hAnsi="Verdana"/>
          <w:sz w:val="24"/>
          <w:szCs w:val="24"/>
        </w:rPr>
        <w:t xml:space="preserve">no contienen una decisión definitiva </w:t>
      </w:r>
      <w:r w:rsidR="00733089" w:rsidRPr="00354884">
        <w:rPr>
          <w:rFonts w:ascii="Verdana" w:hAnsi="Verdana"/>
          <w:sz w:val="24"/>
          <w:szCs w:val="24"/>
        </w:rPr>
        <w:t xml:space="preserve">ni crean, extingue o modifican una situación particular </w:t>
      </w:r>
      <w:r w:rsidR="001769A1" w:rsidRPr="00354884">
        <w:rPr>
          <w:rFonts w:ascii="Verdana" w:hAnsi="Verdana"/>
          <w:sz w:val="24"/>
          <w:szCs w:val="24"/>
        </w:rPr>
        <w:t>y</w:t>
      </w:r>
      <w:r w:rsidR="00733089" w:rsidRPr="00354884">
        <w:rPr>
          <w:rFonts w:ascii="Verdana" w:hAnsi="Verdana"/>
          <w:sz w:val="24"/>
          <w:szCs w:val="24"/>
        </w:rPr>
        <w:t>,</w:t>
      </w:r>
      <w:r w:rsidR="001769A1" w:rsidRPr="00354884">
        <w:rPr>
          <w:rFonts w:ascii="Verdana" w:hAnsi="Verdana"/>
          <w:sz w:val="24"/>
          <w:szCs w:val="24"/>
        </w:rPr>
        <w:t xml:space="preserve"> en cambio, se dedican </w:t>
      </w:r>
      <w:r w:rsidR="00F65043" w:rsidRPr="00354884">
        <w:rPr>
          <w:rFonts w:ascii="Verdana" w:hAnsi="Verdana"/>
          <w:sz w:val="24"/>
          <w:szCs w:val="24"/>
        </w:rPr>
        <w:t xml:space="preserve">básicamente </w:t>
      </w:r>
      <w:r w:rsidR="001769A1" w:rsidRPr="00354884">
        <w:rPr>
          <w:rFonts w:ascii="Verdana" w:hAnsi="Verdana"/>
          <w:sz w:val="24"/>
          <w:szCs w:val="24"/>
        </w:rPr>
        <w:t xml:space="preserve">a cumplir una </w:t>
      </w:r>
      <w:r w:rsidR="001769A1" w:rsidRPr="00354884">
        <w:rPr>
          <w:rFonts w:ascii="Verdana" w:hAnsi="Verdana"/>
          <w:sz w:val="24"/>
          <w:szCs w:val="24"/>
        </w:rPr>
        <w:lastRenderedPageBreak/>
        <w:t>sanción de suspensión impuesta al demandante que no resultan susceptibles de control jurisdiccional y, las decisiones dictadas dentro del trámite del proceso disciplinario ético que se cursó en contra del señor Sánchez Abril</w:t>
      </w:r>
      <w:r w:rsidR="00B145E8" w:rsidRPr="00354884">
        <w:rPr>
          <w:rFonts w:ascii="Verdana" w:hAnsi="Verdana"/>
          <w:sz w:val="24"/>
          <w:szCs w:val="24"/>
        </w:rPr>
        <w:t>,</w:t>
      </w:r>
      <w:r w:rsidR="001769A1" w:rsidRPr="00354884">
        <w:rPr>
          <w:rFonts w:ascii="Verdana" w:hAnsi="Verdana"/>
          <w:sz w:val="24"/>
          <w:szCs w:val="24"/>
        </w:rPr>
        <w:t xml:space="preserve"> en su condición de Concejal de Tunja por el partido Alianza Verde</w:t>
      </w:r>
      <w:r w:rsidR="00B145E8" w:rsidRPr="00354884">
        <w:rPr>
          <w:rFonts w:ascii="Verdana" w:hAnsi="Verdana"/>
          <w:sz w:val="24"/>
          <w:szCs w:val="24"/>
        </w:rPr>
        <w:t>,</w:t>
      </w:r>
      <w:r w:rsidR="001769A1" w:rsidRPr="00354884">
        <w:rPr>
          <w:rFonts w:ascii="Verdana" w:hAnsi="Verdana"/>
          <w:sz w:val="24"/>
          <w:szCs w:val="24"/>
        </w:rPr>
        <w:t xml:space="preserve"> tampoco </w:t>
      </w:r>
      <w:r w:rsidR="005D4C36" w:rsidRPr="00354884">
        <w:rPr>
          <w:rFonts w:ascii="Verdana" w:hAnsi="Verdana"/>
          <w:sz w:val="24"/>
          <w:szCs w:val="24"/>
        </w:rPr>
        <w:t>son</w:t>
      </w:r>
      <w:r w:rsidR="001769A1" w:rsidRPr="00354884">
        <w:rPr>
          <w:rFonts w:ascii="Verdana" w:hAnsi="Verdana"/>
          <w:sz w:val="24"/>
          <w:szCs w:val="24"/>
        </w:rPr>
        <w:t xml:space="preserve"> actos administrativos pasibles de demanda ante esta jurisdicción</w:t>
      </w:r>
      <w:r w:rsidR="008E2D2C" w:rsidRPr="00354884">
        <w:rPr>
          <w:rFonts w:ascii="Verdana" w:hAnsi="Verdana"/>
          <w:sz w:val="24"/>
          <w:szCs w:val="24"/>
        </w:rPr>
        <w:t>, por no emanarse de una autoridad administrativa</w:t>
      </w:r>
      <w:r w:rsidR="001769A1" w:rsidRPr="00354884">
        <w:rPr>
          <w:rFonts w:ascii="Verdana" w:hAnsi="Verdana"/>
          <w:sz w:val="24"/>
          <w:szCs w:val="24"/>
        </w:rPr>
        <w:t>.</w:t>
      </w:r>
      <w:r w:rsidR="001769A1" w:rsidRPr="00694840">
        <w:rPr>
          <w:rFonts w:ascii="Verdana" w:hAnsi="Verdana"/>
          <w:sz w:val="24"/>
          <w:szCs w:val="24"/>
        </w:rPr>
        <w:t xml:space="preserve"> </w:t>
      </w:r>
    </w:p>
    <w:p w14:paraId="4E9E7DDA" w14:textId="77777777" w:rsidR="002477D4" w:rsidRPr="00694840" w:rsidRDefault="002477D4" w:rsidP="00694840">
      <w:pPr>
        <w:spacing w:after="0" w:line="264" w:lineRule="auto"/>
        <w:rPr>
          <w:rFonts w:ascii="Verdana" w:hAnsi="Verdana"/>
          <w:sz w:val="24"/>
          <w:szCs w:val="24"/>
        </w:rPr>
      </w:pPr>
    </w:p>
    <w:p w14:paraId="4E9E7DDB" w14:textId="77777777" w:rsidR="00EC0D27" w:rsidRPr="00694840" w:rsidRDefault="008E2D2C" w:rsidP="00694840">
      <w:pPr>
        <w:spacing w:after="0" w:line="264" w:lineRule="auto"/>
        <w:rPr>
          <w:rFonts w:ascii="Verdana" w:hAnsi="Verdana"/>
          <w:i/>
          <w:sz w:val="24"/>
          <w:szCs w:val="24"/>
          <w:u w:val="single"/>
        </w:rPr>
      </w:pPr>
      <w:r w:rsidRPr="00694840">
        <w:rPr>
          <w:rFonts w:ascii="Verdana" w:hAnsi="Verdana"/>
          <w:i/>
          <w:sz w:val="24"/>
          <w:szCs w:val="24"/>
          <w:u w:val="single"/>
        </w:rPr>
        <w:t xml:space="preserve">4.2. De la excepción previa de inepta demanda. </w:t>
      </w:r>
    </w:p>
    <w:p w14:paraId="4E9E7DDC" w14:textId="77777777" w:rsidR="008E2D2C" w:rsidRPr="00694840" w:rsidRDefault="008E2D2C" w:rsidP="00694840">
      <w:pPr>
        <w:spacing w:after="0" w:line="264" w:lineRule="auto"/>
        <w:rPr>
          <w:rFonts w:ascii="Verdana" w:hAnsi="Verdana"/>
          <w:sz w:val="24"/>
          <w:szCs w:val="24"/>
        </w:rPr>
      </w:pPr>
    </w:p>
    <w:p w14:paraId="4E9E7DDD" w14:textId="22CAD4B9" w:rsidR="00EC0D27" w:rsidRPr="00694840" w:rsidRDefault="007833C0" w:rsidP="00694840">
      <w:pPr>
        <w:spacing w:after="0" w:line="264" w:lineRule="auto"/>
        <w:jc w:val="both"/>
        <w:rPr>
          <w:rFonts w:ascii="Verdana" w:hAnsi="Verdana"/>
          <w:sz w:val="24"/>
          <w:szCs w:val="24"/>
        </w:rPr>
      </w:pPr>
      <w:r w:rsidRPr="00694840">
        <w:rPr>
          <w:rFonts w:ascii="Verdana" w:hAnsi="Verdana"/>
          <w:sz w:val="24"/>
          <w:szCs w:val="24"/>
        </w:rPr>
        <w:t>El artículo 100 del CGP</w:t>
      </w:r>
      <w:r w:rsidR="005C358B">
        <w:rPr>
          <w:rFonts w:ascii="Verdana" w:hAnsi="Verdana"/>
          <w:sz w:val="24"/>
          <w:szCs w:val="24"/>
        </w:rPr>
        <w:t>,</w:t>
      </w:r>
      <w:r w:rsidRPr="00694840">
        <w:rPr>
          <w:rFonts w:ascii="Verdana" w:hAnsi="Verdana"/>
          <w:sz w:val="24"/>
          <w:szCs w:val="24"/>
        </w:rPr>
        <w:t xml:space="preserve"> aplicable </w:t>
      </w:r>
      <w:r w:rsidR="005C358B">
        <w:rPr>
          <w:rFonts w:ascii="Verdana" w:hAnsi="Verdana"/>
          <w:sz w:val="24"/>
          <w:szCs w:val="24"/>
        </w:rPr>
        <w:t xml:space="preserve">al proceso contencioso administrativo </w:t>
      </w:r>
      <w:r w:rsidRPr="00694840">
        <w:rPr>
          <w:rFonts w:ascii="Verdana" w:hAnsi="Verdana"/>
          <w:sz w:val="24"/>
          <w:szCs w:val="24"/>
        </w:rPr>
        <w:t xml:space="preserve">por remisión expresa del artículo 306 </w:t>
      </w:r>
      <w:r w:rsidR="005C358B">
        <w:rPr>
          <w:rFonts w:ascii="Verdana" w:hAnsi="Verdana"/>
          <w:sz w:val="24"/>
          <w:szCs w:val="24"/>
        </w:rPr>
        <w:t>del CPACA, enlista</w:t>
      </w:r>
      <w:r w:rsidR="00F34EDE" w:rsidRPr="00694840">
        <w:rPr>
          <w:rFonts w:ascii="Verdana" w:hAnsi="Verdana"/>
          <w:sz w:val="24"/>
          <w:szCs w:val="24"/>
        </w:rPr>
        <w:t xml:space="preserve"> </w:t>
      </w:r>
      <w:r w:rsidRPr="00694840">
        <w:rPr>
          <w:rFonts w:ascii="Verdana" w:hAnsi="Verdana"/>
          <w:sz w:val="24"/>
          <w:szCs w:val="24"/>
        </w:rPr>
        <w:t>las excepciones previas</w:t>
      </w:r>
      <w:r w:rsidR="005C358B">
        <w:rPr>
          <w:rFonts w:ascii="Verdana" w:hAnsi="Verdana"/>
          <w:sz w:val="24"/>
          <w:szCs w:val="24"/>
        </w:rPr>
        <w:t xml:space="preserve">; </w:t>
      </w:r>
      <w:r w:rsidR="00F34EDE" w:rsidRPr="00694840">
        <w:rPr>
          <w:rFonts w:ascii="Verdana" w:hAnsi="Verdana"/>
          <w:sz w:val="24"/>
          <w:szCs w:val="24"/>
        </w:rPr>
        <w:t>en el n</w:t>
      </w:r>
      <w:r w:rsidRPr="00694840">
        <w:rPr>
          <w:rFonts w:ascii="Verdana" w:hAnsi="Verdana"/>
          <w:sz w:val="24"/>
          <w:szCs w:val="24"/>
        </w:rPr>
        <w:t xml:space="preserve">umeral 5 </w:t>
      </w:r>
      <w:r w:rsidR="00551728" w:rsidRPr="00694840">
        <w:rPr>
          <w:rFonts w:ascii="Verdana" w:hAnsi="Verdana"/>
          <w:sz w:val="24"/>
          <w:szCs w:val="24"/>
        </w:rPr>
        <w:t xml:space="preserve">concreta que la ineptitud de la demanda se da por falta de requisitos formales de la demanda o por indebida acumulación de pretensiones. </w:t>
      </w:r>
    </w:p>
    <w:p w14:paraId="4E9E7DDE" w14:textId="77777777" w:rsidR="00551728" w:rsidRPr="00694840" w:rsidRDefault="00551728" w:rsidP="00694840">
      <w:pPr>
        <w:spacing w:after="0" w:line="264" w:lineRule="auto"/>
        <w:jc w:val="both"/>
        <w:rPr>
          <w:rFonts w:ascii="Verdana" w:hAnsi="Verdana"/>
          <w:sz w:val="24"/>
          <w:szCs w:val="24"/>
        </w:rPr>
      </w:pPr>
    </w:p>
    <w:p w14:paraId="4E9E7DDF" w14:textId="10F0CC2E" w:rsidR="00551728" w:rsidRPr="00694840" w:rsidRDefault="00DD3CEA" w:rsidP="00694840">
      <w:pPr>
        <w:spacing w:after="0" w:line="264" w:lineRule="auto"/>
        <w:jc w:val="both"/>
        <w:rPr>
          <w:rFonts w:ascii="Verdana" w:hAnsi="Verdana"/>
          <w:sz w:val="24"/>
          <w:szCs w:val="24"/>
        </w:rPr>
      </w:pPr>
      <w:r w:rsidRPr="00694840">
        <w:rPr>
          <w:rFonts w:ascii="Verdana" w:hAnsi="Verdana"/>
          <w:sz w:val="24"/>
          <w:szCs w:val="24"/>
        </w:rPr>
        <w:t>Sobre este tópico,</w:t>
      </w:r>
      <w:r w:rsidR="00CC1B26" w:rsidRPr="00694840">
        <w:rPr>
          <w:rFonts w:ascii="Verdana" w:hAnsi="Verdana"/>
          <w:sz w:val="24"/>
          <w:szCs w:val="24"/>
        </w:rPr>
        <w:t xml:space="preserve"> en providencia de 7 de marzo de 2019</w:t>
      </w:r>
      <w:r w:rsidR="00CC1B26" w:rsidRPr="00694840">
        <w:rPr>
          <w:rStyle w:val="Refdenotaalpie"/>
          <w:rFonts w:ascii="Verdana" w:hAnsi="Verdana"/>
          <w:sz w:val="24"/>
          <w:szCs w:val="24"/>
        </w:rPr>
        <w:footnoteReference w:id="9"/>
      </w:r>
      <w:r w:rsidR="00CC1B26" w:rsidRPr="00694840">
        <w:rPr>
          <w:rFonts w:ascii="Verdana" w:hAnsi="Verdana"/>
          <w:sz w:val="24"/>
          <w:szCs w:val="24"/>
        </w:rPr>
        <w:t xml:space="preserve">, el Consejo de Estado </w:t>
      </w:r>
      <w:r w:rsidR="005C358B">
        <w:rPr>
          <w:rFonts w:ascii="Verdana" w:hAnsi="Verdana"/>
          <w:sz w:val="24"/>
          <w:szCs w:val="24"/>
        </w:rPr>
        <w:t>ilustró</w:t>
      </w:r>
      <w:r w:rsidR="00CC1B26" w:rsidRPr="00694840">
        <w:rPr>
          <w:rFonts w:ascii="Verdana" w:hAnsi="Verdana"/>
          <w:sz w:val="24"/>
          <w:szCs w:val="24"/>
        </w:rPr>
        <w:t xml:space="preserve"> la excepción de inepta demanda</w:t>
      </w:r>
      <w:r w:rsidR="005C358B">
        <w:rPr>
          <w:rFonts w:ascii="Verdana" w:hAnsi="Verdana"/>
          <w:sz w:val="24"/>
          <w:szCs w:val="24"/>
        </w:rPr>
        <w:t xml:space="preserve"> así:</w:t>
      </w:r>
    </w:p>
    <w:p w14:paraId="4E9E7DE0" w14:textId="08E0A946" w:rsidR="00DD3CEA" w:rsidRDefault="00DD3CEA" w:rsidP="00694840">
      <w:pPr>
        <w:spacing w:after="0" w:line="264" w:lineRule="auto"/>
        <w:jc w:val="both"/>
        <w:rPr>
          <w:rFonts w:ascii="Verdana" w:hAnsi="Verdana"/>
          <w:sz w:val="24"/>
          <w:szCs w:val="24"/>
        </w:rPr>
      </w:pPr>
    </w:p>
    <w:p w14:paraId="2DCA89FE" w14:textId="77777777" w:rsidR="00991144" w:rsidRPr="00694840" w:rsidRDefault="00991144" w:rsidP="00694840">
      <w:pPr>
        <w:spacing w:after="0" w:line="264" w:lineRule="auto"/>
        <w:jc w:val="both"/>
        <w:rPr>
          <w:rFonts w:ascii="Verdana" w:hAnsi="Verdana"/>
          <w:sz w:val="24"/>
          <w:szCs w:val="24"/>
        </w:rPr>
      </w:pPr>
    </w:p>
    <w:p w14:paraId="4E9E7DE1" w14:textId="77777777" w:rsidR="00DD3CEA" w:rsidRPr="00991144" w:rsidRDefault="00DD3CEA" w:rsidP="00991144">
      <w:pPr>
        <w:spacing w:after="0" w:line="240" w:lineRule="auto"/>
        <w:ind w:left="851" w:right="567"/>
        <w:jc w:val="both"/>
        <w:rPr>
          <w:rFonts w:ascii="Verdana" w:hAnsi="Verdana"/>
          <w:sz w:val="21"/>
          <w:szCs w:val="21"/>
        </w:rPr>
      </w:pPr>
      <w:r w:rsidRPr="00991144">
        <w:rPr>
          <w:rFonts w:ascii="Verdana" w:hAnsi="Verdana"/>
          <w:sz w:val="21"/>
          <w:szCs w:val="21"/>
        </w:rPr>
        <w:t xml:space="preserve">“La Sala recuerda que la inepta demanda tiene dos manifestaciones principales, una la atinente a la indebida acumulación de pretensiones, que se ha visto cada vez menos utilizada, en tanto la tendencia del operador jurídico es la de conocer y asumir el estudio de lo que pueda dentro de esa indebida acumulación y, la otra, que la que interesa en esta caso, cuando la demanda no reúne los requisitos legales y todo lo que directa o indirectamente los afecte. </w:t>
      </w:r>
    </w:p>
    <w:p w14:paraId="4E9E7DE2" w14:textId="77777777" w:rsidR="00DD3CEA" w:rsidRPr="00991144" w:rsidRDefault="00DD3CEA" w:rsidP="00991144">
      <w:pPr>
        <w:spacing w:after="0" w:line="240" w:lineRule="auto"/>
        <w:ind w:left="851" w:right="567"/>
        <w:jc w:val="both"/>
        <w:rPr>
          <w:rFonts w:ascii="Verdana" w:hAnsi="Verdana"/>
          <w:sz w:val="21"/>
          <w:szCs w:val="21"/>
        </w:rPr>
      </w:pPr>
    </w:p>
    <w:p w14:paraId="4E9E7DE3" w14:textId="0E0CD359" w:rsidR="00DD3CEA" w:rsidRPr="00991144" w:rsidRDefault="00DD3CEA" w:rsidP="00991144">
      <w:pPr>
        <w:spacing w:after="0" w:line="240" w:lineRule="auto"/>
        <w:ind w:left="851" w:right="567"/>
        <w:jc w:val="both"/>
        <w:rPr>
          <w:rFonts w:ascii="Verdana" w:hAnsi="Verdana"/>
          <w:sz w:val="21"/>
          <w:szCs w:val="21"/>
        </w:rPr>
      </w:pPr>
      <w:r w:rsidRPr="00991144">
        <w:rPr>
          <w:rFonts w:ascii="Verdana" w:hAnsi="Verdana"/>
          <w:sz w:val="21"/>
          <w:szCs w:val="21"/>
        </w:rPr>
        <w:t xml:space="preserve">En más de las veces, erradamente, </w:t>
      </w:r>
      <w:r w:rsidRPr="00991144">
        <w:rPr>
          <w:rFonts w:ascii="Verdana" w:hAnsi="Verdana"/>
          <w:b/>
          <w:sz w:val="21"/>
          <w:szCs w:val="21"/>
          <w:u w:val="single"/>
        </w:rPr>
        <w:t>los sujetos procesales e incluso los operadores jurídicos, etiquetan toda irregularidad dentro del gran contenido de la inepta demanda, lo cual desborda el entendimiento de la figura del libelo inadecuado, por cuanto el planteamiento por vía de la excepción previa no puede llevar a asumir los aspectos propios del fondo del litigio</w:t>
      </w:r>
      <w:r w:rsidR="00CC1B26" w:rsidRPr="00991144">
        <w:rPr>
          <w:rFonts w:ascii="Verdana" w:hAnsi="Verdana"/>
          <w:sz w:val="21"/>
          <w:szCs w:val="21"/>
        </w:rPr>
        <w:t>”</w:t>
      </w:r>
      <w:r w:rsidR="00991144">
        <w:rPr>
          <w:rFonts w:ascii="Verdana" w:hAnsi="Verdana"/>
          <w:sz w:val="21"/>
          <w:szCs w:val="21"/>
        </w:rPr>
        <w:t xml:space="preserve">. </w:t>
      </w:r>
      <w:r w:rsidR="00CC1B26" w:rsidRPr="00991144">
        <w:rPr>
          <w:rFonts w:ascii="Verdana" w:hAnsi="Verdana"/>
          <w:sz w:val="21"/>
          <w:szCs w:val="21"/>
        </w:rPr>
        <w:t>(Resaltado de la Sala)</w:t>
      </w:r>
      <w:r w:rsidRPr="00991144">
        <w:rPr>
          <w:rFonts w:ascii="Verdana" w:hAnsi="Verdana"/>
          <w:sz w:val="21"/>
          <w:szCs w:val="21"/>
        </w:rPr>
        <w:t>.</w:t>
      </w:r>
    </w:p>
    <w:p w14:paraId="205A7387" w14:textId="77777777" w:rsidR="005C358B" w:rsidRDefault="005C358B" w:rsidP="00694840">
      <w:pPr>
        <w:spacing w:after="0" w:line="264" w:lineRule="auto"/>
        <w:jc w:val="both"/>
        <w:rPr>
          <w:rFonts w:ascii="Verdana" w:hAnsi="Verdana"/>
          <w:sz w:val="24"/>
          <w:szCs w:val="24"/>
        </w:rPr>
      </w:pPr>
    </w:p>
    <w:p w14:paraId="56113893" w14:textId="77777777" w:rsidR="005C358B" w:rsidRDefault="005C358B" w:rsidP="00694840">
      <w:pPr>
        <w:spacing w:after="0" w:line="264" w:lineRule="auto"/>
        <w:jc w:val="both"/>
        <w:rPr>
          <w:rFonts w:ascii="Verdana" w:hAnsi="Verdana"/>
          <w:sz w:val="24"/>
          <w:szCs w:val="24"/>
        </w:rPr>
      </w:pPr>
    </w:p>
    <w:p w14:paraId="4E9E7DE5" w14:textId="6E02474B" w:rsidR="00D42370" w:rsidRPr="00694840" w:rsidRDefault="00D42370" w:rsidP="00694840">
      <w:pPr>
        <w:spacing w:after="0" w:line="264" w:lineRule="auto"/>
        <w:jc w:val="both"/>
        <w:rPr>
          <w:rFonts w:ascii="Verdana" w:hAnsi="Verdana"/>
          <w:sz w:val="24"/>
          <w:szCs w:val="24"/>
        </w:rPr>
      </w:pPr>
      <w:r w:rsidRPr="00694840">
        <w:rPr>
          <w:rFonts w:ascii="Verdana" w:hAnsi="Verdana"/>
          <w:sz w:val="24"/>
          <w:szCs w:val="24"/>
        </w:rPr>
        <w:t>En igual sentido, en auto incluso aún más reciente del Consejo de Estado</w:t>
      </w:r>
      <w:r w:rsidR="005C358B">
        <w:rPr>
          <w:rFonts w:ascii="Verdana" w:hAnsi="Verdana"/>
          <w:sz w:val="24"/>
          <w:szCs w:val="24"/>
        </w:rPr>
        <w:t>,</w:t>
      </w:r>
      <w:r w:rsidRPr="00694840">
        <w:rPr>
          <w:rFonts w:ascii="Verdana" w:hAnsi="Verdana"/>
          <w:sz w:val="24"/>
          <w:szCs w:val="24"/>
        </w:rPr>
        <w:t xml:space="preserve"> de 13 de febrero de 2020</w:t>
      </w:r>
      <w:r w:rsidRPr="00694840">
        <w:rPr>
          <w:rStyle w:val="Refdenotaalpie"/>
          <w:rFonts w:ascii="Verdana" w:hAnsi="Verdana"/>
          <w:sz w:val="24"/>
          <w:szCs w:val="24"/>
        </w:rPr>
        <w:footnoteReference w:id="10"/>
      </w:r>
      <w:r w:rsidRPr="00694840">
        <w:rPr>
          <w:rFonts w:ascii="Verdana" w:hAnsi="Verdana"/>
          <w:sz w:val="24"/>
          <w:szCs w:val="24"/>
        </w:rPr>
        <w:t xml:space="preserve">, se acotó lo siguiente en relación con la excepción de inepta demanda y </w:t>
      </w:r>
      <w:r w:rsidR="00F65043" w:rsidRPr="00694840">
        <w:rPr>
          <w:rFonts w:ascii="Verdana" w:hAnsi="Verdana"/>
          <w:sz w:val="24"/>
          <w:szCs w:val="24"/>
        </w:rPr>
        <w:t xml:space="preserve">la distinción con </w:t>
      </w:r>
      <w:r w:rsidRPr="00694840">
        <w:rPr>
          <w:rFonts w:ascii="Verdana" w:hAnsi="Verdana"/>
          <w:sz w:val="24"/>
          <w:szCs w:val="24"/>
        </w:rPr>
        <w:t>las causales de rechaz</w:t>
      </w:r>
      <w:r w:rsidR="005D4C36">
        <w:rPr>
          <w:rFonts w:ascii="Verdana" w:hAnsi="Verdana"/>
          <w:sz w:val="24"/>
          <w:szCs w:val="24"/>
        </w:rPr>
        <w:t>o:</w:t>
      </w:r>
    </w:p>
    <w:p w14:paraId="4E9E7DE6" w14:textId="1D14AAAB" w:rsidR="00D42370" w:rsidRDefault="00D42370" w:rsidP="00694840">
      <w:pPr>
        <w:spacing w:after="0" w:line="264" w:lineRule="auto"/>
        <w:rPr>
          <w:rFonts w:ascii="Verdana" w:hAnsi="Verdana"/>
          <w:sz w:val="24"/>
          <w:szCs w:val="24"/>
        </w:rPr>
      </w:pPr>
    </w:p>
    <w:p w14:paraId="3CE4117A" w14:textId="77777777" w:rsidR="00991144" w:rsidRPr="00694840" w:rsidRDefault="00991144" w:rsidP="00694840">
      <w:pPr>
        <w:spacing w:after="0" w:line="264" w:lineRule="auto"/>
        <w:rPr>
          <w:rFonts w:ascii="Verdana" w:hAnsi="Verdana"/>
          <w:sz w:val="24"/>
          <w:szCs w:val="24"/>
        </w:rPr>
      </w:pPr>
    </w:p>
    <w:p w14:paraId="4E9E7DE7" w14:textId="77777777" w:rsidR="00D42370" w:rsidRPr="00991144" w:rsidRDefault="00D42370" w:rsidP="00991144">
      <w:pPr>
        <w:spacing w:after="0" w:line="240" w:lineRule="auto"/>
        <w:ind w:left="851" w:right="567"/>
        <w:jc w:val="both"/>
        <w:rPr>
          <w:rFonts w:ascii="Verdana" w:hAnsi="Verdana" w:cs="Arial"/>
          <w:sz w:val="21"/>
          <w:szCs w:val="21"/>
        </w:rPr>
      </w:pPr>
      <w:r w:rsidRPr="00991144">
        <w:rPr>
          <w:rFonts w:ascii="Verdana" w:hAnsi="Verdana"/>
          <w:sz w:val="21"/>
          <w:szCs w:val="21"/>
        </w:rPr>
        <w:lastRenderedPageBreak/>
        <w:t>“</w:t>
      </w:r>
      <w:r w:rsidRPr="00991144">
        <w:rPr>
          <w:rFonts w:ascii="Verdana" w:hAnsi="Verdana" w:cs="Arial"/>
          <w:iCs/>
          <w:sz w:val="21"/>
          <w:szCs w:val="21"/>
        </w:rPr>
        <w:t xml:space="preserve">Antes de abordar el estudio del problema jurídico propuesto, deben realizarse algunas precisiones preliminares respecto a la </w:t>
      </w:r>
      <w:r w:rsidRPr="00991144">
        <w:rPr>
          <w:rFonts w:ascii="Verdana" w:hAnsi="Verdana" w:cs="Arial"/>
          <w:sz w:val="21"/>
          <w:szCs w:val="21"/>
        </w:rPr>
        <w:t>denominada «ineptitud sustantiva de la demanda». Al respecto esta Subsección ha señalado que con anterioridad se ha hecho alusión a esta figura como si se tratara de una excepción previa o causal de rechazo de la demanda y en últimas, como sustento de decisiones inhibitorias, lo cual constituye una imprecisión</w:t>
      </w:r>
      <w:r w:rsidRPr="00991144">
        <w:rPr>
          <w:rFonts w:ascii="Verdana" w:hAnsi="Verdana" w:cs="Arial"/>
          <w:sz w:val="21"/>
          <w:szCs w:val="21"/>
          <w:vertAlign w:val="superscript"/>
        </w:rPr>
        <w:footnoteReference w:id="11"/>
      </w:r>
      <w:r w:rsidRPr="00991144">
        <w:rPr>
          <w:rFonts w:ascii="Verdana" w:hAnsi="Verdana" w:cs="Arial"/>
          <w:sz w:val="21"/>
          <w:szCs w:val="21"/>
        </w:rPr>
        <w:t xml:space="preserve">. </w:t>
      </w:r>
    </w:p>
    <w:p w14:paraId="71E1B703" w14:textId="77777777" w:rsidR="00991144" w:rsidRPr="00991144" w:rsidRDefault="00991144" w:rsidP="00991144">
      <w:pPr>
        <w:spacing w:after="0" w:line="240" w:lineRule="auto"/>
        <w:ind w:left="851" w:right="567"/>
        <w:jc w:val="both"/>
        <w:rPr>
          <w:rFonts w:ascii="Verdana" w:hAnsi="Verdana" w:cs="Arial"/>
          <w:sz w:val="21"/>
          <w:szCs w:val="21"/>
        </w:rPr>
      </w:pPr>
    </w:p>
    <w:p w14:paraId="4E9E7DE8" w14:textId="147F475F" w:rsidR="00D42370" w:rsidRPr="00991144" w:rsidRDefault="00D42370" w:rsidP="00991144">
      <w:pPr>
        <w:spacing w:after="0" w:line="240" w:lineRule="auto"/>
        <w:ind w:left="851" w:right="567"/>
        <w:jc w:val="both"/>
        <w:rPr>
          <w:rFonts w:ascii="Verdana" w:hAnsi="Verdana" w:cs="Arial"/>
          <w:sz w:val="21"/>
          <w:szCs w:val="21"/>
        </w:rPr>
      </w:pPr>
      <w:r w:rsidRPr="00991144">
        <w:rPr>
          <w:rFonts w:ascii="Verdana" w:hAnsi="Verdana" w:cs="Arial"/>
          <w:sz w:val="21"/>
          <w:szCs w:val="21"/>
        </w:rPr>
        <w:t>Ello, toda vez que sólo es viable proponer y declarar próspera la excepción previa de «ineptitud de la demanda por la falta de cualquiera de los requisitos formales» o «por la indebida acumulación de pretensiones»</w:t>
      </w:r>
      <w:r w:rsidRPr="00991144">
        <w:rPr>
          <w:rFonts w:ascii="Verdana" w:hAnsi="Verdana" w:cs="Arial"/>
          <w:i/>
          <w:sz w:val="21"/>
          <w:szCs w:val="21"/>
        </w:rPr>
        <w:t xml:space="preserve"> </w:t>
      </w:r>
      <w:r w:rsidRPr="00991144">
        <w:rPr>
          <w:rFonts w:ascii="Verdana" w:hAnsi="Verdana" w:cs="Arial"/>
          <w:sz w:val="21"/>
          <w:szCs w:val="21"/>
        </w:rPr>
        <w:t>y en relación con otras situaciones debe acudirse a las demás excepciones previas previstas en el artículo 100 del Código General del Proceso, sin que haya vocación para realizar una denominación en términos diferentes a los señalados por la ley.</w:t>
      </w:r>
    </w:p>
    <w:p w14:paraId="4E9E7DE9" w14:textId="77777777" w:rsidR="00D42370" w:rsidRPr="00991144" w:rsidRDefault="00D42370" w:rsidP="00991144">
      <w:pPr>
        <w:spacing w:after="0" w:line="240" w:lineRule="auto"/>
        <w:ind w:left="851" w:right="567"/>
        <w:jc w:val="both"/>
        <w:rPr>
          <w:rFonts w:ascii="Verdana" w:hAnsi="Verdana" w:cs="Arial"/>
          <w:sz w:val="21"/>
          <w:szCs w:val="21"/>
        </w:rPr>
      </w:pPr>
    </w:p>
    <w:p w14:paraId="4E9E7DEA" w14:textId="77777777" w:rsidR="00D42370" w:rsidRPr="00991144" w:rsidRDefault="00D42370" w:rsidP="00991144">
      <w:pPr>
        <w:spacing w:after="0" w:line="240" w:lineRule="auto"/>
        <w:ind w:left="851" w:right="567"/>
        <w:jc w:val="both"/>
        <w:rPr>
          <w:rFonts w:ascii="Verdana" w:hAnsi="Verdana" w:cs="Arial"/>
          <w:sz w:val="21"/>
          <w:szCs w:val="21"/>
        </w:rPr>
      </w:pPr>
      <w:r w:rsidRPr="00991144">
        <w:rPr>
          <w:rFonts w:ascii="Verdana" w:hAnsi="Verdana" w:cs="Arial"/>
          <w:sz w:val="21"/>
          <w:szCs w:val="21"/>
        </w:rPr>
        <w:t>Así mismo, se recalcó que al encontrarse otras falencias que otrora han servido como sustento para la declaratoria de una «ineptitud sustantiva de la demanda», en lugar de acudir a esa denominación deben utilizarse las herramientas que los estatutos procesales prevén para tal efecto, tal como se analizó extensamente en el auto en cita, esto es, aquellos mecanismos de saneamiento, como por ejemplo, ordenar corregir la demanda o dejar sin efecto el auto admisorio para proceder al rechazo de la misma en atención a la causal legalmente prescrita para el efecto.”</w:t>
      </w:r>
    </w:p>
    <w:p w14:paraId="10F67575" w14:textId="77777777" w:rsidR="00991144" w:rsidRDefault="00991144" w:rsidP="00694840">
      <w:pPr>
        <w:spacing w:after="0" w:line="264" w:lineRule="auto"/>
        <w:jc w:val="both"/>
        <w:rPr>
          <w:rFonts w:ascii="Verdana" w:hAnsi="Verdana"/>
          <w:sz w:val="24"/>
          <w:szCs w:val="24"/>
        </w:rPr>
      </w:pPr>
    </w:p>
    <w:p w14:paraId="02DE3A58" w14:textId="77777777" w:rsidR="00991144" w:rsidRDefault="00991144" w:rsidP="00694840">
      <w:pPr>
        <w:spacing w:after="0" w:line="264" w:lineRule="auto"/>
        <w:jc w:val="both"/>
        <w:rPr>
          <w:rFonts w:ascii="Verdana" w:hAnsi="Verdana"/>
          <w:sz w:val="24"/>
          <w:szCs w:val="24"/>
        </w:rPr>
      </w:pPr>
    </w:p>
    <w:p w14:paraId="4E9E7DEC" w14:textId="0FE37DC7" w:rsidR="001F0508" w:rsidRPr="00354884" w:rsidRDefault="001F0508" w:rsidP="00694840">
      <w:pPr>
        <w:spacing w:after="0" w:line="264" w:lineRule="auto"/>
        <w:jc w:val="both"/>
        <w:rPr>
          <w:rFonts w:ascii="Verdana" w:hAnsi="Verdana"/>
          <w:sz w:val="24"/>
          <w:szCs w:val="24"/>
        </w:rPr>
      </w:pPr>
      <w:r w:rsidRPr="00694840">
        <w:rPr>
          <w:rFonts w:ascii="Verdana" w:hAnsi="Verdana"/>
          <w:sz w:val="24"/>
          <w:szCs w:val="24"/>
        </w:rPr>
        <w:t xml:space="preserve">Bajo ese entendido, </w:t>
      </w:r>
      <w:r w:rsidRPr="00354884">
        <w:rPr>
          <w:rFonts w:ascii="Verdana" w:hAnsi="Verdana"/>
          <w:sz w:val="24"/>
          <w:szCs w:val="24"/>
        </w:rPr>
        <w:t xml:space="preserve">los actos demandados </w:t>
      </w:r>
      <w:r w:rsidR="005D4C36" w:rsidRPr="00354884">
        <w:rPr>
          <w:rFonts w:ascii="Verdana" w:hAnsi="Verdana"/>
          <w:sz w:val="24"/>
          <w:szCs w:val="24"/>
        </w:rPr>
        <w:t xml:space="preserve">que </w:t>
      </w:r>
      <w:r w:rsidRPr="00354884">
        <w:rPr>
          <w:rFonts w:ascii="Verdana" w:hAnsi="Verdana"/>
          <w:sz w:val="24"/>
          <w:szCs w:val="24"/>
        </w:rPr>
        <w:t xml:space="preserve">no </w:t>
      </w:r>
      <w:r w:rsidR="005D4C36" w:rsidRPr="00354884">
        <w:rPr>
          <w:rFonts w:ascii="Verdana" w:hAnsi="Verdana"/>
          <w:sz w:val="24"/>
          <w:szCs w:val="24"/>
        </w:rPr>
        <w:t xml:space="preserve">son </w:t>
      </w:r>
      <w:r w:rsidR="00642FC5" w:rsidRPr="00354884">
        <w:rPr>
          <w:rFonts w:ascii="Verdana" w:hAnsi="Verdana"/>
          <w:sz w:val="24"/>
          <w:szCs w:val="24"/>
        </w:rPr>
        <w:t xml:space="preserve">plausibles de </w:t>
      </w:r>
      <w:r w:rsidRPr="00354884">
        <w:rPr>
          <w:rFonts w:ascii="Verdana" w:hAnsi="Verdana"/>
          <w:sz w:val="24"/>
          <w:szCs w:val="24"/>
        </w:rPr>
        <w:t xml:space="preserve">control de legalidad ante la jurisdicción de lo contencioso administrativo </w:t>
      </w:r>
      <w:r w:rsidR="005D4C36" w:rsidRPr="00354884">
        <w:rPr>
          <w:rFonts w:ascii="Verdana" w:hAnsi="Verdana"/>
          <w:sz w:val="24"/>
          <w:szCs w:val="24"/>
        </w:rPr>
        <w:t xml:space="preserve">no </w:t>
      </w:r>
      <w:r w:rsidRPr="00354884">
        <w:rPr>
          <w:rFonts w:ascii="Verdana" w:hAnsi="Verdana"/>
          <w:sz w:val="24"/>
          <w:szCs w:val="24"/>
        </w:rPr>
        <w:t>se puede</w:t>
      </w:r>
      <w:r w:rsidR="005C358B" w:rsidRPr="00354884">
        <w:rPr>
          <w:rFonts w:ascii="Verdana" w:hAnsi="Verdana"/>
          <w:sz w:val="24"/>
          <w:szCs w:val="24"/>
        </w:rPr>
        <w:t>n</w:t>
      </w:r>
      <w:r w:rsidRPr="00354884">
        <w:rPr>
          <w:rFonts w:ascii="Verdana" w:hAnsi="Verdana"/>
          <w:sz w:val="24"/>
          <w:szCs w:val="24"/>
        </w:rPr>
        <w:t xml:space="preserve"> catalogar o </w:t>
      </w:r>
      <w:r w:rsidR="00510D24" w:rsidRPr="00354884">
        <w:rPr>
          <w:rFonts w:ascii="Verdana" w:hAnsi="Verdana"/>
          <w:sz w:val="24"/>
          <w:szCs w:val="24"/>
        </w:rPr>
        <w:t xml:space="preserve">enmarcar </w:t>
      </w:r>
      <w:r w:rsidRPr="00354884">
        <w:rPr>
          <w:rFonts w:ascii="Verdana" w:hAnsi="Verdana"/>
          <w:sz w:val="24"/>
          <w:szCs w:val="24"/>
        </w:rPr>
        <w:t>dentro de la excepción previa de ineptitud de la demanda</w:t>
      </w:r>
      <w:r w:rsidR="005D4C36" w:rsidRPr="00354884">
        <w:rPr>
          <w:rFonts w:ascii="Verdana" w:hAnsi="Verdana"/>
          <w:sz w:val="24"/>
          <w:szCs w:val="24"/>
        </w:rPr>
        <w:t>, pues esta circunstancia constituye una causal autónoma de rechazo.</w:t>
      </w:r>
    </w:p>
    <w:p w14:paraId="4E9E7DED" w14:textId="77777777" w:rsidR="001F0508" w:rsidRPr="00354884" w:rsidRDefault="001F0508" w:rsidP="00694840">
      <w:pPr>
        <w:spacing w:after="0" w:line="264" w:lineRule="auto"/>
        <w:jc w:val="both"/>
        <w:rPr>
          <w:rFonts w:ascii="Verdana" w:hAnsi="Verdana"/>
          <w:sz w:val="24"/>
          <w:szCs w:val="24"/>
        </w:rPr>
      </w:pPr>
    </w:p>
    <w:p w14:paraId="4E9E7DEE" w14:textId="0BEBFA8D" w:rsidR="001F0508" w:rsidRPr="00354884" w:rsidRDefault="00D0246D" w:rsidP="00694840">
      <w:pPr>
        <w:spacing w:after="0" w:line="264" w:lineRule="auto"/>
        <w:jc w:val="both"/>
        <w:rPr>
          <w:rFonts w:ascii="Verdana" w:hAnsi="Verdana"/>
          <w:sz w:val="24"/>
          <w:szCs w:val="24"/>
        </w:rPr>
      </w:pPr>
      <w:r w:rsidRPr="00354884">
        <w:rPr>
          <w:rFonts w:ascii="Verdana" w:hAnsi="Verdana"/>
          <w:sz w:val="24"/>
          <w:szCs w:val="24"/>
        </w:rPr>
        <w:t xml:space="preserve">De esa manera, la Sala considera que la decisión asumida por el </w:t>
      </w:r>
      <w:r w:rsidR="005D4C36" w:rsidRPr="00354884">
        <w:rPr>
          <w:rFonts w:ascii="Verdana" w:hAnsi="Verdana"/>
          <w:i/>
          <w:sz w:val="24"/>
          <w:szCs w:val="24"/>
        </w:rPr>
        <w:t>a</w:t>
      </w:r>
      <w:r w:rsidRPr="00354884">
        <w:rPr>
          <w:rFonts w:ascii="Verdana" w:hAnsi="Verdana"/>
          <w:i/>
          <w:sz w:val="24"/>
          <w:szCs w:val="24"/>
        </w:rPr>
        <w:t xml:space="preserve"> quo </w:t>
      </w:r>
      <w:r w:rsidRPr="00354884">
        <w:rPr>
          <w:rFonts w:ascii="Verdana" w:hAnsi="Verdana"/>
          <w:sz w:val="24"/>
          <w:szCs w:val="24"/>
        </w:rPr>
        <w:t xml:space="preserve">de declarar de oficio la excepción </w:t>
      </w:r>
      <w:r w:rsidR="005D4C36" w:rsidRPr="00354884">
        <w:rPr>
          <w:rFonts w:ascii="Verdana" w:hAnsi="Verdana"/>
          <w:sz w:val="24"/>
          <w:szCs w:val="24"/>
        </w:rPr>
        <w:t xml:space="preserve">previa </w:t>
      </w:r>
      <w:r w:rsidRPr="00354884">
        <w:rPr>
          <w:rFonts w:ascii="Verdana" w:hAnsi="Verdana"/>
          <w:sz w:val="24"/>
          <w:szCs w:val="24"/>
        </w:rPr>
        <w:t>de inepta</w:t>
      </w:r>
      <w:r w:rsidR="00AC76F9" w:rsidRPr="00354884">
        <w:rPr>
          <w:rFonts w:ascii="Verdana" w:hAnsi="Verdana"/>
          <w:sz w:val="24"/>
          <w:szCs w:val="24"/>
        </w:rPr>
        <w:t xml:space="preserve"> demanda en el presente asunto fue equivocada, pues asimiló el asunto no pasible de control al incumplimiento de los requisitos formales de la demanda, que</w:t>
      </w:r>
      <w:r w:rsidR="005D4C36" w:rsidRPr="00354884">
        <w:rPr>
          <w:rFonts w:ascii="Verdana" w:hAnsi="Verdana"/>
          <w:sz w:val="24"/>
          <w:szCs w:val="24"/>
        </w:rPr>
        <w:t>,</w:t>
      </w:r>
      <w:r w:rsidR="00AC76F9" w:rsidRPr="00354884">
        <w:rPr>
          <w:rFonts w:ascii="Verdana" w:hAnsi="Verdana"/>
          <w:sz w:val="24"/>
          <w:szCs w:val="24"/>
        </w:rPr>
        <w:t xml:space="preserve"> a criterio de esta Sala</w:t>
      </w:r>
      <w:r w:rsidR="005D4C36" w:rsidRPr="00354884">
        <w:rPr>
          <w:rFonts w:ascii="Verdana" w:hAnsi="Verdana"/>
          <w:sz w:val="24"/>
          <w:szCs w:val="24"/>
        </w:rPr>
        <w:t>,</w:t>
      </w:r>
      <w:r w:rsidR="00AC76F9" w:rsidRPr="00354884">
        <w:rPr>
          <w:rFonts w:ascii="Verdana" w:hAnsi="Verdana"/>
          <w:sz w:val="24"/>
          <w:szCs w:val="24"/>
        </w:rPr>
        <w:t xml:space="preserve"> si se acataron conforme </w:t>
      </w:r>
      <w:r w:rsidR="005D4C36" w:rsidRPr="00354884">
        <w:rPr>
          <w:rFonts w:ascii="Verdana" w:hAnsi="Verdana"/>
          <w:sz w:val="24"/>
          <w:szCs w:val="24"/>
        </w:rPr>
        <w:t xml:space="preserve">los </w:t>
      </w:r>
      <w:r w:rsidR="00AC76F9" w:rsidRPr="00354884">
        <w:rPr>
          <w:rFonts w:ascii="Verdana" w:hAnsi="Verdana"/>
          <w:sz w:val="24"/>
          <w:szCs w:val="24"/>
        </w:rPr>
        <w:t>artículo</w:t>
      </w:r>
      <w:r w:rsidR="005D4C36" w:rsidRPr="00354884">
        <w:rPr>
          <w:rFonts w:ascii="Verdana" w:hAnsi="Verdana"/>
          <w:sz w:val="24"/>
          <w:szCs w:val="24"/>
        </w:rPr>
        <w:t>s</w:t>
      </w:r>
      <w:r w:rsidR="00AC76F9" w:rsidRPr="00354884">
        <w:rPr>
          <w:rFonts w:ascii="Verdana" w:hAnsi="Verdana"/>
          <w:sz w:val="24"/>
          <w:szCs w:val="24"/>
        </w:rPr>
        <w:t xml:space="preserve"> 162, 163 y 166 del CPACA. </w:t>
      </w:r>
    </w:p>
    <w:p w14:paraId="4E9E7DEF" w14:textId="77777777" w:rsidR="0040427E" w:rsidRPr="00354884" w:rsidRDefault="0040427E" w:rsidP="00694840">
      <w:pPr>
        <w:spacing w:after="0" w:line="264" w:lineRule="auto"/>
        <w:rPr>
          <w:rFonts w:ascii="Verdana" w:hAnsi="Verdana"/>
          <w:sz w:val="24"/>
          <w:szCs w:val="24"/>
        </w:rPr>
      </w:pPr>
    </w:p>
    <w:p w14:paraId="4E9E7DF0" w14:textId="77777777" w:rsidR="00510D24" w:rsidRPr="00694840" w:rsidRDefault="00510D24" w:rsidP="00694840">
      <w:pPr>
        <w:spacing w:after="0" w:line="264" w:lineRule="auto"/>
        <w:jc w:val="both"/>
        <w:rPr>
          <w:rFonts w:ascii="Verdana" w:hAnsi="Verdana"/>
          <w:sz w:val="24"/>
          <w:szCs w:val="24"/>
        </w:rPr>
      </w:pPr>
      <w:r w:rsidRPr="00354884">
        <w:rPr>
          <w:rFonts w:ascii="Verdana" w:hAnsi="Verdana"/>
          <w:sz w:val="24"/>
          <w:szCs w:val="24"/>
        </w:rPr>
        <w:t xml:space="preserve">De tal manera, que </w:t>
      </w:r>
      <w:r w:rsidR="00A03166" w:rsidRPr="00354884">
        <w:rPr>
          <w:rFonts w:ascii="Verdana" w:hAnsi="Verdana"/>
          <w:sz w:val="24"/>
          <w:szCs w:val="24"/>
        </w:rPr>
        <w:t xml:space="preserve">al configurarse </w:t>
      </w:r>
      <w:r w:rsidRPr="00354884">
        <w:rPr>
          <w:rFonts w:ascii="Verdana" w:hAnsi="Verdana"/>
          <w:sz w:val="24"/>
          <w:szCs w:val="24"/>
        </w:rPr>
        <w:t>la causal de rechazo de</w:t>
      </w:r>
      <w:r w:rsidR="007A01FD" w:rsidRPr="00354884">
        <w:rPr>
          <w:rFonts w:ascii="Verdana" w:hAnsi="Verdana"/>
          <w:sz w:val="24"/>
          <w:szCs w:val="24"/>
        </w:rPr>
        <w:t>l</w:t>
      </w:r>
      <w:r w:rsidRPr="00354884">
        <w:rPr>
          <w:rFonts w:ascii="Verdana" w:hAnsi="Verdana"/>
          <w:sz w:val="24"/>
          <w:szCs w:val="24"/>
        </w:rPr>
        <w:t xml:space="preserve"> numeral 3 del artículo 169 de la Ley 1437 de 2011, en el estudio de admisibilidad de la demanda, el Juez de primer grado ha debido por técnica jurídica proceder al rechazo de plano de la demanda, y </w:t>
      </w:r>
      <w:r w:rsidR="00A03166" w:rsidRPr="00354884">
        <w:rPr>
          <w:rFonts w:ascii="Verdana" w:hAnsi="Verdana"/>
          <w:sz w:val="24"/>
          <w:szCs w:val="24"/>
        </w:rPr>
        <w:t>no encuadrar tal falencia en una excepción previa que no se acompasa o acomoda.</w:t>
      </w:r>
      <w:r w:rsidR="00A03166" w:rsidRPr="00694840">
        <w:rPr>
          <w:rFonts w:ascii="Verdana" w:hAnsi="Verdana"/>
          <w:sz w:val="24"/>
          <w:szCs w:val="24"/>
        </w:rPr>
        <w:t xml:space="preserve"> </w:t>
      </w:r>
    </w:p>
    <w:p w14:paraId="4E9E7DF1" w14:textId="77777777" w:rsidR="00E77128" w:rsidRPr="00694840" w:rsidRDefault="00E77128" w:rsidP="00694840">
      <w:pPr>
        <w:spacing w:after="0" w:line="264" w:lineRule="auto"/>
        <w:jc w:val="both"/>
        <w:rPr>
          <w:rFonts w:ascii="Verdana" w:hAnsi="Verdana"/>
          <w:sz w:val="24"/>
          <w:szCs w:val="24"/>
        </w:rPr>
      </w:pPr>
    </w:p>
    <w:p w14:paraId="4E9E7DF2" w14:textId="77777777" w:rsidR="00E77128" w:rsidRPr="00694840" w:rsidRDefault="00E77128" w:rsidP="00694840">
      <w:pPr>
        <w:spacing w:after="0" w:line="264" w:lineRule="auto"/>
        <w:jc w:val="both"/>
        <w:rPr>
          <w:rFonts w:ascii="Verdana" w:hAnsi="Verdana"/>
          <w:sz w:val="24"/>
          <w:szCs w:val="24"/>
        </w:rPr>
      </w:pPr>
      <w:r w:rsidRPr="00694840">
        <w:rPr>
          <w:rFonts w:ascii="Verdana" w:hAnsi="Verdana"/>
          <w:sz w:val="24"/>
          <w:szCs w:val="24"/>
        </w:rPr>
        <w:t xml:space="preserve">Así mismo, se advierte que el proceso </w:t>
      </w:r>
      <w:r w:rsidR="00017E59" w:rsidRPr="00694840">
        <w:rPr>
          <w:rFonts w:ascii="Verdana" w:hAnsi="Verdana"/>
          <w:sz w:val="24"/>
          <w:szCs w:val="24"/>
        </w:rPr>
        <w:t>tampoco se podía subsanar con la reforma de la demanda para incluir e</w:t>
      </w:r>
      <w:r w:rsidRPr="00694840">
        <w:rPr>
          <w:rFonts w:ascii="Verdana" w:hAnsi="Verdana"/>
          <w:sz w:val="24"/>
          <w:szCs w:val="24"/>
        </w:rPr>
        <w:t xml:space="preserve">l Auto de 19 de diciembre de 2017 que decretó la medida cautelar de suspensión del demandante, y la vinculación del Consejo de Control de Ética Alianza Verde como órgano que lo expidió, ya que </w:t>
      </w:r>
      <w:r w:rsidR="00017E59" w:rsidRPr="00694840">
        <w:rPr>
          <w:rFonts w:ascii="Verdana" w:hAnsi="Verdana"/>
          <w:sz w:val="24"/>
          <w:szCs w:val="24"/>
        </w:rPr>
        <w:t xml:space="preserve">como se consignó en párrafos anteriores no se tratan de decisiones administrativas, </w:t>
      </w:r>
      <w:r w:rsidR="00F65043" w:rsidRPr="00694840">
        <w:rPr>
          <w:rFonts w:ascii="Verdana" w:hAnsi="Verdana"/>
          <w:sz w:val="24"/>
          <w:szCs w:val="24"/>
        </w:rPr>
        <w:t xml:space="preserve">en la medida en que </w:t>
      </w:r>
      <w:r w:rsidR="00017E59" w:rsidRPr="00694840">
        <w:rPr>
          <w:rFonts w:ascii="Verdana" w:hAnsi="Verdana"/>
          <w:sz w:val="24"/>
          <w:szCs w:val="24"/>
        </w:rPr>
        <w:t>no fueron emitidas por una autoridad administrativa</w:t>
      </w:r>
      <w:r w:rsidR="00F65043" w:rsidRPr="00694840">
        <w:rPr>
          <w:rFonts w:ascii="Verdana" w:hAnsi="Verdana"/>
          <w:sz w:val="24"/>
          <w:szCs w:val="24"/>
        </w:rPr>
        <w:t xml:space="preserve"> o en ejercicio de la función administrativa</w:t>
      </w:r>
      <w:r w:rsidR="00017E59" w:rsidRPr="00694840">
        <w:rPr>
          <w:rFonts w:ascii="Verdana" w:hAnsi="Verdana"/>
          <w:sz w:val="24"/>
          <w:szCs w:val="24"/>
        </w:rPr>
        <w:t xml:space="preserve">. </w:t>
      </w:r>
    </w:p>
    <w:p w14:paraId="4E9E7DF3" w14:textId="77777777" w:rsidR="0040427E" w:rsidRPr="00694840" w:rsidRDefault="0040427E" w:rsidP="00694840">
      <w:pPr>
        <w:spacing w:after="0" w:line="264" w:lineRule="auto"/>
        <w:rPr>
          <w:rFonts w:ascii="Verdana" w:hAnsi="Verdana"/>
          <w:sz w:val="24"/>
          <w:szCs w:val="24"/>
        </w:rPr>
      </w:pPr>
    </w:p>
    <w:p w14:paraId="4E9E7DF4" w14:textId="77777777" w:rsidR="00D6567F" w:rsidRPr="00694840" w:rsidRDefault="00D6567F" w:rsidP="00694840">
      <w:pPr>
        <w:widowControl w:val="0"/>
        <w:spacing w:after="0" w:line="264" w:lineRule="auto"/>
        <w:jc w:val="both"/>
        <w:rPr>
          <w:rFonts w:ascii="Verdana" w:hAnsi="Verdana" w:cs="Arial"/>
          <w:sz w:val="24"/>
          <w:szCs w:val="24"/>
        </w:rPr>
      </w:pPr>
      <w:r w:rsidRPr="00694840">
        <w:rPr>
          <w:rFonts w:ascii="Verdana" w:hAnsi="Verdana" w:cs="Arial"/>
          <w:sz w:val="24"/>
          <w:szCs w:val="24"/>
        </w:rPr>
        <w:t xml:space="preserve">En consecuencia, </w:t>
      </w:r>
      <w:r w:rsidR="00F65043" w:rsidRPr="00694840">
        <w:rPr>
          <w:rFonts w:ascii="Verdana" w:hAnsi="Verdana" w:cs="Arial"/>
          <w:sz w:val="24"/>
          <w:szCs w:val="24"/>
        </w:rPr>
        <w:t xml:space="preserve">por celeridad y economía procesal </w:t>
      </w:r>
      <w:r w:rsidRPr="00694840">
        <w:rPr>
          <w:rFonts w:ascii="Verdana" w:hAnsi="Verdana" w:cs="Arial"/>
          <w:sz w:val="24"/>
          <w:szCs w:val="24"/>
        </w:rPr>
        <w:t xml:space="preserve">se </w:t>
      </w:r>
      <w:r w:rsidR="00F34EDE" w:rsidRPr="00694840">
        <w:rPr>
          <w:rFonts w:ascii="Verdana" w:hAnsi="Verdana" w:cs="Arial"/>
          <w:sz w:val="24"/>
          <w:szCs w:val="24"/>
        </w:rPr>
        <w:t xml:space="preserve">revocará la decisión apelada, y en su lugar se dejará sin efectos el auto admisiorio proferido dentro del asunto de marras y, en su lugar, se rechazará de plano la demanda por tratarse de un asunto no pasible de control judicial de acuerdo con el </w:t>
      </w:r>
      <w:r w:rsidR="00F65043" w:rsidRPr="00694840">
        <w:rPr>
          <w:rFonts w:ascii="Verdana" w:hAnsi="Verdana" w:cs="Arial"/>
          <w:sz w:val="24"/>
          <w:szCs w:val="24"/>
        </w:rPr>
        <w:t xml:space="preserve">numeral 3 del </w:t>
      </w:r>
      <w:r w:rsidR="00F34EDE" w:rsidRPr="00694840">
        <w:rPr>
          <w:rFonts w:ascii="Verdana" w:hAnsi="Verdana" w:cs="Arial"/>
          <w:sz w:val="24"/>
          <w:szCs w:val="24"/>
        </w:rPr>
        <w:t xml:space="preserve">artículo 169 del CPACA. </w:t>
      </w:r>
    </w:p>
    <w:p w14:paraId="4E9E7DF5" w14:textId="77777777" w:rsidR="00F34EDE" w:rsidRPr="00694840" w:rsidRDefault="00F34EDE" w:rsidP="00694840">
      <w:pPr>
        <w:widowControl w:val="0"/>
        <w:spacing w:after="0" w:line="264" w:lineRule="auto"/>
        <w:jc w:val="both"/>
        <w:rPr>
          <w:rFonts w:ascii="Verdana" w:hAnsi="Verdana" w:cs="Arial"/>
          <w:sz w:val="24"/>
          <w:szCs w:val="24"/>
        </w:rPr>
      </w:pPr>
    </w:p>
    <w:p w14:paraId="4E9E7DF6" w14:textId="77777777" w:rsidR="00D6567F" w:rsidRPr="00694840" w:rsidRDefault="00D6567F" w:rsidP="00694840">
      <w:pPr>
        <w:tabs>
          <w:tab w:val="left" w:pos="1728"/>
          <w:tab w:val="left" w:pos="3456"/>
          <w:tab w:val="left" w:pos="4176"/>
        </w:tabs>
        <w:suppressAutoHyphens/>
        <w:overflowPunct w:val="0"/>
        <w:autoSpaceDE w:val="0"/>
        <w:autoSpaceDN w:val="0"/>
        <w:adjustRightInd w:val="0"/>
        <w:spacing w:after="0" w:line="264" w:lineRule="auto"/>
        <w:jc w:val="both"/>
        <w:rPr>
          <w:rFonts w:ascii="Verdana" w:hAnsi="Verdana"/>
          <w:spacing w:val="-3"/>
          <w:sz w:val="24"/>
          <w:szCs w:val="24"/>
        </w:rPr>
      </w:pPr>
      <w:r w:rsidRPr="00694840">
        <w:rPr>
          <w:rFonts w:ascii="Verdana" w:hAnsi="Verdana"/>
          <w:spacing w:val="-3"/>
          <w:sz w:val="24"/>
          <w:szCs w:val="24"/>
        </w:rPr>
        <w:t>Por lo expuesto, la Sala Primera de Decisión del Tribunal Administrativo de Boyacá,</w:t>
      </w:r>
    </w:p>
    <w:p w14:paraId="4E9E7DF7" w14:textId="77777777" w:rsidR="00D6567F" w:rsidRPr="00694840" w:rsidRDefault="00D6567F" w:rsidP="00694840">
      <w:pPr>
        <w:tabs>
          <w:tab w:val="left" w:pos="1728"/>
          <w:tab w:val="left" w:pos="3456"/>
          <w:tab w:val="left" w:pos="4176"/>
        </w:tabs>
        <w:suppressAutoHyphens/>
        <w:overflowPunct w:val="0"/>
        <w:autoSpaceDE w:val="0"/>
        <w:autoSpaceDN w:val="0"/>
        <w:adjustRightInd w:val="0"/>
        <w:spacing w:after="0" w:line="264" w:lineRule="auto"/>
        <w:jc w:val="both"/>
        <w:rPr>
          <w:rFonts w:ascii="Verdana" w:hAnsi="Verdana"/>
          <w:spacing w:val="-3"/>
          <w:sz w:val="24"/>
          <w:szCs w:val="24"/>
        </w:rPr>
      </w:pPr>
    </w:p>
    <w:p w14:paraId="4E9E7DF8" w14:textId="77777777" w:rsidR="00D6567F" w:rsidRPr="00694840" w:rsidRDefault="00D6567F" w:rsidP="00694840">
      <w:pPr>
        <w:tabs>
          <w:tab w:val="left" w:pos="-1440"/>
          <w:tab w:val="left" w:pos="-720"/>
          <w:tab w:val="left" w:pos="1728"/>
          <w:tab w:val="left" w:pos="3456"/>
          <w:tab w:val="left" w:pos="4176"/>
        </w:tabs>
        <w:suppressAutoHyphens/>
        <w:overflowPunct w:val="0"/>
        <w:autoSpaceDE w:val="0"/>
        <w:autoSpaceDN w:val="0"/>
        <w:adjustRightInd w:val="0"/>
        <w:spacing w:after="0" w:line="264" w:lineRule="auto"/>
        <w:rPr>
          <w:rFonts w:ascii="Verdana" w:hAnsi="Verdana"/>
          <w:spacing w:val="-3"/>
          <w:sz w:val="24"/>
          <w:szCs w:val="24"/>
        </w:rPr>
      </w:pPr>
    </w:p>
    <w:p w14:paraId="4E9E7DF9" w14:textId="77777777" w:rsidR="00D6567F" w:rsidRPr="00991144" w:rsidRDefault="00D6567F" w:rsidP="00694840">
      <w:pPr>
        <w:pStyle w:val="Prrafodelista"/>
        <w:numPr>
          <w:ilvl w:val="0"/>
          <w:numId w:val="1"/>
        </w:numPr>
        <w:spacing w:line="264" w:lineRule="auto"/>
        <w:ind w:left="0" w:firstLine="0"/>
        <w:contextualSpacing w:val="0"/>
        <w:jc w:val="center"/>
        <w:rPr>
          <w:rFonts w:ascii="Verdana" w:hAnsi="Verdana"/>
          <w:b/>
          <w:bCs/>
          <w:sz w:val="26"/>
          <w:szCs w:val="26"/>
        </w:rPr>
      </w:pPr>
      <w:r w:rsidRPr="00991144">
        <w:rPr>
          <w:rFonts w:ascii="Verdana" w:hAnsi="Verdana"/>
          <w:b/>
          <w:bCs/>
          <w:sz w:val="26"/>
          <w:szCs w:val="26"/>
        </w:rPr>
        <w:t>RESUELVE:</w:t>
      </w:r>
    </w:p>
    <w:p w14:paraId="4E9E7DFA" w14:textId="77777777" w:rsidR="00D6567F" w:rsidRPr="00694840" w:rsidRDefault="00D6567F" w:rsidP="00694840">
      <w:pPr>
        <w:overflowPunct w:val="0"/>
        <w:autoSpaceDE w:val="0"/>
        <w:autoSpaceDN w:val="0"/>
        <w:adjustRightInd w:val="0"/>
        <w:spacing w:after="0" w:line="264" w:lineRule="auto"/>
        <w:jc w:val="both"/>
        <w:rPr>
          <w:rFonts w:ascii="Verdana" w:hAnsi="Verdana" w:cs="Arial"/>
          <w:sz w:val="24"/>
          <w:szCs w:val="24"/>
        </w:rPr>
      </w:pPr>
    </w:p>
    <w:p w14:paraId="4E9E7DFB" w14:textId="77777777" w:rsidR="00D6567F" w:rsidRPr="00694840" w:rsidRDefault="00D6567F" w:rsidP="00694840">
      <w:pPr>
        <w:overflowPunct w:val="0"/>
        <w:autoSpaceDE w:val="0"/>
        <w:autoSpaceDN w:val="0"/>
        <w:adjustRightInd w:val="0"/>
        <w:spacing w:after="0" w:line="264" w:lineRule="auto"/>
        <w:jc w:val="both"/>
        <w:rPr>
          <w:rFonts w:ascii="Verdana" w:hAnsi="Verdana" w:cs="Arial"/>
          <w:sz w:val="24"/>
          <w:szCs w:val="24"/>
        </w:rPr>
      </w:pPr>
    </w:p>
    <w:p w14:paraId="4E9E7DFC" w14:textId="77777777" w:rsidR="008061D4" w:rsidRPr="00694840" w:rsidRDefault="00D6567F" w:rsidP="00694840">
      <w:pPr>
        <w:overflowPunct w:val="0"/>
        <w:autoSpaceDE w:val="0"/>
        <w:autoSpaceDN w:val="0"/>
        <w:adjustRightInd w:val="0"/>
        <w:spacing w:after="0" w:line="264" w:lineRule="auto"/>
        <w:jc w:val="both"/>
        <w:rPr>
          <w:rFonts w:ascii="Verdana" w:hAnsi="Verdana" w:cs="Arial"/>
          <w:sz w:val="24"/>
          <w:szCs w:val="24"/>
        </w:rPr>
      </w:pPr>
      <w:r w:rsidRPr="00694840">
        <w:rPr>
          <w:rFonts w:ascii="Verdana" w:hAnsi="Verdana" w:cs="Arial"/>
          <w:b/>
          <w:sz w:val="24"/>
          <w:szCs w:val="24"/>
        </w:rPr>
        <w:t xml:space="preserve">PRIMERO.- </w:t>
      </w:r>
      <w:r w:rsidR="008061D4" w:rsidRPr="00694840">
        <w:rPr>
          <w:rFonts w:ascii="Verdana" w:hAnsi="Verdana" w:cs="Arial"/>
          <w:b/>
          <w:sz w:val="24"/>
          <w:szCs w:val="24"/>
        </w:rPr>
        <w:t xml:space="preserve">REVOCAR </w:t>
      </w:r>
      <w:r w:rsidR="008061D4" w:rsidRPr="00694840">
        <w:rPr>
          <w:rFonts w:ascii="Verdana" w:hAnsi="Verdana" w:cs="Arial"/>
          <w:sz w:val="24"/>
          <w:szCs w:val="24"/>
        </w:rPr>
        <w:t>la providencia que data del 1° de octubre de 2020, proferido por el Juzgado Noveno Administrativo de Tunja, que declaró de oficio la excepción de inepta demanda y dio por terminado el proceso.</w:t>
      </w:r>
    </w:p>
    <w:p w14:paraId="4E9E7DFD" w14:textId="77777777" w:rsidR="008061D4" w:rsidRPr="00694840" w:rsidRDefault="008061D4" w:rsidP="00694840">
      <w:pPr>
        <w:overflowPunct w:val="0"/>
        <w:autoSpaceDE w:val="0"/>
        <w:autoSpaceDN w:val="0"/>
        <w:adjustRightInd w:val="0"/>
        <w:spacing w:after="0" w:line="264" w:lineRule="auto"/>
        <w:jc w:val="both"/>
        <w:rPr>
          <w:rFonts w:ascii="Verdana" w:hAnsi="Verdana" w:cs="Arial"/>
          <w:sz w:val="24"/>
          <w:szCs w:val="24"/>
        </w:rPr>
      </w:pPr>
    </w:p>
    <w:p w14:paraId="4E9E7DFE" w14:textId="77777777" w:rsidR="008061D4" w:rsidRPr="00694840" w:rsidRDefault="008061D4" w:rsidP="00694840">
      <w:pPr>
        <w:overflowPunct w:val="0"/>
        <w:autoSpaceDE w:val="0"/>
        <w:autoSpaceDN w:val="0"/>
        <w:adjustRightInd w:val="0"/>
        <w:spacing w:after="0" w:line="264" w:lineRule="auto"/>
        <w:jc w:val="both"/>
        <w:rPr>
          <w:rFonts w:ascii="Verdana" w:hAnsi="Verdana" w:cs="Arial"/>
          <w:sz w:val="24"/>
          <w:szCs w:val="24"/>
        </w:rPr>
      </w:pPr>
      <w:r w:rsidRPr="00694840">
        <w:rPr>
          <w:rFonts w:ascii="Verdana" w:hAnsi="Verdana" w:cs="Arial"/>
          <w:b/>
          <w:sz w:val="24"/>
          <w:szCs w:val="24"/>
        </w:rPr>
        <w:t xml:space="preserve">SEGUNDO.- DEJAR </w:t>
      </w:r>
      <w:r w:rsidRPr="00694840">
        <w:rPr>
          <w:rFonts w:ascii="Verdana" w:hAnsi="Verdana" w:cs="Arial"/>
          <w:sz w:val="24"/>
          <w:szCs w:val="24"/>
        </w:rPr>
        <w:t xml:space="preserve">sin efectos el auto admisorio de </w:t>
      </w:r>
      <w:r w:rsidR="00585F08" w:rsidRPr="00694840">
        <w:rPr>
          <w:rFonts w:ascii="Verdana" w:hAnsi="Verdana" w:cs="Arial"/>
          <w:sz w:val="24"/>
          <w:szCs w:val="24"/>
        </w:rPr>
        <w:t xml:space="preserve">13 de junio de 2019, proferido por el Juez de Primera instancia, y en consecuencia, </w:t>
      </w:r>
    </w:p>
    <w:p w14:paraId="4E9E7DFF" w14:textId="1AE61DC4" w:rsidR="00585F08" w:rsidRDefault="00585F08" w:rsidP="00694840">
      <w:pPr>
        <w:overflowPunct w:val="0"/>
        <w:autoSpaceDE w:val="0"/>
        <w:autoSpaceDN w:val="0"/>
        <w:adjustRightInd w:val="0"/>
        <w:spacing w:after="0" w:line="264" w:lineRule="auto"/>
        <w:jc w:val="both"/>
        <w:rPr>
          <w:rFonts w:ascii="Verdana" w:hAnsi="Verdana" w:cs="Arial"/>
          <w:sz w:val="24"/>
          <w:szCs w:val="24"/>
        </w:rPr>
      </w:pPr>
    </w:p>
    <w:p w14:paraId="4E9E7E00" w14:textId="77777777" w:rsidR="00585F08" w:rsidRPr="005C358B" w:rsidRDefault="00585F08" w:rsidP="005C358B">
      <w:pPr>
        <w:overflowPunct w:val="0"/>
        <w:autoSpaceDE w:val="0"/>
        <w:autoSpaceDN w:val="0"/>
        <w:adjustRightInd w:val="0"/>
        <w:spacing w:after="0" w:line="264" w:lineRule="auto"/>
        <w:ind w:left="851" w:right="567"/>
        <w:jc w:val="both"/>
        <w:rPr>
          <w:rFonts w:ascii="Verdana" w:hAnsi="Verdana" w:cs="Arial"/>
          <w:sz w:val="23"/>
          <w:szCs w:val="23"/>
        </w:rPr>
      </w:pPr>
      <w:r w:rsidRPr="005C358B">
        <w:rPr>
          <w:rFonts w:ascii="Verdana" w:hAnsi="Verdana" w:cs="Arial"/>
          <w:sz w:val="23"/>
          <w:szCs w:val="23"/>
        </w:rPr>
        <w:t>“</w:t>
      </w:r>
      <w:r w:rsidRPr="005C358B">
        <w:rPr>
          <w:rFonts w:ascii="Verdana" w:hAnsi="Verdana" w:cs="Arial"/>
          <w:b/>
          <w:sz w:val="23"/>
          <w:szCs w:val="23"/>
        </w:rPr>
        <w:t xml:space="preserve">RECHAZAR </w:t>
      </w:r>
      <w:r w:rsidRPr="005C358B">
        <w:rPr>
          <w:rFonts w:ascii="Verdana" w:hAnsi="Verdana" w:cs="Arial"/>
          <w:sz w:val="23"/>
          <w:szCs w:val="23"/>
        </w:rPr>
        <w:t>de plano la demanda de la referencia, por tratarse de un asunto no susceptible de control judicial, conforme el inciso 3 del artículo 169 del CPACA.”</w:t>
      </w:r>
    </w:p>
    <w:p w14:paraId="4E9E7E01" w14:textId="6189A1D5" w:rsidR="008061D4" w:rsidRDefault="008061D4" w:rsidP="00694840">
      <w:pPr>
        <w:overflowPunct w:val="0"/>
        <w:autoSpaceDE w:val="0"/>
        <w:autoSpaceDN w:val="0"/>
        <w:adjustRightInd w:val="0"/>
        <w:spacing w:after="0" w:line="264" w:lineRule="auto"/>
        <w:jc w:val="both"/>
        <w:rPr>
          <w:rFonts w:ascii="Verdana" w:hAnsi="Verdana" w:cs="Arial"/>
          <w:b/>
          <w:sz w:val="24"/>
          <w:szCs w:val="24"/>
        </w:rPr>
      </w:pPr>
    </w:p>
    <w:p w14:paraId="4E9E7E04" w14:textId="423F8BE1" w:rsidR="00D6567F" w:rsidRPr="00694840" w:rsidRDefault="00D6567F" w:rsidP="005C358B">
      <w:pPr>
        <w:spacing w:after="0" w:line="264" w:lineRule="auto"/>
        <w:jc w:val="both"/>
        <w:rPr>
          <w:rFonts w:ascii="Verdana" w:hAnsi="Verdana" w:cs="Arial"/>
          <w:bCs/>
          <w:sz w:val="24"/>
          <w:szCs w:val="24"/>
        </w:rPr>
      </w:pPr>
      <w:r w:rsidRPr="00694840">
        <w:rPr>
          <w:rFonts w:ascii="Verdana" w:hAnsi="Verdana" w:cs="Arial"/>
          <w:b/>
          <w:bCs/>
          <w:sz w:val="24"/>
          <w:szCs w:val="24"/>
        </w:rPr>
        <w:t>TERCERO.-</w:t>
      </w:r>
      <w:r w:rsidR="005C358B">
        <w:rPr>
          <w:rFonts w:ascii="Verdana" w:hAnsi="Verdana" w:cs="Arial"/>
          <w:b/>
          <w:bCs/>
          <w:sz w:val="24"/>
          <w:szCs w:val="24"/>
        </w:rPr>
        <w:t xml:space="preserve"> </w:t>
      </w:r>
      <w:r w:rsidRPr="00694840">
        <w:rPr>
          <w:rFonts w:ascii="Verdana" w:hAnsi="Verdana" w:cs="Arial"/>
          <w:bCs/>
          <w:sz w:val="24"/>
          <w:szCs w:val="24"/>
        </w:rPr>
        <w:t xml:space="preserve">En firme esta providencia, por Secretaria remítase al Juzgado de origen, no sin antes dejar las respectivas anotaciones en el sistema SAMAI. </w:t>
      </w:r>
    </w:p>
    <w:p w14:paraId="4E9E7E05" w14:textId="77777777" w:rsidR="00D6567F" w:rsidRPr="00694840" w:rsidRDefault="00D6567F" w:rsidP="00694840">
      <w:pPr>
        <w:overflowPunct w:val="0"/>
        <w:autoSpaceDE w:val="0"/>
        <w:autoSpaceDN w:val="0"/>
        <w:adjustRightInd w:val="0"/>
        <w:spacing w:after="0" w:line="264" w:lineRule="auto"/>
        <w:jc w:val="both"/>
        <w:rPr>
          <w:rFonts w:ascii="Verdana" w:hAnsi="Verdana" w:cs="Arial"/>
          <w:b/>
          <w:sz w:val="24"/>
          <w:szCs w:val="24"/>
        </w:rPr>
      </w:pPr>
    </w:p>
    <w:p w14:paraId="4E9E7E06" w14:textId="77777777" w:rsidR="00D6567F" w:rsidRPr="00694840" w:rsidRDefault="00D6567F" w:rsidP="00694840">
      <w:pPr>
        <w:spacing w:after="0" w:line="264" w:lineRule="auto"/>
        <w:rPr>
          <w:rFonts w:ascii="Verdana" w:hAnsi="Verdana" w:cs="Arial"/>
          <w:sz w:val="24"/>
          <w:szCs w:val="24"/>
        </w:rPr>
      </w:pPr>
    </w:p>
    <w:p w14:paraId="4E9E7E07" w14:textId="77777777" w:rsidR="00D6567F" w:rsidRPr="00694840" w:rsidRDefault="00D6567F" w:rsidP="00694840">
      <w:pPr>
        <w:spacing w:after="0" w:line="264" w:lineRule="auto"/>
        <w:ind w:left="-340" w:right="-284"/>
        <w:jc w:val="center"/>
        <w:rPr>
          <w:rFonts w:ascii="Verdana" w:hAnsi="Verdana" w:cs="Arial"/>
          <w:sz w:val="24"/>
          <w:szCs w:val="24"/>
        </w:rPr>
      </w:pPr>
      <w:r w:rsidRPr="00694840">
        <w:rPr>
          <w:rFonts w:ascii="Verdana" w:hAnsi="Verdana" w:cs="Arial"/>
          <w:sz w:val="24"/>
          <w:szCs w:val="24"/>
        </w:rPr>
        <w:t>NOTIFÍQUESE Y CÚMPLASE</w:t>
      </w:r>
    </w:p>
    <w:p w14:paraId="4E9E7E08" w14:textId="77777777" w:rsidR="00D6567F" w:rsidRPr="00694840" w:rsidRDefault="00D6567F" w:rsidP="00694840">
      <w:pPr>
        <w:spacing w:after="0" w:line="264" w:lineRule="auto"/>
        <w:ind w:left="-340" w:right="-284"/>
        <w:jc w:val="center"/>
        <w:rPr>
          <w:rFonts w:ascii="Verdana" w:hAnsi="Verdana" w:cs="Arial"/>
          <w:sz w:val="24"/>
          <w:szCs w:val="24"/>
        </w:rPr>
      </w:pPr>
    </w:p>
    <w:p w14:paraId="4E9E7E0A" w14:textId="77777777" w:rsidR="00D6567F" w:rsidRPr="00694840" w:rsidRDefault="00D6567F" w:rsidP="00694840">
      <w:pPr>
        <w:spacing w:after="0" w:line="264" w:lineRule="auto"/>
        <w:ind w:left="-340" w:right="-284"/>
        <w:jc w:val="center"/>
        <w:rPr>
          <w:rFonts w:ascii="Verdana" w:hAnsi="Verdana" w:cs="Arial"/>
          <w:sz w:val="24"/>
          <w:szCs w:val="24"/>
        </w:rPr>
      </w:pPr>
    </w:p>
    <w:p w14:paraId="4E9E7E0B" w14:textId="77777777" w:rsidR="00D6567F" w:rsidRPr="00694840" w:rsidRDefault="00D6567F" w:rsidP="00694840">
      <w:pPr>
        <w:spacing w:after="0" w:line="264" w:lineRule="auto"/>
        <w:ind w:left="-340" w:right="-284"/>
        <w:jc w:val="center"/>
        <w:rPr>
          <w:rFonts w:ascii="Verdana" w:hAnsi="Verdana" w:cs="Arial"/>
          <w:sz w:val="24"/>
          <w:szCs w:val="24"/>
        </w:rPr>
      </w:pPr>
    </w:p>
    <w:p w14:paraId="4E9E7E0C" w14:textId="77777777" w:rsidR="00D6567F" w:rsidRPr="00694840" w:rsidRDefault="00D6567F" w:rsidP="00694840">
      <w:pPr>
        <w:spacing w:after="0" w:line="264" w:lineRule="auto"/>
        <w:ind w:left="-340" w:right="-284"/>
        <w:jc w:val="center"/>
        <w:rPr>
          <w:rFonts w:ascii="Verdana" w:hAnsi="Verdana" w:cs="Arial"/>
          <w:sz w:val="24"/>
          <w:szCs w:val="24"/>
        </w:rPr>
      </w:pPr>
      <w:r w:rsidRPr="00694840">
        <w:rPr>
          <w:rFonts w:ascii="Verdana" w:hAnsi="Verdana" w:cs="Arial"/>
          <w:sz w:val="24"/>
          <w:szCs w:val="24"/>
        </w:rPr>
        <w:t>(Firmado electrónicamente)</w:t>
      </w:r>
    </w:p>
    <w:p w14:paraId="4E9E7E0D" w14:textId="77777777" w:rsidR="00D6567F" w:rsidRPr="00694840" w:rsidRDefault="00D6567F" w:rsidP="00694840">
      <w:pPr>
        <w:spacing w:after="0" w:line="264" w:lineRule="auto"/>
        <w:ind w:left="-340" w:right="-284"/>
        <w:jc w:val="center"/>
        <w:rPr>
          <w:rFonts w:ascii="Verdana" w:hAnsi="Verdana" w:cs="Arial"/>
          <w:b/>
          <w:sz w:val="24"/>
          <w:szCs w:val="24"/>
        </w:rPr>
      </w:pPr>
      <w:r w:rsidRPr="00694840">
        <w:rPr>
          <w:rFonts w:ascii="Verdana" w:hAnsi="Verdana" w:cs="Arial"/>
          <w:b/>
          <w:sz w:val="24"/>
          <w:szCs w:val="24"/>
        </w:rPr>
        <w:t>FABIO IVÁN AFANADOR GARCÍA</w:t>
      </w:r>
    </w:p>
    <w:p w14:paraId="4E9E7E0E" w14:textId="77777777" w:rsidR="00D6567F" w:rsidRPr="00694840" w:rsidRDefault="00D6567F" w:rsidP="00694840">
      <w:pPr>
        <w:spacing w:after="0" w:line="264" w:lineRule="auto"/>
        <w:ind w:left="-340" w:right="-284"/>
        <w:jc w:val="center"/>
        <w:rPr>
          <w:rFonts w:ascii="Verdana" w:hAnsi="Verdana" w:cs="Arial"/>
          <w:b/>
          <w:sz w:val="24"/>
          <w:szCs w:val="24"/>
        </w:rPr>
      </w:pPr>
      <w:r w:rsidRPr="00694840">
        <w:rPr>
          <w:rFonts w:ascii="Verdana" w:hAnsi="Verdana" w:cs="Arial"/>
          <w:b/>
          <w:sz w:val="24"/>
          <w:szCs w:val="24"/>
        </w:rPr>
        <w:t>Magistrado</w:t>
      </w:r>
    </w:p>
    <w:p w14:paraId="4E9E7E0F" w14:textId="77777777" w:rsidR="00D6567F" w:rsidRPr="00694840" w:rsidRDefault="00D6567F" w:rsidP="00694840">
      <w:pPr>
        <w:spacing w:after="0" w:line="264" w:lineRule="auto"/>
        <w:ind w:left="-340" w:right="-284"/>
        <w:jc w:val="center"/>
        <w:rPr>
          <w:rFonts w:ascii="Verdana" w:hAnsi="Verdana" w:cs="Arial"/>
          <w:sz w:val="24"/>
          <w:szCs w:val="24"/>
        </w:rPr>
      </w:pPr>
    </w:p>
    <w:p w14:paraId="4E9E7E11" w14:textId="77777777" w:rsidR="00D6567F" w:rsidRPr="00694840" w:rsidRDefault="00D6567F" w:rsidP="00694840">
      <w:pPr>
        <w:spacing w:after="0" w:line="264" w:lineRule="auto"/>
        <w:ind w:left="-340" w:right="-284"/>
        <w:jc w:val="center"/>
        <w:rPr>
          <w:rFonts w:ascii="Verdana" w:hAnsi="Verdana" w:cs="Arial"/>
          <w:sz w:val="24"/>
          <w:szCs w:val="24"/>
        </w:rPr>
      </w:pPr>
    </w:p>
    <w:p w14:paraId="4E9E7E12" w14:textId="77777777" w:rsidR="00D6567F" w:rsidRPr="00694840" w:rsidRDefault="00D6567F" w:rsidP="00694840">
      <w:pPr>
        <w:spacing w:after="0" w:line="264" w:lineRule="auto"/>
        <w:ind w:left="-340" w:right="-284"/>
        <w:jc w:val="center"/>
        <w:rPr>
          <w:rFonts w:ascii="Verdana" w:hAnsi="Verdana" w:cs="Arial"/>
          <w:sz w:val="24"/>
          <w:szCs w:val="24"/>
        </w:rPr>
      </w:pPr>
      <w:r w:rsidRPr="00694840">
        <w:rPr>
          <w:rFonts w:ascii="Verdana" w:hAnsi="Verdana" w:cs="Arial"/>
          <w:sz w:val="24"/>
          <w:szCs w:val="24"/>
        </w:rPr>
        <w:t>(Firmado electrónicamente)</w:t>
      </w:r>
    </w:p>
    <w:p w14:paraId="4E9E7E13" w14:textId="77777777" w:rsidR="00D6567F" w:rsidRPr="00694840" w:rsidRDefault="00D6567F" w:rsidP="00694840">
      <w:pPr>
        <w:spacing w:after="0" w:line="264" w:lineRule="auto"/>
        <w:ind w:left="-340" w:right="-284"/>
        <w:jc w:val="center"/>
        <w:rPr>
          <w:rFonts w:ascii="Verdana" w:hAnsi="Verdana" w:cs="Arial"/>
          <w:b/>
          <w:sz w:val="24"/>
          <w:szCs w:val="24"/>
        </w:rPr>
      </w:pPr>
      <w:r w:rsidRPr="00694840">
        <w:rPr>
          <w:rFonts w:ascii="Verdana" w:hAnsi="Verdana" w:cs="Arial"/>
          <w:b/>
          <w:sz w:val="24"/>
          <w:szCs w:val="24"/>
        </w:rPr>
        <w:t>LUIS ERNESTO ARCINIEGAS TRIANA</w:t>
      </w:r>
    </w:p>
    <w:p w14:paraId="4E9E7E14" w14:textId="77777777" w:rsidR="00D6567F" w:rsidRPr="00694840" w:rsidRDefault="00D6567F" w:rsidP="00694840">
      <w:pPr>
        <w:spacing w:after="0" w:line="264" w:lineRule="auto"/>
        <w:ind w:left="-340" w:right="-284"/>
        <w:jc w:val="center"/>
        <w:rPr>
          <w:rFonts w:ascii="Verdana" w:hAnsi="Verdana" w:cs="Arial"/>
          <w:b/>
          <w:sz w:val="24"/>
          <w:szCs w:val="24"/>
        </w:rPr>
      </w:pPr>
      <w:r w:rsidRPr="00694840">
        <w:rPr>
          <w:rFonts w:ascii="Verdana" w:hAnsi="Verdana" w:cs="Arial"/>
          <w:b/>
          <w:sz w:val="24"/>
          <w:szCs w:val="24"/>
        </w:rPr>
        <w:t>Magistrado</w:t>
      </w:r>
    </w:p>
    <w:p w14:paraId="4E9E7E15" w14:textId="77777777" w:rsidR="00D6567F" w:rsidRPr="00694840" w:rsidRDefault="00D6567F" w:rsidP="00694840">
      <w:pPr>
        <w:spacing w:after="0" w:line="264" w:lineRule="auto"/>
        <w:ind w:left="-340" w:right="-284"/>
        <w:jc w:val="center"/>
        <w:rPr>
          <w:rFonts w:ascii="Verdana" w:hAnsi="Verdana" w:cs="Arial"/>
          <w:b/>
          <w:sz w:val="24"/>
          <w:szCs w:val="24"/>
        </w:rPr>
      </w:pPr>
    </w:p>
    <w:p w14:paraId="4E9E7E16" w14:textId="77777777" w:rsidR="00D6567F" w:rsidRPr="00694840" w:rsidRDefault="00D6567F" w:rsidP="00694840">
      <w:pPr>
        <w:spacing w:after="0" w:line="264" w:lineRule="auto"/>
        <w:ind w:left="-340" w:right="-284"/>
        <w:jc w:val="center"/>
        <w:rPr>
          <w:rFonts w:ascii="Verdana" w:hAnsi="Verdana" w:cs="Arial"/>
          <w:b/>
          <w:sz w:val="24"/>
          <w:szCs w:val="24"/>
        </w:rPr>
      </w:pPr>
    </w:p>
    <w:p w14:paraId="4E9E7E18" w14:textId="77777777" w:rsidR="00D6567F" w:rsidRPr="00694840" w:rsidRDefault="00D6567F" w:rsidP="00694840">
      <w:pPr>
        <w:overflowPunct w:val="0"/>
        <w:autoSpaceDE w:val="0"/>
        <w:autoSpaceDN w:val="0"/>
        <w:adjustRightInd w:val="0"/>
        <w:spacing w:after="0" w:line="264" w:lineRule="auto"/>
        <w:jc w:val="center"/>
        <w:rPr>
          <w:rFonts w:ascii="Verdana" w:hAnsi="Verdana" w:cs="Arial"/>
          <w:kern w:val="28"/>
          <w:sz w:val="24"/>
          <w:szCs w:val="24"/>
          <w:lang w:val="es-ES_tradnl"/>
        </w:rPr>
      </w:pPr>
      <w:r w:rsidRPr="00694840">
        <w:rPr>
          <w:rFonts w:ascii="Verdana" w:hAnsi="Verdana" w:cs="Arial"/>
          <w:kern w:val="28"/>
          <w:sz w:val="24"/>
          <w:szCs w:val="24"/>
          <w:lang w:val="es-ES_tradnl"/>
        </w:rPr>
        <w:t>(Firmando electrónicamente)</w:t>
      </w:r>
    </w:p>
    <w:p w14:paraId="4E9E7E19" w14:textId="77777777" w:rsidR="00D6567F" w:rsidRPr="00694840" w:rsidRDefault="00D6567F" w:rsidP="00694840">
      <w:pPr>
        <w:overflowPunct w:val="0"/>
        <w:autoSpaceDE w:val="0"/>
        <w:autoSpaceDN w:val="0"/>
        <w:adjustRightInd w:val="0"/>
        <w:spacing w:after="0" w:line="264" w:lineRule="auto"/>
        <w:jc w:val="center"/>
        <w:rPr>
          <w:rFonts w:ascii="Verdana" w:hAnsi="Verdana" w:cs="Arial"/>
          <w:b/>
          <w:bCs/>
          <w:sz w:val="24"/>
          <w:szCs w:val="24"/>
          <w:shd w:val="clear" w:color="auto" w:fill="FFFFFF"/>
        </w:rPr>
      </w:pPr>
      <w:r w:rsidRPr="00694840">
        <w:rPr>
          <w:rFonts w:ascii="Verdana" w:hAnsi="Verdana" w:cs="Arial"/>
          <w:b/>
          <w:bCs/>
          <w:sz w:val="24"/>
          <w:szCs w:val="24"/>
          <w:shd w:val="clear" w:color="auto" w:fill="FFFFFF"/>
        </w:rPr>
        <w:t>JOSÉ ASCENCIÓN FERNÁNDEZ OSORIO</w:t>
      </w:r>
    </w:p>
    <w:p w14:paraId="4E9E7E1A" w14:textId="77777777" w:rsidR="00D6567F" w:rsidRPr="00694840" w:rsidRDefault="00D6567F" w:rsidP="00694840">
      <w:pPr>
        <w:overflowPunct w:val="0"/>
        <w:autoSpaceDE w:val="0"/>
        <w:autoSpaceDN w:val="0"/>
        <w:adjustRightInd w:val="0"/>
        <w:spacing w:after="0" w:line="264" w:lineRule="auto"/>
        <w:jc w:val="center"/>
        <w:rPr>
          <w:rFonts w:ascii="Verdana" w:hAnsi="Verdana" w:cs="Arial"/>
          <w:b/>
          <w:bCs/>
          <w:kern w:val="28"/>
          <w:sz w:val="24"/>
          <w:szCs w:val="24"/>
          <w:lang w:val="es-ES_tradnl"/>
        </w:rPr>
      </w:pPr>
      <w:r w:rsidRPr="00694840">
        <w:rPr>
          <w:rFonts w:ascii="Verdana" w:hAnsi="Verdana" w:cs="Arial"/>
          <w:b/>
          <w:bCs/>
          <w:sz w:val="24"/>
          <w:szCs w:val="24"/>
          <w:shd w:val="clear" w:color="auto" w:fill="FFFFFF"/>
        </w:rPr>
        <w:t xml:space="preserve">Magistrado </w:t>
      </w:r>
    </w:p>
    <w:p w14:paraId="4E9E7E1B" w14:textId="77777777" w:rsidR="00D6567F" w:rsidRPr="00694840" w:rsidRDefault="00D6567F" w:rsidP="00694840">
      <w:pPr>
        <w:spacing w:after="0" w:line="264" w:lineRule="auto"/>
        <w:ind w:left="-170" w:right="-170"/>
        <w:jc w:val="center"/>
        <w:rPr>
          <w:rFonts w:ascii="Verdana" w:hAnsi="Verdana" w:cs="Arial"/>
          <w:sz w:val="24"/>
          <w:szCs w:val="24"/>
        </w:rPr>
      </w:pPr>
    </w:p>
    <w:p w14:paraId="4E9E7E1D" w14:textId="77777777" w:rsidR="00D6567F" w:rsidRPr="00991144" w:rsidRDefault="00D6567F" w:rsidP="00991144">
      <w:pPr>
        <w:spacing w:after="0" w:line="240" w:lineRule="auto"/>
        <w:jc w:val="both"/>
        <w:rPr>
          <w:rFonts w:ascii="Verdana" w:hAnsi="Verdana"/>
          <w:sz w:val="18"/>
          <w:szCs w:val="18"/>
        </w:rPr>
      </w:pPr>
      <w:r w:rsidRPr="00991144">
        <w:rPr>
          <w:rFonts w:ascii="Verdana" w:hAnsi="Verdana"/>
          <w:b/>
          <w:bCs/>
          <w:sz w:val="18"/>
          <w:szCs w:val="18"/>
        </w:rPr>
        <w:t>Constancia:</w:t>
      </w:r>
      <w:r w:rsidRPr="00991144">
        <w:rPr>
          <w:rFonts w:ascii="Verdana" w:hAnsi="Verdana"/>
          <w:sz w:val="18"/>
          <w:szCs w:val="18"/>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p>
    <w:p w14:paraId="4E9E7E1E" w14:textId="77777777" w:rsidR="00D6567F" w:rsidRPr="00991144" w:rsidRDefault="00D6567F" w:rsidP="00694840">
      <w:pPr>
        <w:spacing w:after="0" w:line="264" w:lineRule="auto"/>
        <w:rPr>
          <w:rFonts w:ascii="Verdana" w:hAnsi="Verdana"/>
          <w:sz w:val="12"/>
          <w:szCs w:val="12"/>
        </w:rPr>
      </w:pPr>
      <w:r w:rsidRPr="00991144">
        <w:rPr>
          <w:rFonts w:ascii="Verdana" w:hAnsi="Verdana"/>
          <w:i/>
          <w:sz w:val="12"/>
          <w:szCs w:val="12"/>
        </w:rPr>
        <w:t>MDM</w:t>
      </w:r>
    </w:p>
    <w:sectPr w:rsidR="00D6567F" w:rsidRPr="00991144" w:rsidSect="005D4C36">
      <w:headerReference w:type="default" r:id="rId12"/>
      <w:footerReference w:type="default" r:id="rId13"/>
      <w:pgSz w:w="12242" w:h="18824" w:code="120"/>
      <w:pgMar w:top="1985" w:right="1985" w:bottom="1985" w:left="226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2B66" w14:textId="77777777" w:rsidR="00525F5E" w:rsidRDefault="00525F5E" w:rsidP="00D6567F">
      <w:pPr>
        <w:spacing w:after="0" w:line="240" w:lineRule="auto"/>
      </w:pPr>
      <w:r>
        <w:separator/>
      </w:r>
    </w:p>
  </w:endnote>
  <w:endnote w:type="continuationSeparator" w:id="0">
    <w:p w14:paraId="3FBA8434" w14:textId="77777777" w:rsidR="00525F5E" w:rsidRDefault="00525F5E" w:rsidP="00D6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26718"/>
      <w:docPartObj>
        <w:docPartGallery w:val="Page Numbers (Bottom of Page)"/>
        <w:docPartUnique/>
      </w:docPartObj>
    </w:sdtPr>
    <w:sdtEndPr/>
    <w:sdtContent>
      <w:p w14:paraId="4E9E7E35" w14:textId="77777777" w:rsidR="00647618" w:rsidRDefault="00647618">
        <w:pPr>
          <w:pStyle w:val="Piedepgina"/>
          <w:jc w:val="center"/>
        </w:pPr>
        <w:r>
          <w:fldChar w:fldCharType="begin"/>
        </w:r>
        <w:r>
          <w:instrText>PAGE   \* MERGEFORMAT</w:instrText>
        </w:r>
        <w:r>
          <w:fldChar w:fldCharType="separate"/>
        </w:r>
        <w:r w:rsidR="00E53CB6" w:rsidRPr="00E53CB6">
          <w:rPr>
            <w:noProof/>
            <w:lang w:val="es-ES"/>
          </w:rPr>
          <w:t>3</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2127" w14:textId="77777777" w:rsidR="00525F5E" w:rsidRDefault="00525F5E" w:rsidP="00D6567F">
      <w:pPr>
        <w:spacing w:after="0" w:line="240" w:lineRule="auto"/>
      </w:pPr>
      <w:r>
        <w:separator/>
      </w:r>
    </w:p>
  </w:footnote>
  <w:footnote w:type="continuationSeparator" w:id="0">
    <w:p w14:paraId="7961E434" w14:textId="77777777" w:rsidR="00525F5E" w:rsidRDefault="00525F5E" w:rsidP="00D6567F">
      <w:pPr>
        <w:spacing w:after="0" w:line="240" w:lineRule="auto"/>
      </w:pPr>
      <w:r>
        <w:continuationSeparator/>
      </w:r>
    </w:p>
  </w:footnote>
  <w:footnote w:id="1">
    <w:p w14:paraId="4E9E7E36" w14:textId="77777777" w:rsidR="00647618" w:rsidRPr="005066D0" w:rsidRDefault="00647618" w:rsidP="005066D0">
      <w:pPr>
        <w:spacing w:after="0" w:line="240" w:lineRule="auto"/>
        <w:jc w:val="both"/>
        <w:rPr>
          <w:rFonts w:ascii="Verdana" w:hAnsi="Verdana"/>
          <w:sz w:val="18"/>
          <w:szCs w:val="18"/>
        </w:rPr>
      </w:pPr>
    </w:p>
    <w:p w14:paraId="4E9E7E37" w14:textId="77777777" w:rsidR="00647618" w:rsidRPr="005066D0" w:rsidRDefault="00647618" w:rsidP="005066D0">
      <w:pPr>
        <w:spacing w:after="0" w:line="240" w:lineRule="auto"/>
        <w:jc w:val="both"/>
        <w:rPr>
          <w:rFonts w:ascii="Verdana" w:hAnsi="Verdana"/>
          <w:i/>
          <w:iCs/>
          <w:sz w:val="18"/>
          <w:szCs w:val="18"/>
        </w:rPr>
      </w:pPr>
      <w:r w:rsidRPr="005066D0">
        <w:rPr>
          <w:rStyle w:val="Refdenotaalpie"/>
          <w:rFonts w:ascii="Verdana" w:hAnsi="Verdana"/>
          <w:sz w:val="18"/>
          <w:szCs w:val="18"/>
        </w:rPr>
        <w:footnoteRef/>
      </w:r>
      <w:r w:rsidRPr="005066D0">
        <w:rPr>
          <w:rFonts w:ascii="Verdana" w:hAnsi="Verdana"/>
          <w:sz w:val="18"/>
          <w:szCs w:val="18"/>
        </w:rPr>
        <w:t xml:space="preserve"> Excepciones que actualmente, están reguladas por el artículo 38 de la Ley 2080 de 2021 que modificó el parágrafo 2 del artículo 175 del CPACA, y quedó así: </w:t>
      </w:r>
      <w:r w:rsidRPr="005066D0">
        <w:rPr>
          <w:rFonts w:ascii="Verdana" w:hAnsi="Verdana"/>
          <w:i/>
          <w:iCs/>
          <w:sz w:val="18"/>
          <w:szCs w:val="18"/>
        </w:rPr>
        <w:t>“(…) Las excepciones previas se formularán y decidirán según lo regulado en los artículos 100, 101 Y 102 del Código General del Proceso. Cuando se requiera la práctica de pruebas a que se refiere el inciso segundo del artículo 101 del citado código, el juez o magistrado ponente las decretará en el auto que cita a la audiencia inicial, y en el curso de esta las practicará. Allí mismo, resolverá las excepciones previas que requirieron pruebas y estén pendientes de decisión. (…) Las excepciones de cosa juzgada, caducidad, transacción, conciliación, falta manifiesta de legitimación en la causa y prescripción extintiva, se declararán fundadas mediante sentencia anticipada, en los términos previstos en el numeral tercero del artículo 182A.”</w:t>
      </w:r>
    </w:p>
  </w:footnote>
  <w:footnote w:id="2">
    <w:p w14:paraId="18096372" w14:textId="77777777" w:rsidR="005066D0" w:rsidRPr="005066D0" w:rsidRDefault="005066D0" w:rsidP="005066D0">
      <w:pPr>
        <w:spacing w:after="0" w:line="240" w:lineRule="auto"/>
        <w:jc w:val="both"/>
        <w:rPr>
          <w:rFonts w:ascii="Verdana" w:hAnsi="Verdana"/>
          <w:sz w:val="18"/>
          <w:szCs w:val="18"/>
        </w:rPr>
      </w:pPr>
    </w:p>
    <w:p w14:paraId="4E9E7E38" w14:textId="77C6932F" w:rsidR="00647618" w:rsidRPr="005066D0" w:rsidRDefault="00647618" w:rsidP="005066D0">
      <w:pPr>
        <w:spacing w:after="0" w:line="240" w:lineRule="auto"/>
        <w:jc w:val="both"/>
        <w:rPr>
          <w:rFonts w:ascii="Verdana" w:hAnsi="Verdana"/>
          <w:sz w:val="18"/>
          <w:szCs w:val="18"/>
        </w:rPr>
      </w:pPr>
      <w:r w:rsidRPr="005066D0">
        <w:rPr>
          <w:rStyle w:val="Refdenotaalpie"/>
          <w:rFonts w:ascii="Verdana" w:hAnsi="Verdana"/>
          <w:sz w:val="18"/>
          <w:szCs w:val="18"/>
        </w:rPr>
        <w:footnoteRef/>
      </w:r>
      <w:r w:rsidRPr="005066D0">
        <w:rPr>
          <w:rFonts w:ascii="Verdana" w:hAnsi="Verdana"/>
          <w:sz w:val="18"/>
          <w:szCs w:val="18"/>
        </w:rPr>
        <w:t xml:space="preserve"> “</w:t>
      </w:r>
      <w:r w:rsidRPr="005066D0">
        <w:rPr>
          <w:rFonts w:ascii="Verdana" w:eastAsia="Times New Roman" w:hAnsi="Verdana" w:cs="Open Sans"/>
          <w:color w:val="000000" w:themeColor="text1"/>
          <w:sz w:val="18"/>
          <w:szCs w:val="18"/>
          <w:lang w:eastAsia="es-CO"/>
        </w:rPr>
        <w:t>En todo caso la sanción deberá ser comunicada a la Mesa Directiva de la respectiva Corporación, para que a través de ella se le dé cumplimiento, siempre que ello implique limitación de derechos congresuales”.</w:t>
      </w:r>
    </w:p>
  </w:footnote>
  <w:footnote w:id="3">
    <w:p w14:paraId="4E9E7E39" w14:textId="2D9464BF" w:rsidR="00647618" w:rsidRPr="005066D0" w:rsidRDefault="00647618" w:rsidP="005066D0">
      <w:pPr>
        <w:spacing w:after="0" w:line="240" w:lineRule="auto"/>
        <w:jc w:val="both"/>
        <w:rPr>
          <w:rFonts w:ascii="Verdana" w:hAnsi="Verdana" w:cstheme="minorHAnsi"/>
          <w:sz w:val="18"/>
          <w:szCs w:val="18"/>
        </w:rPr>
      </w:pPr>
      <w:r w:rsidRPr="005066D0">
        <w:rPr>
          <w:rStyle w:val="Refdenotaalpie"/>
          <w:rFonts w:ascii="Verdana" w:hAnsi="Verdana" w:cstheme="minorHAnsi"/>
          <w:sz w:val="18"/>
          <w:szCs w:val="18"/>
        </w:rPr>
        <w:footnoteRef/>
      </w:r>
      <w:r w:rsidRPr="005066D0">
        <w:rPr>
          <w:rFonts w:ascii="Verdana" w:hAnsi="Verdana" w:cstheme="minorHAnsi"/>
          <w:sz w:val="18"/>
          <w:szCs w:val="18"/>
        </w:rPr>
        <w:t xml:space="preserve"> </w:t>
      </w:r>
      <w:r w:rsidRPr="005066D0">
        <w:rPr>
          <w:rFonts w:ascii="Verdana" w:hAnsi="Verdana" w:cstheme="minorHAnsi"/>
          <w:sz w:val="18"/>
          <w:szCs w:val="18"/>
        </w:rPr>
        <w:t xml:space="preserve">Sección Cuarta, </w:t>
      </w:r>
      <w:r w:rsidR="005066D0" w:rsidRPr="005066D0">
        <w:rPr>
          <w:rFonts w:ascii="Verdana" w:hAnsi="Verdana" w:cstheme="minorHAnsi"/>
          <w:sz w:val="18"/>
          <w:szCs w:val="18"/>
        </w:rPr>
        <w:t>MP.</w:t>
      </w:r>
      <w:r w:rsidRPr="005066D0">
        <w:rPr>
          <w:rFonts w:ascii="Verdana" w:hAnsi="Verdana" w:cstheme="minorHAnsi"/>
          <w:sz w:val="18"/>
          <w:szCs w:val="18"/>
        </w:rPr>
        <w:t xml:space="preserve"> Dr. JORGE OCTAVIO RAMIREZ RAMIREZ; Rad. 68001-23-33-000-2013-00296-01(20212).</w:t>
      </w:r>
    </w:p>
  </w:footnote>
  <w:footnote w:id="4">
    <w:p w14:paraId="45DBD7F6" w14:textId="77777777" w:rsidR="00A405F6" w:rsidRDefault="00A405F6" w:rsidP="005066D0">
      <w:pPr>
        <w:spacing w:after="0" w:line="240" w:lineRule="auto"/>
        <w:jc w:val="both"/>
        <w:rPr>
          <w:rFonts w:ascii="Verdana" w:hAnsi="Verdana" w:cstheme="minorHAnsi"/>
          <w:sz w:val="18"/>
          <w:szCs w:val="18"/>
        </w:rPr>
      </w:pPr>
    </w:p>
    <w:p w14:paraId="4E9E7E3B" w14:textId="7AC07F2D" w:rsidR="00647618" w:rsidRPr="005066D0" w:rsidRDefault="00647618" w:rsidP="005066D0">
      <w:pPr>
        <w:spacing w:after="0" w:line="240" w:lineRule="auto"/>
        <w:jc w:val="both"/>
        <w:rPr>
          <w:rFonts w:ascii="Verdana" w:hAnsi="Verdana" w:cstheme="minorHAnsi"/>
          <w:sz w:val="18"/>
          <w:szCs w:val="18"/>
          <w:lang w:val="es-MX"/>
        </w:rPr>
      </w:pPr>
      <w:r w:rsidRPr="005066D0">
        <w:rPr>
          <w:rStyle w:val="Refdenotaalpie"/>
          <w:rFonts w:ascii="Verdana" w:hAnsi="Verdana" w:cstheme="minorHAnsi"/>
          <w:sz w:val="18"/>
          <w:szCs w:val="18"/>
        </w:rPr>
        <w:footnoteRef/>
      </w:r>
      <w:r w:rsidR="005066D0" w:rsidRPr="005066D0">
        <w:rPr>
          <w:rFonts w:ascii="Verdana" w:hAnsi="Verdana" w:cstheme="minorHAnsi"/>
          <w:sz w:val="18"/>
          <w:szCs w:val="18"/>
        </w:rPr>
        <w:t xml:space="preserve"> </w:t>
      </w:r>
      <w:r w:rsidRPr="005066D0">
        <w:rPr>
          <w:rFonts w:ascii="Verdana" w:hAnsi="Verdana" w:cstheme="minorHAnsi"/>
          <w:sz w:val="18"/>
          <w:szCs w:val="18"/>
        </w:rPr>
        <w:t>Consejo de Estado, Sección Cuarta</w:t>
      </w:r>
      <w:r w:rsidR="005066D0" w:rsidRPr="005066D0">
        <w:rPr>
          <w:rFonts w:ascii="Verdana" w:hAnsi="Verdana" w:cstheme="minorHAnsi"/>
          <w:sz w:val="18"/>
          <w:szCs w:val="18"/>
        </w:rPr>
        <w:t xml:space="preserve">. MP. Dra. </w:t>
      </w:r>
      <w:r w:rsidRPr="005066D0">
        <w:rPr>
          <w:rFonts w:ascii="Verdana" w:hAnsi="Verdana" w:cstheme="minorHAnsi"/>
          <w:sz w:val="18"/>
          <w:szCs w:val="18"/>
        </w:rPr>
        <w:t>Ligia López Díaz, providencia del 30 de marzo de 2006, Radicación número: 25000-23-27-000-2005-01131-01(15784). Ver también sentencias del 15 de noviembre de 1996, exp. 7875, C.P. Consuelo Sarriá Olcos, del 9 de agosto de 1991, exp. 5934 C.P. Julio Cesar Uribe Acosta y del 14 de septiembre de 2000, exp. 6314 C.P. Juan Alberto Polo.</w:t>
      </w:r>
    </w:p>
  </w:footnote>
  <w:footnote w:id="5">
    <w:p w14:paraId="4E9E7E3C" w14:textId="700C0533" w:rsidR="00647618" w:rsidRPr="005066D0" w:rsidRDefault="00647618" w:rsidP="005066D0">
      <w:pPr>
        <w:spacing w:after="0" w:line="240" w:lineRule="auto"/>
        <w:jc w:val="both"/>
        <w:rPr>
          <w:rFonts w:ascii="Verdana" w:hAnsi="Verdana" w:cstheme="minorHAnsi"/>
          <w:sz w:val="18"/>
          <w:szCs w:val="18"/>
          <w:lang w:val="es-MX"/>
        </w:rPr>
      </w:pPr>
      <w:r w:rsidRPr="005066D0">
        <w:rPr>
          <w:rStyle w:val="Refdenotaalpie"/>
          <w:rFonts w:ascii="Verdana" w:hAnsi="Verdana" w:cstheme="minorHAnsi"/>
          <w:sz w:val="18"/>
          <w:szCs w:val="18"/>
        </w:rPr>
        <w:footnoteRef/>
      </w:r>
      <w:r w:rsidR="005066D0" w:rsidRPr="005066D0">
        <w:rPr>
          <w:rFonts w:ascii="Verdana" w:hAnsi="Verdana" w:cstheme="minorHAnsi"/>
          <w:sz w:val="18"/>
          <w:szCs w:val="18"/>
        </w:rPr>
        <w:t xml:space="preserve"> </w:t>
      </w:r>
      <w:r w:rsidRPr="005066D0">
        <w:rPr>
          <w:rFonts w:ascii="Verdana" w:hAnsi="Verdana" w:cstheme="minorHAnsi"/>
          <w:sz w:val="18"/>
          <w:szCs w:val="18"/>
        </w:rPr>
        <w:t xml:space="preserve">Consejo de Estado, Sección Segunda, Subsección “A”, </w:t>
      </w:r>
      <w:r w:rsidR="005066D0" w:rsidRPr="005066D0">
        <w:rPr>
          <w:rFonts w:ascii="Verdana" w:hAnsi="Verdana" w:cstheme="minorHAnsi"/>
          <w:sz w:val="18"/>
          <w:szCs w:val="18"/>
        </w:rPr>
        <w:t>MP. Dr.</w:t>
      </w:r>
      <w:r w:rsidRPr="005066D0">
        <w:rPr>
          <w:rFonts w:ascii="Verdana" w:hAnsi="Verdana" w:cstheme="minorHAnsi"/>
          <w:sz w:val="18"/>
          <w:szCs w:val="18"/>
        </w:rPr>
        <w:t xml:space="preserve"> Luis Rafael Vergara Quintero, auto del 15 de abril de 2010, Radicación número: 52001-23-31-000- 2008-00014-01(1051-08)</w:t>
      </w:r>
      <w:r w:rsidR="005066D0" w:rsidRPr="005066D0">
        <w:rPr>
          <w:rFonts w:ascii="Verdana" w:hAnsi="Verdana" w:cstheme="minorHAnsi"/>
          <w:sz w:val="18"/>
          <w:szCs w:val="18"/>
        </w:rPr>
        <w:t>.</w:t>
      </w:r>
    </w:p>
  </w:footnote>
  <w:footnote w:id="6">
    <w:p w14:paraId="30BEAC3C" w14:textId="77777777" w:rsidR="00A405F6" w:rsidRDefault="00A405F6" w:rsidP="005066D0">
      <w:pPr>
        <w:spacing w:after="0" w:line="240" w:lineRule="auto"/>
        <w:jc w:val="both"/>
        <w:rPr>
          <w:rFonts w:ascii="Verdana" w:hAnsi="Verdana"/>
          <w:sz w:val="18"/>
          <w:szCs w:val="18"/>
        </w:rPr>
      </w:pPr>
    </w:p>
    <w:p w14:paraId="4E9E7E3D" w14:textId="26853367" w:rsidR="00647618" w:rsidRPr="005066D0" w:rsidRDefault="00647618" w:rsidP="005066D0">
      <w:pPr>
        <w:spacing w:after="0" w:line="240" w:lineRule="auto"/>
        <w:jc w:val="both"/>
        <w:rPr>
          <w:rFonts w:ascii="Verdana" w:hAnsi="Verdana" w:cs="Open Sans"/>
          <w:color w:val="000000" w:themeColor="text1"/>
          <w:sz w:val="18"/>
          <w:szCs w:val="18"/>
          <w:lang w:eastAsia="es-CO"/>
        </w:rPr>
      </w:pPr>
      <w:r w:rsidRPr="00A405F6">
        <w:rPr>
          <w:rStyle w:val="Refdenotaalpie"/>
          <w:rFonts w:ascii="Verdana" w:hAnsi="Verdana"/>
          <w:sz w:val="18"/>
          <w:szCs w:val="18"/>
        </w:rPr>
        <w:footnoteRef/>
      </w:r>
      <w:r w:rsidRPr="00A405F6">
        <w:rPr>
          <w:rFonts w:ascii="Verdana" w:hAnsi="Verdana"/>
          <w:sz w:val="18"/>
          <w:szCs w:val="18"/>
        </w:rPr>
        <w:t xml:space="preserve"> </w:t>
      </w:r>
      <w:bookmarkStart w:id="1" w:name="4"/>
      <w:r w:rsidRPr="00A405F6">
        <w:rPr>
          <w:rFonts w:ascii="Verdana" w:hAnsi="Verdana" w:cs="Open Sans"/>
          <w:color w:val="000000" w:themeColor="text1"/>
          <w:sz w:val="18"/>
          <w:szCs w:val="18"/>
          <w:lang w:eastAsia="es-CO"/>
        </w:rPr>
        <w:t>ARTÍCULO 4o. ESTATUTOS.</w:t>
      </w:r>
      <w:bookmarkEnd w:id="1"/>
      <w:r w:rsidRPr="005066D0">
        <w:rPr>
          <w:rFonts w:ascii="Verdana" w:hAnsi="Verdana" w:cs="Open Sans"/>
          <w:color w:val="000000" w:themeColor="text1"/>
          <w:sz w:val="18"/>
          <w:szCs w:val="18"/>
          <w:lang w:eastAsia="es-CO"/>
        </w:rPr>
        <w:t xml:space="preserve"> Los partidos deberán establecer en sus estatutos las reglas especiales para el funcionamiento de sus bancadas y los mecanismos para la coordinación de sus decisiones dentro de las corporaciones públicas, en las que se establezcan obligaciones y responsabilidades distintas según se trate del cumplimiento de funciones legislativas, de control político o electorales, por parte de la respectiva corporación.</w:t>
      </w:r>
    </w:p>
    <w:p w14:paraId="4E9E7E3F" w14:textId="58C67D5B" w:rsidR="00647618" w:rsidRPr="005066D0" w:rsidRDefault="00647618" w:rsidP="005066D0">
      <w:pPr>
        <w:spacing w:after="0" w:line="240" w:lineRule="auto"/>
        <w:jc w:val="both"/>
        <w:rPr>
          <w:rFonts w:ascii="Verdana" w:eastAsia="Times New Roman" w:hAnsi="Verdana" w:cs="Open Sans"/>
          <w:color w:val="000000" w:themeColor="text1"/>
          <w:sz w:val="18"/>
          <w:szCs w:val="18"/>
          <w:lang w:eastAsia="es-CO"/>
        </w:rPr>
      </w:pPr>
      <w:r w:rsidRPr="005066D0">
        <w:rPr>
          <w:rFonts w:ascii="Verdana" w:eastAsia="Times New Roman" w:hAnsi="Verdana" w:cs="Open Sans"/>
          <w:color w:val="000000" w:themeColor="text1"/>
          <w:sz w:val="18"/>
          <w:szCs w:val="18"/>
          <w:lang w:eastAsia="es-CO"/>
        </w:rPr>
        <w:t>Asimismo, determinarán lo atinente a su régimen disciplinario interno. Podrán establecer sanciones por la inobservancia de sus directrices, las cuales se fijarán gradualmente hasta la expulsión, y podrán incluir la pérdida del derecho de voto del miembro de la respectiva corporación pública, observando el debido proceso</w:t>
      </w:r>
      <w:r w:rsidR="00A405F6">
        <w:rPr>
          <w:rFonts w:ascii="Verdana" w:eastAsia="Times New Roman" w:hAnsi="Verdana" w:cs="Open Sans"/>
          <w:color w:val="000000" w:themeColor="text1"/>
          <w:sz w:val="18"/>
          <w:szCs w:val="18"/>
          <w:lang w:eastAsia="es-CO"/>
        </w:rPr>
        <w:t>. (</w:t>
      </w:r>
      <w:r w:rsidRPr="005066D0">
        <w:rPr>
          <w:rFonts w:ascii="Verdana" w:eastAsia="Times New Roman" w:hAnsi="Verdana" w:cs="Open Sans"/>
          <w:color w:val="000000" w:themeColor="text1"/>
          <w:sz w:val="18"/>
          <w:szCs w:val="18"/>
          <w:lang w:eastAsia="es-CO"/>
        </w:rPr>
        <w:t>…</w:t>
      </w:r>
      <w:r w:rsidR="00147114" w:rsidRPr="005066D0">
        <w:rPr>
          <w:rFonts w:ascii="Verdana" w:eastAsia="Times New Roman" w:hAnsi="Verdana" w:cs="Open Sans"/>
          <w:color w:val="000000" w:themeColor="text1"/>
          <w:sz w:val="18"/>
          <w:szCs w:val="18"/>
          <w:lang w:eastAsia="es-CO"/>
        </w:rPr>
        <w:t>)”</w:t>
      </w:r>
    </w:p>
  </w:footnote>
  <w:footnote w:id="7">
    <w:p w14:paraId="27B25259" w14:textId="77777777" w:rsidR="00E00A31" w:rsidRDefault="00E00A31" w:rsidP="005066D0">
      <w:pPr>
        <w:spacing w:after="0" w:line="240" w:lineRule="auto"/>
        <w:jc w:val="both"/>
        <w:rPr>
          <w:rFonts w:ascii="Verdana" w:hAnsi="Verdana"/>
          <w:sz w:val="18"/>
          <w:szCs w:val="18"/>
        </w:rPr>
      </w:pPr>
    </w:p>
    <w:p w14:paraId="4E9E7E40" w14:textId="71641624" w:rsidR="00D21168" w:rsidRPr="00A405F6" w:rsidRDefault="00D21168" w:rsidP="005066D0">
      <w:pPr>
        <w:spacing w:after="0" w:line="240" w:lineRule="auto"/>
        <w:jc w:val="both"/>
        <w:rPr>
          <w:rFonts w:ascii="Verdana" w:hAnsi="Verdana"/>
          <w:sz w:val="18"/>
          <w:szCs w:val="18"/>
        </w:rPr>
      </w:pPr>
      <w:r w:rsidRPr="00A405F6">
        <w:rPr>
          <w:rStyle w:val="Refdenotaalpie"/>
          <w:rFonts w:ascii="Verdana" w:hAnsi="Verdana"/>
          <w:sz w:val="18"/>
          <w:szCs w:val="18"/>
        </w:rPr>
        <w:footnoteRef/>
      </w:r>
      <w:r w:rsidRPr="00A405F6">
        <w:rPr>
          <w:rFonts w:ascii="Verdana" w:hAnsi="Verdana"/>
          <w:sz w:val="18"/>
          <w:szCs w:val="18"/>
        </w:rPr>
        <w:t xml:space="preserve"> </w:t>
      </w:r>
      <w:r w:rsidRPr="00A405F6">
        <w:rPr>
          <w:rFonts w:ascii="Verdana" w:hAnsi="Verdana"/>
          <w:color w:val="000000" w:themeColor="text1"/>
          <w:sz w:val="18"/>
          <w:szCs w:val="18"/>
        </w:rPr>
        <w:t>“</w:t>
      </w:r>
      <w:r w:rsidRPr="00A405F6">
        <w:rPr>
          <w:rFonts w:ascii="Verdana" w:hAnsi="Verdana"/>
          <w:color w:val="000000" w:themeColor="text1"/>
          <w:sz w:val="18"/>
          <w:szCs w:val="18"/>
        </w:rPr>
        <w:t>Por la cual se dicta el Estatuto Básico de los partidos y movimientos políticos, se dictan normas sobre su financiación y la de las campañas electorales y se dictan otras disposiciones”</w:t>
      </w:r>
      <w:r w:rsidR="00A405F6" w:rsidRPr="00A405F6">
        <w:rPr>
          <w:rFonts w:ascii="Verdana" w:hAnsi="Verdana"/>
          <w:color w:val="000000" w:themeColor="text1"/>
          <w:sz w:val="18"/>
          <w:szCs w:val="18"/>
        </w:rPr>
        <w:t>.</w:t>
      </w:r>
    </w:p>
  </w:footnote>
  <w:footnote w:id="8">
    <w:p w14:paraId="4E9E7E41" w14:textId="785535DC" w:rsidR="00503792" w:rsidRPr="005066D0" w:rsidRDefault="00503792" w:rsidP="005066D0">
      <w:pPr>
        <w:spacing w:after="0" w:line="240" w:lineRule="auto"/>
        <w:jc w:val="both"/>
        <w:rPr>
          <w:rFonts w:ascii="Verdana" w:hAnsi="Verdana"/>
          <w:sz w:val="18"/>
          <w:szCs w:val="18"/>
        </w:rPr>
      </w:pPr>
      <w:r w:rsidRPr="005066D0">
        <w:rPr>
          <w:rStyle w:val="Refdenotaalpie"/>
          <w:rFonts w:ascii="Verdana" w:hAnsi="Verdana"/>
          <w:color w:val="000000" w:themeColor="text1"/>
          <w:sz w:val="18"/>
          <w:szCs w:val="18"/>
        </w:rPr>
        <w:footnoteRef/>
      </w:r>
      <w:r w:rsidRPr="005066D0">
        <w:rPr>
          <w:rFonts w:ascii="Verdana" w:hAnsi="Verdana"/>
          <w:color w:val="000000" w:themeColor="text1"/>
          <w:sz w:val="18"/>
          <w:szCs w:val="18"/>
        </w:rPr>
        <w:t xml:space="preserve"> </w:t>
      </w:r>
      <w:r w:rsidRPr="005066D0">
        <w:rPr>
          <w:rFonts w:ascii="Verdana" w:hAnsi="Verdana"/>
          <w:color w:val="000000" w:themeColor="text1"/>
          <w:sz w:val="18"/>
          <w:szCs w:val="18"/>
        </w:rPr>
        <w:t xml:space="preserve">Sección Tercera; </w:t>
      </w:r>
      <w:r w:rsidR="00B145E8">
        <w:rPr>
          <w:rFonts w:ascii="Verdana" w:hAnsi="Verdana"/>
          <w:color w:val="000000" w:themeColor="text1"/>
          <w:sz w:val="18"/>
          <w:szCs w:val="18"/>
        </w:rPr>
        <w:t>MP.</w:t>
      </w:r>
      <w:r w:rsidRPr="005066D0">
        <w:rPr>
          <w:rFonts w:ascii="Verdana" w:hAnsi="Verdana"/>
          <w:color w:val="000000" w:themeColor="text1"/>
          <w:sz w:val="18"/>
          <w:szCs w:val="18"/>
        </w:rPr>
        <w:t xml:space="preserve"> Dra. STELLA CONTO DIAZ DEL CASTILLO</w:t>
      </w:r>
      <w:r w:rsidR="00B145E8">
        <w:rPr>
          <w:rFonts w:ascii="Verdana" w:hAnsi="Verdana"/>
          <w:color w:val="000000" w:themeColor="text1"/>
          <w:sz w:val="18"/>
          <w:szCs w:val="18"/>
        </w:rPr>
        <w:t>. Se</w:t>
      </w:r>
      <w:r w:rsidRPr="005066D0">
        <w:rPr>
          <w:rFonts w:ascii="Verdana" w:hAnsi="Verdana"/>
          <w:color w:val="000000" w:themeColor="text1"/>
          <w:sz w:val="18"/>
          <w:szCs w:val="18"/>
        </w:rPr>
        <w:t>ntencia 5 de marzo de 2015; Rad. 25000-23-41-000-2013-00194-01(AP).</w:t>
      </w:r>
    </w:p>
  </w:footnote>
  <w:footnote w:id="9">
    <w:p w14:paraId="27DF7C70" w14:textId="77777777" w:rsidR="005D4C36" w:rsidRDefault="005D4C36" w:rsidP="005066D0">
      <w:pPr>
        <w:spacing w:after="0" w:line="240" w:lineRule="auto"/>
        <w:jc w:val="both"/>
        <w:rPr>
          <w:rFonts w:ascii="Verdana" w:hAnsi="Verdana"/>
          <w:sz w:val="18"/>
          <w:szCs w:val="18"/>
        </w:rPr>
      </w:pPr>
    </w:p>
    <w:p w14:paraId="4E9E7E42" w14:textId="11AFFF3D" w:rsidR="00CC1B26" w:rsidRPr="005066D0" w:rsidRDefault="00CC1B26" w:rsidP="005066D0">
      <w:pPr>
        <w:spacing w:after="0" w:line="240" w:lineRule="auto"/>
        <w:jc w:val="both"/>
        <w:rPr>
          <w:rFonts w:ascii="Verdana" w:hAnsi="Verdana"/>
          <w:sz w:val="18"/>
          <w:szCs w:val="18"/>
        </w:rPr>
      </w:pPr>
      <w:r w:rsidRPr="005066D0">
        <w:rPr>
          <w:rStyle w:val="Refdenotaalpie"/>
          <w:rFonts w:ascii="Verdana" w:hAnsi="Verdana"/>
          <w:sz w:val="18"/>
          <w:szCs w:val="18"/>
        </w:rPr>
        <w:footnoteRef/>
      </w:r>
      <w:r w:rsidRPr="005066D0">
        <w:rPr>
          <w:rFonts w:ascii="Verdana" w:hAnsi="Verdana"/>
          <w:sz w:val="18"/>
          <w:szCs w:val="18"/>
        </w:rPr>
        <w:t xml:space="preserve"> Sección Quinta; C.P. Dra. </w:t>
      </w:r>
      <w:r w:rsidRPr="005066D0">
        <w:rPr>
          <w:rFonts w:ascii="Verdana" w:hAnsi="Verdana"/>
          <w:sz w:val="18"/>
          <w:szCs w:val="18"/>
        </w:rPr>
        <w:t>LUCY JEANNETTE BERMÚDEZ BERMÚDEZ; Rad.  11001-03-28-000-2018-00091-00 (ACUMULADO 11001-03- 28-000-2018-00601-00)</w:t>
      </w:r>
    </w:p>
  </w:footnote>
  <w:footnote w:id="10">
    <w:p w14:paraId="4E9E7E43" w14:textId="7F0DF021" w:rsidR="00D42370" w:rsidRPr="005066D0" w:rsidRDefault="00D42370" w:rsidP="005066D0">
      <w:pPr>
        <w:spacing w:after="0" w:line="240" w:lineRule="auto"/>
        <w:jc w:val="both"/>
        <w:rPr>
          <w:rFonts w:ascii="Verdana" w:hAnsi="Verdana"/>
          <w:sz w:val="18"/>
          <w:szCs w:val="18"/>
        </w:rPr>
      </w:pPr>
      <w:r w:rsidRPr="005066D0">
        <w:rPr>
          <w:rStyle w:val="Refdenotaalpie"/>
          <w:rFonts w:ascii="Verdana" w:hAnsi="Verdana"/>
          <w:sz w:val="18"/>
          <w:szCs w:val="18"/>
        </w:rPr>
        <w:footnoteRef/>
      </w:r>
      <w:r w:rsidRPr="005066D0">
        <w:rPr>
          <w:rFonts w:ascii="Verdana" w:hAnsi="Verdana"/>
          <w:sz w:val="18"/>
          <w:szCs w:val="18"/>
        </w:rPr>
        <w:t xml:space="preserve"> </w:t>
      </w:r>
      <w:r w:rsidRPr="005066D0">
        <w:rPr>
          <w:rFonts w:ascii="Verdana" w:hAnsi="Verdana"/>
          <w:sz w:val="18"/>
          <w:szCs w:val="18"/>
        </w:rPr>
        <w:t xml:space="preserve">Sección Segunda, Subsección “A”; C.P. Dr. William Hernández Gómez; Rad. </w:t>
      </w:r>
      <w:r w:rsidRPr="005066D0">
        <w:rPr>
          <w:rFonts w:ascii="Verdana" w:hAnsi="Verdana" w:cs="Arial"/>
          <w:sz w:val="18"/>
          <w:szCs w:val="18"/>
        </w:rPr>
        <w:t>05001-23-33-000-2017-01114-01(0459-18)</w:t>
      </w:r>
    </w:p>
  </w:footnote>
  <w:footnote w:id="11">
    <w:p w14:paraId="4E9E7E44" w14:textId="77777777" w:rsidR="00D42370" w:rsidRPr="005066D0" w:rsidRDefault="00D42370" w:rsidP="005066D0">
      <w:pPr>
        <w:spacing w:after="0" w:line="240" w:lineRule="auto"/>
        <w:jc w:val="both"/>
        <w:rPr>
          <w:rFonts w:ascii="Verdana" w:hAnsi="Verdana"/>
          <w:sz w:val="18"/>
          <w:szCs w:val="18"/>
        </w:rPr>
      </w:pPr>
      <w:r w:rsidRPr="005066D0">
        <w:rPr>
          <w:rStyle w:val="Refdenotaalpie"/>
          <w:rFonts w:ascii="Verdana" w:hAnsi="Verdana"/>
          <w:sz w:val="18"/>
          <w:szCs w:val="18"/>
        </w:rPr>
        <w:footnoteRef/>
      </w:r>
      <w:r w:rsidRPr="005066D0">
        <w:rPr>
          <w:rFonts w:ascii="Verdana" w:hAnsi="Verdana"/>
          <w:sz w:val="18"/>
          <w:szCs w:val="18"/>
        </w:rPr>
        <w:t xml:space="preserve"> </w:t>
      </w:r>
      <w:r w:rsidRPr="005066D0">
        <w:rPr>
          <w:rFonts w:ascii="Verdana" w:hAnsi="Verdana"/>
          <w:sz w:val="18"/>
          <w:szCs w:val="18"/>
        </w:rPr>
        <w:t xml:space="preserve">Consejo de Estado, Sala de lo Contencioso Administrativo, Sección Segunda, Subsección A, providencia de 21 de abril de 2016, Consejero Ponente William Hernández Gómez, Rad. </w:t>
      </w:r>
      <w:r w:rsidRPr="005066D0">
        <w:rPr>
          <w:rFonts w:ascii="Verdana" w:hAnsi="Verdana"/>
          <w:spacing w:val="-10"/>
          <w:sz w:val="18"/>
          <w:szCs w:val="18"/>
        </w:rPr>
        <w:t>47-001-23-33-000-2013-00171-01 (</w:t>
      </w:r>
      <w:r w:rsidRPr="005066D0">
        <w:rPr>
          <w:rFonts w:ascii="Verdana" w:hAnsi="Verdana"/>
          <w:sz w:val="18"/>
          <w:szCs w:val="18"/>
        </w:rPr>
        <w:t>1416-2014).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7E30" w14:textId="77777777" w:rsidR="00647618" w:rsidRPr="007C61AB" w:rsidRDefault="00647618" w:rsidP="00452D64">
    <w:pPr>
      <w:spacing w:after="0" w:line="240" w:lineRule="auto"/>
      <w:jc w:val="center"/>
      <w:rPr>
        <w:rFonts w:ascii="Verdana" w:hAnsi="Verdana"/>
        <w:sz w:val="16"/>
        <w:szCs w:val="16"/>
      </w:rPr>
    </w:pPr>
    <w:r w:rsidRPr="007C61AB">
      <w:rPr>
        <w:rFonts w:ascii="Verdana" w:hAnsi="Verdana"/>
        <w:sz w:val="16"/>
        <w:szCs w:val="16"/>
      </w:rPr>
      <w:t>AUTO 2ª INSTANCIA</w:t>
    </w:r>
  </w:p>
  <w:p w14:paraId="4E9E7E31" w14:textId="77777777" w:rsidR="00647618" w:rsidRPr="00760014" w:rsidRDefault="00647618" w:rsidP="00452D64">
    <w:pPr>
      <w:spacing w:after="0" w:line="240" w:lineRule="auto"/>
      <w:jc w:val="center"/>
      <w:rPr>
        <w:rFonts w:ascii="Verdana" w:hAnsi="Verdana" w:cs="Arial"/>
        <w:sz w:val="16"/>
        <w:szCs w:val="16"/>
      </w:rPr>
    </w:pPr>
    <w:r w:rsidRPr="00760014">
      <w:rPr>
        <w:rFonts w:ascii="Verdana" w:hAnsi="Verdana" w:cs="Arial"/>
        <w:sz w:val="16"/>
        <w:szCs w:val="16"/>
      </w:rPr>
      <w:t>Héctor Mauricio Sánchez Abril</w:t>
    </w:r>
  </w:p>
  <w:p w14:paraId="4E9E7E34" w14:textId="04B3CA73" w:rsidR="00647618" w:rsidRPr="007C61AB" w:rsidRDefault="00647618" w:rsidP="00452D64">
    <w:pPr>
      <w:spacing w:after="0" w:line="240" w:lineRule="auto"/>
      <w:jc w:val="center"/>
      <w:rPr>
        <w:rFonts w:ascii="Verdana" w:hAnsi="Verdana"/>
        <w:sz w:val="16"/>
        <w:szCs w:val="16"/>
      </w:rPr>
    </w:pPr>
    <w:r w:rsidRPr="007C61AB">
      <w:rPr>
        <w:rFonts w:ascii="Verdana" w:hAnsi="Verdana" w:cs="Arial"/>
        <w:sz w:val="16"/>
        <w:szCs w:val="16"/>
      </w:rPr>
      <w:t xml:space="preserve">NyRD RAD. </w:t>
    </w:r>
    <w:r w:rsidRPr="00760014">
      <w:rPr>
        <w:rFonts w:ascii="Verdana" w:hAnsi="Verdana"/>
        <w:sz w:val="16"/>
        <w:szCs w:val="16"/>
      </w:rPr>
      <w:t>150013333009 201800132 01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68FE"/>
    <w:multiLevelType w:val="hybridMultilevel"/>
    <w:tmpl w:val="167E54D2"/>
    <w:lvl w:ilvl="0" w:tplc="8BAA987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64D574D"/>
    <w:multiLevelType w:val="hybridMultilevel"/>
    <w:tmpl w:val="340AF524"/>
    <w:lvl w:ilvl="0" w:tplc="B0C040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7C6C4C"/>
    <w:multiLevelType w:val="multilevel"/>
    <w:tmpl w:val="6510989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7F"/>
    <w:rsid w:val="00017E59"/>
    <w:rsid w:val="00061F37"/>
    <w:rsid w:val="00092890"/>
    <w:rsid w:val="000D5428"/>
    <w:rsid w:val="001137E1"/>
    <w:rsid w:val="00123756"/>
    <w:rsid w:val="0014393B"/>
    <w:rsid w:val="00147114"/>
    <w:rsid w:val="00154F25"/>
    <w:rsid w:val="001619DB"/>
    <w:rsid w:val="001769A1"/>
    <w:rsid w:val="00185352"/>
    <w:rsid w:val="001A45C1"/>
    <w:rsid w:val="001B0D16"/>
    <w:rsid w:val="001D2961"/>
    <w:rsid w:val="001E0FB9"/>
    <w:rsid w:val="001E3790"/>
    <w:rsid w:val="001F0508"/>
    <w:rsid w:val="001F553E"/>
    <w:rsid w:val="00210C24"/>
    <w:rsid w:val="002477D4"/>
    <w:rsid w:val="002573A5"/>
    <w:rsid w:val="002679CE"/>
    <w:rsid w:val="0027671B"/>
    <w:rsid w:val="002A3AC6"/>
    <w:rsid w:val="002D06FA"/>
    <w:rsid w:val="002D1D4D"/>
    <w:rsid w:val="00313368"/>
    <w:rsid w:val="00314D9D"/>
    <w:rsid w:val="00331591"/>
    <w:rsid w:val="00354884"/>
    <w:rsid w:val="003561CF"/>
    <w:rsid w:val="003658F3"/>
    <w:rsid w:val="00375881"/>
    <w:rsid w:val="003767FF"/>
    <w:rsid w:val="00376AF7"/>
    <w:rsid w:val="003D2B19"/>
    <w:rsid w:val="0040427E"/>
    <w:rsid w:val="00417091"/>
    <w:rsid w:val="00426F29"/>
    <w:rsid w:val="004350A9"/>
    <w:rsid w:val="00452D64"/>
    <w:rsid w:val="00456D96"/>
    <w:rsid w:val="00460C9D"/>
    <w:rsid w:val="004852F7"/>
    <w:rsid w:val="004C25D0"/>
    <w:rsid w:val="00503792"/>
    <w:rsid w:val="005066D0"/>
    <w:rsid w:val="00510D24"/>
    <w:rsid w:val="00525F5E"/>
    <w:rsid w:val="005354CE"/>
    <w:rsid w:val="00551728"/>
    <w:rsid w:val="00565AD8"/>
    <w:rsid w:val="005749B1"/>
    <w:rsid w:val="00575026"/>
    <w:rsid w:val="00585F08"/>
    <w:rsid w:val="005C358B"/>
    <w:rsid w:val="005D1BF2"/>
    <w:rsid w:val="005D4C36"/>
    <w:rsid w:val="00603EFF"/>
    <w:rsid w:val="00624B07"/>
    <w:rsid w:val="00632B94"/>
    <w:rsid w:val="006338AE"/>
    <w:rsid w:val="00642652"/>
    <w:rsid w:val="00642FC5"/>
    <w:rsid w:val="00647618"/>
    <w:rsid w:val="00675611"/>
    <w:rsid w:val="006835B0"/>
    <w:rsid w:val="00694840"/>
    <w:rsid w:val="006A4FA7"/>
    <w:rsid w:val="00711A5F"/>
    <w:rsid w:val="00733089"/>
    <w:rsid w:val="00740AAC"/>
    <w:rsid w:val="00746EB1"/>
    <w:rsid w:val="00760014"/>
    <w:rsid w:val="007603C1"/>
    <w:rsid w:val="0076267B"/>
    <w:rsid w:val="00774D0F"/>
    <w:rsid w:val="007833C0"/>
    <w:rsid w:val="00791D20"/>
    <w:rsid w:val="007A01FD"/>
    <w:rsid w:val="007A61D6"/>
    <w:rsid w:val="007A6779"/>
    <w:rsid w:val="007B55A6"/>
    <w:rsid w:val="007E1B47"/>
    <w:rsid w:val="007E5D90"/>
    <w:rsid w:val="008061D4"/>
    <w:rsid w:val="00833DF3"/>
    <w:rsid w:val="00851F87"/>
    <w:rsid w:val="00872527"/>
    <w:rsid w:val="0088303E"/>
    <w:rsid w:val="008A023C"/>
    <w:rsid w:val="008E2D2C"/>
    <w:rsid w:val="008E40F5"/>
    <w:rsid w:val="009104E5"/>
    <w:rsid w:val="0092286D"/>
    <w:rsid w:val="00941BD4"/>
    <w:rsid w:val="009459A7"/>
    <w:rsid w:val="00981E7D"/>
    <w:rsid w:val="00991144"/>
    <w:rsid w:val="009C2984"/>
    <w:rsid w:val="009C4201"/>
    <w:rsid w:val="009F6D79"/>
    <w:rsid w:val="00A03166"/>
    <w:rsid w:val="00A2370B"/>
    <w:rsid w:val="00A405F6"/>
    <w:rsid w:val="00A63FF4"/>
    <w:rsid w:val="00A92B07"/>
    <w:rsid w:val="00AC76F9"/>
    <w:rsid w:val="00B006ED"/>
    <w:rsid w:val="00B135C3"/>
    <w:rsid w:val="00B145E8"/>
    <w:rsid w:val="00B25B52"/>
    <w:rsid w:val="00B63245"/>
    <w:rsid w:val="00B70D9B"/>
    <w:rsid w:val="00B846CB"/>
    <w:rsid w:val="00B85B4C"/>
    <w:rsid w:val="00B96E9E"/>
    <w:rsid w:val="00BB300E"/>
    <w:rsid w:val="00BD3D17"/>
    <w:rsid w:val="00BF5938"/>
    <w:rsid w:val="00C01890"/>
    <w:rsid w:val="00C35FF6"/>
    <w:rsid w:val="00C61C9E"/>
    <w:rsid w:val="00C64B60"/>
    <w:rsid w:val="00C7205F"/>
    <w:rsid w:val="00C80E38"/>
    <w:rsid w:val="00C9726F"/>
    <w:rsid w:val="00CB7DF5"/>
    <w:rsid w:val="00CC1B26"/>
    <w:rsid w:val="00CF3B24"/>
    <w:rsid w:val="00D01586"/>
    <w:rsid w:val="00D0246D"/>
    <w:rsid w:val="00D21168"/>
    <w:rsid w:val="00D24771"/>
    <w:rsid w:val="00D42370"/>
    <w:rsid w:val="00D47EFC"/>
    <w:rsid w:val="00D6567F"/>
    <w:rsid w:val="00D877B1"/>
    <w:rsid w:val="00D9779C"/>
    <w:rsid w:val="00DA48F2"/>
    <w:rsid w:val="00DC5654"/>
    <w:rsid w:val="00DD3CEA"/>
    <w:rsid w:val="00DE1C19"/>
    <w:rsid w:val="00E00A31"/>
    <w:rsid w:val="00E01D89"/>
    <w:rsid w:val="00E02DCF"/>
    <w:rsid w:val="00E201BD"/>
    <w:rsid w:val="00E22218"/>
    <w:rsid w:val="00E43797"/>
    <w:rsid w:val="00E53CB6"/>
    <w:rsid w:val="00E77128"/>
    <w:rsid w:val="00EC0D27"/>
    <w:rsid w:val="00ED6DAE"/>
    <w:rsid w:val="00EF4735"/>
    <w:rsid w:val="00F1735B"/>
    <w:rsid w:val="00F34EDE"/>
    <w:rsid w:val="00F44543"/>
    <w:rsid w:val="00F65043"/>
    <w:rsid w:val="00F84066"/>
    <w:rsid w:val="00FA0364"/>
    <w:rsid w:val="00FA0E7D"/>
    <w:rsid w:val="00FA4C3E"/>
    <w:rsid w:val="00FA6DA1"/>
    <w:rsid w:val="00FC2842"/>
    <w:rsid w:val="00FD2A7C"/>
    <w:rsid w:val="00FD6EFC"/>
    <w:rsid w:val="00FF3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CFF"/>
  <w15:chartTrackingRefBased/>
  <w15:docId w15:val="{F9490226-B4E5-4D95-AEAB-B3CF4141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56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6567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D6567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656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notaalpie">
    <w:name w:val="footnote reference"/>
    <w:aliases w:val="Ref. de nota al pie 2,Texto de nota al pie,Footnotes refss,Appel note de bas de page,referencia nota al pie,Pie de Página,FC,Texto de nota al pi,Footnote number,BVI fnr,f,4_G,16 Point,Superscript 6 Point,Texto nota al pie,Ref,F,4,R"/>
    <w:link w:val="4GChar"/>
    <w:uiPriority w:val="99"/>
    <w:qFormat/>
    <w:rsid w:val="00D6567F"/>
    <w:rPr>
      <w:vertAlign w:val="superscript"/>
    </w:rPr>
  </w:style>
  <w:style w:type="paragraph" w:customStyle="1" w:styleId="Textodebloque1">
    <w:name w:val="Texto de bloque1"/>
    <w:basedOn w:val="Normal"/>
    <w:rsid w:val="00D6567F"/>
    <w:pPr>
      <w:overflowPunct w:val="0"/>
      <w:autoSpaceDE w:val="0"/>
      <w:autoSpaceDN w:val="0"/>
      <w:adjustRightInd w:val="0"/>
      <w:spacing w:after="0" w:line="360" w:lineRule="auto"/>
      <w:ind w:left="360" w:right="51"/>
      <w:jc w:val="both"/>
    </w:pPr>
    <w:rPr>
      <w:rFonts w:ascii="Arial" w:eastAsia="Times New Roman" w:hAnsi="Arial" w:cs="Times New Roman"/>
      <w:sz w:val="28"/>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6567F"/>
    <w:pPr>
      <w:spacing w:after="0" w:line="240" w:lineRule="auto"/>
      <w:jc w:val="both"/>
    </w:pPr>
    <w:rPr>
      <w:vertAlign w:val="superscript"/>
    </w:rPr>
  </w:style>
  <w:style w:type="paragraph" w:styleId="Prrafodelista">
    <w:name w:val="List Paragraph"/>
    <w:basedOn w:val="Normal"/>
    <w:uiPriority w:val="34"/>
    <w:qFormat/>
    <w:rsid w:val="00D6567F"/>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apple-converted-space">
    <w:name w:val="apple-converted-space"/>
    <w:rsid w:val="00D6567F"/>
  </w:style>
  <w:style w:type="table" w:styleId="Tablaconcuadrcula">
    <w:name w:val="Table Grid"/>
    <w:basedOn w:val="Tablanormal"/>
    <w:uiPriority w:val="39"/>
    <w:rsid w:val="00D65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D65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567F"/>
  </w:style>
  <w:style w:type="character" w:customStyle="1" w:styleId="normaltextrun">
    <w:name w:val="normaltextrun"/>
    <w:basedOn w:val="Fuentedeprrafopredeter"/>
    <w:rsid w:val="00D6567F"/>
  </w:style>
  <w:style w:type="paragraph" w:styleId="Textonotapie">
    <w:name w:val="footnote text"/>
    <w:aliases w:val=" Car,Footnote Text Char Char Char Char Char,Footnote Text Char Char Char Char,Footnote reference,FA Fu,Footnote Text Char Char Char,MI NOTA PIE DE PÁGINA (TEXTO),Footnote Text Cha,FA Fußnotentext,FA Fuﬂnotentext, C,Footnote Text Char,Car"/>
    <w:basedOn w:val="Normal"/>
    <w:link w:val="TextonotapieCar"/>
    <w:uiPriority w:val="99"/>
    <w:unhideWhenUsed/>
    <w:qFormat/>
    <w:rsid w:val="00E43797"/>
    <w:pPr>
      <w:spacing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Footnote Text Char Char Char Car,MI NOTA PIE DE PÁGINA (TEXTO) Car,Footnote Text Cha Car,FA Fußnotentext Car"/>
    <w:basedOn w:val="Fuentedeprrafopredeter"/>
    <w:link w:val="Textonotapie"/>
    <w:uiPriority w:val="99"/>
    <w:rsid w:val="00E437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2278">
      <w:bodyDiv w:val="1"/>
      <w:marLeft w:val="0"/>
      <w:marRight w:val="0"/>
      <w:marTop w:val="0"/>
      <w:marBottom w:val="0"/>
      <w:divBdr>
        <w:top w:val="none" w:sz="0" w:space="0" w:color="auto"/>
        <w:left w:val="none" w:sz="0" w:space="0" w:color="auto"/>
        <w:bottom w:val="none" w:sz="0" w:space="0" w:color="auto"/>
        <w:right w:val="none" w:sz="0" w:space="0" w:color="auto"/>
      </w:divBdr>
    </w:div>
    <w:div w:id="14123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BB79-5A4B-814F-89A8-06F288DA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20</Pages>
  <Words>5286</Words>
  <Characters>34576</Characters>
  <Application>Microsoft Macintosh Word</Application>
  <DocSecurity>0</DocSecurity>
  <Lines>3143</Lines>
  <Paragraphs>3066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EXITO79</dc:creator>
  <cp:keywords/>
  <dc:description/>
  <cp:lastModifiedBy>Usuario de Microsoft Office</cp:lastModifiedBy>
  <cp:revision>114</cp:revision>
  <dcterms:created xsi:type="dcterms:W3CDTF">2021-09-20T19:54:00Z</dcterms:created>
  <dcterms:modified xsi:type="dcterms:W3CDTF">2021-10-14T21:35:00Z</dcterms:modified>
</cp:coreProperties>
</file>