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3BA45" w14:textId="778CF9F6" w:rsidR="006D4CDC" w:rsidRDefault="006D4CDC" w:rsidP="006D4CDC">
      <w:pPr>
        <w:jc w:val="both"/>
        <w:rPr>
          <w:rFonts w:ascii="Arial" w:hAnsi="Arial" w:cs="Arial"/>
          <w:b/>
          <w:szCs w:val="22"/>
        </w:rPr>
      </w:pPr>
      <w:r>
        <w:rPr>
          <w:rFonts w:ascii="Arial" w:hAnsi="Arial" w:cs="Arial"/>
          <w:b/>
          <w:szCs w:val="22"/>
        </w:rPr>
        <w:t>PROVISIÓN DE EMPLEOS PÚBLICOS / Presupuestos constitucionales.</w:t>
      </w:r>
    </w:p>
    <w:p w14:paraId="049F8A65" w14:textId="77777777" w:rsidR="006D4CDC" w:rsidRDefault="006D4CDC" w:rsidP="006D4CDC">
      <w:pPr>
        <w:jc w:val="both"/>
        <w:rPr>
          <w:rFonts w:ascii="Arial" w:hAnsi="Arial" w:cs="Arial"/>
          <w:b/>
          <w:szCs w:val="22"/>
        </w:rPr>
      </w:pPr>
    </w:p>
    <w:p w14:paraId="765E5830" w14:textId="3D3EBFC5" w:rsidR="006D4CDC" w:rsidRDefault="006D4CDC" w:rsidP="0088628C">
      <w:pPr>
        <w:jc w:val="both"/>
        <w:rPr>
          <w:rFonts w:ascii="Arial" w:hAnsi="Arial" w:cs="Arial"/>
          <w:szCs w:val="22"/>
        </w:rPr>
      </w:pPr>
      <w:r w:rsidRPr="006D4CDC">
        <w:rPr>
          <w:rFonts w:ascii="Arial" w:hAnsi="Arial" w:cs="Arial"/>
          <w:szCs w:val="22"/>
        </w:rPr>
        <w:t>Ahora bien, es del caso señalar que para que un empleo público pueda proveerse deben presentarse los siguientes tres presupuestos, a saber</w:t>
      </w:r>
      <w:r w:rsidRPr="006D4CDC">
        <w:rPr>
          <w:rFonts w:ascii="Arial" w:hAnsi="Arial" w:cs="Arial"/>
          <w:szCs w:val="22"/>
        </w:rPr>
        <w:t xml:space="preserve">:  </w:t>
      </w:r>
      <w:r w:rsidRPr="006D4CDC">
        <w:rPr>
          <w:rFonts w:ascii="Arial" w:hAnsi="Arial" w:cs="Arial"/>
          <w:szCs w:val="22"/>
        </w:rPr>
        <w:t>a.) La existencia del empleo en la planta de personal de la entidad (art. 122 C. P.).  Si el empleo no está previsto en la respectiva planta de personal, es imposible aceptar que se puede desempeñar lo que no existe.</w:t>
      </w:r>
      <w:r w:rsidRPr="006D4CDC">
        <w:rPr>
          <w:rFonts w:ascii="Arial" w:hAnsi="Arial" w:cs="Arial"/>
          <w:szCs w:val="22"/>
        </w:rPr>
        <w:t xml:space="preserve"> </w:t>
      </w:r>
      <w:r w:rsidRPr="006D4CDC">
        <w:rPr>
          <w:rFonts w:ascii="Arial" w:hAnsi="Arial" w:cs="Arial"/>
          <w:szCs w:val="22"/>
        </w:rPr>
        <w:t xml:space="preserve">b.) La determinación de las "funciones" propias del cargo ya previsto en la planta de personal (Art. 122 de la C. P.). </w:t>
      </w:r>
      <w:proofErr w:type="gramStart"/>
      <w:r w:rsidRPr="006D4CDC">
        <w:rPr>
          <w:rFonts w:ascii="Arial" w:hAnsi="Arial" w:cs="Arial"/>
          <w:szCs w:val="22"/>
        </w:rPr>
        <w:t>Para la determinación de dichas funciones se tienen en cuenta las de la Entidad, de la dependencia donde se labora y de la labor que cumple;</w:t>
      </w:r>
      <w:proofErr w:type="gramEnd"/>
      <w:r w:rsidRPr="006D4CDC">
        <w:rPr>
          <w:rFonts w:ascii="Arial" w:hAnsi="Arial" w:cs="Arial"/>
          <w:szCs w:val="22"/>
        </w:rPr>
        <w:t xml:space="preserve"> especialmente se observan los manuales "general y el específico" de funciones y requisitos aplicables. c.) La previsión de los recursos en el presupuesto para el pago de los gastos que demande el empleo. Tienen que ver con el salario, prestaciones sociales, etc. (Art. 122 de la C. P.).</w:t>
      </w:r>
    </w:p>
    <w:p w14:paraId="3FD9E0B4" w14:textId="77777777" w:rsidR="0088628C" w:rsidRDefault="0088628C" w:rsidP="0088628C">
      <w:pPr>
        <w:jc w:val="both"/>
        <w:rPr>
          <w:rFonts w:ascii="Arial" w:hAnsi="Arial" w:cs="Arial"/>
          <w:szCs w:val="22"/>
        </w:rPr>
      </w:pPr>
    </w:p>
    <w:p w14:paraId="248E28F7" w14:textId="7324AD31" w:rsidR="0088628C" w:rsidRPr="0088628C" w:rsidRDefault="0088628C" w:rsidP="0088628C">
      <w:pPr>
        <w:jc w:val="both"/>
        <w:rPr>
          <w:rFonts w:ascii="Arial" w:hAnsi="Arial" w:cs="Arial"/>
          <w:b/>
          <w:szCs w:val="22"/>
        </w:rPr>
      </w:pPr>
      <w:r>
        <w:rPr>
          <w:rFonts w:ascii="Arial" w:hAnsi="Arial" w:cs="Arial"/>
          <w:b/>
          <w:szCs w:val="22"/>
        </w:rPr>
        <w:t>COMPENTENCIAS DE CONCEJOS Y ALCALDES MUNICIPALES. / Corresponde al Concejo fijar las escalas de remuneración y al alcalde fijar los salarios dentro de los señalamientos previamente dispuestos por el Concejo.</w:t>
      </w:r>
    </w:p>
    <w:p w14:paraId="2B4FBAD7" w14:textId="77777777" w:rsidR="0088628C" w:rsidRDefault="0088628C" w:rsidP="0088628C">
      <w:pPr>
        <w:jc w:val="both"/>
        <w:rPr>
          <w:rFonts w:ascii="Arial" w:hAnsi="Arial" w:cs="Arial"/>
          <w:szCs w:val="22"/>
        </w:rPr>
      </w:pPr>
    </w:p>
    <w:p w14:paraId="06A6EEDC" w14:textId="0DCB005E" w:rsidR="0088628C" w:rsidRDefault="0088628C" w:rsidP="0088628C">
      <w:pPr>
        <w:jc w:val="both"/>
        <w:rPr>
          <w:rFonts w:ascii="Arial" w:hAnsi="Arial" w:cs="Arial"/>
          <w:szCs w:val="22"/>
        </w:rPr>
      </w:pPr>
      <w:r w:rsidRPr="0088628C">
        <w:rPr>
          <w:rFonts w:ascii="Arial" w:hAnsi="Arial" w:cs="Arial"/>
          <w:szCs w:val="22"/>
        </w:rPr>
        <w:t>Frente a las diferentes competencias atribuidas a los concejos y a los alcaldes, el Consejo de Estado precisó de acuerdo con lo previsto en los incisos 2º de los artículos 288 y 289 del Código de Régimen Municipal, al Concejo le corresponde, entre otros deberes, determinar las plantas de personal de la contraloría, personería, auditoría, revisoría, así como la del propio concejo. Así lo expresó:</w:t>
      </w:r>
      <w:r w:rsidRPr="0088628C">
        <w:rPr>
          <w:rFonts w:ascii="Arial" w:hAnsi="Arial" w:cs="Arial"/>
          <w:szCs w:val="22"/>
        </w:rPr>
        <w:t xml:space="preserve"> </w:t>
      </w:r>
      <w:r w:rsidRPr="0088628C">
        <w:rPr>
          <w:rFonts w:ascii="Arial" w:hAnsi="Arial" w:cs="Arial"/>
          <w:i/>
          <w:szCs w:val="22"/>
        </w:rPr>
        <w:t>“Frente a este marco normativo la Constitución de 1991 introdujo en estas materias una clara distinción. Si bien reprodujo, como ya se hizo notar, el precepto contenido en el numeral 3º del Artículo 197 de la derogada Carta, señaló funciones propias al alcalde y estableció en favor de éste la facultad de crear, suprimir o fusionar empleos y de fijar los emolumentos de los empleos de sus dependencias, lo que antes estaba atribuido al concejo. En otras palabras, el concejo perdió la facultad de establecer las plantas de personal; y la de fijar los salarios, la que ahora corresponde al alcalde, dentro de los señalamientos que previamente y de manera general haya hecho el concejo en cuanto a organización administrativa, funciones generales de las dependencias, escalas salariales y categorías de empleos y presupuestos para gastos de personal. Si bien, conservó la de determinar la estructura de la administración, las funciones generales de las dependencias, las escalas de remuneración y categorías de cargos (Artículo 316 - 6 C.P.), como las de fijar las plantas de personal de los organismos de control (contraloría, auditoría, revisoría, personería) y la del propio concejo (Artículo 289, inc. 2 C.R.M.), al no ser objeto estas últimas funciones de regulación en la Constitución. (….)</w:t>
      </w:r>
      <w:r w:rsidRPr="0088628C">
        <w:rPr>
          <w:rFonts w:ascii="Arial" w:hAnsi="Arial" w:cs="Arial"/>
          <w:szCs w:val="22"/>
        </w:rPr>
        <w:t xml:space="preserve"> </w:t>
      </w:r>
      <w:r w:rsidRPr="0088628C">
        <w:rPr>
          <w:rFonts w:ascii="Arial" w:hAnsi="Arial" w:cs="Arial"/>
          <w:i/>
          <w:szCs w:val="22"/>
        </w:rPr>
        <w:t>De acuerdo con las anteriores normas y de las del Código de Régimen Municipal que no las contraríen, como los artículos 288 y 289, inciso segundo, al Concejo Municipal compete determinar las escalas de remuneración de las distintas categorías de los empleos de la Administración Municipal, y determinar las plantas de personal de la contraloría, personería, auditoría, revisoría, donde existan y la del propio concejo, y fijar sus emolumentos.</w:t>
      </w:r>
      <w:r w:rsidRPr="0088628C">
        <w:rPr>
          <w:rFonts w:ascii="Arial" w:hAnsi="Arial" w:cs="Arial"/>
          <w:szCs w:val="22"/>
        </w:rPr>
        <w:t xml:space="preserve"> </w:t>
      </w:r>
      <w:r w:rsidRPr="0088628C">
        <w:rPr>
          <w:rFonts w:ascii="Arial" w:hAnsi="Arial" w:cs="Arial"/>
          <w:i/>
          <w:szCs w:val="22"/>
        </w:rPr>
        <w:t>Por su parte, al alcalde corresponde la determinación de las plantas de personal de su despacho de sus dependencias, lo que se manifiesta en la competencia para crear, suprimir o fusionar los empleos de la Administración Central Municipal, dentro del marco estructural y funcional adoptado previamente por el concejo; así mismo, le corresponde fijar los sueldos del personal de la Administración Central Municipal (alcaldía, secretarías, departamentos administrativos, oficinas, etc.).”</w:t>
      </w:r>
      <w:r w:rsidRPr="0088628C">
        <w:rPr>
          <w:rFonts w:ascii="Arial" w:hAnsi="Arial" w:cs="Arial"/>
          <w:szCs w:val="22"/>
        </w:rPr>
        <w:t>.</w:t>
      </w:r>
    </w:p>
    <w:p w14:paraId="64B5BB3D" w14:textId="77777777" w:rsidR="00F95AD8" w:rsidRDefault="00F95AD8" w:rsidP="0088628C">
      <w:pPr>
        <w:jc w:val="both"/>
        <w:rPr>
          <w:rFonts w:ascii="Arial" w:hAnsi="Arial" w:cs="Arial"/>
          <w:szCs w:val="22"/>
        </w:rPr>
      </w:pPr>
    </w:p>
    <w:p w14:paraId="2ADCF697" w14:textId="77777777" w:rsidR="00F95AD8" w:rsidRDefault="00F95AD8" w:rsidP="0088628C">
      <w:pPr>
        <w:jc w:val="both"/>
        <w:rPr>
          <w:rFonts w:ascii="Arial" w:hAnsi="Arial" w:cs="Arial"/>
          <w:szCs w:val="22"/>
        </w:rPr>
      </w:pPr>
    </w:p>
    <w:p w14:paraId="4C1952DC" w14:textId="77777777" w:rsidR="00F95AD8" w:rsidRDefault="00F95AD8" w:rsidP="0088628C">
      <w:pPr>
        <w:jc w:val="both"/>
        <w:rPr>
          <w:rFonts w:ascii="Arial" w:hAnsi="Arial" w:cs="Arial"/>
          <w:szCs w:val="22"/>
        </w:rPr>
      </w:pPr>
    </w:p>
    <w:p w14:paraId="028C8E81" w14:textId="6C079955" w:rsidR="00F95AD8" w:rsidRDefault="00F95AD8" w:rsidP="0088628C">
      <w:pPr>
        <w:jc w:val="both"/>
        <w:rPr>
          <w:rFonts w:ascii="Arial" w:hAnsi="Arial" w:cs="Arial"/>
          <w:b/>
          <w:szCs w:val="22"/>
        </w:rPr>
      </w:pPr>
      <w:r>
        <w:rPr>
          <w:rFonts w:ascii="Arial" w:hAnsi="Arial" w:cs="Arial"/>
          <w:b/>
          <w:szCs w:val="22"/>
        </w:rPr>
        <w:lastRenderedPageBreak/>
        <w:t>ESCALAS SALARIALES / Alcance.</w:t>
      </w:r>
    </w:p>
    <w:p w14:paraId="65439067" w14:textId="77777777" w:rsidR="00F95AD8" w:rsidRDefault="00F95AD8" w:rsidP="0088628C">
      <w:pPr>
        <w:jc w:val="both"/>
        <w:rPr>
          <w:rFonts w:ascii="Arial" w:hAnsi="Arial" w:cs="Arial"/>
          <w:b/>
          <w:szCs w:val="22"/>
        </w:rPr>
      </w:pPr>
    </w:p>
    <w:p w14:paraId="7030A80E" w14:textId="39FB4CA5" w:rsidR="00F95AD8" w:rsidRDefault="00F95AD8" w:rsidP="00F95AD8">
      <w:pPr>
        <w:jc w:val="both"/>
        <w:rPr>
          <w:rFonts w:ascii="Arial" w:hAnsi="Arial" w:cs="Arial"/>
          <w:szCs w:val="22"/>
        </w:rPr>
      </w:pPr>
      <w:r w:rsidRPr="00F95AD8">
        <w:rPr>
          <w:rFonts w:ascii="Arial" w:hAnsi="Arial" w:cs="Arial"/>
          <w:szCs w:val="22"/>
        </w:rPr>
        <w:t>Respecto al alcance de las escalas salariales, la Corte Constitucional, en Sentencia C-416 de 18 de junio de 1992 precisó:</w:t>
      </w:r>
      <w:r w:rsidRPr="00F95AD8">
        <w:rPr>
          <w:rFonts w:ascii="Arial" w:hAnsi="Arial" w:cs="Arial"/>
          <w:szCs w:val="22"/>
        </w:rPr>
        <w:t xml:space="preserve"> </w:t>
      </w:r>
      <w:r w:rsidRPr="00F95AD8">
        <w:rPr>
          <w:rFonts w:ascii="Arial" w:hAnsi="Arial" w:cs="Arial"/>
          <w:i/>
          <w:szCs w:val="22"/>
        </w:rPr>
        <w:t xml:space="preserve">"En efecto, la nomenclatura de los empleos públicos es un catálogo repertorio o relación clasificada de las plazas en que los servidores del Estado prestan a éste sus servicios, o, como lo dijo la Corte Suprema de Justicia al resolver sobre acción similar a la que nos ocupa, una "distribución jerarquizada y escalonada de los empleos del sector oficial, al cual corresponde una tasa diferencial de salarios, de desarrollo vertical, de manera tal que cargos del mismo nivel y categoría se retribuyan con la misma remuneración"; las escalas de remuneración no son otra cosa que los grados o niveles dentro de los cuales se ubican los salarios que el Estado reconoce a sus servidores; el régimen de comisiones, viáticos y gastos de representación está circunscrito a la normatividad aplicable a esos rubros en aspectos tales como la previsión de los eventos en que se causan las reglas para su cuantificación, los procedimientos para su cobro, reconocimiento y pago; la facultad de fijar asignaciones mensuales, bonificaciones e incrementos de salarios se agota cuando </w:t>
      </w:r>
      <w:r>
        <w:rPr>
          <w:rFonts w:ascii="Arial" w:hAnsi="Arial" w:cs="Arial"/>
          <w:i/>
          <w:szCs w:val="22"/>
        </w:rPr>
        <w:t>se determina el monto de ellos.</w:t>
      </w:r>
      <w:r w:rsidRPr="00F95AD8">
        <w:rPr>
          <w:rFonts w:ascii="Arial" w:hAnsi="Arial" w:cs="Arial"/>
          <w:i/>
          <w:szCs w:val="22"/>
        </w:rPr>
        <w:t>"</w:t>
      </w:r>
      <w:r>
        <w:rPr>
          <w:rFonts w:ascii="Arial" w:hAnsi="Arial" w:cs="Arial"/>
          <w:szCs w:val="22"/>
        </w:rPr>
        <w:t xml:space="preserve">. (…) </w:t>
      </w:r>
      <w:r w:rsidRPr="00F95AD8">
        <w:rPr>
          <w:rFonts w:ascii="Arial" w:hAnsi="Arial" w:cs="Arial"/>
          <w:szCs w:val="22"/>
        </w:rPr>
        <w:t>Aunado a lo anterior, debe tenerse presente que las escalas salariales de los empleos deben establecerse en concordancia o de conformidad con lo previsto en el Decreto 785 de 2005 “Por el cual se establece el sistema de nomenclatura y clasificación y de funciones y requisitos generales de los empleos de las entidades territoriales que se regulan por las disposiciones de la Ley 909 de 2004”, norma que en su artículo 2º define el empleo –razón de ser de las escalas salariales-, como el conjunto de funciones, tareas y responsabilidades que se asignan a una persona y las competencias requeridas para llevarlas a cabo, las que de acuerdo con el artículo 3º, ibídem, según la naturaleza general de sus funciones, las competencias y los requisitos exigidos para su desempeño, se clasifican en los siguientes niveles jerárquicos: Nivel Directivo, Nivel Asesor, Nivel Profesional, Nivel Técnico y Nivel Asistencial en las entidades territoriales.</w:t>
      </w:r>
    </w:p>
    <w:p w14:paraId="5237916E" w14:textId="77777777" w:rsidR="00910015" w:rsidRDefault="00910015" w:rsidP="00F95AD8">
      <w:pPr>
        <w:jc w:val="both"/>
        <w:rPr>
          <w:rFonts w:ascii="Arial" w:hAnsi="Arial" w:cs="Arial"/>
          <w:szCs w:val="22"/>
        </w:rPr>
      </w:pPr>
    </w:p>
    <w:p w14:paraId="15CB39DC" w14:textId="5DB98F58" w:rsidR="00910015" w:rsidRDefault="00910015" w:rsidP="00F95AD8">
      <w:pPr>
        <w:jc w:val="both"/>
        <w:rPr>
          <w:rFonts w:ascii="Arial" w:hAnsi="Arial" w:cs="Arial"/>
          <w:b/>
          <w:szCs w:val="22"/>
        </w:rPr>
      </w:pPr>
      <w:r>
        <w:rPr>
          <w:rFonts w:ascii="Arial" w:hAnsi="Arial" w:cs="Arial"/>
          <w:b/>
          <w:szCs w:val="22"/>
        </w:rPr>
        <w:t>FIJACIÓN DE ESCALAS SALARIALES / Competencia del Concejo municipal / Se sustrae del marco de competencias constitucionales cuando Concejo fija salarios.</w:t>
      </w:r>
    </w:p>
    <w:p w14:paraId="5A4D2CB9" w14:textId="77777777" w:rsidR="00910015" w:rsidRDefault="00910015" w:rsidP="00F95AD8">
      <w:pPr>
        <w:jc w:val="both"/>
        <w:rPr>
          <w:rFonts w:ascii="Arial" w:hAnsi="Arial" w:cs="Arial"/>
          <w:b/>
          <w:szCs w:val="22"/>
        </w:rPr>
      </w:pPr>
    </w:p>
    <w:p w14:paraId="32BD1084" w14:textId="3220CA83" w:rsidR="00910015" w:rsidRDefault="00910015" w:rsidP="00F95AD8">
      <w:pPr>
        <w:jc w:val="both"/>
        <w:rPr>
          <w:rFonts w:ascii="Arial" w:hAnsi="Arial" w:cs="Arial"/>
          <w:szCs w:val="22"/>
          <w:lang w:val="es-ES_tradnl"/>
        </w:rPr>
      </w:pPr>
      <w:r w:rsidRPr="00910015">
        <w:rPr>
          <w:rFonts w:ascii="Arial" w:hAnsi="Arial" w:cs="Arial"/>
          <w:szCs w:val="22"/>
          <w:lang w:val="es-ES_tradnl"/>
        </w:rPr>
        <w:t xml:space="preserve">De lo anterior se evidencia que el artículo 1º del Acuerdo No. 019 del 15 de septiembre de 2021 aprobado por el Concejo Municipal de </w:t>
      </w:r>
      <w:proofErr w:type="spellStart"/>
      <w:r w:rsidRPr="00910015">
        <w:rPr>
          <w:rFonts w:ascii="Arial" w:hAnsi="Arial" w:cs="Arial"/>
          <w:szCs w:val="22"/>
          <w:lang w:val="es-ES_tradnl"/>
        </w:rPr>
        <w:t>Monguí</w:t>
      </w:r>
      <w:proofErr w:type="spellEnd"/>
      <w:r w:rsidRPr="00910015">
        <w:rPr>
          <w:rFonts w:ascii="Arial" w:hAnsi="Arial" w:cs="Arial"/>
          <w:szCs w:val="22"/>
          <w:lang w:val="es-ES_tradnl"/>
        </w:rPr>
        <w:t xml:space="preserve">, NO estableció o fijó escala salarial alguna para las diferentes categorías o niveles de empleos según la complejidad y responsabilidad inherente al ejercicio de sus funciones, conforme se lo encomendó la Constitución Política (Art. 313- 6), sino que lo que hizo fue fijar los salarios de los cargos de la administración del Municipio, regulación que conforme lo dispone el numeral 7º del artículo 315 de la Constitución Política, fue atribuida de manera especial al Alcalde Municipal, dentro de los topes fijados por el Gobierno Nacional en el artículo 150, numeral 19, ordinal e) de la Constitución Política, lo mismo que lo pertinente en la ley 4 de 1992, lo que refuerza la conclusión expuesta, en el sentido de que el Concejo Municipal de </w:t>
      </w:r>
      <w:proofErr w:type="spellStart"/>
      <w:r w:rsidRPr="00910015">
        <w:rPr>
          <w:rFonts w:ascii="Arial" w:hAnsi="Arial" w:cs="Arial"/>
          <w:szCs w:val="22"/>
          <w:lang w:val="es-ES_tradnl"/>
        </w:rPr>
        <w:t>Monguí</w:t>
      </w:r>
      <w:proofErr w:type="spellEnd"/>
      <w:r w:rsidRPr="00910015">
        <w:rPr>
          <w:rFonts w:ascii="Arial" w:hAnsi="Arial" w:cs="Arial"/>
          <w:szCs w:val="22"/>
          <w:lang w:val="es-ES_tradnl"/>
        </w:rPr>
        <w:t xml:space="preserve"> actuó por fuera del marco de su competencia.</w:t>
      </w:r>
    </w:p>
    <w:p w14:paraId="7434610F" w14:textId="77777777" w:rsidR="00910015" w:rsidRDefault="00910015" w:rsidP="00F95AD8">
      <w:pPr>
        <w:jc w:val="both"/>
        <w:rPr>
          <w:rFonts w:ascii="Arial" w:hAnsi="Arial" w:cs="Arial"/>
          <w:szCs w:val="22"/>
          <w:lang w:val="es-ES_tradnl"/>
        </w:rPr>
      </w:pPr>
    </w:p>
    <w:p w14:paraId="76C1D2B6" w14:textId="77777777" w:rsidR="00910015" w:rsidRPr="00873CF6" w:rsidRDefault="00910015" w:rsidP="00910015">
      <w:pPr>
        <w:pStyle w:val="Ttulo2"/>
        <w:spacing w:before="128"/>
        <w:jc w:val="both"/>
        <w:rPr>
          <w:rFonts w:ascii="Arial" w:hAnsi="Arial" w:cs="Arial"/>
          <w:b w:val="0"/>
          <w:lang w:val="es-ES_tradnl"/>
        </w:rPr>
      </w:pPr>
      <w:r w:rsidRPr="00910015">
        <w:rPr>
          <w:rFonts w:ascii="Arial" w:hAnsi="Arial" w:cs="Arial"/>
          <w:lang w:val="es-ES_tradnl"/>
        </w:rPr>
        <w:t>NOTA DE RELATORÍA:</w:t>
      </w:r>
      <w:r w:rsidRPr="00873CF6">
        <w:rPr>
          <w:rFonts w:ascii="Arial" w:hAnsi="Arial" w:cs="Arial"/>
          <w:b w:val="0"/>
          <w:lang w:val="es-ES_tradn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419DE18D" w14:textId="77777777" w:rsidR="006D4CDC" w:rsidRDefault="006D4CDC" w:rsidP="00910015">
      <w:pPr>
        <w:spacing w:line="360" w:lineRule="auto"/>
        <w:rPr>
          <w:rFonts w:ascii="Arial" w:hAnsi="Arial" w:cs="Arial"/>
          <w:szCs w:val="22"/>
          <w:lang w:val="es-ES_tradnl"/>
        </w:rPr>
      </w:pPr>
    </w:p>
    <w:p w14:paraId="04BD8203" w14:textId="77777777" w:rsidR="00910015" w:rsidRDefault="00910015" w:rsidP="00910015">
      <w:pPr>
        <w:spacing w:line="360" w:lineRule="auto"/>
        <w:rPr>
          <w:rFonts w:ascii="Verdana" w:hAnsi="Verdana" w:cs="Arial"/>
          <w:b/>
          <w:sz w:val="22"/>
          <w:szCs w:val="22"/>
        </w:rPr>
      </w:pPr>
    </w:p>
    <w:p w14:paraId="6F85B5E9" w14:textId="77777777" w:rsidR="00603BA9" w:rsidRPr="00BD1D17" w:rsidRDefault="00603BA9" w:rsidP="00E71E77">
      <w:pPr>
        <w:spacing w:line="360" w:lineRule="auto"/>
        <w:jc w:val="center"/>
        <w:rPr>
          <w:rFonts w:ascii="Verdana" w:hAnsi="Verdana" w:cs="Arial"/>
          <w:b/>
          <w:sz w:val="22"/>
          <w:szCs w:val="22"/>
        </w:rPr>
      </w:pPr>
      <w:r w:rsidRPr="00BD1D17">
        <w:rPr>
          <w:rFonts w:ascii="Verdana" w:hAnsi="Verdana" w:cs="Arial"/>
          <w:b/>
          <w:sz w:val="22"/>
          <w:szCs w:val="22"/>
        </w:rPr>
        <w:lastRenderedPageBreak/>
        <w:t xml:space="preserve">REPÚBLICA DE COLOMBIA </w:t>
      </w:r>
    </w:p>
    <w:p w14:paraId="77A09C09" w14:textId="77777777" w:rsidR="00603BA9" w:rsidRPr="00BD1D17" w:rsidRDefault="00603BA9" w:rsidP="00E71E77">
      <w:pPr>
        <w:spacing w:line="360" w:lineRule="auto"/>
        <w:jc w:val="center"/>
        <w:rPr>
          <w:rFonts w:ascii="Verdana" w:hAnsi="Verdana" w:cs="Arial"/>
          <w:b/>
          <w:sz w:val="22"/>
          <w:szCs w:val="22"/>
        </w:rPr>
      </w:pPr>
      <w:r w:rsidRPr="00BD1D17">
        <w:rPr>
          <w:rFonts w:ascii="Verdana" w:hAnsi="Verdana" w:cs="Arial"/>
          <w:b/>
          <w:noProof/>
          <w:sz w:val="22"/>
          <w:szCs w:val="22"/>
          <w:lang w:val="es-ES_tradnl" w:eastAsia="es-ES_tradnl"/>
        </w:rPr>
        <w:drawing>
          <wp:inline distT="0" distB="0" distL="0" distR="0" wp14:anchorId="13338B17" wp14:editId="3B6BB4A4">
            <wp:extent cx="676281" cy="648269"/>
            <wp:effectExtent l="0" t="0" r="0" b="0"/>
            <wp:docPr id="1" name="Imagen 1"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_3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232" cy="679855"/>
                    </a:xfrm>
                    <a:prstGeom prst="rect">
                      <a:avLst/>
                    </a:prstGeom>
                    <a:noFill/>
                    <a:ln>
                      <a:noFill/>
                    </a:ln>
                  </pic:spPr>
                </pic:pic>
              </a:graphicData>
            </a:graphic>
          </wp:inline>
        </w:drawing>
      </w:r>
    </w:p>
    <w:p w14:paraId="678EF0CA" w14:textId="77777777" w:rsidR="00603BA9" w:rsidRPr="00BD1D17" w:rsidRDefault="00603BA9" w:rsidP="00E71E77">
      <w:pPr>
        <w:pStyle w:val="Descripcin"/>
        <w:spacing w:line="360" w:lineRule="auto"/>
        <w:rPr>
          <w:rFonts w:ascii="Verdana" w:hAnsi="Verdana" w:cs="Arial"/>
          <w:sz w:val="22"/>
          <w:szCs w:val="22"/>
        </w:rPr>
      </w:pPr>
      <w:r w:rsidRPr="00BD1D17">
        <w:rPr>
          <w:rFonts w:ascii="Verdana" w:hAnsi="Verdana" w:cs="Arial"/>
          <w:sz w:val="22"/>
          <w:szCs w:val="22"/>
        </w:rPr>
        <w:t>TRIBUNAL ADMINISTRATIVO DE BOYACÁ</w:t>
      </w:r>
    </w:p>
    <w:p w14:paraId="71B86865" w14:textId="77777777" w:rsidR="00603BA9" w:rsidRPr="00BD1D17" w:rsidRDefault="00603BA9" w:rsidP="00E71E77">
      <w:pPr>
        <w:spacing w:line="360" w:lineRule="auto"/>
        <w:jc w:val="center"/>
        <w:rPr>
          <w:rFonts w:ascii="Verdana" w:hAnsi="Verdana" w:cs="Arial"/>
          <w:b/>
          <w:sz w:val="22"/>
          <w:szCs w:val="22"/>
        </w:rPr>
      </w:pPr>
      <w:r w:rsidRPr="00BD1D17">
        <w:rPr>
          <w:rFonts w:ascii="Verdana" w:hAnsi="Verdana" w:cs="Arial"/>
          <w:b/>
          <w:sz w:val="22"/>
          <w:szCs w:val="22"/>
        </w:rPr>
        <w:t>SALA DE DECISION No. 6</w:t>
      </w:r>
    </w:p>
    <w:p w14:paraId="4A89E3ED" w14:textId="77777777" w:rsidR="00603BA9" w:rsidRPr="00BD1D17" w:rsidRDefault="00603BA9" w:rsidP="00E71E77">
      <w:pPr>
        <w:spacing w:line="360" w:lineRule="auto"/>
        <w:jc w:val="center"/>
        <w:rPr>
          <w:rFonts w:ascii="Verdana" w:hAnsi="Verdana" w:cs="Arial"/>
          <w:b/>
          <w:sz w:val="22"/>
          <w:szCs w:val="22"/>
        </w:rPr>
      </w:pPr>
    </w:p>
    <w:p w14:paraId="26F9D10B" w14:textId="77777777" w:rsidR="00603BA9" w:rsidRPr="00BD1D17" w:rsidRDefault="00603BA9" w:rsidP="00E71E77">
      <w:pPr>
        <w:pStyle w:val="Ttulo6"/>
        <w:spacing w:line="360" w:lineRule="auto"/>
        <w:rPr>
          <w:rFonts w:ascii="Verdana" w:hAnsi="Verdana" w:cs="Arial"/>
          <w:szCs w:val="22"/>
        </w:rPr>
      </w:pPr>
      <w:r w:rsidRPr="00BD1D17">
        <w:rPr>
          <w:rFonts w:ascii="Verdana" w:hAnsi="Verdana" w:cs="Arial"/>
          <w:szCs w:val="22"/>
        </w:rPr>
        <w:t xml:space="preserve">MAGISTRADO PONENTE: FELIX ALBERTO RODRIGUEZ RIVEROS </w:t>
      </w:r>
    </w:p>
    <w:p w14:paraId="58D55395" w14:textId="77777777" w:rsidR="00603BA9" w:rsidRPr="00BD1D17" w:rsidRDefault="00603BA9" w:rsidP="00E71E77">
      <w:pPr>
        <w:spacing w:line="360" w:lineRule="auto"/>
        <w:jc w:val="both"/>
        <w:rPr>
          <w:rFonts w:ascii="Verdana" w:hAnsi="Verdana" w:cs="Arial"/>
          <w:b/>
          <w:sz w:val="22"/>
          <w:szCs w:val="22"/>
        </w:rPr>
      </w:pPr>
    </w:p>
    <w:p w14:paraId="0AF46B00" w14:textId="5C6E9CA7" w:rsidR="00603BA9" w:rsidRPr="00BD1D17" w:rsidRDefault="00603BA9" w:rsidP="00E71E77">
      <w:pPr>
        <w:spacing w:line="360" w:lineRule="auto"/>
        <w:jc w:val="both"/>
        <w:rPr>
          <w:rFonts w:ascii="Verdana" w:hAnsi="Verdana" w:cs="Arial"/>
          <w:b/>
          <w:sz w:val="22"/>
          <w:szCs w:val="22"/>
        </w:rPr>
      </w:pPr>
      <w:r w:rsidRPr="00BD1D17">
        <w:rPr>
          <w:rFonts w:ascii="Verdana" w:hAnsi="Verdana" w:cs="Arial"/>
          <w:b/>
          <w:sz w:val="22"/>
          <w:szCs w:val="22"/>
        </w:rPr>
        <w:t>Tunja,</w:t>
      </w:r>
      <w:r w:rsidR="00216FD5" w:rsidRPr="00BD1D17">
        <w:rPr>
          <w:rFonts w:ascii="Verdana" w:hAnsi="Verdana" w:cs="Arial"/>
          <w:b/>
          <w:sz w:val="22"/>
          <w:szCs w:val="22"/>
        </w:rPr>
        <w:t xml:space="preserve"> </w:t>
      </w:r>
      <w:r w:rsidR="00F00424" w:rsidRPr="00BD1D17">
        <w:rPr>
          <w:rFonts w:ascii="Verdana" w:hAnsi="Verdana" w:cs="Arial"/>
          <w:b/>
          <w:sz w:val="22"/>
          <w:szCs w:val="22"/>
        </w:rPr>
        <w:t>25 de noviembre de 2021</w:t>
      </w:r>
    </w:p>
    <w:p w14:paraId="5DB999BE" w14:textId="77777777" w:rsidR="00603BA9" w:rsidRPr="00BD1D17" w:rsidRDefault="00603BA9" w:rsidP="00E71E77">
      <w:pPr>
        <w:spacing w:line="360" w:lineRule="auto"/>
        <w:jc w:val="both"/>
        <w:rPr>
          <w:rFonts w:ascii="Verdana" w:hAnsi="Verdana" w:cs="Arial"/>
          <w:b/>
          <w:sz w:val="22"/>
          <w:szCs w:val="22"/>
        </w:rPr>
      </w:pPr>
    </w:p>
    <w:p w14:paraId="1F5E1F95" w14:textId="77777777" w:rsidR="00216FD5" w:rsidRPr="00BD1D17" w:rsidRDefault="00216FD5" w:rsidP="00E71E77">
      <w:pPr>
        <w:spacing w:line="360" w:lineRule="auto"/>
        <w:ind w:firstLine="708"/>
        <w:jc w:val="both"/>
        <w:rPr>
          <w:rFonts w:ascii="Verdana" w:hAnsi="Verdana" w:cs="Tahoma"/>
          <w:b/>
          <w:bCs/>
          <w:sz w:val="22"/>
          <w:szCs w:val="22"/>
        </w:rPr>
      </w:pPr>
      <w:r w:rsidRPr="00BD1D17">
        <w:rPr>
          <w:rFonts w:ascii="Verdana" w:hAnsi="Verdana" w:cs="Tahoma"/>
          <w:b/>
          <w:bCs/>
          <w:sz w:val="22"/>
          <w:szCs w:val="22"/>
        </w:rPr>
        <w:t xml:space="preserve">Referencia: </w:t>
      </w:r>
      <w:r w:rsidRPr="00BD1D17">
        <w:rPr>
          <w:rFonts w:ascii="Verdana" w:hAnsi="Verdana" w:cs="Tahoma"/>
          <w:b/>
          <w:bCs/>
          <w:sz w:val="22"/>
          <w:szCs w:val="22"/>
        </w:rPr>
        <w:tab/>
        <w:t>VALIDEZ DE ACUERDO MUNICIPAL</w:t>
      </w:r>
    </w:p>
    <w:p w14:paraId="78EE6247" w14:textId="77777777" w:rsidR="00216FD5" w:rsidRPr="00BD1D17" w:rsidRDefault="00216FD5" w:rsidP="00E71E77">
      <w:pPr>
        <w:spacing w:line="360" w:lineRule="auto"/>
        <w:jc w:val="both"/>
        <w:rPr>
          <w:rFonts w:ascii="Verdana" w:hAnsi="Verdana" w:cs="Tahoma"/>
          <w:b/>
          <w:bCs/>
          <w:sz w:val="22"/>
          <w:szCs w:val="22"/>
        </w:rPr>
      </w:pPr>
      <w:r w:rsidRPr="00BD1D17">
        <w:rPr>
          <w:rFonts w:ascii="Verdana" w:hAnsi="Verdana" w:cs="Tahoma"/>
          <w:b/>
          <w:bCs/>
          <w:sz w:val="22"/>
          <w:szCs w:val="22"/>
        </w:rPr>
        <w:tab/>
        <w:t xml:space="preserve">Demandante: </w:t>
      </w:r>
      <w:r w:rsidRPr="00BD1D17">
        <w:rPr>
          <w:rFonts w:ascii="Verdana" w:hAnsi="Verdana" w:cs="Tahoma"/>
          <w:b/>
          <w:bCs/>
          <w:sz w:val="22"/>
          <w:szCs w:val="22"/>
        </w:rPr>
        <w:tab/>
        <w:t>DEPARTAMENTO DE BOYACÁ</w:t>
      </w:r>
    </w:p>
    <w:p w14:paraId="6C3D451C" w14:textId="2F5A0CDE" w:rsidR="00216FD5" w:rsidRPr="00BD1D17" w:rsidRDefault="00216FD5" w:rsidP="00E71E77">
      <w:pPr>
        <w:spacing w:line="360" w:lineRule="auto"/>
        <w:jc w:val="both"/>
        <w:rPr>
          <w:rFonts w:ascii="Verdana" w:hAnsi="Verdana" w:cs="Tahoma"/>
          <w:b/>
          <w:bCs/>
          <w:sz w:val="22"/>
          <w:szCs w:val="22"/>
        </w:rPr>
      </w:pPr>
      <w:r w:rsidRPr="00BD1D17">
        <w:rPr>
          <w:rFonts w:ascii="Verdana" w:hAnsi="Verdana" w:cs="Tahoma"/>
          <w:b/>
          <w:bCs/>
          <w:sz w:val="22"/>
          <w:szCs w:val="22"/>
        </w:rPr>
        <w:tab/>
        <w:t xml:space="preserve">Demandado: </w:t>
      </w:r>
      <w:r w:rsidRPr="00BD1D17">
        <w:rPr>
          <w:rFonts w:ascii="Verdana" w:hAnsi="Verdana" w:cs="Tahoma"/>
          <w:b/>
          <w:bCs/>
          <w:sz w:val="22"/>
          <w:szCs w:val="22"/>
        </w:rPr>
        <w:tab/>
        <w:t xml:space="preserve">MUNICIPIO DE </w:t>
      </w:r>
      <w:r w:rsidR="009D0892" w:rsidRPr="00BD1D17">
        <w:rPr>
          <w:rFonts w:ascii="Verdana" w:hAnsi="Verdana" w:cs="Tahoma"/>
          <w:b/>
          <w:bCs/>
          <w:sz w:val="22"/>
          <w:szCs w:val="22"/>
        </w:rPr>
        <w:t>MONGUÍ</w:t>
      </w:r>
    </w:p>
    <w:p w14:paraId="0591452D" w14:textId="40D5B723" w:rsidR="00216FD5" w:rsidRPr="00BD1D17" w:rsidRDefault="00216FD5" w:rsidP="00E71E77">
      <w:pPr>
        <w:spacing w:line="360" w:lineRule="auto"/>
        <w:jc w:val="both"/>
        <w:rPr>
          <w:rFonts w:ascii="Verdana" w:hAnsi="Verdana" w:cs="Tahoma"/>
          <w:b/>
          <w:sz w:val="22"/>
          <w:szCs w:val="22"/>
        </w:rPr>
      </w:pPr>
      <w:r w:rsidRPr="00BD1D17">
        <w:rPr>
          <w:rFonts w:ascii="Verdana" w:hAnsi="Verdana" w:cs="Tahoma"/>
          <w:b/>
          <w:bCs/>
          <w:sz w:val="22"/>
          <w:szCs w:val="22"/>
        </w:rPr>
        <w:tab/>
        <w:t>Radicación:</w:t>
      </w:r>
      <w:r w:rsidRPr="00BD1D17">
        <w:rPr>
          <w:rFonts w:ascii="Verdana" w:hAnsi="Verdana" w:cs="Tahoma"/>
          <w:sz w:val="22"/>
          <w:szCs w:val="22"/>
        </w:rPr>
        <w:t xml:space="preserve"> </w:t>
      </w:r>
      <w:r w:rsidRPr="00BD1D17">
        <w:rPr>
          <w:rFonts w:ascii="Verdana" w:hAnsi="Verdana" w:cs="Tahoma"/>
          <w:sz w:val="22"/>
          <w:szCs w:val="22"/>
        </w:rPr>
        <w:tab/>
      </w:r>
      <w:r w:rsidR="00012BF4" w:rsidRPr="00BD1D17">
        <w:rPr>
          <w:rFonts w:ascii="Verdana" w:hAnsi="Verdana" w:cs="Tahoma"/>
          <w:b/>
          <w:sz w:val="22"/>
          <w:szCs w:val="22"/>
        </w:rPr>
        <w:t xml:space="preserve">150012333000 202100694 </w:t>
      </w:r>
      <w:r w:rsidRPr="00BD1D17">
        <w:rPr>
          <w:rFonts w:ascii="Verdana" w:hAnsi="Verdana" w:cs="Tahoma"/>
          <w:b/>
          <w:sz w:val="22"/>
          <w:szCs w:val="22"/>
        </w:rPr>
        <w:t>00</w:t>
      </w:r>
    </w:p>
    <w:p w14:paraId="616581DF" w14:textId="77777777" w:rsidR="00603BA9" w:rsidRPr="00BD1D17" w:rsidRDefault="00603BA9" w:rsidP="00E71E77">
      <w:pPr>
        <w:spacing w:line="360" w:lineRule="auto"/>
        <w:jc w:val="center"/>
        <w:rPr>
          <w:rFonts w:ascii="Verdana" w:hAnsi="Verdana"/>
          <w:b/>
          <w:sz w:val="22"/>
          <w:szCs w:val="22"/>
        </w:rPr>
      </w:pPr>
    </w:p>
    <w:p w14:paraId="0E344525" w14:textId="77777777" w:rsidR="00603BA9" w:rsidRPr="00BD1D17" w:rsidRDefault="00603BA9" w:rsidP="00E71E77">
      <w:pPr>
        <w:pStyle w:val="Prrafodelista"/>
        <w:numPr>
          <w:ilvl w:val="0"/>
          <w:numId w:val="3"/>
        </w:numPr>
        <w:spacing w:line="360" w:lineRule="auto"/>
        <w:jc w:val="center"/>
        <w:rPr>
          <w:rFonts w:ascii="Verdana" w:eastAsia="Times New Roman" w:hAnsi="Verdana"/>
          <w:b/>
          <w:sz w:val="22"/>
          <w:szCs w:val="22"/>
        </w:rPr>
      </w:pPr>
      <w:r w:rsidRPr="00BD1D17">
        <w:rPr>
          <w:rFonts w:ascii="Verdana" w:eastAsia="Times New Roman" w:hAnsi="Verdana"/>
          <w:b/>
          <w:sz w:val="22"/>
          <w:szCs w:val="22"/>
        </w:rPr>
        <w:t>LA ACCION</w:t>
      </w:r>
    </w:p>
    <w:p w14:paraId="064D5CF5" w14:textId="77777777" w:rsidR="00603BA9" w:rsidRPr="00BD1D17" w:rsidRDefault="00603BA9" w:rsidP="00E71E77">
      <w:pPr>
        <w:spacing w:line="360" w:lineRule="auto"/>
        <w:jc w:val="both"/>
        <w:rPr>
          <w:rFonts w:ascii="Verdana" w:hAnsi="Verdana"/>
          <w:b/>
          <w:sz w:val="22"/>
          <w:szCs w:val="22"/>
          <w:lang w:val="es-MX"/>
        </w:rPr>
      </w:pPr>
    </w:p>
    <w:p w14:paraId="60F3E58A" w14:textId="0F2B57FD" w:rsidR="00603BA9" w:rsidRPr="00BD1D17" w:rsidRDefault="00603BA9" w:rsidP="00E71E77">
      <w:pPr>
        <w:pStyle w:val="BodyText23"/>
        <w:rPr>
          <w:rFonts w:ascii="Verdana" w:hAnsi="Verdana"/>
          <w:sz w:val="22"/>
          <w:szCs w:val="22"/>
          <w:lang w:val="es-MX" w:eastAsia="es-ES"/>
        </w:rPr>
      </w:pPr>
      <w:r w:rsidRPr="00BD1D17">
        <w:rPr>
          <w:rFonts w:ascii="Verdana" w:hAnsi="Verdana"/>
          <w:sz w:val="22"/>
          <w:szCs w:val="22"/>
          <w:lang w:val="es-MX" w:eastAsia="es-ES"/>
        </w:rPr>
        <w:t xml:space="preserve">Procede la Sala de Decisión No. 6 de la Corporación a dictar sentencia que decide sobre las pretensiones de la demanda que ha dado origen al proceso de la referencia, instaurada por el </w:t>
      </w:r>
      <w:r w:rsidR="0067393E" w:rsidRPr="00BD1D17">
        <w:rPr>
          <w:rFonts w:ascii="Verdana" w:hAnsi="Verdana"/>
          <w:sz w:val="22"/>
          <w:szCs w:val="22"/>
          <w:lang w:val="es-MX" w:eastAsia="es-ES"/>
        </w:rPr>
        <w:t xml:space="preserve">DEPARTAMENTO DE BOYACÁ </w:t>
      </w:r>
      <w:r w:rsidRPr="00BD1D17">
        <w:rPr>
          <w:rFonts w:ascii="Verdana" w:hAnsi="Verdana"/>
          <w:sz w:val="22"/>
          <w:szCs w:val="22"/>
          <w:lang w:val="es-MX" w:eastAsia="es-ES"/>
        </w:rPr>
        <w:t>e</w:t>
      </w:r>
      <w:r w:rsidR="00707DCD" w:rsidRPr="00BD1D17">
        <w:rPr>
          <w:rFonts w:ascii="Verdana" w:hAnsi="Verdana"/>
          <w:sz w:val="22"/>
          <w:szCs w:val="22"/>
          <w:lang w:val="es-MX" w:eastAsia="es-ES"/>
        </w:rPr>
        <w:t xml:space="preserve">n contra del </w:t>
      </w:r>
      <w:r w:rsidR="0067393E" w:rsidRPr="00BD1D17">
        <w:rPr>
          <w:rFonts w:ascii="Verdana" w:hAnsi="Verdana"/>
          <w:sz w:val="22"/>
          <w:szCs w:val="22"/>
          <w:lang w:val="es-MX" w:eastAsia="es-ES"/>
        </w:rPr>
        <w:t xml:space="preserve">MUNICIPIO DE MONGUÍ.  </w:t>
      </w:r>
    </w:p>
    <w:p w14:paraId="07B9C45D" w14:textId="77777777" w:rsidR="00603BA9" w:rsidRPr="00BD1D17" w:rsidRDefault="00603BA9" w:rsidP="00E71E77">
      <w:pPr>
        <w:spacing w:line="360" w:lineRule="auto"/>
        <w:jc w:val="both"/>
        <w:rPr>
          <w:rFonts w:ascii="Verdana" w:hAnsi="Verdana"/>
          <w:sz w:val="22"/>
          <w:szCs w:val="22"/>
          <w:lang w:val="es-MX"/>
        </w:rPr>
      </w:pPr>
    </w:p>
    <w:p w14:paraId="7CAEE678" w14:textId="77777777" w:rsidR="00603BA9" w:rsidRPr="00BD1D17" w:rsidRDefault="00603BA9" w:rsidP="00E71E77">
      <w:pPr>
        <w:pStyle w:val="Ttulo2"/>
        <w:numPr>
          <w:ilvl w:val="0"/>
          <w:numId w:val="3"/>
        </w:numPr>
        <w:spacing w:line="360" w:lineRule="auto"/>
        <w:rPr>
          <w:rFonts w:ascii="Verdana" w:eastAsia="Times New Roman" w:hAnsi="Verdana"/>
          <w:sz w:val="22"/>
          <w:szCs w:val="22"/>
          <w:lang w:eastAsia="es-ES"/>
        </w:rPr>
      </w:pPr>
      <w:r w:rsidRPr="00BD1D17">
        <w:rPr>
          <w:rFonts w:ascii="Verdana" w:eastAsia="Times New Roman" w:hAnsi="Verdana"/>
          <w:sz w:val="22"/>
          <w:szCs w:val="22"/>
          <w:lang w:eastAsia="es-ES"/>
        </w:rPr>
        <w:t>ANTECEDENTES</w:t>
      </w:r>
    </w:p>
    <w:p w14:paraId="5CCC7CC2" w14:textId="77777777" w:rsidR="00603BA9" w:rsidRPr="00BD1D17" w:rsidRDefault="00603BA9" w:rsidP="00E71E77">
      <w:pPr>
        <w:spacing w:line="360" w:lineRule="auto"/>
        <w:jc w:val="both"/>
        <w:rPr>
          <w:rFonts w:ascii="Verdana" w:hAnsi="Verdana"/>
          <w:b/>
          <w:sz w:val="22"/>
          <w:szCs w:val="22"/>
          <w:lang w:val="es-MX"/>
        </w:rPr>
      </w:pPr>
    </w:p>
    <w:p w14:paraId="2C283372" w14:textId="7702299B" w:rsidR="001D7074" w:rsidRPr="00BD1D17" w:rsidRDefault="001D7074" w:rsidP="00E71E77">
      <w:pPr>
        <w:spacing w:line="360" w:lineRule="auto"/>
        <w:jc w:val="both"/>
        <w:rPr>
          <w:rFonts w:ascii="Verdana" w:hAnsi="Verdana" w:cs="Arial"/>
          <w:bCs/>
          <w:sz w:val="22"/>
          <w:szCs w:val="22"/>
          <w:lang w:val="es-CO"/>
        </w:rPr>
      </w:pPr>
      <w:r w:rsidRPr="00BD1D17">
        <w:rPr>
          <w:rFonts w:ascii="Verdana" w:hAnsi="Verdana"/>
          <w:b/>
          <w:sz w:val="22"/>
          <w:szCs w:val="22"/>
          <w:lang w:val="es-MX"/>
        </w:rPr>
        <w:t>2.1.  De la demanda de validez</w:t>
      </w:r>
      <w:r w:rsidR="006A01E2" w:rsidRPr="00BD1D17">
        <w:rPr>
          <w:rFonts w:ascii="Verdana" w:hAnsi="Verdana"/>
          <w:b/>
          <w:sz w:val="22"/>
          <w:szCs w:val="22"/>
          <w:lang w:val="es-MX"/>
        </w:rPr>
        <w:t>:</w:t>
      </w:r>
    </w:p>
    <w:p w14:paraId="569EFBA1" w14:textId="77777777" w:rsidR="001D7074" w:rsidRPr="00BD1D17" w:rsidRDefault="001D7074" w:rsidP="00E71E77">
      <w:pPr>
        <w:spacing w:line="360" w:lineRule="auto"/>
        <w:ind w:left="283"/>
        <w:jc w:val="both"/>
        <w:rPr>
          <w:rFonts w:ascii="Verdana" w:hAnsi="Verdana"/>
          <w:b/>
          <w:sz w:val="22"/>
          <w:szCs w:val="22"/>
          <w:lang w:val="es-MX"/>
        </w:rPr>
      </w:pPr>
    </w:p>
    <w:p w14:paraId="1D0C9C12" w14:textId="331371BB" w:rsidR="006A01E2" w:rsidRPr="00BD1D17" w:rsidRDefault="00603BA9" w:rsidP="00E71E77">
      <w:pPr>
        <w:pStyle w:val="BodyText23"/>
        <w:rPr>
          <w:rFonts w:ascii="Verdana" w:hAnsi="Verdana"/>
          <w:sz w:val="22"/>
          <w:szCs w:val="22"/>
          <w:lang w:eastAsia="es-ES"/>
        </w:rPr>
      </w:pPr>
      <w:r w:rsidRPr="00BD1D17">
        <w:rPr>
          <w:rFonts w:ascii="Verdana" w:hAnsi="Verdana"/>
          <w:sz w:val="22"/>
          <w:szCs w:val="22"/>
          <w:lang w:val="es-MX" w:eastAsia="es-ES"/>
        </w:rPr>
        <w:t xml:space="preserve">Pretende el </w:t>
      </w:r>
      <w:r w:rsidR="006A01E2" w:rsidRPr="00BD1D17">
        <w:rPr>
          <w:rFonts w:ascii="Verdana" w:hAnsi="Verdana"/>
          <w:sz w:val="22"/>
          <w:szCs w:val="22"/>
          <w:lang w:val="es-MX" w:eastAsia="es-ES"/>
        </w:rPr>
        <w:t xml:space="preserve">DEPARTAMENTO DE BOYACÁ </w:t>
      </w:r>
      <w:r w:rsidRPr="00BD1D17">
        <w:rPr>
          <w:rFonts w:ascii="Verdana" w:hAnsi="Verdana"/>
          <w:sz w:val="22"/>
          <w:szCs w:val="22"/>
          <w:lang w:val="es-MX" w:eastAsia="es-ES"/>
        </w:rPr>
        <w:t>que esta Corporación declare la invalidez de</w:t>
      </w:r>
      <w:r w:rsidR="00AA3364" w:rsidRPr="00BD1D17">
        <w:rPr>
          <w:rFonts w:ascii="Verdana" w:hAnsi="Verdana"/>
          <w:sz w:val="22"/>
          <w:szCs w:val="22"/>
          <w:lang w:val="es-MX" w:eastAsia="es-ES"/>
        </w:rPr>
        <w:t xml:space="preserve">l </w:t>
      </w:r>
      <w:r w:rsidR="001B7071" w:rsidRPr="00BD1D17">
        <w:rPr>
          <w:rFonts w:ascii="Verdana" w:hAnsi="Verdana"/>
          <w:sz w:val="22"/>
          <w:szCs w:val="22"/>
          <w:lang w:val="es-MX" w:eastAsia="es-ES"/>
        </w:rPr>
        <w:t xml:space="preserve">artículo 1º del </w:t>
      </w:r>
      <w:r w:rsidRPr="00BD1D17">
        <w:rPr>
          <w:rFonts w:ascii="Verdana" w:hAnsi="Verdana"/>
          <w:sz w:val="22"/>
          <w:szCs w:val="22"/>
          <w:lang w:val="es-MX" w:eastAsia="es-ES"/>
        </w:rPr>
        <w:t xml:space="preserve">Acuerdo No. </w:t>
      </w:r>
      <w:r w:rsidR="00707DCD" w:rsidRPr="00BD1D17">
        <w:rPr>
          <w:rFonts w:ascii="Verdana" w:hAnsi="Verdana"/>
          <w:sz w:val="22"/>
          <w:szCs w:val="22"/>
          <w:lang w:val="es-MX" w:eastAsia="es-ES"/>
        </w:rPr>
        <w:t>0</w:t>
      </w:r>
      <w:r w:rsidR="006A01E2" w:rsidRPr="00BD1D17">
        <w:rPr>
          <w:rFonts w:ascii="Verdana" w:hAnsi="Verdana"/>
          <w:sz w:val="22"/>
          <w:szCs w:val="22"/>
          <w:lang w:val="es-MX" w:eastAsia="es-ES"/>
        </w:rPr>
        <w:t xml:space="preserve">19 </w:t>
      </w:r>
      <w:r w:rsidRPr="00BD1D17">
        <w:rPr>
          <w:rFonts w:ascii="Verdana" w:hAnsi="Verdana"/>
          <w:sz w:val="22"/>
          <w:szCs w:val="22"/>
          <w:lang w:val="es-MX" w:eastAsia="es-ES"/>
        </w:rPr>
        <w:t>de</w:t>
      </w:r>
      <w:r w:rsidR="006A01E2" w:rsidRPr="00BD1D17">
        <w:rPr>
          <w:rFonts w:ascii="Verdana" w:hAnsi="Verdana"/>
          <w:sz w:val="22"/>
          <w:szCs w:val="22"/>
          <w:lang w:val="es-MX" w:eastAsia="es-ES"/>
        </w:rPr>
        <w:t xml:space="preserve">l 15 de septiembre de 2021 expedido por el Concejo Municipal de Monguí </w:t>
      </w:r>
      <w:r w:rsidR="006A01E2" w:rsidRPr="00BD1D17">
        <w:rPr>
          <w:rFonts w:ascii="Verdana" w:hAnsi="Verdana"/>
          <w:i/>
          <w:sz w:val="22"/>
          <w:szCs w:val="22"/>
        </w:rPr>
        <w:t xml:space="preserve">"POR EL CUAL SE ESTABLECE LA REMUNERACIÓN SALARIAL CORRESPONDIENTE A LAS DISTINTAS CATEGORÍAS DE EMPLEOS DEL NIVEL CENTRAL DEL MUNICIPIO DE MONGUI Y SE DICTAN OTRAS DISPOSICIONES”. </w:t>
      </w:r>
    </w:p>
    <w:p w14:paraId="21127729" w14:textId="77777777" w:rsidR="006A01E2" w:rsidRPr="00BD1D17" w:rsidRDefault="006A01E2" w:rsidP="00E71E77">
      <w:pPr>
        <w:pStyle w:val="BodyText23"/>
        <w:rPr>
          <w:rFonts w:ascii="Verdana" w:hAnsi="Verdana"/>
          <w:sz w:val="22"/>
          <w:szCs w:val="22"/>
          <w:lang w:eastAsia="es-ES"/>
        </w:rPr>
      </w:pPr>
    </w:p>
    <w:p w14:paraId="41B0B483" w14:textId="3FE69DD5" w:rsidR="00603BA9" w:rsidRPr="00BD1D17" w:rsidRDefault="00603BA9" w:rsidP="00E71E77">
      <w:pPr>
        <w:pStyle w:val="BodyText23"/>
        <w:numPr>
          <w:ilvl w:val="0"/>
          <w:numId w:val="5"/>
        </w:numPr>
        <w:rPr>
          <w:rFonts w:ascii="Verdana" w:hAnsi="Verdana"/>
          <w:sz w:val="22"/>
          <w:szCs w:val="22"/>
          <w:lang w:eastAsia="es-ES"/>
        </w:rPr>
      </w:pPr>
      <w:r w:rsidRPr="00BD1D17">
        <w:rPr>
          <w:rFonts w:ascii="Verdana" w:hAnsi="Verdana"/>
          <w:b/>
          <w:sz w:val="22"/>
          <w:szCs w:val="22"/>
          <w:lang w:val="es-MX" w:eastAsia="es-ES"/>
        </w:rPr>
        <w:t>Supuestos de hecho</w:t>
      </w:r>
    </w:p>
    <w:p w14:paraId="3309E546" w14:textId="77777777" w:rsidR="00603BA9" w:rsidRPr="00BD1D17" w:rsidRDefault="00603BA9" w:rsidP="00E71E77">
      <w:pPr>
        <w:pStyle w:val="BodyText23"/>
        <w:ind w:left="240"/>
        <w:rPr>
          <w:rFonts w:ascii="Verdana" w:hAnsi="Verdana"/>
          <w:b/>
          <w:sz w:val="22"/>
          <w:szCs w:val="22"/>
          <w:lang w:val="es-MX" w:eastAsia="es-ES"/>
        </w:rPr>
      </w:pPr>
    </w:p>
    <w:p w14:paraId="1DAD868C" w14:textId="5CA3E67C" w:rsidR="00603BA9" w:rsidRPr="00BD1D17" w:rsidRDefault="00603BA9" w:rsidP="00E71E77">
      <w:pPr>
        <w:pStyle w:val="BodyText23"/>
        <w:rPr>
          <w:rFonts w:ascii="Verdana" w:hAnsi="Verdana"/>
          <w:sz w:val="22"/>
          <w:szCs w:val="22"/>
          <w:lang w:val="es-MX" w:eastAsia="es-ES"/>
        </w:rPr>
      </w:pPr>
      <w:r w:rsidRPr="00BD1D17">
        <w:rPr>
          <w:rFonts w:ascii="Verdana" w:hAnsi="Verdana"/>
          <w:sz w:val="22"/>
          <w:szCs w:val="22"/>
          <w:lang w:val="es-MX" w:eastAsia="es-ES"/>
        </w:rPr>
        <w:t>Los hechos que relata el actor como fundamento de sus pretensiones son, en resumen, los que a continuación se relacionan.</w:t>
      </w:r>
    </w:p>
    <w:p w14:paraId="16CE0EA6" w14:textId="77777777" w:rsidR="00BD1D17" w:rsidRPr="00BD1D17" w:rsidRDefault="00BD1D17" w:rsidP="00E71E77">
      <w:pPr>
        <w:pStyle w:val="BodyText23"/>
        <w:rPr>
          <w:rFonts w:ascii="Verdana" w:hAnsi="Verdana"/>
          <w:sz w:val="22"/>
          <w:szCs w:val="22"/>
          <w:lang w:val="es-MX" w:eastAsia="es-ES"/>
        </w:rPr>
      </w:pPr>
    </w:p>
    <w:p w14:paraId="4979236E" w14:textId="25B27D31" w:rsidR="00603BA9" w:rsidRPr="00BD1D17" w:rsidRDefault="00603BA9" w:rsidP="00E71E77">
      <w:pPr>
        <w:pStyle w:val="BodyText23"/>
        <w:rPr>
          <w:rFonts w:ascii="Verdana" w:hAnsi="Verdana"/>
          <w:sz w:val="22"/>
          <w:szCs w:val="22"/>
          <w:lang w:val="es-MX" w:eastAsia="es-ES"/>
        </w:rPr>
      </w:pPr>
      <w:r w:rsidRPr="00BD1D17">
        <w:rPr>
          <w:rFonts w:ascii="Verdana" w:hAnsi="Verdana"/>
          <w:sz w:val="22"/>
          <w:szCs w:val="22"/>
          <w:lang w:val="es-MX" w:eastAsia="es-ES"/>
        </w:rPr>
        <w:t>Que el Concejo Municipal</w:t>
      </w:r>
      <w:r w:rsidR="00427D73" w:rsidRPr="00BD1D17">
        <w:rPr>
          <w:rFonts w:ascii="Verdana" w:hAnsi="Verdana"/>
          <w:sz w:val="22"/>
          <w:szCs w:val="22"/>
          <w:lang w:val="es-MX" w:eastAsia="es-ES"/>
        </w:rPr>
        <w:t xml:space="preserve"> </w:t>
      </w:r>
      <w:r w:rsidR="006A01E2" w:rsidRPr="00BD1D17">
        <w:rPr>
          <w:rFonts w:ascii="Verdana" w:hAnsi="Verdana"/>
          <w:sz w:val="22"/>
          <w:szCs w:val="22"/>
          <w:lang w:val="es-MX" w:eastAsia="es-ES"/>
        </w:rPr>
        <w:t xml:space="preserve">de Monguí </w:t>
      </w:r>
      <w:r w:rsidRPr="00BD1D17">
        <w:rPr>
          <w:rFonts w:ascii="Verdana" w:hAnsi="Verdana"/>
          <w:sz w:val="22"/>
          <w:szCs w:val="22"/>
          <w:lang w:val="es-MX" w:eastAsia="es-ES"/>
        </w:rPr>
        <w:t xml:space="preserve">expidió el </w:t>
      </w:r>
      <w:r w:rsidR="006F2F58" w:rsidRPr="00BD1D17">
        <w:rPr>
          <w:rFonts w:ascii="Verdana" w:hAnsi="Verdana"/>
          <w:sz w:val="22"/>
          <w:szCs w:val="22"/>
          <w:lang w:val="es-MX" w:eastAsia="es-ES"/>
        </w:rPr>
        <w:t>Acuerdo No. 0</w:t>
      </w:r>
      <w:r w:rsidR="006A01E2" w:rsidRPr="00BD1D17">
        <w:rPr>
          <w:rFonts w:ascii="Verdana" w:hAnsi="Verdana"/>
          <w:sz w:val="22"/>
          <w:szCs w:val="22"/>
          <w:lang w:val="es-MX" w:eastAsia="es-ES"/>
        </w:rPr>
        <w:t xml:space="preserve">19 del 15 de septiembre de 2021, el cual </w:t>
      </w:r>
      <w:r w:rsidRPr="00BD1D17">
        <w:rPr>
          <w:rFonts w:ascii="Verdana" w:hAnsi="Verdana"/>
          <w:sz w:val="22"/>
          <w:szCs w:val="22"/>
          <w:lang w:val="es-MX" w:eastAsia="es-ES"/>
        </w:rPr>
        <w:t xml:space="preserve">fue radicado en la </w:t>
      </w:r>
      <w:r w:rsidR="006F2F58" w:rsidRPr="00BD1D17">
        <w:rPr>
          <w:rFonts w:ascii="Verdana" w:hAnsi="Verdana"/>
          <w:sz w:val="22"/>
          <w:szCs w:val="22"/>
          <w:lang w:val="es-MX" w:eastAsia="es-ES"/>
        </w:rPr>
        <w:t>U</w:t>
      </w:r>
      <w:r w:rsidR="006A01E2" w:rsidRPr="00BD1D17">
        <w:rPr>
          <w:rFonts w:ascii="Verdana" w:hAnsi="Verdana"/>
          <w:sz w:val="22"/>
          <w:szCs w:val="22"/>
          <w:lang w:val="es-MX" w:eastAsia="es-ES"/>
        </w:rPr>
        <w:t xml:space="preserve">nidad </w:t>
      </w:r>
      <w:r w:rsidR="006F2F58" w:rsidRPr="00BD1D17">
        <w:rPr>
          <w:rFonts w:ascii="Verdana" w:hAnsi="Verdana"/>
          <w:sz w:val="22"/>
          <w:szCs w:val="22"/>
          <w:lang w:val="es-MX" w:eastAsia="es-ES"/>
        </w:rPr>
        <w:t>A</w:t>
      </w:r>
      <w:r w:rsidR="006A01E2" w:rsidRPr="00BD1D17">
        <w:rPr>
          <w:rFonts w:ascii="Verdana" w:hAnsi="Verdana"/>
          <w:sz w:val="22"/>
          <w:szCs w:val="22"/>
          <w:lang w:val="es-MX" w:eastAsia="es-ES"/>
        </w:rPr>
        <w:t xml:space="preserve">dministrativa </w:t>
      </w:r>
      <w:r w:rsidR="006F2F58" w:rsidRPr="00BD1D17">
        <w:rPr>
          <w:rFonts w:ascii="Verdana" w:hAnsi="Verdana"/>
          <w:sz w:val="22"/>
          <w:szCs w:val="22"/>
          <w:lang w:val="es-MX" w:eastAsia="es-ES"/>
        </w:rPr>
        <w:t>E</w:t>
      </w:r>
      <w:r w:rsidR="006A01E2" w:rsidRPr="00BD1D17">
        <w:rPr>
          <w:rFonts w:ascii="Verdana" w:hAnsi="Verdana"/>
          <w:sz w:val="22"/>
          <w:szCs w:val="22"/>
          <w:lang w:val="es-MX" w:eastAsia="es-ES"/>
        </w:rPr>
        <w:t>special</w:t>
      </w:r>
      <w:r w:rsidR="006F2F58" w:rsidRPr="00BD1D17">
        <w:rPr>
          <w:rFonts w:ascii="Verdana" w:hAnsi="Verdana"/>
          <w:sz w:val="22"/>
          <w:szCs w:val="22"/>
          <w:lang w:val="es-MX" w:eastAsia="es-ES"/>
        </w:rPr>
        <w:t xml:space="preserve"> de Asesoría y </w:t>
      </w:r>
      <w:r w:rsidRPr="00BD1D17">
        <w:rPr>
          <w:rFonts w:ascii="Verdana" w:hAnsi="Verdana"/>
          <w:sz w:val="22"/>
          <w:szCs w:val="22"/>
          <w:lang w:val="es-MX" w:eastAsia="es-ES"/>
        </w:rPr>
        <w:t>D</w:t>
      </w:r>
      <w:r w:rsidR="006F2F58" w:rsidRPr="00BD1D17">
        <w:rPr>
          <w:rFonts w:ascii="Verdana" w:hAnsi="Verdana"/>
          <w:sz w:val="22"/>
          <w:szCs w:val="22"/>
          <w:lang w:val="es-MX" w:eastAsia="es-ES"/>
        </w:rPr>
        <w:t>efensa</w:t>
      </w:r>
      <w:r w:rsidR="00707DCD" w:rsidRPr="00BD1D17">
        <w:rPr>
          <w:rFonts w:ascii="Verdana" w:hAnsi="Verdana"/>
          <w:sz w:val="22"/>
          <w:szCs w:val="22"/>
          <w:lang w:val="es-MX" w:eastAsia="es-ES"/>
        </w:rPr>
        <w:t xml:space="preserve"> Jurídica del Departamento el</w:t>
      </w:r>
      <w:r w:rsidR="006F2F58" w:rsidRPr="00BD1D17">
        <w:rPr>
          <w:rFonts w:ascii="Verdana" w:hAnsi="Verdana"/>
          <w:sz w:val="22"/>
          <w:szCs w:val="22"/>
          <w:lang w:val="es-MX" w:eastAsia="es-ES"/>
        </w:rPr>
        <w:t xml:space="preserve"> </w:t>
      </w:r>
      <w:r w:rsidR="006A01E2" w:rsidRPr="00BD1D17">
        <w:rPr>
          <w:rFonts w:ascii="Verdana" w:hAnsi="Verdana"/>
          <w:sz w:val="22"/>
          <w:szCs w:val="22"/>
          <w:lang w:val="es-MX" w:eastAsia="es-ES"/>
        </w:rPr>
        <w:t>21 de septiembre de 2021; y que</w:t>
      </w:r>
      <w:r w:rsidR="0054472C" w:rsidRPr="00BD1D17">
        <w:rPr>
          <w:rFonts w:ascii="Verdana" w:hAnsi="Verdana"/>
          <w:sz w:val="22"/>
          <w:szCs w:val="22"/>
          <w:lang w:val="es-MX" w:eastAsia="es-ES"/>
        </w:rPr>
        <w:t>,</w:t>
      </w:r>
      <w:r w:rsidR="006A01E2" w:rsidRPr="00BD1D17">
        <w:rPr>
          <w:rFonts w:ascii="Verdana" w:hAnsi="Verdana"/>
          <w:sz w:val="22"/>
          <w:szCs w:val="22"/>
          <w:lang w:val="es-MX" w:eastAsia="es-ES"/>
        </w:rPr>
        <w:t xml:space="preserve"> </w:t>
      </w:r>
      <w:r w:rsidRPr="00BD1D17">
        <w:rPr>
          <w:rFonts w:ascii="Verdana" w:hAnsi="Verdana"/>
          <w:sz w:val="22"/>
          <w:szCs w:val="22"/>
          <w:lang w:val="es-MX" w:eastAsia="es-ES"/>
        </w:rPr>
        <w:t xml:space="preserve">una vez realizada la revisión jurídica por parte del Departamento, se encontró que el acuerdo citado es contrario a la </w:t>
      </w:r>
      <w:r w:rsidR="006F2F58" w:rsidRPr="00BD1D17">
        <w:rPr>
          <w:rFonts w:ascii="Verdana" w:hAnsi="Verdana"/>
          <w:sz w:val="22"/>
          <w:szCs w:val="22"/>
          <w:lang w:val="es-MX" w:eastAsia="es-ES"/>
        </w:rPr>
        <w:t xml:space="preserve">Constitución y a la </w:t>
      </w:r>
      <w:r w:rsidRPr="00BD1D17">
        <w:rPr>
          <w:rFonts w:ascii="Verdana" w:hAnsi="Verdana"/>
          <w:sz w:val="22"/>
          <w:szCs w:val="22"/>
          <w:lang w:val="es-MX" w:eastAsia="es-ES"/>
        </w:rPr>
        <w:t xml:space="preserve">Ley. </w:t>
      </w:r>
    </w:p>
    <w:p w14:paraId="47511CD6" w14:textId="77777777" w:rsidR="00603BA9" w:rsidRPr="00BD1D17" w:rsidRDefault="00603BA9" w:rsidP="00E71E77">
      <w:pPr>
        <w:pStyle w:val="BodyText23"/>
        <w:rPr>
          <w:rFonts w:ascii="Verdana" w:hAnsi="Verdana"/>
          <w:sz w:val="22"/>
          <w:szCs w:val="22"/>
          <w:lang w:val="es-MX" w:eastAsia="es-ES"/>
        </w:rPr>
      </w:pPr>
    </w:p>
    <w:p w14:paraId="0DCC0A79" w14:textId="0F8E48A1" w:rsidR="00603BA9" w:rsidRPr="00BD1D17" w:rsidRDefault="00603BA9" w:rsidP="00E71E77">
      <w:pPr>
        <w:pStyle w:val="BodyText23"/>
        <w:numPr>
          <w:ilvl w:val="0"/>
          <w:numId w:val="5"/>
        </w:numPr>
        <w:rPr>
          <w:rFonts w:ascii="Verdana" w:hAnsi="Verdana"/>
          <w:b/>
          <w:sz w:val="22"/>
          <w:szCs w:val="22"/>
          <w:lang w:val="es-MX" w:eastAsia="es-ES"/>
        </w:rPr>
      </w:pPr>
      <w:r w:rsidRPr="00BD1D17">
        <w:rPr>
          <w:rFonts w:ascii="Verdana" w:hAnsi="Verdana"/>
          <w:b/>
          <w:sz w:val="22"/>
          <w:szCs w:val="22"/>
          <w:lang w:val="es-MX" w:eastAsia="es-ES"/>
        </w:rPr>
        <w:t xml:space="preserve">Normas violadas y concepto de violación </w:t>
      </w:r>
    </w:p>
    <w:p w14:paraId="67BA776E" w14:textId="77777777" w:rsidR="00603BA9" w:rsidRPr="00BD1D17" w:rsidRDefault="00603BA9" w:rsidP="00E71E77">
      <w:pPr>
        <w:pStyle w:val="BodyText23"/>
        <w:rPr>
          <w:rFonts w:ascii="Verdana" w:hAnsi="Verdana"/>
          <w:b/>
          <w:sz w:val="22"/>
          <w:szCs w:val="22"/>
          <w:lang w:val="es-MX" w:eastAsia="es-ES"/>
        </w:rPr>
      </w:pPr>
    </w:p>
    <w:p w14:paraId="7784AEFE" w14:textId="6A9E3332" w:rsidR="00603BA9" w:rsidRPr="00BD1D17" w:rsidRDefault="00603BA9" w:rsidP="00E71E77">
      <w:pPr>
        <w:pStyle w:val="BodyText23"/>
        <w:rPr>
          <w:rFonts w:ascii="Verdana" w:hAnsi="Verdana" w:cs="Arial"/>
          <w:sz w:val="22"/>
          <w:szCs w:val="22"/>
          <w:lang w:val="es-MX" w:eastAsia="es-ES"/>
        </w:rPr>
      </w:pPr>
      <w:r w:rsidRPr="00BD1D17">
        <w:rPr>
          <w:rFonts w:ascii="Verdana" w:hAnsi="Verdana" w:cs="Arial"/>
          <w:sz w:val="22"/>
          <w:szCs w:val="22"/>
          <w:lang w:val="es-MX" w:eastAsia="es-ES"/>
        </w:rPr>
        <w:t>Invoca como tales:</w:t>
      </w:r>
    </w:p>
    <w:p w14:paraId="521EFC73" w14:textId="7DB1C34A" w:rsidR="00E71E77" w:rsidRPr="00BD1D17" w:rsidRDefault="00E71E77" w:rsidP="00E71E77">
      <w:pPr>
        <w:pStyle w:val="BodyText23"/>
        <w:rPr>
          <w:rFonts w:ascii="Verdana" w:hAnsi="Verdana" w:cs="Arial"/>
          <w:b/>
          <w:sz w:val="22"/>
          <w:szCs w:val="22"/>
          <w:lang w:val="es-MX" w:eastAsia="es-ES"/>
        </w:rPr>
      </w:pPr>
    </w:p>
    <w:p w14:paraId="279DEBB0" w14:textId="7CECBF60" w:rsidR="00E71E77" w:rsidRPr="00BD1D17" w:rsidRDefault="00E71E77" w:rsidP="00E71E77">
      <w:pPr>
        <w:pStyle w:val="BodyText23"/>
        <w:rPr>
          <w:rFonts w:ascii="Verdana" w:hAnsi="Verdana" w:cs="Arial"/>
          <w:sz w:val="22"/>
          <w:szCs w:val="22"/>
          <w:lang w:val="es-MX" w:eastAsia="es-ES"/>
        </w:rPr>
      </w:pPr>
      <w:r w:rsidRPr="00BD1D17">
        <w:rPr>
          <w:rFonts w:ascii="Verdana" w:hAnsi="Verdana" w:cs="Arial"/>
          <w:b/>
          <w:sz w:val="22"/>
          <w:szCs w:val="22"/>
          <w:lang w:val="es-MX" w:eastAsia="es-ES"/>
        </w:rPr>
        <w:t xml:space="preserve">De orden constitucional: </w:t>
      </w:r>
      <w:r w:rsidRPr="00BD1D17">
        <w:rPr>
          <w:rFonts w:ascii="Verdana" w:hAnsi="Verdana" w:cs="Arial"/>
          <w:sz w:val="22"/>
          <w:szCs w:val="22"/>
          <w:lang w:val="es-MX" w:eastAsia="es-ES"/>
        </w:rPr>
        <w:t xml:space="preserve">Artículos 6º, 121, 313 numeral 6º. </w:t>
      </w:r>
    </w:p>
    <w:p w14:paraId="63005930" w14:textId="77777777" w:rsidR="00603BA9" w:rsidRPr="00BD1D17" w:rsidRDefault="00603BA9" w:rsidP="00E71E77">
      <w:pPr>
        <w:pStyle w:val="BodyText23"/>
        <w:rPr>
          <w:rFonts w:ascii="Verdana" w:hAnsi="Verdana" w:cs="Arial"/>
          <w:sz w:val="22"/>
          <w:szCs w:val="22"/>
          <w:lang w:val="es-MX" w:eastAsia="es-ES"/>
        </w:rPr>
      </w:pPr>
    </w:p>
    <w:p w14:paraId="1F6A74A9" w14:textId="6A886AB8" w:rsidR="006F4F31" w:rsidRPr="00BD1D17" w:rsidRDefault="00603BA9" w:rsidP="00E71E77">
      <w:pPr>
        <w:pStyle w:val="BodyText23"/>
        <w:rPr>
          <w:rFonts w:ascii="Verdana" w:hAnsi="Verdana" w:cs="Arial"/>
          <w:sz w:val="22"/>
          <w:szCs w:val="22"/>
          <w:lang w:val="es-MX" w:eastAsia="es-ES"/>
        </w:rPr>
      </w:pPr>
      <w:r w:rsidRPr="00BD1D17">
        <w:rPr>
          <w:rFonts w:ascii="Verdana" w:hAnsi="Verdana" w:cs="Arial"/>
          <w:b/>
          <w:sz w:val="22"/>
          <w:szCs w:val="22"/>
          <w:lang w:val="es-MX" w:eastAsia="es-ES"/>
        </w:rPr>
        <w:t>De orden legal:</w:t>
      </w:r>
      <w:r w:rsidRPr="00BD1D17">
        <w:rPr>
          <w:rFonts w:ascii="Verdana" w:hAnsi="Verdana" w:cs="Arial"/>
          <w:sz w:val="22"/>
          <w:szCs w:val="22"/>
          <w:lang w:val="es-MX" w:eastAsia="es-ES"/>
        </w:rPr>
        <w:t xml:space="preserve"> </w:t>
      </w:r>
      <w:r w:rsidR="00044549" w:rsidRPr="00BD1D17">
        <w:rPr>
          <w:rFonts w:ascii="Verdana" w:hAnsi="Verdana" w:cs="Arial"/>
          <w:sz w:val="22"/>
          <w:szCs w:val="22"/>
          <w:lang w:val="es-MX" w:eastAsia="es-ES"/>
        </w:rPr>
        <w:t xml:space="preserve">Artículos </w:t>
      </w:r>
      <w:r w:rsidR="00E71E77" w:rsidRPr="00BD1D17">
        <w:rPr>
          <w:rFonts w:ascii="Verdana" w:hAnsi="Verdana" w:cs="Arial"/>
          <w:sz w:val="22"/>
          <w:szCs w:val="22"/>
          <w:lang w:val="es-MX" w:eastAsia="es-ES"/>
        </w:rPr>
        <w:t xml:space="preserve">61 y 63 de la Ley 4 de 1913 y artículo 35 de la Ley 734 de 2002. </w:t>
      </w:r>
    </w:p>
    <w:p w14:paraId="520A324A" w14:textId="77777777" w:rsidR="00603BA9" w:rsidRPr="00BD1D17" w:rsidRDefault="00603BA9" w:rsidP="00E71E77">
      <w:pPr>
        <w:pStyle w:val="BodyText23"/>
        <w:rPr>
          <w:rFonts w:ascii="Verdana" w:hAnsi="Verdana" w:cs="Arial"/>
          <w:sz w:val="22"/>
          <w:szCs w:val="22"/>
          <w:lang w:val="es-MX" w:eastAsia="es-ES"/>
        </w:rPr>
      </w:pPr>
    </w:p>
    <w:p w14:paraId="048D7722" w14:textId="268C9512" w:rsidR="00603BA9" w:rsidRPr="00BD1D17" w:rsidRDefault="00603BA9" w:rsidP="00E71E77">
      <w:pPr>
        <w:pStyle w:val="03Cuerpo"/>
        <w:spacing w:line="360" w:lineRule="auto"/>
        <w:ind w:firstLine="0"/>
        <w:rPr>
          <w:rFonts w:ascii="Verdana" w:hAnsi="Verdana"/>
          <w:bCs/>
          <w:szCs w:val="22"/>
          <w:lang w:val="es-MX"/>
        </w:rPr>
      </w:pPr>
      <w:r w:rsidRPr="00BD1D17">
        <w:rPr>
          <w:rFonts w:ascii="Verdana" w:hAnsi="Verdana"/>
          <w:szCs w:val="22"/>
        </w:rPr>
        <w:t xml:space="preserve">Para explicar el concepto de violación </w:t>
      </w:r>
      <w:r w:rsidR="00156145" w:rsidRPr="00BD1D17">
        <w:rPr>
          <w:rFonts w:ascii="Verdana" w:hAnsi="Verdana"/>
          <w:szCs w:val="22"/>
        </w:rPr>
        <w:t>la</w:t>
      </w:r>
      <w:r w:rsidRPr="00BD1D17">
        <w:rPr>
          <w:rFonts w:ascii="Verdana" w:hAnsi="Verdana"/>
          <w:szCs w:val="22"/>
        </w:rPr>
        <w:t xml:space="preserve"> apoderad</w:t>
      </w:r>
      <w:r w:rsidR="00156145" w:rsidRPr="00BD1D17">
        <w:rPr>
          <w:rFonts w:ascii="Verdana" w:hAnsi="Verdana"/>
          <w:szCs w:val="22"/>
        </w:rPr>
        <w:t>a</w:t>
      </w:r>
      <w:r w:rsidRPr="00BD1D17">
        <w:rPr>
          <w:rFonts w:ascii="Verdana" w:hAnsi="Verdana"/>
          <w:szCs w:val="22"/>
        </w:rPr>
        <w:t xml:space="preserve"> del ente departamental señaló que </w:t>
      </w:r>
      <w:r w:rsidR="006F4F31" w:rsidRPr="00BD1D17">
        <w:rPr>
          <w:rFonts w:ascii="Verdana" w:hAnsi="Verdana"/>
          <w:szCs w:val="22"/>
        </w:rPr>
        <w:t xml:space="preserve">el Concejo municipal de </w:t>
      </w:r>
      <w:proofErr w:type="spellStart"/>
      <w:r w:rsidR="00E71E77" w:rsidRPr="00BD1D17">
        <w:rPr>
          <w:rFonts w:ascii="Verdana" w:hAnsi="Verdana"/>
          <w:szCs w:val="22"/>
        </w:rPr>
        <w:t>Monguí</w:t>
      </w:r>
      <w:proofErr w:type="spellEnd"/>
      <w:r w:rsidR="002B5F74" w:rsidRPr="00BD1D17">
        <w:rPr>
          <w:rFonts w:ascii="Verdana" w:hAnsi="Verdana"/>
          <w:szCs w:val="22"/>
        </w:rPr>
        <w:t>,</w:t>
      </w:r>
      <w:r w:rsidR="006F4F31" w:rsidRPr="00BD1D17">
        <w:rPr>
          <w:rFonts w:ascii="Verdana" w:hAnsi="Verdana"/>
          <w:szCs w:val="22"/>
        </w:rPr>
        <w:t xml:space="preserve"> en el acuerdo acusado,</w:t>
      </w:r>
      <w:r w:rsidR="0087469F" w:rsidRPr="00BD1D17">
        <w:rPr>
          <w:rFonts w:ascii="Verdana" w:hAnsi="Verdana"/>
          <w:szCs w:val="22"/>
        </w:rPr>
        <w:t xml:space="preserve"> </w:t>
      </w:r>
      <w:r w:rsidR="00156145" w:rsidRPr="00BD1D17">
        <w:rPr>
          <w:rFonts w:ascii="Verdana" w:hAnsi="Verdana"/>
          <w:szCs w:val="22"/>
        </w:rPr>
        <w:t xml:space="preserve">no previó </w:t>
      </w:r>
      <w:r w:rsidR="009B3C08" w:rsidRPr="00BD1D17">
        <w:rPr>
          <w:rFonts w:ascii="Verdana" w:hAnsi="Verdana"/>
          <w:szCs w:val="22"/>
        </w:rPr>
        <w:t>los</w:t>
      </w:r>
      <w:r w:rsidR="00E71E77" w:rsidRPr="00BD1D17">
        <w:rPr>
          <w:rFonts w:ascii="Verdana" w:hAnsi="Verdana"/>
          <w:szCs w:val="22"/>
        </w:rPr>
        <w:t xml:space="preserve"> preceptos constitucionales y legales</w:t>
      </w:r>
      <w:r w:rsidR="00156145" w:rsidRPr="00BD1D17">
        <w:rPr>
          <w:rFonts w:ascii="Verdana" w:hAnsi="Verdana"/>
          <w:szCs w:val="22"/>
        </w:rPr>
        <w:t xml:space="preserve"> </w:t>
      </w:r>
      <w:r w:rsidR="009B3C08" w:rsidRPr="00BD1D17">
        <w:rPr>
          <w:rFonts w:ascii="Verdana" w:hAnsi="Verdana"/>
          <w:szCs w:val="22"/>
        </w:rPr>
        <w:t>mencionados</w:t>
      </w:r>
      <w:r w:rsidR="00156145" w:rsidRPr="00BD1D17">
        <w:rPr>
          <w:rFonts w:ascii="Verdana" w:hAnsi="Verdana"/>
          <w:szCs w:val="22"/>
        </w:rPr>
        <w:t xml:space="preserve">, </w:t>
      </w:r>
      <w:r w:rsidR="009B3C08" w:rsidRPr="00BD1D17">
        <w:rPr>
          <w:rFonts w:ascii="Verdana" w:hAnsi="Verdana"/>
          <w:szCs w:val="22"/>
        </w:rPr>
        <w:t>por</w:t>
      </w:r>
      <w:r w:rsidR="00156145" w:rsidRPr="00BD1D17">
        <w:rPr>
          <w:rFonts w:ascii="Verdana" w:hAnsi="Verdana"/>
          <w:szCs w:val="22"/>
        </w:rPr>
        <w:t>que</w:t>
      </w:r>
      <w:r w:rsidR="00E71E77" w:rsidRPr="00BD1D17">
        <w:rPr>
          <w:rFonts w:ascii="Verdana" w:hAnsi="Verdana"/>
          <w:szCs w:val="22"/>
        </w:rPr>
        <w:t xml:space="preserve"> no elaboró una escala salarial, tal y como lo ordena la constitución, sino que, por el contrario, en el artículo 1º fijó los emolumentos de los servidores públicos del municipio, facultad que le es propia al alcalde municipal, asignando directamente el valor salarial, desconociendo los principios de progresividad y del orden sucesorio </w:t>
      </w:r>
      <w:r w:rsidR="006A01E2" w:rsidRPr="00BD1D17">
        <w:rPr>
          <w:rFonts w:ascii="Verdana" w:hAnsi="Verdana"/>
          <w:bCs/>
          <w:szCs w:val="22"/>
          <w:lang w:val="es-MX"/>
        </w:rPr>
        <w:t xml:space="preserve">(Documento </w:t>
      </w:r>
      <w:r w:rsidR="006A01E2" w:rsidRPr="00BD1D17">
        <w:rPr>
          <w:rFonts w:ascii="Verdana" w:hAnsi="Verdana"/>
          <w:bCs/>
          <w:i/>
          <w:szCs w:val="22"/>
          <w:lang w:val="es-MX"/>
        </w:rPr>
        <w:t xml:space="preserve">OBJECION ACUERDO 019 DE 2021 DE MONGUI.pdf </w:t>
      </w:r>
      <w:r w:rsidR="006A01E2" w:rsidRPr="00BD1D17">
        <w:rPr>
          <w:rFonts w:ascii="Verdana" w:hAnsi="Verdana"/>
          <w:bCs/>
          <w:szCs w:val="22"/>
          <w:lang w:val="es-MX"/>
        </w:rPr>
        <w:t>del expediente digital).</w:t>
      </w:r>
    </w:p>
    <w:p w14:paraId="48C7200B" w14:textId="77777777" w:rsidR="006A01E2" w:rsidRPr="00BD1D17" w:rsidRDefault="006A01E2" w:rsidP="00E71E77">
      <w:pPr>
        <w:pStyle w:val="03Cuerpo"/>
        <w:spacing w:line="360" w:lineRule="auto"/>
        <w:ind w:firstLine="0"/>
        <w:rPr>
          <w:rFonts w:ascii="Verdana" w:hAnsi="Verdana"/>
          <w:szCs w:val="22"/>
        </w:rPr>
      </w:pPr>
    </w:p>
    <w:p w14:paraId="6E062A89" w14:textId="77777777" w:rsidR="006A01E2" w:rsidRPr="00BD1D17" w:rsidRDefault="006A01E2" w:rsidP="00E71E77">
      <w:pPr>
        <w:spacing w:line="360" w:lineRule="auto"/>
        <w:jc w:val="both"/>
        <w:rPr>
          <w:rFonts w:ascii="Verdana" w:hAnsi="Verdana"/>
          <w:b/>
          <w:bCs/>
          <w:sz w:val="22"/>
          <w:szCs w:val="22"/>
          <w:lang w:eastAsia="es-CO"/>
        </w:rPr>
      </w:pPr>
      <w:r w:rsidRPr="00BD1D17">
        <w:rPr>
          <w:rFonts w:ascii="Verdana" w:hAnsi="Verdana"/>
          <w:b/>
          <w:bCs/>
          <w:sz w:val="22"/>
          <w:szCs w:val="22"/>
          <w:lang w:eastAsia="es-CO"/>
        </w:rPr>
        <w:t>2.2. - Pronunciamiento de la parte demandada:</w:t>
      </w:r>
    </w:p>
    <w:p w14:paraId="63EECAF3" w14:textId="77777777" w:rsidR="00603BA9" w:rsidRPr="00BD1D17" w:rsidRDefault="00603BA9" w:rsidP="00E71E77">
      <w:pPr>
        <w:pStyle w:val="BodyText23"/>
        <w:rPr>
          <w:rFonts w:ascii="Verdana" w:hAnsi="Verdana" w:cs="Arial"/>
          <w:b/>
          <w:sz w:val="22"/>
          <w:szCs w:val="22"/>
        </w:rPr>
      </w:pPr>
    </w:p>
    <w:p w14:paraId="79D2924B" w14:textId="5E7D3994" w:rsidR="006A01E2" w:rsidRDefault="006A01E2" w:rsidP="00E71E77">
      <w:pPr>
        <w:spacing w:line="360" w:lineRule="auto"/>
        <w:jc w:val="both"/>
        <w:rPr>
          <w:rFonts w:ascii="Verdana" w:hAnsi="Verdana"/>
          <w:sz w:val="22"/>
          <w:szCs w:val="22"/>
        </w:rPr>
      </w:pPr>
      <w:r w:rsidRPr="00BD1D17">
        <w:rPr>
          <w:rFonts w:ascii="Verdana" w:hAnsi="Verdana"/>
          <w:sz w:val="22"/>
          <w:szCs w:val="22"/>
          <w:lang w:eastAsia="es-CO"/>
        </w:rPr>
        <w:t xml:space="preserve">Dentro del término concedido para el efecto, el Municipio de </w:t>
      </w:r>
      <w:r w:rsidR="001674DA" w:rsidRPr="00BD1D17">
        <w:rPr>
          <w:rFonts w:ascii="Verdana" w:hAnsi="Verdana"/>
          <w:sz w:val="22"/>
          <w:szCs w:val="22"/>
          <w:lang w:eastAsia="es-CO"/>
        </w:rPr>
        <w:t>Monguí</w:t>
      </w:r>
      <w:r w:rsidRPr="00BD1D17">
        <w:rPr>
          <w:rFonts w:ascii="Verdana" w:hAnsi="Verdana"/>
          <w:sz w:val="22"/>
          <w:szCs w:val="22"/>
          <w:lang w:eastAsia="es-CO"/>
        </w:rPr>
        <w:t xml:space="preserve">, por intermedio de su apoderado judicial, contestó la demanda, defendiendo la legalidad del acuerdo demandado No. </w:t>
      </w:r>
      <w:r w:rsidR="001674DA" w:rsidRPr="00BD1D17">
        <w:rPr>
          <w:rFonts w:ascii="Verdana" w:hAnsi="Verdana"/>
          <w:sz w:val="22"/>
          <w:szCs w:val="22"/>
        </w:rPr>
        <w:t>019 del 1</w:t>
      </w:r>
      <w:r w:rsidRPr="00BD1D17">
        <w:rPr>
          <w:rFonts w:ascii="Verdana" w:hAnsi="Verdana"/>
          <w:sz w:val="22"/>
          <w:szCs w:val="22"/>
        </w:rPr>
        <w:t>5 de</w:t>
      </w:r>
      <w:r w:rsidR="001674DA" w:rsidRPr="00BD1D17">
        <w:rPr>
          <w:rFonts w:ascii="Verdana" w:hAnsi="Verdana"/>
          <w:sz w:val="22"/>
          <w:szCs w:val="22"/>
        </w:rPr>
        <w:t xml:space="preserve"> septiembre de 2021</w:t>
      </w:r>
      <w:r w:rsidRPr="00BD1D17">
        <w:rPr>
          <w:rFonts w:ascii="Verdana" w:hAnsi="Verdana"/>
          <w:sz w:val="22"/>
          <w:szCs w:val="22"/>
        </w:rPr>
        <w:t xml:space="preserve"> y por ende solicita su declaratoria de validez</w:t>
      </w:r>
      <w:r w:rsidR="00BD1D17">
        <w:rPr>
          <w:rFonts w:ascii="Verdana" w:hAnsi="Verdana"/>
          <w:sz w:val="22"/>
          <w:szCs w:val="22"/>
        </w:rPr>
        <w:t xml:space="preserve">, aduciendo que el Concejo Municipal, </w:t>
      </w:r>
      <w:r w:rsidR="00BD1D17" w:rsidRPr="00BD1D17">
        <w:rPr>
          <w:rFonts w:ascii="Verdana" w:hAnsi="Verdana"/>
          <w:sz w:val="22"/>
          <w:szCs w:val="22"/>
        </w:rPr>
        <w:t>en ejercicio de sus funciones</w:t>
      </w:r>
      <w:r w:rsidR="00BD1D17">
        <w:rPr>
          <w:rFonts w:ascii="Verdana" w:hAnsi="Verdana"/>
          <w:sz w:val="22"/>
          <w:szCs w:val="22"/>
        </w:rPr>
        <w:t>,</w:t>
      </w:r>
      <w:r w:rsidR="00BD1D17" w:rsidRPr="00BD1D17">
        <w:rPr>
          <w:rFonts w:ascii="Verdana" w:hAnsi="Verdana"/>
          <w:sz w:val="22"/>
          <w:szCs w:val="22"/>
        </w:rPr>
        <w:t xml:space="preserve"> </w:t>
      </w:r>
      <w:r w:rsidR="00BD1D17">
        <w:rPr>
          <w:rFonts w:ascii="Verdana" w:hAnsi="Verdana"/>
          <w:sz w:val="22"/>
          <w:szCs w:val="22"/>
        </w:rPr>
        <w:t>fijó</w:t>
      </w:r>
      <w:r w:rsidR="00BD1D17" w:rsidRPr="00BD1D17">
        <w:rPr>
          <w:rFonts w:ascii="Verdana" w:hAnsi="Verdana"/>
          <w:sz w:val="22"/>
          <w:szCs w:val="22"/>
        </w:rPr>
        <w:t xml:space="preserve"> los niveles para los cargos que existen en la administración central</w:t>
      </w:r>
      <w:r w:rsidR="00BD1D17">
        <w:rPr>
          <w:rFonts w:ascii="Verdana" w:hAnsi="Verdana"/>
          <w:sz w:val="22"/>
          <w:szCs w:val="22"/>
        </w:rPr>
        <w:t>,</w:t>
      </w:r>
      <w:r w:rsidR="00BD1D17" w:rsidRPr="00BD1D17">
        <w:rPr>
          <w:rFonts w:ascii="Verdana" w:hAnsi="Verdana"/>
          <w:sz w:val="22"/>
          <w:szCs w:val="22"/>
        </w:rPr>
        <w:t xml:space="preserve"> ocup</w:t>
      </w:r>
      <w:r w:rsidR="00BD1D17">
        <w:rPr>
          <w:rFonts w:ascii="Verdana" w:hAnsi="Verdana"/>
          <w:sz w:val="22"/>
          <w:szCs w:val="22"/>
        </w:rPr>
        <w:t xml:space="preserve">ándose </w:t>
      </w:r>
      <w:r w:rsidR="00BD1D17" w:rsidRPr="00BD1D17">
        <w:rPr>
          <w:rFonts w:ascii="Verdana" w:hAnsi="Verdana"/>
          <w:sz w:val="22"/>
          <w:szCs w:val="22"/>
        </w:rPr>
        <w:t>únicamente de las asignaciones salariales de las cargos que efectivamente existen</w:t>
      </w:r>
      <w:r w:rsidR="00BD1D17">
        <w:rPr>
          <w:rFonts w:ascii="Verdana" w:hAnsi="Verdana"/>
          <w:sz w:val="22"/>
          <w:szCs w:val="22"/>
        </w:rPr>
        <w:t xml:space="preserve">, y no estableció </w:t>
      </w:r>
      <w:r w:rsidR="00BD1D17" w:rsidRPr="00BD1D17">
        <w:rPr>
          <w:rFonts w:ascii="Verdana" w:hAnsi="Verdana"/>
          <w:sz w:val="22"/>
          <w:szCs w:val="22"/>
        </w:rPr>
        <w:t>asignaciones salaria</w:t>
      </w:r>
      <w:r w:rsidR="00BD1D17" w:rsidRPr="00B56B90">
        <w:rPr>
          <w:rFonts w:ascii="Verdana" w:hAnsi="Verdana"/>
          <w:sz w:val="22"/>
          <w:szCs w:val="22"/>
        </w:rPr>
        <w:t>les para cargos inex</w:t>
      </w:r>
      <w:r w:rsidR="00B56B90" w:rsidRPr="00B56B90">
        <w:rPr>
          <w:rFonts w:ascii="Verdana" w:hAnsi="Verdana"/>
          <w:sz w:val="22"/>
          <w:szCs w:val="22"/>
        </w:rPr>
        <w:t>istentes</w:t>
      </w:r>
      <w:r w:rsidRPr="00B56B90">
        <w:rPr>
          <w:rFonts w:ascii="Verdana" w:hAnsi="Verdana"/>
          <w:sz w:val="22"/>
          <w:szCs w:val="22"/>
        </w:rPr>
        <w:t xml:space="preserve"> (documento </w:t>
      </w:r>
      <w:r w:rsidR="00B56B90" w:rsidRPr="00B56B90">
        <w:rPr>
          <w:rFonts w:ascii="Verdana" w:hAnsi="Verdana"/>
          <w:i/>
          <w:sz w:val="22"/>
          <w:szCs w:val="22"/>
        </w:rPr>
        <w:t>CONTESTACIÓN DEMANDA.pdf</w:t>
      </w:r>
      <w:r w:rsidRPr="00B56B90">
        <w:rPr>
          <w:rFonts w:ascii="Verdana" w:hAnsi="Verdana"/>
          <w:sz w:val="22"/>
          <w:szCs w:val="22"/>
        </w:rPr>
        <w:t xml:space="preserve"> del expediente digital).  </w:t>
      </w:r>
    </w:p>
    <w:p w14:paraId="0516D004" w14:textId="77777777" w:rsidR="001B6EF7" w:rsidRPr="00BD1D17" w:rsidRDefault="001B6EF7" w:rsidP="00E71E77">
      <w:pPr>
        <w:spacing w:line="360" w:lineRule="auto"/>
        <w:jc w:val="both"/>
        <w:rPr>
          <w:rFonts w:ascii="Verdana" w:hAnsi="Verdana"/>
          <w:b/>
          <w:bCs/>
          <w:sz w:val="22"/>
          <w:szCs w:val="22"/>
          <w:lang w:eastAsia="es-CO"/>
        </w:rPr>
      </w:pPr>
    </w:p>
    <w:p w14:paraId="3FC16481" w14:textId="77777777" w:rsidR="00EF0DE7" w:rsidRPr="00886139" w:rsidRDefault="00EF0DE7" w:rsidP="00EF0DE7">
      <w:pPr>
        <w:pStyle w:val="BodyText23"/>
        <w:numPr>
          <w:ilvl w:val="0"/>
          <w:numId w:val="1"/>
        </w:numPr>
        <w:jc w:val="center"/>
        <w:rPr>
          <w:rFonts w:ascii="Verdana" w:hAnsi="Verdana"/>
          <w:b/>
          <w:sz w:val="22"/>
          <w:szCs w:val="22"/>
        </w:rPr>
      </w:pPr>
      <w:r w:rsidRPr="00886139">
        <w:rPr>
          <w:rFonts w:ascii="Verdana" w:hAnsi="Verdana"/>
          <w:b/>
          <w:sz w:val="22"/>
          <w:szCs w:val="22"/>
        </w:rPr>
        <w:lastRenderedPageBreak/>
        <w:t>CONSIDERACIONES DE LA SALA</w:t>
      </w:r>
    </w:p>
    <w:p w14:paraId="79397643" w14:textId="77777777" w:rsidR="00EF0DE7" w:rsidRPr="00886139" w:rsidRDefault="00EF0DE7" w:rsidP="00EF0DE7">
      <w:pPr>
        <w:pStyle w:val="BodyText23"/>
        <w:ind w:left="1080"/>
        <w:rPr>
          <w:rFonts w:ascii="Verdana" w:hAnsi="Verdana"/>
          <w:b/>
          <w:sz w:val="22"/>
          <w:szCs w:val="22"/>
        </w:rPr>
      </w:pPr>
    </w:p>
    <w:p w14:paraId="2C7ADA88" w14:textId="3573B0C2" w:rsidR="00EF0DE7" w:rsidRPr="00886139" w:rsidRDefault="002B4515" w:rsidP="00EF0DE7">
      <w:pPr>
        <w:pStyle w:val="Prrafodelista"/>
        <w:numPr>
          <w:ilvl w:val="1"/>
          <w:numId w:val="1"/>
        </w:numPr>
        <w:spacing w:line="360" w:lineRule="auto"/>
        <w:jc w:val="both"/>
        <w:rPr>
          <w:rFonts w:ascii="Verdana" w:hAnsi="Verdana"/>
          <w:b/>
          <w:sz w:val="22"/>
          <w:szCs w:val="22"/>
        </w:rPr>
      </w:pPr>
      <w:r w:rsidRPr="00886139">
        <w:rPr>
          <w:rFonts w:ascii="Verdana" w:hAnsi="Verdana"/>
          <w:b/>
          <w:sz w:val="22"/>
          <w:szCs w:val="22"/>
        </w:rPr>
        <w:t>PROBLEMA JURÍDICO</w:t>
      </w:r>
    </w:p>
    <w:p w14:paraId="001E665B" w14:textId="77777777" w:rsidR="00EF0DE7" w:rsidRPr="00886139" w:rsidRDefault="00EF0DE7" w:rsidP="00EF0DE7">
      <w:pPr>
        <w:spacing w:line="360" w:lineRule="auto"/>
        <w:ind w:left="360"/>
        <w:jc w:val="both"/>
        <w:rPr>
          <w:rFonts w:ascii="Verdana" w:hAnsi="Verdana"/>
          <w:b/>
          <w:sz w:val="22"/>
          <w:szCs w:val="22"/>
        </w:rPr>
      </w:pPr>
    </w:p>
    <w:p w14:paraId="29496775" w14:textId="070D7412" w:rsidR="00EF0DE7" w:rsidRPr="001B6EF7" w:rsidRDefault="00EF0DE7" w:rsidP="00EF0DE7">
      <w:pPr>
        <w:pStyle w:val="BodyText23"/>
        <w:rPr>
          <w:rFonts w:ascii="Verdana" w:hAnsi="Verdana"/>
          <w:sz w:val="22"/>
          <w:szCs w:val="22"/>
          <w:lang w:eastAsia="es-ES"/>
        </w:rPr>
      </w:pPr>
      <w:r w:rsidRPr="00886139">
        <w:rPr>
          <w:rFonts w:ascii="Verdana" w:hAnsi="Verdana"/>
          <w:sz w:val="22"/>
          <w:szCs w:val="22"/>
        </w:rPr>
        <w:t xml:space="preserve">El debate se contrae a determinar si </w:t>
      </w:r>
      <w:r w:rsidRPr="00886139">
        <w:rPr>
          <w:rFonts w:ascii="Verdana" w:hAnsi="Verdana"/>
          <w:sz w:val="22"/>
          <w:szCs w:val="22"/>
          <w:lang w:val="es-MX"/>
        </w:rPr>
        <w:t>el artículo</w:t>
      </w:r>
      <w:r w:rsidR="001B6EF7">
        <w:rPr>
          <w:rFonts w:ascii="Verdana" w:hAnsi="Verdana"/>
          <w:sz w:val="22"/>
          <w:szCs w:val="22"/>
          <w:lang w:val="es-MX"/>
        </w:rPr>
        <w:t xml:space="preserve"> 1º </w:t>
      </w:r>
      <w:r w:rsidR="001B6EF7" w:rsidRPr="00BD1D17">
        <w:rPr>
          <w:rFonts w:ascii="Verdana" w:hAnsi="Verdana"/>
          <w:sz w:val="22"/>
          <w:szCs w:val="22"/>
          <w:lang w:val="es-MX" w:eastAsia="es-ES"/>
        </w:rPr>
        <w:t xml:space="preserve">del Acuerdo No. 019 del 15 de septiembre de 2021 expedido por el Concejo Municipal de Monguí </w:t>
      </w:r>
      <w:r w:rsidR="001B6EF7" w:rsidRPr="00BD1D17">
        <w:rPr>
          <w:rFonts w:ascii="Verdana" w:hAnsi="Verdana"/>
          <w:i/>
          <w:sz w:val="22"/>
          <w:szCs w:val="22"/>
        </w:rPr>
        <w:t xml:space="preserve">"POR EL CUAL SE ESTABLECE LA REMUNERACIÓN SALARIAL CORRESPONDIENTE A LAS DISTINTAS CATEGORÍAS DE EMPLEOS DEL NIVEL CENTRAL DEL MUNICIPIO DE MONGUI Y </w:t>
      </w:r>
      <w:r w:rsidR="001B6EF7">
        <w:rPr>
          <w:rFonts w:ascii="Verdana" w:hAnsi="Verdana"/>
          <w:i/>
          <w:sz w:val="22"/>
          <w:szCs w:val="22"/>
        </w:rPr>
        <w:t>SE DICTAN OTRAS DISPOSICIONES”</w:t>
      </w:r>
      <w:r w:rsidRPr="00886139">
        <w:rPr>
          <w:rFonts w:ascii="Verdana" w:hAnsi="Verdana"/>
          <w:i/>
          <w:sz w:val="22"/>
          <w:szCs w:val="22"/>
          <w:lang w:val="es-MX" w:eastAsia="es-ES"/>
        </w:rPr>
        <w:t xml:space="preserve">, </w:t>
      </w:r>
      <w:r w:rsidRPr="00886139">
        <w:rPr>
          <w:rFonts w:ascii="Verdana" w:hAnsi="Verdana"/>
          <w:sz w:val="22"/>
          <w:szCs w:val="22"/>
          <w:lang w:val="es-MX" w:eastAsia="es-ES"/>
        </w:rPr>
        <w:t xml:space="preserve">desconoce el principio de progresividad de la remuneración en los empleos públicos de acuerdo con los niveles y grados. </w:t>
      </w:r>
    </w:p>
    <w:p w14:paraId="0012C867" w14:textId="77777777" w:rsidR="00EF0DE7" w:rsidRPr="00886139" w:rsidRDefault="00EF0DE7" w:rsidP="00EF0DE7">
      <w:pPr>
        <w:pStyle w:val="03Cuerpo"/>
        <w:spacing w:line="360" w:lineRule="auto"/>
        <w:ind w:firstLine="0"/>
        <w:rPr>
          <w:rFonts w:ascii="Verdana" w:hAnsi="Verdana" w:cs="Arial"/>
          <w:szCs w:val="22"/>
        </w:rPr>
      </w:pPr>
    </w:p>
    <w:p w14:paraId="6B9ED18F" w14:textId="7081F00E" w:rsidR="00EF0DE7" w:rsidRPr="00886139" w:rsidRDefault="002B4515" w:rsidP="00EF0DE7">
      <w:pPr>
        <w:pStyle w:val="BodyText23"/>
        <w:ind w:left="283"/>
        <w:rPr>
          <w:rFonts w:ascii="Verdana" w:hAnsi="Verdana"/>
          <w:b/>
          <w:sz w:val="22"/>
          <w:szCs w:val="22"/>
        </w:rPr>
      </w:pPr>
      <w:r>
        <w:rPr>
          <w:rFonts w:ascii="Verdana" w:hAnsi="Verdana"/>
          <w:b/>
          <w:sz w:val="22"/>
          <w:szCs w:val="22"/>
        </w:rPr>
        <w:t>3.2.</w:t>
      </w:r>
      <w:r w:rsidRPr="00886139">
        <w:rPr>
          <w:rFonts w:ascii="Verdana" w:hAnsi="Verdana"/>
          <w:b/>
          <w:sz w:val="22"/>
          <w:szCs w:val="22"/>
        </w:rPr>
        <w:t xml:space="preserve"> MARCO JURÍDICO</w:t>
      </w:r>
    </w:p>
    <w:p w14:paraId="46DA595B" w14:textId="77777777" w:rsidR="00EF0DE7" w:rsidRPr="00886139" w:rsidRDefault="00EF0DE7" w:rsidP="00EF0DE7">
      <w:pPr>
        <w:pStyle w:val="BodyText23"/>
        <w:rPr>
          <w:rFonts w:ascii="Verdana" w:hAnsi="Verdana"/>
          <w:sz w:val="22"/>
          <w:szCs w:val="22"/>
        </w:rPr>
      </w:pPr>
    </w:p>
    <w:p w14:paraId="41A2C9A8" w14:textId="0D49C1DE" w:rsidR="00EF0DE7" w:rsidRPr="002B4515" w:rsidRDefault="002B4515" w:rsidP="002B4515">
      <w:pPr>
        <w:pStyle w:val="BodyText23"/>
        <w:numPr>
          <w:ilvl w:val="0"/>
          <w:numId w:val="5"/>
        </w:numPr>
        <w:rPr>
          <w:rFonts w:ascii="Verdana" w:hAnsi="Verdana"/>
          <w:b/>
          <w:sz w:val="22"/>
          <w:szCs w:val="22"/>
        </w:rPr>
      </w:pPr>
      <w:r>
        <w:rPr>
          <w:rFonts w:ascii="Verdana" w:hAnsi="Verdana"/>
          <w:b/>
          <w:sz w:val="22"/>
          <w:szCs w:val="22"/>
        </w:rPr>
        <w:t>L</w:t>
      </w:r>
      <w:r w:rsidRPr="002B4515">
        <w:rPr>
          <w:rFonts w:ascii="Verdana" w:hAnsi="Verdana"/>
          <w:b/>
          <w:sz w:val="22"/>
          <w:szCs w:val="22"/>
        </w:rPr>
        <w:t>a función pública</w:t>
      </w:r>
    </w:p>
    <w:p w14:paraId="1D1F0474" w14:textId="77777777" w:rsidR="00EF0DE7" w:rsidRPr="00886139" w:rsidRDefault="00EF0DE7" w:rsidP="00EF0DE7">
      <w:pPr>
        <w:pStyle w:val="BodyText23"/>
        <w:rPr>
          <w:rFonts w:ascii="Verdana" w:hAnsi="Verdana"/>
          <w:sz w:val="22"/>
          <w:szCs w:val="22"/>
        </w:rPr>
      </w:pPr>
    </w:p>
    <w:p w14:paraId="49FAA87D" w14:textId="5C9CB7BC" w:rsidR="00EF0DE7" w:rsidRPr="00886139" w:rsidRDefault="00EF0DE7" w:rsidP="00EF0DE7">
      <w:pPr>
        <w:pStyle w:val="BodyText23"/>
        <w:rPr>
          <w:rFonts w:ascii="Verdana" w:hAnsi="Verdana"/>
          <w:sz w:val="22"/>
          <w:szCs w:val="22"/>
        </w:rPr>
      </w:pPr>
      <w:r w:rsidRPr="00886139">
        <w:rPr>
          <w:rFonts w:ascii="Verdana" w:hAnsi="Verdana"/>
          <w:sz w:val="22"/>
          <w:szCs w:val="22"/>
        </w:rPr>
        <w:t>El artículo 122 de la Constitución Política dispone que no habrá empleo público que no tenga funciones detalladas en la Ley o reglamento y para proveer los de carácter remunerado se requiere que estén contemplados en la respectiva planta y previstos sus emolumentos en el presupuesto correspondiente (inc</w:t>
      </w:r>
      <w:r w:rsidR="002B4515">
        <w:rPr>
          <w:rFonts w:ascii="Verdana" w:hAnsi="Verdana"/>
          <w:sz w:val="22"/>
          <w:szCs w:val="22"/>
        </w:rPr>
        <w:t>.</w:t>
      </w:r>
      <w:r w:rsidRPr="00886139">
        <w:rPr>
          <w:rFonts w:ascii="Verdana" w:hAnsi="Verdana"/>
          <w:sz w:val="22"/>
          <w:szCs w:val="22"/>
        </w:rPr>
        <w:t xml:space="preserve"> 1º).</w:t>
      </w:r>
    </w:p>
    <w:p w14:paraId="301E8ECA" w14:textId="77777777" w:rsidR="00EF0DE7" w:rsidRPr="00886139" w:rsidRDefault="00EF0DE7" w:rsidP="00EF0DE7">
      <w:pPr>
        <w:pStyle w:val="BodyText23"/>
        <w:rPr>
          <w:rFonts w:ascii="Verdana" w:hAnsi="Verdana"/>
          <w:sz w:val="22"/>
          <w:szCs w:val="22"/>
        </w:rPr>
      </w:pPr>
    </w:p>
    <w:p w14:paraId="1F58AAE2" w14:textId="77777777" w:rsidR="00EF0DE7" w:rsidRPr="00886139" w:rsidRDefault="00EF0DE7" w:rsidP="00EF0DE7">
      <w:pPr>
        <w:pStyle w:val="BodyText23"/>
        <w:rPr>
          <w:rFonts w:ascii="Verdana" w:hAnsi="Verdana"/>
          <w:sz w:val="22"/>
          <w:szCs w:val="22"/>
        </w:rPr>
      </w:pPr>
      <w:r w:rsidRPr="00886139">
        <w:rPr>
          <w:rFonts w:ascii="Verdana" w:hAnsi="Verdana"/>
          <w:sz w:val="22"/>
          <w:szCs w:val="22"/>
        </w:rPr>
        <w:t xml:space="preserve">Por su parte, el artículo 125 </w:t>
      </w:r>
      <w:r w:rsidRPr="002B4515">
        <w:rPr>
          <w:rFonts w:ascii="Verdana" w:hAnsi="Verdana"/>
          <w:i/>
          <w:sz w:val="22"/>
          <w:szCs w:val="22"/>
        </w:rPr>
        <w:t>ibídem</w:t>
      </w:r>
      <w:r w:rsidRPr="00886139">
        <w:rPr>
          <w:rFonts w:ascii="Verdana" w:hAnsi="Verdana"/>
          <w:sz w:val="22"/>
          <w:szCs w:val="22"/>
        </w:rPr>
        <w:t>, prevé que los empleos en las entidades del Estado son de carrera y se exceptúan los de elección popular, los de libre nombramiento y remoción, los trabajadores oficiales y los demás que determine la Ley.</w:t>
      </w:r>
    </w:p>
    <w:p w14:paraId="27A06F3A" w14:textId="77777777" w:rsidR="00EF0DE7" w:rsidRPr="00886139" w:rsidRDefault="00EF0DE7" w:rsidP="00EF0DE7">
      <w:pPr>
        <w:pStyle w:val="BodyText23"/>
        <w:rPr>
          <w:rFonts w:ascii="Verdana" w:hAnsi="Verdana"/>
          <w:sz w:val="22"/>
          <w:szCs w:val="22"/>
        </w:rPr>
      </w:pPr>
    </w:p>
    <w:p w14:paraId="50D7D6B7" w14:textId="77777777" w:rsidR="00EF0DE7" w:rsidRPr="00886139" w:rsidRDefault="00EF0DE7" w:rsidP="00EF0DE7">
      <w:pPr>
        <w:pStyle w:val="BodyText23"/>
        <w:rPr>
          <w:rFonts w:ascii="Verdana" w:hAnsi="Verdana"/>
          <w:sz w:val="22"/>
          <w:szCs w:val="22"/>
        </w:rPr>
      </w:pPr>
      <w:r w:rsidRPr="00886139">
        <w:rPr>
          <w:rFonts w:ascii="Verdana" w:hAnsi="Verdana"/>
          <w:sz w:val="22"/>
          <w:szCs w:val="22"/>
        </w:rPr>
        <w:t>A su turno, el artículo 150 numeral 19 </w:t>
      </w:r>
      <w:r w:rsidRPr="002B4515">
        <w:rPr>
          <w:rFonts w:ascii="Verdana" w:hAnsi="Verdana"/>
          <w:i/>
          <w:sz w:val="22"/>
          <w:szCs w:val="22"/>
        </w:rPr>
        <w:t>ibídem</w:t>
      </w:r>
      <w:r w:rsidRPr="00886139">
        <w:rPr>
          <w:rFonts w:ascii="Verdana" w:hAnsi="Verdana"/>
          <w:sz w:val="22"/>
          <w:szCs w:val="22"/>
        </w:rPr>
        <w:t xml:space="preserve">, dispone que el Congreso expedirá la Ley marco para que luego el Gobierno Nacional regule ciertas materias bajo sus orientaciones; entre ellas, se encuentra la del literal </w:t>
      </w:r>
      <w:r w:rsidRPr="00886139">
        <w:rPr>
          <w:rFonts w:ascii="Verdana" w:hAnsi="Verdana"/>
          <w:b/>
          <w:sz w:val="22"/>
          <w:szCs w:val="22"/>
        </w:rPr>
        <w:t>e)</w:t>
      </w:r>
      <w:r w:rsidRPr="00886139">
        <w:rPr>
          <w:rFonts w:ascii="Verdana" w:hAnsi="Verdana"/>
          <w:sz w:val="22"/>
          <w:szCs w:val="22"/>
        </w:rPr>
        <w:t xml:space="preserve"> respecto de la </w:t>
      </w:r>
      <w:r w:rsidRPr="00886139">
        <w:rPr>
          <w:rFonts w:ascii="Verdana" w:hAnsi="Verdana"/>
          <w:b/>
          <w:sz w:val="22"/>
          <w:szCs w:val="22"/>
        </w:rPr>
        <w:t xml:space="preserve">fijación del régimen salarial y prestacional de los </w:t>
      </w:r>
      <w:r w:rsidRPr="00886139">
        <w:rPr>
          <w:rFonts w:ascii="Verdana" w:hAnsi="Verdana"/>
          <w:b/>
          <w:sz w:val="22"/>
          <w:szCs w:val="22"/>
          <w:u w:val="single"/>
        </w:rPr>
        <w:t>empleos públicos</w:t>
      </w:r>
      <w:r w:rsidRPr="00886139">
        <w:rPr>
          <w:rFonts w:ascii="Verdana" w:hAnsi="Verdana"/>
          <w:sz w:val="22"/>
          <w:szCs w:val="22"/>
        </w:rPr>
        <w:t>, de los miembros del Congreso Nacional y de la Fuerza Pública.</w:t>
      </w:r>
    </w:p>
    <w:p w14:paraId="035511BC" w14:textId="77777777" w:rsidR="00EF0DE7" w:rsidRPr="00886139" w:rsidRDefault="00EF0DE7" w:rsidP="00EF0DE7">
      <w:pPr>
        <w:pStyle w:val="BodyText23"/>
        <w:rPr>
          <w:rFonts w:ascii="Verdana" w:hAnsi="Verdana"/>
          <w:sz w:val="22"/>
          <w:szCs w:val="22"/>
        </w:rPr>
      </w:pPr>
    </w:p>
    <w:p w14:paraId="7196184F" w14:textId="77777777" w:rsidR="00EF0DE7" w:rsidRPr="00886139" w:rsidRDefault="00EF0DE7" w:rsidP="00EF0DE7">
      <w:pPr>
        <w:pStyle w:val="BodyText23"/>
        <w:rPr>
          <w:rFonts w:ascii="Verdana" w:hAnsi="Verdana"/>
          <w:sz w:val="22"/>
          <w:szCs w:val="22"/>
        </w:rPr>
      </w:pPr>
      <w:r w:rsidRPr="00886139">
        <w:rPr>
          <w:rFonts w:ascii="Verdana" w:hAnsi="Verdana"/>
          <w:sz w:val="22"/>
          <w:szCs w:val="22"/>
        </w:rPr>
        <w:t>Ahora bien, es del caso señalar que para que un empleo público pueda proveerse deben presentarse los siguientes tres presupuestos, a saber: </w:t>
      </w:r>
    </w:p>
    <w:p w14:paraId="262F85B1" w14:textId="77777777" w:rsidR="00EF0DE7" w:rsidRPr="00886139" w:rsidRDefault="00EF0DE7" w:rsidP="00EF0DE7">
      <w:pPr>
        <w:pStyle w:val="BodyText23"/>
        <w:rPr>
          <w:rFonts w:ascii="Verdana" w:hAnsi="Verdana"/>
          <w:sz w:val="22"/>
          <w:szCs w:val="22"/>
        </w:rPr>
      </w:pPr>
    </w:p>
    <w:p w14:paraId="08288C94" w14:textId="77777777" w:rsidR="00EF0DE7" w:rsidRPr="00886139" w:rsidRDefault="00EF0DE7" w:rsidP="00EF0DE7">
      <w:pPr>
        <w:pStyle w:val="BodyText23"/>
        <w:ind w:right="51"/>
        <w:rPr>
          <w:rFonts w:ascii="Verdana" w:hAnsi="Verdana"/>
          <w:sz w:val="22"/>
          <w:szCs w:val="22"/>
        </w:rPr>
      </w:pPr>
      <w:r w:rsidRPr="00886139">
        <w:rPr>
          <w:rFonts w:ascii="Verdana" w:hAnsi="Verdana"/>
          <w:b/>
          <w:sz w:val="22"/>
          <w:szCs w:val="22"/>
        </w:rPr>
        <w:t>a.)</w:t>
      </w:r>
      <w:r w:rsidRPr="00886139">
        <w:rPr>
          <w:rFonts w:ascii="Verdana" w:hAnsi="Verdana"/>
          <w:sz w:val="22"/>
          <w:szCs w:val="22"/>
        </w:rPr>
        <w:t> </w:t>
      </w:r>
      <w:r w:rsidRPr="00886139">
        <w:rPr>
          <w:rFonts w:ascii="Verdana" w:hAnsi="Verdana"/>
          <w:b/>
          <w:sz w:val="22"/>
          <w:szCs w:val="22"/>
        </w:rPr>
        <w:t>La existencia del empleo en la planta de personal de la entidad (art. 122 C. P.).</w:t>
      </w:r>
      <w:r w:rsidRPr="00886139">
        <w:rPr>
          <w:rFonts w:ascii="Verdana" w:hAnsi="Verdana"/>
          <w:sz w:val="22"/>
          <w:szCs w:val="22"/>
        </w:rPr>
        <w:t>  Si el empleo no está previsto en la respectiva planta de personal, es imposible aceptar que se puede desempeñar lo que no existe.</w:t>
      </w:r>
    </w:p>
    <w:p w14:paraId="16A5C2DD" w14:textId="77777777" w:rsidR="00EF0DE7" w:rsidRPr="00886139" w:rsidRDefault="00EF0DE7" w:rsidP="00EF0DE7">
      <w:pPr>
        <w:pStyle w:val="BodyText23"/>
        <w:rPr>
          <w:rFonts w:ascii="Verdana" w:hAnsi="Verdana"/>
          <w:sz w:val="22"/>
          <w:szCs w:val="22"/>
        </w:rPr>
      </w:pPr>
    </w:p>
    <w:p w14:paraId="70315B7E" w14:textId="3EB5BDFB" w:rsidR="00EF0DE7" w:rsidRPr="00886139" w:rsidRDefault="00EF0DE7" w:rsidP="00EF0DE7">
      <w:pPr>
        <w:pStyle w:val="BodyText23"/>
        <w:rPr>
          <w:rFonts w:ascii="Verdana" w:hAnsi="Verdana"/>
          <w:sz w:val="22"/>
          <w:szCs w:val="22"/>
        </w:rPr>
      </w:pPr>
      <w:r w:rsidRPr="00886139">
        <w:rPr>
          <w:rFonts w:ascii="Verdana" w:hAnsi="Verdana"/>
          <w:b/>
          <w:sz w:val="22"/>
          <w:szCs w:val="22"/>
        </w:rPr>
        <w:t>b.)</w:t>
      </w:r>
      <w:r w:rsidRPr="00886139">
        <w:rPr>
          <w:rFonts w:ascii="Verdana" w:hAnsi="Verdana"/>
          <w:sz w:val="22"/>
          <w:szCs w:val="22"/>
        </w:rPr>
        <w:t xml:space="preserve"> </w:t>
      </w:r>
      <w:r w:rsidRPr="00886139">
        <w:rPr>
          <w:rFonts w:ascii="Verdana" w:hAnsi="Verdana"/>
          <w:b/>
          <w:sz w:val="22"/>
          <w:szCs w:val="22"/>
        </w:rPr>
        <w:t>La determinación de las "funciones" propias del cargo ya previsto en la planta de personal (Art. 122 de la C. P.).</w:t>
      </w:r>
      <w:r w:rsidRPr="00886139">
        <w:rPr>
          <w:rFonts w:ascii="Verdana" w:hAnsi="Verdana"/>
          <w:sz w:val="22"/>
          <w:szCs w:val="22"/>
        </w:rPr>
        <w:t xml:space="preserve"> Para la determinación de dichas funciones se tien</w:t>
      </w:r>
      <w:r w:rsidR="003833C0">
        <w:rPr>
          <w:rFonts w:ascii="Verdana" w:hAnsi="Verdana"/>
          <w:sz w:val="22"/>
          <w:szCs w:val="22"/>
        </w:rPr>
        <w:t xml:space="preserve">en en cuenta las de la Entidad, </w:t>
      </w:r>
      <w:r w:rsidRPr="00886139">
        <w:rPr>
          <w:rFonts w:ascii="Verdana" w:hAnsi="Verdana"/>
          <w:sz w:val="22"/>
          <w:szCs w:val="22"/>
        </w:rPr>
        <w:t xml:space="preserve">de la dependencia donde se labora y de la labor que cumple; especialmente se observan los manuales "general y el específico" de funciones y requisitos aplicables. </w:t>
      </w:r>
    </w:p>
    <w:p w14:paraId="308FEE5B" w14:textId="77777777" w:rsidR="00EF0DE7" w:rsidRPr="00886139" w:rsidRDefault="00EF0DE7" w:rsidP="00EF0DE7">
      <w:pPr>
        <w:pStyle w:val="BodyText23"/>
        <w:rPr>
          <w:rFonts w:ascii="Verdana" w:hAnsi="Verdana"/>
          <w:sz w:val="22"/>
          <w:szCs w:val="22"/>
        </w:rPr>
      </w:pPr>
    </w:p>
    <w:p w14:paraId="1CB7DD05" w14:textId="4ABF8CBF" w:rsidR="00EF0DE7" w:rsidRPr="00886139" w:rsidRDefault="00EF0DE7" w:rsidP="00EF0DE7">
      <w:pPr>
        <w:pStyle w:val="BodyText23"/>
        <w:rPr>
          <w:rFonts w:ascii="Verdana" w:hAnsi="Verdana"/>
          <w:sz w:val="22"/>
          <w:szCs w:val="22"/>
        </w:rPr>
      </w:pPr>
      <w:r w:rsidRPr="00886139">
        <w:rPr>
          <w:rFonts w:ascii="Verdana" w:hAnsi="Verdana"/>
          <w:b/>
          <w:sz w:val="22"/>
          <w:szCs w:val="22"/>
        </w:rPr>
        <w:t>c.)</w:t>
      </w:r>
      <w:r w:rsidRPr="00886139">
        <w:rPr>
          <w:rFonts w:ascii="Verdana" w:hAnsi="Verdana"/>
          <w:sz w:val="22"/>
          <w:szCs w:val="22"/>
        </w:rPr>
        <w:t> </w:t>
      </w:r>
      <w:r w:rsidRPr="00886139">
        <w:rPr>
          <w:rFonts w:ascii="Verdana" w:hAnsi="Verdana"/>
          <w:b/>
          <w:sz w:val="22"/>
          <w:szCs w:val="22"/>
        </w:rPr>
        <w:t>La previsión de los recursos</w:t>
      </w:r>
      <w:r w:rsidR="003833C0">
        <w:rPr>
          <w:rFonts w:ascii="Verdana" w:hAnsi="Verdana"/>
          <w:b/>
          <w:sz w:val="22"/>
          <w:szCs w:val="22"/>
        </w:rPr>
        <w:t xml:space="preserve"> en el presupuesto para el pago </w:t>
      </w:r>
      <w:r w:rsidRPr="00886139">
        <w:rPr>
          <w:rFonts w:ascii="Verdana" w:hAnsi="Verdana"/>
          <w:b/>
          <w:sz w:val="22"/>
          <w:szCs w:val="22"/>
        </w:rPr>
        <w:t>de</w:t>
      </w:r>
      <w:r w:rsidR="003833C0">
        <w:rPr>
          <w:rFonts w:ascii="Verdana" w:hAnsi="Verdana"/>
          <w:b/>
          <w:sz w:val="22"/>
          <w:szCs w:val="22"/>
        </w:rPr>
        <w:t xml:space="preserve"> </w:t>
      </w:r>
      <w:r w:rsidRPr="00886139">
        <w:rPr>
          <w:rFonts w:ascii="Verdana" w:hAnsi="Verdana"/>
          <w:b/>
          <w:sz w:val="22"/>
          <w:szCs w:val="22"/>
        </w:rPr>
        <w:t xml:space="preserve">los gastos que demande el empleo. </w:t>
      </w:r>
      <w:r w:rsidRPr="00886139">
        <w:rPr>
          <w:rFonts w:ascii="Verdana" w:hAnsi="Verdana"/>
          <w:sz w:val="22"/>
          <w:szCs w:val="22"/>
        </w:rPr>
        <w:t>Tienen que ver con el salario, prestaciones sociales, etc. (Art. 122 de la C. P.).</w:t>
      </w:r>
    </w:p>
    <w:p w14:paraId="54A6D8FD" w14:textId="77777777" w:rsidR="00EF0DE7" w:rsidRPr="00886139" w:rsidRDefault="00EF0DE7" w:rsidP="00EF0DE7">
      <w:pPr>
        <w:pStyle w:val="BodyText23"/>
        <w:rPr>
          <w:rFonts w:ascii="Verdana" w:hAnsi="Verdana"/>
          <w:sz w:val="22"/>
          <w:szCs w:val="22"/>
        </w:rPr>
      </w:pPr>
    </w:p>
    <w:p w14:paraId="1FDF4963" w14:textId="390EB6A5" w:rsidR="00EF0DE7" w:rsidRPr="003833C0" w:rsidRDefault="003833C0" w:rsidP="003833C0">
      <w:pPr>
        <w:pStyle w:val="BodyText23"/>
        <w:numPr>
          <w:ilvl w:val="0"/>
          <w:numId w:val="5"/>
        </w:numPr>
        <w:rPr>
          <w:rFonts w:ascii="Verdana" w:hAnsi="Verdana"/>
          <w:b/>
          <w:sz w:val="22"/>
          <w:szCs w:val="22"/>
        </w:rPr>
      </w:pPr>
      <w:r w:rsidRPr="003833C0">
        <w:rPr>
          <w:rFonts w:ascii="Verdana" w:hAnsi="Verdana"/>
          <w:b/>
          <w:sz w:val="22"/>
          <w:szCs w:val="22"/>
        </w:rPr>
        <w:t>Determinación de la estructura orgánica de la administración central del municipio. noción y compe</w:t>
      </w:r>
      <w:r>
        <w:rPr>
          <w:rFonts w:ascii="Verdana" w:hAnsi="Verdana"/>
          <w:b/>
          <w:sz w:val="22"/>
          <w:szCs w:val="22"/>
        </w:rPr>
        <w:t>tencia</w:t>
      </w:r>
    </w:p>
    <w:p w14:paraId="540F2EE2" w14:textId="77777777" w:rsidR="00EF0DE7" w:rsidRPr="00886139" w:rsidRDefault="00EF0DE7" w:rsidP="00EF0DE7">
      <w:pPr>
        <w:pStyle w:val="BodyText23"/>
        <w:rPr>
          <w:rFonts w:ascii="Verdana" w:hAnsi="Verdana"/>
          <w:b/>
          <w:sz w:val="22"/>
          <w:szCs w:val="22"/>
        </w:rPr>
      </w:pPr>
    </w:p>
    <w:p w14:paraId="65867EB9" w14:textId="77777777" w:rsidR="00EF0DE7" w:rsidRPr="00886139" w:rsidRDefault="00EF0DE7" w:rsidP="00EF0DE7">
      <w:pPr>
        <w:pStyle w:val="BodyText23"/>
        <w:rPr>
          <w:rFonts w:ascii="Verdana" w:hAnsi="Verdana"/>
          <w:sz w:val="22"/>
          <w:szCs w:val="22"/>
        </w:rPr>
      </w:pPr>
      <w:r w:rsidRPr="00886139">
        <w:rPr>
          <w:rFonts w:ascii="Verdana" w:hAnsi="Verdana"/>
          <w:sz w:val="22"/>
          <w:szCs w:val="22"/>
        </w:rPr>
        <w:t>En el orden municipal, la Constitución Política ha trazado un marco normativo que define las competencias entre los Concejos y los Alcaldes en materia de la estructura orgánica de la administración municipal. Es así como el artículo 313 numeral 6º encarga a los Concejos las siguientes funciones:</w:t>
      </w:r>
    </w:p>
    <w:p w14:paraId="73B86B40" w14:textId="77777777" w:rsidR="00EF0DE7" w:rsidRPr="00886139" w:rsidRDefault="00EF0DE7" w:rsidP="00EF0DE7">
      <w:pPr>
        <w:pStyle w:val="BodyText23"/>
        <w:rPr>
          <w:rFonts w:ascii="Verdana" w:hAnsi="Verdana"/>
          <w:sz w:val="22"/>
          <w:szCs w:val="22"/>
        </w:rPr>
      </w:pPr>
    </w:p>
    <w:p w14:paraId="04F7739C" w14:textId="77777777" w:rsidR="00EF0DE7" w:rsidRPr="00886139" w:rsidRDefault="00EF0DE7" w:rsidP="00EF0DE7">
      <w:pPr>
        <w:pStyle w:val="BodyText23"/>
        <w:numPr>
          <w:ilvl w:val="0"/>
          <w:numId w:val="2"/>
        </w:numPr>
        <w:rPr>
          <w:rFonts w:ascii="Verdana" w:hAnsi="Verdana"/>
          <w:sz w:val="22"/>
          <w:szCs w:val="22"/>
        </w:rPr>
      </w:pPr>
      <w:r w:rsidRPr="00886139">
        <w:rPr>
          <w:rFonts w:ascii="Verdana" w:hAnsi="Verdana"/>
          <w:sz w:val="22"/>
          <w:szCs w:val="22"/>
        </w:rPr>
        <w:t>Determinar la estructura orgánica de la administración municipal y señalar las funciones de sus dependencias;</w:t>
      </w:r>
    </w:p>
    <w:p w14:paraId="241AD6CE" w14:textId="77777777" w:rsidR="00EF0DE7" w:rsidRPr="00886139" w:rsidRDefault="00EF0DE7" w:rsidP="00EF0DE7">
      <w:pPr>
        <w:pStyle w:val="BodyText23"/>
        <w:numPr>
          <w:ilvl w:val="0"/>
          <w:numId w:val="2"/>
        </w:numPr>
        <w:rPr>
          <w:rFonts w:ascii="Verdana" w:hAnsi="Verdana"/>
          <w:b/>
          <w:sz w:val="22"/>
          <w:szCs w:val="22"/>
        </w:rPr>
      </w:pPr>
      <w:r w:rsidRPr="00886139">
        <w:rPr>
          <w:rFonts w:ascii="Verdana" w:hAnsi="Verdana"/>
          <w:b/>
          <w:sz w:val="22"/>
          <w:szCs w:val="22"/>
        </w:rPr>
        <w:t>Señalar las escalas de remuneración correspondientes a las distintas categorías de empleos;</w:t>
      </w:r>
    </w:p>
    <w:p w14:paraId="34AF59FA" w14:textId="77777777" w:rsidR="00EF0DE7" w:rsidRPr="00886139" w:rsidRDefault="00EF0DE7" w:rsidP="00EF0DE7">
      <w:pPr>
        <w:pStyle w:val="BodyText23"/>
        <w:numPr>
          <w:ilvl w:val="0"/>
          <w:numId w:val="2"/>
        </w:numPr>
        <w:rPr>
          <w:rFonts w:ascii="Verdana" w:hAnsi="Verdana"/>
          <w:sz w:val="22"/>
          <w:szCs w:val="22"/>
        </w:rPr>
      </w:pPr>
      <w:r w:rsidRPr="00886139">
        <w:rPr>
          <w:rFonts w:ascii="Verdana" w:hAnsi="Verdana"/>
          <w:sz w:val="22"/>
          <w:szCs w:val="22"/>
        </w:rPr>
        <w:t>Crear, a iniciativa del alcalde, establecimientos públicos y empresas industriales o comerciales y autorizar la constitución de sociedades de economía mixta.</w:t>
      </w:r>
    </w:p>
    <w:p w14:paraId="461BAE0D" w14:textId="77777777" w:rsidR="00EF0DE7" w:rsidRPr="00886139" w:rsidRDefault="00EF0DE7" w:rsidP="00EF0DE7">
      <w:pPr>
        <w:pStyle w:val="BodyText23"/>
        <w:rPr>
          <w:rFonts w:ascii="Verdana" w:hAnsi="Verdana"/>
          <w:sz w:val="22"/>
          <w:szCs w:val="22"/>
        </w:rPr>
      </w:pPr>
    </w:p>
    <w:p w14:paraId="2EF10795" w14:textId="77777777" w:rsidR="00EF0DE7" w:rsidRPr="00886139" w:rsidRDefault="00EF0DE7" w:rsidP="00EF0DE7">
      <w:pPr>
        <w:pStyle w:val="BodyText23"/>
        <w:rPr>
          <w:rFonts w:ascii="Verdana" w:hAnsi="Verdana"/>
          <w:sz w:val="22"/>
          <w:szCs w:val="22"/>
        </w:rPr>
      </w:pPr>
      <w:r w:rsidRPr="00886139">
        <w:rPr>
          <w:rFonts w:ascii="Verdana" w:hAnsi="Verdana"/>
          <w:sz w:val="22"/>
          <w:szCs w:val="22"/>
        </w:rPr>
        <w:t xml:space="preserve">Por su parte, a los alcaldes, el artículo 315-7 ibídem, les detalla las funciones que les corresponden en el tema de la organización administrativa así:  </w:t>
      </w:r>
    </w:p>
    <w:p w14:paraId="6FBCB751" w14:textId="77777777" w:rsidR="00EF0DE7" w:rsidRPr="00886139" w:rsidRDefault="00EF0DE7" w:rsidP="00EF0DE7">
      <w:pPr>
        <w:pStyle w:val="BodyText23"/>
        <w:rPr>
          <w:rFonts w:ascii="Verdana" w:hAnsi="Verdana"/>
          <w:sz w:val="22"/>
          <w:szCs w:val="22"/>
        </w:rPr>
      </w:pPr>
    </w:p>
    <w:p w14:paraId="35D1969D" w14:textId="77777777" w:rsidR="00EF0DE7" w:rsidRPr="00886139" w:rsidRDefault="00EF0DE7" w:rsidP="00EF0DE7">
      <w:pPr>
        <w:pStyle w:val="BodyText23"/>
        <w:numPr>
          <w:ilvl w:val="0"/>
          <w:numId w:val="2"/>
        </w:numPr>
        <w:rPr>
          <w:rFonts w:ascii="Verdana" w:hAnsi="Verdana"/>
          <w:sz w:val="22"/>
          <w:szCs w:val="22"/>
        </w:rPr>
      </w:pPr>
      <w:r w:rsidRPr="00886139">
        <w:rPr>
          <w:rFonts w:ascii="Verdana" w:hAnsi="Verdana"/>
          <w:sz w:val="22"/>
          <w:szCs w:val="22"/>
        </w:rPr>
        <w:t xml:space="preserve">Crear, suprimir o fusionar los empleos de sus dependencias, </w:t>
      </w:r>
    </w:p>
    <w:p w14:paraId="448BC5FF" w14:textId="77777777" w:rsidR="00EF0DE7" w:rsidRPr="00886139" w:rsidRDefault="00EF0DE7" w:rsidP="00EF0DE7">
      <w:pPr>
        <w:pStyle w:val="BodyText23"/>
        <w:numPr>
          <w:ilvl w:val="0"/>
          <w:numId w:val="2"/>
        </w:numPr>
        <w:rPr>
          <w:rFonts w:ascii="Verdana" w:hAnsi="Verdana"/>
          <w:sz w:val="22"/>
          <w:szCs w:val="22"/>
        </w:rPr>
      </w:pPr>
      <w:r w:rsidRPr="00886139">
        <w:rPr>
          <w:rFonts w:ascii="Verdana" w:hAnsi="Verdana"/>
          <w:sz w:val="22"/>
          <w:szCs w:val="22"/>
        </w:rPr>
        <w:t>Señalar las funciones especiales a cada uno de los empleos;</w:t>
      </w:r>
    </w:p>
    <w:p w14:paraId="4137B3FC" w14:textId="77777777" w:rsidR="00EF0DE7" w:rsidRPr="00886139" w:rsidRDefault="00EF0DE7" w:rsidP="00EF0DE7">
      <w:pPr>
        <w:pStyle w:val="BodyText23"/>
        <w:numPr>
          <w:ilvl w:val="0"/>
          <w:numId w:val="2"/>
        </w:numPr>
        <w:rPr>
          <w:rFonts w:ascii="Verdana" w:hAnsi="Verdana"/>
          <w:b/>
          <w:sz w:val="22"/>
          <w:szCs w:val="22"/>
        </w:rPr>
      </w:pPr>
      <w:r w:rsidRPr="00886139">
        <w:rPr>
          <w:rFonts w:ascii="Verdana" w:hAnsi="Verdana"/>
          <w:b/>
          <w:sz w:val="22"/>
          <w:szCs w:val="22"/>
        </w:rPr>
        <w:t>Fijar la asignación básica a cada uno de los empleos con arreglo a los acuerdos respectivos de escalas salariales.</w:t>
      </w:r>
    </w:p>
    <w:p w14:paraId="1100970D" w14:textId="77777777" w:rsidR="00EF0DE7" w:rsidRPr="00886139" w:rsidRDefault="00EF0DE7" w:rsidP="00EF0DE7">
      <w:pPr>
        <w:pStyle w:val="Cuerpodeltexto0"/>
        <w:shd w:val="clear" w:color="auto" w:fill="auto"/>
        <w:spacing w:line="360" w:lineRule="auto"/>
        <w:ind w:right="20"/>
        <w:jc w:val="both"/>
        <w:rPr>
          <w:rFonts w:ascii="Verdana" w:hAnsi="Verdana"/>
          <w:sz w:val="22"/>
          <w:szCs w:val="22"/>
        </w:rPr>
      </w:pPr>
    </w:p>
    <w:p w14:paraId="5EAF92A8" w14:textId="77777777" w:rsidR="00EF0DE7" w:rsidRPr="00886139" w:rsidRDefault="00EF0DE7" w:rsidP="00EF0DE7">
      <w:pPr>
        <w:pStyle w:val="Cuerpodeltexto0"/>
        <w:shd w:val="clear" w:color="auto" w:fill="auto"/>
        <w:spacing w:line="360" w:lineRule="auto"/>
        <w:ind w:right="20"/>
        <w:jc w:val="both"/>
        <w:rPr>
          <w:rFonts w:ascii="Verdana" w:hAnsi="Verdana"/>
          <w:sz w:val="22"/>
          <w:szCs w:val="22"/>
        </w:rPr>
      </w:pPr>
      <w:r w:rsidRPr="00886139">
        <w:rPr>
          <w:rFonts w:ascii="Verdana" w:hAnsi="Verdana"/>
          <w:sz w:val="22"/>
          <w:szCs w:val="22"/>
        </w:rPr>
        <w:t>A su turno, el parágrafo del artículo 71 de la ley 136 de 1994, consagra que, entre otros, los acuerdos a que refiere el numeral 6º del artículo 313 de la Constitución, sólo podrán ser dictados a iniciativa del alcalde.</w:t>
      </w:r>
    </w:p>
    <w:p w14:paraId="02270572" w14:textId="77777777" w:rsidR="00EF0DE7" w:rsidRPr="00886139" w:rsidRDefault="00EF0DE7" w:rsidP="00EF0DE7">
      <w:pPr>
        <w:pStyle w:val="BodyText23"/>
        <w:rPr>
          <w:rFonts w:ascii="Verdana" w:hAnsi="Verdana"/>
          <w:sz w:val="22"/>
          <w:szCs w:val="22"/>
        </w:rPr>
      </w:pPr>
      <w:r w:rsidRPr="00886139">
        <w:rPr>
          <w:rFonts w:ascii="Verdana" w:hAnsi="Verdana"/>
          <w:sz w:val="22"/>
          <w:szCs w:val="22"/>
        </w:rPr>
        <w:lastRenderedPageBreak/>
        <w:t xml:space="preserve">Como se evidencia, el Concejo Municipal, como Corporación Político- Administrativa encargada de señalar las políticas y parámetros generales que irán a regir los destinos del municipio, tiene como atribución </w:t>
      </w:r>
      <w:r w:rsidRPr="00886139">
        <w:rPr>
          <w:rFonts w:ascii="Verdana" w:hAnsi="Verdana"/>
          <w:b/>
          <w:sz w:val="22"/>
          <w:szCs w:val="22"/>
        </w:rPr>
        <w:t>determinar la estructura orgánica de la administración municipal, en la forma y con los componentes ya reseñados</w:t>
      </w:r>
      <w:r w:rsidRPr="00886139">
        <w:rPr>
          <w:rFonts w:ascii="Verdana" w:hAnsi="Verdana"/>
          <w:sz w:val="22"/>
          <w:szCs w:val="22"/>
        </w:rPr>
        <w:t>, así como señalar las funciones generales de las dependencias; mientras que el Alcalde, como jefe de la administración local y director de la acción administrativa del municipio, tiene señalada la de crear los empleos de sus dependencias, así como señalarse las funciones específicas de cada uno de los empleos, claro está, todo en armonía con la estructura orgánica adoptada por la respectiva Corporación Edilicia</w:t>
      </w:r>
      <w:r w:rsidRPr="00886139">
        <w:rPr>
          <w:rStyle w:val="Refdenotaalpie"/>
          <w:rFonts w:ascii="Verdana" w:hAnsi="Verdana"/>
          <w:sz w:val="22"/>
          <w:szCs w:val="22"/>
        </w:rPr>
        <w:footnoteReference w:id="1"/>
      </w:r>
      <w:r w:rsidRPr="00886139">
        <w:rPr>
          <w:rFonts w:ascii="Verdana" w:hAnsi="Verdana"/>
          <w:sz w:val="22"/>
          <w:szCs w:val="22"/>
        </w:rPr>
        <w:t>.</w:t>
      </w:r>
    </w:p>
    <w:p w14:paraId="2E0898D8" w14:textId="77777777" w:rsidR="00EF0DE7" w:rsidRPr="00886139" w:rsidRDefault="00EF0DE7" w:rsidP="00EF0DE7">
      <w:pPr>
        <w:pStyle w:val="BodyText23"/>
        <w:rPr>
          <w:rFonts w:ascii="Verdana" w:hAnsi="Verdana"/>
          <w:sz w:val="22"/>
          <w:szCs w:val="22"/>
        </w:rPr>
      </w:pPr>
    </w:p>
    <w:p w14:paraId="1ADC5351" w14:textId="77777777" w:rsidR="00EF0DE7" w:rsidRPr="0088628C" w:rsidRDefault="00EF0DE7" w:rsidP="00EF0DE7">
      <w:pPr>
        <w:pStyle w:val="BodyText23"/>
        <w:rPr>
          <w:rFonts w:ascii="Verdana" w:hAnsi="Verdana"/>
          <w:sz w:val="22"/>
          <w:szCs w:val="22"/>
        </w:rPr>
      </w:pPr>
      <w:r w:rsidRPr="0088628C">
        <w:rPr>
          <w:rFonts w:ascii="Verdana" w:hAnsi="Verdana"/>
          <w:sz w:val="22"/>
          <w:szCs w:val="22"/>
        </w:rPr>
        <w:t>Frente a las diferentes competencias atribuidas a los concejos y a los alcaldes, el Consejo de Estado precisó de acuerdo con lo previsto en los incisos 2º de los artículos 288 y 289 del Código de Régimen Municipal, al Concejo le corresponde, entre otros deberes, determinar las plantas de personal de la contraloría, personería, auditoría, revisoría, así como la del propio concejo. Así lo expresó:</w:t>
      </w:r>
    </w:p>
    <w:p w14:paraId="1175016D" w14:textId="77777777" w:rsidR="00EF0DE7" w:rsidRPr="0088628C" w:rsidRDefault="00EF0DE7" w:rsidP="00EF0DE7">
      <w:pPr>
        <w:pStyle w:val="BodyText23"/>
        <w:rPr>
          <w:rFonts w:ascii="Verdana" w:hAnsi="Verdana"/>
          <w:sz w:val="22"/>
          <w:szCs w:val="22"/>
        </w:rPr>
      </w:pPr>
    </w:p>
    <w:p w14:paraId="50C47283" w14:textId="77777777" w:rsidR="00EF0DE7" w:rsidRPr="0088628C" w:rsidRDefault="00EF0DE7" w:rsidP="00EF0DE7">
      <w:pPr>
        <w:pStyle w:val="BodyText23"/>
        <w:spacing w:line="240" w:lineRule="auto"/>
        <w:ind w:left="567"/>
        <w:rPr>
          <w:rFonts w:ascii="Verdana" w:hAnsi="Verdana" w:cs="Arial"/>
          <w:color w:val="000000"/>
          <w:sz w:val="20"/>
          <w:shd w:val="clear" w:color="auto" w:fill="FFFFFF"/>
        </w:rPr>
      </w:pPr>
      <w:r w:rsidRPr="0088628C">
        <w:rPr>
          <w:rFonts w:ascii="Verdana" w:hAnsi="Verdana" w:cs="Arial"/>
          <w:color w:val="000000"/>
          <w:sz w:val="20"/>
          <w:shd w:val="clear" w:color="auto" w:fill="FFFFFF"/>
        </w:rPr>
        <w:t xml:space="preserve">“Frente a este marco normativo la Constitución de 1991 introdujo en estas materias una clara distinción. Si bien reprodujo, como ya se hizo notar, el precepto contenido en el numeral 3º del Artículo 197 de la derogada Carta, señaló funciones propias al alcalde y estableció en favor de éste la facultad de crear, suprimir o fusionar empleos y de fijar los emolumentos de los empleos de sus dependencias, lo que antes estaba atribuido al concejo. En otras palabras, </w:t>
      </w:r>
      <w:r w:rsidRPr="0088628C">
        <w:rPr>
          <w:rFonts w:ascii="Verdana" w:hAnsi="Verdana" w:cs="Arial"/>
          <w:b/>
          <w:color w:val="000000"/>
          <w:sz w:val="20"/>
          <w:u w:val="single"/>
          <w:shd w:val="clear" w:color="auto" w:fill="FFFFFF"/>
        </w:rPr>
        <w:t>el concejo perdió la facultad de establecer las plantas de personal; y la de fijar los salarios, la que ahora corresponde al alcalde, dentro de los señalamientos que previamente y de manera general haya hecho el concejo en cuanto a organización administrativa, funciones generales de las dependencias, escalas salariales y categorías de empleos y presupuestos para gastos de personal</w:t>
      </w:r>
      <w:r w:rsidRPr="0088628C">
        <w:rPr>
          <w:rFonts w:ascii="Verdana" w:hAnsi="Verdana" w:cs="Arial"/>
          <w:color w:val="000000"/>
          <w:sz w:val="20"/>
          <w:shd w:val="clear" w:color="auto" w:fill="FFFFFF"/>
        </w:rPr>
        <w:t xml:space="preserve">. Si bien, </w:t>
      </w:r>
      <w:r w:rsidRPr="0088628C">
        <w:rPr>
          <w:rFonts w:ascii="Verdana" w:hAnsi="Verdana" w:cs="Arial"/>
          <w:b/>
          <w:color w:val="000000"/>
          <w:sz w:val="20"/>
          <w:shd w:val="clear" w:color="auto" w:fill="FFFFFF"/>
        </w:rPr>
        <w:t>conservó la de determinar</w:t>
      </w:r>
      <w:r w:rsidRPr="0088628C">
        <w:rPr>
          <w:rFonts w:ascii="Verdana" w:hAnsi="Verdana" w:cs="Arial"/>
          <w:color w:val="000000"/>
          <w:sz w:val="20"/>
          <w:shd w:val="clear" w:color="auto" w:fill="FFFFFF"/>
        </w:rPr>
        <w:t xml:space="preserve"> la estructura de la administración, las funciones generales de las dependencias, las escalas de remuneración y categorías de cargos (Artículo 316 - 6 C.P.), como las de fijar </w:t>
      </w:r>
      <w:r w:rsidRPr="0088628C">
        <w:rPr>
          <w:rFonts w:ascii="Verdana" w:hAnsi="Verdana" w:cs="Arial"/>
          <w:b/>
          <w:color w:val="000000"/>
          <w:sz w:val="20"/>
          <w:u w:val="single"/>
          <w:shd w:val="clear" w:color="auto" w:fill="FFFFFF"/>
        </w:rPr>
        <w:t>las plantas de personal de los organismos de control (contraloría, auditoría, revisoría, personería) y la del propio concejo (Artículo 289, inc. 2 C.R.M.), al no ser objeto estas últimas funciones de regulación en la Constitución.</w:t>
      </w:r>
      <w:r w:rsidRPr="0088628C">
        <w:rPr>
          <w:rFonts w:ascii="Verdana" w:hAnsi="Verdana"/>
          <w:sz w:val="20"/>
        </w:rPr>
        <w:t xml:space="preserve"> (</w:t>
      </w:r>
      <w:r w:rsidRPr="0088628C">
        <w:rPr>
          <w:rFonts w:ascii="Verdana" w:hAnsi="Verdana" w:cs="Arial"/>
          <w:color w:val="000000"/>
          <w:sz w:val="20"/>
          <w:shd w:val="clear" w:color="auto" w:fill="FFFFFF"/>
        </w:rPr>
        <w:t>….)</w:t>
      </w:r>
    </w:p>
    <w:p w14:paraId="1B69E31C" w14:textId="77777777" w:rsidR="00EF0DE7" w:rsidRPr="0088628C" w:rsidRDefault="00EF0DE7" w:rsidP="00EF0DE7">
      <w:pPr>
        <w:pStyle w:val="BodyText23"/>
        <w:spacing w:line="240" w:lineRule="auto"/>
        <w:ind w:left="567"/>
        <w:rPr>
          <w:rFonts w:ascii="Verdana" w:hAnsi="Verdana" w:cs="Arial"/>
          <w:color w:val="000000"/>
          <w:sz w:val="20"/>
          <w:shd w:val="clear" w:color="auto" w:fill="FFFFFF"/>
        </w:rPr>
      </w:pPr>
    </w:p>
    <w:p w14:paraId="483A62A4" w14:textId="77777777" w:rsidR="00EF0DE7" w:rsidRPr="0088628C" w:rsidRDefault="00EF0DE7" w:rsidP="00EF0DE7">
      <w:pPr>
        <w:pStyle w:val="BodyText23"/>
        <w:spacing w:line="240" w:lineRule="auto"/>
        <w:ind w:left="567"/>
        <w:rPr>
          <w:rFonts w:ascii="Verdana" w:hAnsi="Verdana" w:cs="Arial"/>
          <w:b/>
          <w:color w:val="000000"/>
          <w:sz w:val="20"/>
          <w:lang w:val="es-CO"/>
        </w:rPr>
      </w:pPr>
      <w:r w:rsidRPr="0088628C">
        <w:rPr>
          <w:rFonts w:ascii="Verdana" w:hAnsi="Verdana" w:cs="Arial"/>
          <w:color w:val="000000"/>
          <w:sz w:val="20"/>
          <w:lang w:val="es-CO"/>
        </w:rPr>
        <w:t xml:space="preserve">De acuerdo con las anteriores normas y de las del Código de Régimen Municipal que no las contraríen, como los artículos 288 y 289, inciso segundo, </w:t>
      </w:r>
      <w:r w:rsidRPr="0088628C">
        <w:rPr>
          <w:rFonts w:ascii="Verdana" w:hAnsi="Verdana" w:cs="Arial"/>
          <w:b/>
          <w:color w:val="000000"/>
          <w:sz w:val="20"/>
          <w:u w:val="single"/>
          <w:lang w:val="es-CO"/>
        </w:rPr>
        <w:t xml:space="preserve">al Concejo Municipal compete </w:t>
      </w:r>
      <w:r w:rsidRPr="0088628C">
        <w:rPr>
          <w:rFonts w:ascii="Verdana" w:hAnsi="Verdana" w:cs="Arial"/>
          <w:b/>
          <w:color w:val="000000"/>
          <w:sz w:val="20"/>
          <w:lang w:val="es-CO"/>
        </w:rPr>
        <w:t xml:space="preserve">determinar las escalas de remuneración de las distintas categorías de los empleos de la Administración Municipal, y </w:t>
      </w:r>
      <w:r w:rsidRPr="0088628C">
        <w:rPr>
          <w:rFonts w:ascii="Verdana" w:hAnsi="Verdana" w:cs="Arial"/>
          <w:b/>
          <w:color w:val="000000"/>
          <w:sz w:val="20"/>
          <w:u w:val="single"/>
          <w:lang w:val="es-CO"/>
        </w:rPr>
        <w:t>determinar las plantas de personal</w:t>
      </w:r>
      <w:r w:rsidRPr="0088628C">
        <w:rPr>
          <w:rFonts w:ascii="Verdana" w:hAnsi="Verdana" w:cs="Arial"/>
          <w:b/>
          <w:color w:val="000000"/>
          <w:sz w:val="20"/>
          <w:lang w:val="es-CO"/>
        </w:rPr>
        <w:t xml:space="preserve"> de la contraloría, personería, auditoría, revisoría, donde existan y la </w:t>
      </w:r>
      <w:r w:rsidRPr="0088628C">
        <w:rPr>
          <w:rFonts w:ascii="Verdana" w:hAnsi="Verdana" w:cs="Arial"/>
          <w:b/>
          <w:color w:val="000000"/>
          <w:sz w:val="20"/>
          <w:u w:val="single"/>
          <w:lang w:val="es-CO"/>
        </w:rPr>
        <w:t>del propio concejo</w:t>
      </w:r>
      <w:r w:rsidRPr="0088628C">
        <w:rPr>
          <w:rFonts w:ascii="Verdana" w:hAnsi="Verdana" w:cs="Arial"/>
          <w:b/>
          <w:color w:val="000000"/>
          <w:sz w:val="20"/>
          <w:lang w:val="es-CO"/>
        </w:rPr>
        <w:t>, y fijar sus emolumentos.</w:t>
      </w:r>
    </w:p>
    <w:p w14:paraId="02E713A2" w14:textId="77777777" w:rsidR="00EF0DE7" w:rsidRPr="0088628C" w:rsidRDefault="00EF0DE7" w:rsidP="00EF0DE7">
      <w:pPr>
        <w:pStyle w:val="BodyText23"/>
        <w:spacing w:line="240" w:lineRule="auto"/>
        <w:ind w:left="567"/>
        <w:rPr>
          <w:rFonts w:ascii="Verdana" w:hAnsi="Verdana" w:cs="Arial"/>
          <w:color w:val="000000"/>
          <w:sz w:val="20"/>
          <w:lang w:val="es-CO"/>
        </w:rPr>
      </w:pPr>
    </w:p>
    <w:p w14:paraId="75E8F076" w14:textId="77777777" w:rsidR="00EF0DE7" w:rsidRPr="00A32A0D" w:rsidRDefault="00EF0DE7" w:rsidP="00EF0DE7">
      <w:pPr>
        <w:pStyle w:val="BodyText23"/>
        <w:spacing w:line="240" w:lineRule="auto"/>
        <w:ind w:left="567"/>
        <w:rPr>
          <w:rFonts w:ascii="Verdana" w:hAnsi="Verdana" w:cs="Arial"/>
          <w:color w:val="000000"/>
          <w:sz w:val="20"/>
          <w:lang w:val="es-CO"/>
        </w:rPr>
      </w:pPr>
      <w:r w:rsidRPr="0088628C">
        <w:rPr>
          <w:rFonts w:ascii="Verdana" w:hAnsi="Verdana" w:cs="Arial"/>
          <w:color w:val="000000"/>
          <w:sz w:val="20"/>
          <w:lang w:val="es-CO"/>
        </w:rPr>
        <w:t xml:space="preserve">Por su parte, </w:t>
      </w:r>
      <w:r w:rsidRPr="0088628C">
        <w:rPr>
          <w:rFonts w:ascii="Verdana" w:hAnsi="Verdana" w:cs="Arial"/>
          <w:b/>
          <w:color w:val="000000"/>
          <w:sz w:val="20"/>
          <w:u w:val="single"/>
          <w:lang w:val="es-CO"/>
        </w:rPr>
        <w:t>al alcalde corresponde la determinación de las plantas de personal de su despacho de sus dependencias</w:t>
      </w:r>
      <w:r w:rsidRPr="0088628C">
        <w:rPr>
          <w:rFonts w:ascii="Verdana" w:hAnsi="Verdana" w:cs="Arial"/>
          <w:color w:val="000000"/>
          <w:sz w:val="20"/>
          <w:lang w:val="es-CO"/>
        </w:rPr>
        <w:t xml:space="preserve">, lo que se manifiesta en la competencia para crear, suprimir o fusionar los empleos de la Administración Central Municipal, </w:t>
      </w:r>
      <w:r w:rsidRPr="0088628C">
        <w:rPr>
          <w:rFonts w:ascii="Verdana" w:hAnsi="Verdana" w:cs="Arial"/>
          <w:b/>
          <w:color w:val="000000"/>
          <w:sz w:val="20"/>
          <w:u w:val="single"/>
          <w:lang w:val="es-CO"/>
        </w:rPr>
        <w:t>dentro del marco estructural y funcional adoptado previamente por el concejo</w:t>
      </w:r>
      <w:r w:rsidRPr="0088628C">
        <w:rPr>
          <w:rFonts w:ascii="Verdana" w:hAnsi="Verdana" w:cs="Arial"/>
          <w:color w:val="000000"/>
          <w:sz w:val="20"/>
          <w:lang w:val="es-CO"/>
        </w:rPr>
        <w:t xml:space="preserve">; así mismo, le corresponde fijar los sueldos del </w:t>
      </w:r>
      <w:r w:rsidRPr="0088628C">
        <w:rPr>
          <w:rFonts w:ascii="Verdana" w:hAnsi="Verdana" w:cs="Arial"/>
          <w:color w:val="000000"/>
          <w:sz w:val="20"/>
          <w:lang w:val="es-CO"/>
        </w:rPr>
        <w:lastRenderedPageBreak/>
        <w:t>personal de la Administración Central Municipal (alcaldía, secretarías, departamentos administrativos, oficinas, etc.).”</w:t>
      </w:r>
      <w:r w:rsidRPr="00A32A0D">
        <w:rPr>
          <w:rFonts w:ascii="Verdana" w:hAnsi="Verdana" w:cs="Arial"/>
          <w:color w:val="000000"/>
          <w:sz w:val="20"/>
          <w:lang w:val="es-CO"/>
        </w:rPr>
        <w:t xml:space="preserve"> (Resaltado fuera del texto)</w:t>
      </w:r>
      <w:r w:rsidRPr="00A32A0D">
        <w:rPr>
          <w:rStyle w:val="Refdenotaalpie"/>
          <w:rFonts w:ascii="Verdana" w:hAnsi="Verdana" w:cs="Arial"/>
          <w:color w:val="000000"/>
          <w:sz w:val="20"/>
          <w:lang w:val="es-CO"/>
        </w:rPr>
        <w:footnoteReference w:id="2"/>
      </w:r>
      <w:r w:rsidRPr="00A32A0D">
        <w:rPr>
          <w:rFonts w:ascii="Verdana" w:hAnsi="Verdana" w:cs="Arial"/>
          <w:color w:val="000000"/>
          <w:sz w:val="20"/>
          <w:lang w:val="es-CO"/>
        </w:rPr>
        <w:t>.</w:t>
      </w:r>
    </w:p>
    <w:p w14:paraId="045DCB12" w14:textId="77777777" w:rsidR="00EF0DE7" w:rsidRPr="00886139" w:rsidRDefault="00EF0DE7" w:rsidP="00EF0DE7">
      <w:pPr>
        <w:shd w:val="clear" w:color="auto" w:fill="FFFFFF"/>
        <w:spacing w:line="360" w:lineRule="auto"/>
        <w:ind w:left="567" w:right="567"/>
        <w:jc w:val="both"/>
        <w:rPr>
          <w:rFonts w:ascii="Verdana" w:hAnsi="Verdana" w:cs="Arial"/>
          <w:color w:val="000000"/>
          <w:sz w:val="22"/>
          <w:szCs w:val="22"/>
          <w:lang w:val="es-CO" w:eastAsia="es-CO"/>
        </w:rPr>
      </w:pPr>
    </w:p>
    <w:p w14:paraId="1D4420D2" w14:textId="77777777" w:rsidR="00EF0DE7" w:rsidRDefault="00EF0DE7" w:rsidP="00EF0DE7">
      <w:pPr>
        <w:pStyle w:val="Cuerpodeltexto0"/>
        <w:shd w:val="clear" w:color="auto" w:fill="auto"/>
        <w:spacing w:line="360" w:lineRule="auto"/>
        <w:ind w:left="20" w:right="20"/>
        <w:jc w:val="both"/>
        <w:rPr>
          <w:rFonts w:ascii="Verdana" w:hAnsi="Verdana"/>
          <w:sz w:val="22"/>
          <w:szCs w:val="22"/>
        </w:rPr>
      </w:pPr>
      <w:r w:rsidRPr="00886139">
        <w:rPr>
          <w:rFonts w:ascii="Verdana" w:hAnsi="Verdana"/>
          <w:sz w:val="22"/>
          <w:szCs w:val="22"/>
        </w:rPr>
        <w:t>Por tanto, la</w:t>
      </w:r>
      <w:r w:rsidRPr="00886139">
        <w:rPr>
          <w:rFonts w:ascii="Verdana" w:hAnsi="Verdana"/>
          <w:b/>
          <w:sz w:val="22"/>
          <w:szCs w:val="22"/>
        </w:rPr>
        <w:t xml:space="preserve"> </w:t>
      </w:r>
      <w:r w:rsidRPr="00886139">
        <w:rPr>
          <w:rFonts w:ascii="Verdana" w:hAnsi="Verdana"/>
          <w:b/>
          <w:sz w:val="22"/>
          <w:szCs w:val="22"/>
          <w:u w:val="single"/>
        </w:rPr>
        <w:t>competencia para establecer los salarios de los empleados públicos territoriales</w:t>
      </w:r>
      <w:r w:rsidRPr="00886139">
        <w:rPr>
          <w:rFonts w:ascii="Verdana" w:hAnsi="Verdana"/>
          <w:sz w:val="22"/>
          <w:szCs w:val="22"/>
        </w:rPr>
        <w:t>, el máximo tribunal constitucional, en Sentencia C-510 de 14 de julio de 1999, señaló:</w:t>
      </w:r>
    </w:p>
    <w:p w14:paraId="59ABE35E" w14:textId="77777777" w:rsidR="00EF0DE7" w:rsidRDefault="00EF0DE7" w:rsidP="00EF0DE7">
      <w:pPr>
        <w:pStyle w:val="Cuerpodeltexto0"/>
        <w:shd w:val="clear" w:color="auto" w:fill="auto"/>
        <w:spacing w:line="360" w:lineRule="auto"/>
        <w:ind w:left="20" w:right="20"/>
        <w:jc w:val="both"/>
        <w:rPr>
          <w:rFonts w:ascii="Verdana" w:hAnsi="Verdana"/>
          <w:sz w:val="22"/>
          <w:szCs w:val="22"/>
        </w:rPr>
      </w:pPr>
    </w:p>
    <w:p w14:paraId="323E6723" w14:textId="77777777" w:rsidR="00EF0DE7" w:rsidRPr="00A32A0D" w:rsidRDefault="00EF0DE7" w:rsidP="00EF0DE7">
      <w:pPr>
        <w:pStyle w:val="Cuerpodeltexto0"/>
        <w:shd w:val="clear" w:color="auto" w:fill="auto"/>
        <w:spacing w:line="240" w:lineRule="auto"/>
        <w:ind w:left="567" w:right="23"/>
        <w:jc w:val="both"/>
        <w:rPr>
          <w:rStyle w:val="Cuerpodeltexto4Sinnegrita"/>
          <w:rFonts w:ascii="Verdana" w:hAnsi="Verdana"/>
          <w:sz w:val="20"/>
          <w:szCs w:val="20"/>
        </w:rPr>
      </w:pPr>
      <w:r w:rsidRPr="00A32A0D">
        <w:rPr>
          <w:rStyle w:val="Cuerpodeltexto4Sinnegrita"/>
          <w:rFonts w:ascii="Verdana" w:hAnsi="Verdana"/>
          <w:sz w:val="20"/>
          <w:szCs w:val="20"/>
        </w:rPr>
        <w:t>"(...) No obstante que las autoridades locales</w:t>
      </w:r>
      <w:r w:rsidRPr="00A32A0D">
        <w:rPr>
          <w:rFonts w:ascii="Verdana" w:hAnsi="Verdana"/>
          <w:sz w:val="20"/>
          <w:szCs w:val="20"/>
        </w:rPr>
        <w:t xml:space="preserve"> tienen competencias expresas para determinar la estructura de sus administraciones, fijar las escalas salariales y los emolumentos de sus empleados públicos</w:t>
      </w:r>
      <w:r w:rsidRPr="00A32A0D">
        <w:rPr>
          <w:rStyle w:val="Cuerpodeltexto4Sinnegrita"/>
          <w:rFonts w:ascii="Verdana" w:hAnsi="Verdana"/>
          <w:sz w:val="20"/>
          <w:szCs w:val="20"/>
        </w:rPr>
        <w:t xml:space="preserve"> (C.P. arts. 287, 300-7, 305-7, 313-6 Y 315-7), (...)</w:t>
      </w:r>
    </w:p>
    <w:p w14:paraId="1F078953" w14:textId="77777777" w:rsidR="00EF0DE7" w:rsidRPr="00A32A0D" w:rsidRDefault="00EF0DE7" w:rsidP="00EF0DE7">
      <w:pPr>
        <w:pStyle w:val="Cuerpodeltexto0"/>
        <w:shd w:val="clear" w:color="auto" w:fill="auto"/>
        <w:spacing w:line="240" w:lineRule="auto"/>
        <w:ind w:left="567" w:right="23"/>
        <w:jc w:val="both"/>
        <w:rPr>
          <w:rStyle w:val="Cuerpodeltexto4Sinnegrita"/>
          <w:rFonts w:ascii="Verdana" w:hAnsi="Verdana"/>
          <w:sz w:val="20"/>
          <w:szCs w:val="20"/>
        </w:rPr>
      </w:pPr>
    </w:p>
    <w:p w14:paraId="7F2C064C" w14:textId="77777777" w:rsidR="00EF0DE7" w:rsidRPr="00A32A0D" w:rsidRDefault="00EF0DE7" w:rsidP="00EF0DE7">
      <w:pPr>
        <w:pStyle w:val="Cuerpodeltexto0"/>
        <w:shd w:val="clear" w:color="auto" w:fill="auto"/>
        <w:spacing w:line="240" w:lineRule="auto"/>
        <w:ind w:left="567" w:right="23"/>
        <w:jc w:val="both"/>
        <w:rPr>
          <w:rStyle w:val="Cuerpodeltexto4Sinnegrita"/>
          <w:rFonts w:ascii="Verdana" w:hAnsi="Verdana"/>
          <w:sz w:val="20"/>
          <w:szCs w:val="20"/>
        </w:rPr>
      </w:pPr>
      <w:r w:rsidRPr="00A32A0D">
        <w:rPr>
          <w:rStyle w:val="Cuerpodeltexto4Sinnegrita"/>
          <w:rFonts w:ascii="Verdana" w:hAnsi="Verdana"/>
          <w:sz w:val="20"/>
          <w:szCs w:val="20"/>
        </w:rPr>
        <w:t xml:space="preserve">Dentro de este contexto, ha de colegirse que la competencia para determinar el </w:t>
      </w:r>
      <w:r w:rsidRPr="00A32A0D">
        <w:rPr>
          <w:rFonts w:ascii="Verdana" w:hAnsi="Verdana"/>
          <w:sz w:val="20"/>
          <w:szCs w:val="20"/>
        </w:rPr>
        <w:t>régimen salarial</w:t>
      </w:r>
      <w:r w:rsidRPr="00A32A0D">
        <w:rPr>
          <w:rStyle w:val="Cuerpodeltexto4Sinnegrita"/>
          <w:rFonts w:ascii="Verdana" w:hAnsi="Verdana"/>
          <w:sz w:val="20"/>
          <w:szCs w:val="20"/>
        </w:rPr>
        <w:t xml:space="preserve"> de los empleados de las entidades territoriales, en el marco de la Constitución de 1991 </w:t>
      </w:r>
      <w:r w:rsidRPr="00A32A0D">
        <w:rPr>
          <w:rFonts w:ascii="Verdana" w:hAnsi="Verdana"/>
          <w:sz w:val="20"/>
          <w:szCs w:val="20"/>
        </w:rPr>
        <w:t>requiere una interpretación sistemática y coherente de sus mandatos</w:t>
      </w:r>
      <w:r w:rsidRPr="00A32A0D">
        <w:rPr>
          <w:rStyle w:val="Cuerpodeltexto411"/>
          <w:rFonts w:ascii="Verdana" w:hAnsi="Verdana"/>
          <w:sz w:val="20"/>
          <w:szCs w:val="20"/>
        </w:rPr>
        <w:t xml:space="preserve">, </w:t>
      </w:r>
      <w:r w:rsidRPr="00A32A0D">
        <w:rPr>
          <w:rStyle w:val="Cuerpodeltexto411"/>
          <w:rFonts w:ascii="Verdana" w:hAnsi="Verdana"/>
          <w:b w:val="0"/>
          <w:sz w:val="20"/>
          <w:szCs w:val="20"/>
        </w:rPr>
        <w:t>a</w:t>
      </w:r>
      <w:r w:rsidRPr="00A32A0D">
        <w:rPr>
          <w:rFonts w:ascii="Verdana" w:hAnsi="Verdana"/>
          <w:sz w:val="20"/>
          <w:szCs w:val="20"/>
        </w:rPr>
        <w:t xml:space="preserve"> efectos de hacer compatible la autonomía que se reconoce a los entes territoriales, en especial, el que hace referencia a la facultad de gobernarse por autoridades propias</w:t>
      </w:r>
      <w:r w:rsidRPr="00A32A0D">
        <w:rPr>
          <w:rStyle w:val="Cuerpodeltexto4Sinnegrita"/>
          <w:rFonts w:ascii="Verdana" w:hAnsi="Verdana"/>
          <w:sz w:val="20"/>
          <w:szCs w:val="20"/>
        </w:rPr>
        <w:t xml:space="preserve"> (artículo 287, numeral 1), (...)</w:t>
      </w:r>
    </w:p>
    <w:p w14:paraId="56FA86F2" w14:textId="77777777" w:rsidR="00EF0DE7" w:rsidRPr="00A32A0D" w:rsidRDefault="00EF0DE7" w:rsidP="00EF0DE7">
      <w:pPr>
        <w:pStyle w:val="Cuerpodeltexto0"/>
        <w:shd w:val="clear" w:color="auto" w:fill="auto"/>
        <w:spacing w:line="240" w:lineRule="auto"/>
        <w:ind w:left="567" w:right="23"/>
        <w:jc w:val="both"/>
        <w:rPr>
          <w:rStyle w:val="Cuerpodeltexto4Sinnegrita"/>
          <w:rFonts w:ascii="Verdana" w:hAnsi="Verdana"/>
          <w:sz w:val="20"/>
          <w:szCs w:val="20"/>
        </w:rPr>
      </w:pPr>
    </w:p>
    <w:p w14:paraId="6417DD22" w14:textId="77777777" w:rsidR="00EF0DE7" w:rsidRPr="00A32A0D" w:rsidRDefault="00EF0DE7" w:rsidP="00EF0DE7">
      <w:pPr>
        <w:pStyle w:val="Cuerpodeltexto0"/>
        <w:shd w:val="clear" w:color="auto" w:fill="auto"/>
        <w:spacing w:line="240" w:lineRule="auto"/>
        <w:ind w:left="567" w:right="23"/>
        <w:jc w:val="both"/>
        <w:rPr>
          <w:rFonts w:ascii="Verdana" w:hAnsi="Verdana"/>
          <w:b/>
          <w:bCs/>
          <w:sz w:val="20"/>
          <w:szCs w:val="20"/>
          <w:shd w:val="clear" w:color="auto" w:fill="FFFFFF"/>
        </w:rPr>
      </w:pPr>
      <w:r w:rsidRPr="00A32A0D">
        <w:rPr>
          <w:rStyle w:val="Cuerpodeltexto4Sinnegrita"/>
          <w:rFonts w:ascii="Verdana" w:hAnsi="Verdana"/>
          <w:sz w:val="20"/>
          <w:szCs w:val="20"/>
        </w:rPr>
        <w:t>4.3. En estos términos, para la Corte es claro que existe una competencia concurrente para determinar el</w:t>
      </w:r>
      <w:r w:rsidRPr="00A32A0D">
        <w:rPr>
          <w:rFonts w:ascii="Verdana" w:hAnsi="Verdana"/>
          <w:sz w:val="20"/>
          <w:szCs w:val="20"/>
        </w:rPr>
        <w:t xml:space="preserve"> </w:t>
      </w:r>
      <w:r w:rsidRPr="00A32A0D">
        <w:rPr>
          <w:rFonts w:ascii="Verdana" w:hAnsi="Verdana"/>
          <w:b/>
          <w:sz w:val="20"/>
          <w:szCs w:val="20"/>
        </w:rPr>
        <w:t>régimen salarial</w:t>
      </w:r>
      <w:r w:rsidRPr="00A32A0D">
        <w:rPr>
          <w:rStyle w:val="Cuerpodeltexto4Sinnegrita"/>
          <w:rFonts w:ascii="Verdana" w:hAnsi="Verdana"/>
          <w:sz w:val="20"/>
          <w:szCs w:val="20"/>
        </w:rPr>
        <w:t xml:space="preserve"> de los empleados de las entidades territoriales, así: (...)</w:t>
      </w:r>
      <w:r w:rsidRPr="00A32A0D">
        <w:rPr>
          <w:rFonts w:ascii="Verdana" w:hAnsi="Verdana"/>
          <w:sz w:val="20"/>
          <w:szCs w:val="20"/>
        </w:rPr>
        <w:t xml:space="preserve"> Tercero, las asambleas departamentales y concejos municipales, a quienes corresponde determinar las </w:t>
      </w:r>
      <w:r w:rsidRPr="00A32A0D">
        <w:rPr>
          <w:rFonts w:ascii="Verdana" w:hAnsi="Verdana"/>
          <w:b/>
          <w:sz w:val="20"/>
          <w:szCs w:val="20"/>
        </w:rPr>
        <w:t>escalas de remuneración de los cargos de sus dependencias, según la categoría del empleo de que se trate,</w:t>
      </w:r>
      <w:r w:rsidRPr="00A32A0D">
        <w:rPr>
          <w:rFonts w:ascii="Verdana" w:hAnsi="Verdana"/>
          <w:sz w:val="20"/>
          <w:szCs w:val="20"/>
        </w:rPr>
        <w:t xml:space="preserve"> Cuarto, los gobernadores y alcaldes, que deben fijar los emolumentos de los empleos de sus dependencias, teniendo en cuenta las estipulaciones que para el efecto dicten las asambleas departamentales y concejos municipales, en las ordenanzas y acuerdos correspondientes.</w:t>
      </w:r>
      <w:r w:rsidRPr="00A32A0D">
        <w:rPr>
          <w:rStyle w:val="Cuerpodeltexto4Sinnegrita"/>
          <w:rFonts w:ascii="Verdana" w:hAnsi="Verdana"/>
          <w:sz w:val="20"/>
          <w:szCs w:val="20"/>
        </w:rPr>
        <w:t xml:space="preserve"> </w:t>
      </w:r>
      <w:r w:rsidRPr="00A32A0D">
        <w:rPr>
          <w:rStyle w:val="Cuerpodeltexto4Sinnegrita"/>
          <w:rFonts w:ascii="Verdana" w:hAnsi="Verdana"/>
          <w:sz w:val="20"/>
          <w:szCs w:val="20"/>
          <w:u w:val="single"/>
        </w:rPr>
        <w:t>Emolumentos que, en ningún caso, pueden desconocer los</w:t>
      </w:r>
      <w:r w:rsidRPr="00A32A0D">
        <w:rPr>
          <w:rFonts w:ascii="Verdana" w:hAnsi="Verdana"/>
          <w:sz w:val="20"/>
          <w:szCs w:val="20"/>
          <w:u w:val="single"/>
        </w:rPr>
        <w:t xml:space="preserve"> </w:t>
      </w:r>
      <w:r w:rsidRPr="00A32A0D">
        <w:rPr>
          <w:rFonts w:ascii="Verdana" w:hAnsi="Verdana"/>
          <w:b/>
          <w:sz w:val="20"/>
          <w:szCs w:val="20"/>
          <w:u w:val="single"/>
        </w:rPr>
        <w:t>límites máximos</w:t>
      </w:r>
      <w:r w:rsidRPr="00A32A0D">
        <w:rPr>
          <w:rStyle w:val="Cuerpodeltexto4Sinnegrita"/>
          <w:rFonts w:ascii="Verdana" w:hAnsi="Verdana"/>
          <w:sz w:val="20"/>
          <w:szCs w:val="20"/>
          <w:u w:val="single"/>
        </w:rPr>
        <w:t xml:space="preserve"> determinados por el Gobierno Nacional</w:t>
      </w:r>
      <w:r w:rsidRPr="00A32A0D">
        <w:rPr>
          <w:rStyle w:val="Cuerpodeltexto4Sinnegrita"/>
          <w:rFonts w:ascii="Verdana" w:hAnsi="Verdana"/>
          <w:sz w:val="20"/>
          <w:szCs w:val="20"/>
        </w:rPr>
        <w:t xml:space="preserve">." </w:t>
      </w:r>
      <w:r w:rsidRPr="00A32A0D">
        <w:rPr>
          <w:rStyle w:val="Cuerpodeltexto4Sinnegrita"/>
          <w:rFonts w:ascii="Verdana" w:hAnsi="Verdana"/>
          <w:b w:val="0"/>
          <w:sz w:val="20"/>
          <w:szCs w:val="20"/>
        </w:rPr>
        <w:t>(Negrilla y resaltado de la Sala).</w:t>
      </w:r>
      <w:r w:rsidRPr="00A32A0D">
        <w:rPr>
          <w:rFonts w:ascii="Verdana" w:hAnsi="Verdana"/>
          <w:b/>
          <w:sz w:val="20"/>
          <w:szCs w:val="20"/>
        </w:rPr>
        <w:t xml:space="preserve"> </w:t>
      </w:r>
    </w:p>
    <w:p w14:paraId="028B5EC9" w14:textId="77777777" w:rsidR="00EF0DE7" w:rsidRPr="00886139" w:rsidRDefault="00EF0DE7" w:rsidP="00EF0DE7">
      <w:pPr>
        <w:pStyle w:val="Cuerpodeltexto40"/>
        <w:shd w:val="clear" w:color="auto" w:fill="auto"/>
        <w:spacing w:before="0" w:after="0" w:line="360" w:lineRule="auto"/>
        <w:ind w:left="567" w:right="567"/>
        <w:rPr>
          <w:rFonts w:ascii="Verdana" w:hAnsi="Verdana"/>
          <w:sz w:val="22"/>
          <w:szCs w:val="22"/>
        </w:rPr>
      </w:pPr>
    </w:p>
    <w:p w14:paraId="37BFFB0B" w14:textId="77777777" w:rsidR="00EF0DE7" w:rsidRPr="003833C0" w:rsidRDefault="00EF0DE7" w:rsidP="00EF0DE7">
      <w:pPr>
        <w:pStyle w:val="Cuerpodeltexto0"/>
        <w:shd w:val="clear" w:color="auto" w:fill="auto"/>
        <w:spacing w:line="360" w:lineRule="auto"/>
        <w:ind w:left="20" w:right="20"/>
        <w:jc w:val="both"/>
        <w:rPr>
          <w:rFonts w:ascii="Verdana" w:hAnsi="Verdana"/>
          <w:b/>
          <w:sz w:val="22"/>
          <w:szCs w:val="22"/>
        </w:rPr>
      </w:pPr>
      <w:r w:rsidRPr="00886139">
        <w:rPr>
          <w:rFonts w:ascii="Verdana" w:hAnsi="Verdana"/>
          <w:sz w:val="22"/>
          <w:szCs w:val="22"/>
        </w:rPr>
        <w:t xml:space="preserve">De esta forma, para el caso bajo estudio, se debe atender a que, en virtud de la facultad de gobernarse por autoridades propias reconocida a las entidades territoriales en el artículo 287 de la Constitución Política, </w:t>
      </w:r>
      <w:r w:rsidRPr="003833C0">
        <w:rPr>
          <w:rFonts w:ascii="Verdana" w:hAnsi="Verdana"/>
          <w:b/>
          <w:sz w:val="22"/>
          <w:szCs w:val="22"/>
        </w:rPr>
        <w:t>a los Concejos Municipales corresponde determinar la escala de remuneración de sus dependencias, directrices que debe seguir el alcalde respectivo, observando, por supuesto, los parámetros fijados por el Gobierno Nacional.</w:t>
      </w:r>
    </w:p>
    <w:p w14:paraId="5B0EAD6A" w14:textId="77777777" w:rsidR="00EF0DE7" w:rsidRPr="003833C0" w:rsidRDefault="00EF0DE7" w:rsidP="00EF0DE7">
      <w:pPr>
        <w:pStyle w:val="Cuerpodeltexto0"/>
        <w:shd w:val="clear" w:color="auto" w:fill="auto"/>
        <w:spacing w:line="360" w:lineRule="auto"/>
        <w:ind w:left="20" w:right="20"/>
        <w:jc w:val="both"/>
        <w:rPr>
          <w:rFonts w:ascii="Verdana" w:hAnsi="Verdana"/>
          <w:sz w:val="22"/>
          <w:szCs w:val="22"/>
        </w:rPr>
      </w:pPr>
    </w:p>
    <w:p w14:paraId="5D1F92DF" w14:textId="6910885A" w:rsidR="00EF0DE7" w:rsidRPr="003833C0" w:rsidRDefault="003833C0" w:rsidP="003833C0">
      <w:pPr>
        <w:pStyle w:val="Ttulo21"/>
        <w:keepNext/>
        <w:keepLines/>
        <w:numPr>
          <w:ilvl w:val="0"/>
          <w:numId w:val="2"/>
        </w:numPr>
        <w:shd w:val="clear" w:color="auto" w:fill="auto"/>
        <w:spacing w:before="0" w:after="0" w:line="360" w:lineRule="auto"/>
        <w:jc w:val="both"/>
        <w:rPr>
          <w:rFonts w:ascii="Verdana" w:hAnsi="Verdana"/>
          <w:b/>
          <w:sz w:val="22"/>
          <w:szCs w:val="22"/>
        </w:rPr>
      </w:pPr>
      <w:r>
        <w:rPr>
          <w:rFonts w:ascii="Verdana" w:hAnsi="Verdana"/>
          <w:b/>
          <w:sz w:val="22"/>
          <w:szCs w:val="22"/>
        </w:rPr>
        <w:t xml:space="preserve">De </w:t>
      </w:r>
      <w:r w:rsidRPr="003833C0">
        <w:rPr>
          <w:rFonts w:ascii="Verdana" w:hAnsi="Verdana"/>
          <w:b/>
          <w:sz w:val="22"/>
          <w:szCs w:val="22"/>
        </w:rPr>
        <w:t>las escalas salariales</w:t>
      </w:r>
    </w:p>
    <w:p w14:paraId="1F526D46" w14:textId="77777777" w:rsidR="00EF0DE7" w:rsidRPr="00886139" w:rsidRDefault="00EF0DE7" w:rsidP="00EF0DE7">
      <w:pPr>
        <w:pStyle w:val="Ttulo21"/>
        <w:keepNext/>
        <w:keepLines/>
        <w:shd w:val="clear" w:color="auto" w:fill="auto"/>
        <w:spacing w:before="0" w:after="0" w:line="360" w:lineRule="auto"/>
        <w:ind w:left="20"/>
        <w:jc w:val="both"/>
        <w:rPr>
          <w:rFonts w:ascii="Verdana" w:hAnsi="Verdana"/>
          <w:b/>
          <w:sz w:val="22"/>
          <w:szCs w:val="22"/>
        </w:rPr>
      </w:pPr>
    </w:p>
    <w:p w14:paraId="3836DE5D" w14:textId="77777777" w:rsidR="00EF0DE7" w:rsidRPr="00F95AD8" w:rsidRDefault="00EF0DE7" w:rsidP="00EF0DE7">
      <w:pPr>
        <w:pStyle w:val="Cuerpodeltexto0"/>
        <w:shd w:val="clear" w:color="auto" w:fill="auto"/>
        <w:spacing w:line="360" w:lineRule="auto"/>
        <w:ind w:left="20" w:right="20"/>
        <w:jc w:val="both"/>
        <w:rPr>
          <w:rFonts w:ascii="Verdana" w:hAnsi="Verdana"/>
          <w:sz w:val="22"/>
          <w:szCs w:val="22"/>
        </w:rPr>
      </w:pPr>
      <w:r w:rsidRPr="00F95AD8">
        <w:rPr>
          <w:rFonts w:ascii="Verdana" w:hAnsi="Verdana"/>
          <w:sz w:val="22"/>
          <w:szCs w:val="22"/>
        </w:rPr>
        <w:t>Respecto al alcance de las escalas salariales, la Corte Constitucional, en Sentencia C-416 de 18 de junio de 1992 precisó:</w:t>
      </w:r>
    </w:p>
    <w:p w14:paraId="2BFD57A6" w14:textId="77777777" w:rsidR="00EF0DE7" w:rsidRPr="00F95AD8" w:rsidRDefault="00EF0DE7" w:rsidP="00EF0DE7">
      <w:pPr>
        <w:pStyle w:val="Cuerpodeltexto0"/>
        <w:shd w:val="clear" w:color="auto" w:fill="auto"/>
        <w:spacing w:line="360" w:lineRule="auto"/>
        <w:ind w:left="20" w:right="20"/>
        <w:jc w:val="both"/>
        <w:rPr>
          <w:rFonts w:ascii="Verdana" w:hAnsi="Verdana"/>
          <w:sz w:val="22"/>
          <w:szCs w:val="22"/>
        </w:rPr>
      </w:pPr>
    </w:p>
    <w:p w14:paraId="3118482F" w14:textId="77777777" w:rsidR="00EF0DE7" w:rsidRPr="00A32A0D" w:rsidRDefault="00EF0DE7" w:rsidP="00EF0DE7">
      <w:pPr>
        <w:pStyle w:val="Cuerpodeltexto0"/>
        <w:shd w:val="clear" w:color="auto" w:fill="auto"/>
        <w:spacing w:line="240" w:lineRule="auto"/>
        <w:ind w:left="709" w:right="23"/>
        <w:jc w:val="both"/>
        <w:rPr>
          <w:rStyle w:val="Cuerpodeltexto3Sincursiva"/>
          <w:rFonts w:ascii="Verdana" w:hAnsi="Verdana"/>
          <w:sz w:val="20"/>
          <w:szCs w:val="20"/>
        </w:rPr>
      </w:pPr>
      <w:r w:rsidRPr="00F95AD8">
        <w:rPr>
          <w:rFonts w:ascii="Verdana" w:hAnsi="Verdana"/>
          <w:sz w:val="20"/>
          <w:szCs w:val="20"/>
        </w:rPr>
        <w:lastRenderedPageBreak/>
        <w:t>"En efecto, la</w:t>
      </w:r>
      <w:r w:rsidRPr="00F95AD8">
        <w:rPr>
          <w:rStyle w:val="Cuerpodeltexto3Negrita"/>
          <w:rFonts w:ascii="Verdana" w:hAnsi="Verdana"/>
          <w:sz w:val="20"/>
          <w:szCs w:val="20"/>
        </w:rPr>
        <w:t xml:space="preserve"> nomenclatura</w:t>
      </w:r>
      <w:r w:rsidRPr="00F95AD8">
        <w:rPr>
          <w:rFonts w:ascii="Verdana" w:hAnsi="Verdana"/>
          <w:sz w:val="20"/>
          <w:szCs w:val="20"/>
        </w:rPr>
        <w:t xml:space="preserve"> de los empleos públicos es un catálogo repertorio o relación clasificada de las plazas en que los servidores del Estado prestan a éste sus servicios, o, como lo dijo la Corte Suprema de Justicia al resolver sobre acción similar a la que nos ocupa, una "distribución jerarquizada y escalonada de los empleos del sector oficial, al cual corresponde </w:t>
      </w:r>
      <w:r w:rsidRPr="00F95AD8">
        <w:rPr>
          <w:rFonts w:ascii="Verdana" w:hAnsi="Verdana"/>
          <w:b/>
          <w:sz w:val="20"/>
          <w:szCs w:val="20"/>
        </w:rPr>
        <w:t>una tasa diferencial de salarios, de desarrollo vertical, de manera tal que cargos del mismo nivel y categoría se retribuyan con la misma remuneración</w:t>
      </w:r>
      <w:r w:rsidRPr="00F95AD8">
        <w:rPr>
          <w:rFonts w:ascii="Verdana" w:hAnsi="Verdana"/>
          <w:sz w:val="20"/>
          <w:szCs w:val="20"/>
        </w:rPr>
        <w:t>"; las</w:t>
      </w:r>
      <w:r w:rsidRPr="00F95AD8">
        <w:rPr>
          <w:rStyle w:val="Cuerpodeltexto3Negrita"/>
          <w:rFonts w:ascii="Verdana" w:hAnsi="Verdana"/>
          <w:sz w:val="20"/>
          <w:szCs w:val="20"/>
        </w:rPr>
        <w:t xml:space="preserve"> </w:t>
      </w:r>
      <w:r w:rsidRPr="00F95AD8">
        <w:rPr>
          <w:rStyle w:val="Cuerpodeltexto3Negrita"/>
          <w:rFonts w:ascii="Verdana" w:hAnsi="Verdana"/>
          <w:b w:val="0"/>
          <w:sz w:val="20"/>
          <w:szCs w:val="20"/>
        </w:rPr>
        <w:t>escalas de remuneración no son otra cosa que los grados o niveles dentro de los cuales se ubican los salarios que el Estado reconoce a sus servidores;</w:t>
      </w:r>
      <w:r w:rsidRPr="00F95AD8">
        <w:rPr>
          <w:rFonts w:ascii="Verdana" w:hAnsi="Verdana"/>
          <w:sz w:val="20"/>
          <w:szCs w:val="20"/>
        </w:rPr>
        <w:t xml:space="preserve"> el régimen de comisiones, viáticos y gastos de representación está circunscrito a la normatividad aplicable a esos rubros en aspectos tales como la previsión de los eventos en que se causan las reglas para su cuantificación, los procedimientos para su cobro, reconocimiento y pago; la facultad de fijar asignaciones mensuales, bonificaciones e incrementos de salarios se agota cuando se determina el monto de ellos.</w:t>
      </w:r>
      <w:r w:rsidRPr="00F95AD8">
        <w:rPr>
          <w:rStyle w:val="Cuerpodeltexto3Sincursiva"/>
          <w:rFonts w:ascii="Verdana" w:hAnsi="Verdana"/>
          <w:sz w:val="20"/>
          <w:szCs w:val="20"/>
        </w:rPr>
        <w:t xml:space="preserve"> "(</w:t>
      </w:r>
      <w:r w:rsidRPr="00A32A0D">
        <w:rPr>
          <w:rStyle w:val="Cuerpodeltexto3Sincursiva"/>
          <w:rFonts w:ascii="Verdana" w:hAnsi="Verdana"/>
          <w:sz w:val="20"/>
          <w:szCs w:val="20"/>
        </w:rPr>
        <w:t>Negrilla fuera de texto)</w:t>
      </w:r>
    </w:p>
    <w:p w14:paraId="0B95F47D" w14:textId="77777777" w:rsidR="00EF0DE7" w:rsidRPr="00886139" w:rsidRDefault="00EF0DE7" w:rsidP="00EF0DE7">
      <w:pPr>
        <w:spacing w:line="360" w:lineRule="auto"/>
        <w:ind w:left="567" w:right="567"/>
        <w:jc w:val="both"/>
        <w:rPr>
          <w:rFonts w:ascii="Verdana" w:hAnsi="Verdana"/>
          <w:i/>
          <w:sz w:val="22"/>
          <w:szCs w:val="22"/>
        </w:rPr>
      </w:pPr>
    </w:p>
    <w:p w14:paraId="12D128D8" w14:textId="77777777" w:rsidR="00EF0DE7" w:rsidRDefault="00EF0DE7" w:rsidP="00EF0DE7">
      <w:pPr>
        <w:pStyle w:val="Cuerpodeltexto0"/>
        <w:shd w:val="clear" w:color="auto" w:fill="auto"/>
        <w:spacing w:line="360" w:lineRule="auto"/>
        <w:ind w:left="20" w:right="20"/>
        <w:jc w:val="both"/>
        <w:rPr>
          <w:rFonts w:ascii="Verdana" w:hAnsi="Verdana"/>
          <w:sz w:val="22"/>
          <w:szCs w:val="22"/>
        </w:rPr>
      </w:pPr>
      <w:r w:rsidRPr="00886139">
        <w:rPr>
          <w:rFonts w:ascii="Verdana" w:hAnsi="Verdana"/>
          <w:sz w:val="22"/>
          <w:szCs w:val="22"/>
        </w:rPr>
        <w:t>Doctrinariamente, se define escala salarial o tabla salarial, en los siguientes términos:</w:t>
      </w:r>
    </w:p>
    <w:p w14:paraId="7D189A3E" w14:textId="77777777" w:rsidR="00EF0DE7" w:rsidRDefault="00EF0DE7" w:rsidP="00EF0DE7">
      <w:pPr>
        <w:pStyle w:val="Cuerpodeltexto0"/>
        <w:shd w:val="clear" w:color="auto" w:fill="auto"/>
        <w:spacing w:line="360" w:lineRule="auto"/>
        <w:ind w:left="20" w:right="20"/>
        <w:jc w:val="both"/>
        <w:rPr>
          <w:rFonts w:ascii="Verdana" w:hAnsi="Verdana"/>
          <w:sz w:val="22"/>
          <w:szCs w:val="22"/>
        </w:rPr>
      </w:pPr>
    </w:p>
    <w:p w14:paraId="33E22A12" w14:textId="77777777" w:rsidR="00EF0DE7" w:rsidRPr="00A32A0D" w:rsidRDefault="00EF0DE7" w:rsidP="00EF0DE7">
      <w:pPr>
        <w:pStyle w:val="Cuerpodeltexto0"/>
        <w:shd w:val="clear" w:color="auto" w:fill="auto"/>
        <w:spacing w:line="240" w:lineRule="auto"/>
        <w:ind w:left="567" w:right="23"/>
        <w:jc w:val="both"/>
        <w:rPr>
          <w:rFonts w:ascii="Verdana" w:hAnsi="Verdana"/>
          <w:b/>
          <w:sz w:val="20"/>
          <w:szCs w:val="20"/>
        </w:rPr>
      </w:pPr>
      <w:r w:rsidRPr="00A32A0D">
        <w:rPr>
          <w:rStyle w:val="Cuerpodeltexto4Sinnegrita"/>
          <w:rFonts w:ascii="Verdana" w:hAnsi="Verdana"/>
          <w:b w:val="0"/>
          <w:sz w:val="20"/>
          <w:szCs w:val="20"/>
        </w:rPr>
        <w:t>"Tabla salarial. Concepto. Empezamos por ella porque es la espina dorsal del sistema salarial y</w:t>
      </w:r>
      <w:r w:rsidRPr="00A32A0D">
        <w:rPr>
          <w:rFonts w:ascii="Verdana" w:hAnsi="Verdana"/>
          <w:b/>
          <w:sz w:val="20"/>
          <w:szCs w:val="20"/>
        </w:rPr>
        <w:t xml:space="preserve"> consiste en un ordenamiento numérico contentivo de los diferentes grados de remuneración que pueden existir, ubicados desde el inferior hasta el superior, para hacerles corresponder a cada uno de ellos determinadas consecuencias económicas, las que se reconocen por unidad de tiempo de servicio.</w:t>
      </w:r>
    </w:p>
    <w:p w14:paraId="0674BD99" w14:textId="77777777" w:rsidR="00EF0DE7" w:rsidRPr="00A32A0D" w:rsidRDefault="00EF0DE7" w:rsidP="00EF0DE7">
      <w:pPr>
        <w:pStyle w:val="Cuerpodeltexto0"/>
        <w:shd w:val="clear" w:color="auto" w:fill="auto"/>
        <w:spacing w:line="240" w:lineRule="auto"/>
        <w:ind w:left="567" w:right="23"/>
        <w:jc w:val="both"/>
        <w:rPr>
          <w:rStyle w:val="Cuerpodeltexto4Sinnegrita"/>
          <w:rFonts w:ascii="Verdana" w:hAnsi="Verdana"/>
          <w:b w:val="0"/>
          <w:sz w:val="20"/>
          <w:szCs w:val="20"/>
        </w:rPr>
      </w:pPr>
    </w:p>
    <w:p w14:paraId="479A4DE1" w14:textId="0FDB8A46" w:rsidR="00EF0DE7" w:rsidRDefault="00EF0DE7" w:rsidP="00EF0DE7">
      <w:pPr>
        <w:pStyle w:val="Cuerpodeltexto0"/>
        <w:shd w:val="clear" w:color="auto" w:fill="auto"/>
        <w:spacing w:line="240" w:lineRule="auto"/>
        <w:ind w:left="567" w:right="23"/>
        <w:jc w:val="both"/>
        <w:rPr>
          <w:rStyle w:val="Cuerpodeltexto4Sinnegrita"/>
          <w:rFonts w:ascii="Verdana" w:hAnsi="Verdana"/>
          <w:b w:val="0"/>
          <w:sz w:val="20"/>
          <w:szCs w:val="20"/>
        </w:rPr>
      </w:pPr>
      <w:r w:rsidRPr="00A32A0D">
        <w:rPr>
          <w:rStyle w:val="Cuerpodeltexto4Sinnegrita"/>
          <w:rFonts w:ascii="Verdana" w:hAnsi="Verdana"/>
          <w:b w:val="0"/>
          <w:sz w:val="20"/>
          <w:szCs w:val="20"/>
        </w:rPr>
        <w:t>Obviamente, la tabla de remuneraciones en sí sola carece de mayor o menor significación y lo definitivo en ella son los criterios e instrumentos para su utilización y manejo. Así, los procedimientos de clasificación de puestos descritos en el capítulo que antecede, servirán posteriormente para</w:t>
      </w:r>
      <w:r w:rsidRPr="00A32A0D">
        <w:rPr>
          <w:rFonts w:ascii="Verdana" w:hAnsi="Verdana"/>
          <w:b/>
          <w:sz w:val="20"/>
          <w:szCs w:val="20"/>
        </w:rPr>
        <w:t xml:space="preserve"> referir y encuadrar en los grados mayores los puestos más elevados en cada serie o denominación y en los inferiores los distinguidos por las tareas más elementales, según la diferente dificultad o complejidad que los empleos presenten. Por lo tanto, es la clasificación del proceso que tenderá a ubicar acertada y racionalmente un empleo dado."</w:t>
      </w:r>
      <w:r w:rsidRPr="00A32A0D">
        <w:rPr>
          <w:rFonts w:ascii="Verdana" w:hAnsi="Verdana"/>
          <w:b/>
          <w:sz w:val="20"/>
          <w:szCs w:val="20"/>
          <w:vertAlign w:val="superscript"/>
        </w:rPr>
        <w:footnoteReference w:id="3"/>
      </w:r>
      <w:r w:rsidRPr="00A32A0D">
        <w:rPr>
          <w:rStyle w:val="Cuerpodeltexto4Sinnegrita"/>
          <w:rFonts w:ascii="Verdana" w:hAnsi="Verdana"/>
          <w:b w:val="0"/>
          <w:sz w:val="20"/>
          <w:szCs w:val="20"/>
        </w:rPr>
        <w:t xml:space="preserve"> (Se resalta).</w:t>
      </w:r>
    </w:p>
    <w:p w14:paraId="74544D95" w14:textId="77777777" w:rsidR="003833C0" w:rsidRPr="00A32A0D" w:rsidRDefault="003833C0" w:rsidP="003833C0">
      <w:pPr>
        <w:pStyle w:val="Cuerpodeltexto0"/>
        <w:shd w:val="clear" w:color="auto" w:fill="auto"/>
        <w:spacing w:line="360" w:lineRule="auto"/>
        <w:jc w:val="both"/>
        <w:rPr>
          <w:rStyle w:val="Cuerpodeltexto4Sinnegrita"/>
          <w:rFonts w:ascii="Verdana" w:hAnsi="Verdana"/>
          <w:b w:val="0"/>
          <w:bCs w:val="0"/>
          <w:sz w:val="20"/>
          <w:szCs w:val="20"/>
          <w:shd w:val="clear" w:color="auto" w:fill="auto"/>
        </w:rPr>
      </w:pPr>
    </w:p>
    <w:p w14:paraId="05AA8C88" w14:textId="77777777" w:rsidR="00EF0DE7" w:rsidRPr="00886139" w:rsidRDefault="00EF0DE7" w:rsidP="003833C0">
      <w:pPr>
        <w:pStyle w:val="BodyText23"/>
        <w:rPr>
          <w:rFonts w:ascii="Verdana" w:hAnsi="Verdana" w:cs="Tahoma"/>
          <w:sz w:val="22"/>
          <w:szCs w:val="22"/>
        </w:rPr>
      </w:pPr>
      <w:r w:rsidRPr="00F95AD8">
        <w:rPr>
          <w:rFonts w:ascii="Verdana" w:hAnsi="Verdana"/>
          <w:sz w:val="22"/>
          <w:szCs w:val="22"/>
        </w:rPr>
        <w:t xml:space="preserve">Aunado a lo anterior, debe tenerse presente que </w:t>
      </w:r>
      <w:r w:rsidRPr="00F95AD8">
        <w:rPr>
          <w:rFonts w:ascii="Verdana" w:hAnsi="Verdana" w:cs="Tahoma"/>
          <w:sz w:val="22"/>
          <w:szCs w:val="22"/>
        </w:rPr>
        <w:t>las escalas salariales de los empleos deben establecerse en concordancia o de conformidad con lo previsto en el Decreto 785 de 2005 “P</w:t>
      </w:r>
      <w:r w:rsidRPr="00F95AD8">
        <w:rPr>
          <w:rFonts w:ascii="Verdana" w:hAnsi="Verdana" w:cs="Tahoma"/>
          <w:bCs/>
          <w:i/>
          <w:sz w:val="22"/>
          <w:szCs w:val="22"/>
        </w:rPr>
        <w:t xml:space="preserve">or el cual se establece el sistema de nomenclatura y clasificación y de funciones y requisitos generales de los empleos de las entidades territoriales que se regulan por las disposiciones de la Ley 909 de 2004”, </w:t>
      </w:r>
      <w:r w:rsidRPr="00F95AD8">
        <w:rPr>
          <w:rFonts w:ascii="Verdana" w:hAnsi="Verdana" w:cs="Tahoma"/>
          <w:bCs/>
          <w:sz w:val="22"/>
          <w:szCs w:val="22"/>
        </w:rPr>
        <w:t>norma que</w:t>
      </w:r>
      <w:r w:rsidRPr="00F95AD8">
        <w:rPr>
          <w:rFonts w:ascii="Verdana" w:hAnsi="Verdana" w:cs="Tahoma"/>
          <w:bCs/>
          <w:i/>
          <w:sz w:val="22"/>
          <w:szCs w:val="22"/>
        </w:rPr>
        <w:t xml:space="preserve"> </w:t>
      </w:r>
      <w:r w:rsidRPr="00F95AD8">
        <w:rPr>
          <w:rFonts w:ascii="Verdana" w:hAnsi="Verdana" w:cs="Tahoma"/>
          <w:sz w:val="22"/>
          <w:szCs w:val="22"/>
        </w:rPr>
        <w:t xml:space="preserve">en su artículo 2º define el </w:t>
      </w:r>
      <w:r w:rsidRPr="00F95AD8">
        <w:rPr>
          <w:rFonts w:ascii="Verdana" w:hAnsi="Verdana" w:cs="Tahoma"/>
          <w:b/>
          <w:sz w:val="22"/>
          <w:szCs w:val="22"/>
        </w:rPr>
        <w:t>empleo</w:t>
      </w:r>
      <w:r w:rsidRPr="00F95AD8">
        <w:rPr>
          <w:rFonts w:ascii="Verdana" w:hAnsi="Verdana" w:cs="Tahoma"/>
          <w:sz w:val="22"/>
          <w:szCs w:val="22"/>
        </w:rPr>
        <w:t xml:space="preserve"> –razón de ser de las escalas salariales-, como el conjunto de funciones, tareas y responsabilidades que se asignan a una persona y las competencias requeridas para llevarlas a cabo, las que de acuerdo con el artículo 3º, ibídem, según la naturaleza general de sus funciones, las competencias y los requisitos exigidos para su desempeño, se clasifican en los siguientes niveles jerárquicos: Nivel Directivo, Nivel Asesor, Nivel Profesional, Nivel Técnico y Nivel Asistencial en las entidades territoriales.</w:t>
      </w:r>
    </w:p>
    <w:p w14:paraId="7ADDDE12" w14:textId="77777777" w:rsidR="00EF0DE7" w:rsidRPr="00886139" w:rsidRDefault="00EF0DE7" w:rsidP="00EF0DE7">
      <w:pPr>
        <w:pStyle w:val="BodyText23"/>
        <w:rPr>
          <w:rFonts w:ascii="Verdana" w:hAnsi="Verdana" w:cs="Tahoma"/>
          <w:sz w:val="22"/>
          <w:szCs w:val="22"/>
        </w:rPr>
      </w:pPr>
    </w:p>
    <w:p w14:paraId="2C9D603C" w14:textId="77777777" w:rsidR="00EF0DE7" w:rsidRPr="00886139" w:rsidRDefault="00EF0DE7" w:rsidP="00EF0DE7">
      <w:pPr>
        <w:spacing w:line="360" w:lineRule="auto"/>
        <w:jc w:val="both"/>
        <w:rPr>
          <w:rFonts w:ascii="Verdana" w:hAnsi="Verdana" w:cs="Tahoma"/>
          <w:sz w:val="22"/>
          <w:szCs w:val="22"/>
        </w:rPr>
      </w:pPr>
      <w:r w:rsidRPr="00886139">
        <w:rPr>
          <w:rFonts w:ascii="Verdana" w:hAnsi="Verdana" w:cs="Tahoma"/>
          <w:sz w:val="22"/>
          <w:szCs w:val="22"/>
        </w:rPr>
        <w:lastRenderedPageBreak/>
        <w:t>Los mencionados niveles jerárquicos, agrupan, según la naturaleza de sus funciones, una serie de empleos, cada uno identificado con un código de tres (3) dígitos, donde el primer digito indica el nivel y el segundo la denominación o nombre del empleo (art. 15 Decreto 785 de 2005), v.gr. 020 Secretario de Despacho, y 039 Gerente, donde el cero (0) nos indica que estos empleos son del Nivel Directivo y el 20 y el 39 nos indican la denominación de cada empleo, Secretario de Despacho y Gerente respectivamente, tal y como están previstos en el artículo 16 del Decreto 785 de 2005. Lo propio se prevé para los otros niveles en los artículos del 17 al 20 del mencionado decreto.</w:t>
      </w:r>
    </w:p>
    <w:p w14:paraId="2C81B5D7" w14:textId="77777777" w:rsidR="00EF0DE7" w:rsidRPr="00886139" w:rsidRDefault="00EF0DE7" w:rsidP="00EF0DE7">
      <w:pPr>
        <w:spacing w:line="360" w:lineRule="auto"/>
        <w:jc w:val="both"/>
        <w:rPr>
          <w:rFonts w:ascii="Verdana" w:hAnsi="Verdana" w:cs="Tahoma"/>
          <w:sz w:val="22"/>
          <w:szCs w:val="22"/>
        </w:rPr>
      </w:pPr>
    </w:p>
    <w:p w14:paraId="0729BCFF" w14:textId="77777777" w:rsidR="00EF0DE7" w:rsidRPr="00886139" w:rsidRDefault="00EF0DE7" w:rsidP="00EF0DE7">
      <w:pPr>
        <w:spacing w:line="360" w:lineRule="auto"/>
        <w:jc w:val="both"/>
        <w:rPr>
          <w:rFonts w:ascii="Verdana" w:hAnsi="Verdana" w:cs="Tahoma"/>
          <w:sz w:val="22"/>
          <w:szCs w:val="22"/>
        </w:rPr>
      </w:pPr>
      <w:r w:rsidRPr="00886139">
        <w:rPr>
          <w:rFonts w:ascii="Verdana" w:hAnsi="Verdana" w:cs="Tahoma"/>
          <w:sz w:val="22"/>
          <w:szCs w:val="22"/>
        </w:rPr>
        <w:t>Y para efectos de la remuneración de cada uno de estos empleos, dicho código deberá ser adicionado hasta con dos dígitos más, que corresponderán a los grados de asignación básica de acuerdo a las escalas de remuneración que las Asambleas y los Concejos fijen para las distintas categorías de empleos (art. 15 Decreto 785 de 2005).</w:t>
      </w:r>
    </w:p>
    <w:p w14:paraId="6744257A" w14:textId="77777777" w:rsidR="00EF0DE7" w:rsidRPr="00886139" w:rsidRDefault="00EF0DE7" w:rsidP="00EF0DE7">
      <w:pPr>
        <w:spacing w:line="360" w:lineRule="auto"/>
        <w:jc w:val="both"/>
        <w:rPr>
          <w:rFonts w:ascii="Verdana" w:hAnsi="Verdana" w:cs="Tahoma"/>
          <w:sz w:val="22"/>
          <w:szCs w:val="22"/>
        </w:rPr>
      </w:pPr>
    </w:p>
    <w:p w14:paraId="3C5EA4EB" w14:textId="4827A017" w:rsidR="00EF0DE7" w:rsidRPr="00886139" w:rsidRDefault="00EF0DE7" w:rsidP="00641673">
      <w:pPr>
        <w:pStyle w:val="03Cuerpo"/>
        <w:numPr>
          <w:ilvl w:val="1"/>
          <w:numId w:val="8"/>
        </w:numPr>
        <w:spacing w:line="360" w:lineRule="auto"/>
        <w:rPr>
          <w:rFonts w:ascii="Verdana" w:hAnsi="Verdana" w:cs="Arial"/>
          <w:b/>
          <w:szCs w:val="22"/>
        </w:rPr>
      </w:pPr>
      <w:r w:rsidRPr="00886139">
        <w:rPr>
          <w:rFonts w:ascii="Verdana" w:hAnsi="Verdana" w:cs="Arial"/>
          <w:b/>
          <w:szCs w:val="22"/>
        </w:rPr>
        <w:t>CASO CONCRETO</w:t>
      </w:r>
      <w:r w:rsidR="006A2C80">
        <w:rPr>
          <w:rFonts w:ascii="Verdana" w:hAnsi="Verdana" w:cs="Arial"/>
          <w:b/>
          <w:szCs w:val="22"/>
        </w:rPr>
        <w:t xml:space="preserve">: </w:t>
      </w:r>
    </w:p>
    <w:p w14:paraId="15E99EEB" w14:textId="77777777" w:rsidR="00EF0DE7" w:rsidRPr="00886139" w:rsidRDefault="00EF0DE7" w:rsidP="00EF0DE7">
      <w:pPr>
        <w:pStyle w:val="03Cuerpo"/>
        <w:spacing w:line="360" w:lineRule="auto"/>
        <w:ind w:firstLine="0"/>
        <w:rPr>
          <w:rFonts w:ascii="Verdana" w:hAnsi="Verdana" w:cs="Arial"/>
          <w:b/>
          <w:szCs w:val="22"/>
        </w:rPr>
      </w:pPr>
    </w:p>
    <w:p w14:paraId="593928B7" w14:textId="7FDA135A" w:rsidR="00A627FA" w:rsidRPr="008C4F91" w:rsidRDefault="00EF0DE7" w:rsidP="00A627FA">
      <w:pPr>
        <w:pStyle w:val="03Cuerpo"/>
        <w:spacing w:line="360" w:lineRule="auto"/>
        <w:ind w:firstLine="0"/>
        <w:rPr>
          <w:rFonts w:ascii="Verdana" w:hAnsi="Verdana" w:cs="Arial"/>
          <w:b/>
          <w:szCs w:val="22"/>
        </w:rPr>
      </w:pPr>
      <w:r w:rsidRPr="00886139">
        <w:rPr>
          <w:rFonts w:ascii="Verdana" w:hAnsi="Verdana" w:cs="Georgia"/>
          <w:szCs w:val="22"/>
        </w:rPr>
        <w:t xml:space="preserve">Tomando en consideración el marco normativo decantado en precedencia, ha de memorar la Sala que el argumento central deprecado por el </w:t>
      </w:r>
      <w:r w:rsidR="00543CAC">
        <w:rPr>
          <w:rFonts w:ascii="Verdana" w:hAnsi="Verdana" w:cs="Georgia"/>
          <w:szCs w:val="22"/>
        </w:rPr>
        <w:t>DEPARTAMENTO DE BOYACÁ</w:t>
      </w:r>
      <w:r w:rsidRPr="00886139">
        <w:rPr>
          <w:rFonts w:ascii="Verdana" w:hAnsi="Verdana" w:cs="Georgia"/>
          <w:szCs w:val="22"/>
        </w:rPr>
        <w:t xml:space="preserve"> y que dio lugar a que se solicitara la invalidez del</w:t>
      </w:r>
      <w:r w:rsidR="00543CAC">
        <w:rPr>
          <w:rFonts w:ascii="Verdana" w:hAnsi="Verdana" w:cs="Georgia"/>
          <w:szCs w:val="22"/>
        </w:rPr>
        <w:t xml:space="preserve"> artículo 1º del</w:t>
      </w:r>
      <w:r w:rsidRPr="00886139">
        <w:rPr>
          <w:rFonts w:ascii="Verdana" w:hAnsi="Verdana" w:cs="Georgia"/>
          <w:szCs w:val="22"/>
        </w:rPr>
        <w:t xml:space="preserve"> Acuerdo </w:t>
      </w:r>
      <w:r w:rsidRPr="00886139">
        <w:rPr>
          <w:rFonts w:ascii="Verdana" w:hAnsi="Verdana"/>
          <w:szCs w:val="22"/>
        </w:rPr>
        <w:t xml:space="preserve">No. </w:t>
      </w:r>
      <w:r w:rsidR="00543CAC">
        <w:rPr>
          <w:rFonts w:ascii="Verdana" w:hAnsi="Verdana"/>
          <w:szCs w:val="22"/>
        </w:rPr>
        <w:t>019 del 15 de septiembre de 2021</w:t>
      </w:r>
      <w:r w:rsidRPr="00886139">
        <w:rPr>
          <w:rFonts w:ascii="Verdana" w:hAnsi="Verdana" w:cs="Georgia"/>
          <w:szCs w:val="22"/>
        </w:rPr>
        <w:t xml:space="preserve">, radica en indicar </w:t>
      </w:r>
      <w:r w:rsidR="00543CAC">
        <w:rPr>
          <w:rFonts w:ascii="Verdana" w:hAnsi="Verdana" w:cs="Georgia"/>
          <w:szCs w:val="22"/>
        </w:rPr>
        <w:t xml:space="preserve">no fijó las </w:t>
      </w:r>
      <w:r w:rsidRPr="00886139">
        <w:rPr>
          <w:rFonts w:ascii="Verdana" w:hAnsi="Verdana"/>
          <w:szCs w:val="22"/>
        </w:rPr>
        <w:t xml:space="preserve">escalas de remuneración de los empleos del Municipio de </w:t>
      </w:r>
      <w:proofErr w:type="spellStart"/>
      <w:r w:rsidR="00543CAC">
        <w:rPr>
          <w:rFonts w:ascii="Verdana" w:hAnsi="Verdana"/>
          <w:szCs w:val="22"/>
        </w:rPr>
        <w:t>Monguí</w:t>
      </w:r>
      <w:proofErr w:type="spellEnd"/>
      <w:r w:rsidR="00543CAC">
        <w:rPr>
          <w:rFonts w:ascii="Verdana" w:hAnsi="Verdana"/>
          <w:szCs w:val="22"/>
        </w:rPr>
        <w:t>, porque asignó de manera directa el valor salarial, desconociendo el principio de progresividad</w:t>
      </w:r>
      <w:r w:rsidR="00543CAC" w:rsidRPr="00BD1D17">
        <w:rPr>
          <w:rFonts w:ascii="Verdana" w:hAnsi="Verdana"/>
          <w:szCs w:val="22"/>
        </w:rPr>
        <w:t xml:space="preserve"> y del orden sucesorio</w:t>
      </w:r>
      <w:r w:rsidR="00543CAC">
        <w:rPr>
          <w:rFonts w:ascii="Verdana" w:hAnsi="Verdana"/>
          <w:szCs w:val="22"/>
        </w:rPr>
        <w:t xml:space="preserve"> (sic).</w:t>
      </w:r>
    </w:p>
    <w:p w14:paraId="00DBD37E" w14:textId="77777777" w:rsidR="00A627FA" w:rsidRPr="008C4F91" w:rsidRDefault="00A627FA" w:rsidP="00A627FA">
      <w:pPr>
        <w:pStyle w:val="03Cuerpo"/>
        <w:spacing w:line="360" w:lineRule="auto"/>
        <w:ind w:firstLine="0"/>
        <w:rPr>
          <w:rFonts w:ascii="Verdana" w:hAnsi="Verdana" w:cs="Arial"/>
          <w:b/>
          <w:szCs w:val="22"/>
        </w:rPr>
      </w:pPr>
    </w:p>
    <w:p w14:paraId="5CCFFCB1" w14:textId="198D8183" w:rsidR="00A627FA" w:rsidRPr="00302910" w:rsidRDefault="00A627FA" w:rsidP="00A627FA">
      <w:pPr>
        <w:pStyle w:val="BodyText23"/>
        <w:rPr>
          <w:rFonts w:ascii="Verdana" w:hAnsi="Verdana" w:cs="Tahoma"/>
          <w:sz w:val="22"/>
          <w:szCs w:val="22"/>
        </w:rPr>
      </w:pPr>
      <w:r w:rsidRPr="00302910">
        <w:rPr>
          <w:rFonts w:ascii="Verdana" w:hAnsi="Verdana" w:cs="Tahoma"/>
          <w:sz w:val="22"/>
          <w:szCs w:val="22"/>
        </w:rPr>
        <w:t xml:space="preserve">Revisado el plenario se constata que el artículo 1º del Acuerdo </w:t>
      </w:r>
      <w:r w:rsidRPr="00302910">
        <w:rPr>
          <w:rFonts w:ascii="Verdana" w:hAnsi="Verdana"/>
          <w:sz w:val="22"/>
          <w:szCs w:val="22"/>
        </w:rPr>
        <w:t xml:space="preserve">No. </w:t>
      </w:r>
      <w:r>
        <w:rPr>
          <w:rFonts w:ascii="Verdana" w:hAnsi="Verdana"/>
          <w:sz w:val="22"/>
          <w:szCs w:val="22"/>
        </w:rPr>
        <w:t>019 del 15 de septiembre de 2021</w:t>
      </w:r>
      <w:r w:rsidRPr="00302910">
        <w:rPr>
          <w:rFonts w:ascii="Verdana" w:hAnsi="Verdana"/>
          <w:sz w:val="22"/>
          <w:szCs w:val="22"/>
        </w:rPr>
        <w:t xml:space="preserve"> mediante el cual el Concejo</w:t>
      </w:r>
      <w:r>
        <w:rPr>
          <w:rFonts w:ascii="Verdana" w:hAnsi="Verdana"/>
          <w:sz w:val="22"/>
          <w:szCs w:val="22"/>
        </w:rPr>
        <w:t xml:space="preserve"> Municipal de Monguí estableció la remuneración salarial correspondiente a las distintas categorías de empleos del nivel central del Municipio</w:t>
      </w:r>
      <w:r w:rsidRPr="00302910">
        <w:rPr>
          <w:rFonts w:ascii="Verdana" w:hAnsi="Verdana"/>
          <w:i/>
          <w:sz w:val="22"/>
          <w:szCs w:val="22"/>
        </w:rPr>
        <w:t xml:space="preserve">, </w:t>
      </w:r>
      <w:r w:rsidRPr="00302910">
        <w:rPr>
          <w:rFonts w:ascii="Verdana" w:hAnsi="Verdana"/>
          <w:sz w:val="22"/>
          <w:szCs w:val="22"/>
        </w:rPr>
        <w:t>dispone lo siguiente:</w:t>
      </w:r>
    </w:p>
    <w:p w14:paraId="321E0641" w14:textId="77777777" w:rsidR="00A627FA" w:rsidRPr="00302910" w:rsidRDefault="00A627FA" w:rsidP="00A627FA">
      <w:pPr>
        <w:pStyle w:val="BodyText23"/>
        <w:rPr>
          <w:rFonts w:ascii="Verdana" w:hAnsi="Verdana" w:cs="Tahoma"/>
          <w:sz w:val="22"/>
          <w:szCs w:val="22"/>
        </w:rPr>
      </w:pPr>
    </w:p>
    <w:p w14:paraId="5334BE84" w14:textId="3987849A" w:rsidR="00A627FA" w:rsidRDefault="00A627FA" w:rsidP="001A41A2">
      <w:pPr>
        <w:pStyle w:val="BodyText23"/>
        <w:spacing w:line="240" w:lineRule="auto"/>
        <w:ind w:left="703"/>
        <w:rPr>
          <w:rFonts w:ascii="Verdana" w:hAnsi="Verdana" w:cs="Tahoma"/>
          <w:sz w:val="20"/>
        </w:rPr>
      </w:pPr>
      <w:r w:rsidRPr="001A41A2">
        <w:rPr>
          <w:rFonts w:ascii="Verdana" w:hAnsi="Verdana" w:cs="Tahoma"/>
          <w:sz w:val="20"/>
        </w:rPr>
        <w:t>“</w:t>
      </w:r>
      <w:r w:rsidRPr="001A41A2">
        <w:rPr>
          <w:rFonts w:ascii="Verdana" w:hAnsi="Verdana" w:cs="Tahoma"/>
          <w:b/>
          <w:sz w:val="20"/>
        </w:rPr>
        <w:t>ARTÍCULO PRIMERO:</w:t>
      </w:r>
      <w:r w:rsidRPr="001A41A2">
        <w:rPr>
          <w:rFonts w:ascii="Verdana" w:hAnsi="Verdana" w:cs="Tahoma"/>
          <w:sz w:val="20"/>
        </w:rPr>
        <w:t xml:space="preserve"> </w:t>
      </w:r>
      <w:r w:rsidRPr="001A41A2">
        <w:rPr>
          <w:rFonts w:ascii="Verdana" w:hAnsi="Verdana" w:cs="Tahoma"/>
          <w:b/>
          <w:sz w:val="20"/>
        </w:rPr>
        <w:t xml:space="preserve">Establecer la remuneración salarial </w:t>
      </w:r>
      <w:r w:rsidRPr="001A41A2">
        <w:rPr>
          <w:rFonts w:ascii="Verdana" w:hAnsi="Verdana" w:cs="Tahoma"/>
          <w:sz w:val="20"/>
        </w:rPr>
        <w:t xml:space="preserve">correspondiente a las distintas categorías de empleos existentes en el nivel central del municipio de Monguí, para la vigencia 2021, así: </w:t>
      </w:r>
    </w:p>
    <w:p w14:paraId="1EF6D9B2" w14:textId="3D16A479" w:rsidR="001A41A2" w:rsidRDefault="001A41A2" w:rsidP="001A41A2">
      <w:pPr>
        <w:pStyle w:val="BodyText23"/>
        <w:spacing w:line="240" w:lineRule="auto"/>
        <w:ind w:left="703"/>
        <w:rPr>
          <w:rFonts w:ascii="Verdana" w:hAnsi="Verdana" w:cs="Tahoma"/>
          <w:sz w:val="20"/>
        </w:rPr>
      </w:pPr>
    </w:p>
    <w:tbl>
      <w:tblPr>
        <w:tblStyle w:val="Tablaconcuadrcula"/>
        <w:tblW w:w="0" w:type="auto"/>
        <w:tblInd w:w="703" w:type="dxa"/>
        <w:tblLook w:val="04A0" w:firstRow="1" w:lastRow="0" w:firstColumn="1" w:lastColumn="0" w:noHBand="0" w:noVBand="1"/>
      </w:tblPr>
      <w:tblGrid>
        <w:gridCol w:w="4070"/>
        <w:gridCol w:w="4057"/>
      </w:tblGrid>
      <w:tr w:rsidR="001A41A2" w14:paraId="2F5E789C" w14:textId="77777777" w:rsidTr="001A41A2">
        <w:tc>
          <w:tcPr>
            <w:tcW w:w="4415" w:type="dxa"/>
          </w:tcPr>
          <w:p w14:paraId="7228F31E" w14:textId="1F165E9C" w:rsidR="001A41A2" w:rsidRDefault="001A41A2" w:rsidP="001A41A2">
            <w:pPr>
              <w:pStyle w:val="BodyText23"/>
              <w:spacing w:line="240" w:lineRule="auto"/>
              <w:rPr>
                <w:rFonts w:ascii="Verdana" w:hAnsi="Verdana" w:cs="Tahoma"/>
                <w:sz w:val="20"/>
              </w:rPr>
            </w:pPr>
            <w:r>
              <w:rPr>
                <w:rFonts w:ascii="Verdana" w:hAnsi="Verdana" w:cs="Tahoma"/>
                <w:sz w:val="20"/>
              </w:rPr>
              <w:t xml:space="preserve">NIVEL JERÁRQUICO </w:t>
            </w:r>
          </w:p>
        </w:tc>
        <w:tc>
          <w:tcPr>
            <w:tcW w:w="4415" w:type="dxa"/>
          </w:tcPr>
          <w:p w14:paraId="2803A85B" w14:textId="5024C242" w:rsidR="001A41A2" w:rsidRDefault="001A41A2" w:rsidP="001A41A2">
            <w:pPr>
              <w:pStyle w:val="BodyText23"/>
              <w:spacing w:line="240" w:lineRule="auto"/>
              <w:rPr>
                <w:rFonts w:ascii="Verdana" w:hAnsi="Verdana" w:cs="Tahoma"/>
                <w:sz w:val="20"/>
              </w:rPr>
            </w:pPr>
            <w:r>
              <w:rPr>
                <w:rFonts w:ascii="Verdana" w:hAnsi="Verdana" w:cs="Tahoma"/>
                <w:sz w:val="20"/>
              </w:rPr>
              <w:t>ASIGNACIÓN SALARIAL BÁSICA MENSUAL</w:t>
            </w:r>
          </w:p>
        </w:tc>
      </w:tr>
      <w:tr w:rsidR="001A41A2" w14:paraId="4F8822D7" w14:textId="77777777" w:rsidTr="001A41A2">
        <w:tc>
          <w:tcPr>
            <w:tcW w:w="4415" w:type="dxa"/>
          </w:tcPr>
          <w:p w14:paraId="5645D26F" w14:textId="783D71F7" w:rsidR="001A41A2" w:rsidRDefault="001A41A2" w:rsidP="001A41A2">
            <w:pPr>
              <w:pStyle w:val="BodyText23"/>
              <w:spacing w:line="240" w:lineRule="auto"/>
              <w:rPr>
                <w:rFonts w:ascii="Verdana" w:hAnsi="Verdana" w:cs="Tahoma"/>
                <w:sz w:val="20"/>
              </w:rPr>
            </w:pPr>
            <w:r>
              <w:rPr>
                <w:rFonts w:ascii="Verdana" w:hAnsi="Verdana" w:cs="Tahoma"/>
                <w:sz w:val="20"/>
              </w:rPr>
              <w:t xml:space="preserve">DIRECTIVO GRADO 2 </w:t>
            </w:r>
          </w:p>
        </w:tc>
        <w:tc>
          <w:tcPr>
            <w:tcW w:w="4415" w:type="dxa"/>
          </w:tcPr>
          <w:p w14:paraId="4FA6DD64" w14:textId="0B63DB10" w:rsidR="001A41A2" w:rsidRDefault="001A41A2" w:rsidP="001A41A2">
            <w:pPr>
              <w:pStyle w:val="BodyText23"/>
              <w:spacing w:line="240" w:lineRule="auto"/>
              <w:jc w:val="center"/>
              <w:rPr>
                <w:rFonts w:ascii="Verdana" w:hAnsi="Verdana" w:cs="Tahoma"/>
                <w:sz w:val="20"/>
              </w:rPr>
            </w:pPr>
            <w:r>
              <w:rPr>
                <w:rFonts w:ascii="Verdana" w:hAnsi="Verdana" w:cs="Tahoma"/>
                <w:sz w:val="20"/>
              </w:rPr>
              <w:t>$2.618.908</w:t>
            </w:r>
          </w:p>
        </w:tc>
      </w:tr>
      <w:tr w:rsidR="001A41A2" w14:paraId="123BC961" w14:textId="77777777" w:rsidTr="001A41A2">
        <w:tc>
          <w:tcPr>
            <w:tcW w:w="4415" w:type="dxa"/>
          </w:tcPr>
          <w:p w14:paraId="34AD5FF5" w14:textId="5D99633D" w:rsidR="001A41A2" w:rsidRDefault="001A41A2" w:rsidP="001A41A2">
            <w:pPr>
              <w:pStyle w:val="BodyText23"/>
              <w:spacing w:line="240" w:lineRule="auto"/>
              <w:rPr>
                <w:rFonts w:ascii="Verdana" w:hAnsi="Verdana" w:cs="Tahoma"/>
                <w:sz w:val="20"/>
              </w:rPr>
            </w:pPr>
            <w:r>
              <w:rPr>
                <w:rFonts w:ascii="Verdana" w:hAnsi="Verdana" w:cs="Tahoma"/>
                <w:sz w:val="20"/>
              </w:rPr>
              <w:t xml:space="preserve">PROFESIONAL GRADO 3 </w:t>
            </w:r>
          </w:p>
        </w:tc>
        <w:tc>
          <w:tcPr>
            <w:tcW w:w="4415" w:type="dxa"/>
          </w:tcPr>
          <w:p w14:paraId="7A470946" w14:textId="1443139C" w:rsidR="001A41A2" w:rsidRDefault="001A41A2" w:rsidP="001A41A2">
            <w:pPr>
              <w:pStyle w:val="BodyText23"/>
              <w:spacing w:line="240" w:lineRule="auto"/>
              <w:jc w:val="center"/>
              <w:rPr>
                <w:rFonts w:ascii="Verdana" w:hAnsi="Verdana" w:cs="Tahoma"/>
                <w:sz w:val="20"/>
              </w:rPr>
            </w:pPr>
            <w:r>
              <w:rPr>
                <w:rFonts w:ascii="Verdana" w:hAnsi="Verdana" w:cs="Tahoma"/>
                <w:sz w:val="20"/>
              </w:rPr>
              <w:t>$2.596.364</w:t>
            </w:r>
          </w:p>
        </w:tc>
      </w:tr>
      <w:tr w:rsidR="001A41A2" w14:paraId="7C0734E7" w14:textId="77777777" w:rsidTr="001A41A2">
        <w:tc>
          <w:tcPr>
            <w:tcW w:w="4415" w:type="dxa"/>
          </w:tcPr>
          <w:p w14:paraId="1AA946F6" w14:textId="6BFB699F" w:rsidR="001A41A2" w:rsidRDefault="001A41A2" w:rsidP="001A41A2">
            <w:pPr>
              <w:pStyle w:val="BodyText23"/>
              <w:spacing w:line="240" w:lineRule="auto"/>
              <w:rPr>
                <w:rFonts w:ascii="Verdana" w:hAnsi="Verdana" w:cs="Tahoma"/>
                <w:sz w:val="20"/>
              </w:rPr>
            </w:pPr>
            <w:r>
              <w:rPr>
                <w:rFonts w:ascii="Verdana" w:hAnsi="Verdana" w:cs="Tahoma"/>
                <w:sz w:val="20"/>
              </w:rPr>
              <w:t xml:space="preserve">PROFESIONAL GRADO 1 </w:t>
            </w:r>
          </w:p>
        </w:tc>
        <w:tc>
          <w:tcPr>
            <w:tcW w:w="4415" w:type="dxa"/>
          </w:tcPr>
          <w:p w14:paraId="6B141219" w14:textId="1AD77EAD" w:rsidR="001A41A2" w:rsidRDefault="001A41A2" w:rsidP="001A41A2">
            <w:pPr>
              <w:pStyle w:val="BodyText23"/>
              <w:spacing w:line="240" w:lineRule="auto"/>
              <w:jc w:val="center"/>
              <w:rPr>
                <w:rFonts w:ascii="Verdana" w:hAnsi="Verdana" w:cs="Tahoma"/>
                <w:sz w:val="20"/>
              </w:rPr>
            </w:pPr>
            <w:r>
              <w:rPr>
                <w:rFonts w:ascii="Verdana" w:hAnsi="Verdana" w:cs="Tahoma"/>
                <w:sz w:val="20"/>
              </w:rPr>
              <w:t>$1.921.016</w:t>
            </w:r>
          </w:p>
        </w:tc>
      </w:tr>
      <w:tr w:rsidR="001A41A2" w14:paraId="33F1C4A3" w14:textId="77777777" w:rsidTr="001A41A2">
        <w:tc>
          <w:tcPr>
            <w:tcW w:w="4415" w:type="dxa"/>
          </w:tcPr>
          <w:p w14:paraId="3B856A72" w14:textId="5C2DD170" w:rsidR="001A41A2" w:rsidRDefault="001A41A2" w:rsidP="001A41A2">
            <w:pPr>
              <w:pStyle w:val="BodyText23"/>
              <w:spacing w:line="240" w:lineRule="auto"/>
              <w:rPr>
                <w:rFonts w:ascii="Verdana" w:hAnsi="Verdana" w:cs="Tahoma"/>
                <w:sz w:val="20"/>
              </w:rPr>
            </w:pPr>
            <w:r>
              <w:rPr>
                <w:rFonts w:ascii="Verdana" w:hAnsi="Verdana" w:cs="Tahoma"/>
                <w:sz w:val="20"/>
              </w:rPr>
              <w:t xml:space="preserve">ASISTENCIAL GRADO 1 </w:t>
            </w:r>
          </w:p>
        </w:tc>
        <w:tc>
          <w:tcPr>
            <w:tcW w:w="4415" w:type="dxa"/>
          </w:tcPr>
          <w:p w14:paraId="085159E1" w14:textId="079CAA3D" w:rsidR="001A41A2" w:rsidRDefault="001A41A2" w:rsidP="001A41A2">
            <w:pPr>
              <w:pStyle w:val="BodyText23"/>
              <w:spacing w:line="240" w:lineRule="auto"/>
              <w:jc w:val="center"/>
              <w:rPr>
                <w:rFonts w:ascii="Verdana" w:hAnsi="Verdana" w:cs="Tahoma"/>
                <w:sz w:val="20"/>
              </w:rPr>
            </w:pPr>
            <w:r>
              <w:rPr>
                <w:rFonts w:ascii="Verdana" w:hAnsi="Verdana" w:cs="Tahoma"/>
                <w:sz w:val="20"/>
              </w:rPr>
              <w:t>$1.201.419</w:t>
            </w:r>
          </w:p>
        </w:tc>
      </w:tr>
      <w:tr w:rsidR="001A41A2" w14:paraId="7BFC70A2" w14:textId="77777777" w:rsidTr="001A41A2">
        <w:tc>
          <w:tcPr>
            <w:tcW w:w="4415" w:type="dxa"/>
          </w:tcPr>
          <w:p w14:paraId="5D116805" w14:textId="731C585F" w:rsidR="001A41A2" w:rsidRDefault="001A41A2" w:rsidP="001A41A2">
            <w:pPr>
              <w:pStyle w:val="BodyText23"/>
              <w:spacing w:line="240" w:lineRule="auto"/>
              <w:rPr>
                <w:rFonts w:ascii="Verdana" w:hAnsi="Verdana" w:cs="Tahoma"/>
                <w:sz w:val="20"/>
              </w:rPr>
            </w:pPr>
            <w:r>
              <w:rPr>
                <w:rFonts w:ascii="Verdana" w:hAnsi="Verdana" w:cs="Tahoma"/>
                <w:sz w:val="20"/>
              </w:rPr>
              <w:t xml:space="preserve">ASISTENCIAL GRADO 2 </w:t>
            </w:r>
          </w:p>
        </w:tc>
        <w:tc>
          <w:tcPr>
            <w:tcW w:w="4415" w:type="dxa"/>
          </w:tcPr>
          <w:p w14:paraId="7FD07A9A" w14:textId="73A22E69" w:rsidR="001A41A2" w:rsidRDefault="001A41A2" w:rsidP="001A41A2">
            <w:pPr>
              <w:pStyle w:val="BodyText23"/>
              <w:spacing w:line="240" w:lineRule="auto"/>
              <w:jc w:val="center"/>
              <w:rPr>
                <w:rFonts w:ascii="Verdana" w:hAnsi="Verdana" w:cs="Tahoma"/>
                <w:sz w:val="20"/>
              </w:rPr>
            </w:pPr>
            <w:r>
              <w:rPr>
                <w:rFonts w:ascii="Verdana" w:hAnsi="Verdana" w:cs="Tahoma"/>
                <w:sz w:val="20"/>
              </w:rPr>
              <w:t>$981.497</w:t>
            </w:r>
          </w:p>
        </w:tc>
      </w:tr>
    </w:tbl>
    <w:p w14:paraId="297DBF9F" w14:textId="61B3A34C" w:rsidR="00A627FA" w:rsidRPr="00220284" w:rsidRDefault="00A627FA" w:rsidP="00220284">
      <w:pPr>
        <w:pStyle w:val="03Cuerpo"/>
        <w:spacing w:line="360" w:lineRule="auto"/>
        <w:ind w:firstLine="0"/>
        <w:rPr>
          <w:rFonts w:ascii="Verdana" w:hAnsi="Verdana" w:cs="Tahoma"/>
          <w:szCs w:val="22"/>
        </w:rPr>
      </w:pPr>
      <w:bookmarkStart w:id="0" w:name="_GoBack"/>
      <w:bookmarkEnd w:id="0"/>
      <w:r w:rsidRPr="00910015">
        <w:rPr>
          <w:rFonts w:ascii="Verdana" w:hAnsi="Verdana" w:cs="Georgia"/>
          <w:szCs w:val="22"/>
        </w:rPr>
        <w:lastRenderedPageBreak/>
        <w:t xml:space="preserve">De lo anterior se evidencia que </w:t>
      </w:r>
      <w:r w:rsidRPr="00910015">
        <w:rPr>
          <w:rFonts w:ascii="Verdana" w:hAnsi="Verdana" w:cs="Tahoma"/>
          <w:szCs w:val="22"/>
          <w:lang w:val="es-ES"/>
        </w:rPr>
        <w:t xml:space="preserve">el artículo 1º del </w:t>
      </w:r>
      <w:r w:rsidR="00A0146F" w:rsidRPr="00910015">
        <w:rPr>
          <w:rFonts w:ascii="Verdana" w:hAnsi="Verdana" w:cs="Tahoma"/>
          <w:szCs w:val="22"/>
        </w:rPr>
        <w:t xml:space="preserve">Acuerdo </w:t>
      </w:r>
      <w:r w:rsidR="00A0146F" w:rsidRPr="00910015">
        <w:rPr>
          <w:rFonts w:ascii="Verdana" w:hAnsi="Verdana"/>
          <w:szCs w:val="22"/>
        </w:rPr>
        <w:t xml:space="preserve">No. 019 del 15 de septiembre de 2021 </w:t>
      </w:r>
      <w:r w:rsidRPr="00910015">
        <w:rPr>
          <w:rFonts w:ascii="Verdana" w:hAnsi="Verdana" w:cs="Tahoma"/>
          <w:szCs w:val="22"/>
          <w:lang w:val="es-ES"/>
        </w:rPr>
        <w:t xml:space="preserve">aprobado por el Concejo Municipal de </w:t>
      </w:r>
      <w:r w:rsidR="00A0146F" w:rsidRPr="00910015">
        <w:rPr>
          <w:rFonts w:ascii="Verdana" w:hAnsi="Verdana" w:cs="Tahoma"/>
          <w:szCs w:val="22"/>
          <w:lang w:val="es-ES"/>
        </w:rPr>
        <w:t>Monguí</w:t>
      </w:r>
      <w:r w:rsidRPr="00910015">
        <w:rPr>
          <w:rFonts w:ascii="Verdana" w:hAnsi="Verdana" w:cs="Tahoma"/>
          <w:szCs w:val="22"/>
          <w:lang w:val="es-ES"/>
        </w:rPr>
        <w:t xml:space="preserve">, </w:t>
      </w:r>
      <w:r w:rsidRPr="00910015">
        <w:rPr>
          <w:rFonts w:ascii="Verdana" w:hAnsi="Verdana" w:cs="Tahoma"/>
          <w:b/>
          <w:szCs w:val="22"/>
        </w:rPr>
        <w:t>NO estableció o fijó escala salarial alguna para las diferentes categorías o niveles de empleos según la complejidad y responsabilidad inherente al ejercicio de sus funciones, conforme se lo encomendó la Constitución Política (Art. 313- 6)</w:t>
      </w:r>
      <w:r w:rsidRPr="00910015">
        <w:rPr>
          <w:rFonts w:ascii="Verdana" w:hAnsi="Verdana" w:cs="Tahoma"/>
          <w:szCs w:val="22"/>
        </w:rPr>
        <w:t xml:space="preserve">, sino que lo que hizo fue fijar los salarios de los cargos de la administración del Municipio, regulación que conforme lo dispone el numeral 7º del </w:t>
      </w:r>
      <w:r w:rsidRPr="00910015">
        <w:rPr>
          <w:rFonts w:ascii="Verdana" w:hAnsi="Verdana"/>
          <w:szCs w:val="22"/>
        </w:rPr>
        <w:t>artículo 315 de la Constitución Política</w:t>
      </w:r>
      <w:r w:rsidRPr="00910015">
        <w:rPr>
          <w:rFonts w:ascii="Verdana" w:hAnsi="Verdana" w:cs="Tahoma"/>
          <w:szCs w:val="22"/>
        </w:rPr>
        <w:t>, fue atribuida de manera especial al Alcalde Municipal, dentro de los topes fijados por el Gobierno Nacional en el artículo 150, numeral 19, ordinal e) de la Constitución Política, lo mismo que lo pertinente en la ley 4 de 1992, lo que refuerza la conclusión expuesta, en el sentido de que el Concejo</w:t>
      </w:r>
      <w:r w:rsidR="00A0146F" w:rsidRPr="00910015">
        <w:rPr>
          <w:rFonts w:ascii="Verdana" w:hAnsi="Verdana" w:cs="Tahoma"/>
          <w:szCs w:val="22"/>
        </w:rPr>
        <w:t xml:space="preserve"> Municipal de </w:t>
      </w:r>
      <w:proofErr w:type="spellStart"/>
      <w:r w:rsidR="00A0146F" w:rsidRPr="00910015">
        <w:rPr>
          <w:rFonts w:ascii="Verdana" w:hAnsi="Verdana" w:cs="Tahoma"/>
          <w:szCs w:val="22"/>
        </w:rPr>
        <w:t>Monguí</w:t>
      </w:r>
      <w:proofErr w:type="spellEnd"/>
      <w:r w:rsidR="00A0146F" w:rsidRPr="00910015">
        <w:rPr>
          <w:rFonts w:ascii="Verdana" w:hAnsi="Verdana" w:cs="Tahoma"/>
          <w:szCs w:val="22"/>
        </w:rPr>
        <w:t xml:space="preserve"> </w:t>
      </w:r>
      <w:r w:rsidRPr="00910015">
        <w:rPr>
          <w:rFonts w:ascii="Verdana" w:hAnsi="Verdana" w:cs="Tahoma"/>
          <w:szCs w:val="22"/>
        </w:rPr>
        <w:t>actuó por fuera del marco de su competencia.</w:t>
      </w:r>
      <w:r w:rsidRPr="00220284">
        <w:rPr>
          <w:rFonts w:ascii="Verdana" w:hAnsi="Verdana" w:cs="Tahoma"/>
          <w:szCs w:val="22"/>
        </w:rPr>
        <w:t xml:space="preserve"> </w:t>
      </w:r>
    </w:p>
    <w:p w14:paraId="582CFF4B" w14:textId="77777777" w:rsidR="00A627FA" w:rsidRPr="00220284" w:rsidRDefault="00A627FA" w:rsidP="00220284">
      <w:pPr>
        <w:pStyle w:val="03Cuerpo"/>
        <w:spacing w:line="360" w:lineRule="auto"/>
        <w:ind w:firstLine="0"/>
        <w:rPr>
          <w:rFonts w:ascii="Verdana" w:hAnsi="Verdana" w:cs="Tahoma"/>
          <w:szCs w:val="22"/>
        </w:rPr>
      </w:pPr>
    </w:p>
    <w:p w14:paraId="514AB37E" w14:textId="2C617C75" w:rsidR="00A627FA" w:rsidRPr="00220284" w:rsidRDefault="00A627FA" w:rsidP="00220284">
      <w:pPr>
        <w:pStyle w:val="03Cuerpo"/>
        <w:spacing w:line="360" w:lineRule="auto"/>
        <w:ind w:firstLine="0"/>
        <w:rPr>
          <w:rFonts w:ascii="Verdana" w:hAnsi="Verdana" w:cs="Tahoma"/>
          <w:szCs w:val="22"/>
        </w:rPr>
      </w:pPr>
      <w:r w:rsidRPr="00220284">
        <w:rPr>
          <w:rFonts w:ascii="Verdana" w:hAnsi="Verdana" w:cs="Tahoma"/>
          <w:szCs w:val="22"/>
        </w:rPr>
        <w:t>Así las cosas, el vicio de invalidez advertido ataca la totalidad del Acuerdo demandado y</w:t>
      </w:r>
      <w:r w:rsidR="00D444CB" w:rsidRPr="00220284">
        <w:rPr>
          <w:rFonts w:ascii="Verdana" w:hAnsi="Verdana" w:cs="Tahoma"/>
          <w:szCs w:val="22"/>
        </w:rPr>
        <w:t xml:space="preserve"> así se declarará</w:t>
      </w:r>
      <w:r w:rsidRPr="00220284">
        <w:rPr>
          <w:rFonts w:ascii="Verdana" w:hAnsi="Verdana" w:cs="Tahoma"/>
          <w:szCs w:val="22"/>
        </w:rPr>
        <w:t xml:space="preserve">. </w:t>
      </w:r>
    </w:p>
    <w:p w14:paraId="39D4BB0C" w14:textId="77777777" w:rsidR="00A627FA" w:rsidRPr="00220284" w:rsidRDefault="00A627FA" w:rsidP="00220284">
      <w:pPr>
        <w:pStyle w:val="BodyText23"/>
        <w:rPr>
          <w:rFonts w:ascii="Verdana" w:hAnsi="Verdana"/>
          <w:b/>
          <w:sz w:val="22"/>
          <w:szCs w:val="22"/>
        </w:rPr>
      </w:pPr>
    </w:p>
    <w:p w14:paraId="31187FC5" w14:textId="218A954A" w:rsidR="00A627FA" w:rsidRPr="00220284" w:rsidRDefault="00A627FA" w:rsidP="00220284">
      <w:pPr>
        <w:pStyle w:val="BodyText23"/>
        <w:numPr>
          <w:ilvl w:val="0"/>
          <w:numId w:val="1"/>
        </w:numPr>
        <w:jc w:val="center"/>
        <w:rPr>
          <w:rFonts w:ascii="Verdana" w:hAnsi="Verdana" w:cs="Georgia"/>
          <w:b/>
          <w:bCs/>
          <w:sz w:val="22"/>
          <w:szCs w:val="22"/>
        </w:rPr>
      </w:pPr>
      <w:r w:rsidRPr="00220284">
        <w:rPr>
          <w:rFonts w:ascii="Verdana" w:hAnsi="Verdana" w:cs="Georgia"/>
          <w:b/>
          <w:bCs/>
          <w:sz w:val="22"/>
          <w:szCs w:val="22"/>
        </w:rPr>
        <w:t>DECISIÓN</w:t>
      </w:r>
    </w:p>
    <w:p w14:paraId="13EA7C30" w14:textId="77777777" w:rsidR="00A627FA" w:rsidRPr="00220284" w:rsidRDefault="00A627FA" w:rsidP="00220284">
      <w:pPr>
        <w:pStyle w:val="BodyText23"/>
        <w:rPr>
          <w:rFonts w:ascii="Verdana" w:hAnsi="Verdana" w:cs="Georgia"/>
          <w:b/>
          <w:bCs/>
          <w:sz w:val="22"/>
          <w:szCs w:val="22"/>
        </w:rPr>
      </w:pPr>
    </w:p>
    <w:p w14:paraId="25AB0C30" w14:textId="77777777" w:rsidR="00A627FA" w:rsidRPr="00220284" w:rsidRDefault="00A627FA" w:rsidP="00220284">
      <w:pPr>
        <w:pStyle w:val="BodyText23"/>
        <w:rPr>
          <w:rFonts w:ascii="Verdana" w:hAnsi="Verdana" w:cs="Georgia"/>
          <w:sz w:val="22"/>
          <w:szCs w:val="22"/>
        </w:rPr>
      </w:pPr>
      <w:r w:rsidRPr="00220284">
        <w:rPr>
          <w:rFonts w:ascii="Verdana" w:hAnsi="Verdana" w:cs="Georgia"/>
          <w:sz w:val="22"/>
          <w:szCs w:val="22"/>
        </w:rPr>
        <w:t xml:space="preserve">En mérito de lo expuesto, el Tribunal Administrativo de Boyacá, Sala de Decisión No. 6, administrando justicia en nombre de la República y por autoridad de la Ley, </w:t>
      </w:r>
    </w:p>
    <w:p w14:paraId="38AAC9E9" w14:textId="77777777" w:rsidR="00220284" w:rsidRPr="00220284" w:rsidRDefault="00220284" w:rsidP="00220284">
      <w:pPr>
        <w:pStyle w:val="BodyText23"/>
        <w:jc w:val="center"/>
        <w:rPr>
          <w:rFonts w:ascii="Verdana" w:hAnsi="Verdana"/>
          <w:b/>
          <w:sz w:val="22"/>
          <w:szCs w:val="22"/>
        </w:rPr>
      </w:pPr>
    </w:p>
    <w:p w14:paraId="5FFBF795" w14:textId="0D455A6D" w:rsidR="00A627FA" w:rsidRPr="00220284" w:rsidRDefault="00A627FA" w:rsidP="00220284">
      <w:pPr>
        <w:pStyle w:val="BodyText23"/>
        <w:jc w:val="center"/>
        <w:rPr>
          <w:rFonts w:ascii="Verdana" w:hAnsi="Verdana"/>
          <w:b/>
          <w:sz w:val="22"/>
          <w:szCs w:val="22"/>
        </w:rPr>
      </w:pPr>
      <w:r w:rsidRPr="00220284">
        <w:rPr>
          <w:rFonts w:ascii="Verdana" w:hAnsi="Verdana"/>
          <w:b/>
          <w:sz w:val="22"/>
          <w:szCs w:val="22"/>
        </w:rPr>
        <w:t>FALLA</w:t>
      </w:r>
    </w:p>
    <w:p w14:paraId="6055E751" w14:textId="77777777" w:rsidR="00A627FA" w:rsidRPr="00220284" w:rsidRDefault="00A627FA" w:rsidP="00220284">
      <w:pPr>
        <w:pStyle w:val="BodyText23"/>
        <w:jc w:val="center"/>
        <w:rPr>
          <w:rFonts w:ascii="Verdana" w:hAnsi="Verdana"/>
          <w:b/>
          <w:sz w:val="22"/>
          <w:szCs w:val="22"/>
        </w:rPr>
      </w:pPr>
    </w:p>
    <w:p w14:paraId="5A98069C" w14:textId="68C77BB5" w:rsidR="00A627FA" w:rsidRDefault="00337FCE" w:rsidP="00220284">
      <w:pPr>
        <w:pStyle w:val="BodyText23"/>
        <w:rPr>
          <w:rFonts w:ascii="Verdana" w:hAnsi="Verdana"/>
          <w:sz w:val="22"/>
          <w:szCs w:val="22"/>
          <w:lang w:val="es-MX" w:eastAsia="es-ES"/>
        </w:rPr>
      </w:pPr>
      <w:r w:rsidRPr="00220284">
        <w:rPr>
          <w:rFonts w:ascii="Verdana" w:hAnsi="Verdana"/>
          <w:b/>
          <w:sz w:val="22"/>
          <w:szCs w:val="22"/>
        </w:rPr>
        <w:t>PRIMERO:</w:t>
      </w:r>
      <w:r w:rsidR="00A627FA" w:rsidRPr="00220284">
        <w:rPr>
          <w:rFonts w:ascii="Verdana" w:hAnsi="Verdana"/>
          <w:b/>
          <w:sz w:val="22"/>
          <w:szCs w:val="22"/>
        </w:rPr>
        <w:t xml:space="preserve"> DECLÁRASE LA INVALIDEZ </w:t>
      </w:r>
      <w:r w:rsidR="00A627FA" w:rsidRPr="00220284">
        <w:rPr>
          <w:rFonts w:ascii="Verdana" w:hAnsi="Verdana"/>
          <w:sz w:val="22"/>
          <w:szCs w:val="22"/>
        </w:rPr>
        <w:t xml:space="preserve">del </w:t>
      </w:r>
      <w:r w:rsidR="00220284" w:rsidRPr="00220284">
        <w:rPr>
          <w:rFonts w:ascii="Verdana" w:hAnsi="Verdana" w:cs="Tahoma"/>
          <w:sz w:val="22"/>
          <w:szCs w:val="22"/>
        </w:rPr>
        <w:t xml:space="preserve">Acuerdo </w:t>
      </w:r>
      <w:r w:rsidR="00220284" w:rsidRPr="00220284">
        <w:rPr>
          <w:rFonts w:ascii="Verdana" w:hAnsi="Verdana"/>
          <w:sz w:val="22"/>
          <w:szCs w:val="22"/>
        </w:rPr>
        <w:t xml:space="preserve">No. 019 del 15 de septiembre de 2021 </w:t>
      </w:r>
      <w:r w:rsidR="00220284" w:rsidRPr="00220284">
        <w:rPr>
          <w:rFonts w:ascii="Verdana" w:hAnsi="Verdana" w:cs="Tahoma"/>
          <w:sz w:val="22"/>
          <w:szCs w:val="22"/>
        </w:rPr>
        <w:t>aprobado por el Concejo Municipal de Monguí</w:t>
      </w:r>
      <w:r w:rsidR="00220284">
        <w:rPr>
          <w:rFonts w:ascii="Verdana" w:hAnsi="Verdana" w:cs="Tahoma"/>
          <w:sz w:val="22"/>
          <w:szCs w:val="22"/>
        </w:rPr>
        <w:t xml:space="preserve"> </w:t>
      </w:r>
      <w:r w:rsidR="00220284" w:rsidRPr="00BD1D17">
        <w:rPr>
          <w:rFonts w:ascii="Verdana" w:hAnsi="Verdana"/>
          <w:i/>
          <w:sz w:val="22"/>
          <w:szCs w:val="22"/>
        </w:rPr>
        <w:t xml:space="preserve">"POR EL CUAL SE ESTABLECE LA REMUNERACIÓN SALARIAL CORRESPONDIENTE A LAS DISTINTAS CATEGORÍAS DE EMPLEOS DEL NIVEL CENTRAL DEL MUNICIPIO DE MONGUI Y </w:t>
      </w:r>
      <w:r w:rsidR="00220284">
        <w:rPr>
          <w:rFonts w:ascii="Verdana" w:hAnsi="Verdana"/>
          <w:i/>
          <w:sz w:val="22"/>
          <w:szCs w:val="22"/>
        </w:rPr>
        <w:t>SE DICTAN OTRAS DISPOSICIONES”</w:t>
      </w:r>
      <w:r w:rsidR="00220284">
        <w:rPr>
          <w:rFonts w:ascii="Verdana" w:hAnsi="Verdana"/>
          <w:sz w:val="22"/>
          <w:szCs w:val="22"/>
        </w:rPr>
        <w:t xml:space="preserve">, por lo expuesto en </w:t>
      </w:r>
      <w:r w:rsidR="00A627FA" w:rsidRPr="00220284">
        <w:rPr>
          <w:rFonts w:ascii="Verdana" w:hAnsi="Verdana"/>
          <w:sz w:val="22"/>
          <w:szCs w:val="22"/>
          <w:lang w:val="es-MX" w:eastAsia="es-ES"/>
        </w:rPr>
        <w:t>la parte motiva de ésta providencia.</w:t>
      </w:r>
    </w:p>
    <w:p w14:paraId="505BBCE3" w14:textId="3E43B8D6" w:rsidR="00337FCE" w:rsidRDefault="00337FCE" w:rsidP="00220284">
      <w:pPr>
        <w:pStyle w:val="BodyText23"/>
        <w:rPr>
          <w:rFonts w:ascii="Verdana" w:hAnsi="Verdana"/>
          <w:sz w:val="22"/>
          <w:szCs w:val="22"/>
          <w:lang w:val="es-MX" w:eastAsia="es-ES"/>
        </w:rPr>
      </w:pPr>
    </w:p>
    <w:p w14:paraId="6DBE2B0A" w14:textId="652682B6" w:rsidR="00337FCE" w:rsidRPr="00220284" w:rsidRDefault="00337FCE" w:rsidP="00337FCE">
      <w:pPr>
        <w:spacing w:line="360" w:lineRule="auto"/>
        <w:jc w:val="both"/>
        <w:rPr>
          <w:rFonts w:ascii="Verdana" w:hAnsi="Verdana" w:cs="Georgia"/>
          <w:sz w:val="22"/>
          <w:szCs w:val="22"/>
          <w:lang w:val="es-CO" w:eastAsia="es-CO"/>
        </w:rPr>
      </w:pPr>
      <w:r w:rsidRPr="00220284">
        <w:rPr>
          <w:rFonts w:ascii="Verdana" w:hAnsi="Verdana" w:cs="Georgia"/>
          <w:b/>
          <w:bCs/>
          <w:sz w:val="22"/>
          <w:szCs w:val="22"/>
          <w:lang w:eastAsia="es-CO"/>
        </w:rPr>
        <w:t>SEGUNDO:</w:t>
      </w:r>
      <w:r w:rsidRPr="00220284">
        <w:rPr>
          <w:rFonts w:ascii="Verdana" w:hAnsi="Verdana" w:cs="Georgia"/>
          <w:sz w:val="22"/>
          <w:szCs w:val="22"/>
          <w:lang w:eastAsia="es-CO"/>
        </w:rPr>
        <w:t xml:space="preserve"> </w:t>
      </w:r>
      <w:r w:rsidRPr="00220284">
        <w:rPr>
          <w:rFonts w:ascii="Verdana" w:hAnsi="Verdana" w:cs="Georgia"/>
          <w:b/>
          <w:sz w:val="22"/>
          <w:szCs w:val="22"/>
          <w:lang w:eastAsia="es-CO"/>
        </w:rPr>
        <w:t xml:space="preserve">EXHORTAR </w:t>
      </w:r>
      <w:r>
        <w:rPr>
          <w:rFonts w:ascii="Verdana" w:hAnsi="Verdana" w:cs="Georgia"/>
          <w:sz w:val="22"/>
          <w:szCs w:val="22"/>
          <w:lang w:eastAsia="es-CO"/>
        </w:rPr>
        <w:t>al Concejo M</w:t>
      </w:r>
      <w:r w:rsidRPr="00220284">
        <w:rPr>
          <w:rFonts w:ascii="Verdana" w:hAnsi="Verdana" w:cs="Georgia"/>
          <w:sz w:val="22"/>
          <w:szCs w:val="22"/>
          <w:lang w:eastAsia="es-CO"/>
        </w:rPr>
        <w:t xml:space="preserve">unicipal de </w:t>
      </w:r>
      <w:r>
        <w:rPr>
          <w:rFonts w:ascii="Verdana" w:hAnsi="Verdana" w:cs="Georgia"/>
          <w:sz w:val="22"/>
          <w:szCs w:val="22"/>
          <w:lang w:eastAsia="es-CO"/>
        </w:rPr>
        <w:t xml:space="preserve">Monguí </w:t>
      </w:r>
      <w:r w:rsidRPr="00220284">
        <w:rPr>
          <w:rFonts w:ascii="Verdana" w:hAnsi="Verdana" w:cs="Georgia"/>
          <w:sz w:val="22"/>
          <w:szCs w:val="22"/>
          <w:lang w:eastAsia="es-CO"/>
        </w:rPr>
        <w:t>para que en lo sucesivo se abstenga de expedir actos administrativos como el que es objeto de esta demanda.</w:t>
      </w:r>
    </w:p>
    <w:p w14:paraId="18860DDB" w14:textId="77777777" w:rsidR="00337FCE" w:rsidRDefault="00337FCE" w:rsidP="00337FCE">
      <w:pPr>
        <w:keepNext/>
        <w:spacing w:line="360" w:lineRule="auto"/>
        <w:jc w:val="both"/>
        <w:outlineLvl w:val="1"/>
        <w:rPr>
          <w:rFonts w:ascii="Verdana" w:hAnsi="Verdana" w:cs="Georgia"/>
          <w:b/>
          <w:bCs/>
          <w:sz w:val="22"/>
          <w:szCs w:val="22"/>
          <w:lang w:eastAsia="es-CO"/>
        </w:rPr>
      </w:pPr>
    </w:p>
    <w:p w14:paraId="3A0978B2" w14:textId="5F0AE8F7" w:rsidR="00337FCE" w:rsidRPr="00220284" w:rsidRDefault="00337FCE" w:rsidP="00337FCE">
      <w:pPr>
        <w:keepNext/>
        <w:spacing w:line="360" w:lineRule="auto"/>
        <w:jc w:val="both"/>
        <w:outlineLvl w:val="1"/>
        <w:rPr>
          <w:rFonts w:ascii="Verdana" w:hAnsi="Verdana" w:cs="Georgia"/>
          <w:sz w:val="22"/>
          <w:szCs w:val="22"/>
          <w:lang w:eastAsia="es-CO"/>
        </w:rPr>
      </w:pPr>
      <w:r w:rsidRPr="00220284">
        <w:rPr>
          <w:rFonts w:ascii="Verdana" w:hAnsi="Verdana" w:cs="Georgia"/>
          <w:b/>
          <w:bCs/>
          <w:sz w:val="22"/>
          <w:szCs w:val="22"/>
          <w:lang w:eastAsia="es-CO"/>
        </w:rPr>
        <w:t>TERCERO:</w:t>
      </w:r>
      <w:r w:rsidRPr="00220284">
        <w:rPr>
          <w:rFonts w:ascii="Verdana" w:hAnsi="Verdana" w:cs="Georgia"/>
          <w:sz w:val="22"/>
          <w:szCs w:val="22"/>
          <w:lang w:eastAsia="es-CO"/>
        </w:rPr>
        <w:t xml:space="preserve"> Comuníquese esta determinación al Departamento de Boyacá, al presidente del Concejo, al alcalde y al Personero Municipal de</w:t>
      </w:r>
      <w:r>
        <w:rPr>
          <w:rFonts w:ascii="Verdana" w:hAnsi="Verdana" w:cs="Georgia"/>
          <w:sz w:val="22"/>
          <w:szCs w:val="22"/>
          <w:lang w:eastAsia="es-CO"/>
        </w:rPr>
        <w:t xml:space="preserve"> Monguí</w:t>
      </w:r>
      <w:r w:rsidRPr="00220284">
        <w:rPr>
          <w:rFonts w:ascii="Verdana" w:hAnsi="Verdana" w:cs="Georgia"/>
          <w:sz w:val="22"/>
          <w:szCs w:val="22"/>
          <w:lang w:eastAsia="es-CO"/>
        </w:rPr>
        <w:t>.</w:t>
      </w:r>
    </w:p>
    <w:p w14:paraId="18681B6F" w14:textId="77777777" w:rsidR="00337FCE" w:rsidRPr="00220284" w:rsidRDefault="00337FCE" w:rsidP="00337FCE">
      <w:pPr>
        <w:spacing w:line="360" w:lineRule="auto"/>
        <w:jc w:val="both"/>
        <w:rPr>
          <w:rFonts w:ascii="Verdana" w:hAnsi="Verdana" w:cs="Georgia"/>
          <w:sz w:val="22"/>
          <w:szCs w:val="22"/>
          <w:lang w:eastAsia="es-CO"/>
        </w:rPr>
      </w:pPr>
    </w:p>
    <w:p w14:paraId="6CF131D6" w14:textId="77777777" w:rsidR="00337FCE" w:rsidRPr="00220284" w:rsidRDefault="00337FCE" w:rsidP="00337FCE">
      <w:pPr>
        <w:spacing w:line="360" w:lineRule="auto"/>
        <w:jc w:val="both"/>
        <w:rPr>
          <w:rFonts w:ascii="Verdana" w:hAnsi="Verdana" w:cs="Georgia"/>
          <w:sz w:val="22"/>
          <w:szCs w:val="22"/>
          <w:lang w:eastAsia="es-CO"/>
        </w:rPr>
      </w:pPr>
      <w:r w:rsidRPr="00220284">
        <w:rPr>
          <w:rFonts w:ascii="Verdana" w:hAnsi="Verdana" w:cs="Georgia"/>
          <w:sz w:val="22"/>
          <w:szCs w:val="22"/>
          <w:lang w:eastAsia="es-CO"/>
        </w:rPr>
        <w:t>En firme esta providencia procédase a su archivo dejando las anotaciones y constancias de rigor.</w:t>
      </w:r>
    </w:p>
    <w:p w14:paraId="7C11C7A3" w14:textId="77777777" w:rsidR="00337FCE" w:rsidRPr="00220284" w:rsidRDefault="00337FCE" w:rsidP="00337FCE">
      <w:pPr>
        <w:spacing w:line="360" w:lineRule="auto"/>
        <w:jc w:val="both"/>
        <w:rPr>
          <w:rFonts w:ascii="Verdana" w:hAnsi="Verdana" w:cs="Georgia"/>
          <w:b/>
          <w:bCs/>
          <w:sz w:val="22"/>
          <w:szCs w:val="22"/>
          <w:lang w:eastAsia="es-CO"/>
        </w:rPr>
      </w:pPr>
    </w:p>
    <w:p w14:paraId="5124C3CE" w14:textId="77777777" w:rsidR="00337FCE" w:rsidRPr="00220284" w:rsidRDefault="00337FCE" w:rsidP="00337FCE">
      <w:pPr>
        <w:spacing w:line="360" w:lineRule="auto"/>
        <w:jc w:val="both"/>
        <w:rPr>
          <w:rFonts w:ascii="Verdana" w:hAnsi="Verdana" w:cs="Georgia"/>
          <w:b/>
          <w:bCs/>
          <w:sz w:val="22"/>
          <w:szCs w:val="22"/>
          <w:lang w:eastAsia="es-CO"/>
        </w:rPr>
      </w:pPr>
    </w:p>
    <w:p w14:paraId="0A789EF7" w14:textId="1AEE8143" w:rsidR="00337FCE" w:rsidRPr="00220284" w:rsidRDefault="00337FCE" w:rsidP="00337FCE">
      <w:pPr>
        <w:spacing w:line="360" w:lineRule="auto"/>
        <w:jc w:val="both"/>
        <w:rPr>
          <w:rFonts w:ascii="Verdana" w:hAnsi="Verdana" w:cs="Georgia"/>
          <w:b/>
          <w:bCs/>
          <w:sz w:val="22"/>
          <w:szCs w:val="22"/>
          <w:lang w:eastAsia="es-CO"/>
        </w:rPr>
      </w:pPr>
      <w:r w:rsidRPr="00220284">
        <w:rPr>
          <w:rFonts w:ascii="Verdana" w:hAnsi="Verdana" w:cs="Georgia"/>
          <w:b/>
          <w:bCs/>
          <w:sz w:val="22"/>
          <w:szCs w:val="22"/>
          <w:lang w:eastAsia="es-CO"/>
        </w:rPr>
        <w:t>NOTIFÍQUESE Y CÚMPLASE.</w:t>
      </w:r>
    </w:p>
    <w:p w14:paraId="50771723" w14:textId="77777777" w:rsidR="00337FCE" w:rsidRPr="00220284" w:rsidRDefault="00337FCE" w:rsidP="00337FCE">
      <w:pPr>
        <w:spacing w:line="360" w:lineRule="auto"/>
        <w:jc w:val="both"/>
        <w:rPr>
          <w:rFonts w:ascii="Verdana" w:hAnsi="Verdana" w:cs="Georgia"/>
          <w:sz w:val="22"/>
          <w:szCs w:val="22"/>
          <w:lang w:eastAsia="es-CO"/>
        </w:rPr>
      </w:pPr>
    </w:p>
    <w:p w14:paraId="03BF7668" w14:textId="77777777" w:rsidR="00337FCE" w:rsidRPr="00220284" w:rsidRDefault="00337FCE" w:rsidP="00337FCE">
      <w:pPr>
        <w:spacing w:line="360" w:lineRule="auto"/>
        <w:jc w:val="both"/>
        <w:rPr>
          <w:rFonts w:ascii="Verdana" w:hAnsi="Verdana" w:cs="Georgia"/>
          <w:sz w:val="22"/>
          <w:szCs w:val="22"/>
          <w:lang w:eastAsia="es-CO"/>
        </w:rPr>
      </w:pPr>
    </w:p>
    <w:p w14:paraId="632E1B57" w14:textId="77777777" w:rsidR="00337FCE" w:rsidRPr="00220284" w:rsidRDefault="00337FCE" w:rsidP="00337FCE">
      <w:pPr>
        <w:spacing w:line="360" w:lineRule="auto"/>
        <w:jc w:val="both"/>
        <w:rPr>
          <w:rFonts w:ascii="Verdana" w:hAnsi="Verdana" w:cs="Georgia"/>
          <w:sz w:val="22"/>
          <w:szCs w:val="22"/>
          <w:lang w:eastAsia="es-CO"/>
        </w:rPr>
      </w:pPr>
      <w:r w:rsidRPr="00220284">
        <w:rPr>
          <w:rFonts w:ascii="Verdana" w:hAnsi="Verdana" w:cs="Georgia"/>
          <w:sz w:val="22"/>
          <w:szCs w:val="22"/>
          <w:lang w:eastAsia="es-CO"/>
        </w:rPr>
        <w:t>La anterior providencia fue discutida y aprobada en sesión ordinaria de la fecha.</w:t>
      </w:r>
    </w:p>
    <w:p w14:paraId="7ADBD535" w14:textId="77777777" w:rsidR="00337FCE" w:rsidRPr="00220284" w:rsidRDefault="00337FCE" w:rsidP="00337FCE">
      <w:pPr>
        <w:spacing w:line="360" w:lineRule="auto"/>
        <w:jc w:val="both"/>
        <w:rPr>
          <w:rFonts w:ascii="Verdana" w:hAnsi="Verdana" w:cs="Georgia"/>
          <w:sz w:val="22"/>
          <w:szCs w:val="22"/>
          <w:lang w:eastAsia="es-CO"/>
        </w:rPr>
      </w:pPr>
    </w:p>
    <w:p w14:paraId="5E8F5514" w14:textId="77777777" w:rsidR="00337FCE" w:rsidRPr="00220284" w:rsidRDefault="00337FCE" w:rsidP="00337FCE">
      <w:pPr>
        <w:spacing w:line="360" w:lineRule="auto"/>
        <w:jc w:val="both"/>
        <w:rPr>
          <w:rFonts w:ascii="Verdana" w:hAnsi="Verdana" w:cs="Georgia"/>
          <w:sz w:val="22"/>
          <w:szCs w:val="22"/>
          <w:lang w:eastAsia="es-CO"/>
        </w:rPr>
      </w:pPr>
    </w:p>
    <w:p w14:paraId="3BBFBFCD" w14:textId="77777777" w:rsidR="00337FCE" w:rsidRPr="00220284" w:rsidRDefault="00337FCE" w:rsidP="00337FCE">
      <w:pPr>
        <w:spacing w:line="360" w:lineRule="auto"/>
        <w:jc w:val="both"/>
        <w:rPr>
          <w:rFonts w:ascii="Verdana" w:hAnsi="Verdana" w:cs="Georgia"/>
          <w:b/>
          <w:bCs/>
          <w:sz w:val="22"/>
          <w:szCs w:val="22"/>
          <w:lang w:eastAsia="es-CO"/>
        </w:rPr>
      </w:pPr>
      <w:r w:rsidRPr="00220284">
        <w:rPr>
          <w:rFonts w:ascii="Verdana" w:hAnsi="Verdana" w:cs="Georgia"/>
          <w:b/>
          <w:bCs/>
          <w:sz w:val="22"/>
          <w:szCs w:val="22"/>
          <w:lang w:eastAsia="es-CO"/>
        </w:rPr>
        <w:t>Los Magistrados,</w:t>
      </w:r>
    </w:p>
    <w:p w14:paraId="462DE5A7" w14:textId="77777777" w:rsidR="00337FCE" w:rsidRPr="00220284" w:rsidRDefault="00337FCE" w:rsidP="00337FCE">
      <w:pPr>
        <w:spacing w:line="360" w:lineRule="auto"/>
        <w:jc w:val="center"/>
        <w:rPr>
          <w:rFonts w:ascii="Verdana" w:hAnsi="Verdana" w:cs="Georgia"/>
          <w:b/>
          <w:bCs/>
          <w:sz w:val="22"/>
          <w:szCs w:val="22"/>
          <w:lang w:eastAsia="es-CO"/>
        </w:rPr>
      </w:pPr>
    </w:p>
    <w:p w14:paraId="69D00AC3" w14:textId="77777777" w:rsidR="00337FCE" w:rsidRPr="00220284" w:rsidRDefault="00337FCE" w:rsidP="00337FCE">
      <w:pPr>
        <w:spacing w:line="360" w:lineRule="auto"/>
        <w:jc w:val="center"/>
        <w:rPr>
          <w:rFonts w:ascii="Verdana" w:hAnsi="Verdana"/>
          <w:sz w:val="22"/>
          <w:szCs w:val="22"/>
        </w:rPr>
      </w:pPr>
    </w:p>
    <w:p w14:paraId="6D39C589" w14:textId="77777777" w:rsidR="00337FCE" w:rsidRPr="00220284" w:rsidRDefault="00337FCE" w:rsidP="00337FCE">
      <w:pPr>
        <w:spacing w:line="360" w:lineRule="auto"/>
        <w:jc w:val="center"/>
        <w:rPr>
          <w:rFonts w:ascii="Verdana" w:hAnsi="Verdana" w:cs="Georgia"/>
          <w:b/>
          <w:bCs/>
          <w:sz w:val="22"/>
          <w:szCs w:val="22"/>
          <w:lang w:eastAsia="es-CO"/>
        </w:rPr>
      </w:pPr>
      <w:r w:rsidRPr="00220284">
        <w:rPr>
          <w:rFonts w:ascii="Verdana" w:hAnsi="Verdana" w:cs="Georgia"/>
          <w:b/>
          <w:bCs/>
          <w:sz w:val="22"/>
          <w:szCs w:val="22"/>
          <w:lang w:eastAsia="es-CO"/>
        </w:rPr>
        <w:t>FÉLIX ALBERTO RODRÍGUEZ RIVEROS</w:t>
      </w:r>
    </w:p>
    <w:p w14:paraId="5C5C0BC8" w14:textId="77777777" w:rsidR="00337FCE" w:rsidRPr="00220284" w:rsidRDefault="00337FCE" w:rsidP="00337FCE">
      <w:pPr>
        <w:spacing w:line="360" w:lineRule="auto"/>
        <w:jc w:val="center"/>
        <w:rPr>
          <w:rFonts w:ascii="Verdana" w:hAnsi="Verdana" w:cs="Georgia"/>
          <w:b/>
          <w:bCs/>
          <w:sz w:val="22"/>
          <w:szCs w:val="22"/>
          <w:lang w:eastAsia="es-CO"/>
        </w:rPr>
      </w:pPr>
    </w:p>
    <w:p w14:paraId="523CF0F7" w14:textId="77777777" w:rsidR="00337FCE" w:rsidRPr="00220284" w:rsidRDefault="00337FCE" w:rsidP="00337FCE">
      <w:pPr>
        <w:spacing w:line="360" w:lineRule="auto"/>
        <w:jc w:val="center"/>
        <w:rPr>
          <w:rFonts w:ascii="Verdana" w:hAnsi="Verdana"/>
          <w:sz w:val="22"/>
          <w:szCs w:val="22"/>
        </w:rPr>
      </w:pPr>
    </w:p>
    <w:p w14:paraId="06F5107F" w14:textId="573C41A9" w:rsidR="00337FCE" w:rsidRDefault="00337FCE" w:rsidP="00337FCE">
      <w:pPr>
        <w:spacing w:line="360" w:lineRule="auto"/>
        <w:jc w:val="center"/>
        <w:rPr>
          <w:rFonts w:ascii="Verdana" w:hAnsi="Verdana" w:cs="Georgia"/>
          <w:b/>
          <w:bCs/>
          <w:sz w:val="22"/>
          <w:szCs w:val="22"/>
          <w:lang w:eastAsia="es-CO"/>
        </w:rPr>
      </w:pPr>
      <w:r w:rsidRPr="00220284">
        <w:rPr>
          <w:rFonts w:ascii="Verdana" w:hAnsi="Verdana" w:cs="Georgia"/>
          <w:b/>
          <w:bCs/>
          <w:sz w:val="22"/>
          <w:szCs w:val="22"/>
          <w:lang w:eastAsia="es-CO"/>
        </w:rPr>
        <w:t>FABIO IVÁN AFANADOR GARCÍA</w:t>
      </w:r>
    </w:p>
    <w:p w14:paraId="3DAFE7E8" w14:textId="77777777" w:rsidR="00337FCE" w:rsidRPr="00220284" w:rsidRDefault="00337FCE" w:rsidP="00337FCE">
      <w:pPr>
        <w:spacing w:line="360" w:lineRule="auto"/>
        <w:jc w:val="center"/>
        <w:rPr>
          <w:rFonts w:ascii="Verdana" w:hAnsi="Verdana" w:cs="Georgia"/>
          <w:b/>
          <w:bCs/>
          <w:sz w:val="22"/>
          <w:szCs w:val="22"/>
          <w:lang w:eastAsia="es-CO"/>
        </w:rPr>
      </w:pPr>
    </w:p>
    <w:p w14:paraId="028686AC" w14:textId="77777777" w:rsidR="00337FCE" w:rsidRPr="00220284" w:rsidRDefault="00337FCE" w:rsidP="00337FCE">
      <w:pPr>
        <w:spacing w:line="360" w:lineRule="auto"/>
        <w:jc w:val="center"/>
        <w:rPr>
          <w:rFonts w:ascii="Verdana" w:hAnsi="Verdana" w:cs="Georgia"/>
          <w:b/>
          <w:bCs/>
          <w:sz w:val="22"/>
          <w:szCs w:val="22"/>
          <w:lang w:eastAsia="es-CO"/>
        </w:rPr>
      </w:pPr>
    </w:p>
    <w:p w14:paraId="7DE9203D" w14:textId="77777777" w:rsidR="00337FCE" w:rsidRPr="00220284" w:rsidRDefault="00337FCE" w:rsidP="00337FCE">
      <w:pPr>
        <w:spacing w:line="360" w:lineRule="auto"/>
        <w:jc w:val="center"/>
        <w:rPr>
          <w:rFonts w:ascii="Verdana" w:hAnsi="Verdana"/>
          <w:sz w:val="22"/>
          <w:szCs w:val="22"/>
        </w:rPr>
      </w:pPr>
      <w:r w:rsidRPr="00220284">
        <w:rPr>
          <w:rFonts w:ascii="Verdana" w:hAnsi="Verdana" w:cs="Georgia"/>
          <w:b/>
          <w:bCs/>
          <w:sz w:val="22"/>
          <w:szCs w:val="22"/>
          <w:lang w:eastAsia="es-CO"/>
        </w:rPr>
        <w:t>LUÍS ERNESTRO ARCINIÉGAS TRIANA</w:t>
      </w:r>
    </w:p>
    <w:p w14:paraId="65656037" w14:textId="77777777" w:rsidR="00E35948" w:rsidRPr="00220284" w:rsidRDefault="00E35948" w:rsidP="00220284">
      <w:pPr>
        <w:pStyle w:val="BodyText23"/>
        <w:ind w:left="1080"/>
        <w:rPr>
          <w:rFonts w:ascii="Verdana" w:hAnsi="Verdana"/>
          <w:b/>
          <w:sz w:val="22"/>
          <w:szCs w:val="22"/>
        </w:rPr>
      </w:pPr>
    </w:p>
    <w:sectPr w:rsidR="00E35948" w:rsidRPr="00220284" w:rsidSect="00B55DC2">
      <w:headerReference w:type="default" r:id="rId12"/>
      <w:footerReference w:type="even" r:id="rId13"/>
      <w:footerReference w:type="default" r:id="rId14"/>
      <w:footnotePr>
        <w:pos w:val="beneathText"/>
      </w:footnotePr>
      <w:pgSz w:w="12242" w:h="18722" w:code="14"/>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47F75" w14:textId="77777777" w:rsidR="009A7C9A" w:rsidRDefault="009A7C9A" w:rsidP="00603BA9">
      <w:r>
        <w:separator/>
      </w:r>
    </w:p>
  </w:endnote>
  <w:endnote w:type="continuationSeparator" w:id="0">
    <w:p w14:paraId="1E826FBA" w14:textId="77777777" w:rsidR="009A7C9A" w:rsidRDefault="009A7C9A" w:rsidP="0060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09801" w14:textId="77777777" w:rsidR="00A4526E" w:rsidRDefault="00A4526E" w:rsidP="00B55DC2">
    <w:pPr>
      <w:pStyle w:val="Piedepgina"/>
      <w:framePr w:wrap="around" w:vAnchor="text" w:hAnchor="margin" w:xAlign="center" w:y="1"/>
      <w:rPr>
        <w:rStyle w:val="Nmerodepgina"/>
        <w:rFonts w:eastAsia="Arial"/>
      </w:rPr>
    </w:pPr>
    <w:r>
      <w:rPr>
        <w:rStyle w:val="Nmerodepgina"/>
        <w:rFonts w:eastAsia="Arial"/>
      </w:rPr>
      <w:fldChar w:fldCharType="begin"/>
    </w:r>
    <w:r>
      <w:rPr>
        <w:rStyle w:val="Nmerodepgina"/>
        <w:rFonts w:eastAsia="Arial"/>
      </w:rPr>
      <w:instrText xml:space="preserve">PAGE  </w:instrText>
    </w:r>
    <w:r>
      <w:rPr>
        <w:rStyle w:val="Nmerodepgina"/>
        <w:rFonts w:eastAsia="Arial"/>
      </w:rPr>
      <w:fldChar w:fldCharType="end"/>
    </w:r>
  </w:p>
  <w:p w14:paraId="7F942B03" w14:textId="77777777" w:rsidR="00A4526E" w:rsidRDefault="00A4526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775191"/>
      <w:docPartObj>
        <w:docPartGallery w:val="Page Numbers (Bottom of Page)"/>
        <w:docPartUnique/>
      </w:docPartObj>
    </w:sdtPr>
    <w:sdtEndPr/>
    <w:sdtContent>
      <w:p w14:paraId="11164519" w14:textId="66013C2D" w:rsidR="00A4526E" w:rsidRDefault="00A4526E">
        <w:pPr>
          <w:pStyle w:val="Piedepgina"/>
          <w:jc w:val="right"/>
        </w:pPr>
        <w:r w:rsidRPr="00E62292">
          <w:rPr>
            <w:rFonts w:ascii="Verdana" w:hAnsi="Verdana"/>
          </w:rPr>
          <w:fldChar w:fldCharType="begin"/>
        </w:r>
        <w:r w:rsidRPr="00E62292">
          <w:rPr>
            <w:rFonts w:ascii="Verdana" w:hAnsi="Verdana"/>
          </w:rPr>
          <w:instrText>PAGE   \* MERGEFORMAT</w:instrText>
        </w:r>
        <w:r w:rsidRPr="00E62292">
          <w:rPr>
            <w:rFonts w:ascii="Verdana" w:hAnsi="Verdana"/>
          </w:rPr>
          <w:fldChar w:fldCharType="separate"/>
        </w:r>
        <w:r w:rsidR="00B01700">
          <w:rPr>
            <w:rFonts w:ascii="Verdana" w:hAnsi="Verdana"/>
            <w:noProof/>
          </w:rPr>
          <w:t>1</w:t>
        </w:r>
        <w:r w:rsidRPr="00E62292">
          <w:rPr>
            <w:rFonts w:ascii="Verdana" w:hAnsi="Verdana"/>
          </w:rPr>
          <w:fldChar w:fldCharType="end"/>
        </w:r>
      </w:p>
    </w:sdtContent>
  </w:sdt>
  <w:p w14:paraId="1E6590BF" w14:textId="77777777" w:rsidR="00A4526E" w:rsidRDefault="00A4526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329C8" w14:textId="77777777" w:rsidR="009A7C9A" w:rsidRDefault="009A7C9A" w:rsidP="00603BA9">
      <w:r>
        <w:separator/>
      </w:r>
    </w:p>
  </w:footnote>
  <w:footnote w:type="continuationSeparator" w:id="0">
    <w:p w14:paraId="2D32DDB8" w14:textId="77777777" w:rsidR="009A7C9A" w:rsidRDefault="009A7C9A" w:rsidP="00603BA9">
      <w:r>
        <w:continuationSeparator/>
      </w:r>
    </w:p>
  </w:footnote>
  <w:footnote w:id="1">
    <w:p w14:paraId="30AA8B12" w14:textId="77777777" w:rsidR="00EF0DE7" w:rsidRPr="0081290A" w:rsidRDefault="00EF0DE7" w:rsidP="00EF0DE7">
      <w:pPr>
        <w:pStyle w:val="Textonotapie"/>
        <w:jc w:val="both"/>
        <w:rPr>
          <w:rFonts w:ascii="Arial" w:hAnsi="Arial" w:cs="Arial"/>
          <w:sz w:val="16"/>
          <w:szCs w:val="16"/>
          <w:lang w:val="es-CO"/>
        </w:rPr>
      </w:pPr>
      <w:r w:rsidRPr="0081290A">
        <w:rPr>
          <w:rStyle w:val="Refdenotaalpie"/>
          <w:rFonts w:ascii="Arial" w:hAnsi="Arial" w:cs="Arial"/>
          <w:sz w:val="16"/>
          <w:szCs w:val="16"/>
        </w:rPr>
        <w:footnoteRef/>
      </w:r>
      <w:r w:rsidRPr="0081290A">
        <w:rPr>
          <w:rFonts w:ascii="Arial" w:hAnsi="Arial" w:cs="Arial"/>
          <w:sz w:val="16"/>
          <w:szCs w:val="16"/>
        </w:rPr>
        <w:t xml:space="preserve"> </w:t>
      </w:r>
      <w:r w:rsidRPr="0081290A">
        <w:rPr>
          <w:rFonts w:ascii="Arial" w:hAnsi="Arial" w:cs="Arial"/>
          <w:sz w:val="16"/>
          <w:szCs w:val="16"/>
          <w:lang w:val="es-CO"/>
        </w:rPr>
        <w:t>En este sentido se pronunció la Sala de Decisión No. 1 del Tribunal Administrativo de Boyacá, en sentencia de 07 de febrero de 2017 con ponencia del Magistrado Fabio Iván Afanador García, dentro del proceso de validez de acuerdo radicado bajo el No. 2016- 0738- 00.</w:t>
      </w:r>
    </w:p>
  </w:footnote>
  <w:footnote w:id="2">
    <w:p w14:paraId="19A5FE1E" w14:textId="77777777" w:rsidR="00EF0DE7" w:rsidRPr="0081290A" w:rsidRDefault="00EF0DE7" w:rsidP="00EF0DE7">
      <w:pPr>
        <w:pStyle w:val="Textonotapie"/>
        <w:jc w:val="both"/>
        <w:rPr>
          <w:rFonts w:ascii="Arial" w:hAnsi="Arial" w:cs="Arial"/>
          <w:sz w:val="16"/>
          <w:szCs w:val="16"/>
          <w:lang w:val="es-CO"/>
        </w:rPr>
      </w:pPr>
      <w:r w:rsidRPr="0081290A">
        <w:rPr>
          <w:rStyle w:val="Refdenotaalpie"/>
          <w:rFonts w:ascii="Arial" w:hAnsi="Arial" w:cs="Arial"/>
          <w:sz w:val="16"/>
          <w:szCs w:val="16"/>
        </w:rPr>
        <w:footnoteRef/>
      </w:r>
      <w:r w:rsidRPr="0081290A">
        <w:rPr>
          <w:rFonts w:ascii="Arial" w:hAnsi="Arial" w:cs="Arial"/>
          <w:sz w:val="16"/>
          <w:szCs w:val="16"/>
        </w:rPr>
        <w:t xml:space="preserve"> </w:t>
      </w:r>
      <w:r w:rsidRPr="0081290A">
        <w:rPr>
          <w:rFonts w:ascii="Arial" w:hAnsi="Arial" w:cs="Arial"/>
          <w:sz w:val="16"/>
          <w:szCs w:val="16"/>
          <w:lang w:val="es-CO"/>
        </w:rPr>
        <w:t xml:space="preserve">Consejo de Estado, Sala de lo Contencioso Administrativo, Sección Primera, Sentencia de 13 de junio de 1996, C.P. Dr. </w:t>
      </w:r>
      <w:r w:rsidRPr="0081290A">
        <w:rPr>
          <w:rFonts w:ascii="Arial" w:hAnsi="Arial" w:cs="Arial"/>
          <w:sz w:val="16"/>
          <w:szCs w:val="16"/>
          <w:lang w:val="es-CO"/>
        </w:rPr>
        <w:t>Juan Alberto Polo Figeuroa, Expediente No. 3429.</w:t>
      </w:r>
    </w:p>
    <w:p w14:paraId="101290CE" w14:textId="77777777" w:rsidR="00EF0DE7" w:rsidRPr="0081290A" w:rsidRDefault="00EF0DE7" w:rsidP="00EF0DE7">
      <w:pPr>
        <w:pStyle w:val="Textonotapie"/>
        <w:jc w:val="both"/>
        <w:rPr>
          <w:rFonts w:ascii="Arial" w:hAnsi="Arial" w:cs="Arial"/>
          <w:sz w:val="16"/>
          <w:szCs w:val="16"/>
          <w:lang w:val="es-CO"/>
        </w:rPr>
      </w:pPr>
    </w:p>
    <w:p w14:paraId="3349E263" w14:textId="77777777" w:rsidR="00EF0DE7" w:rsidRPr="0081290A" w:rsidRDefault="00EF0DE7" w:rsidP="00EF0DE7">
      <w:pPr>
        <w:pStyle w:val="Textonotapie"/>
        <w:jc w:val="both"/>
        <w:rPr>
          <w:rFonts w:ascii="Arial" w:hAnsi="Arial" w:cs="Arial"/>
          <w:sz w:val="16"/>
          <w:szCs w:val="16"/>
          <w:lang w:val="es-CO"/>
        </w:rPr>
      </w:pPr>
      <w:r w:rsidRPr="0081290A">
        <w:rPr>
          <w:rFonts w:ascii="Arial" w:hAnsi="Arial" w:cs="Arial"/>
          <w:sz w:val="16"/>
          <w:szCs w:val="16"/>
          <w:lang w:val="es-CO"/>
        </w:rPr>
        <w:t>En el mismo sentido se pronunció el Profesor DIEGO YUNES MORENO en su libro de “Derecho Administrativo Laboral”, Novena Edición, Editorial TEMIS S.A. Bogotá- Colombia- 2001, Pag. 423.</w:t>
      </w:r>
    </w:p>
  </w:footnote>
  <w:footnote w:id="3">
    <w:p w14:paraId="347EC89B" w14:textId="77777777" w:rsidR="00EF0DE7" w:rsidRPr="0081290A" w:rsidRDefault="00EF0DE7" w:rsidP="00EF0DE7">
      <w:pPr>
        <w:pStyle w:val="Notaalpie20"/>
        <w:shd w:val="clear" w:color="auto" w:fill="auto"/>
        <w:spacing w:line="240" w:lineRule="auto"/>
        <w:ind w:left="20"/>
        <w:jc w:val="both"/>
        <w:rPr>
          <w:sz w:val="16"/>
          <w:szCs w:val="16"/>
        </w:rPr>
      </w:pPr>
      <w:r w:rsidRPr="0081290A">
        <w:rPr>
          <w:sz w:val="16"/>
          <w:szCs w:val="16"/>
          <w:vertAlign w:val="superscript"/>
        </w:rPr>
        <w:footnoteRef/>
      </w:r>
      <w:r w:rsidRPr="0081290A">
        <w:rPr>
          <w:sz w:val="16"/>
          <w:szCs w:val="16"/>
        </w:rPr>
        <w:t xml:space="preserve"> </w:t>
      </w:r>
      <w:r w:rsidRPr="0081290A">
        <w:rPr>
          <w:sz w:val="16"/>
          <w:szCs w:val="16"/>
        </w:rPr>
        <w:t>Younes Moreno, Diego.</w:t>
      </w:r>
      <w:r w:rsidRPr="0081290A">
        <w:rPr>
          <w:rStyle w:val="Notaalpie2Cursiva"/>
          <w:sz w:val="16"/>
          <w:szCs w:val="16"/>
        </w:rPr>
        <w:t xml:space="preserve"> Derecho Administrativo Laboral.</w:t>
      </w:r>
      <w:r w:rsidRPr="0081290A">
        <w:rPr>
          <w:sz w:val="16"/>
          <w:szCs w:val="16"/>
        </w:rPr>
        <w:t xml:space="preserve"> Ed. Temis. Año 2001. Pág.98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313E7" w14:textId="77777777" w:rsidR="00A4526E" w:rsidRDefault="00A4526E" w:rsidP="00B55DC2">
    <w:pPr>
      <w:pStyle w:val="Encabezado"/>
      <w:jc w:val="center"/>
      <w:rPr>
        <w:rFonts w:ascii="Times New Roman" w:hAnsi="Times New Roman"/>
        <w:i/>
        <w:lang w:val="es-MX"/>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12E57"/>
    <w:multiLevelType w:val="hybridMultilevel"/>
    <w:tmpl w:val="B8CA96EE"/>
    <w:lvl w:ilvl="0" w:tplc="DF3CB36C">
      <w:start w:val="2"/>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6A1569"/>
    <w:multiLevelType w:val="multilevel"/>
    <w:tmpl w:val="52A86C60"/>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nsid w:val="273C66A5"/>
    <w:multiLevelType w:val="multilevel"/>
    <w:tmpl w:val="5A54B086"/>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nsid w:val="52E56DDE"/>
    <w:multiLevelType w:val="hybridMultilevel"/>
    <w:tmpl w:val="2EDC3082"/>
    <w:lvl w:ilvl="0" w:tplc="84D2FD7C">
      <w:start w:val="3"/>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75E6AB0"/>
    <w:multiLevelType w:val="multilevel"/>
    <w:tmpl w:val="58C293FC"/>
    <w:lvl w:ilvl="0">
      <w:start w:val="3"/>
      <w:numFmt w:val="decimal"/>
      <w:lvlText w:val="%1."/>
      <w:lvlJc w:val="left"/>
      <w:pPr>
        <w:ind w:left="480" w:hanging="48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decimal"/>
      <w:lvlText w:val="%1.%2.%3.%4."/>
      <w:lvlJc w:val="left"/>
      <w:pPr>
        <w:ind w:left="2520" w:hanging="144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4320" w:hanging="2160"/>
      </w:pPr>
      <w:rPr>
        <w:rFonts w:cs="Times New Roman" w:hint="default"/>
      </w:rPr>
    </w:lvl>
    <w:lvl w:ilvl="7">
      <w:start w:val="1"/>
      <w:numFmt w:val="decimal"/>
      <w:lvlText w:val="%1.%2.%3.%4.%5.%6.%7.%8."/>
      <w:lvlJc w:val="left"/>
      <w:pPr>
        <w:ind w:left="5040" w:hanging="2520"/>
      </w:pPr>
      <w:rPr>
        <w:rFonts w:cs="Times New Roman" w:hint="default"/>
      </w:rPr>
    </w:lvl>
    <w:lvl w:ilvl="8">
      <w:start w:val="1"/>
      <w:numFmt w:val="decimal"/>
      <w:lvlText w:val="%1.%2.%3.%4.%5.%6.%7.%8.%9."/>
      <w:lvlJc w:val="left"/>
      <w:pPr>
        <w:ind w:left="5400" w:hanging="2520"/>
      </w:pPr>
      <w:rPr>
        <w:rFonts w:cs="Times New Roman" w:hint="default"/>
      </w:rPr>
    </w:lvl>
  </w:abstractNum>
  <w:abstractNum w:abstractNumId="5">
    <w:nsid w:val="5CF870B3"/>
    <w:multiLevelType w:val="hybridMultilevel"/>
    <w:tmpl w:val="0D76AA0C"/>
    <w:lvl w:ilvl="0" w:tplc="31944CB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05F3DAA"/>
    <w:multiLevelType w:val="hybridMultilevel"/>
    <w:tmpl w:val="13A869B8"/>
    <w:lvl w:ilvl="0" w:tplc="21E4AA46">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5370844"/>
    <w:multiLevelType w:val="hybridMultilevel"/>
    <w:tmpl w:val="B43E4C6C"/>
    <w:lvl w:ilvl="0" w:tplc="8468141C">
      <w:start w:val="1"/>
      <w:numFmt w:val="bullet"/>
      <w:lvlText w:val="-"/>
      <w:lvlJc w:val="left"/>
      <w:pPr>
        <w:ind w:left="720" w:hanging="360"/>
      </w:pPr>
      <w:rPr>
        <w:rFonts w:ascii="Verdana" w:eastAsia="Times New Roman" w:hAnsi="Verdan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A9"/>
    <w:rsid w:val="00012BF4"/>
    <w:rsid w:val="00015425"/>
    <w:rsid w:val="00016F62"/>
    <w:rsid w:val="00023BBF"/>
    <w:rsid w:val="000420C2"/>
    <w:rsid w:val="00044549"/>
    <w:rsid w:val="000A5726"/>
    <w:rsid w:val="000B4CEA"/>
    <w:rsid w:val="000D6818"/>
    <w:rsid w:val="000E7600"/>
    <w:rsid w:val="00142AF8"/>
    <w:rsid w:val="0014640B"/>
    <w:rsid w:val="00156145"/>
    <w:rsid w:val="00163BEE"/>
    <w:rsid w:val="001642A7"/>
    <w:rsid w:val="001674DA"/>
    <w:rsid w:val="00196793"/>
    <w:rsid w:val="001A08B3"/>
    <w:rsid w:val="001A3F0D"/>
    <w:rsid w:val="001A41A2"/>
    <w:rsid w:val="001A7835"/>
    <w:rsid w:val="001B6EF7"/>
    <w:rsid w:val="001B7071"/>
    <w:rsid w:val="001B7427"/>
    <w:rsid w:val="001C3B5A"/>
    <w:rsid w:val="001D7074"/>
    <w:rsid w:val="001E3CEA"/>
    <w:rsid w:val="00203204"/>
    <w:rsid w:val="00210356"/>
    <w:rsid w:val="00216FD5"/>
    <w:rsid w:val="00217634"/>
    <w:rsid w:val="00220284"/>
    <w:rsid w:val="00226A68"/>
    <w:rsid w:val="00230578"/>
    <w:rsid w:val="0025618F"/>
    <w:rsid w:val="00273563"/>
    <w:rsid w:val="00280815"/>
    <w:rsid w:val="00286AE9"/>
    <w:rsid w:val="002A546F"/>
    <w:rsid w:val="002B4515"/>
    <w:rsid w:val="002B5F74"/>
    <w:rsid w:val="002E5064"/>
    <w:rsid w:val="00306236"/>
    <w:rsid w:val="00337FCE"/>
    <w:rsid w:val="00338E9B"/>
    <w:rsid w:val="00341F55"/>
    <w:rsid w:val="00346FAA"/>
    <w:rsid w:val="0037214A"/>
    <w:rsid w:val="00381F47"/>
    <w:rsid w:val="003833C0"/>
    <w:rsid w:val="003A070E"/>
    <w:rsid w:val="003C025D"/>
    <w:rsid w:val="003D2E26"/>
    <w:rsid w:val="00411010"/>
    <w:rsid w:val="0041333F"/>
    <w:rsid w:val="00427D73"/>
    <w:rsid w:val="00434A7C"/>
    <w:rsid w:val="00442388"/>
    <w:rsid w:val="0045002D"/>
    <w:rsid w:val="00450D55"/>
    <w:rsid w:val="00455CEE"/>
    <w:rsid w:val="00475FCD"/>
    <w:rsid w:val="00491FC9"/>
    <w:rsid w:val="004969B5"/>
    <w:rsid w:val="004B1657"/>
    <w:rsid w:val="004D43E0"/>
    <w:rsid w:val="004E5BD1"/>
    <w:rsid w:val="004F046D"/>
    <w:rsid w:val="004F5D79"/>
    <w:rsid w:val="00500995"/>
    <w:rsid w:val="005041EF"/>
    <w:rsid w:val="00516802"/>
    <w:rsid w:val="00543CAC"/>
    <w:rsid w:val="0054472C"/>
    <w:rsid w:val="00551D4D"/>
    <w:rsid w:val="005603AD"/>
    <w:rsid w:val="005751A1"/>
    <w:rsid w:val="00580A41"/>
    <w:rsid w:val="0058178B"/>
    <w:rsid w:val="005C5CE6"/>
    <w:rsid w:val="005D1A10"/>
    <w:rsid w:val="005D76AB"/>
    <w:rsid w:val="005F488A"/>
    <w:rsid w:val="006002DF"/>
    <w:rsid w:val="00603BA9"/>
    <w:rsid w:val="00607F18"/>
    <w:rsid w:val="00616538"/>
    <w:rsid w:val="00625410"/>
    <w:rsid w:val="00635EE1"/>
    <w:rsid w:val="00641673"/>
    <w:rsid w:val="006421D0"/>
    <w:rsid w:val="00644BA1"/>
    <w:rsid w:val="00655F7F"/>
    <w:rsid w:val="00657CE8"/>
    <w:rsid w:val="006650FA"/>
    <w:rsid w:val="00672BC4"/>
    <w:rsid w:val="0067393E"/>
    <w:rsid w:val="00676815"/>
    <w:rsid w:val="006A01E2"/>
    <w:rsid w:val="006A078C"/>
    <w:rsid w:val="006A2C80"/>
    <w:rsid w:val="006B6B7B"/>
    <w:rsid w:val="006D27AB"/>
    <w:rsid w:val="006D4CDC"/>
    <w:rsid w:val="006E05C1"/>
    <w:rsid w:val="006F17A7"/>
    <w:rsid w:val="006F1CDC"/>
    <w:rsid w:val="006F2F58"/>
    <w:rsid w:val="006F325D"/>
    <w:rsid w:val="006F4F31"/>
    <w:rsid w:val="007000C4"/>
    <w:rsid w:val="00701CE0"/>
    <w:rsid w:val="00704CC1"/>
    <w:rsid w:val="00707DCD"/>
    <w:rsid w:val="00731517"/>
    <w:rsid w:val="00736EF4"/>
    <w:rsid w:val="007549EE"/>
    <w:rsid w:val="00781880"/>
    <w:rsid w:val="00784D07"/>
    <w:rsid w:val="007B26CD"/>
    <w:rsid w:val="007C1AA7"/>
    <w:rsid w:val="007D61DB"/>
    <w:rsid w:val="007F7B28"/>
    <w:rsid w:val="00817CFA"/>
    <w:rsid w:val="008364B4"/>
    <w:rsid w:val="00847EEB"/>
    <w:rsid w:val="0087469F"/>
    <w:rsid w:val="00874AC9"/>
    <w:rsid w:val="00884076"/>
    <w:rsid w:val="0088628C"/>
    <w:rsid w:val="008A0CBA"/>
    <w:rsid w:val="008A622E"/>
    <w:rsid w:val="008E005C"/>
    <w:rsid w:val="008E0B5F"/>
    <w:rsid w:val="008E159C"/>
    <w:rsid w:val="008E7021"/>
    <w:rsid w:val="00907FB9"/>
    <w:rsid w:val="00910015"/>
    <w:rsid w:val="00923B9D"/>
    <w:rsid w:val="00927631"/>
    <w:rsid w:val="00937918"/>
    <w:rsid w:val="009419D6"/>
    <w:rsid w:val="00944101"/>
    <w:rsid w:val="0097099E"/>
    <w:rsid w:val="00980327"/>
    <w:rsid w:val="009871C6"/>
    <w:rsid w:val="00994F7F"/>
    <w:rsid w:val="009974B0"/>
    <w:rsid w:val="009A1EF9"/>
    <w:rsid w:val="009A3799"/>
    <w:rsid w:val="009A7C9A"/>
    <w:rsid w:val="009B3C08"/>
    <w:rsid w:val="009B77AF"/>
    <w:rsid w:val="009D0892"/>
    <w:rsid w:val="009E6F62"/>
    <w:rsid w:val="00A0146F"/>
    <w:rsid w:val="00A022ED"/>
    <w:rsid w:val="00A21D37"/>
    <w:rsid w:val="00A24334"/>
    <w:rsid w:val="00A33D0E"/>
    <w:rsid w:val="00A4526E"/>
    <w:rsid w:val="00A4606C"/>
    <w:rsid w:val="00A53F64"/>
    <w:rsid w:val="00A55819"/>
    <w:rsid w:val="00A6114A"/>
    <w:rsid w:val="00A627FA"/>
    <w:rsid w:val="00A7364E"/>
    <w:rsid w:val="00AA3364"/>
    <w:rsid w:val="00AC2838"/>
    <w:rsid w:val="00AC6CA3"/>
    <w:rsid w:val="00AD1BF3"/>
    <w:rsid w:val="00AD2F77"/>
    <w:rsid w:val="00AD3AF5"/>
    <w:rsid w:val="00AD4716"/>
    <w:rsid w:val="00AD62E1"/>
    <w:rsid w:val="00AE436B"/>
    <w:rsid w:val="00AF6724"/>
    <w:rsid w:val="00AF6C44"/>
    <w:rsid w:val="00B01700"/>
    <w:rsid w:val="00B02F4A"/>
    <w:rsid w:val="00B22179"/>
    <w:rsid w:val="00B4076A"/>
    <w:rsid w:val="00B41E1D"/>
    <w:rsid w:val="00B42273"/>
    <w:rsid w:val="00B55DC2"/>
    <w:rsid w:val="00B56B90"/>
    <w:rsid w:val="00B73E2C"/>
    <w:rsid w:val="00B74EF7"/>
    <w:rsid w:val="00BA2625"/>
    <w:rsid w:val="00BB366B"/>
    <w:rsid w:val="00BC0F92"/>
    <w:rsid w:val="00BC1C37"/>
    <w:rsid w:val="00BC3129"/>
    <w:rsid w:val="00BD19C3"/>
    <w:rsid w:val="00BD1D17"/>
    <w:rsid w:val="00BE5C01"/>
    <w:rsid w:val="00C14BF1"/>
    <w:rsid w:val="00C47679"/>
    <w:rsid w:val="00C51835"/>
    <w:rsid w:val="00C54E6B"/>
    <w:rsid w:val="00C64525"/>
    <w:rsid w:val="00C70119"/>
    <w:rsid w:val="00C72115"/>
    <w:rsid w:val="00C74ACB"/>
    <w:rsid w:val="00C817C4"/>
    <w:rsid w:val="00C91BC1"/>
    <w:rsid w:val="00CC3832"/>
    <w:rsid w:val="00CD5F23"/>
    <w:rsid w:val="00CF2FF5"/>
    <w:rsid w:val="00D02F3B"/>
    <w:rsid w:val="00D3019A"/>
    <w:rsid w:val="00D321A4"/>
    <w:rsid w:val="00D444CB"/>
    <w:rsid w:val="00D46228"/>
    <w:rsid w:val="00D55ECC"/>
    <w:rsid w:val="00D6612B"/>
    <w:rsid w:val="00D66A0D"/>
    <w:rsid w:val="00D7434D"/>
    <w:rsid w:val="00D745BA"/>
    <w:rsid w:val="00D8595D"/>
    <w:rsid w:val="00D950A7"/>
    <w:rsid w:val="00DC613A"/>
    <w:rsid w:val="00DE2D12"/>
    <w:rsid w:val="00DF3CA0"/>
    <w:rsid w:val="00DF53B0"/>
    <w:rsid w:val="00DF725E"/>
    <w:rsid w:val="00DF7D9B"/>
    <w:rsid w:val="00E01D55"/>
    <w:rsid w:val="00E05DBA"/>
    <w:rsid w:val="00E115BD"/>
    <w:rsid w:val="00E233E7"/>
    <w:rsid w:val="00E2798C"/>
    <w:rsid w:val="00E35948"/>
    <w:rsid w:val="00E36BAB"/>
    <w:rsid w:val="00E46E8A"/>
    <w:rsid w:val="00E534F1"/>
    <w:rsid w:val="00E57E48"/>
    <w:rsid w:val="00E71E77"/>
    <w:rsid w:val="00E80578"/>
    <w:rsid w:val="00EA3857"/>
    <w:rsid w:val="00EC48E7"/>
    <w:rsid w:val="00EE22FA"/>
    <w:rsid w:val="00EF0DE7"/>
    <w:rsid w:val="00F00424"/>
    <w:rsid w:val="00F05764"/>
    <w:rsid w:val="00F06835"/>
    <w:rsid w:val="00F106AD"/>
    <w:rsid w:val="00F11ED0"/>
    <w:rsid w:val="00F17E47"/>
    <w:rsid w:val="00F2442C"/>
    <w:rsid w:val="00F502BF"/>
    <w:rsid w:val="00F70D30"/>
    <w:rsid w:val="00F72219"/>
    <w:rsid w:val="00F8090C"/>
    <w:rsid w:val="00F87CD8"/>
    <w:rsid w:val="00F95AD8"/>
    <w:rsid w:val="00F95F80"/>
    <w:rsid w:val="00FA2E14"/>
    <w:rsid w:val="00FA4052"/>
    <w:rsid w:val="00FA6550"/>
    <w:rsid w:val="00FD121F"/>
    <w:rsid w:val="00FD236F"/>
    <w:rsid w:val="00FE77CA"/>
    <w:rsid w:val="03EAB103"/>
    <w:rsid w:val="04DDABCF"/>
    <w:rsid w:val="08CCE47C"/>
    <w:rsid w:val="0B51EF8B"/>
    <w:rsid w:val="1329B603"/>
    <w:rsid w:val="136D87A6"/>
    <w:rsid w:val="1762DB52"/>
    <w:rsid w:val="2463CAB6"/>
    <w:rsid w:val="2F247466"/>
    <w:rsid w:val="3164DF70"/>
    <w:rsid w:val="3D4CC347"/>
    <w:rsid w:val="3DA58661"/>
    <w:rsid w:val="4056625B"/>
    <w:rsid w:val="4CA01DAF"/>
    <w:rsid w:val="4FD7BE71"/>
    <w:rsid w:val="4FDA386B"/>
    <w:rsid w:val="51738ED2"/>
    <w:rsid w:val="52126CD7"/>
    <w:rsid w:val="5691CFC1"/>
    <w:rsid w:val="5A4306F6"/>
    <w:rsid w:val="5BDED757"/>
    <w:rsid w:val="5FC6730D"/>
    <w:rsid w:val="6103EFC2"/>
    <w:rsid w:val="6E886D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5B8F"/>
  <w15:chartTrackingRefBased/>
  <w15:docId w15:val="{37F73E95-A15B-4170-AAA4-21D6DD26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3BA9"/>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03BA9"/>
    <w:pPr>
      <w:keepNext/>
      <w:jc w:val="center"/>
      <w:outlineLvl w:val="1"/>
    </w:pPr>
    <w:rPr>
      <w:rFonts w:ascii="Comic Sans MS" w:eastAsia="Arial Unicode MS" w:hAnsi="Comic Sans MS" w:cs="Arial Unicode MS"/>
      <w:b/>
      <w:szCs w:val="20"/>
      <w:lang w:val="es-MX" w:eastAsia="es-CO"/>
    </w:rPr>
  </w:style>
  <w:style w:type="paragraph" w:styleId="Ttulo6">
    <w:name w:val="heading 6"/>
    <w:basedOn w:val="Normal"/>
    <w:next w:val="Normal"/>
    <w:link w:val="Ttulo6Car"/>
    <w:qFormat/>
    <w:rsid w:val="00603BA9"/>
    <w:pPr>
      <w:keepNext/>
      <w:jc w:val="center"/>
      <w:outlineLvl w:val="5"/>
    </w:pPr>
    <w:rPr>
      <w:rFonts w:ascii="Arial" w:eastAsia="Arial Unicode MS" w:hAnsi="Arial"/>
      <w:b/>
      <w:sz w:val="22"/>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03BA9"/>
    <w:rPr>
      <w:rFonts w:ascii="Comic Sans MS" w:eastAsia="Arial Unicode MS" w:hAnsi="Comic Sans MS" w:cs="Arial Unicode MS"/>
      <w:b/>
      <w:sz w:val="24"/>
      <w:szCs w:val="20"/>
      <w:lang w:val="es-MX" w:eastAsia="es-CO"/>
    </w:rPr>
  </w:style>
  <w:style w:type="character" w:customStyle="1" w:styleId="Ttulo6Car">
    <w:name w:val="Título 6 Car"/>
    <w:basedOn w:val="Fuentedeprrafopredeter"/>
    <w:link w:val="Ttulo6"/>
    <w:rsid w:val="00603BA9"/>
    <w:rPr>
      <w:rFonts w:ascii="Arial" w:eastAsia="Arial Unicode MS" w:hAnsi="Arial" w:cs="Times New Roman"/>
      <w:b/>
      <w:szCs w:val="20"/>
      <w:lang w:val="es-ES" w:eastAsia="es-CO"/>
    </w:rPr>
  </w:style>
  <w:style w:type="paragraph" w:styleId="Descripcin">
    <w:name w:val="caption"/>
    <w:basedOn w:val="Normal"/>
    <w:next w:val="Normal"/>
    <w:qFormat/>
    <w:rsid w:val="00603BA9"/>
    <w:pPr>
      <w:jc w:val="center"/>
    </w:pPr>
    <w:rPr>
      <w:rFonts w:ascii="Arial" w:hAnsi="Arial"/>
      <w:b/>
      <w:szCs w:val="20"/>
      <w:lang w:val="es-ES_tradnl"/>
    </w:rPr>
  </w:style>
  <w:style w:type="paragraph" w:customStyle="1" w:styleId="BodyText23">
    <w:name w:val="Body Text 23"/>
    <w:basedOn w:val="Normal"/>
    <w:rsid w:val="00603BA9"/>
    <w:pPr>
      <w:spacing w:line="360" w:lineRule="auto"/>
      <w:jc w:val="both"/>
    </w:pPr>
    <w:rPr>
      <w:szCs w:val="20"/>
      <w:lang w:eastAsia="es-CO"/>
    </w:rPr>
  </w:style>
  <w:style w:type="paragraph" w:styleId="Textoindependiente">
    <w:name w:val="Body Text"/>
    <w:basedOn w:val="Normal"/>
    <w:link w:val="TextoindependienteCar"/>
    <w:rsid w:val="00603BA9"/>
    <w:pPr>
      <w:jc w:val="both"/>
    </w:pPr>
    <w:rPr>
      <w:rFonts w:ascii="Bookman Old Style" w:hAnsi="Bookman Old Style"/>
      <w:sz w:val="28"/>
      <w:szCs w:val="20"/>
      <w:lang w:eastAsia="es-CO"/>
    </w:rPr>
  </w:style>
  <w:style w:type="character" w:customStyle="1" w:styleId="TextoindependienteCar">
    <w:name w:val="Texto independiente Car"/>
    <w:basedOn w:val="Fuentedeprrafopredeter"/>
    <w:link w:val="Textoindependiente"/>
    <w:rsid w:val="00603BA9"/>
    <w:rPr>
      <w:rFonts w:ascii="Bookman Old Style" w:eastAsia="Times New Roman" w:hAnsi="Bookman Old Style" w:cs="Times New Roman"/>
      <w:sz w:val="28"/>
      <w:szCs w:val="20"/>
      <w:lang w:val="es-ES" w:eastAsia="es-CO"/>
    </w:rPr>
  </w:style>
  <w:style w:type="paragraph" w:styleId="Encabezado">
    <w:name w:val="header"/>
    <w:basedOn w:val="Normal"/>
    <w:link w:val="EncabezadoCar"/>
    <w:rsid w:val="00603BA9"/>
    <w:pPr>
      <w:tabs>
        <w:tab w:val="center" w:pos="4252"/>
        <w:tab w:val="right" w:pos="8504"/>
      </w:tabs>
    </w:pPr>
    <w:rPr>
      <w:rFonts w:ascii="Arial" w:hAnsi="Arial"/>
      <w:sz w:val="20"/>
      <w:szCs w:val="20"/>
      <w:lang w:val="es-ES_tradnl"/>
    </w:rPr>
  </w:style>
  <w:style w:type="character" w:customStyle="1" w:styleId="EncabezadoCar">
    <w:name w:val="Encabezado Car"/>
    <w:basedOn w:val="Fuentedeprrafopredeter"/>
    <w:link w:val="Encabezado"/>
    <w:rsid w:val="00603BA9"/>
    <w:rPr>
      <w:rFonts w:ascii="Arial" w:eastAsia="Times New Roman" w:hAnsi="Arial" w:cs="Times New Roman"/>
      <w:sz w:val="20"/>
      <w:szCs w:val="20"/>
      <w:lang w:val="es-ES_tradnl" w:eastAsia="es-ES"/>
    </w:rPr>
  </w:style>
  <w:style w:type="paragraph" w:customStyle="1" w:styleId="03Cuerpo">
    <w:name w:val="03Cuerpo"/>
    <w:uiPriority w:val="99"/>
    <w:rsid w:val="00603BA9"/>
    <w:pPr>
      <w:overflowPunct w:val="0"/>
      <w:autoSpaceDE w:val="0"/>
      <w:autoSpaceDN w:val="0"/>
      <w:adjustRightInd w:val="0"/>
      <w:spacing w:after="0" w:line="240" w:lineRule="atLeast"/>
      <w:ind w:firstLine="454"/>
      <w:jc w:val="both"/>
      <w:textAlignment w:val="baseline"/>
    </w:pPr>
    <w:rPr>
      <w:rFonts w:ascii="Book Antiqua" w:eastAsia="Times New Roman" w:hAnsi="Book Antiqua" w:cs="Times New Roman"/>
      <w:szCs w:val="20"/>
      <w:lang w:val="es-ES_tradnl" w:eastAsia="es-ES"/>
    </w:rPr>
  </w:style>
  <w:style w:type="paragraph" w:styleId="Piedepgina">
    <w:name w:val="footer"/>
    <w:basedOn w:val="Normal"/>
    <w:link w:val="PiedepginaCar"/>
    <w:uiPriority w:val="99"/>
    <w:rsid w:val="00603BA9"/>
    <w:pPr>
      <w:tabs>
        <w:tab w:val="center" w:pos="4252"/>
        <w:tab w:val="right" w:pos="8504"/>
      </w:tabs>
    </w:pPr>
  </w:style>
  <w:style w:type="character" w:customStyle="1" w:styleId="PiedepginaCar">
    <w:name w:val="Pie de página Car"/>
    <w:basedOn w:val="Fuentedeprrafopredeter"/>
    <w:link w:val="Piedepgina"/>
    <w:uiPriority w:val="99"/>
    <w:rsid w:val="00603BA9"/>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 Char Char Char1"/>
    <w:basedOn w:val="Normal"/>
    <w:link w:val="TextonotapieCar"/>
    <w:uiPriority w:val="99"/>
    <w:rsid w:val="00603BA9"/>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rsid w:val="00603BA9"/>
    <w:rPr>
      <w:rFonts w:ascii="Times New Roman" w:eastAsia="Times New Roman" w:hAnsi="Times New Roman" w:cs="Times New Roman"/>
      <w:sz w:val="20"/>
      <w:szCs w:val="20"/>
      <w:lang w:val="es-ES" w:eastAsia="es-ES"/>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
    <w:rsid w:val="00603BA9"/>
    <w:rPr>
      <w:vertAlign w:val="superscript"/>
    </w:rPr>
  </w:style>
  <w:style w:type="character" w:styleId="Nmerodepgina">
    <w:name w:val="page number"/>
    <w:basedOn w:val="Fuentedeprrafopredeter"/>
    <w:rsid w:val="00603BA9"/>
  </w:style>
  <w:style w:type="character" w:customStyle="1" w:styleId="Notaalpie2">
    <w:name w:val="Nota al pie (2)_"/>
    <w:basedOn w:val="Fuentedeprrafopredeter"/>
    <w:link w:val="Notaalpie20"/>
    <w:rsid w:val="00603BA9"/>
    <w:rPr>
      <w:rFonts w:ascii="Arial" w:eastAsia="Arial" w:hAnsi="Arial" w:cs="Arial"/>
      <w:sz w:val="15"/>
      <w:szCs w:val="15"/>
      <w:shd w:val="clear" w:color="auto" w:fill="FFFFFF"/>
    </w:rPr>
  </w:style>
  <w:style w:type="character" w:customStyle="1" w:styleId="Notaalpie2Cursiva">
    <w:name w:val="Nota al pie (2) + Cursiva"/>
    <w:basedOn w:val="Notaalpie2"/>
    <w:rsid w:val="00603BA9"/>
    <w:rPr>
      <w:rFonts w:ascii="Arial" w:eastAsia="Arial" w:hAnsi="Arial" w:cs="Arial"/>
      <w:i/>
      <w:iCs/>
      <w:sz w:val="15"/>
      <w:szCs w:val="15"/>
      <w:shd w:val="clear" w:color="auto" w:fill="FFFFFF"/>
    </w:rPr>
  </w:style>
  <w:style w:type="character" w:customStyle="1" w:styleId="Ttulo20">
    <w:name w:val="Título #2_"/>
    <w:basedOn w:val="Fuentedeprrafopredeter"/>
    <w:link w:val="Ttulo21"/>
    <w:rsid w:val="00603BA9"/>
    <w:rPr>
      <w:rFonts w:ascii="Arial" w:eastAsia="Arial" w:hAnsi="Arial" w:cs="Arial"/>
      <w:sz w:val="23"/>
      <w:szCs w:val="23"/>
      <w:shd w:val="clear" w:color="auto" w:fill="FFFFFF"/>
    </w:rPr>
  </w:style>
  <w:style w:type="character" w:customStyle="1" w:styleId="Cuerpodeltexto">
    <w:name w:val="Cuerpo del texto_"/>
    <w:basedOn w:val="Fuentedeprrafopredeter"/>
    <w:link w:val="Cuerpodeltexto0"/>
    <w:rsid w:val="00603BA9"/>
    <w:rPr>
      <w:rFonts w:ascii="Arial" w:eastAsia="Arial" w:hAnsi="Arial" w:cs="Arial"/>
      <w:sz w:val="23"/>
      <w:szCs w:val="23"/>
      <w:shd w:val="clear" w:color="auto" w:fill="FFFFFF"/>
    </w:rPr>
  </w:style>
  <w:style w:type="character" w:customStyle="1" w:styleId="Cuerpodeltexto3Negrita">
    <w:name w:val="Cuerpo del texto (3) + Negrita"/>
    <w:basedOn w:val="Fuentedeprrafopredeter"/>
    <w:rsid w:val="00603BA9"/>
    <w:rPr>
      <w:rFonts w:ascii="Arial" w:eastAsia="Arial" w:hAnsi="Arial" w:cs="Arial"/>
      <w:b/>
      <w:bCs/>
      <w:i w:val="0"/>
      <w:iCs w:val="0"/>
      <w:smallCaps w:val="0"/>
      <w:strike w:val="0"/>
      <w:spacing w:val="0"/>
      <w:sz w:val="19"/>
      <w:szCs w:val="19"/>
    </w:rPr>
  </w:style>
  <w:style w:type="character" w:customStyle="1" w:styleId="Cuerpodeltexto3Sincursiva">
    <w:name w:val="Cuerpo del texto (3) + Sin cursiva"/>
    <w:basedOn w:val="Fuentedeprrafopredeter"/>
    <w:rsid w:val="00603BA9"/>
    <w:rPr>
      <w:rFonts w:ascii="Arial" w:eastAsia="Arial" w:hAnsi="Arial" w:cs="Arial"/>
      <w:b w:val="0"/>
      <w:bCs w:val="0"/>
      <w:i/>
      <w:iCs/>
      <w:smallCaps w:val="0"/>
      <w:strike w:val="0"/>
      <w:spacing w:val="0"/>
      <w:sz w:val="19"/>
      <w:szCs w:val="19"/>
    </w:rPr>
  </w:style>
  <w:style w:type="character" w:customStyle="1" w:styleId="Cuerpodeltexto4">
    <w:name w:val="Cuerpo del texto (4)_"/>
    <w:basedOn w:val="Fuentedeprrafopredeter"/>
    <w:link w:val="Cuerpodeltexto40"/>
    <w:rsid w:val="00603BA9"/>
    <w:rPr>
      <w:rFonts w:ascii="Arial" w:eastAsia="Arial" w:hAnsi="Arial" w:cs="Arial"/>
      <w:sz w:val="19"/>
      <w:szCs w:val="19"/>
      <w:shd w:val="clear" w:color="auto" w:fill="FFFFFF"/>
    </w:rPr>
  </w:style>
  <w:style w:type="character" w:customStyle="1" w:styleId="Cuerpodeltexto4Sinnegrita">
    <w:name w:val="Cuerpo del texto (4) + Sin negrita"/>
    <w:basedOn w:val="Cuerpodeltexto4"/>
    <w:rsid w:val="00603BA9"/>
    <w:rPr>
      <w:rFonts w:ascii="Arial" w:eastAsia="Arial" w:hAnsi="Arial" w:cs="Arial"/>
      <w:b/>
      <w:bCs/>
      <w:sz w:val="19"/>
      <w:szCs w:val="19"/>
      <w:shd w:val="clear" w:color="auto" w:fill="FFFFFF"/>
    </w:rPr>
  </w:style>
  <w:style w:type="character" w:customStyle="1" w:styleId="Cuerpodeltexto411">
    <w:name w:val="Cuerpo del texto (4) + 11"/>
    <w:aliases w:val="5 pto,Sin negrita,Sin cursiva,Cuerpo del texto (6) + 10,Negrita,Espaciado 0 pto,Cuerpo del texto (6) + 11 pto,Cuerpo del texto (7) + 7,Cuerpo del texto (8) + 9,Cuerpo del texto + Cursiva1,Espaciado -1 pto"/>
    <w:basedOn w:val="Cuerpodeltexto4"/>
    <w:rsid w:val="00603BA9"/>
    <w:rPr>
      <w:rFonts w:ascii="Arial" w:eastAsia="Arial" w:hAnsi="Arial" w:cs="Arial"/>
      <w:b/>
      <w:bCs/>
      <w:i/>
      <w:iCs/>
      <w:sz w:val="23"/>
      <w:szCs w:val="23"/>
      <w:shd w:val="clear" w:color="auto" w:fill="FFFFFF"/>
    </w:rPr>
  </w:style>
  <w:style w:type="paragraph" w:customStyle="1" w:styleId="Notaalpie20">
    <w:name w:val="Nota al pie (2)"/>
    <w:basedOn w:val="Normal"/>
    <w:link w:val="Notaalpie2"/>
    <w:rsid w:val="00603BA9"/>
    <w:pPr>
      <w:shd w:val="clear" w:color="auto" w:fill="FFFFFF"/>
      <w:spacing w:line="0" w:lineRule="atLeast"/>
    </w:pPr>
    <w:rPr>
      <w:rFonts w:ascii="Arial" w:eastAsia="Arial" w:hAnsi="Arial" w:cs="Arial"/>
      <w:sz w:val="15"/>
      <w:szCs w:val="15"/>
      <w:lang w:val="es-CO" w:eastAsia="en-US"/>
    </w:rPr>
  </w:style>
  <w:style w:type="paragraph" w:customStyle="1" w:styleId="Ttulo21">
    <w:name w:val="Título #2"/>
    <w:basedOn w:val="Normal"/>
    <w:link w:val="Ttulo20"/>
    <w:rsid w:val="00603BA9"/>
    <w:pPr>
      <w:shd w:val="clear" w:color="auto" w:fill="FFFFFF"/>
      <w:spacing w:before="60" w:after="360" w:line="317" w:lineRule="exact"/>
      <w:jc w:val="center"/>
      <w:outlineLvl w:val="1"/>
    </w:pPr>
    <w:rPr>
      <w:rFonts w:ascii="Arial" w:eastAsia="Arial" w:hAnsi="Arial" w:cs="Arial"/>
      <w:sz w:val="23"/>
      <w:szCs w:val="23"/>
      <w:lang w:val="es-CO" w:eastAsia="en-US"/>
    </w:rPr>
  </w:style>
  <w:style w:type="paragraph" w:customStyle="1" w:styleId="Cuerpodeltexto0">
    <w:name w:val="Cuerpo del texto"/>
    <w:basedOn w:val="Normal"/>
    <w:link w:val="Cuerpodeltexto"/>
    <w:rsid w:val="00603BA9"/>
    <w:pPr>
      <w:shd w:val="clear" w:color="auto" w:fill="FFFFFF"/>
      <w:spacing w:line="0" w:lineRule="atLeast"/>
    </w:pPr>
    <w:rPr>
      <w:rFonts w:ascii="Arial" w:eastAsia="Arial" w:hAnsi="Arial" w:cs="Arial"/>
      <w:sz w:val="23"/>
      <w:szCs w:val="23"/>
      <w:lang w:val="es-CO" w:eastAsia="en-US"/>
    </w:rPr>
  </w:style>
  <w:style w:type="paragraph" w:customStyle="1" w:styleId="Cuerpodeltexto40">
    <w:name w:val="Cuerpo del texto (4)"/>
    <w:basedOn w:val="Normal"/>
    <w:link w:val="Cuerpodeltexto4"/>
    <w:rsid w:val="00603BA9"/>
    <w:pPr>
      <w:shd w:val="clear" w:color="auto" w:fill="FFFFFF"/>
      <w:spacing w:before="240" w:after="240" w:line="263" w:lineRule="exact"/>
      <w:jc w:val="both"/>
    </w:pPr>
    <w:rPr>
      <w:rFonts w:ascii="Arial" w:eastAsia="Arial" w:hAnsi="Arial" w:cs="Arial"/>
      <w:sz w:val="19"/>
      <w:szCs w:val="19"/>
      <w:lang w:val="es-CO" w:eastAsia="en-US"/>
    </w:rPr>
  </w:style>
  <w:style w:type="paragraph" w:styleId="Prrafodelista">
    <w:name w:val="List Paragraph"/>
    <w:basedOn w:val="Normal"/>
    <w:uiPriority w:val="34"/>
    <w:qFormat/>
    <w:rsid w:val="00603BA9"/>
    <w:pPr>
      <w:ind w:left="720"/>
      <w:contextualSpacing/>
    </w:pPr>
    <w:rPr>
      <w:rFonts w:asciiTheme="minorHAnsi" w:eastAsiaTheme="minorEastAsia" w:hAnsiTheme="minorHAnsi" w:cstheme="minorBidi"/>
      <w:lang w:val="es-ES_tradnl"/>
    </w:rPr>
  </w:style>
  <w:style w:type="paragraph" w:styleId="NormalWeb">
    <w:name w:val="Normal (Web)"/>
    <w:basedOn w:val="Normal"/>
    <w:uiPriority w:val="99"/>
    <w:semiHidden/>
    <w:unhideWhenUsed/>
    <w:rsid w:val="00603BA9"/>
    <w:pPr>
      <w:spacing w:before="100" w:beforeAutospacing="1" w:after="100" w:afterAutospacing="1"/>
    </w:pPr>
  </w:style>
  <w:style w:type="character" w:styleId="Hipervnculo">
    <w:name w:val="Hyperlink"/>
    <w:basedOn w:val="Fuentedeprrafopredeter"/>
    <w:uiPriority w:val="99"/>
    <w:semiHidden/>
    <w:unhideWhenUsed/>
    <w:rsid w:val="00603BA9"/>
    <w:rPr>
      <w:color w:val="0000FF"/>
      <w:u w:val="single"/>
    </w:rPr>
  </w:style>
  <w:style w:type="table" w:styleId="Tablaconcuadrcula">
    <w:name w:val="Table Grid"/>
    <w:basedOn w:val="Tablanormal"/>
    <w:uiPriority w:val="39"/>
    <w:rsid w:val="00603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tra8pt">
    <w:name w:val="letra8pt"/>
    <w:basedOn w:val="Fuentedeprrafopredeter"/>
    <w:rsid w:val="00E57E48"/>
  </w:style>
  <w:style w:type="character" w:styleId="Textoennegrita">
    <w:name w:val="Strong"/>
    <w:basedOn w:val="Fuentedeprrafopredeter"/>
    <w:uiPriority w:val="22"/>
    <w:qFormat/>
    <w:rsid w:val="00836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82031">
      <w:bodyDiv w:val="1"/>
      <w:marLeft w:val="0"/>
      <w:marRight w:val="0"/>
      <w:marTop w:val="0"/>
      <w:marBottom w:val="0"/>
      <w:divBdr>
        <w:top w:val="none" w:sz="0" w:space="0" w:color="auto"/>
        <w:left w:val="none" w:sz="0" w:space="0" w:color="auto"/>
        <w:bottom w:val="none" w:sz="0" w:space="0" w:color="auto"/>
        <w:right w:val="none" w:sz="0" w:space="0" w:color="auto"/>
      </w:divBdr>
    </w:div>
    <w:div w:id="47730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80A9-56BB-4E5F-94B1-1EFA3A4EC4D2}">
  <ds:schemaRefs>
    <ds:schemaRef ds:uri="http://schemas.microsoft.com/sharepoint/v3/contenttype/forms"/>
  </ds:schemaRefs>
</ds:datastoreItem>
</file>

<file path=customXml/itemProps2.xml><?xml version="1.0" encoding="utf-8"?>
<ds:datastoreItem xmlns:ds="http://schemas.openxmlformats.org/officeDocument/2006/customXml" ds:itemID="{4BDA3B21-3C89-43BE-907E-062772627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5944F-A95D-43DB-92CF-772720AF4E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496BE0-D81E-554C-9A13-06C889F0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12</Pages>
  <Words>4250</Words>
  <Characters>23377</Characters>
  <Application>Microsoft Macintosh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IBETH ACERO VACCA</dc:creator>
  <cp:keywords/>
  <dc:description/>
  <cp:lastModifiedBy>Usuario de Microsoft Office</cp:lastModifiedBy>
  <cp:revision>173</cp:revision>
  <dcterms:created xsi:type="dcterms:W3CDTF">2020-01-29T14:02:00Z</dcterms:created>
  <dcterms:modified xsi:type="dcterms:W3CDTF">2021-12-09T19:40:00Z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68300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