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9C83B" w14:textId="682B9D2D" w:rsidR="002657A3" w:rsidRPr="00AB3AF6" w:rsidRDefault="00951415" w:rsidP="00951415">
      <w:pPr>
        <w:jc w:val="both"/>
        <w:rPr>
          <w:rFonts w:ascii="Arial" w:hAnsi="Arial" w:cs="Arial"/>
          <w:b/>
          <w:lang w:val="es-MX"/>
        </w:rPr>
      </w:pPr>
      <w:r w:rsidRPr="00AB3AF6">
        <w:rPr>
          <w:rFonts w:ascii="Arial" w:hAnsi="Arial" w:cs="Arial"/>
          <w:b/>
          <w:lang w:val="es-MX"/>
        </w:rPr>
        <w:t>SANCIÓN MORATORIA POR PAGO TARDÍO DE CESANTÍAS / Aplicable a docentes en su calidad de servidores públicos.</w:t>
      </w:r>
    </w:p>
    <w:p w14:paraId="6C39C66C" w14:textId="7F7E1FD5" w:rsidR="00951415" w:rsidRPr="00AB3AF6" w:rsidRDefault="00951415" w:rsidP="00951415">
      <w:pPr>
        <w:jc w:val="both"/>
        <w:rPr>
          <w:rFonts w:ascii="Arial" w:hAnsi="Arial" w:cs="Arial"/>
          <w:b/>
          <w:lang w:val="es-MX"/>
        </w:rPr>
      </w:pPr>
    </w:p>
    <w:p w14:paraId="24981F4C" w14:textId="499A8F9D" w:rsidR="00951415" w:rsidRPr="00AB3AF6" w:rsidRDefault="00951415" w:rsidP="00951415">
      <w:pPr>
        <w:jc w:val="both"/>
        <w:rPr>
          <w:rFonts w:ascii="Arial" w:hAnsi="Arial" w:cs="Arial"/>
          <w:lang w:val="es-MX"/>
        </w:rPr>
      </w:pPr>
      <w:r w:rsidRPr="00AB3AF6">
        <w:rPr>
          <w:rFonts w:ascii="Arial" w:hAnsi="Arial" w:cs="Arial"/>
          <w:lang w:val="es-MX"/>
        </w:rPr>
        <w:t>El artículo 15 de la Ley 91 de 1989 ha permitido identificar dos regímenes de cesantías docentes, el retroactivo y el anualizado. Sin embargo, la norma en cita no contempló disposición alguna sobre la sanción moratoria por el pago tardío de las cesantías a los docentes, razón por la cual, y ante la existencia de disparidad de criterios sobre si es dable o no aplicar dicha penalidad al Fondo Nacional de Prestaciones Sociales del Magisterio, el Consejo de Estado emitió pronunciamiento de unificación en sentencia del 18 de julio de 2018 , en la que concluyó que la sanción moratoria contenida en la ley 244 de 1995 y en la Ley 1071 de 2006 sí es aplicable a los docentes en su calidad de servidores públicos.</w:t>
      </w:r>
    </w:p>
    <w:p w14:paraId="49845094" w14:textId="74140FBC" w:rsidR="00951415" w:rsidRPr="00AB3AF6" w:rsidRDefault="00951415" w:rsidP="00951415">
      <w:pPr>
        <w:jc w:val="both"/>
        <w:rPr>
          <w:rFonts w:ascii="Arial" w:hAnsi="Arial" w:cs="Arial"/>
          <w:lang w:val="es-MX"/>
        </w:rPr>
      </w:pPr>
    </w:p>
    <w:p w14:paraId="37CC1621" w14:textId="14810082" w:rsidR="00951415" w:rsidRPr="00AB3AF6" w:rsidRDefault="00951415" w:rsidP="00951415">
      <w:pPr>
        <w:jc w:val="both"/>
        <w:rPr>
          <w:rFonts w:ascii="Arial" w:hAnsi="Arial" w:cs="Arial"/>
          <w:b/>
          <w:lang w:val="es-MX"/>
        </w:rPr>
      </w:pPr>
      <w:r w:rsidRPr="00AB3AF6">
        <w:rPr>
          <w:rFonts w:ascii="Arial" w:hAnsi="Arial" w:cs="Arial"/>
          <w:b/>
          <w:lang w:val="es-MX"/>
        </w:rPr>
        <w:t>SANCIÓN MORATORIA POR PAGO TARDÍO DE CESANTÍAS</w:t>
      </w:r>
      <w:r w:rsidR="00D20032" w:rsidRPr="00AB3AF6">
        <w:rPr>
          <w:rFonts w:ascii="Arial" w:hAnsi="Arial" w:cs="Arial"/>
          <w:b/>
          <w:lang w:val="es-MX"/>
        </w:rPr>
        <w:t xml:space="preserve"> PARA DOCENTES</w:t>
      </w:r>
      <w:r w:rsidRPr="00AB3AF6">
        <w:rPr>
          <w:rFonts w:ascii="Arial" w:hAnsi="Arial" w:cs="Arial"/>
          <w:b/>
          <w:lang w:val="es-MX"/>
        </w:rPr>
        <w:t xml:space="preserve"> / Trámite aplicable / Prevalencia de las disposiciones superiores.</w:t>
      </w:r>
    </w:p>
    <w:p w14:paraId="47F484C4" w14:textId="0A9626AD" w:rsidR="00951415" w:rsidRPr="00AB3AF6" w:rsidRDefault="00951415" w:rsidP="00951415">
      <w:pPr>
        <w:jc w:val="both"/>
        <w:rPr>
          <w:rFonts w:ascii="Arial" w:hAnsi="Arial" w:cs="Arial"/>
          <w:lang w:val="es-MX"/>
        </w:rPr>
      </w:pPr>
    </w:p>
    <w:p w14:paraId="3615B3ED" w14:textId="465985D1" w:rsidR="00951415" w:rsidRPr="00AB3AF6" w:rsidRDefault="00951415" w:rsidP="00D20032">
      <w:pPr>
        <w:jc w:val="both"/>
        <w:rPr>
          <w:rFonts w:ascii="Arial" w:hAnsi="Arial" w:cs="Arial"/>
        </w:rPr>
      </w:pPr>
      <w:r w:rsidRPr="00AB3AF6">
        <w:rPr>
          <w:rFonts w:ascii="Arial" w:hAnsi="Arial" w:cs="Arial"/>
          <w:lang w:eastAsia="es-CO"/>
        </w:rPr>
        <w:t>El Decreto 2831 de 2005 reglamentó el trámite para el reconocimiento y pago de prestaciones sociales de los docentes afiliados al Fondo Nacional de Prestaciones Sociales del Magisterio el cual difiere del establecido en la Ley 244 de 1995, modificada por la Ley 1071 de 2006. El trámite establecido en el referido decreto resulta más prolongado que el mencionado en las Leyes 244 de 1995 y 1071 de 2006, situación que llevó al Consejo de Estado, acudiendo al concepto de orden de preferencia en la aplicación de normas nacionales explicado por la jurisprudencia de la Corte Constitucional, a indicar que:</w:t>
      </w:r>
      <w:r w:rsidR="00D20032" w:rsidRPr="00AB3AF6">
        <w:rPr>
          <w:rFonts w:ascii="Arial" w:hAnsi="Arial" w:cs="Arial"/>
          <w:lang w:eastAsia="es-CO"/>
        </w:rPr>
        <w:t xml:space="preserve"> (…) </w:t>
      </w:r>
      <w:r w:rsidRPr="00AB3AF6">
        <w:rPr>
          <w:rFonts w:ascii="Arial" w:hAnsi="Arial" w:cs="Arial"/>
        </w:rPr>
        <w:t>el trámite establecido para el reconocimiento de las cesantías docentes es el señalado en la Ley 244 de 1996 y la Ley 1071 de 2006.</w:t>
      </w:r>
    </w:p>
    <w:p w14:paraId="736F8FF2" w14:textId="19F21BC5" w:rsidR="00D20032" w:rsidRPr="00AB3AF6" w:rsidRDefault="00D20032" w:rsidP="00D20032">
      <w:pPr>
        <w:jc w:val="both"/>
        <w:rPr>
          <w:rFonts w:ascii="Arial" w:hAnsi="Arial" w:cs="Arial"/>
          <w:lang w:eastAsia="es-CO"/>
        </w:rPr>
      </w:pPr>
    </w:p>
    <w:p w14:paraId="78201AEC" w14:textId="34731060" w:rsidR="00D20032" w:rsidRPr="00AB3AF6" w:rsidRDefault="00D20032" w:rsidP="00D20032">
      <w:pPr>
        <w:jc w:val="both"/>
        <w:rPr>
          <w:rFonts w:ascii="Arial" w:hAnsi="Arial" w:cs="Arial"/>
          <w:lang w:eastAsia="es-CO"/>
        </w:rPr>
      </w:pPr>
      <w:r w:rsidRPr="00AB3AF6">
        <w:rPr>
          <w:rFonts w:ascii="Arial" w:hAnsi="Arial" w:cs="Arial"/>
          <w:b/>
          <w:lang w:val="es-MX"/>
        </w:rPr>
        <w:t>SANCIÓN MORATORIA POR PAGO TARDÍO DE CESANTÍAS /</w:t>
      </w:r>
      <w:r w:rsidRPr="00AB3AF6">
        <w:rPr>
          <w:rFonts w:ascii="Arial" w:hAnsi="Arial" w:cs="Arial"/>
          <w:b/>
          <w:lang w:val="es-MX"/>
        </w:rPr>
        <w:t xml:space="preserve"> Cómputo del término para establecer la mora.</w:t>
      </w:r>
    </w:p>
    <w:p w14:paraId="3D567BA9" w14:textId="63E86101" w:rsidR="00951415" w:rsidRPr="00AB3AF6" w:rsidRDefault="00951415" w:rsidP="00951415">
      <w:pPr>
        <w:jc w:val="both"/>
        <w:rPr>
          <w:rFonts w:ascii="Arial" w:hAnsi="Arial" w:cs="Arial"/>
          <w:lang w:val="es-MX"/>
        </w:rPr>
      </w:pPr>
    </w:p>
    <w:p w14:paraId="07EDBA32" w14:textId="1754DE98" w:rsidR="00D20032" w:rsidRPr="00AB3AF6" w:rsidRDefault="00D20032" w:rsidP="00D20032">
      <w:pPr>
        <w:jc w:val="both"/>
        <w:rPr>
          <w:rFonts w:ascii="Arial" w:hAnsi="Arial" w:cs="Arial"/>
          <w:i/>
          <w:lang w:val="es-MX"/>
        </w:rPr>
      </w:pPr>
      <w:r w:rsidRPr="00AB3AF6">
        <w:rPr>
          <w:rFonts w:ascii="Arial" w:hAnsi="Arial" w:cs="Arial"/>
          <w:lang w:val="es-MX"/>
        </w:rPr>
        <w:t>En lo que refiere al trámite y conteo de términos para establecer la mora de la entidad, el Consejo de Estado, se pronunció de la siguiente manera:</w:t>
      </w:r>
      <w:r w:rsidRPr="00AB3AF6">
        <w:rPr>
          <w:rFonts w:ascii="Arial" w:hAnsi="Arial" w:cs="Arial"/>
          <w:lang w:val="es-MX"/>
        </w:rPr>
        <w:t xml:space="preserve"> </w:t>
      </w:r>
      <w:r w:rsidRPr="00AB3AF6">
        <w:rPr>
          <w:rFonts w:ascii="Arial" w:hAnsi="Arial" w:cs="Arial"/>
          <w:i/>
          <w:lang w:val="es-MX"/>
        </w:rPr>
        <w:t xml:space="preserve">“En consecuencia, la Sección Segunda de esta Corporación fija la regla jurisprudencial concerniente a que en el evento en que la administración no resuelva la solicitud de la prestación social –cesantías parciales o definitivas- o lo haga de manera tardía, el término para el cómputo de la sanción moratoria iniciará a partir de la radicación de la petición correspondiente, de manera que se contarán 15 días hábiles para la expedición del acto administrativo de reconocimiento (Art. 4 L. 1071/2006 ), 10 del término de ejecutoria de la decisión (Arts. 76 y 87 de la Ley 1437 de 2011 ) [5 días si la petición se presentó en vigencia del Código Contencioso Administrativo – Decreto 01 de 1984, artículo 51 ], y 45 días hábiles a partir del día en que quedó en firme la resolución. Por consiguiente, al vencimiento de los 70 días hábiles discriminados en precedencia, se causará la sanción moratoria de que trata el artículo 5 de la Ley 1071 de 2006.”  </w:t>
      </w:r>
      <w:r w:rsidRPr="00AB3AF6">
        <w:rPr>
          <w:rFonts w:ascii="Arial" w:hAnsi="Arial" w:cs="Arial"/>
          <w:lang w:val="es-MX"/>
        </w:rPr>
        <w:t>Frente al interrogante sobre la fecha a partir de la cual contar el término de ejecutoria, unificó el Consejo de Estado  de la siguiente manera:</w:t>
      </w:r>
      <w:r w:rsidRPr="00AB3AF6">
        <w:rPr>
          <w:rFonts w:ascii="Arial" w:hAnsi="Arial" w:cs="Arial"/>
          <w:lang w:val="es-MX"/>
        </w:rPr>
        <w:t xml:space="preserve"> </w:t>
      </w:r>
      <w:r w:rsidRPr="00AB3AF6">
        <w:rPr>
          <w:rFonts w:ascii="Arial" w:hAnsi="Arial" w:cs="Arial"/>
          <w:i/>
          <w:lang w:val="es-MX"/>
        </w:rPr>
        <w:t xml:space="preserve">“Sentar jurisprudencia precisando que cuando el acto que reconoce las cesantías se expide por fuera del término de ley, o cuando no se profiere; la sanción moratoria corre 70 días hábiles después de radicada la solicitud de reconocimiento, término que corresponde a: i) 15 días para expedir la resolución; </w:t>
      </w:r>
      <w:proofErr w:type="spellStart"/>
      <w:r w:rsidRPr="00AB3AF6">
        <w:rPr>
          <w:rFonts w:ascii="Arial" w:hAnsi="Arial" w:cs="Arial"/>
          <w:i/>
          <w:lang w:val="es-MX"/>
        </w:rPr>
        <w:t>ii</w:t>
      </w:r>
      <w:proofErr w:type="spellEnd"/>
      <w:r w:rsidRPr="00AB3AF6">
        <w:rPr>
          <w:rFonts w:ascii="Arial" w:hAnsi="Arial" w:cs="Arial"/>
          <w:i/>
          <w:lang w:val="es-MX"/>
        </w:rPr>
        <w:t xml:space="preserve">) 10 días de ejecutoria del acto; y </w:t>
      </w:r>
      <w:proofErr w:type="spellStart"/>
      <w:r w:rsidRPr="00AB3AF6">
        <w:rPr>
          <w:rFonts w:ascii="Arial" w:hAnsi="Arial" w:cs="Arial"/>
          <w:i/>
          <w:lang w:val="es-MX"/>
        </w:rPr>
        <w:t>iii</w:t>
      </w:r>
      <w:proofErr w:type="spellEnd"/>
      <w:r w:rsidRPr="00AB3AF6">
        <w:rPr>
          <w:rFonts w:ascii="Arial" w:hAnsi="Arial" w:cs="Arial"/>
          <w:i/>
          <w:lang w:val="es-MX"/>
        </w:rPr>
        <w:t>) 45 días para efectuar el pago.</w:t>
      </w:r>
      <w:r w:rsidRPr="00AB3AF6">
        <w:rPr>
          <w:rFonts w:ascii="Arial" w:hAnsi="Arial" w:cs="Arial"/>
          <w:i/>
          <w:lang w:val="es-MX"/>
        </w:rPr>
        <w:t>”</w:t>
      </w:r>
    </w:p>
    <w:p w14:paraId="2DEC2963" w14:textId="57FC8F55" w:rsidR="002F057C" w:rsidRPr="00AB3AF6" w:rsidRDefault="002F057C" w:rsidP="00D20032">
      <w:pPr>
        <w:jc w:val="both"/>
        <w:rPr>
          <w:rFonts w:ascii="Arial" w:hAnsi="Arial" w:cs="Arial"/>
          <w:i/>
          <w:lang w:val="es-MX"/>
        </w:rPr>
      </w:pPr>
    </w:p>
    <w:p w14:paraId="0F139DF4" w14:textId="3F3EE80F" w:rsidR="002F057C" w:rsidRPr="00AB3AF6" w:rsidRDefault="002F057C" w:rsidP="00D20032">
      <w:pPr>
        <w:jc w:val="both"/>
        <w:rPr>
          <w:rFonts w:ascii="Arial" w:hAnsi="Arial" w:cs="Arial"/>
          <w:i/>
          <w:lang w:val="es-MX"/>
        </w:rPr>
      </w:pPr>
      <w:r w:rsidRPr="00AB3AF6">
        <w:rPr>
          <w:rFonts w:ascii="Arial" w:hAnsi="Arial" w:cs="Arial"/>
          <w:b/>
          <w:lang w:val="es-MX"/>
        </w:rPr>
        <w:lastRenderedPageBreak/>
        <w:t>SANCIÓN MORATORIA POR PAGO TARDÍO DE CESANTÍAS /</w:t>
      </w:r>
      <w:r w:rsidRPr="00AB3AF6">
        <w:rPr>
          <w:rFonts w:ascii="Arial" w:hAnsi="Arial" w:cs="Arial"/>
          <w:b/>
          <w:lang w:val="es-MX"/>
        </w:rPr>
        <w:t xml:space="preserve"> Mora deja de causarse con el pago efectivo / Desde el momento en que entidad pone dineros a disposición del beneficiario.</w:t>
      </w:r>
    </w:p>
    <w:p w14:paraId="46F25415" w14:textId="5990881D" w:rsidR="002F057C" w:rsidRPr="00AB3AF6" w:rsidRDefault="002F057C" w:rsidP="00D20032">
      <w:pPr>
        <w:jc w:val="both"/>
        <w:rPr>
          <w:rFonts w:ascii="Arial" w:hAnsi="Arial" w:cs="Arial"/>
          <w:lang w:val="es-MX"/>
        </w:rPr>
      </w:pPr>
    </w:p>
    <w:p w14:paraId="18C29C40" w14:textId="587935BC" w:rsidR="002F057C" w:rsidRPr="00AB3AF6" w:rsidRDefault="002F057C" w:rsidP="002F057C">
      <w:pPr>
        <w:jc w:val="both"/>
        <w:rPr>
          <w:rFonts w:ascii="Arial" w:hAnsi="Arial" w:cs="Arial"/>
          <w:lang w:val="es-MX"/>
        </w:rPr>
      </w:pPr>
      <w:r w:rsidRPr="00AB3AF6">
        <w:rPr>
          <w:rFonts w:ascii="Arial" w:hAnsi="Arial" w:cs="Arial"/>
          <w:lang w:val="es-MX"/>
        </w:rPr>
        <w:t xml:space="preserve">Los pronunciamientos citados permiten colegir que el pago efectivo que da lugar a la cesación de la mora se configura cuando el FOMAG pone los dineros correspondientes a disposición del beneficiario en la institución bancaria respectiva, pues este último tiene la carga de verificar su desembolso, incluso, haciendo uso de los mecanismos que ofrece la entidad para ese </w:t>
      </w:r>
      <w:r w:rsidRPr="00AB3AF6">
        <w:rPr>
          <w:rFonts w:ascii="Arial" w:hAnsi="Arial" w:cs="Arial"/>
          <w:lang w:val="es-MX"/>
        </w:rPr>
        <w:t>fin.</w:t>
      </w:r>
      <w:r w:rsidRPr="00AB3AF6">
        <w:rPr>
          <w:rFonts w:ascii="Arial" w:hAnsi="Arial" w:cs="Arial"/>
          <w:lang w:val="es-MX"/>
        </w:rPr>
        <w:t xml:space="preserve"> Por ende, el FOMAG no tiene la obligación de comunicar o notificar el pago, ya que el retiro o cobro de los recursos no tiene consecuencias de cara a la sanción moratoria y tampoco revive su causación. Además, la consignación o giro de la prestación al banco correspondiente no es en sí misma un acto administrativo que por tanto deba ser notificado al interesado para que surta sus efectos, simplemente es un trámite que realiza la entidad, dando cumplimiento al acto administrativo de reconocimiento de las cesantías.</w:t>
      </w:r>
    </w:p>
    <w:p w14:paraId="3D0F5466" w14:textId="1025A480" w:rsidR="00AB3AF6" w:rsidRPr="00AB3AF6" w:rsidRDefault="00AB3AF6" w:rsidP="002F057C">
      <w:pPr>
        <w:jc w:val="both"/>
        <w:rPr>
          <w:rFonts w:ascii="Arial" w:hAnsi="Arial" w:cs="Arial"/>
          <w:lang w:val="es-MX"/>
        </w:rPr>
      </w:pPr>
    </w:p>
    <w:p w14:paraId="0F247501" w14:textId="7D67DC76" w:rsidR="00AB3AF6" w:rsidRPr="00AB3AF6" w:rsidRDefault="00AB3AF6" w:rsidP="002F057C">
      <w:pPr>
        <w:jc w:val="both"/>
        <w:rPr>
          <w:rFonts w:ascii="Arial" w:hAnsi="Arial" w:cs="Arial"/>
          <w:lang w:val="es-MX"/>
        </w:rPr>
      </w:pPr>
      <w:r w:rsidRPr="00AB3AF6">
        <w:rPr>
          <w:rFonts w:ascii="Arial" w:hAnsi="Arial" w:cs="Arial"/>
          <w:b/>
          <w:lang w:val="es-MX"/>
        </w:rPr>
        <w:t>SANCIÓN MORATORIA POR PAGO TARDÍO DE CESANTÍAS</w:t>
      </w:r>
      <w:r w:rsidRPr="00AB3AF6">
        <w:rPr>
          <w:rFonts w:ascii="Arial" w:hAnsi="Arial" w:cs="Arial"/>
          <w:b/>
          <w:lang w:val="es-MX"/>
        </w:rPr>
        <w:t xml:space="preserve"> / Cuando acto de reconocimiento se realiza extemporáneamente la sanción moratoria corre 70 días hábiles de radicada la solicitud de reconocimiento.</w:t>
      </w:r>
    </w:p>
    <w:p w14:paraId="3ABE7472" w14:textId="37860C10" w:rsidR="00AB3AF6" w:rsidRPr="00AB3AF6" w:rsidRDefault="00AB3AF6" w:rsidP="002F057C">
      <w:pPr>
        <w:jc w:val="both"/>
        <w:rPr>
          <w:rFonts w:ascii="Arial" w:hAnsi="Arial" w:cs="Arial"/>
          <w:lang w:val="es-MX"/>
        </w:rPr>
      </w:pPr>
    </w:p>
    <w:p w14:paraId="2C8982B4" w14:textId="3F3EDC76" w:rsidR="00AB3AF6" w:rsidRDefault="00AB3AF6" w:rsidP="00AB3AF6">
      <w:pPr>
        <w:jc w:val="both"/>
        <w:rPr>
          <w:rFonts w:ascii="Arial" w:hAnsi="Arial" w:cs="Arial"/>
          <w:lang w:val="es-MX"/>
        </w:rPr>
      </w:pPr>
      <w:r w:rsidRPr="00AB3AF6">
        <w:rPr>
          <w:rFonts w:ascii="Arial" w:hAnsi="Arial" w:cs="Arial"/>
          <w:lang w:val="es-MX"/>
        </w:rPr>
        <w:t>Teniendo en cuenta que la reclamación para el reconocimiento de las cesantías parciales se realizó el 13 de abril de 2015, el acto administrativo de reconocimiento debió expedirse a más tardar en el término de 15 días hábiles posteriores, esto es, el 5 de mayo de 2015.</w:t>
      </w:r>
      <w:r w:rsidRPr="00AB3AF6">
        <w:rPr>
          <w:rFonts w:ascii="Arial" w:hAnsi="Arial" w:cs="Arial"/>
          <w:lang w:val="es-MX"/>
        </w:rPr>
        <w:t xml:space="preserve"> </w:t>
      </w:r>
      <w:r w:rsidRPr="00AB3AF6">
        <w:rPr>
          <w:rFonts w:ascii="Arial" w:hAnsi="Arial" w:cs="Arial"/>
          <w:lang w:val="es-MX"/>
        </w:rPr>
        <w:t xml:space="preserve">Lo anterior quiere decir que como el acto de reconocimiento se realizó de manera extemporánea – 5 de septiembre de 2015 – debe aplicarse la tesis ya analizada del Consejo de Estado, según la cual, cuando el acto que reconoce las cesantías se expide por fuera del término de ley, o cuando no se profiere; la sanción moratoria corre 70 días hábiles después de radicada la solicitud de reconocimiento, término que corresponde a: i) 15 días para expedir la resolución; </w:t>
      </w:r>
      <w:proofErr w:type="spellStart"/>
      <w:r w:rsidRPr="00AB3AF6">
        <w:rPr>
          <w:rFonts w:ascii="Arial" w:hAnsi="Arial" w:cs="Arial"/>
          <w:lang w:val="es-MX"/>
        </w:rPr>
        <w:t>ii</w:t>
      </w:r>
      <w:proofErr w:type="spellEnd"/>
      <w:r w:rsidRPr="00AB3AF6">
        <w:rPr>
          <w:rFonts w:ascii="Arial" w:hAnsi="Arial" w:cs="Arial"/>
          <w:lang w:val="es-MX"/>
        </w:rPr>
        <w:t xml:space="preserve">) 10 días de ejecutoria del acto; y </w:t>
      </w:r>
      <w:proofErr w:type="spellStart"/>
      <w:r w:rsidRPr="00AB3AF6">
        <w:rPr>
          <w:rFonts w:ascii="Arial" w:hAnsi="Arial" w:cs="Arial"/>
          <w:lang w:val="es-MX"/>
        </w:rPr>
        <w:t>iii</w:t>
      </w:r>
      <w:proofErr w:type="spellEnd"/>
      <w:r w:rsidRPr="00AB3AF6">
        <w:rPr>
          <w:rFonts w:ascii="Arial" w:hAnsi="Arial" w:cs="Arial"/>
          <w:lang w:val="es-MX"/>
        </w:rPr>
        <w:t>) 45 días para efectuar el pago.</w:t>
      </w:r>
      <w:r w:rsidRPr="00AB3AF6">
        <w:rPr>
          <w:rFonts w:ascii="Arial" w:hAnsi="Arial" w:cs="Arial"/>
          <w:lang w:val="es-MX"/>
        </w:rPr>
        <w:t xml:space="preserve"> </w:t>
      </w:r>
      <w:r w:rsidRPr="00AB3AF6">
        <w:rPr>
          <w:rFonts w:ascii="Arial" w:hAnsi="Arial" w:cs="Arial"/>
          <w:lang w:val="es-MX"/>
        </w:rPr>
        <w:t>Entonces, los 70 días hábiles posteriores para el pago vencieron para la entidad el 28 de julio de 2015. Sin embargo, el pago se realizó el 1 de diciembre de 2015, lo que indica que la entidad estuvo en mora de pagar desde el 29 de julio de 2015 hasta el 30 de noviembre de 2015.</w:t>
      </w:r>
    </w:p>
    <w:p w14:paraId="699C6412" w14:textId="2FB7F223" w:rsidR="00AB3AF6" w:rsidRDefault="00AB3AF6" w:rsidP="00AB3AF6">
      <w:pPr>
        <w:jc w:val="both"/>
        <w:rPr>
          <w:rFonts w:ascii="Arial" w:hAnsi="Arial" w:cs="Arial"/>
          <w:lang w:val="es-MX"/>
        </w:rPr>
      </w:pPr>
    </w:p>
    <w:p w14:paraId="3ED0FC43" w14:textId="743B764C" w:rsidR="00AB3AF6" w:rsidRDefault="00AB3AF6" w:rsidP="00AB3AF6">
      <w:pPr>
        <w:jc w:val="both"/>
        <w:rPr>
          <w:rFonts w:ascii="Arial" w:hAnsi="Arial" w:cs="Arial"/>
          <w:lang w:val="es-MX"/>
        </w:rPr>
      </w:pPr>
      <w:r w:rsidRPr="00AB3AF6">
        <w:rPr>
          <w:rFonts w:ascii="Arial" w:hAnsi="Arial" w:cs="Arial"/>
          <w:b/>
          <w:lang w:val="es-MX"/>
        </w:rPr>
        <w:t>SANCIÓN MORATORIA POR PAGO TARDÍO DE CESANTÍAS /</w:t>
      </w:r>
      <w:r>
        <w:rPr>
          <w:rFonts w:ascii="Arial" w:hAnsi="Arial" w:cs="Arial"/>
          <w:b/>
          <w:lang w:val="es-MX"/>
        </w:rPr>
        <w:t xml:space="preserve"> Prescripción / Debe contabilizarse de manera diaria y no como un todo.</w:t>
      </w:r>
    </w:p>
    <w:p w14:paraId="39E4534B" w14:textId="075C2DAE" w:rsidR="00AB3AF6" w:rsidRDefault="00AB3AF6" w:rsidP="00AB3AF6">
      <w:pPr>
        <w:jc w:val="both"/>
        <w:rPr>
          <w:rFonts w:ascii="Arial" w:hAnsi="Arial" w:cs="Arial"/>
          <w:lang w:val="es-MX"/>
        </w:rPr>
      </w:pPr>
    </w:p>
    <w:p w14:paraId="76511FFC" w14:textId="5C859B2B" w:rsidR="00AB3AF6" w:rsidRDefault="00AB3AF6" w:rsidP="00AB3AF6">
      <w:pPr>
        <w:jc w:val="both"/>
        <w:rPr>
          <w:rFonts w:ascii="Arial" w:hAnsi="Arial" w:cs="Arial"/>
          <w:lang w:val="es-MX"/>
        </w:rPr>
      </w:pPr>
      <w:r w:rsidRPr="00AB3AF6">
        <w:rPr>
          <w:rFonts w:ascii="Arial" w:hAnsi="Arial" w:cs="Arial"/>
          <w:lang w:val="es-MX"/>
        </w:rPr>
        <w:t>Como se indicó anteriormente, en el caso bajo estudio, la sanción moratoria se causó periódicamente desde el 29 de julio hasta el 30 de noviembre de 2015.</w:t>
      </w:r>
      <w:r>
        <w:rPr>
          <w:rFonts w:ascii="Arial" w:hAnsi="Arial" w:cs="Arial"/>
          <w:lang w:val="es-MX"/>
        </w:rPr>
        <w:t xml:space="preserve"> </w:t>
      </w:r>
      <w:r w:rsidRPr="00AB3AF6">
        <w:rPr>
          <w:rFonts w:ascii="Arial" w:hAnsi="Arial" w:cs="Arial"/>
          <w:lang w:val="es-MX"/>
        </w:rPr>
        <w:t>Por su parte, la petición de pago de la sanción fue presentada el 31 de julio de 2018, lo que indica conforme a la jurisprudencia acogida los días en mora causados con anterioridad al 1 de agosto de 2015 están prescritos. En otras palabras, los días 29, 30 y31 de julio de 2015 se encuentran prescritos.</w:t>
      </w:r>
      <w:r>
        <w:rPr>
          <w:rFonts w:ascii="Arial" w:hAnsi="Arial" w:cs="Arial"/>
          <w:lang w:val="es-MX"/>
        </w:rPr>
        <w:t xml:space="preserve"> </w:t>
      </w:r>
      <w:r w:rsidRPr="00AB3AF6">
        <w:rPr>
          <w:rFonts w:ascii="Arial" w:hAnsi="Arial" w:cs="Arial"/>
          <w:lang w:val="es-MX"/>
        </w:rPr>
        <w:t>A manera de ejemplo, la mora causada el 29 de julio de 2015 podía reclamarse hasta el 28 de julio de 2018, la causada el 30 de julio de 2015 hasta el 29 de julio de 2018, ello para aclarar el concepto periódico diario de causación de la sanción moratoria.</w:t>
      </w:r>
      <w:r>
        <w:rPr>
          <w:rFonts w:ascii="Arial" w:hAnsi="Arial" w:cs="Arial"/>
          <w:lang w:val="es-MX"/>
        </w:rPr>
        <w:t xml:space="preserve"> </w:t>
      </w:r>
      <w:r w:rsidRPr="00AB3AF6">
        <w:rPr>
          <w:rFonts w:ascii="Arial" w:hAnsi="Arial" w:cs="Arial"/>
          <w:lang w:val="es-MX"/>
        </w:rPr>
        <w:t>Conforme a lo anterior, la decisión proferida en primera instancia debe ser revocada para en su lugar acceder a las pretensiones de la demanda, decretando la prescripción de los días 29 a 31 de julio de 2015.</w:t>
      </w:r>
    </w:p>
    <w:p w14:paraId="0C9EA301" w14:textId="3CE023CC" w:rsidR="00F91905" w:rsidRDefault="00F91905" w:rsidP="00AB3AF6">
      <w:pPr>
        <w:jc w:val="both"/>
        <w:rPr>
          <w:rFonts w:ascii="Arial" w:hAnsi="Arial" w:cs="Arial"/>
          <w:lang w:val="es-MX"/>
        </w:rPr>
      </w:pPr>
    </w:p>
    <w:p w14:paraId="7DCA190E" w14:textId="4B55CB40" w:rsidR="00F91905" w:rsidRPr="00F91905" w:rsidRDefault="00F91905" w:rsidP="00F91905">
      <w:pPr>
        <w:overflowPunct w:val="0"/>
        <w:adjustRightInd w:val="0"/>
        <w:jc w:val="both"/>
        <w:rPr>
          <w:rFonts w:ascii="Arial" w:hAnsi="Arial" w:cs="Arial"/>
          <w:color w:val="000000"/>
          <w:szCs w:val="20"/>
          <w:lang w:eastAsia="es-ES"/>
        </w:rPr>
      </w:pPr>
      <w:r w:rsidRPr="00F4160F">
        <w:rPr>
          <w:rFonts w:ascii="Arial" w:hAnsi="Arial" w:cs="Arial"/>
          <w:b/>
          <w:color w:val="000000"/>
          <w:szCs w:val="20"/>
          <w:lang w:eastAsia="es-ES"/>
        </w:rPr>
        <w:t xml:space="preserve">NOTA DE RELATORÍA: </w:t>
      </w:r>
      <w:r w:rsidRPr="00F4160F">
        <w:rPr>
          <w:rFonts w:ascii="Arial" w:hAnsi="Arial" w:cs="Arial"/>
          <w:color w:val="000000"/>
          <w:szCs w:val="20"/>
          <w:lang w:eastAsia="es-ES"/>
        </w:rPr>
        <w:t xml:space="preserve">El documento que se presenta al público ha sido modificado para incluir los anteriores descriptores de la providencia, más no para </w:t>
      </w:r>
      <w:r w:rsidRPr="00F4160F">
        <w:rPr>
          <w:rFonts w:ascii="Arial" w:hAnsi="Arial" w:cs="Arial"/>
          <w:color w:val="000000"/>
          <w:szCs w:val="20"/>
          <w:lang w:eastAsia="es-ES"/>
        </w:rPr>
        <w:lastRenderedPageBreak/>
        <w:t>modificar su contenido. Por lo anterior, el código de seguridad del mismo no corresponde al de la providencia original. Para validar la integridad del documento los interesados pueden consultarlo a través de la plataforma SAMAI.</w:t>
      </w:r>
    </w:p>
    <w:p w14:paraId="64DE5554" w14:textId="77777777" w:rsidR="00D20032" w:rsidRPr="00951415" w:rsidRDefault="00D20032" w:rsidP="00951415">
      <w:pPr>
        <w:jc w:val="both"/>
        <w:rPr>
          <w:rFonts w:ascii="Arial" w:hAnsi="Arial" w:cs="Arial"/>
          <w:lang w:val="es-MX"/>
        </w:rPr>
      </w:pPr>
    </w:p>
    <w:p w14:paraId="79C4E0B0" w14:textId="77777777" w:rsidR="00951415" w:rsidRDefault="00951415" w:rsidP="00385E3A">
      <w:pPr>
        <w:rPr>
          <w:color w:val="000000" w:themeColor="text1"/>
          <w:sz w:val="26"/>
          <w:szCs w:val="26"/>
          <w:lang w:val="es-MX"/>
        </w:rPr>
      </w:pPr>
    </w:p>
    <w:p w14:paraId="25A33981" w14:textId="42C0CEA8" w:rsidR="00385E3A" w:rsidRPr="008776D5" w:rsidRDefault="00385E3A" w:rsidP="00385E3A">
      <w:pPr>
        <w:rPr>
          <w:color w:val="000000" w:themeColor="text1"/>
          <w:sz w:val="26"/>
          <w:szCs w:val="26"/>
          <w:lang w:val="es-MX"/>
        </w:rPr>
      </w:pPr>
      <w:r w:rsidRPr="008776D5">
        <w:rPr>
          <w:color w:val="000000" w:themeColor="text1"/>
          <w:sz w:val="26"/>
          <w:szCs w:val="26"/>
          <w:lang w:val="es-MX"/>
        </w:rPr>
        <w:t xml:space="preserve">Tunja, </w:t>
      </w:r>
      <w:r w:rsidR="00746F3A">
        <w:rPr>
          <w:color w:val="000000" w:themeColor="text1"/>
          <w:sz w:val="26"/>
          <w:szCs w:val="26"/>
          <w:lang w:val="es-MX"/>
        </w:rPr>
        <w:t>7 de diciembre</w:t>
      </w:r>
      <w:r w:rsidR="004E6284">
        <w:rPr>
          <w:color w:val="000000" w:themeColor="text1"/>
          <w:sz w:val="26"/>
          <w:szCs w:val="26"/>
          <w:lang w:val="es-MX"/>
        </w:rPr>
        <w:t xml:space="preserve"> de 2021</w:t>
      </w:r>
    </w:p>
    <w:p w14:paraId="01E1DAF1" w14:textId="77777777" w:rsidR="00385E3A" w:rsidRPr="008776D5" w:rsidRDefault="00385E3A" w:rsidP="00385E3A">
      <w:pPr>
        <w:rPr>
          <w:color w:val="FF0000"/>
          <w:sz w:val="26"/>
          <w:szCs w:val="26"/>
          <w:lang w:val="es-MX"/>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0"/>
        <w:gridCol w:w="6103"/>
      </w:tblGrid>
      <w:tr w:rsidR="008776D5" w:rsidRPr="008776D5" w14:paraId="38CCAAC7" w14:textId="77777777" w:rsidTr="29A1FC80">
        <w:tc>
          <w:tcPr>
            <w:tcW w:w="2376" w:type="dxa"/>
          </w:tcPr>
          <w:p w14:paraId="5098F131" w14:textId="78981298" w:rsidR="00385E3A" w:rsidRPr="009B2A1B" w:rsidRDefault="00385E3A" w:rsidP="00E00F27">
            <w:pPr>
              <w:ind w:left="-108"/>
              <w:jc w:val="both"/>
              <w:rPr>
                <w:color w:val="000000" w:themeColor="text1"/>
                <w:sz w:val="26"/>
                <w:szCs w:val="26"/>
                <w:lang w:val="es-MX"/>
              </w:rPr>
            </w:pPr>
            <w:r w:rsidRPr="29A1FC80">
              <w:rPr>
                <w:color w:val="000000" w:themeColor="text1"/>
                <w:sz w:val="26"/>
                <w:szCs w:val="26"/>
              </w:rPr>
              <w:t xml:space="preserve">Medio de </w:t>
            </w:r>
            <w:r w:rsidR="160ED582" w:rsidRPr="29A1FC80">
              <w:rPr>
                <w:color w:val="000000" w:themeColor="text1"/>
                <w:sz w:val="26"/>
                <w:szCs w:val="26"/>
              </w:rPr>
              <w:t>c</w:t>
            </w:r>
            <w:r w:rsidRPr="29A1FC80">
              <w:rPr>
                <w:color w:val="000000" w:themeColor="text1"/>
                <w:sz w:val="26"/>
                <w:szCs w:val="26"/>
              </w:rPr>
              <w:t>ontrol</w:t>
            </w:r>
          </w:p>
        </w:tc>
        <w:tc>
          <w:tcPr>
            <w:tcW w:w="310" w:type="dxa"/>
          </w:tcPr>
          <w:p w14:paraId="1669D400" w14:textId="77777777" w:rsidR="00385E3A" w:rsidRPr="009B2A1B" w:rsidRDefault="00385E3A" w:rsidP="00E00F27">
            <w:pPr>
              <w:ind w:left="-108"/>
              <w:jc w:val="both"/>
              <w:rPr>
                <w:b/>
                <w:color w:val="000000" w:themeColor="text1"/>
                <w:sz w:val="26"/>
                <w:szCs w:val="26"/>
                <w:lang w:val="es-MX"/>
              </w:rPr>
            </w:pPr>
            <w:r w:rsidRPr="009B2A1B">
              <w:rPr>
                <w:b/>
                <w:color w:val="000000" w:themeColor="text1"/>
                <w:sz w:val="26"/>
                <w:szCs w:val="26"/>
                <w:lang w:val="es-MX"/>
              </w:rPr>
              <w:t>:</w:t>
            </w:r>
          </w:p>
        </w:tc>
        <w:tc>
          <w:tcPr>
            <w:tcW w:w="6103" w:type="dxa"/>
          </w:tcPr>
          <w:p w14:paraId="74F6BD64" w14:textId="77777777" w:rsidR="00385E3A" w:rsidRPr="009B2A1B" w:rsidRDefault="00385E3A" w:rsidP="00E00F27">
            <w:pPr>
              <w:ind w:left="-108"/>
              <w:jc w:val="both"/>
              <w:rPr>
                <w:b/>
                <w:color w:val="000000" w:themeColor="text1"/>
                <w:sz w:val="26"/>
                <w:szCs w:val="26"/>
                <w:lang w:val="es-MX"/>
              </w:rPr>
            </w:pPr>
            <w:r w:rsidRPr="009B2A1B">
              <w:rPr>
                <w:b/>
                <w:color w:val="000000" w:themeColor="text1"/>
                <w:sz w:val="26"/>
                <w:szCs w:val="26"/>
              </w:rPr>
              <w:t>Nulidad y restablecimiento del derecho</w:t>
            </w:r>
          </w:p>
        </w:tc>
      </w:tr>
      <w:tr w:rsidR="008776D5" w:rsidRPr="008776D5" w14:paraId="5E485EC3" w14:textId="77777777" w:rsidTr="29A1FC80">
        <w:tc>
          <w:tcPr>
            <w:tcW w:w="2376" w:type="dxa"/>
          </w:tcPr>
          <w:p w14:paraId="1EC05B1A" w14:textId="77777777" w:rsidR="00385E3A" w:rsidRPr="009B2A1B" w:rsidRDefault="00385E3A" w:rsidP="00E00F27">
            <w:pPr>
              <w:ind w:left="-108"/>
              <w:jc w:val="both"/>
              <w:rPr>
                <w:color w:val="000000" w:themeColor="text1"/>
                <w:sz w:val="26"/>
                <w:szCs w:val="26"/>
                <w:lang w:val="es-MX"/>
              </w:rPr>
            </w:pPr>
            <w:r w:rsidRPr="009B2A1B">
              <w:rPr>
                <w:color w:val="000000" w:themeColor="text1"/>
                <w:sz w:val="26"/>
                <w:szCs w:val="26"/>
              </w:rPr>
              <w:t>Demandante</w:t>
            </w:r>
          </w:p>
        </w:tc>
        <w:tc>
          <w:tcPr>
            <w:tcW w:w="310" w:type="dxa"/>
          </w:tcPr>
          <w:p w14:paraId="5473C0DF" w14:textId="77777777" w:rsidR="00385E3A" w:rsidRPr="009B2A1B" w:rsidRDefault="00385E3A" w:rsidP="00E00F27">
            <w:pPr>
              <w:ind w:left="-108"/>
              <w:jc w:val="both"/>
              <w:rPr>
                <w:b/>
                <w:color w:val="000000" w:themeColor="text1"/>
                <w:sz w:val="26"/>
                <w:szCs w:val="26"/>
                <w:lang w:val="es-MX"/>
              </w:rPr>
            </w:pPr>
            <w:r w:rsidRPr="009B2A1B">
              <w:rPr>
                <w:b/>
                <w:color w:val="000000" w:themeColor="text1"/>
                <w:sz w:val="26"/>
                <w:szCs w:val="26"/>
                <w:lang w:val="es-MX"/>
              </w:rPr>
              <w:t>:</w:t>
            </w:r>
          </w:p>
        </w:tc>
        <w:tc>
          <w:tcPr>
            <w:tcW w:w="6103" w:type="dxa"/>
          </w:tcPr>
          <w:p w14:paraId="77BB0F56" w14:textId="7D2B411E" w:rsidR="00385E3A" w:rsidRPr="009B2A1B" w:rsidRDefault="00746F3A" w:rsidP="00E00F27">
            <w:pPr>
              <w:ind w:left="-108"/>
              <w:jc w:val="both"/>
              <w:rPr>
                <w:b/>
                <w:color w:val="000000" w:themeColor="text1"/>
                <w:sz w:val="26"/>
                <w:szCs w:val="26"/>
                <w:lang w:val="es-MX"/>
              </w:rPr>
            </w:pPr>
            <w:r>
              <w:rPr>
                <w:b/>
                <w:color w:val="000000" w:themeColor="text1"/>
                <w:sz w:val="26"/>
                <w:szCs w:val="26"/>
              </w:rPr>
              <w:t>Bernardo Beltrán Rivera</w:t>
            </w:r>
          </w:p>
        </w:tc>
      </w:tr>
      <w:tr w:rsidR="008776D5" w:rsidRPr="008776D5" w14:paraId="51C0C222" w14:textId="77777777" w:rsidTr="29A1FC80">
        <w:tc>
          <w:tcPr>
            <w:tcW w:w="2376" w:type="dxa"/>
          </w:tcPr>
          <w:p w14:paraId="196836E2" w14:textId="77777777" w:rsidR="00385E3A" w:rsidRPr="009B2A1B" w:rsidRDefault="00385E3A" w:rsidP="00E00F27">
            <w:pPr>
              <w:ind w:left="-108"/>
              <w:jc w:val="both"/>
              <w:rPr>
                <w:color w:val="000000" w:themeColor="text1"/>
                <w:sz w:val="26"/>
                <w:szCs w:val="26"/>
                <w:lang w:val="es-MX"/>
              </w:rPr>
            </w:pPr>
            <w:r w:rsidRPr="009B2A1B">
              <w:rPr>
                <w:color w:val="000000" w:themeColor="text1"/>
                <w:sz w:val="26"/>
                <w:szCs w:val="26"/>
              </w:rPr>
              <w:t>Demandado</w:t>
            </w:r>
          </w:p>
        </w:tc>
        <w:tc>
          <w:tcPr>
            <w:tcW w:w="310" w:type="dxa"/>
          </w:tcPr>
          <w:p w14:paraId="4E0E3FFC" w14:textId="77777777" w:rsidR="00385E3A" w:rsidRPr="009B2A1B" w:rsidRDefault="00385E3A" w:rsidP="00E00F27">
            <w:pPr>
              <w:ind w:left="-108"/>
              <w:jc w:val="both"/>
              <w:rPr>
                <w:b/>
                <w:color w:val="000000" w:themeColor="text1"/>
                <w:sz w:val="26"/>
                <w:szCs w:val="26"/>
                <w:lang w:val="es-MX"/>
              </w:rPr>
            </w:pPr>
            <w:r w:rsidRPr="009B2A1B">
              <w:rPr>
                <w:b/>
                <w:color w:val="000000" w:themeColor="text1"/>
                <w:sz w:val="26"/>
                <w:szCs w:val="26"/>
                <w:lang w:val="es-MX"/>
              </w:rPr>
              <w:t>:</w:t>
            </w:r>
          </w:p>
        </w:tc>
        <w:tc>
          <w:tcPr>
            <w:tcW w:w="6103" w:type="dxa"/>
          </w:tcPr>
          <w:p w14:paraId="13B9961E" w14:textId="0F6DBFED" w:rsidR="002657A3" w:rsidRPr="009B2A1B" w:rsidRDefault="002A5A35" w:rsidP="00586556">
            <w:pPr>
              <w:ind w:left="-108"/>
              <w:jc w:val="both"/>
              <w:rPr>
                <w:b/>
                <w:color w:val="000000" w:themeColor="text1"/>
                <w:sz w:val="26"/>
                <w:szCs w:val="26"/>
                <w:lang w:val="es-MX"/>
              </w:rPr>
            </w:pPr>
            <w:r>
              <w:rPr>
                <w:b/>
                <w:color w:val="000000" w:themeColor="text1"/>
                <w:sz w:val="26"/>
                <w:szCs w:val="26"/>
              </w:rPr>
              <w:t>Nación –Ministerio de Educación Naciona</w:t>
            </w:r>
            <w:r w:rsidR="003346B5">
              <w:rPr>
                <w:b/>
                <w:color w:val="000000" w:themeColor="text1"/>
                <w:sz w:val="26"/>
                <w:szCs w:val="26"/>
              </w:rPr>
              <w:t>l – Fondo Nacional de Prestaciones Sociales del Magisterio</w:t>
            </w:r>
            <w:r>
              <w:rPr>
                <w:b/>
                <w:color w:val="000000" w:themeColor="text1"/>
                <w:sz w:val="26"/>
                <w:szCs w:val="26"/>
              </w:rPr>
              <w:t xml:space="preserve"> </w:t>
            </w:r>
          </w:p>
        </w:tc>
      </w:tr>
      <w:tr w:rsidR="008776D5" w:rsidRPr="008776D5" w14:paraId="1FF10ACC" w14:textId="77777777" w:rsidTr="29A1FC80">
        <w:tc>
          <w:tcPr>
            <w:tcW w:w="2376" w:type="dxa"/>
          </w:tcPr>
          <w:p w14:paraId="6AE465E5" w14:textId="13C79926" w:rsidR="00A07E6B" w:rsidRDefault="00385E3A" w:rsidP="00B76425">
            <w:pPr>
              <w:ind w:left="-108"/>
              <w:jc w:val="both"/>
              <w:rPr>
                <w:color w:val="000000" w:themeColor="text1"/>
                <w:sz w:val="26"/>
                <w:szCs w:val="26"/>
              </w:rPr>
            </w:pPr>
            <w:r w:rsidRPr="009B2A1B">
              <w:rPr>
                <w:color w:val="000000" w:themeColor="text1"/>
                <w:sz w:val="26"/>
                <w:szCs w:val="26"/>
              </w:rPr>
              <w:t>Expediente</w:t>
            </w:r>
          </w:p>
          <w:p w14:paraId="5725F056" w14:textId="77777777" w:rsidR="00A07E6B" w:rsidRPr="009B2A1B" w:rsidRDefault="00A07E6B" w:rsidP="00A07E6B">
            <w:pPr>
              <w:ind w:left="-108"/>
              <w:jc w:val="both"/>
              <w:rPr>
                <w:color w:val="000000" w:themeColor="text1"/>
                <w:sz w:val="26"/>
                <w:szCs w:val="26"/>
                <w:lang w:val="es-MX"/>
              </w:rPr>
            </w:pPr>
          </w:p>
        </w:tc>
        <w:tc>
          <w:tcPr>
            <w:tcW w:w="310" w:type="dxa"/>
          </w:tcPr>
          <w:p w14:paraId="6581EDAE" w14:textId="77777777" w:rsidR="00385E3A" w:rsidRPr="009B2A1B" w:rsidRDefault="00385E3A" w:rsidP="00E00F27">
            <w:pPr>
              <w:ind w:left="-108"/>
              <w:jc w:val="both"/>
              <w:rPr>
                <w:b/>
                <w:color w:val="000000" w:themeColor="text1"/>
                <w:sz w:val="26"/>
                <w:szCs w:val="26"/>
                <w:lang w:val="es-MX"/>
              </w:rPr>
            </w:pPr>
            <w:r w:rsidRPr="009B2A1B">
              <w:rPr>
                <w:b/>
                <w:color w:val="000000" w:themeColor="text1"/>
                <w:sz w:val="26"/>
                <w:szCs w:val="26"/>
                <w:lang w:val="es-MX"/>
              </w:rPr>
              <w:t>:</w:t>
            </w:r>
          </w:p>
        </w:tc>
        <w:tc>
          <w:tcPr>
            <w:tcW w:w="6103" w:type="dxa"/>
          </w:tcPr>
          <w:p w14:paraId="44880F44" w14:textId="2E29FA5B" w:rsidR="00A07E6B" w:rsidRDefault="00DF72B5" w:rsidP="00A07E6B">
            <w:pPr>
              <w:ind w:left="-108"/>
              <w:jc w:val="both"/>
              <w:rPr>
                <w:b/>
                <w:color w:val="000000" w:themeColor="text1"/>
                <w:sz w:val="26"/>
                <w:szCs w:val="26"/>
              </w:rPr>
            </w:pPr>
            <w:bookmarkStart w:id="0" w:name="_GoBack"/>
            <w:r>
              <w:rPr>
                <w:b/>
                <w:color w:val="000000" w:themeColor="text1"/>
                <w:sz w:val="26"/>
                <w:szCs w:val="26"/>
              </w:rPr>
              <w:t>15</w:t>
            </w:r>
            <w:r w:rsidR="00746F3A">
              <w:rPr>
                <w:b/>
                <w:color w:val="000000" w:themeColor="text1"/>
                <w:sz w:val="26"/>
                <w:szCs w:val="26"/>
              </w:rPr>
              <w:t>001</w:t>
            </w:r>
            <w:r>
              <w:rPr>
                <w:b/>
                <w:color w:val="000000" w:themeColor="text1"/>
                <w:sz w:val="26"/>
                <w:szCs w:val="26"/>
              </w:rPr>
              <w:t>-33</w:t>
            </w:r>
            <w:r w:rsidR="002657A3">
              <w:rPr>
                <w:b/>
                <w:color w:val="000000" w:themeColor="text1"/>
                <w:sz w:val="26"/>
                <w:szCs w:val="26"/>
              </w:rPr>
              <w:t>-33-0</w:t>
            </w:r>
            <w:r w:rsidR="004E6284">
              <w:rPr>
                <w:b/>
                <w:color w:val="000000" w:themeColor="text1"/>
                <w:sz w:val="26"/>
                <w:szCs w:val="26"/>
              </w:rPr>
              <w:t>0</w:t>
            </w:r>
            <w:r w:rsidR="00746F3A">
              <w:rPr>
                <w:b/>
                <w:color w:val="000000" w:themeColor="text1"/>
                <w:sz w:val="26"/>
                <w:szCs w:val="26"/>
              </w:rPr>
              <w:t>5</w:t>
            </w:r>
            <w:r w:rsidR="002657A3">
              <w:rPr>
                <w:b/>
                <w:color w:val="000000" w:themeColor="text1"/>
                <w:sz w:val="26"/>
                <w:szCs w:val="26"/>
              </w:rPr>
              <w:t>-</w:t>
            </w:r>
            <w:r w:rsidR="002657A3" w:rsidRPr="00362814">
              <w:rPr>
                <w:b/>
                <w:color w:val="000000" w:themeColor="text1"/>
                <w:sz w:val="26"/>
                <w:szCs w:val="26"/>
              </w:rPr>
              <w:t>201</w:t>
            </w:r>
            <w:r w:rsidR="00575E99" w:rsidRPr="00362814">
              <w:rPr>
                <w:b/>
                <w:color w:val="000000" w:themeColor="text1"/>
                <w:sz w:val="26"/>
                <w:szCs w:val="26"/>
              </w:rPr>
              <w:t>9</w:t>
            </w:r>
            <w:r w:rsidRPr="00362814">
              <w:rPr>
                <w:b/>
                <w:color w:val="000000" w:themeColor="text1"/>
                <w:sz w:val="26"/>
                <w:szCs w:val="26"/>
              </w:rPr>
              <w:t>-00</w:t>
            </w:r>
            <w:r w:rsidR="00362814" w:rsidRPr="00362814">
              <w:rPr>
                <w:b/>
                <w:color w:val="000000" w:themeColor="text1"/>
                <w:sz w:val="26"/>
                <w:szCs w:val="26"/>
              </w:rPr>
              <w:t>089</w:t>
            </w:r>
            <w:r w:rsidR="002A5A35" w:rsidRPr="00362814">
              <w:rPr>
                <w:b/>
                <w:color w:val="000000" w:themeColor="text1"/>
                <w:sz w:val="26"/>
                <w:szCs w:val="26"/>
              </w:rPr>
              <w:t>-</w:t>
            </w:r>
            <w:r w:rsidR="002657A3" w:rsidRPr="00362814">
              <w:rPr>
                <w:b/>
                <w:color w:val="000000" w:themeColor="text1"/>
                <w:sz w:val="26"/>
                <w:szCs w:val="26"/>
              </w:rPr>
              <w:t>0</w:t>
            </w:r>
            <w:r w:rsidR="00362814" w:rsidRPr="00362814">
              <w:rPr>
                <w:b/>
                <w:color w:val="000000" w:themeColor="text1"/>
                <w:sz w:val="26"/>
                <w:szCs w:val="26"/>
              </w:rPr>
              <w:t>1</w:t>
            </w:r>
          </w:p>
          <w:bookmarkEnd w:id="0"/>
          <w:p w14:paraId="51A0C6A2" w14:textId="77777777" w:rsidR="00A07E6B" w:rsidRPr="00A07E6B" w:rsidRDefault="00A07E6B" w:rsidP="00F52315">
            <w:pPr>
              <w:jc w:val="both"/>
              <w:rPr>
                <w:b/>
                <w:color w:val="000000" w:themeColor="text1"/>
                <w:sz w:val="26"/>
                <w:szCs w:val="26"/>
              </w:rPr>
            </w:pPr>
          </w:p>
        </w:tc>
      </w:tr>
    </w:tbl>
    <w:p w14:paraId="7D37F4B2" w14:textId="77777777" w:rsidR="00385E3A" w:rsidRPr="008776D5" w:rsidRDefault="00385E3A" w:rsidP="00385E3A">
      <w:pPr>
        <w:rPr>
          <w:color w:val="FF0000"/>
          <w:sz w:val="26"/>
          <w:szCs w:val="26"/>
          <w:lang w:val="es-MX"/>
        </w:rPr>
      </w:pPr>
    </w:p>
    <w:tbl>
      <w:tblPr>
        <w:tblStyle w:val="Tablaconcuadrcula"/>
        <w:tblW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0"/>
      </w:tblGrid>
      <w:tr w:rsidR="008776D5" w:rsidRPr="008776D5" w14:paraId="1D1F5DA0" w14:textId="77777777" w:rsidTr="355104C5">
        <w:trPr>
          <w:trHeight w:val="307"/>
        </w:trPr>
        <w:tc>
          <w:tcPr>
            <w:tcW w:w="2235" w:type="dxa"/>
          </w:tcPr>
          <w:tbl>
            <w:tblPr>
              <w:tblStyle w:val="Tablaconcuadrcula"/>
              <w:tblW w:w="8660" w:type="dxa"/>
              <w:tblLook w:val="04A0" w:firstRow="1" w:lastRow="0" w:firstColumn="1" w:lastColumn="0" w:noHBand="0" w:noVBand="1"/>
            </w:tblPr>
            <w:tblGrid>
              <w:gridCol w:w="8660"/>
            </w:tblGrid>
            <w:tr w:rsidR="0079103F" w14:paraId="05BF8298" w14:textId="77777777" w:rsidTr="355104C5">
              <w:trPr>
                <w:trHeight w:val="926"/>
              </w:trPr>
              <w:tc>
                <w:tcPr>
                  <w:tcW w:w="8660" w:type="dxa"/>
                  <w:shd w:val="clear" w:color="auto" w:fill="auto"/>
                </w:tcPr>
                <w:p w14:paraId="66B34088" w14:textId="73C02029" w:rsidR="00F901FE" w:rsidRPr="00F52315" w:rsidRDefault="006F4FD5" w:rsidP="355104C5">
                  <w:pPr>
                    <w:jc w:val="both"/>
                    <w:rPr>
                      <w:color w:val="000000" w:themeColor="text1"/>
                      <w:sz w:val="20"/>
                      <w:szCs w:val="20"/>
                      <w:lang w:val="es-MX"/>
                    </w:rPr>
                  </w:pPr>
                  <w:r w:rsidRPr="355104C5">
                    <w:rPr>
                      <w:b/>
                      <w:bCs/>
                      <w:color w:val="000000" w:themeColor="text1"/>
                      <w:sz w:val="20"/>
                      <w:szCs w:val="20"/>
                    </w:rPr>
                    <w:t>Tema:</w:t>
                  </w:r>
                  <w:r w:rsidRPr="355104C5">
                    <w:rPr>
                      <w:color w:val="000000" w:themeColor="text1"/>
                      <w:sz w:val="20"/>
                      <w:szCs w:val="20"/>
                    </w:rPr>
                    <w:t xml:space="preserve"> Sanción moratoria por consignación tardía de cesantías. </w:t>
                  </w:r>
                  <w:r w:rsidR="009F4ABB" w:rsidRPr="355104C5">
                    <w:rPr>
                      <w:color w:val="000000" w:themeColor="text1"/>
                      <w:sz w:val="20"/>
                      <w:szCs w:val="20"/>
                    </w:rPr>
                    <w:t xml:space="preserve">Revoca sentencia de primera instancia que decretó prescripción total del derecho. </w:t>
                  </w:r>
                  <w:r w:rsidR="00F52315" w:rsidRPr="355104C5">
                    <w:rPr>
                      <w:color w:val="000000" w:themeColor="text1"/>
                      <w:sz w:val="20"/>
                      <w:szCs w:val="20"/>
                    </w:rPr>
                    <w:t xml:space="preserve">En su lugar se accede a pretensiones y se decreta prescripción parcial, en el entendido de que en materia de sanción moratoria dicho fenómeno se analiza </w:t>
                  </w:r>
                  <w:r w:rsidR="0D1F399C" w:rsidRPr="355104C5">
                    <w:rPr>
                      <w:color w:val="000000" w:themeColor="text1"/>
                      <w:sz w:val="20"/>
                      <w:szCs w:val="20"/>
                    </w:rPr>
                    <w:t>periódicamente</w:t>
                  </w:r>
                  <w:r w:rsidR="00F52315" w:rsidRPr="355104C5">
                    <w:rPr>
                      <w:color w:val="000000" w:themeColor="text1"/>
                      <w:sz w:val="20"/>
                      <w:szCs w:val="20"/>
                    </w:rPr>
                    <w:t xml:space="preserve"> (diaria). </w:t>
                  </w:r>
                </w:p>
              </w:tc>
            </w:tr>
          </w:tbl>
          <w:p w14:paraId="1F01A4E3" w14:textId="77777777" w:rsidR="00385E3A" w:rsidRPr="008776D5" w:rsidRDefault="00385E3A" w:rsidP="00E00F27">
            <w:pPr>
              <w:jc w:val="both"/>
              <w:rPr>
                <w:b/>
                <w:color w:val="FF0000"/>
                <w:sz w:val="26"/>
                <w:szCs w:val="26"/>
                <w:lang w:val="es-MX"/>
              </w:rPr>
            </w:pPr>
          </w:p>
        </w:tc>
      </w:tr>
    </w:tbl>
    <w:p w14:paraId="57578FB3" w14:textId="77777777" w:rsidR="00B76425" w:rsidRDefault="00B76425" w:rsidP="00784D2B">
      <w:pPr>
        <w:pStyle w:val="Textoindependiente"/>
        <w:spacing w:line="360" w:lineRule="auto"/>
        <w:jc w:val="both"/>
        <w:rPr>
          <w:b w:val="0"/>
          <w:color w:val="000000" w:themeColor="text1"/>
          <w:sz w:val="26"/>
          <w:szCs w:val="26"/>
        </w:rPr>
      </w:pPr>
    </w:p>
    <w:p w14:paraId="5530B84B" w14:textId="77777777" w:rsidR="00385E3A" w:rsidRPr="004E65B1" w:rsidRDefault="00385E3A" w:rsidP="009479AE">
      <w:pPr>
        <w:pStyle w:val="Textoindependiente"/>
        <w:spacing w:line="360" w:lineRule="auto"/>
        <w:jc w:val="both"/>
        <w:rPr>
          <w:color w:val="000000" w:themeColor="text1"/>
          <w:sz w:val="26"/>
          <w:szCs w:val="26"/>
          <w:lang w:val="pt-BR"/>
        </w:rPr>
      </w:pPr>
      <w:r w:rsidRPr="004E65B1">
        <w:rPr>
          <w:b w:val="0"/>
          <w:color w:val="000000" w:themeColor="text1"/>
          <w:sz w:val="26"/>
          <w:szCs w:val="26"/>
          <w:lang w:val="pt-BR"/>
        </w:rPr>
        <w:t xml:space="preserve">Magistrado ponente: </w:t>
      </w:r>
      <w:r w:rsidRPr="004E65B1">
        <w:rPr>
          <w:color w:val="000000" w:themeColor="text1"/>
          <w:sz w:val="26"/>
          <w:szCs w:val="26"/>
          <w:lang w:val="pt-BR"/>
        </w:rPr>
        <w:t>Luís Ernesto Arciniegas Triana</w:t>
      </w:r>
    </w:p>
    <w:p w14:paraId="491AEF29" w14:textId="77777777" w:rsidR="00385E3A" w:rsidRPr="004E65B1" w:rsidRDefault="00385E3A" w:rsidP="00942AFF">
      <w:pPr>
        <w:pStyle w:val="Sangra3detindependiente"/>
        <w:tabs>
          <w:tab w:val="left" w:pos="0"/>
          <w:tab w:val="left" w:pos="7380"/>
        </w:tabs>
        <w:spacing w:after="0" w:line="360" w:lineRule="auto"/>
        <w:ind w:left="0"/>
        <w:jc w:val="both"/>
        <w:rPr>
          <w:color w:val="FF0000"/>
          <w:sz w:val="26"/>
          <w:szCs w:val="26"/>
          <w:lang w:val="pt-BR"/>
        </w:rPr>
      </w:pPr>
    </w:p>
    <w:p w14:paraId="2955D089" w14:textId="58BEB076" w:rsidR="006E4F8A" w:rsidRPr="00F52315" w:rsidRDefault="006E4F8A" w:rsidP="073719D1">
      <w:pPr>
        <w:pStyle w:val="Sangra3detindependiente"/>
        <w:spacing w:after="0" w:line="360" w:lineRule="auto"/>
        <w:ind w:left="0"/>
        <w:jc w:val="both"/>
        <w:rPr>
          <w:color w:val="000000" w:themeColor="text1"/>
          <w:sz w:val="26"/>
          <w:szCs w:val="26"/>
        </w:rPr>
      </w:pPr>
      <w:r w:rsidRPr="073719D1">
        <w:rPr>
          <w:color w:val="000000" w:themeColor="text1"/>
          <w:sz w:val="26"/>
          <w:szCs w:val="26"/>
        </w:rPr>
        <w:t xml:space="preserve">Procede la Sala a resolver el recurso de apelación interpuesto por </w:t>
      </w:r>
      <w:r w:rsidR="004E6284" w:rsidRPr="073719D1">
        <w:rPr>
          <w:color w:val="000000" w:themeColor="text1"/>
          <w:sz w:val="26"/>
          <w:szCs w:val="26"/>
        </w:rPr>
        <w:t xml:space="preserve">la </w:t>
      </w:r>
      <w:r w:rsidR="00362814" w:rsidRPr="073719D1">
        <w:rPr>
          <w:color w:val="000000" w:themeColor="text1"/>
          <w:sz w:val="26"/>
          <w:szCs w:val="26"/>
        </w:rPr>
        <w:t xml:space="preserve">parte </w:t>
      </w:r>
      <w:r w:rsidR="4A95CEDD" w:rsidRPr="073719D1">
        <w:rPr>
          <w:color w:val="000000" w:themeColor="text1"/>
          <w:sz w:val="26"/>
          <w:szCs w:val="26"/>
        </w:rPr>
        <w:t>d</w:t>
      </w:r>
      <w:r w:rsidR="00362814" w:rsidRPr="073719D1">
        <w:rPr>
          <w:color w:val="000000" w:themeColor="text1"/>
          <w:sz w:val="26"/>
          <w:szCs w:val="26"/>
        </w:rPr>
        <w:t>emandante</w:t>
      </w:r>
      <w:r w:rsidR="00F901FE" w:rsidRPr="073719D1">
        <w:rPr>
          <w:color w:val="000000" w:themeColor="text1"/>
          <w:sz w:val="26"/>
          <w:szCs w:val="26"/>
        </w:rPr>
        <w:t xml:space="preserve"> </w:t>
      </w:r>
      <w:r w:rsidRPr="073719D1">
        <w:rPr>
          <w:color w:val="000000" w:themeColor="text1"/>
          <w:sz w:val="26"/>
          <w:szCs w:val="26"/>
        </w:rPr>
        <w:t xml:space="preserve">contra la sentencia proferida el </w:t>
      </w:r>
      <w:r w:rsidR="00362814" w:rsidRPr="073719D1">
        <w:rPr>
          <w:color w:val="000000" w:themeColor="text1"/>
          <w:sz w:val="26"/>
          <w:szCs w:val="26"/>
        </w:rPr>
        <w:t>13 de octubre de 2020</w:t>
      </w:r>
      <w:r w:rsidR="00F52315" w:rsidRPr="073719D1">
        <w:rPr>
          <w:color w:val="000000" w:themeColor="text1"/>
          <w:sz w:val="26"/>
          <w:szCs w:val="26"/>
        </w:rPr>
        <w:t xml:space="preserve"> </w:t>
      </w:r>
      <w:r w:rsidRPr="073719D1">
        <w:rPr>
          <w:color w:val="000000" w:themeColor="text1"/>
          <w:sz w:val="26"/>
          <w:szCs w:val="26"/>
        </w:rPr>
        <w:t xml:space="preserve">por el </w:t>
      </w:r>
      <w:r w:rsidR="000F3ED5" w:rsidRPr="073719D1">
        <w:rPr>
          <w:color w:val="000000" w:themeColor="text1"/>
          <w:sz w:val="26"/>
          <w:szCs w:val="26"/>
        </w:rPr>
        <w:t xml:space="preserve">Juzgado </w:t>
      </w:r>
      <w:r w:rsidR="00362814" w:rsidRPr="073719D1">
        <w:rPr>
          <w:color w:val="000000" w:themeColor="text1"/>
          <w:sz w:val="26"/>
          <w:szCs w:val="26"/>
        </w:rPr>
        <w:t xml:space="preserve">Quinto </w:t>
      </w:r>
      <w:r w:rsidRPr="073719D1">
        <w:rPr>
          <w:color w:val="000000" w:themeColor="text1"/>
          <w:sz w:val="26"/>
          <w:szCs w:val="26"/>
        </w:rPr>
        <w:t xml:space="preserve">Administrativo Oral del Circuito Judicial de </w:t>
      </w:r>
      <w:r w:rsidR="00362814" w:rsidRPr="073719D1">
        <w:rPr>
          <w:color w:val="000000" w:themeColor="text1"/>
          <w:sz w:val="26"/>
          <w:szCs w:val="26"/>
        </w:rPr>
        <w:t>Tunja</w:t>
      </w:r>
      <w:r w:rsidR="001F33A9" w:rsidRPr="073719D1">
        <w:rPr>
          <w:color w:val="000000" w:themeColor="text1"/>
          <w:sz w:val="26"/>
          <w:szCs w:val="26"/>
        </w:rPr>
        <w:t xml:space="preserve">, que </w:t>
      </w:r>
      <w:r w:rsidR="00362814" w:rsidRPr="073719D1">
        <w:rPr>
          <w:b/>
          <w:bCs/>
          <w:color w:val="000000" w:themeColor="text1"/>
          <w:sz w:val="26"/>
          <w:szCs w:val="26"/>
        </w:rPr>
        <w:t>negó</w:t>
      </w:r>
      <w:r w:rsidR="001F33A9" w:rsidRPr="073719D1">
        <w:rPr>
          <w:color w:val="000000" w:themeColor="text1"/>
          <w:sz w:val="26"/>
          <w:szCs w:val="26"/>
        </w:rPr>
        <w:t xml:space="preserve"> </w:t>
      </w:r>
      <w:r w:rsidRPr="073719D1">
        <w:rPr>
          <w:color w:val="000000" w:themeColor="text1"/>
          <w:sz w:val="26"/>
          <w:szCs w:val="26"/>
        </w:rPr>
        <w:t>las pretensiones de la demanda.</w:t>
      </w:r>
    </w:p>
    <w:p w14:paraId="5C2DED09" w14:textId="77777777" w:rsidR="002A5A35" w:rsidRPr="00F52315" w:rsidRDefault="002A5A35" w:rsidP="00942AFF">
      <w:pPr>
        <w:pStyle w:val="Sangra3detindependiente"/>
        <w:tabs>
          <w:tab w:val="left" w:pos="0"/>
        </w:tabs>
        <w:spacing w:after="0" w:line="360" w:lineRule="auto"/>
        <w:ind w:left="0"/>
        <w:jc w:val="both"/>
        <w:rPr>
          <w:color w:val="000000" w:themeColor="text1"/>
          <w:sz w:val="26"/>
          <w:szCs w:val="26"/>
        </w:rPr>
      </w:pPr>
    </w:p>
    <w:p w14:paraId="68EB673B" w14:textId="77777777" w:rsidR="00222C05" w:rsidRPr="00F52315" w:rsidRDefault="00222C05" w:rsidP="00942AFF">
      <w:pPr>
        <w:numPr>
          <w:ilvl w:val="0"/>
          <w:numId w:val="5"/>
        </w:numPr>
        <w:spacing w:line="360" w:lineRule="auto"/>
        <w:jc w:val="center"/>
        <w:outlineLvl w:val="5"/>
        <w:rPr>
          <w:b/>
          <w:bCs/>
          <w:color w:val="000000"/>
          <w:sz w:val="26"/>
          <w:szCs w:val="26"/>
        </w:rPr>
      </w:pPr>
      <w:r w:rsidRPr="00F52315">
        <w:rPr>
          <w:b/>
          <w:bCs/>
          <w:color w:val="000000"/>
          <w:sz w:val="26"/>
          <w:szCs w:val="26"/>
        </w:rPr>
        <w:t>ANTECEDENTES</w:t>
      </w:r>
    </w:p>
    <w:p w14:paraId="29E43108" w14:textId="77777777" w:rsidR="00222C05" w:rsidRPr="00F52315" w:rsidRDefault="00222C05" w:rsidP="00942AFF">
      <w:pPr>
        <w:spacing w:line="360" w:lineRule="auto"/>
        <w:jc w:val="both"/>
        <w:rPr>
          <w:sz w:val="26"/>
          <w:szCs w:val="26"/>
        </w:rPr>
      </w:pPr>
    </w:p>
    <w:p w14:paraId="3239B748" w14:textId="77777777" w:rsidR="00385E3A" w:rsidRPr="00F52315" w:rsidRDefault="00222C05" w:rsidP="00942AFF">
      <w:pPr>
        <w:spacing w:line="360" w:lineRule="auto"/>
        <w:jc w:val="both"/>
        <w:rPr>
          <w:color w:val="000000" w:themeColor="text1"/>
          <w:sz w:val="26"/>
          <w:szCs w:val="26"/>
        </w:rPr>
      </w:pPr>
      <w:r w:rsidRPr="00F52315">
        <w:rPr>
          <w:sz w:val="26"/>
          <w:szCs w:val="26"/>
        </w:rPr>
        <w:t xml:space="preserve">Se concurre a través del medio de control de nulidad y restablecimiento del derecho, con el fin de que se concedan las siguientes: </w:t>
      </w:r>
    </w:p>
    <w:p w14:paraId="6B39018C" w14:textId="77777777" w:rsidR="00385E3A" w:rsidRPr="00F52315" w:rsidRDefault="00385E3A" w:rsidP="00942AFF">
      <w:pPr>
        <w:tabs>
          <w:tab w:val="left" w:pos="567"/>
        </w:tabs>
        <w:spacing w:line="360" w:lineRule="auto"/>
        <w:jc w:val="both"/>
        <w:rPr>
          <w:color w:val="FF0000"/>
          <w:sz w:val="26"/>
          <w:szCs w:val="26"/>
          <w:highlight w:val="yellow"/>
        </w:rPr>
      </w:pPr>
    </w:p>
    <w:p w14:paraId="04FD4123" w14:textId="0F5D4770" w:rsidR="00647D78" w:rsidRPr="00F52315" w:rsidRDefault="006E15F6" w:rsidP="00942AFF">
      <w:pPr>
        <w:numPr>
          <w:ilvl w:val="0"/>
          <w:numId w:val="3"/>
        </w:numPr>
        <w:tabs>
          <w:tab w:val="left" w:pos="567"/>
        </w:tabs>
        <w:spacing w:line="360" w:lineRule="auto"/>
        <w:ind w:left="0" w:firstLine="0"/>
        <w:jc w:val="both"/>
        <w:rPr>
          <w:b/>
          <w:color w:val="000000" w:themeColor="text1"/>
          <w:sz w:val="26"/>
          <w:szCs w:val="26"/>
        </w:rPr>
      </w:pPr>
      <w:r w:rsidRPr="00F52315">
        <w:rPr>
          <w:b/>
          <w:color w:val="000000" w:themeColor="text1"/>
          <w:sz w:val="26"/>
          <w:szCs w:val="26"/>
        </w:rPr>
        <w:t>Pretensiones</w:t>
      </w:r>
    </w:p>
    <w:p w14:paraId="02B89723" w14:textId="77777777" w:rsidR="00647D78" w:rsidRPr="00F52315" w:rsidRDefault="00647D78" w:rsidP="00942AFF">
      <w:pPr>
        <w:tabs>
          <w:tab w:val="left" w:pos="567"/>
        </w:tabs>
        <w:spacing w:line="360" w:lineRule="auto"/>
        <w:jc w:val="both"/>
        <w:rPr>
          <w:b/>
          <w:color w:val="000000" w:themeColor="text1"/>
          <w:sz w:val="26"/>
          <w:szCs w:val="26"/>
        </w:rPr>
      </w:pPr>
    </w:p>
    <w:p w14:paraId="088A4538" w14:textId="37D9D555" w:rsidR="006E15F6" w:rsidRPr="00F52315" w:rsidRDefault="006E15F6" w:rsidP="00942AFF">
      <w:pPr>
        <w:tabs>
          <w:tab w:val="left" w:pos="567"/>
        </w:tabs>
        <w:spacing w:line="360" w:lineRule="auto"/>
        <w:jc w:val="both"/>
        <w:rPr>
          <w:color w:val="000000" w:themeColor="text1"/>
          <w:sz w:val="26"/>
          <w:szCs w:val="26"/>
        </w:rPr>
      </w:pPr>
      <w:r w:rsidRPr="00F52315">
        <w:rPr>
          <w:color w:val="000000" w:themeColor="text1"/>
          <w:sz w:val="26"/>
          <w:szCs w:val="26"/>
        </w:rPr>
        <w:t>Solicita la parte demandante se concedan las siguientes pretensiones:</w:t>
      </w:r>
    </w:p>
    <w:p w14:paraId="3AD9E523" w14:textId="77777777" w:rsidR="00746F3A" w:rsidRPr="00F52315" w:rsidRDefault="00746F3A" w:rsidP="00942AFF">
      <w:pPr>
        <w:tabs>
          <w:tab w:val="left" w:pos="567"/>
        </w:tabs>
        <w:spacing w:line="360" w:lineRule="auto"/>
        <w:jc w:val="both"/>
        <w:rPr>
          <w:color w:val="000000" w:themeColor="text1"/>
          <w:sz w:val="26"/>
          <w:szCs w:val="26"/>
        </w:rPr>
      </w:pPr>
    </w:p>
    <w:p w14:paraId="3C5767F3" w14:textId="2E5EF2C8" w:rsidR="00746F3A" w:rsidRPr="00F52315" w:rsidRDefault="00746F3A" w:rsidP="00942AFF">
      <w:pPr>
        <w:tabs>
          <w:tab w:val="left" w:pos="567"/>
        </w:tabs>
        <w:spacing w:line="360" w:lineRule="auto"/>
        <w:jc w:val="both"/>
        <w:rPr>
          <w:color w:val="000000" w:themeColor="text1"/>
          <w:sz w:val="26"/>
          <w:szCs w:val="26"/>
        </w:rPr>
      </w:pPr>
      <w:r w:rsidRPr="073719D1">
        <w:rPr>
          <w:color w:val="000000" w:themeColor="text1"/>
          <w:sz w:val="26"/>
          <w:szCs w:val="26"/>
        </w:rPr>
        <w:t xml:space="preserve">Declarar la nulidad del </w:t>
      </w:r>
      <w:r w:rsidRPr="073719D1">
        <w:rPr>
          <w:b/>
          <w:bCs/>
          <w:color w:val="000000" w:themeColor="text1"/>
          <w:sz w:val="26"/>
          <w:szCs w:val="26"/>
        </w:rPr>
        <w:t xml:space="preserve">acto ficto </w:t>
      </w:r>
      <w:r w:rsidRPr="073719D1">
        <w:rPr>
          <w:color w:val="000000" w:themeColor="text1"/>
          <w:sz w:val="26"/>
          <w:szCs w:val="26"/>
        </w:rPr>
        <w:t>configurado el día 1 de noviembre de 2018, frente a la petición presentada el día 31 de julio de 2018, en cuanto al señor Bernardo Beltrán Rivera el derecho a</w:t>
      </w:r>
      <w:r w:rsidR="007C0CE4" w:rsidRPr="073719D1">
        <w:rPr>
          <w:color w:val="000000" w:themeColor="text1"/>
          <w:sz w:val="26"/>
          <w:szCs w:val="26"/>
        </w:rPr>
        <w:t xml:space="preserve"> </w:t>
      </w:r>
      <w:r w:rsidRPr="073719D1">
        <w:rPr>
          <w:color w:val="000000" w:themeColor="text1"/>
          <w:sz w:val="26"/>
          <w:szCs w:val="26"/>
        </w:rPr>
        <w:t>pagar la</w:t>
      </w:r>
      <w:r w:rsidRPr="073719D1">
        <w:rPr>
          <w:b/>
          <w:bCs/>
          <w:color w:val="000000" w:themeColor="text1"/>
          <w:sz w:val="26"/>
          <w:szCs w:val="26"/>
        </w:rPr>
        <w:t xml:space="preserve"> </w:t>
      </w:r>
      <w:r w:rsidR="004E65B1" w:rsidRPr="073719D1">
        <w:rPr>
          <w:b/>
          <w:bCs/>
          <w:color w:val="000000" w:themeColor="text1"/>
          <w:sz w:val="26"/>
          <w:szCs w:val="26"/>
        </w:rPr>
        <w:t>sanción</w:t>
      </w:r>
      <w:r w:rsidRPr="073719D1">
        <w:rPr>
          <w:b/>
          <w:bCs/>
          <w:color w:val="000000" w:themeColor="text1"/>
          <w:sz w:val="26"/>
          <w:szCs w:val="26"/>
        </w:rPr>
        <w:t xml:space="preserve"> por mora</w:t>
      </w:r>
      <w:r w:rsidRPr="073719D1">
        <w:rPr>
          <w:color w:val="000000" w:themeColor="text1"/>
          <w:sz w:val="26"/>
          <w:szCs w:val="26"/>
        </w:rPr>
        <w:t xml:space="preserve">, establecida en la Ley 244 de 1995 y Ley 1071 de 2006, equivalente a un ( l) día de su salario por cada día de retardo, contados desde los setenta (70) días hábiles después de haber radicado la solicitud de </w:t>
      </w:r>
      <w:r w:rsidRPr="073719D1">
        <w:rPr>
          <w:color w:val="000000" w:themeColor="text1"/>
          <w:sz w:val="26"/>
          <w:szCs w:val="26"/>
        </w:rPr>
        <w:lastRenderedPageBreak/>
        <w:t xml:space="preserve">la cesantía ante la demandada y hasta cuando se hizo efectivo el pago de la misma. En consecuencia, declarar que el Demandante tiene derecho al referido reconocimiento. </w:t>
      </w:r>
    </w:p>
    <w:p w14:paraId="7F70E27E" w14:textId="28ADF190" w:rsidR="00746F3A" w:rsidRPr="00F52315" w:rsidRDefault="00746F3A" w:rsidP="00942AFF">
      <w:pPr>
        <w:tabs>
          <w:tab w:val="left" w:pos="567"/>
        </w:tabs>
        <w:spacing w:line="360" w:lineRule="auto"/>
        <w:jc w:val="both"/>
        <w:rPr>
          <w:color w:val="000000" w:themeColor="text1"/>
          <w:sz w:val="26"/>
          <w:szCs w:val="26"/>
        </w:rPr>
      </w:pPr>
    </w:p>
    <w:p w14:paraId="3BD0F131" w14:textId="342BB9FA" w:rsidR="00746F3A" w:rsidRPr="00F52315" w:rsidRDefault="00746F3A" w:rsidP="00942AFF">
      <w:pPr>
        <w:tabs>
          <w:tab w:val="left" w:pos="567"/>
        </w:tabs>
        <w:spacing w:line="360" w:lineRule="auto"/>
        <w:jc w:val="both"/>
        <w:rPr>
          <w:color w:val="000000" w:themeColor="text1"/>
          <w:sz w:val="26"/>
          <w:szCs w:val="26"/>
        </w:rPr>
      </w:pPr>
      <w:r w:rsidRPr="073719D1">
        <w:rPr>
          <w:color w:val="000000" w:themeColor="text1"/>
          <w:sz w:val="26"/>
          <w:szCs w:val="26"/>
        </w:rPr>
        <w:t xml:space="preserve">Condenar a entidad demandada a que le reconozca y pague la </w:t>
      </w:r>
      <w:r w:rsidR="2FC25A56" w:rsidRPr="073719D1">
        <w:rPr>
          <w:color w:val="000000" w:themeColor="text1"/>
          <w:sz w:val="26"/>
          <w:szCs w:val="26"/>
        </w:rPr>
        <w:t>sanción</w:t>
      </w:r>
      <w:r w:rsidRPr="073719D1">
        <w:rPr>
          <w:color w:val="000000" w:themeColor="text1"/>
          <w:sz w:val="26"/>
          <w:szCs w:val="26"/>
        </w:rPr>
        <w:t xml:space="preserve"> por mora establecida en la Ley 244 de 1995 y Ley 1071 de 2006 al </w:t>
      </w:r>
      <w:r w:rsidR="76727924" w:rsidRPr="073719D1">
        <w:rPr>
          <w:color w:val="000000" w:themeColor="text1"/>
          <w:sz w:val="26"/>
          <w:szCs w:val="26"/>
        </w:rPr>
        <w:t>d</w:t>
      </w:r>
      <w:r w:rsidRPr="073719D1">
        <w:rPr>
          <w:color w:val="000000" w:themeColor="text1"/>
          <w:sz w:val="26"/>
          <w:szCs w:val="26"/>
        </w:rPr>
        <w:t>emandante, equivalente a un (1) día de su salario por cada día de retardo, contados desde los setenta (70) días hábiles después de haber radicado la solicitud de la cesantía ante la entidad y hasta cuando se hizo efectivo el</w:t>
      </w:r>
      <w:r w:rsidR="007C0CE4" w:rsidRPr="073719D1">
        <w:rPr>
          <w:color w:val="000000" w:themeColor="text1"/>
          <w:sz w:val="26"/>
          <w:szCs w:val="26"/>
        </w:rPr>
        <w:t xml:space="preserve"> </w:t>
      </w:r>
      <w:r w:rsidRPr="073719D1">
        <w:rPr>
          <w:color w:val="000000" w:themeColor="text1"/>
          <w:sz w:val="26"/>
          <w:szCs w:val="26"/>
        </w:rPr>
        <w:t xml:space="preserve">pago de la misma. </w:t>
      </w:r>
    </w:p>
    <w:p w14:paraId="76C461E1" w14:textId="77777777" w:rsidR="00746F3A" w:rsidRPr="00F52315" w:rsidRDefault="00746F3A" w:rsidP="00942AFF">
      <w:pPr>
        <w:tabs>
          <w:tab w:val="left" w:pos="567"/>
        </w:tabs>
        <w:spacing w:line="360" w:lineRule="auto"/>
        <w:jc w:val="both"/>
        <w:rPr>
          <w:color w:val="000000" w:themeColor="text1"/>
          <w:sz w:val="26"/>
          <w:szCs w:val="26"/>
        </w:rPr>
      </w:pPr>
    </w:p>
    <w:p w14:paraId="0E996752" w14:textId="77777777" w:rsidR="00746F3A" w:rsidRPr="00F52315" w:rsidRDefault="00746F3A" w:rsidP="00942AFF">
      <w:pPr>
        <w:tabs>
          <w:tab w:val="left" w:pos="567"/>
        </w:tabs>
        <w:spacing w:line="360" w:lineRule="auto"/>
        <w:jc w:val="both"/>
        <w:rPr>
          <w:color w:val="000000" w:themeColor="text1"/>
          <w:sz w:val="26"/>
          <w:szCs w:val="26"/>
        </w:rPr>
      </w:pPr>
      <w:r w:rsidRPr="00F52315">
        <w:rPr>
          <w:color w:val="000000" w:themeColor="text1"/>
          <w:sz w:val="26"/>
          <w:szCs w:val="26"/>
        </w:rPr>
        <w:t xml:space="preserve">Que se ordene a la NACIÓN-MINISTERIO DE EDUCACIÓN NACIONAL-FONDO NACIONAL DE PRESTACIONES SOCIALES DEL MAGISTERIO a dar cumplimiento al fallo conforme a lo dispuesto en el artículo 192 y siguientes del Código de Procedimiento Administrativo y de lo Contencioso Administrativo. </w:t>
      </w:r>
    </w:p>
    <w:p w14:paraId="37F0F8FD" w14:textId="77777777" w:rsidR="00746F3A" w:rsidRPr="00F52315" w:rsidRDefault="00746F3A" w:rsidP="00942AFF">
      <w:pPr>
        <w:tabs>
          <w:tab w:val="left" w:pos="567"/>
        </w:tabs>
        <w:spacing w:line="360" w:lineRule="auto"/>
        <w:jc w:val="both"/>
        <w:rPr>
          <w:color w:val="000000" w:themeColor="text1"/>
          <w:sz w:val="26"/>
          <w:szCs w:val="26"/>
        </w:rPr>
      </w:pPr>
    </w:p>
    <w:p w14:paraId="3001DCF3" w14:textId="60784F31" w:rsidR="0041183F" w:rsidRPr="00F52315" w:rsidRDefault="00746F3A" w:rsidP="00942AFF">
      <w:pPr>
        <w:tabs>
          <w:tab w:val="left" w:pos="567"/>
        </w:tabs>
        <w:spacing w:line="360" w:lineRule="auto"/>
        <w:jc w:val="both"/>
        <w:rPr>
          <w:color w:val="000000" w:themeColor="text1"/>
          <w:sz w:val="26"/>
          <w:szCs w:val="26"/>
        </w:rPr>
      </w:pPr>
      <w:r w:rsidRPr="073719D1">
        <w:rPr>
          <w:color w:val="000000" w:themeColor="text1"/>
          <w:sz w:val="26"/>
          <w:szCs w:val="26"/>
        </w:rPr>
        <w:t>Condenar a la entidad demandada al reconocimiento y</w:t>
      </w:r>
      <w:r w:rsidR="007C0CE4" w:rsidRPr="073719D1">
        <w:rPr>
          <w:color w:val="000000" w:themeColor="text1"/>
          <w:sz w:val="26"/>
          <w:szCs w:val="26"/>
        </w:rPr>
        <w:t xml:space="preserve"> </w:t>
      </w:r>
      <w:r w:rsidRPr="073719D1">
        <w:rPr>
          <w:color w:val="000000" w:themeColor="text1"/>
          <w:sz w:val="26"/>
          <w:szCs w:val="26"/>
        </w:rPr>
        <w:t>pago de los ajustes de valor a</w:t>
      </w:r>
      <w:r w:rsidR="007C0CE4" w:rsidRPr="073719D1">
        <w:rPr>
          <w:color w:val="000000" w:themeColor="text1"/>
          <w:sz w:val="26"/>
          <w:szCs w:val="26"/>
        </w:rPr>
        <w:t xml:space="preserve"> </w:t>
      </w:r>
      <w:r w:rsidRPr="073719D1">
        <w:rPr>
          <w:color w:val="000000" w:themeColor="text1"/>
          <w:sz w:val="26"/>
          <w:szCs w:val="26"/>
        </w:rPr>
        <w:t xml:space="preserve">que haya lugar con motivo de la disminución del poder adquisitivo de la </w:t>
      </w:r>
      <w:r w:rsidR="004E65B1" w:rsidRPr="073719D1">
        <w:rPr>
          <w:color w:val="000000" w:themeColor="text1"/>
          <w:sz w:val="26"/>
          <w:szCs w:val="26"/>
        </w:rPr>
        <w:t>sanción</w:t>
      </w:r>
      <w:r w:rsidRPr="073719D1">
        <w:rPr>
          <w:color w:val="000000" w:themeColor="text1"/>
          <w:sz w:val="26"/>
          <w:szCs w:val="26"/>
        </w:rPr>
        <w:t xml:space="preserve"> moratoria referida en el numeral anterior, tomando como base la variación del </w:t>
      </w:r>
      <w:r w:rsidR="0041183F" w:rsidRPr="073719D1">
        <w:rPr>
          <w:color w:val="000000" w:themeColor="text1"/>
          <w:sz w:val="26"/>
          <w:szCs w:val="26"/>
        </w:rPr>
        <w:t>IPC</w:t>
      </w:r>
      <w:r w:rsidRPr="073719D1">
        <w:rPr>
          <w:color w:val="000000" w:themeColor="text1"/>
          <w:sz w:val="26"/>
          <w:szCs w:val="26"/>
        </w:rPr>
        <w:t xml:space="preserve"> desde la fecha en que se efectuó el</w:t>
      </w:r>
      <w:r w:rsidR="007C0CE4" w:rsidRPr="073719D1">
        <w:rPr>
          <w:color w:val="000000" w:themeColor="text1"/>
          <w:sz w:val="26"/>
          <w:szCs w:val="26"/>
        </w:rPr>
        <w:t xml:space="preserve"> </w:t>
      </w:r>
      <w:r w:rsidRPr="073719D1">
        <w:rPr>
          <w:color w:val="000000" w:themeColor="text1"/>
          <w:sz w:val="26"/>
          <w:szCs w:val="26"/>
        </w:rPr>
        <w:t xml:space="preserve">pago de la cesantía, hasta el momento de la ejecutoria de la sentencia que ponga fin al presente proceso. </w:t>
      </w:r>
    </w:p>
    <w:p w14:paraId="7EF11796" w14:textId="77777777" w:rsidR="0041183F" w:rsidRPr="00F52315" w:rsidRDefault="0041183F" w:rsidP="00942AFF">
      <w:pPr>
        <w:tabs>
          <w:tab w:val="left" w:pos="567"/>
        </w:tabs>
        <w:spacing w:line="360" w:lineRule="auto"/>
        <w:jc w:val="both"/>
        <w:rPr>
          <w:color w:val="000000" w:themeColor="text1"/>
          <w:sz w:val="26"/>
          <w:szCs w:val="26"/>
        </w:rPr>
      </w:pPr>
    </w:p>
    <w:p w14:paraId="69A93535" w14:textId="0D865E53" w:rsidR="0041183F" w:rsidRPr="00F52315" w:rsidRDefault="00746F3A" w:rsidP="00942AFF">
      <w:pPr>
        <w:tabs>
          <w:tab w:val="left" w:pos="567"/>
        </w:tabs>
        <w:spacing w:line="360" w:lineRule="auto"/>
        <w:jc w:val="both"/>
        <w:rPr>
          <w:color w:val="000000" w:themeColor="text1"/>
          <w:sz w:val="26"/>
          <w:szCs w:val="26"/>
        </w:rPr>
      </w:pPr>
      <w:r w:rsidRPr="073719D1">
        <w:rPr>
          <w:color w:val="000000" w:themeColor="text1"/>
          <w:sz w:val="26"/>
          <w:szCs w:val="26"/>
        </w:rPr>
        <w:t xml:space="preserve">Condenar a la </w:t>
      </w:r>
      <w:r w:rsidR="0041183F" w:rsidRPr="073719D1">
        <w:rPr>
          <w:color w:val="000000" w:themeColor="text1"/>
          <w:sz w:val="26"/>
          <w:szCs w:val="26"/>
        </w:rPr>
        <w:t xml:space="preserve">demandada </w:t>
      </w:r>
      <w:r w:rsidRPr="073719D1">
        <w:rPr>
          <w:color w:val="000000" w:themeColor="text1"/>
          <w:sz w:val="26"/>
          <w:szCs w:val="26"/>
        </w:rPr>
        <w:t>al reconocimiento y</w:t>
      </w:r>
      <w:r w:rsidR="007C0CE4" w:rsidRPr="073719D1">
        <w:rPr>
          <w:color w:val="000000" w:themeColor="text1"/>
          <w:sz w:val="26"/>
          <w:szCs w:val="26"/>
        </w:rPr>
        <w:t xml:space="preserve"> </w:t>
      </w:r>
      <w:r w:rsidRPr="073719D1">
        <w:rPr>
          <w:color w:val="000000" w:themeColor="text1"/>
          <w:sz w:val="26"/>
          <w:szCs w:val="26"/>
        </w:rPr>
        <w:t>pago de intereses moratorios a</w:t>
      </w:r>
      <w:r w:rsidR="007C0CE4" w:rsidRPr="073719D1">
        <w:rPr>
          <w:color w:val="000000" w:themeColor="text1"/>
          <w:sz w:val="26"/>
          <w:szCs w:val="26"/>
        </w:rPr>
        <w:t xml:space="preserve"> </w:t>
      </w:r>
      <w:r w:rsidRPr="073719D1">
        <w:rPr>
          <w:color w:val="000000" w:themeColor="text1"/>
          <w:sz w:val="26"/>
          <w:szCs w:val="26"/>
        </w:rPr>
        <w:t>partir del día siguiente de la fecha de la ejecutoria de la sentencia y por el tiempo siguiente hasta que se efectúe el pago</w:t>
      </w:r>
      <w:r w:rsidR="0041183F" w:rsidRPr="073719D1">
        <w:rPr>
          <w:color w:val="000000" w:themeColor="text1"/>
          <w:sz w:val="26"/>
          <w:szCs w:val="26"/>
        </w:rPr>
        <w:t xml:space="preserve">. </w:t>
      </w:r>
      <w:r w:rsidR="4D357FFE" w:rsidRPr="073719D1">
        <w:rPr>
          <w:color w:val="000000" w:themeColor="text1"/>
          <w:sz w:val="26"/>
          <w:szCs w:val="26"/>
        </w:rPr>
        <w:t>Asimismo,</w:t>
      </w:r>
      <w:r w:rsidR="0041183F" w:rsidRPr="073719D1">
        <w:rPr>
          <w:color w:val="000000" w:themeColor="text1"/>
          <w:sz w:val="26"/>
          <w:szCs w:val="26"/>
        </w:rPr>
        <w:t xml:space="preserve"> que se condene en costas a la entidad.</w:t>
      </w:r>
    </w:p>
    <w:p w14:paraId="75C71A5C" w14:textId="77777777" w:rsidR="0041183F" w:rsidRPr="00F52315" w:rsidRDefault="0041183F" w:rsidP="00942AFF">
      <w:pPr>
        <w:tabs>
          <w:tab w:val="left" w:pos="567"/>
        </w:tabs>
        <w:spacing w:line="360" w:lineRule="auto"/>
        <w:jc w:val="both"/>
        <w:rPr>
          <w:color w:val="000000" w:themeColor="text1"/>
          <w:sz w:val="26"/>
          <w:szCs w:val="26"/>
        </w:rPr>
      </w:pPr>
    </w:p>
    <w:p w14:paraId="7C09A8BB" w14:textId="77777777" w:rsidR="00385E3A" w:rsidRPr="00F52315" w:rsidRDefault="00B870BA" w:rsidP="00942AFF">
      <w:pPr>
        <w:spacing w:line="360" w:lineRule="auto"/>
        <w:jc w:val="both"/>
        <w:rPr>
          <w:b/>
          <w:color w:val="000000" w:themeColor="text1"/>
          <w:sz w:val="26"/>
          <w:szCs w:val="26"/>
        </w:rPr>
      </w:pPr>
      <w:r w:rsidRPr="00F52315">
        <w:rPr>
          <w:b/>
          <w:color w:val="000000" w:themeColor="text1"/>
          <w:sz w:val="26"/>
          <w:szCs w:val="26"/>
        </w:rPr>
        <w:t>2</w:t>
      </w:r>
      <w:r w:rsidR="0083597B" w:rsidRPr="00F52315">
        <w:rPr>
          <w:b/>
          <w:color w:val="000000" w:themeColor="text1"/>
          <w:sz w:val="26"/>
          <w:szCs w:val="26"/>
        </w:rPr>
        <w:t>. Fundamentos fácticos</w:t>
      </w:r>
    </w:p>
    <w:p w14:paraId="38A7B8E2" w14:textId="77777777" w:rsidR="0041183F" w:rsidRPr="00F52315" w:rsidRDefault="0041183F" w:rsidP="00942AFF">
      <w:pPr>
        <w:spacing w:line="360" w:lineRule="auto"/>
        <w:jc w:val="both"/>
        <w:rPr>
          <w:bCs/>
          <w:sz w:val="26"/>
          <w:szCs w:val="26"/>
        </w:rPr>
      </w:pPr>
    </w:p>
    <w:p w14:paraId="6AAB7249" w14:textId="63EBD4F0" w:rsidR="00586556" w:rsidRPr="00F52315" w:rsidRDefault="001504C6" w:rsidP="00942AFF">
      <w:pPr>
        <w:spacing w:line="360" w:lineRule="auto"/>
        <w:jc w:val="both"/>
        <w:rPr>
          <w:bCs/>
          <w:color w:val="000000" w:themeColor="text1"/>
          <w:sz w:val="26"/>
          <w:szCs w:val="26"/>
        </w:rPr>
      </w:pPr>
      <w:r w:rsidRPr="00F52315">
        <w:rPr>
          <w:bCs/>
          <w:color w:val="000000" w:themeColor="text1"/>
          <w:sz w:val="26"/>
          <w:szCs w:val="26"/>
        </w:rPr>
        <w:t>Narra la demanda que</w:t>
      </w:r>
      <w:r w:rsidR="00EE37CC" w:rsidRPr="00F52315">
        <w:rPr>
          <w:bCs/>
          <w:color w:val="000000" w:themeColor="text1"/>
          <w:sz w:val="26"/>
          <w:szCs w:val="26"/>
        </w:rPr>
        <w:t xml:space="preserve"> </w:t>
      </w:r>
      <w:r w:rsidR="00221940" w:rsidRPr="00F52315">
        <w:rPr>
          <w:bCs/>
          <w:color w:val="000000" w:themeColor="text1"/>
          <w:sz w:val="26"/>
          <w:szCs w:val="26"/>
        </w:rPr>
        <w:t>el docente demandante</w:t>
      </w:r>
      <w:r w:rsidR="00F901FE" w:rsidRPr="00F52315">
        <w:rPr>
          <w:bCs/>
          <w:color w:val="000000" w:themeColor="text1"/>
          <w:sz w:val="26"/>
          <w:szCs w:val="26"/>
        </w:rPr>
        <w:t xml:space="preserve"> </w:t>
      </w:r>
      <w:r w:rsidR="00221940" w:rsidRPr="00F52315">
        <w:rPr>
          <w:bCs/>
          <w:color w:val="000000" w:themeColor="text1"/>
          <w:sz w:val="26"/>
          <w:szCs w:val="26"/>
        </w:rPr>
        <w:t>mediante</w:t>
      </w:r>
      <w:r w:rsidR="00586556" w:rsidRPr="00F52315">
        <w:rPr>
          <w:bCs/>
          <w:color w:val="000000" w:themeColor="text1"/>
          <w:sz w:val="26"/>
          <w:szCs w:val="26"/>
        </w:rPr>
        <w:t xml:space="preserve"> solicitud </w:t>
      </w:r>
      <w:r w:rsidR="00221940" w:rsidRPr="00F52315">
        <w:rPr>
          <w:bCs/>
          <w:color w:val="000000" w:themeColor="text1"/>
          <w:sz w:val="26"/>
          <w:szCs w:val="26"/>
        </w:rPr>
        <w:t xml:space="preserve">fechada del </w:t>
      </w:r>
      <w:r w:rsidR="0041183F" w:rsidRPr="00F52315">
        <w:rPr>
          <w:bCs/>
          <w:color w:val="000000" w:themeColor="text1"/>
          <w:sz w:val="26"/>
          <w:szCs w:val="26"/>
        </w:rPr>
        <w:t>31 de julio de 2018</w:t>
      </w:r>
      <w:r w:rsidR="00221940" w:rsidRPr="00F52315">
        <w:rPr>
          <w:bCs/>
          <w:color w:val="000000" w:themeColor="text1"/>
          <w:sz w:val="26"/>
          <w:szCs w:val="26"/>
        </w:rPr>
        <w:t xml:space="preserve"> solicitó ante</w:t>
      </w:r>
      <w:r w:rsidR="00586556" w:rsidRPr="00F52315">
        <w:rPr>
          <w:bCs/>
          <w:color w:val="000000" w:themeColor="text1"/>
          <w:sz w:val="26"/>
          <w:szCs w:val="26"/>
        </w:rPr>
        <w:t xml:space="preserve"> el Fondo Naciona</w:t>
      </w:r>
      <w:r w:rsidR="00221940" w:rsidRPr="00F52315">
        <w:rPr>
          <w:bCs/>
          <w:color w:val="000000" w:themeColor="text1"/>
          <w:sz w:val="26"/>
          <w:szCs w:val="26"/>
        </w:rPr>
        <w:t>l de Prestaciones Sociales del M</w:t>
      </w:r>
      <w:r w:rsidR="00586556" w:rsidRPr="00F52315">
        <w:rPr>
          <w:bCs/>
          <w:color w:val="000000" w:themeColor="text1"/>
          <w:sz w:val="26"/>
          <w:szCs w:val="26"/>
        </w:rPr>
        <w:t xml:space="preserve">agisterio </w:t>
      </w:r>
      <w:r w:rsidR="00221940" w:rsidRPr="00F52315">
        <w:rPr>
          <w:bCs/>
          <w:color w:val="000000" w:themeColor="text1"/>
          <w:sz w:val="26"/>
          <w:szCs w:val="26"/>
        </w:rPr>
        <w:t>el reconocimiento y pago de sanción moratoria por pago tardío de</w:t>
      </w:r>
      <w:r w:rsidR="0065380D" w:rsidRPr="00F52315">
        <w:rPr>
          <w:bCs/>
          <w:color w:val="000000" w:themeColor="text1"/>
          <w:sz w:val="26"/>
          <w:szCs w:val="26"/>
        </w:rPr>
        <w:t xml:space="preserve"> su</w:t>
      </w:r>
      <w:r w:rsidR="00221940" w:rsidRPr="00F52315">
        <w:rPr>
          <w:bCs/>
          <w:color w:val="000000" w:themeColor="text1"/>
          <w:sz w:val="26"/>
          <w:szCs w:val="26"/>
        </w:rPr>
        <w:t xml:space="preserve"> cesantía reco</w:t>
      </w:r>
      <w:r w:rsidR="00A31709" w:rsidRPr="00F52315">
        <w:rPr>
          <w:bCs/>
          <w:color w:val="000000" w:themeColor="text1"/>
          <w:sz w:val="26"/>
          <w:szCs w:val="26"/>
        </w:rPr>
        <w:t xml:space="preserve">nocida </w:t>
      </w:r>
      <w:r w:rsidR="00586556" w:rsidRPr="00F52315">
        <w:rPr>
          <w:bCs/>
          <w:color w:val="000000" w:themeColor="text1"/>
          <w:sz w:val="26"/>
          <w:szCs w:val="26"/>
        </w:rPr>
        <w:t xml:space="preserve">mediante resolución </w:t>
      </w:r>
      <w:r w:rsidR="0065380D" w:rsidRPr="00F52315">
        <w:rPr>
          <w:bCs/>
          <w:color w:val="000000" w:themeColor="text1"/>
          <w:sz w:val="26"/>
          <w:szCs w:val="26"/>
        </w:rPr>
        <w:t>00</w:t>
      </w:r>
      <w:r w:rsidR="00211301" w:rsidRPr="00F52315">
        <w:rPr>
          <w:bCs/>
          <w:color w:val="000000" w:themeColor="text1"/>
          <w:sz w:val="26"/>
          <w:szCs w:val="26"/>
        </w:rPr>
        <w:t>5612</w:t>
      </w:r>
      <w:r w:rsidR="00A31709" w:rsidRPr="00F52315">
        <w:rPr>
          <w:bCs/>
          <w:color w:val="000000" w:themeColor="text1"/>
          <w:sz w:val="26"/>
          <w:szCs w:val="26"/>
        </w:rPr>
        <w:t xml:space="preserve"> del </w:t>
      </w:r>
      <w:r w:rsidR="00211301" w:rsidRPr="00F52315">
        <w:rPr>
          <w:bCs/>
          <w:color w:val="000000" w:themeColor="text1"/>
          <w:sz w:val="26"/>
          <w:szCs w:val="26"/>
        </w:rPr>
        <w:t>5 de septiembre de 2015</w:t>
      </w:r>
      <w:r w:rsidR="0065380D" w:rsidRPr="00F52315">
        <w:rPr>
          <w:bCs/>
          <w:color w:val="000000" w:themeColor="text1"/>
          <w:sz w:val="26"/>
          <w:szCs w:val="26"/>
        </w:rPr>
        <w:t xml:space="preserve">, canceladas el </w:t>
      </w:r>
      <w:r w:rsidR="00211301" w:rsidRPr="00F52315">
        <w:rPr>
          <w:bCs/>
          <w:color w:val="000000" w:themeColor="text1"/>
          <w:sz w:val="26"/>
          <w:szCs w:val="26"/>
        </w:rPr>
        <w:t>5 de abril de 2016</w:t>
      </w:r>
      <w:r w:rsidR="00A31709" w:rsidRPr="00F52315">
        <w:rPr>
          <w:bCs/>
          <w:color w:val="000000" w:themeColor="text1"/>
          <w:sz w:val="26"/>
          <w:szCs w:val="26"/>
        </w:rPr>
        <w:t xml:space="preserve">, petición </w:t>
      </w:r>
      <w:r w:rsidR="0065380D" w:rsidRPr="00F52315">
        <w:rPr>
          <w:bCs/>
          <w:color w:val="000000" w:themeColor="text1"/>
          <w:sz w:val="26"/>
          <w:szCs w:val="26"/>
        </w:rPr>
        <w:t>respecto de la cual operó silencio administrativo negativo.</w:t>
      </w:r>
    </w:p>
    <w:p w14:paraId="4E4C3D20" w14:textId="072CD0AB" w:rsidR="00586556" w:rsidRPr="00F52315" w:rsidRDefault="00586556" w:rsidP="00942AFF">
      <w:pPr>
        <w:spacing w:line="360" w:lineRule="auto"/>
        <w:jc w:val="both"/>
        <w:rPr>
          <w:bCs/>
          <w:color w:val="000000" w:themeColor="text1"/>
          <w:sz w:val="26"/>
          <w:szCs w:val="26"/>
        </w:rPr>
      </w:pPr>
    </w:p>
    <w:p w14:paraId="5D4DEE29" w14:textId="11B68406" w:rsidR="00F52315" w:rsidRPr="00F52315" w:rsidRDefault="00F52315" w:rsidP="00942AFF">
      <w:pPr>
        <w:spacing w:line="360" w:lineRule="auto"/>
        <w:jc w:val="both"/>
        <w:rPr>
          <w:bCs/>
          <w:color w:val="000000" w:themeColor="text1"/>
          <w:sz w:val="26"/>
          <w:szCs w:val="26"/>
        </w:rPr>
      </w:pPr>
    </w:p>
    <w:p w14:paraId="21F38797" w14:textId="77777777" w:rsidR="00F52315" w:rsidRPr="00F52315" w:rsidRDefault="00F52315" w:rsidP="00942AFF">
      <w:pPr>
        <w:spacing w:line="360" w:lineRule="auto"/>
        <w:jc w:val="both"/>
        <w:rPr>
          <w:bCs/>
          <w:color w:val="000000" w:themeColor="text1"/>
          <w:sz w:val="26"/>
          <w:szCs w:val="26"/>
        </w:rPr>
      </w:pPr>
    </w:p>
    <w:p w14:paraId="59A0923B" w14:textId="77777777" w:rsidR="0083597B" w:rsidRPr="00F52315" w:rsidRDefault="00752246" w:rsidP="00942AFF">
      <w:pPr>
        <w:spacing w:line="360" w:lineRule="auto"/>
        <w:jc w:val="both"/>
        <w:rPr>
          <w:b/>
          <w:bCs/>
          <w:color w:val="000000" w:themeColor="text1"/>
          <w:sz w:val="26"/>
          <w:szCs w:val="26"/>
        </w:rPr>
      </w:pPr>
      <w:r w:rsidRPr="00F52315">
        <w:rPr>
          <w:b/>
          <w:bCs/>
          <w:color w:val="000000" w:themeColor="text1"/>
          <w:sz w:val="26"/>
          <w:szCs w:val="26"/>
        </w:rPr>
        <w:lastRenderedPageBreak/>
        <w:t>3</w:t>
      </w:r>
      <w:r w:rsidR="0083597B" w:rsidRPr="00F52315">
        <w:rPr>
          <w:b/>
          <w:bCs/>
          <w:color w:val="000000" w:themeColor="text1"/>
          <w:sz w:val="26"/>
          <w:szCs w:val="26"/>
        </w:rPr>
        <w:t>. Fundamentos de derecho</w:t>
      </w:r>
    </w:p>
    <w:p w14:paraId="0016B74E" w14:textId="77777777" w:rsidR="0083597B" w:rsidRPr="00F52315" w:rsidRDefault="0083597B" w:rsidP="00942AFF">
      <w:pPr>
        <w:spacing w:line="360" w:lineRule="auto"/>
        <w:jc w:val="both"/>
        <w:rPr>
          <w:b/>
          <w:bCs/>
          <w:color w:val="000000" w:themeColor="text1"/>
          <w:sz w:val="26"/>
          <w:szCs w:val="26"/>
        </w:rPr>
      </w:pPr>
    </w:p>
    <w:p w14:paraId="0282E4F6" w14:textId="7EA4322F" w:rsidR="00EE37CC" w:rsidRPr="00F52315" w:rsidRDefault="0083597B" w:rsidP="00942AFF">
      <w:pPr>
        <w:spacing w:line="360" w:lineRule="auto"/>
        <w:jc w:val="both"/>
        <w:rPr>
          <w:color w:val="000000" w:themeColor="text1"/>
          <w:sz w:val="26"/>
          <w:szCs w:val="26"/>
        </w:rPr>
      </w:pPr>
      <w:r w:rsidRPr="00F52315">
        <w:rPr>
          <w:b/>
          <w:bCs/>
          <w:color w:val="000000" w:themeColor="text1"/>
          <w:sz w:val="26"/>
          <w:szCs w:val="26"/>
        </w:rPr>
        <w:t>- Normas invocadas:</w:t>
      </w:r>
      <w:r w:rsidR="00575E99" w:rsidRPr="00F52315">
        <w:rPr>
          <w:b/>
          <w:bCs/>
          <w:color w:val="000000" w:themeColor="text1"/>
          <w:sz w:val="26"/>
          <w:szCs w:val="26"/>
        </w:rPr>
        <w:t xml:space="preserve"> </w:t>
      </w:r>
    </w:p>
    <w:p w14:paraId="457FB33F" w14:textId="74A907ED" w:rsidR="00F52315" w:rsidRPr="00F52315" w:rsidRDefault="00F52315" w:rsidP="00F52315">
      <w:pPr>
        <w:spacing w:line="360" w:lineRule="auto"/>
        <w:jc w:val="both"/>
        <w:rPr>
          <w:b/>
          <w:bCs/>
          <w:color w:val="000000" w:themeColor="text1"/>
          <w:sz w:val="26"/>
          <w:szCs w:val="26"/>
        </w:rPr>
      </w:pPr>
      <w:r w:rsidRPr="00F52315">
        <w:rPr>
          <w:b/>
          <w:bCs/>
          <w:color w:val="000000" w:themeColor="text1"/>
          <w:sz w:val="26"/>
          <w:szCs w:val="26"/>
        </w:rPr>
        <w:t xml:space="preserve"> Ley 91 de 1989. Art. 5 y 15.</w:t>
      </w:r>
    </w:p>
    <w:p w14:paraId="4F0C49EF" w14:textId="1A663481" w:rsidR="00F52315" w:rsidRPr="00F52315" w:rsidRDefault="00F52315" w:rsidP="00F52315">
      <w:pPr>
        <w:spacing w:line="360" w:lineRule="auto"/>
        <w:jc w:val="both"/>
        <w:rPr>
          <w:b/>
          <w:bCs/>
          <w:color w:val="000000" w:themeColor="text1"/>
          <w:sz w:val="26"/>
          <w:szCs w:val="26"/>
        </w:rPr>
      </w:pPr>
      <w:r w:rsidRPr="00F52315">
        <w:rPr>
          <w:b/>
          <w:bCs/>
          <w:color w:val="000000" w:themeColor="text1"/>
          <w:sz w:val="26"/>
          <w:szCs w:val="26"/>
        </w:rPr>
        <w:t>Ley 244 de 1995. Artículos 1 y 2.</w:t>
      </w:r>
    </w:p>
    <w:p w14:paraId="3BA08699" w14:textId="615D23B4" w:rsidR="00211301" w:rsidRPr="00F52315" w:rsidRDefault="00F52315" w:rsidP="00F52315">
      <w:pPr>
        <w:spacing w:line="360" w:lineRule="auto"/>
        <w:jc w:val="both"/>
        <w:rPr>
          <w:b/>
          <w:bCs/>
          <w:color w:val="000000" w:themeColor="text1"/>
          <w:sz w:val="26"/>
          <w:szCs w:val="26"/>
        </w:rPr>
      </w:pPr>
      <w:r w:rsidRPr="00F52315">
        <w:rPr>
          <w:b/>
          <w:bCs/>
          <w:color w:val="000000" w:themeColor="text1"/>
          <w:sz w:val="26"/>
          <w:szCs w:val="26"/>
        </w:rPr>
        <w:t>Ley 1071 de 2006. Artículos 4 y 5.</w:t>
      </w:r>
    </w:p>
    <w:p w14:paraId="4D2FADAC" w14:textId="77777777" w:rsidR="00F52315" w:rsidRPr="00F52315" w:rsidRDefault="00F52315" w:rsidP="00F52315">
      <w:pPr>
        <w:spacing w:line="360" w:lineRule="auto"/>
        <w:jc w:val="both"/>
        <w:rPr>
          <w:b/>
          <w:bCs/>
          <w:color w:val="000000" w:themeColor="text1"/>
          <w:sz w:val="26"/>
          <w:szCs w:val="26"/>
        </w:rPr>
      </w:pPr>
    </w:p>
    <w:p w14:paraId="0CD306E1" w14:textId="77777777" w:rsidR="0083597B" w:rsidRPr="00F52315" w:rsidRDefault="0083597B" w:rsidP="00942AFF">
      <w:pPr>
        <w:spacing w:line="360" w:lineRule="auto"/>
        <w:jc w:val="both"/>
        <w:rPr>
          <w:b/>
          <w:bCs/>
          <w:color w:val="000000" w:themeColor="text1"/>
          <w:sz w:val="26"/>
          <w:szCs w:val="26"/>
        </w:rPr>
      </w:pPr>
      <w:r w:rsidRPr="00F52315">
        <w:rPr>
          <w:b/>
          <w:bCs/>
          <w:color w:val="000000" w:themeColor="text1"/>
          <w:sz w:val="26"/>
          <w:szCs w:val="26"/>
        </w:rPr>
        <w:t>- Concepto de la violación:</w:t>
      </w:r>
    </w:p>
    <w:p w14:paraId="16BBA6DB" w14:textId="686D2E8C" w:rsidR="00573BE1" w:rsidRPr="00F52315" w:rsidRDefault="00573BE1" w:rsidP="00942AFF">
      <w:pPr>
        <w:spacing w:line="360" w:lineRule="auto"/>
        <w:jc w:val="both"/>
        <w:rPr>
          <w:b/>
          <w:bCs/>
          <w:color w:val="000000" w:themeColor="text1"/>
          <w:sz w:val="26"/>
          <w:szCs w:val="26"/>
        </w:rPr>
      </w:pPr>
    </w:p>
    <w:p w14:paraId="1B821E83" w14:textId="0B13C876" w:rsidR="00381D7B" w:rsidRPr="00F52315" w:rsidRDefault="00575E99" w:rsidP="00942AFF">
      <w:pPr>
        <w:spacing w:line="360" w:lineRule="auto"/>
        <w:jc w:val="both"/>
        <w:rPr>
          <w:color w:val="000000" w:themeColor="text1"/>
          <w:sz w:val="26"/>
          <w:szCs w:val="26"/>
        </w:rPr>
      </w:pPr>
      <w:r w:rsidRPr="00F52315">
        <w:rPr>
          <w:color w:val="000000" w:themeColor="text1"/>
          <w:sz w:val="26"/>
          <w:szCs w:val="26"/>
        </w:rPr>
        <w:t>Luego de hacer un recuento normativo sobre el reconocimiento de auxilio de cesantía, señaló que el término perentorio para resolver las solicitudes de cesantías definitivas de los empleados públicos es de 15 días y el pag</w:t>
      </w:r>
      <w:r w:rsidR="00211301" w:rsidRPr="00F52315">
        <w:rPr>
          <w:color w:val="000000" w:themeColor="text1"/>
          <w:sz w:val="26"/>
          <w:szCs w:val="26"/>
        </w:rPr>
        <w:t>o</w:t>
      </w:r>
      <w:r w:rsidRPr="00F52315">
        <w:rPr>
          <w:color w:val="000000" w:themeColor="text1"/>
          <w:sz w:val="26"/>
          <w:szCs w:val="26"/>
        </w:rPr>
        <w:t xml:space="preserve"> deberá realizarse 45 días después de la ejecutoria del acto de reconocimiento, conforme a la Ley 244 de 1995, 1071 de 2006 y Decreto 2371 de 2005 so pena de tener que reconocer y pagar la sanción moratoria por pago tardío en razón de un día de salario por cada día de retardo en el pago de la prestación, sanción a la que no son ajenos los docentes, tal y como lo ha reiterado jurisprudencia del Consejo de Estado que relacionó en su argumentación.</w:t>
      </w:r>
    </w:p>
    <w:p w14:paraId="10FDFCC9" w14:textId="77777777" w:rsidR="00001495" w:rsidRPr="00F52315" w:rsidRDefault="00001495" w:rsidP="00942AFF">
      <w:pPr>
        <w:spacing w:line="360" w:lineRule="auto"/>
        <w:jc w:val="both"/>
        <w:rPr>
          <w:color w:val="000000" w:themeColor="text1"/>
          <w:sz w:val="26"/>
          <w:szCs w:val="26"/>
        </w:rPr>
      </w:pPr>
    </w:p>
    <w:p w14:paraId="4FB895F5" w14:textId="77777777" w:rsidR="00385E3A" w:rsidRPr="00F52315" w:rsidRDefault="00385E3A" w:rsidP="00942AFF">
      <w:pPr>
        <w:spacing w:line="360" w:lineRule="auto"/>
        <w:jc w:val="center"/>
        <w:rPr>
          <w:b/>
          <w:color w:val="000000" w:themeColor="text1"/>
          <w:sz w:val="26"/>
          <w:szCs w:val="26"/>
        </w:rPr>
      </w:pPr>
      <w:r w:rsidRPr="00F52315">
        <w:rPr>
          <w:b/>
          <w:color w:val="000000" w:themeColor="text1"/>
          <w:sz w:val="26"/>
          <w:szCs w:val="26"/>
        </w:rPr>
        <w:t>II. ACTUACIÓN PROCESAL</w:t>
      </w:r>
    </w:p>
    <w:p w14:paraId="775DB0DE" w14:textId="77777777" w:rsidR="009F35D1" w:rsidRPr="00F52315" w:rsidRDefault="009F35D1" w:rsidP="00942AFF">
      <w:pPr>
        <w:spacing w:line="360" w:lineRule="auto"/>
        <w:jc w:val="center"/>
        <w:rPr>
          <w:b/>
          <w:color w:val="000000" w:themeColor="text1"/>
          <w:sz w:val="26"/>
          <w:szCs w:val="26"/>
        </w:rPr>
      </w:pPr>
    </w:p>
    <w:p w14:paraId="60571ED2" w14:textId="00610392" w:rsidR="00385E3A" w:rsidRPr="00F52315" w:rsidRDefault="00D23270" w:rsidP="00001495">
      <w:pPr>
        <w:pStyle w:val="Textoindependiente2"/>
        <w:spacing w:after="0" w:line="360" w:lineRule="auto"/>
        <w:jc w:val="both"/>
        <w:rPr>
          <w:color w:val="000000" w:themeColor="text1"/>
          <w:sz w:val="26"/>
          <w:szCs w:val="26"/>
        </w:rPr>
      </w:pPr>
      <w:r w:rsidRPr="00F52315">
        <w:rPr>
          <w:color w:val="000000" w:themeColor="text1"/>
          <w:sz w:val="26"/>
          <w:szCs w:val="26"/>
        </w:rPr>
        <w:t xml:space="preserve">La demanda fue presentada el </w:t>
      </w:r>
      <w:r w:rsidR="00001495" w:rsidRPr="00F52315">
        <w:rPr>
          <w:color w:val="000000" w:themeColor="text1"/>
          <w:sz w:val="26"/>
          <w:szCs w:val="26"/>
        </w:rPr>
        <w:t>8 de mayo</w:t>
      </w:r>
      <w:r w:rsidR="00575E99" w:rsidRPr="00F52315">
        <w:rPr>
          <w:color w:val="000000" w:themeColor="text1"/>
          <w:sz w:val="26"/>
          <w:szCs w:val="26"/>
        </w:rPr>
        <w:t xml:space="preserve"> de 2019</w:t>
      </w:r>
      <w:r w:rsidR="00385E3A" w:rsidRPr="00F52315">
        <w:rPr>
          <w:color w:val="000000" w:themeColor="text1"/>
          <w:sz w:val="26"/>
          <w:szCs w:val="26"/>
        </w:rPr>
        <w:t xml:space="preserve"> ante el Juzgado </w:t>
      </w:r>
      <w:r w:rsidR="00001495" w:rsidRPr="00F52315">
        <w:rPr>
          <w:color w:val="000000" w:themeColor="text1"/>
          <w:sz w:val="26"/>
          <w:szCs w:val="26"/>
        </w:rPr>
        <w:t>Quinto</w:t>
      </w:r>
      <w:r w:rsidR="00575E99" w:rsidRPr="00F52315">
        <w:rPr>
          <w:color w:val="000000" w:themeColor="text1"/>
          <w:sz w:val="26"/>
          <w:szCs w:val="26"/>
        </w:rPr>
        <w:t xml:space="preserve"> </w:t>
      </w:r>
      <w:r w:rsidR="008776D5" w:rsidRPr="00F52315">
        <w:rPr>
          <w:color w:val="000000" w:themeColor="text1"/>
          <w:sz w:val="26"/>
          <w:szCs w:val="26"/>
        </w:rPr>
        <w:t>Administrativo</w:t>
      </w:r>
      <w:r w:rsidR="00385E3A" w:rsidRPr="00F52315">
        <w:rPr>
          <w:color w:val="000000" w:themeColor="text1"/>
          <w:sz w:val="26"/>
          <w:szCs w:val="26"/>
        </w:rPr>
        <w:t xml:space="preserve"> Oral del Circuito Judicial de </w:t>
      </w:r>
      <w:r w:rsidR="00575E99" w:rsidRPr="00F52315">
        <w:rPr>
          <w:color w:val="000000" w:themeColor="text1"/>
          <w:sz w:val="26"/>
          <w:szCs w:val="26"/>
        </w:rPr>
        <w:t>Tunja</w:t>
      </w:r>
      <w:r w:rsidR="0039544D" w:rsidRPr="00F52315">
        <w:rPr>
          <w:color w:val="000000" w:themeColor="text1"/>
          <w:sz w:val="26"/>
          <w:szCs w:val="26"/>
        </w:rPr>
        <w:t xml:space="preserve">, quien mediante proveído del </w:t>
      </w:r>
      <w:r w:rsidR="00001495" w:rsidRPr="00F52315">
        <w:rPr>
          <w:color w:val="000000" w:themeColor="text1"/>
          <w:sz w:val="26"/>
          <w:szCs w:val="26"/>
        </w:rPr>
        <w:t>20 de junio</w:t>
      </w:r>
      <w:r w:rsidR="00575E99" w:rsidRPr="00F52315">
        <w:rPr>
          <w:color w:val="000000" w:themeColor="text1"/>
          <w:sz w:val="26"/>
          <w:szCs w:val="26"/>
        </w:rPr>
        <w:t xml:space="preserve"> de 2019</w:t>
      </w:r>
      <w:r w:rsidR="00B63916" w:rsidRPr="00F52315">
        <w:rPr>
          <w:rStyle w:val="Refdenotaalpie"/>
          <w:color w:val="000000" w:themeColor="text1"/>
          <w:sz w:val="26"/>
          <w:szCs w:val="26"/>
        </w:rPr>
        <w:footnoteReference w:id="1"/>
      </w:r>
      <w:r w:rsidR="00B63916" w:rsidRPr="00F52315">
        <w:rPr>
          <w:color w:val="000000" w:themeColor="text1"/>
          <w:sz w:val="26"/>
          <w:szCs w:val="26"/>
        </w:rPr>
        <w:t xml:space="preserve"> </w:t>
      </w:r>
      <w:r w:rsidR="00575E99" w:rsidRPr="00F52315">
        <w:rPr>
          <w:color w:val="000000" w:themeColor="text1"/>
          <w:sz w:val="26"/>
          <w:szCs w:val="26"/>
        </w:rPr>
        <w:t>ordenó</w:t>
      </w:r>
      <w:r w:rsidR="007C0CE4" w:rsidRPr="00F52315">
        <w:rPr>
          <w:color w:val="000000" w:themeColor="text1"/>
          <w:sz w:val="26"/>
          <w:szCs w:val="26"/>
        </w:rPr>
        <w:t xml:space="preserve"> </w:t>
      </w:r>
      <w:r w:rsidR="00385E3A" w:rsidRPr="00F52315">
        <w:rPr>
          <w:color w:val="000000" w:themeColor="text1"/>
          <w:sz w:val="26"/>
          <w:szCs w:val="26"/>
        </w:rPr>
        <w:t xml:space="preserve">notificar </w:t>
      </w:r>
      <w:r w:rsidR="00385E3A" w:rsidRPr="00F52315">
        <w:rPr>
          <w:color w:val="000000" w:themeColor="text1"/>
          <w:sz w:val="26"/>
          <w:szCs w:val="26"/>
          <w:lang w:val="es-MX"/>
        </w:rPr>
        <w:t>a la</w:t>
      </w:r>
      <w:r w:rsidR="00A76915" w:rsidRPr="00F52315">
        <w:rPr>
          <w:color w:val="000000" w:themeColor="text1"/>
          <w:sz w:val="26"/>
          <w:szCs w:val="26"/>
          <w:lang w:val="es-MX"/>
        </w:rPr>
        <w:t xml:space="preserve"> </w:t>
      </w:r>
      <w:r w:rsidR="00A32F80" w:rsidRPr="00F52315">
        <w:rPr>
          <w:color w:val="000000" w:themeColor="text1"/>
          <w:sz w:val="26"/>
          <w:szCs w:val="26"/>
        </w:rPr>
        <w:t xml:space="preserve">Nación – Ministerio de Educación Nacional </w:t>
      </w:r>
      <w:r w:rsidR="00381D7B" w:rsidRPr="00F52315">
        <w:rPr>
          <w:color w:val="000000" w:themeColor="text1"/>
          <w:sz w:val="26"/>
          <w:szCs w:val="26"/>
        </w:rPr>
        <w:t xml:space="preserve">y </w:t>
      </w:r>
      <w:r w:rsidR="0069267F" w:rsidRPr="00F52315">
        <w:rPr>
          <w:color w:val="000000" w:themeColor="text1"/>
          <w:sz w:val="26"/>
          <w:szCs w:val="26"/>
        </w:rPr>
        <w:t>Fondo Nacional de Prestaciones Sociales del Magisterio</w:t>
      </w:r>
      <w:r w:rsidR="00385E3A" w:rsidRPr="00F52315">
        <w:rPr>
          <w:color w:val="000000" w:themeColor="text1"/>
          <w:sz w:val="26"/>
          <w:szCs w:val="26"/>
          <w:lang w:val="es-MX"/>
        </w:rPr>
        <w:t xml:space="preserve"> y al Agente del Ministerio Público, de conformidad con lo previsto en los artículos 171 y 199 del CPACA modificado por el artículo 612 del C.G.P.</w:t>
      </w:r>
      <w:r w:rsidR="00385E3A" w:rsidRPr="00F52315">
        <w:rPr>
          <w:color w:val="000000" w:themeColor="text1"/>
          <w:sz w:val="26"/>
          <w:szCs w:val="26"/>
        </w:rPr>
        <w:t xml:space="preserve"> Solicitó además a la parte demandada allegar el exp</w:t>
      </w:r>
      <w:r w:rsidR="00A76915" w:rsidRPr="00F52315">
        <w:rPr>
          <w:color w:val="000000" w:themeColor="text1"/>
          <w:sz w:val="26"/>
          <w:szCs w:val="26"/>
        </w:rPr>
        <w:t>ediente administrativo</w:t>
      </w:r>
      <w:r w:rsidR="00385E3A" w:rsidRPr="00F52315">
        <w:rPr>
          <w:color w:val="000000" w:themeColor="text1"/>
          <w:sz w:val="26"/>
          <w:szCs w:val="26"/>
        </w:rPr>
        <w:t xml:space="preserve"> objeto del proceso, conforme al parágrafo primero del artículo 175 del C</w:t>
      </w:r>
      <w:r w:rsidR="00A76915" w:rsidRPr="00F52315">
        <w:rPr>
          <w:color w:val="000000" w:themeColor="text1"/>
          <w:sz w:val="26"/>
          <w:szCs w:val="26"/>
        </w:rPr>
        <w:t>.</w:t>
      </w:r>
      <w:r w:rsidR="00385E3A" w:rsidRPr="00F52315">
        <w:rPr>
          <w:color w:val="000000" w:themeColor="text1"/>
          <w:sz w:val="26"/>
          <w:szCs w:val="26"/>
        </w:rPr>
        <w:t>P</w:t>
      </w:r>
      <w:r w:rsidR="00A76915" w:rsidRPr="00F52315">
        <w:rPr>
          <w:color w:val="000000" w:themeColor="text1"/>
          <w:sz w:val="26"/>
          <w:szCs w:val="26"/>
        </w:rPr>
        <w:t>.</w:t>
      </w:r>
      <w:r w:rsidR="00385E3A" w:rsidRPr="00F52315">
        <w:rPr>
          <w:color w:val="000000" w:themeColor="text1"/>
          <w:sz w:val="26"/>
          <w:szCs w:val="26"/>
        </w:rPr>
        <w:t>A</w:t>
      </w:r>
      <w:r w:rsidR="00A76915" w:rsidRPr="00F52315">
        <w:rPr>
          <w:color w:val="000000" w:themeColor="text1"/>
          <w:sz w:val="26"/>
          <w:szCs w:val="26"/>
        </w:rPr>
        <w:t>.</w:t>
      </w:r>
      <w:r w:rsidR="00385E3A" w:rsidRPr="00F52315">
        <w:rPr>
          <w:color w:val="000000" w:themeColor="text1"/>
          <w:sz w:val="26"/>
          <w:szCs w:val="26"/>
        </w:rPr>
        <w:t>C</w:t>
      </w:r>
      <w:r w:rsidR="00A76915" w:rsidRPr="00F52315">
        <w:rPr>
          <w:color w:val="000000" w:themeColor="text1"/>
          <w:sz w:val="26"/>
          <w:szCs w:val="26"/>
        </w:rPr>
        <w:t>.</w:t>
      </w:r>
      <w:r w:rsidR="00385E3A" w:rsidRPr="00F52315">
        <w:rPr>
          <w:color w:val="000000" w:themeColor="text1"/>
          <w:sz w:val="26"/>
          <w:szCs w:val="26"/>
        </w:rPr>
        <w:t xml:space="preserve">A. </w:t>
      </w:r>
    </w:p>
    <w:p w14:paraId="094646F8" w14:textId="77777777" w:rsidR="00385E3A" w:rsidRPr="00F52315" w:rsidRDefault="00385E3A" w:rsidP="00942AFF">
      <w:pPr>
        <w:pStyle w:val="Textoindependiente2"/>
        <w:spacing w:after="0" w:line="360" w:lineRule="auto"/>
        <w:jc w:val="both"/>
        <w:rPr>
          <w:color w:val="000000" w:themeColor="text1"/>
          <w:sz w:val="26"/>
          <w:szCs w:val="26"/>
        </w:rPr>
      </w:pPr>
    </w:p>
    <w:p w14:paraId="681D420D" w14:textId="7A34F6D6" w:rsidR="00385E3A" w:rsidRPr="00F52315" w:rsidRDefault="00D36104" w:rsidP="00575E99">
      <w:pPr>
        <w:pStyle w:val="Lista"/>
        <w:numPr>
          <w:ilvl w:val="0"/>
          <w:numId w:val="22"/>
        </w:numPr>
        <w:spacing w:line="360" w:lineRule="auto"/>
        <w:jc w:val="both"/>
        <w:rPr>
          <w:b/>
          <w:color w:val="000000" w:themeColor="text1"/>
          <w:sz w:val="26"/>
          <w:szCs w:val="26"/>
        </w:rPr>
      </w:pPr>
      <w:r w:rsidRPr="00F52315">
        <w:rPr>
          <w:b/>
          <w:color w:val="000000" w:themeColor="text1"/>
          <w:sz w:val="26"/>
          <w:szCs w:val="26"/>
        </w:rPr>
        <w:t>Contestación de la demanda</w:t>
      </w:r>
      <w:r w:rsidR="00503FC4" w:rsidRPr="00F52315">
        <w:rPr>
          <w:rStyle w:val="Refdenotaalpie"/>
          <w:b/>
          <w:color w:val="000000" w:themeColor="text1"/>
          <w:sz w:val="26"/>
          <w:szCs w:val="26"/>
        </w:rPr>
        <w:footnoteReference w:id="2"/>
      </w:r>
    </w:p>
    <w:p w14:paraId="19401B60" w14:textId="25EE806B" w:rsidR="000B5598" w:rsidRPr="00F52315" w:rsidRDefault="000B5598" w:rsidP="00575E99">
      <w:pPr>
        <w:pStyle w:val="Textoindependiente2"/>
        <w:spacing w:after="0" w:line="360" w:lineRule="auto"/>
        <w:jc w:val="both"/>
        <w:rPr>
          <w:color w:val="000000" w:themeColor="text1"/>
          <w:sz w:val="26"/>
          <w:szCs w:val="26"/>
        </w:rPr>
      </w:pPr>
    </w:p>
    <w:p w14:paraId="75B88BB9" w14:textId="2B250729" w:rsidR="00F127A6" w:rsidRPr="00F52315" w:rsidRDefault="00575E99" w:rsidP="00575E99">
      <w:pPr>
        <w:spacing w:line="360" w:lineRule="auto"/>
        <w:jc w:val="both"/>
        <w:rPr>
          <w:color w:val="000000" w:themeColor="text1"/>
          <w:sz w:val="26"/>
          <w:szCs w:val="26"/>
        </w:rPr>
      </w:pPr>
      <w:r w:rsidRPr="00F52315">
        <w:rPr>
          <w:color w:val="000000" w:themeColor="text1"/>
          <w:sz w:val="26"/>
          <w:szCs w:val="26"/>
        </w:rPr>
        <w:lastRenderedPageBreak/>
        <w:t>Señaló que conforme al Decreto 2831 de 2005 la solicitud de cesantías elevadas por los docentes es resuelta por la respectiva secretaría de Educación</w:t>
      </w:r>
      <w:r w:rsidR="00F127A6" w:rsidRPr="00F52315">
        <w:rPr>
          <w:color w:val="000000" w:themeColor="text1"/>
          <w:sz w:val="26"/>
          <w:szCs w:val="26"/>
        </w:rPr>
        <w:t xml:space="preserve"> por lo que esta debió integrar la parte demandada en calidad de litisconsorte necesario</w:t>
      </w:r>
      <w:r w:rsidRPr="00F52315">
        <w:rPr>
          <w:color w:val="000000" w:themeColor="text1"/>
          <w:sz w:val="26"/>
          <w:szCs w:val="26"/>
        </w:rPr>
        <w:t>.</w:t>
      </w:r>
      <w:r w:rsidR="00F127A6" w:rsidRPr="00F52315">
        <w:rPr>
          <w:color w:val="000000" w:themeColor="text1"/>
          <w:sz w:val="26"/>
          <w:szCs w:val="26"/>
        </w:rPr>
        <w:t xml:space="preserve"> Lo anterior, dado que dicha entidad superó con creces el término que tenía para proferir el acto administrativo de reconocimiento de las cesantías.</w:t>
      </w:r>
    </w:p>
    <w:p w14:paraId="46907FB1" w14:textId="307F944D" w:rsidR="00F127A6" w:rsidRPr="00F52315" w:rsidRDefault="00F127A6" w:rsidP="00575E99">
      <w:pPr>
        <w:spacing w:line="360" w:lineRule="auto"/>
        <w:jc w:val="both"/>
        <w:rPr>
          <w:color w:val="000000" w:themeColor="text1"/>
          <w:sz w:val="26"/>
          <w:szCs w:val="26"/>
        </w:rPr>
      </w:pPr>
    </w:p>
    <w:p w14:paraId="29691023" w14:textId="0782DD1E" w:rsidR="00F127A6" w:rsidRPr="00F52315" w:rsidRDefault="00F127A6" w:rsidP="00575E99">
      <w:pPr>
        <w:spacing w:line="360" w:lineRule="auto"/>
        <w:jc w:val="both"/>
        <w:rPr>
          <w:color w:val="000000" w:themeColor="text1"/>
          <w:sz w:val="26"/>
          <w:szCs w:val="26"/>
        </w:rPr>
      </w:pPr>
      <w:r w:rsidRPr="00F52315">
        <w:rPr>
          <w:color w:val="000000" w:themeColor="text1"/>
          <w:sz w:val="26"/>
          <w:szCs w:val="26"/>
        </w:rPr>
        <w:t>Debe tenerse en cuenta que la Ley 1955 de 2019 por medio de la cual se expidió el Plan Nacional de Desarrollo 2018-2012, estableció en el parágrafo del artículo 57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Este último solo será responsable del pago de las cesantías. Dicha norma debe ser aplicada con efectos retrospectivos.</w:t>
      </w:r>
    </w:p>
    <w:p w14:paraId="423CA224" w14:textId="3CBAE0BB" w:rsidR="00F127A6" w:rsidRPr="00F52315" w:rsidRDefault="00F127A6" w:rsidP="00575E99">
      <w:pPr>
        <w:spacing w:line="360" w:lineRule="auto"/>
        <w:jc w:val="both"/>
        <w:rPr>
          <w:color w:val="000000" w:themeColor="text1"/>
          <w:sz w:val="26"/>
          <w:szCs w:val="26"/>
        </w:rPr>
      </w:pPr>
    </w:p>
    <w:p w14:paraId="684C4697" w14:textId="2136CAFA" w:rsidR="00136AA6" w:rsidRPr="00F52315" w:rsidRDefault="00136AA6" w:rsidP="00575E99">
      <w:pPr>
        <w:spacing w:line="360" w:lineRule="auto"/>
        <w:jc w:val="both"/>
        <w:rPr>
          <w:color w:val="000000" w:themeColor="text1"/>
          <w:sz w:val="26"/>
          <w:szCs w:val="26"/>
        </w:rPr>
      </w:pPr>
      <w:r w:rsidRPr="00F52315">
        <w:rPr>
          <w:color w:val="000000" w:themeColor="text1"/>
          <w:sz w:val="26"/>
          <w:szCs w:val="26"/>
        </w:rPr>
        <w:t xml:space="preserve">Señaló que dada la naturaleza jurídica del "FOMAG", y sus objetivos o finalidades para los que fue creado, es evidente que la obligación del Fondo es atender las prestaciones sociales del personal afiliado, pero teniendo en cuenta que el fondo simplemente "provee" los recursos y la fiduciaria administra, pero quien determina las condiciones puntuales de cada afiliado y las circunstancias bajo las cuales se les debe pagar determinada prestación, el tiempo y demás son ordenadas por el respectivo ente territorial que ejerce la contratación del afiliado. </w:t>
      </w:r>
    </w:p>
    <w:p w14:paraId="4E159D3B" w14:textId="2E3DB40E" w:rsidR="00136AA6" w:rsidRPr="00F52315" w:rsidRDefault="00136AA6" w:rsidP="00575E99">
      <w:pPr>
        <w:spacing w:line="360" w:lineRule="auto"/>
        <w:jc w:val="both"/>
        <w:rPr>
          <w:color w:val="000000" w:themeColor="text1"/>
          <w:sz w:val="26"/>
          <w:szCs w:val="26"/>
        </w:rPr>
      </w:pPr>
    </w:p>
    <w:p w14:paraId="10314BD7" w14:textId="408CA23E" w:rsidR="00136AA6" w:rsidRPr="00F52315" w:rsidRDefault="00136AA6" w:rsidP="00575E99">
      <w:pPr>
        <w:spacing w:line="360" w:lineRule="auto"/>
        <w:jc w:val="both"/>
        <w:rPr>
          <w:color w:val="000000" w:themeColor="text1"/>
          <w:sz w:val="26"/>
          <w:szCs w:val="26"/>
        </w:rPr>
      </w:pPr>
      <w:r w:rsidRPr="00F52315">
        <w:rPr>
          <w:color w:val="000000" w:themeColor="text1"/>
          <w:sz w:val="26"/>
          <w:szCs w:val="26"/>
        </w:rPr>
        <w:t>Solicitó declarar la prosperidad de la excepción de prescripción y además declarar que el Demandante no tiene derecho al reconocimiento de la sanción moratoria por pertenecer al régimen retroactivo de cesantías. Indicó además que no es procedente ordenar la indexación</w:t>
      </w:r>
    </w:p>
    <w:p w14:paraId="6E39051A" w14:textId="1C85BBD2" w:rsidR="00136AA6" w:rsidRPr="00F52315" w:rsidRDefault="00136AA6" w:rsidP="00575E99">
      <w:pPr>
        <w:spacing w:line="360" w:lineRule="auto"/>
        <w:jc w:val="both"/>
        <w:rPr>
          <w:color w:val="000000" w:themeColor="text1"/>
          <w:sz w:val="26"/>
          <w:szCs w:val="26"/>
        </w:rPr>
      </w:pPr>
    </w:p>
    <w:p w14:paraId="5183270D" w14:textId="5077B688" w:rsidR="00136AA6" w:rsidRPr="00F52315" w:rsidRDefault="00136AA6" w:rsidP="00575E99">
      <w:pPr>
        <w:spacing w:line="360" w:lineRule="auto"/>
        <w:jc w:val="both"/>
        <w:rPr>
          <w:color w:val="000000" w:themeColor="text1"/>
          <w:sz w:val="26"/>
          <w:szCs w:val="26"/>
        </w:rPr>
      </w:pPr>
      <w:r w:rsidRPr="00F52315">
        <w:rPr>
          <w:color w:val="000000" w:themeColor="text1"/>
          <w:sz w:val="26"/>
          <w:szCs w:val="26"/>
        </w:rPr>
        <w:t xml:space="preserve">Finalmente solicitó no condenar en costas a la entidad y declarar que ante una eventual condena </w:t>
      </w:r>
      <w:r w:rsidR="00092F5A" w:rsidRPr="00F52315">
        <w:rPr>
          <w:color w:val="000000" w:themeColor="text1"/>
          <w:sz w:val="26"/>
          <w:szCs w:val="26"/>
        </w:rPr>
        <w:t>la misma deberá ser pagada con cargo a los títulos de tesorería que emita el Ministerio de Hacienda y Crédito Público, de conformidad con el parágrafo transitorio del artículo 57 de la Ley 1955 de 2019.</w:t>
      </w:r>
    </w:p>
    <w:p w14:paraId="0D9D5325" w14:textId="77777777" w:rsidR="00575E99" w:rsidRPr="00F52315" w:rsidRDefault="00575E99" w:rsidP="00575E99">
      <w:pPr>
        <w:rPr>
          <w:color w:val="000000" w:themeColor="text1"/>
          <w:sz w:val="26"/>
          <w:szCs w:val="26"/>
        </w:rPr>
      </w:pPr>
    </w:p>
    <w:p w14:paraId="712E9D7D" w14:textId="51DF1C22" w:rsidR="00385E3A" w:rsidRPr="00F52315" w:rsidRDefault="00385E3A" w:rsidP="00575E99">
      <w:pPr>
        <w:pStyle w:val="Textoindependiente2"/>
        <w:numPr>
          <w:ilvl w:val="0"/>
          <w:numId w:val="22"/>
        </w:numPr>
        <w:spacing w:after="0" w:line="360" w:lineRule="auto"/>
        <w:jc w:val="both"/>
        <w:rPr>
          <w:b/>
          <w:color w:val="000000" w:themeColor="text1"/>
          <w:sz w:val="26"/>
          <w:szCs w:val="26"/>
        </w:rPr>
      </w:pPr>
      <w:r w:rsidRPr="00F52315">
        <w:rPr>
          <w:b/>
          <w:color w:val="000000" w:themeColor="text1"/>
          <w:sz w:val="26"/>
          <w:szCs w:val="26"/>
        </w:rPr>
        <w:lastRenderedPageBreak/>
        <w:t>Audiencia inicial</w:t>
      </w:r>
    </w:p>
    <w:p w14:paraId="245CCA89" w14:textId="77777777" w:rsidR="00385E3A" w:rsidRPr="00F52315" w:rsidRDefault="00385E3A" w:rsidP="00942AFF">
      <w:pPr>
        <w:pStyle w:val="Textoindependiente2"/>
        <w:spacing w:after="0" w:line="360" w:lineRule="auto"/>
        <w:jc w:val="both"/>
        <w:rPr>
          <w:b/>
          <w:color w:val="000000" w:themeColor="text1"/>
          <w:sz w:val="26"/>
          <w:szCs w:val="26"/>
        </w:rPr>
      </w:pPr>
    </w:p>
    <w:p w14:paraId="2042E103" w14:textId="03A57BF3" w:rsidR="002559E3" w:rsidRPr="00F52315" w:rsidRDefault="00514EDC" w:rsidP="00575E99">
      <w:pPr>
        <w:pStyle w:val="Textoindependiente2"/>
        <w:spacing w:after="0" w:line="360" w:lineRule="auto"/>
        <w:jc w:val="both"/>
        <w:rPr>
          <w:iCs/>
          <w:color w:val="000000" w:themeColor="text1"/>
          <w:sz w:val="26"/>
          <w:szCs w:val="26"/>
        </w:rPr>
      </w:pPr>
      <w:r w:rsidRPr="00F52315">
        <w:rPr>
          <w:color w:val="000000" w:themeColor="text1"/>
          <w:sz w:val="26"/>
          <w:szCs w:val="26"/>
        </w:rPr>
        <w:t>M</w:t>
      </w:r>
      <w:r w:rsidR="00385E3A" w:rsidRPr="00F52315">
        <w:rPr>
          <w:color w:val="000000" w:themeColor="text1"/>
          <w:sz w:val="26"/>
          <w:szCs w:val="26"/>
        </w:rPr>
        <w:t xml:space="preserve">ediante auto de </w:t>
      </w:r>
      <w:r w:rsidR="00092F5A" w:rsidRPr="00F52315">
        <w:rPr>
          <w:color w:val="000000" w:themeColor="text1"/>
          <w:sz w:val="26"/>
          <w:szCs w:val="26"/>
        </w:rPr>
        <w:t>23 de enero</w:t>
      </w:r>
      <w:r w:rsidR="0097476B" w:rsidRPr="00F52315">
        <w:rPr>
          <w:color w:val="000000" w:themeColor="text1"/>
          <w:sz w:val="26"/>
          <w:szCs w:val="26"/>
        </w:rPr>
        <w:t xml:space="preserve"> de 20</w:t>
      </w:r>
      <w:r w:rsidR="00575E99" w:rsidRPr="00F52315">
        <w:rPr>
          <w:color w:val="000000" w:themeColor="text1"/>
          <w:sz w:val="26"/>
          <w:szCs w:val="26"/>
        </w:rPr>
        <w:t>20</w:t>
      </w:r>
      <w:r w:rsidR="00F901FE" w:rsidRPr="00F52315">
        <w:rPr>
          <w:color w:val="000000" w:themeColor="text1"/>
          <w:sz w:val="26"/>
          <w:szCs w:val="26"/>
        </w:rPr>
        <w:t xml:space="preserve"> se</w:t>
      </w:r>
      <w:r w:rsidR="00385E3A" w:rsidRPr="00F52315">
        <w:rPr>
          <w:color w:val="000000" w:themeColor="text1"/>
          <w:sz w:val="26"/>
          <w:szCs w:val="26"/>
        </w:rPr>
        <w:t xml:space="preserve"> fijó fecha para llevar a cabo audiencia inicial, de conformidad con lo previsto en el numeral 1º </w:t>
      </w:r>
      <w:r w:rsidR="006A1E5B" w:rsidRPr="00F52315">
        <w:rPr>
          <w:color w:val="000000" w:themeColor="text1"/>
          <w:sz w:val="26"/>
          <w:szCs w:val="26"/>
        </w:rPr>
        <w:t>del ar</w:t>
      </w:r>
      <w:r w:rsidR="00AB1DC6" w:rsidRPr="00F52315">
        <w:rPr>
          <w:color w:val="000000" w:themeColor="text1"/>
          <w:sz w:val="26"/>
          <w:szCs w:val="26"/>
        </w:rPr>
        <w:t>t</w:t>
      </w:r>
      <w:r w:rsidR="00B63B9C" w:rsidRPr="00F52315">
        <w:rPr>
          <w:color w:val="000000" w:themeColor="text1"/>
          <w:sz w:val="26"/>
          <w:szCs w:val="26"/>
        </w:rPr>
        <w:t>ículo 180 del C.P.A.</w:t>
      </w:r>
      <w:r w:rsidR="0031293D" w:rsidRPr="00F52315">
        <w:rPr>
          <w:color w:val="000000" w:themeColor="text1"/>
          <w:sz w:val="26"/>
          <w:szCs w:val="26"/>
        </w:rPr>
        <w:t>C.A</w:t>
      </w:r>
      <w:r w:rsidR="00B63B9C" w:rsidRPr="00F52315">
        <w:rPr>
          <w:rStyle w:val="Refdenotaalpie"/>
          <w:color w:val="000000" w:themeColor="text1"/>
          <w:sz w:val="26"/>
          <w:szCs w:val="26"/>
        </w:rPr>
        <w:footnoteReference w:id="3"/>
      </w:r>
      <w:r w:rsidR="00645E79" w:rsidRPr="00F52315">
        <w:rPr>
          <w:iCs/>
          <w:color w:val="000000" w:themeColor="text1"/>
          <w:sz w:val="26"/>
          <w:szCs w:val="26"/>
        </w:rPr>
        <w:t>, fecha en la cual se culminó con las etapas de dicha audiencia</w:t>
      </w:r>
      <w:r w:rsidR="000B5598" w:rsidRPr="00F52315">
        <w:rPr>
          <w:iCs/>
          <w:color w:val="000000" w:themeColor="text1"/>
          <w:sz w:val="26"/>
          <w:szCs w:val="26"/>
        </w:rPr>
        <w:t>,</w:t>
      </w:r>
      <w:r w:rsidR="00645E79" w:rsidRPr="00F52315">
        <w:rPr>
          <w:iCs/>
          <w:color w:val="000000" w:themeColor="text1"/>
          <w:sz w:val="26"/>
          <w:szCs w:val="26"/>
        </w:rPr>
        <w:t xml:space="preserve"> </w:t>
      </w:r>
      <w:r w:rsidR="00575E99" w:rsidRPr="00F52315">
        <w:rPr>
          <w:iCs/>
          <w:color w:val="000000" w:themeColor="text1"/>
          <w:sz w:val="26"/>
          <w:szCs w:val="26"/>
        </w:rPr>
        <w:t>se fijó fecha para realización de la audiencia de pruebas conforme al artículo 181 del CPACA</w:t>
      </w:r>
      <w:r w:rsidR="00B63B9C" w:rsidRPr="00F52315">
        <w:rPr>
          <w:rStyle w:val="Refdenotaalpie"/>
          <w:iCs/>
          <w:color w:val="000000" w:themeColor="text1"/>
          <w:sz w:val="26"/>
          <w:szCs w:val="26"/>
        </w:rPr>
        <w:footnoteReference w:id="4"/>
      </w:r>
      <w:r w:rsidR="005809D6" w:rsidRPr="00F52315">
        <w:rPr>
          <w:iCs/>
          <w:color w:val="000000" w:themeColor="text1"/>
          <w:sz w:val="26"/>
          <w:szCs w:val="26"/>
        </w:rPr>
        <w:t xml:space="preserve"> </w:t>
      </w:r>
    </w:p>
    <w:p w14:paraId="1D587E66" w14:textId="77471D37" w:rsidR="00575E99" w:rsidRPr="00F52315" w:rsidRDefault="00575E99" w:rsidP="00575E99">
      <w:pPr>
        <w:pStyle w:val="Textoindependiente2"/>
        <w:spacing w:after="0" w:line="360" w:lineRule="auto"/>
        <w:jc w:val="both"/>
        <w:rPr>
          <w:b/>
          <w:bCs/>
          <w:iCs/>
          <w:color w:val="000000" w:themeColor="text1"/>
          <w:sz w:val="26"/>
          <w:szCs w:val="26"/>
        </w:rPr>
      </w:pPr>
    </w:p>
    <w:p w14:paraId="7F6813BA" w14:textId="2F1A387B" w:rsidR="00575E99" w:rsidRPr="00F52315" w:rsidRDefault="00575E99" w:rsidP="00575E99">
      <w:pPr>
        <w:pStyle w:val="Textoindependiente2"/>
        <w:numPr>
          <w:ilvl w:val="0"/>
          <w:numId w:val="22"/>
        </w:numPr>
        <w:spacing w:after="0" w:line="360" w:lineRule="auto"/>
        <w:jc w:val="both"/>
        <w:rPr>
          <w:b/>
          <w:bCs/>
          <w:iCs/>
          <w:color w:val="000000" w:themeColor="text1"/>
          <w:sz w:val="26"/>
          <w:szCs w:val="26"/>
        </w:rPr>
      </w:pPr>
      <w:r w:rsidRPr="00F52315">
        <w:rPr>
          <w:b/>
          <w:bCs/>
          <w:iCs/>
          <w:color w:val="000000" w:themeColor="text1"/>
          <w:sz w:val="26"/>
          <w:szCs w:val="26"/>
        </w:rPr>
        <w:t>Audiencia de pruebas</w:t>
      </w:r>
    </w:p>
    <w:p w14:paraId="1BF58EEB" w14:textId="367884BE" w:rsidR="00575E99" w:rsidRPr="00F52315" w:rsidRDefault="00575E99" w:rsidP="00575E99">
      <w:pPr>
        <w:pStyle w:val="Textoindependiente2"/>
        <w:spacing w:after="0" w:line="360" w:lineRule="auto"/>
        <w:jc w:val="both"/>
        <w:rPr>
          <w:b/>
          <w:bCs/>
          <w:iCs/>
          <w:color w:val="000000" w:themeColor="text1"/>
          <w:sz w:val="26"/>
          <w:szCs w:val="26"/>
        </w:rPr>
      </w:pPr>
    </w:p>
    <w:p w14:paraId="48894FC7" w14:textId="4E994DEF" w:rsidR="00575E99" w:rsidRPr="00F52315" w:rsidRDefault="00575E99" w:rsidP="00575E99">
      <w:pPr>
        <w:pStyle w:val="Textoindependiente2"/>
        <w:spacing w:after="0" w:line="360" w:lineRule="auto"/>
        <w:jc w:val="both"/>
        <w:rPr>
          <w:iCs/>
          <w:color w:val="000000" w:themeColor="text1"/>
          <w:sz w:val="26"/>
          <w:szCs w:val="26"/>
        </w:rPr>
      </w:pPr>
      <w:r w:rsidRPr="00F52315">
        <w:rPr>
          <w:iCs/>
          <w:color w:val="000000" w:themeColor="text1"/>
          <w:sz w:val="26"/>
          <w:szCs w:val="26"/>
        </w:rPr>
        <w:t xml:space="preserve">La audiencia de pruebas se realizó el </w:t>
      </w:r>
      <w:r w:rsidR="00092F5A" w:rsidRPr="00F52315">
        <w:rPr>
          <w:iCs/>
          <w:color w:val="000000" w:themeColor="text1"/>
          <w:sz w:val="26"/>
          <w:szCs w:val="26"/>
        </w:rPr>
        <w:t>27 de agosto</w:t>
      </w:r>
      <w:r w:rsidRPr="00F52315">
        <w:rPr>
          <w:iCs/>
          <w:color w:val="000000" w:themeColor="text1"/>
          <w:sz w:val="26"/>
          <w:szCs w:val="26"/>
        </w:rPr>
        <w:t xml:space="preserve"> de 2020 conforme a lo dispuesto por el artículo 181 del CPACA, culminada la cual, se corrió traslado para presentar alegatos de conclusión.</w:t>
      </w:r>
      <w:r w:rsidRPr="00F52315">
        <w:rPr>
          <w:rStyle w:val="Refdenotaalpie"/>
          <w:iCs/>
          <w:color w:val="000000" w:themeColor="text1"/>
          <w:sz w:val="26"/>
          <w:szCs w:val="26"/>
        </w:rPr>
        <w:footnoteReference w:id="5"/>
      </w:r>
    </w:p>
    <w:p w14:paraId="13FAB583" w14:textId="14121B17" w:rsidR="00575E99" w:rsidRPr="00F52315" w:rsidRDefault="00575E99" w:rsidP="00575E99">
      <w:pPr>
        <w:pStyle w:val="Textoindependiente2"/>
        <w:spacing w:after="0" w:line="360" w:lineRule="auto"/>
        <w:jc w:val="both"/>
        <w:rPr>
          <w:b/>
          <w:bCs/>
          <w:iCs/>
          <w:color w:val="000000" w:themeColor="text1"/>
          <w:sz w:val="26"/>
          <w:szCs w:val="26"/>
        </w:rPr>
      </w:pPr>
    </w:p>
    <w:p w14:paraId="15A5F330" w14:textId="58CE248A" w:rsidR="00575E99" w:rsidRPr="00F52315" w:rsidRDefault="00575E99" w:rsidP="00575E99">
      <w:pPr>
        <w:pStyle w:val="Textoindependiente2"/>
        <w:numPr>
          <w:ilvl w:val="0"/>
          <w:numId w:val="22"/>
        </w:numPr>
        <w:spacing w:after="0" w:line="360" w:lineRule="auto"/>
        <w:jc w:val="both"/>
        <w:rPr>
          <w:b/>
          <w:bCs/>
          <w:iCs/>
          <w:color w:val="000000" w:themeColor="text1"/>
          <w:sz w:val="26"/>
          <w:szCs w:val="26"/>
        </w:rPr>
      </w:pPr>
      <w:r w:rsidRPr="00F52315">
        <w:rPr>
          <w:b/>
          <w:bCs/>
          <w:iCs/>
          <w:color w:val="000000" w:themeColor="text1"/>
          <w:sz w:val="26"/>
          <w:szCs w:val="26"/>
        </w:rPr>
        <w:t>Alegatos de conclusión</w:t>
      </w:r>
    </w:p>
    <w:p w14:paraId="775C96CC" w14:textId="36121A0E" w:rsidR="00575E99" w:rsidRPr="00F52315" w:rsidRDefault="00575E99" w:rsidP="00575E99">
      <w:pPr>
        <w:pStyle w:val="Textoindependiente2"/>
        <w:spacing w:after="0" w:line="360" w:lineRule="auto"/>
        <w:jc w:val="both"/>
        <w:rPr>
          <w:b/>
          <w:bCs/>
          <w:iCs/>
          <w:color w:val="000000" w:themeColor="text1"/>
          <w:sz w:val="26"/>
          <w:szCs w:val="26"/>
        </w:rPr>
      </w:pPr>
    </w:p>
    <w:p w14:paraId="1C9D7E2F" w14:textId="0C993E78" w:rsidR="00575E99" w:rsidRPr="00F52315" w:rsidRDefault="00575E99" w:rsidP="00575E99">
      <w:pPr>
        <w:pStyle w:val="Textoindependiente2"/>
        <w:numPr>
          <w:ilvl w:val="1"/>
          <w:numId w:val="22"/>
        </w:numPr>
        <w:spacing w:after="0" w:line="360" w:lineRule="auto"/>
        <w:jc w:val="both"/>
        <w:rPr>
          <w:b/>
          <w:bCs/>
          <w:iCs/>
          <w:color w:val="000000" w:themeColor="text1"/>
          <w:sz w:val="26"/>
          <w:szCs w:val="26"/>
        </w:rPr>
      </w:pPr>
      <w:r w:rsidRPr="00F52315">
        <w:rPr>
          <w:b/>
          <w:bCs/>
          <w:iCs/>
          <w:color w:val="000000" w:themeColor="text1"/>
          <w:sz w:val="26"/>
          <w:szCs w:val="26"/>
        </w:rPr>
        <w:t>Alegatos de conclusión presentados por la parte demandante</w:t>
      </w:r>
      <w:r w:rsidR="00677374" w:rsidRPr="00F52315">
        <w:rPr>
          <w:rStyle w:val="Refdenotaalpie"/>
          <w:b/>
          <w:bCs/>
          <w:iCs/>
          <w:color w:val="000000" w:themeColor="text1"/>
          <w:sz w:val="26"/>
          <w:szCs w:val="26"/>
        </w:rPr>
        <w:footnoteReference w:id="6"/>
      </w:r>
    </w:p>
    <w:p w14:paraId="4A94D549" w14:textId="4AC72B95" w:rsidR="00575E99" w:rsidRPr="00F52315" w:rsidRDefault="00575E99" w:rsidP="00575E99">
      <w:pPr>
        <w:pStyle w:val="Textoindependiente2"/>
        <w:spacing w:after="0" w:line="360" w:lineRule="auto"/>
        <w:jc w:val="both"/>
        <w:rPr>
          <w:b/>
          <w:bCs/>
          <w:iCs/>
          <w:color w:val="000000" w:themeColor="text1"/>
          <w:sz w:val="26"/>
          <w:szCs w:val="26"/>
        </w:rPr>
      </w:pPr>
    </w:p>
    <w:p w14:paraId="27D64573" w14:textId="4379F48B" w:rsidR="00102C49" w:rsidRPr="00F52315" w:rsidRDefault="00575E99" w:rsidP="00102C49">
      <w:pPr>
        <w:spacing w:line="360" w:lineRule="auto"/>
        <w:jc w:val="both"/>
        <w:rPr>
          <w:sz w:val="26"/>
          <w:szCs w:val="26"/>
        </w:rPr>
      </w:pPr>
      <w:r w:rsidRPr="073719D1">
        <w:rPr>
          <w:color w:val="000000" w:themeColor="text1"/>
          <w:sz w:val="26"/>
          <w:szCs w:val="26"/>
        </w:rPr>
        <w:t>Reiteró los argumentos de prosperidad de las pretensiones</w:t>
      </w:r>
      <w:r w:rsidR="00677374" w:rsidRPr="073719D1">
        <w:rPr>
          <w:color w:val="000000" w:themeColor="text1"/>
          <w:sz w:val="26"/>
          <w:szCs w:val="26"/>
        </w:rPr>
        <w:t xml:space="preserve"> invocados en la demanda</w:t>
      </w:r>
      <w:r w:rsidRPr="073719D1">
        <w:rPr>
          <w:color w:val="000000" w:themeColor="text1"/>
          <w:sz w:val="26"/>
          <w:szCs w:val="26"/>
        </w:rPr>
        <w:t xml:space="preserve">, </w:t>
      </w:r>
      <w:r w:rsidR="00677374" w:rsidRPr="073719D1">
        <w:rPr>
          <w:color w:val="000000" w:themeColor="text1"/>
          <w:sz w:val="26"/>
          <w:szCs w:val="26"/>
        </w:rPr>
        <w:t xml:space="preserve">e indicó que conforme a la </w:t>
      </w:r>
      <w:r w:rsidR="00677374" w:rsidRPr="073719D1">
        <w:rPr>
          <w:sz w:val="26"/>
          <w:szCs w:val="26"/>
        </w:rPr>
        <w:t xml:space="preserve">sentencia del C.E, Sección Segunda, Subsección “A”, de fecha 26 de agosto de 2019, dentro del proceso radicado 68001- 23-33-000-2016-00406-01, no hay lugar a la indexación con respecto a los días en los cuales se causa la sanción moratoria, sin embargo, la misma sentencia dejo abierta la posibilidad de realizar el respectivo ajuste al valor de la condena, razón por la cual, la sentencia argumento de la presente concluyó que cuando termina la causación de la mora </w:t>
      </w:r>
      <w:r w:rsidR="00102C49" w:rsidRPr="073719D1">
        <w:rPr>
          <w:sz w:val="26"/>
          <w:szCs w:val="26"/>
        </w:rPr>
        <w:t>se consolida una suma total, y ese valor si es objeto de ajuste, desde la fecha en que cesa la mora hasta la ejecutoria de la sentencia</w:t>
      </w:r>
    </w:p>
    <w:p w14:paraId="4996D71B" w14:textId="77777777" w:rsidR="00575E99" w:rsidRPr="00F52315" w:rsidRDefault="00575E99" w:rsidP="00575E99">
      <w:pPr>
        <w:pStyle w:val="Textoindependiente2"/>
        <w:spacing w:after="0" w:line="360" w:lineRule="auto"/>
        <w:jc w:val="both"/>
        <w:rPr>
          <w:iCs/>
          <w:color w:val="000000" w:themeColor="text1"/>
          <w:sz w:val="26"/>
          <w:szCs w:val="26"/>
        </w:rPr>
      </w:pPr>
    </w:p>
    <w:p w14:paraId="4C3F74AA" w14:textId="5225155C" w:rsidR="00575E99" w:rsidRPr="00F52315" w:rsidRDefault="00575E99" w:rsidP="00575E99">
      <w:pPr>
        <w:pStyle w:val="Textoindependiente2"/>
        <w:numPr>
          <w:ilvl w:val="1"/>
          <w:numId w:val="22"/>
        </w:numPr>
        <w:spacing w:after="0" w:line="360" w:lineRule="auto"/>
        <w:jc w:val="both"/>
        <w:rPr>
          <w:b/>
          <w:bCs/>
          <w:iCs/>
          <w:color w:val="000000" w:themeColor="text1"/>
          <w:sz w:val="26"/>
          <w:szCs w:val="26"/>
        </w:rPr>
      </w:pPr>
      <w:r w:rsidRPr="00F52315">
        <w:rPr>
          <w:b/>
          <w:bCs/>
          <w:iCs/>
          <w:color w:val="000000" w:themeColor="text1"/>
          <w:sz w:val="26"/>
          <w:szCs w:val="26"/>
        </w:rPr>
        <w:t>Alegatos de conclusión presentados por la entidad demandada</w:t>
      </w:r>
      <w:r w:rsidRPr="00F52315">
        <w:rPr>
          <w:rStyle w:val="Refdenotaalpie"/>
          <w:b/>
          <w:bCs/>
          <w:iCs/>
          <w:color w:val="000000" w:themeColor="text1"/>
          <w:sz w:val="26"/>
          <w:szCs w:val="26"/>
        </w:rPr>
        <w:footnoteReference w:id="7"/>
      </w:r>
    </w:p>
    <w:p w14:paraId="2335FEAA" w14:textId="77777777" w:rsidR="00575E99" w:rsidRPr="00F52315" w:rsidRDefault="00575E99" w:rsidP="00575E99">
      <w:pPr>
        <w:pStyle w:val="Textoindependiente2"/>
        <w:spacing w:after="0" w:line="360" w:lineRule="auto"/>
        <w:jc w:val="both"/>
        <w:rPr>
          <w:iCs/>
          <w:color w:val="000000" w:themeColor="text1"/>
          <w:sz w:val="26"/>
          <w:szCs w:val="26"/>
        </w:rPr>
      </w:pPr>
    </w:p>
    <w:p w14:paraId="69778C1C" w14:textId="5DFA3E8B" w:rsidR="00575E99" w:rsidRPr="00F52315" w:rsidRDefault="00575E99" w:rsidP="00575E99">
      <w:pPr>
        <w:pStyle w:val="Textoindependiente2"/>
        <w:spacing w:after="0" w:line="360" w:lineRule="auto"/>
        <w:jc w:val="both"/>
        <w:rPr>
          <w:iCs/>
          <w:color w:val="000000" w:themeColor="text1"/>
          <w:sz w:val="26"/>
          <w:szCs w:val="26"/>
        </w:rPr>
      </w:pPr>
      <w:r w:rsidRPr="00F52315">
        <w:rPr>
          <w:iCs/>
          <w:color w:val="000000" w:themeColor="text1"/>
          <w:sz w:val="26"/>
          <w:szCs w:val="26"/>
        </w:rPr>
        <w:lastRenderedPageBreak/>
        <w:t>Reiteró los argumentos de defensa esbozados en la contestación de la demanda</w:t>
      </w:r>
      <w:r w:rsidR="002F41D3" w:rsidRPr="00F52315">
        <w:rPr>
          <w:iCs/>
          <w:color w:val="000000" w:themeColor="text1"/>
          <w:sz w:val="26"/>
          <w:szCs w:val="26"/>
        </w:rPr>
        <w:t xml:space="preserve"> y ahondó en la improcedencia de la indexación de la condena, en caso de ser prósperas las pretensiones.</w:t>
      </w:r>
    </w:p>
    <w:p w14:paraId="59FB92A7" w14:textId="77777777" w:rsidR="00575E99" w:rsidRPr="00F52315" w:rsidRDefault="00575E99" w:rsidP="00575E99">
      <w:pPr>
        <w:pStyle w:val="Textoindependiente2"/>
        <w:spacing w:after="0" w:line="360" w:lineRule="auto"/>
        <w:jc w:val="both"/>
        <w:rPr>
          <w:b/>
          <w:bCs/>
          <w:iCs/>
          <w:color w:val="000000" w:themeColor="text1"/>
          <w:sz w:val="26"/>
          <w:szCs w:val="26"/>
        </w:rPr>
      </w:pPr>
    </w:p>
    <w:p w14:paraId="3FB62720" w14:textId="6AEFDDCB" w:rsidR="00575E99" w:rsidRPr="00F52315" w:rsidRDefault="00575E99" w:rsidP="00575E99">
      <w:pPr>
        <w:pStyle w:val="Textoindependiente2"/>
        <w:numPr>
          <w:ilvl w:val="1"/>
          <w:numId w:val="22"/>
        </w:numPr>
        <w:spacing w:after="0" w:line="360" w:lineRule="auto"/>
        <w:jc w:val="both"/>
        <w:rPr>
          <w:b/>
          <w:bCs/>
          <w:iCs/>
          <w:color w:val="000000" w:themeColor="text1"/>
          <w:sz w:val="26"/>
          <w:szCs w:val="26"/>
        </w:rPr>
      </w:pPr>
      <w:r w:rsidRPr="00F52315">
        <w:rPr>
          <w:b/>
          <w:bCs/>
          <w:iCs/>
          <w:color w:val="000000" w:themeColor="text1"/>
          <w:sz w:val="26"/>
          <w:szCs w:val="26"/>
        </w:rPr>
        <w:t>Alegatos de conclusión presentados por el Ministerio Público.</w:t>
      </w:r>
    </w:p>
    <w:p w14:paraId="00792615" w14:textId="42B6AB27" w:rsidR="00575E99" w:rsidRPr="00F52315" w:rsidRDefault="00575E99" w:rsidP="00575E99">
      <w:pPr>
        <w:pStyle w:val="Textoindependiente2"/>
        <w:spacing w:after="0" w:line="360" w:lineRule="auto"/>
        <w:jc w:val="both"/>
        <w:rPr>
          <w:iCs/>
          <w:color w:val="000000" w:themeColor="text1"/>
          <w:sz w:val="26"/>
          <w:szCs w:val="26"/>
        </w:rPr>
      </w:pPr>
    </w:p>
    <w:p w14:paraId="74D0C17F" w14:textId="23E1A8C1" w:rsidR="00575E99" w:rsidRDefault="0039769E" w:rsidP="00575E99">
      <w:pPr>
        <w:pStyle w:val="Textoindependiente2"/>
        <w:spacing w:after="0" w:line="360" w:lineRule="auto"/>
        <w:jc w:val="both"/>
        <w:rPr>
          <w:iCs/>
          <w:color w:val="000000" w:themeColor="text1"/>
          <w:sz w:val="26"/>
          <w:szCs w:val="26"/>
        </w:rPr>
      </w:pPr>
      <w:r w:rsidRPr="00F52315">
        <w:rPr>
          <w:iCs/>
          <w:color w:val="000000" w:themeColor="text1"/>
          <w:sz w:val="26"/>
          <w:szCs w:val="26"/>
        </w:rPr>
        <w:t>Luego de relacionar la jurisprudencia aplicable al caso, conceptuó:</w:t>
      </w:r>
    </w:p>
    <w:p w14:paraId="2313B8D3" w14:textId="77777777" w:rsidR="0039769E" w:rsidRDefault="0039769E" w:rsidP="00575E99">
      <w:pPr>
        <w:pStyle w:val="Textoindependiente2"/>
        <w:spacing w:after="0" w:line="360" w:lineRule="auto"/>
        <w:jc w:val="both"/>
        <w:rPr>
          <w:iCs/>
          <w:color w:val="000000" w:themeColor="text1"/>
          <w:sz w:val="26"/>
          <w:szCs w:val="26"/>
        </w:rPr>
      </w:pPr>
    </w:p>
    <w:p w14:paraId="2442B132" w14:textId="0680B3C7" w:rsidR="005679DF" w:rsidRPr="005679DF" w:rsidRDefault="005679DF" w:rsidP="005679DF">
      <w:pPr>
        <w:ind w:left="708"/>
        <w:jc w:val="both"/>
      </w:pPr>
      <w:r>
        <w:t>“</w:t>
      </w:r>
      <w:r w:rsidR="00DE5CA1" w:rsidRPr="00DE5CA1">
        <w:t xml:space="preserve">Descendiendo al caso sub examine, se encuentra probado que al docente BERNARDO BELTRAN PINEDA, en su condición de docente afiliado al FONDO NACIONAL DE PRESTACIONES SOCIALES DEL MAGISTERIO, radicó solicitud de reconocimiento de una cesantía parcial el día 13 de abril de 2015, según da cuenta la Resolución No. 005612 del 05 de septiembre de 2015. Por tanto, y teniendo en cuenta los plazos señalados por la Ley </w:t>
      </w:r>
      <w:r w:rsidR="00DE5CA1" w:rsidRPr="005679DF">
        <w:t xml:space="preserve">1071 de 2006, los quince (15) con los que contaba la administración para resolver la petición así presentada, fenecían el 5 de mayo de 2015 20, lo que permite advertir a esta Agencia del Ministerio Público que la petición fue resuelta de forma extemporánea por la administración y por ende, le resulta aplicable la primera subregla fijada por el Consejo de Estado, en su sentencia de unificación, esto es, los 70 días hábiles, que contemplan los plazos señalados por la Ley 1071 de 2006 y los términos de ejecutoria del acto, esto es: i) 15 días para expedir el acto; ii) 10 días de ejecutoria y iii) 45 días para efectuar el pago. </w:t>
      </w:r>
    </w:p>
    <w:p w14:paraId="380FA59E" w14:textId="77777777" w:rsidR="005679DF" w:rsidRPr="005679DF" w:rsidRDefault="005679DF" w:rsidP="005679DF">
      <w:pPr>
        <w:ind w:left="708"/>
        <w:jc w:val="both"/>
      </w:pPr>
    </w:p>
    <w:p w14:paraId="5304BD7B" w14:textId="77777777" w:rsidR="005679DF" w:rsidRPr="005679DF" w:rsidRDefault="00DE5CA1" w:rsidP="005679DF">
      <w:pPr>
        <w:ind w:left="708"/>
        <w:jc w:val="both"/>
      </w:pPr>
      <w:r w:rsidRPr="005679DF">
        <w:t xml:space="preserve">Así entonces y tomando como referencia la fecha de radicación de la petición por parte del demandante, esto es el 13 de abril de 2015 encuentra esta Agencia del Ministerio Público que los 70 días con los que contaba la administración para adelantar el trámite fenecieron el día 28 de julio de 2015, por tanto la sanción moratoria, consistente en un día de salario básico por cada día de mora, deberá empezar a contabilizarse en contra de la entidad accionada a partir del 28 de julio de 2015 (día siguiente al vencimiento del plazo) y hasta el día 04 de abril de 2016 (día anterior a que el dinero fue puesto a disposición del demandante según la certificación expedida por el banco BBVA de Colombia. </w:t>
      </w:r>
    </w:p>
    <w:p w14:paraId="4DB6F919" w14:textId="77777777" w:rsidR="005679DF" w:rsidRPr="005679DF" w:rsidRDefault="005679DF" w:rsidP="005679DF">
      <w:pPr>
        <w:ind w:left="708"/>
        <w:jc w:val="both"/>
      </w:pPr>
    </w:p>
    <w:p w14:paraId="1961BD1D" w14:textId="2623F868" w:rsidR="00DE5CA1" w:rsidRPr="005679DF" w:rsidRDefault="00DE5CA1" w:rsidP="005679DF">
      <w:pPr>
        <w:ind w:left="708"/>
        <w:jc w:val="both"/>
      </w:pPr>
      <w:r>
        <w:t xml:space="preserve">Por su parte conforme a la certificación que fuera expedida por la FIDUPREVISORA S.A.se establece que el mismo fue puesto a disposición de la parte del docente BELTRAN RIVERA BERNARDO el 01 de diciembre de 2015 y al no ser cobrado, se reprogramó nuevamente para el 18 de marzo de 2016. En </w:t>
      </w:r>
      <w:r w:rsidR="157B6353">
        <w:t>consecuencia,</w:t>
      </w:r>
      <w:r>
        <w:t xml:space="preserve"> a criterio de esta Agencia del Ministerio Público el hecho de no retirar el pago en tiempo ya se traduce en una carga del resorte del demandante que no es atribuible a la entidad demandad y por tanto no puede pregonarse su incumplimiento sino hasta la fecha en que por primera vez coloca a disposición del demandante los dineros, sin que este acreditase que no fuera su cumpla el asumir dicha carga.</w:t>
      </w:r>
    </w:p>
    <w:p w14:paraId="49541C40" w14:textId="77777777" w:rsidR="005679DF" w:rsidRPr="005679DF" w:rsidRDefault="005679DF" w:rsidP="005679DF">
      <w:pPr>
        <w:ind w:left="708"/>
        <w:jc w:val="both"/>
      </w:pPr>
    </w:p>
    <w:p w14:paraId="76C2B980" w14:textId="09CBEAAC" w:rsidR="00DE5CA1" w:rsidRPr="00DE5CA1" w:rsidRDefault="00DE5CA1" w:rsidP="005679DF">
      <w:pPr>
        <w:ind w:left="708"/>
        <w:jc w:val="both"/>
      </w:pPr>
      <w:r>
        <w:t xml:space="preserve">Por </w:t>
      </w:r>
      <w:r w:rsidR="63F13718">
        <w:t>tanto,</w:t>
      </w:r>
      <w:r>
        <w:t xml:space="preserve"> considera esta Delegada que en el presente proceso, la mora generada por el no pago oportuno de las cesantías parciales se presentó entre el 28 de julio de 2015 al 01 de diciembre de la misma anualidad, cuando el dinero fuera puesto por primera vez a disposición del demandante y este tiene derecho a que le sea reconocido por concepto de sanción moratoria por el no pago oportuno de sus cesantías parciales el equivalente a 126 días de salario</w:t>
      </w:r>
      <w:r w:rsidR="005679DF">
        <w:t>.”</w:t>
      </w:r>
    </w:p>
    <w:p w14:paraId="5A23D971" w14:textId="55A0CBCA" w:rsidR="00DE5CA1" w:rsidRPr="00DE5CA1" w:rsidRDefault="00DE5CA1" w:rsidP="005679DF">
      <w:pPr>
        <w:ind w:left="708"/>
        <w:jc w:val="both"/>
      </w:pPr>
    </w:p>
    <w:p w14:paraId="529B5A26" w14:textId="5AEC154E" w:rsidR="005679DF" w:rsidRPr="005679DF" w:rsidRDefault="005679DF" w:rsidP="005679DF">
      <w:pPr>
        <w:ind w:left="708"/>
        <w:jc w:val="both"/>
      </w:pPr>
      <w:r w:rsidRPr="073719D1">
        <w:rPr>
          <w:color w:val="000000" w:themeColor="text1"/>
        </w:rPr>
        <w:lastRenderedPageBreak/>
        <w:t xml:space="preserve">No </w:t>
      </w:r>
      <w:r w:rsidR="004E65B1" w:rsidRPr="073719D1">
        <w:rPr>
          <w:color w:val="000000" w:themeColor="text1"/>
        </w:rPr>
        <w:t>obstante,</w:t>
      </w:r>
      <w:r w:rsidRPr="073719D1">
        <w:rPr>
          <w:color w:val="000000" w:themeColor="text1"/>
        </w:rPr>
        <w:t xml:space="preserve"> lo anterior, al descender al estudio de la prescripción, señaló que el Consejo de Estado </w:t>
      </w:r>
      <w:r>
        <w:t>en sentencia de 6 de agosto de 2020, dentro del proceso con radicación interna 0833-2016</w:t>
      </w:r>
      <w:r w:rsidR="007C0CE4">
        <w:t xml:space="preserve"> </w:t>
      </w:r>
      <w:r>
        <w:t>precisó que la causación de la sanción por mora, ocurre desde el día siguiente al del vencimiento de la oportunidad que tiene la administración para proceder a su pago. Luego de relacionar los fundamentos de dicha sentencia, indicó:</w:t>
      </w:r>
    </w:p>
    <w:p w14:paraId="266E3A3E" w14:textId="6DBD3516" w:rsidR="005679DF" w:rsidRPr="005679DF" w:rsidRDefault="005679DF" w:rsidP="005679DF">
      <w:pPr>
        <w:ind w:left="708"/>
        <w:jc w:val="both"/>
      </w:pPr>
    </w:p>
    <w:p w14:paraId="5BCDAA01" w14:textId="2B1841D5" w:rsidR="005679DF" w:rsidRPr="005679DF" w:rsidRDefault="005679DF" w:rsidP="005679DF">
      <w:pPr>
        <w:ind w:left="708"/>
        <w:jc w:val="both"/>
      </w:pPr>
      <w:r>
        <w:t xml:space="preserve">“(…) </w:t>
      </w:r>
      <w:r w:rsidRPr="005679DF">
        <w:t xml:space="preserve">dado que en el presente caso el derecho a reconocimiento y pago de la sanción moratoria se causó a partir del 28 de julio de 2015, fecha en la que le feneció el plazo concedido a la administración para reconocer y cancelar las cesantías parciales al demandante, los tres años de que trata el ordenamiento para la prescripción de derechos se extenderían hasta el 28 de julio de 2018 y dado que la petición con la que se pretendió interrumpir el fenómeno extintivo fuera radicada el 31 de julio de 2018, considera esta agencia del Ministerio Público que el fenómeno extintivo operó respecto de la pretensión deprecada. </w:t>
      </w:r>
    </w:p>
    <w:p w14:paraId="1D401CC6" w14:textId="77777777" w:rsidR="005679DF" w:rsidRPr="005679DF" w:rsidRDefault="005679DF" w:rsidP="005679DF">
      <w:pPr>
        <w:ind w:left="708"/>
        <w:jc w:val="both"/>
      </w:pPr>
    </w:p>
    <w:p w14:paraId="19A377A8" w14:textId="414831FE" w:rsidR="005679DF" w:rsidRPr="005679DF" w:rsidRDefault="005679DF" w:rsidP="005679DF">
      <w:pPr>
        <w:ind w:left="708"/>
        <w:jc w:val="both"/>
      </w:pPr>
      <w:r w:rsidRPr="005679DF">
        <w:t>En consecuencia, dentro del presente proceso, esta agencia del Ministerio Público, solicita respetuosamente al señor Juez despachar desfavorablemente las pretensiones al haber operado el fenómeno extintivo de la prescripción.</w:t>
      </w:r>
      <w:r>
        <w:t>”</w:t>
      </w:r>
    </w:p>
    <w:p w14:paraId="33EDF284" w14:textId="77777777" w:rsidR="005679DF" w:rsidRPr="00942AFF" w:rsidRDefault="005679DF" w:rsidP="00942AFF">
      <w:pPr>
        <w:spacing w:line="360" w:lineRule="auto"/>
        <w:jc w:val="both"/>
        <w:rPr>
          <w:iCs/>
          <w:color w:val="000000" w:themeColor="text1"/>
          <w:sz w:val="26"/>
          <w:szCs w:val="26"/>
        </w:rPr>
      </w:pPr>
    </w:p>
    <w:p w14:paraId="3EEF1A70" w14:textId="77777777" w:rsidR="00385E3A" w:rsidRPr="00942AFF" w:rsidRDefault="00421CD7" w:rsidP="00942AFF">
      <w:pPr>
        <w:pStyle w:val="Lista"/>
        <w:spacing w:line="360" w:lineRule="auto"/>
        <w:ind w:left="360" w:firstLine="0"/>
        <w:jc w:val="center"/>
        <w:rPr>
          <w:b/>
          <w:color w:val="000000" w:themeColor="text1"/>
          <w:sz w:val="26"/>
          <w:szCs w:val="26"/>
        </w:rPr>
      </w:pPr>
      <w:r w:rsidRPr="00942AFF">
        <w:rPr>
          <w:b/>
          <w:color w:val="000000" w:themeColor="text1"/>
          <w:sz w:val="26"/>
          <w:szCs w:val="26"/>
        </w:rPr>
        <w:t>III</w:t>
      </w:r>
      <w:r w:rsidR="00385E3A" w:rsidRPr="00942AFF">
        <w:rPr>
          <w:b/>
          <w:color w:val="000000" w:themeColor="text1"/>
          <w:sz w:val="26"/>
          <w:szCs w:val="26"/>
        </w:rPr>
        <w:t>. FALLO RECURRIDO</w:t>
      </w:r>
    </w:p>
    <w:p w14:paraId="75D605FD" w14:textId="77777777" w:rsidR="00385E3A" w:rsidRPr="00942AFF" w:rsidRDefault="00385E3A" w:rsidP="00942AFF">
      <w:pPr>
        <w:pStyle w:val="Lista"/>
        <w:spacing w:line="360" w:lineRule="auto"/>
        <w:ind w:left="0" w:firstLine="0"/>
        <w:jc w:val="center"/>
        <w:rPr>
          <w:color w:val="FF0000"/>
          <w:sz w:val="26"/>
          <w:szCs w:val="26"/>
        </w:rPr>
      </w:pPr>
    </w:p>
    <w:p w14:paraId="2EB0A9CE" w14:textId="2017D1D8" w:rsidR="00385E3A" w:rsidRDefault="00385E3A" w:rsidP="00942AFF">
      <w:pPr>
        <w:spacing w:line="360" w:lineRule="auto"/>
        <w:jc w:val="both"/>
        <w:rPr>
          <w:color w:val="000000" w:themeColor="text1"/>
          <w:sz w:val="26"/>
          <w:szCs w:val="26"/>
        </w:rPr>
      </w:pPr>
      <w:r w:rsidRPr="00942AFF">
        <w:rPr>
          <w:color w:val="000000" w:themeColor="text1"/>
          <w:sz w:val="26"/>
          <w:szCs w:val="26"/>
        </w:rPr>
        <w:t xml:space="preserve">El Juzgado </w:t>
      </w:r>
      <w:r w:rsidR="005679DF">
        <w:rPr>
          <w:color w:val="000000" w:themeColor="text1"/>
          <w:sz w:val="26"/>
          <w:szCs w:val="26"/>
        </w:rPr>
        <w:t>Quinto</w:t>
      </w:r>
      <w:r w:rsidR="0039769E">
        <w:rPr>
          <w:color w:val="000000" w:themeColor="text1"/>
          <w:sz w:val="26"/>
          <w:szCs w:val="26"/>
        </w:rPr>
        <w:t xml:space="preserve"> </w:t>
      </w:r>
      <w:r w:rsidRPr="00942AFF">
        <w:rPr>
          <w:color w:val="000000" w:themeColor="text1"/>
          <w:sz w:val="26"/>
          <w:szCs w:val="26"/>
        </w:rPr>
        <w:t xml:space="preserve">Administrativo Oral del Circuito Judicial </w:t>
      </w:r>
      <w:r w:rsidR="00DE1D2B">
        <w:rPr>
          <w:color w:val="000000" w:themeColor="text1"/>
          <w:sz w:val="26"/>
          <w:szCs w:val="26"/>
        </w:rPr>
        <w:t>de Tunja</w:t>
      </w:r>
      <w:r w:rsidR="00162236" w:rsidRPr="00942AFF">
        <w:rPr>
          <w:color w:val="000000" w:themeColor="text1"/>
          <w:sz w:val="26"/>
          <w:szCs w:val="26"/>
        </w:rPr>
        <w:t xml:space="preserve">, </w:t>
      </w:r>
      <w:r w:rsidR="007938DC" w:rsidRPr="00942AFF">
        <w:rPr>
          <w:color w:val="000000" w:themeColor="text1"/>
          <w:sz w:val="26"/>
          <w:szCs w:val="26"/>
        </w:rPr>
        <w:t>mediante fallo proferido el</w:t>
      </w:r>
      <w:r w:rsidR="006A1E5B" w:rsidRPr="00942AFF">
        <w:rPr>
          <w:color w:val="000000" w:themeColor="text1"/>
          <w:sz w:val="26"/>
          <w:szCs w:val="26"/>
        </w:rPr>
        <w:t xml:space="preserve"> </w:t>
      </w:r>
      <w:r w:rsidR="0039769E">
        <w:rPr>
          <w:color w:val="000000" w:themeColor="text1"/>
          <w:sz w:val="26"/>
          <w:szCs w:val="26"/>
        </w:rPr>
        <w:t>1</w:t>
      </w:r>
      <w:r w:rsidR="005679DF">
        <w:rPr>
          <w:color w:val="000000" w:themeColor="text1"/>
          <w:sz w:val="26"/>
          <w:szCs w:val="26"/>
        </w:rPr>
        <w:t>3</w:t>
      </w:r>
      <w:r w:rsidR="0039769E">
        <w:rPr>
          <w:color w:val="000000" w:themeColor="text1"/>
          <w:sz w:val="26"/>
          <w:szCs w:val="26"/>
        </w:rPr>
        <w:t xml:space="preserve"> de </w:t>
      </w:r>
      <w:r w:rsidR="005679DF">
        <w:rPr>
          <w:color w:val="000000" w:themeColor="text1"/>
          <w:sz w:val="26"/>
          <w:szCs w:val="26"/>
        </w:rPr>
        <w:t>octu</w:t>
      </w:r>
      <w:r w:rsidR="0039769E">
        <w:rPr>
          <w:color w:val="000000" w:themeColor="text1"/>
          <w:sz w:val="26"/>
          <w:szCs w:val="26"/>
        </w:rPr>
        <w:t>bre</w:t>
      </w:r>
      <w:r w:rsidR="00417201" w:rsidRPr="00942AFF">
        <w:rPr>
          <w:color w:val="000000" w:themeColor="text1"/>
          <w:sz w:val="26"/>
          <w:szCs w:val="26"/>
        </w:rPr>
        <w:t xml:space="preserve"> de 20</w:t>
      </w:r>
      <w:r w:rsidR="001D619A">
        <w:rPr>
          <w:color w:val="000000" w:themeColor="text1"/>
          <w:sz w:val="26"/>
          <w:szCs w:val="26"/>
        </w:rPr>
        <w:t>20</w:t>
      </w:r>
      <w:r w:rsidR="003649ED" w:rsidRPr="00942AFF">
        <w:rPr>
          <w:rStyle w:val="Refdenotaalpie"/>
          <w:color w:val="000000" w:themeColor="text1"/>
          <w:sz w:val="26"/>
          <w:szCs w:val="26"/>
        </w:rPr>
        <w:footnoteReference w:id="8"/>
      </w:r>
      <w:r w:rsidRPr="00942AFF">
        <w:rPr>
          <w:color w:val="000000" w:themeColor="text1"/>
          <w:sz w:val="26"/>
          <w:szCs w:val="26"/>
        </w:rPr>
        <w:t xml:space="preserve">, </w:t>
      </w:r>
      <w:r w:rsidR="005679DF">
        <w:rPr>
          <w:b/>
          <w:bCs/>
          <w:color w:val="000000" w:themeColor="text1"/>
          <w:sz w:val="26"/>
          <w:szCs w:val="26"/>
        </w:rPr>
        <w:t>negó</w:t>
      </w:r>
      <w:r w:rsidR="00162236" w:rsidRPr="00942AFF">
        <w:rPr>
          <w:color w:val="000000" w:themeColor="text1"/>
          <w:sz w:val="26"/>
          <w:szCs w:val="26"/>
        </w:rPr>
        <w:t xml:space="preserve"> las pretensiones de la demanda, </w:t>
      </w:r>
      <w:r w:rsidR="00362814">
        <w:rPr>
          <w:color w:val="000000" w:themeColor="text1"/>
          <w:sz w:val="26"/>
          <w:szCs w:val="26"/>
        </w:rPr>
        <w:t>por encontrar próspera la excepción de prescripción.</w:t>
      </w:r>
    </w:p>
    <w:p w14:paraId="49046EA8" w14:textId="77777777" w:rsidR="00D607A9" w:rsidRPr="00942AFF" w:rsidRDefault="00D607A9" w:rsidP="00942AFF">
      <w:pPr>
        <w:spacing w:line="360" w:lineRule="auto"/>
        <w:jc w:val="both"/>
        <w:rPr>
          <w:color w:val="000000" w:themeColor="text1"/>
          <w:sz w:val="26"/>
          <w:szCs w:val="26"/>
        </w:rPr>
      </w:pPr>
    </w:p>
    <w:p w14:paraId="3B7354C5" w14:textId="0951646D" w:rsidR="00362814" w:rsidRPr="0010710D" w:rsidRDefault="00D607A9" w:rsidP="0010710D">
      <w:pPr>
        <w:spacing w:line="360" w:lineRule="auto"/>
        <w:jc w:val="both"/>
        <w:rPr>
          <w:sz w:val="26"/>
          <w:szCs w:val="26"/>
        </w:rPr>
      </w:pPr>
      <w:r w:rsidRPr="0010710D">
        <w:rPr>
          <w:color w:val="000000" w:themeColor="text1"/>
          <w:sz w:val="26"/>
          <w:szCs w:val="26"/>
        </w:rPr>
        <w:t xml:space="preserve">Trajo a colación la </w:t>
      </w:r>
      <w:r w:rsidR="00362814" w:rsidRPr="0010710D">
        <w:rPr>
          <w:sz w:val="26"/>
          <w:szCs w:val="26"/>
        </w:rPr>
        <w:t>Sentencia de Unificación CE-SUJSII-012-2018 de 18 de julio de 2018, en la que el Consejo de Estado señaló que a los docentes les son aplicables las Leyes 244 de 199513 y 1071 de 2006, que contemplan la sanción por mora en el reconocimiento y pago de las cesantías parciales o definitivas de los servidores públicos; siendo consonante esta posición, con la adoptada por la Corte Constitucional en sentencia SU-336 del 18 de mayo de 2017.</w:t>
      </w:r>
    </w:p>
    <w:p w14:paraId="12865103" w14:textId="45DEA865" w:rsidR="00362814" w:rsidRPr="0010710D" w:rsidRDefault="00362814" w:rsidP="0010710D">
      <w:pPr>
        <w:spacing w:line="360" w:lineRule="auto"/>
        <w:jc w:val="both"/>
        <w:rPr>
          <w:sz w:val="26"/>
          <w:szCs w:val="26"/>
        </w:rPr>
      </w:pPr>
    </w:p>
    <w:p w14:paraId="1C0E5199" w14:textId="1059EC6F" w:rsidR="0010710D" w:rsidRPr="0010710D" w:rsidRDefault="00362814" w:rsidP="073719D1">
      <w:pPr>
        <w:spacing w:line="360" w:lineRule="auto"/>
        <w:jc w:val="both"/>
        <w:rPr>
          <w:b/>
          <w:bCs/>
          <w:sz w:val="26"/>
          <w:szCs w:val="26"/>
        </w:rPr>
      </w:pPr>
      <w:r w:rsidRPr="073719D1">
        <w:rPr>
          <w:sz w:val="26"/>
          <w:szCs w:val="26"/>
        </w:rPr>
        <w:t>Luego de analizar cada uno de los aspectos analizados en la sentencia de unificación referida, descendió al caso concret</w:t>
      </w:r>
      <w:r w:rsidR="004A4F5C" w:rsidRPr="073719D1">
        <w:rPr>
          <w:sz w:val="26"/>
          <w:szCs w:val="26"/>
        </w:rPr>
        <w:t xml:space="preserve">o </w:t>
      </w:r>
      <w:r w:rsidR="004A4F5C" w:rsidRPr="073719D1">
        <w:rPr>
          <w:b/>
          <w:bCs/>
          <w:sz w:val="26"/>
          <w:szCs w:val="26"/>
        </w:rPr>
        <w:t>dando prosperidad a la excepción de prescripción</w:t>
      </w:r>
      <w:r w:rsidR="0010710D" w:rsidRPr="073719D1">
        <w:rPr>
          <w:sz w:val="26"/>
          <w:szCs w:val="26"/>
        </w:rPr>
        <w:t xml:space="preserve">, toda vez que la administración tenía hasta 28 de julio de 2015 para proceder al pago de las cesantías parciales del demandante Bernardo Beltrán Rivera, ya que en esta fecha se vencían los 45 días hábiles siguientes al vencimiento del término que tenía la administración para resolver la solicitud junto con el término de </w:t>
      </w:r>
      <w:r w:rsidR="0010710D" w:rsidRPr="073719D1">
        <w:rPr>
          <w:sz w:val="26"/>
          <w:szCs w:val="26"/>
        </w:rPr>
        <w:lastRenderedPageBreak/>
        <w:t>ejecutoria de la posible decisión administrativa</w:t>
      </w:r>
      <w:r w:rsidR="4170B77A" w:rsidRPr="073719D1">
        <w:rPr>
          <w:sz w:val="26"/>
          <w:szCs w:val="26"/>
        </w:rPr>
        <w:t>. C</w:t>
      </w:r>
      <w:r w:rsidR="0010710D" w:rsidRPr="073719D1">
        <w:rPr>
          <w:sz w:val="26"/>
          <w:szCs w:val="26"/>
        </w:rPr>
        <w:t xml:space="preserve">onforme a esto, para poder interrumpir el término prescriptivo y evitar la extinción del derecho </w:t>
      </w:r>
      <w:r w:rsidR="05F800EE" w:rsidRPr="073719D1">
        <w:rPr>
          <w:b/>
          <w:bCs/>
          <w:sz w:val="26"/>
          <w:szCs w:val="26"/>
        </w:rPr>
        <w:t>el</w:t>
      </w:r>
      <w:r w:rsidR="0010710D" w:rsidRPr="073719D1">
        <w:rPr>
          <w:b/>
          <w:bCs/>
          <w:sz w:val="26"/>
          <w:szCs w:val="26"/>
        </w:rPr>
        <w:t xml:space="preserve"> demandante contaba hasta el 29 de julio de 2018, para presentar la reclamación administrativa. </w:t>
      </w:r>
    </w:p>
    <w:p w14:paraId="76740CE5" w14:textId="5D1FAD05" w:rsidR="0010710D" w:rsidRPr="0010710D" w:rsidRDefault="0010710D" w:rsidP="073719D1">
      <w:pPr>
        <w:spacing w:line="360" w:lineRule="auto"/>
        <w:jc w:val="both"/>
        <w:rPr>
          <w:b/>
          <w:bCs/>
          <w:sz w:val="26"/>
          <w:szCs w:val="26"/>
        </w:rPr>
      </w:pPr>
    </w:p>
    <w:p w14:paraId="1FAC4E30" w14:textId="7214CD76" w:rsidR="0010710D" w:rsidRPr="0010710D" w:rsidRDefault="0010710D" w:rsidP="073719D1">
      <w:pPr>
        <w:spacing w:line="360" w:lineRule="auto"/>
        <w:jc w:val="both"/>
        <w:rPr>
          <w:sz w:val="26"/>
          <w:szCs w:val="26"/>
        </w:rPr>
      </w:pPr>
      <w:r w:rsidRPr="073719D1">
        <w:rPr>
          <w:sz w:val="26"/>
          <w:szCs w:val="26"/>
        </w:rPr>
        <w:t>En consecuencia, revisadas las pruebas del proceso, se tiene que el señor Bernardo Beltrán Rivera el 31 de julio de 2018, presentó la reclamación administrativa tendiente al pago de la sanción moratoria</w:t>
      </w:r>
      <w:r w:rsidR="180500FE" w:rsidRPr="073719D1">
        <w:rPr>
          <w:sz w:val="26"/>
          <w:szCs w:val="26"/>
        </w:rPr>
        <w:t>. P</w:t>
      </w:r>
      <w:r w:rsidRPr="073719D1">
        <w:rPr>
          <w:sz w:val="26"/>
          <w:szCs w:val="26"/>
        </w:rPr>
        <w:t xml:space="preserve">or consiguiente, la misma tuvo la virtud de interrumpir el término prescriptivo, pues los tres (03) primeros años de prescripción vencieron el 29 de julio de 2018, por </w:t>
      </w:r>
      <w:r w:rsidR="237FD1CF" w:rsidRPr="073719D1">
        <w:rPr>
          <w:sz w:val="26"/>
          <w:szCs w:val="26"/>
        </w:rPr>
        <w:t>ende,</w:t>
      </w:r>
      <w:r w:rsidRPr="073719D1">
        <w:rPr>
          <w:sz w:val="26"/>
          <w:szCs w:val="26"/>
        </w:rPr>
        <w:t xml:space="preserve"> no existen sumas parciales no afectadas por la prescripción, y en consecuencia la sanción moratoria que se reclama en el presente asunto se encuentra extinguida. </w:t>
      </w:r>
    </w:p>
    <w:p w14:paraId="06149D1A" w14:textId="335D127B" w:rsidR="0010710D" w:rsidRPr="0010710D" w:rsidRDefault="0010710D" w:rsidP="073719D1">
      <w:pPr>
        <w:spacing w:line="360" w:lineRule="auto"/>
        <w:jc w:val="both"/>
        <w:rPr>
          <w:sz w:val="26"/>
          <w:szCs w:val="26"/>
        </w:rPr>
      </w:pPr>
    </w:p>
    <w:p w14:paraId="2E4FE641" w14:textId="2181368A" w:rsidR="0010710D" w:rsidRPr="0010710D" w:rsidRDefault="0010710D" w:rsidP="0010710D">
      <w:pPr>
        <w:spacing w:line="360" w:lineRule="auto"/>
        <w:jc w:val="both"/>
        <w:rPr>
          <w:sz w:val="26"/>
          <w:szCs w:val="26"/>
        </w:rPr>
      </w:pPr>
      <w:r w:rsidRPr="073719D1">
        <w:rPr>
          <w:sz w:val="26"/>
          <w:szCs w:val="26"/>
        </w:rPr>
        <w:t>Así las cosas, al configurarse la prescripción extintiva de la sanción moratoria la cual ocurrió antes de la reclamación administrativa, el Despacho enc</w:t>
      </w:r>
      <w:r w:rsidR="0C5E9752" w:rsidRPr="073719D1">
        <w:rPr>
          <w:sz w:val="26"/>
          <w:szCs w:val="26"/>
        </w:rPr>
        <w:t>ontró</w:t>
      </w:r>
      <w:r w:rsidRPr="073719D1">
        <w:rPr>
          <w:sz w:val="26"/>
          <w:szCs w:val="26"/>
        </w:rPr>
        <w:t xml:space="preserve"> que el acto administrativo demandado es válido en cuanto negó el reconocimiento y pago de la sanción moratoria, pues el mismo ya se encontraba prescrito.</w:t>
      </w:r>
    </w:p>
    <w:p w14:paraId="2292F489" w14:textId="77777777" w:rsidR="0010710D" w:rsidRPr="00D607A9" w:rsidRDefault="0010710D" w:rsidP="00942AFF">
      <w:pPr>
        <w:spacing w:line="360" w:lineRule="auto"/>
        <w:jc w:val="both"/>
        <w:rPr>
          <w:color w:val="000000" w:themeColor="text1"/>
          <w:sz w:val="26"/>
          <w:szCs w:val="26"/>
        </w:rPr>
      </w:pPr>
    </w:p>
    <w:p w14:paraId="060533A7" w14:textId="77777777" w:rsidR="00385E3A" w:rsidRPr="009479AE" w:rsidRDefault="00421CD7" w:rsidP="00942AFF">
      <w:pPr>
        <w:spacing w:line="360" w:lineRule="auto"/>
        <w:jc w:val="center"/>
        <w:rPr>
          <w:b/>
          <w:color w:val="000000" w:themeColor="text1"/>
          <w:sz w:val="26"/>
          <w:szCs w:val="26"/>
        </w:rPr>
      </w:pPr>
      <w:r w:rsidRPr="009479AE">
        <w:rPr>
          <w:b/>
          <w:color w:val="000000" w:themeColor="text1"/>
          <w:sz w:val="26"/>
          <w:szCs w:val="26"/>
        </w:rPr>
        <w:t>I</w:t>
      </w:r>
      <w:r w:rsidR="00385E3A" w:rsidRPr="009479AE">
        <w:rPr>
          <w:b/>
          <w:color w:val="000000" w:themeColor="text1"/>
          <w:sz w:val="26"/>
          <w:szCs w:val="26"/>
        </w:rPr>
        <w:t>V. SUSTENTACIÓN DE LA APELACIÓN</w:t>
      </w:r>
    </w:p>
    <w:p w14:paraId="109B523B" w14:textId="77777777" w:rsidR="00385E3A" w:rsidRPr="009479AE" w:rsidRDefault="00385E3A" w:rsidP="00942AFF">
      <w:pPr>
        <w:spacing w:line="360" w:lineRule="auto"/>
        <w:jc w:val="both"/>
        <w:rPr>
          <w:color w:val="000000" w:themeColor="text1"/>
          <w:sz w:val="26"/>
          <w:szCs w:val="26"/>
        </w:rPr>
      </w:pPr>
    </w:p>
    <w:p w14:paraId="265CDE25" w14:textId="78D223CF" w:rsidR="0031761B" w:rsidRDefault="0010710D" w:rsidP="00942AFF">
      <w:pPr>
        <w:spacing w:line="360" w:lineRule="auto"/>
        <w:jc w:val="both"/>
        <w:rPr>
          <w:color w:val="000000" w:themeColor="text1"/>
          <w:sz w:val="26"/>
          <w:szCs w:val="26"/>
        </w:rPr>
      </w:pPr>
      <w:r>
        <w:rPr>
          <w:color w:val="000000" w:themeColor="text1"/>
          <w:sz w:val="26"/>
          <w:szCs w:val="26"/>
        </w:rPr>
        <w:t>La apoderada de la parte demandante</w:t>
      </w:r>
      <w:r w:rsidR="0031761B">
        <w:rPr>
          <w:color w:val="000000" w:themeColor="text1"/>
          <w:sz w:val="26"/>
          <w:szCs w:val="26"/>
        </w:rPr>
        <w:t xml:space="preserve"> interpuso recurso de apelación</w:t>
      </w:r>
      <w:r w:rsidR="00A34812">
        <w:rPr>
          <w:rStyle w:val="Refdenotaalpie"/>
          <w:color w:val="000000" w:themeColor="text1"/>
          <w:sz w:val="26"/>
          <w:szCs w:val="26"/>
        </w:rPr>
        <w:footnoteReference w:id="9"/>
      </w:r>
      <w:r w:rsidR="0031761B">
        <w:rPr>
          <w:color w:val="000000" w:themeColor="text1"/>
          <w:sz w:val="26"/>
          <w:szCs w:val="26"/>
        </w:rPr>
        <w:t xml:space="preserve"> en contra de la sentencia de primera instancia, </w:t>
      </w:r>
      <w:r>
        <w:rPr>
          <w:color w:val="000000" w:themeColor="text1"/>
          <w:sz w:val="26"/>
          <w:szCs w:val="26"/>
        </w:rPr>
        <w:t>indicando</w:t>
      </w:r>
      <w:r w:rsidR="00101594">
        <w:rPr>
          <w:color w:val="000000" w:themeColor="text1"/>
          <w:sz w:val="26"/>
          <w:szCs w:val="26"/>
        </w:rPr>
        <w:t>:</w:t>
      </w:r>
    </w:p>
    <w:p w14:paraId="2DCF13C0" w14:textId="4CDA187F" w:rsidR="00101594" w:rsidRDefault="00101594" w:rsidP="00942AFF">
      <w:pPr>
        <w:spacing w:line="360" w:lineRule="auto"/>
        <w:jc w:val="both"/>
        <w:rPr>
          <w:color w:val="000000" w:themeColor="text1"/>
          <w:sz w:val="26"/>
          <w:szCs w:val="26"/>
        </w:rPr>
      </w:pPr>
    </w:p>
    <w:p w14:paraId="278B93E4" w14:textId="0657E4E7" w:rsidR="0078553A" w:rsidRPr="00F23ABD" w:rsidRDefault="0078553A" w:rsidP="00F23ABD">
      <w:pPr>
        <w:spacing w:line="360" w:lineRule="auto"/>
        <w:jc w:val="both"/>
        <w:rPr>
          <w:sz w:val="26"/>
          <w:szCs w:val="26"/>
        </w:rPr>
      </w:pPr>
      <w:r w:rsidRPr="00F23ABD">
        <w:rPr>
          <w:sz w:val="26"/>
          <w:szCs w:val="26"/>
        </w:rPr>
        <w:t>1.- Que la ley 1071 del 31 de julio de 2006, establece que la mora en el pago de las cesantías se debe demostrar, situación que fue probada con las pruebas allegadas con la demanda, como es la constancia de pago expedida por el BANCO BBVA, por lo que solo se generaría y puede demostrar la mora hasta el momento en que la entidad realice efectivamente el pago, para probarle al juez de una manera contundente que existió negligencia de la entidad para el pago de las cesantías y cuantos días de mora existió.</w:t>
      </w:r>
    </w:p>
    <w:p w14:paraId="74F51EDF" w14:textId="7AAE509D" w:rsidR="0078553A" w:rsidRPr="00F23ABD" w:rsidRDefault="0078553A" w:rsidP="00F23ABD">
      <w:pPr>
        <w:spacing w:line="360" w:lineRule="auto"/>
        <w:jc w:val="both"/>
        <w:rPr>
          <w:sz w:val="26"/>
          <w:szCs w:val="26"/>
        </w:rPr>
      </w:pPr>
    </w:p>
    <w:p w14:paraId="0C00D052" w14:textId="51C08A25" w:rsidR="0078553A" w:rsidRPr="00F23ABD" w:rsidRDefault="0078553A" w:rsidP="00F23ABD">
      <w:pPr>
        <w:spacing w:line="360" w:lineRule="auto"/>
        <w:jc w:val="both"/>
        <w:rPr>
          <w:sz w:val="26"/>
          <w:szCs w:val="26"/>
        </w:rPr>
      </w:pPr>
      <w:r w:rsidRPr="00F23ABD">
        <w:rPr>
          <w:sz w:val="26"/>
          <w:szCs w:val="26"/>
        </w:rPr>
        <w:lastRenderedPageBreak/>
        <w:t>2.- Que este proceso es de carácter declarativo que busca determinar la existencia de la tardanza en el pago de las cesantías, pero la declaración sobre su valor y el tiempo que debe cancelarse, solo existe hasta que el juez administrativo determina claramente el contenido que le asiste a mi mandante.</w:t>
      </w:r>
      <w:r w:rsidR="008B17B9" w:rsidRPr="00F23ABD">
        <w:rPr>
          <w:sz w:val="26"/>
          <w:szCs w:val="26"/>
        </w:rPr>
        <w:t xml:space="preserve"> Luego al ser la sentencia constitutiva del derecho, no puede declararse la prescripción tal y como lo hizo el a quo.</w:t>
      </w:r>
    </w:p>
    <w:p w14:paraId="62809584" w14:textId="79F4CE41" w:rsidR="008B17B9" w:rsidRPr="00F23ABD" w:rsidRDefault="008B17B9" w:rsidP="00F23ABD">
      <w:pPr>
        <w:spacing w:line="360" w:lineRule="auto"/>
        <w:jc w:val="both"/>
        <w:rPr>
          <w:sz w:val="26"/>
          <w:szCs w:val="26"/>
        </w:rPr>
      </w:pPr>
    </w:p>
    <w:p w14:paraId="3F9983A2" w14:textId="6EF7BBF6" w:rsidR="008B17B9" w:rsidRPr="00F23ABD" w:rsidRDefault="008B17B9" w:rsidP="00F23ABD">
      <w:pPr>
        <w:spacing w:line="360" w:lineRule="auto"/>
        <w:jc w:val="both"/>
        <w:rPr>
          <w:sz w:val="26"/>
          <w:szCs w:val="26"/>
        </w:rPr>
      </w:pPr>
      <w:r w:rsidRPr="073719D1">
        <w:rPr>
          <w:sz w:val="26"/>
          <w:szCs w:val="26"/>
        </w:rPr>
        <w:t>3.- La prescripción trienal deriva del Decreto Ley 3135 de 1968 y del Decreto Reglamentario 1848 de 1969</w:t>
      </w:r>
      <w:r w:rsidR="00AB63B7" w:rsidRPr="073719D1">
        <w:rPr>
          <w:sz w:val="26"/>
          <w:szCs w:val="26"/>
        </w:rPr>
        <w:t xml:space="preserve">, normas que no consagraron las cesantías ni la sanción moratoria, luego no puede aplicárseles las disposiciones atinentes a la prescripción. En </w:t>
      </w:r>
      <w:r w:rsidR="4300DDFA" w:rsidRPr="073719D1">
        <w:rPr>
          <w:sz w:val="26"/>
          <w:szCs w:val="26"/>
        </w:rPr>
        <w:t>consecuencia,</w:t>
      </w:r>
      <w:r w:rsidR="00AB63B7" w:rsidRPr="073719D1">
        <w:rPr>
          <w:sz w:val="26"/>
          <w:szCs w:val="26"/>
        </w:rPr>
        <w:t xml:space="preserve"> la norma aplicable en lo que toca a la prescripción es el Código Civil que establece que dicho fenómeno opera en diez años conforme al artículo 2536. Aunado a lo anterior, la misma no fue alegada en la contestación de la demanda.</w:t>
      </w:r>
    </w:p>
    <w:p w14:paraId="3DB63CC7" w14:textId="13467404" w:rsidR="005C7A03" w:rsidRPr="00F23ABD" w:rsidRDefault="005C7A03" w:rsidP="00F23ABD">
      <w:pPr>
        <w:spacing w:line="360" w:lineRule="auto"/>
        <w:jc w:val="both"/>
        <w:rPr>
          <w:sz w:val="26"/>
          <w:szCs w:val="26"/>
        </w:rPr>
      </w:pPr>
    </w:p>
    <w:p w14:paraId="3C1C5DD1" w14:textId="2127BA82" w:rsidR="005C7A03" w:rsidRPr="00F23ABD" w:rsidRDefault="005C7A03" w:rsidP="00F23ABD">
      <w:pPr>
        <w:spacing w:line="360" w:lineRule="auto"/>
        <w:jc w:val="both"/>
        <w:rPr>
          <w:sz w:val="26"/>
          <w:szCs w:val="26"/>
        </w:rPr>
      </w:pPr>
      <w:r w:rsidRPr="00F23ABD">
        <w:rPr>
          <w:sz w:val="26"/>
          <w:szCs w:val="26"/>
        </w:rPr>
        <w:t>4.- Se debe tener en cuenta la fecha de la realización de la solicitud de reconocimiento de las cesantías para contabilizar a partir de allí, los 70 días hábiles con que cuenta una entidad encargada de este reconocimiento, para determinar a partir de allí la condena de la sanción establecida en la ley 1071 de 2006, independientemente de la fecha de la expedición del acto administrativo que establezca su reconocimiento y así lo ha sostenido reiteradamente el Consejo de Estado.</w:t>
      </w:r>
    </w:p>
    <w:p w14:paraId="0C2ADC0E" w14:textId="6348BBDB" w:rsidR="00F23ABD" w:rsidRPr="00F23ABD" w:rsidRDefault="00F23ABD" w:rsidP="00F23ABD">
      <w:pPr>
        <w:spacing w:line="360" w:lineRule="auto"/>
        <w:jc w:val="both"/>
        <w:rPr>
          <w:sz w:val="26"/>
          <w:szCs w:val="26"/>
        </w:rPr>
      </w:pPr>
    </w:p>
    <w:p w14:paraId="35F8A06E" w14:textId="2088B017" w:rsidR="00F23ABD" w:rsidRPr="00F23ABD" w:rsidRDefault="00F23ABD" w:rsidP="00F23ABD">
      <w:pPr>
        <w:spacing w:line="360" w:lineRule="auto"/>
        <w:jc w:val="both"/>
        <w:rPr>
          <w:sz w:val="26"/>
          <w:szCs w:val="26"/>
        </w:rPr>
      </w:pPr>
      <w:r w:rsidRPr="00F23ABD">
        <w:rPr>
          <w:sz w:val="26"/>
          <w:szCs w:val="26"/>
        </w:rPr>
        <w:t>5.- Trajo a colación sentencia proferida por esta Corporación en Sala de decisión No. 3, el día 27 de febrero de 2020, dentro del Expediente radicado: 15001-33-33-008-2018- 00182-1, Dra. CLARA ELISA CIFUENTES ORTIZ, en la que se indicó que conforme a jurisprudencia del Consejo de Estado habrá de estudiarse la existencia del retardo en el pago de las cesantías definitivas y luego determinar qué porciones diarias de sanción no prescribieron, dentro del término de los 3 años anteriores a la formulación de la correspondiente petición. En consecuencia, se indicó en dicha providencia que la prescripción de la sanción moratoria puede ser parcial, dado que la mora que se genera es diaria, y la prescripción también.</w:t>
      </w:r>
    </w:p>
    <w:p w14:paraId="36D82844" w14:textId="1D8D7E3D" w:rsidR="00F23ABD" w:rsidRPr="00F23ABD" w:rsidRDefault="00F23ABD" w:rsidP="00F23ABD">
      <w:pPr>
        <w:spacing w:line="360" w:lineRule="auto"/>
        <w:jc w:val="both"/>
        <w:rPr>
          <w:sz w:val="26"/>
          <w:szCs w:val="26"/>
        </w:rPr>
      </w:pPr>
    </w:p>
    <w:p w14:paraId="5830B337" w14:textId="08404668" w:rsidR="00F23ABD" w:rsidRPr="00F23ABD" w:rsidRDefault="00F23ABD" w:rsidP="00F23ABD">
      <w:pPr>
        <w:spacing w:line="360" w:lineRule="auto"/>
        <w:jc w:val="both"/>
        <w:rPr>
          <w:sz w:val="26"/>
          <w:szCs w:val="26"/>
        </w:rPr>
      </w:pPr>
      <w:r w:rsidRPr="00F23ABD">
        <w:rPr>
          <w:sz w:val="26"/>
          <w:szCs w:val="26"/>
        </w:rPr>
        <w:t>Por lo anterior, solicita se revoque la sentencia de primera instancia y se acceda a las pretensiones de la misma.</w:t>
      </w:r>
    </w:p>
    <w:p w14:paraId="04131AA1" w14:textId="30B55A49" w:rsidR="00A9763D" w:rsidRDefault="00A9763D" w:rsidP="00942AFF">
      <w:pPr>
        <w:spacing w:line="360" w:lineRule="auto"/>
        <w:jc w:val="both"/>
        <w:rPr>
          <w:iCs/>
          <w:color w:val="000000" w:themeColor="text1"/>
          <w:sz w:val="26"/>
          <w:szCs w:val="26"/>
        </w:rPr>
      </w:pPr>
    </w:p>
    <w:p w14:paraId="68C8086F" w14:textId="049529C5" w:rsidR="00385E3A" w:rsidRDefault="00421CD7" w:rsidP="00942AFF">
      <w:pPr>
        <w:spacing w:line="360" w:lineRule="auto"/>
        <w:jc w:val="center"/>
        <w:rPr>
          <w:b/>
          <w:color w:val="000000" w:themeColor="text1"/>
          <w:sz w:val="26"/>
          <w:szCs w:val="26"/>
        </w:rPr>
      </w:pPr>
      <w:r w:rsidRPr="009479AE">
        <w:rPr>
          <w:b/>
          <w:color w:val="000000" w:themeColor="text1"/>
          <w:sz w:val="26"/>
          <w:szCs w:val="26"/>
        </w:rPr>
        <w:t>V</w:t>
      </w:r>
      <w:r w:rsidR="00385E3A" w:rsidRPr="009479AE">
        <w:rPr>
          <w:b/>
          <w:color w:val="000000" w:themeColor="text1"/>
          <w:sz w:val="26"/>
          <w:szCs w:val="26"/>
        </w:rPr>
        <w:t>. TRÁMITE EN SEGUNDA INSTANCIA</w:t>
      </w:r>
    </w:p>
    <w:p w14:paraId="69700BC2" w14:textId="77777777" w:rsidR="00A9763D" w:rsidRPr="009479AE" w:rsidRDefault="00A9763D" w:rsidP="00942AFF">
      <w:pPr>
        <w:spacing w:line="360" w:lineRule="auto"/>
        <w:jc w:val="center"/>
        <w:rPr>
          <w:b/>
          <w:color w:val="000000" w:themeColor="text1"/>
          <w:sz w:val="26"/>
          <w:szCs w:val="26"/>
        </w:rPr>
      </w:pPr>
    </w:p>
    <w:p w14:paraId="440FC3ED" w14:textId="1210C95E" w:rsidR="00385E3A" w:rsidRPr="009479AE" w:rsidRDefault="00970AA9" w:rsidP="00942AFF">
      <w:pPr>
        <w:spacing w:line="360" w:lineRule="auto"/>
        <w:jc w:val="both"/>
        <w:rPr>
          <w:color w:val="000000" w:themeColor="text1"/>
          <w:sz w:val="26"/>
          <w:szCs w:val="26"/>
        </w:rPr>
      </w:pPr>
      <w:r w:rsidRPr="009479AE">
        <w:rPr>
          <w:color w:val="000000" w:themeColor="text1"/>
          <w:sz w:val="26"/>
          <w:szCs w:val="26"/>
        </w:rPr>
        <w:t>El</w:t>
      </w:r>
      <w:r w:rsidR="009E45C4" w:rsidRPr="009479AE">
        <w:rPr>
          <w:color w:val="000000" w:themeColor="text1"/>
          <w:sz w:val="26"/>
          <w:szCs w:val="26"/>
        </w:rPr>
        <w:t xml:space="preserve"> </w:t>
      </w:r>
      <w:r w:rsidRPr="009479AE">
        <w:rPr>
          <w:color w:val="000000" w:themeColor="text1"/>
          <w:sz w:val="26"/>
          <w:szCs w:val="26"/>
        </w:rPr>
        <w:t>Juzgado</w:t>
      </w:r>
      <w:r w:rsidR="00F23ABD">
        <w:rPr>
          <w:color w:val="000000" w:themeColor="text1"/>
          <w:sz w:val="26"/>
          <w:szCs w:val="26"/>
        </w:rPr>
        <w:t xml:space="preserve"> Quinto</w:t>
      </w:r>
      <w:r w:rsidR="00991105">
        <w:rPr>
          <w:color w:val="000000" w:themeColor="text1"/>
          <w:sz w:val="26"/>
          <w:szCs w:val="26"/>
        </w:rPr>
        <w:t xml:space="preserve"> </w:t>
      </w:r>
      <w:r w:rsidR="00704BBB" w:rsidRPr="009479AE">
        <w:rPr>
          <w:color w:val="000000" w:themeColor="text1"/>
          <w:sz w:val="26"/>
          <w:szCs w:val="26"/>
        </w:rPr>
        <w:t xml:space="preserve">Administrativo de Oralidad </w:t>
      </w:r>
      <w:r w:rsidRPr="009479AE">
        <w:rPr>
          <w:color w:val="000000" w:themeColor="text1"/>
          <w:sz w:val="26"/>
          <w:szCs w:val="26"/>
        </w:rPr>
        <w:t>de T</w:t>
      </w:r>
      <w:r w:rsidR="00DE29CC" w:rsidRPr="009479AE">
        <w:rPr>
          <w:color w:val="000000" w:themeColor="text1"/>
          <w:sz w:val="26"/>
          <w:szCs w:val="26"/>
        </w:rPr>
        <w:t>u</w:t>
      </w:r>
      <w:r w:rsidRPr="009479AE">
        <w:rPr>
          <w:color w:val="000000" w:themeColor="text1"/>
          <w:sz w:val="26"/>
          <w:szCs w:val="26"/>
        </w:rPr>
        <w:t>nja</w:t>
      </w:r>
      <w:r w:rsidR="004234CF" w:rsidRPr="009479AE">
        <w:rPr>
          <w:color w:val="000000" w:themeColor="text1"/>
          <w:sz w:val="26"/>
          <w:szCs w:val="26"/>
        </w:rPr>
        <w:t xml:space="preserve"> </w:t>
      </w:r>
      <w:r w:rsidR="00385E3A" w:rsidRPr="009479AE">
        <w:rPr>
          <w:color w:val="000000" w:themeColor="text1"/>
          <w:sz w:val="26"/>
          <w:szCs w:val="26"/>
        </w:rPr>
        <w:t xml:space="preserve">concedió </w:t>
      </w:r>
      <w:r w:rsidR="00A1736E" w:rsidRPr="009479AE">
        <w:rPr>
          <w:color w:val="000000" w:themeColor="text1"/>
          <w:sz w:val="26"/>
          <w:szCs w:val="26"/>
        </w:rPr>
        <w:t xml:space="preserve">en el efecto suspensivo </w:t>
      </w:r>
      <w:r w:rsidR="00385E3A" w:rsidRPr="009479AE">
        <w:rPr>
          <w:color w:val="000000" w:themeColor="text1"/>
          <w:sz w:val="26"/>
          <w:szCs w:val="26"/>
        </w:rPr>
        <w:t xml:space="preserve">para ante esta Corporación </w:t>
      </w:r>
      <w:r w:rsidR="00E10D20" w:rsidRPr="009479AE">
        <w:rPr>
          <w:color w:val="000000" w:themeColor="text1"/>
          <w:sz w:val="26"/>
          <w:szCs w:val="26"/>
        </w:rPr>
        <w:t>el</w:t>
      </w:r>
      <w:r w:rsidR="00704BBB" w:rsidRPr="009479AE">
        <w:rPr>
          <w:color w:val="000000" w:themeColor="text1"/>
          <w:sz w:val="26"/>
          <w:szCs w:val="26"/>
        </w:rPr>
        <w:t xml:space="preserve"> recurso de apelación </w:t>
      </w:r>
      <w:r w:rsidR="00385E3A" w:rsidRPr="009479AE">
        <w:rPr>
          <w:color w:val="000000" w:themeColor="text1"/>
          <w:sz w:val="26"/>
          <w:szCs w:val="26"/>
        </w:rPr>
        <w:t>interpuesto por la</w:t>
      </w:r>
      <w:r w:rsidR="00A9763D">
        <w:rPr>
          <w:color w:val="000000" w:themeColor="text1"/>
          <w:sz w:val="26"/>
          <w:szCs w:val="26"/>
        </w:rPr>
        <w:t xml:space="preserve"> parte demandante</w:t>
      </w:r>
      <w:r w:rsidR="00E75E63" w:rsidRPr="009479AE">
        <w:rPr>
          <w:rStyle w:val="Refdenotaalpie"/>
          <w:color w:val="000000" w:themeColor="text1"/>
          <w:sz w:val="26"/>
          <w:szCs w:val="26"/>
        </w:rPr>
        <w:footnoteReference w:id="10"/>
      </w:r>
    </w:p>
    <w:p w14:paraId="044FBF67" w14:textId="77777777" w:rsidR="00385E3A" w:rsidRPr="009479AE" w:rsidRDefault="00385E3A" w:rsidP="00942AFF">
      <w:pPr>
        <w:spacing w:line="360" w:lineRule="auto"/>
        <w:jc w:val="both"/>
        <w:rPr>
          <w:color w:val="FF0000"/>
          <w:sz w:val="26"/>
          <w:szCs w:val="26"/>
        </w:rPr>
      </w:pPr>
    </w:p>
    <w:p w14:paraId="042BB214" w14:textId="0489AFB6" w:rsidR="0015208A" w:rsidRDefault="00385E3A" w:rsidP="00942AFF">
      <w:pPr>
        <w:spacing w:line="360" w:lineRule="auto"/>
        <w:jc w:val="both"/>
        <w:rPr>
          <w:color w:val="000000" w:themeColor="text1"/>
          <w:sz w:val="26"/>
          <w:szCs w:val="26"/>
        </w:rPr>
      </w:pPr>
      <w:r w:rsidRPr="009479AE">
        <w:rPr>
          <w:color w:val="000000" w:themeColor="text1"/>
          <w:sz w:val="26"/>
          <w:szCs w:val="26"/>
        </w:rPr>
        <w:t xml:space="preserve">A través de proveído de </w:t>
      </w:r>
      <w:r w:rsidR="00A56224">
        <w:rPr>
          <w:color w:val="000000" w:themeColor="text1"/>
          <w:sz w:val="26"/>
          <w:szCs w:val="26"/>
        </w:rPr>
        <w:t>27 de octubre</w:t>
      </w:r>
      <w:r w:rsidR="00A9763D">
        <w:rPr>
          <w:color w:val="000000" w:themeColor="text1"/>
          <w:sz w:val="26"/>
          <w:szCs w:val="26"/>
        </w:rPr>
        <w:t xml:space="preserve"> de 2021</w:t>
      </w:r>
      <w:r w:rsidR="007C00F9">
        <w:rPr>
          <w:color w:val="000000" w:themeColor="text1"/>
          <w:sz w:val="26"/>
          <w:szCs w:val="26"/>
        </w:rPr>
        <w:t xml:space="preserve"> </w:t>
      </w:r>
      <w:r w:rsidR="0015208A">
        <w:rPr>
          <w:color w:val="000000" w:themeColor="text1"/>
          <w:sz w:val="26"/>
          <w:szCs w:val="26"/>
        </w:rPr>
        <w:t xml:space="preserve">este Tribunal </w:t>
      </w:r>
      <w:r w:rsidRPr="009479AE">
        <w:rPr>
          <w:color w:val="000000" w:themeColor="text1"/>
          <w:sz w:val="26"/>
          <w:szCs w:val="26"/>
        </w:rPr>
        <w:t>se abstuvo de fijar fecha para la realización de audiencia de alegaciones y juzgamiento, por cuanto la consideró innecesaria, ya que las partes no solicitaron pruebas y se ordenó en su lugar la presentación de los alegatos por escrito, tal y como lo autoriza el numeral 4º</w:t>
      </w:r>
      <w:r w:rsidR="00A1736E" w:rsidRPr="009479AE">
        <w:rPr>
          <w:color w:val="000000" w:themeColor="text1"/>
          <w:sz w:val="26"/>
          <w:szCs w:val="26"/>
        </w:rPr>
        <w:t xml:space="preserve"> del artículo 247 del CPACA </w:t>
      </w:r>
      <w:r w:rsidR="00E75E63" w:rsidRPr="009479AE">
        <w:rPr>
          <w:rStyle w:val="Refdenotaalpie"/>
          <w:color w:val="000000" w:themeColor="text1"/>
          <w:sz w:val="26"/>
          <w:szCs w:val="26"/>
        </w:rPr>
        <w:footnoteReference w:id="11"/>
      </w:r>
      <w:r w:rsidR="006140AB" w:rsidRPr="009479AE">
        <w:rPr>
          <w:color w:val="000000" w:themeColor="text1"/>
          <w:sz w:val="26"/>
          <w:szCs w:val="26"/>
        </w:rPr>
        <w:t xml:space="preserve">, término dentro del cual </w:t>
      </w:r>
      <w:r w:rsidR="00AB3AD1">
        <w:rPr>
          <w:color w:val="000000" w:themeColor="text1"/>
          <w:sz w:val="26"/>
          <w:szCs w:val="26"/>
        </w:rPr>
        <w:t>la</w:t>
      </w:r>
      <w:r w:rsidR="0015208A">
        <w:rPr>
          <w:color w:val="000000" w:themeColor="text1"/>
          <w:sz w:val="26"/>
          <w:szCs w:val="26"/>
        </w:rPr>
        <w:t xml:space="preserve"> parte demandante reiteró los argumentos de su recurso de apelación.</w:t>
      </w:r>
    </w:p>
    <w:p w14:paraId="31268D1E" w14:textId="2F0093FD" w:rsidR="0015208A" w:rsidRDefault="0015208A" w:rsidP="00942AFF">
      <w:pPr>
        <w:spacing w:line="360" w:lineRule="auto"/>
        <w:jc w:val="both"/>
        <w:rPr>
          <w:color w:val="000000" w:themeColor="text1"/>
          <w:sz w:val="26"/>
          <w:szCs w:val="26"/>
        </w:rPr>
      </w:pPr>
    </w:p>
    <w:p w14:paraId="443A0D74" w14:textId="35B4B059" w:rsidR="0015208A" w:rsidRDefault="0015208A" w:rsidP="00942AFF">
      <w:pPr>
        <w:spacing w:line="360" w:lineRule="auto"/>
        <w:jc w:val="both"/>
        <w:rPr>
          <w:color w:val="000000" w:themeColor="text1"/>
          <w:sz w:val="26"/>
          <w:szCs w:val="26"/>
        </w:rPr>
      </w:pPr>
      <w:r>
        <w:rPr>
          <w:color w:val="000000" w:themeColor="text1"/>
          <w:sz w:val="26"/>
          <w:szCs w:val="26"/>
        </w:rPr>
        <w:t>La entidad demandada coadyuvó la tesis de la prescripción del derecho e indicó que sobre una eventual condena no procede indexación.</w:t>
      </w:r>
    </w:p>
    <w:p w14:paraId="1A387FC0" w14:textId="77777777" w:rsidR="0015208A" w:rsidRDefault="0015208A" w:rsidP="00942AFF">
      <w:pPr>
        <w:spacing w:line="360" w:lineRule="auto"/>
        <w:jc w:val="both"/>
        <w:rPr>
          <w:color w:val="000000" w:themeColor="text1"/>
          <w:sz w:val="26"/>
          <w:szCs w:val="26"/>
        </w:rPr>
      </w:pPr>
    </w:p>
    <w:p w14:paraId="026E7B55" w14:textId="62860DAD" w:rsidR="00385E3A" w:rsidRPr="009479AE" w:rsidRDefault="00AB3AD1" w:rsidP="00942AFF">
      <w:pPr>
        <w:spacing w:line="360" w:lineRule="auto"/>
        <w:jc w:val="both"/>
        <w:rPr>
          <w:color w:val="000000" w:themeColor="text1"/>
          <w:sz w:val="26"/>
          <w:szCs w:val="26"/>
        </w:rPr>
      </w:pPr>
      <w:r>
        <w:rPr>
          <w:color w:val="000000" w:themeColor="text1"/>
          <w:sz w:val="26"/>
          <w:szCs w:val="26"/>
        </w:rPr>
        <w:t xml:space="preserve"> </w:t>
      </w:r>
      <w:r w:rsidR="0015208A">
        <w:rPr>
          <w:color w:val="000000" w:themeColor="text1"/>
          <w:sz w:val="26"/>
          <w:szCs w:val="26"/>
        </w:rPr>
        <w:t>El</w:t>
      </w:r>
      <w:r>
        <w:rPr>
          <w:color w:val="000000" w:themeColor="text1"/>
          <w:sz w:val="26"/>
          <w:szCs w:val="26"/>
        </w:rPr>
        <w:t xml:space="preserve"> Ministerio Público </w:t>
      </w:r>
      <w:r w:rsidR="0015208A">
        <w:rPr>
          <w:color w:val="000000" w:themeColor="text1"/>
          <w:sz w:val="26"/>
          <w:szCs w:val="26"/>
        </w:rPr>
        <w:t>guardó</w:t>
      </w:r>
    </w:p>
    <w:p w14:paraId="1C07908B" w14:textId="4236EC16" w:rsidR="00615958" w:rsidRDefault="00615958" w:rsidP="009479AE">
      <w:pPr>
        <w:spacing w:line="360" w:lineRule="auto"/>
        <w:jc w:val="both"/>
        <w:rPr>
          <w:b/>
          <w:color w:val="000000" w:themeColor="text1"/>
          <w:sz w:val="26"/>
          <w:szCs w:val="26"/>
        </w:rPr>
      </w:pPr>
    </w:p>
    <w:p w14:paraId="500BD64B" w14:textId="3E77A87B" w:rsidR="00C071D8" w:rsidRDefault="00C071D8" w:rsidP="00C071D8">
      <w:pPr>
        <w:spacing w:line="360" w:lineRule="auto"/>
        <w:jc w:val="center"/>
        <w:rPr>
          <w:b/>
          <w:color w:val="000000" w:themeColor="text1"/>
          <w:sz w:val="26"/>
          <w:szCs w:val="26"/>
        </w:rPr>
      </w:pPr>
      <w:r>
        <w:rPr>
          <w:b/>
          <w:color w:val="000000" w:themeColor="text1"/>
          <w:sz w:val="26"/>
          <w:szCs w:val="26"/>
        </w:rPr>
        <w:t>VI. CONSIDERACIONES</w:t>
      </w:r>
    </w:p>
    <w:p w14:paraId="0D2E2448" w14:textId="0D9BE510" w:rsidR="00C071D8" w:rsidRDefault="00C071D8" w:rsidP="00C071D8">
      <w:pPr>
        <w:spacing w:line="360" w:lineRule="auto"/>
        <w:jc w:val="both"/>
        <w:rPr>
          <w:b/>
          <w:color w:val="000000" w:themeColor="text1"/>
          <w:sz w:val="26"/>
          <w:szCs w:val="26"/>
        </w:rPr>
      </w:pPr>
    </w:p>
    <w:p w14:paraId="3BE37FD5" w14:textId="62F248A8" w:rsidR="00FD707B" w:rsidRPr="00C071D8" w:rsidRDefault="40501F99" w:rsidP="355104C5">
      <w:pPr>
        <w:spacing w:line="360" w:lineRule="auto"/>
        <w:jc w:val="both"/>
        <w:rPr>
          <w:b/>
          <w:bCs/>
          <w:color w:val="000000" w:themeColor="text1"/>
        </w:rPr>
      </w:pPr>
      <w:r w:rsidRPr="355104C5">
        <w:rPr>
          <w:b/>
          <w:bCs/>
          <w:color w:val="000000" w:themeColor="text1"/>
          <w:sz w:val="26"/>
          <w:szCs w:val="26"/>
        </w:rPr>
        <w:t>1.</w:t>
      </w:r>
      <w:r w:rsidR="00FD707B" w:rsidRPr="355104C5">
        <w:rPr>
          <w:b/>
          <w:bCs/>
          <w:color w:val="000000" w:themeColor="text1"/>
          <w:sz w:val="26"/>
          <w:szCs w:val="26"/>
        </w:rPr>
        <w:t xml:space="preserve">Competencia </w:t>
      </w:r>
    </w:p>
    <w:p w14:paraId="21ABF076" w14:textId="77777777" w:rsidR="00FD707B" w:rsidRPr="009479AE" w:rsidRDefault="00FD707B" w:rsidP="00BD32D6">
      <w:pPr>
        <w:spacing w:line="360" w:lineRule="auto"/>
        <w:ind w:left="426"/>
        <w:jc w:val="both"/>
        <w:rPr>
          <w:b/>
          <w:color w:val="000000" w:themeColor="text1"/>
          <w:sz w:val="26"/>
          <w:szCs w:val="26"/>
        </w:rPr>
      </w:pPr>
    </w:p>
    <w:p w14:paraId="5C34AFCA" w14:textId="56512008" w:rsidR="00FD707B" w:rsidRDefault="00FD707B" w:rsidP="29A1FC80">
      <w:pPr>
        <w:spacing w:line="360" w:lineRule="auto"/>
        <w:jc w:val="both"/>
        <w:rPr>
          <w:color w:val="000000" w:themeColor="text1"/>
          <w:sz w:val="26"/>
          <w:szCs w:val="26"/>
        </w:rPr>
      </w:pPr>
      <w:r w:rsidRPr="355104C5">
        <w:rPr>
          <w:color w:val="000000" w:themeColor="text1"/>
          <w:sz w:val="26"/>
          <w:szCs w:val="26"/>
        </w:rPr>
        <w:t>De acuerdo con lo establecido en el artículo 153 del CPACA, esta Corporación es competente para conocer en segunda instancia de las apelaciones y sentencias dictadas por los jueces administrativos.</w:t>
      </w:r>
    </w:p>
    <w:p w14:paraId="5E8453EB" w14:textId="108A9834" w:rsidR="355104C5" w:rsidRDefault="355104C5" w:rsidP="355104C5">
      <w:pPr>
        <w:spacing w:line="360" w:lineRule="auto"/>
        <w:jc w:val="both"/>
        <w:rPr>
          <w:color w:val="000000" w:themeColor="text1"/>
        </w:rPr>
      </w:pPr>
    </w:p>
    <w:p w14:paraId="7E13E0FB" w14:textId="33A7EAB9" w:rsidR="00C071D8" w:rsidRPr="005F0D59" w:rsidRDefault="46B6B5FD" w:rsidP="355104C5">
      <w:pPr>
        <w:spacing w:line="360" w:lineRule="auto"/>
        <w:jc w:val="both"/>
        <w:rPr>
          <w:rFonts w:eastAsiaTheme="minorEastAsia"/>
          <w:b/>
          <w:bCs/>
          <w:color w:val="000000"/>
          <w:sz w:val="26"/>
          <w:szCs w:val="26"/>
          <w:lang w:eastAsia="en-US"/>
        </w:rPr>
      </w:pPr>
      <w:r w:rsidRPr="073719D1">
        <w:rPr>
          <w:rFonts w:eastAsiaTheme="minorEastAsia"/>
          <w:b/>
          <w:bCs/>
          <w:color w:val="000000" w:themeColor="text1"/>
          <w:sz w:val="26"/>
          <w:szCs w:val="26"/>
          <w:lang w:eastAsia="en-US"/>
        </w:rPr>
        <w:t>2.</w:t>
      </w:r>
      <w:r w:rsidR="12C52DB6" w:rsidRPr="073719D1">
        <w:rPr>
          <w:rFonts w:eastAsiaTheme="minorEastAsia"/>
          <w:b/>
          <w:bCs/>
          <w:color w:val="000000" w:themeColor="text1"/>
          <w:sz w:val="26"/>
          <w:szCs w:val="26"/>
          <w:lang w:eastAsia="en-US"/>
        </w:rPr>
        <w:t xml:space="preserve"> </w:t>
      </w:r>
      <w:r w:rsidR="00C071D8" w:rsidRPr="073719D1">
        <w:rPr>
          <w:rFonts w:eastAsiaTheme="minorEastAsia"/>
          <w:b/>
          <w:bCs/>
          <w:color w:val="000000" w:themeColor="text1"/>
          <w:sz w:val="26"/>
          <w:szCs w:val="26"/>
          <w:lang w:eastAsia="en-US"/>
        </w:rPr>
        <w:t>Del tema de la apelación</w:t>
      </w:r>
    </w:p>
    <w:p w14:paraId="5BAB0A92" w14:textId="77777777" w:rsidR="00C071D8" w:rsidRDefault="00C071D8" w:rsidP="00C071D8">
      <w:pPr>
        <w:spacing w:line="360" w:lineRule="auto"/>
        <w:ind w:right="51"/>
        <w:jc w:val="both"/>
        <w:rPr>
          <w:color w:val="FF0000"/>
          <w:sz w:val="26"/>
          <w:szCs w:val="26"/>
        </w:rPr>
      </w:pPr>
    </w:p>
    <w:p w14:paraId="6088CDBC" w14:textId="3C657222" w:rsidR="00513904" w:rsidRDefault="00513904" w:rsidP="073719D1">
      <w:pPr>
        <w:spacing w:line="360" w:lineRule="auto"/>
        <w:jc w:val="both"/>
        <w:rPr>
          <w:rFonts w:eastAsiaTheme="minorEastAsia"/>
          <w:color w:val="000000" w:themeColor="text1"/>
          <w:sz w:val="26"/>
          <w:szCs w:val="26"/>
          <w:lang w:eastAsia="en-US"/>
        </w:rPr>
      </w:pPr>
      <w:r w:rsidRPr="073719D1">
        <w:rPr>
          <w:rFonts w:eastAsiaTheme="minorEastAsia"/>
          <w:color w:val="000000" w:themeColor="text1"/>
          <w:sz w:val="26"/>
          <w:szCs w:val="26"/>
          <w:lang w:eastAsia="en-US"/>
        </w:rPr>
        <w:t xml:space="preserve">Conforme a los argumentos de la sentencia de primera instancia y del recurso de apelación, el </w:t>
      </w:r>
      <w:r w:rsidR="00C071D8" w:rsidRPr="073719D1">
        <w:rPr>
          <w:rFonts w:eastAsiaTheme="minorEastAsia"/>
          <w:color w:val="000000" w:themeColor="text1"/>
          <w:sz w:val="26"/>
          <w:szCs w:val="26"/>
          <w:lang w:eastAsia="en-US"/>
        </w:rPr>
        <w:t xml:space="preserve">debate en esta instancia se contrae a </w:t>
      </w:r>
      <w:r w:rsidR="00AE15F4" w:rsidRPr="073719D1">
        <w:rPr>
          <w:rFonts w:eastAsiaTheme="minorEastAsia"/>
          <w:color w:val="000000" w:themeColor="text1"/>
          <w:sz w:val="26"/>
          <w:szCs w:val="26"/>
          <w:lang w:eastAsia="en-US"/>
        </w:rPr>
        <w:t xml:space="preserve">determinar si le asistió razón al a quo en declarar la excepción de prescripción en el presente proceso, o </w:t>
      </w:r>
      <w:r w:rsidR="6DFCBAF0" w:rsidRPr="073719D1">
        <w:rPr>
          <w:rFonts w:eastAsiaTheme="minorEastAsia"/>
          <w:color w:val="000000" w:themeColor="text1"/>
          <w:sz w:val="26"/>
          <w:szCs w:val="26"/>
          <w:lang w:eastAsia="en-US"/>
        </w:rPr>
        <w:t>si,</w:t>
      </w:r>
      <w:r w:rsidR="00AE15F4" w:rsidRPr="073719D1">
        <w:rPr>
          <w:rFonts w:eastAsiaTheme="minorEastAsia"/>
          <w:color w:val="000000" w:themeColor="text1"/>
          <w:sz w:val="26"/>
          <w:szCs w:val="26"/>
          <w:lang w:eastAsia="en-US"/>
        </w:rPr>
        <w:t xml:space="preserve"> por el contrario, debe revocarse dicha decisión y en su lugar acceder a las pretensiones de la demanda.</w:t>
      </w:r>
    </w:p>
    <w:p w14:paraId="7AA062AA" w14:textId="77777777" w:rsidR="00C071D8" w:rsidRPr="00C30F23" w:rsidRDefault="00C071D8" w:rsidP="00C30F23">
      <w:pPr>
        <w:rPr>
          <w:rFonts w:ascii="Arial" w:eastAsiaTheme="minorHAnsi" w:hAnsi="Arial" w:cs="Arial"/>
          <w:color w:val="000000"/>
          <w:lang w:eastAsia="en-US"/>
        </w:rPr>
      </w:pPr>
    </w:p>
    <w:p w14:paraId="68F8777C" w14:textId="15BB5236" w:rsidR="00AE15F4" w:rsidRDefault="499E0C58" w:rsidP="355104C5">
      <w:pPr>
        <w:tabs>
          <w:tab w:val="left" w:pos="426"/>
        </w:tabs>
        <w:jc w:val="both"/>
        <w:rPr>
          <w:b/>
          <w:bCs/>
          <w:color w:val="000000"/>
          <w:lang w:eastAsia="en-US"/>
        </w:rPr>
      </w:pPr>
      <w:r w:rsidRPr="355104C5">
        <w:rPr>
          <w:b/>
          <w:bCs/>
          <w:color w:val="000000" w:themeColor="text1"/>
          <w:sz w:val="26"/>
          <w:szCs w:val="26"/>
          <w:lang w:eastAsia="en-US"/>
        </w:rPr>
        <w:t xml:space="preserve">3. </w:t>
      </w:r>
      <w:r w:rsidR="00AE15F4" w:rsidRPr="355104C5">
        <w:rPr>
          <w:b/>
          <w:bCs/>
          <w:color w:val="000000" w:themeColor="text1"/>
          <w:sz w:val="26"/>
          <w:szCs w:val="26"/>
          <w:lang w:eastAsia="en-US"/>
        </w:rPr>
        <w:t>Tesis de la Sala</w:t>
      </w:r>
    </w:p>
    <w:p w14:paraId="15338434" w14:textId="746374FC" w:rsidR="00AE15F4" w:rsidRDefault="00AE15F4" w:rsidP="00F308B4">
      <w:pPr>
        <w:pStyle w:val="Prrafodelista"/>
        <w:tabs>
          <w:tab w:val="left" w:pos="426"/>
        </w:tabs>
        <w:overflowPunct/>
        <w:spacing w:line="360" w:lineRule="auto"/>
        <w:ind w:left="0"/>
        <w:jc w:val="both"/>
        <w:rPr>
          <w:b/>
          <w:bCs/>
          <w:color w:val="000000"/>
          <w:sz w:val="26"/>
          <w:szCs w:val="26"/>
          <w:lang w:val="es-CO" w:eastAsia="en-US"/>
        </w:rPr>
      </w:pPr>
    </w:p>
    <w:p w14:paraId="268BED4C" w14:textId="428CC224" w:rsidR="00AE15F4" w:rsidRDefault="00AE15F4" w:rsidP="00F308B4">
      <w:pPr>
        <w:pStyle w:val="Prrafodelista"/>
        <w:tabs>
          <w:tab w:val="left" w:pos="426"/>
        </w:tabs>
        <w:overflowPunct/>
        <w:spacing w:line="360" w:lineRule="auto"/>
        <w:ind w:left="0"/>
        <w:jc w:val="both"/>
        <w:rPr>
          <w:color w:val="000000"/>
          <w:sz w:val="26"/>
          <w:szCs w:val="26"/>
          <w:lang w:val="es-CO" w:eastAsia="en-US"/>
        </w:rPr>
      </w:pPr>
      <w:r w:rsidRPr="073719D1">
        <w:rPr>
          <w:b/>
          <w:bCs/>
          <w:color w:val="000000" w:themeColor="text1"/>
          <w:sz w:val="26"/>
          <w:szCs w:val="26"/>
          <w:lang w:val="es-CO" w:eastAsia="en-US"/>
        </w:rPr>
        <w:t>Revocará</w:t>
      </w:r>
      <w:r w:rsidRPr="073719D1">
        <w:rPr>
          <w:color w:val="000000" w:themeColor="text1"/>
          <w:sz w:val="26"/>
          <w:szCs w:val="26"/>
          <w:lang w:val="es-CO" w:eastAsia="en-US"/>
        </w:rPr>
        <w:t xml:space="preserve"> la Sala la sentencia de primera instancia al encontrar que </w:t>
      </w:r>
      <w:r w:rsidRPr="073719D1">
        <w:rPr>
          <w:b/>
          <w:bCs/>
          <w:color w:val="000000" w:themeColor="text1"/>
          <w:sz w:val="26"/>
          <w:szCs w:val="26"/>
          <w:lang w:val="es-CO" w:eastAsia="en-US"/>
        </w:rPr>
        <w:t>la prescripción</w:t>
      </w:r>
      <w:r w:rsidRPr="073719D1">
        <w:rPr>
          <w:color w:val="000000" w:themeColor="text1"/>
          <w:sz w:val="26"/>
          <w:szCs w:val="26"/>
          <w:lang w:val="es-CO" w:eastAsia="en-US"/>
        </w:rPr>
        <w:t xml:space="preserve"> en materia de sanción moratoria por pago tardío de cesantías </w:t>
      </w:r>
      <w:r w:rsidRPr="073719D1">
        <w:rPr>
          <w:b/>
          <w:bCs/>
          <w:color w:val="000000" w:themeColor="text1"/>
          <w:sz w:val="26"/>
          <w:szCs w:val="26"/>
          <w:lang w:val="es-CO" w:eastAsia="en-US"/>
        </w:rPr>
        <w:t xml:space="preserve">debe contabilizarse </w:t>
      </w:r>
      <w:r w:rsidR="00F308B4" w:rsidRPr="073719D1">
        <w:rPr>
          <w:b/>
          <w:bCs/>
          <w:color w:val="000000" w:themeColor="text1"/>
          <w:sz w:val="26"/>
          <w:szCs w:val="26"/>
          <w:lang w:val="es-CO" w:eastAsia="en-US"/>
        </w:rPr>
        <w:t>de mane</w:t>
      </w:r>
      <w:r w:rsidR="0015208A" w:rsidRPr="073719D1">
        <w:rPr>
          <w:b/>
          <w:bCs/>
          <w:color w:val="000000" w:themeColor="text1"/>
          <w:sz w:val="26"/>
          <w:szCs w:val="26"/>
          <w:lang w:val="es-CO" w:eastAsia="en-US"/>
        </w:rPr>
        <w:t>ra periódica (diaria) y no como un todo</w:t>
      </w:r>
      <w:r w:rsidR="0015208A" w:rsidRPr="073719D1">
        <w:rPr>
          <w:color w:val="000000" w:themeColor="text1"/>
          <w:sz w:val="26"/>
          <w:szCs w:val="26"/>
          <w:lang w:val="es-CO" w:eastAsia="en-US"/>
        </w:rPr>
        <w:t xml:space="preserve">. En otras palabras, </w:t>
      </w:r>
      <w:r w:rsidR="008F3C05" w:rsidRPr="073719D1">
        <w:rPr>
          <w:color w:val="000000" w:themeColor="text1"/>
          <w:sz w:val="26"/>
          <w:szCs w:val="26"/>
          <w:lang w:val="es-CO" w:eastAsia="en-US"/>
        </w:rPr>
        <w:t>la mora generada en el día un</w:t>
      </w:r>
      <w:r w:rsidR="1EA22F5C" w:rsidRPr="073719D1">
        <w:rPr>
          <w:color w:val="000000" w:themeColor="text1"/>
          <w:sz w:val="26"/>
          <w:szCs w:val="26"/>
          <w:lang w:val="es-CO" w:eastAsia="en-US"/>
        </w:rPr>
        <w:t>1</w:t>
      </w:r>
      <w:r w:rsidR="008F3C05" w:rsidRPr="073719D1">
        <w:rPr>
          <w:color w:val="000000" w:themeColor="text1"/>
          <w:sz w:val="26"/>
          <w:szCs w:val="26"/>
          <w:lang w:val="es-CO" w:eastAsia="en-US"/>
        </w:rPr>
        <w:t xml:space="preserve"> no prescribe el mismo día que la mora generada el día 2 o el día 5, pues a cada una debe establecérsele su propio término de prescripción trienal.</w:t>
      </w:r>
    </w:p>
    <w:p w14:paraId="29711466" w14:textId="77777777" w:rsidR="00F308B4" w:rsidRPr="00AE15F4" w:rsidRDefault="00F308B4" w:rsidP="00F308B4">
      <w:pPr>
        <w:pStyle w:val="Prrafodelista"/>
        <w:tabs>
          <w:tab w:val="left" w:pos="426"/>
        </w:tabs>
        <w:overflowPunct/>
        <w:spacing w:line="360" w:lineRule="auto"/>
        <w:ind w:left="0"/>
        <w:jc w:val="both"/>
        <w:rPr>
          <w:color w:val="000000"/>
          <w:sz w:val="26"/>
          <w:szCs w:val="26"/>
          <w:lang w:val="es-CO" w:eastAsia="en-US"/>
        </w:rPr>
      </w:pPr>
    </w:p>
    <w:p w14:paraId="069B2ADA" w14:textId="2AED9857" w:rsidR="00C30F23" w:rsidRDefault="00F308B4" w:rsidP="00F308B4">
      <w:pPr>
        <w:pStyle w:val="Prrafodelista"/>
        <w:tabs>
          <w:tab w:val="left" w:pos="426"/>
        </w:tabs>
        <w:overflowPunct/>
        <w:spacing w:line="360" w:lineRule="auto"/>
        <w:ind w:left="0"/>
        <w:jc w:val="both"/>
        <w:rPr>
          <w:color w:val="000000"/>
          <w:sz w:val="26"/>
          <w:szCs w:val="26"/>
          <w:lang w:val="es-CO" w:eastAsia="en-US"/>
        </w:rPr>
      </w:pPr>
      <w:r w:rsidRPr="00F308B4">
        <w:rPr>
          <w:color w:val="000000"/>
          <w:sz w:val="26"/>
          <w:szCs w:val="26"/>
          <w:lang w:val="es-CO" w:eastAsia="en-US"/>
        </w:rPr>
        <w:t xml:space="preserve">En tal sentido, </w:t>
      </w:r>
      <w:r>
        <w:rPr>
          <w:color w:val="000000"/>
          <w:sz w:val="26"/>
          <w:szCs w:val="26"/>
          <w:lang w:val="es-CO" w:eastAsia="en-US"/>
        </w:rPr>
        <w:t xml:space="preserve">dado que ha anunciado la Sala que revocará la decisión de primera instancia, </w:t>
      </w:r>
      <w:r w:rsidR="008F3C05">
        <w:rPr>
          <w:color w:val="000000"/>
          <w:sz w:val="26"/>
          <w:szCs w:val="26"/>
          <w:lang w:val="es-CO" w:eastAsia="en-US"/>
        </w:rPr>
        <w:t>se procederá</w:t>
      </w:r>
      <w:r>
        <w:rPr>
          <w:color w:val="000000"/>
          <w:sz w:val="26"/>
          <w:szCs w:val="26"/>
          <w:lang w:val="es-CO" w:eastAsia="en-US"/>
        </w:rPr>
        <w:t xml:space="preserve"> a analizar el fondo del asunto y posteriormente </w:t>
      </w:r>
      <w:r w:rsidR="008F3C05">
        <w:rPr>
          <w:color w:val="000000"/>
          <w:sz w:val="26"/>
          <w:szCs w:val="26"/>
          <w:lang w:val="es-CO" w:eastAsia="en-US"/>
        </w:rPr>
        <w:t>se verificará la prescripción individualizada de la mora.</w:t>
      </w:r>
    </w:p>
    <w:p w14:paraId="251A6859" w14:textId="77777777" w:rsidR="00711277" w:rsidRPr="000B2BE5" w:rsidRDefault="00711277" w:rsidP="000B2BE5">
      <w:pPr>
        <w:pStyle w:val="Prrafodelista"/>
        <w:tabs>
          <w:tab w:val="left" w:pos="426"/>
        </w:tabs>
        <w:overflowPunct/>
        <w:spacing w:line="360" w:lineRule="auto"/>
        <w:ind w:left="0"/>
        <w:jc w:val="both"/>
        <w:rPr>
          <w:color w:val="000000"/>
          <w:sz w:val="26"/>
          <w:szCs w:val="26"/>
          <w:lang w:val="es-CO" w:eastAsia="en-US"/>
        </w:rPr>
      </w:pPr>
    </w:p>
    <w:p w14:paraId="7643D27C" w14:textId="6E16E4CD" w:rsidR="000B2BE5" w:rsidRPr="008F3C05" w:rsidRDefault="323EC934" w:rsidP="355104C5">
      <w:pPr>
        <w:jc w:val="both"/>
        <w:rPr>
          <w:b/>
          <w:bCs/>
          <w:color w:val="000000" w:themeColor="text1"/>
          <w:lang w:val="es-MX"/>
        </w:rPr>
      </w:pPr>
      <w:r w:rsidRPr="355104C5">
        <w:rPr>
          <w:b/>
          <w:bCs/>
          <w:color w:val="000000" w:themeColor="text1"/>
          <w:sz w:val="26"/>
          <w:szCs w:val="26"/>
          <w:lang w:val="es-MX"/>
        </w:rPr>
        <w:t>4.</w:t>
      </w:r>
      <w:r w:rsidR="000B2BE5" w:rsidRPr="355104C5">
        <w:rPr>
          <w:b/>
          <w:bCs/>
          <w:color w:val="000000" w:themeColor="text1"/>
          <w:sz w:val="26"/>
          <w:szCs w:val="26"/>
          <w:lang w:val="es-MX"/>
        </w:rPr>
        <w:t>De la postura actual de la Sala frente al reconocimiento de la sanción moratoria por pago tardío de cesantías a los docentes</w:t>
      </w:r>
    </w:p>
    <w:p w14:paraId="4C80C9B0" w14:textId="77777777" w:rsidR="008F3C05" w:rsidRPr="008F3C05" w:rsidRDefault="008F3C05" w:rsidP="008F3C05">
      <w:pPr>
        <w:pStyle w:val="Prrafodelista"/>
        <w:jc w:val="both"/>
        <w:rPr>
          <w:b/>
          <w:bCs/>
          <w:color w:val="000000" w:themeColor="text1"/>
          <w:sz w:val="26"/>
          <w:szCs w:val="26"/>
          <w:lang w:val="es-MX"/>
        </w:rPr>
      </w:pPr>
    </w:p>
    <w:p w14:paraId="196F4467" w14:textId="77777777" w:rsidR="000B2BE5" w:rsidRPr="008C63D4" w:rsidRDefault="000B2BE5" w:rsidP="000B2BE5">
      <w:pPr>
        <w:pStyle w:val="Textoindependiente"/>
        <w:ind w:right="50"/>
        <w:jc w:val="both"/>
        <w:rPr>
          <w:rFonts w:ascii="Arno Pro" w:hAnsi="Arno Pro" w:cs="Arial"/>
          <w:i/>
          <w:sz w:val="28"/>
          <w:szCs w:val="28"/>
          <w:highlight w:val="magenta"/>
        </w:rPr>
      </w:pPr>
    </w:p>
    <w:p w14:paraId="244B7264" w14:textId="2DE8C118" w:rsidR="000B2BE5" w:rsidRPr="00951415" w:rsidRDefault="009F2C56" w:rsidP="073719D1">
      <w:pPr>
        <w:pStyle w:val="Textoindependiente"/>
        <w:spacing w:line="360" w:lineRule="auto"/>
        <w:ind w:right="51"/>
        <w:jc w:val="both"/>
        <w:rPr>
          <w:sz w:val="26"/>
          <w:szCs w:val="26"/>
        </w:rPr>
      </w:pPr>
      <w:r w:rsidRPr="00951415">
        <w:rPr>
          <w:b w:val="0"/>
          <w:sz w:val="26"/>
          <w:szCs w:val="26"/>
        </w:rPr>
        <w:t>El artículo 15 de la Ley 91 de 1989 ha</w:t>
      </w:r>
      <w:r w:rsidR="000B2BE5" w:rsidRPr="00951415">
        <w:rPr>
          <w:b w:val="0"/>
          <w:sz w:val="26"/>
          <w:szCs w:val="26"/>
        </w:rPr>
        <w:t xml:space="preserve"> permitido identificar dos regímenes</w:t>
      </w:r>
      <w:r w:rsidRPr="00951415">
        <w:rPr>
          <w:b w:val="0"/>
          <w:sz w:val="26"/>
          <w:szCs w:val="26"/>
        </w:rPr>
        <w:t xml:space="preserve"> de cesantías docentes</w:t>
      </w:r>
      <w:r w:rsidR="000B2BE5" w:rsidRPr="00951415">
        <w:rPr>
          <w:b w:val="0"/>
          <w:sz w:val="26"/>
          <w:szCs w:val="26"/>
        </w:rPr>
        <w:t>, el retroactivo y el anualizado</w:t>
      </w:r>
      <w:r w:rsidRPr="00951415">
        <w:rPr>
          <w:rStyle w:val="Refdenotaalpie"/>
        </w:rPr>
        <w:footnoteReference w:id="12"/>
      </w:r>
      <w:r w:rsidRPr="00951415">
        <w:rPr>
          <w:b w:val="0"/>
          <w:sz w:val="26"/>
          <w:szCs w:val="26"/>
        </w:rPr>
        <w:t xml:space="preserve">. </w:t>
      </w:r>
    </w:p>
    <w:p w14:paraId="3D4C92A9" w14:textId="27785A09" w:rsidR="000B2BE5" w:rsidRPr="00951415" w:rsidRDefault="000B2BE5" w:rsidP="073719D1">
      <w:pPr>
        <w:pStyle w:val="Textoindependiente"/>
        <w:spacing w:line="360" w:lineRule="auto"/>
        <w:ind w:right="51"/>
        <w:jc w:val="both"/>
        <w:rPr>
          <w:b w:val="0"/>
          <w:sz w:val="26"/>
          <w:szCs w:val="26"/>
        </w:rPr>
      </w:pPr>
    </w:p>
    <w:p w14:paraId="016356DD" w14:textId="0D7AE735" w:rsidR="000B2BE5" w:rsidRPr="009F2C56" w:rsidRDefault="000B2BE5" w:rsidP="009F2C56">
      <w:pPr>
        <w:pStyle w:val="Textoindependiente"/>
        <w:spacing w:line="360" w:lineRule="auto"/>
        <w:ind w:right="51"/>
        <w:jc w:val="both"/>
        <w:rPr>
          <w:sz w:val="26"/>
          <w:szCs w:val="26"/>
        </w:rPr>
      </w:pPr>
      <w:r w:rsidRPr="00951415">
        <w:rPr>
          <w:b w:val="0"/>
          <w:sz w:val="26"/>
          <w:szCs w:val="26"/>
        </w:rPr>
        <w:lastRenderedPageBreak/>
        <w:t xml:space="preserve">Sin embargo, la norma en cita no contempló disposición alguna sobre la sanción moratoria por el pago tardío de las cesantías a los docentes, razón por la cual, y ante la existencia de disparidad de criterios sobre si es dable o no aplicar dicha penalidad al Fondo Nacional de Prestaciones Sociales del Magisterio, </w:t>
      </w:r>
      <w:r w:rsidRPr="00951415">
        <w:rPr>
          <w:bCs/>
          <w:sz w:val="26"/>
          <w:szCs w:val="26"/>
        </w:rPr>
        <w:t>el Consejo de Estado emitió pronunciamiento de unificación en sentencia del 18 de julio de 2018</w:t>
      </w:r>
      <w:r w:rsidRPr="00951415">
        <w:rPr>
          <w:rStyle w:val="Refdenotaalpie"/>
          <w:b w:val="0"/>
          <w:sz w:val="26"/>
          <w:szCs w:val="26"/>
        </w:rPr>
        <w:footnoteReference w:id="13"/>
      </w:r>
      <w:r w:rsidRPr="00951415">
        <w:rPr>
          <w:b w:val="0"/>
          <w:sz w:val="26"/>
          <w:szCs w:val="26"/>
        </w:rPr>
        <w:t xml:space="preserve">, en la que concluyó que la sanción moratoria contenida en la ley 244 de 1995 y en la Ley 1071 de 2006 </w:t>
      </w:r>
      <w:r w:rsidRPr="00951415">
        <w:rPr>
          <w:bCs/>
          <w:sz w:val="26"/>
          <w:szCs w:val="26"/>
        </w:rPr>
        <w:t>s</w:t>
      </w:r>
      <w:r w:rsidR="7108968D" w:rsidRPr="00951415">
        <w:rPr>
          <w:bCs/>
          <w:sz w:val="26"/>
          <w:szCs w:val="26"/>
        </w:rPr>
        <w:t>í</w:t>
      </w:r>
      <w:r w:rsidRPr="00951415">
        <w:rPr>
          <w:bCs/>
          <w:sz w:val="26"/>
          <w:szCs w:val="26"/>
        </w:rPr>
        <w:t xml:space="preserve"> es aplicable a los docentes</w:t>
      </w:r>
      <w:r w:rsidRPr="00951415">
        <w:rPr>
          <w:b w:val="0"/>
          <w:sz w:val="26"/>
          <w:szCs w:val="26"/>
        </w:rPr>
        <w:t xml:space="preserve"> en su calidad de servidores públicos.</w:t>
      </w:r>
    </w:p>
    <w:p w14:paraId="5B08136E" w14:textId="77777777" w:rsidR="000B2BE5" w:rsidRDefault="000B2BE5" w:rsidP="000B2BE5">
      <w:pPr>
        <w:pStyle w:val="Textoindependiente"/>
        <w:spacing w:line="360" w:lineRule="auto"/>
        <w:ind w:right="51"/>
        <w:jc w:val="both"/>
        <w:rPr>
          <w:b w:val="0"/>
          <w:iCs/>
          <w:sz w:val="26"/>
          <w:szCs w:val="26"/>
        </w:rPr>
      </w:pPr>
    </w:p>
    <w:p w14:paraId="1D243DB7" w14:textId="6CE27668" w:rsidR="000B2BE5" w:rsidRPr="00AC6439" w:rsidRDefault="004B401A" w:rsidP="00F366A0">
      <w:pPr>
        <w:pStyle w:val="Textoindependiente"/>
        <w:spacing w:line="360" w:lineRule="auto"/>
        <w:ind w:right="51"/>
        <w:jc w:val="both"/>
        <w:rPr>
          <w:b w:val="0"/>
          <w:iCs/>
          <w:sz w:val="26"/>
          <w:szCs w:val="26"/>
        </w:rPr>
      </w:pPr>
      <w:r>
        <w:rPr>
          <w:b w:val="0"/>
          <w:sz w:val="26"/>
          <w:szCs w:val="26"/>
        </w:rPr>
        <w:t>En consecuencia,</w:t>
      </w:r>
      <w:r w:rsidR="000B2BE5" w:rsidRPr="3B8931E3">
        <w:rPr>
          <w:b w:val="0"/>
          <w:sz w:val="26"/>
          <w:szCs w:val="26"/>
        </w:rPr>
        <w:t xml:space="preserve"> al tratarse de pronunciamiento de unificación, el mismo constituye precedente vertical de obligatorio acatamiento para esta Corporación y lo allí dispuesto se aplicará de manera íntegra a este caso. Lo anterior en concordancia con el artículo </w:t>
      </w:r>
      <w:r w:rsidR="00F366A0">
        <w:rPr>
          <w:b w:val="0"/>
          <w:sz w:val="26"/>
          <w:szCs w:val="26"/>
        </w:rPr>
        <w:t xml:space="preserve">10 de la Ley 1437 de 2011 que estableció el deber de los jueces de la aplicación uniforme de las sentencias de unificación. </w:t>
      </w:r>
    </w:p>
    <w:p w14:paraId="3AC3B341" w14:textId="77777777" w:rsidR="000B2BE5" w:rsidRDefault="000B2BE5" w:rsidP="000B2BE5">
      <w:pPr>
        <w:pStyle w:val="Textoindependiente"/>
        <w:spacing w:line="360" w:lineRule="auto"/>
        <w:ind w:right="51"/>
        <w:jc w:val="both"/>
        <w:rPr>
          <w:b w:val="0"/>
          <w:sz w:val="26"/>
          <w:szCs w:val="26"/>
        </w:rPr>
      </w:pPr>
    </w:p>
    <w:p w14:paraId="00C0A773" w14:textId="2695F7A1" w:rsidR="000B2BE5" w:rsidRPr="00B053B6" w:rsidRDefault="264A317A" w:rsidP="000B2BE5">
      <w:pPr>
        <w:spacing w:line="360" w:lineRule="auto"/>
        <w:jc w:val="both"/>
        <w:rPr>
          <w:b/>
          <w:bCs/>
          <w:color w:val="000000" w:themeColor="text1"/>
          <w:sz w:val="26"/>
          <w:szCs w:val="26"/>
          <w:lang w:val="es-MX"/>
        </w:rPr>
      </w:pPr>
      <w:r w:rsidRPr="355104C5">
        <w:rPr>
          <w:b/>
          <w:bCs/>
          <w:color w:val="000000" w:themeColor="text1"/>
          <w:sz w:val="26"/>
          <w:szCs w:val="26"/>
          <w:lang w:val="es-MX"/>
        </w:rPr>
        <w:t>5.</w:t>
      </w:r>
      <w:r w:rsidR="000B2BE5" w:rsidRPr="355104C5">
        <w:rPr>
          <w:b/>
          <w:bCs/>
          <w:color w:val="000000" w:themeColor="text1"/>
          <w:sz w:val="26"/>
          <w:szCs w:val="26"/>
          <w:lang w:val="es-MX"/>
        </w:rPr>
        <w:t>La sanción moratoria por el pago tardío de cesantías a servidores públicos</w:t>
      </w:r>
    </w:p>
    <w:p w14:paraId="79E48A4A" w14:textId="77777777" w:rsidR="000B2BE5" w:rsidRPr="00A57E34" w:rsidRDefault="000B2BE5" w:rsidP="000B2BE5">
      <w:pPr>
        <w:spacing w:line="360" w:lineRule="auto"/>
        <w:ind w:left="360"/>
        <w:jc w:val="both"/>
        <w:rPr>
          <w:b/>
          <w:color w:val="000000" w:themeColor="text1"/>
          <w:sz w:val="26"/>
          <w:szCs w:val="26"/>
          <w:lang w:val="es-MX"/>
        </w:rPr>
      </w:pPr>
    </w:p>
    <w:p w14:paraId="4F9A3CD5" w14:textId="77777777" w:rsidR="000B2BE5" w:rsidRPr="00FD13E5" w:rsidRDefault="000B2BE5" w:rsidP="000B2BE5">
      <w:pPr>
        <w:pStyle w:val="NormalWeb"/>
        <w:widowControl w:val="0"/>
        <w:spacing w:line="360" w:lineRule="auto"/>
        <w:jc w:val="both"/>
        <w:rPr>
          <w:sz w:val="26"/>
          <w:szCs w:val="26"/>
          <w:lang w:val="es-ES_tradnl"/>
        </w:rPr>
      </w:pPr>
      <w:r w:rsidRPr="00FD13E5">
        <w:rPr>
          <w:sz w:val="26"/>
          <w:szCs w:val="26"/>
          <w:lang w:val="es-ES_tradnl"/>
        </w:rPr>
        <w:t>La Ley 244 de 1995</w:t>
      </w:r>
      <w:r w:rsidRPr="00FD13E5">
        <w:rPr>
          <w:rStyle w:val="Refdenotaalpie"/>
          <w:sz w:val="26"/>
          <w:szCs w:val="26"/>
          <w:lang w:val="es-ES_tradnl"/>
        </w:rPr>
        <w:footnoteReference w:id="14"/>
      </w:r>
      <w:r w:rsidRPr="00FD13E5">
        <w:rPr>
          <w:sz w:val="26"/>
          <w:szCs w:val="26"/>
          <w:lang w:val="es-ES_tradnl"/>
        </w:rPr>
        <w:t xml:space="preserve"> contempló los términos para la liquidación, reconocimiento y pago de las cesantías definitivas de los </w:t>
      </w:r>
      <w:r w:rsidRPr="00FD13E5">
        <w:rPr>
          <w:b/>
          <w:sz w:val="26"/>
          <w:szCs w:val="26"/>
          <w:lang w:val="es-ES_tradnl"/>
        </w:rPr>
        <w:t>servidores públicos</w:t>
      </w:r>
      <w:r w:rsidRPr="00FD13E5">
        <w:rPr>
          <w:sz w:val="26"/>
          <w:szCs w:val="26"/>
          <w:lang w:val="es-ES_tradnl"/>
        </w:rPr>
        <w:t>, así:</w:t>
      </w:r>
    </w:p>
    <w:p w14:paraId="6B1C97CF" w14:textId="77777777" w:rsidR="000B2BE5" w:rsidRPr="0074516B" w:rsidRDefault="000B2BE5" w:rsidP="000B2BE5">
      <w:pPr>
        <w:pStyle w:val="NormalWeb"/>
        <w:widowControl w:val="0"/>
        <w:jc w:val="both"/>
        <w:rPr>
          <w:rFonts w:ascii="Arial" w:hAnsi="Arial" w:cs="Arial"/>
          <w:sz w:val="26"/>
          <w:szCs w:val="26"/>
          <w:highlight w:val="yellow"/>
          <w:lang w:val="es-ES_tradnl"/>
        </w:rPr>
      </w:pPr>
    </w:p>
    <w:p w14:paraId="42F8D7A3" w14:textId="77777777" w:rsidR="000B2BE5" w:rsidRPr="00B053B6" w:rsidRDefault="000B2BE5" w:rsidP="000B2BE5">
      <w:pPr>
        <w:tabs>
          <w:tab w:val="center" w:pos="4703"/>
        </w:tabs>
        <w:ind w:left="709"/>
        <w:jc w:val="both"/>
      </w:pPr>
      <w:r w:rsidRPr="00B053B6">
        <w:t>“</w:t>
      </w:r>
      <w:r w:rsidRPr="00B053B6">
        <w:rPr>
          <w:b/>
        </w:rPr>
        <w:t>Artículo 1º</w:t>
      </w:r>
      <w:r w:rsidRPr="00B053B6">
        <w:t xml:space="preserve">.- Dentro de los quince (15) días hábiles siguientes a la presentación de la solicitud de la liquidación de las Cesantías Definitivas, por parte de los servidores públicos de todos los órdenes, la entidad patronal deberá expedir la Resolución correspondiente, si reúne todos los requisitos determinados en la Ley. </w:t>
      </w:r>
    </w:p>
    <w:p w14:paraId="5F75505F" w14:textId="77777777" w:rsidR="000B2BE5" w:rsidRPr="00B053B6" w:rsidRDefault="000B2BE5" w:rsidP="000B2BE5">
      <w:pPr>
        <w:ind w:left="709"/>
        <w:jc w:val="both"/>
      </w:pPr>
      <w:r w:rsidRPr="00B053B6">
        <w:rPr>
          <w:b/>
        </w:rPr>
        <w:t>Artículo 2º</w:t>
      </w:r>
      <w:r w:rsidRPr="00B053B6">
        <w:t>.-</w:t>
      </w:r>
      <w:r w:rsidRPr="00B053B6">
        <w:rPr>
          <w:b/>
        </w:rPr>
        <w:t xml:space="preserve"> </w:t>
      </w:r>
      <w:r w:rsidRPr="00B053B6">
        <w:t xml:space="preserve">La entidad pública pagadora tendrá un plazo máximo de cuarenta y cinco (45) días hábiles, a partir de la fecha de la cual quede en firme el acto administrativo que ordena la liquidación de las Cesantías Definitivas del servidor público, para cancelar esta prestación social. </w:t>
      </w:r>
    </w:p>
    <w:p w14:paraId="32992348" w14:textId="77777777" w:rsidR="000B2BE5" w:rsidRPr="00B053B6" w:rsidRDefault="000B2BE5" w:rsidP="000B2BE5">
      <w:pPr>
        <w:ind w:left="709"/>
        <w:jc w:val="both"/>
      </w:pPr>
      <w:r w:rsidRPr="00B053B6">
        <w:rPr>
          <w:b/>
          <w:bCs/>
          <w:lang w:eastAsia="es-CO"/>
        </w:rPr>
        <w:t>Parágrafo.</w:t>
      </w:r>
      <w:r w:rsidRPr="00B053B6">
        <w:rPr>
          <w:lang w:eastAsia="es-CO"/>
        </w:rPr>
        <w:t> </w:t>
      </w:r>
      <w:r w:rsidRPr="00B053B6">
        <w:rPr>
          <w:b/>
          <w:u w:val="single"/>
          <w:lang w:eastAsia="es-CO"/>
        </w:rPr>
        <w:t>En caso de mora en el pago de las cesantías de los servidores públicos, la entidad obligada reconocerá y cancelará de sus propios recursos, al beneficiario, un día de salario por cada día de retardo hasta que se haga efectivo el pago de las mismas, para lo cual solo bastará acreditar la no cancelación dentro del término previsto en este artículo”</w:t>
      </w:r>
      <w:r w:rsidRPr="00B053B6">
        <w:t xml:space="preserve"> </w:t>
      </w:r>
    </w:p>
    <w:p w14:paraId="37EB41AC" w14:textId="77777777" w:rsidR="000B2BE5" w:rsidRPr="00B053B6" w:rsidRDefault="000B2BE5" w:rsidP="000B2BE5">
      <w:pPr>
        <w:ind w:left="708"/>
        <w:jc w:val="both"/>
      </w:pPr>
    </w:p>
    <w:p w14:paraId="57432605" w14:textId="77777777" w:rsidR="000B2BE5" w:rsidRPr="00B053B6" w:rsidRDefault="000B2BE5" w:rsidP="000B2BE5">
      <w:pPr>
        <w:ind w:left="708"/>
        <w:jc w:val="both"/>
      </w:pPr>
    </w:p>
    <w:p w14:paraId="4616730B" w14:textId="77777777" w:rsidR="000B2BE5" w:rsidRPr="00B053B6" w:rsidRDefault="000B2BE5" w:rsidP="000B2BE5">
      <w:pPr>
        <w:pStyle w:val="NormalWeb"/>
        <w:widowControl w:val="0"/>
        <w:spacing w:line="360" w:lineRule="auto"/>
        <w:jc w:val="both"/>
        <w:rPr>
          <w:sz w:val="26"/>
          <w:szCs w:val="26"/>
          <w:lang w:val="es-ES_tradnl"/>
        </w:rPr>
      </w:pPr>
      <w:r w:rsidRPr="00B053B6">
        <w:rPr>
          <w:sz w:val="26"/>
          <w:szCs w:val="26"/>
          <w:lang w:val="es-ES_tradnl"/>
        </w:rPr>
        <w:t>La anterior disposición, fue modificada por la Ley 1071 de 2006</w:t>
      </w:r>
      <w:r w:rsidRPr="00B053B6">
        <w:rPr>
          <w:rStyle w:val="Refdenotaalpie"/>
          <w:sz w:val="26"/>
          <w:szCs w:val="26"/>
          <w:lang w:val="es-ES_tradnl"/>
        </w:rPr>
        <w:footnoteReference w:id="15"/>
      </w:r>
      <w:r w:rsidRPr="00B053B6">
        <w:rPr>
          <w:sz w:val="26"/>
          <w:szCs w:val="26"/>
          <w:lang w:val="es-ES_tradnl"/>
        </w:rPr>
        <w:t>, que señaló:</w:t>
      </w:r>
    </w:p>
    <w:p w14:paraId="6648560B" w14:textId="77777777" w:rsidR="000B2BE5" w:rsidRPr="00B053B6" w:rsidRDefault="000B2BE5" w:rsidP="000B2BE5">
      <w:pPr>
        <w:pStyle w:val="NormalWeb"/>
        <w:widowControl w:val="0"/>
        <w:spacing w:line="360" w:lineRule="auto"/>
        <w:jc w:val="both"/>
        <w:rPr>
          <w:rFonts w:ascii="Arial" w:eastAsia="Calibri" w:hAnsi="Arial" w:cs="Arial"/>
          <w:sz w:val="26"/>
          <w:szCs w:val="26"/>
          <w:lang w:eastAsia="es-CO"/>
        </w:rPr>
      </w:pPr>
    </w:p>
    <w:p w14:paraId="0019D72A" w14:textId="77777777" w:rsidR="000B2BE5" w:rsidRPr="00B053B6" w:rsidRDefault="000B2BE5" w:rsidP="000B2BE5">
      <w:pPr>
        <w:ind w:left="708"/>
        <w:jc w:val="both"/>
        <w:rPr>
          <w:shd w:val="clear" w:color="auto" w:fill="FFFFFF"/>
        </w:rPr>
      </w:pPr>
      <w:r w:rsidRPr="00B053B6">
        <w:rPr>
          <w:b/>
          <w:bCs/>
          <w:shd w:val="clear" w:color="auto" w:fill="FFFFFF"/>
        </w:rPr>
        <w:t>“Artículo 2°. </w:t>
      </w:r>
      <w:r w:rsidRPr="00B053B6">
        <w:rPr>
          <w:b/>
          <w:iCs/>
          <w:shd w:val="clear" w:color="auto" w:fill="FFFFFF"/>
        </w:rPr>
        <w:t>Ámbito de aplicación</w:t>
      </w:r>
      <w:r w:rsidRPr="00B053B6">
        <w:rPr>
          <w:iCs/>
          <w:shd w:val="clear" w:color="auto" w:fill="FFFFFF"/>
        </w:rPr>
        <w:t>.</w:t>
      </w:r>
      <w:r w:rsidRPr="00B053B6">
        <w:rPr>
          <w:shd w:val="clear" w:color="auto" w:fill="FFFFFF"/>
        </w:rPr>
        <w:t xml:space="preserve"> Son destinatarios de la presente ley los </w:t>
      </w:r>
      <w:r w:rsidRPr="00B053B6">
        <w:rPr>
          <w:b/>
          <w:u w:val="single"/>
          <w:shd w:val="clear" w:color="auto" w:fill="FFFFFF"/>
        </w:rPr>
        <w:t>miembros de las Corporaciones Públicas, empleados y trabajadores del Estado y de sus entidades descentralizadas territorialmente y por servicios. Para los mismos efectos se aplicará a los miembros de la fuerza pública, los particulares que ejerzan funciones públicas en forma permanente o transitoria, los funcionarios y trabajadores del Banco de la República y trabajadores particulares afiliados al Fondo Nacional de Ahorro</w:t>
      </w:r>
      <w:r w:rsidRPr="00B053B6">
        <w:rPr>
          <w:shd w:val="clear" w:color="auto" w:fill="FFFFFF"/>
        </w:rPr>
        <w:t>.”</w:t>
      </w:r>
    </w:p>
    <w:p w14:paraId="7A6020B3" w14:textId="77777777" w:rsidR="000B2BE5" w:rsidRDefault="000B2BE5" w:rsidP="000B2BE5">
      <w:pPr>
        <w:jc w:val="both"/>
        <w:rPr>
          <w:rFonts w:ascii="Arial" w:hAnsi="Arial" w:cs="Arial"/>
          <w:highlight w:val="yellow"/>
          <w:shd w:val="clear" w:color="auto" w:fill="FFFFFF"/>
        </w:rPr>
      </w:pPr>
    </w:p>
    <w:p w14:paraId="3910B69A" w14:textId="756DC092" w:rsidR="003716B1" w:rsidRDefault="000B2BE5" w:rsidP="000B2BE5">
      <w:pPr>
        <w:spacing w:line="360" w:lineRule="auto"/>
        <w:jc w:val="both"/>
        <w:rPr>
          <w:sz w:val="26"/>
          <w:szCs w:val="26"/>
          <w:lang w:eastAsia="es-CO"/>
        </w:rPr>
      </w:pPr>
      <w:r w:rsidRPr="00BD32D6">
        <w:rPr>
          <w:sz w:val="26"/>
          <w:szCs w:val="26"/>
          <w:shd w:val="clear" w:color="auto" w:fill="FFFFFF"/>
        </w:rPr>
        <w:t>Es decir, la citada norma reglamentó el reconocimiento de cesantías definitivas o parciales de los trabajadores y servidores del Estado, definiendo como destinatarios de la Ley a los trabajadores ya enlistados, sin que dentro de su texto estén comprendidos los docentes afiliados al Fondo Nacional de Prestaciones Sociales del Magisteri</w:t>
      </w:r>
      <w:r w:rsidR="003716B1">
        <w:rPr>
          <w:sz w:val="26"/>
          <w:szCs w:val="26"/>
          <w:lang w:eastAsia="es-CO"/>
        </w:rPr>
        <w:t>o.</w:t>
      </w:r>
    </w:p>
    <w:p w14:paraId="37C6B384" w14:textId="77777777" w:rsidR="003716B1" w:rsidRDefault="003716B1" w:rsidP="000B2BE5">
      <w:pPr>
        <w:spacing w:line="360" w:lineRule="auto"/>
        <w:jc w:val="both"/>
        <w:rPr>
          <w:sz w:val="26"/>
          <w:szCs w:val="26"/>
          <w:lang w:eastAsia="es-CO"/>
        </w:rPr>
      </w:pPr>
    </w:p>
    <w:p w14:paraId="54D366F1" w14:textId="3C751700" w:rsidR="000B2BE5" w:rsidRDefault="003716B1" w:rsidP="000B2BE5">
      <w:pPr>
        <w:spacing w:line="360" w:lineRule="auto"/>
        <w:jc w:val="both"/>
        <w:rPr>
          <w:sz w:val="26"/>
          <w:szCs w:val="26"/>
          <w:lang w:eastAsia="es-CO"/>
        </w:rPr>
      </w:pPr>
      <w:r>
        <w:rPr>
          <w:sz w:val="26"/>
          <w:szCs w:val="26"/>
          <w:lang w:eastAsia="es-CO"/>
        </w:rPr>
        <w:t>Dado lo anterior,</w:t>
      </w:r>
      <w:r w:rsidR="000B2BE5" w:rsidRPr="00BD32D6">
        <w:rPr>
          <w:sz w:val="26"/>
          <w:szCs w:val="26"/>
          <w:lang w:eastAsia="es-CO"/>
        </w:rPr>
        <w:t xml:space="preserve"> no es extraño encontrar posiciones disímiles del Consejo de Estado en las que se ha afirmado que no existe razón para excluir de su aplicación a los citados docentes</w:t>
      </w:r>
      <w:r w:rsidR="000B2BE5" w:rsidRPr="00BD32D6">
        <w:rPr>
          <w:rStyle w:val="Refdenotaalpie"/>
          <w:iCs/>
          <w:spacing w:val="-2"/>
          <w:sz w:val="26"/>
          <w:szCs w:val="26"/>
          <w:lang w:val="it-IT"/>
        </w:rPr>
        <w:footnoteReference w:id="16"/>
      </w:r>
      <w:r w:rsidR="000B2BE5" w:rsidRPr="00BD32D6">
        <w:rPr>
          <w:sz w:val="26"/>
          <w:szCs w:val="26"/>
          <w:lang w:eastAsia="es-CO"/>
        </w:rPr>
        <w:t>, en tanto, en otras oportunidades se ha indicado, que no es posible incluir a los docentes en dicha normatividad para reconocer la sanción moratoria por el pago tardío de cesantías porque son sujetos con régimen especial previsto en la Ley 91 de 1989 y en el Decreto 2831 de 2005. y el legislador no contempló la imposición de tal sanción</w:t>
      </w:r>
      <w:r w:rsidR="000B2BE5" w:rsidRPr="00BD32D6">
        <w:rPr>
          <w:rStyle w:val="Refdenotaalpie"/>
          <w:sz w:val="26"/>
          <w:szCs w:val="26"/>
        </w:rPr>
        <w:footnoteReference w:id="17"/>
      </w:r>
      <w:r w:rsidR="000B2BE5" w:rsidRPr="00BD32D6">
        <w:rPr>
          <w:sz w:val="26"/>
          <w:szCs w:val="26"/>
          <w:lang w:eastAsia="es-CO"/>
        </w:rPr>
        <w:t>.</w:t>
      </w:r>
    </w:p>
    <w:p w14:paraId="730034D6" w14:textId="69F7EDC6" w:rsidR="008F3C05" w:rsidRDefault="008F3C05" w:rsidP="000B2BE5">
      <w:pPr>
        <w:spacing w:line="360" w:lineRule="auto"/>
        <w:jc w:val="both"/>
        <w:rPr>
          <w:sz w:val="26"/>
          <w:szCs w:val="26"/>
          <w:lang w:eastAsia="es-CO"/>
        </w:rPr>
      </w:pPr>
    </w:p>
    <w:p w14:paraId="1DB57B76" w14:textId="66440098" w:rsidR="000B2BE5" w:rsidRPr="008F3C05" w:rsidRDefault="008F3C05" w:rsidP="00AD2DA6">
      <w:pPr>
        <w:spacing w:line="360" w:lineRule="auto"/>
        <w:jc w:val="both"/>
        <w:rPr>
          <w:sz w:val="26"/>
          <w:szCs w:val="26"/>
          <w:lang w:eastAsia="es-CO"/>
        </w:rPr>
      </w:pPr>
      <w:r>
        <w:rPr>
          <w:sz w:val="26"/>
          <w:szCs w:val="26"/>
          <w:lang w:eastAsia="es-CO"/>
        </w:rPr>
        <w:t xml:space="preserve">No obstante, </w:t>
      </w:r>
      <w:r>
        <w:rPr>
          <w:sz w:val="26"/>
          <w:szCs w:val="26"/>
        </w:rPr>
        <w:t>l</w:t>
      </w:r>
      <w:r w:rsidR="000B2BE5" w:rsidRPr="00AD2DA6">
        <w:rPr>
          <w:sz w:val="26"/>
          <w:szCs w:val="26"/>
        </w:rPr>
        <w:t xml:space="preserve">a Corte Constitucional en sentencia </w:t>
      </w:r>
      <w:r w:rsidR="000B2BE5" w:rsidRPr="00AD2DA6">
        <w:rPr>
          <w:spacing w:val="-3"/>
          <w:sz w:val="26"/>
          <w:szCs w:val="26"/>
        </w:rPr>
        <w:t>de unificación SU 336/17</w:t>
      </w:r>
      <w:r w:rsidR="000B2BE5" w:rsidRPr="00BD32D6">
        <w:rPr>
          <w:rStyle w:val="Refdenotaalpie"/>
          <w:spacing w:val="-3"/>
          <w:sz w:val="26"/>
          <w:szCs w:val="26"/>
        </w:rPr>
        <w:footnoteReference w:id="18"/>
      </w:r>
      <w:r w:rsidR="000B2BE5" w:rsidRPr="00AD2DA6">
        <w:rPr>
          <w:spacing w:val="-3"/>
          <w:sz w:val="26"/>
          <w:szCs w:val="26"/>
        </w:rPr>
        <w:t>, indicó que los docentes al servicio oficial de la educción deben ser considerados empleados públicos</w:t>
      </w:r>
      <w:r w:rsidR="000B2BE5" w:rsidRPr="00BD32D6">
        <w:rPr>
          <w:rStyle w:val="Refdenotaalpie"/>
          <w:spacing w:val="-3"/>
          <w:sz w:val="26"/>
          <w:szCs w:val="26"/>
        </w:rPr>
        <w:footnoteReference w:id="19"/>
      </w:r>
      <w:r w:rsidR="000B2BE5" w:rsidRPr="00AD2DA6">
        <w:rPr>
          <w:spacing w:val="-3"/>
          <w:sz w:val="26"/>
          <w:szCs w:val="26"/>
        </w:rPr>
        <w:t xml:space="preserve">, y dicha conclusión implica que deba reconocérseles la sanción discutida de </w:t>
      </w:r>
      <w:r w:rsidR="000B2BE5" w:rsidRPr="00AD2DA6">
        <w:rPr>
          <w:spacing w:val="-3"/>
          <w:sz w:val="26"/>
          <w:szCs w:val="26"/>
        </w:rPr>
        <w:lastRenderedPageBreak/>
        <w:t xml:space="preserve">acuerdo a lo señalado por la Ley 244 de 1995 y la Ley 1071 de 2006, a lo que debe sumarse el hecho de que </w:t>
      </w:r>
      <w:r w:rsidR="000B2BE5" w:rsidRPr="00AD2DA6">
        <w:rPr>
          <w:sz w:val="26"/>
          <w:szCs w:val="26"/>
        </w:rPr>
        <w:t>tal reconocimiento</w:t>
      </w:r>
      <w:r w:rsidR="000B2BE5" w:rsidRPr="00AD2DA6">
        <w:rPr>
          <w:sz w:val="26"/>
          <w:szCs w:val="26"/>
          <w:bdr w:val="none" w:sz="0" w:space="0" w:color="auto" w:frame="1"/>
          <w:lang w:eastAsia="es-CO"/>
        </w:rPr>
        <w:t xml:space="preserve"> resulta ser al decir de la jurisprudencia constitucional </w:t>
      </w:r>
      <w:r w:rsidR="000B2BE5" w:rsidRPr="00AD2DA6">
        <w:rPr>
          <w:i/>
          <w:iCs/>
          <w:sz w:val="26"/>
          <w:szCs w:val="26"/>
          <w:bdr w:val="none" w:sz="0" w:space="0" w:color="auto" w:frame="1"/>
          <w:lang w:eastAsia="es-CO"/>
        </w:rPr>
        <w:t>“la condición más beneficiosa y materializa los principios, valores, derechos y mandatos constitucionales, particularmente, el principio de favorabilidad consagrado en el artículo 53 de la Constitución Política”</w:t>
      </w:r>
      <w:r w:rsidR="00AD2DA6" w:rsidRPr="00AD2DA6">
        <w:rPr>
          <w:sz w:val="26"/>
          <w:szCs w:val="26"/>
          <w:bdr w:val="none" w:sz="0" w:space="0" w:color="auto" w:frame="1"/>
          <w:lang w:eastAsia="es-CO"/>
        </w:rPr>
        <w:t>.</w:t>
      </w:r>
    </w:p>
    <w:p w14:paraId="43DFC7B0" w14:textId="64916270" w:rsidR="000B2BE5" w:rsidRPr="00AD2DA6" w:rsidRDefault="000B2BE5" w:rsidP="00AD2DA6">
      <w:pPr>
        <w:jc w:val="both"/>
        <w:rPr>
          <w:i/>
        </w:rPr>
      </w:pPr>
    </w:p>
    <w:p w14:paraId="38FEF262" w14:textId="4C1F3E56" w:rsidR="000B2BE5" w:rsidRDefault="000B2BE5" w:rsidP="00B1235E">
      <w:pPr>
        <w:spacing w:line="360" w:lineRule="auto"/>
        <w:jc w:val="both"/>
        <w:rPr>
          <w:sz w:val="26"/>
          <w:szCs w:val="26"/>
        </w:rPr>
      </w:pPr>
      <w:r w:rsidRPr="0076438F">
        <w:rPr>
          <w:sz w:val="26"/>
          <w:szCs w:val="26"/>
          <w:bdr w:val="none" w:sz="0" w:space="0" w:color="auto" w:frame="1"/>
          <w:lang w:eastAsia="es-CO"/>
        </w:rPr>
        <w:t>De otra parte, el Consejo de Estado, a partir de tales criterios esbozados por la Corte Constitucional, unificó su jurisprudencia en este sentido,</w:t>
      </w:r>
      <w:r w:rsidRPr="0076438F">
        <w:rPr>
          <w:rStyle w:val="Refdenotaalpie"/>
          <w:sz w:val="26"/>
          <w:szCs w:val="26"/>
          <w:bdr w:val="none" w:sz="0" w:space="0" w:color="auto" w:frame="1"/>
          <w:lang w:eastAsia="es-CO"/>
        </w:rPr>
        <w:footnoteReference w:id="20"/>
      </w:r>
      <w:r w:rsidRPr="0076438F">
        <w:rPr>
          <w:sz w:val="26"/>
          <w:szCs w:val="26"/>
          <w:bdr w:val="none" w:sz="0" w:space="0" w:color="auto" w:frame="1"/>
          <w:lang w:eastAsia="es-CO"/>
        </w:rPr>
        <w:t xml:space="preserve"> indicando que la Asamblea Nacional Constituyente – previa expedición del artículo 123 de la Constitución Política de 1991</w:t>
      </w:r>
      <w:r w:rsidRPr="0076438F">
        <w:rPr>
          <w:spacing w:val="-3"/>
          <w:sz w:val="26"/>
          <w:szCs w:val="26"/>
        </w:rPr>
        <w:t xml:space="preserve"> – definió como parámetros para determinar la condición de servidor público</w:t>
      </w:r>
      <w:r>
        <w:rPr>
          <w:spacing w:val="-3"/>
          <w:sz w:val="26"/>
          <w:szCs w:val="26"/>
        </w:rPr>
        <w:t>,</w:t>
      </w:r>
      <w:r w:rsidRPr="0076438F">
        <w:rPr>
          <w:sz w:val="26"/>
          <w:szCs w:val="26"/>
        </w:rPr>
        <w:t xml:space="preserve"> el</w:t>
      </w:r>
      <w:r w:rsidR="007C0CE4">
        <w:rPr>
          <w:sz w:val="26"/>
          <w:szCs w:val="26"/>
        </w:rPr>
        <w:t xml:space="preserve"> </w:t>
      </w:r>
      <w:r w:rsidRPr="0076438F">
        <w:rPr>
          <w:b/>
          <w:sz w:val="26"/>
          <w:szCs w:val="26"/>
          <w:u w:val="single"/>
        </w:rPr>
        <w:t>servicio exclusivo a la comunidad y el hecho de que para el ejercicio de sus funciones tienen un límite que señala la Constitución, las leyes y el reglamento</w:t>
      </w:r>
      <w:r w:rsidR="00B1235E">
        <w:rPr>
          <w:b/>
          <w:sz w:val="26"/>
          <w:szCs w:val="26"/>
          <w:u w:val="single"/>
        </w:rPr>
        <w:t>, categoría dentro de la cual se encuentran los docentes al servicio de la educación oficial</w:t>
      </w:r>
      <w:r w:rsidR="00B1235E">
        <w:rPr>
          <w:sz w:val="26"/>
          <w:szCs w:val="26"/>
        </w:rPr>
        <w:t>.</w:t>
      </w:r>
    </w:p>
    <w:p w14:paraId="686B7F9D" w14:textId="77777777" w:rsidR="00B1235E" w:rsidRPr="0076438F" w:rsidRDefault="00B1235E" w:rsidP="00B1235E">
      <w:pPr>
        <w:spacing w:line="360" w:lineRule="auto"/>
        <w:jc w:val="both"/>
        <w:rPr>
          <w:spacing w:val="-3"/>
          <w:sz w:val="26"/>
          <w:szCs w:val="26"/>
        </w:rPr>
      </w:pPr>
    </w:p>
    <w:p w14:paraId="27A560DC" w14:textId="77777777" w:rsidR="000B2BE5" w:rsidRPr="0076438F" w:rsidRDefault="000B2BE5" w:rsidP="000B2BE5">
      <w:pPr>
        <w:spacing w:line="360" w:lineRule="auto"/>
        <w:jc w:val="both"/>
        <w:rPr>
          <w:i/>
          <w:spacing w:val="-3"/>
          <w:sz w:val="26"/>
          <w:szCs w:val="26"/>
        </w:rPr>
      </w:pPr>
      <w:r w:rsidRPr="0076438F">
        <w:rPr>
          <w:spacing w:val="-3"/>
          <w:sz w:val="26"/>
          <w:szCs w:val="26"/>
        </w:rPr>
        <w:t>Concluyó la misma corporación que dichas premisas permiten reafirmar la condición de servidores públicos de los docentes por “</w:t>
      </w:r>
      <w:r w:rsidRPr="0076438F">
        <w:rPr>
          <w:i/>
          <w:spacing w:val="-3"/>
          <w:sz w:val="26"/>
          <w:szCs w:val="26"/>
        </w:rPr>
        <w:t xml:space="preserve">i) El servicio público esencial de la educación a la comunidad; ii) El encuadramiento de los docentes oficiales dentro de la estructura orgánica del Estado; y iii) La forma de vinculación, ascenso y retiro en la carrera docente”. </w:t>
      </w:r>
    </w:p>
    <w:p w14:paraId="52EE4D60" w14:textId="77777777" w:rsidR="00B1235E" w:rsidRDefault="00B1235E" w:rsidP="000B2BE5">
      <w:pPr>
        <w:spacing w:line="360" w:lineRule="auto"/>
        <w:jc w:val="both"/>
        <w:rPr>
          <w:sz w:val="26"/>
          <w:szCs w:val="26"/>
          <w:lang w:eastAsia="es-CO"/>
        </w:rPr>
      </w:pPr>
    </w:p>
    <w:p w14:paraId="29C84E57" w14:textId="634A944B" w:rsidR="000B2BE5" w:rsidRPr="00046762" w:rsidRDefault="000B2BE5" w:rsidP="000B2BE5">
      <w:pPr>
        <w:spacing w:line="360" w:lineRule="auto"/>
        <w:jc w:val="both"/>
        <w:rPr>
          <w:sz w:val="26"/>
          <w:szCs w:val="26"/>
          <w:lang w:eastAsia="es-CO"/>
        </w:rPr>
      </w:pPr>
      <w:r w:rsidRPr="00046762">
        <w:rPr>
          <w:sz w:val="26"/>
          <w:szCs w:val="26"/>
          <w:lang w:eastAsia="es-CO"/>
        </w:rPr>
        <w:t>En consecuencia</w:t>
      </w:r>
      <w:r>
        <w:rPr>
          <w:sz w:val="26"/>
          <w:szCs w:val="26"/>
          <w:lang w:eastAsia="es-CO"/>
        </w:rPr>
        <w:t>,</w:t>
      </w:r>
      <w:r w:rsidRPr="00046762">
        <w:rPr>
          <w:sz w:val="26"/>
          <w:szCs w:val="26"/>
          <w:lang w:eastAsia="es-CO"/>
        </w:rPr>
        <w:t xml:space="preserve"> el carácter de empleados públicos que le asiste a los docente</w:t>
      </w:r>
      <w:r>
        <w:rPr>
          <w:sz w:val="26"/>
          <w:szCs w:val="26"/>
          <w:lang w:eastAsia="es-CO"/>
        </w:rPr>
        <w:t>s</w:t>
      </w:r>
      <w:r w:rsidRPr="00046762">
        <w:rPr>
          <w:sz w:val="26"/>
          <w:szCs w:val="26"/>
          <w:lang w:eastAsia="es-CO"/>
        </w:rPr>
        <w:t xml:space="preserve"> oficiales, permitió al Consejo de Estado unificar jurisprudencia</w:t>
      </w:r>
      <w:r w:rsidR="008F3C05">
        <w:rPr>
          <w:sz w:val="26"/>
          <w:szCs w:val="26"/>
          <w:lang w:eastAsia="es-CO"/>
        </w:rPr>
        <w:t xml:space="preserve"> en torno al reconocimiento de la sanción moratoria a docentes oficiales,</w:t>
      </w:r>
      <w:r w:rsidRPr="00046762">
        <w:rPr>
          <w:sz w:val="26"/>
          <w:szCs w:val="26"/>
          <w:lang w:eastAsia="es-CO"/>
        </w:rPr>
        <w:t xml:space="preserve"> de la siguiente manera:</w:t>
      </w:r>
    </w:p>
    <w:p w14:paraId="29BFC25E" w14:textId="77777777" w:rsidR="000B2BE5" w:rsidRPr="0051642B" w:rsidRDefault="000B2BE5" w:rsidP="008F3C05">
      <w:pPr>
        <w:ind w:left="708"/>
        <w:jc w:val="both"/>
        <w:rPr>
          <w:lang w:eastAsia="es-CO"/>
        </w:rPr>
      </w:pPr>
      <w:r w:rsidRPr="0051642B">
        <w:rPr>
          <w:lang w:eastAsia="es-CO"/>
        </w:rPr>
        <w:lastRenderedPageBreak/>
        <w:t>“Por lo anterior, la Sala unifica su jurisprudencia en el sentido que a los docentes les son aplicables las Leyes 244 de 1995</w:t>
      </w:r>
      <w:r w:rsidRPr="0051642B">
        <w:rPr>
          <w:rStyle w:val="Refdenotaalpie"/>
          <w:lang w:eastAsia="es-CO"/>
        </w:rPr>
        <w:footnoteReference w:id="21"/>
      </w:r>
      <w:r w:rsidRPr="0051642B">
        <w:rPr>
          <w:lang w:eastAsia="es-CO"/>
        </w:rPr>
        <w:t xml:space="preserve"> y 1071 de 2006</w:t>
      </w:r>
      <w:r w:rsidRPr="0051642B">
        <w:rPr>
          <w:rStyle w:val="Refdenotaalpie"/>
          <w:lang w:eastAsia="es-CO"/>
        </w:rPr>
        <w:footnoteReference w:id="22"/>
      </w:r>
      <w:r w:rsidRPr="0051642B">
        <w:rPr>
          <w:lang w:eastAsia="es-CO"/>
        </w:rPr>
        <w:t>, que contemplan la sanción por mora en el reconocimiento y pago de las cesantías parciales o definitivas de los servidores públicos; siendo consonante esta posición, con la adoptada por la Corte Constitucional”.</w:t>
      </w:r>
    </w:p>
    <w:p w14:paraId="3C9061BF" w14:textId="77777777" w:rsidR="000B2BE5" w:rsidRPr="00FE1608" w:rsidRDefault="000B2BE5" w:rsidP="000B2BE5">
      <w:pPr>
        <w:spacing w:line="360" w:lineRule="auto"/>
        <w:jc w:val="both"/>
        <w:rPr>
          <w:color w:val="000000" w:themeColor="text1"/>
          <w:sz w:val="26"/>
          <w:szCs w:val="26"/>
          <w:lang w:val="es-MX"/>
        </w:rPr>
      </w:pPr>
    </w:p>
    <w:p w14:paraId="0A02AED0" w14:textId="602F26FC" w:rsidR="000B2BE5" w:rsidRDefault="000B2BE5" w:rsidP="000B2BE5">
      <w:pPr>
        <w:spacing w:line="360" w:lineRule="auto"/>
        <w:jc w:val="both"/>
        <w:rPr>
          <w:color w:val="000000" w:themeColor="text1"/>
          <w:sz w:val="26"/>
          <w:szCs w:val="26"/>
          <w:lang w:val="es-MX"/>
        </w:rPr>
      </w:pPr>
      <w:r>
        <w:rPr>
          <w:color w:val="000000" w:themeColor="text1"/>
          <w:sz w:val="26"/>
          <w:szCs w:val="26"/>
          <w:lang w:val="es-MX"/>
        </w:rPr>
        <w:t>Ahora bien, la Sala analizará el procedimiento para el reconocimiento de las cesantías y los presupuestos</w:t>
      </w:r>
      <w:r w:rsidR="007C0CE4">
        <w:rPr>
          <w:color w:val="000000" w:themeColor="text1"/>
          <w:sz w:val="26"/>
          <w:szCs w:val="26"/>
          <w:lang w:val="es-MX"/>
        </w:rPr>
        <w:t xml:space="preserve"> </w:t>
      </w:r>
      <w:r>
        <w:rPr>
          <w:color w:val="000000" w:themeColor="text1"/>
          <w:sz w:val="26"/>
          <w:szCs w:val="26"/>
          <w:lang w:val="es-MX"/>
        </w:rPr>
        <w:t>para el reconocimiento de la mora aquí discutida y resolverá el caso concreto.</w:t>
      </w:r>
    </w:p>
    <w:p w14:paraId="23F90D8C" w14:textId="77777777" w:rsidR="000B2BE5" w:rsidRPr="0069523F" w:rsidRDefault="000B2BE5" w:rsidP="000B2BE5">
      <w:pPr>
        <w:spacing w:line="360" w:lineRule="auto"/>
        <w:jc w:val="both"/>
        <w:rPr>
          <w:b/>
          <w:sz w:val="26"/>
          <w:szCs w:val="26"/>
          <w:u w:val="single"/>
        </w:rPr>
      </w:pPr>
    </w:p>
    <w:p w14:paraId="24897F3D" w14:textId="5DC0B373" w:rsidR="000B2BE5" w:rsidRPr="0069523F" w:rsidRDefault="26092896" w:rsidP="000B2BE5">
      <w:pPr>
        <w:jc w:val="both"/>
        <w:rPr>
          <w:b/>
          <w:bCs/>
        </w:rPr>
      </w:pPr>
      <w:r w:rsidRPr="073719D1">
        <w:rPr>
          <w:b/>
          <w:bCs/>
          <w:sz w:val="26"/>
          <w:szCs w:val="26"/>
        </w:rPr>
        <w:t>6.</w:t>
      </w:r>
      <w:r w:rsidR="17B83C59" w:rsidRPr="073719D1">
        <w:rPr>
          <w:b/>
          <w:bCs/>
          <w:sz w:val="26"/>
          <w:szCs w:val="26"/>
        </w:rPr>
        <w:t xml:space="preserve"> T</w:t>
      </w:r>
      <w:r w:rsidR="000B2BE5" w:rsidRPr="073719D1">
        <w:rPr>
          <w:b/>
          <w:bCs/>
          <w:sz w:val="26"/>
          <w:szCs w:val="26"/>
        </w:rPr>
        <w:t>rámite establecido en el Decreto 2831 de 2005 y su inaplicación para el caso de reconocimiento de cesantías docentes</w:t>
      </w:r>
    </w:p>
    <w:p w14:paraId="49E316A9" w14:textId="77777777" w:rsidR="000B2BE5" w:rsidRDefault="000B2BE5" w:rsidP="000B2BE5">
      <w:pPr>
        <w:jc w:val="both"/>
        <w:rPr>
          <w:rFonts w:ascii="Arial" w:hAnsi="Arial" w:cs="Arial"/>
          <w:lang w:eastAsia="es-CO"/>
        </w:rPr>
      </w:pPr>
    </w:p>
    <w:p w14:paraId="27E92085" w14:textId="77777777" w:rsidR="000B2BE5" w:rsidRPr="00D20032" w:rsidRDefault="000B2BE5" w:rsidP="000B2BE5">
      <w:pPr>
        <w:spacing w:line="360" w:lineRule="auto"/>
        <w:jc w:val="both"/>
        <w:rPr>
          <w:sz w:val="26"/>
          <w:szCs w:val="26"/>
          <w:lang w:eastAsia="es-CO"/>
        </w:rPr>
      </w:pPr>
      <w:r w:rsidRPr="00D20032">
        <w:rPr>
          <w:sz w:val="26"/>
          <w:szCs w:val="26"/>
          <w:lang w:eastAsia="es-CO"/>
        </w:rPr>
        <w:t>El Decreto 2831 de 2005 reglamentó el trámite</w:t>
      </w:r>
      <w:r w:rsidRPr="00D20032">
        <w:rPr>
          <w:rStyle w:val="Refdenotaalpie"/>
          <w:sz w:val="26"/>
          <w:szCs w:val="26"/>
          <w:lang w:eastAsia="es-CO"/>
        </w:rPr>
        <w:footnoteReference w:id="23"/>
      </w:r>
      <w:r w:rsidRPr="00D20032">
        <w:rPr>
          <w:sz w:val="26"/>
          <w:szCs w:val="26"/>
          <w:lang w:eastAsia="es-CO"/>
        </w:rPr>
        <w:t xml:space="preserve"> para el reconocimiento y pago de prestaciones sociales de los docentes afiliados al Fondo Nacional de Prestaciones </w:t>
      </w:r>
      <w:r w:rsidRPr="00D20032">
        <w:rPr>
          <w:sz w:val="26"/>
          <w:szCs w:val="26"/>
          <w:lang w:eastAsia="es-CO"/>
        </w:rPr>
        <w:lastRenderedPageBreak/>
        <w:t xml:space="preserve">Sociales del Magisterio el cual difiere del establecido en la Ley 244 de 1995, modificada por la Ley 1071 de 2006. </w:t>
      </w:r>
    </w:p>
    <w:p w14:paraId="359160F7" w14:textId="77777777" w:rsidR="000B2BE5" w:rsidRPr="00D20032" w:rsidRDefault="000B2BE5" w:rsidP="000B2BE5">
      <w:pPr>
        <w:spacing w:line="360" w:lineRule="auto"/>
        <w:jc w:val="both"/>
        <w:rPr>
          <w:sz w:val="26"/>
          <w:szCs w:val="26"/>
          <w:lang w:eastAsia="es-CO"/>
        </w:rPr>
      </w:pPr>
    </w:p>
    <w:p w14:paraId="2541A49F" w14:textId="77777777" w:rsidR="000B2BE5" w:rsidRPr="00D20032" w:rsidRDefault="000B2BE5" w:rsidP="000B2BE5">
      <w:pPr>
        <w:spacing w:line="360" w:lineRule="auto"/>
        <w:jc w:val="both"/>
      </w:pPr>
      <w:r w:rsidRPr="00D20032">
        <w:rPr>
          <w:sz w:val="26"/>
          <w:szCs w:val="26"/>
          <w:lang w:eastAsia="es-CO"/>
        </w:rPr>
        <w:t>El trámite establecido en el referido decreto resulta más prolongado que el mencionado en las Leyes 244 de 1995 y 1071 de 2006, situación que llevó al Consejo de Estado,</w:t>
      </w:r>
      <w:r w:rsidRPr="00D20032">
        <w:rPr>
          <w:rStyle w:val="Refdenotaalpie"/>
          <w:sz w:val="26"/>
          <w:szCs w:val="26"/>
          <w:lang w:eastAsia="es-CO"/>
        </w:rPr>
        <w:footnoteReference w:id="24"/>
      </w:r>
      <w:r w:rsidRPr="00D20032">
        <w:rPr>
          <w:sz w:val="26"/>
          <w:szCs w:val="26"/>
          <w:lang w:eastAsia="es-CO"/>
        </w:rPr>
        <w:t xml:space="preserve"> acudiendo al concepto de orden de preferencia en la aplicación de normas nacionales explicado por la jurisprudencia de la Corte Constitucional, a indicar que:</w:t>
      </w:r>
    </w:p>
    <w:p w14:paraId="625526C6" w14:textId="77777777" w:rsidR="000B2BE5" w:rsidRPr="00D20032" w:rsidRDefault="000B2BE5" w:rsidP="000B2BE5">
      <w:pPr>
        <w:spacing w:line="360" w:lineRule="auto"/>
        <w:jc w:val="both"/>
      </w:pPr>
    </w:p>
    <w:p w14:paraId="77BD70EA" w14:textId="77777777" w:rsidR="000B2BE5" w:rsidRPr="00D20032" w:rsidRDefault="000B2BE5" w:rsidP="000B2BE5">
      <w:pPr>
        <w:ind w:left="709"/>
        <w:jc w:val="both"/>
        <w:rPr>
          <w:sz w:val="26"/>
          <w:szCs w:val="26"/>
          <w:lang w:eastAsia="es-CO"/>
        </w:rPr>
      </w:pPr>
      <w:r w:rsidRPr="00D20032">
        <w:t>“De acuerdo con lo señalado por el tribunal constitucional, se establece que la norma superior al prever que las leyes expedidas por el Congreso en ejercicio de las funciones previstas en el artículo 150 ibidem, ocupan una posición prevalente en el ordenamiento jurídico, se aplican de manera preferente frente a las disposiciones de inferior rango jerárquico.</w:t>
      </w:r>
      <w:r w:rsidRPr="00D20032">
        <w:rPr>
          <w:color w:val="C00000"/>
        </w:rPr>
        <w:t xml:space="preserve"> </w:t>
      </w:r>
    </w:p>
    <w:p w14:paraId="39A1ABEE" w14:textId="77777777" w:rsidR="000B2BE5" w:rsidRPr="00D20032" w:rsidRDefault="000B2BE5" w:rsidP="000B2BE5">
      <w:pPr>
        <w:ind w:left="709"/>
        <w:jc w:val="both"/>
      </w:pPr>
      <w:r w:rsidRPr="00D20032">
        <w:t>Por consiguiente, se tiene que dado que la Ley 1071 de 2006</w:t>
      </w:r>
      <w:r w:rsidRPr="00D20032">
        <w:rPr>
          <w:rStyle w:val="Refdenotaalpie"/>
        </w:rPr>
        <w:footnoteReference w:id="25"/>
      </w:r>
      <w:r w:rsidRPr="00D20032">
        <w:t xml:space="preserve"> fue expedida por el Congreso de la República, órgano al que por mandato constitucional le corresponde hacer las leyes</w:t>
      </w:r>
      <w:r w:rsidRPr="00D20032">
        <w:rPr>
          <w:rStyle w:val="Refdenotaalpie"/>
        </w:rPr>
        <w:footnoteReference w:id="26"/>
      </w:r>
      <w:r w:rsidRPr="00D20032">
        <w:t>, y de otro lado, el Decreto 2831 de 2005 por el presidente en ejercicio de sus facultades constitucionales y legales, quien ejerce las funciones de Jefe de Estado, Jefe del Gobierno y Suprema Autoridad Administrativa</w:t>
      </w:r>
      <w:r w:rsidRPr="00D20032">
        <w:rPr>
          <w:rStyle w:val="Refdenotaalpie"/>
        </w:rPr>
        <w:footnoteReference w:id="27"/>
      </w:r>
      <w:r w:rsidRPr="00D20032">
        <w:t xml:space="preserve">, dicha ley prevalece sobre el decreto reglamentario y en tal virtud, deberá aplicarse tal disposición legal en lo concerniente a los términos para el reconocimiento de las cesantías parciales o definitivas de docentes, dada su naturaleza jurídica de servidores públicos, así como la sanción moratoria”. </w:t>
      </w:r>
    </w:p>
    <w:p w14:paraId="0A4DAB19" w14:textId="77777777" w:rsidR="000B2BE5" w:rsidRPr="00D20032" w:rsidRDefault="000B2BE5" w:rsidP="000B2BE5">
      <w:pPr>
        <w:ind w:left="709"/>
        <w:jc w:val="both"/>
      </w:pPr>
      <w:r w:rsidRPr="00D20032">
        <w:t>(…)</w:t>
      </w:r>
    </w:p>
    <w:p w14:paraId="60A98531" w14:textId="77777777" w:rsidR="000B2BE5" w:rsidRPr="00D20032" w:rsidRDefault="000B2BE5" w:rsidP="000B2BE5">
      <w:pPr>
        <w:ind w:left="709"/>
        <w:jc w:val="both"/>
      </w:pPr>
      <w:r w:rsidRPr="00D20032">
        <w:t>Así las cosas, la Sala de Sección considera que no hay lugar a la aplicación conjunta del Decreto 2831 de 2005</w:t>
      </w:r>
      <w:r w:rsidRPr="00D20032">
        <w:rPr>
          <w:rStyle w:val="Refdenotaalpie"/>
        </w:rPr>
        <w:footnoteReference w:id="28"/>
      </w:r>
      <w:r w:rsidRPr="00D20032">
        <w:t xml:space="preserve"> en el trámite del reconocimiento y pago de las cesantías de los docentes, y de la Ley 1071 de 2006</w:t>
      </w:r>
      <w:r w:rsidRPr="00D20032">
        <w:rPr>
          <w:rStyle w:val="Refdenotaalpie"/>
        </w:rPr>
        <w:footnoteReference w:id="29"/>
      </w:r>
      <w:r w:rsidRPr="00D20032">
        <w:t xml:space="preserve"> para la sanción moratoria en el evento en que la entidad pagadora incumpla el plazo, pues ello desconocería la jerarquía </w:t>
      </w:r>
      <w:r w:rsidRPr="00D20032">
        <w:lastRenderedPageBreak/>
        <w:t xml:space="preserve">normativa de la ley sobre el reglamento. </w:t>
      </w:r>
      <w:r w:rsidRPr="00D20032">
        <w:tab/>
        <w:t>En consecuencia, estima la Sala que el Decreto Reglamentario 2831 de 2005 desconoce la jerarquía normativa de la ley, al establecer trámites y términos diferentes a los previstos en ella para el reconocimiento y pago de la cesantía, que como hemos visto, resultan aplicables al sector docente oficial. Por ende, y a pesar de no ser objeto de este proceso, en desarrollo de la llamada «excepción de ilegalidad», consagrada en el artículo 148 de la Ley 1437 de 2011, la Sala inaplicará para los efectos de la unificación jurisprudencial contenida en esta providencia, la mencionada norma reglamentaria, e instará al Gobierno Nacional a que en futuras reglamentaciones tenga en cuenta los términos y límites prescritos en la ley para la causación de la sanción moratoria por la mora en el pago de las cesantías.</w:t>
      </w:r>
    </w:p>
    <w:p w14:paraId="6267A1F5" w14:textId="77777777" w:rsidR="000B2BE5" w:rsidRPr="00D20032" w:rsidRDefault="000B2BE5" w:rsidP="000B2BE5">
      <w:pPr>
        <w:ind w:left="709"/>
        <w:jc w:val="both"/>
        <w:rPr>
          <w:sz w:val="26"/>
          <w:szCs w:val="26"/>
          <w:lang w:eastAsia="es-CO"/>
        </w:rPr>
      </w:pPr>
    </w:p>
    <w:p w14:paraId="3CBD2931" w14:textId="77777777" w:rsidR="000B2BE5" w:rsidRPr="00D20032" w:rsidRDefault="000B2BE5" w:rsidP="000B2BE5">
      <w:pPr>
        <w:tabs>
          <w:tab w:val="left" w:pos="720"/>
          <w:tab w:val="left" w:pos="1440"/>
          <w:tab w:val="left" w:pos="2160"/>
          <w:tab w:val="left" w:pos="2880"/>
          <w:tab w:val="left" w:pos="3600"/>
          <w:tab w:val="left" w:pos="4320"/>
          <w:tab w:val="left" w:pos="5040"/>
          <w:tab w:val="left" w:pos="5760"/>
          <w:tab w:val="left" w:pos="6480"/>
          <w:tab w:val="left" w:pos="7200"/>
          <w:tab w:val="left" w:pos="8364"/>
          <w:tab w:val="left" w:pos="8640"/>
        </w:tabs>
        <w:ind w:right="-232"/>
        <w:jc w:val="both"/>
      </w:pPr>
      <w:r w:rsidRPr="00D20032">
        <w:tab/>
        <w:t>(…).</w:t>
      </w:r>
    </w:p>
    <w:p w14:paraId="3FE219F0" w14:textId="77777777" w:rsidR="000B2BE5" w:rsidRPr="00D20032" w:rsidRDefault="000B2BE5" w:rsidP="000B2BE5">
      <w:pPr>
        <w:spacing w:line="360" w:lineRule="auto"/>
        <w:jc w:val="both"/>
        <w:rPr>
          <w:b/>
          <w:sz w:val="26"/>
          <w:szCs w:val="26"/>
        </w:rPr>
      </w:pPr>
    </w:p>
    <w:p w14:paraId="6009DD8F" w14:textId="77777777" w:rsidR="000B2BE5" w:rsidRDefault="000B2BE5" w:rsidP="000B2BE5">
      <w:pPr>
        <w:spacing w:line="360" w:lineRule="auto"/>
        <w:jc w:val="both"/>
        <w:rPr>
          <w:sz w:val="26"/>
          <w:szCs w:val="26"/>
        </w:rPr>
      </w:pPr>
      <w:r w:rsidRPr="00D20032">
        <w:rPr>
          <w:sz w:val="26"/>
          <w:szCs w:val="26"/>
        </w:rPr>
        <w:t>De manera que el trámite establecido para el reconocimiento de las cesantías docentes es el señalado en la Ley 244 de 1996 y la Ley 1071 de 2006.</w:t>
      </w:r>
    </w:p>
    <w:p w14:paraId="4950E0AB" w14:textId="77777777" w:rsidR="000B2BE5" w:rsidRDefault="000B2BE5" w:rsidP="000B2BE5">
      <w:pPr>
        <w:spacing w:line="360" w:lineRule="auto"/>
        <w:jc w:val="both"/>
        <w:rPr>
          <w:sz w:val="26"/>
          <w:szCs w:val="26"/>
        </w:rPr>
      </w:pPr>
    </w:p>
    <w:p w14:paraId="3EC7E7AC" w14:textId="64A49E4F" w:rsidR="000B2BE5" w:rsidRDefault="0C20ED50" w:rsidP="000B2BE5">
      <w:pPr>
        <w:jc w:val="both"/>
        <w:rPr>
          <w:b/>
          <w:bCs/>
          <w:sz w:val="26"/>
          <w:szCs w:val="26"/>
        </w:rPr>
      </w:pPr>
      <w:r w:rsidRPr="355104C5">
        <w:rPr>
          <w:b/>
          <w:bCs/>
          <w:sz w:val="26"/>
          <w:szCs w:val="26"/>
        </w:rPr>
        <w:t>7</w:t>
      </w:r>
      <w:r w:rsidR="000B2BE5" w:rsidRPr="355104C5">
        <w:rPr>
          <w:b/>
          <w:bCs/>
          <w:sz w:val="26"/>
          <w:szCs w:val="26"/>
        </w:rPr>
        <w:t>. Del cómputo de términos para establecer la sanción moratoria por el pago tardío de cesantías</w:t>
      </w:r>
      <w:r w:rsidR="00711277" w:rsidRPr="355104C5">
        <w:rPr>
          <w:b/>
          <w:bCs/>
          <w:sz w:val="26"/>
          <w:szCs w:val="26"/>
        </w:rPr>
        <w:t xml:space="preserve"> </w:t>
      </w:r>
    </w:p>
    <w:p w14:paraId="3BAC0283" w14:textId="77777777" w:rsidR="000B2BE5" w:rsidRPr="00095381" w:rsidRDefault="000B2BE5" w:rsidP="000B2BE5">
      <w:pPr>
        <w:spacing w:line="360" w:lineRule="auto"/>
        <w:jc w:val="both"/>
        <w:rPr>
          <w:b/>
          <w:sz w:val="26"/>
          <w:szCs w:val="26"/>
        </w:rPr>
      </w:pPr>
    </w:p>
    <w:p w14:paraId="50E92F22" w14:textId="77777777" w:rsidR="000B2BE5" w:rsidRPr="00D20032" w:rsidRDefault="000B2BE5" w:rsidP="000B2BE5">
      <w:pPr>
        <w:spacing w:line="360" w:lineRule="auto"/>
        <w:jc w:val="both"/>
        <w:rPr>
          <w:sz w:val="26"/>
          <w:szCs w:val="26"/>
        </w:rPr>
      </w:pPr>
      <w:r w:rsidRPr="00D20032">
        <w:rPr>
          <w:sz w:val="26"/>
          <w:szCs w:val="26"/>
        </w:rPr>
        <w:t>En lo que refiere al trámite y conteo de términos para establecer la mora de la entidad, el Consejo de Estado, se pronunció de la siguiente manera:</w:t>
      </w:r>
    </w:p>
    <w:p w14:paraId="1CC21980" w14:textId="77777777" w:rsidR="000B2BE5" w:rsidRPr="00D20032" w:rsidRDefault="000B2BE5" w:rsidP="000B2BE5">
      <w:pPr>
        <w:spacing w:line="360" w:lineRule="auto"/>
        <w:jc w:val="both"/>
        <w:rPr>
          <w:sz w:val="26"/>
          <w:szCs w:val="26"/>
        </w:rPr>
      </w:pPr>
    </w:p>
    <w:p w14:paraId="5D58F76D" w14:textId="2FC830A7" w:rsidR="000B2BE5" w:rsidRPr="00D20032" w:rsidRDefault="000B2BE5" w:rsidP="000B2BE5">
      <w:pPr>
        <w:ind w:left="708"/>
        <w:jc w:val="both"/>
        <w:rPr>
          <w:lang w:eastAsia="es-CO"/>
        </w:rPr>
      </w:pPr>
      <w:r w:rsidRPr="00D20032">
        <w:rPr>
          <w:lang w:eastAsia="es-CO"/>
        </w:rPr>
        <w:t xml:space="preserve">“En consecuencia, la Sección Segunda de esta Corporación fija la regla jurisprudencial concerniente a que en el evento en que la administración no resuelva la solicitud de la prestación social </w:t>
      </w:r>
      <w:r w:rsidRPr="00D20032">
        <w:rPr>
          <w:i/>
          <w:iCs/>
          <w:lang w:eastAsia="es-CO"/>
        </w:rPr>
        <w:t xml:space="preserve">–cesantías parciales o definitivas- </w:t>
      </w:r>
      <w:r w:rsidRPr="00D20032">
        <w:rPr>
          <w:lang w:eastAsia="es-CO"/>
        </w:rPr>
        <w:t>o lo haga de manera tardía, el término para el cómputo de la sanción moratoria iniciará a partir de la radicación de la petición correspondiente, de manera que se contarán 15 días hábiles para la expedición del acto administrativo de reconocimiento (Art. 4 L. 1071/2006</w:t>
      </w:r>
      <w:r w:rsidRPr="00D20032">
        <w:rPr>
          <w:rStyle w:val="Refdenotaalpie"/>
          <w:lang w:eastAsia="es-CO"/>
        </w:rPr>
        <w:footnoteReference w:id="30"/>
      </w:r>
      <w:r w:rsidRPr="00D20032">
        <w:rPr>
          <w:lang w:eastAsia="es-CO"/>
        </w:rPr>
        <w:t>), 10 del término de ejecutoria de la decisión (Arts. 76 y 87 de la Ley 1437 de 2011</w:t>
      </w:r>
      <w:r w:rsidRPr="00D20032">
        <w:rPr>
          <w:rStyle w:val="Refdenotaalpie"/>
          <w:lang w:eastAsia="es-CO"/>
        </w:rPr>
        <w:footnoteReference w:id="31"/>
      </w:r>
      <w:r w:rsidRPr="00D20032">
        <w:rPr>
          <w:lang w:eastAsia="es-CO"/>
        </w:rPr>
        <w:t xml:space="preserve">) [5 días si la petición se presentó en vigencia del Código Contencioso </w:t>
      </w:r>
      <w:r w:rsidRPr="00D20032">
        <w:rPr>
          <w:lang w:eastAsia="es-CO"/>
        </w:rPr>
        <w:lastRenderedPageBreak/>
        <w:t>Administrativo – Decreto 01 de 1984, artículo 51</w:t>
      </w:r>
      <w:r w:rsidRPr="00D20032">
        <w:rPr>
          <w:rStyle w:val="Refdenotaalpie"/>
          <w:lang w:eastAsia="es-CO"/>
        </w:rPr>
        <w:footnoteReference w:id="32"/>
      </w:r>
      <w:r w:rsidRPr="00D20032">
        <w:rPr>
          <w:lang w:eastAsia="es-CO"/>
        </w:rPr>
        <w:t>],</w:t>
      </w:r>
      <w:r w:rsidRPr="00D20032">
        <w:rPr>
          <w:color w:val="C00000"/>
          <w:lang w:eastAsia="es-CO"/>
        </w:rPr>
        <w:t xml:space="preserve"> </w:t>
      </w:r>
      <w:r w:rsidRPr="00D20032">
        <w:rPr>
          <w:lang w:eastAsia="es-CO"/>
        </w:rPr>
        <w:t>y 45 días hábiles a partir del día en que quedó en firme la resolución. Por consiguiente, al vencimiento de los 70 días hábiles discriminados en precedencia, se causará la sanción moratoria de que trata el artículo 5 de la Ley 1071 de 2006</w:t>
      </w:r>
      <w:r w:rsidRPr="00D20032">
        <w:rPr>
          <w:rStyle w:val="Refdenotaalpie"/>
          <w:lang w:eastAsia="es-CO"/>
        </w:rPr>
        <w:footnoteReference w:id="33"/>
      </w:r>
      <w:r w:rsidRPr="00D20032">
        <w:rPr>
          <w:lang w:eastAsia="es-CO"/>
        </w:rPr>
        <w:t>.”</w:t>
      </w:r>
      <w:r w:rsidRPr="00D20032">
        <w:rPr>
          <w:rStyle w:val="Refdenotaalpie"/>
          <w:lang w:eastAsia="es-CO"/>
        </w:rPr>
        <w:footnoteReference w:id="34"/>
      </w:r>
      <w:r w:rsidR="007C0CE4" w:rsidRPr="00D20032">
        <w:rPr>
          <w:lang w:eastAsia="es-CO"/>
        </w:rPr>
        <w:t xml:space="preserve"> </w:t>
      </w:r>
    </w:p>
    <w:p w14:paraId="3918E5B8" w14:textId="77777777" w:rsidR="000B2BE5" w:rsidRPr="00D20032" w:rsidRDefault="000B2BE5" w:rsidP="000B2BE5">
      <w:pPr>
        <w:spacing w:line="360" w:lineRule="auto"/>
        <w:jc w:val="both"/>
        <w:rPr>
          <w:rFonts w:ascii="Arial" w:hAnsi="Arial" w:cs="Arial"/>
          <w:lang w:eastAsia="es-CO"/>
        </w:rPr>
      </w:pPr>
    </w:p>
    <w:p w14:paraId="0B318483" w14:textId="77777777" w:rsidR="000B2BE5" w:rsidRPr="00D20032" w:rsidRDefault="000B2BE5" w:rsidP="000B2BE5">
      <w:pPr>
        <w:spacing w:line="360" w:lineRule="auto"/>
        <w:jc w:val="both"/>
        <w:rPr>
          <w:sz w:val="26"/>
          <w:szCs w:val="26"/>
          <w:lang w:eastAsia="es-CO"/>
        </w:rPr>
      </w:pPr>
      <w:r w:rsidRPr="00D20032">
        <w:rPr>
          <w:sz w:val="26"/>
          <w:szCs w:val="26"/>
          <w:lang w:eastAsia="es-CO"/>
        </w:rPr>
        <w:t>Frente al interrogante sobre la fecha a partir de la cual contar el término de ejecutoria, unificó el Consejo de Estado</w:t>
      </w:r>
      <w:r w:rsidRPr="00D20032">
        <w:rPr>
          <w:rStyle w:val="Refdenotaalpie"/>
          <w:sz w:val="26"/>
          <w:szCs w:val="26"/>
          <w:lang w:eastAsia="es-CO"/>
        </w:rPr>
        <w:footnoteReference w:id="35"/>
      </w:r>
      <w:r w:rsidRPr="00D20032">
        <w:rPr>
          <w:sz w:val="26"/>
          <w:szCs w:val="26"/>
          <w:lang w:eastAsia="es-CO"/>
        </w:rPr>
        <w:t xml:space="preserve"> de la siguiente manera:</w:t>
      </w:r>
    </w:p>
    <w:p w14:paraId="05B53FB4" w14:textId="77777777" w:rsidR="000B2BE5" w:rsidRPr="00D20032" w:rsidRDefault="000B2BE5" w:rsidP="000B2BE5">
      <w:pPr>
        <w:jc w:val="both"/>
      </w:pPr>
    </w:p>
    <w:p w14:paraId="15599304" w14:textId="77777777" w:rsidR="000B2BE5" w:rsidRDefault="000B2BE5" w:rsidP="000B2BE5">
      <w:pPr>
        <w:ind w:left="708"/>
        <w:jc w:val="both"/>
      </w:pPr>
      <w:r w:rsidRPr="00D20032">
        <w:rPr>
          <w:b/>
          <w:u w:val="single"/>
        </w:rPr>
        <w:t>“Sentar jurisprudencia</w:t>
      </w:r>
      <w:r w:rsidRPr="00D20032">
        <w:t xml:space="preserve"> precisando que cuando el acto que reconoce las cesantías se expide por fuera del término de ley, o cuando no se profiere; la sanción moratoria corre 70 días hábiles después de radicada la solicitud de reconocimiento, término que corresponde a: i) 15 días para expedir la resolución; ii) 10 días de ejecutoria del acto; y iii) 45 días para efectuar el pago.</w:t>
      </w:r>
    </w:p>
    <w:p w14:paraId="2869C3E4" w14:textId="77777777" w:rsidR="000B2BE5" w:rsidRPr="00A52B2B" w:rsidRDefault="000B2BE5" w:rsidP="000B2BE5">
      <w:pPr>
        <w:ind w:left="708"/>
        <w:jc w:val="both"/>
      </w:pPr>
    </w:p>
    <w:p w14:paraId="458FD539" w14:textId="77777777" w:rsidR="00BC1EDB" w:rsidRPr="006A47DE" w:rsidRDefault="00BC1EDB" w:rsidP="00BC1EDB">
      <w:pPr>
        <w:spacing w:line="360" w:lineRule="auto"/>
        <w:jc w:val="both"/>
        <w:rPr>
          <w:rFonts w:eastAsiaTheme="minorHAnsi"/>
          <w:color w:val="000000"/>
          <w:sz w:val="26"/>
          <w:szCs w:val="26"/>
          <w:lang w:eastAsia="en-US"/>
        </w:rPr>
      </w:pPr>
      <w:r w:rsidRPr="350C51D6">
        <w:rPr>
          <w:rFonts w:eastAsiaTheme="minorEastAsia"/>
          <w:color w:val="000000" w:themeColor="text1"/>
          <w:sz w:val="26"/>
          <w:szCs w:val="26"/>
          <w:lang w:eastAsia="en-US"/>
        </w:rPr>
        <w:t xml:space="preserve">En atención a ello, la sanción moratoria deja de causarse en el momento en el que cesa la inactividad de la Administración, lo cual ocurre cuando se produce el </w:t>
      </w:r>
      <w:r w:rsidRPr="350C51D6">
        <w:rPr>
          <w:rFonts w:eastAsiaTheme="minorEastAsia"/>
          <w:b/>
          <w:bCs/>
          <w:color w:val="000000" w:themeColor="text1"/>
          <w:sz w:val="26"/>
          <w:szCs w:val="26"/>
          <w:lang w:eastAsia="en-US"/>
        </w:rPr>
        <w:t>“pago efectivo</w:t>
      </w:r>
      <w:r w:rsidRPr="350C51D6">
        <w:rPr>
          <w:rFonts w:eastAsiaTheme="minorEastAsia"/>
          <w:color w:val="000000" w:themeColor="text1"/>
          <w:sz w:val="26"/>
          <w:szCs w:val="26"/>
          <w:lang w:eastAsia="en-US"/>
        </w:rPr>
        <w:t xml:space="preserve">” del auxilio de cesantías. Sin embargo, esta Corporación no ha mantenido una posición uniforme acerca de cuál es la actuación que configura el pago efectivo de la prestación, particularmente en el caso de los docentes oficiales. </w:t>
      </w:r>
    </w:p>
    <w:p w14:paraId="39F3B6F0" w14:textId="77777777" w:rsidR="00BC1EDB" w:rsidRDefault="00BC1EDB" w:rsidP="00BC1EDB">
      <w:pPr>
        <w:spacing w:line="360" w:lineRule="auto"/>
        <w:jc w:val="both"/>
        <w:rPr>
          <w:color w:val="000000" w:themeColor="text1"/>
          <w:lang w:eastAsia="en-US"/>
        </w:rPr>
      </w:pPr>
    </w:p>
    <w:p w14:paraId="55BDD6C0" w14:textId="77777777" w:rsidR="00BC1EDB" w:rsidRPr="006A47DE" w:rsidRDefault="00BC1EDB" w:rsidP="00BC1EDB">
      <w:pPr>
        <w:spacing w:line="360" w:lineRule="auto"/>
        <w:jc w:val="both"/>
        <w:rPr>
          <w:rFonts w:eastAsiaTheme="minorEastAsia"/>
          <w:color w:val="000000"/>
          <w:sz w:val="26"/>
          <w:szCs w:val="26"/>
          <w:lang w:eastAsia="en-US"/>
        </w:rPr>
      </w:pPr>
      <w:r w:rsidRPr="4A77F46A">
        <w:rPr>
          <w:rFonts w:eastAsiaTheme="minorEastAsia"/>
          <w:b/>
          <w:bCs/>
          <w:color w:val="000000"/>
          <w:sz w:val="26"/>
          <w:szCs w:val="26"/>
          <w:lang w:eastAsia="en-US"/>
        </w:rPr>
        <w:t xml:space="preserve">La tesis mayoritaria refiere que el pago efectivo se configura en la fecha en la que el FOMAG pone a disposición del trabajador los dineros en la institución bancaria (giro o consignación). </w:t>
      </w:r>
      <w:r w:rsidRPr="4A77F46A">
        <w:rPr>
          <w:rFonts w:eastAsiaTheme="minorEastAsia"/>
          <w:color w:val="000000"/>
          <w:sz w:val="26"/>
          <w:szCs w:val="26"/>
          <w:lang w:eastAsia="en-US"/>
        </w:rPr>
        <w:t>También ha hecho alusión a que, por ende, el límite final de la sanción no es la fecha de cobro de la prestación (retiro bancario), aunque sin estudiar de forma directa o amplia el asunto</w:t>
      </w:r>
      <w:r w:rsidRPr="4A77F46A">
        <w:rPr>
          <w:rStyle w:val="Refdenotaalpie"/>
          <w:rFonts w:eastAsiaTheme="minorEastAsia"/>
          <w:color w:val="000000"/>
          <w:sz w:val="26"/>
          <w:szCs w:val="26"/>
          <w:lang w:eastAsia="en-US"/>
        </w:rPr>
        <w:footnoteReference w:id="36"/>
      </w:r>
      <w:r w:rsidRPr="4A77F46A">
        <w:rPr>
          <w:rFonts w:eastAsiaTheme="minorEastAsia"/>
          <w:color w:val="000000"/>
          <w:sz w:val="26"/>
          <w:szCs w:val="26"/>
          <w:lang w:eastAsia="en-US"/>
        </w:rPr>
        <w:t xml:space="preserve">. </w:t>
      </w:r>
    </w:p>
    <w:p w14:paraId="6EE45B1D" w14:textId="77777777" w:rsidR="00BC1EDB" w:rsidRDefault="00BC1EDB" w:rsidP="00BC1EDB">
      <w:pPr>
        <w:pStyle w:val="Prrafodelista"/>
        <w:tabs>
          <w:tab w:val="left" w:pos="426"/>
        </w:tabs>
        <w:overflowPunct/>
        <w:spacing w:line="360" w:lineRule="auto"/>
        <w:ind w:left="0"/>
        <w:jc w:val="both"/>
        <w:rPr>
          <w:color w:val="FF0000"/>
          <w:sz w:val="26"/>
          <w:szCs w:val="26"/>
        </w:rPr>
      </w:pPr>
    </w:p>
    <w:p w14:paraId="49885FCB" w14:textId="77777777" w:rsidR="00BC1EDB" w:rsidRPr="00372DBF" w:rsidRDefault="00BC1EDB" w:rsidP="00BC1EDB">
      <w:pPr>
        <w:pStyle w:val="Default"/>
        <w:spacing w:line="360" w:lineRule="auto"/>
        <w:jc w:val="both"/>
        <w:rPr>
          <w:rFonts w:ascii="Times New Roman" w:eastAsiaTheme="minorHAnsi" w:hAnsi="Times New Roman" w:cs="Times New Roman"/>
          <w:sz w:val="26"/>
          <w:szCs w:val="26"/>
        </w:rPr>
      </w:pPr>
      <w:r w:rsidRPr="00372DBF">
        <w:rPr>
          <w:rFonts w:ascii="Times New Roman" w:eastAsiaTheme="minorHAnsi" w:hAnsi="Times New Roman" w:cs="Times New Roman"/>
          <w:sz w:val="26"/>
          <w:szCs w:val="26"/>
        </w:rPr>
        <w:t>Por su parte, de forma minoritaria</w:t>
      </w:r>
      <w:r>
        <w:rPr>
          <w:rStyle w:val="Refdenotaalpie"/>
          <w:rFonts w:ascii="Times New Roman" w:eastAsiaTheme="minorHAnsi" w:hAnsi="Times New Roman" w:cs="Times New Roman"/>
          <w:sz w:val="26"/>
          <w:szCs w:val="26"/>
        </w:rPr>
        <w:footnoteReference w:id="37"/>
      </w:r>
      <w:r w:rsidRPr="00372DBF">
        <w:rPr>
          <w:rFonts w:ascii="Times New Roman" w:eastAsiaTheme="minorHAnsi" w:hAnsi="Times New Roman" w:cs="Times New Roman"/>
          <w:sz w:val="26"/>
          <w:szCs w:val="26"/>
        </w:rPr>
        <w:t xml:space="preserve"> se ha a</w:t>
      </w:r>
      <w:r>
        <w:rPr>
          <w:rFonts w:ascii="Times New Roman" w:eastAsiaTheme="minorHAnsi" w:hAnsi="Times New Roman" w:cs="Times New Roman"/>
          <w:sz w:val="26"/>
          <w:szCs w:val="26"/>
        </w:rPr>
        <w:t>firmado</w:t>
      </w:r>
      <w:r w:rsidRPr="00372DBF">
        <w:rPr>
          <w:rFonts w:ascii="Times New Roman" w:eastAsiaTheme="minorHAnsi" w:hAnsi="Times New Roman" w:cs="Times New Roman"/>
          <w:sz w:val="26"/>
          <w:szCs w:val="26"/>
        </w:rPr>
        <w:t xml:space="preserve"> que el pago efectivo se produce cuando el trabajador cobra o retira las cesantías de la institución bancaria donde son consignadas a su favor. </w:t>
      </w:r>
    </w:p>
    <w:p w14:paraId="0FCFDD1E" w14:textId="77777777" w:rsidR="00BC1EDB" w:rsidRPr="00372DBF" w:rsidRDefault="00BC1EDB" w:rsidP="00BC1EDB">
      <w:pPr>
        <w:spacing w:line="360" w:lineRule="auto"/>
        <w:rPr>
          <w:rFonts w:eastAsiaTheme="minorHAnsi"/>
          <w:color w:val="000000"/>
          <w:sz w:val="26"/>
          <w:szCs w:val="26"/>
          <w:lang w:eastAsia="en-US"/>
        </w:rPr>
      </w:pPr>
    </w:p>
    <w:p w14:paraId="346290BB" w14:textId="77777777" w:rsidR="00BC1EDB" w:rsidRDefault="00BC1EDB" w:rsidP="00BC1EDB">
      <w:pPr>
        <w:pStyle w:val="Default"/>
        <w:spacing w:line="360" w:lineRule="auto"/>
        <w:jc w:val="both"/>
        <w:rPr>
          <w:rFonts w:ascii="Times New Roman" w:eastAsiaTheme="minorEastAsia" w:hAnsi="Times New Roman" w:cs="Times New Roman"/>
          <w:sz w:val="26"/>
          <w:szCs w:val="26"/>
        </w:rPr>
      </w:pPr>
      <w:r w:rsidRPr="350C51D6">
        <w:rPr>
          <w:rFonts w:ascii="Times New Roman" w:eastAsiaTheme="minorEastAsia" w:hAnsi="Times New Roman" w:cs="Times New Roman"/>
          <w:sz w:val="26"/>
          <w:szCs w:val="26"/>
        </w:rPr>
        <w:t xml:space="preserve">A dicha conclusión arribaron entre otras, las sentencias de 30 de enero y 10 de septiembre de 2020, proferidas por la Sala de Decisión No. 5 de este Tribunal, dentro de los expedientes con radicación número </w:t>
      </w:r>
      <w:r w:rsidRPr="350C51D6">
        <w:rPr>
          <w:rFonts w:ascii="Times New Roman" w:hAnsi="Times New Roman" w:cs="Times New Roman"/>
          <w:sz w:val="26"/>
          <w:szCs w:val="26"/>
        </w:rPr>
        <w:t>15238-3333-001-</w:t>
      </w:r>
      <w:r w:rsidRPr="350C51D6">
        <w:rPr>
          <w:rFonts w:ascii="Times New Roman" w:hAnsi="Times New Roman" w:cs="Times New Roman"/>
          <w:b/>
          <w:bCs/>
          <w:sz w:val="26"/>
          <w:szCs w:val="26"/>
        </w:rPr>
        <w:t xml:space="preserve">2017-00249-01 y </w:t>
      </w:r>
      <w:r w:rsidRPr="350C51D6">
        <w:rPr>
          <w:rFonts w:ascii="Times New Roman" w:eastAsiaTheme="minorEastAsia" w:hAnsi="Times New Roman" w:cs="Times New Roman"/>
          <w:sz w:val="26"/>
          <w:szCs w:val="26"/>
        </w:rPr>
        <w:t>15001-33-33-002-</w:t>
      </w:r>
      <w:r w:rsidRPr="350C51D6">
        <w:rPr>
          <w:rFonts w:ascii="Times New Roman" w:eastAsiaTheme="minorEastAsia" w:hAnsi="Times New Roman" w:cs="Times New Roman"/>
          <w:b/>
          <w:bCs/>
          <w:sz w:val="26"/>
          <w:szCs w:val="26"/>
        </w:rPr>
        <w:t>2018-00035-</w:t>
      </w:r>
      <w:r w:rsidRPr="350C51D6">
        <w:rPr>
          <w:rFonts w:ascii="Times New Roman" w:eastAsiaTheme="minorEastAsia" w:hAnsi="Times New Roman" w:cs="Times New Roman"/>
          <w:sz w:val="26"/>
          <w:szCs w:val="26"/>
        </w:rPr>
        <w:t xml:space="preserve">01, con ponencia de la Dra. Clara Elisa Cifuentes Ortiz: </w:t>
      </w:r>
    </w:p>
    <w:p w14:paraId="44571EB0" w14:textId="77777777" w:rsidR="00BC1EDB" w:rsidRPr="00B76215" w:rsidRDefault="00BC1EDB" w:rsidP="00BC1EDB">
      <w:pPr>
        <w:pStyle w:val="Default"/>
        <w:spacing w:line="360" w:lineRule="auto"/>
        <w:jc w:val="both"/>
        <w:rPr>
          <w:rFonts w:ascii="Times New Roman" w:eastAsiaTheme="minorHAnsi" w:hAnsi="Times New Roman" w:cs="Times New Roman"/>
          <w:sz w:val="26"/>
          <w:szCs w:val="26"/>
        </w:rPr>
      </w:pPr>
    </w:p>
    <w:p w14:paraId="5D412E16" w14:textId="77777777" w:rsidR="00BC1EDB" w:rsidRPr="00B76215" w:rsidRDefault="00BC1EDB" w:rsidP="00BC1EDB">
      <w:pPr>
        <w:tabs>
          <w:tab w:val="left" w:pos="-1440"/>
          <w:tab w:val="left" w:pos="-720"/>
          <w:tab w:val="left" w:pos="993"/>
        </w:tabs>
        <w:suppressAutoHyphens/>
        <w:spacing w:line="240" w:lineRule="atLeast"/>
        <w:ind w:left="1134"/>
        <w:jc w:val="both"/>
        <w:outlineLvl w:val="0"/>
        <w:rPr>
          <w:sz w:val="22"/>
          <w:szCs w:val="22"/>
        </w:rPr>
      </w:pPr>
      <w:r w:rsidRPr="350C51D6">
        <w:rPr>
          <w:sz w:val="22"/>
          <w:szCs w:val="22"/>
        </w:rPr>
        <w:t>“En efecto, allega certificación a que hizo referencia y en la cual expresa:</w:t>
      </w:r>
    </w:p>
    <w:p w14:paraId="2891EE44" w14:textId="77777777" w:rsidR="00BC1EDB" w:rsidRDefault="00BC1EDB" w:rsidP="00BC1EDB">
      <w:pPr>
        <w:tabs>
          <w:tab w:val="left" w:pos="993"/>
        </w:tabs>
        <w:spacing w:line="240" w:lineRule="atLeast"/>
        <w:ind w:left="1134"/>
        <w:jc w:val="both"/>
        <w:outlineLvl w:val="0"/>
      </w:pPr>
    </w:p>
    <w:p w14:paraId="016E6C3E" w14:textId="77777777" w:rsidR="00BC1EDB" w:rsidRPr="00B76215" w:rsidRDefault="00BC1EDB" w:rsidP="00BC1EDB">
      <w:pPr>
        <w:tabs>
          <w:tab w:val="left" w:pos="-1440"/>
          <w:tab w:val="left" w:pos="-720"/>
          <w:tab w:val="left" w:pos="993"/>
        </w:tabs>
        <w:suppressAutoHyphens/>
        <w:spacing w:line="240" w:lineRule="atLeast"/>
        <w:ind w:left="1134"/>
        <w:jc w:val="both"/>
        <w:outlineLvl w:val="0"/>
        <w:rPr>
          <w:sz w:val="22"/>
          <w:szCs w:val="22"/>
        </w:rPr>
      </w:pPr>
      <w:r w:rsidRPr="00B76215">
        <w:rPr>
          <w:sz w:val="22"/>
          <w:szCs w:val="22"/>
        </w:rPr>
        <w:t xml:space="preserve">“…nos permitimos certificar que el Fondo Nacional de Prestaciones Sociales del Magisterio programó pago de Cesantía DEFINITIVA reconocida por la Secretaria de Educación de DUITAMA, al (sic.) docente CELY CASTELBLANCO OLGA identificado (sic.) con CC No. 40010140, Mediante Resolución No. 147 de fecha 26 de Mayo de 2014, quedando a disposición a partir del 14 de Julio de 2014 el cual no fue cobrado y se reprogramó nuevamente el 24 de Septiembre de 2014 por el valor de $106,657,196, a través del BANCO AGRARIO DE COLOMBIA por ventanilla…” </w:t>
      </w:r>
    </w:p>
    <w:p w14:paraId="043B2938" w14:textId="77777777" w:rsidR="00BC1EDB" w:rsidRPr="00B76215" w:rsidRDefault="00BC1EDB" w:rsidP="00BC1EDB">
      <w:pPr>
        <w:tabs>
          <w:tab w:val="left" w:pos="-1440"/>
          <w:tab w:val="left" w:pos="-720"/>
          <w:tab w:val="left" w:pos="993"/>
        </w:tabs>
        <w:suppressAutoHyphens/>
        <w:spacing w:line="240" w:lineRule="atLeast"/>
        <w:ind w:left="1134"/>
        <w:jc w:val="both"/>
        <w:outlineLvl w:val="0"/>
        <w:rPr>
          <w:sz w:val="22"/>
          <w:szCs w:val="22"/>
        </w:rPr>
      </w:pPr>
    </w:p>
    <w:p w14:paraId="6CA900A4" w14:textId="77777777" w:rsidR="00BC1EDB" w:rsidRPr="00B76215" w:rsidRDefault="00BC1EDB" w:rsidP="00BC1EDB">
      <w:pPr>
        <w:tabs>
          <w:tab w:val="left" w:pos="-1440"/>
          <w:tab w:val="left" w:pos="-720"/>
          <w:tab w:val="left" w:pos="993"/>
        </w:tabs>
        <w:suppressAutoHyphens/>
        <w:spacing w:line="240" w:lineRule="atLeast"/>
        <w:ind w:left="1134"/>
        <w:jc w:val="both"/>
        <w:outlineLvl w:val="0"/>
        <w:rPr>
          <w:sz w:val="22"/>
          <w:szCs w:val="22"/>
        </w:rPr>
      </w:pPr>
      <w:r w:rsidRPr="00B76215">
        <w:rPr>
          <w:sz w:val="22"/>
          <w:szCs w:val="22"/>
        </w:rPr>
        <w:t>Si bien la entidad dio respuesta al oficio de pruebas, no se aportó constancia alguna que acredite notificación a la interesada en relación con el pago puesto a su disposición, sino que se limitó a certificar las actuaciones de la entidad, de las cuales no aparece demostrado que la demandante se hubiera enterado, como se precisó mediante cualquiera de las formas de notificación, a efecto de preservar el principio de publicidad.</w:t>
      </w:r>
    </w:p>
    <w:p w14:paraId="2A8A7ADD" w14:textId="77777777" w:rsidR="00BC1EDB" w:rsidRPr="00B76215" w:rsidRDefault="00BC1EDB" w:rsidP="00BC1EDB">
      <w:pPr>
        <w:tabs>
          <w:tab w:val="left" w:pos="-1440"/>
          <w:tab w:val="left" w:pos="-720"/>
          <w:tab w:val="left" w:pos="993"/>
        </w:tabs>
        <w:suppressAutoHyphens/>
        <w:spacing w:line="240" w:lineRule="atLeast"/>
        <w:ind w:left="1134"/>
        <w:jc w:val="both"/>
        <w:outlineLvl w:val="0"/>
        <w:rPr>
          <w:sz w:val="22"/>
          <w:szCs w:val="22"/>
        </w:rPr>
      </w:pPr>
    </w:p>
    <w:p w14:paraId="1D983E70" w14:textId="77777777" w:rsidR="00BC1EDB" w:rsidRPr="003A0418" w:rsidRDefault="00BC1EDB" w:rsidP="00BC1EDB">
      <w:pPr>
        <w:tabs>
          <w:tab w:val="left" w:pos="-1440"/>
          <w:tab w:val="left" w:pos="-720"/>
          <w:tab w:val="left" w:pos="993"/>
        </w:tabs>
        <w:suppressAutoHyphens/>
        <w:spacing w:line="240" w:lineRule="atLeast"/>
        <w:ind w:left="1134"/>
        <w:jc w:val="both"/>
        <w:outlineLvl w:val="0"/>
        <w:rPr>
          <w:b/>
          <w:sz w:val="22"/>
          <w:lang w:eastAsia="es-CO"/>
        </w:rPr>
      </w:pPr>
      <w:r w:rsidRPr="003A0418">
        <w:rPr>
          <w:b/>
          <w:sz w:val="22"/>
          <w:lang w:eastAsia="es-CO"/>
        </w:rPr>
        <w:t>Si bien se notificó la resolución por medio de la cual se reconocieron las cesantías a la demandante, el trámite de pago no culminaba allí pues la entidad tenía a su cargo hacerlo efectivo y ello dependía de gestiones a su cargo, no de la interesada, razón por la cual no puede acharle desidia o desinterés pues, para ello, el legislador ha previsto los mecanismos mediante los cuales la administración pone en conocimiento del interesado las decisiones que lo afectan.</w:t>
      </w:r>
    </w:p>
    <w:p w14:paraId="74A01378" w14:textId="77777777" w:rsidR="00BC1EDB" w:rsidRPr="00B76215" w:rsidRDefault="00BC1EDB" w:rsidP="00BC1EDB">
      <w:pPr>
        <w:tabs>
          <w:tab w:val="left" w:pos="-1440"/>
          <w:tab w:val="left" w:pos="-720"/>
          <w:tab w:val="left" w:pos="993"/>
        </w:tabs>
        <w:suppressAutoHyphens/>
        <w:spacing w:line="240" w:lineRule="atLeast"/>
        <w:ind w:left="1134"/>
        <w:jc w:val="both"/>
        <w:outlineLvl w:val="0"/>
        <w:rPr>
          <w:sz w:val="22"/>
          <w:lang w:eastAsia="es-CO"/>
        </w:rPr>
      </w:pPr>
    </w:p>
    <w:p w14:paraId="3C17D90E" w14:textId="77777777" w:rsidR="00BC1EDB" w:rsidRPr="00B76215" w:rsidRDefault="00BC1EDB" w:rsidP="00BC1EDB">
      <w:pPr>
        <w:tabs>
          <w:tab w:val="left" w:pos="993"/>
        </w:tabs>
        <w:spacing w:line="240" w:lineRule="atLeast"/>
        <w:ind w:left="1134"/>
        <w:jc w:val="both"/>
        <w:rPr>
          <w:rFonts w:eastAsiaTheme="minorHAnsi"/>
          <w:color w:val="000000"/>
          <w:sz w:val="26"/>
          <w:szCs w:val="26"/>
          <w:lang w:eastAsia="en-US"/>
        </w:rPr>
      </w:pPr>
      <w:r w:rsidRPr="00B76215">
        <w:rPr>
          <w:b/>
          <w:sz w:val="22"/>
          <w:szCs w:val="22"/>
          <w:lang w:eastAsia="es-CO"/>
        </w:rPr>
        <w:t>Como el pago puesto a disposición no ingresó al patrimonio de la ahora demandante, fuerza concluir que la sanción moratoria continuó generándose</w:t>
      </w:r>
      <w:r w:rsidRPr="00B76215">
        <w:rPr>
          <w:sz w:val="22"/>
          <w:szCs w:val="22"/>
          <w:lang w:eastAsia="es-CO"/>
        </w:rPr>
        <w:t>.</w:t>
      </w:r>
      <w:r>
        <w:rPr>
          <w:sz w:val="22"/>
          <w:szCs w:val="22"/>
          <w:lang w:eastAsia="es-CO"/>
        </w:rPr>
        <w:t>” Resaltado fuera de texto</w:t>
      </w:r>
    </w:p>
    <w:p w14:paraId="79EECEAA" w14:textId="77777777" w:rsidR="00BC1EDB" w:rsidRDefault="00BC1EDB" w:rsidP="00BC1EDB">
      <w:pPr>
        <w:rPr>
          <w:rFonts w:ascii="Arial" w:eastAsiaTheme="minorHAnsi" w:hAnsi="Arial" w:cs="Arial"/>
          <w:color w:val="000000"/>
          <w:lang w:eastAsia="en-US"/>
        </w:rPr>
      </w:pPr>
    </w:p>
    <w:p w14:paraId="597B5521" w14:textId="77777777" w:rsidR="00BC1EDB" w:rsidRPr="00372DBF" w:rsidRDefault="00BC1EDB" w:rsidP="00BC1EDB">
      <w:pPr>
        <w:rPr>
          <w:rFonts w:ascii="Century Gothic" w:eastAsiaTheme="minorHAnsi" w:hAnsi="Century Gothic" w:cs="Century Gothic"/>
          <w:color w:val="000000"/>
          <w:lang w:eastAsia="en-US"/>
        </w:rPr>
      </w:pPr>
    </w:p>
    <w:p w14:paraId="6B7DB91D" w14:textId="77777777" w:rsidR="00BC1EDB" w:rsidRPr="00372DBF" w:rsidRDefault="00BC1EDB" w:rsidP="00BC1EDB">
      <w:pPr>
        <w:pStyle w:val="Default"/>
        <w:spacing w:line="360" w:lineRule="auto"/>
        <w:jc w:val="both"/>
        <w:rPr>
          <w:rFonts w:ascii="Times New Roman" w:eastAsiaTheme="minorHAnsi" w:hAnsi="Times New Roman" w:cs="Times New Roman"/>
          <w:sz w:val="26"/>
          <w:szCs w:val="26"/>
        </w:rPr>
      </w:pPr>
      <w:r w:rsidRPr="00372DBF">
        <w:rPr>
          <w:rFonts w:ascii="Times New Roman" w:eastAsiaTheme="minorHAnsi" w:hAnsi="Times New Roman" w:cs="Times New Roman"/>
          <w:sz w:val="26"/>
          <w:szCs w:val="26"/>
        </w:rPr>
        <w:t xml:space="preserve">Conforme puede leerse, según esta tesis, el FOMAG tiene la carga de probar que el giro o consignación de las cesantías fue notificado o comunicado al beneficiario y, de no hacerlo, debe tomarse como fecha de pago efectivo la del cobro o retiro de los </w:t>
      </w:r>
      <w:r w:rsidRPr="00372DBF">
        <w:rPr>
          <w:rFonts w:ascii="Times New Roman" w:eastAsiaTheme="minorHAnsi" w:hAnsi="Times New Roman" w:cs="Times New Roman"/>
          <w:sz w:val="26"/>
          <w:szCs w:val="26"/>
        </w:rPr>
        <w:lastRenderedPageBreak/>
        <w:t xml:space="preserve">dineros, pues sostiene que es insuficiente acreditar que los recursos estaban a disposición del trabajador en la institución bancaria respectiva. </w:t>
      </w:r>
    </w:p>
    <w:p w14:paraId="51337D7A" w14:textId="77777777" w:rsidR="00BC1EDB" w:rsidRDefault="00BC1EDB" w:rsidP="00BC1EDB">
      <w:pPr>
        <w:rPr>
          <w:rFonts w:ascii="Century Gothic" w:eastAsiaTheme="minorEastAsia" w:hAnsi="Century Gothic" w:cs="Century Gothic"/>
          <w:color w:val="000000"/>
          <w:sz w:val="23"/>
          <w:szCs w:val="23"/>
          <w:lang w:eastAsia="en-US"/>
        </w:rPr>
      </w:pPr>
    </w:p>
    <w:p w14:paraId="3F61998C" w14:textId="77777777" w:rsidR="00BC1EDB" w:rsidRDefault="00BC1EDB" w:rsidP="00BC1EDB">
      <w:pPr>
        <w:rPr>
          <w:color w:val="000000" w:themeColor="text1"/>
          <w:lang w:eastAsia="en-US"/>
        </w:rPr>
      </w:pPr>
    </w:p>
    <w:p w14:paraId="1E4C5CBD" w14:textId="77777777" w:rsidR="00BC1EDB" w:rsidRPr="0079413F" w:rsidRDefault="00BC1EDB" w:rsidP="00BC1EDB">
      <w:pPr>
        <w:spacing w:line="360" w:lineRule="auto"/>
        <w:jc w:val="both"/>
        <w:rPr>
          <w:rFonts w:eastAsiaTheme="minorEastAsia"/>
          <w:b/>
          <w:bCs/>
          <w:color w:val="000000"/>
          <w:sz w:val="26"/>
          <w:szCs w:val="26"/>
          <w:lang w:eastAsia="en-US"/>
        </w:rPr>
      </w:pPr>
      <w:r w:rsidRPr="19BD2C83">
        <w:rPr>
          <w:rFonts w:eastAsiaTheme="minorEastAsia"/>
          <w:color w:val="000000" w:themeColor="text1"/>
          <w:sz w:val="26"/>
          <w:szCs w:val="26"/>
          <w:lang w:eastAsia="en-US"/>
        </w:rPr>
        <w:t xml:space="preserve">Sin embargo, recientemente, la Sala de Decisión No. 3 en sentencia de 29 de julio de 2021, con ponencia del Doctor José Ascensión Fernández Osorio, quien era integrante de la entonces Sala de Decisión No. 3, que precedía la Doctora Clara Elisa Cifuentes Ortiz, y que apoyó dichas providencias que prohijaron esa posición, </w:t>
      </w:r>
      <w:r w:rsidRPr="19BD2C83">
        <w:rPr>
          <w:rFonts w:eastAsiaTheme="minorEastAsia"/>
          <w:b/>
          <w:bCs/>
          <w:color w:val="000000" w:themeColor="text1"/>
          <w:sz w:val="26"/>
          <w:szCs w:val="26"/>
          <w:lang w:eastAsia="en-US"/>
        </w:rPr>
        <w:t>rectificó su postura</w:t>
      </w:r>
      <w:r w:rsidRPr="19BD2C83">
        <w:rPr>
          <w:rFonts w:eastAsiaTheme="minorEastAsia"/>
          <w:color w:val="000000" w:themeColor="text1"/>
          <w:sz w:val="26"/>
          <w:szCs w:val="26"/>
          <w:lang w:eastAsia="en-US"/>
        </w:rPr>
        <w:t>, en razón a que no se acompasa con el precedente vertical sobre la materia.</w:t>
      </w:r>
    </w:p>
    <w:p w14:paraId="728E8012" w14:textId="77777777" w:rsidR="00BC1EDB" w:rsidRDefault="00BC1EDB" w:rsidP="00BC1EDB">
      <w:pPr>
        <w:spacing w:line="360" w:lineRule="auto"/>
        <w:rPr>
          <w:rFonts w:eastAsiaTheme="minorEastAsia"/>
          <w:color w:val="000000"/>
          <w:sz w:val="26"/>
          <w:szCs w:val="26"/>
          <w:lang w:eastAsia="en-US"/>
        </w:rPr>
      </w:pPr>
    </w:p>
    <w:p w14:paraId="5FD42255" w14:textId="77777777" w:rsidR="00BC1EDB" w:rsidRPr="0063528A" w:rsidRDefault="00BC1EDB" w:rsidP="00BC1EDB">
      <w:pPr>
        <w:pStyle w:val="Default"/>
        <w:spacing w:line="360" w:lineRule="auto"/>
        <w:jc w:val="both"/>
        <w:rPr>
          <w:rFonts w:ascii="Times New Roman" w:eastAsiaTheme="minorEastAsia" w:hAnsi="Times New Roman" w:cs="Times New Roman"/>
          <w:sz w:val="26"/>
          <w:szCs w:val="26"/>
        </w:rPr>
      </w:pPr>
      <w:r w:rsidRPr="19BD2C83">
        <w:rPr>
          <w:rFonts w:ascii="Times New Roman" w:eastAsiaTheme="minorEastAsia" w:hAnsi="Times New Roman" w:cs="Times New Roman"/>
          <w:sz w:val="26"/>
          <w:szCs w:val="26"/>
        </w:rPr>
        <w:t xml:space="preserve">Precisamente, la Sección Segunda del Consejo de Estado en varias ocasiones ha manifestado que el cumplimiento del acto administrativo de reconocimiento de las cesantías se consuma con la consignación o giro de la prestación al banco correspondiente para su pago en ventanilla, toda vez que </w:t>
      </w:r>
      <w:r w:rsidRPr="19BD2C83">
        <w:rPr>
          <w:rFonts w:ascii="Times New Roman" w:eastAsiaTheme="minorEastAsia" w:hAnsi="Times New Roman" w:cs="Times New Roman"/>
          <w:b/>
          <w:bCs/>
          <w:sz w:val="26"/>
          <w:szCs w:val="26"/>
        </w:rPr>
        <w:t>en cabeza del interesado está la carga de verificar si el monto dinerario se encuentra disponible para su retiro.</w:t>
      </w:r>
      <w:r w:rsidRPr="19BD2C83">
        <w:rPr>
          <w:rFonts w:ascii="Times New Roman" w:eastAsiaTheme="minorEastAsia" w:hAnsi="Times New Roman" w:cs="Times New Roman"/>
          <w:sz w:val="26"/>
          <w:szCs w:val="26"/>
        </w:rPr>
        <w:t xml:space="preserve"> Un ejemplo de lo anterior se observa en la siguiente providencia: </w:t>
      </w:r>
    </w:p>
    <w:p w14:paraId="6835F104" w14:textId="77777777" w:rsidR="00BC1EDB" w:rsidRDefault="00BC1EDB" w:rsidP="00BC1EDB">
      <w:pPr>
        <w:spacing w:line="360" w:lineRule="auto"/>
        <w:rPr>
          <w:rFonts w:eastAsiaTheme="minorEastAsia"/>
          <w:color w:val="000000"/>
          <w:sz w:val="26"/>
          <w:szCs w:val="26"/>
          <w:lang w:eastAsia="en-US"/>
        </w:rPr>
      </w:pPr>
    </w:p>
    <w:p w14:paraId="786C13FF" w14:textId="77777777" w:rsidR="00BC1EDB" w:rsidRPr="0063528A" w:rsidRDefault="00BC1EDB" w:rsidP="00BC1EDB">
      <w:pPr>
        <w:spacing w:line="240" w:lineRule="atLeast"/>
        <w:ind w:left="1134"/>
        <w:jc w:val="both"/>
        <w:rPr>
          <w:rFonts w:eastAsiaTheme="minorEastAsia"/>
          <w:color w:val="000000"/>
          <w:sz w:val="22"/>
          <w:szCs w:val="22"/>
          <w:lang w:eastAsia="en-US"/>
        </w:rPr>
      </w:pPr>
      <w:r w:rsidRPr="19BD2C83">
        <w:rPr>
          <w:rFonts w:eastAsiaTheme="minorEastAsia"/>
          <w:color w:val="000000" w:themeColor="text1"/>
          <w:sz w:val="22"/>
          <w:szCs w:val="22"/>
          <w:lang w:eastAsia="en-US"/>
        </w:rPr>
        <w:t xml:space="preserve">“(…) </w:t>
      </w:r>
    </w:p>
    <w:p w14:paraId="65480CE7" w14:textId="77777777" w:rsidR="00BC1EDB" w:rsidRDefault="00BC1EDB" w:rsidP="00BC1EDB">
      <w:pPr>
        <w:spacing w:line="240" w:lineRule="atLeast"/>
        <w:ind w:left="1134"/>
        <w:jc w:val="both"/>
        <w:rPr>
          <w:rFonts w:eastAsiaTheme="minorEastAsia"/>
          <w:color w:val="000000"/>
          <w:sz w:val="22"/>
          <w:szCs w:val="22"/>
          <w:lang w:eastAsia="en-US"/>
        </w:rPr>
      </w:pPr>
      <w:r w:rsidRPr="19BD2C83">
        <w:rPr>
          <w:rFonts w:eastAsiaTheme="minorEastAsia"/>
          <w:color w:val="000000" w:themeColor="text1"/>
          <w:sz w:val="22"/>
          <w:szCs w:val="22"/>
          <w:lang w:eastAsia="en-US"/>
        </w:rPr>
        <w:t xml:space="preserve">En lo referente al pago de las </w:t>
      </w:r>
      <w:r w:rsidRPr="19BD2C83">
        <w:rPr>
          <w:rFonts w:eastAsiaTheme="minorEastAsia"/>
          <w:b/>
          <w:bCs/>
          <w:color w:val="000000" w:themeColor="text1"/>
          <w:sz w:val="22"/>
          <w:szCs w:val="22"/>
          <w:lang w:eastAsia="en-US"/>
        </w:rPr>
        <w:t xml:space="preserve">cesantías del 10 de agosto de 2011 </w:t>
      </w:r>
      <w:r w:rsidRPr="19BD2C83">
        <w:rPr>
          <w:rFonts w:eastAsiaTheme="minorEastAsia"/>
          <w:color w:val="000000" w:themeColor="text1"/>
          <w:sz w:val="22"/>
          <w:szCs w:val="22"/>
          <w:lang w:eastAsia="en-US"/>
        </w:rPr>
        <w:t xml:space="preserve">en el </w:t>
      </w:r>
      <w:r w:rsidRPr="19BD2C83">
        <w:rPr>
          <w:rFonts w:eastAsiaTheme="minorEastAsia"/>
          <w:b/>
          <w:bCs/>
          <w:color w:val="000000" w:themeColor="text1"/>
          <w:sz w:val="22"/>
          <w:szCs w:val="22"/>
          <w:lang w:eastAsia="en-US"/>
        </w:rPr>
        <w:t xml:space="preserve">banco BBVA </w:t>
      </w:r>
      <w:r w:rsidRPr="19BD2C83">
        <w:rPr>
          <w:rFonts w:eastAsiaTheme="minorEastAsia"/>
          <w:color w:val="000000" w:themeColor="text1"/>
          <w:sz w:val="22"/>
          <w:szCs w:val="22"/>
          <w:lang w:eastAsia="en-US"/>
        </w:rPr>
        <w:t xml:space="preserve">de la ciudad de Ibagué, el Tribunal Administrativo del Tolima, afirmó que se configuró el pago efectivo de la obligación por cuanto, habiéndose notificado la Resolución 1137 de 29 de noviembre de 2010, a través de la cual el FOMAG y la Secretaría de Educación Departamental del Tolima, reconocieron el valor de </w:t>
      </w:r>
      <w:r w:rsidRPr="19BD2C83">
        <w:rPr>
          <w:rFonts w:eastAsiaTheme="minorEastAsia"/>
          <w:b/>
          <w:bCs/>
          <w:color w:val="000000" w:themeColor="text1"/>
          <w:sz w:val="22"/>
          <w:szCs w:val="22"/>
          <w:lang w:eastAsia="en-US"/>
        </w:rPr>
        <w:t xml:space="preserve">$3.803.658; </w:t>
      </w:r>
      <w:r w:rsidRPr="19BD2C83">
        <w:rPr>
          <w:rFonts w:eastAsiaTheme="minorEastAsia"/>
          <w:color w:val="000000" w:themeColor="text1"/>
          <w:sz w:val="22"/>
          <w:szCs w:val="22"/>
          <w:lang w:eastAsia="en-US"/>
        </w:rPr>
        <w:t xml:space="preserve">no existía un trámite adicional que mediara entre ésta y el pago alegado. </w:t>
      </w:r>
    </w:p>
    <w:p w14:paraId="1823F015" w14:textId="77777777" w:rsidR="00BC1EDB" w:rsidRPr="0063528A" w:rsidRDefault="00BC1EDB" w:rsidP="00BC1EDB">
      <w:pPr>
        <w:spacing w:line="240" w:lineRule="atLeast"/>
        <w:ind w:left="1134"/>
        <w:jc w:val="both"/>
        <w:rPr>
          <w:rFonts w:eastAsiaTheme="minorEastAsia"/>
          <w:color w:val="000000"/>
          <w:sz w:val="22"/>
          <w:szCs w:val="22"/>
          <w:lang w:eastAsia="en-US"/>
        </w:rPr>
      </w:pPr>
    </w:p>
    <w:p w14:paraId="35BE1A44" w14:textId="77777777" w:rsidR="00BC1EDB" w:rsidRDefault="00BC1EDB" w:rsidP="00BC1EDB">
      <w:pPr>
        <w:spacing w:line="240" w:lineRule="atLeast"/>
        <w:ind w:left="1134"/>
        <w:jc w:val="both"/>
        <w:rPr>
          <w:rFonts w:eastAsiaTheme="minorEastAsia"/>
          <w:color w:val="000000"/>
          <w:sz w:val="22"/>
          <w:szCs w:val="22"/>
          <w:lang w:eastAsia="en-US"/>
        </w:rPr>
      </w:pPr>
      <w:r w:rsidRPr="19BD2C83">
        <w:rPr>
          <w:rFonts w:eastAsiaTheme="minorEastAsia"/>
          <w:color w:val="000000" w:themeColor="text1"/>
          <w:sz w:val="22"/>
          <w:szCs w:val="22"/>
          <w:lang w:eastAsia="en-US"/>
        </w:rPr>
        <w:t xml:space="preserve">Además, sostuvo que el hecho de que la actora no se percatara de dicho desembolso, no implica que la suma no haya sido cancelada, pues materialmente se produjo la consignación en la cuenta registrada para tales efectos, entrando así a su patrimonio, sin que la omisión de dicha verificación sea imputable al </w:t>
      </w:r>
      <w:r w:rsidRPr="19BD2C83">
        <w:rPr>
          <w:rFonts w:eastAsiaTheme="minorEastAsia"/>
          <w:b/>
          <w:bCs/>
          <w:color w:val="000000" w:themeColor="text1"/>
          <w:sz w:val="22"/>
          <w:szCs w:val="22"/>
          <w:lang w:eastAsia="en-US"/>
        </w:rPr>
        <w:t>FOMAG</w:t>
      </w:r>
      <w:r w:rsidRPr="19BD2C83">
        <w:rPr>
          <w:rFonts w:eastAsiaTheme="minorEastAsia"/>
          <w:color w:val="000000" w:themeColor="text1"/>
          <w:sz w:val="22"/>
          <w:szCs w:val="22"/>
          <w:lang w:eastAsia="en-US"/>
        </w:rPr>
        <w:t xml:space="preserve">, ni a la Fiduprevisora S.A. </w:t>
      </w:r>
    </w:p>
    <w:p w14:paraId="590264DD" w14:textId="77777777" w:rsidR="00BC1EDB" w:rsidRPr="0063528A" w:rsidRDefault="00BC1EDB" w:rsidP="00BC1EDB">
      <w:pPr>
        <w:spacing w:line="240" w:lineRule="atLeast"/>
        <w:ind w:left="1134"/>
        <w:jc w:val="both"/>
        <w:rPr>
          <w:rFonts w:eastAsiaTheme="minorEastAsia"/>
          <w:color w:val="000000"/>
          <w:sz w:val="22"/>
          <w:szCs w:val="22"/>
          <w:lang w:eastAsia="en-US"/>
        </w:rPr>
      </w:pPr>
    </w:p>
    <w:p w14:paraId="4BE45B09" w14:textId="77777777" w:rsidR="00BC1EDB" w:rsidRDefault="00BC1EDB" w:rsidP="00BC1EDB">
      <w:pPr>
        <w:spacing w:line="240" w:lineRule="atLeast"/>
        <w:ind w:left="1134"/>
        <w:jc w:val="both"/>
        <w:rPr>
          <w:rFonts w:eastAsiaTheme="minorEastAsia"/>
          <w:b/>
          <w:bCs/>
          <w:color w:val="000000"/>
          <w:sz w:val="22"/>
          <w:szCs w:val="22"/>
          <w:lang w:eastAsia="en-US"/>
        </w:rPr>
      </w:pPr>
      <w:r w:rsidRPr="19BD2C83">
        <w:rPr>
          <w:rFonts w:eastAsiaTheme="minorEastAsia"/>
          <w:color w:val="000000" w:themeColor="text1"/>
          <w:sz w:val="22"/>
          <w:szCs w:val="22"/>
          <w:lang w:eastAsia="en-US"/>
        </w:rPr>
        <w:t xml:space="preserve">Al respecto, la Sala considera que tal como se desprende de lo expresado en la demanda, la Resolución No. 1137 de 29 de noviembre de 2010 y el Oficio No. 2014EE00016230 de marzo de 2014 expedido por la Fiduprevisora; </w:t>
      </w:r>
      <w:r w:rsidRPr="19BD2C83">
        <w:rPr>
          <w:rFonts w:eastAsiaTheme="minorEastAsia"/>
          <w:b/>
          <w:bCs/>
          <w:color w:val="000000" w:themeColor="text1"/>
          <w:sz w:val="22"/>
          <w:szCs w:val="22"/>
          <w:lang w:eastAsia="en-US"/>
        </w:rPr>
        <w:t xml:space="preserve">las cesantías reclamadas por la accionante efectivamente fueron canceladas, dado que la consignación es un hecho material que genera el cumplimiento de lo ordenado en la resolución de reconocimiento notificada el 28 de junio de 2011, sin que tuviera que existir una comunicación adicional sobre el desembolso bancario de las mismas, correspondiéndole a la actora verificar la extinción de la obligación previamente reconocida. </w:t>
      </w:r>
    </w:p>
    <w:p w14:paraId="12853F90" w14:textId="77777777" w:rsidR="00BC1EDB" w:rsidRPr="0063528A" w:rsidRDefault="00BC1EDB" w:rsidP="00BC1EDB">
      <w:pPr>
        <w:spacing w:line="240" w:lineRule="atLeast"/>
        <w:ind w:left="1134"/>
        <w:jc w:val="both"/>
        <w:rPr>
          <w:rFonts w:eastAsiaTheme="minorEastAsia"/>
          <w:color w:val="000000"/>
          <w:sz w:val="22"/>
          <w:szCs w:val="22"/>
          <w:lang w:eastAsia="en-US"/>
        </w:rPr>
      </w:pPr>
    </w:p>
    <w:p w14:paraId="1CE4423E" w14:textId="77777777" w:rsidR="00BC1EDB" w:rsidRPr="0063528A" w:rsidRDefault="00BC1EDB" w:rsidP="00BC1EDB">
      <w:pPr>
        <w:spacing w:line="240" w:lineRule="atLeast"/>
        <w:ind w:left="1134"/>
        <w:jc w:val="both"/>
        <w:rPr>
          <w:rFonts w:eastAsiaTheme="minorEastAsia"/>
          <w:color w:val="000000"/>
          <w:sz w:val="26"/>
          <w:szCs w:val="26"/>
          <w:lang w:eastAsia="en-US"/>
        </w:rPr>
      </w:pPr>
      <w:r w:rsidRPr="19BD2C83">
        <w:rPr>
          <w:rFonts w:eastAsiaTheme="minorEastAsia"/>
          <w:color w:val="000000"/>
          <w:sz w:val="22"/>
          <w:szCs w:val="22"/>
          <w:lang w:eastAsia="en-US"/>
        </w:rPr>
        <w:t xml:space="preserve">Así entonces, la reprogramación del pago sugerida por la Fiduprevisora en el Oficio No. 2014EE00016230 de fecha 19 de marzo de 2014, no constituye una negativa del pago de la prementada prestación social, sino un procedimiento administrativo destinado a velar eficazmente por la </w:t>
      </w:r>
      <w:r w:rsidRPr="19BD2C83">
        <w:rPr>
          <w:sz w:val="22"/>
          <w:szCs w:val="22"/>
        </w:rPr>
        <w:t xml:space="preserve">salvaguarda de los recursos que maneja el </w:t>
      </w:r>
      <w:r w:rsidRPr="19BD2C83">
        <w:rPr>
          <w:b/>
          <w:bCs/>
          <w:sz w:val="22"/>
          <w:szCs w:val="22"/>
        </w:rPr>
        <w:t xml:space="preserve">FOMAG. </w:t>
      </w:r>
      <w:r w:rsidRPr="19BD2C83">
        <w:rPr>
          <w:sz w:val="22"/>
          <w:szCs w:val="22"/>
        </w:rPr>
        <w:t>(…)”</w:t>
      </w:r>
      <w:r w:rsidRPr="19BD2C83">
        <w:rPr>
          <w:rStyle w:val="Refdenotaalpie"/>
          <w:sz w:val="22"/>
          <w:szCs w:val="22"/>
        </w:rPr>
        <w:footnoteReference w:id="38"/>
      </w:r>
    </w:p>
    <w:p w14:paraId="7BCE1093" w14:textId="77777777" w:rsidR="00BC1EDB" w:rsidRPr="0063528A" w:rsidRDefault="00BC1EDB" w:rsidP="00BC1EDB">
      <w:pPr>
        <w:spacing w:line="240" w:lineRule="atLeast"/>
        <w:ind w:left="1134"/>
        <w:jc w:val="both"/>
        <w:rPr>
          <w:rFonts w:eastAsiaTheme="minorEastAsia"/>
          <w:color w:val="000000"/>
          <w:sz w:val="26"/>
          <w:szCs w:val="26"/>
          <w:lang w:eastAsia="en-US"/>
        </w:rPr>
      </w:pPr>
    </w:p>
    <w:p w14:paraId="2B5EBF41" w14:textId="77777777" w:rsidR="00BC1EDB" w:rsidRPr="0063528A" w:rsidRDefault="00BC1EDB" w:rsidP="00BC1EDB">
      <w:pPr>
        <w:rPr>
          <w:rFonts w:ascii="Century Gothic" w:eastAsiaTheme="minorEastAsia" w:hAnsi="Century Gothic" w:cs="Century Gothic"/>
          <w:color w:val="000000"/>
          <w:lang w:eastAsia="en-US"/>
        </w:rPr>
      </w:pPr>
    </w:p>
    <w:p w14:paraId="6CDBF129" w14:textId="77777777" w:rsidR="00BC1EDB" w:rsidRPr="0063528A" w:rsidRDefault="00BC1EDB" w:rsidP="00BC1EDB">
      <w:pPr>
        <w:spacing w:line="360" w:lineRule="auto"/>
        <w:jc w:val="both"/>
        <w:rPr>
          <w:rFonts w:eastAsiaTheme="minorEastAsia"/>
          <w:color w:val="000000"/>
          <w:sz w:val="26"/>
          <w:szCs w:val="26"/>
          <w:lang w:eastAsia="en-US"/>
        </w:rPr>
      </w:pPr>
      <w:r w:rsidRPr="19BD2C83">
        <w:rPr>
          <w:rFonts w:eastAsiaTheme="minorEastAsia"/>
          <w:color w:val="000000" w:themeColor="text1"/>
          <w:sz w:val="26"/>
          <w:szCs w:val="26"/>
          <w:lang w:eastAsia="en-US"/>
        </w:rPr>
        <w:t xml:space="preserve">Y más recientemente, la jurisprudencia resaltó que el retiro de las cesantías no constituye el hito temporal final de la sanción moratoria: </w:t>
      </w:r>
    </w:p>
    <w:p w14:paraId="4CBF95D9" w14:textId="77777777" w:rsidR="00BC1EDB" w:rsidRPr="0063528A" w:rsidRDefault="00BC1EDB" w:rsidP="00BC1EDB">
      <w:pPr>
        <w:spacing w:line="360" w:lineRule="auto"/>
        <w:jc w:val="both"/>
        <w:rPr>
          <w:rFonts w:eastAsiaTheme="minorEastAsia"/>
          <w:color w:val="000000"/>
          <w:sz w:val="26"/>
          <w:szCs w:val="26"/>
          <w:lang w:eastAsia="en-US"/>
        </w:rPr>
      </w:pPr>
    </w:p>
    <w:p w14:paraId="6CE48BA8" w14:textId="77777777" w:rsidR="00BC1EDB" w:rsidRPr="004B51B4" w:rsidRDefault="00BC1EDB" w:rsidP="00BC1EDB">
      <w:pPr>
        <w:spacing w:line="240" w:lineRule="atLeast"/>
        <w:ind w:left="1134"/>
        <w:jc w:val="both"/>
        <w:rPr>
          <w:rFonts w:eastAsiaTheme="minorEastAsia"/>
          <w:color w:val="000000"/>
          <w:sz w:val="22"/>
          <w:szCs w:val="22"/>
          <w:lang w:eastAsia="en-US"/>
        </w:rPr>
      </w:pPr>
      <w:r w:rsidRPr="19BD2C83">
        <w:rPr>
          <w:rFonts w:eastAsiaTheme="minorEastAsia"/>
          <w:color w:val="000000" w:themeColor="text1"/>
          <w:sz w:val="22"/>
          <w:szCs w:val="22"/>
          <w:lang w:eastAsia="en-US"/>
        </w:rPr>
        <w:t xml:space="preserve">“(…) </w:t>
      </w:r>
    </w:p>
    <w:p w14:paraId="16CEA678" w14:textId="77777777" w:rsidR="00BC1EDB" w:rsidRPr="0031293D" w:rsidRDefault="00BC1EDB" w:rsidP="00BC1EDB">
      <w:pPr>
        <w:spacing w:line="240" w:lineRule="atLeast"/>
        <w:ind w:left="1134"/>
        <w:jc w:val="both"/>
        <w:rPr>
          <w:rFonts w:eastAsiaTheme="minorEastAsia"/>
          <w:color w:val="000000"/>
          <w:sz w:val="22"/>
          <w:szCs w:val="22"/>
          <w:lang w:eastAsia="en-US"/>
        </w:rPr>
      </w:pPr>
      <w:r w:rsidRPr="19BD2C83">
        <w:rPr>
          <w:rFonts w:eastAsiaTheme="minorEastAsia"/>
          <w:color w:val="000000" w:themeColor="text1"/>
          <w:sz w:val="22"/>
          <w:szCs w:val="22"/>
          <w:lang w:eastAsia="en-US"/>
        </w:rPr>
        <w:t xml:space="preserve">30. De lo expuesto, la Sala de decisión observa que de acuerdo con la fecha en que se radicó la solicitud de retiro parcial de cesantías con destino a construcción de vivienda, la sanción moratoria se causó desde a partir del 7 de febrero de 2013, esto es, al día siguiente del vencimiento de los 70 días hábiles con que contaba la administración para el reconocimiento y pago de la prestación aludida, </w:t>
      </w:r>
      <w:r w:rsidRPr="19BD2C83">
        <w:rPr>
          <w:rFonts w:eastAsiaTheme="minorEastAsia"/>
          <w:b/>
          <w:bCs/>
          <w:color w:val="000000" w:themeColor="text1"/>
          <w:sz w:val="22"/>
          <w:szCs w:val="22"/>
          <w:lang w:eastAsia="en-US"/>
        </w:rPr>
        <w:t xml:space="preserve">hasta el 30 de mayo de 2013, </w:t>
      </w:r>
      <w:r w:rsidRPr="19BD2C83">
        <w:rPr>
          <w:rFonts w:eastAsiaTheme="minorEastAsia"/>
          <w:color w:val="000000" w:themeColor="text1"/>
          <w:sz w:val="22"/>
          <w:szCs w:val="22"/>
          <w:lang w:eastAsia="en-US"/>
        </w:rPr>
        <w:t xml:space="preserve">día anterior en que se hizo efectivo el pago de la suma reconocida conforme a lo dispuesto por el parágrafo del artículo 5 de la Ley 1071 de 2006, </w:t>
      </w:r>
      <w:r w:rsidRPr="19BD2C83">
        <w:rPr>
          <w:rFonts w:eastAsiaTheme="minorEastAsia"/>
          <w:b/>
          <w:bCs/>
          <w:color w:val="000000" w:themeColor="text1"/>
          <w:sz w:val="22"/>
          <w:szCs w:val="22"/>
          <w:lang w:eastAsia="en-US"/>
        </w:rPr>
        <w:t xml:space="preserve">toda vez que el pago por el valor total </w:t>
      </w:r>
      <w:r w:rsidRPr="0031293D">
        <w:rPr>
          <w:rFonts w:eastAsiaTheme="minorEastAsia"/>
          <w:b/>
          <w:bCs/>
          <w:color w:val="000000" w:themeColor="text1"/>
          <w:sz w:val="22"/>
          <w:szCs w:val="22"/>
          <w:lang w:eastAsia="en-US"/>
        </w:rPr>
        <w:t>reconocido tuvo lugar el 31 de mayo de 2013, tal como se evidencia del certificado expedido en por la Fiduprevisora, pues el hecho de que el actor haya retirado la suma correspondiente hasta el 14 de abril de 2014, no conlleva a que la penalidad se causó hasta ese momento, pues la ley establece «hasta que se haga efectivo el pago», lo cual ocurrió en el 2013</w:t>
      </w:r>
      <w:r w:rsidRPr="0031293D">
        <w:rPr>
          <w:rFonts w:eastAsiaTheme="minorEastAsia"/>
          <w:color w:val="000000" w:themeColor="text1"/>
          <w:sz w:val="22"/>
          <w:szCs w:val="22"/>
          <w:lang w:eastAsia="en-US"/>
        </w:rPr>
        <w:t>.</w:t>
      </w:r>
    </w:p>
    <w:p w14:paraId="10D4F594" w14:textId="77777777" w:rsidR="00BC1EDB" w:rsidRPr="004B51B4" w:rsidRDefault="00BC1EDB" w:rsidP="00BC1EDB">
      <w:pPr>
        <w:spacing w:line="240" w:lineRule="atLeast"/>
        <w:ind w:left="1134"/>
        <w:jc w:val="both"/>
        <w:rPr>
          <w:rFonts w:eastAsiaTheme="minorEastAsia"/>
          <w:color w:val="000000"/>
          <w:sz w:val="22"/>
          <w:szCs w:val="22"/>
          <w:lang w:eastAsia="en-US"/>
        </w:rPr>
      </w:pPr>
      <w:r w:rsidRPr="0031293D">
        <w:rPr>
          <w:rFonts w:eastAsiaTheme="minorEastAsia"/>
          <w:color w:val="000000" w:themeColor="text1"/>
          <w:sz w:val="22"/>
          <w:szCs w:val="22"/>
          <w:lang w:eastAsia="en-US"/>
        </w:rPr>
        <w:t>(…)” Resaltado fuera de texto</w:t>
      </w:r>
    </w:p>
    <w:p w14:paraId="54DDFA24" w14:textId="77777777" w:rsidR="00BC1EDB" w:rsidRDefault="00BC1EDB" w:rsidP="00BC1EDB">
      <w:pPr>
        <w:spacing w:line="360" w:lineRule="auto"/>
        <w:rPr>
          <w:rFonts w:eastAsiaTheme="minorEastAsia"/>
          <w:color w:val="000000"/>
          <w:sz w:val="26"/>
          <w:szCs w:val="26"/>
          <w:lang w:eastAsia="en-US"/>
        </w:rPr>
      </w:pPr>
    </w:p>
    <w:p w14:paraId="62D22CF0" w14:textId="77777777" w:rsidR="00BC1EDB" w:rsidRPr="002F057C" w:rsidRDefault="00BC1EDB" w:rsidP="00BC1EDB">
      <w:pPr>
        <w:spacing w:line="360" w:lineRule="auto"/>
        <w:jc w:val="both"/>
        <w:rPr>
          <w:rFonts w:eastAsiaTheme="minorEastAsia"/>
          <w:color w:val="000000"/>
          <w:sz w:val="26"/>
          <w:szCs w:val="26"/>
          <w:lang w:eastAsia="en-US"/>
        </w:rPr>
      </w:pPr>
      <w:r w:rsidRPr="002F057C">
        <w:rPr>
          <w:rFonts w:eastAsiaTheme="minorEastAsia"/>
          <w:color w:val="000000"/>
          <w:sz w:val="26"/>
          <w:szCs w:val="26"/>
          <w:lang w:eastAsia="en-US"/>
        </w:rPr>
        <w:t xml:space="preserve">Los pronunciamientos citados permiten colegir que el pago efectivo que da lugar a la cesación de la mora </w:t>
      </w:r>
      <w:r w:rsidRPr="002F057C">
        <w:rPr>
          <w:rFonts w:eastAsiaTheme="minorEastAsia"/>
          <w:b/>
          <w:bCs/>
          <w:color w:val="000000"/>
          <w:sz w:val="26"/>
          <w:szCs w:val="26"/>
          <w:lang w:eastAsia="en-US"/>
        </w:rPr>
        <w:t>se configura cuando el FOMAG pone los dineros correspondientes a disposición del beneficiario en la institución bancaria respectiva</w:t>
      </w:r>
      <w:r w:rsidRPr="002F057C">
        <w:rPr>
          <w:rFonts w:eastAsiaTheme="minorEastAsia"/>
          <w:color w:val="000000"/>
          <w:sz w:val="26"/>
          <w:szCs w:val="26"/>
          <w:lang w:eastAsia="en-US"/>
        </w:rPr>
        <w:t>, pues este último tiene la carga de verificar su desembolso, incluso, haciendo uso de los mecanismos que ofrece la entidad para ese fin</w:t>
      </w:r>
      <w:r w:rsidRPr="002F057C">
        <w:rPr>
          <w:rStyle w:val="Refdenotaalpie"/>
          <w:rFonts w:eastAsiaTheme="minorEastAsia"/>
          <w:color w:val="000000"/>
          <w:sz w:val="26"/>
          <w:szCs w:val="26"/>
          <w:lang w:eastAsia="en-US"/>
        </w:rPr>
        <w:footnoteReference w:id="39"/>
      </w:r>
      <w:r w:rsidRPr="002F057C">
        <w:rPr>
          <w:rFonts w:eastAsiaTheme="minorEastAsia"/>
          <w:color w:val="000000"/>
          <w:sz w:val="26"/>
          <w:szCs w:val="26"/>
          <w:lang w:eastAsia="en-US"/>
        </w:rPr>
        <w:t xml:space="preserve">. </w:t>
      </w:r>
      <w:r w:rsidRPr="002F057C">
        <w:rPr>
          <w:rFonts w:eastAsiaTheme="minorEastAsia"/>
          <w:color w:val="000000"/>
          <w:sz w:val="26"/>
          <w:szCs w:val="26"/>
          <w:u w:val="single"/>
          <w:lang w:eastAsia="en-US"/>
        </w:rPr>
        <w:t>Por ende, el FOMAG no tiene la obligación de comunicar o notificar el pago, ya que el retiro o cobro de los recursos no tiene consecuencias de cara a la sanción moratoria y tampoco revive su causación</w:t>
      </w:r>
      <w:r w:rsidRPr="002F057C">
        <w:rPr>
          <w:rFonts w:eastAsiaTheme="minorEastAsia"/>
          <w:color w:val="000000"/>
          <w:sz w:val="26"/>
          <w:szCs w:val="26"/>
          <w:lang w:eastAsia="en-US"/>
        </w:rPr>
        <w:t xml:space="preserve">. </w:t>
      </w:r>
    </w:p>
    <w:p w14:paraId="3412E8AD" w14:textId="77777777" w:rsidR="00BC1EDB" w:rsidRPr="002F057C" w:rsidRDefault="00BC1EDB" w:rsidP="00BC1EDB">
      <w:pPr>
        <w:spacing w:line="360" w:lineRule="auto"/>
        <w:rPr>
          <w:rFonts w:eastAsiaTheme="minorEastAsia"/>
          <w:color w:val="000000"/>
          <w:sz w:val="26"/>
          <w:szCs w:val="26"/>
          <w:lang w:eastAsia="en-US"/>
        </w:rPr>
      </w:pPr>
    </w:p>
    <w:p w14:paraId="5475077E" w14:textId="77777777" w:rsidR="00BC1EDB" w:rsidRDefault="00BC1EDB" w:rsidP="00BC1EDB">
      <w:pPr>
        <w:spacing w:line="360" w:lineRule="auto"/>
        <w:jc w:val="both"/>
        <w:rPr>
          <w:rFonts w:eastAsiaTheme="minorEastAsia"/>
          <w:color w:val="000000"/>
          <w:sz w:val="26"/>
          <w:szCs w:val="26"/>
          <w:lang w:eastAsia="en-US"/>
        </w:rPr>
      </w:pPr>
      <w:r w:rsidRPr="002F057C">
        <w:rPr>
          <w:rFonts w:eastAsiaTheme="minorEastAsia"/>
          <w:color w:val="000000" w:themeColor="text1"/>
          <w:sz w:val="26"/>
          <w:szCs w:val="26"/>
          <w:lang w:eastAsia="en-US"/>
        </w:rPr>
        <w:t xml:space="preserve">Además, la consignación o giro de la prestación al banco correspondiente no es en sí misma un acto administrativo que por tanto deba ser notificado al interesado para que surta sus efectos, simplemente es un trámite que realiza la entidad, dando cumplimiento al </w:t>
      </w:r>
      <w:r w:rsidRPr="002F057C">
        <w:rPr>
          <w:rFonts w:eastAsiaTheme="minorEastAsia"/>
          <w:b/>
          <w:bCs/>
          <w:color w:val="000000" w:themeColor="text1"/>
          <w:sz w:val="26"/>
          <w:szCs w:val="26"/>
          <w:u w:val="single"/>
          <w:lang w:eastAsia="en-US"/>
        </w:rPr>
        <w:t>acto administrativo</w:t>
      </w:r>
      <w:r w:rsidRPr="002F057C">
        <w:rPr>
          <w:rFonts w:eastAsiaTheme="minorEastAsia"/>
          <w:b/>
          <w:bCs/>
          <w:color w:val="000000" w:themeColor="text1"/>
          <w:sz w:val="26"/>
          <w:szCs w:val="26"/>
          <w:lang w:eastAsia="en-US"/>
        </w:rPr>
        <w:t xml:space="preserve"> de reconocimiento de las cesantías</w:t>
      </w:r>
      <w:r w:rsidRPr="002F057C">
        <w:rPr>
          <w:rFonts w:eastAsiaTheme="minorEastAsia"/>
          <w:color w:val="000000" w:themeColor="text1"/>
          <w:sz w:val="26"/>
          <w:szCs w:val="26"/>
          <w:lang w:eastAsia="en-US"/>
        </w:rPr>
        <w:t>.</w:t>
      </w:r>
    </w:p>
    <w:p w14:paraId="7C8CC795" w14:textId="77777777" w:rsidR="000B2BE5" w:rsidRPr="00A52B2B" w:rsidRDefault="000B2BE5" w:rsidP="000B2BE5">
      <w:pPr>
        <w:jc w:val="both"/>
        <w:rPr>
          <w:rFonts w:ascii="Arial" w:hAnsi="Arial" w:cs="Arial"/>
        </w:rPr>
      </w:pPr>
    </w:p>
    <w:p w14:paraId="3FD1A374" w14:textId="77777777" w:rsidR="000B2BE5" w:rsidRPr="00BD32D6" w:rsidRDefault="000B2BE5" w:rsidP="000B2BE5">
      <w:pPr>
        <w:spacing w:line="360" w:lineRule="auto"/>
        <w:jc w:val="both"/>
        <w:rPr>
          <w:sz w:val="26"/>
          <w:szCs w:val="26"/>
          <w:lang w:eastAsia="es-CO"/>
        </w:rPr>
      </w:pPr>
      <w:r w:rsidRPr="00BD32D6">
        <w:rPr>
          <w:sz w:val="26"/>
          <w:szCs w:val="26"/>
          <w:lang w:eastAsia="es-CO"/>
        </w:rPr>
        <w:t>Bajo dicho criterio, se estudiará el caso concreto</w:t>
      </w:r>
      <w:r>
        <w:rPr>
          <w:sz w:val="26"/>
          <w:szCs w:val="26"/>
          <w:lang w:eastAsia="es-CO"/>
        </w:rPr>
        <w:t>, para verificar si era procedente el reconocimiento y luego verificar la prescripción alegada por la parte demandada</w:t>
      </w:r>
    </w:p>
    <w:p w14:paraId="4931D93A" w14:textId="77777777" w:rsidR="00BC1EDB" w:rsidRPr="00BD32D6" w:rsidRDefault="00BC1EDB" w:rsidP="000B2BE5">
      <w:pPr>
        <w:spacing w:line="360" w:lineRule="auto"/>
        <w:jc w:val="both"/>
        <w:rPr>
          <w:sz w:val="26"/>
          <w:szCs w:val="26"/>
          <w:lang w:eastAsia="es-CO"/>
        </w:rPr>
      </w:pPr>
    </w:p>
    <w:p w14:paraId="6E9DE756" w14:textId="1444C5CE" w:rsidR="000B2BE5" w:rsidRPr="00BD32D6" w:rsidRDefault="0E0CC34E" w:rsidP="000B2BE5">
      <w:pPr>
        <w:spacing w:line="360" w:lineRule="auto"/>
        <w:jc w:val="both"/>
        <w:rPr>
          <w:b/>
          <w:bCs/>
          <w:sz w:val="26"/>
          <w:szCs w:val="26"/>
          <w:lang w:eastAsia="es-CO"/>
        </w:rPr>
      </w:pPr>
      <w:r w:rsidRPr="004E65B1">
        <w:rPr>
          <w:b/>
          <w:bCs/>
          <w:sz w:val="26"/>
          <w:szCs w:val="26"/>
          <w:lang w:eastAsia="es-CO"/>
        </w:rPr>
        <w:t>8.</w:t>
      </w:r>
      <w:r w:rsidR="000B2BE5" w:rsidRPr="004E65B1">
        <w:rPr>
          <w:b/>
          <w:bCs/>
          <w:sz w:val="26"/>
          <w:szCs w:val="26"/>
          <w:lang w:eastAsia="es-CO"/>
        </w:rPr>
        <w:t>Caso concreto</w:t>
      </w:r>
    </w:p>
    <w:p w14:paraId="3AC0CF32" w14:textId="77777777" w:rsidR="000B2BE5" w:rsidRPr="00BD32D6" w:rsidRDefault="000B2BE5" w:rsidP="000B2BE5">
      <w:pPr>
        <w:spacing w:line="360" w:lineRule="auto"/>
        <w:jc w:val="both"/>
        <w:rPr>
          <w:b/>
          <w:bCs/>
          <w:lang w:eastAsia="es-CO"/>
        </w:rPr>
      </w:pPr>
    </w:p>
    <w:p w14:paraId="11D97BDF" w14:textId="6CEDA136" w:rsidR="000B2BE5" w:rsidRPr="00BD32D6" w:rsidRDefault="000B2BE5" w:rsidP="000B2BE5">
      <w:pPr>
        <w:spacing w:line="360" w:lineRule="auto"/>
        <w:jc w:val="both"/>
        <w:rPr>
          <w:sz w:val="26"/>
          <w:szCs w:val="26"/>
          <w:lang w:eastAsia="es-CO"/>
        </w:rPr>
      </w:pPr>
      <w:r w:rsidRPr="073719D1">
        <w:rPr>
          <w:sz w:val="26"/>
          <w:szCs w:val="26"/>
          <w:lang w:eastAsia="es-CO"/>
        </w:rPr>
        <w:t xml:space="preserve">Al plenario se allegaron </w:t>
      </w:r>
      <w:r w:rsidR="29695DF2" w:rsidRPr="073719D1">
        <w:rPr>
          <w:sz w:val="26"/>
          <w:szCs w:val="26"/>
          <w:lang w:eastAsia="es-CO"/>
        </w:rPr>
        <w:t>las siguientes pruebas documentales</w:t>
      </w:r>
      <w:r w:rsidRPr="073719D1">
        <w:rPr>
          <w:sz w:val="26"/>
          <w:szCs w:val="26"/>
          <w:lang w:eastAsia="es-CO"/>
        </w:rPr>
        <w:t>:</w:t>
      </w:r>
    </w:p>
    <w:p w14:paraId="5F71D128" w14:textId="77777777" w:rsidR="000B2BE5" w:rsidRPr="00BD32D6" w:rsidRDefault="000B2BE5" w:rsidP="000B2BE5">
      <w:pPr>
        <w:spacing w:line="360" w:lineRule="auto"/>
        <w:jc w:val="both"/>
        <w:rPr>
          <w:sz w:val="26"/>
          <w:szCs w:val="26"/>
          <w:lang w:eastAsia="es-CO"/>
        </w:rPr>
      </w:pPr>
    </w:p>
    <w:p w14:paraId="2C71DFBF" w14:textId="1832BF62" w:rsidR="000B2BE5" w:rsidRPr="008F3C05" w:rsidRDefault="000B2BE5" w:rsidP="0049339F">
      <w:pPr>
        <w:spacing w:line="360" w:lineRule="auto"/>
        <w:jc w:val="both"/>
        <w:rPr>
          <w:sz w:val="26"/>
          <w:szCs w:val="26"/>
          <w:lang w:eastAsia="es-CO"/>
        </w:rPr>
      </w:pPr>
      <w:r w:rsidRPr="0049339F">
        <w:rPr>
          <w:sz w:val="26"/>
          <w:szCs w:val="26"/>
          <w:lang w:eastAsia="es-CO"/>
        </w:rPr>
        <w:t xml:space="preserve">- </w:t>
      </w:r>
      <w:r w:rsidRPr="008F3C05">
        <w:rPr>
          <w:sz w:val="26"/>
          <w:szCs w:val="26"/>
          <w:lang w:eastAsia="es-CO"/>
        </w:rPr>
        <w:t>Copia de la resolución No 0</w:t>
      </w:r>
      <w:r w:rsidR="0049339F" w:rsidRPr="008F3C05">
        <w:rPr>
          <w:sz w:val="26"/>
          <w:szCs w:val="26"/>
          <w:lang w:eastAsia="es-CO"/>
        </w:rPr>
        <w:t>5612</w:t>
      </w:r>
      <w:r w:rsidRPr="008F3C05">
        <w:rPr>
          <w:sz w:val="26"/>
          <w:szCs w:val="26"/>
          <w:lang w:eastAsia="es-CO"/>
        </w:rPr>
        <w:t xml:space="preserve"> del </w:t>
      </w:r>
      <w:r w:rsidR="0049339F" w:rsidRPr="008F3C05">
        <w:rPr>
          <w:sz w:val="26"/>
          <w:szCs w:val="26"/>
          <w:lang w:eastAsia="es-CO"/>
        </w:rPr>
        <w:t>5</w:t>
      </w:r>
      <w:r w:rsidRPr="008F3C05">
        <w:rPr>
          <w:sz w:val="26"/>
          <w:szCs w:val="26"/>
          <w:lang w:eastAsia="es-CO"/>
        </w:rPr>
        <w:t xml:space="preserve"> de </w:t>
      </w:r>
      <w:r w:rsidR="0049339F" w:rsidRPr="008F3C05">
        <w:rPr>
          <w:sz w:val="26"/>
          <w:szCs w:val="26"/>
          <w:lang w:eastAsia="es-CO"/>
        </w:rPr>
        <w:t>septiembre</w:t>
      </w:r>
      <w:r w:rsidRPr="008F3C05">
        <w:rPr>
          <w:sz w:val="26"/>
          <w:szCs w:val="26"/>
          <w:lang w:eastAsia="es-CO"/>
        </w:rPr>
        <w:t xml:space="preserve"> de 201</w:t>
      </w:r>
      <w:r w:rsidR="0049339F" w:rsidRPr="008F3C05">
        <w:rPr>
          <w:sz w:val="26"/>
          <w:szCs w:val="26"/>
          <w:lang w:eastAsia="es-CO"/>
        </w:rPr>
        <w:t>5</w:t>
      </w:r>
      <w:r w:rsidRPr="008F3C05">
        <w:rPr>
          <w:sz w:val="26"/>
          <w:szCs w:val="26"/>
          <w:lang w:eastAsia="es-CO"/>
        </w:rPr>
        <w:t xml:space="preserve">, por medio de la cual se reconoce </w:t>
      </w:r>
      <w:r w:rsidRPr="073719D1">
        <w:rPr>
          <w:b/>
          <w:bCs/>
          <w:sz w:val="26"/>
          <w:szCs w:val="26"/>
          <w:lang w:eastAsia="es-CO"/>
        </w:rPr>
        <w:t xml:space="preserve">cesantía </w:t>
      </w:r>
      <w:r w:rsidR="0049339F" w:rsidRPr="073719D1">
        <w:rPr>
          <w:b/>
          <w:bCs/>
          <w:sz w:val="26"/>
          <w:szCs w:val="26"/>
          <w:lang w:eastAsia="es-CO"/>
        </w:rPr>
        <w:t>parcial</w:t>
      </w:r>
      <w:r w:rsidR="0049339F" w:rsidRPr="008F3C05">
        <w:rPr>
          <w:sz w:val="26"/>
          <w:szCs w:val="26"/>
          <w:lang w:eastAsia="es-CO"/>
        </w:rPr>
        <w:t xml:space="preserve"> para compra</w:t>
      </w:r>
      <w:r w:rsidRPr="008F3C05">
        <w:rPr>
          <w:sz w:val="26"/>
          <w:szCs w:val="26"/>
          <w:lang w:eastAsia="es-CO"/>
        </w:rPr>
        <w:t xml:space="preserve"> de vivienda al docente </w:t>
      </w:r>
      <w:r w:rsidR="0049339F" w:rsidRPr="008F3C05">
        <w:rPr>
          <w:sz w:val="26"/>
          <w:szCs w:val="26"/>
          <w:lang w:eastAsia="es-CO"/>
        </w:rPr>
        <w:t>Bernardo Beltrán Rivera</w:t>
      </w:r>
      <w:r w:rsidRPr="008F3C05">
        <w:rPr>
          <w:rStyle w:val="Refdenotaalpie"/>
          <w:sz w:val="26"/>
          <w:szCs w:val="26"/>
          <w:lang w:eastAsia="es-CO"/>
        </w:rPr>
        <w:footnoteReference w:id="40"/>
      </w:r>
      <w:r w:rsidR="4532F688" w:rsidRPr="008F3C05">
        <w:rPr>
          <w:sz w:val="26"/>
          <w:szCs w:val="26"/>
          <w:lang w:eastAsia="es-CO"/>
        </w:rPr>
        <w:t>. Indicó</w:t>
      </w:r>
      <w:r w:rsidRPr="008F3C05">
        <w:rPr>
          <w:sz w:val="26"/>
          <w:szCs w:val="26"/>
          <w:lang w:eastAsia="es-CO"/>
        </w:rPr>
        <w:t xml:space="preserve"> el acto administrativo que la petición del reconocimiento fue </w:t>
      </w:r>
      <w:r w:rsidRPr="4ACB0057">
        <w:rPr>
          <w:b/>
          <w:bCs/>
          <w:sz w:val="26"/>
          <w:szCs w:val="26"/>
          <w:lang w:eastAsia="es-CO"/>
        </w:rPr>
        <w:t xml:space="preserve">realizada el </w:t>
      </w:r>
      <w:r w:rsidR="0049339F" w:rsidRPr="4ACB0057">
        <w:rPr>
          <w:b/>
          <w:bCs/>
          <w:sz w:val="26"/>
          <w:szCs w:val="26"/>
          <w:lang w:eastAsia="es-CO"/>
        </w:rPr>
        <w:t>13 de abril de 2015</w:t>
      </w:r>
      <w:r w:rsidR="186FAE0E" w:rsidRPr="4ACB0057">
        <w:rPr>
          <w:b/>
          <w:bCs/>
          <w:sz w:val="26"/>
          <w:szCs w:val="26"/>
          <w:lang w:eastAsia="es-CO"/>
        </w:rPr>
        <w:t>.</w:t>
      </w:r>
    </w:p>
    <w:p w14:paraId="27A171AA" w14:textId="77777777" w:rsidR="000B2BE5" w:rsidRPr="008F3C05" w:rsidRDefault="000B2BE5" w:rsidP="0049339F">
      <w:pPr>
        <w:spacing w:line="360" w:lineRule="auto"/>
        <w:jc w:val="both"/>
        <w:rPr>
          <w:sz w:val="26"/>
          <w:szCs w:val="26"/>
          <w:lang w:eastAsia="es-CO"/>
        </w:rPr>
      </w:pPr>
    </w:p>
    <w:p w14:paraId="6601672C" w14:textId="10455759" w:rsidR="0049339F" w:rsidRPr="008F3C05" w:rsidRDefault="000B2BE5" w:rsidP="0049339F">
      <w:pPr>
        <w:spacing w:line="360" w:lineRule="auto"/>
        <w:jc w:val="both"/>
        <w:rPr>
          <w:sz w:val="26"/>
          <w:szCs w:val="26"/>
          <w:lang w:eastAsia="es-CO"/>
        </w:rPr>
      </w:pPr>
      <w:r w:rsidRPr="008F3C05">
        <w:rPr>
          <w:sz w:val="26"/>
          <w:szCs w:val="26"/>
          <w:lang w:eastAsia="es-CO"/>
        </w:rPr>
        <w:t>-</w:t>
      </w:r>
      <w:r w:rsidR="0049339F" w:rsidRPr="008F3C05">
        <w:rPr>
          <w:sz w:val="26"/>
          <w:szCs w:val="26"/>
          <w:lang w:eastAsia="es-CO"/>
        </w:rPr>
        <w:t xml:space="preserve"> Certificación expedida por BBVA Colombia en la que indicó que el pago se realizó el</w:t>
      </w:r>
      <w:r w:rsidR="0049339F" w:rsidRPr="4ACB0057">
        <w:rPr>
          <w:b/>
          <w:bCs/>
          <w:sz w:val="26"/>
          <w:szCs w:val="26"/>
          <w:lang w:eastAsia="es-CO"/>
        </w:rPr>
        <w:t xml:space="preserve"> 5 de abril de 2016.</w:t>
      </w:r>
      <w:r w:rsidR="0049339F" w:rsidRPr="008F3C05">
        <w:rPr>
          <w:rStyle w:val="Refdenotaalpie"/>
          <w:sz w:val="26"/>
          <w:szCs w:val="26"/>
          <w:lang w:eastAsia="es-CO"/>
        </w:rPr>
        <w:footnoteReference w:id="41"/>
      </w:r>
    </w:p>
    <w:p w14:paraId="40D395D4" w14:textId="77777777" w:rsidR="000B2BE5" w:rsidRPr="008F3C05" w:rsidRDefault="000B2BE5" w:rsidP="0049339F">
      <w:pPr>
        <w:spacing w:line="360" w:lineRule="auto"/>
        <w:jc w:val="both"/>
        <w:rPr>
          <w:sz w:val="26"/>
          <w:szCs w:val="26"/>
          <w:lang w:eastAsia="es-CO"/>
        </w:rPr>
      </w:pPr>
    </w:p>
    <w:p w14:paraId="1027CC25" w14:textId="5A302D0B" w:rsidR="000B2BE5" w:rsidRPr="008F3C05" w:rsidRDefault="000B2BE5" w:rsidP="0049339F">
      <w:pPr>
        <w:spacing w:line="360" w:lineRule="auto"/>
        <w:jc w:val="both"/>
        <w:rPr>
          <w:sz w:val="26"/>
          <w:szCs w:val="26"/>
          <w:lang w:eastAsia="es-CO"/>
        </w:rPr>
      </w:pPr>
      <w:r w:rsidRPr="008F3C05">
        <w:rPr>
          <w:sz w:val="26"/>
          <w:szCs w:val="26"/>
          <w:lang w:eastAsia="es-CO"/>
        </w:rPr>
        <w:t>- Copia de petición elevada por la demandante el día 3</w:t>
      </w:r>
      <w:r w:rsidR="0049339F" w:rsidRPr="008F3C05">
        <w:rPr>
          <w:sz w:val="26"/>
          <w:szCs w:val="26"/>
          <w:lang w:eastAsia="es-CO"/>
        </w:rPr>
        <w:t>1</w:t>
      </w:r>
      <w:r w:rsidRPr="008F3C05">
        <w:rPr>
          <w:sz w:val="26"/>
          <w:szCs w:val="26"/>
          <w:lang w:eastAsia="es-CO"/>
        </w:rPr>
        <w:t xml:space="preserve"> de </w:t>
      </w:r>
      <w:r w:rsidR="0049339F" w:rsidRPr="008F3C05">
        <w:rPr>
          <w:sz w:val="26"/>
          <w:szCs w:val="26"/>
          <w:lang w:eastAsia="es-CO"/>
        </w:rPr>
        <w:t>juli</w:t>
      </w:r>
      <w:r w:rsidRPr="008F3C05">
        <w:rPr>
          <w:sz w:val="26"/>
          <w:szCs w:val="26"/>
          <w:lang w:eastAsia="es-CO"/>
        </w:rPr>
        <w:t>o de 201</w:t>
      </w:r>
      <w:r w:rsidR="0049339F" w:rsidRPr="008F3C05">
        <w:rPr>
          <w:sz w:val="26"/>
          <w:szCs w:val="26"/>
          <w:lang w:eastAsia="es-CO"/>
        </w:rPr>
        <w:t>8</w:t>
      </w:r>
      <w:r w:rsidRPr="008F3C05">
        <w:rPr>
          <w:sz w:val="26"/>
          <w:szCs w:val="26"/>
          <w:lang w:eastAsia="es-CO"/>
        </w:rPr>
        <w:t xml:space="preserve"> para el reconocimiento de la sanción moratoria, la cual no fue resuelta.</w:t>
      </w:r>
      <w:r w:rsidR="0049339F" w:rsidRPr="008F3C05">
        <w:rPr>
          <w:rStyle w:val="Refdenotaalpie"/>
          <w:sz w:val="26"/>
          <w:szCs w:val="26"/>
          <w:lang w:eastAsia="es-CO"/>
        </w:rPr>
        <w:footnoteReference w:id="42"/>
      </w:r>
    </w:p>
    <w:p w14:paraId="61CF7105" w14:textId="26CE4E9C" w:rsidR="000B2BE5" w:rsidRPr="008F3C05" w:rsidRDefault="000B2BE5" w:rsidP="000B2BE5">
      <w:pPr>
        <w:spacing w:line="360" w:lineRule="auto"/>
        <w:jc w:val="both"/>
        <w:rPr>
          <w:sz w:val="26"/>
          <w:szCs w:val="26"/>
          <w:lang w:eastAsia="es-CO"/>
        </w:rPr>
      </w:pPr>
    </w:p>
    <w:p w14:paraId="1971DEE8" w14:textId="24BDC96B" w:rsidR="009F2701" w:rsidRPr="008F3C05" w:rsidRDefault="009032AA" w:rsidP="4ACB0057">
      <w:pPr>
        <w:spacing w:line="360" w:lineRule="auto"/>
        <w:jc w:val="both"/>
        <w:rPr>
          <w:b/>
          <w:bCs/>
          <w:sz w:val="26"/>
          <w:szCs w:val="26"/>
          <w:lang w:eastAsia="es-CO"/>
        </w:rPr>
      </w:pPr>
      <w:r w:rsidRPr="008F3C05">
        <w:rPr>
          <w:sz w:val="26"/>
          <w:szCs w:val="26"/>
          <w:lang w:eastAsia="es-CO"/>
        </w:rPr>
        <w:t>-Oficio No 1010403 del 25 de marzo de 2020</w:t>
      </w:r>
      <w:r w:rsidR="009F2701" w:rsidRPr="008F3C05">
        <w:rPr>
          <w:rStyle w:val="Refdenotaalpie"/>
          <w:sz w:val="26"/>
          <w:szCs w:val="26"/>
          <w:lang w:eastAsia="es-CO"/>
        </w:rPr>
        <w:footnoteReference w:id="43"/>
      </w:r>
      <w:r w:rsidRPr="008F3C05">
        <w:rPr>
          <w:sz w:val="26"/>
          <w:szCs w:val="26"/>
          <w:lang w:eastAsia="es-CO"/>
        </w:rPr>
        <w:t xml:space="preserve"> por medio del cual el Fondo Nacional de Prestaciones</w:t>
      </w:r>
      <w:r w:rsidR="007C0CE4" w:rsidRPr="008F3C05">
        <w:rPr>
          <w:sz w:val="26"/>
          <w:szCs w:val="26"/>
          <w:lang w:eastAsia="es-CO"/>
        </w:rPr>
        <w:t xml:space="preserve"> </w:t>
      </w:r>
      <w:r w:rsidRPr="008F3C05">
        <w:rPr>
          <w:sz w:val="26"/>
          <w:szCs w:val="26"/>
          <w:lang w:eastAsia="es-CO"/>
        </w:rPr>
        <w:t xml:space="preserve">Sociales del Magisterio informó que </w:t>
      </w:r>
      <w:r w:rsidR="009F2701" w:rsidRPr="008F3C05">
        <w:rPr>
          <w:sz w:val="26"/>
          <w:szCs w:val="26"/>
          <w:lang w:eastAsia="es-CO"/>
        </w:rPr>
        <w:t>programó pago de Cesantía PARCIAL</w:t>
      </w:r>
      <w:r w:rsidR="007C0CE4" w:rsidRPr="008F3C05">
        <w:rPr>
          <w:sz w:val="26"/>
          <w:szCs w:val="26"/>
          <w:lang w:eastAsia="es-CO"/>
        </w:rPr>
        <w:t xml:space="preserve"> </w:t>
      </w:r>
      <w:r w:rsidR="009F2701" w:rsidRPr="008F3C05">
        <w:rPr>
          <w:sz w:val="26"/>
          <w:szCs w:val="26"/>
          <w:lang w:eastAsia="es-CO"/>
        </w:rPr>
        <w:t>reconocida por la Secretaria de Educación de BOYACA, al docente BELTRAN</w:t>
      </w:r>
      <w:r w:rsidR="007C0CE4" w:rsidRPr="008F3C05">
        <w:rPr>
          <w:sz w:val="26"/>
          <w:szCs w:val="26"/>
          <w:lang w:eastAsia="es-CO"/>
        </w:rPr>
        <w:t xml:space="preserve"> </w:t>
      </w:r>
      <w:r w:rsidR="009F2701" w:rsidRPr="008F3C05">
        <w:rPr>
          <w:sz w:val="26"/>
          <w:szCs w:val="26"/>
          <w:lang w:eastAsia="es-CO"/>
        </w:rPr>
        <w:t>RIVERA</w:t>
      </w:r>
      <w:r w:rsidR="007C0CE4" w:rsidRPr="008F3C05">
        <w:rPr>
          <w:sz w:val="26"/>
          <w:szCs w:val="26"/>
          <w:lang w:eastAsia="es-CO"/>
        </w:rPr>
        <w:t xml:space="preserve"> </w:t>
      </w:r>
      <w:r w:rsidR="009F2701" w:rsidRPr="008F3C05">
        <w:rPr>
          <w:sz w:val="26"/>
          <w:szCs w:val="26"/>
          <w:lang w:eastAsia="es-CO"/>
        </w:rPr>
        <w:t xml:space="preserve">BERNARDO identificado con CC No. 6758087, mediante </w:t>
      </w:r>
      <w:r w:rsidR="009F2701" w:rsidRPr="4ACB0057">
        <w:rPr>
          <w:b/>
          <w:bCs/>
          <w:sz w:val="26"/>
          <w:szCs w:val="26"/>
          <w:lang w:eastAsia="es-CO"/>
        </w:rPr>
        <w:t xml:space="preserve">Resolución No. 5612 de fecha 05 de </w:t>
      </w:r>
      <w:r w:rsidR="3CDE36F9" w:rsidRPr="4ACB0057">
        <w:rPr>
          <w:b/>
          <w:bCs/>
          <w:sz w:val="26"/>
          <w:szCs w:val="26"/>
          <w:lang w:eastAsia="es-CO"/>
        </w:rPr>
        <w:t>septiembre</w:t>
      </w:r>
      <w:r w:rsidR="009F2701" w:rsidRPr="4ACB0057">
        <w:rPr>
          <w:b/>
          <w:bCs/>
          <w:sz w:val="26"/>
          <w:szCs w:val="26"/>
          <w:lang w:eastAsia="es-CO"/>
        </w:rPr>
        <w:t xml:space="preserve"> de 2015,</w:t>
      </w:r>
      <w:r w:rsidR="009F2701" w:rsidRPr="008F3C05">
        <w:rPr>
          <w:sz w:val="26"/>
          <w:szCs w:val="26"/>
          <w:lang w:eastAsia="es-CO"/>
        </w:rPr>
        <w:t xml:space="preserve"> quedando a disposición a partir del </w:t>
      </w:r>
      <w:r w:rsidR="009F2701" w:rsidRPr="4ACB0057">
        <w:rPr>
          <w:b/>
          <w:bCs/>
          <w:sz w:val="26"/>
          <w:szCs w:val="26"/>
          <w:lang w:eastAsia="es-CO"/>
        </w:rPr>
        <w:t>1</w:t>
      </w:r>
      <w:r w:rsidR="71284AAF" w:rsidRPr="4ACB0057">
        <w:rPr>
          <w:b/>
          <w:bCs/>
          <w:sz w:val="26"/>
          <w:szCs w:val="26"/>
          <w:lang w:eastAsia="es-CO"/>
        </w:rPr>
        <w:t>°</w:t>
      </w:r>
      <w:r w:rsidR="009F2701" w:rsidRPr="4ACB0057">
        <w:rPr>
          <w:b/>
          <w:bCs/>
          <w:sz w:val="26"/>
          <w:szCs w:val="26"/>
          <w:lang w:eastAsia="es-CO"/>
        </w:rPr>
        <w:t xml:space="preserve"> de </w:t>
      </w:r>
      <w:r w:rsidR="6D997DD6" w:rsidRPr="4ACB0057">
        <w:rPr>
          <w:b/>
          <w:bCs/>
          <w:sz w:val="26"/>
          <w:szCs w:val="26"/>
          <w:lang w:eastAsia="es-CO"/>
        </w:rPr>
        <w:t>diciembre</w:t>
      </w:r>
      <w:r w:rsidR="009F2701" w:rsidRPr="4ACB0057">
        <w:rPr>
          <w:b/>
          <w:bCs/>
          <w:sz w:val="26"/>
          <w:szCs w:val="26"/>
          <w:lang w:eastAsia="es-CO"/>
        </w:rPr>
        <w:t xml:space="preserve"> de 2015 </w:t>
      </w:r>
      <w:r w:rsidR="009F2701" w:rsidRPr="008F3C05">
        <w:rPr>
          <w:sz w:val="26"/>
          <w:szCs w:val="26"/>
          <w:lang w:eastAsia="es-CO"/>
        </w:rPr>
        <w:t xml:space="preserve">el cual no fue cobrado y se reprogramó nuevamente el </w:t>
      </w:r>
      <w:r w:rsidR="009F2701" w:rsidRPr="4ACB0057">
        <w:rPr>
          <w:b/>
          <w:bCs/>
          <w:sz w:val="26"/>
          <w:szCs w:val="26"/>
          <w:lang w:eastAsia="es-CO"/>
        </w:rPr>
        <w:t xml:space="preserve">18 de </w:t>
      </w:r>
      <w:r w:rsidR="7315D0A2" w:rsidRPr="4ACB0057">
        <w:rPr>
          <w:b/>
          <w:bCs/>
          <w:sz w:val="26"/>
          <w:szCs w:val="26"/>
          <w:lang w:eastAsia="es-CO"/>
        </w:rPr>
        <w:t>marzo</w:t>
      </w:r>
      <w:r w:rsidR="009F2701" w:rsidRPr="4ACB0057">
        <w:rPr>
          <w:b/>
          <w:bCs/>
          <w:sz w:val="26"/>
          <w:szCs w:val="26"/>
          <w:lang w:eastAsia="es-CO"/>
        </w:rPr>
        <w:t xml:space="preserve"> de 2016 por valor de</w:t>
      </w:r>
      <w:r w:rsidR="007C0CE4" w:rsidRPr="4ACB0057">
        <w:rPr>
          <w:b/>
          <w:bCs/>
          <w:sz w:val="26"/>
          <w:szCs w:val="26"/>
          <w:lang w:eastAsia="es-CO"/>
        </w:rPr>
        <w:t xml:space="preserve"> </w:t>
      </w:r>
      <w:r w:rsidR="009F2701" w:rsidRPr="4ACB0057">
        <w:rPr>
          <w:b/>
          <w:bCs/>
          <w:sz w:val="26"/>
          <w:szCs w:val="26"/>
          <w:lang w:eastAsia="es-CO"/>
        </w:rPr>
        <w:t xml:space="preserve">$114,196,444. </w:t>
      </w:r>
    </w:p>
    <w:p w14:paraId="037CBCDA" w14:textId="77777777" w:rsidR="000B2BE5" w:rsidRDefault="000B2BE5" w:rsidP="000B2BE5">
      <w:pPr>
        <w:spacing w:line="360" w:lineRule="auto"/>
        <w:jc w:val="both"/>
        <w:rPr>
          <w:rFonts w:eastAsiaTheme="minorEastAsia"/>
          <w:sz w:val="26"/>
          <w:szCs w:val="26"/>
          <w:highlight w:val="green"/>
          <w:lang w:eastAsia="en-US"/>
        </w:rPr>
      </w:pPr>
    </w:p>
    <w:p w14:paraId="6365AD37" w14:textId="5E45282E" w:rsidR="000B2BE5" w:rsidRPr="00BC1EDB" w:rsidRDefault="000B2BE5" w:rsidP="073719D1">
      <w:pPr>
        <w:jc w:val="both"/>
        <w:rPr>
          <w:rFonts w:eastAsiaTheme="minorEastAsia"/>
          <w:b/>
          <w:bCs/>
          <w:sz w:val="26"/>
          <w:szCs w:val="26"/>
          <w:lang w:eastAsia="en-US"/>
        </w:rPr>
      </w:pPr>
      <w:r w:rsidRPr="073719D1">
        <w:rPr>
          <w:rFonts w:eastAsiaTheme="minorEastAsia"/>
          <w:b/>
          <w:bCs/>
          <w:sz w:val="26"/>
          <w:szCs w:val="26"/>
          <w:lang w:eastAsia="en-US"/>
        </w:rPr>
        <w:t>8.</w:t>
      </w:r>
      <w:r w:rsidR="41528435" w:rsidRPr="073719D1">
        <w:rPr>
          <w:rFonts w:eastAsiaTheme="minorEastAsia"/>
          <w:b/>
          <w:bCs/>
          <w:sz w:val="26"/>
          <w:szCs w:val="26"/>
          <w:lang w:eastAsia="en-US"/>
        </w:rPr>
        <w:t>2.  R</w:t>
      </w:r>
      <w:r w:rsidR="009F2701" w:rsidRPr="073719D1">
        <w:rPr>
          <w:rFonts w:eastAsiaTheme="minorEastAsia"/>
          <w:b/>
          <w:bCs/>
          <w:sz w:val="26"/>
          <w:szCs w:val="26"/>
          <w:lang w:eastAsia="en-US"/>
        </w:rPr>
        <w:t>econocimiento de la sanción moratoria al docente Bernardo Beltrán Rivera</w:t>
      </w:r>
    </w:p>
    <w:p w14:paraId="4EB315C2" w14:textId="77777777" w:rsidR="000B2BE5" w:rsidRPr="00BC1EDB" w:rsidRDefault="000B2BE5" w:rsidP="000B2BE5">
      <w:pPr>
        <w:spacing w:line="360" w:lineRule="auto"/>
        <w:jc w:val="both"/>
        <w:rPr>
          <w:rFonts w:eastAsiaTheme="minorEastAsia"/>
          <w:sz w:val="26"/>
          <w:szCs w:val="26"/>
          <w:lang w:eastAsia="en-US"/>
        </w:rPr>
      </w:pPr>
    </w:p>
    <w:p w14:paraId="606697DA" w14:textId="10B9E780" w:rsidR="000B2BE5" w:rsidRPr="00BC1EDB" w:rsidRDefault="000B2BE5" w:rsidP="000B2BE5">
      <w:pPr>
        <w:spacing w:line="360" w:lineRule="auto"/>
        <w:jc w:val="both"/>
        <w:rPr>
          <w:color w:val="000000" w:themeColor="text1"/>
          <w:sz w:val="26"/>
          <w:szCs w:val="26"/>
          <w:lang w:val="es-ES"/>
        </w:rPr>
      </w:pPr>
      <w:r w:rsidRPr="00BC1EDB">
        <w:rPr>
          <w:color w:val="000000" w:themeColor="text1"/>
          <w:sz w:val="26"/>
          <w:szCs w:val="26"/>
          <w:lang w:val="es-ES"/>
        </w:rPr>
        <w:t>Verificará la Sala los presupuestos de reconocimiento de la sanción, así:</w:t>
      </w:r>
    </w:p>
    <w:p w14:paraId="46F2C4A9" w14:textId="77777777" w:rsidR="009F2701" w:rsidRPr="00BC1EDB" w:rsidRDefault="009F2701" w:rsidP="000B2BE5">
      <w:pPr>
        <w:spacing w:line="360" w:lineRule="auto"/>
        <w:jc w:val="both"/>
        <w:rPr>
          <w:color w:val="000000" w:themeColor="text1"/>
          <w:sz w:val="26"/>
          <w:szCs w:val="26"/>
          <w:lang w:val="es-ES"/>
        </w:rPr>
      </w:pPr>
    </w:p>
    <w:p w14:paraId="5ADC73AA" w14:textId="22796886" w:rsidR="000B2BE5" w:rsidRPr="00BC1EDB" w:rsidRDefault="000B2BE5" w:rsidP="000B2BE5">
      <w:pPr>
        <w:spacing w:line="360" w:lineRule="auto"/>
        <w:jc w:val="both"/>
        <w:rPr>
          <w:color w:val="000000" w:themeColor="text1"/>
          <w:sz w:val="26"/>
          <w:szCs w:val="26"/>
        </w:rPr>
      </w:pPr>
      <w:r w:rsidRPr="00BC1EDB">
        <w:rPr>
          <w:color w:val="000000" w:themeColor="text1"/>
          <w:sz w:val="26"/>
          <w:szCs w:val="26"/>
        </w:rPr>
        <w:t xml:space="preserve">- </w:t>
      </w:r>
      <w:r w:rsidRPr="00BC1EDB">
        <w:rPr>
          <w:b/>
          <w:bCs/>
          <w:color w:val="000000" w:themeColor="text1"/>
          <w:sz w:val="26"/>
          <w:szCs w:val="26"/>
        </w:rPr>
        <w:t xml:space="preserve">Fecha en que se presentó petición: </w:t>
      </w:r>
      <w:r w:rsidR="009F2701" w:rsidRPr="00BC1EDB">
        <w:rPr>
          <w:sz w:val="26"/>
          <w:szCs w:val="26"/>
          <w:lang w:eastAsia="es-CO"/>
        </w:rPr>
        <w:t>13</w:t>
      </w:r>
      <w:r w:rsidRPr="00BC1EDB">
        <w:rPr>
          <w:sz w:val="26"/>
          <w:szCs w:val="26"/>
          <w:lang w:eastAsia="es-CO"/>
        </w:rPr>
        <w:t xml:space="preserve"> de </w:t>
      </w:r>
      <w:r w:rsidR="009F2701" w:rsidRPr="00BC1EDB">
        <w:rPr>
          <w:sz w:val="26"/>
          <w:szCs w:val="26"/>
          <w:lang w:eastAsia="es-CO"/>
        </w:rPr>
        <w:t>abril de 2015</w:t>
      </w:r>
      <w:r w:rsidRPr="00BC1EDB">
        <w:rPr>
          <w:color w:val="000000" w:themeColor="text1"/>
          <w:sz w:val="26"/>
          <w:szCs w:val="26"/>
        </w:rPr>
        <w:t>.</w:t>
      </w:r>
    </w:p>
    <w:p w14:paraId="0FC388C2" w14:textId="66E8AC7C" w:rsidR="009F2701" w:rsidRPr="00BC1EDB" w:rsidRDefault="000B2BE5" w:rsidP="000B2BE5">
      <w:pPr>
        <w:spacing w:line="360" w:lineRule="auto"/>
        <w:jc w:val="both"/>
        <w:rPr>
          <w:color w:val="000000" w:themeColor="text1"/>
          <w:sz w:val="26"/>
          <w:szCs w:val="26"/>
        </w:rPr>
      </w:pPr>
      <w:r w:rsidRPr="4ACB0057">
        <w:rPr>
          <w:color w:val="000000" w:themeColor="text1"/>
          <w:sz w:val="26"/>
          <w:szCs w:val="26"/>
        </w:rPr>
        <w:t xml:space="preserve">- </w:t>
      </w:r>
      <w:r w:rsidRPr="4ACB0057">
        <w:rPr>
          <w:b/>
          <w:bCs/>
          <w:color w:val="000000" w:themeColor="text1"/>
          <w:sz w:val="26"/>
          <w:szCs w:val="26"/>
        </w:rPr>
        <w:t xml:space="preserve">Fecha de reconocimiento: </w:t>
      </w:r>
      <w:r w:rsidR="009F2701" w:rsidRPr="4ACB0057">
        <w:rPr>
          <w:color w:val="000000" w:themeColor="text1"/>
          <w:sz w:val="26"/>
          <w:szCs w:val="26"/>
        </w:rPr>
        <w:t>M</w:t>
      </w:r>
      <w:r w:rsidRPr="4ACB0057">
        <w:rPr>
          <w:color w:val="000000" w:themeColor="text1"/>
          <w:sz w:val="26"/>
          <w:szCs w:val="26"/>
        </w:rPr>
        <w:t xml:space="preserve">ediante </w:t>
      </w:r>
      <w:r w:rsidR="009F2701" w:rsidRPr="4ACB0057">
        <w:rPr>
          <w:color w:val="000000" w:themeColor="text1"/>
          <w:sz w:val="26"/>
          <w:szCs w:val="26"/>
        </w:rPr>
        <w:t>R</w:t>
      </w:r>
      <w:r w:rsidRPr="4ACB0057">
        <w:rPr>
          <w:color w:val="000000" w:themeColor="text1"/>
          <w:sz w:val="26"/>
          <w:szCs w:val="26"/>
        </w:rPr>
        <w:t>esolución</w:t>
      </w:r>
      <w:r w:rsidRPr="4ACB0057">
        <w:rPr>
          <w:sz w:val="26"/>
          <w:szCs w:val="26"/>
          <w:lang w:eastAsia="es-CO"/>
        </w:rPr>
        <w:t xml:space="preserve"> No </w:t>
      </w:r>
      <w:r w:rsidR="009F2701" w:rsidRPr="4ACB0057">
        <w:rPr>
          <w:sz w:val="26"/>
          <w:szCs w:val="26"/>
          <w:lang w:eastAsia="es-CO"/>
        </w:rPr>
        <w:t>05612 del 5 de septiembre de 2015</w:t>
      </w:r>
      <w:r w:rsidR="1D67574F" w:rsidRPr="4ACB0057">
        <w:rPr>
          <w:sz w:val="26"/>
          <w:szCs w:val="26"/>
          <w:lang w:eastAsia="es-CO"/>
        </w:rPr>
        <w:t>.</w:t>
      </w:r>
    </w:p>
    <w:p w14:paraId="3B0738E7" w14:textId="3DCD9C5D" w:rsidR="000B2BE5" w:rsidRPr="00BC1EDB" w:rsidRDefault="000B2BE5" w:rsidP="000B2BE5">
      <w:pPr>
        <w:spacing w:line="360" w:lineRule="auto"/>
        <w:jc w:val="both"/>
        <w:rPr>
          <w:color w:val="000000" w:themeColor="text1"/>
          <w:sz w:val="26"/>
          <w:szCs w:val="26"/>
        </w:rPr>
      </w:pPr>
      <w:r w:rsidRPr="4ACB0057">
        <w:rPr>
          <w:color w:val="000000" w:themeColor="text1"/>
          <w:sz w:val="26"/>
          <w:szCs w:val="26"/>
        </w:rPr>
        <w:lastRenderedPageBreak/>
        <w:t xml:space="preserve">- </w:t>
      </w:r>
      <w:r w:rsidRPr="4ACB0057">
        <w:rPr>
          <w:b/>
          <w:bCs/>
          <w:color w:val="000000" w:themeColor="text1"/>
          <w:sz w:val="26"/>
          <w:szCs w:val="26"/>
        </w:rPr>
        <w:t xml:space="preserve">Fecha de pago: </w:t>
      </w:r>
      <w:r w:rsidR="009F2701" w:rsidRPr="4ACB0057">
        <w:rPr>
          <w:b/>
          <w:bCs/>
          <w:color w:val="000000" w:themeColor="text1"/>
          <w:sz w:val="26"/>
          <w:szCs w:val="26"/>
        </w:rPr>
        <w:t>1 de diciembre de 2015</w:t>
      </w:r>
      <w:r w:rsidR="00711277" w:rsidRPr="4ACB0057">
        <w:rPr>
          <w:color w:val="000000" w:themeColor="text1"/>
          <w:sz w:val="26"/>
          <w:szCs w:val="26"/>
        </w:rPr>
        <w:t>, por cuanto tal y como se indicó anteriormente, el pago se entiende realizado cuando la entidad colocó los recursos a disposición de docente, sin que dicha actuación deba ser notificada.</w:t>
      </w:r>
    </w:p>
    <w:p w14:paraId="6C8DE6BF" w14:textId="7A924422" w:rsidR="4ACB0057" w:rsidRDefault="4ACB0057" w:rsidP="4ACB0057">
      <w:pPr>
        <w:spacing w:line="360" w:lineRule="auto"/>
        <w:jc w:val="both"/>
        <w:rPr>
          <w:color w:val="000000" w:themeColor="text1"/>
          <w:sz w:val="26"/>
          <w:szCs w:val="26"/>
        </w:rPr>
      </w:pPr>
    </w:p>
    <w:p w14:paraId="1F1EBFBA" w14:textId="56F8B787" w:rsidR="000B2BE5" w:rsidRPr="00AB3AF6" w:rsidRDefault="000B2BE5" w:rsidP="000B2BE5">
      <w:pPr>
        <w:spacing w:line="360" w:lineRule="auto"/>
        <w:jc w:val="both"/>
        <w:rPr>
          <w:color w:val="000000" w:themeColor="text1"/>
          <w:sz w:val="26"/>
          <w:szCs w:val="26"/>
        </w:rPr>
      </w:pPr>
      <w:r w:rsidRPr="00AB3AF6">
        <w:rPr>
          <w:color w:val="000000" w:themeColor="text1"/>
          <w:sz w:val="26"/>
          <w:szCs w:val="26"/>
        </w:rPr>
        <w:t xml:space="preserve">Teniendo en cuenta que la reclamación para el reconocimiento de las cesantías parciales se realizó el </w:t>
      </w:r>
      <w:r w:rsidR="009F2701" w:rsidRPr="00AB3AF6">
        <w:rPr>
          <w:color w:val="000000" w:themeColor="text1"/>
          <w:sz w:val="26"/>
          <w:szCs w:val="26"/>
        </w:rPr>
        <w:t>13 de abril de 2015</w:t>
      </w:r>
      <w:r w:rsidRPr="00AB3AF6">
        <w:rPr>
          <w:color w:val="000000" w:themeColor="text1"/>
          <w:sz w:val="26"/>
          <w:szCs w:val="26"/>
        </w:rPr>
        <w:t xml:space="preserve">, el acto administrativo de reconocimiento debió expedirse a más tardar en el término de 15 días hábiles posteriores, esto es, el </w:t>
      </w:r>
      <w:r w:rsidR="009F2701" w:rsidRPr="00AB3AF6">
        <w:rPr>
          <w:b/>
          <w:bCs/>
          <w:color w:val="000000" w:themeColor="text1"/>
          <w:sz w:val="26"/>
          <w:szCs w:val="26"/>
        </w:rPr>
        <w:t>5 de mayo de 2015</w:t>
      </w:r>
      <w:r w:rsidRPr="00AB3AF6">
        <w:rPr>
          <w:b/>
          <w:bCs/>
          <w:color w:val="000000" w:themeColor="text1"/>
          <w:sz w:val="26"/>
          <w:szCs w:val="26"/>
        </w:rPr>
        <w:t>.</w:t>
      </w:r>
    </w:p>
    <w:p w14:paraId="79ADF2D2" w14:textId="77777777" w:rsidR="000B2BE5" w:rsidRPr="00AB3AF6" w:rsidRDefault="000B2BE5" w:rsidP="000B2BE5">
      <w:pPr>
        <w:spacing w:line="360" w:lineRule="auto"/>
        <w:jc w:val="both"/>
        <w:rPr>
          <w:color w:val="000000" w:themeColor="text1"/>
          <w:sz w:val="26"/>
          <w:szCs w:val="26"/>
        </w:rPr>
      </w:pPr>
    </w:p>
    <w:p w14:paraId="21496198" w14:textId="233BB839" w:rsidR="000B2BE5" w:rsidRPr="00AB3AF6" w:rsidRDefault="000B2BE5" w:rsidP="000B2BE5">
      <w:pPr>
        <w:spacing w:line="360" w:lineRule="auto"/>
        <w:jc w:val="both"/>
        <w:rPr>
          <w:sz w:val="26"/>
          <w:szCs w:val="26"/>
        </w:rPr>
      </w:pPr>
      <w:r w:rsidRPr="00AB3AF6">
        <w:rPr>
          <w:color w:val="000000" w:themeColor="text1"/>
          <w:sz w:val="26"/>
          <w:szCs w:val="26"/>
        </w:rPr>
        <w:t xml:space="preserve">Lo anterior quiere decir que como el acto de reconocimiento se realizó de manera extemporánea – </w:t>
      </w:r>
      <w:r w:rsidR="009F2701" w:rsidRPr="00AB3AF6">
        <w:rPr>
          <w:b/>
          <w:bCs/>
          <w:color w:val="000000" w:themeColor="text1"/>
          <w:sz w:val="26"/>
          <w:szCs w:val="26"/>
        </w:rPr>
        <w:t>5 de septiembre de 2015</w:t>
      </w:r>
      <w:r w:rsidRPr="00AB3AF6">
        <w:rPr>
          <w:b/>
          <w:bCs/>
          <w:color w:val="000000" w:themeColor="text1"/>
          <w:sz w:val="26"/>
          <w:szCs w:val="26"/>
        </w:rPr>
        <w:t xml:space="preserve"> </w:t>
      </w:r>
      <w:r w:rsidRPr="00AB3AF6">
        <w:rPr>
          <w:color w:val="000000" w:themeColor="text1"/>
          <w:sz w:val="26"/>
          <w:szCs w:val="26"/>
        </w:rPr>
        <w:t xml:space="preserve">– debe aplicarse la tesis ya analizada del Consejo de Estado, según la cual, </w:t>
      </w:r>
      <w:r w:rsidRPr="00AB3AF6">
        <w:rPr>
          <w:sz w:val="26"/>
          <w:szCs w:val="26"/>
        </w:rPr>
        <w:t>cuando el acto que reconoce las cesantías se expide por fuera del término de ley, o cuando no se profiere; la sanción moratoria corre 70 días hábiles después de radicada la solicitud de reconocimiento, término que corresponde a: i) 15 días para expedir la resolución; ii) 10 días de ejecutoria del acto; y iii) 45 días para efectuar el pago.</w:t>
      </w:r>
    </w:p>
    <w:p w14:paraId="1731CF13" w14:textId="77777777" w:rsidR="000B2BE5" w:rsidRPr="00AB3AF6" w:rsidRDefault="000B2BE5" w:rsidP="000B2BE5">
      <w:pPr>
        <w:spacing w:line="360" w:lineRule="auto"/>
        <w:jc w:val="both"/>
        <w:rPr>
          <w:color w:val="000000" w:themeColor="text1"/>
          <w:sz w:val="26"/>
          <w:szCs w:val="26"/>
        </w:rPr>
      </w:pPr>
    </w:p>
    <w:p w14:paraId="2E1B3F85" w14:textId="6B1D4368" w:rsidR="000B2BE5" w:rsidRPr="00BC1EDB" w:rsidRDefault="000B2BE5" w:rsidP="000B2BE5">
      <w:pPr>
        <w:spacing w:line="360" w:lineRule="auto"/>
        <w:jc w:val="both"/>
        <w:rPr>
          <w:color w:val="000000" w:themeColor="text1"/>
          <w:sz w:val="26"/>
          <w:szCs w:val="26"/>
        </w:rPr>
      </w:pPr>
      <w:r w:rsidRPr="00AB3AF6">
        <w:rPr>
          <w:color w:val="000000" w:themeColor="text1"/>
          <w:sz w:val="26"/>
          <w:szCs w:val="26"/>
        </w:rPr>
        <w:t xml:space="preserve">Entonces, los 70 días hábiles posteriores para el pago vencieron para la entidad el </w:t>
      </w:r>
      <w:r w:rsidR="009F2701" w:rsidRPr="00AB3AF6">
        <w:rPr>
          <w:color w:val="000000" w:themeColor="text1"/>
          <w:sz w:val="26"/>
          <w:szCs w:val="26"/>
        </w:rPr>
        <w:t>28 de julio de 2015</w:t>
      </w:r>
      <w:r w:rsidRPr="00AB3AF6">
        <w:rPr>
          <w:color w:val="000000" w:themeColor="text1"/>
          <w:sz w:val="26"/>
          <w:szCs w:val="26"/>
        </w:rPr>
        <w:t xml:space="preserve">. Sin embargo, el pago se realizó el </w:t>
      </w:r>
      <w:r w:rsidR="009F2701" w:rsidRPr="00AB3AF6">
        <w:rPr>
          <w:color w:val="000000" w:themeColor="text1"/>
          <w:sz w:val="26"/>
          <w:szCs w:val="26"/>
        </w:rPr>
        <w:t>1 de diciembre de 2015</w:t>
      </w:r>
      <w:r w:rsidRPr="00AB3AF6">
        <w:rPr>
          <w:color w:val="000000" w:themeColor="text1"/>
          <w:sz w:val="26"/>
          <w:szCs w:val="26"/>
        </w:rPr>
        <w:t xml:space="preserve">, lo que indica que la entidad estuvo en mora de pagar desde el </w:t>
      </w:r>
      <w:r w:rsidR="00D915E9" w:rsidRPr="00AB3AF6">
        <w:rPr>
          <w:b/>
          <w:bCs/>
          <w:color w:val="000000" w:themeColor="text1"/>
          <w:sz w:val="26"/>
          <w:szCs w:val="26"/>
          <w:u w:val="single"/>
        </w:rPr>
        <w:t>29 de julio de 2015</w:t>
      </w:r>
      <w:r w:rsidRPr="00AB3AF6">
        <w:rPr>
          <w:b/>
          <w:bCs/>
          <w:color w:val="000000" w:themeColor="text1"/>
          <w:sz w:val="26"/>
          <w:szCs w:val="26"/>
          <w:u w:val="single"/>
        </w:rPr>
        <w:t xml:space="preserve"> hasta el </w:t>
      </w:r>
      <w:r w:rsidR="00D915E9" w:rsidRPr="00AB3AF6">
        <w:rPr>
          <w:b/>
          <w:bCs/>
          <w:color w:val="000000" w:themeColor="text1"/>
          <w:sz w:val="26"/>
          <w:szCs w:val="26"/>
          <w:u w:val="single"/>
        </w:rPr>
        <w:t>30 de noviembre de 2015</w:t>
      </w:r>
      <w:r w:rsidR="00D915E9" w:rsidRPr="00AB3AF6">
        <w:rPr>
          <w:color w:val="000000" w:themeColor="text1"/>
          <w:sz w:val="26"/>
          <w:szCs w:val="26"/>
        </w:rPr>
        <w:t>.</w:t>
      </w:r>
    </w:p>
    <w:p w14:paraId="5CAFE86A" w14:textId="77777777" w:rsidR="00B1235E" w:rsidRPr="00BC1EDB" w:rsidRDefault="00B1235E" w:rsidP="000B2BE5">
      <w:pPr>
        <w:spacing w:line="360" w:lineRule="auto"/>
        <w:jc w:val="both"/>
        <w:rPr>
          <w:color w:val="000000" w:themeColor="text1"/>
          <w:sz w:val="26"/>
          <w:szCs w:val="26"/>
        </w:rPr>
      </w:pPr>
    </w:p>
    <w:p w14:paraId="02073F8A" w14:textId="4DD70C82" w:rsidR="00B1235E" w:rsidRPr="00BC1EDB" w:rsidRDefault="00B1235E" w:rsidP="000B2BE5">
      <w:pPr>
        <w:spacing w:line="360" w:lineRule="auto"/>
        <w:jc w:val="both"/>
        <w:rPr>
          <w:b/>
          <w:bCs/>
          <w:color w:val="000000" w:themeColor="text1"/>
          <w:sz w:val="26"/>
          <w:szCs w:val="26"/>
        </w:rPr>
      </w:pPr>
      <w:r w:rsidRPr="00BC1EDB">
        <w:rPr>
          <w:b/>
          <w:bCs/>
          <w:color w:val="000000" w:themeColor="text1"/>
          <w:sz w:val="26"/>
          <w:szCs w:val="26"/>
        </w:rPr>
        <w:t>8.3. De la prescripción</w:t>
      </w:r>
    </w:p>
    <w:p w14:paraId="241D4004" w14:textId="77777777" w:rsidR="000B2BE5" w:rsidRPr="00BC1EDB" w:rsidRDefault="000B2BE5" w:rsidP="000B2BE5">
      <w:pPr>
        <w:spacing w:line="360" w:lineRule="auto"/>
        <w:jc w:val="both"/>
        <w:rPr>
          <w:b/>
          <w:bCs/>
          <w:color w:val="000000" w:themeColor="text1"/>
          <w:sz w:val="26"/>
          <w:szCs w:val="26"/>
        </w:rPr>
      </w:pPr>
    </w:p>
    <w:p w14:paraId="112DB17F" w14:textId="77777777" w:rsidR="000B2BE5" w:rsidRPr="00BC1EDB" w:rsidRDefault="000B2BE5" w:rsidP="000B2BE5">
      <w:pPr>
        <w:spacing w:line="360" w:lineRule="auto"/>
        <w:jc w:val="both"/>
        <w:rPr>
          <w:color w:val="000000" w:themeColor="text1"/>
          <w:sz w:val="26"/>
          <w:szCs w:val="26"/>
        </w:rPr>
      </w:pPr>
      <w:r w:rsidRPr="00BC1EDB">
        <w:rPr>
          <w:color w:val="000000" w:themeColor="text1"/>
          <w:sz w:val="26"/>
          <w:szCs w:val="26"/>
        </w:rPr>
        <w:t>En relación con la excepción de prescripción presentada por la entidad demandada, se dirá que la Sección Segunda del Consejo de Estado, en sentencia de</w:t>
      </w:r>
      <w:r w:rsidRPr="00BC1EDB">
        <w:t xml:space="preserve"> </w:t>
      </w:r>
      <w:r w:rsidRPr="00BC1EDB">
        <w:rPr>
          <w:color w:val="000000" w:themeColor="text1"/>
          <w:sz w:val="26"/>
          <w:szCs w:val="26"/>
        </w:rPr>
        <w:t>unificación CE-SUJ004 de 2016</w:t>
      </w:r>
      <w:r w:rsidRPr="00BC1EDB">
        <w:rPr>
          <w:rStyle w:val="Refdenotaalpie"/>
          <w:color w:val="000000" w:themeColor="text1"/>
          <w:sz w:val="26"/>
          <w:szCs w:val="26"/>
        </w:rPr>
        <w:footnoteReference w:id="44"/>
      </w:r>
      <w:r w:rsidRPr="00BC1EDB">
        <w:rPr>
          <w:color w:val="000000" w:themeColor="text1"/>
          <w:sz w:val="26"/>
          <w:szCs w:val="26"/>
        </w:rPr>
        <w:t>, indicó sobre el momento en que surge el derecho a reclamar el reconocimiento y pago de la sanción moratoria, lo siguiente:</w:t>
      </w:r>
    </w:p>
    <w:p w14:paraId="20FF1906" w14:textId="77777777" w:rsidR="000B2BE5" w:rsidRPr="00BC1EDB" w:rsidRDefault="000B2BE5" w:rsidP="000B2BE5">
      <w:pPr>
        <w:spacing w:line="360" w:lineRule="auto"/>
        <w:jc w:val="both"/>
        <w:rPr>
          <w:color w:val="000000" w:themeColor="text1"/>
          <w:sz w:val="26"/>
          <w:szCs w:val="26"/>
        </w:rPr>
      </w:pPr>
    </w:p>
    <w:p w14:paraId="756FC462" w14:textId="359FD7BF" w:rsidR="000B2BE5" w:rsidRPr="00BC1EDB" w:rsidRDefault="000B2BE5" w:rsidP="000B2BE5">
      <w:pPr>
        <w:ind w:left="708"/>
        <w:jc w:val="both"/>
        <w:rPr>
          <w:color w:val="000000" w:themeColor="text1"/>
        </w:rPr>
      </w:pPr>
      <w:r w:rsidRPr="00BC1EDB">
        <w:rPr>
          <w:color w:val="000000" w:themeColor="text1"/>
        </w:rPr>
        <w:t>“(...) Determinar</w:t>
      </w:r>
      <w:r w:rsidR="007C0CE4">
        <w:rPr>
          <w:color w:val="000000" w:themeColor="text1"/>
        </w:rPr>
        <w:t xml:space="preserve"> </w:t>
      </w:r>
      <w:r w:rsidRPr="00BC1EDB">
        <w:rPr>
          <w:color w:val="000000" w:themeColor="text1"/>
        </w:rPr>
        <w:t>una</w:t>
      </w:r>
      <w:r w:rsidR="007C0CE4">
        <w:rPr>
          <w:color w:val="000000" w:themeColor="text1"/>
        </w:rPr>
        <w:t xml:space="preserve"> </w:t>
      </w:r>
      <w:r w:rsidRPr="00BC1EDB">
        <w:rPr>
          <w:color w:val="000000" w:themeColor="text1"/>
        </w:rPr>
        <w:t>fecha</w:t>
      </w:r>
      <w:r w:rsidR="007C0CE4">
        <w:rPr>
          <w:color w:val="000000" w:themeColor="text1"/>
        </w:rPr>
        <w:t xml:space="preserve"> </w:t>
      </w:r>
      <w:r w:rsidRPr="00BC1EDB">
        <w:rPr>
          <w:color w:val="000000" w:themeColor="text1"/>
        </w:rPr>
        <w:t>expresa</w:t>
      </w:r>
      <w:r w:rsidR="007C0CE4">
        <w:rPr>
          <w:color w:val="000000" w:themeColor="text1"/>
        </w:rPr>
        <w:t xml:space="preserve"> </w:t>
      </w:r>
      <w:r w:rsidRPr="00BC1EDB">
        <w:rPr>
          <w:color w:val="000000" w:themeColor="text1"/>
        </w:rPr>
        <w:t>para</w:t>
      </w:r>
      <w:r w:rsidR="007C0CE4">
        <w:rPr>
          <w:color w:val="000000" w:themeColor="text1"/>
        </w:rPr>
        <w:t xml:space="preserve"> </w:t>
      </w:r>
      <w:r w:rsidRPr="00BC1EDB">
        <w:rPr>
          <w:color w:val="000000" w:themeColor="text1"/>
        </w:rPr>
        <w:t>que</w:t>
      </w:r>
      <w:r w:rsidR="007C0CE4">
        <w:rPr>
          <w:color w:val="000000" w:themeColor="text1"/>
        </w:rPr>
        <w:t xml:space="preserve"> </w:t>
      </w:r>
      <w:r w:rsidRPr="00BC1EDB">
        <w:rPr>
          <w:color w:val="000000" w:themeColor="text1"/>
        </w:rPr>
        <w:t>el</w:t>
      </w:r>
      <w:r w:rsidR="007C0CE4">
        <w:rPr>
          <w:color w:val="000000" w:themeColor="text1"/>
        </w:rPr>
        <w:t xml:space="preserve"> </w:t>
      </w:r>
      <w:r w:rsidRPr="00BC1EDB">
        <w:rPr>
          <w:color w:val="000000" w:themeColor="text1"/>
        </w:rPr>
        <w:t>empleador</w:t>
      </w:r>
      <w:r w:rsidR="007C0CE4">
        <w:rPr>
          <w:color w:val="000000" w:themeColor="text1"/>
        </w:rPr>
        <w:t xml:space="preserve"> </w:t>
      </w:r>
      <w:r w:rsidRPr="00BC1EDB">
        <w:rPr>
          <w:color w:val="000000" w:themeColor="text1"/>
        </w:rPr>
        <w:t>realice</w:t>
      </w:r>
      <w:r w:rsidR="007C0CE4">
        <w:rPr>
          <w:color w:val="000000" w:themeColor="text1"/>
        </w:rPr>
        <w:t xml:space="preserve"> </w:t>
      </w:r>
      <w:r w:rsidRPr="00BC1EDB">
        <w:rPr>
          <w:color w:val="000000" w:themeColor="text1"/>
        </w:rPr>
        <w:t>la consignación respectiva y prever, a partir del día siguiente, una sanción por el</w:t>
      </w:r>
      <w:r w:rsidR="007C0CE4">
        <w:rPr>
          <w:color w:val="000000" w:themeColor="text1"/>
        </w:rPr>
        <w:t xml:space="preserve"> </w:t>
      </w:r>
      <w:r w:rsidRPr="00BC1EDB">
        <w:rPr>
          <w:color w:val="000000" w:themeColor="text1"/>
        </w:rPr>
        <w:t>incumplimiento</w:t>
      </w:r>
      <w:r w:rsidR="007C0CE4">
        <w:rPr>
          <w:color w:val="000000" w:themeColor="text1"/>
        </w:rPr>
        <w:t xml:space="preserve"> </w:t>
      </w:r>
      <w:r w:rsidRPr="00BC1EDB">
        <w:rPr>
          <w:color w:val="000000" w:themeColor="text1"/>
        </w:rPr>
        <w:t>en</w:t>
      </w:r>
      <w:r w:rsidR="007C0CE4">
        <w:rPr>
          <w:color w:val="000000" w:themeColor="text1"/>
        </w:rPr>
        <w:t xml:space="preserve"> </w:t>
      </w:r>
      <w:r w:rsidRPr="00BC1EDB">
        <w:rPr>
          <w:color w:val="000000" w:themeColor="text1"/>
        </w:rPr>
        <w:t>esa</w:t>
      </w:r>
      <w:r w:rsidR="007C0CE4">
        <w:rPr>
          <w:color w:val="000000" w:themeColor="text1"/>
        </w:rPr>
        <w:t xml:space="preserve"> </w:t>
      </w:r>
      <w:r w:rsidRPr="00BC1EDB">
        <w:rPr>
          <w:color w:val="000000" w:themeColor="text1"/>
        </w:rPr>
        <w:t>consignación,</w:t>
      </w:r>
      <w:r w:rsidR="007C0CE4">
        <w:rPr>
          <w:color w:val="000000" w:themeColor="text1"/>
        </w:rPr>
        <w:t xml:space="preserve"> </w:t>
      </w:r>
      <w:r w:rsidRPr="00BC1EDB">
        <w:rPr>
          <w:color w:val="000000" w:themeColor="text1"/>
        </w:rPr>
        <w:t>implica</w:t>
      </w:r>
      <w:r w:rsidR="007C0CE4">
        <w:rPr>
          <w:color w:val="000000" w:themeColor="text1"/>
        </w:rPr>
        <w:t xml:space="preserve"> </w:t>
      </w:r>
      <w:r w:rsidRPr="00BC1EDB">
        <w:rPr>
          <w:color w:val="000000" w:themeColor="text1"/>
        </w:rPr>
        <w:t>que</w:t>
      </w:r>
      <w:r w:rsidR="007C0CE4">
        <w:rPr>
          <w:color w:val="000000" w:themeColor="text1"/>
        </w:rPr>
        <w:t xml:space="preserve"> </w:t>
      </w:r>
      <w:r w:rsidRPr="00BC1EDB">
        <w:rPr>
          <w:color w:val="000000" w:themeColor="text1"/>
        </w:rPr>
        <w:t>la</w:t>
      </w:r>
      <w:r w:rsidR="007C0CE4">
        <w:rPr>
          <w:color w:val="000000" w:themeColor="text1"/>
        </w:rPr>
        <w:t xml:space="preserve"> </w:t>
      </w:r>
      <w:r w:rsidRPr="00BC1EDB">
        <w:rPr>
          <w:color w:val="000000" w:themeColor="text1"/>
        </w:rPr>
        <w:t>indemnización moratoria</w:t>
      </w:r>
      <w:r w:rsidR="007C0CE4">
        <w:rPr>
          <w:color w:val="000000" w:themeColor="text1"/>
        </w:rPr>
        <w:t xml:space="preserve"> </w:t>
      </w:r>
      <w:r w:rsidRPr="00BC1EDB">
        <w:rPr>
          <w:color w:val="000000" w:themeColor="text1"/>
        </w:rPr>
        <w:t>que</w:t>
      </w:r>
      <w:r w:rsidR="007C0CE4">
        <w:rPr>
          <w:color w:val="000000" w:themeColor="text1"/>
        </w:rPr>
        <w:t xml:space="preserve"> </w:t>
      </w:r>
      <w:r w:rsidRPr="00BC1EDB">
        <w:rPr>
          <w:color w:val="000000" w:themeColor="text1"/>
        </w:rPr>
        <w:t>surge</w:t>
      </w:r>
      <w:r w:rsidR="007C0CE4">
        <w:rPr>
          <w:color w:val="000000" w:themeColor="text1"/>
        </w:rPr>
        <w:t xml:space="preserve"> </w:t>
      </w:r>
      <w:r w:rsidRPr="00BC1EDB">
        <w:rPr>
          <w:color w:val="000000" w:themeColor="text1"/>
        </w:rPr>
        <w:t>como</w:t>
      </w:r>
      <w:r w:rsidR="007C0CE4">
        <w:rPr>
          <w:color w:val="000000" w:themeColor="text1"/>
        </w:rPr>
        <w:t xml:space="preserve"> </w:t>
      </w:r>
      <w:r w:rsidRPr="00BC1EDB">
        <w:rPr>
          <w:color w:val="000000" w:themeColor="text1"/>
        </w:rPr>
        <w:t>una</w:t>
      </w:r>
      <w:r w:rsidR="007C0CE4">
        <w:rPr>
          <w:color w:val="000000" w:themeColor="text1"/>
        </w:rPr>
        <w:t xml:space="preserve"> </w:t>
      </w:r>
      <w:r w:rsidRPr="00BC1EDB">
        <w:rPr>
          <w:color w:val="000000" w:themeColor="text1"/>
        </w:rPr>
        <w:t>nueva</w:t>
      </w:r>
      <w:r w:rsidR="007C0CE4">
        <w:rPr>
          <w:color w:val="000000" w:themeColor="text1"/>
        </w:rPr>
        <w:t xml:space="preserve"> </w:t>
      </w:r>
      <w:r w:rsidRPr="00BC1EDB">
        <w:rPr>
          <w:color w:val="000000" w:themeColor="text1"/>
        </w:rPr>
        <w:lastRenderedPageBreak/>
        <w:t>obligación</w:t>
      </w:r>
      <w:r w:rsidR="007C0CE4">
        <w:rPr>
          <w:color w:val="000000" w:themeColor="text1"/>
        </w:rPr>
        <w:t xml:space="preserve"> </w:t>
      </w:r>
      <w:r w:rsidRPr="00BC1EDB">
        <w:rPr>
          <w:color w:val="000000" w:themeColor="text1"/>
        </w:rPr>
        <w:t>a cargo</w:t>
      </w:r>
      <w:r w:rsidR="007C0CE4">
        <w:rPr>
          <w:color w:val="000000" w:themeColor="text1"/>
        </w:rPr>
        <w:t xml:space="preserve"> </w:t>
      </w:r>
      <w:r w:rsidRPr="00BC1EDB">
        <w:rPr>
          <w:color w:val="000000" w:themeColor="text1"/>
        </w:rPr>
        <w:t>del</w:t>
      </w:r>
      <w:r w:rsidR="007C0CE4">
        <w:rPr>
          <w:color w:val="000000" w:themeColor="text1"/>
        </w:rPr>
        <w:t xml:space="preserve"> </w:t>
      </w:r>
      <w:r w:rsidRPr="00BC1EDB">
        <w:rPr>
          <w:color w:val="000000" w:themeColor="text1"/>
        </w:rPr>
        <w:t>empleador, empieza</w:t>
      </w:r>
      <w:r w:rsidR="007C0CE4">
        <w:rPr>
          <w:color w:val="000000" w:themeColor="text1"/>
        </w:rPr>
        <w:t xml:space="preserve"> </w:t>
      </w:r>
      <w:r w:rsidRPr="00BC1EDB">
        <w:rPr>
          <w:color w:val="000000" w:themeColor="text1"/>
        </w:rPr>
        <w:t>a</w:t>
      </w:r>
      <w:r w:rsidR="007C0CE4">
        <w:rPr>
          <w:color w:val="000000" w:themeColor="text1"/>
        </w:rPr>
        <w:t xml:space="preserve"> </w:t>
      </w:r>
      <w:r w:rsidRPr="00BC1EDB">
        <w:rPr>
          <w:color w:val="000000" w:themeColor="text1"/>
        </w:rPr>
        <w:t>correr</w:t>
      </w:r>
      <w:r w:rsidR="007C0CE4">
        <w:rPr>
          <w:color w:val="000000" w:themeColor="text1"/>
        </w:rPr>
        <w:t xml:space="preserve"> </w:t>
      </w:r>
      <w:r w:rsidRPr="00BC1EDB">
        <w:rPr>
          <w:color w:val="000000" w:themeColor="text1"/>
        </w:rPr>
        <w:t>desde</w:t>
      </w:r>
      <w:r w:rsidR="007C0CE4">
        <w:rPr>
          <w:color w:val="000000" w:themeColor="text1"/>
        </w:rPr>
        <w:t xml:space="preserve"> </w:t>
      </w:r>
      <w:r w:rsidRPr="00BC1EDB">
        <w:rPr>
          <w:color w:val="000000" w:themeColor="text1"/>
        </w:rPr>
        <w:t>el</w:t>
      </w:r>
      <w:r w:rsidR="007C0CE4">
        <w:rPr>
          <w:color w:val="000000" w:themeColor="text1"/>
        </w:rPr>
        <w:t xml:space="preserve"> </w:t>
      </w:r>
      <w:r w:rsidRPr="00BC1EDB">
        <w:rPr>
          <w:color w:val="000000" w:themeColor="text1"/>
        </w:rPr>
        <w:t>momento</w:t>
      </w:r>
      <w:r w:rsidR="007C0CE4">
        <w:rPr>
          <w:color w:val="000000" w:themeColor="text1"/>
        </w:rPr>
        <w:t xml:space="preserve"> </w:t>
      </w:r>
      <w:r w:rsidRPr="00BC1EDB">
        <w:rPr>
          <w:color w:val="000000" w:themeColor="text1"/>
        </w:rPr>
        <w:t>mismo</w:t>
      </w:r>
      <w:r w:rsidR="007C0CE4">
        <w:rPr>
          <w:color w:val="000000" w:themeColor="text1"/>
        </w:rPr>
        <w:t xml:space="preserve"> </w:t>
      </w:r>
      <w:r w:rsidRPr="00BC1EDB">
        <w:rPr>
          <w:color w:val="000000" w:themeColor="text1"/>
        </w:rPr>
        <w:t>en</w:t>
      </w:r>
      <w:r w:rsidR="007C0CE4">
        <w:rPr>
          <w:color w:val="000000" w:themeColor="text1"/>
        </w:rPr>
        <w:t xml:space="preserve"> </w:t>
      </w:r>
      <w:r w:rsidRPr="00BC1EDB">
        <w:rPr>
          <w:color w:val="000000" w:themeColor="text1"/>
        </w:rPr>
        <w:t>que</w:t>
      </w:r>
      <w:r w:rsidR="007C0CE4">
        <w:rPr>
          <w:color w:val="000000" w:themeColor="text1"/>
        </w:rPr>
        <w:t xml:space="preserve"> </w:t>
      </w:r>
      <w:r w:rsidRPr="00BC1EDB">
        <w:rPr>
          <w:color w:val="000000" w:themeColor="text1"/>
        </w:rPr>
        <w:t>se</w:t>
      </w:r>
      <w:r w:rsidR="007C0CE4">
        <w:rPr>
          <w:color w:val="000000" w:themeColor="text1"/>
        </w:rPr>
        <w:t xml:space="preserve"> </w:t>
      </w:r>
      <w:r w:rsidRPr="00BC1EDB">
        <w:rPr>
          <w:color w:val="000000" w:themeColor="text1"/>
        </w:rPr>
        <w:t>produce</w:t>
      </w:r>
      <w:r w:rsidR="007C0CE4">
        <w:rPr>
          <w:color w:val="000000" w:themeColor="text1"/>
        </w:rPr>
        <w:t xml:space="preserve"> </w:t>
      </w:r>
      <w:r w:rsidRPr="00BC1EDB">
        <w:rPr>
          <w:color w:val="000000" w:themeColor="text1"/>
        </w:rPr>
        <w:t>el incumplimiento.</w:t>
      </w:r>
    </w:p>
    <w:p w14:paraId="5BCDCF32" w14:textId="59FA8E24" w:rsidR="000B2BE5" w:rsidRPr="00BC1EDB" w:rsidRDefault="000B2BE5" w:rsidP="000B2BE5">
      <w:pPr>
        <w:ind w:left="708"/>
        <w:jc w:val="both"/>
        <w:rPr>
          <w:b/>
          <w:bCs/>
          <w:color w:val="000000" w:themeColor="text1"/>
        </w:rPr>
      </w:pPr>
      <w:r w:rsidRPr="00BC1EDB">
        <w:rPr>
          <w:b/>
          <w:bCs/>
          <w:color w:val="000000" w:themeColor="text1"/>
        </w:rPr>
        <w:t>Por</w:t>
      </w:r>
      <w:r w:rsidR="007C0CE4">
        <w:rPr>
          <w:b/>
          <w:bCs/>
          <w:color w:val="000000" w:themeColor="text1"/>
        </w:rPr>
        <w:t xml:space="preserve"> </w:t>
      </w:r>
      <w:r w:rsidRPr="00BC1EDB">
        <w:rPr>
          <w:b/>
          <w:bCs/>
          <w:color w:val="000000" w:themeColor="text1"/>
        </w:rPr>
        <w:t>ende,</w:t>
      </w:r>
      <w:r w:rsidR="007C0CE4">
        <w:rPr>
          <w:b/>
          <w:bCs/>
          <w:color w:val="000000" w:themeColor="text1"/>
        </w:rPr>
        <w:t xml:space="preserve"> </w:t>
      </w:r>
      <w:r w:rsidRPr="00BC1EDB">
        <w:rPr>
          <w:b/>
          <w:bCs/>
          <w:color w:val="000000" w:themeColor="text1"/>
        </w:rPr>
        <w:t>es</w:t>
      </w:r>
      <w:r w:rsidR="007C0CE4">
        <w:rPr>
          <w:b/>
          <w:bCs/>
          <w:color w:val="000000" w:themeColor="text1"/>
        </w:rPr>
        <w:t xml:space="preserve"> </w:t>
      </w:r>
      <w:r w:rsidRPr="00BC1EDB">
        <w:rPr>
          <w:b/>
          <w:bCs/>
          <w:color w:val="000000" w:themeColor="text1"/>
        </w:rPr>
        <w:t>a</w:t>
      </w:r>
      <w:r w:rsidR="007C0CE4">
        <w:rPr>
          <w:b/>
          <w:bCs/>
          <w:color w:val="000000" w:themeColor="text1"/>
        </w:rPr>
        <w:t xml:space="preserve"> </w:t>
      </w:r>
      <w:r w:rsidRPr="00BC1EDB">
        <w:rPr>
          <w:b/>
          <w:bCs/>
          <w:color w:val="000000" w:themeColor="text1"/>
        </w:rPr>
        <w:t>partir</w:t>
      </w:r>
      <w:r w:rsidR="007C0CE4">
        <w:rPr>
          <w:b/>
          <w:bCs/>
          <w:color w:val="000000" w:themeColor="text1"/>
        </w:rPr>
        <w:t xml:space="preserve"> </w:t>
      </w:r>
      <w:r w:rsidRPr="00BC1EDB">
        <w:rPr>
          <w:b/>
          <w:bCs/>
          <w:color w:val="000000" w:themeColor="text1"/>
        </w:rPr>
        <w:t>de</w:t>
      </w:r>
      <w:r w:rsidR="007C0CE4">
        <w:rPr>
          <w:b/>
          <w:bCs/>
          <w:color w:val="000000" w:themeColor="text1"/>
        </w:rPr>
        <w:t xml:space="preserve"> </w:t>
      </w:r>
      <w:r w:rsidRPr="00BC1EDB">
        <w:rPr>
          <w:b/>
          <w:bCs/>
          <w:color w:val="000000" w:themeColor="text1"/>
        </w:rPr>
        <w:t>que</w:t>
      </w:r>
      <w:r w:rsidR="007C0CE4">
        <w:rPr>
          <w:b/>
          <w:bCs/>
          <w:color w:val="000000" w:themeColor="text1"/>
        </w:rPr>
        <w:t xml:space="preserve"> </w:t>
      </w:r>
      <w:r w:rsidRPr="00BC1EDB">
        <w:rPr>
          <w:b/>
          <w:bCs/>
          <w:color w:val="000000" w:themeColor="text1"/>
        </w:rPr>
        <w:t>se</w:t>
      </w:r>
      <w:r w:rsidR="007C0CE4">
        <w:rPr>
          <w:b/>
          <w:bCs/>
          <w:color w:val="000000" w:themeColor="text1"/>
        </w:rPr>
        <w:t xml:space="preserve"> </w:t>
      </w:r>
      <w:r w:rsidRPr="00BC1EDB">
        <w:rPr>
          <w:b/>
          <w:bCs/>
          <w:color w:val="000000" w:themeColor="text1"/>
        </w:rPr>
        <w:t>causa</w:t>
      </w:r>
      <w:r w:rsidR="007C0CE4">
        <w:rPr>
          <w:b/>
          <w:bCs/>
          <w:color w:val="000000" w:themeColor="text1"/>
        </w:rPr>
        <w:t xml:space="preserve"> </w:t>
      </w:r>
      <w:r w:rsidRPr="00BC1EDB">
        <w:rPr>
          <w:b/>
          <w:bCs/>
          <w:color w:val="000000" w:themeColor="text1"/>
        </w:rPr>
        <w:t>la</w:t>
      </w:r>
      <w:r w:rsidR="007C0CE4">
        <w:rPr>
          <w:b/>
          <w:bCs/>
          <w:color w:val="000000" w:themeColor="text1"/>
        </w:rPr>
        <w:t xml:space="preserve"> </w:t>
      </w:r>
      <w:r w:rsidRPr="00BC1EDB">
        <w:rPr>
          <w:b/>
          <w:bCs/>
          <w:color w:val="000000" w:themeColor="text1"/>
        </w:rPr>
        <w:t>obligación –sanción</w:t>
      </w:r>
      <w:r w:rsidR="007C0CE4">
        <w:rPr>
          <w:b/>
          <w:bCs/>
          <w:color w:val="000000" w:themeColor="text1"/>
        </w:rPr>
        <w:t xml:space="preserve"> </w:t>
      </w:r>
      <w:r w:rsidRPr="00BC1EDB">
        <w:rPr>
          <w:b/>
          <w:bCs/>
          <w:color w:val="000000" w:themeColor="text1"/>
        </w:rPr>
        <w:t>moratoria-cuando se hace exigible, por ello, desde allí, nace la posibilidad de reclamar su</w:t>
      </w:r>
      <w:r w:rsidR="007C0CE4">
        <w:rPr>
          <w:b/>
          <w:bCs/>
          <w:color w:val="000000" w:themeColor="text1"/>
        </w:rPr>
        <w:t xml:space="preserve"> </w:t>
      </w:r>
      <w:r w:rsidRPr="00BC1EDB">
        <w:rPr>
          <w:b/>
          <w:bCs/>
          <w:color w:val="000000" w:themeColor="text1"/>
        </w:rPr>
        <w:t>reconocimiento</w:t>
      </w:r>
      <w:r w:rsidR="007C0CE4">
        <w:rPr>
          <w:b/>
          <w:bCs/>
          <w:color w:val="000000" w:themeColor="text1"/>
        </w:rPr>
        <w:t xml:space="preserve"> </w:t>
      </w:r>
      <w:r w:rsidRPr="00BC1EDB">
        <w:rPr>
          <w:b/>
          <w:bCs/>
          <w:color w:val="000000" w:themeColor="text1"/>
        </w:rPr>
        <w:t>ante</w:t>
      </w:r>
      <w:r w:rsidR="007C0CE4">
        <w:rPr>
          <w:b/>
          <w:bCs/>
          <w:color w:val="000000" w:themeColor="text1"/>
        </w:rPr>
        <w:t xml:space="preserve"> </w:t>
      </w:r>
      <w:r w:rsidRPr="00BC1EDB">
        <w:rPr>
          <w:b/>
          <w:bCs/>
          <w:color w:val="000000" w:themeColor="text1"/>
        </w:rPr>
        <w:t>la</w:t>
      </w:r>
      <w:r w:rsidR="007C0CE4">
        <w:rPr>
          <w:b/>
          <w:bCs/>
          <w:color w:val="000000" w:themeColor="text1"/>
        </w:rPr>
        <w:t xml:space="preserve"> </w:t>
      </w:r>
      <w:r w:rsidRPr="00BC1EDB">
        <w:rPr>
          <w:b/>
          <w:bCs/>
          <w:color w:val="000000" w:themeColor="text1"/>
        </w:rPr>
        <w:t>administración,</w:t>
      </w:r>
      <w:r w:rsidR="007C0CE4">
        <w:rPr>
          <w:b/>
          <w:bCs/>
          <w:color w:val="000000" w:themeColor="text1"/>
        </w:rPr>
        <w:t xml:space="preserve"> </w:t>
      </w:r>
      <w:r w:rsidRPr="00BC1EDB">
        <w:rPr>
          <w:b/>
          <w:bCs/>
          <w:color w:val="000000" w:themeColor="text1"/>
        </w:rPr>
        <w:t>pero</w:t>
      </w:r>
      <w:r w:rsidR="007C0CE4">
        <w:rPr>
          <w:b/>
          <w:bCs/>
          <w:color w:val="000000" w:themeColor="text1"/>
        </w:rPr>
        <w:t xml:space="preserve"> </w:t>
      </w:r>
      <w:r w:rsidRPr="00BC1EDB">
        <w:rPr>
          <w:b/>
          <w:bCs/>
          <w:color w:val="000000" w:themeColor="text1"/>
        </w:rPr>
        <w:t>si</w:t>
      </w:r>
      <w:r w:rsidR="007C0CE4">
        <w:rPr>
          <w:b/>
          <w:bCs/>
          <w:color w:val="000000" w:themeColor="text1"/>
        </w:rPr>
        <w:t xml:space="preserve"> </w:t>
      </w:r>
      <w:r w:rsidRPr="00BC1EDB">
        <w:rPr>
          <w:b/>
          <w:bCs/>
          <w:color w:val="000000" w:themeColor="text1"/>
        </w:rPr>
        <w:t>la</w:t>
      </w:r>
      <w:r w:rsidR="007C0CE4">
        <w:rPr>
          <w:b/>
          <w:bCs/>
          <w:color w:val="000000" w:themeColor="text1"/>
        </w:rPr>
        <w:t xml:space="preserve"> </w:t>
      </w:r>
      <w:r w:rsidRPr="00BC1EDB">
        <w:rPr>
          <w:b/>
          <w:bCs/>
          <w:color w:val="000000" w:themeColor="text1"/>
        </w:rPr>
        <w:t>reclamación</w:t>
      </w:r>
      <w:r w:rsidR="007C0CE4">
        <w:rPr>
          <w:b/>
          <w:bCs/>
          <w:color w:val="000000" w:themeColor="text1"/>
        </w:rPr>
        <w:t xml:space="preserve"> </w:t>
      </w:r>
      <w:r w:rsidRPr="00BC1EDB">
        <w:rPr>
          <w:b/>
          <w:bCs/>
          <w:color w:val="000000" w:themeColor="text1"/>
        </w:rPr>
        <w:t>se</w:t>
      </w:r>
      <w:r w:rsidR="007C0CE4">
        <w:rPr>
          <w:b/>
          <w:bCs/>
          <w:color w:val="000000" w:themeColor="text1"/>
        </w:rPr>
        <w:t xml:space="preserve"> </w:t>
      </w:r>
      <w:r w:rsidRPr="00BC1EDB">
        <w:rPr>
          <w:b/>
          <w:bCs/>
          <w:color w:val="000000" w:themeColor="text1"/>
        </w:rPr>
        <w:t>hace cuando</w:t>
      </w:r>
      <w:r w:rsidR="007C0CE4">
        <w:rPr>
          <w:b/>
          <w:bCs/>
          <w:color w:val="000000" w:themeColor="text1"/>
        </w:rPr>
        <w:t xml:space="preserve"> </w:t>
      </w:r>
      <w:r w:rsidRPr="00BC1EDB">
        <w:rPr>
          <w:b/>
          <w:bCs/>
          <w:color w:val="000000" w:themeColor="text1"/>
        </w:rPr>
        <w:t>han</w:t>
      </w:r>
      <w:r w:rsidR="007C0CE4">
        <w:rPr>
          <w:b/>
          <w:bCs/>
          <w:color w:val="000000" w:themeColor="text1"/>
        </w:rPr>
        <w:t xml:space="preserve"> </w:t>
      </w:r>
      <w:r w:rsidRPr="00BC1EDB">
        <w:rPr>
          <w:b/>
          <w:bCs/>
          <w:color w:val="000000" w:themeColor="text1"/>
        </w:rPr>
        <w:t>transcurrido</w:t>
      </w:r>
      <w:r w:rsidR="007C0CE4">
        <w:rPr>
          <w:b/>
          <w:bCs/>
          <w:color w:val="000000" w:themeColor="text1"/>
        </w:rPr>
        <w:t xml:space="preserve"> </w:t>
      </w:r>
      <w:r w:rsidRPr="00BC1EDB">
        <w:rPr>
          <w:b/>
          <w:bCs/>
          <w:color w:val="000000" w:themeColor="text1"/>
        </w:rPr>
        <w:t>más</w:t>
      </w:r>
      <w:r w:rsidR="007C0CE4">
        <w:rPr>
          <w:b/>
          <w:bCs/>
          <w:color w:val="000000" w:themeColor="text1"/>
        </w:rPr>
        <w:t xml:space="preserve"> </w:t>
      </w:r>
      <w:r w:rsidRPr="00BC1EDB">
        <w:rPr>
          <w:b/>
          <w:bCs/>
          <w:color w:val="000000" w:themeColor="text1"/>
        </w:rPr>
        <w:t>de</w:t>
      </w:r>
      <w:r w:rsidR="007C0CE4">
        <w:rPr>
          <w:b/>
          <w:bCs/>
          <w:color w:val="000000" w:themeColor="text1"/>
        </w:rPr>
        <w:t xml:space="preserve"> </w:t>
      </w:r>
      <w:r w:rsidRPr="00BC1EDB">
        <w:rPr>
          <w:b/>
          <w:bCs/>
          <w:color w:val="000000" w:themeColor="text1"/>
        </w:rPr>
        <w:t>3</w:t>
      </w:r>
      <w:r w:rsidR="007C0CE4">
        <w:rPr>
          <w:b/>
          <w:bCs/>
          <w:color w:val="000000" w:themeColor="text1"/>
        </w:rPr>
        <w:t xml:space="preserve"> </w:t>
      </w:r>
      <w:r w:rsidRPr="00BC1EDB">
        <w:rPr>
          <w:b/>
          <w:bCs/>
          <w:color w:val="000000" w:themeColor="text1"/>
        </w:rPr>
        <w:t>años</w:t>
      </w:r>
      <w:r w:rsidR="007C0CE4">
        <w:rPr>
          <w:b/>
          <w:bCs/>
          <w:color w:val="000000" w:themeColor="text1"/>
        </w:rPr>
        <w:t xml:space="preserve"> </w:t>
      </w:r>
      <w:r w:rsidRPr="00BC1EDB">
        <w:rPr>
          <w:b/>
          <w:bCs/>
          <w:color w:val="000000" w:themeColor="text1"/>
        </w:rPr>
        <w:t>desde</w:t>
      </w:r>
      <w:r w:rsidR="007C0CE4">
        <w:rPr>
          <w:b/>
          <w:bCs/>
          <w:color w:val="000000" w:themeColor="text1"/>
        </w:rPr>
        <w:t xml:space="preserve"> </w:t>
      </w:r>
      <w:r w:rsidRPr="00BC1EDB">
        <w:rPr>
          <w:b/>
          <w:bCs/>
          <w:color w:val="000000" w:themeColor="text1"/>
        </w:rPr>
        <w:t>que</w:t>
      </w:r>
      <w:r w:rsidR="007C0CE4">
        <w:rPr>
          <w:b/>
          <w:bCs/>
          <w:color w:val="000000" w:themeColor="text1"/>
        </w:rPr>
        <w:t xml:space="preserve"> </w:t>
      </w:r>
      <w:r w:rsidRPr="00BC1EDB">
        <w:rPr>
          <w:b/>
          <w:bCs/>
          <w:color w:val="000000" w:themeColor="text1"/>
        </w:rPr>
        <w:t>se</w:t>
      </w:r>
      <w:r w:rsidR="007C0CE4">
        <w:rPr>
          <w:b/>
          <w:bCs/>
          <w:color w:val="000000" w:themeColor="text1"/>
        </w:rPr>
        <w:t xml:space="preserve"> </w:t>
      </w:r>
      <w:r w:rsidRPr="00BC1EDB">
        <w:rPr>
          <w:b/>
          <w:bCs/>
          <w:color w:val="000000" w:themeColor="text1"/>
        </w:rPr>
        <w:t>produjo</w:t>
      </w:r>
      <w:r w:rsidR="007C0CE4">
        <w:rPr>
          <w:b/>
          <w:bCs/>
          <w:color w:val="000000" w:themeColor="text1"/>
        </w:rPr>
        <w:t xml:space="preserve"> </w:t>
      </w:r>
      <w:r w:rsidRPr="00BC1EDB">
        <w:rPr>
          <w:b/>
          <w:bCs/>
          <w:color w:val="000000" w:themeColor="text1"/>
        </w:rPr>
        <w:t>el incumplimiento, se configura el fenómeno de prescripción, así sea en forma parcial.</w:t>
      </w:r>
    </w:p>
    <w:p w14:paraId="0192AB14" w14:textId="77777777" w:rsidR="000B2BE5" w:rsidRPr="00BC1EDB" w:rsidRDefault="000B2BE5" w:rsidP="000B2BE5">
      <w:pPr>
        <w:ind w:left="708"/>
        <w:jc w:val="both"/>
        <w:rPr>
          <w:color w:val="000000" w:themeColor="text1"/>
        </w:rPr>
      </w:pPr>
      <w:r w:rsidRPr="00BC1EDB">
        <w:rPr>
          <w:color w:val="000000" w:themeColor="text1"/>
        </w:rPr>
        <w:t>(...)</w:t>
      </w:r>
    </w:p>
    <w:p w14:paraId="72B9BFAE" w14:textId="4CD42449" w:rsidR="000B2BE5" w:rsidRPr="00BC1EDB" w:rsidRDefault="000B2BE5" w:rsidP="000B2BE5">
      <w:pPr>
        <w:ind w:left="708"/>
        <w:jc w:val="both"/>
        <w:rPr>
          <w:color w:val="000000" w:themeColor="text1"/>
        </w:rPr>
      </w:pPr>
      <w:r w:rsidRPr="4ACB0057">
        <w:rPr>
          <w:color w:val="000000" w:themeColor="text1"/>
        </w:rPr>
        <w:t xml:space="preserve"> Corolario de lo expuesto, la Sala unifica el criterio de que la reclamación de la indemnización por la mora en la consignación anualizada de cesantías, </w:t>
      </w:r>
      <w:r w:rsidRPr="4ACB0057">
        <w:rPr>
          <w:b/>
          <w:bCs/>
          <w:color w:val="000000" w:themeColor="text1"/>
          <w:u w:val="single"/>
        </w:rPr>
        <w:t xml:space="preserve">debe realizarse a partir del momento mismo en que se causa la mora, so pena de que se aplique la figura extintiva respecto de las </w:t>
      </w:r>
      <w:r w:rsidR="12778A3D" w:rsidRPr="4ACB0057">
        <w:rPr>
          <w:b/>
          <w:bCs/>
          <w:color w:val="000000" w:themeColor="text1"/>
          <w:u w:val="single"/>
        </w:rPr>
        <w:t>porciones de</w:t>
      </w:r>
      <w:r w:rsidRPr="4ACB0057">
        <w:rPr>
          <w:b/>
          <w:bCs/>
          <w:color w:val="000000" w:themeColor="text1"/>
          <w:u w:val="single"/>
        </w:rPr>
        <w:t xml:space="preserve"> sanción no reclamadas oportunamente</w:t>
      </w:r>
      <w:r w:rsidRPr="4ACB0057">
        <w:rPr>
          <w:color w:val="000000" w:themeColor="text1"/>
        </w:rPr>
        <w:t>(...)”-Destaca la Sala</w:t>
      </w:r>
    </w:p>
    <w:p w14:paraId="5AFB76DD" w14:textId="77777777" w:rsidR="000B2BE5" w:rsidRPr="00BC1EDB" w:rsidRDefault="000B2BE5" w:rsidP="000B2BE5">
      <w:pPr>
        <w:spacing w:line="360" w:lineRule="auto"/>
        <w:jc w:val="both"/>
        <w:rPr>
          <w:color w:val="000000" w:themeColor="text1"/>
          <w:sz w:val="26"/>
          <w:szCs w:val="26"/>
        </w:rPr>
      </w:pPr>
    </w:p>
    <w:p w14:paraId="7C0BDD04" w14:textId="77777777" w:rsidR="000B2BE5" w:rsidRPr="00BC1EDB" w:rsidRDefault="000B2BE5" w:rsidP="000B2BE5">
      <w:pPr>
        <w:spacing w:line="360" w:lineRule="auto"/>
        <w:jc w:val="both"/>
        <w:rPr>
          <w:color w:val="000000" w:themeColor="text1"/>
          <w:sz w:val="26"/>
          <w:szCs w:val="26"/>
        </w:rPr>
      </w:pPr>
      <w:r w:rsidRPr="073719D1">
        <w:rPr>
          <w:color w:val="000000" w:themeColor="text1"/>
          <w:sz w:val="26"/>
          <w:szCs w:val="26"/>
        </w:rPr>
        <w:t>De otra parte, la misma Sección con ponencia de la Consejera Doctora Sandra Lisset Ibarra Vélez, en la sentencia de unificación de 18 de julio de 2018 tantas veces citada, decidió en lo relacionado:</w:t>
      </w:r>
    </w:p>
    <w:p w14:paraId="6E2ACF65" w14:textId="77777777" w:rsidR="000B2BE5" w:rsidRPr="00BC1EDB" w:rsidRDefault="000B2BE5" w:rsidP="000B2BE5">
      <w:pPr>
        <w:spacing w:line="360" w:lineRule="auto"/>
        <w:jc w:val="both"/>
        <w:rPr>
          <w:color w:val="000000" w:themeColor="text1"/>
          <w:sz w:val="26"/>
          <w:szCs w:val="26"/>
        </w:rPr>
      </w:pPr>
    </w:p>
    <w:p w14:paraId="7B635A16" w14:textId="747BA168" w:rsidR="000B2BE5" w:rsidRPr="00BC1EDB" w:rsidRDefault="000B2BE5" w:rsidP="000B2BE5">
      <w:pPr>
        <w:ind w:left="708"/>
        <w:jc w:val="both"/>
        <w:rPr>
          <w:color w:val="000000" w:themeColor="text1"/>
        </w:rPr>
      </w:pPr>
      <w:r w:rsidRPr="00BC1EDB">
        <w:rPr>
          <w:color w:val="000000" w:themeColor="text1"/>
        </w:rPr>
        <w:t>"(...)SEGUNDO: SENTAR JURISPRUDENCIA en la sección segunda del Consejo</w:t>
      </w:r>
      <w:r w:rsidR="007C0CE4">
        <w:rPr>
          <w:color w:val="000000" w:themeColor="text1"/>
        </w:rPr>
        <w:t xml:space="preserve"> </w:t>
      </w:r>
      <w:r w:rsidRPr="00BC1EDB">
        <w:rPr>
          <w:color w:val="000000" w:themeColor="text1"/>
        </w:rPr>
        <w:t>de</w:t>
      </w:r>
      <w:r w:rsidR="007C0CE4">
        <w:rPr>
          <w:color w:val="000000" w:themeColor="text1"/>
        </w:rPr>
        <w:t xml:space="preserve"> </w:t>
      </w:r>
      <w:r w:rsidRPr="00BC1EDB">
        <w:rPr>
          <w:color w:val="000000" w:themeColor="text1"/>
        </w:rPr>
        <w:t>Estado</w:t>
      </w:r>
      <w:r w:rsidR="007C0CE4">
        <w:rPr>
          <w:color w:val="000000" w:themeColor="text1"/>
        </w:rPr>
        <w:t xml:space="preserve"> </w:t>
      </w:r>
      <w:r w:rsidRPr="00BC1EDB">
        <w:rPr>
          <w:color w:val="000000" w:themeColor="text1"/>
        </w:rPr>
        <w:t>para</w:t>
      </w:r>
      <w:r w:rsidR="007C0CE4">
        <w:rPr>
          <w:color w:val="000000" w:themeColor="text1"/>
        </w:rPr>
        <w:t xml:space="preserve"> </w:t>
      </w:r>
      <w:r w:rsidRPr="00BC1EDB">
        <w:rPr>
          <w:color w:val="000000" w:themeColor="text1"/>
        </w:rPr>
        <w:t>señalar</w:t>
      </w:r>
      <w:r w:rsidR="007C0CE4">
        <w:rPr>
          <w:color w:val="000000" w:themeColor="text1"/>
        </w:rPr>
        <w:t xml:space="preserve"> </w:t>
      </w:r>
      <w:r w:rsidRPr="00BC1EDB">
        <w:rPr>
          <w:color w:val="000000" w:themeColor="text1"/>
        </w:rPr>
        <w:t>en</w:t>
      </w:r>
      <w:r w:rsidR="007C0CE4">
        <w:rPr>
          <w:color w:val="000000" w:themeColor="text1"/>
        </w:rPr>
        <w:t xml:space="preserve"> </w:t>
      </w:r>
      <w:r w:rsidRPr="00BC1EDB">
        <w:rPr>
          <w:color w:val="000000" w:themeColor="text1"/>
        </w:rPr>
        <w:t>cuanto</w:t>
      </w:r>
      <w:r w:rsidR="007C0CE4">
        <w:rPr>
          <w:color w:val="000000" w:themeColor="text1"/>
        </w:rPr>
        <w:t xml:space="preserve"> </w:t>
      </w:r>
      <w:r w:rsidRPr="00BC1EDB">
        <w:rPr>
          <w:color w:val="000000" w:themeColor="text1"/>
        </w:rPr>
        <w:t>a</w:t>
      </w:r>
      <w:r w:rsidR="007C0CE4">
        <w:rPr>
          <w:color w:val="000000" w:themeColor="text1"/>
        </w:rPr>
        <w:t xml:space="preserve"> </w:t>
      </w:r>
      <w:r w:rsidRPr="00BC1EDB">
        <w:rPr>
          <w:color w:val="000000" w:themeColor="text1"/>
        </w:rPr>
        <w:t>la</w:t>
      </w:r>
      <w:r w:rsidR="007C0CE4">
        <w:rPr>
          <w:color w:val="000000" w:themeColor="text1"/>
        </w:rPr>
        <w:t xml:space="preserve"> </w:t>
      </w:r>
      <w:r w:rsidRPr="00BC1EDB">
        <w:rPr>
          <w:color w:val="000000" w:themeColor="text1"/>
        </w:rPr>
        <w:t>exigibilidad</w:t>
      </w:r>
      <w:r w:rsidR="007C0CE4">
        <w:rPr>
          <w:color w:val="000000" w:themeColor="text1"/>
        </w:rPr>
        <w:t xml:space="preserve"> </w:t>
      </w:r>
      <w:r w:rsidRPr="00BC1EDB">
        <w:rPr>
          <w:color w:val="000000" w:themeColor="text1"/>
        </w:rPr>
        <w:t>de</w:t>
      </w:r>
      <w:r w:rsidR="007C0CE4">
        <w:rPr>
          <w:color w:val="000000" w:themeColor="text1"/>
        </w:rPr>
        <w:t xml:space="preserve"> </w:t>
      </w:r>
      <w:r w:rsidRPr="00BC1EDB">
        <w:rPr>
          <w:color w:val="000000" w:themeColor="text1"/>
        </w:rPr>
        <w:t>la</w:t>
      </w:r>
      <w:r w:rsidR="007C0CE4">
        <w:rPr>
          <w:color w:val="000000" w:themeColor="text1"/>
        </w:rPr>
        <w:t xml:space="preserve"> </w:t>
      </w:r>
      <w:r w:rsidRPr="00BC1EDB">
        <w:rPr>
          <w:color w:val="000000" w:themeColor="text1"/>
        </w:rPr>
        <w:t>sanción moratoria por el pago tardío de las cesantías, las siguientes reglas:</w:t>
      </w:r>
    </w:p>
    <w:p w14:paraId="2D83FCB3" w14:textId="77777777" w:rsidR="000B2BE5" w:rsidRPr="00BC1EDB" w:rsidRDefault="000B2BE5" w:rsidP="000B2BE5">
      <w:pPr>
        <w:jc w:val="both"/>
        <w:rPr>
          <w:color w:val="000000" w:themeColor="text1"/>
        </w:rPr>
      </w:pPr>
    </w:p>
    <w:p w14:paraId="3B82187F" w14:textId="2FAD732D" w:rsidR="000B2BE5" w:rsidRPr="00BC1EDB" w:rsidRDefault="000B2BE5" w:rsidP="000B2BE5">
      <w:pPr>
        <w:ind w:left="708"/>
        <w:jc w:val="both"/>
        <w:rPr>
          <w:color w:val="000000" w:themeColor="text1"/>
        </w:rPr>
      </w:pPr>
      <w:r w:rsidRPr="00BC1EDB">
        <w:rPr>
          <w:color w:val="000000" w:themeColor="text1"/>
        </w:rPr>
        <w:t>i) En el evento en que el acto que reconoce las cesantías definitivas y parciales se</w:t>
      </w:r>
      <w:r w:rsidR="007C0CE4">
        <w:rPr>
          <w:color w:val="000000" w:themeColor="text1"/>
        </w:rPr>
        <w:t xml:space="preserve"> </w:t>
      </w:r>
      <w:r w:rsidRPr="00BC1EDB">
        <w:rPr>
          <w:color w:val="000000" w:themeColor="text1"/>
        </w:rPr>
        <w:t>expida</w:t>
      </w:r>
      <w:r w:rsidR="007C0CE4">
        <w:rPr>
          <w:color w:val="000000" w:themeColor="text1"/>
        </w:rPr>
        <w:t xml:space="preserve"> </w:t>
      </w:r>
      <w:r w:rsidRPr="00BC1EDB">
        <w:rPr>
          <w:color w:val="000000" w:themeColor="text1"/>
        </w:rPr>
        <w:t>por</w:t>
      </w:r>
      <w:r w:rsidR="007C0CE4">
        <w:rPr>
          <w:color w:val="000000" w:themeColor="text1"/>
        </w:rPr>
        <w:t xml:space="preserve"> </w:t>
      </w:r>
      <w:r w:rsidRPr="00BC1EDB">
        <w:rPr>
          <w:color w:val="000000" w:themeColor="text1"/>
        </w:rPr>
        <w:t>fuera</w:t>
      </w:r>
      <w:r w:rsidR="007C0CE4">
        <w:rPr>
          <w:color w:val="000000" w:themeColor="text1"/>
        </w:rPr>
        <w:t xml:space="preserve"> </w:t>
      </w:r>
      <w:r w:rsidRPr="00BC1EDB">
        <w:rPr>
          <w:color w:val="000000" w:themeColor="text1"/>
        </w:rPr>
        <w:t>del</w:t>
      </w:r>
      <w:r w:rsidR="007C0CE4">
        <w:rPr>
          <w:color w:val="000000" w:themeColor="text1"/>
        </w:rPr>
        <w:t xml:space="preserve"> </w:t>
      </w:r>
      <w:r w:rsidRPr="00BC1EDB">
        <w:rPr>
          <w:color w:val="000000" w:themeColor="text1"/>
        </w:rPr>
        <w:t>término</w:t>
      </w:r>
      <w:r w:rsidR="007C0CE4">
        <w:rPr>
          <w:color w:val="000000" w:themeColor="text1"/>
        </w:rPr>
        <w:t xml:space="preserve"> </w:t>
      </w:r>
      <w:r w:rsidRPr="00BC1EDB">
        <w:rPr>
          <w:color w:val="000000" w:themeColor="text1"/>
        </w:rPr>
        <w:t>de</w:t>
      </w:r>
      <w:r w:rsidR="007C0CE4">
        <w:rPr>
          <w:color w:val="000000" w:themeColor="text1"/>
        </w:rPr>
        <w:t xml:space="preserve"> </w:t>
      </w:r>
      <w:r w:rsidRPr="00BC1EDB">
        <w:rPr>
          <w:color w:val="000000" w:themeColor="text1"/>
        </w:rPr>
        <w:t>ley,</w:t>
      </w:r>
      <w:r w:rsidR="007C0CE4">
        <w:rPr>
          <w:color w:val="000000" w:themeColor="text1"/>
        </w:rPr>
        <w:t xml:space="preserve"> </w:t>
      </w:r>
      <w:r w:rsidRPr="00BC1EDB">
        <w:rPr>
          <w:color w:val="000000" w:themeColor="text1"/>
        </w:rPr>
        <w:t>o</w:t>
      </w:r>
      <w:r w:rsidR="007C0CE4">
        <w:rPr>
          <w:color w:val="000000" w:themeColor="text1"/>
        </w:rPr>
        <w:t xml:space="preserve"> </w:t>
      </w:r>
      <w:r w:rsidRPr="00BC1EDB">
        <w:rPr>
          <w:color w:val="000000" w:themeColor="text1"/>
        </w:rPr>
        <w:t>cuando</w:t>
      </w:r>
      <w:r w:rsidR="007C0CE4">
        <w:rPr>
          <w:color w:val="000000" w:themeColor="text1"/>
        </w:rPr>
        <w:t xml:space="preserve"> </w:t>
      </w:r>
      <w:r w:rsidRPr="00BC1EDB">
        <w:rPr>
          <w:color w:val="000000" w:themeColor="text1"/>
        </w:rPr>
        <w:t>no se</w:t>
      </w:r>
      <w:r w:rsidR="007C0CE4">
        <w:rPr>
          <w:color w:val="000000" w:themeColor="text1"/>
        </w:rPr>
        <w:t xml:space="preserve"> </w:t>
      </w:r>
      <w:r w:rsidRPr="00BC1EDB">
        <w:rPr>
          <w:color w:val="000000" w:themeColor="text1"/>
        </w:rPr>
        <w:t>profiere;</w:t>
      </w:r>
      <w:r w:rsidR="007C0CE4">
        <w:rPr>
          <w:color w:val="000000" w:themeColor="text1"/>
        </w:rPr>
        <w:t xml:space="preserve"> </w:t>
      </w:r>
      <w:r w:rsidRPr="00BC1EDB">
        <w:rPr>
          <w:color w:val="000000" w:themeColor="text1"/>
        </w:rPr>
        <w:t>la</w:t>
      </w:r>
      <w:r w:rsidR="007C0CE4">
        <w:rPr>
          <w:color w:val="000000" w:themeColor="text1"/>
        </w:rPr>
        <w:t xml:space="preserve"> </w:t>
      </w:r>
      <w:r w:rsidRPr="00BC1EDB">
        <w:rPr>
          <w:color w:val="000000" w:themeColor="text1"/>
        </w:rPr>
        <w:t>sanción moratoria</w:t>
      </w:r>
      <w:r w:rsidR="007C0CE4">
        <w:rPr>
          <w:color w:val="000000" w:themeColor="text1"/>
        </w:rPr>
        <w:t xml:space="preserve"> </w:t>
      </w:r>
      <w:r w:rsidRPr="00BC1EDB">
        <w:rPr>
          <w:color w:val="000000" w:themeColor="text1"/>
        </w:rPr>
        <w:t>corre</w:t>
      </w:r>
      <w:r w:rsidR="007C0CE4">
        <w:rPr>
          <w:color w:val="000000" w:themeColor="text1"/>
        </w:rPr>
        <w:t xml:space="preserve"> </w:t>
      </w:r>
      <w:r w:rsidRPr="00BC1EDB">
        <w:rPr>
          <w:color w:val="000000" w:themeColor="text1"/>
          <w:u w:val="single"/>
        </w:rPr>
        <w:t>70</w:t>
      </w:r>
      <w:r w:rsidR="007C0CE4">
        <w:rPr>
          <w:color w:val="000000" w:themeColor="text1"/>
          <w:u w:val="single"/>
        </w:rPr>
        <w:t xml:space="preserve"> </w:t>
      </w:r>
      <w:r w:rsidRPr="00BC1EDB">
        <w:rPr>
          <w:color w:val="000000" w:themeColor="text1"/>
          <w:u w:val="single"/>
        </w:rPr>
        <w:t>días</w:t>
      </w:r>
      <w:r w:rsidR="007C0CE4">
        <w:rPr>
          <w:color w:val="000000" w:themeColor="text1"/>
          <w:u w:val="single"/>
        </w:rPr>
        <w:t xml:space="preserve"> </w:t>
      </w:r>
      <w:r w:rsidRPr="00BC1EDB">
        <w:rPr>
          <w:color w:val="000000" w:themeColor="text1"/>
          <w:u w:val="single"/>
        </w:rPr>
        <w:t>hábiles después</w:t>
      </w:r>
      <w:r w:rsidR="007C0CE4">
        <w:rPr>
          <w:color w:val="000000" w:themeColor="text1"/>
          <w:u w:val="single"/>
        </w:rPr>
        <w:t xml:space="preserve"> </w:t>
      </w:r>
      <w:r w:rsidRPr="00BC1EDB">
        <w:rPr>
          <w:color w:val="000000" w:themeColor="text1"/>
          <w:u w:val="single"/>
        </w:rPr>
        <w:t>de</w:t>
      </w:r>
      <w:r w:rsidR="007C0CE4">
        <w:rPr>
          <w:color w:val="000000" w:themeColor="text1"/>
          <w:u w:val="single"/>
        </w:rPr>
        <w:t xml:space="preserve"> </w:t>
      </w:r>
      <w:r w:rsidRPr="00BC1EDB">
        <w:rPr>
          <w:color w:val="000000" w:themeColor="text1"/>
          <w:u w:val="single"/>
        </w:rPr>
        <w:t>radicada</w:t>
      </w:r>
      <w:r w:rsidR="007C0CE4">
        <w:rPr>
          <w:color w:val="000000" w:themeColor="text1"/>
          <w:u w:val="single"/>
        </w:rPr>
        <w:t xml:space="preserve"> </w:t>
      </w:r>
      <w:r w:rsidRPr="00BC1EDB">
        <w:rPr>
          <w:color w:val="000000" w:themeColor="text1"/>
          <w:u w:val="single"/>
        </w:rPr>
        <w:t>la</w:t>
      </w:r>
      <w:r w:rsidR="007C0CE4">
        <w:rPr>
          <w:color w:val="000000" w:themeColor="text1"/>
          <w:u w:val="single"/>
        </w:rPr>
        <w:t xml:space="preserve"> </w:t>
      </w:r>
      <w:r w:rsidRPr="00BC1EDB">
        <w:rPr>
          <w:color w:val="000000" w:themeColor="text1"/>
          <w:u w:val="single"/>
        </w:rPr>
        <w:t>solicitud</w:t>
      </w:r>
      <w:r w:rsidR="007C0CE4">
        <w:rPr>
          <w:color w:val="000000" w:themeColor="text1"/>
          <w:u w:val="single"/>
        </w:rPr>
        <w:t xml:space="preserve"> </w:t>
      </w:r>
      <w:r w:rsidRPr="00BC1EDB">
        <w:rPr>
          <w:color w:val="000000" w:themeColor="text1"/>
          <w:u w:val="single"/>
        </w:rPr>
        <w:t>de reconocimiento,</w:t>
      </w:r>
      <w:r w:rsidR="007C0CE4">
        <w:rPr>
          <w:color w:val="000000" w:themeColor="text1"/>
        </w:rPr>
        <w:t xml:space="preserve"> </w:t>
      </w:r>
      <w:r w:rsidRPr="00BC1EDB">
        <w:rPr>
          <w:color w:val="000000" w:themeColor="text1"/>
        </w:rPr>
        <w:t>término</w:t>
      </w:r>
      <w:r w:rsidR="007C0CE4">
        <w:rPr>
          <w:color w:val="000000" w:themeColor="text1"/>
        </w:rPr>
        <w:t xml:space="preserve"> </w:t>
      </w:r>
      <w:r w:rsidRPr="00BC1EDB">
        <w:rPr>
          <w:color w:val="000000" w:themeColor="text1"/>
        </w:rPr>
        <w:t>que</w:t>
      </w:r>
      <w:r w:rsidR="007C0CE4">
        <w:rPr>
          <w:color w:val="000000" w:themeColor="text1"/>
        </w:rPr>
        <w:t xml:space="preserve"> </w:t>
      </w:r>
      <w:r w:rsidRPr="00BC1EDB">
        <w:rPr>
          <w:color w:val="000000" w:themeColor="text1"/>
        </w:rPr>
        <w:t>corresponde</w:t>
      </w:r>
      <w:r w:rsidR="007C0CE4">
        <w:rPr>
          <w:color w:val="000000" w:themeColor="text1"/>
        </w:rPr>
        <w:t xml:space="preserve"> </w:t>
      </w:r>
      <w:r w:rsidRPr="00BC1EDB">
        <w:rPr>
          <w:color w:val="000000" w:themeColor="text1"/>
        </w:rPr>
        <w:t>a:</w:t>
      </w:r>
      <w:r w:rsidR="007C0CE4">
        <w:rPr>
          <w:color w:val="000000" w:themeColor="text1"/>
        </w:rPr>
        <w:t xml:space="preserve"> </w:t>
      </w:r>
      <w:r w:rsidRPr="00BC1EDB">
        <w:rPr>
          <w:color w:val="000000" w:themeColor="text1"/>
        </w:rPr>
        <w:t>15</w:t>
      </w:r>
      <w:r w:rsidR="007C0CE4">
        <w:rPr>
          <w:color w:val="000000" w:themeColor="text1"/>
        </w:rPr>
        <w:t xml:space="preserve"> </w:t>
      </w:r>
      <w:r w:rsidRPr="00BC1EDB">
        <w:rPr>
          <w:color w:val="000000" w:themeColor="text1"/>
        </w:rPr>
        <w:t>días</w:t>
      </w:r>
      <w:r w:rsidR="007C0CE4">
        <w:rPr>
          <w:color w:val="000000" w:themeColor="text1"/>
        </w:rPr>
        <w:t xml:space="preserve"> </w:t>
      </w:r>
      <w:r w:rsidRPr="00BC1EDB">
        <w:rPr>
          <w:color w:val="000000" w:themeColor="text1"/>
        </w:rPr>
        <w:t>para</w:t>
      </w:r>
      <w:r w:rsidR="007C0CE4">
        <w:rPr>
          <w:color w:val="000000" w:themeColor="text1"/>
        </w:rPr>
        <w:t xml:space="preserve"> </w:t>
      </w:r>
      <w:r w:rsidRPr="00BC1EDB">
        <w:rPr>
          <w:color w:val="000000" w:themeColor="text1"/>
        </w:rPr>
        <w:t>expedir</w:t>
      </w:r>
      <w:r w:rsidR="007C0CE4">
        <w:rPr>
          <w:color w:val="000000" w:themeColor="text1"/>
        </w:rPr>
        <w:t xml:space="preserve"> </w:t>
      </w:r>
      <w:r w:rsidRPr="00BC1EDB">
        <w:rPr>
          <w:color w:val="000000" w:themeColor="text1"/>
        </w:rPr>
        <w:t>la resolución; ii) 10 días</w:t>
      </w:r>
      <w:r w:rsidR="007C0CE4">
        <w:rPr>
          <w:color w:val="000000" w:themeColor="text1"/>
        </w:rPr>
        <w:t xml:space="preserve"> </w:t>
      </w:r>
      <w:r w:rsidRPr="00BC1EDB">
        <w:rPr>
          <w:color w:val="000000" w:themeColor="text1"/>
        </w:rPr>
        <w:t>de</w:t>
      </w:r>
      <w:r w:rsidR="007C0CE4">
        <w:rPr>
          <w:color w:val="000000" w:themeColor="text1"/>
        </w:rPr>
        <w:t xml:space="preserve"> </w:t>
      </w:r>
      <w:r w:rsidRPr="00BC1EDB">
        <w:rPr>
          <w:color w:val="000000" w:themeColor="text1"/>
        </w:rPr>
        <w:t>ejecutoria del acto; y iii) 45 días</w:t>
      </w:r>
      <w:r w:rsidR="007C0CE4">
        <w:rPr>
          <w:color w:val="000000" w:themeColor="text1"/>
        </w:rPr>
        <w:t xml:space="preserve"> </w:t>
      </w:r>
      <w:r w:rsidRPr="00BC1EDB">
        <w:rPr>
          <w:color w:val="000000" w:themeColor="text1"/>
        </w:rPr>
        <w:t>para efectuar</w:t>
      </w:r>
      <w:r w:rsidR="007C0CE4">
        <w:rPr>
          <w:color w:val="000000" w:themeColor="text1"/>
        </w:rPr>
        <w:t xml:space="preserve"> </w:t>
      </w:r>
      <w:r w:rsidRPr="00BC1EDB">
        <w:rPr>
          <w:color w:val="000000" w:themeColor="text1"/>
        </w:rPr>
        <w:t>el pago (...)" -Subrayado fuera de texto-.</w:t>
      </w:r>
    </w:p>
    <w:p w14:paraId="08F2A631" w14:textId="77777777" w:rsidR="000B2BE5" w:rsidRPr="00BC1EDB" w:rsidRDefault="000B2BE5" w:rsidP="000B2BE5">
      <w:pPr>
        <w:spacing w:line="360" w:lineRule="auto"/>
        <w:jc w:val="both"/>
        <w:rPr>
          <w:b/>
          <w:bCs/>
          <w:color w:val="000000" w:themeColor="text1"/>
          <w:sz w:val="26"/>
          <w:szCs w:val="26"/>
        </w:rPr>
      </w:pPr>
    </w:p>
    <w:p w14:paraId="5FDE6869" w14:textId="77777777" w:rsidR="000B2BE5" w:rsidRDefault="000B2BE5" w:rsidP="000B2BE5">
      <w:pPr>
        <w:spacing w:line="390" w:lineRule="exact"/>
        <w:jc w:val="both"/>
      </w:pPr>
      <w:r w:rsidRPr="00BC1EDB">
        <w:rPr>
          <w:color w:val="000000" w:themeColor="text1"/>
          <w:sz w:val="26"/>
          <w:szCs w:val="26"/>
        </w:rPr>
        <w:t>Finalmente, la Sección Segunda, Subsección "B" en auto del 26 de noviembre 2018, C.P. Doctor Carmelo Perdomo Cuéter, en el proceso 08001-23-33-000-2014-01606-01, precisó:</w:t>
      </w:r>
    </w:p>
    <w:p w14:paraId="72587057" w14:textId="77777777" w:rsidR="000B2BE5" w:rsidRDefault="000B2BE5" w:rsidP="000B2BE5">
      <w:pPr>
        <w:spacing w:line="390" w:lineRule="exact"/>
        <w:jc w:val="both"/>
      </w:pPr>
      <w:r w:rsidRPr="5E34F485">
        <w:rPr>
          <w:color w:val="000000" w:themeColor="text1"/>
          <w:sz w:val="26"/>
          <w:szCs w:val="26"/>
        </w:rPr>
        <w:t xml:space="preserve"> </w:t>
      </w:r>
    </w:p>
    <w:p w14:paraId="45DA9E89" w14:textId="52E61C28" w:rsidR="000B2BE5" w:rsidRDefault="000B2BE5" w:rsidP="00BC1EDB">
      <w:pPr>
        <w:ind w:left="708"/>
        <w:jc w:val="both"/>
        <w:rPr>
          <w:color w:val="000000" w:themeColor="text1"/>
          <w:sz w:val="26"/>
          <w:szCs w:val="26"/>
        </w:rPr>
      </w:pPr>
      <w:r w:rsidRPr="74112AB1">
        <w:rPr>
          <w:color w:val="000000" w:themeColor="text1"/>
        </w:rPr>
        <w:t>“(...)De</w:t>
      </w:r>
      <w:r w:rsidR="007C0CE4">
        <w:rPr>
          <w:color w:val="000000" w:themeColor="text1"/>
        </w:rPr>
        <w:t xml:space="preserve"> </w:t>
      </w:r>
      <w:r w:rsidRPr="74112AB1">
        <w:rPr>
          <w:color w:val="000000" w:themeColor="text1"/>
        </w:rPr>
        <w:t>lo anterior</w:t>
      </w:r>
      <w:r w:rsidR="007C0CE4">
        <w:rPr>
          <w:color w:val="000000" w:themeColor="text1"/>
        </w:rPr>
        <w:t xml:space="preserve"> </w:t>
      </w:r>
      <w:r w:rsidRPr="74112AB1">
        <w:rPr>
          <w:color w:val="000000" w:themeColor="text1"/>
        </w:rPr>
        <w:t>se colige</w:t>
      </w:r>
      <w:r w:rsidR="007C0CE4">
        <w:rPr>
          <w:color w:val="000000" w:themeColor="text1"/>
        </w:rPr>
        <w:t xml:space="preserve"> </w:t>
      </w:r>
      <w:r w:rsidRPr="74112AB1">
        <w:rPr>
          <w:color w:val="000000" w:themeColor="text1"/>
        </w:rPr>
        <w:t>que</w:t>
      </w:r>
      <w:r w:rsidR="007C0CE4">
        <w:rPr>
          <w:color w:val="000000" w:themeColor="text1"/>
        </w:rPr>
        <w:t xml:space="preserve"> </w:t>
      </w:r>
      <w:r w:rsidRPr="74112AB1">
        <w:rPr>
          <w:color w:val="000000" w:themeColor="text1"/>
        </w:rPr>
        <w:t>la</w:t>
      </w:r>
      <w:r w:rsidR="007C0CE4">
        <w:rPr>
          <w:color w:val="000000" w:themeColor="text1"/>
        </w:rPr>
        <w:t xml:space="preserve"> </w:t>
      </w:r>
      <w:r w:rsidRPr="74112AB1">
        <w:rPr>
          <w:color w:val="000000" w:themeColor="text1"/>
        </w:rPr>
        <w:t>sanción</w:t>
      </w:r>
      <w:r w:rsidR="007C0CE4">
        <w:rPr>
          <w:color w:val="000000" w:themeColor="text1"/>
        </w:rPr>
        <w:t xml:space="preserve"> </w:t>
      </w:r>
      <w:r w:rsidRPr="74112AB1">
        <w:rPr>
          <w:color w:val="000000" w:themeColor="text1"/>
        </w:rPr>
        <w:t>moratoria se constituye</w:t>
      </w:r>
      <w:r w:rsidR="007C0CE4">
        <w:rPr>
          <w:color w:val="000000" w:themeColor="text1"/>
        </w:rPr>
        <w:t xml:space="preserve"> </w:t>
      </w:r>
      <w:r w:rsidRPr="74112AB1">
        <w:rPr>
          <w:color w:val="000000" w:themeColor="text1"/>
        </w:rPr>
        <w:t>en</w:t>
      </w:r>
      <w:r w:rsidR="007C0CE4">
        <w:rPr>
          <w:color w:val="000000" w:themeColor="text1"/>
        </w:rPr>
        <w:t xml:space="preserve"> </w:t>
      </w:r>
      <w:r w:rsidRPr="74112AB1">
        <w:rPr>
          <w:color w:val="000000" w:themeColor="text1"/>
        </w:rPr>
        <w:t>un derecho</w:t>
      </w:r>
      <w:r w:rsidR="007C0CE4">
        <w:rPr>
          <w:color w:val="000000" w:themeColor="text1"/>
        </w:rPr>
        <w:t xml:space="preserve"> </w:t>
      </w:r>
      <w:r w:rsidRPr="74112AB1">
        <w:rPr>
          <w:color w:val="000000" w:themeColor="text1"/>
        </w:rPr>
        <w:t>autónomo,</w:t>
      </w:r>
      <w:r w:rsidR="007C0CE4">
        <w:rPr>
          <w:color w:val="000000" w:themeColor="text1"/>
        </w:rPr>
        <w:t xml:space="preserve"> </w:t>
      </w:r>
      <w:r w:rsidRPr="74112AB1">
        <w:rPr>
          <w:color w:val="000000" w:themeColor="text1"/>
        </w:rPr>
        <w:t>de</w:t>
      </w:r>
      <w:r w:rsidR="007C0CE4">
        <w:rPr>
          <w:color w:val="000000" w:themeColor="text1"/>
        </w:rPr>
        <w:t xml:space="preserve"> </w:t>
      </w:r>
      <w:r w:rsidRPr="74112AB1">
        <w:rPr>
          <w:color w:val="000000" w:themeColor="text1"/>
        </w:rPr>
        <w:t>cuya</w:t>
      </w:r>
      <w:r w:rsidR="007C0CE4">
        <w:rPr>
          <w:color w:val="000000" w:themeColor="text1"/>
        </w:rPr>
        <w:t xml:space="preserve"> </w:t>
      </w:r>
      <w:r w:rsidRPr="74112AB1">
        <w:rPr>
          <w:color w:val="000000" w:themeColor="text1"/>
        </w:rPr>
        <w:t>naturaleza</w:t>
      </w:r>
      <w:r w:rsidR="007C0CE4">
        <w:rPr>
          <w:color w:val="000000" w:themeColor="text1"/>
        </w:rPr>
        <w:t xml:space="preserve"> </w:t>
      </w:r>
      <w:r w:rsidRPr="74112AB1">
        <w:rPr>
          <w:color w:val="000000" w:themeColor="text1"/>
        </w:rPr>
        <w:t>claramente</w:t>
      </w:r>
      <w:r w:rsidR="007C0CE4">
        <w:rPr>
          <w:color w:val="000000" w:themeColor="text1"/>
        </w:rPr>
        <w:t xml:space="preserve"> </w:t>
      </w:r>
      <w:r w:rsidRPr="74112AB1">
        <w:rPr>
          <w:color w:val="000000" w:themeColor="text1"/>
        </w:rPr>
        <w:t>se</w:t>
      </w:r>
      <w:r w:rsidR="007C0CE4">
        <w:rPr>
          <w:color w:val="000000" w:themeColor="text1"/>
        </w:rPr>
        <w:t xml:space="preserve"> </w:t>
      </w:r>
      <w:r w:rsidRPr="74112AB1">
        <w:rPr>
          <w:color w:val="000000" w:themeColor="text1"/>
        </w:rPr>
        <w:t>evidencia</w:t>
      </w:r>
      <w:r w:rsidR="007C0CE4">
        <w:rPr>
          <w:color w:val="000000" w:themeColor="text1"/>
        </w:rPr>
        <w:t xml:space="preserve"> </w:t>
      </w:r>
      <w:r w:rsidRPr="74112AB1">
        <w:rPr>
          <w:color w:val="000000" w:themeColor="text1"/>
        </w:rPr>
        <w:t>que es</w:t>
      </w:r>
      <w:r w:rsidR="007C0CE4">
        <w:rPr>
          <w:color w:val="000000" w:themeColor="text1"/>
        </w:rPr>
        <w:t xml:space="preserve"> </w:t>
      </w:r>
      <w:r w:rsidRPr="74112AB1">
        <w:rPr>
          <w:color w:val="000000" w:themeColor="text1"/>
        </w:rPr>
        <w:t>una prestación de carácter periódico, ya que se causa por cada día de retardo en el pago de las cesantías definitivas hasta cuando se efectúe la cancelación de estas, por lo que solo se perderá</w:t>
      </w:r>
      <w:r w:rsidR="007C0CE4">
        <w:rPr>
          <w:color w:val="000000" w:themeColor="text1"/>
        </w:rPr>
        <w:t xml:space="preserve"> </w:t>
      </w:r>
      <w:r w:rsidRPr="74112AB1">
        <w:rPr>
          <w:color w:val="000000" w:themeColor="text1"/>
        </w:rPr>
        <w:t>el derecho a obtenerla cuando una vez sufragado el aludido auxilio, transcurran más de 3 años sin reclamarla.</w:t>
      </w:r>
    </w:p>
    <w:p w14:paraId="176BE676" w14:textId="77777777" w:rsidR="00BC1EDB" w:rsidRDefault="00BC1EDB" w:rsidP="00BC1EDB">
      <w:pPr>
        <w:ind w:firstLine="708"/>
        <w:jc w:val="both"/>
        <w:rPr>
          <w:color w:val="000000" w:themeColor="text1"/>
        </w:rPr>
      </w:pPr>
    </w:p>
    <w:p w14:paraId="6F00BB05" w14:textId="60228333" w:rsidR="000B2BE5" w:rsidRPr="00C62188" w:rsidRDefault="000B2BE5" w:rsidP="00BC1EDB">
      <w:pPr>
        <w:ind w:left="708"/>
        <w:jc w:val="both"/>
      </w:pPr>
      <w:r w:rsidRPr="5E34F485">
        <w:rPr>
          <w:color w:val="000000" w:themeColor="text1"/>
        </w:rPr>
        <w:t>Por lo tanto, carece de asidero jurídico el criterio del a quo al determinar que la</w:t>
      </w:r>
      <w:r w:rsidR="00BC1EDB">
        <w:rPr>
          <w:color w:val="000000" w:themeColor="text1"/>
        </w:rPr>
        <w:t xml:space="preserve"> </w:t>
      </w:r>
      <w:r w:rsidRPr="5E34F485">
        <w:rPr>
          <w:color w:val="000000" w:themeColor="text1"/>
        </w:rPr>
        <w:t>sanción</w:t>
      </w:r>
      <w:r w:rsidR="007C0CE4">
        <w:rPr>
          <w:color w:val="000000" w:themeColor="text1"/>
        </w:rPr>
        <w:t xml:space="preserve"> </w:t>
      </w:r>
      <w:r w:rsidRPr="5E34F485">
        <w:rPr>
          <w:color w:val="000000" w:themeColor="text1"/>
        </w:rPr>
        <w:t>prescribió</w:t>
      </w:r>
      <w:r w:rsidR="007C0CE4">
        <w:rPr>
          <w:color w:val="000000" w:themeColor="text1"/>
        </w:rPr>
        <w:t xml:space="preserve"> </w:t>
      </w:r>
      <w:r w:rsidRPr="5E34F485">
        <w:rPr>
          <w:color w:val="000000" w:themeColor="text1"/>
        </w:rPr>
        <w:t>al</w:t>
      </w:r>
      <w:r w:rsidR="007C0CE4">
        <w:rPr>
          <w:color w:val="000000" w:themeColor="text1"/>
        </w:rPr>
        <w:t xml:space="preserve"> </w:t>
      </w:r>
      <w:r w:rsidRPr="5E34F485">
        <w:rPr>
          <w:color w:val="000000" w:themeColor="text1"/>
        </w:rPr>
        <w:t>no</w:t>
      </w:r>
      <w:r w:rsidR="007C0CE4">
        <w:rPr>
          <w:color w:val="000000" w:themeColor="text1"/>
        </w:rPr>
        <w:t xml:space="preserve"> </w:t>
      </w:r>
      <w:r w:rsidRPr="5E34F485">
        <w:rPr>
          <w:color w:val="000000" w:themeColor="text1"/>
        </w:rPr>
        <w:t>deprecarse</w:t>
      </w:r>
      <w:r w:rsidR="007C0CE4">
        <w:rPr>
          <w:color w:val="000000" w:themeColor="text1"/>
        </w:rPr>
        <w:t xml:space="preserve"> </w:t>
      </w:r>
      <w:r w:rsidRPr="5E34F485">
        <w:rPr>
          <w:color w:val="000000" w:themeColor="text1"/>
        </w:rPr>
        <w:t>dentro</w:t>
      </w:r>
      <w:r w:rsidR="007C0CE4">
        <w:rPr>
          <w:color w:val="000000" w:themeColor="text1"/>
        </w:rPr>
        <w:t xml:space="preserve"> </w:t>
      </w:r>
      <w:r w:rsidRPr="5E34F485">
        <w:rPr>
          <w:color w:val="000000" w:themeColor="text1"/>
        </w:rPr>
        <w:t>de</w:t>
      </w:r>
      <w:r w:rsidR="007C0CE4">
        <w:rPr>
          <w:color w:val="000000" w:themeColor="text1"/>
        </w:rPr>
        <w:t xml:space="preserve"> </w:t>
      </w:r>
      <w:r w:rsidRPr="5E34F485">
        <w:rPr>
          <w:color w:val="000000" w:themeColor="text1"/>
        </w:rPr>
        <w:t>los</w:t>
      </w:r>
      <w:r w:rsidR="007C0CE4">
        <w:rPr>
          <w:color w:val="000000" w:themeColor="text1"/>
        </w:rPr>
        <w:t xml:space="preserve"> </w:t>
      </w:r>
      <w:r w:rsidRPr="5E34F485">
        <w:rPr>
          <w:color w:val="000000" w:themeColor="text1"/>
        </w:rPr>
        <w:t>3</w:t>
      </w:r>
      <w:r w:rsidR="007C0CE4">
        <w:rPr>
          <w:color w:val="000000" w:themeColor="text1"/>
        </w:rPr>
        <w:t xml:space="preserve"> </w:t>
      </w:r>
      <w:r w:rsidRPr="5E34F485">
        <w:rPr>
          <w:color w:val="000000" w:themeColor="text1"/>
        </w:rPr>
        <w:t>años</w:t>
      </w:r>
      <w:r w:rsidR="007C0CE4">
        <w:rPr>
          <w:color w:val="000000" w:themeColor="text1"/>
        </w:rPr>
        <w:t xml:space="preserve"> </w:t>
      </w:r>
      <w:r w:rsidRPr="5E34F485">
        <w:rPr>
          <w:color w:val="000000" w:themeColor="text1"/>
        </w:rPr>
        <w:t>siguientes</w:t>
      </w:r>
      <w:r w:rsidR="007C0CE4">
        <w:rPr>
          <w:color w:val="000000" w:themeColor="text1"/>
        </w:rPr>
        <w:t xml:space="preserve"> </w:t>
      </w:r>
      <w:r w:rsidRPr="5E34F485">
        <w:rPr>
          <w:color w:val="000000" w:themeColor="text1"/>
        </w:rPr>
        <w:t xml:space="preserve">al vencimiento del plazo de la cancelación de las cesantías definitivas, pues, se insiste, lo determinante </w:t>
      </w:r>
      <w:r w:rsidRPr="00C62188">
        <w:rPr>
          <w:color w:val="000000" w:themeColor="text1"/>
        </w:rPr>
        <w:t>en el caso de la sanción moratoria</w:t>
      </w:r>
      <w:r w:rsidR="00BC1EDB" w:rsidRPr="00C62188">
        <w:rPr>
          <w:color w:val="000000" w:themeColor="text1"/>
        </w:rPr>
        <w:t xml:space="preserve"> </w:t>
      </w:r>
      <w:r w:rsidRPr="00C62188">
        <w:rPr>
          <w:color w:val="000000" w:themeColor="text1"/>
        </w:rPr>
        <w:t>es el pago efectivo de aquellas; aceptar tal posición sería como limitar dicha sanción a tres años en eventos en los que sean pagadas las cesantías mucho tiempo después.</w:t>
      </w:r>
    </w:p>
    <w:p w14:paraId="0A139313" w14:textId="77777777" w:rsidR="000B2BE5" w:rsidRPr="00C62188" w:rsidRDefault="000B2BE5" w:rsidP="00BC1EDB">
      <w:pPr>
        <w:ind w:firstLine="708"/>
        <w:jc w:val="both"/>
        <w:rPr>
          <w:color w:val="000000" w:themeColor="text1"/>
        </w:rPr>
      </w:pPr>
    </w:p>
    <w:p w14:paraId="2BFDF4E1" w14:textId="54047782" w:rsidR="000B2BE5" w:rsidRPr="00C62188" w:rsidRDefault="000B2BE5" w:rsidP="00C62188">
      <w:pPr>
        <w:ind w:left="708"/>
        <w:jc w:val="both"/>
        <w:rPr>
          <w:color w:val="000000" w:themeColor="text1"/>
        </w:rPr>
      </w:pPr>
      <w:r w:rsidRPr="00C62188">
        <w:rPr>
          <w:color w:val="000000" w:themeColor="text1"/>
        </w:rPr>
        <w:t>En casos como el presente, habrá de estudiarse la existencia del retardo en el pago</w:t>
      </w:r>
      <w:r w:rsidR="00C62188" w:rsidRPr="00C62188">
        <w:rPr>
          <w:color w:val="000000" w:themeColor="text1"/>
        </w:rPr>
        <w:t xml:space="preserve"> </w:t>
      </w:r>
      <w:r w:rsidRPr="00C62188">
        <w:rPr>
          <w:color w:val="000000" w:themeColor="text1"/>
        </w:rPr>
        <w:t xml:space="preserve">de las cesantías definitivas y luego determinar qué porciones diarias de sanción no </w:t>
      </w:r>
      <w:r w:rsidRPr="00C62188">
        <w:rPr>
          <w:color w:val="000000" w:themeColor="text1"/>
        </w:rPr>
        <w:lastRenderedPageBreak/>
        <w:t>prescribieron,</w:t>
      </w:r>
      <w:r w:rsidR="007C0CE4">
        <w:rPr>
          <w:color w:val="000000" w:themeColor="text1"/>
        </w:rPr>
        <w:t xml:space="preserve"> </w:t>
      </w:r>
      <w:r w:rsidRPr="00C62188">
        <w:rPr>
          <w:color w:val="000000" w:themeColor="text1"/>
        </w:rPr>
        <w:t>dentro</w:t>
      </w:r>
      <w:r w:rsidR="007C0CE4">
        <w:rPr>
          <w:color w:val="000000" w:themeColor="text1"/>
        </w:rPr>
        <w:t xml:space="preserve"> </w:t>
      </w:r>
      <w:r w:rsidRPr="00C62188">
        <w:rPr>
          <w:color w:val="000000" w:themeColor="text1"/>
        </w:rPr>
        <w:t>del término</w:t>
      </w:r>
      <w:r w:rsidR="007C0CE4">
        <w:rPr>
          <w:color w:val="000000" w:themeColor="text1"/>
        </w:rPr>
        <w:t xml:space="preserve"> </w:t>
      </w:r>
      <w:r w:rsidRPr="00C62188">
        <w:rPr>
          <w:color w:val="000000" w:themeColor="text1"/>
        </w:rPr>
        <w:t>de</w:t>
      </w:r>
      <w:r w:rsidR="007C0CE4">
        <w:rPr>
          <w:color w:val="000000" w:themeColor="text1"/>
        </w:rPr>
        <w:t xml:space="preserve"> </w:t>
      </w:r>
      <w:r w:rsidRPr="00C62188">
        <w:rPr>
          <w:color w:val="000000" w:themeColor="text1"/>
        </w:rPr>
        <w:t>los</w:t>
      </w:r>
      <w:r w:rsidR="007C0CE4">
        <w:rPr>
          <w:color w:val="000000" w:themeColor="text1"/>
        </w:rPr>
        <w:t xml:space="preserve"> </w:t>
      </w:r>
      <w:r w:rsidRPr="00C62188">
        <w:rPr>
          <w:color w:val="000000" w:themeColor="text1"/>
        </w:rPr>
        <w:t>3</w:t>
      </w:r>
      <w:r w:rsidR="007C0CE4">
        <w:rPr>
          <w:color w:val="000000" w:themeColor="text1"/>
        </w:rPr>
        <w:t xml:space="preserve"> </w:t>
      </w:r>
      <w:r w:rsidRPr="00C62188">
        <w:rPr>
          <w:color w:val="000000" w:themeColor="text1"/>
        </w:rPr>
        <w:t>años</w:t>
      </w:r>
      <w:r w:rsidR="007C0CE4">
        <w:rPr>
          <w:color w:val="000000" w:themeColor="text1"/>
        </w:rPr>
        <w:t xml:space="preserve"> </w:t>
      </w:r>
      <w:r w:rsidRPr="00C62188">
        <w:rPr>
          <w:color w:val="000000" w:themeColor="text1"/>
        </w:rPr>
        <w:t>anteriores</w:t>
      </w:r>
      <w:r w:rsidR="007C0CE4">
        <w:rPr>
          <w:color w:val="000000" w:themeColor="text1"/>
        </w:rPr>
        <w:t xml:space="preserve"> </w:t>
      </w:r>
      <w:r w:rsidRPr="00C62188">
        <w:rPr>
          <w:color w:val="000000" w:themeColor="text1"/>
        </w:rPr>
        <w:t>a</w:t>
      </w:r>
      <w:r w:rsidR="007C0CE4">
        <w:rPr>
          <w:color w:val="000000" w:themeColor="text1"/>
        </w:rPr>
        <w:t xml:space="preserve"> </w:t>
      </w:r>
      <w:r w:rsidRPr="00C62188">
        <w:rPr>
          <w:color w:val="000000" w:themeColor="text1"/>
        </w:rPr>
        <w:t>la formulación</w:t>
      </w:r>
      <w:r w:rsidR="007C0CE4">
        <w:rPr>
          <w:color w:val="000000" w:themeColor="text1"/>
        </w:rPr>
        <w:t xml:space="preserve"> </w:t>
      </w:r>
      <w:r w:rsidRPr="00C62188">
        <w:rPr>
          <w:color w:val="000000" w:themeColor="text1"/>
        </w:rPr>
        <w:t>de</w:t>
      </w:r>
      <w:r w:rsidR="007C0CE4">
        <w:rPr>
          <w:color w:val="000000" w:themeColor="text1"/>
        </w:rPr>
        <w:t xml:space="preserve"> </w:t>
      </w:r>
      <w:r w:rsidRPr="00C62188">
        <w:rPr>
          <w:color w:val="000000" w:themeColor="text1"/>
        </w:rPr>
        <w:t>la</w:t>
      </w:r>
      <w:r w:rsidR="007C0CE4">
        <w:rPr>
          <w:color w:val="000000" w:themeColor="text1"/>
        </w:rPr>
        <w:t xml:space="preserve"> </w:t>
      </w:r>
      <w:r w:rsidRPr="00C62188">
        <w:rPr>
          <w:color w:val="000000" w:themeColor="text1"/>
        </w:rPr>
        <w:t>correspondiente</w:t>
      </w:r>
      <w:r w:rsidR="007C0CE4">
        <w:rPr>
          <w:color w:val="000000" w:themeColor="text1"/>
        </w:rPr>
        <w:t xml:space="preserve"> </w:t>
      </w:r>
      <w:r w:rsidRPr="00C62188">
        <w:rPr>
          <w:color w:val="000000" w:themeColor="text1"/>
        </w:rPr>
        <w:t>petición(...)".</w:t>
      </w:r>
      <w:r w:rsidR="007C0CE4">
        <w:rPr>
          <w:color w:val="000000" w:themeColor="text1"/>
        </w:rPr>
        <w:t xml:space="preserve"> </w:t>
      </w:r>
      <w:r w:rsidRPr="00C62188">
        <w:rPr>
          <w:color w:val="000000" w:themeColor="text1"/>
        </w:rPr>
        <w:t>(Resaltado</w:t>
      </w:r>
      <w:r w:rsidR="007C0CE4">
        <w:rPr>
          <w:color w:val="000000" w:themeColor="text1"/>
        </w:rPr>
        <w:t xml:space="preserve"> </w:t>
      </w:r>
      <w:r w:rsidRPr="00C62188">
        <w:rPr>
          <w:color w:val="000000" w:themeColor="text1"/>
        </w:rPr>
        <w:t>fuera</w:t>
      </w:r>
      <w:r w:rsidR="007C0CE4">
        <w:rPr>
          <w:color w:val="000000" w:themeColor="text1"/>
        </w:rPr>
        <w:t xml:space="preserve"> </w:t>
      </w:r>
      <w:r w:rsidRPr="00C62188">
        <w:rPr>
          <w:color w:val="000000" w:themeColor="text1"/>
        </w:rPr>
        <w:t>del original).</w:t>
      </w:r>
    </w:p>
    <w:p w14:paraId="74C686D8" w14:textId="275B84B1" w:rsidR="000B2BE5" w:rsidRPr="00C62188" w:rsidRDefault="000B2BE5" w:rsidP="000B2BE5">
      <w:pPr>
        <w:jc w:val="both"/>
        <w:rPr>
          <w:color w:val="000000" w:themeColor="text1"/>
          <w:sz w:val="26"/>
          <w:szCs w:val="26"/>
        </w:rPr>
      </w:pPr>
    </w:p>
    <w:p w14:paraId="5FC9C32E" w14:textId="0A36D7F9" w:rsidR="00D915E9" w:rsidRPr="00830031" w:rsidRDefault="000B2BE5" w:rsidP="00D915E9">
      <w:pPr>
        <w:spacing w:line="390" w:lineRule="exact"/>
        <w:jc w:val="both"/>
        <w:rPr>
          <w:b/>
          <w:bCs/>
          <w:color w:val="000000" w:themeColor="text1"/>
          <w:sz w:val="26"/>
          <w:szCs w:val="26"/>
          <w:u w:val="single"/>
        </w:rPr>
      </w:pPr>
      <w:r w:rsidRPr="00830031">
        <w:rPr>
          <w:color w:val="000000" w:themeColor="text1"/>
          <w:sz w:val="26"/>
          <w:szCs w:val="26"/>
        </w:rPr>
        <w:t>Como se indicó anteriormente, en el caso bajo estudio, la sanción moratoria se</w:t>
      </w:r>
      <w:r w:rsidR="007C0CE4" w:rsidRPr="00830031">
        <w:rPr>
          <w:color w:val="000000" w:themeColor="text1"/>
          <w:sz w:val="26"/>
          <w:szCs w:val="26"/>
        </w:rPr>
        <w:t xml:space="preserve"> </w:t>
      </w:r>
      <w:r w:rsidRPr="00830031">
        <w:rPr>
          <w:color w:val="000000" w:themeColor="text1"/>
          <w:sz w:val="26"/>
          <w:szCs w:val="26"/>
        </w:rPr>
        <w:t>causó</w:t>
      </w:r>
      <w:r w:rsidR="007C0CE4" w:rsidRPr="00830031">
        <w:rPr>
          <w:color w:val="000000" w:themeColor="text1"/>
          <w:sz w:val="26"/>
          <w:szCs w:val="26"/>
        </w:rPr>
        <w:t xml:space="preserve"> </w:t>
      </w:r>
      <w:r w:rsidRPr="00830031">
        <w:rPr>
          <w:color w:val="000000" w:themeColor="text1"/>
          <w:sz w:val="26"/>
          <w:szCs w:val="26"/>
        </w:rPr>
        <w:t xml:space="preserve">periódicamente desde el </w:t>
      </w:r>
      <w:r w:rsidR="00D915E9" w:rsidRPr="00830031">
        <w:rPr>
          <w:b/>
          <w:bCs/>
          <w:color w:val="000000" w:themeColor="text1"/>
          <w:sz w:val="26"/>
          <w:szCs w:val="26"/>
          <w:u w:val="single"/>
        </w:rPr>
        <w:t>29 de julio hasta el 30 de noviembre de 2015.</w:t>
      </w:r>
    </w:p>
    <w:p w14:paraId="28657FC1" w14:textId="77777777" w:rsidR="000B2BE5" w:rsidRPr="00830031" w:rsidRDefault="000B2BE5" w:rsidP="000B2BE5">
      <w:pPr>
        <w:spacing w:line="360" w:lineRule="auto"/>
        <w:jc w:val="both"/>
        <w:rPr>
          <w:color w:val="000000" w:themeColor="text1"/>
          <w:sz w:val="26"/>
          <w:szCs w:val="26"/>
        </w:rPr>
      </w:pPr>
    </w:p>
    <w:p w14:paraId="58E2DF96" w14:textId="69EA0658" w:rsidR="000B2BE5" w:rsidRPr="00830031" w:rsidRDefault="000B2BE5" w:rsidP="000B2BE5">
      <w:pPr>
        <w:spacing w:line="360" w:lineRule="auto"/>
        <w:jc w:val="both"/>
        <w:rPr>
          <w:color w:val="000000" w:themeColor="text1"/>
          <w:sz w:val="26"/>
          <w:szCs w:val="26"/>
        </w:rPr>
      </w:pPr>
      <w:r w:rsidRPr="00830031">
        <w:rPr>
          <w:color w:val="000000" w:themeColor="text1"/>
          <w:sz w:val="26"/>
          <w:szCs w:val="26"/>
        </w:rPr>
        <w:t xml:space="preserve">Por su parte, la petición de pago de la sanción fue presentada el </w:t>
      </w:r>
      <w:r w:rsidR="00D915E9" w:rsidRPr="00830031">
        <w:rPr>
          <w:b/>
          <w:bCs/>
          <w:color w:val="000000" w:themeColor="text1"/>
          <w:sz w:val="26"/>
          <w:szCs w:val="26"/>
          <w:u w:val="single"/>
        </w:rPr>
        <w:t>31 de julio de 2018</w:t>
      </w:r>
      <w:r w:rsidRPr="00830031">
        <w:rPr>
          <w:color w:val="000000" w:themeColor="text1"/>
          <w:sz w:val="26"/>
          <w:szCs w:val="26"/>
        </w:rPr>
        <w:t xml:space="preserve">, lo que indica conforme a la jurisprudencia acogida los días en mora causados con anterioridad al </w:t>
      </w:r>
      <w:r w:rsidR="00D915E9" w:rsidRPr="00830031">
        <w:rPr>
          <w:b/>
          <w:bCs/>
          <w:color w:val="000000" w:themeColor="text1"/>
          <w:sz w:val="26"/>
          <w:szCs w:val="26"/>
          <w:u w:val="single"/>
        </w:rPr>
        <w:t>1 de agosto de 2015</w:t>
      </w:r>
      <w:r w:rsidRPr="00830031">
        <w:rPr>
          <w:color w:val="000000" w:themeColor="text1"/>
          <w:sz w:val="26"/>
          <w:szCs w:val="26"/>
        </w:rPr>
        <w:t xml:space="preserve"> están prescritos. En otras palabras, </w:t>
      </w:r>
      <w:r w:rsidRPr="00830031">
        <w:rPr>
          <w:b/>
          <w:bCs/>
          <w:color w:val="000000" w:themeColor="text1"/>
          <w:sz w:val="26"/>
          <w:szCs w:val="26"/>
        </w:rPr>
        <w:t>los días</w:t>
      </w:r>
      <w:r w:rsidR="00D915E9" w:rsidRPr="00830031">
        <w:rPr>
          <w:b/>
          <w:bCs/>
          <w:color w:val="000000" w:themeColor="text1"/>
          <w:sz w:val="26"/>
          <w:szCs w:val="26"/>
        </w:rPr>
        <w:t xml:space="preserve"> 29, 30</w:t>
      </w:r>
      <w:r w:rsidR="00763677" w:rsidRPr="00830031">
        <w:rPr>
          <w:b/>
          <w:bCs/>
          <w:color w:val="000000" w:themeColor="text1"/>
          <w:sz w:val="26"/>
          <w:szCs w:val="26"/>
        </w:rPr>
        <w:t xml:space="preserve"> y</w:t>
      </w:r>
      <w:r w:rsidR="00D915E9" w:rsidRPr="00830031">
        <w:rPr>
          <w:b/>
          <w:bCs/>
          <w:color w:val="000000" w:themeColor="text1"/>
          <w:sz w:val="26"/>
          <w:szCs w:val="26"/>
        </w:rPr>
        <w:t xml:space="preserve">31 de </w:t>
      </w:r>
      <w:r w:rsidR="00763677" w:rsidRPr="00830031">
        <w:rPr>
          <w:b/>
          <w:bCs/>
          <w:color w:val="000000" w:themeColor="text1"/>
          <w:sz w:val="26"/>
          <w:szCs w:val="26"/>
        </w:rPr>
        <w:t xml:space="preserve">julio de 2015 </w:t>
      </w:r>
      <w:r w:rsidRPr="00830031">
        <w:rPr>
          <w:color w:val="000000" w:themeColor="text1"/>
          <w:sz w:val="26"/>
          <w:szCs w:val="26"/>
        </w:rPr>
        <w:t>se encuentran prescritos.</w:t>
      </w:r>
    </w:p>
    <w:p w14:paraId="12A85A7B" w14:textId="77777777" w:rsidR="000B2BE5" w:rsidRPr="00830031" w:rsidRDefault="000B2BE5" w:rsidP="000B2BE5">
      <w:pPr>
        <w:spacing w:line="360" w:lineRule="auto"/>
        <w:jc w:val="both"/>
        <w:rPr>
          <w:color w:val="000000" w:themeColor="text1"/>
          <w:sz w:val="26"/>
          <w:szCs w:val="26"/>
        </w:rPr>
      </w:pPr>
    </w:p>
    <w:p w14:paraId="5FA3E41E" w14:textId="41965E3F" w:rsidR="000B2BE5" w:rsidRPr="00830031" w:rsidRDefault="000B2BE5" w:rsidP="4ACB0057">
      <w:pPr>
        <w:spacing w:line="360" w:lineRule="auto"/>
        <w:jc w:val="both"/>
        <w:rPr>
          <w:color w:val="000000" w:themeColor="text1"/>
          <w:sz w:val="26"/>
          <w:szCs w:val="26"/>
        </w:rPr>
      </w:pPr>
      <w:r w:rsidRPr="00830031">
        <w:rPr>
          <w:color w:val="000000" w:themeColor="text1"/>
          <w:sz w:val="26"/>
          <w:szCs w:val="26"/>
        </w:rPr>
        <w:t xml:space="preserve">A manera de ejemplo, la mora causada el </w:t>
      </w:r>
      <w:r w:rsidR="00D915E9" w:rsidRPr="00830031">
        <w:rPr>
          <w:color w:val="000000" w:themeColor="text1"/>
          <w:sz w:val="26"/>
          <w:szCs w:val="26"/>
        </w:rPr>
        <w:t>29 de julio de 2015</w:t>
      </w:r>
      <w:r w:rsidRPr="00830031">
        <w:rPr>
          <w:color w:val="000000" w:themeColor="text1"/>
          <w:sz w:val="26"/>
          <w:szCs w:val="26"/>
        </w:rPr>
        <w:t xml:space="preserve"> podía reclamarse hasta el </w:t>
      </w:r>
      <w:r w:rsidR="00D915E9" w:rsidRPr="00830031">
        <w:rPr>
          <w:color w:val="000000" w:themeColor="text1"/>
          <w:sz w:val="26"/>
          <w:szCs w:val="26"/>
        </w:rPr>
        <w:t>28 de julio de 2018</w:t>
      </w:r>
      <w:r w:rsidRPr="00830031">
        <w:rPr>
          <w:color w:val="000000" w:themeColor="text1"/>
          <w:sz w:val="26"/>
          <w:szCs w:val="26"/>
        </w:rPr>
        <w:t xml:space="preserve">, la causada el </w:t>
      </w:r>
      <w:r w:rsidR="00D915E9" w:rsidRPr="00830031">
        <w:rPr>
          <w:color w:val="000000" w:themeColor="text1"/>
          <w:sz w:val="26"/>
          <w:szCs w:val="26"/>
        </w:rPr>
        <w:t>30 de julio de 2015</w:t>
      </w:r>
      <w:r w:rsidRPr="00830031">
        <w:rPr>
          <w:color w:val="000000" w:themeColor="text1"/>
          <w:sz w:val="26"/>
          <w:szCs w:val="26"/>
        </w:rPr>
        <w:t xml:space="preserve"> hasta el </w:t>
      </w:r>
      <w:r w:rsidR="00D915E9" w:rsidRPr="00830031">
        <w:rPr>
          <w:color w:val="000000" w:themeColor="text1"/>
          <w:sz w:val="26"/>
          <w:szCs w:val="26"/>
        </w:rPr>
        <w:t>29 de julio de 2018</w:t>
      </w:r>
      <w:r w:rsidRPr="00830031">
        <w:rPr>
          <w:color w:val="000000" w:themeColor="text1"/>
          <w:sz w:val="26"/>
          <w:szCs w:val="26"/>
        </w:rPr>
        <w:t>, ello para aclarar el concepto periódico diario de causación de la sanción moratoria.</w:t>
      </w:r>
    </w:p>
    <w:p w14:paraId="2D733F05" w14:textId="77777777" w:rsidR="000B2BE5" w:rsidRPr="00830031" w:rsidRDefault="000B2BE5" w:rsidP="4ACB0057">
      <w:pPr>
        <w:spacing w:line="360" w:lineRule="auto"/>
        <w:jc w:val="both"/>
        <w:rPr>
          <w:color w:val="000000" w:themeColor="text1"/>
          <w:sz w:val="26"/>
          <w:szCs w:val="26"/>
        </w:rPr>
      </w:pPr>
    </w:p>
    <w:p w14:paraId="1D0CFFE9" w14:textId="7B5A0072" w:rsidR="00763677" w:rsidRPr="004E65B1" w:rsidRDefault="000B2BE5" w:rsidP="4ACB0057">
      <w:pPr>
        <w:spacing w:line="360" w:lineRule="auto"/>
        <w:jc w:val="both"/>
        <w:rPr>
          <w:color w:val="000000" w:themeColor="text1"/>
          <w:sz w:val="26"/>
          <w:szCs w:val="26"/>
        </w:rPr>
      </w:pPr>
      <w:r w:rsidRPr="00830031">
        <w:rPr>
          <w:color w:val="000000" w:themeColor="text1"/>
          <w:sz w:val="26"/>
          <w:szCs w:val="26"/>
        </w:rPr>
        <w:t xml:space="preserve">Conforme a lo anterior, </w:t>
      </w:r>
      <w:r w:rsidR="00763677" w:rsidRPr="00830031">
        <w:rPr>
          <w:color w:val="000000" w:themeColor="text1"/>
          <w:sz w:val="26"/>
          <w:szCs w:val="26"/>
        </w:rPr>
        <w:t>la decisión proferida en primera instancia debe ser revocada para en su lugar acceder a las pretensiones de la demanda, decretando la prescripción de los días 29 a 31 de julio de 2015.</w:t>
      </w:r>
    </w:p>
    <w:p w14:paraId="46D01CE2" w14:textId="2DB5622E" w:rsidR="00711277" w:rsidRDefault="00711277" w:rsidP="000B2BE5">
      <w:pPr>
        <w:spacing w:line="360" w:lineRule="auto"/>
        <w:jc w:val="both"/>
        <w:rPr>
          <w:b/>
          <w:bCs/>
          <w:color w:val="000000" w:themeColor="text1"/>
          <w:sz w:val="26"/>
          <w:szCs w:val="26"/>
        </w:rPr>
      </w:pPr>
    </w:p>
    <w:p w14:paraId="22843EC7" w14:textId="460FE503" w:rsidR="00711277" w:rsidRDefault="00711277" w:rsidP="000B2BE5">
      <w:pPr>
        <w:spacing w:line="360" w:lineRule="auto"/>
        <w:jc w:val="both"/>
        <w:rPr>
          <w:b/>
          <w:bCs/>
          <w:color w:val="000000" w:themeColor="text1"/>
          <w:sz w:val="26"/>
          <w:szCs w:val="26"/>
        </w:rPr>
      </w:pPr>
      <w:r>
        <w:rPr>
          <w:b/>
          <w:bCs/>
          <w:color w:val="000000" w:themeColor="text1"/>
          <w:sz w:val="26"/>
          <w:szCs w:val="26"/>
        </w:rPr>
        <w:t>8.4 De la indexación de la condena</w:t>
      </w:r>
    </w:p>
    <w:p w14:paraId="697F9E59" w14:textId="77777777" w:rsidR="007C0CE4" w:rsidRDefault="007C0CE4" w:rsidP="007C0CE4">
      <w:pPr>
        <w:spacing w:line="360" w:lineRule="auto"/>
        <w:rPr>
          <w:b/>
          <w:bCs/>
          <w:color w:val="000000" w:themeColor="text1"/>
          <w:sz w:val="26"/>
          <w:szCs w:val="26"/>
          <w:lang w:eastAsia="en-US"/>
        </w:rPr>
      </w:pPr>
    </w:p>
    <w:p w14:paraId="5FEA9C50" w14:textId="486C9D49" w:rsidR="007C0CE4" w:rsidRPr="00FE39FB" w:rsidRDefault="007C0CE4" w:rsidP="007C0CE4">
      <w:pPr>
        <w:spacing w:line="360" w:lineRule="auto"/>
        <w:jc w:val="both"/>
        <w:rPr>
          <w:color w:val="000000" w:themeColor="text1"/>
          <w:sz w:val="26"/>
          <w:szCs w:val="26"/>
          <w:lang w:val="es-ES" w:eastAsia="en-US"/>
        </w:rPr>
      </w:pPr>
      <w:r w:rsidRPr="7B28F198">
        <w:rPr>
          <w:color w:val="000000" w:themeColor="text1"/>
          <w:sz w:val="26"/>
          <w:szCs w:val="26"/>
          <w:lang w:eastAsia="en-US"/>
        </w:rPr>
        <w:t>En</w:t>
      </w:r>
      <w:r w:rsidRPr="7B28F198">
        <w:rPr>
          <w:color w:val="000000" w:themeColor="text1"/>
          <w:sz w:val="26"/>
          <w:szCs w:val="26"/>
          <w:lang w:val="es-ES" w:eastAsia="en-US"/>
        </w:rPr>
        <w:t xml:space="preserve"> sentencia de unificación proferida por la Sección Segunda del Consejo de Estado el 18 de julio de 2018,</w:t>
      </w:r>
      <w:r>
        <w:rPr>
          <w:color w:val="000000" w:themeColor="text1"/>
          <w:sz w:val="26"/>
          <w:szCs w:val="26"/>
          <w:lang w:val="es-ES" w:eastAsia="en-US"/>
        </w:rPr>
        <w:t xml:space="preserve"> </w:t>
      </w:r>
      <w:r w:rsidRPr="7B28F198">
        <w:rPr>
          <w:color w:val="000000" w:themeColor="text1"/>
          <w:sz w:val="26"/>
          <w:szCs w:val="26"/>
          <w:lang w:val="es-ES" w:eastAsia="en-US"/>
        </w:rPr>
        <w:t>referencia</w:t>
      </w:r>
      <w:r>
        <w:rPr>
          <w:color w:val="000000" w:themeColor="text1"/>
          <w:sz w:val="26"/>
          <w:szCs w:val="26"/>
          <w:lang w:val="es-ES" w:eastAsia="en-US"/>
        </w:rPr>
        <w:t xml:space="preserve"> </w:t>
      </w:r>
      <w:r w:rsidRPr="7B28F198">
        <w:rPr>
          <w:color w:val="000000" w:themeColor="text1"/>
          <w:sz w:val="26"/>
          <w:szCs w:val="26"/>
          <w:lang w:val="es-ES" w:eastAsia="en-US"/>
        </w:rPr>
        <w:t>No.73001-23-33-000-2014-00580-01(4961-15),</w:t>
      </w:r>
      <w:r>
        <w:rPr>
          <w:color w:val="000000" w:themeColor="text1"/>
          <w:sz w:val="26"/>
          <w:szCs w:val="26"/>
          <w:lang w:val="es-ES" w:eastAsia="en-US"/>
        </w:rPr>
        <w:t xml:space="preserve"> </w:t>
      </w:r>
      <w:r w:rsidRPr="7B28F198">
        <w:rPr>
          <w:color w:val="000000" w:themeColor="text1"/>
          <w:sz w:val="26"/>
          <w:szCs w:val="26"/>
          <w:lang w:val="es-ES" w:eastAsia="en-US"/>
        </w:rPr>
        <w:t>C.P. Dra. Sandra Lisset Ibarra Vélez, se precisó que la</w:t>
      </w:r>
      <w:r>
        <w:rPr>
          <w:color w:val="000000" w:themeColor="text1"/>
          <w:sz w:val="26"/>
          <w:szCs w:val="26"/>
          <w:lang w:val="es-ES" w:eastAsia="en-US"/>
        </w:rPr>
        <w:t xml:space="preserve"> </w:t>
      </w:r>
      <w:r w:rsidRPr="7B28F198">
        <w:rPr>
          <w:color w:val="000000" w:themeColor="text1"/>
          <w:sz w:val="26"/>
          <w:szCs w:val="26"/>
          <w:lang w:val="es-ES" w:eastAsia="en-US"/>
        </w:rPr>
        <w:t>indexación</w:t>
      </w:r>
      <w:r>
        <w:rPr>
          <w:color w:val="000000" w:themeColor="text1"/>
          <w:sz w:val="26"/>
          <w:szCs w:val="26"/>
          <w:lang w:val="es-ES" w:eastAsia="en-US"/>
        </w:rPr>
        <w:t xml:space="preserve"> </w:t>
      </w:r>
      <w:r w:rsidRPr="7B28F198">
        <w:rPr>
          <w:color w:val="000000" w:themeColor="text1"/>
          <w:sz w:val="26"/>
          <w:szCs w:val="26"/>
          <w:lang w:val="es-ES" w:eastAsia="en-US"/>
        </w:rPr>
        <w:t>de</w:t>
      </w:r>
      <w:r>
        <w:rPr>
          <w:color w:val="000000" w:themeColor="text1"/>
          <w:sz w:val="26"/>
          <w:szCs w:val="26"/>
          <w:lang w:val="es-ES" w:eastAsia="en-US"/>
        </w:rPr>
        <w:t xml:space="preserve"> </w:t>
      </w:r>
      <w:r w:rsidRPr="7B28F198">
        <w:rPr>
          <w:color w:val="000000" w:themeColor="text1"/>
          <w:sz w:val="26"/>
          <w:szCs w:val="26"/>
          <w:lang w:val="es-ES" w:eastAsia="en-US"/>
        </w:rPr>
        <w:t>la</w:t>
      </w:r>
      <w:r>
        <w:rPr>
          <w:color w:val="000000" w:themeColor="text1"/>
          <w:sz w:val="26"/>
          <w:szCs w:val="26"/>
          <w:lang w:val="es-ES" w:eastAsia="en-US"/>
        </w:rPr>
        <w:t xml:space="preserve"> </w:t>
      </w:r>
      <w:r w:rsidRPr="7B28F198">
        <w:rPr>
          <w:color w:val="000000" w:themeColor="text1"/>
          <w:sz w:val="26"/>
          <w:szCs w:val="26"/>
          <w:lang w:val="es-ES" w:eastAsia="en-US"/>
        </w:rPr>
        <w:t>sanción moratoria</w:t>
      </w:r>
      <w:r>
        <w:rPr>
          <w:color w:val="000000" w:themeColor="text1"/>
          <w:sz w:val="26"/>
          <w:szCs w:val="26"/>
          <w:lang w:val="es-ES" w:eastAsia="en-US"/>
        </w:rPr>
        <w:t xml:space="preserve"> </w:t>
      </w:r>
      <w:r w:rsidRPr="7B28F198">
        <w:rPr>
          <w:color w:val="000000" w:themeColor="text1"/>
          <w:sz w:val="26"/>
          <w:szCs w:val="26"/>
          <w:lang w:val="es-ES" w:eastAsia="en-US"/>
        </w:rPr>
        <w:t>por</w:t>
      </w:r>
      <w:r>
        <w:rPr>
          <w:color w:val="000000" w:themeColor="text1"/>
          <w:sz w:val="26"/>
          <w:szCs w:val="26"/>
          <w:lang w:val="es-ES" w:eastAsia="en-US"/>
        </w:rPr>
        <w:t xml:space="preserve"> </w:t>
      </w:r>
      <w:r w:rsidRPr="7B28F198">
        <w:rPr>
          <w:color w:val="000000" w:themeColor="text1"/>
          <w:sz w:val="26"/>
          <w:szCs w:val="26"/>
          <w:lang w:val="es-ES" w:eastAsia="en-US"/>
        </w:rPr>
        <w:t>pago</w:t>
      </w:r>
      <w:r>
        <w:rPr>
          <w:color w:val="000000" w:themeColor="text1"/>
          <w:sz w:val="26"/>
          <w:szCs w:val="26"/>
          <w:lang w:val="es-ES" w:eastAsia="en-US"/>
        </w:rPr>
        <w:t xml:space="preserve"> </w:t>
      </w:r>
      <w:r w:rsidRPr="7B28F198">
        <w:rPr>
          <w:color w:val="000000" w:themeColor="text1"/>
          <w:sz w:val="26"/>
          <w:szCs w:val="26"/>
          <w:lang w:val="es-ES" w:eastAsia="en-US"/>
        </w:rPr>
        <w:t>extemporáneo</w:t>
      </w:r>
      <w:r>
        <w:rPr>
          <w:color w:val="000000" w:themeColor="text1"/>
          <w:sz w:val="26"/>
          <w:szCs w:val="26"/>
          <w:lang w:val="es-ES" w:eastAsia="en-US"/>
        </w:rPr>
        <w:t xml:space="preserve"> </w:t>
      </w:r>
      <w:r w:rsidRPr="7B28F198">
        <w:rPr>
          <w:color w:val="000000" w:themeColor="text1"/>
          <w:sz w:val="26"/>
          <w:szCs w:val="26"/>
          <w:lang w:val="es-ES" w:eastAsia="en-US"/>
        </w:rPr>
        <w:t>de</w:t>
      </w:r>
      <w:r>
        <w:rPr>
          <w:color w:val="000000" w:themeColor="text1"/>
          <w:sz w:val="26"/>
          <w:szCs w:val="26"/>
          <w:lang w:val="es-ES" w:eastAsia="en-US"/>
        </w:rPr>
        <w:t xml:space="preserve"> </w:t>
      </w:r>
      <w:r w:rsidRPr="7B28F198">
        <w:rPr>
          <w:color w:val="000000" w:themeColor="text1"/>
          <w:sz w:val="26"/>
          <w:szCs w:val="26"/>
          <w:lang w:val="es-ES" w:eastAsia="en-US"/>
        </w:rPr>
        <w:t>las</w:t>
      </w:r>
      <w:r>
        <w:rPr>
          <w:color w:val="000000" w:themeColor="text1"/>
          <w:sz w:val="26"/>
          <w:szCs w:val="26"/>
          <w:lang w:val="es-ES" w:eastAsia="en-US"/>
        </w:rPr>
        <w:t xml:space="preserve"> </w:t>
      </w:r>
      <w:r w:rsidRPr="7B28F198">
        <w:rPr>
          <w:color w:val="000000" w:themeColor="text1"/>
          <w:sz w:val="26"/>
          <w:szCs w:val="26"/>
          <w:lang w:val="es-ES" w:eastAsia="en-US"/>
        </w:rPr>
        <w:t>cesantías,</w:t>
      </w:r>
      <w:r>
        <w:rPr>
          <w:color w:val="000000" w:themeColor="text1"/>
          <w:sz w:val="26"/>
          <w:szCs w:val="26"/>
          <w:lang w:val="es-ES" w:eastAsia="en-US"/>
        </w:rPr>
        <w:t xml:space="preserve"> </w:t>
      </w:r>
      <w:r w:rsidRPr="7B28F198">
        <w:rPr>
          <w:color w:val="000000" w:themeColor="text1"/>
          <w:sz w:val="26"/>
          <w:szCs w:val="26"/>
          <w:lang w:val="es-ES" w:eastAsia="en-US"/>
        </w:rPr>
        <w:t>deviene improcedente, bajo los siguientes argumentos:</w:t>
      </w:r>
    </w:p>
    <w:p w14:paraId="467B9D0D" w14:textId="77777777" w:rsidR="007C0CE4" w:rsidRDefault="007C0CE4" w:rsidP="007C0CE4">
      <w:pPr>
        <w:spacing w:line="360" w:lineRule="auto"/>
        <w:rPr>
          <w:b/>
          <w:bCs/>
          <w:color w:val="000000" w:themeColor="text1"/>
          <w:sz w:val="26"/>
          <w:szCs w:val="26"/>
          <w:lang w:val="es-ES" w:eastAsia="en-US"/>
        </w:rPr>
      </w:pPr>
    </w:p>
    <w:p w14:paraId="0F44DC75" w14:textId="7D0CFE30" w:rsidR="007C0CE4" w:rsidRDefault="007C0CE4" w:rsidP="007C0CE4">
      <w:pPr>
        <w:ind w:left="360"/>
        <w:jc w:val="both"/>
        <w:rPr>
          <w:color w:val="000000" w:themeColor="text1"/>
          <w:lang w:val="es-ES" w:eastAsia="en-US"/>
        </w:rPr>
      </w:pPr>
      <w:r w:rsidRPr="00FE39FB">
        <w:rPr>
          <w:color w:val="000000" w:themeColor="text1"/>
          <w:lang w:val="es-ES" w:eastAsia="en-US"/>
        </w:rPr>
        <w:t>“(...)189. Ahora bien, esta situación debe ser mirada desde la óptica de ser una sanción</w:t>
      </w:r>
      <w:r>
        <w:rPr>
          <w:color w:val="000000" w:themeColor="text1"/>
          <w:lang w:val="es-ES" w:eastAsia="en-US"/>
        </w:rPr>
        <w:t xml:space="preserve"> </w:t>
      </w:r>
      <w:r w:rsidRPr="00FE39FB">
        <w:rPr>
          <w:color w:val="000000" w:themeColor="text1"/>
          <w:lang w:val="es-ES" w:eastAsia="en-US"/>
        </w:rPr>
        <w:t>que</w:t>
      </w:r>
      <w:r>
        <w:rPr>
          <w:color w:val="000000" w:themeColor="text1"/>
          <w:lang w:val="es-ES" w:eastAsia="en-US"/>
        </w:rPr>
        <w:t xml:space="preserve"> </w:t>
      </w:r>
      <w:r w:rsidRPr="00FE39FB">
        <w:rPr>
          <w:color w:val="000000" w:themeColor="text1"/>
          <w:lang w:val="es-ES" w:eastAsia="en-US"/>
        </w:rPr>
        <w:t>se</w:t>
      </w:r>
      <w:r>
        <w:rPr>
          <w:color w:val="000000" w:themeColor="text1"/>
          <w:lang w:val="es-ES" w:eastAsia="en-US"/>
        </w:rPr>
        <w:t xml:space="preserve"> </w:t>
      </w:r>
      <w:r w:rsidRPr="00FE39FB">
        <w:rPr>
          <w:color w:val="000000" w:themeColor="text1"/>
          <w:lang w:val="es-ES" w:eastAsia="en-US"/>
        </w:rPr>
        <w:t>causó</w:t>
      </w:r>
      <w:r>
        <w:rPr>
          <w:color w:val="000000" w:themeColor="text1"/>
          <w:lang w:val="es-ES" w:eastAsia="en-US"/>
        </w:rPr>
        <w:t xml:space="preserve"> </w:t>
      </w:r>
      <w:r w:rsidRPr="00FE39FB">
        <w:rPr>
          <w:color w:val="000000" w:themeColor="text1"/>
          <w:lang w:val="es-ES" w:eastAsia="en-US"/>
        </w:rPr>
        <w:t>al</w:t>
      </w:r>
      <w:r>
        <w:rPr>
          <w:color w:val="000000" w:themeColor="text1"/>
          <w:lang w:val="es-ES" w:eastAsia="en-US"/>
        </w:rPr>
        <w:t xml:space="preserve"> </w:t>
      </w:r>
      <w:r w:rsidRPr="00FE39FB">
        <w:rPr>
          <w:color w:val="000000" w:themeColor="text1"/>
          <w:lang w:val="es-ES" w:eastAsia="en-US"/>
        </w:rPr>
        <w:t>constituirse</w:t>
      </w:r>
      <w:r>
        <w:rPr>
          <w:color w:val="000000" w:themeColor="text1"/>
          <w:lang w:val="es-ES" w:eastAsia="en-US"/>
        </w:rPr>
        <w:t xml:space="preserve"> </w:t>
      </w:r>
      <w:r w:rsidRPr="00FE39FB">
        <w:rPr>
          <w:color w:val="000000" w:themeColor="text1"/>
          <w:lang w:val="es-ES" w:eastAsia="en-US"/>
        </w:rPr>
        <w:t>en</w:t>
      </w:r>
      <w:r>
        <w:rPr>
          <w:color w:val="000000" w:themeColor="text1"/>
          <w:lang w:val="es-ES" w:eastAsia="en-US"/>
        </w:rPr>
        <w:t xml:space="preserve"> </w:t>
      </w:r>
      <w:r w:rsidRPr="00FE39FB">
        <w:rPr>
          <w:color w:val="000000" w:themeColor="text1"/>
          <w:lang w:val="es-ES" w:eastAsia="en-US"/>
        </w:rPr>
        <w:t>mora</w:t>
      </w:r>
      <w:r>
        <w:rPr>
          <w:color w:val="000000" w:themeColor="text1"/>
          <w:lang w:val="es-ES" w:eastAsia="en-US"/>
        </w:rPr>
        <w:t xml:space="preserve"> </w:t>
      </w:r>
      <w:r w:rsidRPr="00FE39FB">
        <w:rPr>
          <w:color w:val="000000" w:themeColor="text1"/>
          <w:lang w:val="es-ES" w:eastAsia="en-US"/>
        </w:rPr>
        <w:t>y</w:t>
      </w:r>
      <w:r>
        <w:rPr>
          <w:color w:val="000000" w:themeColor="text1"/>
          <w:lang w:val="es-ES" w:eastAsia="en-US"/>
        </w:rPr>
        <w:t xml:space="preserve"> </w:t>
      </w:r>
      <w:r w:rsidRPr="00FE39FB">
        <w:rPr>
          <w:color w:val="000000" w:themeColor="text1"/>
          <w:lang w:val="es-ES" w:eastAsia="en-US"/>
        </w:rPr>
        <w:t>cesar</w:t>
      </w:r>
      <w:r>
        <w:rPr>
          <w:color w:val="000000" w:themeColor="text1"/>
          <w:lang w:val="es-ES" w:eastAsia="en-US"/>
        </w:rPr>
        <w:t xml:space="preserve"> </w:t>
      </w:r>
      <w:r w:rsidRPr="00FE39FB">
        <w:rPr>
          <w:color w:val="000000" w:themeColor="text1"/>
          <w:lang w:val="es-ES" w:eastAsia="en-US"/>
        </w:rPr>
        <w:t>con</w:t>
      </w:r>
      <w:r>
        <w:rPr>
          <w:color w:val="000000" w:themeColor="text1"/>
          <w:lang w:val="es-ES" w:eastAsia="en-US"/>
        </w:rPr>
        <w:t xml:space="preserve"> </w:t>
      </w:r>
      <w:r w:rsidRPr="00FE39FB">
        <w:rPr>
          <w:color w:val="000000" w:themeColor="text1"/>
          <w:lang w:val="es-ES" w:eastAsia="en-US"/>
        </w:rPr>
        <w:t>el</w:t>
      </w:r>
      <w:r>
        <w:rPr>
          <w:color w:val="000000" w:themeColor="text1"/>
          <w:lang w:val="es-ES" w:eastAsia="en-US"/>
        </w:rPr>
        <w:t xml:space="preserve"> </w:t>
      </w:r>
      <w:r w:rsidRPr="00FE39FB">
        <w:rPr>
          <w:color w:val="000000" w:themeColor="text1"/>
          <w:lang w:val="es-ES" w:eastAsia="en-US"/>
        </w:rPr>
        <w:t>pago</w:t>
      </w:r>
      <w:r>
        <w:rPr>
          <w:color w:val="000000" w:themeColor="text1"/>
          <w:lang w:val="es-ES" w:eastAsia="en-US"/>
        </w:rPr>
        <w:t xml:space="preserve"> </w:t>
      </w:r>
      <w:r w:rsidRPr="00FE39FB">
        <w:rPr>
          <w:color w:val="000000" w:themeColor="text1"/>
          <w:lang w:val="es-ES" w:eastAsia="en-US"/>
        </w:rPr>
        <w:t>de</w:t>
      </w:r>
      <w:r>
        <w:rPr>
          <w:color w:val="000000" w:themeColor="text1"/>
          <w:lang w:val="es-ES" w:eastAsia="en-US"/>
        </w:rPr>
        <w:t xml:space="preserve"> </w:t>
      </w:r>
      <w:r w:rsidRPr="00FE39FB">
        <w:rPr>
          <w:color w:val="000000" w:themeColor="text1"/>
          <w:lang w:val="es-ES" w:eastAsia="en-US"/>
        </w:rPr>
        <w:t>la cesantías,</w:t>
      </w:r>
      <w:r>
        <w:rPr>
          <w:color w:val="000000" w:themeColor="text1"/>
          <w:lang w:val="es-ES" w:eastAsia="en-US"/>
        </w:rPr>
        <w:t xml:space="preserve"> </w:t>
      </w:r>
      <w:r w:rsidRPr="00FE39FB">
        <w:rPr>
          <w:color w:val="000000" w:themeColor="text1"/>
          <w:lang w:val="es-ES" w:eastAsia="en-US"/>
        </w:rPr>
        <w:t>y</w:t>
      </w:r>
      <w:r>
        <w:rPr>
          <w:color w:val="000000" w:themeColor="text1"/>
          <w:lang w:val="es-ES" w:eastAsia="en-US"/>
        </w:rPr>
        <w:t xml:space="preserve"> </w:t>
      </w:r>
      <w:r w:rsidRPr="00FE39FB">
        <w:rPr>
          <w:color w:val="000000" w:themeColor="text1"/>
          <w:lang w:val="es-ES" w:eastAsia="en-US"/>
        </w:rPr>
        <w:t>en ese</w:t>
      </w:r>
      <w:r>
        <w:rPr>
          <w:color w:val="000000" w:themeColor="text1"/>
          <w:lang w:val="es-ES" w:eastAsia="en-US"/>
        </w:rPr>
        <w:t xml:space="preserve"> </w:t>
      </w:r>
      <w:r w:rsidRPr="00FE39FB">
        <w:rPr>
          <w:color w:val="000000" w:themeColor="text1"/>
          <w:lang w:val="es-ES" w:eastAsia="en-US"/>
        </w:rPr>
        <w:t>contexto, la</w:t>
      </w:r>
      <w:r>
        <w:rPr>
          <w:color w:val="000000" w:themeColor="text1"/>
          <w:lang w:val="es-ES" w:eastAsia="en-US"/>
        </w:rPr>
        <w:t xml:space="preserve"> </w:t>
      </w:r>
      <w:r w:rsidRPr="00FE39FB">
        <w:rPr>
          <w:color w:val="000000" w:themeColor="text1"/>
          <w:lang w:val="es-ES" w:eastAsia="en-US"/>
        </w:rPr>
        <w:t>sentencia</w:t>
      </w:r>
      <w:r>
        <w:rPr>
          <w:color w:val="000000" w:themeColor="text1"/>
          <w:lang w:val="es-ES" w:eastAsia="en-US"/>
        </w:rPr>
        <w:t xml:space="preserve"> </w:t>
      </w:r>
      <w:r w:rsidRPr="00FE39FB">
        <w:rPr>
          <w:color w:val="000000" w:themeColor="text1"/>
          <w:lang w:val="es-ES" w:eastAsia="en-US"/>
        </w:rPr>
        <w:t>que</w:t>
      </w:r>
      <w:r>
        <w:rPr>
          <w:color w:val="000000" w:themeColor="text1"/>
          <w:lang w:val="es-ES" w:eastAsia="en-US"/>
        </w:rPr>
        <w:t xml:space="preserve"> </w:t>
      </w:r>
      <w:r w:rsidRPr="00FE39FB">
        <w:rPr>
          <w:color w:val="000000" w:themeColor="text1"/>
          <w:lang w:val="es-ES" w:eastAsia="en-US"/>
        </w:rPr>
        <w:t>la</w:t>
      </w:r>
      <w:r>
        <w:rPr>
          <w:color w:val="000000" w:themeColor="text1"/>
          <w:lang w:val="es-ES" w:eastAsia="en-US"/>
        </w:rPr>
        <w:t xml:space="preserve"> </w:t>
      </w:r>
      <w:r w:rsidRPr="00FE39FB">
        <w:rPr>
          <w:color w:val="000000" w:themeColor="text1"/>
          <w:lang w:val="es-ES" w:eastAsia="en-US"/>
        </w:rPr>
        <w:t>reconoce</w:t>
      </w:r>
      <w:r>
        <w:rPr>
          <w:color w:val="000000" w:themeColor="text1"/>
          <w:lang w:val="es-ES" w:eastAsia="en-US"/>
        </w:rPr>
        <w:t xml:space="preserve"> </w:t>
      </w:r>
      <w:r w:rsidRPr="00FE39FB">
        <w:rPr>
          <w:color w:val="000000" w:themeColor="text1"/>
          <w:lang w:val="es-ES" w:eastAsia="en-US"/>
        </w:rPr>
        <w:t>simplemente declara</w:t>
      </w:r>
      <w:r>
        <w:rPr>
          <w:color w:val="000000" w:themeColor="text1"/>
          <w:lang w:val="es-ES" w:eastAsia="en-US"/>
        </w:rPr>
        <w:t xml:space="preserve"> </w:t>
      </w:r>
      <w:r w:rsidRPr="00FE39FB">
        <w:rPr>
          <w:color w:val="000000" w:themeColor="text1"/>
          <w:lang w:val="es-ES" w:eastAsia="en-US"/>
        </w:rPr>
        <w:t>su</w:t>
      </w:r>
      <w:r>
        <w:rPr>
          <w:color w:val="000000" w:themeColor="text1"/>
          <w:lang w:val="es-ES" w:eastAsia="en-US"/>
        </w:rPr>
        <w:t xml:space="preserve"> </w:t>
      </w:r>
      <w:r w:rsidRPr="00FE39FB">
        <w:rPr>
          <w:color w:val="000000" w:themeColor="text1"/>
          <w:lang w:val="es-ES" w:eastAsia="en-US"/>
        </w:rPr>
        <w:t>ocurrencia</w:t>
      </w:r>
      <w:r>
        <w:rPr>
          <w:color w:val="000000" w:themeColor="text1"/>
          <w:lang w:val="es-ES" w:eastAsia="en-US"/>
        </w:rPr>
        <w:t xml:space="preserve"> </w:t>
      </w:r>
      <w:r w:rsidRPr="00FE39FB">
        <w:rPr>
          <w:color w:val="000000" w:themeColor="text1"/>
          <w:lang w:val="es-ES" w:eastAsia="en-US"/>
        </w:rPr>
        <w:t>y</w:t>
      </w:r>
      <w:r>
        <w:rPr>
          <w:color w:val="000000" w:themeColor="text1"/>
          <w:lang w:val="es-ES" w:eastAsia="en-US"/>
        </w:rPr>
        <w:t xml:space="preserve"> </w:t>
      </w:r>
      <w:r w:rsidRPr="00FE39FB">
        <w:rPr>
          <w:color w:val="000000" w:themeColor="text1"/>
          <w:lang w:val="es-ES" w:eastAsia="en-US"/>
        </w:rPr>
        <w:t>la</w:t>
      </w:r>
      <w:r>
        <w:rPr>
          <w:color w:val="000000" w:themeColor="text1"/>
          <w:lang w:val="es-ES" w:eastAsia="en-US"/>
        </w:rPr>
        <w:t xml:space="preserve"> </w:t>
      </w:r>
      <w:r w:rsidRPr="00FE39FB">
        <w:rPr>
          <w:color w:val="000000" w:themeColor="text1"/>
          <w:lang w:val="es-ES" w:eastAsia="en-US"/>
        </w:rPr>
        <w:t>cuantifica,</w:t>
      </w:r>
      <w:r>
        <w:rPr>
          <w:color w:val="000000" w:themeColor="text1"/>
          <w:lang w:val="es-ES" w:eastAsia="en-US"/>
        </w:rPr>
        <w:t xml:space="preserve"> </w:t>
      </w:r>
      <w:r w:rsidRPr="00FE39FB">
        <w:rPr>
          <w:color w:val="000000" w:themeColor="text1"/>
          <w:lang w:val="es-ES" w:eastAsia="en-US"/>
        </w:rPr>
        <w:t>sin</w:t>
      </w:r>
      <w:r>
        <w:rPr>
          <w:color w:val="000000" w:themeColor="text1"/>
          <w:lang w:val="es-ES" w:eastAsia="en-US"/>
        </w:rPr>
        <w:t xml:space="preserve"> </w:t>
      </w:r>
      <w:r w:rsidRPr="00FE39FB">
        <w:rPr>
          <w:color w:val="000000" w:themeColor="text1"/>
          <w:lang w:val="es-ES" w:eastAsia="en-US"/>
        </w:rPr>
        <w:t>que</w:t>
      </w:r>
      <w:r>
        <w:rPr>
          <w:color w:val="000000" w:themeColor="text1"/>
          <w:lang w:val="es-ES" w:eastAsia="en-US"/>
        </w:rPr>
        <w:t xml:space="preserve"> </w:t>
      </w:r>
      <w:r w:rsidRPr="00FE39FB">
        <w:rPr>
          <w:color w:val="000000" w:themeColor="text1"/>
          <w:lang w:val="es-ES" w:eastAsia="en-US"/>
        </w:rPr>
        <w:t>ello</w:t>
      </w:r>
      <w:r>
        <w:rPr>
          <w:color w:val="000000" w:themeColor="text1"/>
          <w:lang w:val="es-ES" w:eastAsia="en-US"/>
        </w:rPr>
        <w:t xml:space="preserve"> </w:t>
      </w:r>
      <w:r w:rsidRPr="00FE39FB">
        <w:rPr>
          <w:color w:val="000000" w:themeColor="text1"/>
          <w:lang w:val="es-ES" w:eastAsia="en-US"/>
        </w:rPr>
        <w:t>implique</w:t>
      </w:r>
      <w:r>
        <w:rPr>
          <w:color w:val="000000" w:themeColor="text1"/>
          <w:lang w:val="es-ES" w:eastAsia="en-US"/>
        </w:rPr>
        <w:t xml:space="preserve"> </w:t>
      </w:r>
      <w:r w:rsidRPr="00FE39FB">
        <w:rPr>
          <w:color w:val="000000" w:themeColor="text1"/>
          <w:lang w:val="es-ES" w:eastAsia="en-US"/>
        </w:rPr>
        <w:t>el incumplimiento</w:t>
      </w:r>
      <w:r>
        <w:rPr>
          <w:color w:val="000000" w:themeColor="text1"/>
          <w:lang w:val="es-ES" w:eastAsia="en-US"/>
        </w:rPr>
        <w:t xml:space="preserve"> </w:t>
      </w:r>
      <w:r w:rsidRPr="00FE39FB">
        <w:rPr>
          <w:color w:val="000000" w:themeColor="text1"/>
          <w:lang w:val="es-ES" w:eastAsia="en-US"/>
        </w:rPr>
        <w:t>de</w:t>
      </w:r>
      <w:r>
        <w:rPr>
          <w:color w:val="000000" w:themeColor="text1"/>
          <w:lang w:val="es-ES" w:eastAsia="en-US"/>
        </w:rPr>
        <w:t xml:space="preserve"> </w:t>
      </w:r>
      <w:r w:rsidRPr="00FE39FB">
        <w:rPr>
          <w:color w:val="000000" w:themeColor="text1"/>
          <w:lang w:val="es-ES" w:eastAsia="en-US"/>
        </w:rPr>
        <w:t>una</w:t>
      </w:r>
      <w:r>
        <w:rPr>
          <w:color w:val="000000" w:themeColor="text1"/>
          <w:lang w:val="es-ES" w:eastAsia="en-US"/>
        </w:rPr>
        <w:t xml:space="preserve"> </w:t>
      </w:r>
      <w:r w:rsidRPr="00FE39FB">
        <w:rPr>
          <w:color w:val="000000" w:themeColor="text1"/>
          <w:lang w:val="es-ES" w:eastAsia="en-US"/>
        </w:rPr>
        <w:t>obligación</w:t>
      </w:r>
      <w:r>
        <w:rPr>
          <w:color w:val="000000" w:themeColor="text1"/>
          <w:lang w:val="es-ES" w:eastAsia="en-US"/>
        </w:rPr>
        <w:t xml:space="preserve"> </w:t>
      </w:r>
      <w:r w:rsidRPr="00FE39FB">
        <w:rPr>
          <w:color w:val="000000" w:themeColor="text1"/>
          <w:lang w:val="es-ES" w:eastAsia="en-US"/>
        </w:rPr>
        <w:t>generada</w:t>
      </w:r>
      <w:r>
        <w:rPr>
          <w:color w:val="000000" w:themeColor="text1"/>
          <w:lang w:val="es-ES" w:eastAsia="en-US"/>
        </w:rPr>
        <w:t xml:space="preserve"> </w:t>
      </w:r>
      <w:r w:rsidRPr="00FE39FB">
        <w:rPr>
          <w:color w:val="000000" w:themeColor="text1"/>
          <w:lang w:val="es-ES" w:eastAsia="en-US"/>
        </w:rPr>
        <w:t>por</w:t>
      </w:r>
      <w:r>
        <w:rPr>
          <w:color w:val="000000" w:themeColor="text1"/>
          <w:lang w:val="es-ES" w:eastAsia="en-US"/>
        </w:rPr>
        <w:t xml:space="preserve"> </w:t>
      </w:r>
      <w:r w:rsidRPr="00FE39FB">
        <w:rPr>
          <w:color w:val="000000" w:themeColor="text1"/>
          <w:lang w:val="es-ES" w:eastAsia="en-US"/>
        </w:rPr>
        <w:t>ministerio</w:t>
      </w:r>
      <w:r>
        <w:rPr>
          <w:color w:val="000000" w:themeColor="text1"/>
          <w:lang w:val="es-ES" w:eastAsia="en-US"/>
        </w:rPr>
        <w:t xml:space="preserve"> </w:t>
      </w:r>
      <w:r w:rsidRPr="00FE39FB">
        <w:rPr>
          <w:color w:val="000000" w:themeColor="text1"/>
          <w:lang w:val="es-ES" w:eastAsia="en-US"/>
        </w:rPr>
        <w:t>de</w:t>
      </w:r>
      <w:r>
        <w:rPr>
          <w:color w:val="000000" w:themeColor="text1"/>
          <w:lang w:val="es-ES" w:eastAsia="en-US"/>
        </w:rPr>
        <w:t xml:space="preserve"> </w:t>
      </w:r>
      <w:r w:rsidRPr="00FE39FB">
        <w:rPr>
          <w:color w:val="000000" w:themeColor="text1"/>
          <w:lang w:val="es-ES" w:eastAsia="en-US"/>
        </w:rPr>
        <w:t>la</w:t>
      </w:r>
      <w:r>
        <w:rPr>
          <w:color w:val="000000" w:themeColor="text1"/>
          <w:lang w:val="es-ES" w:eastAsia="en-US"/>
        </w:rPr>
        <w:t xml:space="preserve"> </w:t>
      </w:r>
      <w:r w:rsidRPr="00FE39FB">
        <w:rPr>
          <w:color w:val="000000" w:themeColor="text1"/>
          <w:lang w:val="es-ES" w:eastAsia="en-US"/>
        </w:rPr>
        <w:t>ley, tratándose</w:t>
      </w:r>
      <w:r>
        <w:rPr>
          <w:color w:val="000000" w:themeColor="text1"/>
          <w:lang w:val="es-ES" w:eastAsia="en-US"/>
        </w:rPr>
        <w:t xml:space="preserve"> </w:t>
      </w:r>
      <w:r w:rsidRPr="00FE39FB">
        <w:rPr>
          <w:color w:val="000000" w:themeColor="text1"/>
          <w:lang w:val="es-ES" w:eastAsia="en-US"/>
        </w:rPr>
        <w:t>de</w:t>
      </w:r>
      <w:r>
        <w:rPr>
          <w:color w:val="000000" w:themeColor="text1"/>
          <w:lang w:val="es-ES" w:eastAsia="en-US"/>
        </w:rPr>
        <w:t xml:space="preserve"> </w:t>
      </w:r>
      <w:r w:rsidRPr="00FE39FB">
        <w:rPr>
          <w:color w:val="000000" w:themeColor="text1"/>
          <w:lang w:val="es-ES" w:eastAsia="en-US"/>
        </w:rPr>
        <w:t>empleados</w:t>
      </w:r>
      <w:r>
        <w:rPr>
          <w:color w:val="000000" w:themeColor="text1"/>
          <w:lang w:val="es-ES" w:eastAsia="en-US"/>
        </w:rPr>
        <w:t xml:space="preserve"> </w:t>
      </w:r>
      <w:r w:rsidRPr="00FE39FB">
        <w:rPr>
          <w:color w:val="000000" w:themeColor="text1"/>
          <w:lang w:val="es-ES" w:eastAsia="en-US"/>
        </w:rPr>
        <w:t>públicos,</w:t>
      </w:r>
      <w:r>
        <w:rPr>
          <w:color w:val="000000" w:themeColor="text1"/>
          <w:lang w:val="es-ES" w:eastAsia="en-US"/>
        </w:rPr>
        <w:t xml:space="preserve"> </w:t>
      </w:r>
      <w:r w:rsidRPr="00FE39FB">
        <w:rPr>
          <w:color w:val="000000" w:themeColor="text1"/>
          <w:lang w:val="es-ES" w:eastAsia="en-US"/>
        </w:rPr>
        <w:t>susceptible</w:t>
      </w:r>
      <w:r>
        <w:rPr>
          <w:color w:val="000000" w:themeColor="text1"/>
          <w:lang w:val="es-ES" w:eastAsia="en-US"/>
        </w:rPr>
        <w:t xml:space="preserve"> </w:t>
      </w:r>
      <w:r w:rsidRPr="00FE39FB">
        <w:rPr>
          <w:color w:val="000000" w:themeColor="text1"/>
          <w:lang w:val="es-ES" w:eastAsia="en-US"/>
        </w:rPr>
        <w:t>de</w:t>
      </w:r>
      <w:r>
        <w:rPr>
          <w:color w:val="000000" w:themeColor="text1"/>
          <w:lang w:val="es-ES" w:eastAsia="en-US"/>
        </w:rPr>
        <w:t xml:space="preserve"> </w:t>
      </w:r>
      <w:r w:rsidRPr="00FE39FB">
        <w:rPr>
          <w:color w:val="000000" w:themeColor="text1"/>
          <w:lang w:val="es-ES" w:eastAsia="en-US"/>
        </w:rPr>
        <w:t>ser</w:t>
      </w:r>
      <w:r>
        <w:rPr>
          <w:color w:val="000000" w:themeColor="text1"/>
          <w:lang w:val="es-ES" w:eastAsia="en-US"/>
        </w:rPr>
        <w:t xml:space="preserve"> </w:t>
      </w:r>
      <w:r w:rsidRPr="00FE39FB">
        <w:rPr>
          <w:color w:val="000000" w:themeColor="text1"/>
          <w:lang w:val="es-ES" w:eastAsia="en-US"/>
        </w:rPr>
        <w:t>ajustada</w:t>
      </w:r>
      <w:r>
        <w:rPr>
          <w:color w:val="000000" w:themeColor="text1"/>
          <w:lang w:val="es-ES" w:eastAsia="en-US"/>
        </w:rPr>
        <w:t xml:space="preserve"> </w:t>
      </w:r>
      <w:r w:rsidRPr="00FE39FB">
        <w:rPr>
          <w:color w:val="000000" w:themeColor="text1"/>
          <w:lang w:val="es-ES" w:eastAsia="en-US"/>
        </w:rPr>
        <w:t>con</w:t>
      </w:r>
      <w:r>
        <w:rPr>
          <w:color w:val="000000" w:themeColor="text1"/>
          <w:lang w:val="es-ES" w:eastAsia="en-US"/>
        </w:rPr>
        <w:t xml:space="preserve"> </w:t>
      </w:r>
      <w:r w:rsidRPr="00FE39FB">
        <w:rPr>
          <w:color w:val="000000" w:themeColor="text1"/>
          <w:lang w:val="es-ES" w:eastAsia="en-US"/>
        </w:rPr>
        <w:t>los</w:t>
      </w:r>
      <w:r>
        <w:rPr>
          <w:color w:val="000000" w:themeColor="text1"/>
          <w:lang w:val="es-ES" w:eastAsia="en-US"/>
        </w:rPr>
        <w:t xml:space="preserve"> </w:t>
      </w:r>
      <w:r w:rsidRPr="00FE39FB">
        <w:rPr>
          <w:color w:val="000000" w:themeColor="text1"/>
          <w:lang w:val="es-ES" w:eastAsia="en-US"/>
        </w:rPr>
        <w:t>índices</w:t>
      </w:r>
      <w:r>
        <w:rPr>
          <w:color w:val="000000" w:themeColor="text1"/>
          <w:lang w:val="es-ES" w:eastAsia="en-US"/>
        </w:rPr>
        <w:t xml:space="preserve"> </w:t>
      </w:r>
      <w:r w:rsidRPr="00FE39FB">
        <w:rPr>
          <w:color w:val="000000" w:themeColor="text1"/>
          <w:lang w:val="es-ES" w:eastAsia="en-US"/>
        </w:rPr>
        <w:t>de</w:t>
      </w:r>
      <w:r>
        <w:rPr>
          <w:color w:val="000000" w:themeColor="text1"/>
          <w:lang w:val="es-ES" w:eastAsia="en-US"/>
        </w:rPr>
        <w:t xml:space="preserve"> </w:t>
      </w:r>
      <w:r w:rsidRPr="00FE39FB">
        <w:rPr>
          <w:color w:val="000000" w:themeColor="text1"/>
          <w:lang w:val="es-ES" w:eastAsia="en-US"/>
        </w:rPr>
        <w:t>precios</w:t>
      </w:r>
      <w:r>
        <w:rPr>
          <w:color w:val="000000" w:themeColor="text1"/>
          <w:lang w:val="es-ES" w:eastAsia="en-US"/>
        </w:rPr>
        <w:t xml:space="preserve"> </w:t>
      </w:r>
      <w:r w:rsidRPr="00FE39FB">
        <w:rPr>
          <w:color w:val="000000" w:themeColor="text1"/>
          <w:lang w:val="es-ES" w:eastAsia="en-US"/>
        </w:rPr>
        <w:t>al</w:t>
      </w:r>
      <w:r>
        <w:rPr>
          <w:color w:val="000000" w:themeColor="text1"/>
          <w:lang w:val="es-ES" w:eastAsia="en-US"/>
        </w:rPr>
        <w:t xml:space="preserve"> </w:t>
      </w:r>
      <w:r w:rsidRPr="00FE39FB">
        <w:rPr>
          <w:color w:val="000000" w:themeColor="text1"/>
          <w:lang w:val="es-ES" w:eastAsia="en-US"/>
        </w:rPr>
        <w:t>consumidor,</w:t>
      </w:r>
      <w:r>
        <w:rPr>
          <w:color w:val="000000" w:themeColor="text1"/>
          <w:lang w:val="es-ES" w:eastAsia="en-US"/>
        </w:rPr>
        <w:t xml:space="preserve"> </w:t>
      </w:r>
      <w:r w:rsidRPr="00FE39FB">
        <w:rPr>
          <w:color w:val="000000" w:themeColor="text1"/>
          <w:lang w:val="es-ES" w:eastAsia="en-US"/>
        </w:rPr>
        <w:t>cuyo</w:t>
      </w:r>
      <w:r>
        <w:rPr>
          <w:color w:val="000000" w:themeColor="text1"/>
          <w:lang w:val="es-ES" w:eastAsia="en-US"/>
        </w:rPr>
        <w:t xml:space="preserve"> </w:t>
      </w:r>
      <w:r w:rsidRPr="00FE39FB">
        <w:rPr>
          <w:color w:val="000000" w:themeColor="text1"/>
          <w:lang w:val="es-ES" w:eastAsia="en-US"/>
        </w:rPr>
        <w:t>propósito</w:t>
      </w:r>
      <w:r>
        <w:rPr>
          <w:color w:val="000000" w:themeColor="text1"/>
          <w:lang w:val="es-ES" w:eastAsia="en-US"/>
        </w:rPr>
        <w:t xml:space="preserve"> </w:t>
      </w:r>
      <w:r w:rsidRPr="00FE39FB">
        <w:rPr>
          <w:color w:val="000000" w:themeColor="text1"/>
          <w:lang w:val="es-ES" w:eastAsia="en-US"/>
        </w:rPr>
        <w:t>es</w:t>
      </w:r>
      <w:r>
        <w:rPr>
          <w:color w:val="000000" w:themeColor="text1"/>
          <w:lang w:val="es-ES" w:eastAsia="en-US"/>
        </w:rPr>
        <w:t xml:space="preserve"> </w:t>
      </w:r>
      <w:r w:rsidRPr="00FE39FB">
        <w:rPr>
          <w:color w:val="000000" w:themeColor="text1"/>
          <w:lang w:val="es-ES" w:eastAsia="en-US"/>
        </w:rPr>
        <w:t>mantener</w:t>
      </w:r>
      <w:r>
        <w:rPr>
          <w:color w:val="000000" w:themeColor="text1"/>
          <w:lang w:val="es-ES" w:eastAsia="en-US"/>
        </w:rPr>
        <w:t xml:space="preserve"> </w:t>
      </w:r>
      <w:r w:rsidRPr="00FE39FB">
        <w:rPr>
          <w:color w:val="000000" w:themeColor="text1"/>
          <w:lang w:val="es-ES" w:eastAsia="en-US"/>
        </w:rPr>
        <w:t>la capacidad</w:t>
      </w:r>
      <w:r>
        <w:rPr>
          <w:color w:val="000000" w:themeColor="text1"/>
          <w:lang w:val="es-ES" w:eastAsia="en-US"/>
        </w:rPr>
        <w:t xml:space="preserve"> </w:t>
      </w:r>
      <w:r w:rsidRPr="00FE39FB">
        <w:rPr>
          <w:color w:val="000000" w:themeColor="text1"/>
          <w:lang w:val="es-ES" w:eastAsia="en-US"/>
        </w:rPr>
        <w:t>adquisitiva</w:t>
      </w:r>
      <w:r>
        <w:rPr>
          <w:color w:val="000000" w:themeColor="text1"/>
          <w:lang w:val="es-ES" w:eastAsia="en-US"/>
        </w:rPr>
        <w:t xml:space="preserve"> </w:t>
      </w:r>
      <w:r w:rsidRPr="00FE39FB">
        <w:rPr>
          <w:color w:val="000000" w:themeColor="text1"/>
          <w:lang w:val="es-ES" w:eastAsia="en-US"/>
        </w:rPr>
        <w:t>y</w:t>
      </w:r>
      <w:r>
        <w:rPr>
          <w:color w:val="000000" w:themeColor="text1"/>
          <w:lang w:val="es-ES" w:eastAsia="en-US"/>
        </w:rPr>
        <w:t xml:space="preserve"> </w:t>
      </w:r>
      <w:r w:rsidRPr="00FE39FB">
        <w:rPr>
          <w:color w:val="000000" w:themeColor="text1"/>
          <w:lang w:val="es-ES" w:eastAsia="en-US"/>
        </w:rPr>
        <w:t>la</w:t>
      </w:r>
      <w:r>
        <w:rPr>
          <w:color w:val="000000" w:themeColor="text1"/>
          <w:lang w:val="es-ES" w:eastAsia="en-US"/>
        </w:rPr>
        <w:t xml:space="preserve"> </w:t>
      </w:r>
      <w:r w:rsidRPr="00FE39FB">
        <w:rPr>
          <w:color w:val="000000" w:themeColor="text1"/>
          <w:lang w:val="es-ES" w:eastAsia="en-US"/>
        </w:rPr>
        <w:t>finalidad</w:t>
      </w:r>
      <w:r>
        <w:rPr>
          <w:color w:val="000000" w:themeColor="text1"/>
          <w:lang w:val="es-ES" w:eastAsia="en-US"/>
        </w:rPr>
        <w:t xml:space="preserve"> </w:t>
      </w:r>
      <w:r w:rsidRPr="00FE39FB">
        <w:rPr>
          <w:color w:val="000000" w:themeColor="text1"/>
          <w:lang w:val="es-ES" w:eastAsia="en-US"/>
        </w:rPr>
        <w:t>que</w:t>
      </w:r>
      <w:r>
        <w:rPr>
          <w:color w:val="000000" w:themeColor="text1"/>
          <w:lang w:val="es-ES" w:eastAsia="en-US"/>
        </w:rPr>
        <w:t xml:space="preserve"> </w:t>
      </w:r>
      <w:r w:rsidRPr="00FE39FB">
        <w:rPr>
          <w:color w:val="000000" w:themeColor="text1"/>
          <w:lang w:val="es-ES" w:eastAsia="en-US"/>
        </w:rPr>
        <w:t>la</w:t>
      </w:r>
      <w:r>
        <w:rPr>
          <w:color w:val="000000" w:themeColor="text1"/>
          <w:lang w:val="es-ES" w:eastAsia="en-US"/>
        </w:rPr>
        <w:t xml:space="preserve"> </w:t>
      </w:r>
      <w:r w:rsidRPr="00FE39FB">
        <w:rPr>
          <w:color w:val="000000" w:themeColor="text1"/>
          <w:lang w:val="es-ES" w:eastAsia="en-US"/>
        </w:rPr>
        <w:t>justifica</w:t>
      </w:r>
      <w:r>
        <w:rPr>
          <w:color w:val="000000" w:themeColor="text1"/>
          <w:lang w:val="es-ES" w:eastAsia="en-US"/>
        </w:rPr>
        <w:t xml:space="preserve"> </w:t>
      </w:r>
      <w:r w:rsidRPr="00FE39FB">
        <w:rPr>
          <w:color w:val="000000" w:themeColor="text1"/>
          <w:lang w:val="es-ES" w:eastAsia="en-US"/>
        </w:rPr>
        <w:t>en</w:t>
      </w:r>
      <w:r>
        <w:rPr>
          <w:color w:val="000000" w:themeColor="text1"/>
          <w:lang w:val="es-ES" w:eastAsia="en-US"/>
        </w:rPr>
        <w:t xml:space="preserve"> </w:t>
      </w:r>
      <w:r w:rsidRPr="00FE39FB">
        <w:rPr>
          <w:color w:val="000000" w:themeColor="text1"/>
          <w:lang w:val="es-ES" w:eastAsia="en-US"/>
        </w:rPr>
        <w:t>el</w:t>
      </w:r>
      <w:r>
        <w:rPr>
          <w:color w:val="000000" w:themeColor="text1"/>
          <w:lang w:val="es-ES" w:eastAsia="en-US"/>
        </w:rPr>
        <w:t xml:space="preserve"> </w:t>
      </w:r>
      <w:r w:rsidRPr="00FE39FB">
        <w:rPr>
          <w:color w:val="000000" w:themeColor="text1"/>
          <w:lang w:val="es-ES" w:eastAsia="en-US"/>
        </w:rPr>
        <w:t>ordenamiento jurídico.</w:t>
      </w:r>
    </w:p>
    <w:p w14:paraId="5FCA3B16" w14:textId="77777777" w:rsidR="007C0CE4" w:rsidRPr="00FE39FB" w:rsidRDefault="007C0CE4" w:rsidP="007C0CE4">
      <w:pPr>
        <w:ind w:left="360"/>
        <w:jc w:val="both"/>
        <w:rPr>
          <w:color w:val="000000" w:themeColor="text1"/>
          <w:lang w:val="es-ES" w:eastAsia="en-US"/>
        </w:rPr>
      </w:pPr>
    </w:p>
    <w:p w14:paraId="6C4998E0" w14:textId="303016DF" w:rsidR="007C0CE4" w:rsidRDefault="007C0CE4" w:rsidP="007C0CE4">
      <w:pPr>
        <w:ind w:left="360"/>
        <w:jc w:val="both"/>
        <w:rPr>
          <w:color w:val="000000" w:themeColor="text1"/>
          <w:lang w:val="es-ES" w:eastAsia="en-US"/>
        </w:rPr>
      </w:pPr>
      <w:r w:rsidRPr="00FE39FB">
        <w:rPr>
          <w:color w:val="000000" w:themeColor="text1"/>
          <w:lang w:val="es-ES" w:eastAsia="en-US"/>
        </w:rPr>
        <w:t>190. Por ello, en juicio de la Sala para justificar la indexación de la sanción por mora en el pago de las cesantías, no es viable acudir al contenido del último inciso del artículo 187 del CPACA, según el cual, «Las condenas al pago</w:t>
      </w:r>
      <w:r>
        <w:rPr>
          <w:color w:val="000000" w:themeColor="text1"/>
          <w:lang w:val="es-ES" w:eastAsia="en-US"/>
        </w:rPr>
        <w:t xml:space="preserve"> </w:t>
      </w:r>
      <w:r w:rsidRPr="00FE39FB">
        <w:rPr>
          <w:color w:val="000000" w:themeColor="text1"/>
          <w:lang w:val="es-ES" w:eastAsia="en-US"/>
        </w:rPr>
        <w:t>o</w:t>
      </w:r>
      <w:r>
        <w:rPr>
          <w:color w:val="000000" w:themeColor="text1"/>
          <w:lang w:val="es-ES" w:eastAsia="en-US"/>
        </w:rPr>
        <w:t xml:space="preserve"> </w:t>
      </w:r>
      <w:r w:rsidRPr="00FE39FB">
        <w:rPr>
          <w:color w:val="000000" w:themeColor="text1"/>
          <w:lang w:val="es-ES" w:eastAsia="en-US"/>
        </w:rPr>
        <w:t>devolución</w:t>
      </w:r>
      <w:r>
        <w:rPr>
          <w:color w:val="000000" w:themeColor="text1"/>
          <w:lang w:val="es-ES" w:eastAsia="en-US"/>
        </w:rPr>
        <w:t xml:space="preserve"> </w:t>
      </w:r>
      <w:r w:rsidRPr="00FE39FB">
        <w:rPr>
          <w:color w:val="000000" w:themeColor="text1"/>
          <w:lang w:val="es-ES" w:eastAsia="en-US"/>
        </w:rPr>
        <w:t>de</w:t>
      </w:r>
      <w:r>
        <w:rPr>
          <w:color w:val="000000" w:themeColor="text1"/>
          <w:lang w:val="es-ES" w:eastAsia="en-US"/>
        </w:rPr>
        <w:t xml:space="preserve"> </w:t>
      </w:r>
      <w:r w:rsidRPr="00FE39FB">
        <w:rPr>
          <w:color w:val="000000" w:themeColor="text1"/>
          <w:lang w:val="es-ES" w:eastAsia="en-US"/>
        </w:rPr>
        <w:t>una</w:t>
      </w:r>
      <w:r>
        <w:rPr>
          <w:color w:val="000000" w:themeColor="text1"/>
          <w:lang w:val="es-ES" w:eastAsia="en-US"/>
        </w:rPr>
        <w:t xml:space="preserve"> </w:t>
      </w:r>
      <w:r w:rsidRPr="00FE39FB">
        <w:rPr>
          <w:color w:val="000000" w:themeColor="text1"/>
          <w:lang w:val="es-ES" w:eastAsia="en-US"/>
        </w:rPr>
        <w:t>cantidad</w:t>
      </w:r>
      <w:r>
        <w:rPr>
          <w:color w:val="000000" w:themeColor="text1"/>
          <w:lang w:val="es-ES" w:eastAsia="en-US"/>
        </w:rPr>
        <w:t xml:space="preserve"> </w:t>
      </w:r>
      <w:r w:rsidRPr="00FE39FB">
        <w:rPr>
          <w:color w:val="000000" w:themeColor="text1"/>
          <w:lang w:val="es-ES" w:eastAsia="en-US"/>
        </w:rPr>
        <w:t>líquida</w:t>
      </w:r>
      <w:r>
        <w:rPr>
          <w:color w:val="000000" w:themeColor="text1"/>
          <w:lang w:val="es-ES" w:eastAsia="en-US"/>
        </w:rPr>
        <w:t xml:space="preserve"> </w:t>
      </w:r>
      <w:r w:rsidRPr="00FE39FB">
        <w:rPr>
          <w:color w:val="000000" w:themeColor="text1"/>
          <w:lang w:val="es-ES" w:eastAsia="en-US"/>
        </w:rPr>
        <w:t>de</w:t>
      </w:r>
      <w:r>
        <w:rPr>
          <w:color w:val="000000" w:themeColor="text1"/>
          <w:lang w:val="es-ES" w:eastAsia="en-US"/>
        </w:rPr>
        <w:t xml:space="preserve"> </w:t>
      </w:r>
      <w:r w:rsidRPr="00FE39FB">
        <w:rPr>
          <w:color w:val="000000" w:themeColor="text1"/>
          <w:lang w:val="es-ES" w:eastAsia="en-US"/>
        </w:rPr>
        <w:t>dinero</w:t>
      </w:r>
      <w:r>
        <w:rPr>
          <w:color w:val="000000" w:themeColor="text1"/>
          <w:lang w:val="es-ES" w:eastAsia="en-US"/>
        </w:rPr>
        <w:t xml:space="preserve"> </w:t>
      </w:r>
      <w:r w:rsidRPr="00FE39FB">
        <w:rPr>
          <w:color w:val="000000" w:themeColor="text1"/>
          <w:lang w:val="es-ES" w:eastAsia="en-US"/>
        </w:rPr>
        <w:t>se</w:t>
      </w:r>
      <w:r>
        <w:rPr>
          <w:color w:val="000000" w:themeColor="text1"/>
          <w:lang w:val="es-ES" w:eastAsia="en-US"/>
        </w:rPr>
        <w:t xml:space="preserve"> </w:t>
      </w:r>
      <w:r w:rsidRPr="00FE39FB">
        <w:rPr>
          <w:color w:val="000000" w:themeColor="text1"/>
          <w:lang w:val="es-ES" w:eastAsia="en-US"/>
        </w:rPr>
        <w:t>ajustarán tomando como base el índice de precios al consumidor», pues en estricto sentido,</w:t>
      </w:r>
      <w:r>
        <w:rPr>
          <w:color w:val="000000" w:themeColor="text1"/>
          <w:lang w:val="es-ES" w:eastAsia="en-US"/>
        </w:rPr>
        <w:t xml:space="preserve"> </w:t>
      </w:r>
      <w:r w:rsidRPr="00FE39FB">
        <w:rPr>
          <w:color w:val="000000" w:themeColor="text1"/>
          <w:lang w:val="es-ES" w:eastAsia="en-US"/>
        </w:rPr>
        <w:t>la</w:t>
      </w:r>
      <w:r>
        <w:rPr>
          <w:color w:val="000000" w:themeColor="text1"/>
          <w:lang w:val="es-ES" w:eastAsia="en-US"/>
        </w:rPr>
        <w:t xml:space="preserve"> </w:t>
      </w:r>
      <w:r w:rsidRPr="00FE39FB">
        <w:rPr>
          <w:color w:val="000000" w:themeColor="text1"/>
          <w:lang w:val="es-ES" w:eastAsia="en-US"/>
        </w:rPr>
        <w:t>sentencia</w:t>
      </w:r>
      <w:r>
        <w:rPr>
          <w:color w:val="000000" w:themeColor="text1"/>
          <w:lang w:val="es-ES" w:eastAsia="en-US"/>
        </w:rPr>
        <w:t xml:space="preserve"> </w:t>
      </w:r>
      <w:r w:rsidRPr="00FE39FB">
        <w:rPr>
          <w:color w:val="000000" w:themeColor="text1"/>
          <w:lang w:val="es-ES" w:eastAsia="en-US"/>
        </w:rPr>
        <w:t>no</w:t>
      </w:r>
      <w:r>
        <w:rPr>
          <w:color w:val="000000" w:themeColor="text1"/>
          <w:lang w:val="es-ES" w:eastAsia="en-US"/>
        </w:rPr>
        <w:t xml:space="preserve"> </w:t>
      </w:r>
      <w:r w:rsidRPr="00FE39FB">
        <w:rPr>
          <w:color w:val="000000" w:themeColor="text1"/>
          <w:lang w:val="es-ES" w:eastAsia="en-US"/>
        </w:rPr>
        <w:t>reivindica</w:t>
      </w:r>
      <w:r>
        <w:rPr>
          <w:color w:val="000000" w:themeColor="text1"/>
          <w:lang w:val="es-ES" w:eastAsia="en-US"/>
        </w:rPr>
        <w:t xml:space="preserve"> </w:t>
      </w:r>
      <w:r w:rsidRPr="00FE39FB">
        <w:rPr>
          <w:color w:val="000000" w:themeColor="text1"/>
          <w:lang w:val="es-ES" w:eastAsia="en-US"/>
        </w:rPr>
        <w:t>ningún</w:t>
      </w:r>
      <w:r>
        <w:rPr>
          <w:color w:val="000000" w:themeColor="text1"/>
          <w:lang w:val="es-ES" w:eastAsia="en-US"/>
        </w:rPr>
        <w:t xml:space="preserve"> </w:t>
      </w:r>
      <w:r w:rsidRPr="00FE39FB">
        <w:rPr>
          <w:color w:val="000000" w:themeColor="text1"/>
          <w:lang w:val="es-ES" w:eastAsia="en-US"/>
        </w:rPr>
        <w:t>derecho</w:t>
      </w:r>
      <w:r>
        <w:rPr>
          <w:color w:val="000000" w:themeColor="text1"/>
          <w:lang w:val="es-ES" w:eastAsia="en-US"/>
        </w:rPr>
        <w:t xml:space="preserve"> </w:t>
      </w:r>
      <w:r w:rsidRPr="00FE39FB">
        <w:rPr>
          <w:color w:val="000000" w:themeColor="text1"/>
          <w:lang w:val="es-ES" w:eastAsia="en-US"/>
        </w:rPr>
        <w:t>ni</w:t>
      </w:r>
      <w:r>
        <w:rPr>
          <w:color w:val="000000" w:themeColor="text1"/>
          <w:lang w:val="es-ES" w:eastAsia="en-US"/>
        </w:rPr>
        <w:t xml:space="preserve"> </w:t>
      </w:r>
      <w:r w:rsidRPr="00FE39FB">
        <w:rPr>
          <w:color w:val="000000" w:themeColor="text1"/>
          <w:lang w:val="es-ES" w:eastAsia="en-US"/>
        </w:rPr>
        <w:t xml:space="preserve">obligación </w:t>
      </w:r>
      <w:r w:rsidRPr="00FE39FB">
        <w:rPr>
          <w:color w:val="000000" w:themeColor="text1"/>
          <w:lang w:val="es-ES" w:eastAsia="en-US"/>
        </w:rPr>
        <w:lastRenderedPageBreak/>
        <w:t>insatisfecha,</w:t>
      </w:r>
      <w:r>
        <w:rPr>
          <w:color w:val="000000" w:themeColor="text1"/>
          <w:lang w:val="es-ES" w:eastAsia="en-US"/>
        </w:rPr>
        <w:t xml:space="preserve"> </w:t>
      </w:r>
      <w:r w:rsidRPr="00FE39FB">
        <w:rPr>
          <w:color w:val="000000" w:themeColor="text1"/>
          <w:lang w:val="es-ES" w:eastAsia="en-US"/>
        </w:rPr>
        <w:t>erigiéndose</w:t>
      </w:r>
      <w:r>
        <w:rPr>
          <w:color w:val="000000" w:themeColor="text1"/>
          <w:lang w:val="es-ES" w:eastAsia="en-US"/>
        </w:rPr>
        <w:t xml:space="preserve"> </w:t>
      </w:r>
      <w:r w:rsidRPr="00FE39FB">
        <w:rPr>
          <w:color w:val="000000" w:themeColor="text1"/>
          <w:lang w:val="es-ES" w:eastAsia="en-US"/>
        </w:rPr>
        <w:t>como</w:t>
      </w:r>
      <w:r>
        <w:rPr>
          <w:color w:val="000000" w:themeColor="text1"/>
          <w:lang w:val="es-ES" w:eastAsia="en-US"/>
        </w:rPr>
        <w:t xml:space="preserve"> </w:t>
      </w:r>
      <w:r w:rsidRPr="00FE39FB">
        <w:rPr>
          <w:color w:val="000000" w:themeColor="text1"/>
          <w:lang w:val="es-ES" w:eastAsia="en-US"/>
        </w:rPr>
        <w:t>generadora</w:t>
      </w:r>
      <w:r>
        <w:rPr>
          <w:color w:val="000000" w:themeColor="text1"/>
          <w:lang w:val="es-ES" w:eastAsia="en-US"/>
        </w:rPr>
        <w:t xml:space="preserve"> </w:t>
      </w:r>
      <w:r w:rsidRPr="00FE39FB">
        <w:rPr>
          <w:color w:val="000000" w:themeColor="text1"/>
          <w:lang w:val="es-ES" w:eastAsia="en-US"/>
        </w:rPr>
        <w:t>de</w:t>
      </w:r>
      <w:r>
        <w:rPr>
          <w:color w:val="000000" w:themeColor="text1"/>
          <w:lang w:val="es-ES" w:eastAsia="en-US"/>
        </w:rPr>
        <w:t xml:space="preserve"> </w:t>
      </w:r>
      <w:r w:rsidRPr="00FE39FB">
        <w:rPr>
          <w:color w:val="000000" w:themeColor="text1"/>
          <w:lang w:val="es-ES" w:eastAsia="en-US"/>
        </w:rPr>
        <w:t>un</w:t>
      </w:r>
      <w:r>
        <w:rPr>
          <w:color w:val="000000" w:themeColor="text1"/>
          <w:lang w:val="es-ES" w:eastAsia="en-US"/>
        </w:rPr>
        <w:t xml:space="preserve"> </w:t>
      </w:r>
      <w:r w:rsidRPr="00FE39FB">
        <w:rPr>
          <w:color w:val="000000" w:themeColor="text1"/>
          <w:lang w:val="es-ES" w:eastAsia="en-US"/>
        </w:rPr>
        <w:t>beneficio</w:t>
      </w:r>
      <w:r>
        <w:rPr>
          <w:color w:val="000000" w:themeColor="text1"/>
          <w:lang w:val="es-ES" w:eastAsia="en-US"/>
        </w:rPr>
        <w:t xml:space="preserve"> </w:t>
      </w:r>
      <w:r w:rsidRPr="00FE39FB">
        <w:rPr>
          <w:color w:val="000000" w:themeColor="text1"/>
          <w:lang w:val="es-ES" w:eastAsia="en-US"/>
        </w:rPr>
        <w:t>económico para el demandante cuya única causa fue la demora en el pago de una prestación.</w:t>
      </w:r>
    </w:p>
    <w:p w14:paraId="5E7ABA11" w14:textId="77777777" w:rsidR="007C0CE4" w:rsidRPr="00FE39FB" w:rsidRDefault="007C0CE4" w:rsidP="007C0CE4">
      <w:pPr>
        <w:ind w:left="360"/>
        <w:jc w:val="both"/>
        <w:rPr>
          <w:color w:val="000000" w:themeColor="text1"/>
          <w:lang w:val="es-ES" w:eastAsia="en-US"/>
        </w:rPr>
      </w:pPr>
    </w:p>
    <w:p w14:paraId="2540FF36" w14:textId="2DFA2F86" w:rsidR="007C0CE4" w:rsidRPr="00FE39FB" w:rsidRDefault="007C0CE4" w:rsidP="007C0CE4">
      <w:pPr>
        <w:ind w:left="360"/>
        <w:jc w:val="both"/>
        <w:rPr>
          <w:color w:val="000000" w:themeColor="text1"/>
          <w:lang w:val="es-ES" w:eastAsia="en-US"/>
        </w:rPr>
      </w:pPr>
      <w:r w:rsidRPr="7B28F198">
        <w:rPr>
          <w:color w:val="000000" w:themeColor="text1"/>
          <w:lang w:val="es-ES" w:eastAsia="en-US"/>
        </w:rPr>
        <w:t xml:space="preserve">191 en suma, la naturaleza sancionadora, el cuantioso cómputo sistemático y prolongado en el tiempo sin que implique periodicidad, y la previsión intrínseca del ajuste del salario base con el IPC, indican con toda certeza que la sanción moratoria no puede indexarse a valor presente, razón por la cual, la Sección Segunda del Consejo de Estado sentará jurisprudencia en tal sentido. </w:t>
      </w:r>
      <w:r w:rsidRPr="7B28F198">
        <w:rPr>
          <w:b/>
          <w:bCs/>
          <w:color w:val="000000" w:themeColor="text1"/>
          <w:u w:val="single"/>
          <w:lang w:val="es-ES" w:eastAsia="en-US"/>
        </w:rPr>
        <w:t>Sin embargo, ello no implica el ajuste a valor de la condena eventual, en los términos descritos en el artículo 187</w:t>
      </w:r>
      <w:r>
        <w:rPr>
          <w:b/>
          <w:bCs/>
          <w:color w:val="000000" w:themeColor="text1"/>
          <w:u w:val="single"/>
          <w:lang w:val="es-ES" w:eastAsia="en-US"/>
        </w:rPr>
        <w:t xml:space="preserve"> </w:t>
      </w:r>
      <w:r w:rsidRPr="7B28F198">
        <w:rPr>
          <w:b/>
          <w:bCs/>
          <w:color w:val="000000" w:themeColor="text1"/>
          <w:u w:val="single"/>
          <w:lang w:val="es-ES" w:eastAsia="en-US"/>
        </w:rPr>
        <w:t>del CPACA.”</w:t>
      </w:r>
      <w:r w:rsidR="004E65B1">
        <w:rPr>
          <w:b/>
          <w:bCs/>
          <w:color w:val="000000" w:themeColor="text1"/>
          <w:u w:val="single"/>
          <w:lang w:val="es-ES" w:eastAsia="en-US"/>
        </w:rPr>
        <w:t xml:space="preserve"> </w:t>
      </w:r>
      <w:r w:rsidRPr="7B28F198">
        <w:rPr>
          <w:b/>
          <w:bCs/>
          <w:color w:val="000000" w:themeColor="text1"/>
          <w:u w:val="single"/>
          <w:lang w:val="es-ES" w:eastAsia="en-US"/>
        </w:rPr>
        <w:t>(</w:t>
      </w:r>
      <w:r w:rsidRPr="7B28F198">
        <w:rPr>
          <w:color w:val="000000" w:themeColor="text1"/>
          <w:lang w:val="es-ES" w:eastAsia="en-US"/>
        </w:rPr>
        <w:t>Negrita fuera de texto).</w:t>
      </w:r>
    </w:p>
    <w:p w14:paraId="498B76B6" w14:textId="77777777" w:rsidR="007C0CE4" w:rsidRDefault="007C0CE4" w:rsidP="007C0CE4">
      <w:pPr>
        <w:spacing w:line="360" w:lineRule="auto"/>
        <w:rPr>
          <w:b/>
          <w:bCs/>
          <w:color w:val="000000" w:themeColor="text1"/>
          <w:sz w:val="26"/>
          <w:szCs w:val="26"/>
          <w:lang w:val="es-ES" w:eastAsia="en-US"/>
        </w:rPr>
      </w:pPr>
    </w:p>
    <w:p w14:paraId="0655F186" w14:textId="09E5D555" w:rsidR="007C0CE4" w:rsidRPr="002572F2" w:rsidRDefault="007C0CE4" w:rsidP="007C0CE4">
      <w:pPr>
        <w:spacing w:line="360" w:lineRule="auto"/>
        <w:jc w:val="both"/>
        <w:rPr>
          <w:color w:val="000000" w:themeColor="text1"/>
          <w:sz w:val="26"/>
          <w:szCs w:val="26"/>
          <w:lang w:val="es-ES" w:eastAsia="en-US"/>
        </w:rPr>
      </w:pPr>
      <w:r w:rsidRPr="002572F2">
        <w:rPr>
          <w:color w:val="000000" w:themeColor="text1"/>
          <w:sz w:val="26"/>
          <w:szCs w:val="26"/>
          <w:lang w:val="es-ES" w:eastAsia="en-US"/>
        </w:rPr>
        <w:t xml:space="preserve">Así, el </w:t>
      </w:r>
      <w:r>
        <w:rPr>
          <w:color w:val="000000" w:themeColor="text1"/>
          <w:sz w:val="26"/>
          <w:szCs w:val="26"/>
          <w:lang w:val="es-ES" w:eastAsia="en-US"/>
        </w:rPr>
        <w:t>ó</w:t>
      </w:r>
      <w:r w:rsidRPr="002572F2">
        <w:rPr>
          <w:color w:val="000000" w:themeColor="text1"/>
          <w:sz w:val="26"/>
          <w:szCs w:val="26"/>
          <w:lang w:val="es-ES" w:eastAsia="en-US"/>
        </w:rPr>
        <w:t>rgano de Cierre</w:t>
      </w:r>
      <w:r>
        <w:rPr>
          <w:color w:val="000000" w:themeColor="text1"/>
          <w:sz w:val="26"/>
          <w:szCs w:val="26"/>
          <w:lang w:val="es-ES" w:eastAsia="en-US"/>
        </w:rPr>
        <w:t xml:space="preserve"> </w:t>
      </w:r>
      <w:r w:rsidRPr="002572F2">
        <w:rPr>
          <w:color w:val="000000" w:themeColor="text1"/>
          <w:sz w:val="26"/>
          <w:szCs w:val="26"/>
          <w:lang w:val="es-ES" w:eastAsia="en-US"/>
        </w:rPr>
        <w:t>de</w:t>
      </w:r>
      <w:r>
        <w:rPr>
          <w:color w:val="000000" w:themeColor="text1"/>
          <w:sz w:val="26"/>
          <w:szCs w:val="26"/>
          <w:lang w:val="es-ES" w:eastAsia="en-US"/>
        </w:rPr>
        <w:t xml:space="preserve"> </w:t>
      </w:r>
      <w:r w:rsidRPr="002572F2">
        <w:rPr>
          <w:color w:val="000000" w:themeColor="text1"/>
          <w:sz w:val="26"/>
          <w:szCs w:val="26"/>
          <w:lang w:val="es-ES" w:eastAsia="en-US"/>
        </w:rPr>
        <w:t>esta</w:t>
      </w:r>
      <w:r>
        <w:rPr>
          <w:color w:val="000000" w:themeColor="text1"/>
          <w:sz w:val="26"/>
          <w:szCs w:val="26"/>
          <w:lang w:val="es-ES" w:eastAsia="en-US"/>
        </w:rPr>
        <w:t xml:space="preserve"> </w:t>
      </w:r>
      <w:r w:rsidRPr="002572F2">
        <w:rPr>
          <w:color w:val="000000" w:themeColor="text1"/>
          <w:sz w:val="26"/>
          <w:szCs w:val="26"/>
          <w:lang w:val="es-ES" w:eastAsia="en-US"/>
        </w:rPr>
        <w:t>jurisdicción,</w:t>
      </w:r>
      <w:r>
        <w:rPr>
          <w:color w:val="000000" w:themeColor="text1"/>
          <w:sz w:val="26"/>
          <w:szCs w:val="26"/>
          <w:lang w:val="es-ES" w:eastAsia="en-US"/>
        </w:rPr>
        <w:t xml:space="preserve"> </w:t>
      </w:r>
      <w:r w:rsidRPr="002572F2">
        <w:rPr>
          <w:color w:val="000000" w:themeColor="text1"/>
          <w:sz w:val="26"/>
          <w:szCs w:val="26"/>
          <w:lang w:val="es-ES" w:eastAsia="en-US"/>
        </w:rPr>
        <w:t>al</w:t>
      </w:r>
      <w:r>
        <w:rPr>
          <w:color w:val="000000" w:themeColor="text1"/>
          <w:sz w:val="26"/>
          <w:szCs w:val="26"/>
          <w:lang w:val="es-ES" w:eastAsia="en-US"/>
        </w:rPr>
        <w:t xml:space="preserve"> </w:t>
      </w:r>
      <w:r w:rsidRPr="002572F2">
        <w:rPr>
          <w:color w:val="000000" w:themeColor="text1"/>
          <w:sz w:val="26"/>
          <w:szCs w:val="26"/>
          <w:lang w:val="es-ES" w:eastAsia="en-US"/>
        </w:rPr>
        <w:t>considerar</w:t>
      </w:r>
      <w:r>
        <w:rPr>
          <w:color w:val="000000" w:themeColor="text1"/>
          <w:sz w:val="26"/>
          <w:szCs w:val="26"/>
          <w:lang w:val="es-ES" w:eastAsia="en-US"/>
        </w:rPr>
        <w:t xml:space="preserve"> </w:t>
      </w:r>
      <w:r w:rsidRPr="002572F2">
        <w:rPr>
          <w:color w:val="000000" w:themeColor="text1"/>
          <w:sz w:val="26"/>
          <w:szCs w:val="26"/>
          <w:lang w:val="es-ES" w:eastAsia="en-US"/>
        </w:rPr>
        <w:t>que</w:t>
      </w:r>
      <w:r>
        <w:rPr>
          <w:color w:val="000000" w:themeColor="text1"/>
          <w:sz w:val="26"/>
          <w:szCs w:val="26"/>
          <w:lang w:val="es-ES" w:eastAsia="en-US"/>
        </w:rPr>
        <w:t xml:space="preserve"> </w:t>
      </w:r>
      <w:r w:rsidRPr="002572F2">
        <w:rPr>
          <w:color w:val="000000" w:themeColor="text1"/>
          <w:sz w:val="26"/>
          <w:szCs w:val="26"/>
          <w:lang w:val="es-ES" w:eastAsia="en-US"/>
        </w:rPr>
        <w:t>la sanción moratoria constituye una penalidad ante el incumplimiento de los plazos previstos en la ley para el reconocimiento y pago de las cesantías, sentó jurisprudencia para señalar que es improcedente la indexación de la sanción moratoria por pago tardío de las cesantías; ello, sin perjuicio de lo dispuesto en el artículo 187 del CPACA, por lo que, en acatamiento del precedente de unificación, no queda duda que en el presente caso no procede la indexación del valor a cancelar por sanción moratoria.</w:t>
      </w:r>
    </w:p>
    <w:p w14:paraId="2A1F4725" w14:textId="77777777" w:rsidR="007C0CE4" w:rsidRDefault="007C0CE4" w:rsidP="007C0CE4">
      <w:pPr>
        <w:spacing w:line="360" w:lineRule="auto"/>
        <w:rPr>
          <w:b/>
          <w:bCs/>
          <w:color w:val="000000" w:themeColor="text1"/>
          <w:sz w:val="26"/>
          <w:szCs w:val="26"/>
          <w:lang w:val="es-ES" w:eastAsia="en-US"/>
        </w:rPr>
      </w:pPr>
    </w:p>
    <w:p w14:paraId="0CF92964" w14:textId="77777777" w:rsidR="007C0CE4" w:rsidRPr="002572F2" w:rsidRDefault="007C0CE4" w:rsidP="007C0CE4">
      <w:pPr>
        <w:spacing w:line="360" w:lineRule="auto"/>
        <w:jc w:val="both"/>
        <w:rPr>
          <w:color w:val="000000" w:themeColor="text1"/>
          <w:sz w:val="26"/>
          <w:szCs w:val="26"/>
          <w:lang w:val="es-ES" w:eastAsia="en-US"/>
        </w:rPr>
      </w:pPr>
      <w:r w:rsidRPr="7B28F198">
        <w:rPr>
          <w:color w:val="000000" w:themeColor="text1"/>
          <w:sz w:val="26"/>
          <w:szCs w:val="26"/>
          <w:lang w:val="es-ES" w:eastAsia="en-US"/>
        </w:rPr>
        <w:t>En otras palabras, la sentencia de unificación indicó que el valor a pagar por sanción moratoria no es susceptible de indexación, es decir, el valor que se reconozca entre el día 71 y/o 66 (en que se empieza a causar la mora) y la fecha del pago, no puede indexarse porque la sentencia no reivindica ningún derecho ni obligación insatisfecha, erigiéndose como generadora de un beneficio económico para el demandante cuya única causa fue la demora en el pago de una prestación.</w:t>
      </w:r>
    </w:p>
    <w:p w14:paraId="4DB597BA" w14:textId="77777777" w:rsidR="007C0CE4" w:rsidRDefault="007C0CE4" w:rsidP="007C0CE4">
      <w:pPr>
        <w:spacing w:line="360" w:lineRule="auto"/>
        <w:rPr>
          <w:b/>
          <w:bCs/>
          <w:color w:val="000000" w:themeColor="text1"/>
          <w:sz w:val="26"/>
          <w:szCs w:val="26"/>
          <w:lang w:val="es-ES" w:eastAsia="en-US"/>
        </w:rPr>
      </w:pPr>
    </w:p>
    <w:p w14:paraId="4A8A8F77" w14:textId="77777777" w:rsidR="007C0CE4" w:rsidRPr="002572F2" w:rsidRDefault="007C0CE4" w:rsidP="007C0CE4">
      <w:pPr>
        <w:spacing w:line="360" w:lineRule="auto"/>
        <w:jc w:val="both"/>
        <w:rPr>
          <w:color w:val="000000" w:themeColor="text1"/>
          <w:sz w:val="26"/>
          <w:szCs w:val="26"/>
          <w:lang w:val="es-ES" w:eastAsia="en-US"/>
        </w:rPr>
      </w:pPr>
      <w:r w:rsidRPr="002572F2">
        <w:rPr>
          <w:color w:val="000000" w:themeColor="text1"/>
          <w:sz w:val="26"/>
          <w:szCs w:val="26"/>
          <w:lang w:val="es-ES" w:eastAsia="en-US"/>
        </w:rPr>
        <w:t>Ahora, tal y como se desprende del texto de la sentencia referida, lo anterior no es obstáculo para aplicar el artículo</w:t>
      </w:r>
      <w:r w:rsidRPr="002572F2">
        <w:t xml:space="preserve"> </w:t>
      </w:r>
      <w:r w:rsidRPr="002572F2">
        <w:rPr>
          <w:color w:val="000000" w:themeColor="text1"/>
          <w:sz w:val="26"/>
          <w:szCs w:val="26"/>
          <w:lang w:val="es-ES" w:eastAsia="en-US"/>
        </w:rPr>
        <w:t xml:space="preserve">187 del CPACA, circunstancia que conlleva a la obligación de determinar a partir de qué momento hay lugar a su aplicación y frente a dicho interrogante, ha estimado posteriormente el Consejo de Estado, en sentencia proferida el 26 de agosto de 2019, dentro del proceso radicado bajo el No. 68001-23-33-000-2016-00406-01(1728-18), C.P. Dr. William Hernández Gómez, lo siguiente: </w:t>
      </w:r>
    </w:p>
    <w:p w14:paraId="40AE9A5A" w14:textId="77777777" w:rsidR="007C0CE4" w:rsidRPr="002572F2" w:rsidRDefault="007C0CE4" w:rsidP="007C0CE4">
      <w:pPr>
        <w:jc w:val="both"/>
        <w:rPr>
          <w:b/>
          <w:bCs/>
          <w:color w:val="000000" w:themeColor="text1"/>
          <w:lang w:val="es-ES" w:eastAsia="en-US"/>
        </w:rPr>
      </w:pPr>
    </w:p>
    <w:p w14:paraId="05644B89" w14:textId="18AD61BC" w:rsidR="007C0CE4" w:rsidRPr="002572F2" w:rsidRDefault="007C0CE4" w:rsidP="007C0CE4">
      <w:pPr>
        <w:ind w:left="360"/>
        <w:jc w:val="both"/>
        <w:rPr>
          <w:color w:val="000000" w:themeColor="text1"/>
          <w:lang w:val="es-ES" w:eastAsia="en-US"/>
        </w:rPr>
      </w:pPr>
      <w:r w:rsidRPr="7B28F198">
        <w:rPr>
          <w:color w:val="000000" w:themeColor="text1"/>
          <w:lang w:val="es-ES" w:eastAsia="en-US"/>
        </w:rPr>
        <w:t>“(...) De lo anterior se colige que</w:t>
      </w:r>
      <w:r w:rsidRPr="7B28F198">
        <w:rPr>
          <w:b/>
          <w:bCs/>
          <w:color w:val="000000" w:themeColor="text1"/>
          <w:lang w:val="es-ES" w:eastAsia="en-US"/>
        </w:rPr>
        <w:t xml:space="preserve"> la interpretación que más se ajusta a la sentencia de unificación es la siguiente: Por lo tanto, a) mientras se causa la sanción moratoria día a día ésta no podrá indexarse. b) </w:t>
      </w:r>
      <w:r w:rsidRPr="7B28F198">
        <w:rPr>
          <w:b/>
          <w:bCs/>
          <w:color w:val="000000" w:themeColor="text1"/>
          <w:u w:val="single"/>
          <w:lang w:val="es-ES" w:eastAsia="en-US"/>
        </w:rPr>
        <w:t>cuando termina su causación se consolida una suma total, ese valor total sí es objeto de ajuste, desde la fecha en que cesa la mora hasta la ejecutoria de la sentencia –art.</w:t>
      </w:r>
      <w:r>
        <w:rPr>
          <w:b/>
          <w:bCs/>
          <w:color w:val="000000" w:themeColor="text1"/>
          <w:u w:val="single"/>
          <w:lang w:val="es-ES" w:eastAsia="en-US"/>
        </w:rPr>
        <w:t xml:space="preserve"> </w:t>
      </w:r>
      <w:r w:rsidRPr="7B28F198">
        <w:rPr>
          <w:b/>
          <w:bCs/>
          <w:color w:val="000000" w:themeColor="text1"/>
          <w:u w:val="single"/>
          <w:lang w:val="es-ES" w:eastAsia="en-US"/>
        </w:rPr>
        <w:t>187 –y c</w:t>
      </w:r>
      <w:r w:rsidRPr="7B28F198">
        <w:rPr>
          <w:b/>
          <w:bCs/>
          <w:color w:val="000000" w:themeColor="text1"/>
          <w:lang w:val="es-ES" w:eastAsia="en-US"/>
        </w:rPr>
        <w:t>) una vez queda ejecutoriada la condena no</w:t>
      </w:r>
      <w:r w:rsidRPr="7B28F198">
        <w:rPr>
          <w:color w:val="000000" w:themeColor="text1"/>
          <w:lang w:val="es-ES" w:eastAsia="en-US"/>
        </w:rPr>
        <w:t xml:space="preserve"> procede indexación, sino que se generan los intereses según lo dispuesto en los artículos 192 y 195 del CPACA.</w:t>
      </w:r>
    </w:p>
    <w:p w14:paraId="73B27C44" w14:textId="77777777" w:rsidR="007C0CE4" w:rsidRPr="002572F2" w:rsidRDefault="007C0CE4" w:rsidP="007C0CE4">
      <w:pPr>
        <w:ind w:left="360"/>
        <w:jc w:val="both"/>
        <w:rPr>
          <w:b/>
          <w:bCs/>
          <w:color w:val="000000" w:themeColor="text1"/>
          <w:lang w:val="es-ES" w:eastAsia="en-US"/>
        </w:rPr>
      </w:pPr>
    </w:p>
    <w:p w14:paraId="21563112" w14:textId="16A54004" w:rsidR="007C0CE4" w:rsidRPr="002572F2" w:rsidRDefault="007C0CE4" w:rsidP="007C0CE4">
      <w:pPr>
        <w:ind w:left="360"/>
        <w:jc w:val="both"/>
        <w:rPr>
          <w:b/>
          <w:bCs/>
          <w:color w:val="000000" w:themeColor="text1"/>
          <w:lang w:val="es-ES" w:eastAsia="en-US"/>
        </w:rPr>
      </w:pPr>
      <w:r w:rsidRPr="7B28F198">
        <w:rPr>
          <w:b/>
          <w:bCs/>
          <w:color w:val="000000" w:themeColor="text1"/>
          <w:lang w:val="es-ES" w:eastAsia="en-US"/>
        </w:rPr>
        <w:lastRenderedPageBreak/>
        <w:t>En virtud de lo anterior, se modificará la orden que al respecto dio el a quo frente a la indexación, en el sentido de que el valor total generado por sanción moratoria se ajustará en su valor tomando como base el índice de precios al consumidor conforme lo dispone el art.</w:t>
      </w:r>
      <w:r>
        <w:rPr>
          <w:b/>
          <w:bCs/>
          <w:color w:val="000000" w:themeColor="text1"/>
          <w:lang w:val="es-ES" w:eastAsia="en-US"/>
        </w:rPr>
        <w:t xml:space="preserve"> </w:t>
      </w:r>
      <w:r w:rsidRPr="7B28F198">
        <w:rPr>
          <w:b/>
          <w:bCs/>
          <w:color w:val="000000" w:themeColor="text1"/>
          <w:lang w:val="es-ES" w:eastAsia="en-US"/>
        </w:rPr>
        <w:t xml:space="preserve">187 del CPACA a partir del día siguiente que cesó la </w:t>
      </w:r>
      <w:r>
        <w:rPr>
          <w:b/>
          <w:bCs/>
          <w:color w:val="000000" w:themeColor="text1"/>
          <w:lang w:val="es-ES" w:eastAsia="en-US"/>
        </w:rPr>
        <w:t>causación</w:t>
      </w:r>
      <w:r w:rsidRPr="7B28F198">
        <w:rPr>
          <w:b/>
          <w:bCs/>
          <w:color w:val="000000" w:themeColor="text1"/>
          <w:lang w:val="es-ES" w:eastAsia="en-US"/>
        </w:rPr>
        <w:t xml:space="preserve"> de la sanción moratoria, esto es, desde 10 de julio de 2015, hasta la fecha de ejecutoria de la sentencia, y en adelante correrán los intereses consagrados en los arts.192 y 195 del CPACA(...)” (Negrita y subraya fuera de texto)</w:t>
      </w:r>
    </w:p>
    <w:p w14:paraId="02A53677" w14:textId="77777777" w:rsidR="007C0CE4" w:rsidRDefault="007C0CE4" w:rsidP="007C0CE4">
      <w:pPr>
        <w:spacing w:line="360" w:lineRule="auto"/>
        <w:rPr>
          <w:b/>
          <w:bCs/>
          <w:color w:val="000000" w:themeColor="text1"/>
          <w:sz w:val="26"/>
          <w:szCs w:val="26"/>
          <w:lang w:val="es-ES" w:eastAsia="en-US"/>
        </w:rPr>
      </w:pPr>
    </w:p>
    <w:p w14:paraId="17272C2E" w14:textId="78C79A3F" w:rsidR="007C0CE4" w:rsidRPr="00E62F8C" w:rsidRDefault="007C0CE4" w:rsidP="007C0CE4">
      <w:pPr>
        <w:spacing w:line="360" w:lineRule="auto"/>
        <w:jc w:val="both"/>
        <w:rPr>
          <w:color w:val="000000" w:themeColor="text1"/>
          <w:sz w:val="26"/>
          <w:szCs w:val="26"/>
          <w:lang w:val="es-ES" w:eastAsia="en-US"/>
        </w:rPr>
      </w:pPr>
      <w:r w:rsidRPr="29A1FC80">
        <w:rPr>
          <w:color w:val="000000" w:themeColor="text1"/>
          <w:sz w:val="26"/>
          <w:szCs w:val="26"/>
          <w:lang w:val="es-ES" w:eastAsia="en-US"/>
        </w:rPr>
        <w:t>En consecuencia, para la Sala en este caso, solo es procedente aplicar la indexación desde que cesó la mora hasta la ejecutoria de la sentencia, lo cual se encuentra ajustado no solo a lo dispuesto en el artículo 187 de la Ley 1437 de 2011, sino al lineamiento jurisprudencial reseñado y al</w:t>
      </w:r>
      <w:r>
        <w:rPr>
          <w:color w:val="000000" w:themeColor="text1"/>
          <w:sz w:val="26"/>
          <w:szCs w:val="26"/>
          <w:lang w:val="es-ES" w:eastAsia="en-US"/>
        </w:rPr>
        <w:t xml:space="preserve"> </w:t>
      </w:r>
      <w:r w:rsidRPr="29A1FC80">
        <w:rPr>
          <w:color w:val="000000" w:themeColor="text1"/>
          <w:sz w:val="26"/>
          <w:szCs w:val="26"/>
          <w:lang w:val="es-ES" w:eastAsia="en-US"/>
        </w:rPr>
        <w:t>criterio reciente de este Tribunal Administrativo en sentencias del 10 y 22 de septiembre de 2020, Exp. No. 152383333001-2019-00027-01, M.P.</w:t>
      </w:r>
      <w:r>
        <w:rPr>
          <w:color w:val="000000" w:themeColor="text1"/>
          <w:sz w:val="26"/>
          <w:szCs w:val="26"/>
          <w:lang w:val="es-ES" w:eastAsia="en-US"/>
        </w:rPr>
        <w:t xml:space="preserve"> </w:t>
      </w:r>
      <w:r w:rsidRPr="29A1FC80">
        <w:rPr>
          <w:color w:val="000000" w:themeColor="text1"/>
          <w:sz w:val="26"/>
          <w:szCs w:val="26"/>
          <w:lang w:val="es-ES" w:eastAsia="en-US"/>
        </w:rPr>
        <w:t>Dra.</w:t>
      </w:r>
      <w:r>
        <w:rPr>
          <w:color w:val="000000" w:themeColor="text1"/>
          <w:sz w:val="26"/>
          <w:szCs w:val="26"/>
          <w:lang w:val="es-ES" w:eastAsia="en-US"/>
        </w:rPr>
        <w:t xml:space="preserve"> </w:t>
      </w:r>
      <w:r w:rsidRPr="29A1FC80">
        <w:rPr>
          <w:color w:val="000000" w:themeColor="text1"/>
          <w:sz w:val="26"/>
          <w:szCs w:val="26"/>
          <w:lang w:val="es-ES" w:eastAsia="en-US"/>
        </w:rPr>
        <w:t>Clara Elisa Cifuentes Ortiz</w:t>
      </w:r>
      <w:r>
        <w:rPr>
          <w:color w:val="000000" w:themeColor="text1"/>
          <w:sz w:val="26"/>
          <w:szCs w:val="26"/>
          <w:lang w:val="es-ES" w:eastAsia="en-US"/>
        </w:rPr>
        <w:t xml:space="preserve"> </w:t>
      </w:r>
      <w:r w:rsidRPr="29A1FC80">
        <w:rPr>
          <w:color w:val="000000" w:themeColor="text1"/>
          <w:sz w:val="26"/>
          <w:szCs w:val="26"/>
          <w:lang w:val="es-ES" w:eastAsia="en-US"/>
        </w:rPr>
        <w:t>y</w:t>
      </w:r>
      <w:r>
        <w:rPr>
          <w:color w:val="000000" w:themeColor="text1"/>
          <w:sz w:val="26"/>
          <w:szCs w:val="26"/>
          <w:lang w:val="es-ES" w:eastAsia="en-US"/>
        </w:rPr>
        <w:t xml:space="preserve"> </w:t>
      </w:r>
      <w:r w:rsidRPr="29A1FC80">
        <w:rPr>
          <w:color w:val="000000" w:themeColor="text1"/>
          <w:sz w:val="26"/>
          <w:szCs w:val="26"/>
          <w:lang w:val="es-ES" w:eastAsia="en-US"/>
        </w:rPr>
        <w:t>No. 150013333005-2019-00091-01, M.P.</w:t>
      </w:r>
      <w:r>
        <w:rPr>
          <w:color w:val="000000" w:themeColor="text1"/>
          <w:sz w:val="26"/>
          <w:szCs w:val="26"/>
          <w:lang w:val="es-ES" w:eastAsia="en-US"/>
        </w:rPr>
        <w:t xml:space="preserve"> </w:t>
      </w:r>
      <w:r w:rsidRPr="29A1FC80">
        <w:rPr>
          <w:color w:val="000000" w:themeColor="text1"/>
          <w:sz w:val="26"/>
          <w:szCs w:val="26"/>
          <w:lang w:val="es-ES" w:eastAsia="en-US"/>
        </w:rPr>
        <w:t>Dr.</w:t>
      </w:r>
      <w:r>
        <w:rPr>
          <w:color w:val="000000" w:themeColor="text1"/>
          <w:sz w:val="26"/>
          <w:szCs w:val="26"/>
          <w:lang w:val="es-ES" w:eastAsia="en-US"/>
        </w:rPr>
        <w:t xml:space="preserve"> </w:t>
      </w:r>
      <w:r w:rsidRPr="29A1FC80">
        <w:rPr>
          <w:color w:val="000000" w:themeColor="text1"/>
          <w:sz w:val="26"/>
          <w:szCs w:val="26"/>
          <w:lang w:val="es-ES" w:eastAsia="en-US"/>
        </w:rPr>
        <w:t>José</w:t>
      </w:r>
      <w:r>
        <w:rPr>
          <w:color w:val="000000" w:themeColor="text1"/>
          <w:sz w:val="26"/>
          <w:szCs w:val="26"/>
          <w:lang w:val="es-ES" w:eastAsia="en-US"/>
        </w:rPr>
        <w:t xml:space="preserve"> </w:t>
      </w:r>
      <w:r w:rsidRPr="29A1FC80">
        <w:rPr>
          <w:color w:val="000000" w:themeColor="text1"/>
          <w:sz w:val="26"/>
          <w:szCs w:val="26"/>
          <w:lang w:val="es-ES" w:eastAsia="en-US"/>
        </w:rPr>
        <w:t>Ascención</w:t>
      </w:r>
      <w:r>
        <w:rPr>
          <w:color w:val="000000" w:themeColor="text1"/>
          <w:sz w:val="26"/>
          <w:szCs w:val="26"/>
          <w:lang w:val="es-ES" w:eastAsia="en-US"/>
        </w:rPr>
        <w:t xml:space="preserve"> </w:t>
      </w:r>
      <w:r w:rsidRPr="29A1FC80">
        <w:rPr>
          <w:color w:val="000000" w:themeColor="text1"/>
          <w:sz w:val="26"/>
          <w:szCs w:val="26"/>
          <w:lang w:val="es-ES" w:eastAsia="en-US"/>
        </w:rPr>
        <w:t>Fernández Osorio, respectivamente.</w:t>
      </w:r>
    </w:p>
    <w:p w14:paraId="54D695FD" w14:textId="77777777" w:rsidR="007C0CE4" w:rsidRDefault="007C0CE4" w:rsidP="007C0CE4">
      <w:pPr>
        <w:spacing w:line="360" w:lineRule="auto"/>
        <w:jc w:val="both"/>
        <w:rPr>
          <w:color w:val="000000" w:themeColor="text1"/>
          <w:lang w:val="es-ES" w:eastAsia="en-US"/>
        </w:rPr>
      </w:pPr>
    </w:p>
    <w:p w14:paraId="6559C5D3" w14:textId="4579A588" w:rsidR="007C0CE4" w:rsidRPr="004E65B1" w:rsidRDefault="007C0CE4" w:rsidP="4ACB0057">
      <w:pPr>
        <w:spacing w:line="360" w:lineRule="auto"/>
        <w:jc w:val="both"/>
        <w:rPr>
          <w:color w:val="000000" w:themeColor="text1"/>
          <w:sz w:val="26"/>
          <w:szCs w:val="26"/>
          <w:lang w:val="es-ES" w:eastAsia="en-US"/>
        </w:rPr>
      </w:pPr>
      <w:r w:rsidRPr="004E65B1">
        <w:rPr>
          <w:color w:val="000000" w:themeColor="text1"/>
          <w:sz w:val="26"/>
          <w:szCs w:val="26"/>
          <w:lang w:val="es-ES" w:eastAsia="en-US"/>
        </w:rPr>
        <w:t>Es preciso aclarar que, si bien esta Sala de decisión en oportunidades anteriores había acudido a la literalidad de la sentencia de unificación</w:t>
      </w:r>
      <w:r w:rsidR="5CC3B7EE" w:rsidRPr="004E65B1">
        <w:rPr>
          <w:color w:val="000000" w:themeColor="text1"/>
          <w:sz w:val="26"/>
          <w:szCs w:val="26"/>
          <w:lang w:val="es-ES" w:eastAsia="en-US"/>
        </w:rPr>
        <w:t>,</w:t>
      </w:r>
      <w:r w:rsidRPr="004E65B1">
        <w:rPr>
          <w:color w:val="000000" w:themeColor="text1"/>
          <w:sz w:val="26"/>
          <w:szCs w:val="26"/>
          <w:lang w:val="es-ES" w:eastAsia="en-US"/>
        </w:rPr>
        <w:t xml:space="preserve"> en el entendido de que no era procedente la indexación de la condena, se procede a corregir dicho criterio dada la interpretación hecha por el mismo Consejo de Estado en la sentencia ya referenciada y</w:t>
      </w:r>
      <w:r w:rsidR="56E153AC" w:rsidRPr="004E65B1">
        <w:rPr>
          <w:color w:val="000000" w:themeColor="text1"/>
          <w:sz w:val="26"/>
          <w:szCs w:val="26"/>
          <w:lang w:val="es-ES" w:eastAsia="en-US"/>
        </w:rPr>
        <w:t>,</w:t>
      </w:r>
      <w:r w:rsidRPr="004E65B1">
        <w:rPr>
          <w:color w:val="000000" w:themeColor="text1"/>
          <w:sz w:val="26"/>
          <w:szCs w:val="26"/>
          <w:lang w:val="es-ES" w:eastAsia="en-US"/>
        </w:rPr>
        <w:t xml:space="preserve"> aunado a ello, acogida por esta corporación según sala administrativa que tuvo lugar el 8 de septiembre de 2021.</w:t>
      </w:r>
    </w:p>
    <w:p w14:paraId="729FCAEA" w14:textId="77777777" w:rsidR="007C0CE4" w:rsidRPr="00711277" w:rsidRDefault="007C0CE4" w:rsidP="007C0CE4">
      <w:pPr>
        <w:spacing w:line="360" w:lineRule="auto"/>
        <w:jc w:val="both"/>
        <w:rPr>
          <w:b/>
          <w:bCs/>
          <w:color w:val="000000" w:themeColor="text1"/>
          <w:sz w:val="26"/>
          <w:szCs w:val="26"/>
        </w:rPr>
      </w:pPr>
    </w:p>
    <w:p w14:paraId="0EBB4B54" w14:textId="02A9C3D7" w:rsidR="00711277" w:rsidRPr="00711277" w:rsidRDefault="00711277" w:rsidP="000B2BE5">
      <w:pPr>
        <w:spacing w:line="360" w:lineRule="auto"/>
        <w:jc w:val="both"/>
        <w:rPr>
          <w:b/>
          <w:bCs/>
          <w:color w:val="000000" w:themeColor="text1"/>
          <w:sz w:val="26"/>
          <w:szCs w:val="26"/>
        </w:rPr>
      </w:pPr>
      <w:r w:rsidRPr="00711277">
        <w:rPr>
          <w:b/>
          <w:bCs/>
          <w:color w:val="000000" w:themeColor="text1"/>
          <w:sz w:val="26"/>
          <w:szCs w:val="26"/>
        </w:rPr>
        <w:t>9. Conclusiones</w:t>
      </w:r>
    </w:p>
    <w:p w14:paraId="3A6A2397" w14:textId="45CAD05E" w:rsidR="000B2BE5" w:rsidRDefault="000B2BE5" w:rsidP="000B2BE5">
      <w:pPr>
        <w:spacing w:line="360" w:lineRule="auto"/>
        <w:jc w:val="both"/>
        <w:rPr>
          <w:color w:val="000000" w:themeColor="text1"/>
          <w:sz w:val="26"/>
          <w:szCs w:val="26"/>
        </w:rPr>
      </w:pPr>
    </w:p>
    <w:p w14:paraId="10A88803" w14:textId="18EF68FE" w:rsidR="00711277" w:rsidRDefault="00711277" w:rsidP="00711277">
      <w:pPr>
        <w:pStyle w:val="Prrafodelista"/>
        <w:numPr>
          <w:ilvl w:val="0"/>
          <w:numId w:val="28"/>
        </w:numPr>
        <w:spacing w:line="360" w:lineRule="auto"/>
        <w:jc w:val="both"/>
        <w:rPr>
          <w:color w:val="000000" w:themeColor="text1"/>
          <w:sz w:val="26"/>
          <w:szCs w:val="26"/>
        </w:rPr>
      </w:pPr>
      <w:r w:rsidRPr="00711277">
        <w:rPr>
          <w:color w:val="000000" w:themeColor="text1"/>
          <w:sz w:val="26"/>
          <w:szCs w:val="26"/>
        </w:rPr>
        <w:t>La Sala revocará la sentencia de primera instancia y en su lugar declarará la nulidad del acto administrativo ficto negativo, fruto del silencio observado por la entidad demandada frente al reconocimiento de la sanción moratoria pretendida por el señor Bernardo Beltrán Rivera.</w:t>
      </w:r>
    </w:p>
    <w:p w14:paraId="339B9172" w14:textId="1944292C" w:rsidR="00711277" w:rsidRPr="004E65B1" w:rsidRDefault="00711277" w:rsidP="00711277">
      <w:pPr>
        <w:pStyle w:val="Prrafodelista"/>
        <w:numPr>
          <w:ilvl w:val="0"/>
          <w:numId w:val="28"/>
        </w:numPr>
        <w:spacing w:line="360" w:lineRule="auto"/>
        <w:jc w:val="both"/>
        <w:rPr>
          <w:b/>
          <w:bCs/>
          <w:color w:val="000000" w:themeColor="text1"/>
          <w:sz w:val="26"/>
          <w:szCs w:val="26"/>
        </w:rPr>
      </w:pPr>
      <w:r w:rsidRPr="004E65B1">
        <w:rPr>
          <w:color w:val="000000" w:themeColor="text1"/>
          <w:sz w:val="26"/>
          <w:szCs w:val="26"/>
        </w:rPr>
        <w:t xml:space="preserve">La sanción moratoria será reconocida desde el 29 de julio de 2015 (día siguiente al vencimiento de los 70 días) hasta el 30 de noviembre de 2015 (día anterior al pago), pero se decretará la prescripción respecto de </w:t>
      </w:r>
      <w:r w:rsidRPr="004E65B1">
        <w:rPr>
          <w:b/>
          <w:bCs/>
          <w:color w:val="000000" w:themeColor="text1"/>
          <w:sz w:val="26"/>
          <w:szCs w:val="26"/>
        </w:rPr>
        <w:t>los días 29, 30 y</w:t>
      </w:r>
      <w:r w:rsidR="009F4ABB" w:rsidRPr="004E65B1">
        <w:rPr>
          <w:b/>
          <w:bCs/>
          <w:color w:val="000000" w:themeColor="text1"/>
          <w:sz w:val="26"/>
          <w:szCs w:val="26"/>
        </w:rPr>
        <w:t xml:space="preserve"> </w:t>
      </w:r>
      <w:r w:rsidRPr="004E65B1">
        <w:rPr>
          <w:b/>
          <w:bCs/>
          <w:color w:val="000000" w:themeColor="text1"/>
          <w:sz w:val="26"/>
          <w:szCs w:val="26"/>
        </w:rPr>
        <w:t>31 de julio de 2015.</w:t>
      </w:r>
    </w:p>
    <w:p w14:paraId="2867C015" w14:textId="08BC96EC" w:rsidR="00711277" w:rsidRPr="007C0CE4" w:rsidRDefault="007C0CE4" w:rsidP="00711277">
      <w:pPr>
        <w:pStyle w:val="Prrafodelista"/>
        <w:numPr>
          <w:ilvl w:val="0"/>
          <w:numId w:val="28"/>
        </w:numPr>
        <w:spacing w:line="360" w:lineRule="auto"/>
        <w:jc w:val="both"/>
        <w:rPr>
          <w:color w:val="000000" w:themeColor="text1"/>
          <w:sz w:val="26"/>
          <w:szCs w:val="26"/>
        </w:rPr>
      </w:pPr>
      <w:r w:rsidRPr="073719D1">
        <w:rPr>
          <w:color w:val="000000" w:themeColor="text1"/>
          <w:sz w:val="26"/>
          <w:szCs w:val="26"/>
          <w:lang w:eastAsia="en-US"/>
        </w:rPr>
        <w:t xml:space="preserve">El valor total generado por sanción moratoria se ajustará en su valor tomando como base el índice de precios al consumidor conforme lo dispone el art. 187 del CPACA a partir del día siguiente que cesó la causación de la sanción </w:t>
      </w:r>
      <w:r w:rsidRPr="073719D1">
        <w:rPr>
          <w:color w:val="000000" w:themeColor="text1"/>
          <w:sz w:val="26"/>
          <w:szCs w:val="26"/>
          <w:lang w:eastAsia="en-US"/>
        </w:rPr>
        <w:lastRenderedPageBreak/>
        <w:t>moratoria, esto es, desde el 1 de diciembre de 2015, hasta la fecha de ejecutoria de la sentencia, y en adelante correrán los intereses consagrados en los arts.192 y 195 del CPACA</w:t>
      </w:r>
    </w:p>
    <w:p w14:paraId="794BEFCA" w14:textId="77777777" w:rsidR="0034356A" w:rsidRPr="004B3883" w:rsidRDefault="0034356A" w:rsidP="007E4BD3">
      <w:pPr>
        <w:spacing w:line="360" w:lineRule="auto"/>
        <w:jc w:val="both"/>
        <w:rPr>
          <w:rFonts w:eastAsiaTheme="minorEastAsia"/>
          <w:b/>
          <w:bCs/>
          <w:color w:val="000000" w:themeColor="text1"/>
          <w:sz w:val="26"/>
          <w:szCs w:val="26"/>
          <w:lang w:eastAsia="en-US"/>
        </w:rPr>
      </w:pPr>
    </w:p>
    <w:p w14:paraId="2532DA05" w14:textId="0176BE6B" w:rsidR="004C6C0F" w:rsidRPr="00170593" w:rsidRDefault="007C0CE4" w:rsidP="073719D1">
      <w:pPr>
        <w:pStyle w:val="Textoindependiente21"/>
        <w:spacing w:line="360" w:lineRule="auto"/>
        <w:rPr>
          <w:b/>
          <w:bCs/>
          <w:color w:val="000000" w:themeColor="text1"/>
          <w:sz w:val="26"/>
          <w:szCs w:val="26"/>
        </w:rPr>
      </w:pPr>
      <w:r w:rsidRPr="073719D1">
        <w:rPr>
          <w:b/>
          <w:bCs/>
          <w:color w:val="000000" w:themeColor="text1"/>
          <w:sz w:val="26"/>
          <w:szCs w:val="26"/>
        </w:rPr>
        <w:t>10</w:t>
      </w:r>
      <w:r w:rsidR="00FD707B" w:rsidRPr="073719D1">
        <w:rPr>
          <w:b/>
          <w:bCs/>
          <w:color w:val="000000" w:themeColor="text1"/>
          <w:sz w:val="26"/>
          <w:szCs w:val="26"/>
        </w:rPr>
        <w:t>. Costas y agencias en derecho</w:t>
      </w:r>
    </w:p>
    <w:p w14:paraId="78D43171" w14:textId="449D50F8" w:rsidR="073719D1" w:rsidRDefault="073719D1" w:rsidP="073719D1">
      <w:pPr>
        <w:pStyle w:val="Textoindependiente21"/>
        <w:spacing w:line="360" w:lineRule="auto"/>
        <w:rPr>
          <w:b/>
          <w:bCs/>
          <w:color w:val="000000" w:themeColor="text1"/>
          <w:szCs w:val="28"/>
        </w:rPr>
      </w:pPr>
    </w:p>
    <w:p w14:paraId="2569EE2B" w14:textId="77777777" w:rsidR="00170593" w:rsidRDefault="00170593" w:rsidP="003730D6">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color w:val="000000"/>
          <w:sz w:val="26"/>
          <w:szCs w:val="26"/>
        </w:rPr>
        <w:t>El artículo 361 del Código General del Proceso, prevé que las costas están integradas por la totalidad de expensas y gastos sufragados durante el curso de un proceso y por las agencias en derecho.   </w:t>
      </w:r>
      <w:r>
        <w:rPr>
          <w:rStyle w:val="eop"/>
          <w:color w:val="000000"/>
          <w:sz w:val="26"/>
          <w:szCs w:val="26"/>
        </w:rPr>
        <w:t> </w:t>
      </w:r>
    </w:p>
    <w:p w14:paraId="6BE2B612" w14:textId="77777777" w:rsidR="00170593" w:rsidRDefault="00170593" w:rsidP="003730D6">
      <w:pPr>
        <w:pStyle w:val="paragraph"/>
        <w:spacing w:before="0" w:beforeAutospacing="0" w:after="0" w:afterAutospacing="0" w:line="360" w:lineRule="auto"/>
        <w:ind w:left="1410"/>
        <w:jc w:val="both"/>
        <w:textAlignment w:val="baseline"/>
        <w:rPr>
          <w:rFonts w:ascii="Segoe UI" w:hAnsi="Segoe UI" w:cs="Segoe UI"/>
          <w:sz w:val="18"/>
          <w:szCs w:val="18"/>
        </w:rPr>
      </w:pPr>
      <w:r>
        <w:rPr>
          <w:rStyle w:val="normaltextrun"/>
          <w:color w:val="000000"/>
          <w:sz w:val="26"/>
          <w:szCs w:val="26"/>
        </w:rPr>
        <w:t>   </w:t>
      </w:r>
      <w:r>
        <w:rPr>
          <w:rStyle w:val="eop"/>
          <w:color w:val="000000"/>
          <w:sz w:val="26"/>
          <w:szCs w:val="26"/>
        </w:rPr>
        <w:t> </w:t>
      </w:r>
    </w:p>
    <w:p w14:paraId="736FB132" w14:textId="77777777" w:rsidR="00170593" w:rsidRDefault="00170593" w:rsidP="003730D6">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color w:val="000000"/>
          <w:sz w:val="26"/>
          <w:szCs w:val="26"/>
        </w:rPr>
        <w:t>El Consejo de Estado, Sección Segunda, Subsección “A” en sentencia de 7 de abril de 2016, con ponencia del consejero Doctor William Hernández Gómez, dentro del proceso con Radicación: 3001-23-33-000-2013-00022-01 Número Interno: 1291-2014, Actor: José Francisco Guerrero Bardi, Demandado: Unidad Administrativa Especial de Gestión Pensional y Contribuciones Parafiscales de la Protección Social – UGPP - Caja Nacional de Previsión Social – Cajanal EICE, en Liquidación, (Hoy liquidada), precisó:   </w:t>
      </w:r>
      <w:r>
        <w:rPr>
          <w:rStyle w:val="eop"/>
          <w:color w:val="000000"/>
          <w:sz w:val="26"/>
          <w:szCs w:val="26"/>
        </w:rPr>
        <w:t> </w:t>
      </w:r>
    </w:p>
    <w:p w14:paraId="1EEDB14B" w14:textId="77777777" w:rsidR="00170593" w:rsidRDefault="00170593" w:rsidP="0017059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6"/>
          <w:szCs w:val="26"/>
        </w:rPr>
        <w:t>  </w:t>
      </w:r>
      <w:r>
        <w:rPr>
          <w:rStyle w:val="normaltextrun"/>
          <w:rFonts w:ascii="Arial" w:eastAsia="Dotum" w:hAnsi="Arial" w:cs="Arial"/>
          <w:color w:val="000000"/>
          <w:sz w:val="26"/>
          <w:szCs w:val="26"/>
        </w:rPr>
        <w:t> </w:t>
      </w:r>
      <w:r>
        <w:rPr>
          <w:rStyle w:val="eop"/>
          <w:rFonts w:ascii="Dotum" w:eastAsia="Dotum" w:hAnsi="Dotum" w:cs="Segoe UI" w:hint="eastAsia"/>
          <w:color w:val="000000"/>
          <w:sz w:val="26"/>
          <w:szCs w:val="26"/>
        </w:rPr>
        <w:t> </w:t>
      </w:r>
    </w:p>
    <w:p w14:paraId="1FB753E7" w14:textId="77777777" w:rsidR="00170593" w:rsidRDefault="00170593" w:rsidP="00170593">
      <w:pPr>
        <w:pStyle w:val="paragraph"/>
        <w:spacing w:before="0" w:beforeAutospacing="0" w:after="0" w:afterAutospacing="0"/>
        <w:ind w:left="1110"/>
        <w:jc w:val="both"/>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571A8D99" w14:textId="77777777" w:rsidR="00170593" w:rsidRDefault="00170593" w:rsidP="00170593">
      <w:pPr>
        <w:pStyle w:val="paragraph"/>
        <w:spacing w:before="0" w:beforeAutospacing="0" w:after="0" w:afterAutospacing="0"/>
        <w:ind w:left="1110"/>
        <w:jc w:val="both"/>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30B707C4" w14:textId="77777777" w:rsidR="00170593" w:rsidRDefault="00170593" w:rsidP="00170593">
      <w:pPr>
        <w:pStyle w:val="paragraph"/>
        <w:spacing w:before="0" w:beforeAutospacing="0" w:after="0" w:afterAutospacing="0"/>
        <w:ind w:left="1110"/>
        <w:jc w:val="both"/>
        <w:textAlignment w:val="baseline"/>
        <w:rPr>
          <w:rFonts w:ascii="Segoe UI" w:hAnsi="Segoe UI" w:cs="Segoe UI"/>
          <w:sz w:val="18"/>
          <w:szCs w:val="18"/>
        </w:rPr>
      </w:pPr>
      <w:r>
        <w:rPr>
          <w:rStyle w:val="normaltextrun"/>
          <w:color w:val="000000"/>
          <w:sz w:val="22"/>
          <w:szCs w:val="22"/>
        </w:rPr>
        <w:t>“Ahora bien, a raíz de la expedición del nuevo Código de Procedimiento Administrativo y de lo Contencioso Administrativo, en anteriores oportunidades y en materia de condena en costas, la Subsección A sostuvo que el artículo 188 de la Ley 1437 de 2011, no implicaba la condena de manera “automática” u “objetiva”, frente a aquel que resultara vencido en el litigio.   </w:t>
      </w:r>
      <w:r>
        <w:rPr>
          <w:rStyle w:val="eop"/>
          <w:color w:val="000000"/>
          <w:sz w:val="22"/>
          <w:szCs w:val="22"/>
        </w:rPr>
        <w:t> </w:t>
      </w:r>
    </w:p>
    <w:p w14:paraId="78B1B43B" w14:textId="77777777" w:rsidR="00170593" w:rsidRDefault="00170593" w:rsidP="00170593">
      <w:pPr>
        <w:pStyle w:val="paragraph"/>
        <w:spacing w:before="0" w:beforeAutospacing="0" w:after="0" w:afterAutospacing="0"/>
        <w:ind w:left="1110"/>
        <w:jc w:val="both"/>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545C26F4" w14:textId="77777777" w:rsidR="00170593" w:rsidRDefault="00170593" w:rsidP="00170593">
      <w:pPr>
        <w:pStyle w:val="paragraph"/>
        <w:spacing w:before="0" w:beforeAutospacing="0" w:after="0" w:afterAutospacing="0"/>
        <w:ind w:left="1110"/>
        <w:jc w:val="both"/>
        <w:textAlignment w:val="baseline"/>
        <w:rPr>
          <w:rFonts w:ascii="Segoe UI" w:hAnsi="Segoe UI" w:cs="Segoe UI"/>
          <w:sz w:val="18"/>
          <w:szCs w:val="18"/>
        </w:rPr>
      </w:pPr>
      <w:r>
        <w:rPr>
          <w:rStyle w:val="normaltextrun"/>
          <w:color w:val="000000"/>
          <w:sz w:val="22"/>
          <w:szCs w:val="22"/>
        </w:rPr>
        <w:t>Ello, en consideración a que debían observarse una serie de factores, tales como la temeridad, la mala fe y la existencia de pruebas en el proceso sobre los gastos y costas en el curso de la actuación, en donde el juez debía ponderar dichas circunstancias y sustentar la decisión, existiendo un margen de análisis mínimo en el que el juez evaluara las circunstancias para imponerla, o no</w:t>
      </w:r>
      <w:r>
        <w:rPr>
          <w:rStyle w:val="normaltextrun"/>
          <w:color w:val="000000"/>
          <w:sz w:val="8"/>
          <w:szCs w:val="8"/>
          <w:vertAlign w:val="superscript"/>
        </w:rPr>
        <w:t>16</w:t>
      </w:r>
      <w:r>
        <w:rPr>
          <w:rStyle w:val="normaltextrun"/>
          <w:color w:val="000000"/>
          <w:sz w:val="22"/>
          <w:szCs w:val="22"/>
        </w:rPr>
        <w:t>.   </w:t>
      </w:r>
      <w:r>
        <w:rPr>
          <w:rStyle w:val="eop"/>
          <w:color w:val="000000"/>
          <w:sz w:val="22"/>
          <w:szCs w:val="22"/>
        </w:rPr>
        <w:t> </w:t>
      </w:r>
    </w:p>
    <w:p w14:paraId="6E4F51A7" w14:textId="77777777" w:rsidR="00170593" w:rsidRDefault="00170593" w:rsidP="00170593">
      <w:pPr>
        <w:pStyle w:val="paragraph"/>
        <w:spacing w:before="0" w:beforeAutospacing="0" w:after="0" w:afterAutospacing="0"/>
        <w:ind w:left="1110"/>
        <w:jc w:val="both"/>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73FC6CE6" w14:textId="77777777" w:rsidR="00170593" w:rsidRDefault="00170593" w:rsidP="00170593">
      <w:pPr>
        <w:pStyle w:val="paragraph"/>
        <w:spacing w:before="0" w:beforeAutospacing="0" w:after="0" w:afterAutospacing="0"/>
        <w:ind w:left="1110"/>
        <w:jc w:val="both"/>
        <w:textAlignment w:val="baseline"/>
        <w:rPr>
          <w:rFonts w:ascii="Segoe UI" w:hAnsi="Segoe UI" w:cs="Segoe UI"/>
          <w:sz w:val="18"/>
          <w:szCs w:val="18"/>
        </w:rPr>
      </w:pPr>
      <w:r>
        <w:rPr>
          <w:rStyle w:val="normaltextrun"/>
          <w:color w:val="000000"/>
          <w:sz w:val="22"/>
          <w:szCs w:val="22"/>
        </w:rPr>
        <w:t>Sin embargo, en esta oportunidad la Subsección A varía aquella posición </w:t>
      </w:r>
      <w:r>
        <w:rPr>
          <w:rStyle w:val="normaltextrun"/>
          <w:b/>
          <w:bCs/>
          <w:color w:val="000000"/>
          <w:sz w:val="22"/>
          <w:szCs w:val="22"/>
        </w:rPr>
        <w:t>y acoge el criterio objetivo para la imposición de costas (incluidas las agencias en derecho) al concluir que no se debe evaluar la conducta de las partes (temeridad o mala fe). </w:t>
      </w:r>
      <w:r>
        <w:rPr>
          <w:rStyle w:val="normaltextrun"/>
          <w:b/>
          <w:bCs/>
          <w:color w:val="000000"/>
          <w:sz w:val="22"/>
          <w:szCs w:val="22"/>
          <w:u w:val="single"/>
        </w:rPr>
        <w:t>Se deben valorar aspectos objetivos respecto de la </w:t>
      </w:r>
      <w:r>
        <w:rPr>
          <w:rStyle w:val="normaltextrun"/>
          <w:color w:val="000000"/>
          <w:sz w:val="22"/>
          <w:szCs w:val="22"/>
          <w:u w:val="single"/>
        </w:rPr>
        <w:t>acusación d</w:t>
      </w:r>
      <w:r>
        <w:rPr>
          <w:rStyle w:val="normaltextrun"/>
          <w:b/>
          <w:bCs/>
          <w:color w:val="000000"/>
          <w:sz w:val="22"/>
          <w:szCs w:val="22"/>
          <w:u w:val="single"/>
        </w:rPr>
        <w:t>e las costas</w:t>
      </w:r>
      <w:r>
        <w:rPr>
          <w:rStyle w:val="normaltextrun"/>
          <w:b/>
          <w:bCs/>
          <w:color w:val="000000"/>
          <w:sz w:val="22"/>
          <w:szCs w:val="22"/>
        </w:rPr>
        <w:t>, tal como lo prevé el Código General del Proceso, con el fin de darle plena aplicación a su artículo 365.</w:t>
      </w:r>
      <w:r>
        <w:rPr>
          <w:rStyle w:val="normaltextrun"/>
          <w:b/>
          <w:bCs/>
          <w:color w:val="000000"/>
          <w:sz w:val="10"/>
          <w:szCs w:val="10"/>
          <w:vertAlign w:val="superscript"/>
        </w:rPr>
        <w:t>19</w:t>
      </w:r>
      <w:r>
        <w:rPr>
          <w:rStyle w:val="normaltextrun"/>
          <w:b/>
          <w:bCs/>
          <w:color w:val="000000"/>
          <w:sz w:val="22"/>
          <w:szCs w:val="22"/>
        </w:rPr>
        <w:t> </w:t>
      </w:r>
      <w:r>
        <w:rPr>
          <w:rStyle w:val="normaltextrun"/>
          <w:color w:val="000000"/>
          <w:sz w:val="22"/>
          <w:szCs w:val="22"/>
        </w:rPr>
        <w:t> </w:t>
      </w:r>
      <w:r>
        <w:rPr>
          <w:rStyle w:val="eop"/>
          <w:color w:val="000000"/>
          <w:sz w:val="22"/>
          <w:szCs w:val="22"/>
        </w:rPr>
        <w:t> </w:t>
      </w:r>
    </w:p>
    <w:p w14:paraId="20D12FBA" w14:textId="74DB099F" w:rsidR="003730D6" w:rsidRPr="003730D6" w:rsidRDefault="00170593" w:rsidP="003730D6">
      <w:pPr>
        <w:pStyle w:val="paragraph"/>
        <w:spacing w:before="0" w:beforeAutospacing="0" w:after="0" w:afterAutospacing="0"/>
        <w:ind w:left="1410"/>
        <w:jc w:val="both"/>
        <w:textAlignment w:val="baseline"/>
        <w:rPr>
          <w:rFonts w:ascii="Segoe UI" w:hAnsi="Segoe UI" w:cs="Segoe UI"/>
          <w:sz w:val="18"/>
          <w:szCs w:val="18"/>
        </w:rPr>
      </w:pPr>
      <w:r>
        <w:rPr>
          <w:rStyle w:val="normaltextrun"/>
          <w:rFonts w:ascii="Arial" w:hAnsi="Arial" w:cs="Arial"/>
          <w:color w:val="000000"/>
          <w:sz w:val="26"/>
          <w:szCs w:val="26"/>
        </w:rPr>
        <w:t> </w:t>
      </w:r>
      <w:r>
        <w:rPr>
          <w:rStyle w:val="eop"/>
          <w:rFonts w:ascii="Arial" w:hAnsi="Arial" w:cs="Arial"/>
          <w:color w:val="000000"/>
          <w:sz w:val="26"/>
          <w:szCs w:val="26"/>
        </w:rPr>
        <w:t> </w:t>
      </w:r>
    </w:p>
    <w:p w14:paraId="734547BF" w14:textId="77777777" w:rsidR="00170593" w:rsidRDefault="00170593" w:rsidP="003730D6">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color w:val="000000"/>
          <w:sz w:val="26"/>
          <w:szCs w:val="26"/>
        </w:rPr>
        <w:t xml:space="preserve">En ese orden de ideas, al expedirse la Ley 1437 de 2011, se dejó de lado el régimen subjetivo del hoy derogado Decreto 01 de 1984, que determinaba la condena en costas a la parte vencida en el proceso, pero con el ingrediente de tener en cuenta su conducta procesal, ya fuera esta dilatoria, abusiva o temeraria. Precisamente, mediante el </w:t>
      </w:r>
      <w:r>
        <w:rPr>
          <w:rStyle w:val="normaltextrun"/>
          <w:color w:val="000000"/>
          <w:sz w:val="26"/>
          <w:szCs w:val="26"/>
        </w:rPr>
        <w:lastRenderedPageBreak/>
        <w:t>artículo 188 del CPACA se acogió el régimen objetivo de la condena en costas, establecido para el Procedimiento Civil, actualmente</w:t>
      </w:r>
      <w:r>
        <w:rPr>
          <w:rStyle w:val="normaltextrun"/>
          <w:b/>
          <w:bCs/>
          <w:color w:val="000000"/>
          <w:sz w:val="26"/>
          <w:szCs w:val="26"/>
        </w:rPr>
        <w:t> </w:t>
      </w:r>
      <w:r>
        <w:rPr>
          <w:rStyle w:val="normaltextrun"/>
          <w:color w:val="000000"/>
          <w:sz w:val="26"/>
          <w:szCs w:val="26"/>
        </w:rPr>
        <w:t>regulado por el Código General del Proceso, artículo 365, quedando pues, sujeta su imposición al hecho de ser vencido en juicio. A efectos de determinar las reglas objetivas para la condena en costas, es dable verificar el artículo 365 del CPACA.</w:t>
      </w:r>
      <w:r>
        <w:rPr>
          <w:rStyle w:val="normaltextrun"/>
          <w:color w:val="000000"/>
          <w:sz w:val="20"/>
          <w:szCs w:val="20"/>
          <w:vertAlign w:val="superscript"/>
        </w:rPr>
        <w:t>20</w:t>
      </w:r>
      <w:r>
        <w:rPr>
          <w:rStyle w:val="normaltextrun"/>
          <w:color w:val="000000"/>
          <w:sz w:val="26"/>
          <w:szCs w:val="26"/>
        </w:rPr>
        <w:t>  </w:t>
      </w:r>
      <w:r>
        <w:rPr>
          <w:rStyle w:val="eop"/>
          <w:color w:val="000000"/>
          <w:sz w:val="26"/>
          <w:szCs w:val="26"/>
        </w:rPr>
        <w:t> </w:t>
      </w:r>
    </w:p>
    <w:p w14:paraId="43DE6DBC" w14:textId="77777777" w:rsidR="00170593" w:rsidRDefault="00170593" w:rsidP="003730D6">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color w:val="000000"/>
          <w:sz w:val="26"/>
          <w:szCs w:val="26"/>
        </w:rPr>
        <w:t>   </w:t>
      </w:r>
      <w:r>
        <w:rPr>
          <w:rStyle w:val="eop"/>
          <w:color w:val="000000"/>
          <w:sz w:val="26"/>
          <w:szCs w:val="26"/>
        </w:rPr>
        <w:t> </w:t>
      </w:r>
    </w:p>
    <w:p w14:paraId="4724AF2C" w14:textId="77777777" w:rsidR="00170593" w:rsidRDefault="00170593" w:rsidP="003730D6">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color w:val="000000"/>
          <w:sz w:val="26"/>
          <w:szCs w:val="26"/>
        </w:rPr>
        <w:t>Por su parte, en la sentencia proferida el 20 de septiembre de 2018 por la Subsección "A" con ponencia del consejero Doctor William Hernández Gómez, dentro del expediente con Radicación número: 20001-23-33-000-2012 00222-01(1160-15), se lee lo siguiente:   </w:t>
      </w:r>
      <w:r>
        <w:rPr>
          <w:rStyle w:val="eop"/>
          <w:color w:val="000000"/>
          <w:sz w:val="26"/>
          <w:szCs w:val="26"/>
        </w:rPr>
        <w:t> </w:t>
      </w:r>
    </w:p>
    <w:p w14:paraId="6560F7B6" w14:textId="77777777" w:rsidR="00170593" w:rsidRDefault="00170593" w:rsidP="00170593">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6"/>
          <w:szCs w:val="26"/>
        </w:rPr>
        <w:t>   </w:t>
      </w:r>
      <w:r>
        <w:rPr>
          <w:rStyle w:val="eop"/>
          <w:color w:val="000000"/>
          <w:sz w:val="26"/>
          <w:szCs w:val="26"/>
        </w:rPr>
        <w:t> </w:t>
      </w:r>
    </w:p>
    <w:p w14:paraId="540BDAF5" w14:textId="77777777" w:rsidR="00170593" w:rsidRDefault="00170593" w:rsidP="00170593">
      <w:pPr>
        <w:pStyle w:val="paragraph"/>
        <w:spacing w:before="0" w:beforeAutospacing="0" w:after="0" w:afterAutospacing="0"/>
        <w:ind w:left="1125"/>
        <w:jc w:val="both"/>
        <w:textAlignment w:val="baseline"/>
        <w:rPr>
          <w:rFonts w:ascii="Segoe UI" w:hAnsi="Segoe UI" w:cs="Segoe UI"/>
          <w:sz w:val="18"/>
          <w:szCs w:val="18"/>
        </w:rPr>
      </w:pPr>
      <w:r>
        <w:rPr>
          <w:rStyle w:val="normaltextrun"/>
          <w:color w:val="000000"/>
          <w:sz w:val="22"/>
          <w:szCs w:val="22"/>
        </w:rPr>
        <w:t>"(…) Por lo anterior, se colige que </w:t>
      </w:r>
      <w:r>
        <w:rPr>
          <w:rStyle w:val="normaltextrun"/>
          <w:b/>
          <w:bCs/>
          <w:color w:val="000000"/>
          <w:sz w:val="22"/>
          <w:szCs w:val="22"/>
        </w:rPr>
        <w:t>la condena en costas implica una valoración objetiva valorativa que excluye como criterio de decisión la mala fe o la temeridad de las partes</w:t>
      </w:r>
      <w:r>
        <w:rPr>
          <w:rStyle w:val="normaltextrun"/>
          <w:color w:val="000000"/>
          <w:sz w:val="22"/>
          <w:szCs w:val="22"/>
        </w:rPr>
        <w:t>. En efecto, el artículo 188 del CPACA, regula que, tratándose de costas en la jurisdicción de lo contencioso administrativo, en la sentencia, el juez tiene la obligación de pronunciarse sobre dicho aspecto, con excepción de los asuntos en los que se ventile un interés público.   </w:t>
      </w:r>
      <w:r>
        <w:rPr>
          <w:rStyle w:val="eop"/>
          <w:color w:val="000000"/>
          <w:sz w:val="22"/>
          <w:szCs w:val="22"/>
        </w:rPr>
        <w:t> </w:t>
      </w:r>
    </w:p>
    <w:p w14:paraId="65DBBAAC" w14:textId="77777777" w:rsidR="00170593" w:rsidRDefault="00170593" w:rsidP="00170593">
      <w:pPr>
        <w:pStyle w:val="paragraph"/>
        <w:spacing w:before="0" w:beforeAutospacing="0" w:after="0" w:afterAutospacing="0"/>
        <w:ind w:left="1125"/>
        <w:jc w:val="both"/>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3995583D" w14:textId="77777777" w:rsidR="00170593" w:rsidRDefault="00170593" w:rsidP="00170593">
      <w:pPr>
        <w:pStyle w:val="paragraph"/>
        <w:spacing w:before="0" w:beforeAutospacing="0" w:after="0" w:afterAutospacing="0"/>
        <w:ind w:left="1125"/>
        <w:jc w:val="both"/>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3166EA63" w14:textId="23B1CA42" w:rsidR="00170593" w:rsidRDefault="00170593" w:rsidP="00170593">
      <w:pPr>
        <w:pStyle w:val="paragraph"/>
        <w:spacing w:before="0" w:beforeAutospacing="0" w:after="0" w:afterAutospacing="0"/>
        <w:jc w:val="both"/>
        <w:textAlignment w:val="baseline"/>
        <w:rPr>
          <w:rFonts w:ascii="Segoe UI" w:hAnsi="Segoe UI" w:cs="Segoe UI"/>
          <w:sz w:val="18"/>
          <w:szCs w:val="18"/>
        </w:rPr>
      </w:pPr>
    </w:p>
    <w:p w14:paraId="543AA3B7" w14:textId="77777777" w:rsidR="00170593" w:rsidRDefault="00170593" w:rsidP="003730D6">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color w:val="000000"/>
          <w:sz w:val="26"/>
          <w:szCs w:val="26"/>
        </w:rPr>
        <w:t>No obstante, en sentencia de la misma fecha, la Subsección "B" con ponencia de la consejera Doctora Sandra Lisset Ibarra Vélez, en el expediente con Radicación número: 68001-23-33-000-2014-00988-01(3301-17), se expuso:   </w:t>
      </w:r>
      <w:r>
        <w:rPr>
          <w:rStyle w:val="eop"/>
          <w:color w:val="000000"/>
          <w:sz w:val="26"/>
          <w:szCs w:val="26"/>
        </w:rPr>
        <w:t> </w:t>
      </w:r>
    </w:p>
    <w:p w14:paraId="68A795D2" w14:textId="77777777" w:rsidR="00170593" w:rsidRDefault="00170593" w:rsidP="00170593">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6"/>
          <w:szCs w:val="26"/>
        </w:rPr>
        <w:t>   </w:t>
      </w:r>
      <w:r>
        <w:rPr>
          <w:rStyle w:val="eop"/>
          <w:color w:val="000000"/>
          <w:sz w:val="26"/>
          <w:szCs w:val="26"/>
        </w:rPr>
        <w:t> </w:t>
      </w:r>
    </w:p>
    <w:p w14:paraId="002B7A2D" w14:textId="77777777" w:rsidR="00170593" w:rsidRDefault="00170593" w:rsidP="00170593">
      <w:pPr>
        <w:pStyle w:val="paragraph"/>
        <w:spacing w:before="0" w:beforeAutospacing="0" w:after="0" w:afterAutospacing="0"/>
        <w:ind w:left="1125"/>
        <w:jc w:val="both"/>
        <w:textAlignment w:val="baseline"/>
        <w:rPr>
          <w:rFonts w:ascii="Segoe UI" w:hAnsi="Segoe UI" w:cs="Segoe UI"/>
          <w:sz w:val="18"/>
          <w:szCs w:val="18"/>
        </w:rPr>
      </w:pPr>
      <w:r>
        <w:rPr>
          <w:rStyle w:val="normaltextrun"/>
          <w:color w:val="000000"/>
          <w:sz w:val="22"/>
          <w:szCs w:val="22"/>
        </w:rPr>
        <w:t>"(…) Finalmente observa la Sala que el tribunal de primera instancia condenó en costas a la entidad demandada aplicando una tesis objetiva -pues no se refirió a la conducta desplegada por la demandada en el curso del proceso judicial-, por lo cual se precisa que esta no puede ser impuesta por el simple hecho de resultar vencida una parte dentro de un proceso judicial adelantado ante la Jurisdicción de lo Contencioso Administrativo, toda vez que para adoptar esa decisión, se debe establecer y estar comprobado en el proceso, </w:t>
      </w:r>
      <w:r>
        <w:rPr>
          <w:rStyle w:val="normaltextrun"/>
          <w:b/>
          <w:bCs/>
          <w:color w:val="000000"/>
          <w:sz w:val="22"/>
          <w:szCs w:val="22"/>
        </w:rPr>
        <w:t>que la parte vencida realizó conductas temerarias o de mala fe que conduzcan a dicha condena.</w:t>
      </w:r>
      <w:r>
        <w:rPr>
          <w:rStyle w:val="normaltextrun"/>
          <w:color w:val="000000"/>
          <w:sz w:val="22"/>
          <w:szCs w:val="22"/>
        </w:rPr>
        <w:t> Además, las costas deben estar probadas en el proceso, lo que quiere decir, que no pueden ser impuestas de manera automática, esto es, sin que se realice un debido análisis que conduzca determinar su ocurrencia.”   </w:t>
      </w:r>
      <w:r>
        <w:rPr>
          <w:rStyle w:val="eop"/>
          <w:color w:val="000000"/>
          <w:sz w:val="22"/>
          <w:szCs w:val="22"/>
        </w:rPr>
        <w:t> </w:t>
      </w:r>
    </w:p>
    <w:p w14:paraId="1EFABE81" w14:textId="77777777" w:rsidR="00170593" w:rsidRDefault="00170593" w:rsidP="00170593">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6"/>
          <w:szCs w:val="26"/>
        </w:rPr>
        <w:t>   </w:t>
      </w:r>
      <w:r>
        <w:rPr>
          <w:rStyle w:val="eop"/>
          <w:color w:val="000000"/>
          <w:sz w:val="26"/>
          <w:szCs w:val="26"/>
        </w:rPr>
        <w:t> </w:t>
      </w:r>
    </w:p>
    <w:p w14:paraId="146B3083" w14:textId="34A7A9DE" w:rsidR="00170593" w:rsidRDefault="00170593" w:rsidP="003730D6">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color w:val="000000"/>
          <w:sz w:val="26"/>
          <w:szCs w:val="26"/>
        </w:rPr>
        <w:t>Luego en sentencia proferida el 22 de octubre de 2018 por Subsección "B" de la Sección Segunda, C.P. Doctor Carmelo Perdomo Cu</w:t>
      </w:r>
      <w:r w:rsidR="004E65B1">
        <w:rPr>
          <w:rStyle w:val="normaltextrun"/>
          <w:color w:val="000000"/>
          <w:sz w:val="26"/>
          <w:szCs w:val="26"/>
        </w:rPr>
        <w:t>é</w:t>
      </w:r>
      <w:r>
        <w:rPr>
          <w:rStyle w:val="normaltextrun"/>
          <w:color w:val="000000"/>
          <w:sz w:val="26"/>
          <w:szCs w:val="26"/>
        </w:rPr>
        <w:t>ter, expediente con Radicación número: 05001-23-33-000-2014-00063-02(1074-15) Actor: UNIVERSIDAD DE ANTIOQUIA, se precisó:   </w:t>
      </w:r>
      <w:r>
        <w:rPr>
          <w:rStyle w:val="eop"/>
          <w:color w:val="000000"/>
          <w:sz w:val="26"/>
          <w:szCs w:val="26"/>
        </w:rPr>
        <w:t> </w:t>
      </w:r>
    </w:p>
    <w:p w14:paraId="6F30C4B0" w14:textId="77777777" w:rsidR="00170593" w:rsidRDefault="00170593" w:rsidP="00170593">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6"/>
          <w:szCs w:val="26"/>
        </w:rPr>
        <w:t>   </w:t>
      </w:r>
      <w:r>
        <w:rPr>
          <w:rStyle w:val="eop"/>
          <w:color w:val="000000"/>
          <w:sz w:val="26"/>
          <w:szCs w:val="26"/>
        </w:rPr>
        <w:t> </w:t>
      </w:r>
    </w:p>
    <w:p w14:paraId="3CF68F7F" w14:textId="77777777" w:rsidR="00170593" w:rsidRDefault="00170593" w:rsidP="00170593">
      <w:pPr>
        <w:pStyle w:val="paragraph"/>
        <w:spacing w:before="0" w:beforeAutospacing="0" w:after="0" w:afterAutospacing="0"/>
        <w:ind w:left="1125"/>
        <w:jc w:val="both"/>
        <w:textAlignment w:val="baseline"/>
        <w:rPr>
          <w:rFonts w:ascii="Segoe UI" w:hAnsi="Segoe UI" w:cs="Segoe UI"/>
          <w:sz w:val="18"/>
          <w:szCs w:val="18"/>
        </w:rPr>
      </w:pPr>
      <w:r>
        <w:rPr>
          <w:rStyle w:val="normaltextrun"/>
          <w:color w:val="000000"/>
          <w:sz w:val="22"/>
          <w:szCs w:val="22"/>
        </w:rPr>
        <w:t>"(…) Por consiguiente, esta Sala considera que la referida normativa deja a disposición del juez la procedencia o no de la condena en costas, </w:t>
      </w:r>
      <w:r>
        <w:rPr>
          <w:rStyle w:val="normaltextrun"/>
          <w:b/>
          <w:bCs/>
          <w:color w:val="000000"/>
          <w:sz w:val="22"/>
          <w:szCs w:val="22"/>
        </w:rPr>
        <w:t>ya que para ello debe examinar la actuación procesal de la parte vencida y comprobar su causación y no el simple hecho de que las resultas del proceso le fueron desfavorables a sus intereses</w:t>
      </w:r>
      <w:r>
        <w:rPr>
          <w:rStyle w:val="normaltextrun"/>
          <w:color w:val="000000"/>
          <w:sz w:val="22"/>
          <w:szCs w:val="22"/>
        </w:rPr>
        <w:t xml:space="preserve">, pues dicha imposición surge después de tener certeza de que la conducta desplegada por aquella comporta temeridad o mala fe, actuación que, se reitera, no desplegó el a quo, </w:t>
      </w:r>
      <w:r>
        <w:rPr>
          <w:rStyle w:val="normaltextrun"/>
          <w:color w:val="000000"/>
          <w:sz w:val="22"/>
          <w:szCs w:val="22"/>
        </w:rPr>
        <w:lastRenderedPageBreak/>
        <w:t>por lo que, al no predicarse tal proceder de la parte demandada, no se impondrá condena en costas (…)" Resaltado fuera de texto   </w:t>
      </w:r>
      <w:r>
        <w:rPr>
          <w:rStyle w:val="eop"/>
          <w:color w:val="000000"/>
          <w:sz w:val="22"/>
          <w:szCs w:val="22"/>
        </w:rPr>
        <w:t> </w:t>
      </w:r>
    </w:p>
    <w:p w14:paraId="59EBC2D8" w14:textId="77777777" w:rsidR="00170593" w:rsidRDefault="00170593" w:rsidP="00170593">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6"/>
          <w:szCs w:val="26"/>
        </w:rPr>
        <w:t>   </w:t>
      </w:r>
      <w:r>
        <w:rPr>
          <w:rStyle w:val="eop"/>
          <w:color w:val="000000"/>
          <w:sz w:val="26"/>
          <w:szCs w:val="26"/>
        </w:rPr>
        <w:t> </w:t>
      </w:r>
    </w:p>
    <w:p w14:paraId="449EABCA" w14:textId="77777777" w:rsidR="00170593" w:rsidRDefault="00170593" w:rsidP="003730D6">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color w:val="000000"/>
          <w:sz w:val="26"/>
          <w:szCs w:val="26"/>
        </w:rPr>
        <w:t>Más recientemente, en sentencia proferida por la misma Sección Subsección "A", con ponencia del consejero Doctor Gabriel Valbuena Hernández el 29 de agosto de 2019, en el proceso Radicado No. 15001-23-33-000-2014-191-01 (2002-2015), actora María Ofelia Leguizamo Carranza, </w:t>
      </w:r>
      <w:r>
        <w:rPr>
          <w:rStyle w:val="normaltextrun"/>
          <w:b/>
          <w:bCs/>
          <w:color w:val="000000"/>
          <w:sz w:val="26"/>
          <w:szCs w:val="26"/>
        </w:rPr>
        <w:t>se acudió al régimen objetivo sin atención al criterio de temeridad.</w:t>
      </w:r>
      <w:r>
        <w:rPr>
          <w:rStyle w:val="normaltextrun"/>
          <w:color w:val="000000"/>
          <w:sz w:val="26"/>
          <w:szCs w:val="26"/>
        </w:rPr>
        <w:t>   </w:t>
      </w:r>
      <w:r>
        <w:rPr>
          <w:rStyle w:val="eop"/>
          <w:color w:val="000000"/>
          <w:sz w:val="26"/>
          <w:szCs w:val="26"/>
        </w:rPr>
        <w:t> </w:t>
      </w:r>
    </w:p>
    <w:p w14:paraId="16313DA0" w14:textId="77777777" w:rsidR="00170593" w:rsidRDefault="00170593" w:rsidP="003730D6">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color w:val="000000"/>
          <w:sz w:val="26"/>
          <w:szCs w:val="26"/>
        </w:rPr>
        <w:t>   </w:t>
      </w:r>
      <w:r>
        <w:rPr>
          <w:rStyle w:val="eop"/>
          <w:color w:val="000000"/>
          <w:sz w:val="26"/>
          <w:szCs w:val="26"/>
        </w:rPr>
        <w:t> </w:t>
      </w:r>
    </w:p>
    <w:p w14:paraId="7A15E369" w14:textId="67843152" w:rsidR="00170593" w:rsidRDefault="00170593" w:rsidP="003730D6">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color w:val="000000"/>
          <w:sz w:val="26"/>
          <w:szCs w:val="26"/>
        </w:rPr>
        <w:t>Nótese que las citadas providencias plantean criterios opuestos, de manera que, evidenciada tal circunstancia, debe atenderse la postura que resulta más favorable a la parte vencida, pues al no existir en esa Corporación un pronunciamiento consistente y unificado en materia de costas, no puede hablarse de un precedente judicial vinculante para la autoridad judicial, es decir tal circunstancia faculta al juzgador para acoger el criterio que estime más ajustado a derecho,</w:t>
      </w:r>
      <w:r w:rsidR="003730D6">
        <w:rPr>
          <w:rStyle w:val="normaltextrun"/>
          <w:color w:val="000000"/>
          <w:sz w:val="26"/>
          <w:szCs w:val="26"/>
        </w:rPr>
        <w:t xml:space="preserve"> por lo que la Sala considera que resulta más favorable a la entidad demandada aplicar el criterio subjetivo y ante la ausencia de mala fe en su obrar, la Sala no condenará en costas.</w:t>
      </w:r>
    </w:p>
    <w:p w14:paraId="34C22D81" w14:textId="77777777" w:rsidR="00170593" w:rsidRDefault="00170593" w:rsidP="003730D6">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color w:val="000000"/>
          <w:sz w:val="26"/>
          <w:szCs w:val="26"/>
        </w:rPr>
        <w:t>  </w:t>
      </w:r>
      <w:r>
        <w:rPr>
          <w:rStyle w:val="eop"/>
          <w:color w:val="000000"/>
          <w:sz w:val="26"/>
          <w:szCs w:val="26"/>
        </w:rPr>
        <w:t> </w:t>
      </w:r>
    </w:p>
    <w:p w14:paraId="1858792B" w14:textId="77777777" w:rsidR="00170593" w:rsidRDefault="00170593" w:rsidP="003730D6">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color w:val="000000"/>
          <w:sz w:val="26"/>
          <w:szCs w:val="26"/>
        </w:rPr>
        <w:t>En mérito de lo expuesto, el Tribunal Administrativo de Boyacá, en Sala de Decisión No. 2, administrando justicia en nombre de la República y por autoridad de la Ley  </w:t>
      </w:r>
      <w:r>
        <w:rPr>
          <w:rStyle w:val="eop"/>
          <w:color w:val="000000"/>
          <w:sz w:val="26"/>
          <w:szCs w:val="26"/>
        </w:rPr>
        <w:t> </w:t>
      </w:r>
    </w:p>
    <w:p w14:paraId="152D2F28" w14:textId="77777777" w:rsidR="00170593" w:rsidRDefault="00170593" w:rsidP="00170593">
      <w:pPr>
        <w:pStyle w:val="paragraph"/>
        <w:spacing w:before="0" w:beforeAutospacing="0" w:after="0" w:afterAutospacing="0"/>
        <w:jc w:val="both"/>
        <w:textAlignment w:val="baseline"/>
        <w:rPr>
          <w:rFonts w:ascii="Segoe UI" w:hAnsi="Segoe UI" w:cs="Segoe UI"/>
          <w:sz w:val="18"/>
          <w:szCs w:val="18"/>
        </w:rPr>
      </w:pPr>
      <w:r>
        <w:rPr>
          <w:rStyle w:val="eop"/>
          <w:color w:val="000000"/>
        </w:rPr>
        <w:t> </w:t>
      </w:r>
    </w:p>
    <w:p w14:paraId="458843DC" w14:textId="77777777" w:rsidR="00680C1C" w:rsidRPr="00BD32D6" w:rsidRDefault="00680C1C" w:rsidP="00BD32D6">
      <w:pPr>
        <w:spacing w:line="360" w:lineRule="auto"/>
        <w:jc w:val="center"/>
        <w:rPr>
          <w:b/>
          <w:color w:val="000000" w:themeColor="text1"/>
          <w:sz w:val="26"/>
          <w:szCs w:val="26"/>
        </w:rPr>
      </w:pPr>
    </w:p>
    <w:p w14:paraId="1804C836" w14:textId="1278584E" w:rsidR="00FD707B" w:rsidRPr="00BD32D6" w:rsidRDefault="00FD707B" w:rsidP="4A77F46A">
      <w:pPr>
        <w:spacing w:line="360" w:lineRule="auto"/>
        <w:jc w:val="center"/>
        <w:rPr>
          <w:b/>
          <w:bCs/>
          <w:color w:val="000000" w:themeColor="text1"/>
          <w:sz w:val="26"/>
          <w:szCs w:val="26"/>
        </w:rPr>
      </w:pPr>
      <w:r w:rsidRPr="4A77F46A">
        <w:rPr>
          <w:b/>
          <w:bCs/>
          <w:color w:val="000000" w:themeColor="text1"/>
          <w:sz w:val="26"/>
          <w:szCs w:val="26"/>
        </w:rPr>
        <w:t>FALLA</w:t>
      </w:r>
      <w:r w:rsidR="54D9DC2B" w:rsidRPr="4A77F46A">
        <w:rPr>
          <w:b/>
          <w:bCs/>
          <w:color w:val="000000" w:themeColor="text1"/>
          <w:sz w:val="26"/>
          <w:szCs w:val="26"/>
        </w:rPr>
        <w:t>:</w:t>
      </w:r>
    </w:p>
    <w:p w14:paraId="0A818ED2" w14:textId="5C1D7EF4" w:rsidR="00FD707B" w:rsidRDefault="00FD707B" w:rsidP="00BD32D6">
      <w:pPr>
        <w:tabs>
          <w:tab w:val="left" w:pos="748"/>
        </w:tabs>
        <w:spacing w:line="360" w:lineRule="auto"/>
        <w:jc w:val="both"/>
        <w:rPr>
          <w:b/>
          <w:bCs/>
          <w:color w:val="000000" w:themeColor="text1"/>
          <w:sz w:val="26"/>
          <w:szCs w:val="26"/>
        </w:rPr>
      </w:pPr>
    </w:p>
    <w:p w14:paraId="729C3D11" w14:textId="62942D90" w:rsidR="007C0CE4" w:rsidRPr="00170593" w:rsidRDefault="007C0CE4" w:rsidP="00170593">
      <w:pPr>
        <w:spacing w:line="360" w:lineRule="auto"/>
        <w:jc w:val="both"/>
        <w:rPr>
          <w:sz w:val="26"/>
          <w:szCs w:val="26"/>
        </w:rPr>
      </w:pPr>
      <w:r w:rsidRPr="355104C5">
        <w:rPr>
          <w:b/>
          <w:bCs/>
          <w:color w:val="000000" w:themeColor="text1"/>
          <w:sz w:val="26"/>
          <w:szCs w:val="26"/>
        </w:rPr>
        <w:t>PRIMERO. REVOCAR</w:t>
      </w:r>
      <w:r w:rsidRPr="355104C5">
        <w:rPr>
          <w:color w:val="000000" w:themeColor="text1"/>
          <w:sz w:val="26"/>
          <w:szCs w:val="26"/>
        </w:rPr>
        <w:t xml:space="preserve"> la sentencia proferida por el Juzgado Quinto Administrativo Oral del Circuito de Tunja el día 13 de octubre de 2020, por lo expuesto en la parte motiva de esta providencia.</w:t>
      </w:r>
    </w:p>
    <w:p w14:paraId="3316191B" w14:textId="5C92C8A3" w:rsidR="355104C5" w:rsidRDefault="355104C5" w:rsidP="355104C5">
      <w:pPr>
        <w:spacing w:line="360" w:lineRule="auto"/>
        <w:jc w:val="both"/>
        <w:rPr>
          <w:color w:val="000000" w:themeColor="text1"/>
        </w:rPr>
      </w:pPr>
    </w:p>
    <w:p w14:paraId="4323165E" w14:textId="3EB503B0" w:rsidR="007C0CE4" w:rsidRPr="007C0CE4" w:rsidRDefault="007C0CE4" w:rsidP="4ACB0057">
      <w:pPr>
        <w:spacing w:before="100" w:beforeAutospacing="1" w:after="100" w:afterAutospacing="1" w:line="360" w:lineRule="auto"/>
        <w:jc w:val="both"/>
        <w:rPr>
          <w:color w:val="000000"/>
          <w:sz w:val="26"/>
          <w:szCs w:val="26"/>
        </w:rPr>
      </w:pPr>
      <w:r w:rsidRPr="004E65B1">
        <w:rPr>
          <w:b/>
          <w:bCs/>
          <w:color w:val="000000" w:themeColor="text1"/>
          <w:sz w:val="26"/>
          <w:szCs w:val="26"/>
        </w:rPr>
        <w:t>SEGUNDO. DECLARAR</w:t>
      </w:r>
      <w:r w:rsidRPr="004E65B1">
        <w:rPr>
          <w:color w:val="000000" w:themeColor="text1"/>
          <w:sz w:val="26"/>
          <w:szCs w:val="26"/>
        </w:rPr>
        <w:t xml:space="preserve"> la existencia del acto administrativo ficto o presunto negativo respecto de la petición elevada por la demandante ante el Fondo Nacional de Prestaciones Sociales del Magisterio – Secretaría de Educación de </w:t>
      </w:r>
      <w:r w:rsidR="002C7C84" w:rsidRPr="004E65B1">
        <w:rPr>
          <w:color w:val="000000" w:themeColor="text1"/>
          <w:sz w:val="26"/>
          <w:szCs w:val="26"/>
        </w:rPr>
        <w:t>Boyacá</w:t>
      </w:r>
      <w:r w:rsidRPr="004E65B1">
        <w:rPr>
          <w:color w:val="000000" w:themeColor="text1"/>
          <w:sz w:val="26"/>
          <w:szCs w:val="26"/>
        </w:rPr>
        <w:t xml:space="preserve"> el </w:t>
      </w:r>
      <w:r w:rsidR="002C7C84" w:rsidRPr="004E65B1">
        <w:rPr>
          <w:color w:val="000000" w:themeColor="text1"/>
          <w:sz w:val="26"/>
          <w:szCs w:val="26"/>
        </w:rPr>
        <w:t>31 de julio de 2018</w:t>
      </w:r>
      <w:r w:rsidRPr="004E65B1">
        <w:rPr>
          <w:color w:val="000000" w:themeColor="text1"/>
          <w:sz w:val="26"/>
          <w:szCs w:val="26"/>
        </w:rPr>
        <w:t xml:space="preserve">, por medio de la cual pretendía el reconocimiento de la sanción moratoria por el pago tardío de sus cesantías reconocidas mediante </w:t>
      </w:r>
      <w:r w:rsidR="009F4ABB" w:rsidRPr="004E65B1">
        <w:rPr>
          <w:color w:val="000000" w:themeColor="text1"/>
          <w:sz w:val="26"/>
          <w:szCs w:val="26"/>
        </w:rPr>
        <w:t xml:space="preserve">Resolución No </w:t>
      </w:r>
      <w:r w:rsidR="009F4ABB" w:rsidRPr="004E65B1">
        <w:rPr>
          <w:sz w:val="26"/>
          <w:szCs w:val="26"/>
          <w:lang w:eastAsia="es-CO"/>
        </w:rPr>
        <w:t>05612 del 5 de septiembre de 2015</w:t>
      </w:r>
      <w:r w:rsidRPr="004E65B1">
        <w:rPr>
          <w:color w:val="000000" w:themeColor="text1"/>
          <w:sz w:val="26"/>
          <w:szCs w:val="26"/>
        </w:rPr>
        <w:t>.</w:t>
      </w:r>
    </w:p>
    <w:p w14:paraId="15EE4640" w14:textId="6A129F10" w:rsidR="355104C5" w:rsidRDefault="355104C5" w:rsidP="355104C5">
      <w:pPr>
        <w:spacing w:beforeAutospacing="1" w:afterAutospacing="1" w:line="360" w:lineRule="auto"/>
        <w:jc w:val="both"/>
        <w:rPr>
          <w:color w:val="000000" w:themeColor="text1"/>
        </w:rPr>
      </w:pPr>
    </w:p>
    <w:p w14:paraId="5E809A42" w14:textId="52023AF4" w:rsidR="002C7C84" w:rsidRPr="007C0CE4" w:rsidRDefault="007C0CE4" w:rsidP="00170593">
      <w:pPr>
        <w:spacing w:before="100" w:beforeAutospacing="1" w:after="100" w:afterAutospacing="1" w:line="360" w:lineRule="auto"/>
        <w:jc w:val="both"/>
        <w:rPr>
          <w:color w:val="000000"/>
          <w:sz w:val="26"/>
          <w:szCs w:val="26"/>
        </w:rPr>
      </w:pPr>
      <w:r w:rsidRPr="355104C5">
        <w:rPr>
          <w:b/>
          <w:bCs/>
          <w:color w:val="000000" w:themeColor="text1"/>
          <w:sz w:val="26"/>
          <w:szCs w:val="26"/>
        </w:rPr>
        <w:t>TERCERO. DECLARAR</w:t>
      </w:r>
      <w:r w:rsidRPr="355104C5">
        <w:rPr>
          <w:color w:val="000000" w:themeColor="text1"/>
          <w:sz w:val="26"/>
          <w:szCs w:val="26"/>
        </w:rPr>
        <w:t xml:space="preserve"> la nulidad del acto administrativo ficto o presunto negativo, por medio del cual, la NACIÓN – MINISTERIO DE EDUCACIÓN NACIONAL – FONDO NACIONAL DE PRESTACIONES SOCIALES DEL MAGISTERIO – negó </w:t>
      </w:r>
      <w:r w:rsidR="009F4ABB" w:rsidRPr="355104C5">
        <w:rPr>
          <w:color w:val="000000" w:themeColor="text1"/>
          <w:sz w:val="26"/>
          <w:szCs w:val="26"/>
        </w:rPr>
        <w:t>al señor BERNARDO BELTRÁN RIVERA</w:t>
      </w:r>
      <w:r w:rsidRPr="355104C5">
        <w:rPr>
          <w:color w:val="000000" w:themeColor="text1"/>
          <w:sz w:val="26"/>
          <w:szCs w:val="26"/>
        </w:rPr>
        <w:t xml:space="preserve"> el reconocimiento y pago de la sanción moratoria por el pago tardío de sus cesantías reconocidas mediante</w:t>
      </w:r>
      <w:r w:rsidR="002C7C84" w:rsidRPr="355104C5">
        <w:rPr>
          <w:color w:val="000000" w:themeColor="text1"/>
          <w:sz w:val="26"/>
          <w:szCs w:val="26"/>
        </w:rPr>
        <w:t xml:space="preserve"> Resolución No</w:t>
      </w:r>
      <w:r w:rsidRPr="355104C5">
        <w:rPr>
          <w:color w:val="000000" w:themeColor="text1"/>
          <w:sz w:val="26"/>
          <w:szCs w:val="26"/>
        </w:rPr>
        <w:t xml:space="preserve"> </w:t>
      </w:r>
      <w:r w:rsidR="002C7C84" w:rsidRPr="355104C5">
        <w:rPr>
          <w:sz w:val="26"/>
          <w:szCs w:val="26"/>
          <w:lang w:eastAsia="es-CO"/>
        </w:rPr>
        <w:t>05612 del 5 de septiembre de 2015</w:t>
      </w:r>
      <w:r w:rsidRPr="355104C5">
        <w:rPr>
          <w:color w:val="000000" w:themeColor="text1"/>
          <w:sz w:val="26"/>
          <w:szCs w:val="26"/>
        </w:rPr>
        <w:t>, de conformidad con la Ley 1071 de 2006.</w:t>
      </w:r>
    </w:p>
    <w:p w14:paraId="1AA157B9" w14:textId="2975CC7E" w:rsidR="355104C5" w:rsidRDefault="355104C5" w:rsidP="355104C5">
      <w:pPr>
        <w:spacing w:beforeAutospacing="1" w:afterAutospacing="1" w:line="360" w:lineRule="auto"/>
        <w:jc w:val="both"/>
        <w:rPr>
          <w:color w:val="000000" w:themeColor="text1"/>
        </w:rPr>
      </w:pPr>
    </w:p>
    <w:p w14:paraId="10DB4ABC" w14:textId="11C7ED2F" w:rsidR="009F4ABB" w:rsidRPr="004E65B1" w:rsidRDefault="007C0CE4" w:rsidP="4ACB0057">
      <w:pPr>
        <w:spacing w:line="360" w:lineRule="auto"/>
        <w:jc w:val="both"/>
        <w:rPr>
          <w:b/>
          <w:bCs/>
          <w:color w:val="000000" w:themeColor="text1"/>
          <w:sz w:val="26"/>
          <w:szCs w:val="26"/>
        </w:rPr>
      </w:pPr>
      <w:r w:rsidRPr="004E65B1">
        <w:rPr>
          <w:b/>
          <w:bCs/>
          <w:color w:val="000000" w:themeColor="text1"/>
          <w:sz w:val="26"/>
          <w:szCs w:val="26"/>
        </w:rPr>
        <w:t>CUARTO.</w:t>
      </w:r>
      <w:r w:rsidR="009F4ABB" w:rsidRPr="004E65B1">
        <w:rPr>
          <w:b/>
          <w:bCs/>
          <w:color w:val="000000" w:themeColor="text1"/>
          <w:sz w:val="26"/>
          <w:szCs w:val="26"/>
        </w:rPr>
        <w:t xml:space="preserve"> DECLARAR</w:t>
      </w:r>
      <w:r w:rsidR="009F4ABB" w:rsidRPr="004E65B1">
        <w:rPr>
          <w:color w:val="000000" w:themeColor="text1"/>
          <w:sz w:val="26"/>
          <w:szCs w:val="26"/>
        </w:rPr>
        <w:t xml:space="preserve"> probada la excepción de prescripción respecto de la mora causada durante los días </w:t>
      </w:r>
      <w:r w:rsidR="009F4ABB" w:rsidRPr="004E65B1">
        <w:rPr>
          <w:b/>
          <w:bCs/>
          <w:color w:val="000000" w:themeColor="text1"/>
          <w:sz w:val="26"/>
          <w:szCs w:val="26"/>
        </w:rPr>
        <w:t>29, 30 y 31 de julio de 2015, conforme a lo expuesto en la parte motiva de esta providencia</w:t>
      </w:r>
      <w:r w:rsidR="52102875" w:rsidRPr="004E65B1">
        <w:rPr>
          <w:b/>
          <w:bCs/>
          <w:color w:val="000000" w:themeColor="text1"/>
          <w:sz w:val="26"/>
          <w:szCs w:val="26"/>
        </w:rPr>
        <w:t>.</w:t>
      </w:r>
    </w:p>
    <w:p w14:paraId="6AB012A9" w14:textId="77777777" w:rsidR="009F4ABB" w:rsidRPr="00170593" w:rsidRDefault="009F4ABB" w:rsidP="00170593">
      <w:pPr>
        <w:spacing w:line="360" w:lineRule="auto"/>
        <w:jc w:val="both"/>
        <w:rPr>
          <w:b/>
          <w:bCs/>
          <w:color w:val="000000" w:themeColor="text1"/>
          <w:sz w:val="26"/>
          <w:szCs w:val="26"/>
          <w:lang w:val="es-ES"/>
        </w:rPr>
      </w:pPr>
    </w:p>
    <w:p w14:paraId="5533A4CB" w14:textId="7A0907C8" w:rsidR="009F4ABB" w:rsidRPr="00170593" w:rsidRDefault="009F4ABB" w:rsidP="355104C5">
      <w:pPr>
        <w:pStyle w:val="Default"/>
        <w:spacing w:line="360" w:lineRule="auto"/>
        <w:jc w:val="both"/>
        <w:rPr>
          <w:rFonts w:ascii="Times New Roman" w:eastAsiaTheme="minorEastAsia" w:hAnsi="Times New Roman" w:cs="Times New Roman"/>
          <w:sz w:val="26"/>
          <w:szCs w:val="26"/>
        </w:rPr>
      </w:pPr>
      <w:r w:rsidRPr="355104C5">
        <w:rPr>
          <w:rFonts w:ascii="Times New Roman" w:hAnsi="Times New Roman" w:cs="Times New Roman"/>
          <w:b/>
          <w:bCs/>
          <w:sz w:val="26"/>
          <w:szCs w:val="26"/>
        </w:rPr>
        <w:t>QUINTO.</w:t>
      </w:r>
      <w:r w:rsidRPr="355104C5">
        <w:rPr>
          <w:rFonts w:ascii="Times New Roman" w:hAnsi="Times New Roman" w:cs="Times New Roman"/>
          <w:sz w:val="26"/>
          <w:szCs w:val="26"/>
        </w:rPr>
        <w:t xml:space="preserve"> </w:t>
      </w:r>
      <w:r w:rsidR="007C0CE4" w:rsidRPr="355104C5">
        <w:rPr>
          <w:rFonts w:ascii="Times New Roman" w:hAnsi="Times New Roman" w:cs="Times New Roman"/>
          <w:sz w:val="26"/>
          <w:szCs w:val="26"/>
        </w:rPr>
        <w:t xml:space="preserve"> </w:t>
      </w:r>
      <w:r w:rsidRPr="355104C5">
        <w:rPr>
          <w:rFonts w:ascii="Times New Roman" w:hAnsi="Times New Roman" w:cs="Times New Roman"/>
          <w:sz w:val="26"/>
          <w:szCs w:val="26"/>
        </w:rPr>
        <w:t>A</w:t>
      </w:r>
      <w:r w:rsidR="007C0CE4" w:rsidRPr="355104C5">
        <w:rPr>
          <w:rFonts w:ascii="Times New Roman" w:hAnsi="Times New Roman" w:cs="Times New Roman"/>
          <w:sz w:val="26"/>
          <w:szCs w:val="26"/>
        </w:rPr>
        <w:t xml:space="preserve"> título de restablecimiento del derecho, condenar a la Nación – Ministerio de Educación Nacional – Fondo Nacional de Prestaciones Sociales del Magisterio, a reconocer y pagar a </w:t>
      </w:r>
      <w:r w:rsidRPr="355104C5">
        <w:rPr>
          <w:rFonts w:ascii="Times New Roman" w:hAnsi="Times New Roman" w:cs="Times New Roman"/>
          <w:sz w:val="26"/>
          <w:szCs w:val="26"/>
        </w:rPr>
        <w:t>BERNARDO BELTRÁN RIVERA</w:t>
      </w:r>
      <w:r w:rsidR="007C0CE4" w:rsidRPr="355104C5">
        <w:rPr>
          <w:rFonts w:ascii="Times New Roman" w:hAnsi="Times New Roman" w:cs="Times New Roman"/>
          <w:sz w:val="26"/>
          <w:szCs w:val="26"/>
        </w:rPr>
        <w:t xml:space="preserve"> identificad</w:t>
      </w:r>
      <w:r w:rsidRPr="355104C5">
        <w:rPr>
          <w:rFonts w:ascii="Times New Roman" w:hAnsi="Times New Roman" w:cs="Times New Roman"/>
          <w:sz w:val="26"/>
          <w:szCs w:val="26"/>
        </w:rPr>
        <w:t>o</w:t>
      </w:r>
      <w:r w:rsidR="007C0CE4" w:rsidRPr="355104C5">
        <w:rPr>
          <w:rFonts w:ascii="Times New Roman" w:hAnsi="Times New Roman" w:cs="Times New Roman"/>
          <w:sz w:val="26"/>
          <w:szCs w:val="26"/>
        </w:rPr>
        <w:t xml:space="preserve"> con la CC. No </w:t>
      </w:r>
      <w:r w:rsidRPr="355104C5">
        <w:rPr>
          <w:rFonts w:ascii="Times New Roman" w:hAnsi="Times New Roman" w:cs="Times New Roman"/>
          <w:sz w:val="26"/>
          <w:szCs w:val="26"/>
        </w:rPr>
        <w:t>6758087</w:t>
      </w:r>
      <w:r w:rsidR="007C0CE4" w:rsidRPr="355104C5">
        <w:rPr>
          <w:rFonts w:ascii="Times New Roman" w:hAnsi="Times New Roman" w:cs="Times New Roman"/>
          <w:sz w:val="26"/>
          <w:szCs w:val="26"/>
        </w:rPr>
        <w:t xml:space="preserve">, </w:t>
      </w:r>
      <w:r w:rsidR="007C0CE4" w:rsidRPr="355104C5">
        <w:rPr>
          <w:rFonts w:ascii="Times New Roman" w:hAnsi="Times New Roman" w:cs="Times New Roman"/>
          <w:b/>
          <w:bCs/>
          <w:sz w:val="26"/>
          <w:szCs w:val="26"/>
        </w:rPr>
        <w:t xml:space="preserve">a título de sanción moratoria, </w:t>
      </w:r>
      <w:r w:rsidR="007C0CE4" w:rsidRPr="355104C5">
        <w:rPr>
          <w:rFonts w:ascii="Times New Roman" w:hAnsi="Times New Roman" w:cs="Times New Roman"/>
          <w:sz w:val="26"/>
          <w:szCs w:val="26"/>
        </w:rPr>
        <w:t xml:space="preserve">un día de salario por cada día de mora en el pago de las cesantías definitivas por el periodo comprendido entre el </w:t>
      </w:r>
      <w:r w:rsidRPr="355104C5">
        <w:rPr>
          <w:rFonts w:ascii="Times New Roman" w:hAnsi="Times New Roman" w:cs="Times New Roman"/>
          <w:sz w:val="26"/>
          <w:szCs w:val="26"/>
        </w:rPr>
        <w:t>1 de agosto y el 30 de noviembre de 2015</w:t>
      </w:r>
      <w:r w:rsidR="007C0CE4" w:rsidRPr="355104C5">
        <w:rPr>
          <w:rFonts w:ascii="Times New Roman" w:hAnsi="Times New Roman" w:cs="Times New Roman"/>
          <w:sz w:val="26"/>
          <w:szCs w:val="26"/>
        </w:rPr>
        <w:t>, para un total de 1</w:t>
      </w:r>
      <w:r w:rsidRPr="355104C5">
        <w:rPr>
          <w:rFonts w:ascii="Times New Roman" w:hAnsi="Times New Roman" w:cs="Times New Roman"/>
          <w:sz w:val="26"/>
          <w:szCs w:val="26"/>
        </w:rPr>
        <w:t>22</w:t>
      </w:r>
      <w:r w:rsidR="007C0CE4" w:rsidRPr="355104C5">
        <w:rPr>
          <w:rFonts w:ascii="Times New Roman" w:hAnsi="Times New Roman" w:cs="Times New Roman"/>
          <w:sz w:val="26"/>
          <w:szCs w:val="26"/>
        </w:rPr>
        <w:t xml:space="preserve"> días</w:t>
      </w:r>
      <w:r w:rsidRPr="355104C5">
        <w:rPr>
          <w:rFonts w:ascii="Times New Roman" w:hAnsi="Times New Roman" w:cs="Times New Roman"/>
          <w:sz w:val="26"/>
          <w:szCs w:val="26"/>
        </w:rPr>
        <w:t xml:space="preserve"> </w:t>
      </w:r>
      <w:r w:rsidR="00170593" w:rsidRPr="355104C5">
        <w:rPr>
          <w:rFonts w:ascii="Times New Roman" w:eastAsiaTheme="minorEastAsia" w:hAnsi="Times New Roman" w:cs="Times New Roman"/>
          <w:sz w:val="26"/>
          <w:szCs w:val="26"/>
        </w:rPr>
        <w:t>que serán liquidados con el</w:t>
      </w:r>
      <w:r w:rsidRPr="355104C5">
        <w:rPr>
          <w:rFonts w:ascii="Times New Roman" w:eastAsiaTheme="minorEastAsia" w:hAnsi="Times New Roman" w:cs="Times New Roman"/>
          <w:sz w:val="26"/>
          <w:szCs w:val="26"/>
        </w:rPr>
        <w:t xml:space="preserve"> sueldo básico devengado por el accionante en el año 2015. La suma resultante, por mandato del inciso final del artículo 187 del CPACA, deberá ajustarse con la variación del índice de precios al consumidor que certifique el DANE, aplicando la siguiente fórmula:”.</w:t>
      </w:r>
    </w:p>
    <w:p w14:paraId="3945E161" w14:textId="77777777" w:rsidR="009F4ABB" w:rsidRPr="00170593" w:rsidRDefault="009F4ABB" w:rsidP="00170593">
      <w:pPr>
        <w:pStyle w:val="Default"/>
        <w:spacing w:line="360" w:lineRule="auto"/>
        <w:ind w:left="708"/>
        <w:jc w:val="both"/>
        <w:rPr>
          <w:rFonts w:ascii="Times New Roman" w:eastAsiaTheme="minorEastAsia" w:hAnsi="Times New Roman" w:cs="Times New Roman"/>
          <w:sz w:val="26"/>
          <w:szCs w:val="26"/>
        </w:rPr>
      </w:pPr>
    </w:p>
    <w:p w14:paraId="48E413B7" w14:textId="77777777" w:rsidR="009F4ABB" w:rsidRPr="004E65B1" w:rsidRDefault="009F4ABB" w:rsidP="00170593">
      <w:pPr>
        <w:spacing w:line="360" w:lineRule="auto"/>
        <w:ind w:left="2124" w:firstLine="708"/>
        <w:jc w:val="both"/>
        <w:rPr>
          <w:color w:val="000000" w:themeColor="text1"/>
          <w:sz w:val="26"/>
          <w:szCs w:val="26"/>
          <w:lang w:val="pt-BR"/>
        </w:rPr>
      </w:pPr>
      <w:r w:rsidRPr="004E65B1">
        <w:rPr>
          <w:color w:val="000000" w:themeColor="text1"/>
          <w:sz w:val="26"/>
          <w:szCs w:val="26"/>
          <w:lang w:val="pt-BR"/>
        </w:rPr>
        <w:t xml:space="preserve">R= Rh </w:t>
      </w:r>
      <w:r w:rsidRPr="004E65B1">
        <w:rPr>
          <w:color w:val="000000" w:themeColor="text1"/>
          <w:sz w:val="26"/>
          <w:szCs w:val="26"/>
          <w:u w:val="single"/>
          <w:lang w:val="pt-BR"/>
        </w:rPr>
        <w:t>Índice Final</w:t>
      </w:r>
    </w:p>
    <w:p w14:paraId="70D52646" w14:textId="25B58147" w:rsidR="009F4ABB" w:rsidRPr="004E65B1" w:rsidRDefault="009F4ABB" w:rsidP="00170593">
      <w:pPr>
        <w:spacing w:line="360" w:lineRule="auto"/>
        <w:jc w:val="both"/>
        <w:rPr>
          <w:color w:val="000000" w:themeColor="text1"/>
          <w:sz w:val="26"/>
          <w:szCs w:val="26"/>
          <w:lang w:val="pt-BR"/>
        </w:rPr>
      </w:pPr>
      <w:r w:rsidRPr="004E65B1">
        <w:rPr>
          <w:color w:val="000000" w:themeColor="text1"/>
          <w:sz w:val="26"/>
          <w:szCs w:val="26"/>
          <w:lang w:val="pt-BR"/>
        </w:rPr>
        <w:t xml:space="preserve">           </w:t>
      </w:r>
      <w:r w:rsidRPr="004E65B1">
        <w:rPr>
          <w:color w:val="000000" w:themeColor="text1"/>
          <w:sz w:val="26"/>
          <w:szCs w:val="26"/>
          <w:lang w:val="pt-BR"/>
        </w:rPr>
        <w:tab/>
        <w:t xml:space="preserve"> </w:t>
      </w:r>
      <w:r w:rsidRPr="004E65B1">
        <w:rPr>
          <w:color w:val="000000" w:themeColor="text1"/>
          <w:sz w:val="26"/>
          <w:szCs w:val="26"/>
          <w:lang w:val="pt-BR"/>
        </w:rPr>
        <w:tab/>
      </w:r>
      <w:r w:rsidRPr="004E65B1">
        <w:rPr>
          <w:color w:val="000000" w:themeColor="text1"/>
          <w:sz w:val="26"/>
          <w:szCs w:val="26"/>
          <w:lang w:val="pt-BR"/>
        </w:rPr>
        <w:tab/>
      </w:r>
      <w:r w:rsidRPr="004E65B1">
        <w:rPr>
          <w:color w:val="000000" w:themeColor="text1"/>
          <w:sz w:val="26"/>
          <w:szCs w:val="26"/>
          <w:lang w:val="pt-BR"/>
        </w:rPr>
        <w:tab/>
        <w:t xml:space="preserve"> Índice Inicial</w:t>
      </w:r>
    </w:p>
    <w:p w14:paraId="3C2A409E" w14:textId="77777777" w:rsidR="009F4ABB" w:rsidRPr="004E65B1" w:rsidRDefault="009F4ABB" w:rsidP="00170593">
      <w:pPr>
        <w:pStyle w:val="Default"/>
        <w:spacing w:line="360" w:lineRule="auto"/>
        <w:jc w:val="both"/>
        <w:rPr>
          <w:rFonts w:ascii="Times New Roman" w:eastAsiaTheme="minorEastAsia" w:hAnsi="Times New Roman" w:cs="Times New Roman"/>
          <w:sz w:val="26"/>
          <w:szCs w:val="26"/>
          <w:lang w:val="pt-BR"/>
        </w:rPr>
      </w:pPr>
    </w:p>
    <w:p w14:paraId="30F11BA0" w14:textId="120D06D6" w:rsidR="009F4ABB" w:rsidRPr="007C0CE4" w:rsidRDefault="009F4ABB" w:rsidP="003730D6">
      <w:pPr>
        <w:pStyle w:val="Default"/>
        <w:spacing w:line="360" w:lineRule="auto"/>
        <w:jc w:val="both"/>
        <w:rPr>
          <w:rFonts w:ascii="Times New Roman" w:eastAsiaTheme="minorEastAsia" w:hAnsi="Times New Roman" w:cs="Times New Roman"/>
          <w:sz w:val="26"/>
          <w:szCs w:val="26"/>
        </w:rPr>
      </w:pPr>
      <w:r w:rsidRPr="355104C5">
        <w:rPr>
          <w:rFonts w:ascii="Times New Roman" w:eastAsiaTheme="minorEastAsia" w:hAnsi="Times New Roman" w:cs="Times New Roman"/>
          <w:sz w:val="26"/>
          <w:szCs w:val="26"/>
        </w:rPr>
        <w:t>En donde el valor presente (R) se determina multiplicando el valor histórico (Rh), que es lo dejado de percibir por la parte accionante a título de sanción moratoria, por el guarismo que resulte de dividir el índice final de precios al consumidor, certificado por el DANE (vigente a la fecha de ejecutoria de esta sentencia) por el índice inicial (vigente para el 1 de diciembre de 2015).</w:t>
      </w:r>
    </w:p>
    <w:p w14:paraId="23148C76" w14:textId="1E7D1B11" w:rsidR="355104C5" w:rsidRDefault="355104C5" w:rsidP="355104C5">
      <w:pPr>
        <w:pStyle w:val="Default"/>
        <w:spacing w:line="360" w:lineRule="auto"/>
        <w:jc w:val="both"/>
        <w:rPr>
          <w:color w:val="000000" w:themeColor="text1"/>
        </w:rPr>
      </w:pPr>
    </w:p>
    <w:p w14:paraId="307AD6FE" w14:textId="064A6EBA" w:rsidR="007C0CE4" w:rsidRPr="007C0CE4" w:rsidRDefault="007C0CE4" w:rsidP="355104C5">
      <w:pPr>
        <w:spacing w:before="100" w:beforeAutospacing="1" w:after="100" w:afterAutospacing="1" w:line="360" w:lineRule="auto"/>
        <w:jc w:val="both"/>
        <w:rPr>
          <w:color w:val="000000"/>
          <w:sz w:val="26"/>
          <w:szCs w:val="26"/>
        </w:rPr>
      </w:pPr>
      <w:r w:rsidRPr="355104C5">
        <w:rPr>
          <w:b/>
          <w:bCs/>
          <w:color w:val="000000" w:themeColor="text1"/>
          <w:sz w:val="26"/>
          <w:szCs w:val="26"/>
        </w:rPr>
        <w:t>QUINTO.</w:t>
      </w:r>
      <w:r w:rsidRPr="355104C5">
        <w:rPr>
          <w:color w:val="000000" w:themeColor="text1"/>
          <w:sz w:val="26"/>
          <w:szCs w:val="26"/>
        </w:rPr>
        <w:t xml:space="preserve"> </w:t>
      </w:r>
      <w:r w:rsidR="009F4ABB" w:rsidRPr="355104C5">
        <w:rPr>
          <w:color w:val="000000" w:themeColor="text1"/>
          <w:sz w:val="26"/>
          <w:szCs w:val="26"/>
        </w:rPr>
        <w:t>Sin condena en costas</w:t>
      </w:r>
      <w:r w:rsidR="11A495D5" w:rsidRPr="355104C5">
        <w:rPr>
          <w:color w:val="000000" w:themeColor="text1"/>
          <w:sz w:val="26"/>
          <w:szCs w:val="26"/>
        </w:rPr>
        <w:t>.</w:t>
      </w:r>
    </w:p>
    <w:p w14:paraId="135ED0F2" w14:textId="473C3B3A" w:rsidR="355104C5" w:rsidRDefault="355104C5" w:rsidP="355104C5">
      <w:pPr>
        <w:spacing w:beforeAutospacing="1" w:afterAutospacing="1" w:line="360" w:lineRule="auto"/>
        <w:jc w:val="both"/>
        <w:rPr>
          <w:color w:val="000000" w:themeColor="text1"/>
        </w:rPr>
      </w:pPr>
    </w:p>
    <w:p w14:paraId="3058458F" w14:textId="55CC76B1" w:rsidR="007C0CE4" w:rsidRPr="007C0CE4" w:rsidRDefault="007C0CE4" w:rsidP="355104C5">
      <w:pPr>
        <w:spacing w:before="100" w:beforeAutospacing="1" w:after="100" w:afterAutospacing="1" w:line="360" w:lineRule="auto"/>
        <w:jc w:val="both"/>
        <w:rPr>
          <w:color w:val="000000"/>
          <w:sz w:val="26"/>
          <w:szCs w:val="26"/>
        </w:rPr>
      </w:pPr>
      <w:r w:rsidRPr="355104C5">
        <w:rPr>
          <w:b/>
          <w:bCs/>
          <w:color w:val="000000" w:themeColor="text1"/>
          <w:sz w:val="26"/>
          <w:szCs w:val="26"/>
        </w:rPr>
        <w:t>SEXTO</w:t>
      </w:r>
      <w:r w:rsidRPr="355104C5">
        <w:rPr>
          <w:color w:val="000000" w:themeColor="text1"/>
          <w:sz w:val="26"/>
          <w:szCs w:val="26"/>
        </w:rPr>
        <w:t>. La sentencia deberá cumplirse conforme a las previsiones del artículo 192 de la Ley 1437 de 2011</w:t>
      </w:r>
      <w:r w:rsidR="1976EB15" w:rsidRPr="355104C5">
        <w:rPr>
          <w:color w:val="000000" w:themeColor="text1"/>
          <w:sz w:val="26"/>
          <w:szCs w:val="26"/>
        </w:rPr>
        <w:t>.</w:t>
      </w:r>
    </w:p>
    <w:p w14:paraId="2C691DA8" w14:textId="44549980" w:rsidR="355104C5" w:rsidRDefault="355104C5" w:rsidP="355104C5">
      <w:pPr>
        <w:spacing w:beforeAutospacing="1" w:afterAutospacing="1" w:line="360" w:lineRule="auto"/>
        <w:jc w:val="both"/>
        <w:rPr>
          <w:color w:val="000000" w:themeColor="text1"/>
        </w:rPr>
      </w:pPr>
    </w:p>
    <w:p w14:paraId="45715292" w14:textId="77777777" w:rsidR="007C0CE4" w:rsidRPr="007C0CE4" w:rsidRDefault="007C0CE4" w:rsidP="00170593">
      <w:pPr>
        <w:spacing w:before="100" w:beforeAutospacing="1" w:after="100" w:afterAutospacing="1" w:line="360" w:lineRule="auto"/>
        <w:jc w:val="both"/>
        <w:rPr>
          <w:color w:val="000000"/>
          <w:sz w:val="26"/>
          <w:szCs w:val="26"/>
        </w:rPr>
      </w:pPr>
      <w:r w:rsidRPr="007C0CE4">
        <w:rPr>
          <w:color w:val="000000"/>
          <w:sz w:val="26"/>
          <w:szCs w:val="26"/>
        </w:rPr>
        <w:t>Esta providencia fue estudiada y aprobada en Sala de decisión No 2 de la fecha.</w:t>
      </w:r>
    </w:p>
    <w:p w14:paraId="3DC28539" w14:textId="59E720D0" w:rsidR="0066593A" w:rsidRPr="00833EF0" w:rsidRDefault="0066593A" w:rsidP="004E65B1">
      <w:pPr>
        <w:spacing w:line="360" w:lineRule="auto"/>
        <w:ind w:hanging="708"/>
        <w:jc w:val="center"/>
        <w:rPr>
          <w:color w:val="000000" w:themeColor="text1"/>
          <w:sz w:val="26"/>
          <w:szCs w:val="26"/>
        </w:rPr>
      </w:pPr>
      <w:r w:rsidRPr="00170593">
        <w:rPr>
          <w:color w:val="000000" w:themeColor="text1"/>
          <w:sz w:val="26"/>
          <w:szCs w:val="26"/>
        </w:rPr>
        <w:t>Notifíquese y cúmplase</w:t>
      </w:r>
    </w:p>
    <w:p w14:paraId="6A7DC055" w14:textId="77777777" w:rsidR="0066593A" w:rsidRPr="00833EF0" w:rsidRDefault="0066593A" w:rsidP="0066593A">
      <w:pPr>
        <w:jc w:val="center"/>
        <w:rPr>
          <w:color w:val="000000" w:themeColor="text1"/>
          <w:sz w:val="26"/>
          <w:szCs w:val="26"/>
        </w:rPr>
      </w:pPr>
      <w:r w:rsidRPr="00833EF0">
        <w:rPr>
          <w:color w:val="000000" w:themeColor="text1"/>
          <w:sz w:val="26"/>
          <w:szCs w:val="26"/>
        </w:rPr>
        <w:t>LUÍS ERNESTO ARCINIEGAS TRIANA</w:t>
      </w:r>
    </w:p>
    <w:p w14:paraId="76FCDF13" w14:textId="68C1DD72" w:rsidR="0066593A" w:rsidRPr="004E65B1" w:rsidRDefault="0066593A" w:rsidP="004E65B1">
      <w:pPr>
        <w:jc w:val="center"/>
        <w:rPr>
          <w:b/>
          <w:color w:val="000000" w:themeColor="text1"/>
          <w:sz w:val="26"/>
          <w:szCs w:val="26"/>
        </w:rPr>
      </w:pPr>
      <w:r w:rsidRPr="00833EF0">
        <w:rPr>
          <w:b/>
          <w:color w:val="000000" w:themeColor="text1"/>
          <w:sz w:val="26"/>
          <w:szCs w:val="26"/>
        </w:rPr>
        <w:t>Magistrad</w:t>
      </w:r>
      <w:r w:rsidR="004E65B1">
        <w:rPr>
          <w:b/>
          <w:color w:val="000000" w:themeColor="text1"/>
          <w:sz w:val="26"/>
          <w:szCs w:val="26"/>
        </w:rPr>
        <w:t>o</w:t>
      </w:r>
    </w:p>
    <w:p w14:paraId="5E06C3E7" w14:textId="77777777" w:rsidR="0066593A" w:rsidRPr="00B851A0" w:rsidRDefault="0066593A" w:rsidP="0066593A">
      <w:pPr>
        <w:jc w:val="center"/>
        <w:rPr>
          <w:color w:val="000000" w:themeColor="text1"/>
          <w:sz w:val="26"/>
          <w:szCs w:val="26"/>
        </w:rPr>
      </w:pPr>
    </w:p>
    <w:p w14:paraId="44965341" w14:textId="77777777" w:rsidR="0066593A" w:rsidRPr="00B851A0" w:rsidRDefault="0066593A" w:rsidP="0066593A">
      <w:pPr>
        <w:jc w:val="center"/>
        <w:rPr>
          <w:rStyle w:val="normaltextrun"/>
          <w:color w:val="000000"/>
          <w:sz w:val="26"/>
          <w:szCs w:val="26"/>
          <w:shd w:val="clear" w:color="auto" w:fill="FFFFFF"/>
        </w:rPr>
      </w:pPr>
      <w:r w:rsidRPr="00B851A0">
        <w:rPr>
          <w:rStyle w:val="normaltextrun"/>
          <w:color w:val="000000"/>
          <w:sz w:val="26"/>
          <w:szCs w:val="26"/>
          <w:shd w:val="clear" w:color="auto" w:fill="FFFFFF"/>
        </w:rPr>
        <w:t>DAYÁN ALBERTO BLANCO LEGUÍZAMO</w:t>
      </w:r>
    </w:p>
    <w:p w14:paraId="5604B263" w14:textId="77777777" w:rsidR="0066593A" w:rsidRPr="00B851A0" w:rsidRDefault="0066593A" w:rsidP="0066593A">
      <w:pPr>
        <w:jc w:val="center"/>
        <w:rPr>
          <w:b/>
          <w:color w:val="000000" w:themeColor="text1"/>
          <w:sz w:val="26"/>
          <w:szCs w:val="26"/>
        </w:rPr>
      </w:pPr>
      <w:r w:rsidRPr="00B851A0">
        <w:rPr>
          <w:b/>
          <w:color w:val="000000" w:themeColor="text1"/>
          <w:sz w:val="26"/>
          <w:szCs w:val="26"/>
        </w:rPr>
        <w:t>Magistrado</w:t>
      </w:r>
    </w:p>
    <w:p w14:paraId="002D04FF" w14:textId="77777777" w:rsidR="0066593A" w:rsidRPr="00833EF0" w:rsidRDefault="0066593A" w:rsidP="009F4ABB">
      <w:pPr>
        <w:rPr>
          <w:color w:val="000000" w:themeColor="text1"/>
          <w:sz w:val="26"/>
          <w:szCs w:val="26"/>
        </w:rPr>
      </w:pPr>
    </w:p>
    <w:p w14:paraId="5A256275" w14:textId="77777777" w:rsidR="0066593A" w:rsidRPr="00833EF0" w:rsidRDefault="0066593A" w:rsidP="0066593A">
      <w:pPr>
        <w:jc w:val="center"/>
        <w:rPr>
          <w:color w:val="000000" w:themeColor="text1"/>
          <w:sz w:val="26"/>
          <w:szCs w:val="26"/>
        </w:rPr>
      </w:pPr>
      <w:r w:rsidRPr="00833EF0">
        <w:rPr>
          <w:color w:val="000000" w:themeColor="text1"/>
          <w:sz w:val="26"/>
          <w:szCs w:val="26"/>
        </w:rPr>
        <w:t>JOSÉ ASCENCIÓN FERNÁNDEZ OSORIO</w:t>
      </w:r>
    </w:p>
    <w:p w14:paraId="0B53BCD6" w14:textId="6ABFC922" w:rsidR="006C1310" w:rsidRPr="009F4ABB" w:rsidRDefault="0066593A" w:rsidP="009F4ABB">
      <w:pPr>
        <w:jc w:val="center"/>
        <w:rPr>
          <w:b/>
          <w:color w:val="000000" w:themeColor="text1"/>
          <w:sz w:val="26"/>
          <w:szCs w:val="26"/>
        </w:rPr>
      </w:pPr>
      <w:r w:rsidRPr="00833EF0">
        <w:rPr>
          <w:b/>
          <w:color w:val="000000" w:themeColor="text1"/>
          <w:sz w:val="26"/>
          <w:szCs w:val="26"/>
        </w:rPr>
        <w:t>Magistra</w:t>
      </w:r>
      <w:r w:rsidR="009F4ABB">
        <w:rPr>
          <w:b/>
          <w:color w:val="000000" w:themeColor="text1"/>
          <w:sz w:val="26"/>
          <w:szCs w:val="26"/>
        </w:rPr>
        <w:t>do</w:t>
      </w:r>
    </w:p>
    <w:sectPr w:rsidR="006C1310" w:rsidRPr="009F4ABB" w:rsidSect="007944B0">
      <w:headerReference w:type="default" r:id="rId11"/>
      <w:footerReference w:type="default" r:id="rId12"/>
      <w:headerReference w:type="first" r:id="rId13"/>
      <w:pgSz w:w="12242" w:h="18722" w:code="12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91534" w14:textId="77777777" w:rsidR="005D2DC7" w:rsidRDefault="005D2DC7" w:rsidP="00385E3A">
      <w:r>
        <w:separator/>
      </w:r>
    </w:p>
  </w:endnote>
  <w:endnote w:type="continuationSeparator" w:id="0">
    <w:p w14:paraId="57F8E469" w14:textId="77777777" w:rsidR="005D2DC7" w:rsidRDefault="005D2DC7" w:rsidP="0038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no Pro">
    <w:altName w:val="Times New Roman"/>
    <w:charset w:val="00"/>
    <w:family w:val="roman"/>
    <w:pitch w:val="variable"/>
    <w:sig w:usb0="00000001" w:usb1="00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1305940"/>
      <w:docPartObj>
        <w:docPartGallery w:val="Page Numbers (Bottom of Page)"/>
        <w:docPartUnique/>
      </w:docPartObj>
    </w:sdtPr>
    <w:sdtContent>
      <w:p w14:paraId="5E6438DC" w14:textId="77777777" w:rsidR="00951415" w:rsidRDefault="00951415">
        <w:pPr>
          <w:pStyle w:val="Piedepgina"/>
          <w:jc w:val="right"/>
        </w:pPr>
        <w:r>
          <w:fldChar w:fldCharType="begin"/>
        </w:r>
        <w:r>
          <w:instrText>PAGE   \* MERGEFORMAT</w:instrText>
        </w:r>
        <w:r>
          <w:fldChar w:fldCharType="separate"/>
        </w:r>
        <w:r>
          <w:rPr>
            <w:noProof/>
          </w:rPr>
          <w:t>20</w:t>
        </w:r>
        <w:r>
          <w:fldChar w:fldCharType="end"/>
        </w:r>
      </w:p>
    </w:sdtContent>
  </w:sdt>
  <w:p w14:paraId="45E630F4" w14:textId="77777777" w:rsidR="00951415" w:rsidRDefault="009514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C9DEF" w14:textId="77777777" w:rsidR="005D2DC7" w:rsidRDefault="005D2DC7" w:rsidP="00385E3A">
      <w:r>
        <w:separator/>
      </w:r>
    </w:p>
  </w:footnote>
  <w:footnote w:type="continuationSeparator" w:id="0">
    <w:p w14:paraId="5374B7FD" w14:textId="77777777" w:rsidR="005D2DC7" w:rsidRDefault="005D2DC7" w:rsidP="00385E3A">
      <w:r>
        <w:continuationSeparator/>
      </w:r>
    </w:p>
  </w:footnote>
  <w:footnote w:id="1">
    <w:p w14:paraId="29EAFF7C" w14:textId="3B750EFC" w:rsidR="00951415" w:rsidRPr="007C5154" w:rsidRDefault="00951415">
      <w:pPr>
        <w:pStyle w:val="Textonotapie"/>
        <w:rPr>
          <w:lang w:val="es-CO"/>
        </w:rPr>
      </w:pPr>
      <w:r w:rsidRPr="007C5154">
        <w:rPr>
          <w:rStyle w:val="Refdenotaalpie"/>
        </w:rPr>
        <w:footnoteRef/>
      </w:r>
      <w:r w:rsidRPr="007C5154">
        <w:t xml:space="preserve"> </w:t>
      </w:r>
      <w:r w:rsidRPr="007C5154">
        <w:rPr>
          <w:lang w:val="es-CO"/>
        </w:rPr>
        <w:t xml:space="preserve">Ver </w:t>
      </w:r>
      <w:r>
        <w:rPr>
          <w:lang w:val="es-CO"/>
        </w:rPr>
        <w:t>archivo No 11 del expediente digital.</w:t>
      </w:r>
    </w:p>
  </w:footnote>
  <w:footnote w:id="2">
    <w:p w14:paraId="375813AF" w14:textId="08AA4385" w:rsidR="00951415" w:rsidRPr="009479AE" w:rsidRDefault="00951415">
      <w:pPr>
        <w:pStyle w:val="Textonotapie"/>
        <w:rPr>
          <w:lang w:val="es-CO"/>
        </w:rPr>
      </w:pPr>
      <w:r w:rsidRPr="00757099">
        <w:rPr>
          <w:rStyle w:val="Refdenotaalpie"/>
        </w:rPr>
        <w:footnoteRef/>
      </w:r>
      <w:r w:rsidRPr="00757099">
        <w:t xml:space="preserve"> </w:t>
      </w:r>
      <w:r w:rsidRPr="00757099">
        <w:rPr>
          <w:lang w:val="es-CO"/>
        </w:rPr>
        <w:t>Ver archivo No del expediente digital</w:t>
      </w:r>
    </w:p>
  </w:footnote>
  <w:footnote w:id="3">
    <w:p w14:paraId="48F80008" w14:textId="00921887" w:rsidR="00951415" w:rsidRPr="009479AE" w:rsidRDefault="00951415">
      <w:pPr>
        <w:pStyle w:val="Textonotapie"/>
        <w:rPr>
          <w:lang w:val="es-CO"/>
        </w:rPr>
      </w:pPr>
      <w:r w:rsidRPr="009479AE">
        <w:rPr>
          <w:rStyle w:val="Refdenotaalpie"/>
        </w:rPr>
        <w:footnoteRef/>
      </w:r>
      <w:r w:rsidRPr="009479AE">
        <w:t xml:space="preserve"> </w:t>
      </w:r>
      <w:r w:rsidRPr="007C5154">
        <w:rPr>
          <w:lang w:val="es-CO"/>
        </w:rPr>
        <w:t xml:space="preserve">Ver </w:t>
      </w:r>
      <w:r>
        <w:rPr>
          <w:lang w:val="es-CO"/>
        </w:rPr>
        <w:t>archivo No 27 del expediente digital.</w:t>
      </w:r>
    </w:p>
  </w:footnote>
  <w:footnote w:id="4">
    <w:p w14:paraId="6D261C7A" w14:textId="11B034F2" w:rsidR="00951415" w:rsidRPr="009479AE" w:rsidRDefault="00951415">
      <w:pPr>
        <w:pStyle w:val="Textonotapie"/>
        <w:rPr>
          <w:lang w:val="es-CO"/>
        </w:rPr>
      </w:pPr>
      <w:r w:rsidRPr="009479AE">
        <w:rPr>
          <w:rStyle w:val="Refdenotaalpie"/>
        </w:rPr>
        <w:footnoteRef/>
      </w:r>
      <w:r w:rsidRPr="009479AE">
        <w:t xml:space="preserve"> </w:t>
      </w:r>
      <w:r w:rsidRPr="007C5154">
        <w:rPr>
          <w:lang w:val="es-CO"/>
        </w:rPr>
        <w:t xml:space="preserve">Ver </w:t>
      </w:r>
      <w:r>
        <w:rPr>
          <w:lang w:val="es-CO"/>
        </w:rPr>
        <w:t>archivo No 28 del expediente digital</w:t>
      </w:r>
    </w:p>
  </w:footnote>
  <w:footnote w:id="5">
    <w:p w14:paraId="054265B9" w14:textId="592E5BDF" w:rsidR="00951415" w:rsidRDefault="00951415">
      <w:pPr>
        <w:pStyle w:val="Textonotapie"/>
      </w:pPr>
      <w:r>
        <w:rPr>
          <w:rStyle w:val="Refdenotaalpie"/>
        </w:rPr>
        <w:footnoteRef/>
      </w:r>
      <w:r>
        <w:t xml:space="preserve"> </w:t>
      </w:r>
      <w:r w:rsidRPr="007C5154">
        <w:rPr>
          <w:lang w:val="es-CO"/>
        </w:rPr>
        <w:t xml:space="preserve">Ver </w:t>
      </w:r>
      <w:r>
        <w:rPr>
          <w:lang w:val="es-CO"/>
        </w:rPr>
        <w:t>archivo No 50 del expediente digital</w:t>
      </w:r>
    </w:p>
  </w:footnote>
  <w:footnote w:id="6">
    <w:p w14:paraId="6DFE44A7" w14:textId="429AB877" w:rsidR="00951415" w:rsidRDefault="00951415">
      <w:pPr>
        <w:pStyle w:val="Textonotapie"/>
      </w:pPr>
      <w:r>
        <w:rPr>
          <w:rStyle w:val="Refdenotaalpie"/>
        </w:rPr>
        <w:footnoteRef/>
      </w:r>
      <w:r>
        <w:t xml:space="preserve"> Ver archivo No 54 del expediente digital</w:t>
      </w:r>
    </w:p>
  </w:footnote>
  <w:footnote w:id="7">
    <w:p w14:paraId="7C29C2DE" w14:textId="78BE5499" w:rsidR="00951415" w:rsidRDefault="00951415">
      <w:pPr>
        <w:pStyle w:val="Textonotapie"/>
      </w:pPr>
      <w:r>
        <w:rPr>
          <w:rStyle w:val="Refdenotaalpie"/>
        </w:rPr>
        <w:footnoteRef/>
      </w:r>
      <w:r>
        <w:t xml:space="preserve"> </w:t>
      </w:r>
      <w:r w:rsidRPr="007C5154">
        <w:rPr>
          <w:lang w:val="es-CO"/>
        </w:rPr>
        <w:t xml:space="preserve">Ver </w:t>
      </w:r>
      <w:r>
        <w:rPr>
          <w:lang w:val="es-CO"/>
        </w:rPr>
        <w:t>archivo No 54 del expediente digital</w:t>
      </w:r>
    </w:p>
  </w:footnote>
  <w:footnote w:id="8">
    <w:p w14:paraId="30FA684B" w14:textId="2434DF8F" w:rsidR="00951415" w:rsidRPr="00417201" w:rsidRDefault="00951415" w:rsidP="00417201">
      <w:pPr>
        <w:pStyle w:val="Textonotapie"/>
        <w:rPr>
          <w:lang w:val="es-CO"/>
        </w:rPr>
      </w:pPr>
      <w:r w:rsidRPr="009479AE">
        <w:rPr>
          <w:rStyle w:val="Refdenotaalpie"/>
        </w:rPr>
        <w:footnoteRef/>
      </w:r>
      <w:r w:rsidRPr="009479AE">
        <w:t xml:space="preserve"> </w:t>
      </w:r>
      <w:r w:rsidRPr="007C5154">
        <w:rPr>
          <w:lang w:val="es-CO"/>
        </w:rPr>
        <w:t xml:space="preserve">Ver </w:t>
      </w:r>
      <w:r>
        <w:rPr>
          <w:lang w:val="es-CO"/>
        </w:rPr>
        <w:t>archivo No 62 del expediente digital</w:t>
      </w:r>
    </w:p>
    <w:p w14:paraId="5BE77DE9" w14:textId="0C082EDC" w:rsidR="00951415" w:rsidRPr="009479AE" w:rsidRDefault="00951415">
      <w:pPr>
        <w:pStyle w:val="Textonotapie"/>
        <w:rPr>
          <w:lang w:val="es-CO"/>
        </w:rPr>
      </w:pPr>
      <w:r>
        <w:rPr>
          <w:lang w:val="es-CO"/>
        </w:rPr>
        <w:t>.</w:t>
      </w:r>
    </w:p>
  </w:footnote>
  <w:footnote w:id="9">
    <w:p w14:paraId="12457DCA" w14:textId="7B3E6E79" w:rsidR="00951415" w:rsidRDefault="00951415">
      <w:pPr>
        <w:pStyle w:val="Textonotapie"/>
      </w:pPr>
      <w:r>
        <w:rPr>
          <w:rStyle w:val="Refdenotaalpie"/>
        </w:rPr>
        <w:footnoteRef/>
      </w:r>
      <w:r>
        <w:t xml:space="preserve"> </w:t>
      </w:r>
      <w:r w:rsidRPr="007C5154">
        <w:rPr>
          <w:lang w:val="es-CO"/>
        </w:rPr>
        <w:t xml:space="preserve">Ver </w:t>
      </w:r>
      <w:r>
        <w:rPr>
          <w:lang w:val="es-CO"/>
        </w:rPr>
        <w:t>archivo No 73 del expediente digital</w:t>
      </w:r>
    </w:p>
  </w:footnote>
  <w:footnote w:id="10">
    <w:p w14:paraId="09261756" w14:textId="13726C6A" w:rsidR="00951415" w:rsidRPr="009479AE" w:rsidRDefault="00951415">
      <w:pPr>
        <w:pStyle w:val="Textonotapie"/>
        <w:rPr>
          <w:lang w:val="es-CO"/>
        </w:rPr>
      </w:pPr>
      <w:r w:rsidRPr="009479AE">
        <w:rPr>
          <w:rStyle w:val="Refdenotaalpie"/>
        </w:rPr>
        <w:footnoteRef/>
      </w:r>
      <w:r w:rsidRPr="009479AE">
        <w:t xml:space="preserve"> </w:t>
      </w:r>
      <w:r w:rsidRPr="007C5154">
        <w:rPr>
          <w:lang w:val="es-CO"/>
        </w:rPr>
        <w:t xml:space="preserve">Ver </w:t>
      </w:r>
      <w:r>
        <w:rPr>
          <w:lang w:val="es-CO"/>
        </w:rPr>
        <w:t>archivo No 68 del expediente digital</w:t>
      </w:r>
    </w:p>
  </w:footnote>
  <w:footnote w:id="11">
    <w:p w14:paraId="39557217" w14:textId="0513DCD4" w:rsidR="00951415" w:rsidRPr="009479AE" w:rsidRDefault="00951415">
      <w:pPr>
        <w:pStyle w:val="Textonotapie"/>
        <w:rPr>
          <w:lang w:val="es-CO"/>
        </w:rPr>
      </w:pPr>
      <w:r w:rsidRPr="009479AE">
        <w:rPr>
          <w:rStyle w:val="Refdenotaalpie"/>
        </w:rPr>
        <w:footnoteRef/>
      </w:r>
      <w:r w:rsidRPr="009479AE">
        <w:t xml:space="preserve"> </w:t>
      </w:r>
      <w:r w:rsidRPr="007C5154">
        <w:rPr>
          <w:lang w:val="es-CO"/>
        </w:rPr>
        <w:t xml:space="preserve">Ver </w:t>
      </w:r>
      <w:r>
        <w:rPr>
          <w:lang w:val="es-CO"/>
        </w:rPr>
        <w:t>archivo No 76 del expediente digital</w:t>
      </w:r>
    </w:p>
  </w:footnote>
  <w:footnote w:id="12">
    <w:p w14:paraId="488BA277" w14:textId="04BBA069" w:rsidR="00951415" w:rsidRPr="009F2C56" w:rsidRDefault="00951415" w:rsidP="073719D1">
      <w:pPr>
        <w:ind w:right="51"/>
        <w:jc w:val="both"/>
        <w:rPr>
          <w:sz w:val="18"/>
          <w:szCs w:val="18"/>
        </w:rPr>
      </w:pPr>
      <w:r w:rsidRPr="073719D1">
        <w:rPr>
          <w:rStyle w:val="Refdenotaalpie"/>
          <w:i/>
          <w:iCs/>
          <w:sz w:val="18"/>
          <w:szCs w:val="18"/>
        </w:rPr>
        <w:footnoteRef/>
      </w:r>
      <w:r w:rsidRPr="073719D1">
        <w:rPr>
          <w:i/>
          <w:iCs/>
          <w:sz w:val="18"/>
          <w:szCs w:val="18"/>
        </w:rPr>
        <w:t xml:space="preserve"> </w:t>
      </w:r>
    </w:p>
    <w:p w14:paraId="64F5C81E" w14:textId="4E257F63" w:rsidR="00951415" w:rsidRPr="009F2C56" w:rsidRDefault="00951415" w:rsidP="073719D1">
      <w:pPr>
        <w:ind w:right="51"/>
        <w:jc w:val="both"/>
        <w:rPr>
          <w:sz w:val="18"/>
          <w:szCs w:val="18"/>
        </w:rPr>
      </w:pPr>
      <w:r w:rsidRPr="073719D1">
        <w:rPr>
          <w:i/>
          <w:iCs/>
          <w:sz w:val="18"/>
          <w:szCs w:val="18"/>
        </w:rPr>
        <w:t>CONSEJO DE ESTADO, SALA DE LO CONTENCIOSO ADMINISTRATIVO, SECCIÓN SEGUNDA, SUBSECCIÓN "A", Consejero ponente: GUSTAVO EDUARDO GÓMEZ ARANGUREN, Bogotá, D.C., veinticinco (25) de marzo de dos mil diez (2010), Radicación número: 63001-23-31-000-2003-01125-01(0620-09).</w:t>
      </w:r>
      <w:r w:rsidRPr="073719D1">
        <w:rPr>
          <w:sz w:val="18"/>
          <w:szCs w:val="18"/>
        </w:rPr>
        <w:t xml:space="preserve"> “De manera particular, en lo que a las cesantías hace referencia, el numeral 3º de este mismo artículo señala, que a partir de su vigencia, para docentes nacionalizados vinculados hasta el 31 de diciembre de 1989, dicho Fondo pagará un auxilio equivalente a un mes de salario por cada año de servicio o proporcionalmente por fracción de año laborado sobre el último salario devengado si no ha sido modificado en los últimos tres meses, o en caso contrario, sobre el salario promedio del último año. Y para los docentes que se vinculen a partir del 1º de enero de 1990 y para los docentes nacionales vinculados con anterioridad a dicha fecha, pero solo con respecto a las cesantías generadas a partir del 1º de enero de 1990, el Fondo reconocerá y pagará un interés anual sobre saldo de estas cesantías existentes a 31 de diciembre de cada año, liquidadas anualmente y sin retroactividad, equivalente a la suma que resulte de aplicar la tasa de interés que de acuerdo con certificación de la Superintendencia Bancaria, haya sido la comercial de captación del sistema financiero durante el mismo período. Las cesantías del personal nacional docente, acumuladas hasta el 31 de diciembre de 1989, que pasan al Fondo continuarán sometidas a las normas generales vigentes para los empleados públicos del orden nacional. </w:t>
      </w:r>
    </w:p>
    <w:p w14:paraId="440B1D5C" w14:textId="77777777" w:rsidR="00951415" w:rsidRPr="009F2C56" w:rsidRDefault="00951415" w:rsidP="009F2C56">
      <w:pPr>
        <w:pStyle w:val="Prrafodelista"/>
        <w:ind w:left="505" w:right="51"/>
        <w:jc w:val="both"/>
        <w:rPr>
          <w:iCs/>
          <w:sz w:val="18"/>
          <w:szCs w:val="18"/>
        </w:rPr>
      </w:pPr>
    </w:p>
    <w:p w14:paraId="797232ED" w14:textId="77777777" w:rsidR="00951415" w:rsidRPr="009F2C56" w:rsidRDefault="00951415" w:rsidP="009F2C56">
      <w:pPr>
        <w:ind w:right="51"/>
        <w:jc w:val="both"/>
        <w:rPr>
          <w:iCs/>
          <w:sz w:val="18"/>
          <w:szCs w:val="18"/>
        </w:rPr>
      </w:pPr>
      <w:r w:rsidRPr="009F2C56">
        <w:rPr>
          <w:iCs/>
          <w:sz w:val="18"/>
          <w:szCs w:val="18"/>
        </w:rPr>
        <w:t>Se deduce entonces, que la Ley 91 de 1989 estableció un régimen que reguló la situación de los docentes, en atención al proceso de nacionalización de la educación previsto en la Ley 43 de 1975 y que implicaba la existencia tanto de docentes vinculados por la Nación como de docentes que habiendo sido vinculados por una entidad territorial, serían nacionalizados.</w:t>
      </w:r>
    </w:p>
    <w:p w14:paraId="2D18AC81" w14:textId="77777777" w:rsidR="00951415" w:rsidRPr="009F2C56" w:rsidRDefault="00951415" w:rsidP="009F2C56">
      <w:pPr>
        <w:pStyle w:val="Prrafodelista"/>
        <w:ind w:left="505" w:right="51"/>
        <w:jc w:val="both"/>
        <w:rPr>
          <w:iCs/>
          <w:sz w:val="18"/>
          <w:szCs w:val="18"/>
        </w:rPr>
      </w:pPr>
    </w:p>
    <w:p w14:paraId="269E94D3" w14:textId="77777777" w:rsidR="00951415" w:rsidRPr="009F2C56" w:rsidRDefault="00951415" w:rsidP="009F2C56">
      <w:pPr>
        <w:ind w:right="51"/>
        <w:jc w:val="both"/>
        <w:rPr>
          <w:iCs/>
          <w:sz w:val="18"/>
          <w:szCs w:val="18"/>
        </w:rPr>
      </w:pPr>
      <w:r w:rsidRPr="009F2C56">
        <w:rPr>
          <w:iCs/>
          <w:sz w:val="18"/>
          <w:szCs w:val="18"/>
        </w:rPr>
        <w:t>Los docentes nacionalizados vinculados hasta el 31 de diciembre de 1989 mantendrían el régimen prestacional previsto en la normativa vigente de la entidad territorial y los docentes nacionales y los vinculados a partir del 1º de enero de 1990, se les aplicarán las disposiciones vigentes para los empleados públicos del orden nacional.</w:t>
      </w:r>
    </w:p>
    <w:p w14:paraId="2CC032D4" w14:textId="77777777" w:rsidR="00951415" w:rsidRPr="009F2C56" w:rsidRDefault="00951415" w:rsidP="009F2C56">
      <w:pPr>
        <w:pStyle w:val="Prrafodelista"/>
        <w:ind w:left="505" w:right="51"/>
        <w:jc w:val="both"/>
        <w:rPr>
          <w:iCs/>
          <w:sz w:val="18"/>
          <w:szCs w:val="18"/>
          <w:u w:val="single"/>
        </w:rPr>
      </w:pPr>
    </w:p>
    <w:p w14:paraId="646AB020" w14:textId="77777777" w:rsidR="00951415" w:rsidRDefault="00951415" w:rsidP="009F2C56">
      <w:pPr>
        <w:jc w:val="both"/>
        <w:rPr>
          <w:iCs/>
          <w:sz w:val="18"/>
          <w:szCs w:val="18"/>
          <w:u w:val="single"/>
        </w:rPr>
      </w:pPr>
      <w:r w:rsidRPr="009F2C56">
        <w:rPr>
          <w:iCs/>
          <w:sz w:val="18"/>
          <w:szCs w:val="18"/>
          <w:u w:val="single"/>
        </w:rPr>
        <w:t>En lo que atañe a las cesantías de los docentes nacionalizados, se conservó el sistema de retroactividad para los vinculados hasta el 31 de diciembre de 1989, de conformidad con la normativa vigente en la entidad territorial, y a los docentes nacionales y a los vinculados a partir del 1º de enero de 1990, se les aplicaría un sistema anualizado de cesantías sin retroactividad y sujeto al reconocimiento de intereses</w:t>
      </w:r>
    </w:p>
    <w:p w14:paraId="6BF3B5E8" w14:textId="77777777" w:rsidR="00951415" w:rsidRPr="009479AE" w:rsidRDefault="00951415" w:rsidP="009F2C56">
      <w:pPr>
        <w:jc w:val="both"/>
        <w:rPr>
          <w:i/>
          <w:sz w:val="20"/>
        </w:rPr>
      </w:pPr>
    </w:p>
  </w:footnote>
  <w:footnote w:id="13">
    <w:p w14:paraId="4DA1FD39" w14:textId="1F2C6751" w:rsidR="00951415" w:rsidRPr="009F2C56" w:rsidRDefault="00951415" w:rsidP="000B2BE5">
      <w:pPr>
        <w:pStyle w:val="Textonotapie"/>
        <w:rPr>
          <w:sz w:val="18"/>
          <w:szCs w:val="18"/>
          <w:lang w:val="es-ES_tradnl"/>
        </w:rPr>
      </w:pPr>
      <w:r w:rsidRPr="009F2C56">
        <w:rPr>
          <w:rStyle w:val="Refdenotaalpie"/>
          <w:sz w:val="18"/>
          <w:szCs w:val="18"/>
        </w:rPr>
        <w:footnoteRef/>
      </w:r>
      <w:r w:rsidRPr="009F2C56">
        <w:rPr>
          <w:sz w:val="18"/>
          <w:szCs w:val="18"/>
        </w:rPr>
        <w:t xml:space="preserve"> </w:t>
      </w:r>
      <w:r w:rsidRPr="009F2C56">
        <w:rPr>
          <w:rFonts w:eastAsia="Dotum"/>
          <w:sz w:val="18"/>
          <w:szCs w:val="18"/>
        </w:rPr>
        <w:t>Sentencia CE-SUJ-SII-012-2018 – Sentencia de unificación del 18 de julio de 2018- Consejera Ponente Sand</w:t>
      </w:r>
      <w:r>
        <w:rPr>
          <w:rFonts w:eastAsia="Dotum"/>
          <w:sz w:val="18"/>
          <w:szCs w:val="18"/>
        </w:rPr>
        <w:t>r</w:t>
      </w:r>
      <w:r w:rsidRPr="009F2C56">
        <w:rPr>
          <w:rFonts w:eastAsia="Dotum"/>
          <w:sz w:val="18"/>
          <w:szCs w:val="18"/>
        </w:rPr>
        <w:t xml:space="preserve">a Lisset Ibarra Vélez </w:t>
      </w:r>
      <w:r w:rsidRPr="009F2C56">
        <w:rPr>
          <w:b/>
          <w:sz w:val="18"/>
          <w:szCs w:val="18"/>
        </w:rPr>
        <w:t xml:space="preserve">- </w:t>
      </w:r>
      <w:r w:rsidRPr="009F2C56">
        <w:rPr>
          <w:rFonts w:eastAsia="Dotum"/>
          <w:sz w:val="18"/>
          <w:szCs w:val="18"/>
        </w:rPr>
        <w:t>Expediente No</w:t>
      </w:r>
      <w:r w:rsidRPr="009F2C56">
        <w:rPr>
          <w:rFonts w:eastAsia="Dotum"/>
          <w:b/>
          <w:sz w:val="18"/>
          <w:szCs w:val="18"/>
        </w:rPr>
        <w:t xml:space="preserve"> </w:t>
      </w:r>
      <w:r w:rsidRPr="009F2C56">
        <w:rPr>
          <w:sz w:val="18"/>
          <w:szCs w:val="18"/>
          <w:lang w:val="es-ES_tradnl"/>
        </w:rPr>
        <w:t>73001-23-33-000-2014-00580-01 Demandante Jorge Luis Ospina Cardona contra la Nación –Ministerio de Educación Nacional – Fondo Nacional de Prestaciones Sociales del Magisterio – Departamento de Tolima.</w:t>
      </w:r>
    </w:p>
  </w:footnote>
  <w:footnote w:id="14">
    <w:p w14:paraId="6FD20ABA" w14:textId="77777777" w:rsidR="00951415" w:rsidRPr="009479AE" w:rsidRDefault="00951415" w:rsidP="000B2BE5">
      <w:pPr>
        <w:pStyle w:val="Textonotapie"/>
        <w:jc w:val="both"/>
      </w:pPr>
      <w:r w:rsidRPr="009479AE">
        <w:rPr>
          <w:rStyle w:val="Refdenotaalpie"/>
        </w:rPr>
        <w:footnoteRef/>
      </w:r>
      <w:r w:rsidRPr="009479AE">
        <w:t xml:space="preserve"> «Por medio de la cual se fijan términos para el pago oportuno de cesantías para los servidores públicos, se establecen sanciones y se dictan otras disposiciones.»</w:t>
      </w:r>
    </w:p>
  </w:footnote>
  <w:footnote w:id="15">
    <w:p w14:paraId="67F27808" w14:textId="77777777" w:rsidR="00951415" w:rsidRPr="009479AE" w:rsidRDefault="00951415" w:rsidP="000B2BE5">
      <w:pPr>
        <w:pStyle w:val="Textonotapie"/>
        <w:jc w:val="both"/>
      </w:pPr>
      <w:r w:rsidRPr="009479AE">
        <w:rPr>
          <w:rStyle w:val="Refdenotaalpie"/>
        </w:rPr>
        <w:footnoteRef/>
      </w:r>
      <w:r w:rsidRPr="009479AE">
        <w:t xml:space="preserve"> «Por medio de la cual se adiciona y modifica la Ley 244 de 1995, se regula el pago de las cesantías definitivas o parciales a los servidores públicos, se establecen sanciones y se fijan términos para su cancelación.». </w:t>
      </w:r>
    </w:p>
  </w:footnote>
  <w:footnote w:id="16">
    <w:p w14:paraId="5BF3AB7D" w14:textId="77777777" w:rsidR="00951415" w:rsidRPr="009479AE" w:rsidRDefault="00951415" w:rsidP="000B2BE5">
      <w:pPr>
        <w:pStyle w:val="Textonotapie"/>
        <w:jc w:val="both"/>
      </w:pPr>
      <w:r w:rsidRPr="009479AE">
        <w:rPr>
          <w:rStyle w:val="Refdenotaalpie"/>
        </w:rPr>
        <w:footnoteRef/>
      </w:r>
      <w:r w:rsidRPr="009479AE">
        <w:t xml:space="preserve"> Este criterio fue expuesto en los fallos de 21 de mayo de 2009, expediente 23001-23-31-000-2004-00069-02. (0859-08). C.P.: Bertha Lucía Ramírez de Páez; de 21 de octubre de 2011, expediente 19001-23-31-000-2003-01299-01 (0672-09) C.P.: Gustavo Gómez Aranguren; de 22 de enero de 2015, expediente 73001-23-31-000-2013-00192-01. (0271-14) C.P.: Sandra Lisset Ibarra Vélez; del 14 de diciembre de 2015, expediente 66001-23-33-000-2013-00189-01 (1498-14) CP: Gerardo Arenas Monsalve; del 17 de noviembre de 2016, expediente 66001-23-33-000-2013-00190-01 (1520-2014) CP: William Hernández Gómez; del 25 de mayo de 2017, expediente 18001233300020120004701 (0645-2014) C.P.: Sandra Lisset Ibarra Vélez; del 8 de junio de 2017. expediente 73001233300020140019901 (0863-2015), C.P.: Sandra Lisset Ibarra Vélez, entre otros.</w:t>
      </w:r>
    </w:p>
  </w:footnote>
  <w:footnote w:id="17">
    <w:p w14:paraId="2E06B96C" w14:textId="77777777" w:rsidR="00951415" w:rsidRPr="009479AE" w:rsidRDefault="00951415" w:rsidP="000B2BE5">
      <w:pPr>
        <w:pStyle w:val="Textonotapie"/>
        <w:jc w:val="both"/>
        <w:rPr>
          <w:iCs/>
        </w:rPr>
      </w:pPr>
      <w:r w:rsidRPr="009479AE">
        <w:rPr>
          <w:rStyle w:val="Refdenotaalpie"/>
        </w:rPr>
        <w:footnoteRef/>
      </w:r>
      <w:r w:rsidRPr="009479AE">
        <w:t xml:space="preserve"> Postura acogida en las sentencias del 9 de julio de 2009, expediente 0672-07. 76001-23-31-000-2004-01655-01. Número interno 0672-07. CP: Gerardo Arenas Monsalve; del 26 de agosto de 2010, expediente 1738-08. </w:t>
      </w:r>
      <w:r w:rsidRPr="009479AE">
        <w:rPr>
          <w:iCs/>
        </w:rPr>
        <w:t xml:space="preserve">CP: Víctor Hernando Alvarado Ardila; del </w:t>
      </w:r>
      <w:r w:rsidRPr="009479AE">
        <w:t xml:space="preserve">19 de enero de 2015. Número interno: 4400-13. </w:t>
      </w:r>
      <w:r w:rsidRPr="009479AE">
        <w:rPr>
          <w:iCs/>
        </w:rPr>
        <w:t xml:space="preserve">CP: Gustavo Eduardo Gómez Aranguren; entre otros. </w:t>
      </w:r>
    </w:p>
  </w:footnote>
  <w:footnote w:id="18">
    <w:p w14:paraId="0F8C930D" w14:textId="6AEB6235" w:rsidR="00951415" w:rsidRPr="009479AE" w:rsidRDefault="00951415" w:rsidP="00AD2DA6">
      <w:pPr>
        <w:pStyle w:val="Textonotapie"/>
        <w:jc w:val="both"/>
      </w:pPr>
      <w:r w:rsidRPr="009479AE">
        <w:rPr>
          <w:rStyle w:val="Refdenotaalpie"/>
        </w:rPr>
        <w:footnoteRef/>
      </w:r>
      <w:r w:rsidRPr="009479AE">
        <w:t xml:space="preserve"> M.P. Iván Humberto Escrucería Mayolo</w:t>
      </w:r>
      <w:r>
        <w:t xml:space="preserve">. </w:t>
      </w:r>
    </w:p>
  </w:footnote>
  <w:footnote w:id="19">
    <w:p w14:paraId="27821BAC" w14:textId="77777777" w:rsidR="00951415" w:rsidRDefault="00951415" w:rsidP="000B2BE5">
      <w:pPr>
        <w:pStyle w:val="Textonotapie"/>
        <w:jc w:val="both"/>
      </w:pPr>
      <w:r w:rsidRPr="009479AE">
        <w:rPr>
          <w:rStyle w:val="Refdenotaalpie"/>
        </w:rPr>
        <w:footnoteRef/>
      </w:r>
      <w:r w:rsidRPr="009479AE">
        <w:t xml:space="preserve"> Así lo indicó expresamente la sentencia en cita “De conformidad con los pronunciamientos de este Tribunal, si bien los educadores oficiales no están expresamente rotulados dentro de ninguna de estas categorías de los servidores públicos, lo cierto es que el Estatuto Docente vigente al momento de expedirse la actual Constitución</w:t>
      </w:r>
    </w:p>
    <w:p w14:paraId="682C0089" w14:textId="77777777" w:rsidR="00951415" w:rsidRDefault="00951415" w:rsidP="000B2BE5">
      <w:pPr>
        <w:pStyle w:val="Textonotapie"/>
        <w:jc w:val="both"/>
      </w:pPr>
    </w:p>
    <w:p w14:paraId="60E5DD94" w14:textId="456C55FF" w:rsidR="00951415" w:rsidRPr="009479AE" w:rsidRDefault="00951415" w:rsidP="000B2BE5">
      <w:pPr>
        <w:pStyle w:val="Textonotapie"/>
        <w:jc w:val="both"/>
      </w:pPr>
      <w:r w:rsidRPr="009479AE">
        <w:rPr>
          <w:vertAlign w:val="superscript"/>
        </w:rPr>
        <w:footnoteRef/>
      </w:r>
      <w:r w:rsidRPr="009479AE">
        <w:t xml:space="preserve"> </w:t>
      </w:r>
      <w:r w:rsidRPr="009479AE">
        <w:rPr>
          <w:b/>
          <w:u w:val="single"/>
        </w:rPr>
        <w:t xml:space="preserve">los definió como </w:t>
      </w:r>
      <w:r w:rsidRPr="009479AE">
        <w:rPr>
          <w:b/>
          <w:i/>
          <w:u w:val="single"/>
        </w:rPr>
        <w:t>empleados oficiales de régimen especial,</w:t>
      </w:r>
      <w:r w:rsidRPr="009479AE">
        <w:rPr>
          <w:b/>
          <w:u w:val="single"/>
        </w:rPr>
        <w:t xml:space="preserve"> mientras que la primera Ley Orgánica de Distribución de Competencias y Recursos</w:t>
      </w:r>
      <w:r w:rsidRPr="009479AE">
        <w:rPr>
          <w:b/>
          <w:u w:val="single"/>
          <w:vertAlign w:val="superscript"/>
        </w:rPr>
        <w:footnoteRef/>
      </w:r>
      <w:r w:rsidRPr="009479AE">
        <w:rPr>
          <w:b/>
          <w:u w:val="single"/>
        </w:rPr>
        <w:t xml:space="preserve"> y la Ley General de Educación</w:t>
      </w:r>
      <w:r w:rsidRPr="009479AE">
        <w:rPr>
          <w:b/>
          <w:u w:val="single"/>
          <w:vertAlign w:val="superscript"/>
        </w:rPr>
        <w:footnoteRef/>
      </w:r>
      <w:r w:rsidRPr="009479AE">
        <w:rPr>
          <w:b/>
          <w:u w:val="single"/>
        </w:rPr>
        <w:t xml:space="preserve">, expedidas con posterioridad a ella, de manera coincidente los denominaron </w:t>
      </w:r>
      <w:r w:rsidRPr="009479AE">
        <w:rPr>
          <w:b/>
          <w:i/>
          <w:u w:val="single"/>
        </w:rPr>
        <w:t>servidores públicos de régimen especial</w:t>
      </w:r>
      <w:r w:rsidRPr="009479AE">
        <w:rPr>
          <w:b/>
          <w:u w:val="single"/>
        </w:rPr>
        <w:t>, definiciones que pueden ser asumidas como de contenido equivalente. Así mismo, debe decirse que existen importantes semejanzas, incluso identidades, entre las características usualmente atribuidas a la figura de los empleados públicos y las que son propias del trabajo de los docentes oficiales, por lo que en tanto los docentes oficiales no han sido ni podrían ser ubicados como parte de ninguna de las otras especies, han de ser considerados empleados públicos</w:t>
      </w:r>
      <w:r w:rsidRPr="009479AE">
        <w:t>”</w:t>
      </w:r>
    </w:p>
    <w:p w14:paraId="6D725ED7" w14:textId="77777777" w:rsidR="00951415" w:rsidRPr="009479AE" w:rsidRDefault="00951415" w:rsidP="000B2BE5">
      <w:pPr>
        <w:pStyle w:val="Textonotapie"/>
        <w:jc w:val="both"/>
      </w:pPr>
      <w:r w:rsidRPr="009479AE">
        <w:t>(…)</w:t>
      </w:r>
    </w:p>
    <w:p w14:paraId="57AD4368" w14:textId="77777777" w:rsidR="00951415" w:rsidRPr="009479AE" w:rsidRDefault="00951415" w:rsidP="000B2BE5">
      <w:pPr>
        <w:jc w:val="both"/>
        <w:rPr>
          <w:sz w:val="20"/>
        </w:rPr>
      </w:pPr>
      <w:r w:rsidRPr="009479AE">
        <w:rPr>
          <w:sz w:val="20"/>
          <w:bdr w:val="none" w:sz="0" w:space="0" w:color="auto" w:frame="1"/>
          <w:lang w:eastAsia="es-CO"/>
        </w:rPr>
        <w:t xml:space="preserve">En tal sentido, la Corte Constitucional estableció su doctrina en las sentencias </w:t>
      </w:r>
      <w:r w:rsidRPr="009479AE">
        <w:rPr>
          <w:sz w:val="20"/>
          <w:shd w:val="clear" w:color="auto" w:fill="FFFFFF"/>
        </w:rPr>
        <w:t xml:space="preserve">C-741 de 2012 y SU-336 de 2017, </w:t>
      </w:r>
      <w:r w:rsidRPr="009479AE">
        <w:rPr>
          <w:i/>
          <w:sz w:val="20"/>
          <w:shd w:val="clear" w:color="auto" w:fill="FFFFFF"/>
        </w:rPr>
        <w:t>«en el sentido de que aunque los docentes oficiales no hacen parte de la categoría de servidores públicos, su situación se asimila a la de éstos, por cuanto (i) el estatuto docente (artículo 2º) los define como </w:t>
      </w:r>
      <w:r w:rsidRPr="009479AE">
        <w:rPr>
          <w:i/>
          <w:iCs/>
          <w:sz w:val="20"/>
          <w:bdr w:val="none" w:sz="0" w:space="0" w:color="auto" w:frame="1"/>
          <w:shd w:val="clear" w:color="auto" w:fill="FFFFFF"/>
        </w:rPr>
        <w:t>‘empleados oficiales de régimen especial’</w:t>
      </w:r>
      <w:r w:rsidRPr="009479AE">
        <w:rPr>
          <w:i/>
          <w:sz w:val="20"/>
          <w:shd w:val="clear" w:color="auto" w:fill="FFFFFF"/>
        </w:rPr>
        <w:t>; (ii) la Ley General de Educación (artículo 2º 105, parágrafo 2º, de la Ley 115 de 1994) los denomina servidores públicos de régimen especial; y (iii) los docentes oficiales podrían considerarse empleados públicos, por hacer parte de la rama ejecutiva y porque su misión se cumple dentro de las secretarías de educación territoriales.»,</w:t>
      </w:r>
      <w:r w:rsidRPr="009479AE">
        <w:rPr>
          <w:sz w:val="20"/>
          <w:bdr w:val="none" w:sz="0" w:space="0" w:color="auto" w:frame="1"/>
          <w:lang w:eastAsia="es-CO"/>
        </w:rPr>
        <w:t xml:space="preserve"> </w:t>
      </w:r>
    </w:p>
    <w:p w14:paraId="2CFFDCCD" w14:textId="77777777" w:rsidR="00951415" w:rsidRPr="009479AE" w:rsidRDefault="00951415" w:rsidP="000B2BE5">
      <w:pPr>
        <w:pStyle w:val="Textonotapie"/>
        <w:jc w:val="both"/>
        <w:rPr>
          <w:lang w:val="es-ES_tradnl"/>
        </w:rPr>
      </w:pPr>
    </w:p>
  </w:footnote>
  <w:footnote w:id="20">
    <w:p w14:paraId="6EC66D27" w14:textId="1CB6A8CE" w:rsidR="00951415" w:rsidRPr="009479AE" w:rsidRDefault="00951415" w:rsidP="000B2BE5">
      <w:pPr>
        <w:widowControl w:val="0"/>
        <w:jc w:val="both"/>
        <w:rPr>
          <w:b/>
          <w:sz w:val="20"/>
        </w:rPr>
      </w:pPr>
      <w:r w:rsidRPr="009479AE">
        <w:rPr>
          <w:rStyle w:val="Refdenotaalpie"/>
          <w:sz w:val="20"/>
        </w:rPr>
        <w:footnoteRef/>
      </w:r>
      <w:r w:rsidRPr="009479AE">
        <w:rPr>
          <w:sz w:val="20"/>
        </w:rPr>
        <w:t xml:space="preserve"> </w:t>
      </w:r>
      <w:r w:rsidRPr="009479AE">
        <w:rPr>
          <w:rFonts w:eastAsia="Dotum"/>
          <w:sz w:val="20"/>
        </w:rPr>
        <w:t xml:space="preserve">Sentencia CE-SUJ-SII-012-2018 – Sentencia de unificación del 18 de julio de 2018- Consejera Ponente Sandra Lisset Ibarra Vélez </w:t>
      </w:r>
      <w:r w:rsidRPr="009479AE">
        <w:rPr>
          <w:b/>
          <w:sz w:val="20"/>
        </w:rPr>
        <w:t xml:space="preserve">- </w:t>
      </w:r>
      <w:r w:rsidRPr="009479AE">
        <w:rPr>
          <w:rFonts w:eastAsia="Dotum"/>
          <w:sz w:val="20"/>
        </w:rPr>
        <w:t>Expediente No</w:t>
      </w:r>
      <w:r w:rsidRPr="009479AE">
        <w:rPr>
          <w:rFonts w:eastAsia="Dotum"/>
          <w:b/>
          <w:sz w:val="20"/>
        </w:rPr>
        <w:t xml:space="preserve"> </w:t>
      </w:r>
      <w:r w:rsidRPr="009479AE">
        <w:rPr>
          <w:sz w:val="20"/>
          <w:lang w:val="es-ES_tradnl"/>
        </w:rPr>
        <w:t>73001-23-33-000-2014-00580-01 Demandante Jorge Luis Ospina Cardona contra la Nación –Ministerio de Educación Nacional – Fondo Nacional de Prestaciones Sociales del Magisterio – Departamento de Tolima.</w:t>
      </w:r>
    </w:p>
  </w:footnote>
  <w:footnote w:id="21">
    <w:p w14:paraId="107A31EE" w14:textId="77777777" w:rsidR="00951415" w:rsidRPr="009479AE" w:rsidRDefault="00951415" w:rsidP="000B2BE5">
      <w:pPr>
        <w:jc w:val="both"/>
        <w:rPr>
          <w:sz w:val="20"/>
        </w:rPr>
      </w:pPr>
      <w:r w:rsidRPr="009479AE">
        <w:rPr>
          <w:rStyle w:val="Refdenotaalpie"/>
          <w:sz w:val="20"/>
        </w:rPr>
        <w:footnoteRef/>
      </w:r>
      <w:r w:rsidRPr="009479AE">
        <w:rPr>
          <w:sz w:val="20"/>
        </w:rPr>
        <w:t xml:space="preserve"> «por medio de la cual se fijan términos para el pago oportuno de cesantías para los servidores públicos, se establecen sanciones y se dictan otras disposiciones.»</w:t>
      </w:r>
    </w:p>
  </w:footnote>
  <w:footnote w:id="22">
    <w:p w14:paraId="3ADA3760" w14:textId="77777777" w:rsidR="00951415" w:rsidRPr="009479AE" w:rsidRDefault="00951415" w:rsidP="000B2BE5">
      <w:pPr>
        <w:pStyle w:val="Textonotapie"/>
        <w:jc w:val="both"/>
      </w:pPr>
      <w:r w:rsidRPr="009479AE">
        <w:rPr>
          <w:rStyle w:val="Refdenotaalpie"/>
        </w:rPr>
        <w:footnoteRef/>
      </w:r>
      <w:r w:rsidRPr="009479AE">
        <w:t xml:space="preserve"> «por medio de la cual se adiciona y modifica la Ley 244 de 1995, se regula el pago de las cesantías definitivas o parciales a los servidores públicos, se establecen sanciones y se fijan términos para su cancelación.»</w:t>
      </w:r>
    </w:p>
  </w:footnote>
  <w:footnote w:id="23">
    <w:p w14:paraId="608B3564" w14:textId="77777777" w:rsidR="00951415" w:rsidRPr="009479AE" w:rsidRDefault="00951415" w:rsidP="000B2BE5">
      <w:pPr>
        <w:jc w:val="both"/>
        <w:rPr>
          <w:sz w:val="20"/>
          <w:lang w:val="es-MX"/>
        </w:rPr>
      </w:pPr>
      <w:r w:rsidRPr="009479AE">
        <w:rPr>
          <w:rStyle w:val="Refdenotaalpie"/>
          <w:sz w:val="20"/>
        </w:rPr>
        <w:footnoteRef/>
      </w:r>
      <w:r w:rsidRPr="009479AE">
        <w:rPr>
          <w:sz w:val="20"/>
        </w:rPr>
        <w:t xml:space="preserve"> </w:t>
      </w:r>
      <w:r w:rsidRPr="009479AE">
        <w:rPr>
          <w:sz w:val="20"/>
          <w:lang w:val="es-MX"/>
        </w:rPr>
        <w:t xml:space="preserve">«Artículo 2°. </w:t>
      </w:r>
      <w:r w:rsidRPr="009479AE">
        <w:rPr>
          <w:iCs/>
          <w:sz w:val="20"/>
          <w:lang w:val="es-MX"/>
        </w:rPr>
        <w:t xml:space="preserve">Radicación de solicitudes. </w:t>
      </w:r>
      <w:r w:rsidRPr="009479AE">
        <w:rPr>
          <w:b/>
          <w:sz w:val="20"/>
          <w:u w:val="single"/>
          <w:lang w:val="es-MX"/>
        </w:rPr>
        <w:t>Las solicitudes de reconocimiento de prestaciones sociales, deberán ser radicadas en la secretaría de educación, o la dependencia o entidad que haga sus veces, de la respectiva entidad territorial certificada a cuya planta docente pertenezca o haya pertenecido el solicitante o causahabiente</w:t>
      </w:r>
      <w:r w:rsidRPr="009479AE">
        <w:rPr>
          <w:sz w:val="20"/>
          <w:lang w:val="es-MX"/>
        </w:rPr>
        <w:t>, de acuerdo con el formulario adoptado para el efecto por la sociedad fiduciaria encargada de administrar los recursos del Fondo Nacional de Prestaciones Sociales del Magisterio.</w:t>
      </w:r>
    </w:p>
    <w:p w14:paraId="578C1D29" w14:textId="77777777" w:rsidR="00951415" w:rsidRPr="009479AE" w:rsidRDefault="00951415" w:rsidP="000B2BE5">
      <w:pPr>
        <w:jc w:val="both"/>
        <w:rPr>
          <w:sz w:val="20"/>
          <w:lang w:val="es-MX"/>
        </w:rPr>
      </w:pPr>
      <w:r w:rsidRPr="009479AE">
        <w:rPr>
          <w:sz w:val="20"/>
          <w:lang w:val="es-MX"/>
        </w:rPr>
        <w:t>[…]</w:t>
      </w:r>
    </w:p>
    <w:p w14:paraId="354793F3" w14:textId="77777777" w:rsidR="00951415" w:rsidRPr="009479AE" w:rsidRDefault="00951415" w:rsidP="000B2BE5">
      <w:pPr>
        <w:jc w:val="both"/>
        <w:rPr>
          <w:sz w:val="20"/>
          <w:lang w:val="es-MX"/>
        </w:rPr>
      </w:pPr>
      <w:r w:rsidRPr="009479AE">
        <w:rPr>
          <w:sz w:val="20"/>
          <w:lang w:val="es-MX"/>
        </w:rPr>
        <w:t xml:space="preserve">Artículo 3°. </w:t>
      </w:r>
      <w:r w:rsidRPr="009479AE">
        <w:rPr>
          <w:iCs/>
          <w:sz w:val="20"/>
          <w:lang w:val="es-MX"/>
        </w:rPr>
        <w:t xml:space="preserve">Gestión a cargo de las secretarías de educación. </w:t>
      </w:r>
      <w:r w:rsidRPr="009479AE">
        <w:rPr>
          <w:sz w:val="20"/>
          <w:lang w:val="es-MX"/>
        </w:rPr>
        <w:t>De acuerdo con lo establecido en el artículo 3° de la Ley 91 de1989 y el artículo 56 de la Ley 962 de 2005, la atención de las solicitudes relacionadas con las prestaciones sociales que pagará el Fondo Nacional de Prestaciones Sociales del Magisterio, será efectuada a través de las secretarías de educación de las entidades territoriales certificadas, o la dependencia que haga sus veces.</w:t>
      </w:r>
    </w:p>
    <w:p w14:paraId="160393E4" w14:textId="77777777" w:rsidR="00951415" w:rsidRPr="009479AE" w:rsidRDefault="00951415" w:rsidP="000B2BE5">
      <w:pPr>
        <w:jc w:val="both"/>
        <w:rPr>
          <w:sz w:val="20"/>
          <w:lang w:val="es-MX"/>
        </w:rPr>
      </w:pPr>
      <w:r w:rsidRPr="009479AE">
        <w:rPr>
          <w:sz w:val="20"/>
          <w:lang w:val="es-MX"/>
        </w:rPr>
        <w:t>Para tal efecto, la secretaría de educación de la entidad territorial certificada correspondiente, a la que se encuentre vinculado el docente, deberá:</w:t>
      </w:r>
    </w:p>
    <w:p w14:paraId="224D57AA" w14:textId="77777777" w:rsidR="00951415" w:rsidRPr="009479AE" w:rsidRDefault="00951415" w:rsidP="000B2BE5">
      <w:pPr>
        <w:jc w:val="both"/>
        <w:rPr>
          <w:sz w:val="20"/>
          <w:lang w:val="es-MX"/>
        </w:rPr>
      </w:pPr>
      <w:r w:rsidRPr="009479AE">
        <w:rPr>
          <w:sz w:val="20"/>
          <w:lang w:val="es-MX"/>
        </w:rPr>
        <w:t>1. Recibir y radicar, en estricto orden cronológico, las solicitudes relacionadas con el reconocimiento de prestaciones sociales a cargo del Fondo Nacional de Prestaciones Sociales del Magisterio, de acuerdo con los formularios que adopte la sociedad fiduciaria encargada del manejo de los recursos de dicho Fondo.</w:t>
      </w:r>
    </w:p>
    <w:p w14:paraId="0C28D354" w14:textId="77777777" w:rsidR="00951415" w:rsidRPr="009479AE" w:rsidRDefault="00951415" w:rsidP="000B2BE5">
      <w:pPr>
        <w:jc w:val="both"/>
        <w:rPr>
          <w:sz w:val="20"/>
          <w:lang w:val="es-MX"/>
        </w:rPr>
      </w:pPr>
      <w:r w:rsidRPr="009479AE">
        <w:rPr>
          <w:sz w:val="20"/>
          <w:lang w:val="es-MX"/>
        </w:rPr>
        <w:t>2. Expedir, con destino a la sociedad fiduciaria encargada del manejo de los recursos del Fondo y conforme a los formatos únicos por esta adoptados, certificación de tiempo de servicio y régimen salarial y prestacional, del docente peticionario o causahabiente, de acuerdo con la normatividad vigente.</w:t>
      </w:r>
    </w:p>
    <w:p w14:paraId="153FE455" w14:textId="77777777" w:rsidR="00951415" w:rsidRPr="009479AE" w:rsidRDefault="00951415" w:rsidP="000B2BE5">
      <w:pPr>
        <w:jc w:val="both"/>
        <w:rPr>
          <w:sz w:val="20"/>
          <w:lang w:val="es-MX"/>
        </w:rPr>
      </w:pPr>
      <w:r w:rsidRPr="009479AE">
        <w:rPr>
          <w:sz w:val="20"/>
          <w:lang w:val="es-MX"/>
        </w:rPr>
        <w:t xml:space="preserve">3. </w:t>
      </w:r>
      <w:r w:rsidRPr="009479AE">
        <w:rPr>
          <w:b/>
          <w:sz w:val="20"/>
          <w:u w:val="single"/>
          <w:lang w:val="es-MX"/>
        </w:rPr>
        <w:t>Elaborar y remitir el proyecto de acto administrativo de reconocimiento, dentro de los quince (15) días hábiles siguientes a la radicación de la solicitud, a la sociedad fiduciaria encargada del manejo y administración de los recursos del Fondo Nacional de Prestaciones Sociales del Magisterio para su aprobación</w:t>
      </w:r>
      <w:r w:rsidRPr="009479AE">
        <w:rPr>
          <w:sz w:val="20"/>
          <w:lang w:val="es-MX"/>
        </w:rPr>
        <w:t>, junto con la certificación descrita en el numeral anterior del presente artículo.</w:t>
      </w:r>
    </w:p>
    <w:p w14:paraId="4F2747CD" w14:textId="77777777" w:rsidR="00951415" w:rsidRPr="009479AE" w:rsidRDefault="00951415" w:rsidP="000B2BE5">
      <w:pPr>
        <w:jc w:val="both"/>
        <w:rPr>
          <w:sz w:val="20"/>
          <w:lang w:val="es-MX"/>
        </w:rPr>
      </w:pPr>
      <w:r w:rsidRPr="009479AE">
        <w:rPr>
          <w:sz w:val="20"/>
          <w:lang w:val="es-MX"/>
        </w:rPr>
        <w:t>4. Previa aprobación por parte de la sociedad fiduciaria encargada del manejo y administración de los recursos del Fondo Nacional de Prestaciones Sociales del Magisterio suscribir el acto administrativo de reconocimiento de prestaciones económicas a cargo de dicho Fondo, de acuerdo con las Leyes 91 de 1989 y 962 de 2005 y las normas que las adicionen o modifiquen, y surtir los trámites administrativos a que haya lugar, en los términos y con las formalidades y efectos previstos en la ley.</w:t>
      </w:r>
    </w:p>
    <w:p w14:paraId="30FA62C8" w14:textId="77777777" w:rsidR="00951415" w:rsidRPr="009479AE" w:rsidRDefault="00951415" w:rsidP="000B2BE5">
      <w:pPr>
        <w:jc w:val="both"/>
        <w:rPr>
          <w:b/>
          <w:sz w:val="20"/>
          <w:u w:val="single"/>
          <w:lang w:val="es-MX"/>
        </w:rPr>
      </w:pPr>
      <w:r w:rsidRPr="009479AE">
        <w:rPr>
          <w:sz w:val="20"/>
          <w:lang w:val="es-MX"/>
        </w:rPr>
        <w:t xml:space="preserve">5. </w:t>
      </w:r>
      <w:r w:rsidRPr="009479AE">
        <w:rPr>
          <w:b/>
          <w:sz w:val="20"/>
          <w:u w:val="single"/>
          <w:lang w:val="es-MX"/>
        </w:rPr>
        <w:t>Remitir, a la sociedad fiduciaria encargada del manejo de los recursos del Fondo Nacional de Prestaciones Sociales del Magisterio, copia de los actos administrativos de reconocimiento de prestaciones sociales a cargo de este, junto con la respectiva constancia de ejecutoria para efectos de pago y dentro de los tres días siguientes a que estos se encuentren en firme.</w:t>
      </w:r>
    </w:p>
    <w:p w14:paraId="10AC6E4C" w14:textId="07783561" w:rsidR="00951415" w:rsidRPr="009479AE" w:rsidRDefault="00951415" w:rsidP="000B2BE5">
      <w:pPr>
        <w:jc w:val="both"/>
        <w:rPr>
          <w:sz w:val="20"/>
          <w:lang w:val="es-MX"/>
        </w:rPr>
      </w:pPr>
      <w:r w:rsidRPr="009479AE">
        <w:rPr>
          <w:sz w:val="20"/>
          <w:lang w:val="es-MX"/>
        </w:rPr>
        <w:t>Parágrafo 1°. Igual trámite se surtirá para resolver los recursos que sean interpuestos contra las decisiones adoptadas de conformidad con el procedimiento aquí establecido y aquellas que modifiquen decisiones que con anterioridad se hayan adoptado respecto del reconocimiento de prestaciones a cargo del Fondo Nacional de Prestaciones Sociales del Magisterio. Parágrafo 2°. Sin perjuicio de la responsabilidad administrativa, disciplinaria, fiscal y penal a que pueda haber lugar, las resoluciones que se expidan por parte de la autoridad territorial, que reconozcan prestaciones sociales que deba pagar el Fondo Nacional de Prestaciones Sociales del Magisterio, sin la previa aprobación de la sociedad fiduciaria encargada del manejo y administración de los recursos de tal Fondo, carecerán de efectos legales y no prestarán mérito ejecutivo.</w:t>
      </w:r>
    </w:p>
    <w:p w14:paraId="421012B4" w14:textId="2A80F21E" w:rsidR="00951415" w:rsidRPr="009479AE" w:rsidRDefault="00951415" w:rsidP="000B2BE5">
      <w:pPr>
        <w:jc w:val="both"/>
        <w:rPr>
          <w:sz w:val="20"/>
          <w:lang w:val="es-MX"/>
        </w:rPr>
      </w:pPr>
      <w:r w:rsidRPr="009479AE">
        <w:rPr>
          <w:sz w:val="20"/>
          <w:lang w:val="es-MX"/>
        </w:rPr>
        <w:t>Artículo 4°.</w:t>
      </w:r>
      <w:r w:rsidRPr="009479AE">
        <w:rPr>
          <w:iCs/>
          <w:sz w:val="20"/>
          <w:lang w:val="es-MX"/>
        </w:rPr>
        <w:t xml:space="preserve"> Trámite de solicitudes. </w:t>
      </w:r>
      <w:r w:rsidRPr="009479AE">
        <w:rPr>
          <w:sz w:val="20"/>
          <w:lang w:val="es-MX"/>
        </w:rPr>
        <w:t>El proyecto de acto administrativo de reconocimiento de prestaciones que elabore la secretaría de educación, o la entidad que haga sus veces, de la entidad territorial certificada a cuya planta docente pertenezca o haya pertenecido el solicitante, será remitido a la sociedad fiduciaria que se encargue del manejo de los recursos del Fondo para su aprobación.</w:t>
      </w:r>
      <w:r w:rsidRPr="009479AE">
        <w:rPr>
          <w:b/>
          <w:sz w:val="20"/>
          <w:u w:val="single"/>
          <w:lang w:val="es-MX"/>
        </w:rPr>
        <w:t xml:space="preserve"> Dentro de los quince (15) días hábiles siguientes al recibo del proyecto de resolución, la sociedad fiduciaria deberá impartir su aprobación o indicar de manera precisa las razones de su decisión de no hacerlo, e informar de ello a la respectiva secretaría de educación.</w:t>
      </w:r>
    </w:p>
    <w:p w14:paraId="7DAA6CF6" w14:textId="77777777" w:rsidR="00951415" w:rsidRPr="009479AE" w:rsidRDefault="00951415" w:rsidP="000B2BE5">
      <w:pPr>
        <w:jc w:val="both"/>
        <w:rPr>
          <w:sz w:val="20"/>
          <w:lang w:val="es-MX"/>
        </w:rPr>
      </w:pPr>
      <w:r w:rsidRPr="009479AE">
        <w:rPr>
          <w:sz w:val="20"/>
          <w:lang w:val="es-MX"/>
        </w:rPr>
        <w:t xml:space="preserve">Artículo 5°. </w:t>
      </w:r>
      <w:r w:rsidRPr="009479AE">
        <w:rPr>
          <w:iCs/>
          <w:sz w:val="20"/>
          <w:lang w:val="es-MX"/>
        </w:rPr>
        <w:t>Reconocimiento.</w:t>
      </w:r>
      <w:r w:rsidRPr="009479AE">
        <w:rPr>
          <w:sz w:val="20"/>
          <w:lang w:val="es-MX"/>
        </w:rPr>
        <w:t xml:space="preserve"> Aprobado el proyecto de resolución por la sociedad fiduciaria encargada del manejo de los recursos del Fondo, </w:t>
      </w:r>
      <w:r w:rsidRPr="009479AE">
        <w:rPr>
          <w:b/>
          <w:sz w:val="20"/>
          <w:u w:val="single"/>
          <w:lang w:val="es-MX"/>
        </w:rPr>
        <w:t>deberá ser suscrito por el secretario de educación del ente territorial certificado y notificado en los términos y con las formalidades y efectos previstos en la ley</w:t>
      </w:r>
      <w:r w:rsidRPr="009479AE">
        <w:rPr>
          <w:sz w:val="20"/>
          <w:lang w:val="es-MX"/>
        </w:rPr>
        <w:t>.».</w:t>
      </w:r>
    </w:p>
    <w:p w14:paraId="0E2316F3" w14:textId="77777777" w:rsidR="00951415" w:rsidRPr="009479AE" w:rsidRDefault="00951415" w:rsidP="000B2BE5">
      <w:pPr>
        <w:pStyle w:val="Textonotapie"/>
        <w:rPr>
          <w:lang w:val="es-CO"/>
        </w:rPr>
      </w:pPr>
    </w:p>
  </w:footnote>
  <w:footnote w:id="24">
    <w:p w14:paraId="73342C3C" w14:textId="7E38CA46" w:rsidR="00951415" w:rsidRPr="009479AE" w:rsidRDefault="00951415" w:rsidP="000B2BE5">
      <w:pPr>
        <w:pStyle w:val="Textonotapie"/>
        <w:rPr>
          <w:lang w:val="es-CO"/>
        </w:rPr>
      </w:pPr>
      <w:r w:rsidRPr="009479AE">
        <w:rPr>
          <w:rStyle w:val="Refdenotaalpie"/>
        </w:rPr>
        <w:footnoteRef/>
      </w:r>
      <w:r w:rsidRPr="009479AE">
        <w:t xml:space="preserve"> </w:t>
      </w:r>
      <w:r w:rsidRPr="009479AE">
        <w:rPr>
          <w:rFonts w:eastAsia="Dotum"/>
        </w:rPr>
        <w:t xml:space="preserve">Sentencia CE-SUJ-SII-012-2018 – Sentencia de unificación del 18 de julio de 2018- Consejera Ponente Sandra Lisset Ibarra Vélez </w:t>
      </w:r>
      <w:r w:rsidRPr="009479AE">
        <w:rPr>
          <w:b/>
        </w:rPr>
        <w:t xml:space="preserve">- </w:t>
      </w:r>
      <w:r w:rsidRPr="009479AE">
        <w:rPr>
          <w:rFonts w:eastAsia="Dotum"/>
        </w:rPr>
        <w:t>Expediente No</w:t>
      </w:r>
      <w:r w:rsidRPr="009479AE">
        <w:rPr>
          <w:rFonts w:eastAsia="Dotum"/>
          <w:b/>
        </w:rPr>
        <w:t xml:space="preserve"> </w:t>
      </w:r>
      <w:r w:rsidRPr="009479AE">
        <w:rPr>
          <w:lang w:val="es-ES_tradnl"/>
        </w:rPr>
        <w:t>73001-23-33-000-2014-00580-01 Demandante Jorge Luis Ospina Cardona contra la Nación –Ministerio de Educación Nacional – Fondo Nacional de Prestaciones Sociales del Magisterio – Departamento de Tolima.</w:t>
      </w:r>
    </w:p>
  </w:footnote>
  <w:footnote w:id="25">
    <w:p w14:paraId="3391F056" w14:textId="77777777" w:rsidR="00951415" w:rsidRPr="009479AE" w:rsidRDefault="00951415" w:rsidP="000B2BE5">
      <w:pPr>
        <w:pStyle w:val="Textonotapie"/>
        <w:jc w:val="both"/>
      </w:pPr>
      <w:r w:rsidRPr="009479AE">
        <w:rPr>
          <w:rStyle w:val="Refdenotaalpie"/>
        </w:rPr>
        <w:footnoteRef/>
      </w:r>
      <w:r w:rsidRPr="009479AE">
        <w:t xml:space="preserve"> «</w:t>
      </w:r>
      <w:r w:rsidRPr="009479AE">
        <w:rPr>
          <w:rStyle w:val="Textoennegrita"/>
          <w:b w:val="0"/>
          <w:color w:val="000000"/>
          <w:shd w:val="clear" w:color="auto" w:fill="FFFFFF"/>
        </w:rPr>
        <w:t>por medio de la cual se adiciona y modifica la Ley </w:t>
      </w:r>
      <w:hyperlink r:id="rId1" w:anchor="0" w:history="1">
        <w:r w:rsidRPr="009479AE">
          <w:rPr>
            <w:rStyle w:val="Textoennegrita"/>
            <w:b w:val="0"/>
            <w:shd w:val="clear" w:color="auto" w:fill="FFFFFF"/>
          </w:rPr>
          <w:t>244</w:t>
        </w:r>
      </w:hyperlink>
      <w:r w:rsidRPr="009479AE">
        <w:rPr>
          <w:rStyle w:val="Textoennegrita"/>
          <w:b w:val="0"/>
          <w:color w:val="000000"/>
          <w:shd w:val="clear" w:color="auto" w:fill="FFFFFF"/>
        </w:rPr>
        <w:t> de 1995, se regula el pago de las cesantías definitivas o parciales a los servidores públicos, se establecen sanciones y se fijan términos para su cancelación.»</w:t>
      </w:r>
    </w:p>
  </w:footnote>
  <w:footnote w:id="26">
    <w:p w14:paraId="00BDD482" w14:textId="77777777" w:rsidR="00951415" w:rsidRPr="009479AE" w:rsidRDefault="00951415" w:rsidP="000B2BE5">
      <w:pPr>
        <w:pStyle w:val="Textonotapie"/>
        <w:jc w:val="both"/>
        <w:rPr>
          <w:lang w:val="es-CO"/>
        </w:rPr>
      </w:pPr>
      <w:r w:rsidRPr="009479AE">
        <w:rPr>
          <w:rStyle w:val="Refdenotaalpie"/>
        </w:rPr>
        <w:footnoteRef/>
      </w:r>
      <w:r w:rsidRPr="009479AE">
        <w:t xml:space="preserve"> </w:t>
      </w:r>
      <w:r w:rsidRPr="009479AE">
        <w:rPr>
          <w:lang w:val="es-CO"/>
        </w:rPr>
        <w:t xml:space="preserve">Artículo 150 de la Constitución Política. </w:t>
      </w:r>
    </w:p>
  </w:footnote>
  <w:footnote w:id="27">
    <w:p w14:paraId="0D8E3AB9" w14:textId="77777777" w:rsidR="00951415" w:rsidRPr="009479AE" w:rsidRDefault="00951415" w:rsidP="000B2BE5">
      <w:pPr>
        <w:pStyle w:val="Textonotapie"/>
        <w:jc w:val="both"/>
      </w:pPr>
      <w:r w:rsidRPr="009479AE">
        <w:rPr>
          <w:rStyle w:val="Refdenotaalpie"/>
        </w:rPr>
        <w:footnoteRef/>
      </w:r>
      <w:r w:rsidRPr="009479AE">
        <w:t xml:space="preserve"> Artículo 189 </w:t>
      </w:r>
      <w:r w:rsidRPr="009479AE">
        <w:rPr>
          <w:i/>
        </w:rPr>
        <w:t>ibidem.</w:t>
      </w:r>
      <w:r w:rsidRPr="009479AE">
        <w:t xml:space="preserve"> </w:t>
      </w:r>
    </w:p>
  </w:footnote>
  <w:footnote w:id="28">
    <w:p w14:paraId="246F873A" w14:textId="77777777" w:rsidR="00951415" w:rsidRPr="009479AE" w:rsidRDefault="00951415" w:rsidP="000B2BE5">
      <w:pPr>
        <w:pStyle w:val="Textonotapie"/>
        <w:jc w:val="both"/>
      </w:pPr>
      <w:r w:rsidRPr="009479AE">
        <w:rPr>
          <w:rStyle w:val="Refdenotaalpie"/>
        </w:rPr>
        <w:footnoteRef/>
      </w:r>
      <w:r w:rsidRPr="009479AE">
        <w:t xml:space="preserve"> «Por el cual se reglamentan el inciso 2° del artículo 3° y el numeral 6° del artículo 7° de la Ley 91 de 1989, y el artículo 56 de la Ley 962 de 2005, y se dictan otras disposiciones.»</w:t>
      </w:r>
    </w:p>
  </w:footnote>
  <w:footnote w:id="29">
    <w:p w14:paraId="65A38E01" w14:textId="77777777" w:rsidR="00951415" w:rsidRPr="009479AE" w:rsidRDefault="00951415" w:rsidP="000B2BE5">
      <w:pPr>
        <w:pStyle w:val="Textonotapie"/>
        <w:jc w:val="both"/>
        <w:rPr>
          <w:i/>
        </w:rPr>
      </w:pPr>
      <w:r w:rsidRPr="009479AE">
        <w:rPr>
          <w:rStyle w:val="Refdenotaalpie"/>
        </w:rPr>
        <w:footnoteRef/>
      </w:r>
      <w:r w:rsidRPr="009479AE">
        <w:t xml:space="preserve"> «Por medio de la cual se adiciona y modifica la Ley 244 de 1995, se regula el pago de las cesantías definitivas o parciales a los servidores públicos, se establecen sanciones y se fijan términos para su cancelación.».</w:t>
      </w:r>
    </w:p>
  </w:footnote>
  <w:footnote w:id="30">
    <w:p w14:paraId="4E8B9AF6" w14:textId="77777777" w:rsidR="00951415" w:rsidRPr="009479AE" w:rsidRDefault="00951415" w:rsidP="000B2BE5">
      <w:pPr>
        <w:pStyle w:val="Textonotapie"/>
        <w:jc w:val="both"/>
      </w:pPr>
      <w:r w:rsidRPr="009479AE">
        <w:rPr>
          <w:rStyle w:val="Refdenotaalpie"/>
        </w:rPr>
        <w:footnoteRef/>
      </w:r>
      <w:r w:rsidRPr="009479AE">
        <w:t xml:space="preserve"> «Por medio de la cual se adiciona y modifica la Ley 244 de 1995, se regula el pago de las cesantías definitivas o parciales a los servidores públicos, se establecen sanciones y se fijan términos para su cancelación.</w:t>
      </w:r>
    </w:p>
    <w:p w14:paraId="5CC4A263" w14:textId="77777777" w:rsidR="00951415" w:rsidRPr="009479AE" w:rsidRDefault="00951415" w:rsidP="000B2BE5">
      <w:pPr>
        <w:pStyle w:val="Textonotapie"/>
        <w:jc w:val="both"/>
      </w:pPr>
      <w:r w:rsidRPr="009479AE">
        <w:t>[…]</w:t>
      </w:r>
    </w:p>
    <w:p w14:paraId="7E9693B1" w14:textId="77777777" w:rsidR="00951415" w:rsidRPr="009479AE" w:rsidRDefault="00951415" w:rsidP="000B2BE5">
      <w:pPr>
        <w:pStyle w:val="Textonotapie"/>
        <w:jc w:val="both"/>
      </w:pPr>
      <w:r w:rsidRPr="009479AE">
        <w:t>Artículo 4. Términos. Dentro de los quince (15) días hábiles siguientes a la presentación de la solicitud de liquidación de las cesantías definitivas o parciales, por parte de los peticionarios, la entidad empleadora o aquella que tenga a su cargo el reconocimiento y pago de las cesantías, deberá expedir la resolución correspondiente, si reúne todos los requisitos determinados en la ley.»</w:t>
      </w:r>
    </w:p>
    <w:p w14:paraId="71ACE46F" w14:textId="77777777" w:rsidR="00951415" w:rsidRPr="009479AE" w:rsidRDefault="00951415" w:rsidP="000B2BE5">
      <w:pPr>
        <w:pStyle w:val="Textonotapie"/>
        <w:jc w:val="both"/>
      </w:pPr>
    </w:p>
  </w:footnote>
  <w:footnote w:id="31">
    <w:p w14:paraId="10C46F56" w14:textId="77777777" w:rsidR="00951415" w:rsidRPr="009479AE" w:rsidRDefault="00951415" w:rsidP="000B2BE5">
      <w:pPr>
        <w:pStyle w:val="Textonotapie"/>
        <w:jc w:val="both"/>
      </w:pPr>
      <w:r w:rsidRPr="009479AE">
        <w:rPr>
          <w:rStyle w:val="Refdenotaalpie"/>
        </w:rPr>
        <w:footnoteRef/>
      </w:r>
      <w:r w:rsidRPr="009479AE">
        <w:t xml:space="preserve"> «ARTÍCULO 76. oportunidad y presentación. Los recursos de reposición y apelación deberán interponerse por escrito en la diligencia de notificación personal, o dentro de los diez (10) días siguientes a ella, o a la notificación por aviso, o al vencimiento del término de publicación, según el caso. Los recursos contra los actos presuntos podrán interponerse en cualquier tiempo, salvo en el evento en que se haya acudido ante el juez.</w:t>
      </w:r>
    </w:p>
    <w:p w14:paraId="5AEFF734" w14:textId="77777777" w:rsidR="00951415" w:rsidRPr="009479AE" w:rsidRDefault="00951415" w:rsidP="000B2BE5">
      <w:pPr>
        <w:pStyle w:val="Textonotapie"/>
        <w:jc w:val="both"/>
      </w:pPr>
      <w:r w:rsidRPr="009479AE">
        <w:t>[…]</w:t>
      </w:r>
    </w:p>
    <w:p w14:paraId="42EB723D" w14:textId="77777777" w:rsidR="00951415" w:rsidRPr="009479AE" w:rsidRDefault="00951415" w:rsidP="000B2BE5">
      <w:pPr>
        <w:pStyle w:val="Textonotapie"/>
        <w:jc w:val="both"/>
      </w:pPr>
      <w:r w:rsidRPr="009479AE">
        <w:t>ARTÍCULO 87. FIRMEZA DE LOS ACTOS ADMINISTRATIVOS. Los actos administrativos quedarán en firme:</w:t>
      </w:r>
    </w:p>
    <w:p w14:paraId="5D8A5AA9" w14:textId="77777777" w:rsidR="00951415" w:rsidRPr="009479AE" w:rsidRDefault="00951415" w:rsidP="000B2BE5">
      <w:pPr>
        <w:pStyle w:val="Textonotapie"/>
        <w:jc w:val="both"/>
      </w:pPr>
      <w:r w:rsidRPr="009479AE">
        <w:t>1. Cuando contra ellos no proceda ningún recurso, desde el día siguiente al de su notificación, comunicación o publicación según el caso.</w:t>
      </w:r>
    </w:p>
    <w:p w14:paraId="1FC4F0B2" w14:textId="77777777" w:rsidR="00951415" w:rsidRPr="009479AE" w:rsidRDefault="00951415" w:rsidP="000B2BE5">
      <w:pPr>
        <w:pStyle w:val="Textonotapie"/>
        <w:jc w:val="both"/>
      </w:pPr>
      <w:r w:rsidRPr="009479AE">
        <w:t>2. Desde el día siguiente a la publicación, comunicación o notificación de la decisión sobre los recursos interpuestos.</w:t>
      </w:r>
    </w:p>
    <w:p w14:paraId="61529456" w14:textId="77777777" w:rsidR="00951415" w:rsidRPr="009479AE" w:rsidRDefault="00951415" w:rsidP="000B2BE5">
      <w:pPr>
        <w:pStyle w:val="Textonotapie"/>
        <w:jc w:val="both"/>
      </w:pPr>
      <w:r w:rsidRPr="009479AE">
        <w:t>3. Desde el día siguiente al del vencimiento del término para interponer los recursos, si estos no fueron interpuestos, o se hubiere renunciado expresamente a ellos.</w:t>
      </w:r>
    </w:p>
    <w:p w14:paraId="38117F82" w14:textId="77777777" w:rsidR="00951415" w:rsidRPr="009479AE" w:rsidRDefault="00951415" w:rsidP="000B2BE5">
      <w:pPr>
        <w:pStyle w:val="Textonotapie"/>
        <w:jc w:val="both"/>
      </w:pPr>
      <w:r w:rsidRPr="009479AE">
        <w:t>4. Desde el día siguiente al de la notificación de la aceptación del desistimiento de los recursos.</w:t>
      </w:r>
    </w:p>
    <w:p w14:paraId="12557705" w14:textId="77777777" w:rsidR="00951415" w:rsidRPr="009479AE" w:rsidRDefault="00951415" w:rsidP="000B2BE5">
      <w:pPr>
        <w:pStyle w:val="Textonotapie"/>
        <w:jc w:val="both"/>
      </w:pPr>
      <w:r w:rsidRPr="009479AE">
        <w:t>5. Desde el día siguiente al de la protocolización a que alude el artículo 85 para el silencio administrativo positivo.»</w:t>
      </w:r>
    </w:p>
    <w:p w14:paraId="73C3B7A8" w14:textId="77777777" w:rsidR="00951415" w:rsidRPr="009479AE" w:rsidRDefault="00951415" w:rsidP="000B2BE5">
      <w:pPr>
        <w:pStyle w:val="Textonotapie"/>
        <w:jc w:val="both"/>
      </w:pPr>
    </w:p>
  </w:footnote>
  <w:footnote w:id="32">
    <w:p w14:paraId="366994C1" w14:textId="77777777" w:rsidR="00951415" w:rsidRPr="009479AE" w:rsidRDefault="00951415" w:rsidP="000B2BE5">
      <w:pPr>
        <w:pStyle w:val="Textonotapie"/>
        <w:jc w:val="both"/>
        <w:rPr>
          <w:lang w:val="es-CO"/>
        </w:rPr>
      </w:pPr>
      <w:r w:rsidRPr="009479AE">
        <w:rPr>
          <w:rStyle w:val="Refdenotaalpie"/>
        </w:rPr>
        <w:footnoteRef/>
      </w:r>
      <w:r w:rsidRPr="009479AE">
        <w:t xml:space="preserve"> </w:t>
      </w:r>
      <w:r w:rsidRPr="009479AE">
        <w:rPr>
          <w:lang w:val="es-CO"/>
        </w:rPr>
        <w:t>«</w:t>
      </w:r>
      <w:r w:rsidRPr="009479AE">
        <w:t>A</w:t>
      </w:r>
      <w:r w:rsidRPr="009479AE">
        <w:rPr>
          <w:lang w:val="es-CO"/>
        </w:rPr>
        <w:t>rtículo 51. Oportunidad y presentación. De los recursos de reposición y apelación habrá de hacerse uso, por escrito, en la diligencia de notificación personal, o dentro de los cinco (5) días siguientes a ella, o a la desfijación del edicto, o a la publicación, según el caso. Los recursos contra los actos presuntos podrán interponerse en cualquier tiempo.</w:t>
      </w:r>
    </w:p>
    <w:p w14:paraId="0B7C792C" w14:textId="77777777" w:rsidR="00951415" w:rsidRPr="009479AE" w:rsidRDefault="00951415" w:rsidP="000B2BE5">
      <w:pPr>
        <w:pStyle w:val="Textonotapie"/>
        <w:jc w:val="both"/>
        <w:rPr>
          <w:lang w:val="es-CO"/>
        </w:rPr>
      </w:pPr>
      <w:r w:rsidRPr="009479AE">
        <w:rPr>
          <w:lang w:val="es-CO"/>
        </w:rPr>
        <w:t>[…]</w:t>
      </w:r>
    </w:p>
    <w:p w14:paraId="41414448" w14:textId="77777777" w:rsidR="00951415" w:rsidRPr="009479AE" w:rsidRDefault="00951415" w:rsidP="000B2BE5">
      <w:pPr>
        <w:pStyle w:val="Textonotapie"/>
        <w:jc w:val="both"/>
        <w:rPr>
          <w:lang w:val="es-CO"/>
        </w:rPr>
      </w:pPr>
      <w:r w:rsidRPr="009479AE">
        <w:rPr>
          <w:lang w:val="es-CO"/>
        </w:rPr>
        <w:t>Transcurridos los términos sin que se hubieren interpuesto los recursos procedentes, la decisión quedará en firme.</w:t>
      </w:r>
    </w:p>
    <w:p w14:paraId="7FE559F1" w14:textId="77777777" w:rsidR="00951415" w:rsidRPr="009479AE" w:rsidRDefault="00951415" w:rsidP="000B2BE5">
      <w:pPr>
        <w:pStyle w:val="Textonotapie"/>
        <w:jc w:val="both"/>
        <w:rPr>
          <w:lang w:val="es-CO"/>
        </w:rPr>
      </w:pPr>
      <w:r w:rsidRPr="009479AE">
        <w:rPr>
          <w:lang w:val="es-CO"/>
        </w:rPr>
        <w:t>[…]»</w:t>
      </w:r>
    </w:p>
  </w:footnote>
  <w:footnote w:id="33">
    <w:p w14:paraId="1CB85FF3" w14:textId="77777777" w:rsidR="00951415" w:rsidRPr="009479AE" w:rsidRDefault="00951415" w:rsidP="000B2BE5">
      <w:pPr>
        <w:pStyle w:val="Textonotapie"/>
        <w:jc w:val="both"/>
      </w:pPr>
      <w:r w:rsidRPr="009479AE">
        <w:rPr>
          <w:rStyle w:val="Refdenotaalpie"/>
        </w:rPr>
        <w:footnoteRef/>
      </w:r>
      <w:r w:rsidRPr="009479AE">
        <w:t xml:space="preserve"> «Artículo 5°. Mora en el pago. La entidad pública pagadora tendrá un plazo máximo de cuarenta y cinco (45) días hábiles, a partir de la cual quede en firme el acto administrativo que ordena la liquidación de las cesantías definitivas o parciales del servidor público, para cancelar esta prestación social, sin perjuicio de lo establecido para el Fondo Nacional de Ahorro.»</w:t>
      </w:r>
    </w:p>
  </w:footnote>
  <w:footnote w:id="34">
    <w:p w14:paraId="6845A83E" w14:textId="5B2C95F8" w:rsidR="00951415" w:rsidRPr="009479AE" w:rsidRDefault="00951415" w:rsidP="000B2BE5">
      <w:pPr>
        <w:pStyle w:val="Textonotapie"/>
        <w:rPr>
          <w:lang w:val="es-ES_tradnl"/>
        </w:rPr>
      </w:pPr>
      <w:r w:rsidRPr="009479AE">
        <w:rPr>
          <w:rStyle w:val="Refdenotaalpie"/>
        </w:rPr>
        <w:footnoteRef/>
      </w:r>
      <w:r w:rsidRPr="009479AE">
        <w:t xml:space="preserve"> </w:t>
      </w:r>
      <w:r w:rsidRPr="009479AE">
        <w:rPr>
          <w:rFonts w:eastAsia="Dotum"/>
        </w:rPr>
        <w:t xml:space="preserve">Sentencia CE-SUJ-SII-012-2018 – Sentencia de unificación del 18 de julio de 2018- Consejera Ponente Sandra Lisset Ibarra Vélez </w:t>
      </w:r>
      <w:r w:rsidRPr="009479AE">
        <w:rPr>
          <w:b/>
        </w:rPr>
        <w:t xml:space="preserve">- </w:t>
      </w:r>
      <w:r w:rsidRPr="009479AE">
        <w:rPr>
          <w:rFonts w:eastAsia="Dotum"/>
        </w:rPr>
        <w:t>Expediente No</w:t>
      </w:r>
      <w:r w:rsidRPr="009479AE">
        <w:rPr>
          <w:rFonts w:eastAsia="Dotum"/>
          <w:b/>
        </w:rPr>
        <w:t xml:space="preserve"> </w:t>
      </w:r>
      <w:r w:rsidRPr="009479AE">
        <w:rPr>
          <w:lang w:val="es-ES_tradnl"/>
        </w:rPr>
        <w:t>73001-23-33-000-2014-00580-01 Demandante Jorge Luis Ospina Cardona contra la Nación –Ministerio de Educación Nacional – Fondo Nacional de Prestaciones Sociales del Magisterio – Departamento de Tolima.</w:t>
      </w:r>
    </w:p>
  </w:footnote>
  <w:footnote w:id="35">
    <w:p w14:paraId="535450DA" w14:textId="77777777" w:rsidR="00951415" w:rsidRPr="009479AE" w:rsidRDefault="00951415" w:rsidP="000B2BE5">
      <w:pPr>
        <w:pStyle w:val="Textonotapie"/>
        <w:rPr>
          <w:lang w:val="es-CO"/>
        </w:rPr>
      </w:pPr>
      <w:r w:rsidRPr="009479AE">
        <w:rPr>
          <w:rStyle w:val="Refdenotaalpie"/>
        </w:rPr>
        <w:footnoteRef/>
      </w:r>
      <w:r w:rsidRPr="009479AE">
        <w:t xml:space="preserve"> </w:t>
      </w:r>
    </w:p>
  </w:footnote>
  <w:footnote w:id="36">
    <w:p w14:paraId="28AD5407" w14:textId="486983AF" w:rsidR="00951415" w:rsidRPr="0063528A" w:rsidRDefault="00951415" w:rsidP="00BC1EDB">
      <w:pPr>
        <w:pStyle w:val="Textonotapie"/>
        <w:jc w:val="both"/>
        <w:rPr>
          <w:sz w:val="18"/>
          <w:szCs w:val="18"/>
          <w:lang w:val="es-CO"/>
        </w:rPr>
      </w:pPr>
      <w:r w:rsidRPr="0063528A">
        <w:rPr>
          <w:rStyle w:val="Refdenotaalpie"/>
          <w:sz w:val="18"/>
          <w:szCs w:val="18"/>
        </w:rPr>
        <w:footnoteRef/>
      </w:r>
      <w:r w:rsidRPr="0063528A">
        <w:rPr>
          <w:sz w:val="18"/>
          <w:szCs w:val="18"/>
        </w:rPr>
        <w:t xml:space="preserve"> Ver, por ejemplo: TAB, Sent. 2018-00038, abr. 22/2020. M.P. Luis Ernesto Arciniegas Triana; TAB, Sent. 2017-00165, abr. 22/2020. M.P. Luis Ernesto Arciniegas Triana; TAB, Sent. 2018-00020, may. 27/2020. M.P. Luis Ernesto Arciniegas Triana; TAB, Sent. 2018-00385, jun. 23/2020. M.P. José Fernández Osorio; TAB, Sent. 2018-00082, jul. 30/2020. M.P. Clara Elisa Cifuentes Ortiz; TAB, Sent. 2019-00023, jul. 30/2020. M.P. Clara Elisa Cifuentes Ortiz; TAB, Sent. 2017-00154, sep. 9/2020. M.P. Óscar Alfonso Granados Naranjo; y TAB, Sent. 2017-00168, sep. 23/2020. M.P. Óscar Alfonso Granados Naranjo.</w:t>
      </w:r>
      <w:r>
        <w:rPr>
          <w:sz w:val="18"/>
          <w:szCs w:val="18"/>
        </w:rPr>
        <w:t xml:space="preserve"> </w:t>
      </w:r>
    </w:p>
  </w:footnote>
  <w:footnote w:id="37">
    <w:p w14:paraId="1C7D4F8F" w14:textId="449B0011" w:rsidR="00951415" w:rsidRPr="004E65B1" w:rsidRDefault="00951415" w:rsidP="00BC1EDB">
      <w:pPr>
        <w:pStyle w:val="Textonotapie"/>
        <w:jc w:val="both"/>
        <w:rPr>
          <w:lang w:val="pt-BR"/>
        </w:rPr>
      </w:pPr>
      <w:r w:rsidRPr="0063528A">
        <w:rPr>
          <w:rStyle w:val="Refdenotaalpie"/>
          <w:sz w:val="18"/>
          <w:szCs w:val="18"/>
        </w:rPr>
        <w:footnoteRef/>
      </w:r>
      <w:r w:rsidRPr="0063528A">
        <w:rPr>
          <w:sz w:val="18"/>
          <w:szCs w:val="18"/>
        </w:rPr>
        <w:t xml:space="preserve"> Ver, por ejemplo: TAB, Sent. 2017-00249, ene. 30/2020. M.P. Clara Elisa Cifuentes Ortiz; TAB, Sent. 2018-00067, mar. 11/2020. M.P. Óscar Alfonso Granados Naranjo; TAB, Sent. 2018-00063, may. 14/2020. M.P. Clara Elisa Cifuentes Ortiz; TAB, Sent. 2018-00035, sep. 10/2020. M.P. Clara Elisa Cifuentes Ortiz; TAB, Sent. 2017-00164, may. 26/2021. M.P. Néstor Arturo Méndez Pérez; y TAB, Sent. 2019-00107, may. 27/2021. </w:t>
      </w:r>
      <w:r w:rsidRPr="004E65B1">
        <w:rPr>
          <w:bCs/>
          <w:sz w:val="18"/>
          <w:szCs w:val="18"/>
          <w:lang w:val="pt-BR"/>
        </w:rPr>
        <w:t>M.P. José Fernández Osorio.</w:t>
      </w:r>
      <w:r w:rsidRPr="004E65B1">
        <w:rPr>
          <w:b/>
          <w:bCs/>
          <w:lang w:val="pt-BR"/>
        </w:rPr>
        <w:t xml:space="preserve"> </w:t>
      </w:r>
    </w:p>
  </w:footnote>
  <w:footnote w:id="38">
    <w:p w14:paraId="0E61F193" w14:textId="034BF259" w:rsidR="00951415" w:rsidRPr="004E65B1" w:rsidRDefault="00951415" w:rsidP="00BC1EDB">
      <w:pPr>
        <w:pStyle w:val="Textonotapie"/>
        <w:spacing w:line="240" w:lineRule="atLeast"/>
        <w:jc w:val="both"/>
        <w:rPr>
          <w:sz w:val="18"/>
          <w:szCs w:val="18"/>
          <w:lang w:val="fr-FR"/>
        </w:rPr>
      </w:pPr>
      <w:r w:rsidRPr="004B51B4">
        <w:rPr>
          <w:rStyle w:val="Refdenotaalpie"/>
          <w:sz w:val="18"/>
          <w:szCs w:val="18"/>
        </w:rPr>
        <w:footnoteRef/>
      </w:r>
      <w:r w:rsidRPr="004E65B1">
        <w:rPr>
          <w:sz w:val="18"/>
          <w:szCs w:val="18"/>
          <w:lang w:val="pt-BR"/>
        </w:rPr>
        <w:t xml:space="preserve"> C.E., Sec. Segunda, Sent. 2013-00156 (2159-14), jun. 15/2017. </w:t>
      </w:r>
      <w:r w:rsidRPr="004E65B1">
        <w:rPr>
          <w:sz w:val="18"/>
          <w:szCs w:val="18"/>
          <w:lang w:val="fr-FR"/>
        </w:rPr>
        <w:t xml:space="preserve">M.P. Sandra Lisset Ibarra Vélez. </w:t>
      </w:r>
    </w:p>
  </w:footnote>
  <w:footnote w:id="39">
    <w:p w14:paraId="5E7D58F6" w14:textId="77777777" w:rsidR="00951415" w:rsidRPr="004B51B4" w:rsidRDefault="00951415" w:rsidP="00BC1EDB">
      <w:pPr>
        <w:pStyle w:val="Default"/>
        <w:spacing w:line="240" w:lineRule="atLeast"/>
        <w:jc w:val="both"/>
        <w:rPr>
          <w:rFonts w:ascii="Times New Roman" w:eastAsiaTheme="minorHAnsi" w:hAnsi="Times New Roman" w:cs="Times New Roman"/>
          <w:sz w:val="18"/>
          <w:szCs w:val="18"/>
        </w:rPr>
      </w:pPr>
      <w:r w:rsidRPr="004B51B4">
        <w:rPr>
          <w:rStyle w:val="Refdenotaalpie"/>
          <w:rFonts w:ascii="Times New Roman" w:hAnsi="Times New Roman" w:cs="Times New Roman"/>
          <w:sz w:val="18"/>
          <w:szCs w:val="18"/>
        </w:rPr>
        <w:footnoteRef/>
      </w:r>
      <w:r w:rsidRPr="004B51B4">
        <w:rPr>
          <w:rFonts w:ascii="Times New Roman" w:hAnsi="Times New Roman" w:cs="Times New Roman"/>
          <w:sz w:val="18"/>
          <w:szCs w:val="18"/>
        </w:rPr>
        <w:t xml:space="preserve"> </w:t>
      </w:r>
      <w:r w:rsidRPr="004B51B4">
        <w:rPr>
          <w:rFonts w:ascii="Times New Roman" w:eastAsiaTheme="minorHAnsi" w:hAnsi="Times New Roman" w:cs="Times New Roman"/>
          <w:sz w:val="18"/>
          <w:szCs w:val="18"/>
        </w:rPr>
        <w:t xml:space="preserve">“(…) ¿Dónde puede consultar el pago de una prestación? </w:t>
      </w:r>
    </w:p>
    <w:p w14:paraId="09CAB6ED" w14:textId="06E34225" w:rsidR="00951415" w:rsidRPr="004B51B4" w:rsidRDefault="00951415" w:rsidP="00BC1EDB">
      <w:pPr>
        <w:pStyle w:val="Textonotapie"/>
        <w:spacing w:line="240" w:lineRule="atLeast"/>
        <w:jc w:val="both"/>
        <w:rPr>
          <w:lang w:val="es-CO"/>
        </w:rPr>
      </w:pPr>
      <w:r w:rsidRPr="004B51B4">
        <w:rPr>
          <w:rFonts w:eastAsiaTheme="minorHAnsi"/>
          <w:iCs/>
          <w:color w:val="000000"/>
          <w:sz w:val="18"/>
          <w:szCs w:val="18"/>
          <w:lang w:val="es-CO" w:eastAsia="en-US"/>
        </w:rPr>
        <w:t xml:space="preserve">Puede conocer el estado de la prestación ingresando a la página del Fomag (www.fomag.gov.co) con su usuario y contraseña o descargando la aplicación Fomag en su dispositivo móvil en el link estado prestaciones y verificar si se encuentra en estado pagado. (…)” </w:t>
      </w:r>
      <w:r w:rsidRPr="004B51B4">
        <w:rPr>
          <w:rFonts w:eastAsiaTheme="minorHAnsi"/>
          <w:color w:val="000000"/>
          <w:sz w:val="18"/>
          <w:szCs w:val="18"/>
          <w:lang w:val="es-CO" w:eastAsia="en-US"/>
        </w:rPr>
        <w:t>Ver: https://www.fomag.gov.co/preguntas-frecuentes/, consultado el 23 de julio de 2021.</w:t>
      </w:r>
      <w:r>
        <w:rPr>
          <w:rFonts w:ascii="Century Gothic" w:eastAsiaTheme="minorHAnsi" w:hAnsi="Century Gothic" w:cs="Century Gothic"/>
          <w:color w:val="000000"/>
          <w:lang w:val="es-CO" w:eastAsia="en-US"/>
        </w:rPr>
        <w:t xml:space="preserve"> </w:t>
      </w:r>
    </w:p>
  </w:footnote>
  <w:footnote w:id="40">
    <w:p w14:paraId="64AE9E79" w14:textId="598BABF7" w:rsidR="00951415" w:rsidRPr="009479AE" w:rsidRDefault="00951415" w:rsidP="000B2BE5">
      <w:pPr>
        <w:pStyle w:val="Textonotapie"/>
        <w:rPr>
          <w:lang w:val="es-CO"/>
        </w:rPr>
      </w:pPr>
      <w:r w:rsidRPr="009479AE">
        <w:rPr>
          <w:rStyle w:val="Refdenotaalpie"/>
        </w:rPr>
        <w:footnoteRef/>
      </w:r>
      <w:r w:rsidRPr="009479AE">
        <w:t xml:space="preserve"> </w:t>
      </w:r>
      <w:r>
        <w:rPr>
          <w:lang w:val="es-CO"/>
        </w:rPr>
        <w:t>Ver archivo No 5 del expediente digital.</w:t>
      </w:r>
    </w:p>
  </w:footnote>
  <w:footnote w:id="41">
    <w:p w14:paraId="4F34AF72" w14:textId="0F359B18" w:rsidR="00951415" w:rsidRDefault="00951415">
      <w:pPr>
        <w:pStyle w:val="Textonotapie"/>
      </w:pPr>
      <w:r>
        <w:rPr>
          <w:rStyle w:val="Refdenotaalpie"/>
        </w:rPr>
        <w:footnoteRef/>
      </w:r>
      <w:r>
        <w:t xml:space="preserve"> </w:t>
      </w:r>
      <w:r>
        <w:rPr>
          <w:lang w:val="es-CO"/>
        </w:rPr>
        <w:t>Ver archivo No 5 del expediente digital.</w:t>
      </w:r>
    </w:p>
  </w:footnote>
  <w:footnote w:id="42">
    <w:p w14:paraId="053CDE29" w14:textId="0CDA1E6F" w:rsidR="00951415" w:rsidRDefault="00951415">
      <w:pPr>
        <w:pStyle w:val="Textonotapie"/>
      </w:pPr>
      <w:r>
        <w:rPr>
          <w:rStyle w:val="Refdenotaalpie"/>
        </w:rPr>
        <w:footnoteRef/>
      </w:r>
      <w:r>
        <w:t xml:space="preserve"> </w:t>
      </w:r>
      <w:r>
        <w:rPr>
          <w:lang w:val="es-CO"/>
        </w:rPr>
        <w:t>Ver archivo No 9 del expediente digital.</w:t>
      </w:r>
    </w:p>
  </w:footnote>
  <w:footnote w:id="43">
    <w:p w14:paraId="37CD7DE0" w14:textId="1619AC0D" w:rsidR="00951415" w:rsidRDefault="00951415" w:rsidP="009F2701">
      <w:pPr>
        <w:pStyle w:val="Textonotapie"/>
      </w:pPr>
      <w:r>
        <w:rPr>
          <w:rStyle w:val="Refdenotaalpie"/>
        </w:rPr>
        <w:footnoteRef/>
      </w:r>
      <w:r>
        <w:t xml:space="preserve"> </w:t>
      </w:r>
      <w:r>
        <w:rPr>
          <w:lang w:val="es-CO"/>
        </w:rPr>
        <w:t>Ver archivo No 34 del expediente digital.</w:t>
      </w:r>
    </w:p>
    <w:p w14:paraId="021BC1DD" w14:textId="6162BDCF" w:rsidR="00951415" w:rsidRDefault="00951415">
      <w:pPr>
        <w:pStyle w:val="Textonotapie"/>
      </w:pPr>
    </w:p>
  </w:footnote>
  <w:footnote w:id="44">
    <w:p w14:paraId="6C4E5429" w14:textId="2666C7A8" w:rsidR="00951415" w:rsidRPr="0018723D" w:rsidRDefault="00951415" w:rsidP="000B2BE5">
      <w:pPr>
        <w:jc w:val="both"/>
      </w:pPr>
      <w:r>
        <w:rPr>
          <w:rStyle w:val="Refdenotaalpie"/>
        </w:rPr>
        <w:footnoteRef/>
      </w:r>
      <w:r>
        <w:t xml:space="preserve"> </w:t>
      </w:r>
      <w:r w:rsidRPr="0018723D">
        <w:rPr>
          <w:sz w:val="20"/>
          <w:szCs w:val="20"/>
          <w:shd w:val="clear" w:color="auto" w:fill="FAF9F8"/>
        </w:rPr>
        <w:t>Consejo</w:t>
      </w:r>
      <w:r>
        <w:rPr>
          <w:sz w:val="20"/>
          <w:szCs w:val="20"/>
          <w:shd w:val="clear" w:color="auto" w:fill="FAF9F8"/>
        </w:rPr>
        <w:t xml:space="preserve"> </w:t>
      </w:r>
      <w:r w:rsidRPr="0018723D">
        <w:rPr>
          <w:sz w:val="20"/>
          <w:szCs w:val="20"/>
          <w:shd w:val="clear" w:color="auto" w:fill="FAF9F8"/>
        </w:rPr>
        <w:t>de</w:t>
      </w:r>
      <w:r>
        <w:rPr>
          <w:sz w:val="20"/>
          <w:szCs w:val="20"/>
          <w:shd w:val="clear" w:color="auto" w:fill="FAF9F8"/>
        </w:rPr>
        <w:t xml:space="preserve"> </w:t>
      </w:r>
      <w:r w:rsidRPr="0018723D">
        <w:rPr>
          <w:sz w:val="20"/>
          <w:szCs w:val="20"/>
          <w:shd w:val="clear" w:color="auto" w:fill="FAF9F8"/>
        </w:rPr>
        <w:t>Estado,</w:t>
      </w:r>
      <w:r>
        <w:rPr>
          <w:sz w:val="20"/>
          <w:szCs w:val="20"/>
          <w:shd w:val="clear" w:color="auto" w:fill="FAF9F8"/>
        </w:rPr>
        <w:t xml:space="preserve"> </w:t>
      </w:r>
      <w:r w:rsidRPr="0018723D">
        <w:rPr>
          <w:sz w:val="20"/>
          <w:szCs w:val="20"/>
          <w:shd w:val="clear" w:color="auto" w:fill="FAF9F8"/>
        </w:rPr>
        <w:t>Sala</w:t>
      </w:r>
      <w:r>
        <w:rPr>
          <w:sz w:val="20"/>
          <w:szCs w:val="20"/>
          <w:shd w:val="clear" w:color="auto" w:fill="FAF9F8"/>
        </w:rPr>
        <w:t xml:space="preserve"> </w:t>
      </w:r>
      <w:r w:rsidRPr="0018723D">
        <w:rPr>
          <w:sz w:val="20"/>
          <w:szCs w:val="20"/>
          <w:shd w:val="clear" w:color="auto" w:fill="FAF9F8"/>
        </w:rPr>
        <w:t>de</w:t>
      </w:r>
      <w:r>
        <w:rPr>
          <w:sz w:val="20"/>
          <w:szCs w:val="20"/>
          <w:shd w:val="clear" w:color="auto" w:fill="FAF9F8"/>
        </w:rPr>
        <w:t xml:space="preserve"> </w:t>
      </w:r>
      <w:r w:rsidRPr="0018723D">
        <w:rPr>
          <w:sz w:val="20"/>
          <w:szCs w:val="20"/>
          <w:shd w:val="clear" w:color="auto" w:fill="FAF9F8"/>
        </w:rPr>
        <w:t>lo</w:t>
      </w:r>
      <w:r>
        <w:rPr>
          <w:sz w:val="20"/>
          <w:szCs w:val="20"/>
          <w:shd w:val="clear" w:color="auto" w:fill="FAF9F8"/>
        </w:rPr>
        <w:t xml:space="preserve"> </w:t>
      </w:r>
      <w:r w:rsidRPr="0018723D">
        <w:rPr>
          <w:sz w:val="20"/>
          <w:szCs w:val="20"/>
          <w:shd w:val="clear" w:color="auto" w:fill="FAF9F8"/>
        </w:rPr>
        <w:t>Contencioso</w:t>
      </w:r>
      <w:r>
        <w:rPr>
          <w:sz w:val="20"/>
          <w:szCs w:val="20"/>
          <w:shd w:val="clear" w:color="auto" w:fill="FAF9F8"/>
        </w:rPr>
        <w:t xml:space="preserve"> </w:t>
      </w:r>
      <w:r w:rsidRPr="0018723D">
        <w:rPr>
          <w:sz w:val="20"/>
          <w:szCs w:val="20"/>
          <w:shd w:val="clear" w:color="auto" w:fill="FAF9F8"/>
        </w:rPr>
        <w:t>Administrativo,</w:t>
      </w:r>
      <w:r>
        <w:rPr>
          <w:sz w:val="20"/>
          <w:szCs w:val="20"/>
          <w:shd w:val="clear" w:color="auto" w:fill="FAF9F8"/>
        </w:rPr>
        <w:t xml:space="preserve"> </w:t>
      </w:r>
      <w:r w:rsidRPr="0018723D">
        <w:rPr>
          <w:sz w:val="20"/>
          <w:szCs w:val="20"/>
          <w:shd w:val="clear" w:color="auto" w:fill="FAF9F8"/>
        </w:rPr>
        <w:t>Sala</w:t>
      </w:r>
      <w:r>
        <w:rPr>
          <w:sz w:val="20"/>
          <w:szCs w:val="20"/>
          <w:shd w:val="clear" w:color="auto" w:fill="FAF9F8"/>
        </w:rPr>
        <w:t xml:space="preserve"> </w:t>
      </w:r>
      <w:r w:rsidRPr="0018723D">
        <w:rPr>
          <w:sz w:val="20"/>
          <w:szCs w:val="20"/>
          <w:shd w:val="clear" w:color="auto" w:fill="FAF9F8"/>
        </w:rPr>
        <w:t>de</w:t>
      </w:r>
      <w:r>
        <w:rPr>
          <w:sz w:val="20"/>
          <w:szCs w:val="20"/>
          <w:shd w:val="clear" w:color="auto" w:fill="FAF9F8"/>
        </w:rPr>
        <w:t xml:space="preserve"> </w:t>
      </w:r>
      <w:r w:rsidRPr="0018723D">
        <w:rPr>
          <w:sz w:val="20"/>
          <w:szCs w:val="20"/>
          <w:shd w:val="clear" w:color="auto" w:fill="FAF9F8"/>
        </w:rPr>
        <w:t>Sección</w:t>
      </w:r>
      <w:r>
        <w:rPr>
          <w:sz w:val="20"/>
          <w:szCs w:val="20"/>
          <w:shd w:val="clear" w:color="auto" w:fill="FAF9F8"/>
        </w:rPr>
        <w:t xml:space="preserve"> </w:t>
      </w:r>
      <w:r w:rsidRPr="0018723D">
        <w:rPr>
          <w:sz w:val="20"/>
          <w:szCs w:val="20"/>
          <w:shd w:val="clear" w:color="auto" w:fill="FAF9F8"/>
        </w:rPr>
        <w:t>Segunda,</w:t>
      </w:r>
      <w:r>
        <w:rPr>
          <w:sz w:val="20"/>
          <w:szCs w:val="20"/>
          <w:shd w:val="clear" w:color="auto" w:fill="FAF9F8"/>
        </w:rPr>
        <w:t xml:space="preserve"> </w:t>
      </w:r>
      <w:r w:rsidRPr="0018723D">
        <w:rPr>
          <w:sz w:val="20"/>
          <w:szCs w:val="20"/>
          <w:shd w:val="clear" w:color="auto" w:fill="FAF9F8"/>
        </w:rPr>
        <w:t>radicación 08001</w:t>
      </w:r>
      <w:r>
        <w:rPr>
          <w:sz w:val="20"/>
          <w:szCs w:val="20"/>
          <w:shd w:val="clear" w:color="auto" w:fill="FAF9F8"/>
        </w:rPr>
        <w:t xml:space="preserve"> </w:t>
      </w:r>
      <w:r w:rsidRPr="0018723D">
        <w:rPr>
          <w:sz w:val="20"/>
          <w:szCs w:val="20"/>
          <w:shd w:val="clear" w:color="auto" w:fill="FAF9F8"/>
        </w:rPr>
        <w:t>23</w:t>
      </w:r>
      <w:r>
        <w:rPr>
          <w:sz w:val="20"/>
          <w:szCs w:val="20"/>
          <w:shd w:val="clear" w:color="auto" w:fill="FAF9F8"/>
        </w:rPr>
        <w:t xml:space="preserve"> </w:t>
      </w:r>
      <w:r w:rsidRPr="0018723D">
        <w:rPr>
          <w:sz w:val="20"/>
          <w:szCs w:val="20"/>
          <w:shd w:val="clear" w:color="auto" w:fill="FAF9F8"/>
        </w:rPr>
        <w:t>31</w:t>
      </w:r>
      <w:r>
        <w:rPr>
          <w:sz w:val="20"/>
          <w:szCs w:val="20"/>
          <w:shd w:val="clear" w:color="auto" w:fill="FAF9F8"/>
        </w:rPr>
        <w:t xml:space="preserve"> </w:t>
      </w:r>
      <w:r w:rsidRPr="0018723D">
        <w:rPr>
          <w:sz w:val="20"/>
          <w:szCs w:val="20"/>
          <w:shd w:val="clear" w:color="auto" w:fill="FAF9F8"/>
        </w:rPr>
        <w:t>000</w:t>
      </w:r>
      <w:r>
        <w:rPr>
          <w:sz w:val="20"/>
          <w:szCs w:val="20"/>
          <w:shd w:val="clear" w:color="auto" w:fill="FAF9F8"/>
        </w:rPr>
        <w:t xml:space="preserve"> </w:t>
      </w:r>
      <w:r w:rsidRPr="0018723D">
        <w:rPr>
          <w:sz w:val="20"/>
          <w:szCs w:val="20"/>
          <w:shd w:val="clear" w:color="auto" w:fill="FAF9F8"/>
        </w:rPr>
        <w:t>2011</w:t>
      </w:r>
      <w:r>
        <w:rPr>
          <w:sz w:val="20"/>
          <w:szCs w:val="20"/>
          <w:shd w:val="clear" w:color="auto" w:fill="FAF9F8"/>
        </w:rPr>
        <w:t xml:space="preserve"> </w:t>
      </w:r>
      <w:r w:rsidRPr="0018723D">
        <w:rPr>
          <w:sz w:val="20"/>
          <w:szCs w:val="20"/>
          <w:shd w:val="clear" w:color="auto" w:fill="FAF9F8"/>
        </w:rPr>
        <w:t>00628-01</w:t>
      </w:r>
      <w:r>
        <w:rPr>
          <w:sz w:val="20"/>
          <w:szCs w:val="20"/>
          <w:shd w:val="clear" w:color="auto" w:fill="FAF9F8"/>
        </w:rPr>
        <w:t xml:space="preserve"> </w:t>
      </w:r>
      <w:r w:rsidRPr="0018723D">
        <w:rPr>
          <w:sz w:val="20"/>
          <w:szCs w:val="20"/>
          <w:shd w:val="clear" w:color="auto" w:fill="FAF9F8"/>
        </w:rPr>
        <w:t>(0528-14). sentencia</w:t>
      </w:r>
      <w:r>
        <w:rPr>
          <w:sz w:val="20"/>
          <w:szCs w:val="20"/>
          <w:shd w:val="clear" w:color="auto" w:fill="FAF9F8"/>
        </w:rPr>
        <w:t xml:space="preserve"> </w:t>
      </w:r>
      <w:r w:rsidRPr="0018723D">
        <w:rPr>
          <w:sz w:val="20"/>
          <w:szCs w:val="20"/>
          <w:shd w:val="clear" w:color="auto" w:fill="FAF9F8"/>
        </w:rPr>
        <w:t>del</w:t>
      </w:r>
      <w:r>
        <w:rPr>
          <w:sz w:val="20"/>
          <w:szCs w:val="20"/>
          <w:shd w:val="clear" w:color="auto" w:fill="FAF9F8"/>
        </w:rPr>
        <w:t xml:space="preserve"> </w:t>
      </w:r>
      <w:r w:rsidRPr="0018723D">
        <w:rPr>
          <w:sz w:val="20"/>
          <w:szCs w:val="20"/>
          <w:shd w:val="clear" w:color="auto" w:fill="FAF9F8"/>
        </w:rPr>
        <w:t>25</w:t>
      </w:r>
      <w:r>
        <w:rPr>
          <w:sz w:val="20"/>
          <w:szCs w:val="20"/>
          <w:shd w:val="clear" w:color="auto" w:fill="FAF9F8"/>
        </w:rPr>
        <w:t xml:space="preserve"> </w:t>
      </w:r>
      <w:r w:rsidRPr="0018723D">
        <w:rPr>
          <w:sz w:val="20"/>
          <w:szCs w:val="20"/>
          <w:shd w:val="clear" w:color="auto" w:fill="FAF9F8"/>
        </w:rPr>
        <w:t>de</w:t>
      </w:r>
      <w:r>
        <w:rPr>
          <w:sz w:val="20"/>
          <w:szCs w:val="20"/>
          <w:shd w:val="clear" w:color="auto" w:fill="FAF9F8"/>
        </w:rPr>
        <w:t xml:space="preserve"> </w:t>
      </w:r>
      <w:r w:rsidRPr="0018723D">
        <w:rPr>
          <w:sz w:val="20"/>
          <w:szCs w:val="20"/>
          <w:shd w:val="clear" w:color="auto" w:fill="FAF9F8"/>
        </w:rPr>
        <w:t>agosto</w:t>
      </w:r>
      <w:r>
        <w:rPr>
          <w:sz w:val="20"/>
          <w:szCs w:val="20"/>
          <w:shd w:val="clear" w:color="auto" w:fill="FAF9F8"/>
        </w:rPr>
        <w:t xml:space="preserve"> </w:t>
      </w:r>
      <w:r w:rsidRPr="0018723D">
        <w:rPr>
          <w:sz w:val="20"/>
          <w:szCs w:val="20"/>
          <w:shd w:val="clear" w:color="auto" w:fill="FAF9F8"/>
        </w:rPr>
        <w:t>de</w:t>
      </w:r>
      <w:r>
        <w:rPr>
          <w:sz w:val="20"/>
          <w:szCs w:val="20"/>
          <w:shd w:val="clear" w:color="auto" w:fill="FAF9F8"/>
        </w:rPr>
        <w:t xml:space="preserve"> </w:t>
      </w:r>
      <w:r w:rsidRPr="0018723D">
        <w:rPr>
          <w:sz w:val="20"/>
          <w:szCs w:val="20"/>
          <w:shd w:val="clear" w:color="auto" w:fill="FAF9F8"/>
        </w:rPr>
        <w:t>2016, M.P.</w:t>
      </w:r>
      <w:r>
        <w:rPr>
          <w:sz w:val="20"/>
          <w:szCs w:val="20"/>
          <w:shd w:val="clear" w:color="auto" w:fill="FAF9F8"/>
        </w:rPr>
        <w:t xml:space="preserve"> </w:t>
      </w:r>
      <w:r w:rsidRPr="0018723D">
        <w:rPr>
          <w:sz w:val="20"/>
          <w:szCs w:val="20"/>
          <w:shd w:val="clear" w:color="auto" w:fill="FAF9F8"/>
        </w:rPr>
        <w:t>Luis</w:t>
      </w:r>
      <w:r>
        <w:rPr>
          <w:sz w:val="20"/>
          <w:szCs w:val="20"/>
          <w:shd w:val="clear" w:color="auto" w:fill="FAF9F8"/>
        </w:rPr>
        <w:t xml:space="preserve"> </w:t>
      </w:r>
      <w:r w:rsidRPr="0018723D">
        <w:rPr>
          <w:sz w:val="20"/>
          <w:szCs w:val="20"/>
          <w:shd w:val="clear" w:color="auto" w:fill="FAF9F8"/>
        </w:rPr>
        <w:t>Rafael Vergara Quintero</w:t>
      </w:r>
    </w:p>
    <w:p w14:paraId="13FFA654" w14:textId="77777777" w:rsidR="00951415" w:rsidRDefault="00951415" w:rsidP="000B2BE5">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8613" w:type="dxa"/>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
      <w:gridCol w:w="6095"/>
      <w:gridCol w:w="425"/>
    </w:tblGrid>
    <w:tr w:rsidR="00951415" w:rsidRPr="005D4FE5" w14:paraId="6C4B5BFD" w14:textId="77777777" w:rsidTr="005D4FE5">
      <w:tc>
        <w:tcPr>
          <w:tcW w:w="1668" w:type="dxa"/>
        </w:tcPr>
        <w:p w14:paraId="10966BD6" w14:textId="77777777" w:rsidR="00951415" w:rsidRPr="004E65B1" w:rsidRDefault="00951415" w:rsidP="009B2A1B">
          <w:pPr>
            <w:ind w:left="-108"/>
            <w:jc w:val="both"/>
            <w:rPr>
              <w:color w:val="000000" w:themeColor="text1"/>
              <w:sz w:val="20"/>
              <w:lang w:val="es-MX"/>
            </w:rPr>
          </w:pPr>
          <w:r w:rsidRPr="004E65B1">
            <w:rPr>
              <w:color w:val="000000" w:themeColor="text1"/>
              <w:sz w:val="20"/>
            </w:rPr>
            <w:t>Medio de Control</w:t>
          </w:r>
        </w:p>
      </w:tc>
      <w:tc>
        <w:tcPr>
          <w:tcW w:w="425" w:type="dxa"/>
        </w:tcPr>
        <w:p w14:paraId="75B39F6B" w14:textId="77777777" w:rsidR="00951415" w:rsidRPr="004E65B1" w:rsidRDefault="00951415" w:rsidP="009B2A1B">
          <w:pPr>
            <w:ind w:left="-108"/>
            <w:jc w:val="both"/>
            <w:rPr>
              <w:color w:val="000000" w:themeColor="text1"/>
              <w:sz w:val="20"/>
              <w:lang w:val="es-MX"/>
            </w:rPr>
          </w:pPr>
          <w:r w:rsidRPr="004E65B1">
            <w:rPr>
              <w:color w:val="000000" w:themeColor="text1"/>
              <w:sz w:val="20"/>
              <w:lang w:val="es-MX"/>
            </w:rPr>
            <w:t>:</w:t>
          </w:r>
        </w:p>
      </w:tc>
      <w:tc>
        <w:tcPr>
          <w:tcW w:w="6520" w:type="dxa"/>
          <w:gridSpan w:val="2"/>
        </w:tcPr>
        <w:p w14:paraId="06F7D24C" w14:textId="77777777" w:rsidR="00951415" w:rsidRPr="004E65B1" w:rsidRDefault="00951415" w:rsidP="009B2A1B">
          <w:pPr>
            <w:ind w:left="-108"/>
            <w:jc w:val="both"/>
            <w:rPr>
              <w:color w:val="000000" w:themeColor="text1"/>
              <w:sz w:val="20"/>
              <w:lang w:val="es-MX"/>
            </w:rPr>
          </w:pPr>
          <w:r w:rsidRPr="004E65B1">
            <w:rPr>
              <w:color w:val="000000" w:themeColor="text1"/>
              <w:sz w:val="20"/>
            </w:rPr>
            <w:t>Nulidad y restablecimiento del derecho</w:t>
          </w:r>
        </w:p>
      </w:tc>
    </w:tr>
    <w:tr w:rsidR="00951415" w:rsidRPr="00362814" w14:paraId="35820A59" w14:textId="77777777" w:rsidTr="005D4FE5">
      <w:trPr>
        <w:gridAfter w:val="1"/>
        <w:wAfter w:w="425" w:type="dxa"/>
      </w:trPr>
      <w:tc>
        <w:tcPr>
          <w:tcW w:w="1668" w:type="dxa"/>
        </w:tcPr>
        <w:p w14:paraId="2214E376" w14:textId="77777777" w:rsidR="00951415" w:rsidRPr="004E65B1" w:rsidRDefault="00951415" w:rsidP="009B2A1B">
          <w:pPr>
            <w:ind w:left="-108"/>
            <w:jc w:val="both"/>
            <w:rPr>
              <w:color w:val="000000" w:themeColor="text1"/>
              <w:sz w:val="20"/>
              <w:lang w:val="es-MX"/>
            </w:rPr>
          </w:pPr>
          <w:r w:rsidRPr="004E65B1">
            <w:rPr>
              <w:color w:val="000000" w:themeColor="text1"/>
              <w:sz w:val="20"/>
            </w:rPr>
            <w:t>Demandante</w:t>
          </w:r>
        </w:p>
      </w:tc>
      <w:tc>
        <w:tcPr>
          <w:tcW w:w="425" w:type="dxa"/>
        </w:tcPr>
        <w:p w14:paraId="1666E4BC" w14:textId="77777777" w:rsidR="00951415" w:rsidRPr="004E65B1" w:rsidRDefault="00951415" w:rsidP="009B2A1B">
          <w:pPr>
            <w:ind w:left="-108"/>
            <w:jc w:val="both"/>
            <w:rPr>
              <w:color w:val="000000" w:themeColor="text1"/>
              <w:sz w:val="20"/>
              <w:lang w:val="es-MX"/>
            </w:rPr>
          </w:pPr>
          <w:r w:rsidRPr="004E65B1">
            <w:rPr>
              <w:color w:val="000000" w:themeColor="text1"/>
              <w:sz w:val="20"/>
              <w:lang w:val="es-MX"/>
            </w:rPr>
            <w:t>:</w:t>
          </w:r>
        </w:p>
      </w:tc>
      <w:tc>
        <w:tcPr>
          <w:tcW w:w="6095" w:type="dxa"/>
        </w:tcPr>
        <w:p w14:paraId="0461C2FD" w14:textId="53719099" w:rsidR="00951415" w:rsidRPr="004E65B1" w:rsidRDefault="00951415" w:rsidP="00D728C0">
          <w:pPr>
            <w:ind w:left="-108"/>
            <w:jc w:val="both"/>
            <w:rPr>
              <w:color w:val="000000" w:themeColor="text1"/>
              <w:sz w:val="20"/>
              <w:lang w:val="es-MX"/>
            </w:rPr>
          </w:pPr>
          <w:r w:rsidRPr="004E65B1">
            <w:rPr>
              <w:color w:val="000000" w:themeColor="text1"/>
              <w:sz w:val="20"/>
            </w:rPr>
            <w:t>Bernardo Beltrán Rivera</w:t>
          </w:r>
        </w:p>
      </w:tc>
    </w:tr>
    <w:tr w:rsidR="00951415" w:rsidRPr="00362814" w14:paraId="0B7FD952" w14:textId="77777777" w:rsidTr="005D4FE5">
      <w:trPr>
        <w:gridAfter w:val="1"/>
        <w:wAfter w:w="425" w:type="dxa"/>
      </w:trPr>
      <w:tc>
        <w:tcPr>
          <w:tcW w:w="1668" w:type="dxa"/>
        </w:tcPr>
        <w:p w14:paraId="58D3D923" w14:textId="77777777" w:rsidR="00951415" w:rsidRPr="004E65B1" w:rsidRDefault="00951415" w:rsidP="009B2A1B">
          <w:pPr>
            <w:ind w:left="-108"/>
            <w:jc w:val="both"/>
            <w:rPr>
              <w:color w:val="000000" w:themeColor="text1"/>
              <w:sz w:val="20"/>
              <w:lang w:val="es-MX"/>
            </w:rPr>
          </w:pPr>
          <w:r w:rsidRPr="004E65B1">
            <w:rPr>
              <w:color w:val="000000" w:themeColor="text1"/>
              <w:sz w:val="20"/>
            </w:rPr>
            <w:t>Demandado</w:t>
          </w:r>
        </w:p>
      </w:tc>
      <w:tc>
        <w:tcPr>
          <w:tcW w:w="425" w:type="dxa"/>
        </w:tcPr>
        <w:p w14:paraId="523E07A1" w14:textId="77777777" w:rsidR="00951415" w:rsidRPr="004E65B1" w:rsidRDefault="00951415" w:rsidP="009B2A1B">
          <w:pPr>
            <w:ind w:left="-108"/>
            <w:jc w:val="both"/>
            <w:rPr>
              <w:color w:val="000000" w:themeColor="text1"/>
              <w:sz w:val="20"/>
              <w:lang w:val="es-MX"/>
            </w:rPr>
          </w:pPr>
          <w:r w:rsidRPr="004E65B1">
            <w:rPr>
              <w:color w:val="000000" w:themeColor="text1"/>
              <w:sz w:val="20"/>
              <w:lang w:val="es-MX"/>
            </w:rPr>
            <w:t>:</w:t>
          </w:r>
        </w:p>
      </w:tc>
      <w:tc>
        <w:tcPr>
          <w:tcW w:w="6095" w:type="dxa"/>
        </w:tcPr>
        <w:p w14:paraId="30B78541" w14:textId="5A2383AA" w:rsidR="00951415" w:rsidRPr="004E65B1" w:rsidRDefault="00951415" w:rsidP="00586556">
          <w:pPr>
            <w:ind w:left="-108"/>
            <w:jc w:val="both"/>
            <w:rPr>
              <w:color w:val="000000" w:themeColor="text1"/>
              <w:sz w:val="20"/>
              <w:lang w:val="es-MX"/>
            </w:rPr>
          </w:pPr>
          <w:r w:rsidRPr="004E65B1">
            <w:rPr>
              <w:color w:val="000000" w:themeColor="text1"/>
              <w:sz w:val="20"/>
            </w:rPr>
            <w:t>Nación – Ministerio de Educación Nacional Fondo Nacional de Prestaciones Sociales del Magisterio</w:t>
          </w:r>
        </w:p>
      </w:tc>
    </w:tr>
    <w:tr w:rsidR="00951415" w:rsidRPr="00362814" w14:paraId="67DDD103" w14:textId="77777777" w:rsidTr="00362814">
      <w:trPr>
        <w:gridAfter w:val="1"/>
        <w:wAfter w:w="425" w:type="dxa"/>
        <w:trHeight w:val="60"/>
      </w:trPr>
      <w:tc>
        <w:tcPr>
          <w:tcW w:w="1668" w:type="dxa"/>
        </w:tcPr>
        <w:p w14:paraId="42C0D5F0" w14:textId="77777777" w:rsidR="00951415" w:rsidRPr="004E65B1" w:rsidRDefault="00951415" w:rsidP="009B2A1B">
          <w:pPr>
            <w:ind w:left="-108"/>
            <w:jc w:val="both"/>
            <w:rPr>
              <w:color w:val="000000" w:themeColor="text1"/>
              <w:sz w:val="20"/>
              <w:lang w:val="es-MX"/>
            </w:rPr>
          </w:pPr>
          <w:r w:rsidRPr="004E65B1">
            <w:rPr>
              <w:color w:val="000000" w:themeColor="text1"/>
              <w:sz w:val="20"/>
            </w:rPr>
            <w:t>Expediente</w:t>
          </w:r>
        </w:p>
      </w:tc>
      <w:tc>
        <w:tcPr>
          <w:tcW w:w="425" w:type="dxa"/>
        </w:tcPr>
        <w:p w14:paraId="7ADC2609" w14:textId="77777777" w:rsidR="00951415" w:rsidRPr="004E65B1" w:rsidRDefault="00951415" w:rsidP="009B2A1B">
          <w:pPr>
            <w:ind w:left="-108"/>
            <w:jc w:val="both"/>
            <w:rPr>
              <w:color w:val="000000" w:themeColor="text1"/>
              <w:sz w:val="20"/>
              <w:lang w:val="es-MX"/>
            </w:rPr>
          </w:pPr>
          <w:r w:rsidRPr="004E65B1">
            <w:rPr>
              <w:color w:val="000000" w:themeColor="text1"/>
              <w:sz w:val="20"/>
              <w:lang w:val="es-MX"/>
            </w:rPr>
            <w:t>:</w:t>
          </w:r>
        </w:p>
      </w:tc>
      <w:tc>
        <w:tcPr>
          <w:tcW w:w="6095" w:type="dxa"/>
        </w:tcPr>
        <w:p w14:paraId="6AAC1CE8" w14:textId="367185EB" w:rsidR="00951415" w:rsidRPr="004E65B1" w:rsidRDefault="00951415" w:rsidP="00221940">
          <w:pPr>
            <w:ind w:left="-108"/>
            <w:jc w:val="both"/>
            <w:rPr>
              <w:color w:val="000000" w:themeColor="text1"/>
              <w:sz w:val="20"/>
              <w:lang w:val="es-MX"/>
            </w:rPr>
          </w:pPr>
          <w:r w:rsidRPr="004E65B1">
            <w:rPr>
              <w:color w:val="000000" w:themeColor="text1"/>
              <w:sz w:val="20"/>
            </w:rPr>
            <w:t>15001-33-33-005 -2019-00089-01</w:t>
          </w:r>
        </w:p>
      </w:tc>
    </w:tr>
  </w:tbl>
  <w:p w14:paraId="43A84D09" w14:textId="77777777" w:rsidR="00951415" w:rsidRDefault="00951415" w:rsidP="00F16826">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5037B" w14:textId="77777777" w:rsidR="00951415" w:rsidRDefault="00951415" w:rsidP="00E00F27">
    <w:pPr>
      <w:spacing w:line="240" w:lineRule="atLeast"/>
      <w:jc w:val="center"/>
      <w:rPr>
        <w:b/>
        <w:sz w:val="26"/>
        <w:szCs w:val="26"/>
      </w:rPr>
    </w:pPr>
  </w:p>
  <w:p w14:paraId="50A377E0" w14:textId="77777777" w:rsidR="00951415" w:rsidRPr="00AD20A2" w:rsidRDefault="00951415" w:rsidP="00E00F27">
    <w:pPr>
      <w:spacing w:line="240" w:lineRule="atLeast"/>
      <w:jc w:val="center"/>
      <w:rPr>
        <w:b/>
        <w:sz w:val="26"/>
        <w:szCs w:val="26"/>
      </w:rPr>
    </w:pPr>
    <w:r w:rsidRPr="00AD20A2">
      <w:rPr>
        <w:b/>
        <w:sz w:val="26"/>
        <w:szCs w:val="26"/>
      </w:rPr>
      <w:t>REPÚBLICA DE COLOMBIA</w:t>
    </w:r>
  </w:p>
  <w:p w14:paraId="2A3A9F53" w14:textId="77777777" w:rsidR="00951415" w:rsidRPr="00AD20A2" w:rsidRDefault="00951415" w:rsidP="00E00F27">
    <w:pPr>
      <w:spacing w:line="240" w:lineRule="atLeast"/>
      <w:jc w:val="center"/>
      <w:rPr>
        <w:b/>
        <w:sz w:val="26"/>
        <w:szCs w:val="26"/>
      </w:rPr>
    </w:pPr>
    <w:r w:rsidRPr="00AD20A2">
      <w:rPr>
        <w:b/>
        <w:noProof/>
        <w:sz w:val="26"/>
        <w:szCs w:val="26"/>
        <w:lang w:eastAsia="es-CO"/>
      </w:rPr>
      <w:drawing>
        <wp:inline distT="0" distB="0" distL="0" distR="0" wp14:anchorId="65B7E568" wp14:editId="5AE8A411">
          <wp:extent cx="607060" cy="607060"/>
          <wp:effectExtent l="0" t="0" r="254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060" cy="607060"/>
                  </a:xfrm>
                  <a:prstGeom prst="rect">
                    <a:avLst/>
                  </a:prstGeom>
                  <a:noFill/>
                  <a:ln>
                    <a:noFill/>
                  </a:ln>
                </pic:spPr>
              </pic:pic>
            </a:graphicData>
          </a:graphic>
        </wp:inline>
      </w:drawing>
    </w:r>
  </w:p>
  <w:p w14:paraId="25FEE98D" w14:textId="77777777" w:rsidR="00951415" w:rsidRPr="00AD20A2" w:rsidRDefault="00951415" w:rsidP="00E00F27">
    <w:pPr>
      <w:pStyle w:val="Encabezado"/>
      <w:jc w:val="center"/>
      <w:rPr>
        <w:b/>
        <w:sz w:val="26"/>
        <w:szCs w:val="26"/>
      </w:rPr>
    </w:pPr>
    <w:r w:rsidRPr="00AD20A2">
      <w:rPr>
        <w:b/>
        <w:sz w:val="26"/>
        <w:szCs w:val="26"/>
      </w:rPr>
      <w:t>TRIBUNAL ADMINISTRATIVO DE BOYACÁ</w:t>
    </w:r>
  </w:p>
  <w:p w14:paraId="3F529B1E" w14:textId="77777777" w:rsidR="00951415" w:rsidRPr="00AD20A2" w:rsidRDefault="00951415" w:rsidP="00E00F27">
    <w:pPr>
      <w:pStyle w:val="Encabezado"/>
      <w:jc w:val="center"/>
      <w:rPr>
        <w:b/>
        <w:sz w:val="26"/>
        <w:szCs w:val="26"/>
      </w:rPr>
    </w:pPr>
    <w:r w:rsidRPr="00AD20A2">
      <w:rPr>
        <w:b/>
        <w:sz w:val="26"/>
        <w:szCs w:val="26"/>
      </w:rPr>
      <w:t>SALA DE DECISIÓN No 2</w:t>
    </w:r>
  </w:p>
  <w:p w14:paraId="5F15A005" w14:textId="77777777" w:rsidR="00951415" w:rsidRPr="00AD20A2" w:rsidRDefault="00951415">
    <w:pPr>
      <w:pStyle w:val="Encabezado"/>
      <w:rPr>
        <w:sz w:val="26"/>
        <w:szCs w:val="26"/>
      </w:rPr>
    </w:pPr>
  </w:p>
</w:hdr>
</file>

<file path=word/intelligence.xml><?xml version="1.0" encoding="utf-8"?>
<int:Intelligence xmlns:int="http://schemas.microsoft.com/office/intelligence/2019/intelligence">
  <int:IntelligenceSettings/>
  <int:Manifest>
    <int:WordHash hashCode="kOHUS+iq+yqhkM" id="9URrrclK"/>
    <int:WordHash hashCode="74B/Qr0494ZM1C" id="CN5b4IYM"/>
    <int:ParagraphRange paragraphId="1478423776" textId="2019886789" start="66" length="16" invalidationStart="66" invalidationLength="16" id="4ll4Xrgw"/>
    <int:ParagraphRange paragraphId="519145356" textId="1409411431" start="101" length="11" invalidationStart="101" invalidationLength="11" id="u7Iq5mV9"/>
    <int:ParagraphRange paragraphId="519145356" textId="1409411431" start="114" length="14" invalidationStart="114" invalidationLength="14" id="696Npije"/>
    <int:ParagraphRange paragraphId="519145356" textId="1409411431" start="130" length="16" invalidationStart="130" invalidationLength="16" id="g9wM24cF"/>
    <int:ParagraphRange paragraphId="519145356" textId="1409411431" start="147" length="14" invalidationStart="147" invalidationLength="14" id="AG/tCFJZ"/>
    <int:ParagraphRange paragraphId="519145356" textId="1409411431" start="162" length="6" invalidationStart="162" invalidationLength="6" id="zQMgOWsx"/>
    <int:ParagraphRange paragraphId="519145356" textId="1409411431" start="170" length="8" invalidationStart="170" invalidationLength="8" id="z3FVzZnt"/>
    <int:ParagraphRange paragraphId="519145356" textId="722755197" start="101" length="11" invalidationStart="101" invalidationLength="11" id="oxbRE/cb"/>
    <int:ParagraphRange paragraphId="519145356" textId="722755197" start="114" length="14" invalidationStart="114" invalidationLength="14" id="0C3bt7Yy"/>
    <int:ParagraphRange paragraphId="1240284633" textId="814756447" start="181" length="9" invalidationStart="181" invalidationLength="9" id="Q9qr/hJk"/>
    <int:WordHash hashCode="ScnQKkybdv20VX" id="eJwQ3MJy"/>
    <int:ParagraphRange paragraphId="426893032" textId="1752695211" start="185" length="10" invalidationStart="185" invalidationLength="10" id="iNebhAfi"/>
    <int:ParagraphRange paragraphId="668353907" textId="1132065931" start="556" length="9" invalidationStart="556" invalidationLength="9" id="Ko5SrRWh"/>
    <int:ParagraphRange paragraphId="1992472960" textId="320045562" start="25" length="8" invalidationStart="25" invalidationLength="8" id="aACTcNJf"/>
    <int:ParagraphRange paragraphId="1992472960" textId="164358828" start="26" length="8" invalidationStart="26" invalidationLength="8" id="KYMFPAoB"/>
    <int:ParagraphRange paragraphId="1992472960" textId="164358828" start="35" length="3" invalidationStart="35" invalidationLength="3" id="d6i3DBev"/>
    <int:ParagraphRange paragraphId="1385912870" textId="1063340996" start="3" length="8" invalidationStart="3" invalidationLength="8" id="aSt31cYs"/>
    <int:ParagraphRange paragraphId="1385912870" textId="1063340996" start="205" length="9" invalidationStart="205" invalidationLength="9" id="qSIPyKnW"/>
    <int:ParagraphRange paragraphId="2081152260" textId="2004318071" start="51" length="9" invalidationStart="51" invalidationLength="9" id="gyVC2J28"/>
    <int:ParagraphRange paragraphId="677888021" textId="146577132" start="204" length="9" invalidationStart="204" invalidationLength="9" id="XZEIVPPp"/>
    <int:WordHash hashCode="JwgErbA2DYbpbI" id="hErq0DK1"/>
  </int:Manifest>
  <int:Observations>
    <int:Content id="9URrrclK">
      <int:Rejection type="LegacyProofing"/>
    </int:Content>
    <int:Content id="CN5b4IYM">
      <int:Rejection type="LegacyProofing"/>
    </int:Content>
    <int:Content id="4ll4Xrgw">
      <int:Rejection type="LegacyProofing"/>
    </int:Content>
    <int:Content id="u7Iq5mV9">
      <int:Rejection type="LegacyProofing"/>
    </int:Content>
    <int:Content id="696Npije">
      <int:Rejection type="LegacyProofing"/>
    </int:Content>
    <int:Content id="g9wM24cF">
      <int:Rejection type="LegacyProofing"/>
    </int:Content>
    <int:Content id="AG/tCFJZ">
      <int:Rejection type="LegacyProofing"/>
    </int:Content>
    <int:Content id="zQMgOWsx">
      <int:Rejection type="LegacyProofing"/>
    </int:Content>
    <int:Content id="z3FVzZnt">
      <int:Rejection type="LegacyProofing"/>
    </int:Content>
    <int:Content id="oxbRE/cb">
      <int:Rejection type="LegacyProofing"/>
    </int:Content>
    <int:Content id="0C3bt7Yy">
      <int:Rejection type="LegacyProofing"/>
    </int:Content>
    <int:Content id="Q9qr/hJk">
      <int:Rejection type="LegacyProofing"/>
    </int:Content>
    <int:Content id="eJwQ3MJy">
      <int:Rejection type="LegacyProofing"/>
    </int:Content>
    <int:Content id="iNebhAfi">
      <int:Rejection type="LegacyProofing"/>
    </int:Content>
    <int:Content id="Ko5SrRWh">
      <int:Rejection type="LegacyProofing"/>
    </int:Content>
    <int:Content id="aACTcNJf">
      <int:Rejection type="LegacyProofing"/>
    </int:Content>
    <int:Content id="KYMFPAoB">
      <int:Rejection type="LegacyProofing"/>
    </int:Content>
    <int:Content id="d6i3DBev">
      <int:Rejection type="LegacyProofing"/>
    </int:Content>
    <int:Content id="aSt31cYs">
      <int:Rejection type="LegacyProofing"/>
    </int:Content>
    <int:Content id="qSIPyKnW">
      <int:Rejection type="LegacyProofing"/>
    </int:Content>
    <int:Content id="gyVC2J28">
      <int:Rejection type="LegacyProofing"/>
    </int:Content>
    <int:Content id="XZEIVPPp">
      <int:Rejection type="LegacyProofing"/>
    </int:Content>
    <int:Content id="hErq0DK1">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1327"/>
    <w:multiLevelType w:val="hybridMultilevel"/>
    <w:tmpl w:val="013A778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1F4508"/>
    <w:multiLevelType w:val="hybridMultilevel"/>
    <w:tmpl w:val="F41EB232"/>
    <w:lvl w:ilvl="0" w:tplc="CC2AFB9A">
      <w:start w:val="6"/>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C24847"/>
    <w:multiLevelType w:val="hybridMultilevel"/>
    <w:tmpl w:val="D5B62BA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20083F"/>
    <w:multiLevelType w:val="multilevel"/>
    <w:tmpl w:val="5BFC3D62"/>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274C3EA2"/>
    <w:multiLevelType w:val="hybridMultilevel"/>
    <w:tmpl w:val="DBD4FF2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C3E6F1E"/>
    <w:multiLevelType w:val="hybridMultilevel"/>
    <w:tmpl w:val="72BAADF4"/>
    <w:lvl w:ilvl="0" w:tplc="8FE0300A">
      <w:start w:val="6"/>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2DDC14D5"/>
    <w:multiLevelType w:val="hybridMultilevel"/>
    <w:tmpl w:val="BB52B9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3E0010"/>
    <w:multiLevelType w:val="hybridMultilevel"/>
    <w:tmpl w:val="F0C8E356"/>
    <w:lvl w:ilvl="0" w:tplc="614C26EE">
      <w:start w:val="1"/>
      <w:numFmt w:val="decimal"/>
      <w:lvlText w:val="%1."/>
      <w:lvlJc w:val="left"/>
      <w:pPr>
        <w:ind w:left="720" w:hanging="360"/>
      </w:pPr>
      <w:rPr>
        <w:rFonts w:hint="default"/>
        <w:b/>
        <w:color w:val="000000" w:themeColor="text1"/>
        <w:sz w:val="26"/>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8E3242"/>
    <w:multiLevelType w:val="multilevel"/>
    <w:tmpl w:val="43D2656C"/>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4322899"/>
    <w:multiLevelType w:val="multilevel"/>
    <w:tmpl w:val="E76A7C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B50368E"/>
    <w:multiLevelType w:val="hybridMultilevel"/>
    <w:tmpl w:val="6D3E75BC"/>
    <w:lvl w:ilvl="0" w:tplc="9F4CC3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BE11B1"/>
    <w:multiLevelType w:val="hybridMultilevel"/>
    <w:tmpl w:val="389E559A"/>
    <w:lvl w:ilvl="0" w:tplc="9CF60EC0">
      <w:start w:val="9"/>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EF4D41"/>
    <w:multiLevelType w:val="hybridMultilevel"/>
    <w:tmpl w:val="DBDE8488"/>
    <w:lvl w:ilvl="0" w:tplc="1672965C">
      <w:start w:val="7"/>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DFA653F"/>
    <w:multiLevelType w:val="hybridMultilevel"/>
    <w:tmpl w:val="2556CEA6"/>
    <w:lvl w:ilvl="0" w:tplc="63705772">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C3741A"/>
    <w:multiLevelType w:val="hybridMultilevel"/>
    <w:tmpl w:val="204A138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37F0F3F"/>
    <w:multiLevelType w:val="hybridMultilevel"/>
    <w:tmpl w:val="4FA4A77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74C61EE"/>
    <w:multiLevelType w:val="hybridMultilevel"/>
    <w:tmpl w:val="C6229064"/>
    <w:lvl w:ilvl="0" w:tplc="BEB0DF6C">
      <w:start w:val="1"/>
      <w:numFmt w:val="lowerRoman"/>
      <w:lvlText w:val="%1)"/>
      <w:lvlJc w:val="left"/>
      <w:pPr>
        <w:ind w:left="720" w:hanging="360"/>
      </w:pPr>
      <w:rPr>
        <w:rFonts w:ascii="Arial" w:eastAsia="Calibr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0E36400"/>
    <w:multiLevelType w:val="hybridMultilevel"/>
    <w:tmpl w:val="555C2D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1CF346C"/>
    <w:multiLevelType w:val="hybridMultilevel"/>
    <w:tmpl w:val="C776B0A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91B3268"/>
    <w:multiLevelType w:val="hybridMultilevel"/>
    <w:tmpl w:val="CC86CFB6"/>
    <w:lvl w:ilvl="0" w:tplc="40ECEC9C">
      <w:start w:val="2"/>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B8B2884"/>
    <w:multiLevelType w:val="hybridMultilevel"/>
    <w:tmpl w:val="3BE4EEF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CED431A"/>
    <w:multiLevelType w:val="multilevel"/>
    <w:tmpl w:val="210883D0"/>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E634A7C"/>
    <w:multiLevelType w:val="hybridMultilevel"/>
    <w:tmpl w:val="B4106C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EBA62F5"/>
    <w:multiLevelType w:val="hybridMultilevel"/>
    <w:tmpl w:val="5BF089B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4" w15:restartNumberingAfterBreak="0">
    <w:nsid w:val="6ABA21EE"/>
    <w:multiLevelType w:val="hybridMultilevel"/>
    <w:tmpl w:val="D5B62BA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CCC2166"/>
    <w:multiLevelType w:val="hybridMultilevel"/>
    <w:tmpl w:val="AEF6A186"/>
    <w:lvl w:ilvl="0" w:tplc="9AC60C1A">
      <w:start w:val="5"/>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FA42A33"/>
    <w:multiLevelType w:val="hybridMultilevel"/>
    <w:tmpl w:val="56CA1952"/>
    <w:lvl w:ilvl="0" w:tplc="B27CCE54">
      <w:start w:val="1"/>
      <w:numFmt w:val="decimal"/>
      <w:suff w:val="space"/>
      <w:lvlText w:val="%1."/>
      <w:lvlJc w:val="left"/>
      <w:pPr>
        <w:ind w:left="0"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1E35F8C"/>
    <w:multiLevelType w:val="hybridMultilevel"/>
    <w:tmpl w:val="1FB23C6A"/>
    <w:lvl w:ilvl="0" w:tplc="7AC0A486">
      <w:start w:val="1"/>
      <w:numFmt w:val="decimal"/>
      <w:lvlText w:val="%1."/>
      <w:lvlJc w:val="left"/>
      <w:pPr>
        <w:ind w:left="1778" w:hanging="360"/>
      </w:pPr>
      <w:rPr>
        <w:rFonts w:hint="default"/>
        <w:b/>
        <w:color w:val="000000"/>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8" w15:restartNumberingAfterBreak="0">
    <w:nsid w:val="75812A7F"/>
    <w:multiLevelType w:val="hybridMultilevel"/>
    <w:tmpl w:val="E43C753E"/>
    <w:lvl w:ilvl="0" w:tplc="B8E6F80E">
      <w:start w:val="6"/>
      <w:numFmt w:val="upperRoman"/>
      <w:lvlText w:val="%1."/>
      <w:lvlJc w:val="left"/>
      <w:pPr>
        <w:ind w:left="2138" w:hanging="72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num w:numId="1">
    <w:abstractNumId w:val="13"/>
  </w:num>
  <w:num w:numId="2">
    <w:abstractNumId w:val="12"/>
  </w:num>
  <w:num w:numId="3">
    <w:abstractNumId w:val="27"/>
  </w:num>
  <w:num w:numId="4">
    <w:abstractNumId w:val="3"/>
  </w:num>
  <w:num w:numId="5">
    <w:abstractNumId w:val="8"/>
  </w:num>
  <w:num w:numId="6">
    <w:abstractNumId w:val="1"/>
  </w:num>
  <w:num w:numId="7">
    <w:abstractNumId w:val="5"/>
  </w:num>
  <w:num w:numId="8">
    <w:abstractNumId w:val="28"/>
  </w:num>
  <w:num w:numId="9">
    <w:abstractNumId w:val="15"/>
  </w:num>
  <w:num w:numId="10">
    <w:abstractNumId w:val="0"/>
  </w:num>
  <w:num w:numId="11">
    <w:abstractNumId w:val="26"/>
  </w:num>
  <w:num w:numId="12">
    <w:abstractNumId w:val="23"/>
  </w:num>
  <w:num w:numId="13">
    <w:abstractNumId w:val="18"/>
  </w:num>
  <w:num w:numId="14">
    <w:abstractNumId w:val="16"/>
  </w:num>
  <w:num w:numId="15">
    <w:abstractNumId w:val="22"/>
  </w:num>
  <w:num w:numId="16">
    <w:abstractNumId w:val="9"/>
  </w:num>
  <w:num w:numId="17">
    <w:abstractNumId w:val="19"/>
  </w:num>
  <w:num w:numId="18">
    <w:abstractNumId w:val="14"/>
  </w:num>
  <w:num w:numId="19">
    <w:abstractNumId w:val="4"/>
  </w:num>
  <w:num w:numId="20">
    <w:abstractNumId w:val="20"/>
  </w:num>
  <w:num w:numId="21">
    <w:abstractNumId w:val="2"/>
  </w:num>
  <w:num w:numId="22">
    <w:abstractNumId w:val="21"/>
  </w:num>
  <w:num w:numId="23">
    <w:abstractNumId w:val="17"/>
  </w:num>
  <w:num w:numId="24">
    <w:abstractNumId w:val="6"/>
  </w:num>
  <w:num w:numId="25">
    <w:abstractNumId w:val="7"/>
  </w:num>
  <w:num w:numId="26">
    <w:abstractNumId w:val="10"/>
  </w:num>
  <w:num w:numId="27">
    <w:abstractNumId w:val="25"/>
  </w:num>
  <w:num w:numId="28">
    <w:abstractNumId w:val="1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E3A"/>
    <w:rsid w:val="00001495"/>
    <w:rsid w:val="00003DF2"/>
    <w:rsid w:val="000143AF"/>
    <w:rsid w:val="00014523"/>
    <w:rsid w:val="000204B7"/>
    <w:rsid w:val="00027335"/>
    <w:rsid w:val="00031BAA"/>
    <w:rsid w:val="00037945"/>
    <w:rsid w:val="00040AEF"/>
    <w:rsid w:val="00044DC4"/>
    <w:rsid w:val="00046762"/>
    <w:rsid w:val="000502B2"/>
    <w:rsid w:val="0005402D"/>
    <w:rsid w:val="00055287"/>
    <w:rsid w:val="00055E39"/>
    <w:rsid w:val="000569DD"/>
    <w:rsid w:val="00063769"/>
    <w:rsid w:val="00064D71"/>
    <w:rsid w:val="00066576"/>
    <w:rsid w:val="00067F23"/>
    <w:rsid w:val="0007433A"/>
    <w:rsid w:val="00083FE2"/>
    <w:rsid w:val="0008616B"/>
    <w:rsid w:val="00091F16"/>
    <w:rsid w:val="00092F5A"/>
    <w:rsid w:val="00095381"/>
    <w:rsid w:val="00095873"/>
    <w:rsid w:val="00097583"/>
    <w:rsid w:val="000A19F7"/>
    <w:rsid w:val="000A4BF8"/>
    <w:rsid w:val="000B11C4"/>
    <w:rsid w:val="000B22CE"/>
    <w:rsid w:val="000B2BE5"/>
    <w:rsid w:val="000B5598"/>
    <w:rsid w:val="000B785A"/>
    <w:rsid w:val="000C385F"/>
    <w:rsid w:val="000D28C1"/>
    <w:rsid w:val="000D4B49"/>
    <w:rsid w:val="000D5E52"/>
    <w:rsid w:val="000D6C65"/>
    <w:rsid w:val="000D7043"/>
    <w:rsid w:val="000E1A71"/>
    <w:rsid w:val="000E1CA3"/>
    <w:rsid w:val="000E4505"/>
    <w:rsid w:val="000F1EEE"/>
    <w:rsid w:val="000F26B6"/>
    <w:rsid w:val="000F34C3"/>
    <w:rsid w:val="000F3ED5"/>
    <w:rsid w:val="000F543E"/>
    <w:rsid w:val="000F5E5D"/>
    <w:rsid w:val="00100625"/>
    <w:rsid w:val="00101594"/>
    <w:rsid w:val="00102C49"/>
    <w:rsid w:val="0010523F"/>
    <w:rsid w:val="0010710D"/>
    <w:rsid w:val="00107394"/>
    <w:rsid w:val="00110B2E"/>
    <w:rsid w:val="00111749"/>
    <w:rsid w:val="00117186"/>
    <w:rsid w:val="00136AA6"/>
    <w:rsid w:val="001504C6"/>
    <w:rsid w:val="0015208A"/>
    <w:rsid w:val="00155A27"/>
    <w:rsid w:val="00160DBC"/>
    <w:rsid w:val="00162236"/>
    <w:rsid w:val="00164835"/>
    <w:rsid w:val="00165DF9"/>
    <w:rsid w:val="00166833"/>
    <w:rsid w:val="00170593"/>
    <w:rsid w:val="00175E68"/>
    <w:rsid w:val="00177627"/>
    <w:rsid w:val="001806E7"/>
    <w:rsid w:val="00183EB5"/>
    <w:rsid w:val="00186D7B"/>
    <w:rsid w:val="001921F5"/>
    <w:rsid w:val="001A5E1B"/>
    <w:rsid w:val="001B0488"/>
    <w:rsid w:val="001B10A6"/>
    <w:rsid w:val="001B3414"/>
    <w:rsid w:val="001C141C"/>
    <w:rsid w:val="001C3D0D"/>
    <w:rsid w:val="001C7B6C"/>
    <w:rsid w:val="001D0076"/>
    <w:rsid w:val="001D274F"/>
    <w:rsid w:val="001D4A2F"/>
    <w:rsid w:val="001D619A"/>
    <w:rsid w:val="001E2B71"/>
    <w:rsid w:val="001E5948"/>
    <w:rsid w:val="001E733C"/>
    <w:rsid w:val="001F33A9"/>
    <w:rsid w:val="001F363F"/>
    <w:rsid w:val="001F651F"/>
    <w:rsid w:val="00206EAE"/>
    <w:rsid w:val="002107EA"/>
    <w:rsid w:val="00211301"/>
    <w:rsid w:val="002143D9"/>
    <w:rsid w:val="00221940"/>
    <w:rsid w:val="00222C05"/>
    <w:rsid w:val="00237005"/>
    <w:rsid w:val="00241611"/>
    <w:rsid w:val="00250B5C"/>
    <w:rsid w:val="002559E3"/>
    <w:rsid w:val="002572F2"/>
    <w:rsid w:val="00261562"/>
    <w:rsid w:val="002657A3"/>
    <w:rsid w:val="00265B5A"/>
    <w:rsid w:val="00274761"/>
    <w:rsid w:val="00281373"/>
    <w:rsid w:val="00282E00"/>
    <w:rsid w:val="00292E31"/>
    <w:rsid w:val="002A5A35"/>
    <w:rsid w:val="002B327A"/>
    <w:rsid w:val="002B6381"/>
    <w:rsid w:val="002B76B2"/>
    <w:rsid w:val="002C7C84"/>
    <w:rsid w:val="002D2B98"/>
    <w:rsid w:val="002E025D"/>
    <w:rsid w:val="002E4B99"/>
    <w:rsid w:val="002E6F8E"/>
    <w:rsid w:val="002E763B"/>
    <w:rsid w:val="002F057C"/>
    <w:rsid w:val="002F38B5"/>
    <w:rsid w:val="002F41D3"/>
    <w:rsid w:val="00301969"/>
    <w:rsid w:val="00303DAF"/>
    <w:rsid w:val="00304A14"/>
    <w:rsid w:val="0031293D"/>
    <w:rsid w:val="00316EA9"/>
    <w:rsid w:val="0031761B"/>
    <w:rsid w:val="00325B85"/>
    <w:rsid w:val="003273FB"/>
    <w:rsid w:val="003346B5"/>
    <w:rsid w:val="00334B10"/>
    <w:rsid w:val="0034356A"/>
    <w:rsid w:val="003617C6"/>
    <w:rsid w:val="00362814"/>
    <w:rsid w:val="003649ED"/>
    <w:rsid w:val="003716B1"/>
    <w:rsid w:val="00371811"/>
    <w:rsid w:val="003730D6"/>
    <w:rsid w:val="00374B3E"/>
    <w:rsid w:val="00377798"/>
    <w:rsid w:val="00381D7B"/>
    <w:rsid w:val="00385E3A"/>
    <w:rsid w:val="0039544D"/>
    <w:rsid w:val="0039769E"/>
    <w:rsid w:val="003A09AE"/>
    <w:rsid w:val="003A69D7"/>
    <w:rsid w:val="003B6470"/>
    <w:rsid w:val="003B680C"/>
    <w:rsid w:val="003B7F8C"/>
    <w:rsid w:val="003C0FC9"/>
    <w:rsid w:val="003C4CB0"/>
    <w:rsid w:val="003D2863"/>
    <w:rsid w:val="003E13BC"/>
    <w:rsid w:val="003E2BC0"/>
    <w:rsid w:val="003F0C5B"/>
    <w:rsid w:val="003F4E4C"/>
    <w:rsid w:val="004001F6"/>
    <w:rsid w:val="00403DA2"/>
    <w:rsid w:val="0041183F"/>
    <w:rsid w:val="0041487F"/>
    <w:rsid w:val="0041559D"/>
    <w:rsid w:val="00417201"/>
    <w:rsid w:val="00417673"/>
    <w:rsid w:val="00420456"/>
    <w:rsid w:val="004211DB"/>
    <w:rsid w:val="00421CD7"/>
    <w:rsid w:val="004234CF"/>
    <w:rsid w:val="004265A1"/>
    <w:rsid w:val="004353AE"/>
    <w:rsid w:val="00440DCF"/>
    <w:rsid w:val="004436D2"/>
    <w:rsid w:val="004507EE"/>
    <w:rsid w:val="004578E1"/>
    <w:rsid w:val="00462381"/>
    <w:rsid w:val="0046263E"/>
    <w:rsid w:val="00465B49"/>
    <w:rsid w:val="004737EB"/>
    <w:rsid w:val="00475116"/>
    <w:rsid w:val="004918A1"/>
    <w:rsid w:val="0049339F"/>
    <w:rsid w:val="004A2688"/>
    <w:rsid w:val="004A4F5C"/>
    <w:rsid w:val="004A7C18"/>
    <w:rsid w:val="004A7DEB"/>
    <w:rsid w:val="004B1193"/>
    <w:rsid w:val="004B3883"/>
    <w:rsid w:val="004B401A"/>
    <w:rsid w:val="004B41CB"/>
    <w:rsid w:val="004C1CD8"/>
    <w:rsid w:val="004C6C0F"/>
    <w:rsid w:val="004D4D91"/>
    <w:rsid w:val="004D6A62"/>
    <w:rsid w:val="004E48A3"/>
    <w:rsid w:val="004E58CD"/>
    <w:rsid w:val="004E6284"/>
    <w:rsid w:val="004E65B1"/>
    <w:rsid w:val="004F048A"/>
    <w:rsid w:val="004F0F98"/>
    <w:rsid w:val="004F785C"/>
    <w:rsid w:val="0050309A"/>
    <w:rsid w:val="00503FC4"/>
    <w:rsid w:val="00513904"/>
    <w:rsid w:val="00514EDC"/>
    <w:rsid w:val="005152C0"/>
    <w:rsid w:val="0051642B"/>
    <w:rsid w:val="00527C45"/>
    <w:rsid w:val="00531500"/>
    <w:rsid w:val="00531BE5"/>
    <w:rsid w:val="00535090"/>
    <w:rsid w:val="00544C46"/>
    <w:rsid w:val="00553749"/>
    <w:rsid w:val="00565B94"/>
    <w:rsid w:val="005679DF"/>
    <w:rsid w:val="005727AD"/>
    <w:rsid w:val="00573BE1"/>
    <w:rsid w:val="00575E99"/>
    <w:rsid w:val="005762F6"/>
    <w:rsid w:val="005809D6"/>
    <w:rsid w:val="00585603"/>
    <w:rsid w:val="00586505"/>
    <w:rsid w:val="00586556"/>
    <w:rsid w:val="00594C9B"/>
    <w:rsid w:val="0059ABB7"/>
    <w:rsid w:val="005A06D8"/>
    <w:rsid w:val="005B33FA"/>
    <w:rsid w:val="005B4544"/>
    <w:rsid w:val="005B46C6"/>
    <w:rsid w:val="005B5C86"/>
    <w:rsid w:val="005C4EC8"/>
    <w:rsid w:val="005C7A03"/>
    <w:rsid w:val="005D2DC7"/>
    <w:rsid w:val="005D4FE5"/>
    <w:rsid w:val="005D58D8"/>
    <w:rsid w:val="005E5E0D"/>
    <w:rsid w:val="005F0B1A"/>
    <w:rsid w:val="005F4B24"/>
    <w:rsid w:val="00607E2F"/>
    <w:rsid w:val="006140AB"/>
    <w:rsid w:val="00614D7C"/>
    <w:rsid w:val="00615958"/>
    <w:rsid w:val="00630501"/>
    <w:rsid w:val="00630883"/>
    <w:rsid w:val="00634A5A"/>
    <w:rsid w:val="00635ED6"/>
    <w:rsid w:val="00645E79"/>
    <w:rsid w:val="00646F17"/>
    <w:rsid w:val="00647D78"/>
    <w:rsid w:val="00650872"/>
    <w:rsid w:val="0065290C"/>
    <w:rsid w:val="0065380D"/>
    <w:rsid w:val="00656600"/>
    <w:rsid w:val="006616BB"/>
    <w:rsid w:val="0066593A"/>
    <w:rsid w:val="00667A3F"/>
    <w:rsid w:val="006704A9"/>
    <w:rsid w:val="006716CF"/>
    <w:rsid w:val="0067287C"/>
    <w:rsid w:val="006739BE"/>
    <w:rsid w:val="0067518A"/>
    <w:rsid w:val="0067709E"/>
    <w:rsid w:val="00677374"/>
    <w:rsid w:val="00680610"/>
    <w:rsid w:val="00680C1C"/>
    <w:rsid w:val="006842EE"/>
    <w:rsid w:val="00684560"/>
    <w:rsid w:val="00684B4C"/>
    <w:rsid w:val="0068680E"/>
    <w:rsid w:val="00690665"/>
    <w:rsid w:val="0069267F"/>
    <w:rsid w:val="006A1E5B"/>
    <w:rsid w:val="006B0889"/>
    <w:rsid w:val="006B10B4"/>
    <w:rsid w:val="006B1EF9"/>
    <w:rsid w:val="006B1F3F"/>
    <w:rsid w:val="006B40A2"/>
    <w:rsid w:val="006B6A0C"/>
    <w:rsid w:val="006C1310"/>
    <w:rsid w:val="006C273F"/>
    <w:rsid w:val="006C40CB"/>
    <w:rsid w:val="006C4825"/>
    <w:rsid w:val="006C72F6"/>
    <w:rsid w:val="006D6229"/>
    <w:rsid w:val="006E15F6"/>
    <w:rsid w:val="006E4F8A"/>
    <w:rsid w:val="006E5250"/>
    <w:rsid w:val="006F2A45"/>
    <w:rsid w:val="006F4FD5"/>
    <w:rsid w:val="00704BBB"/>
    <w:rsid w:val="00711277"/>
    <w:rsid w:val="007242D9"/>
    <w:rsid w:val="00727838"/>
    <w:rsid w:val="00731C55"/>
    <w:rsid w:val="007418E5"/>
    <w:rsid w:val="0074505C"/>
    <w:rsid w:val="00746F3A"/>
    <w:rsid w:val="00752246"/>
    <w:rsid w:val="00756665"/>
    <w:rsid w:val="00756B35"/>
    <w:rsid w:val="00757099"/>
    <w:rsid w:val="00761D5E"/>
    <w:rsid w:val="007626A3"/>
    <w:rsid w:val="00763677"/>
    <w:rsid w:val="0076438F"/>
    <w:rsid w:val="00765864"/>
    <w:rsid w:val="00770C6E"/>
    <w:rsid w:val="007749AF"/>
    <w:rsid w:val="007753CE"/>
    <w:rsid w:val="00776B8F"/>
    <w:rsid w:val="00777CFE"/>
    <w:rsid w:val="007821D0"/>
    <w:rsid w:val="0078409D"/>
    <w:rsid w:val="00784D2B"/>
    <w:rsid w:val="007853E1"/>
    <w:rsid w:val="0078553A"/>
    <w:rsid w:val="00787461"/>
    <w:rsid w:val="00787A84"/>
    <w:rsid w:val="007903C0"/>
    <w:rsid w:val="0079103F"/>
    <w:rsid w:val="007938DC"/>
    <w:rsid w:val="007944B0"/>
    <w:rsid w:val="007945F8"/>
    <w:rsid w:val="00797D6B"/>
    <w:rsid w:val="00797DC7"/>
    <w:rsid w:val="007A057A"/>
    <w:rsid w:val="007A5F1D"/>
    <w:rsid w:val="007C00F9"/>
    <w:rsid w:val="007C063F"/>
    <w:rsid w:val="007C0CE4"/>
    <w:rsid w:val="007C1F9C"/>
    <w:rsid w:val="007C5154"/>
    <w:rsid w:val="007D1A18"/>
    <w:rsid w:val="007D20DC"/>
    <w:rsid w:val="007D5AC6"/>
    <w:rsid w:val="007E4BD3"/>
    <w:rsid w:val="007E60D0"/>
    <w:rsid w:val="007E71DE"/>
    <w:rsid w:val="00807E23"/>
    <w:rsid w:val="00813188"/>
    <w:rsid w:val="008151FF"/>
    <w:rsid w:val="00815B5B"/>
    <w:rsid w:val="00820993"/>
    <w:rsid w:val="00827249"/>
    <w:rsid w:val="00830031"/>
    <w:rsid w:val="00831AB2"/>
    <w:rsid w:val="0083597B"/>
    <w:rsid w:val="008622FA"/>
    <w:rsid w:val="0086472C"/>
    <w:rsid w:val="008725C4"/>
    <w:rsid w:val="008776D5"/>
    <w:rsid w:val="008812AF"/>
    <w:rsid w:val="00881306"/>
    <w:rsid w:val="00881BFF"/>
    <w:rsid w:val="00886E01"/>
    <w:rsid w:val="0089043E"/>
    <w:rsid w:val="00897035"/>
    <w:rsid w:val="008A026A"/>
    <w:rsid w:val="008A1F7E"/>
    <w:rsid w:val="008B17B9"/>
    <w:rsid w:val="008B7116"/>
    <w:rsid w:val="008C3402"/>
    <w:rsid w:val="008C522E"/>
    <w:rsid w:val="008C5334"/>
    <w:rsid w:val="008E0F5B"/>
    <w:rsid w:val="008E3B7F"/>
    <w:rsid w:val="008F0CAA"/>
    <w:rsid w:val="008F3C05"/>
    <w:rsid w:val="009032AA"/>
    <w:rsid w:val="0091232F"/>
    <w:rsid w:val="00914DC5"/>
    <w:rsid w:val="0091683E"/>
    <w:rsid w:val="00921B8A"/>
    <w:rsid w:val="00927C07"/>
    <w:rsid w:val="00927CC8"/>
    <w:rsid w:val="00927E79"/>
    <w:rsid w:val="0093365E"/>
    <w:rsid w:val="009371BD"/>
    <w:rsid w:val="00941751"/>
    <w:rsid w:val="00941A7E"/>
    <w:rsid w:val="00942AFF"/>
    <w:rsid w:val="009479AE"/>
    <w:rsid w:val="00950E29"/>
    <w:rsid w:val="00951415"/>
    <w:rsid w:val="00961BFA"/>
    <w:rsid w:val="0096359E"/>
    <w:rsid w:val="009635F3"/>
    <w:rsid w:val="0096600D"/>
    <w:rsid w:val="009678D8"/>
    <w:rsid w:val="00967BD1"/>
    <w:rsid w:val="00970AA9"/>
    <w:rsid w:val="0097156B"/>
    <w:rsid w:val="0097476B"/>
    <w:rsid w:val="0098151E"/>
    <w:rsid w:val="009815F7"/>
    <w:rsid w:val="0098449E"/>
    <w:rsid w:val="00986382"/>
    <w:rsid w:val="00991105"/>
    <w:rsid w:val="009948A7"/>
    <w:rsid w:val="009974F9"/>
    <w:rsid w:val="009A0F61"/>
    <w:rsid w:val="009B2A1B"/>
    <w:rsid w:val="009B2C69"/>
    <w:rsid w:val="009D1871"/>
    <w:rsid w:val="009D7ABF"/>
    <w:rsid w:val="009E45C4"/>
    <w:rsid w:val="009F148C"/>
    <w:rsid w:val="009F2701"/>
    <w:rsid w:val="009F2C56"/>
    <w:rsid w:val="009F35D1"/>
    <w:rsid w:val="009F4ABB"/>
    <w:rsid w:val="00A06419"/>
    <w:rsid w:val="00A07E6B"/>
    <w:rsid w:val="00A12976"/>
    <w:rsid w:val="00A1736E"/>
    <w:rsid w:val="00A253D7"/>
    <w:rsid w:val="00A3155C"/>
    <w:rsid w:val="00A31709"/>
    <w:rsid w:val="00A3285A"/>
    <w:rsid w:val="00A32F80"/>
    <w:rsid w:val="00A34812"/>
    <w:rsid w:val="00A35494"/>
    <w:rsid w:val="00A45013"/>
    <w:rsid w:val="00A50735"/>
    <w:rsid w:val="00A52B2B"/>
    <w:rsid w:val="00A56224"/>
    <w:rsid w:val="00A57E34"/>
    <w:rsid w:val="00A6789D"/>
    <w:rsid w:val="00A736C8"/>
    <w:rsid w:val="00A75D6D"/>
    <w:rsid w:val="00A76915"/>
    <w:rsid w:val="00A77F51"/>
    <w:rsid w:val="00A826E6"/>
    <w:rsid w:val="00A855A5"/>
    <w:rsid w:val="00A86CB2"/>
    <w:rsid w:val="00A91BC6"/>
    <w:rsid w:val="00A940AA"/>
    <w:rsid w:val="00A9763D"/>
    <w:rsid w:val="00AA0100"/>
    <w:rsid w:val="00AA1F87"/>
    <w:rsid w:val="00AA3084"/>
    <w:rsid w:val="00AA3EE6"/>
    <w:rsid w:val="00AB1DC6"/>
    <w:rsid w:val="00AB3AD1"/>
    <w:rsid w:val="00AB3AF6"/>
    <w:rsid w:val="00AB56A3"/>
    <w:rsid w:val="00AB63B7"/>
    <w:rsid w:val="00AC227F"/>
    <w:rsid w:val="00AC6439"/>
    <w:rsid w:val="00AC69A9"/>
    <w:rsid w:val="00AD1770"/>
    <w:rsid w:val="00AD2DA6"/>
    <w:rsid w:val="00AD335F"/>
    <w:rsid w:val="00AD6F70"/>
    <w:rsid w:val="00AE08A6"/>
    <w:rsid w:val="00AE15F4"/>
    <w:rsid w:val="00AE28CE"/>
    <w:rsid w:val="00AE2D6F"/>
    <w:rsid w:val="00AE5ED4"/>
    <w:rsid w:val="00AE6319"/>
    <w:rsid w:val="00AF3BE9"/>
    <w:rsid w:val="00B00C77"/>
    <w:rsid w:val="00B0248B"/>
    <w:rsid w:val="00B053B6"/>
    <w:rsid w:val="00B06E69"/>
    <w:rsid w:val="00B079FC"/>
    <w:rsid w:val="00B07A8C"/>
    <w:rsid w:val="00B1235E"/>
    <w:rsid w:val="00B12C8B"/>
    <w:rsid w:val="00B166A6"/>
    <w:rsid w:val="00B30D98"/>
    <w:rsid w:val="00B40363"/>
    <w:rsid w:val="00B42C60"/>
    <w:rsid w:val="00B44987"/>
    <w:rsid w:val="00B46C9D"/>
    <w:rsid w:val="00B5213A"/>
    <w:rsid w:val="00B60CA0"/>
    <w:rsid w:val="00B63916"/>
    <w:rsid w:val="00B63B9C"/>
    <w:rsid w:val="00B6521C"/>
    <w:rsid w:val="00B65347"/>
    <w:rsid w:val="00B66E7B"/>
    <w:rsid w:val="00B67A56"/>
    <w:rsid w:val="00B736BB"/>
    <w:rsid w:val="00B7381A"/>
    <w:rsid w:val="00B76425"/>
    <w:rsid w:val="00B77EA5"/>
    <w:rsid w:val="00B808DD"/>
    <w:rsid w:val="00B870BA"/>
    <w:rsid w:val="00B91749"/>
    <w:rsid w:val="00B95A99"/>
    <w:rsid w:val="00BA23FC"/>
    <w:rsid w:val="00BA37B5"/>
    <w:rsid w:val="00BA4485"/>
    <w:rsid w:val="00BB0137"/>
    <w:rsid w:val="00BB72A9"/>
    <w:rsid w:val="00BB7E22"/>
    <w:rsid w:val="00BC0B48"/>
    <w:rsid w:val="00BC1EDB"/>
    <w:rsid w:val="00BC2EFB"/>
    <w:rsid w:val="00BC4116"/>
    <w:rsid w:val="00BD2BF9"/>
    <w:rsid w:val="00BD32D6"/>
    <w:rsid w:val="00BD4381"/>
    <w:rsid w:val="00BD49E7"/>
    <w:rsid w:val="00BD5D91"/>
    <w:rsid w:val="00BD653E"/>
    <w:rsid w:val="00BE5371"/>
    <w:rsid w:val="00BF7D12"/>
    <w:rsid w:val="00C020DA"/>
    <w:rsid w:val="00C06224"/>
    <w:rsid w:val="00C06CDB"/>
    <w:rsid w:val="00C071D8"/>
    <w:rsid w:val="00C12DAB"/>
    <w:rsid w:val="00C153AD"/>
    <w:rsid w:val="00C23B68"/>
    <w:rsid w:val="00C24B2B"/>
    <w:rsid w:val="00C26328"/>
    <w:rsid w:val="00C30F23"/>
    <w:rsid w:val="00C31294"/>
    <w:rsid w:val="00C3545F"/>
    <w:rsid w:val="00C476E0"/>
    <w:rsid w:val="00C47C5B"/>
    <w:rsid w:val="00C47E28"/>
    <w:rsid w:val="00C5003A"/>
    <w:rsid w:val="00C501CD"/>
    <w:rsid w:val="00C562A0"/>
    <w:rsid w:val="00C60937"/>
    <w:rsid w:val="00C613E3"/>
    <w:rsid w:val="00C62021"/>
    <w:rsid w:val="00C6211E"/>
    <w:rsid w:val="00C62188"/>
    <w:rsid w:val="00C6219D"/>
    <w:rsid w:val="00C75EDA"/>
    <w:rsid w:val="00C80B85"/>
    <w:rsid w:val="00C80D6E"/>
    <w:rsid w:val="00C82BB4"/>
    <w:rsid w:val="00C8551F"/>
    <w:rsid w:val="00C9179F"/>
    <w:rsid w:val="00C940C4"/>
    <w:rsid w:val="00C97424"/>
    <w:rsid w:val="00CA1058"/>
    <w:rsid w:val="00CA1542"/>
    <w:rsid w:val="00CA5D84"/>
    <w:rsid w:val="00CB111A"/>
    <w:rsid w:val="00CB4F06"/>
    <w:rsid w:val="00CB67C8"/>
    <w:rsid w:val="00CB76CE"/>
    <w:rsid w:val="00CC07DC"/>
    <w:rsid w:val="00CC7FED"/>
    <w:rsid w:val="00CD4A25"/>
    <w:rsid w:val="00CD7C4C"/>
    <w:rsid w:val="00CF164A"/>
    <w:rsid w:val="00D022BE"/>
    <w:rsid w:val="00D07621"/>
    <w:rsid w:val="00D12CA9"/>
    <w:rsid w:val="00D14DE2"/>
    <w:rsid w:val="00D178D2"/>
    <w:rsid w:val="00D20032"/>
    <w:rsid w:val="00D22956"/>
    <w:rsid w:val="00D229A7"/>
    <w:rsid w:val="00D23270"/>
    <w:rsid w:val="00D25D45"/>
    <w:rsid w:val="00D31D8B"/>
    <w:rsid w:val="00D36104"/>
    <w:rsid w:val="00D42431"/>
    <w:rsid w:val="00D5071A"/>
    <w:rsid w:val="00D607A9"/>
    <w:rsid w:val="00D63A6B"/>
    <w:rsid w:val="00D728C0"/>
    <w:rsid w:val="00D74BDE"/>
    <w:rsid w:val="00D8225F"/>
    <w:rsid w:val="00D845B6"/>
    <w:rsid w:val="00D915E9"/>
    <w:rsid w:val="00DB5C91"/>
    <w:rsid w:val="00DC03B9"/>
    <w:rsid w:val="00DC150A"/>
    <w:rsid w:val="00DC1C9F"/>
    <w:rsid w:val="00DC590D"/>
    <w:rsid w:val="00DC6131"/>
    <w:rsid w:val="00DD77B2"/>
    <w:rsid w:val="00DE1D2B"/>
    <w:rsid w:val="00DE29CC"/>
    <w:rsid w:val="00DE5CA1"/>
    <w:rsid w:val="00DF1F1E"/>
    <w:rsid w:val="00DF4D61"/>
    <w:rsid w:val="00DF72B5"/>
    <w:rsid w:val="00E00F27"/>
    <w:rsid w:val="00E0305F"/>
    <w:rsid w:val="00E034E5"/>
    <w:rsid w:val="00E04829"/>
    <w:rsid w:val="00E06470"/>
    <w:rsid w:val="00E10D20"/>
    <w:rsid w:val="00E13195"/>
    <w:rsid w:val="00E17CB1"/>
    <w:rsid w:val="00E22CBE"/>
    <w:rsid w:val="00E23322"/>
    <w:rsid w:val="00E25F0C"/>
    <w:rsid w:val="00E33281"/>
    <w:rsid w:val="00E34E9F"/>
    <w:rsid w:val="00E34F6B"/>
    <w:rsid w:val="00E37578"/>
    <w:rsid w:val="00E419F7"/>
    <w:rsid w:val="00E50013"/>
    <w:rsid w:val="00E54726"/>
    <w:rsid w:val="00E550F6"/>
    <w:rsid w:val="00E571F7"/>
    <w:rsid w:val="00E62F8C"/>
    <w:rsid w:val="00E65BCB"/>
    <w:rsid w:val="00E66B7A"/>
    <w:rsid w:val="00E67D32"/>
    <w:rsid w:val="00E71408"/>
    <w:rsid w:val="00E75E63"/>
    <w:rsid w:val="00E76CD8"/>
    <w:rsid w:val="00E858E5"/>
    <w:rsid w:val="00E95EEC"/>
    <w:rsid w:val="00EA1A9F"/>
    <w:rsid w:val="00EA1E9F"/>
    <w:rsid w:val="00EA2846"/>
    <w:rsid w:val="00EB04B3"/>
    <w:rsid w:val="00EB0945"/>
    <w:rsid w:val="00EC099B"/>
    <w:rsid w:val="00EC3B67"/>
    <w:rsid w:val="00EC52C1"/>
    <w:rsid w:val="00ED00EA"/>
    <w:rsid w:val="00ED3512"/>
    <w:rsid w:val="00ED6A11"/>
    <w:rsid w:val="00ED7BFA"/>
    <w:rsid w:val="00EE1A55"/>
    <w:rsid w:val="00EE37CC"/>
    <w:rsid w:val="00EE4AA7"/>
    <w:rsid w:val="00EE6BC5"/>
    <w:rsid w:val="00EE6E94"/>
    <w:rsid w:val="00EE75D8"/>
    <w:rsid w:val="00EF2385"/>
    <w:rsid w:val="00EF2B5C"/>
    <w:rsid w:val="00EF38CC"/>
    <w:rsid w:val="00EF7B69"/>
    <w:rsid w:val="00F01DDA"/>
    <w:rsid w:val="00F05D75"/>
    <w:rsid w:val="00F10208"/>
    <w:rsid w:val="00F127A6"/>
    <w:rsid w:val="00F16826"/>
    <w:rsid w:val="00F22905"/>
    <w:rsid w:val="00F23ABD"/>
    <w:rsid w:val="00F24B1E"/>
    <w:rsid w:val="00F274FD"/>
    <w:rsid w:val="00F308B4"/>
    <w:rsid w:val="00F32CE5"/>
    <w:rsid w:val="00F34440"/>
    <w:rsid w:val="00F366A0"/>
    <w:rsid w:val="00F405DA"/>
    <w:rsid w:val="00F4144E"/>
    <w:rsid w:val="00F41B19"/>
    <w:rsid w:val="00F4592F"/>
    <w:rsid w:val="00F52315"/>
    <w:rsid w:val="00F52B37"/>
    <w:rsid w:val="00F534C2"/>
    <w:rsid w:val="00F53E87"/>
    <w:rsid w:val="00F61CC8"/>
    <w:rsid w:val="00F65F74"/>
    <w:rsid w:val="00F675BE"/>
    <w:rsid w:val="00F71775"/>
    <w:rsid w:val="00F753A0"/>
    <w:rsid w:val="00F80D2D"/>
    <w:rsid w:val="00F901FE"/>
    <w:rsid w:val="00F912CB"/>
    <w:rsid w:val="00F91905"/>
    <w:rsid w:val="00F93012"/>
    <w:rsid w:val="00F95978"/>
    <w:rsid w:val="00FA15A0"/>
    <w:rsid w:val="00FA49AE"/>
    <w:rsid w:val="00FA5D5A"/>
    <w:rsid w:val="00FB2475"/>
    <w:rsid w:val="00FB7D97"/>
    <w:rsid w:val="00FC0EF9"/>
    <w:rsid w:val="00FC5A22"/>
    <w:rsid w:val="00FC7AF3"/>
    <w:rsid w:val="00FD13E5"/>
    <w:rsid w:val="00FD259E"/>
    <w:rsid w:val="00FD3E85"/>
    <w:rsid w:val="00FD707B"/>
    <w:rsid w:val="00FD7695"/>
    <w:rsid w:val="00FE052B"/>
    <w:rsid w:val="00FE07E9"/>
    <w:rsid w:val="00FE1608"/>
    <w:rsid w:val="00FE2688"/>
    <w:rsid w:val="00FE39FB"/>
    <w:rsid w:val="00FE4057"/>
    <w:rsid w:val="00FE7742"/>
    <w:rsid w:val="00FF7D85"/>
    <w:rsid w:val="029B414B"/>
    <w:rsid w:val="040E4D72"/>
    <w:rsid w:val="04215D95"/>
    <w:rsid w:val="045AA96D"/>
    <w:rsid w:val="056FC8D7"/>
    <w:rsid w:val="05F800EE"/>
    <w:rsid w:val="06050428"/>
    <w:rsid w:val="06D286E4"/>
    <w:rsid w:val="073719D1"/>
    <w:rsid w:val="07AC9DE6"/>
    <w:rsid w:val="07CB056D"/>
    <w:rsid w:val="08828326"/>
    <w:rsid w:val="0928DE50"/>
    <w:rsid w:val="09FC3658"/>
    <w:rsid w:val="0AC5CFC8"/>
    <w:rsid w:val="0BE0DEA3"/>
    <w:rsid w:val="0C20ED50"/>
    <w:rsid w:val="0C5E9752"/>
    <w:rsid w:val="0D078741"/>
    <w:rsid w:val="0D1F399C"/>
    <w:rsid w:val="0DDEA1B9"/>
    <w:rsid w:val="0E0CC34E"/>
    <w:rsid w:val="0E732082"/>
    <w:rsid w:val="0F0B6AC7"/>
    <w:rsid w:val="100A6E10"/>
    <w:rsid w:val="101C5E4D"/>
    <w:rsid w:val="102AE97E"/>
    <w:rsid w:val="11863A7D"/>
    <w:rsid w:val="11A495D5"/>
    <w:rsid w:val="120957A7"/>
    <w:rsid w:val="12563965"/>
    <w:rsid w:val="12778A3D"/>
    <w:rsid w:val="12C52DB6"/>
    <w:rsid w:val="1301BE9E"/>
    <w:rsid w:val="13C6E008"/>
    <w:rsid w:val="1526A5C1"/>
    <w:rsid w:val="15329EA8"/>
    <w:rsid w:val="15751920"/>
    <w:rsid w:val="157B6353"/>
    <w:rsid w:val="160ED582"/>
    <w:rsid w:val="166CF96A"/>
    <w:rsid w:val="17B83C59"/>
    <w:rsid w:val="17F67FCF"/>
    <w:rsid w:val="180500FE"/>
    <w:rsid w:val="186FAE0E"/>
    <w:rsid w:val="1921DD28"/>
    <w:rsid w:val="1976EB15"/>
    <w:rsid w:val="1987CD7A"/>
    <w:rsid w:val="19B8D60E"/>
    <w:rsid w:val="1B2176E7"/>
    <w:rsid w:val="1B2AE3D2"/>
    <w:rsid w:val="1B5F78F3"/>
    <w:rsid w:val="1C2BCA12"/>
    <w:rsid w:val="1D67574F"/>
    <w:rsid w:val="1E9EDE18"/>
    <w:rsid w:val="1EA22F5C"/>
    <w:rsid w:val="1F5F5C0F"/>
    <w:rsid w:val="1F95C41D"/>
    <w:rsid w:val="202E22A9"/>
    <w:rsid w:val="20460778"/>
    <w:rsid w:val="223C8C97"/>
    <w:rsid w:val="232F1506"/>
    <w:rsid w:val="2377C196"/>
    <w:rsid w:val="237FD1CF"/>
    <w:rsid w:val="2394DA15"/>
    <w:rsid w:val="25EF1901"/>
    <w:rsid w:val="26092896"/>
    <w:rsid w:val="2633AD4B"/>
    <w:rsid w:val="264A317A"/>
    <w:rsid w:val="26AF6258"/>
    <w:rsid w:val="275C49BB"/>
    <w:rsid w:val="281A68E8"/>
    <w:rsid w:val="281E084C"/>
    <w:rsid w:val="29695DF2"/>
    <w:rsid w:val="29A1FC80"/>
    <w:rsid w:val="29A5DECA"/>
    <w:rsid w:val="29CB487A"/>
    <w:rsid w:val="2AAAD506"/>
    <w:rsid w:val="2BE3B3F9"/>
    <w:rsid w:val="2E015DD5"/>
    <w:rsid w:val="2F1274CF"/>
    <w:rsid w:val="2FA31816"/>
    <w:rsid w:val="2FC25A56"/>
    <w:rsid w:val="31ECCBC7"/>
    <w:rsid w:val="323EC934"/>
    <w:rsid w:val="33268BFF"/>
    <w:rsid w:val="33E6A367"/>
    <w:rsid w:val="34DFC393"/>
    <w:rsid w:val="355104C5"/>
    <w:rsid w:val="3628F850"/>
    <w:rsid w:val="37EE777A"/>
    <w:rsid w:val="38176455"/>
    <w:rsid w:val="3B425ACB"/>
    <w:rsid w:val="3BCEDE90"/>
    <w:rsid w:val="3CD97993"/>
    <w:rsid w:val="3CDE36F9"/>
    <w:rsid w:val="3CE35131"/>
    <w:rsid w:val="3CF4FAD4"/>
    <w:rsid w:val="3D91C1F7"/>
    <w:rsid w:val="3E57644C"/>
    <w:rsid w:val="4046297C"/>
    <w:rsid w:val="40501F99"/>
    <w:rsid w:val="4086B9A7"/>
    <w:rsid w:val="40BDF09C"/>
    <w:rsid w:val="41528435"/>
    <w:rsid w:val="4170B77A"/>
    <w:rsid w:val="41E8EE57"/>
    <w:rsid w:val="42A6994A"/>
    <w:rsid w:val="4300DDFA"/>
    <w:rsid w:val="44EE347E"/>
    <w:rsid w:val="44FF4F30"/>
    <w:rsid w:val="4532F688"/>
    <w:rsid w:val="46B6B5FD"/>
    <w:rsid w:val="472B4F93"/>
    <w:rsid w:val="474B9853"/>
    <w:rsid w:val="478A2447"/>
    <w:rsid w:val="478C45C9"/>
    <w:rsid w:val="484A0388"/>
    <w:rsid w:val="499E0C58"/>
    <w:rsid w:val="4A77F46A"/>
    <w:rsid w:val="4A95CEDD"/>
    <w:rsid w:val="4ABD1B73"/>
    <w:rsid w:val="4ACB0057"/>
    <w:rsid w:val="4AD098C0"/>
    <w:rsid w:val="4C846C6D"/>
    <w:rsid w:val="4D357FFE"/>
    <w:rsid w:val="4EA4B729"/>
    <w:rsid w:val="4EAE8385"/>
    <w:rsid w:val="4EB9450C"/>
    <w:rsid w:val="50275F2D"/>
    <w:rsid w:val="502FA068"/>
    <w:rsid w:val="51E3AAFC"/>
    <w:rsid w:val="52102875"/>
    <w:rsid w:val="5300E4AF"/>
    <w:rsid w:val="533769D0"/>
    <w:rsid w:val="53F76A29"/>
    <w:rsid w:val="54D9DC2B"/>
    <w:rsid w:val="55F7FDD5"/>
    <w:rsid w:val="564AE92A"/>
    <w:rsid w:val="56E153AC"/>
    <w:rsid w:val="57E58F54"/>
    <w:rsid w:val="583BAC70"/>
    <w:rsid w:val="583C73A7"/>
    <w:rsid w:val="58D0C547"/>
    <w:rsid w:val="5A3284E0"/>
    <w:rsid w:val="5B986C3D"/>
    <w:rsid w:val="5C8D2EFE"/>
    <w:rsid w:val="5CA745BC"/>
    <w:rsid w:val="5CC3B7EE"/>
    <w:rsid w:val="5D05AE4A"/>
    <w:rsid w:val="5D7476F4"/>
    <w:rsid w:val="5ED7565C"/>
    <w:rsid w:val="622B003B"/>
    <w:rsid w:val="63F13718"/>
    <w:rsid w:val="646D2622"/>
    <w:rsid w:val="674DE245"/>
    <w:rsid w:val="677D0BE5"/>
    <w:rsid w:val="67A8FA30"/>
    <w:rsid w:val="68369AEB"/>
    <w:rsid w:val="6971FB95"/>
    <w:rsid w:val="69A09B3C"/>
    <w:rsid w:val="6A4D21C0"/>
    <w:rsid w:val="6CE11E65"/>
    <w:rsid w:val="6D997DD6"/>
    <w:rsid w:val="6DFCBAF0"/>
    <w:rsid w:val="70E69D74"/>
    <w:rsid w:val="7108968D"/>
    <w:rsid w:val="71284AAF"/>
    <w:rsid w:val="71872130"/>
    <w:rsid w:val="72FFB57E"/>
    <w:rsid w:val="7315D0A2"/>
    <w:rsid w:val="7365CFE3"/>
    <w:rsid w:val="746F847C"/>
    <w:rsid w:val="74E3CBAB"/>
    <w:rsid w:val="759E4E02"/>
    <w:rsid w:val="759EC754"/>
    <w:rsid w:val="76727924"/>
    <w:rsid w:val="771BF221"/>
    <w:rsid w:val="773F4379"/>
    <w:rsid w:val="79BD3F61"/>
    <w:rsid w:val="79E4AB6D"/>
    <w:rsid w:val="79EC7931"/>
    <w:rsid w:val="7AA438B0"/>
    <w:rsid w:val="7B0AC763"/>
    <w:rsid w:val="7B28F198"/>
    <w:rsid w:val="7BC23B42"/>
    <w:rsid w:val="7CB68A43"/>
    <w:rsid w:val="7D545C72"/>
    <w:rsid w:val="7EF02CD3"/>
    <w:rsid w:val="7FA5E77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33C009"/>
  <w15:docId w15:val="{0DCB7157-E5C4-4EDE-A8DC-C52475A5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ABB"/>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85E3A"/>
    <w:pPr>
      <w:overflowPunct w:val="0"/>
      <w:autoSpaceDE w:val="0"/>
      <w:autoSpaceDN w:val="0"/>
      <w:adjustRightInd w:val="0"/>
    </w:pPr>
    <w:rPr>
      <w:lang w:val="es-ES" w:eastAsia="es-ES"/>
    </w:rPr>
  </w:style>
  <w:style w:type="paragraph" w:styleId="Textoindependiente">
    <w:name w:val="Body Text"/>
    <w:basedOn w:val="Normal"/>
    <w:link w:val="TextoindependienteCar"/>
    <w:rsid w:val="00385E3A"/>
    <w:pPr>
      <w:overflowPunct w:val="0"/>
      <w:autoSpaceDE w:val="0"/>
      <w:autoSpaceDN w:val="0"/>
      <w:adjustRightInd w:val="0"/>
      <w:jc w:val="center"/>
    </w:pPr>
    <w:rPr>
      <w:b/>
      <w:szCs w:val="20"/>
      <w:lang w:val="es-ES" w:eastAsia="es-ES"/>
    </w:rPr>
  </w:style>
  <w:style w:type="character" w:customStyle="1" w:styleId="TextoindependienteCar">
    <w:name w:val="Texto independiente Car"/>
    <w:basedOn w:val="Fuentedeprrafopredeter"/>
    <w:link w:val="Textoindependiente"/>
    <w:rsid w:val="00385E3A"/>
    <w:rPr>
      <w:rFonts w:ascii="Times New Roman" w:eastAsia="Times New Roman" w:hAnsi="Times New Roman" w:cs="Times New Roman"/>
      <w:b/>
      <w:sz w:val="24"/>
      <w:szCs w:val="20"/>
      <w:lang w:val="es-ES" w:eastAsia="es-ES"/>
    </w:rPr>
  </w:style>
  <w:style w:type="paragraph" w:styleId="Lista">
    <w:name w:val="List"/>
    <w:basedOn w:val="Normal"/>
    <w:rsid w:val="00385E3A"/>
    <w:pPr>
      <w:overflowPunct w:val="0"/>
      <w:autoSpaceDE w:val="0"/>
      <w:autoSpaceDN w:val="0"/>
      <w:adjustRightInd w:val="0"/>
      <w:ind w:left="283" w:hanging="283"/>
    </w:pPr>
    <w:rPr>
      <w:szCs w:val="20"/>
      <w:lang w:val="es-ES" w:eastAsia="es-ES"/>
    </w:rPr>
  </w:style>
  <w:style w:type="paragraph" w:styleId="Textoindependiente2">
    <w:name w:val="Body Text 2"/>
    <w:basedOn w:val="Normal"/>
    <w:link w:val="Textoindependiente2Car"/>
    <w:rsid w:val="00385E3A"/>
    <w:pPr>
      <w:overflowPunct w:val="0"/>
      <w:autoSpaceDE w:val="0"/>
      <w:autoSpaceDN w:val="0"/>
      <w:adjustRightInd w:val="0"/>
      <w:spacing w:after="120" w:line="480" w:lineRule="auto"/>
    </w:pPr>
    <w:rPr>
      <w:szCs w:val="20"/>
      <w:lang w:val="es-ES" w:eastAsia="es-ES"/>
    </w:rPr>
  </w:style>
  <w:style w:type="character" w:customStyle="1" w:styleId="Textoindependiente2Car">
    <w:name w:val="Texto independiente 2 Car"/>
    <w:basedOn w:val="Fuentedeprrafopredeter"/>
    <w:link w:val="Textoindependiente2"/>
    <w:rsid w:val="00385E3A"/>
    <w:rPr>
      <w:rFonts w:ascii="Times New Roman" w:eastAsia="Times New Roman" w:hAnsi="Times New Roman" w:cs="Times New Roman"/>
      <w:sz w:val="24"/>
      <w:szCs w:val="20"/>
      <w:lang w:val="es-ES" w:eastAsia="es-ES"/>
    </w:rPr>
  </w:style>
  <w:style w:type="paragraph" w:styleId="Prrafodelista">
    <w:name w:val="List Paragraph"/>
    <w:aliases w:val="Citas"/>
    <w:basedOn w:val="Normal"/>
    <w:link w:val="PrrafodelistaCar"/>
    <w:uiPriority w:val="34"/>
    <w:qFormat/>
    <w:rsid w:val="00385E3A"/>
    <w:pPr>
      <w:overflowPunct w:val="0"/>
      <w:autoSpaceDE w:val="0"/>
      <w:autoSpaceDN w:val="0"/>
      <w:adjustRightInd w:val="0"/>
      <w:ind w:left="720"/>
      <w:contextualSpacing/>
    </w:pPr>
    <w:rPr>
      <w:szCs w:val="20"/>
      <w:lang w:val="es-ES" w:eastAsia="es-ES"/>
    </w:rPr>
  </w:style>
  <w:style w:type="paragraph" w:styleId="Sangra3detindependiente">
    <w:name w:val="Body Text Indent 3"/>
    <w:basedOn w:val="Normal"/>
    <w:link w:val="Sangra3detindependienteCar"/>
    <w:rsid w:val="00385E3A"/>
    <w:pPr>
      <w:overflowPunct w:val="0"/>
      <w:autoSpaceDE w:val="0"/>
      <w:autoSpaceDN w:val="0"/>
      <w:adjustRightInd w:val="0"/>
      <w:spacing w:after="120"/>
      <w:ind w:left="283"/>
    </w:pPr>
    <w:rPr>
      <w:sz w:val="16"/>
      <w:szCs w:val="16"/>
      <w:lang w:val="es-ES" w:eastAsia="es-ES"/>
    </w:rPr>
  </w:style>
  <w:style w:type="character" w:customStyle="1" w:styleId="Sangra3detindependienteCar">
    <w:name w:val="Sangría 3 de t. independiente Car"/>
    <w:basedOn w:val="Fuentedeprrafopredeter"/>
    <w:link w:val="Sangra3detindependiente"/>
    <w:rsid w:val="00385E3A"/>
    <w:rPr>
      <w:rFonts w:ascii="Times New Roman" w:eastAsia="Times New Roman" w:hAnsi="Times New Roman" w:cs="Times New Roman"/>
      <w:sz w:val="16"/>
      <w:szCs w:val="16"/>
      <w:lang w:val="es-ES" w:eastAsia="es-ES"/>
    </w:rPr>
  </w:style>
  <w:style w:type="paragraph" w:styleId="Textonotapie">
    <w:name w:val="footnote text"/>
    <w:aliases w:val="Footnote Text Char Char Char Char Char,Footnote Text Char Char Char Char,Footnote reference,FA Fu,texto de nota al pie,Footnote Text Char Char Char,Footnote Text Char Char Char Car,Footnote Text Char,Footnote referenc,C,Footnote Text Cha"/>
    <w:basedOn w:val="Normal"/>
    <w:link w:val="TextonotapieCar1"/>
    <w:qFormat/>
    <w:rsid w:val="00385E3A"/>
    <w:pPr>
      <w:overflowPunct w:val="0"/>
      <w:autoSpaceDE w:val="0"/>
      <w:autoSpaceDN w:val="0"/>
      <w:adjustRightInd w:val="0"/>
      <w:textAlignment w:val="baseline"/>
    </w:pPr>
    <w:rPr>
      <w:sz w:val="20"/>
      <w:szCs w:val="20"/>
      <w:lang w:val="es-ES" w:eastAsia="es-ES"/>
    </w:rPr>
  </w:style>
  <w:style w:type="character" w:customStyle="1" w:styleId="TextonotapieCar">
    <w:name w:val="Texto nota pie Car"/>
    <w:aliases w:val="texto de nota al Car,Footnote Text Cha Car,FA Fußnotentext Car,FA Fuﬂnotentext Car,Car Car,Footnote Te Car,Footnote Text Char Char Char Char Char Char Char Char Car,Footnote Text Char Char Char Char Char Char1 Car,C Car,FA Fu Car1"/>
    <w:basedOn w:val="Fuentedeprrafopredeter"/>
    <w:uiPriority w:val="99"/>
    <w:qFormat/>
    <w:rsid w:val="00385E3A"/>
    <w:rPr>
      <w:rFonts w:ascii="Times New Roman" w:eastAsia="Times New Roman" w:hAnsi="Times New Roman" w:cs="Times New Roman"/>
      <w:sz w:val="20"/>
      <w:szCs w:val="20"/>
      <w:lang w:val="es-ES" w:eastAsia="es-ES"/>
    </w:rPr>
  </w:style>
  <w:style w:type="character" w:styleId="Refdenotaalpie">
    <w:name w:val="footnote reference"/>
    <w:aliases w:val="Texto de nota al pie,Ref. de nota al pie 2,Pie de Página,FC,Texto de nota al pi,Appel note de bas de page,Footnotes refss,Footnote number,referencia nota al pie,BVI fnr,f,4_G,16 Point,Superscript 6 Point,Texto nota al pie,Pie de Pàgi"/>
    <w:link w:val="4GChar"/>
    <w:qFormat/>
    <w:rsid w:val="00385E3A"/>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1,Footnote Text Char Char Char Car Car,Footnote Text Char Car"/>
    <w:link w:val="Textonotapie"/>
    <w:qFormat/>
    <w:rsid w:val="00385E3A"/>
    <w:rPr>
      <w:rFonts w:ascii="Times New Roman" w:eastAsia="Times New Roman" w:hAnsi="Times New Roman" w:cs="Times New Roman"/>
      <w:sz w:val="20"/>
      <w:szCs w:val="20"/>
      <w:lang w:val="es-ES" w:eastAsia="es-ES"/>
    </w:rPr>
  </w:style>
  <w:style w:type="paragraph" w:customStyle="1" w:styleId="Textoindependiente21">
    <w:name w:val="Texto independiente 21"/>
    <w:basedOn w:val="Normal"/>
    <w:rsid w:val="00385E3A"/>
    <w:pPr>
      <w:tabs>
        <w:tab w:val="left" w:pos="720"/>
      </w:tabs>
      <w:overflowPunct w:val="0"/>
      <w:autoSpaceDE w:val="0"/>
      <w:autoSpaceDN w:val="0"/>
      <w:adjustRightInd w:val="0"/>
      <w:ind w:right="11"/>
      <w:jc w:val="both"/>
      <w:textAlignment w:val="baseline"/>
    </w:pPr>
    <w:rPr>
      <w:sz w:val="28"/>
      <w:szCs w:val="20"/>
      <w:lang w:eastAsia="es-ES"/>
    </w:rPr>
  </w:style>
  <w:style w:type="paragraph" w:styleId="Encabezado">
    <w:name w:val="header"/>
    <w:basedOn w:val="Normal"/>
    <w:link w:val="EncabezadoCar"/>
    <w:unhideWhenUsed/>
    <w:rsid w:val="00385E3A"/>
    <w:pPr>
      <w:tabs>
        <w:tab w:val="center" w:pos="4419"/>
        <w:tab w:val="right" w:pos="8838"/>
      </w:tabs>
      <w:overflowPunct w:val="0"/>
      <w:autoSpaceDE w:val="0"/>
      <w:autoSpaceDN w:val="0"/>
      <w:adjustRightInd w:val="0"/>
    </w:pPr>
    <w:rPr>
      <w:szCs w:val="20"/>
      <w:lang w:val="es-ES" w:eastAsia="es-ES"/>
    </w:rPr>
  </w:style>
  <w:style w:type="character" w:customStyle="1" w:styleId="EncabezadoCar">
    <w:name w:val="Encabezado Car"/>
    <w:basedOn w:val="Fuentedeprrafopredeter"/>
    <w:link w:val="Encabezado"/>
    <w:rsid w:val="00385E3A"/>
    <w:rPr>
      <w:rFonts w:ascii="Times New Roman" w:eastAsia="Times New Roman" w:hAnsi="Times New Roman" w:cs="Times New Roman"/>
      <w:sz w:val="24"/>
      <w:szCs w:val="20"/>
      <w:lang w:val="es-ES" w:eastAsia="es-ES"/>
    </w:rPr>
  </w:style>
  <w:style w:type="table" w:styleId="Tablaconcuadrcula">
    <w:name w:val="Table Grid"/>
    <w:basedOn w:val="Tablanormal"/>
    <w:uiPriority w:val="59"/>
    <w:rsid w:val="00385E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385E3A"/>
    <w:pPr>
      <w:tabs>
        <w:tab w:val="center" w:pos="4419"/>
        <w:tab w:val="right" w:pos="8838"/>
      </w:tabs>
      <w:overflowPunct w:val="0"/>
      <w:autoSpaceDE w:val="0"/>
      <w:autoSpaceDN w:val="0"/>
      <w:adjustRightInd w:val="0"/>
    </w:pPr>
    <w:rPr>
      <w:szCs w:val="20"/>
      <w:lang w:val="es-ES" w:eastAsia="es-ES"/>
    </w:rPr>
  </w:style>
  <w:style w:type="character" w:customStyle="1" w:styleId="PiedepginaCar">
    <w:name w:val="Pie de página Car"/>
    <w:basedOn w:val="Fuentedeprrafopredeter"/>
    <w:link w:val="Piedepgina"/>
    <w:uiPriority w:val="99"/>
    <w:rsid w:val="00385E3A"/>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semiHidden/>
    <w:unhideWhenUsed/>
    <w:rsid w:val="00385E3A"/>
    <w:pPr>
      <w:overflowPunct w:val="0"/>
      <w:autoSpaceDE w:val="0"/>
      <w:autoSpaceDN w:val="0"/>
      <w:adjustRightInd w:val="0"/>
    </w:pPr>
    <w:rPr>
      <w:rFonts w:ascii="Tahoma"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385E3A"/>
    <w:rPr>
      <w:rFonts w:ascii="Tahoma" w:eastAsia="Times New Roman" w:hAnsi="Tahoma" w:cs="Tahoma"/>
      <w:sz w:val="16"/>
      <w:szCs w:val="16"/>
      <w:lang w:val="es-ES" w:eastAsia="es-ES"/>
    </w:rPr>
  </w:style>
  <w:style w:type="character" w:styleId="Hipervnculo">
    <w:name w:val="Hyperlink"/>
    <w:uiPriority w:val="99"/>
    <w:unhideWhenUsed/>
    <w:rsid w:val="008725C4"/>
    <w:rPr>
      <w:color w:val="0000FF"/>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8725C4"/>
    <w:pPr>
      <w:jc w:val="both"/>
    </w:pPr>
    <w:rPr>
      <w:rFonts w:asciiTheme="minorHAnsi" w:eastAsiaTheme="minorHAnsi" w:hAnsiTheme="minorHAnsi" w:cstheme="minorBidi"/>
      <w:sz w:val="22"/>
      <w:szCs w:val="22"/>
      <w:vertAlign w:val="superscript"/>
      <w:lang w:eastAsia="en-US"/>
    </w:rPr>
  </w:style>
  <w:style w:type="character" w:styleId="Textoennegrita">
    <w:name w:val="Strong"/>
    <w:uiPriority w:val="22"/>
    <w:qFormat/>
    <w:rsid w:val="00C5003A"/>
    <w:rPr>
      <w:b/>
      <w:bCs/>
    </w:rPr>
  </w:style>
  <w:style w:type="paragraph" w:customStyle="1" w:styleId="Textoindependiente22">
    <w:name w:val="Texto independiente 22"/>
    <w:basedOn w:val="Normal"/>
    <w:rsid w:val="00C5003A"/>
    <w:pPr>
      <w:spacing w:line="360" w:lineRule="auto"/>
      <w:jc w:val="both"/>
    </w:pPr>
    <w:rPr>
      <w:rFonts w:ascii="Arial" w:hAnsi="Arial"/>
      <w:szCs w:val="20"/>
      <w:lang w:val="es-ES" w:eastAsia="es-ES"/>
    </w:rPr>
  </w:style>
  <w:style w:type="character" w:styleId="nfasis">
    <w:name w:val="Emphasis"/>
    <w:uiPriority w:val="20"/>
    <w:qFormat/>
    <w:rsid w:val="00AE6319"/>
    <w:rPr>
      <w:i/>
      <w:iCs/>
    </w:rPr>
  </w:style>
  <w:style w:type="character" w:customStyle="1" w:styleId="apple-converted-space">
    <w:name w:val="apple-converted-space"/>
    <w:rsid w:val="00AE6319"/>
  </w:style>
  <w:style w:type="paragraph" w:customStyle="1" w:styleId="xmsonormal">
    <w:name w:val="x_msonormal"/>
    <w:basedOn w:val="Normal"/>
    <w:rsid w:val="006D6229"/>
    <w:pPr>
      <w:spacing w:before="100" w:beforeAutospacing="1" w:after="100" w:afterAutospacing="1"/>
    </w:pPr>
    <w:rPr>
      <w:lang w:eastAsia="es-CO"/>
    </w:rPr>
  </w:style>
  <w:style w:type="character" w:styleId="Refdecomentario">
    <w:name w:val="annotation reference"/>
    <w:uiPriority w:val="99"/>
    <w:semiHidden/>
    <w:unhideWhenUsed/>
    <w:rsid w:val="006D6229"/>
    <w:rPr>
      <w:sz w:val="16"/>
      <w:szCs w:val="16"/>
    </w:rPr>
  </w:style>
  <w:style w:type="paragraph" w:styleId="Sinespaciado">
    <w:name w:val="No Spacing"/>
    <w:qFormat/>
    <w:rsid w:val="006D6229"/>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aliases w:val="Citas Car"/>
    <w:link w:val="Prrafodelista"/>
    <w:uiPriority w:val="34"/>
    <w:locked/>
    <w:rsid w:val="007903C0"/>
    <w:rPr>
      <w:rFonts w:ascii="Times New Roman" w:eastAsia="Times New Roman" w:hAnsi="Times New Roman" w:cs="Times New Roman"/>
      <w:sz w:val="24"/>
      <w:szCs w:val="20"/>
      <w:lang w:val="es-ES" w:eastAsia="es-ES"/>
    </w:rPr>
  </w:style>
  <w:style w:type="character" w:customStyle="1" w:styleId="FontStyle40">
    <w:name w:val="Font Style40"/>
    <w:uiPriority w:val="99"/>
    <w:rsid w:val="00177627"/>
    <w:rPr>
      <w:rFonts w:ascii="Times New Roman" w:hAnsi="Times New Roman" w:cs="Times New Roman"/>
      <w:b/>
      <w:bCs/>
      <w:sz w:val="26"/>
      <w:szCs w:val="26"/>
    </w:rPr>
  </w:style>
  <w:style w:type="paragraph" w:customStyle="1" w:styleId="Default">
    <w:name w:val="Default"/>
    <w:rsid w:val="00C071D8"/>
    <w:pPr>
      <w:autoSpaceDE w:val="0"/>
      <w:autoSpaceDN w:val="0"/>
      <w:adjustRightInd w:val="0"/>
      <w:spacing w:after="0" w:line="240" w:lineRule="auto"/>
    </w:pPr>
    <w:rPr>
      <w:rFonts w:ascii="Arial" w:eastAsia="Calibri" w:hAnsi="Arial" w:cs="Arial"/>
      <w:color w:val="000000"/>
      <w:sz w:val="24"/>
      <w:szCs w:val="24"/>
    </w:rPr>
  </w:style>
  <w:style w:type="paragraph" w:customStyle="1" w:styleId="msolistparagraph0">
    <w:name w:val="msolistparagraph"/>
    <w:basedOn w:val="Normal"/>
    <w:uiPriority w:val="99"/>
    <w:rsid w:val="00C071D8"/>
    <w:pPr>
      <w:spacing w:before="100" w:beforeAutospacing="1" w:after="100" w:afterAutospacing="1"/>
    </w:pPr>
    <w:rPr>
      <w:rFonts w:eastAsia="Calibri"/>
      <w:lang w:val="es-ES" w:eastAsia="es-ES"/>
    </w:rPr>
  </w:style>
  <w:style w:type="paragraph" w:styleId="Textoindependiente3">
    <w:name w:val="Body Text 3"/>
    <w:basedOn w:val="Normal"/>
    <w:link w:val="Textoindependiente3Car"/>
    <w:uiPriority w:val="99"/>
    <w:semiHidden/>
    <w:unhideWhenUsed/>
    <w:rsid w:val="0066593A"/>
    <w:pPr>
      <w:overflowPunct w:val="0"/>
      <w:autoSpaceDE w:val="0"/>
      <w:autoSpaceDN w:val="0"/>
      <w:adjustRightInd w:val="0"/>
      <w:spacing w:after="120"/>
    </w:pPr>
    <w:rPr>
      <w:sz w:val="16"/>
      <w:szCs w:val="16"/>
      <w:lang w:val="es-ES" w:eastAsia="es-ES"/>
    </w:rPr>
  </w:style>
  <w:style w:type="character" w:customStyle="1" w:styleId="Textoindependiente3Car">
    <w:name w:val="Texto independiente 3 Car"/>
    <w:basedOn w:val="Fuentedeprrafopredeter"/>
    <w:link w:val="Textoindependiente3"/>
    <w:uiPriority w:val="99"/>
    <w:semiHidden/>
    <w:rsid w:val="0066593A"/>
    <w:rPr>
      <w:rFonts w:ascii="Times New Roman" w:eastAsia="Times New Roman" w:hAnsi="Times New Roman" w:cs="Times New Roman"/>
      <w:sz w:val="16"/>
      <w:szCs w:val="16"/>
      <w:lang w:val="es-ES" w:eastAsia="es-ES"/>
    </w:rPr>
  </w:style>
  <w:style w:type="character" w:customStyle="1" w:styleId="normaltextrun">
    <w:name w:val="normaltextrun"/>
    <w:basedOn w:val="Fuentedeprrafopredeter"/>
    <w:rsid w:val="0066593A"/>
  </w:style>
  <w:style w:type="paragraph" w:styleId="Revisin">
    <w:name w:val="Revision"/>
    <w:hidden/>
    <w:uiPriority w:val="99"/>
    <w:semiHidden/>
    <w:rsid w:val="007C0CE4"/>
    <w:pPr>
      <w:spacing w:after="0" w:line="240" w:lineRule="auto"/>
    </w:pPr>
    <w:rPr>
      <w:rFonts w:ascii="Times New Roman" w:eastAsia="Times New Roman" w:hAnsi="Times New Roman" w:cs="Times New Roman"/>
      <w:sz w:val="24"/>
      <w:szCs w:val="24"/>
      <w:lang w:eastAsia="es-MX"/>
    </w:rPr>
  </w:style>
  <w:style w:type="paragraph" w:customStyle="1" w:styleId="paragraph">
    <w:name w:val="paragraph"/>
    <w:basedOn w:val="Normal"/>
    <w:rsid w:val="00170593"/>
    <w:pPr>
      <w:spacing w:before="100" w:beforeAutospacing="1" w:after="100" w:afterAutospacing="1"/>
    </w:pPr>
  </w:style>
  <w:style w:type="character" w:customStyle="1" w:styleId="eop">
    <w:name w:val="eop"/>
    <w:basedOn w:val="Fuentedeprrafopredeter"/>
    <w:rsid w:val="00170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526">
      <w:bodyDiv w:val="1"/>
      <w:marLeft w:val="0"/>
      <w:marRight w:val="0"/>
      <w:marTop w:val="0"/>
      <w:marBottom w:val="0"/>
      <w:divBdr>
        <w:top w:val="none" w:sz="0" w:space="0" w:color="auto"/>
        <w:left w:val="none" w:sz="0" w:space="0" w:color="auto"/>
        <w:bottom w:val="none" w:sz="0" w:space="0" w:color="auto"/>
        <w:right w:val="none" w:sz="0" w:space="0" w:color="auto"/>
      </w:divBdr>
    </w:div>
    <w:div w:id="109016712">
      <w:bodyDiv w:val="1"/>
      <w:marLeft w:val="0"/>
      <w:marRight w:val="0"/>
      <w:marTop w:val="0"/>
      <w:marBottom w:val="0"/>
      <w:divBdr>
        <w:top w:val="none" w:sz="0" w:space="0" w:color="auto"/>
        <w:left w:val="none" w:sz="0" w:space="0" w:color="auto"/>
        <w:bottom w:val="none" w:sz="0" w:space="0" w:color="auto"/>
        <w:right w:val="none" w:sz="0" w:space="0" w:color="auto"/>
      </w:divBdr>
    </w:div>
    <w:div w:id="140848684">
      <w:bodyDiv w:val="1"/>
      <w:marLeft w:val="0"/>
      <w:marRight w:val="0"/>
      <w:marTop w:val="0"/>
      <w:marBottom w:val="0"/>
      <w:divBdr>
        <w:top w:val="none" w:sz="0" w:space="0" w:color="auto"/>
        <w:left w:val="none" w:sz="0" w:space="0" w:color="auto"/>
        <w:bottom w:val="none" w:sz="0" w:space="0" w:color="auto"/>
        <w:right w:val="none" w:sz="0" w:space="0" w:color="auto"/>
      </w:divBdr>
    </w:div>
    <w:div w:id="162744651">
      <w:bodyDiv w:val="1"/>
      <w:marLeft w:val="0"/>
      <w:marRight w:val="0"/>
      <w:marTop w:val="0"/>
      <w:marBottom w:val="0"/>
      <w:divBdr>
        <w:top w:val="none" w:sz="0" w:space="0" w:color="auto"/>
        <w:left w:val="none" w:sz="0" w:space="0" w:color="auto"/>
        <w:bottom w:val="none" w:sz="0" w:space="0" w:color="auto"/>
        <w:right w:val="none" w:sz="0" w:space="0" w:color="auto"/>
      </w:divBdr>
    </w:div>
    <w:div w:id="311328671">
      <w:bodyDiv w:val="1"/>
      <w:marLeft w:val="0"/>
      <w:marRight w:val="0"/>
      <w:marTop w:val="0"/>
      <w:marBottom w:val="0"/>
      <w:divBdr>
        <w:top w:val="none" w:sz="0" w:space="0" w:color="auto"/>
        <w:left w:val="none" w:sz="0" w:space="0" w:color="auto"/>
        <w:bottom w:val="none" w:sz="0" w:space="0" w:color="auto"/>
        <w:right w:val="none" w:sz="0" w:space="0" w:color="auto"/>
      </w:divBdr>
    </w:div>
    <w:div w:id="383406205">
      <w:bodyDiv w:val="1"/>
      <w:marLeft w:val="0"/>
      <w:marRight w:val="0"/>
      <w:marTop w:val="0"/>
      <w:marBottom w:val="0"/>
      <w:divBdr>
        <w:top w:val="none" w:sz="0" w:space="0" w:color="auto"/>
        <w:left w:val="none" w:sz="0" w:space="0" w:color="auto"/>
        <w:bottom w:val="none" w:sz="0" w:space="0" w:color="auto"/>
        <w:right w:val="none" w:sz="0" w:space="0" w:color="auto"/>
      </w:divBdr>
    </w:div>
    <w:div w:id="418216497">
      <w:bodyDiv w:val="1"/>
      <w:marLeft w:val="0"/>
      <w:marRight w:val="0"/>
      <w:marTop w:val="0"/>
      <w:marBottom w:val="0"/>
      <w:divBdr>
        <w:top w:val="none" w:sz="0" w:space="0" w:color="auto"/>
        <w:left w:val="none" w:sz="0" w:space="0" w:color="auto"/>
        <w:bottom w:val="none" w:sz="0" w:space="0" w:color="auto"/>
        <w:right w:val="none" w:sz="0" w:space="0" w:color="auto"/>
      </w:divBdr>
    </w:div>
    <w:div w:id="435447884">
      <w:bodyDiv w:val="1"/>
      <w:marLeft w:val="0"/>
      <w:marRight w:val="0"/>
      <w:marTop w:val="0"/>
      <w:marBottom w:val="0"/>
      <w:divBdr>
        <w:top w:val="none" w:sz="0" w:space="0" w:color="auto"/>
        <w:left w:val="none" w:sz="0" w:space="0" w:color="auto"/>
        <w:bottom w:val="none" w:sz="0" w:space="0" w:color="auto"/>
        <w:right w:val="none" w:sz="0" w:space="0" w:color="auto"/>
      </w:divBdr>
    </w:div>
    <w:div w:id="471026794">
      <w:bodyDiv w:val="1"/>
      <w:marLeft w:val="0"/>
      <w:marRight w:val="0"/>
      <w:marTop w:val="0"/>
      <w:marBottom w:val="0"/>
      <w:divBdr>
        <w:top w:val="none" w:sz="0" w:space="0" w:color="auto"/>
        <w:left w:val="none" w:sz="0" w:space="0" w:color="auto"/>
        <w:bottom w:val="none" w:sz="0" w:space="0" w:color="auto"/>
        <w:right w:val="none" w:sz="0" w:space="0" w:color="auto"/>
      </w:divBdr>
    </w:div>
    <w:div w:id="584650741">
      <w:bodyDiv w:val="1"/>
      <w:marLeft w:val="0"/>
      <w:marRight w:val="0"/>
      <w:marTop w:val="0"/>
      <w:marBottom w:val="0"/>
      <w:divBdr>
        <w:top w:val="none" w:sz="0" w:space="0" w:color="auto"/>
        <w:left w:val="none" w:sz="0" w:space="0" w:color="auto"/>
        <w:bottom w:val="none" w:sz="0" w:space="0" w:color="auto"/>
        <w:right w:val="none" w:sz="0" w:space="0" w:color="auto"/>
      </w:divBdr>
    </w:div>
    <w:div w:id="589119645">
      <w:bodyDiv w:val="1"/>
      <w:marLeft w:val="0"/>
      <w:marRight w:val="0"/>
      <w:marTop w:val="0"/>
      <w:marBottom w:val="0"/>
      <w:divBdr>
        <w:top w:val="none" w:sz="0" w:space="0" w:color="auto"/>
        <w:left w:val="none" w:sz="0" w:space="0" w:color="auto"/>
        <w:bottom w:val="none" w:sz="0" w:space="0" w:color="auto"/>
        <w:right w:val="none" w:sz="0" w:space="0" w:color="auto"/>
      </w:divBdr>
    </w:div>
    <w:div w:id="591278893">
      <w:bodyDiv w:val="1"/>
      <w:marLeft w:val="0"/>
      <w:marRight w:val="0"/>
      <w:marTop w:val="0"/>
      <w:marBottom w:val="0"/>
      <w:divBdr>
        <w:top w:val="none" w:sz="0" w:space="0" w:color="auto"/>
        <w:left w:val="none" w:sz="0" w:space="0" w:color="auto"/>
        <w:bottom w:val="none" w:sz="0" w:space="0" w:color="auto"/>
        <w:right w:val="none" w:sz="0" w:space="0" w:color="auto"/>
      </w:divBdr>
    </w:div>
    <w:div w:id="598873698">
      <w:bodyDiv w:val="1"/>
      <w:marLeft w:val="0"/>
      <w:marRight w:val="0"/>
      <w:marTop w:val="0"/>
      <w:marBottom w:val="0"/>
      <w:divBdr>
        <w:top w:val="none" w:sz="0" w:space="0" w:color="auto"/>
        <w:left w:val="none" w:sz="0" w:space="0" w:color="auto"/>
        <w:bottom w:val="none" w:sz="0" w:space="0" w:color="auto"/>
        <w:right w:val="none" w:sz="0" w:space="0" w:color="auto"/>
      </w:divBdr>
    </w:div>
    <w:div w:id="601643722">
      <w:bodyDiv w:val="1"/>
      <w:marLeft w:val="0"/>
      <w:marRight w:val="0"/>
      <w:marTop w:val="0"/>
      <w:marBottom w:val="0"/>
      <w:divBdr>
        <w:top w:val="none" w:sz="0" w:space="0" w:color="auto"/>
        <w:left w:val="none" w:sz="0" w:space="0" w:color="auto"/>
        <w:bottom w:val="none" w:sz="0" w:space="0" w:color="auto"/>
        <w:right w:val="none" w:sz="0" w:space="0" w:color="auto"/>
      </w:divBdr>
    </w:div>
    <w:div w:id="631982410">
      <w:bodyDiv w:val="1"/>
      <w:marLeft w:val="0"/>
      <w:marRight w:val="0"/>
      <w:marTop w:val="0"/>
      <w:marBottom w:val="0"/>
      <w:divBdr>
        <w:top w:val="none" w:sz="0" w:space="0" w:color="auto"/>
        <w:left w:val="none" w:sz="0" w:space="0" w:color="auto"/>
        <w:bottom w:val="none" w:sz="0" w:space="0" w:color="auto"/>
        <w:right w:val="none" w:sz="0" w:space="0" w:color="auto"/>
      </w:divBdr>
    </w:div>
    <w:div w:id="680857497">
      <w:bodyDiv w:val="1"/>
      <w:marLeft w:val="0"/>
      <w:marRight w:val="0"/>
      <w:marTop w:val="0"/>
      <w:marBottom w:val="0"/>
      <w:divBdr>
        <w:top w:val="none" w:sz="0" w:space="0" w:color="auto"/>
        <w:left w:val="none" w:sz="0" w:space="0" w:color="auto"/>
        <w:bottom w:val="none" w:sz="0" w:space="0" w:color="auto"/>
        <w:right w:val="none" w:sz="0" w:space="0" w:color="auto"/>
      </w:divBdr>
    </w:div>
    <w:div w:id="760446412">
      <w:bodyDiv w:val="1"/>
      <w:marLeft w:val="0"/>
      <w:marRight w:val="0"/>
      <w:marTop w:val="0"/>
      <w:marBottom w:val="0"/>
      <w:divBdr>
        <w:top w:val="none" w:sz="0" w:space="0" w:color="auto"/>
        <w:left w:val="none" w:sz="0" w:space="0" w:color="auto"/>
        <w:bottom w:val="none" w:sz="0" w:space="0" w:color="auto"/>
        <w:right w:val="none" w:sz="0" w:space="0" w:color="auto"/>
      </w:divBdr>
    </w:div>
    <w:div w:id="765543519">
      <w:bodyDiv w:val="1"/>
      <w:marLeft w:val="0"/>
      <w:marRight w:val="0"/>
      <w:marTop w:val="0"/>
      <w:marBottom w:val="0"/>
      <w:divBdr>
        <w:top w:val="none" w:sz="0" w:space="0" w:color="auto"/>
        <w:left w:val="none" w:sz="0" w:space="0" w:color="auto"/>
        <w:bottom w:val="none" w:sz="0" w:space="0" w:color="auto"/>
        <w:right w:val="none" w:sz="0" w:space="0" w:color="auto"/>
      </w:divBdr>
    </w:div>
    <w:div w:id="772558851">
      <w:bodyDiv w:val="1"/>
      <w:marLeft w:val="0"/>
      <w:marRight w:val="0"/>
      <w:marTop w:val="0"/>
      <w:marBottom w:val="0"/>
      <w:divBdr>
        <w:top w:val="none" w:sz="0" w:space="0" w:color="auto"/>
        <w:left w:val="none" w:sz="0" w:space="0" w:color="auto"/>
        <w:bottom w:val="none" w:sz="0" w:space="0" w:color="auto"/>
        <w:right w:val="none" w:sz="0" w:space="0" w:color="auto"/>
      </w:divBdr>
    </w:div>
    <w:div w:id="814637577">
      <w:bodyDiv w:val="1"/>
      <w:marLeft w:val="0"/>
      <w:marRight w:val="0"/>
      <w:marTop w:val="0"/>
      <w:marBottom w:val="0"/>
      <w:divBdr>
        <w:top w:val="none" w:sz="0" w:space="0" w:color="auto"/>
        <w:left w:val="none" w:sz="0" w:space="0" w:color="auto"/>
        <w:bottom w:val="none" w:sz="0" w:space="0" w:color="auto"/>
        <w:right w:val="none" w:sz="0" w:space="0" w:color="auto"/>
      </w:divBdr>
    </w:div>
    <w:div w:id="816842746">
      <w:bodyDiv w:val="1"/>
      <w:marLeft w:val="0"/>
      <w:marRight w:val="0"/>
      <w:marTop w:val="0"/>
      <w:marBottom w:val="0"/>
      <w:divBdr>
        <w:top w:val="none" w:sz="0" w:space="0" w:color="auto"/>
        <w:left w:val="none" w:sz="0" w:space="0" w:color="auto"/>
        <w:bottom w:val="none" w:sz="0" w:space="0" w:color="auto"/>
        <w:right w:val="none" w:sz="0" w:space="0" w:color="auto"/>
      </w:divBdr>
    </w:div>
    <w:div w:id="846210120">
      <w:bodyDiv w:val="1"/>
      <w:marLeft w:val="0"/>
      <w:marRight w:val="0"/>
      <w:marTop w:val="0"/>
      <w:marBottom w:val="0"/>
      <w:divBdr>
        <w:top w:val="none" w:sz="0" w:space="0" w:color="auto"/>
        <w:left w:val="none" w:sz="0" w:space="0" w:color="auto"/>
        <w:bottom w:val="none" w:sz="0" w:space="0" w:color="auto"/>
        <w:right w:val="none" w:sz="0" w:space="0" w:color="auto"/>
      </w:divBdr>
    </w:div>
    <w:div w:id="859661527">
      <w:bodyDiv w:val="1"/>
      <w:marLeft w:val="0"/>
      <w:marRight w:val="0"/>
      <w:marTop w:val="0"/>
      <w:marBottom w:val="0"/>
      <w:divBdr>
        <w:top w:val="none" w:sz="0" w:space="0" w:color="auto"/>
        <w:left w:val="none" w:sz="0" w:space="0" w:color="auto"/>
        <w:bottom w:val="none" w:sz="0" w:space="0" w:color="auto"/>
        <w:right w:val="none" w:sz="0" w:space="0" w:color="auto"/>
      </w:divBdr>
    </w:div>
    <w:div w:id="861212262">
      <w:bodyDiv w:val="1"/>
      <w:marLeft w:val="0"/>
      <w:marRight w:val="0"/>
      <w:marTop w:val="0"/>
      <w:marBottom w:val="0"/>
      <w:divBdr>
        <w:top w:val="none" w:sz="0" w:space="0" w:color="auto"/>
        <w:left w:val="none" w:sz="0" w:space="0" w:color="auto"/>
        <w:bottom w:val="none" w:sz="0" w:space="0" w:color="auto"/>
        <w:right w:val="none" w:sz="0" w:space="0" w:color="auto"/>
      </w:divBdr>
    </w:div>
    <w:div w:id="1013459815">
      <w:bodyDiv w:val="1"/>
      <w:marLeft w:val="0"/>
      <w:marRight w:val="0"/>
      <w:marTop w:val="0"/>
      <w:marBottom w:val="0"/>
      <w:divBdr>
        <w:top w:val="none" w:sz="0" w:space="0" w:color="auto"/>
        <w:left w:val="none" w:sz="0" w:space="0" w:color="auto"/>
        <w:bottom w:val="none" w:sz="0" w:space="0" w:color="auto"/>
        <w:right w:val="none" w:sz="0" w:space="0" w:color="auto"/>
      </w:divBdr>
    </w:div>
    <w:div w:id="1015769461">
      <w:bodyDiv w:val="1"/>
      <w:marLeft w:val="0"/>
      <w:marRight w:val="0"/>
      <w:marTop w:val="0"/>
      <w:marBottom w:val="0"/>
      <w:divBdr>
        <w:top w:val="none" w:sz="0" w:space="0" w:color="auto"/>
        <w:left w:val="none" w:sz="0" w:space="0" w:color="auto"/>
        <w:bottom w:val="none" w:sz="0" w:space="0" w:color="auto"/>
        <w:right w:val="none" w:sz="0" w:space="0" w:color="auto"/>
      </w:divBdr>
    </w:div>
    <w:div w:id="1098480318">
      <w:bodyDiv w:val="1"/>
      <w:marLeft w:val="0"/>
      <w:marRight w:val="0"/>
      <w:marTop w:val="0"/>
      <w:marBottom w:val="0"/>
      <w:divBdr>
        <w:top w:val="none" w:sz="0" w:space="0" w:color="auto"/>
        <w:left w:val="none" w:sz="0" w:space="0" w:color="auto"/>
        <w:bottom w:val="none" w:sz="0" w:space="0" w:color="auto"/>
        <w:right w:val="none" w:sz="0" w:space="0" w:color="auto"/>
      </w:divBdr>
    </w:div>
    <w:div w:id="1154565945">
      <w:bodyDiv w:val="1"/>
      <w:marLeft w:val="0"/>
      <w:marRight w:val="0"/>
      <w:marTop w:val="0"/>
      <w:marBottom w:val="0"/>
      <w:divBdr>
        <w:top w:val="none" w:sz="0" w:space="0" w:color="auto"/>
        <w:left w:val="none" w:sz="0" w:space="0" w:color="auto"/>
        <w:bottom w:val="none" w:sz="0" w:space="0" w:color="auto"/>
        <w:right w:val="none" w:sz="0" w:space="0" w:color="auto"/>
      </w:divBdr>
    </w:div>
    <w:div w:id="1238593483">
      <w:bodyDiv w:val="1"/>
      <w:marLeft w:val="0"/>
      <w:marRight w:val="0"/>
      <w:marTop w:val="0"/>
      <w:marBottom w:val="0"/>
      <w:divBdr>
        <w:top w:val="none" w:sz="0" w:space="0" w:color="auto"/>
        <w:left w:val="none" w:sz="0" w:space="0" w:color="auto"/>
        <w:bottom w:val="none" w:sz="0" w:space="0" w:color="auto"/>
        <w:right w:val="none" w:sz="0" w:space="0" w:color="auto"/>
      </w:divBdr>
    </w:div>
    <w:div w:id="1249458848">
      <w:bodyDiv w:val="1"/>
      <w:marLeft w:val="0"/>
      <w:marRight w:val="0"/>
      <w:marTop w:val="0"/>
      <w:marBottom w:val="0"/>
      <w:divBdr>
        <w:top w:val="none" w:sz="0" w:space="0" w:color="auto"/>
        <w:left w:val="none" w:sz="0" w:space="0" w:color="auto"/>
        <w:bottom w:val="none" w:sz="0" w:space="0" w:color="auto"/>
        <w:right w:val="none" w:sz="0" w:space="0" w:color="auto"/>
      </w:divBdr>
    </w:div>
    <w:div w:id="1302618615">
      <w:bodyDiv w:val="1"/>
      <w:marLeft w:val="0"/>
      <w:marRight w:val="0"/>
      <w:marTop w:val="0"/>
      <w:marBottom w:val="0"/>
      <w:divBdr>
        <w:top w:val="none" w:sz="0" w:space="0" w:color="auto"/>
        <w:left w:val="none" w:sz="0" w:space="0" w:color="auto"/>
        <w:bottom w:val="none" w:sz="0" w:space="0" w:color="auto"/>
        <w:right w:val="none" w:sz="0" w:space="0" w:color="auto"/>
      </w:divBdr>
    </w:div>
    <w:div w:id="1303266275">
      <w:bodyDiv w:val="1"/>
      <w:marLeft w:val="0"/>
      <w:marRight w:val="0"/>
      <w:marTop w:val="0"/>
      <w:marBottom w:val="0"/>
      <w:divBdr>
        <w:top w:val="none" w:sz="0" w:space="0" w:color="auto"/>
        <w:left w:val="none" w:sz="0" w:space="0" w:color="auto"/>
        <w:bottom w:val="none" w:sz="0" w:space="0" w:color="auto"/>
        <w:right w:val="none" w:sz="0" w:space="0" w:color="auto"/>
      </w:divBdr>
    </w:div>
    <w:div w:id="1312445378">
      <w:bodyDiv w:val="1"/>
      <w:marLeft w:val="0"/>
      <w:marRight w:val="0"/>
      <w:marTop w:val="0"/>
      <w:marBottom w:val="0"/>
      <w:divBdr>
        <w:top w:val="none" w:sz="0" w:space="0" w:color="auto"/>
        <w:left w:val="none" w:sz="0" w:space="0" w:color="auto"/>
        <w:bottom w:val="none" w:sz="0" w:space="0" w:color="auto"/>
        <w:right w:val="none" w:sz="0" w:space="0" w:color="auto"/>
      </w:divBdr>
    </w:div>
    <w:div w:id="1325283607">
      <w:bodyDiv w:val="1"/>
      <w:marLeft w:val="0"/>
      <w:marRight w:val="0"/>
      <w:marTop w:val="0"/>
      <w:marBottom w:val="0"/>
      <w:divBdr>
        <w:top w:val="none" w:sz="0" w:space="0" w:color="auto"/>
        <w:left w:val="none" w:sz="0" w:space="0" w:color="auto"/>
        <w:bottom w:val="none" w:sz="0" w:space="0" w:color="auto"/>
        <w:right w:val="none" w:sz="0" w:space="0" w:color="auto"/>
      </w:divBdr>
    </w:div>
    <w:div w:id="1450002590">
      <w:bodyDiv w:val="1"/>
      <w:marLeft w:val="0"/>
      <w:marRight w:val="0"/>
      <w:marTop w:val="0"/>
      <w:marBottom w:val="0"/>
      <w:divBdr>
        <w:top w:val="none" w:sz="0" w:space="0" w:color="auto"/>
        <w:left w:val="none" w:sz="0" w:space="0" w:color="auto"/>
        <w:bottom w:val="none" w:sz="0" w:space="0" w:color="auto"/>
        <w:right w:val="none" w:sz="0" w:space="0" w:color="auto"/>
      </w:divBdr>
    </w:div>
    <w:div w:id="1459571615">
      <w:bodyDiv w:val="1"/>
      <w:marLeft w:val="0"/>
      <w:marRight w:val="0"/>
      <w:marTop w:val="0"/>
      <w:marBottom w:val="0"/>
      <w:divBdr>
        <w:top w:val="none" w:sz="0" w:space="0" w:color="auto"/>
        <w:left w:val="none" w:sz="0" w:space="0" w:color="auto"/>
        <w:bottom w:val="none" w:sz="0" w:space="0" w:color="auto"/>
        <w:right w:val="none" w:sz="0" w:space="0" w:color="auto"/>
      </w:divBdr>
    </w:div>
    <w:div w:id="1480344553">
      <w:bodyDiv w:val="1"/>
      <w:marLeft w:val="0"/>
      <w:marRight w:val="0"/>
      <w:marTop w:val="0"/>
      <w:marBottom w:val="0"/>
      <w:divBdr>
        <w:top w:val="none" w:sz="0" w:space="0" w:color="auto"/>
        <w:left w:val="none" w:sz="0" w:space="0" w:color="auto"/>
        <w:bottom w:val="none" w:sz="0" w:space="0" w:color="auto"/>
        <w:right w:val="none" w:sz="0" w:space="0" w:color="auto"/>
      </w:divBdr>
    </w:div>
    <w:div w:id="1540897973">
      <w:bodyDiv w:val="1"/>
      <w:marLeft w:val="0"/>
      <w:marRight w:val="0"/>
      <w:marTop w:val="0"/>
      <w:marBottom w:val="0"/>
      <w:divBdr>
        <w:top w:val="none" w:sz="0" w:space="0" w:color="auto"/>
        <w:left w:val="none" w:sz="0" w:space="0" w:color="auto"/>
        <w:bottom w:val="none" w:sz="0" w:space="0" w:color="auto"/>
        <w:right w:val="none" w:sz="0" w:space="0" w:color="auto"/>
      </w:divBdr>
    </w:div>
    <w:div w:id="1656497472">
      <w:bodyDiv w:val="1"/>
      <w:marLeft w:val="0"/>
      <w:marRight w:val="0"/>
      <w:marTop w:val="0"/>
      <w:marBottom w:val="0"/>
      <w:divBdr>
        <w:top w:val="none" w:sz="0" w:space="0" w:color="auto"/>
        <w:left w:val="none" w:sz="0" w:space="0" w:color="auto"/>
        <w:bottom w:val="none" w:sz="0" w:space="0" w:color="auto"/>
        <w:right w:val="none" w:sz="0" w:space="0" w:color="auto"/>
      </w:divBdr>
    </w:div>
    <w:div w:id="1704593029">
      <w:bodyDiv w:val="1"/>
      <w:marLeft w:val="0"/>
      <w:marRight w:val="0"/>
      <w:marTop w:val="0"/>
      <w:marBottom w:val="0"/>
      <w:divBdr>
        <w:top w:val="none" w:sz="0" w:space="0" w:color="auto"/>
        <w:left w:val="none" w:sz="0" w:space="0" w:color="auto"/>
        <w:bottom w:val="none" w:sz="0" w:space="0" w:color="auto"/>
        <w:right w:val="none" w:sz="0" w:space="0" w:color="auto"/>
      </w:divBdr>
    </w:div>
    <w:div w:id="1753040157">
      <w:bodyDiv w:val="1"/>
      <w:marLeft w:val="0"/>
      <w:marRight w:val="0"/>
      <w:marTop w:val="0"/>
      <w:marBottom w:val="0"/>
      <w:divBdr>
        <w:top w:val="none" w:sz="0" w:space="0" w:color="auto"/>
        <w:left w:val="none" w:sz="0" w:space="0" w:color="auto"/>
        <w:bottom w:val="none" w:sz="0" w:space="0" w:color="auto"/>
        <w:right w:val="none" w:sz="0" w:space="0" w:color="auto"/>
      </w:divBdr>
      <w:divsChild>
        <w:div w:id="1163469146">
          <w:marLeft w:val="0"/>
          <w:marRight w:val="0"/>
          <w:marTop w:val="0"/>
          <w:marBottom w:val="0"/>
          <w:divBdr>
            <w:top w:val="none" w:sz="0" w:space="0" w:color="auto"/>
            <w:left w:val="none" w:sz="0" w:space="0" w:color="auto"/>
            <w:bottom w:val="none" w:sz="0" w:space="0" w:color="auto"/>
            <w:right w:val="none" w:sz="0" w:space="0" w:color="auto"/>
          </w:divBdr>
        </w:div>
        <w:div w:id="457143062">
          <w:marLeft w:val="0"/>
          <w:marRight w:val="0"/>
          <w:marTop w:val="0"/>
          <w:marBottom w:val="0"/>
          <w:divBdr>
            <w:top w:val="none" w:sz="0" w:space="0" w:color="auto"/>
            <w:left w:val="none" w:sz="0" w:space="0" w:color="auto"/>
            <w:bottom w:val="none" w:sz="0" w:space="0" w:color="auto"/>
            <w:right w:val="none" w:sz="0" w:space="0" w:color="auto"/>
          </w:divBdr>
        </w:div>
        <w:div w:id="833689697">
          <w:marLeft w:val="0"/>
          <w:marRight w:val="0"/>
          <w:marTop w:val="0"/>
          <w:marBottom w:val="0"/>
          <w:divBdr>
            <w:top w:val="none" w:sz="0" w:space="0" w:color="auto"/>
            <w:left w:val="none" w:sz="0" w:space="0" w:color="auto"/>
            <w:bottom w:val="none" w:sz="0" w:space="0" w:color="auto"/>
            <w:right w:val="none" w:sz="0" w:space="0" w:color="auto"/>
          </w:divBdr>
        </w:div>
        <w:div w:id="1559511516">
          <w:marLeft w:val="0"/>
          <w:marRight w:val="0"/>
          <w:marTop w:val="0"/>
          <w:marBottom w:val="0"/>
          <w:divBdr>
            <w:top w:val="none" w:sz="0" w:space="0" w:color="auto"/>
            <w:left w:val="none" w:sz="0" w:space="0" w:color="auto"/>
            <w:bottom w:val="none" w:sz="0" w:space="0" w:color="auto"/>
            <w:right w:val="none" w:sz="0" w:space="0" w:color="auto"/>
          </w:divBdr>
        </w:div>
        <w:div w:id="1076052159">
          <w:marLeft w:val="0"/>
          <w:marRight w:val="0"/>
          <w:marTop w:val="0"/>
          <w:marBottom w:val="0"/>
          <w:divBdr>
            <w:top w:val="none" w:sz="0" w:space="0" w:color="auto"/>
            <w:left w:val="none" w:sz="0" w:space="0" w:color="auto"/>
            <w:bottom w:val="none" w:sz="0" w:space="0" w:color="auto"/>
            <w:right w:val="none" w:sz="0" w:space="0" w:color="auto"/>
          </w:divBdr>
        </w:div>
        <w:div w:id="1774476995">
          <w:marLeft w:val="0"/>
          <w:marRight w:val="0"/>
          <w:marTop w:val="0"/>
          <w:marBottom w:val="0"/>
          <w:divBdr>
            <w:top w:val="none" w:sz="0" w:space="0" w:color="auto"/>
            <w:left w:val="none" w:sz="0" w:space="0" w:color="auto"/>
            <w:bottom w:val="none" w:sz="0" w:space="0" w:color="auto"/>
            <w:right w:val="none" w:sz="0" w:space="0" w:color="auto"/>
          </w:divBdr>
        </w:div>
        <w:div w:id="1998993401">
          <w:marLeft w:val="0"/>
          <w:marRight w:val="0"/>
          <w:marTop w:val="0"/>
          <w:marBottom w:val="0"/>
          <w:divBdr>
            <w:top w:val="none" w:sz="0" w:space="0" w:color="auto"/>
            <w:left w:val="none" w:sz="0" w:space="0" w:color="auto"/>
            <w:bottom w:val="none" w:sz="0" w:space="0" w:color="auto"/>
            <w:right w:val="none" w:sz="0" w:space="0" w:color="auto"/>
          </w:divBdr>
        </w:div>
        <w:div w:id="1379819050">
          <w:marLeft w:val="0"/>
          <w:marRight w:val="0"/>
          <w:marTop w:val="0"/>
          <w:marBottom w:val="0"/>
          <w:divBdr>
            <w:top w:val="none" w:sz="0" w:space="0" w:color="auto"/>
            <w:left w:val="none" w:sz="0" w:space="0" w:color="auto"/>
            <w:bottom w:val="none" w:sz="0" w:space="0" w:color="auto"/>
            <w:right w:val="none" w:sz="0" w:space="0" w:color="auto"/>
          </w:divBdr>
        </w:div>
        <w:div w:id="193926269">
          <w:marLeft w:val="0"/>
          <w:marRight w:val="0"/>
          <w:marTop w:val="0"/>
          <w:marBottom w:val="0"/>
          <w:divBdr>
            <w:top w:val="none" w:sz="0" w:space="0" w:color="auto"/>
            <w:left w:val="none" w:sz="0" w:space="0" w:color="auto"/>
            <w:bottom w:val="none" w:sz="0" w:space="0" w:color="auto"/>
            <w:right w:val="none" w:sz="0" w:space="0" w:color="auto"/>
          </w:divBdr>
        </w:div>
        <w:div w:id="2071493220">
          <w:marLeft w:val="0"/>
          <w:marRight w:val="0"/>
          <w:marTop w:val="0"/>
          <w:marBottom w:val="0"/>
          <w:divBdr>
            <w:top w:val="none" w:sz="0" w:space="0" w:color="auto"/>
            <w:left w:val="none" w:sz="0" w:space="0" w:color="auto"/>
            <w:bottom w:val="none" w:sz="0" w:space="0" w:color="auto"/>
            <w:right w:val="none" w:sz="0" w:space="0" w:color="auto"/>
          </w:divBdr>
        </w:div>
        <w:div w:id="126701948">
          <w:marLeft w:val="0"/>
          <w:marRight w:val="0"/>
          <w:marTop w:val="0"/>
          <w:marBottom w:val="0"/>
          <w:divBdr>
            <w:top w:val="none" w:sz="0" w:space="0" w:color="auto"/>
            <w:left w:val="none" w:sz="0" w:space="0" w:color="auto"/>
            <w:bottom w:val="none" w:sz="0" w:space="0" w:color="auto"/>
            <w:right w:val="none" w:sz="0" w:space="0" w:color="auto"/>
          </w:divBdr>
        </w:div>
        <w:div w:id="852308643">
          <w:marLeft w:val="0"/>
          <w:marRight w:val="0"/>
          <w:marTop w:val="0"/>
          <w:marBottom w:val="0"/>
          <w:divBdr>
            <w:top w:val="none" w:sz="0" w:space="0" w:color="auto"/>
            <w:left w:val="none" w:sz="0" w:space="0" w:color="auto"/>
            <w:bottom w:val="none" w:sz="0" w:space="0" w:color="auto"/>
            <w:right w:val="none" w:sz="0" w:space="0" w:color="auto"/>
          </w:divBdr>
        </w:div>
        <w:div w:id="662008975">
          <w:marLeft w:val="0"/>
          <w:marRight w:val="0"/>
          <w:marTop w:val="0"/>
          <w:marBottom w:val="0"/>
          <w:divBdr>
            <w:top w:val="none" w:sz="0" w:space="0" w:color="auto"/>
            <w:left w:val="none" w:sz="0" w:space="0" w:color="auto"/>
            <w:bottom w:val="none" w:sz="0" w:space="0" w:color="auto"/>
            <w:right w:val="none" w:sz="0" w:space="0" w:color="auto"/>
          </w:divBdr>
        </w:div>
        <w:div w:id="1145589058">
          <w:marLeft w:val="0"/>
          <w:marRight w:val="0"/>
          <w:marTop w:val="0"/>
          <w:marBottom w:val="0"/>
          <w:divBdr>
            <w:top w:val="none" w:sz="0" w:space="0" w:color="auto"/>
            <w:left w:val="none" w:sz="0" w:space="0" w:color="auto"/>
            <w:bottom w:val="none" w:sz="0" w:space="0" w:color="auto"/>
            <w:right w:val="none" w:sz="0" w:space="0" w:color="auto"/>
          </w:divBdr>
        </w:div>
        <w:div w:id="1990861865">
          <w:marLeft w:val="0"/>
          <w:marRight w:val="0"/>
          <w:marTop w:val="0"/>
          <w:marBottom w:val="0"/>
          <w:divBdr>
            <w:top w:val="none" w:sz="0" w:space="0" w:color="auto"/>
            <w:left w:val="none" w:sz="0" w:space="0" w:color="auto"/>
            <w:bottom w:val="none" w:sz="0" w:space="0" w:color="auto"/>
            <w:right w:val="none" w:sz="0" w:space="0" w:color="auto"/>
          </w:divBdr>
        </w:div>
        <w:div w:id="1337458861">
          <w:marLeft w:val="0"/>
          <w:marRight w:val="0"/>
          <w:marTop w:val="0"/>
          <w:marBottom w:val="0"/>
          <w:divBdr>
            <w:top w:val="none" w:sz="0" w:space="0" w:color="auto"/>
            <w:left w:val="none" w:sz="0" w:space="0" w:color="auto"/>
            <w:bottom w:val="none" w:sz="0" w:space="0" w:color="auto"/>
            <w:right w:val="none" w:sz="0" w:space="0" w:color="auto"/>
          </w:divBdr>
        </w:div>
        <w:div w:id="1932424611">
          <w:marLeft w:val="0"/>
          <w:marRight w:val="0"/>
          <w:marTop w:val="0"/>
          <w:marBottom w:val="0"/>
          <w:divBdr>
            <w:top w:val="none" w:sz="0" w:space="0" w:color="auto"/>
            <w:left w:val="none" w:sz="0" w:space="0" w:color="auto"/>
            <w:bottom w:val="none" w:sz="0" w:space="0" w:color="auto"/>
            <w:right w:val="none" w:sz="0" w:space="0" w:color="auto"/>
          </w:divBdr>
        </w:div>
        <w:div w:id="595017885">
          <w:marLeft w:val="0"/>
          <w:marRight w:val="0"/>
          <w:marTop w:val="0"/>
          <w:marBottom w:val="0"/>
          <w:divBdr>
            <w:top w:val="none" w:sz="0" w:space="0" w:color="auto"/>
            <w:left w:val="none" w:sz="0" w:space="0" w:color="auto"/>
            <w:bottom w:val="none" w:sz="0" w:space="0" w:color="auto"/>
            <w:right w:val="none" w:sz="0" w:space="0" w:color="auto"/>
          </w:divBdr>
        </w:div>
        <w:div w:id="1788968137">
          <w:marLeft w:val="0"/>
          <w:marRight w:val="0"/>
          <w:marTop w:val="0"/>
          <w:marBottom w:val="0"/>
          <w:divBdr>
            <w:top w:val="none" w:sz="0" w:space="0" w:color="auto"/>
            <w:left w:val="none" w:sz="0" w:space="0" w:color="auto"/>
            <w:bottom w:val="none" w:sz="0" w:space="0" w:color="auto"/>
            <w:right w:val="none" w:sz="0" w:space="0" w:color="auto"/>
          </w:divBdr>
        </w:div>
        <w:div w:id="1266036847">
          <w:marLeft w:val="0"/>
          <w:marRight w:val="0"/>
          <w:marTop w:val="0"/>
          <w:marBottom w:val="0"/>
          <w:divBdr>
            <w:top w:val="none" w:sz="0" w:space="0" w:color="auto"/>
            <w:left w:val="none" w:sz="0" w:space="0" w:color="auto"/>
            <w:bottom w:val="none" w:sz="0" w:space="0" w:color="auto"/>
            <w:right w:val="none" w:sz="0" w:space="0" w:color="auto"/>
          </w:divBdr>
        </w:div>
        <w:div w:id="656033629">
          <w:marLeft w:val="0"/>
          <w:marRight w:val="0"/>
          <w:marTop w:val="0"/>
          <w:marBottom w:val="0"/>
          <w:divBdr>
            <w:top w:val="none" w:sz="0" w:space="0" w:color="auto"/>
            <w:left w:val="none" w:sz="0" w:space="0" w:color="auto"/>
            <w:bottom w:val="none" w:sz="0" w:space="0" w:color="auto"/>
            <w:right w:val="none" w:sz="0" w:space="0" w:color="auto"/>
          </w:divBdr>
        </w:div>
        <w:div w:id="1396662802">
          <w:marLeft w:val="0"/>
          <w:marRight w:val="0"/>
          <w:marTop w:val="0"/>
          <w:marBottom w:val="0"/>
          <w:divBdr>
            <w:top w:val="none" w:sz="0" w:space="0" w:color="auto"/>
            <w:left w:val="none" w:sz="0" w:space="0" w:color="auto"/>
            <w:bottom w:val="none" w:sz="0" w:space="0" w:color="auto"/>
            <w:right w:val="none" w:sz="0" w:space="0" w:color="auto"/>
          </w:divBdr>
        </w:div>
        <w:div w:id="1868054711">
          <w:marLeft w:val="0"/>
          <w:marRight w:val="0"/>
          <w:marTop w:val="0"/>
          <w:marBottom w:val="0"/>
          <w:divBdr>
            <w:top w:val="none" w:sz="0" w:space="0" w:color="auto"/>
            <w:left w:val="none" w:sz="0" w:space="0" w:color="auto"/>
            <w:bottom w:val="none" w:sz="0" w:space="0" w:color="auto"/>
            <w:right w:val="none" w:sz="0" w:space="0" w:color="auto"/>
          </w:divBdr>
        </w:div>
        <w:div w:id="1249079326">
          <w:marLeft w:val="0"/>
          <w:marRight w:val="0"/>
          <w:marTop w:val="0"/>
          <w:marBottom w:val="0"/>
          <w:divBdr>
            <w:top w:val="none" w:sz="0" w:space="0" w:color="auto"/>
            <w:left w:val="none" w:sz="0" w:space="0" w:color="auto"/>
            <w:bottom w:val="none" w:sz="0" w:space="0" w:color="auto"/>
            <w:right w:val="none" w:sz="0" w:space="0" w:color="auto"/>
          </w:divBdr>
        </w:div>
        <w:div w:id="1598980055">
          <w:marLeft w:val="0"/>
          <w:marRight w:val="0"/>
          <w:marTop w:val="0"/>
          <w:marBottom w:val="0"/>
          <w:divBdr>
            <w:top w:val="none" w:sz="0" w:space="0" w:color="auto"/>
            <w:left w:val="none" w:sz="0" w:space="0" w:color="auto"/>
            <w:bottom w:val="none" w:sz="0" w:space="0" w:color="auto"/>
            <w:right w:val="none" w:sz="0" w:space="0" w:color="auto"/>
          </w:divBdr>
        </w:div>
        <w:div w:id="395863021">
          <w:marLeft w:val="0"/>
          <w:marRight w:val="0"/>
          <w:marTop w:val="0"/>
          <w:marBottom w:val="0"/>
          <w:divBdr>
            <w:top w:val="none" w:sz="0" w:space="0" w:color="auto"/>
            <w:left w:val="none" w:sz="0" w:space="0" w:color="auto"/>
            <w:bottom w:val="none" w:sz="0" w:space="0" w:color="auto"/>
            <w:right w:val="none" w:sz="0" w:space="0" w:color="auto"/>
          </w:divBdr>
        </w:div>
        <w:div w:id="358316522">
          <w:marLeft w:val="0"/>
          <w:marRight w:val="0"/>
          <w:marTop w:val="0"/>
          <w:marBottom w:val="0"/>
          <w:divBdr>
            <w:top w:val="none" w:sz="0" w:space="0" w:color="auto"/>
            <w:left w:val="none" w:sz="0" w:space="0" w:color="auto"/>
            <w:bottom w:val="none" w:sz="0" w:space="0" w:color="auto"/>
            <w:right w:val="none" w:sz="0" w:space="0" w:color="auto"/>
          </w:divBdr>
        </w:div>
        <w:div w:id="1139499909">
          <w:marLeft w:val="0"/>
          <w:marRight w:val="0"/>
          <w:marTop w:val="0"/>
          <w:marBottom w:val="0"/>
          <w:divBdr>
            <w:top w:val="none" w:sz="0" w:space="0" w:color="auto"/>
            <w:left w:val="none" w:sz="0" w:space="0" w:color="auto"/>
            <w:bottom w:val="none" w:sz="0" w:space="0" w:color="auto"/>
            <w:right w:val="none" w:sz="0" w:space="0" w:color="auto"/>
          </w:divBdr>
        </w:div>
        <w:div w:id="65229407">
          <w:marLeft w:val="0"/>
          <w:marRight w:val="0"/>
          <w:marTop w:val="0"/>
          <w:marBottom w:val="0"/>
          <w:divBdr>
            <w:top w:val="none" w:sz="0" w:space="0" w:color="auto"/>
            <w:left w:val="none" w:sz="0" w:space="0" w:color="auto"/>
            <w:bottom w:val="none" w:sz="0" w:space="0" w:color="auto"/>
            <w:right w:val="none" w:sz="0" w:space="0" w:color="auto"/>
          </w:divBdr>
        </w:div>
        <w:div w:id="474834237">
          <w:marLeft w:val="0"/>
          <w:marRight w:val="0"/>
          <w:marTop w:val="0"/>
          <w:marBottom w:val="0"/>
          <w:divBdr>
            <w:top w:val="none" w:sz="0" w:space="0" w:color="auto"/>
            <w:left w:val="none" w:sz="0" w:space="0" w:color="auto"/>
            <w:bottom w:val="none" w:sz="0" w:space="0" w:color="auto"/>
            <w:right w:val="none" w:sz="0" w:space="0" w:color="auto"/>
          </w:divBdr>
        </w:div>
        <w:div w:id="1878734165">
          <w:marLeft w:val="0"/>
          <w:marRight w:val="0"/>
          <w:marTop w:val="0"/>
          <w:marBottom w:val="0"/>
          <w:divBdr>
            <w:top w:val="none" w:sz="0" w:space="0" w:color="auto"/>
            <w:left w:val="none" w:sz="0" w:space="0" w:color="auto"/>
            <w:bottom w:val="none" w:sz="0" w:space="0" w:color="auto"/>
            <w:right w:val="none" w:sz="0" w:space="0" w:color="auto"/>
          </w:divBdr>
        </w:div>
        <w:div w:id="210770300">
          <w:marLeft w:val="0"/>
          <w:marRight w:val="0"/>
          <w:marTop w:val="0"/>
          <w:marBottom w:val="0"/>
          <w:divBdr>
            <w:top w:val="none" w:sz="0" w:space="0" w:color="auto"/>
            <w:left w:val="none" w:sz="0" w:space="0" w:color="auto"/>
            <w:bottom w:val="none" w:sz="0" w:space="0" w:color="auto"/>
            <w:right w:val="none" w:sz="0" w:space="0" w:color="auto"/>
          </w:divBdr>
        </w:div>
        <w:div w:id="662898711">
          <w:marLeft w:val="0"/>
          <w:marRight w:val="0"/>
          <w:marTop w:val="0"/>
          <w:marBottom w:val="0"/>
          <w:divBdr>
            <w:top w:val="none" w:sz="0" w:space="0" w:color="auto"/>
            <w:left w:val="none" w:sz="0" w:space="0" w:color="auto"/>
            <w:bottom w:val="none" w:sz="0" w:space="0" w:color="auto"/>
            <w:right w:val="none" w:sz="0" w:space="0" w:color="auto"/>
          </w:divBdr>
        </w:div>
        <w:div w:id="1545943565">
          <w:marLeft w:val="0"/>
          <w:marRight w:val="0"/>
          <w:marTop w:val="0"/>
          <w:marBottom w:val="0"/>
          <w:divBdr>
            <w:top w:val="none" w:sz="0" w:space="0" w:color="auto"/>
            <w:left w:val="none" w:sz="0" w:space="0" w:color="auto"/>
            <w:bottom w:val="none" w:sz="0" w:space="0" w:color="auto"/>
            <w:right w:val="none" w:sz="0" w:space="0" w:color="auto"/>
          </w:divBdr>
        </w:div>
        <w:div w:id="594023605">
          <w:marLeft w:val="0"/>
          <w:marRight w:val="0"/>
          <w:marTop w:val="0"/>
          <w:marBottom w:val="0"/>
          <w:divBdr>
            <w:top w:val="none" w:sz="0" w:space="0" w:color="auto"/>
            <w:left w:val="none" w:sz="0" w:space="0" w:color="auto"/>
            <w:bottom w:val="none" w:sz="0" w:space="0" w:color="auto"/>
            <w:right w:val="none" w:sz="0" w:space="0" w:color="auto"/>
          </w:divBdr>
        </w:div>
      </w:divsChild>
    </w:div>
    <w:div w:id="1792507281">
      <w:bodyDiv w:val="1"/>
      <w:marLeft w:val="0"/>
      <w:marRight w:val="0"/>
      <w:marTop w:val="0"/>
      <w:marBottom w:val="0"/>
      <w:divBdr>
        <w:top w:val="none" w:sz="0" w:space="0" w:color="auto"/>
        <w:left w:val="none" w:sz="0" w:space="0" w:color="auto"/>
        <w:bottom w:val="none" w:sz="0" w:space="0" w:color="auto"/>
        <w:right w:val="none" w:sz="0" w:space="0" w:color="auto"/>
      </w:divBdr>
    </w:div>
    <w:div w:id="1802840079">
      <w:bodyDiv w:val="1"/>
      <w:marLeft w:val="0"/>
      <w:marRight w:val="0"/>
      <w:marTop w:val="0"/>
      <w:marBottom w:val="0"/>
      <w:divBdr>
        <w:top w:val="none" w:sz="0" w:space="0" w:color="auto"/>
        <w:left w:val="none" w:sz="0" w:space="0" w:color="auto"/>
        <w:bottom w:val="none" w:sz="0" w:space="0" w:color="auto"/>
        <w:right w:val="none" w:sz="0" w:space="0" w:color="auto"/>
      </w:divBdr>
    </w:div>
    <w:div w:id="1818650124">
      <w:bodyDiv w:val="1"/>
      <w:marLeft w:val="0"/>
      <w:marRight w:val="0"/>
      <w:marTop w:val="0"/>
      <w:marBottom w:val="0"/>
      <w:divBdr>
        <w:top w:val="none" w:sz="0" w:space="0" w:color="auto"/>
        <w:left w:val="none" w:sz="0" w:space="0" w:color="auto"/>
        <w:bottom w:val="none" w:sz="0" w:space="0" w:color="auto"/>
        <w:right w:val="none" w:sz="0" w:space="0" w:color="auto"/>
      </w:divBdr>
    </w:div>
    <w:div w:id="1820996298">
      <w:bodyDiv w:val="1"/>
      <w:marLeft w:val="0"/>
      <w:marRight w:val="0"/>
      <w:marTop w:val="0"/>
      <w:marBottom w:val="0"/>
      <w:divBdr>
        <w:top w:val="none" w:sz="0" w:space="0" w:color="auto"/>
        <w:left w:val="none" w:sz="0" w:space="0" w:color="auto"/>
        <w:bottom w:val="none" w:sz="0" w:space="0" w:color="auto"/>
        <w:right w:val="none" w:sz="0" w:space="0" w:color="auto"/>
      </w:divBdr>
    </w:div>
    <w:div w:id="1839268783">
      <w:bodyDiv w:val="1"/>
      <w:marLeft w:val="0"/>
      <w:marRight w:val="0"/>
      <w:marTop w:val="0"/>
      <w:marBottom w:val="0"/>
      <w:divBdr>
        <w:top w:val="none" w:sz="0" w:space="0" w:color="auto"/>
        <w:left w:val="none" w:sz="0" w:space="0" w:color="auto"/>
        <w:bottom w:val="none" w:sz="0" w:space="0" w:color="auto"/>
        <w:right w:val="none" w:sz="0" w:space="0" w:color="auto"/>
      </w:divBdr>
    </w:div>
    <w:div w:id="1896551903">
      <w:bodyDiv w:val="1"/>
      <w:marLeft w:val="0"/>
      <w:marRight w:val="0"/>
      <w:marTop w:val="0"/>
      <w:marBottom w:val="0"/>
      <w:divBdr>
        <w:top w:val="none" w:sz="0" w:space="0" w:color="auto"/>
        <w:left w:val="none" w:sz="0" w:space="0" w:color="auto"/>
        <w:bottom w:val="none" w:sz="0" w:space="0" w:color="auto"/>
        <w:right w:val="none" w:sz="0" w:space="0" w:color="auto"/>
      </w:divBdr>
    </w:div>
    <w:div w:id="1908221235">
      <w:bodyDiv w:val="1"/>
      <w:marLeft w:val="0"/>
      <w:marRight w:val="0"/>
      <w:marTop w:val="0"/>
      <w:marBottom w:val="0"/>
      <w:divBdr>
        <w:top w:val="none" w:sz="0" w:space="0" w:color="auto"/>
        <w:left w:val="none" w:sz="0" w:space="0" w:color="auto"/>
        <w:bottom w:val="none" w:sz="0" w:space="0" w:color="auto"/>
        <w:right w:val="none" w:sz="0" w:space="0" w:color="auto"/>
      </w:divBdr>
    </w:div>
    <w:div w:id="1960723006">
      <w:bodyDiv w:val="1"/>
      <w:marLeft w:val="0"/>
      <w:marRight w:val="0"/>
      <w:marTop w:val="0"/>
      <w:marBottom w:val="0"/>
      <w:divBdr>
        <w:top w:val="none" w:sz="0" w:space="0" w:color="auto"/>
        <w:left w:val="none" w:sz="0" w:space="0" w:color="auto"/>
        <w:bottom w:val="none" w:sz="0" w:space="0" w:color="auto"/>
        <w:right w:val="none" w:sz="0" w:space="0" w:color="auto"/>
      </w:divBdr>
    </w:div>
    <w:div w:id="1976449834">
      <w:bodyDiv w:val="1"/>
      <w:marLeft w:val="0"/>
      <w:marRight w:val="0"/>
      <w:marTop w:val="0"/>
      <w:marBottom w:val="0"/>
      <w:divBdr>
        <w:top w:val="none" w:sz="0" w:space="0" w:color="auto"/>
        <w:left w:val="none" w:sz="0" w:space="0" w:color="auto"/>
        <w:bottom w:val="none" w:sz="0" w:space="0" w:color="auto"/>
        <w:right w:val="none" w:sz="0" w:space="0" w:color="auto"/>
      </w:divBdr>
    </w:div>
    <w:div w:id="1982466822">
      <w:bodyDiv w:val="1"/>
      <w:marLeft w:val="0"/>
      <w:marRight w:val="0"/>
      <w:marTop w:val="0"/>
      <w:marBottom w:val="0"/>
      <w:divBdr>
        <w:top w:val="none" w:sz="0" w:space="0" w:color="auto"/>
        <w:left w:val="none" w:sz="0" w:space="0" w:color="auto"/>
        <w:bottom w:val="none" w:sz="0" w:space="0" w:color="auto"/>
        <w:right w:val="none" w:sz="0" w:space="0" w:color="auto"/>
      </w:divBdr>
    </w:div>
    <w:div w:id="2090079319">
      <w:bodyDiv w:val="1"/>
      <w:marLeft w:val="0"/>
      <w:marRight w:val="0"/>
      <w:marTop w:val="0"/>
      <w:marBottom w:val="0"/>
      <w:divBdr>
        <w:top w:val="none" w:sz="0" w:space="0" w:color="auto"/>
        <w:left w:val="none" w:sz="0" w:space="0" w:color="auto"/>
        <w:bottom w:val="none" w:sz="0" w:space="0" w:color="auto"/>
        <w:right w:val="none" w:sz="0" w:space="0" w:color="auto"/>
      </w:divBdr>
    </w:div>
    <w:div w:id="2100828355">
      <w:bodyDiv w:val="1"/>
      <w:marLeft w:val="0"/>
      <w:marRight w:val="0"/>
      <w:marTop w:val="0"/>
      <w:marBottom w:val="0"/>
      <w:divBdr>
        <w:top w:val="none" w:sz="0" w:space="0" w:color="auto"/>
        <w:left w:val="none" w:sz="0" w:space="0" w:color="auto"/>
        <w:bottom w:val="none" w:sz="0" w:space="0" w:color="auto"/>
        <w:right w:val="none" w:sz="0" w:space="0" w:color="auto"/>
      </w:divBdr>
    </w:div>
    <w:div w:id="2114011854">
      <w:bodyDiv w:val="1"/>
      <w:marLeft w:val="0"/>
      <w:marRight w:val="0"/>
      <w:marTop w:val="0"/>
      <w:marBottom w:val="0"/>
      <w:divBdr>
        <w:top w:val="none" w:sz="0" w:space="0" w:color="auto"/>
        <w:left w:val="none" w:sz="0" w:space="0" w:color="auto"/>
        <w:bottom w:val="none" w:sz="0" w:space="0" w:color="auto"/>
        <w:right w:val="none" w:sz="0" w:space="0" w:color="auto"/>
      </w:divBdr>
    </w:div>
    <w:div w:id="2119331490">
      <w:bodyDiv w:val="1"/>
      <w:marLeft w:val="0"/>
      <w:marRight w:val="0"/>
      <w:marTop w:val="0"/>
      <w:marBottom w:val="0"/>
      <w:divBdr>
        <w:top w:val="none" w:sz="0" w:space="0" w:color="auto"/>
        <w:left w:val="none" w:sz="0" w:space="0" w:color="auto"/>
        <w:bottom w:val="none" w:sz="0" w:space="0" w:color="auto"/>
        <w:right w:val="none" w:sz="0" w:space="0" w:color="auto"/>
      </w:divBdr>
    </w:div>
    <w:div w:id="214434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473ece8ba8f14b7d"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31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6" ma:contentTypeDescription="Crear nuevo documento." ma:contentTypeScope="" ma:versionID="e18c0adb42fc37a2e4dff79897aa7e21">
  <xsd:schema xmlns:xsd="http://www.w3.org/2001/XMLSchema" xmlns:xs="http://www.w3.org/2001/XMLSchema" xmlns:p="http://schemas.microsoft.com/office/2006/metadata/properties" xmlns:ns2="7594eaa0-d1e4-4b7c-af1d-31740c5cc0e5" targetNamespace="http://schemas.microsoft.com/office/2006/metadata/properties" ma:root="true" ma:fieldsID="cb933f7ec29d8766e25fa64bf170764a" ns2:_="">
    <xsd:import namespace="7594eaa0-d1e4-4b7c-af1d-31740c5cc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F0CCD-2C51-4B25-8096-4B941F66B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AD0E0-291D-45F9-9F51-E6E9C46630E2}">
  <ds:schemaRefs>
    <ds:schemaRef ds:uri="http://schemas.microsoft.com/sharepoint/v3/contenttype/forms"/>
  </ds:schemaRefs>
</ds:datastoreItem>
</file>

<file path=customXml/itemProps3.xml><?xml version="1.0" encoding="utf-8"?>
<ds:datastoreItem xmlns:ds="http://schemas.openxmlformats.org/officeDocument/2006/customXml" ds:itemID="{A7E3D560-3E2A-4DC2-BD92-0419236776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F648E2-7268-4616-AD60-AF3B528E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34</Pages>
  <Words>10855</Words>
  <Characters>59707</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CSJ</Company>
  <LinksUpToDate>false</LinksUpToDate>
  <CharactersWithSpaces>70422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MAGISTRADO JAVIER ORTIZ DEL VALLE</dc:creator>
  <cp:keywords/>
  <dc:description/>
  <cp:lastModifiedBy>Relatoria Tribunal Administrativo - Boyaca - Seccional Tunja</cp:lastModifiedBy>
  <cp:revision>10</cp:revision>
  <cp:lastPrinted>2019-10-23T19:46:00Z</cp:lastPrinted>
  <dcterms:created xsi:type="dcterms:W3CDTF">2021-12-04T16:03:00Z</dcterms:created>
  <dcterms:modified xsi:type="dcterms:W3CDTF">2022-01-28T17:06:00Z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